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99824" w14:textId="7D083F7D" w:rsidR="006C3492" w:rsidRPr="00EB304C" w:rsidRDefault="006C3492" w:rsidP="00507007">
      <w:pPr>
        <w:spacing w:before="120" w:after="0" w:line="360" w:lineRule="auto"/>
        <w:jc w:val="center"/>
        <w:rPr>
          <w:rFonts w:ascii="Times New Roman" w:hAnsi="Times New Roman" w:cs="Times New Roman"/>
          <w:color w:val="000000" w:themeColor="text1"/>
          <w:sz w:val="24"/>
          <w:szCs w:val="24"/>
        </w:rPr>
      </w:pPr>
      <w:bookmarkStart w:id="0" w:name="_GoBack"/>
      <w:bookmarkEnd w:id="0"/>
      <w:r w:rsidRPr="00EB304C">
        <w:rPr>
          <w:rFonts w:ascii="Times New Roman" w:hAnsi="Times New Roman" w:cs="Times New Roman"/>
          <w:color w:val="000000" w:themeColor="text1"/>
          <w:sz w:val="24"/>
          <w:szCs w:val="24"/>
        </w:rPr>
        <w:t>UZASADNIENIE</w:t>
      </w:r>
    </w:p>
    <w:p w14:paraId="69FE5CD7" w14:textId="77777777" w:rsidR="006C3492" w:rsidRPr="00EB304C" w:rsidRDefault="006C3492" w:rsidP="00507007">
      <w:pPr>
        <w:pStyle w:val="Akapitzlist"/>
        <w:numPr>
          <w:ilvl w:val="0"/>
          <w:numId w:val="35"/>
        </w:numPr>
        <w:spacing w:before="120" w:after="0" w:line="360" w:lineRule="auto"/>
        <w:jc w:val="both"/>
        <w:rPr>
          <w:rFonts w:ascii="Times New Roman" w:hAnsi="Times New Roman" w:cs="Times New Roman"/>
          <w:b/>
          <w:color w:val="000000" w:themeColor="text1"/>
          <w:sz w:val="24"/>
          <w:szCs w:val="24"/>
        </w:rPr>
      </w:pPr>
      <w:r w:rsidRPr="00EB304C">
        <w:rPr>
          <w:rFonts w:ascii="Times New Roman" w:hAnsi="Times New Roman" w:cs="Times New Roman"/>
          <w:b/>
          <w:color w:val="000000" w:themeColor="text1"/>
          <w:sz w:val="24"/>
          <w:szCs w:val="24"/>
        </w:rPr>
        <w:t>Potrzeba i cel wydania ustawy</w:t>
      </w:r>
    </w:p>
    <w:p w14:paraId="5E4386BC" w14:textId="6771D6D1" w:rsidR="00F43BA8" w:rsidRPr="00EB304C" w:rsidRDefault="00F43BA8" w:rsidP="00507007">
      <w:pP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 xml:space="preserve">Przedłożony projekt ustawy o zmianie ustawy o wymianie informacji podatkowych z innymi państwami oraz niektórych innych ustaw </w:t>
      </w:r>
      <w:r w:rsidR="00740DCF" w:rsidRPr="00EB304C">
        <w:rPr>
          <w:rFonts w:ascii="Times New Roman" w:hAnsi="Times New Roman" w:cs="Times New Roman"/>
          <w:sz w:val="24"/>
          <w:szCs w:val="24"/>
        </w:rPr>
        <w:t xml:space="preserve">ma na celu </w:t>
      </w:r>
      <w:r w:rsidR="00E96A9E" w:rsidRPr="00EB304C">
        <w:rPr>
          <w:rFonts w:ascii="Times New Roman" w:hAnsi="Times New Roman" w:cs="Times New Roman"/>
          <w:sz w:val="24"/>
          <w:szCs w:val="24"/>
        </w:rPr>
        <w:t xml:space="preserve">w szczególności </w:t>
      </w:r>
      <w:r w:rsidR="00740DCF" w:rsidRPr="00EB304C">
        <w:rPr>
          <w:rFonts w:ascii="Times New Roman" w:hAnsi="Times New Roman" w:cs="Times New Roman"/>
          <w:sz w:val="24"/>
          <w:szCs w:val="24"/>
        </w:rPr>
        <w:t>implementację dyrektywy Rady (UE) 2021/514 z dnia 22 marca 2021 r. zmieniając</w:t>
      </w:r>
      <w:r w:rsidR="00E9053A">
        <w:rPr>
          <w:rFonts w:ascii="Times New Roman" w:hAnsi="Times New Roman" w:cs="Times New Roman"/>
          <w:sz w:val="24"/>
          <w:szCs w:val="24"/>
        </w:rPr>
        <w:t>ej</w:t>
      </w:r>
      <w:r w:rsidR="00740DCF" w:rsidRPr="00EB304C">
        <w:rPr>
          <w:rFonts w:ascii="Times New Roman" w:hAnsi="Times New Roman" w:cs="Times New Roman"/>
          <w:sz w:val="24"/>
          <w:szCs w:val="24"/>
        </w:rPr>
        <w:t xml:space="preserve"> dyrektywę 2011/16/UE w sprawie współpracy administracyjnej w dziedzinie opodatkowania (Dz. Urz. UE L 104 z</w:t>
      </w:r>
      <w:r w:rsidR="0090468F" w:rsidRPr="00EB304C">
        <w:rPr>
          <w:rFonts w:ascii="Times New Roman" w:hAnsi="Times New Roman" w:cs="Times New Roman"/>
          <w:sz w:val="24"/>
          <w:szCs w:val="24"/>
        </w:rPr>
        <w:t> </w:t>
      </w:r>
      <w:r w:rsidR="00740DCF" w:rsidRPr="00EB304C">
        <w:rPr>
          <w:rFonts w:ascii="Times New Roman" w:hAnsi="Times New Roman" w:cs="Times New Roman"/>
          <w:sz w:val="24"/>
          <w:szCs w:val="24"/>
        </w:rPr>
        <w:t>25.03.2021</w:t>
      </w:r>
      <w:r w:rsidR="00E9053A">
        <w:rPr>
          <w:rFonts w:ascii="Times New Roman" w:hAnsi="Times New Roman" w:cs="Times New Roman"/>
          <w:sz w:val="24"/>
          <w:szCs w:val="24"/>
        </w:rPr>
        <w:t>, str. 1),</w:t>
      </w:r>
      <w:r w:rsidR="00740DCF" w:rsidRPr="00EB304C">
        <w:rPr>
          <w:rFonts w:ascii="Times New Roman" w:hAnsi="Times New Roman" w:cs="Times New Roman"/>
          <w:sz w:val="24"/>
          <w:szCs w:val="24"/>
        </w:rPr>
        <w:t xml:space="preserve"> dalej </w:t>
      </w:r>
      <w:r w:rsidR="00E9053A">
        <w:rPr>
          <w:rFonts w:ascii="Times New Roman" w:hAnsi="Times New Roman" w:cs="Times New Roman"/>
          <w:sz w:val="24"/>
          <w:szCs w:val="24"/>
        </w:rPr>
        <w:t>„</w:t>
      </w:r>
      <w:r w:rsidR="00740DCF" w:rsidRPr="00EB304C">
        <w:rPr>
          <w:rFonts w:ascii="Times New Roman" w:hAnsi="Times New Roman" w:cs="Times New Roman"/>
          <w:sz w:val="24"/>
          <w:szCs w:val="24"/>
        </w:rPr>
        <w:t>dyrektyw</w:t>
      </w:r>
      <w:r w:rsidR="005B2907">
        <w:rPr>
          <w:rFonts w:ascii="Times New Roman" w:hAnsi="Times New Roman" w:cs="Times New Roman"/>
          <w:sz w:val="24"/>
          <w:szCs w:val="24"/>
        </w:rPr>
        <w:t>a</w:t>
      </w:r>
      <w:r w:rsidR="00E9053A">
        <w:rPr>
          <w:rFonts w:ascii="Times New Roman" w:hAnsi="Times New Roman" w:cs="Times New Roman"/>
          <w:sz w:val="24"/>
          <w:szCs w:val="24"/>
        </w:rPr>
        <w:t>”</w:t>
      </w:r>
      <w:r w:rsidR="00740DCF" w:rsidRPr="00EB304C">
        <w:rPr>
          <w:rFonts w:ascii="Times New Roman" w:hAnsi="Times New Roman" w:cs="Times New Roman"/>
          <w:sz w:val="24"/>
          <w:szCs w:val="24"/>
        </w:rPr>
        <w:t xml:space="preserve">, </w:t>
      </w:r>
      <w:r w:rsidR="00E9053A">
        <w:rPr>
          <w:rFonts w:ascii="Times New Roman" w:hAnsi="Times New Roman" w:cs="Times New Roman"/>
          <w:sz w:val="24"/>
          <w:szCs w:val="24"/>
        </w:rPr>
        <w:t>„</w:t>
      </w:r>
      <w:r w:rsidR="00740DCF" w:rsidRPr="00EB304C">
        <w:rPr>
          <w:rFonts w:ascii="Times New Roman" w:hAnsi="Times New Roman" w:cs="Times New Roman"/>
          <w:sz w:val="24"/>
          <w:szCs w:val="24"/>
        </w:rPr>
        <w:t>dyrektyw</w:t>
      </w:r>
      <w:r w:rsidR="005B2907">
        <w:rPr>
          <w:rFonts w:ascii="Times New Roman" w:hAnsi="Times New Roman" w:cs="Times New Roman"/>
          <w:sz w:val="24"/>
          <w:szCs w:val="24"/>
        </w:rPr>
        <w:t>a</w:t>
      </w:r>
      <w:r w:rsidR="00740DCF" w:rsidRPr="00EB304C">
        <w:rPr>
          <w:rFonts w:ascii="Times New Roman" w:hAnsi="Times New Roman" w:cs="Times New Roman"/>
          <w:sz w:val="24"/>
          <w:szCs w:val="24"/>
        </w:rPr>
        <w:t xml:space="preserve"> DAC7</w:t>
      </w:r>
      <w:r w:rsidR="00E9053A">
        <w:rPr>
          <w:rFonts w:ascii="Times New Roman" w:hAnsi="Times New Roman" w:cs="Times New Roman"/>
          <w:sz w:val="24"/>
          <w:szCs w:val="24"/>
        </w:rPr>
        <w:t>”</w:t>
      </w:r>
      <w:r w:rsidR="00740DCF" w:rsidRPr="00EB304C">
        <w:rPr>
          <w:rFonts w:ascii="Times New Roman" w:hAnsi="Times New Roman" w:cs="Times New Roman"/>
          <w:sz w:val="24"/>
          <w:szCs w:val="24"/>
        </w:rPr>
        <w:t xml:space="preserve"> bądź </w:t>
      </w:r>
      <w:r w:rsidR="00E9053A">
        <w:rPr>
          <w:rFonts w:ascii="Times New Roman" w:hAnsi="Times New Roman" w:cs="Times New Roman"/>
          <w:sz w:val="24"/>
          <w:szCs w:val="24"/>
        </w:rPr>
        <w:t>„</w:t>
      </w:r>
      <w:r w:rsidR="00740DCF" w:rsidRPr="00EB304C">
        <w:rPr>
          <w:rFonts w:ascii="Times New Roman" w:hAnsi="Times New Roman" w:cs="Times New Roman"/>
          <w:sz w:val="24"/>
          <w:szCs w:val="24"/>
        </w:rPr>
        <w:t>DAC7</w:t>
      </w:r>
      <w:r w:rsidR="00E9053A">
        <w:rPr>
          <w:rFonts w:ascii="Times New Roman" w:hAnsi="Times New Roman" w:cs="Times New Roman"/>
          <w:sz w:val="24"/>
          <w:szCs w:val="24"/>
        </w:rPr>
        <w:t>”</w:t>
      </w:r>
      <w:r w:rsidR="00740DCF" w:rsidRPr="00EB304C">
        <w:rPr>
          <w:rFonts w:ascii="Times New Roman" w:hAnsi="Times New Roman" w:cs="Times New Roman"/>
          <w:sz w:val="24"/>
          <w:szCs w:val="24"/>
        </w:rPr>
        <w:t>.</w:t>
      </w:r>
    </w:p>
    <w:p w14:paraId="46ECA94F" w14:textId="1AC47D08" w:rsidR="00740DCF" w:rsidRPr="00EB304C" w:rsidRDefault="00740DCF" w:rsidP="00507007">
      <w:pP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Wdrażana dyrektywa jest odpowiedzią na problemy w zakresie ograniczonej dostępności danych dotyczących dochodów uzyskanych przez podatników za pośrednictwem platform cyfrowych.</w:t>
      </w:r>
      <w:r w:rsidR="00F43BA8" w:rsidRPr="00EB304C">
        <w:rPr>
          <w:rFonts w:ascii="Times New Roman" w:hAnsi="Times New Roman" w:cs="Times New Roman"/>
          <w:sz w:val="24"/>
          <w:szCs w:val="24"/>
        </w:rPr>
        <w:t xml:space="preserve"> </w:t>
      </w:r>
      <w:r w:rsidRPr="00EB304C">
        <w:rPr>
          <w:rFonts w:ascii="Times New Roman" w:hAnsi="Times New Roman" w:cs="Times New Roman"/>
          <w:sz w:val="24"/>
          <w:szCs w:val="24"/>
        </w:rPr>
        <w:t>K</w:t>
      </w:r>
      <w:r w:rsidR="00F43BA8" w:rsidRPr="00EB304C">
        <w:rPr>
          <w:rFonts w:ascii="Times New Roman" w:hAnsi="Times New Roman" w:cs="Times New Roman"/>
          <w:sz w:val="24"/>
          <w:szCs w:val="24"/>
        </w:rPr>
        <w:t xml:space="preserve">omisja </w:t>
      </w:r>
      <w:r w:rsidRPr="00EB304C">
        <w:rPr>
          <w:rFonts w:ascii="Times New Roman" w:hAnsi="Times New Roman" w:cs="Times New Roman"/>
          <w:sz w:val="24"/>
          <w:szCs w:val="24"/>
        </w:rPr>
        <w:t xml:space="preserve">Europejska dostrzegła nie tylko przeszkody w </w:t>
      </w:r>
      <w:r w:rsidR="00AF11ED" w:rsidRPr="00EB304C">
        <w:rPr>
          <w:rFonts w:ascii="Times New Roman" w:hAnsi="Times New Roman" w:cs="Times New Roman"/>
          <w:sz w:val="24"/>
          <w:szCs w:val="24"/>
        </w:rPr>
        <w:t>zakresie uzyskania informacji o </w:t>
      </w:r>
      <w:r w:rsidRPr="00EB304C">
        <w:rPr>
          <w:rFonts w:ascii="Times New Roman" w:hAnsi="Times New Roman" w:cs="Times New Roman"/>
          <w:sz w:val="24"/>
          <w:szCs w:val="24"/>
        </w:rPr>
        <w:t>dochodach uzyskiwanych przez sprzedawców korzystających z pośrednictwa platform cyfrowych</w:t>
      </w:r>
      <w:r w:rsidR="0070798A" w:rsidRPr="00EB304C">
        <w:rPr>
          <w:rFonts w:ascii="Times New Roman" w:hAnsi="Times New Roman" w:cs="Times New Roman"/>
          <w:sz w:val="24"/>
          <w:szCs w:val="24"/>
        </w:rPr>
        <w:t>,</w:t>
      </w:r>
      <w:r w:rsidRPr="00EB304C">
        <w:rPr>
          <w:rFonts w:ascii="Times New Roman" w:hAnsi="Times New Roman" w:cs="Times New Roman"/>
          <w:sz w:val="24"/>
          <w:szCs w:val="24"/>
        </w:rPr>
        <w:t xml:space="preserve"> ale także problem zbyt niskiej skuteczności współpracy administracji podatkowych państw członkowskich.</w:t>
      </w:r>
    </w:p>
    <w:p w14:paraId="4414D6E0" w14:textId="5B27A184" w:rsidR="00320E0F" w:rsidRPr="00EB304C" w:rsidRDefault="00320E0F" w:rsidP="00507007">
      <w:pPr>
        <w:pStyle w:val="Default"/>
        <w:spacing w:before="120" w:line="360" w:lineRule="auto"/>
        <w:jc w:val="both"/>
        <w:rPr>
          <w:rFonts w:ascii="Times New Roman" w:hAnsi="Times New Roman" w:cs="Times New Roman"/>
        </w:rPr>
      </w:pPr>
      <w:r w:rsidRPr="00EB304C">
        <w:rPr>
          <w:rFonts w:ascii="Times New Roman" w:hAnsi="Times New Roman" w:cs="Times New Roman"/>
        </w:rPr>
        <w:t>Celem zmian DAC7 jest</w:t>
      </w:r>
      <w:r w:rsidRPr="00EB304C">
        <w:rPr>
          <w:rFonts w:ascii="Times New Roman" w:hAnsi="Times New Roman" w:cs="Times New Roman"/>
          <w:noProof/>
        </w:rPr>
        <w:t xml:space="preserve"> udoskonalenie i rozszerzenie obowiązujących przepisów </w:t>
      </w:r>
      <w:r w:rsidR="00E9053A">
        <w:rPr>
          <w:rFonts w:ascii="Times New Roman" w:hAnsi="Times New Roman" w:cs="Times New Roman"/>
          <w:noProof/>
        </w:rPr>
        <w:t>d</w:t>
      </w:r>
      <w:r w:rsidRPr="00EB304C">
        <w:rPr>
          <w:rFonts w:ascii="Times New Roman" w:hAnsi="Times New Roman" w:cs="Times New Roman"/>
          <w:noProof/>
        </w:rPr>
        <w:t xml:space="preserve">yrektywy </w:t>
      </w:r>
      <w:r w:rsidRPr="00EB304C">
        <w:rPr>
          <w:rFonts w:ascii="Times New Roman" w:hAnsi="Times New Roman" w:cs="Times New Roman"/>
          <w:color w:val="000000" w:themeColor="text1"/>
        </w:rPr>
        <w:t>Rady 2011/16/UE z dnia 15 lutego 2011 r. w sprawie współpracy administracyjnej w dzied</w:t>
      </w:r>
      <w:r w:rsidR="00825BA1" w:rsidRPr="00EB304C">
        <w:rPr>
          <w:rFonts w:ascii="Times New Roman" w:hAnsi="Times New Roman" w:cs="Times New Roman"/>
          <w:color w:val="000000" w:themeColor="text1"/>
        </w:rPr>
        <w:t>zinie opodatkowania i uchylającej</w:t>
      </w:r>
      <w:r w:rsidRPr="00EB304C">
        <w:rPr>
          <w:rFonts w:ascii="Times New Roman" w:hAnsi="Times New Roman" w:cs="Times New Roman"/>
          <w:color w:val="000000" w:themeColor="text1"/>
        </w:rPr>
        <w:t xml:space="preserve"> dyrektywę 77/799/EWG (Dz.</w:t>
      </w:r>
      <w:r w:rsidR="001B1B69" w:rsidRPr="00EB304C">
        <w:rPr>
          <w:rFonts w:ascii="Times New Roman" w:hAnsi="Times New Roman" w:cs="Times New Roman"/>
          <w:color w:val="000000" w:themeColor="text1"/>
        </w:rPr>
        <w:t xml:space="preserve"> </w:t>
      </w:r>
      <w:r w:rsidRPr="00EB304C">
        <w:rPr>
          <w:rFonts w:ascii="Times New Roman" w:hAnsi="Times New Roman" w:cs="Times New Roman"/>
          <w:color w:val="000000" w:themeColor="text1"/>
        </w:rPr>
        <w:t>Urz. UE L 64 z 11.03.2011, str. 1, z późn. zm.</w:t>
      </w:r>
      <w:r w:rsidR="00E9053A">
        <w:rPr>
          <w:rFonts w:ascii="Times New Roman" w:hAnsi="Times New Roman" w:cs="Times New Roman"/>
          <w:color w:val="000000" w:themeColor="text1"/>
        </w:rPr>
        <w:t>)</w:t>
      </w:r>
      <w:r w:rsidRPr="00EB304C">
        <w:rPr>
          <w:rFonts w:ascii="Times New Roman" w:hAnsi="Times New Roman" w:cs="Times New Roman"/>
          <w:color w:val="000000" w:themeColor="text1"/>
        </w:rPr>
        <w:t>, dalej „</w:t>
      </w:r>
      <w:r w:rsidR="00E9053A">
        <w:rPr>
          <w:rFonts w:ascii="Times New Roman" w:hAnsi="Times New Roman" w:cs="Times New Roman"/>
          <w:color w:val="000000" w:themeColor="text1"/>
        </w:rPr>
        <w:t>d</w:t>
      </w:r>
      <w:r w:rsidRPr="00EB304C">
        <w:rPr>
          <w:rFonts w:ascii="Times New Roman" w:hAnsi="Times New Roman" w:cs="Times New Roman"/>
          <w:color w:val="000000" w:themeColor="text1"/>
        </w:rPr>
        <w:t>yrektyw</w:t>
      </w:r>
      <w:r w:rsidR="005B2907">
        <w:rPr>
          <w:rFonts w:ascii="Times New Roman" w:hAnsi="Times New Roman" w:cs="Times New Roman"/>
          <w:color w:val="000000" w:themeColor="text1"/>
        </w:rPr>
        <w:t>a</w:t>
      </w:r>
      <w:r w:rsidRPr="00EB304C">
        <w:rPr>
          <w:rFonts w:ascii="Times New Roman" w:hAnsi="Times New Roman" w:cs="Times New Roman"/>
          <w:color w:val="000000" w:themeColor="text1"/>
        </w:rPr>
        <w:t xml:space="preserve"> 2011/16/UE”</w:t>
      </w:r>
      <w:r w:rsidR="00E9053A">
        <w:rPr>
          <w:rFonts w:ascii="Times New Roman" w:hAnsi="Times New Roman" w:cs="Times New Roman"/>
          <w:color w:val="000000" w:themeColor="text1"/>
        </w:rPr>
        <w:t>,</w:t>
      </w:r>
      <w:r w:rsidR="001B1B69" w:rsidRPr="00EB304C">
        <w:rPr>
          <w:rFonts w:ascii="Times New Roman" w:hAnsi="Times New Roman" w:cs="Times New Roman"/>
          <w:color w:val="000000" w:themeColor="text1"/>
        </w:rPr>
        <w:t xml:space="preserve"> </w:t>
      </w:r>
      <w:r w:rsidRPr="00EB304C">
        <w:rPr>
          <w:rFonts w:ascii="Times New Roman" w:hAnsi="Times New Roman" w:cs="Times New Roman"/>
        </w:rPr>
        <w:t>dotyczącej zakresu wymiany informacji i współpracy administracyjnej w sprawach podatkowych, przez:</w:t>
      </w:r>
    </w:p>
    <w:p w14:paraId="6E841548" w14:textId="77777777" w:rsidR="00320E0F" w:rsidRPr="00EB304C" w:rsidRDefault="00320E0F" w:rsidP="00507007">
      <w:pPr>
        <w:pStyle w:val="Default"/>
        <w:numPr>
          <w:ilvl w:val="0"/>
          <w:numId w:val="1"/>
        </w:numPr>
        <w:spacing w:before="120" w:line="360" w:lineRule="auto"/>
        <w:jc w:val="both"/>
        <w:rPr>
          <w:rFonts w:ascii="Times New Roman" w:hAnsi="Times New Roman" w:cs="Times New Roman"/>
        </w:rPr>
      </w:pPr>
      <w:r w:rsidRPr="00EB304C">
        <w:rPr>
          <w:rFonts w:ascii="Times New Roman" w:hAnsi="Times New Roman" w:cs="Times New Roman"/>
        </w:rPr>
        <w:t>nałożenie na platformy obowiązku sprawozdawczego dotyczącego sprzedawców działających z pomocą tych platform,</w:t>
      </w:r>
    </w:p>
    <w:p w14:paraId="5C31570D" w14:textId="7F45E52D" w:rsidR="00320E0F" w:rsidRPr="00EB304C" w:rsidRDefault="00320E0F" w:rsidP="00507007">
      <w:pPr>
        <w:pStyle w:val="Default"/>
        <w:numPr>
          <w:ilvl w:val="0"/>
          <w:numId w:val="1"/>
        </w:numPr>
        <w:spacing w:before="120" w:line="360" w:lineRule="auto"/>
        <w:jc w:val="both"/>
        <w:rPr>
          <w:rFonts w:ascii="Times New Roman" w:hAnsi="Times New Roman" w:cs="Times New Roman"/>
        </w:rPr>
      </w:pPr>
      <w:r w:rsidRPr="00EB304C">
        <w:rPr>
          <w:rFonts w:ascii="Times New Roman" w:hAnsi="Times New Roman" w:cs="Times New Roman"/>
        </w:rPr>
        <w:t>zbudowanie mechanizmu wymiany informacji o sprzedawcach między państwami członkowskimi oraz</w:t>
      </w:r>
      <w:r w:rsidR="001B1B69" w:rsidRPr="00EB304C">
        <w:rPr>
          <w:rFonts w:ascii="Times New Roman" w:hAnsi="Times New Roman" w:cs="Times New Roman"/>
        </w:rPr>
        <w:t xml:space="preserve"> państwami trzecimi, m.in. sygnatariusz</w:t>
      </w:r>
      <w:r w:rsidR="005C13A3" w:rsidRPr="00EB304C">
        <w:rPr>
          <w:rFonts w:ascii="Times New Roman" w:hAnsi="Times New Roman" w:cs="Times New Roman"/>
        </w:rPr>
        <w:t>ami</w:t>
      </w:r>
      <w:r w:rsidR="001B1B69" w:rsidRPr="00EB304C">
        <w:rPr>
          <w:rFonts w:ascii="Times New Roman" w:hAnsi="Times New Roman" w:cs="Times New Roman"/>
        </w:rPr>
        <w:t xml:space="preserve"> wielostronnego porozumienia </w:t>
      </w:r>
      <w:r w:rsidR="004F300E">
        <w:rPr>
          <w:rFonts w:ascii="Times New Roman" w:hAnsi="Times New Roman" w:cs="Times New Roman"/>
        </w:rPr>
        <w:t>w sprawie automatycznej wymiany informacji o dochodach uzyskanych za pośrednictwem platform cyfrowych (</w:t>
      </w:r>
      <w:r w:rsidR="00C40FE4">
        <w:rPr>
          <w:rFonts w:ascii="Times New Roman" w:hAnsi="Times New Roman" w:cs="Times New Roman"/>
        </w:rPr>
        <w:t xml:space="preserve">tzw. </w:t>
      </w:r>
      <w:r w:rsidR="001B1B69" w:rsidRPr="00EB304C">
        <w:rPr>
          <w:rFonts w:ascii="Times New Roman" w:hAnsi="Times New Roman" w:cs="Times New Roman"/>
        </w:rPr>
        <w:t>DPI MCAA</w:t>
      </w:r>
      <w:r w:rsidR="004F300E">
        <w:rPr>
          <w:rFonts w:ascii="Times New Roman" w:hAnsi="Times New Roman" w:cs="Times New Roman"/>
        </w:rPr>
        <w:t>)</w:t>
      </w:r>
      <w:r w:rsidR="001B1B69" w:rsidRPr="00EB304C">
        <w:rPr>
          <w:rFonts w:ascii="Times New Roman" w:hAnsi="Times New Roman" w:cs="Times New Roman"/>
        </w:rPr>
        <w:t>,</w:t>
      </w:r>
    </w:p>
    <w:p w14:paraId="69462C0D" w14:textId="76A04B04" w:rsidR="00320E0F" w:rsidRPr="006815B9" w:rsidRDefault="00320E0F" w:rsidP="00507007">
      <w:pPr>
        <w:pStyle w:val="Default"/>
        <w:numPr>
          <w:ilvl w:val="0"/>
          <w:numId w:val="1"/>
        </w:numPr>
        <w:spacing w:before="120" w:line="360" w:lineRule="auto"/>
        <w:jc w:val="both"/>
        <w:rPr>
          <w:rFonts w:ascii="Times New Roman" w:hAnsi="Times New Roman" w:cs="Times New Roman"/>
        </w:rPr>
      </w:pPr>
      <w:r w:rsidRPr="00EB304C">
        <w:rPr>
          <w:rFonts w:ascii="Times New Roman" w:hAnsi="Times New Roman" w:cs="Times New Roman"/>
        </w:rPr>
        <w:t>poprawę obecnych mechanizmów współpracy między administracjami.</w:t>
      </w:r>
    </w:p>
    <w:p w14:paraId="002824FA" w14:textId="7C891D6B" w:rsidR="00740DCF" w:rsidRPr="00EB304C" w:rsidRDefault="00740DCF" w:rsidP="00507007">
      <w:pP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Ostatni</w:t>
      </w:r>
      <w:r w:rsidR="0050348E" w:rsidRPr="00EB304C">
        <w:rPr>
          <w:rFonts w:ascii="Times New Roman" w:hAnsi="Times New Roman" w:cs="Times New Roman"/>
          <w:sz w:val="24"/>
          <w:szCs w:val="24"/>
        </w:rPr>
        <w:t>e</w:t>
      </w:r>
      <w:r w:rsidRPr="00EB304C">
        <w:rPr>
          <w:rFonts w:ascii="Times New Roman" w:hAnsi="Times New Roman" w:cs="Times New Roman"/>
          <w:sz w:val="24"/>
          <w:szCs w:val="24"/>
        </w:rPr>
        <w:t xml:space="preserve"> lata przyniosły szybką transformację cyfrową wszystkich aspektów życia gospodarczego na świecie. Pandemia COVID-19 dodatkowo przy</w:t>
      </w:r>
      <w:r w:rsidR="0050348E" w:rsidRPr="00EB304C">
        <w:rPr>
          <w:rFonts w:ascii="Times New Roman" w:hAnsi="Times New Roman" w:cs="Times New Roman"/>
          <w:sz w:val="24"/>
          <w:szCs w:val="24"/>
        </w:rPr>
        <w:t>s</w:t>
      </w:r>
      <w:r w:rsidRPr="00EB304C">
        <w:rPr>
          <w:rFonts w:ascii="Times New Roman" w:hAnsi="Times New Roman" w:cs="Times New Roman"/>
          <w:sz w:val="24"/>
          <w:szCs w:val="24"/>
        </w:rPr>
        <w:t>pieszyła tę transformację. Transgraniczny charakter działalności polegającej na świadczeniu usług elektronicznych umożliwił wszystkim obywatelom Unii Europejskiej łatw</w:t>
      </w:r>
      <w:r w:rsidR="00825BA1" w:rsidRPr="00EB304C">
        <w:rPr>
          <w:rFonts w:ascii="Times New Roman" w:hAnsi="Times New Roman" w:cs="Times New Roman"/>
          <w:sz w:val="24"/>
          <w:szCs w:val="24"/>
        </w:rPr>
        <w:t>y handel i świadczenie usług na </w:t>
      </w:r>
      <w:r w:rsidRPr="00EB304C">
        <w:rPr>
          <w:rFonts w:ascii="Times New Roman" w:hAnsi="Times New Roman" w:cs="Times New Roman"/>
          <w:sz w:val="24"/>
          <w:szCs w:val="24"/>
        </w:rPr>
        <w:t>jednolitym rynku</w:t>
      </w:r>
      <w:r w:rsidR="003560F6" w:rsidRPr="00EB304C">
        <w:rPr>
          <w:rFonts w:ascii="Times New Roman" w:hAnsi="Times New Roman" w:cs="Times New Roman"/>
          <w:sz w:val="24"/>
          <w:szCs w:val="24"/>
        </w:rPr>
        <w:t>,</w:t>
      </w:r>
      <w:r w:rsidR="003C1606" w:rsidRPr="00EB304C">
        <w:rPr>
          <w:rFonts w:ascii="Times New Roman" w:hAnsi="Times New Roman" w:cs="Times New Roman"/>
          <w:sz w:val="24"/>
          <w:szCs w:val="24"/>
        </w:rPr>
        <w:t xml:space="preserve"> również przez podmioty nieprofesjonalne</w:t>
      </w:r>
      <w:r w:rsidR="0050348E" w:rsidRPr="00EB304C">
        <w:rPr>
          <w:rFonts w:ascii="Times New Roman" w:hAnsi="Times New Roman" w:cs="Times New Roman"/>
          <w:sz w:val="24"/>
          <w:szCs w:val="24"/>
        </w:rPr>
        <w:t>. Jednocześnie wyegzekwowanie przepisów podatkowych w tym środowisku stało się niezmiernie trudne</w:t>
      </w:r>
      <w:r w:rsidRPr="00EB304C">
        <w:rPr>
          <w:rFonts w:ascii="Times New Roman" w:hAnsi="Times New Roman" w:cs="Times New Roman"/>
          <w:sz w:val="24"/>
          <w:szCs w:val="24"/>
        </w:rPr>
        <w:t xml:space="preserve"> </w:t>
      </w:r>
      <w:r w:rsidRPr="00EB304C">
        <w:rPr>
          <w:rFonts w:ascii="Times New Roman" w:hAnsi="Times New Roman" w:cs="Times New Roman"/>
          <w:sz w:val="24"/>
          <w:szCs w:val="24"/>
        </w:rPr>
        <w:lastRenderedPageBreak/>
        <w:t xml:space="preserve">(także ze względu na </w:t>
      </w:r>
      <w:r w:rsidR="006B551F">
        <w:rPr>
          <w:rFonts w:ascii="Times New Roman" w:hAnsi="Times New Roman" w:cs="Times New Roman"/>
          <w:sz w:val="24"/>
          <w:szCs w:val="24"/>
        </w:rPr>
        <w:t xml:space="preserve">liczbę </w:t>
      </w:r>
      <w:r w:rsidRPr="00EB304C">
        <w:rPr>
          <w:rFonts w:ascii="Times New Roman" w:hAnsi="Times New Roman" w:cs="Times New Roman"/>
          <w:sz w:val="24"/>
          <w:szCs w:val="24"/>
        </w:rPr>
        <w:t>transakcji). Administracje podatkowe państw członkowskich nie mają wystarczających informacji, aby prawidłowo ocenić i kontrolować uzyskiwane w ich kraju dochody z działalności wykonywanej za pośrednictwem platform cyfrowych. Jest to</w:t>
      </w:r>
      <w:r w:rsidR="005C76FB" w:rsidRPr="00EB304C">
        <w:rPr>
          <w:rFonts w:ascii="Times New Roman" w:hAnsi="Times New Roman" w:cs="Times New Roman"/>
          <w:sz w:val="24"/>
          <w:szCs w:val="24"/>
        </w:rPr>
        <w:t> </w:t>
      </w:r>
      <w:r w:rsidRPr="00EB304C">
        <w:rPr>
          <w:rFonts w:ascii="Times New Roman" w:hAnsi="Times New Roman" w:cs="Times New Roman"/>
          <w:sz w:val="24"/>
          <w:szCs w:val="24"/>
        </w:rPr>
        <w:t>szczególnie problematyczne, gdy dochody są uzyskiwa</w:t>
      </w:r>
      <w:r w:rsidR="005C76FB" w:rsidRPr="00EB304C">
        <w:rPr>
          <w:rFonts w:ascii="Times New Roman" w:hAnsi="Times New Roman" w:cs="Times New Roman"/>
          <w:sz w:val="24"/>
          <w:szCs w:val="24"/>
        </w:rPr>
        <w:t>nie z wykorzystaniem platform z </w:t>
      </w:r>
      <w:r w:rsidRPr="00EB304C">
        <w:rPr>
          <w:rFonts w:ascii="Times New Roman" w:hAnsi="Times New Roman" w:cs="Times New Roman"/>
          <w:sz w:val="24"/>
          <w:szCs w:val="24"/>
        </w:rPr>
        <w:t>siedzibą w innym państwie niż państwo sprzedawcy uzyskującego te dochody. W celu przeciwdziałania narastającym zjawiskom unikania i uchylania się od opodatkowania w</w:t>
      </w:r>
      <w:r w:rsidR="005C76FB" w:rsidRPr="00EB304C">
        <w:rPr>
          <w:rFonts w:ascii="Times New Roman" w:hAnsi="Times New Roman" w:cs="Times New Roman"/>
          <w:sz w:val="24"/>
          <w:szCs w:val="24"/>
        </w:rPr>
        <w:t> </w:t>
      </w:r>
      <w:r w:rsidRPr="00EB304C">
        <w:rPr>
          <w:rFonts w:ascii="Times New Roman" w:hAnsi="Times New Roman" w:cs="Times New Roman"/>
          <w:sz w:val="24"/>
          <w:szCs w:val="24"/>
        </w:rPr>
        <w:t>przestrzeni cyfrowej, administracje podatkowe wielu państw członkowskich U</w:t>
      </w:r>
      <w:r w:rsidR="00C021CB" w:rsidRPr="00EB304C">
        <w:rPr>
          <w:rFonts w:ascii="Times New Roman" w:hAnsi="Times New Roman" w:cs="Times New Roman"/>
          <w:sz w:val="24"/>
          <w:szCs w:val="24"/>
        </w:rPr>
        <w:t>nii Europejskiej</w:t>
      </w:r>
      <w:r w:rsidRPr="00EB304C">
        <w:rPr>
          <w:rFonts w:ascii="Times New Roman" w:hAnsi="Times New Roman" w:cs="Times New Roman"/>
          <w:sz w:val="24"/>
          <w:szCs w:val="24"/>
        </w:rPr>
        <w:t xml:space="preserve"> indywidualnie zaczęły żądać informacji od operatorów platform oraz nakładać na</w:t>
      </w:r>
      <w:r w:rsidR="005C76FB" w:rsidRPr="00EB304C">
        <w:rPr>
          <w:rFonts w:ascii="Times New Roman" w:hAnsi="Times New Roman" w:cs="Times New Roman"/>
          <w:sz w:val="24"/>
          <w:szCs w:val="24"/>
        </w:rPr>
        <w:t> </w:t>
      </w:r>
      <w:r w:rsidRPr="00EB304C">
        <w:rPr>
          <w:rFonts w:ascii="Times New Roman" w:hAnsi="Times New Roman" w:cs="Times New Roman"/>
          <w:sz w:val="24"/>
          <w:szCs w:val="24"/>
        </w:rPr>
        <w:t>nich regularne obowiązki sprawozdawcze. Operatorzy platform muszą więc spełnić wiele obowiązków sprawozdawczych w różnych państwach U</w:t>
      </w:r>
      <w:r w:rsidR="00C021CB" w:rsidRPr="00EB304C">
        <w:rPr>
          <w:rFonts w:ascii="Times New Roman" w:hAnsi="Times New Roman" w:cs="Times New Roman"/>
          <w:sz w:val="24"/>
          <w:szCs w:val="24"/>
        </w:rPr>
        <w:t>nii Europejskiej</w:t>
      </w:r>
      <w:r w:rsidRPr="00EB304C">
        <w:rPr>
          <w:rFonts w:ascii="Times New Roman" w:hAnsi="Times New Roman" w:cs="Times New Roman"/>
          <w:sz w:val="24"/>
          <w:szCs w:val="24"/>
        </w:rPr>
        <w:t xml:space="preserve">. W ocenie Komisji Europejskiej takie rozdrobnienie regulacyjne, które powstało wskutek jednostronnych działań państw członkowskich, drastycznie zwiększyło koszty prowadzenia działalności na jednolitym rynku cyfrowym oraz prowadzi do niepotrzebnych sporów sądowych. </w:t>
      </w:r>
      <w:r w:rsidR="0070798A" w:rsidRPr="00EB304C">
        <w:rPr>
          <w:rFonts w:ascii="Times New Roman" w:hAnsi="Times New Roman" w:cs="Times New Roman"/>
          <w:sz w:val="24"/>
          <w:szCs w:val="24"/>
        </w:rPr>
        <w:t>W efekcie</w:t>
      </w:r>
      <w:r w:rsidR="00BC17C3" w:rsidRPr="00EB304C">
        <w:rPr>
          <w:rFonts w:ascii="Times New Roman" w:hAnsi="Times New Roman" w:cs="Times New Roman"/>
          <w:sz w:val="24"/>
          <w:szCs w:val="24"/>
        </w:rPr>
        <w:t>,</w:t>
      </w:r>
      <w:r w:rsidR="0070798A" w:rsidRPr="00EB304C">
        <w:rPr>
          <w:rFonts w:ascii="Times New Roman" w:hAnsi="Times New Roman" w:cs="Times New Roman"/>
          <w:sz w:val="24"/>
          <w:szCs w:val="24"/>
        </w:rPr>
        <w:t xml:space="preserve"> obok</w:t>
      </w:r>
      <w:r w:rsidR="005C76FB" w:rsidRPr="00EB304C">
        <w:rPr>
          <w:rFonts w:ascii="Times New Roman" w:hAnsi="Times New Roman" w:cs="Times New Roman"/>
          <w:sz w:val="24"/>
          <w:szCs w:val="24"/>
        </w:rPr>
        <w:t xml:space="preserve"> walki z </w:t>
      </w:r>
      <w:r w:rsidRPr="00EB304C">
        <w:rPr>
          <w:rFonts w:ascii="Times New Roman" w:hAnsi="Times New Roman" w:cs="Times New Roman"/>
          <w:sz w:val="24"/>
          <w:szCs w:val="24"/>
        </w:rPr>
        <w:t>unikaniem opodatkowania, równorzędnym celem wdrażanej dyrektywy stało się ujednolicenie obowiązków sprawozdawczych w U</w:t>
      </w:r>
      <w:r w:rsidR="00C021CB" w:rsidRPr="00EB304C">
        <w:rPr>
          <w:rFonts w:ascii="Times New Roman" w:hAnsi="Times New Roman" w:cs="Times New Roman"/>
          <w:sz w:val="24"/>
          <w:szCs w:val="24"/>
        </w:rPr>
        <w:t>nii Europejskiej</w:t>
      </w:r>
      <w:r w:rsidR="0070798A" w:rsidRPr="00EB304C">
        <w:rPr>
          <w:rFonts w:ascii="Times New Roman" w:hAnsi="Times New Roman" w:cs="Times New Roman"/>
          <w:sz w:val="24"/>
          <w:szCs w:val="24"/>
        </w:rPr>
        <w:t xml:space="preserve">. </w:t>
      </w:r>
      <w:r w:rsidR="00C021CB" w:rsidRPr="00EB304C">
        <w:rPr>
          <w:rFonts w:ascii="Times New Roman" w:hAnsi="Times New Roman" w:cs="Times New Roman"/>
          <w:sz w:val="24"/>
          <w:szCs w:val="24"/>
        </w:rPr>
        <w:t>Intencją jest ujednolicenie</w:t>
      </w:r>
      <w:r w:rsidRPr="00EB304C">
        <w:rPr>
          <w:rFonts w:ascii="Times New Roman" w:hAnsi="Times New Roman" w:cs="Times New Roman"/>
          <w:sz w:val="24"/>
          <w:szCs w:val="24"/>
        </w:rPr>
        <w:t xml:space="preserve"> przestrzegania prawa przez </w:t>
      </w:r>
      <w:r w:rsidR="006B551F">
        <w:rPr>
          <w:rFonts w:ascii="Times New Roman" w:hAnsi="Times New Roman" w:cs="Times New Roman"/>
          <w:sz w:val="24"/>
          <w:szCs w:val="24"/>
        </w:rPr>
        <w:t xml:space="preserve">operatorów </w:t>
      </w:r>
      <w:r w:rsidRPr="00EB304C">
        <w:rPr>
          <w:rFonts w:ascii="Times New Roman" w:hAnsi="Times New Roman" w:cs="Times New Roman"/>
          <w:sz w:val="24"/>
          <w:szCs w:val="24"/>
        </w:rPr>
        <w:t>platform oraz zwiększ</w:t>
      </w:r>
      <w:r w:rsidR="00C021CB" w:rsidRPr="00EB304C">
        <w:rPr>
          <w:rFonts w:ascii="Times New Roman" w:hAnsi="Times New Roman" w:cs="Times New Roman"/>
          <w:sz w:val="24"/>
          <w:szCs w:val="24"/>
        </w:rPr>
        <w:t>enie</w:t>
      </w:r>
      <w:r w:rsidRPr="00EB304C">
        <w:rPr>
          <w:rFonts w:ascii="Times New Roman" w:hAnsi="Times New Roman" w:cs="Times New Roman"/>
          <w:sz w:val="24"/>
          <w:szCs w:val="24"/>
        </w:rPr>
        <w:t xml:space="preserve"> efektywnoś</w:t>
      </w:r>
      <w:r w:rsidR="00C021CB" w:rsidRPr="00EB304C">
        <w:rPr>
          <w:rFonts w:ascii="Times New Roman" w:hAnsi="Times New Roman" w:cs="Times New Roman"/>
          <w:sz w:val="24"/>
          <w:szCs w:val="24"/>
        </w:rPr>
        <w:t>ci</w:t>
      </w:r>
      <w:r w:rsidRPr="00EB304C">
        <w:rPr>
          <w:rFonts w:ascii="Times New Roman" w:hAnsi="Times New Roman" w:cs="Times New Roman"/>
          <w:sz w:val="24"/>
          <w:szCs w:val="24"/>
        </w:rPr>
        <w:t xml:space="preserve"> samego poboru informacji. </w:t>
      </w:r>
    </w:p>
    <w:p w14:paraId="21B36285" w14:textId="333A808B" w:rsidR="005821D8" w:rsidRPr="00EB304C" w:rsidRDefault="00740DCF" w:rsidP="00507007">
      <w:pPr>
        <w:spacing w:before="120" w:after="0" w:line="360" w:lineRule="auto"/>
        <w:jc w:val="both"/>
        <w:rPr>
          <w:rFonts w:ascii="Times New Roman" w:hAnsi="Times New Roman" w:cs="Times New Roman"/>
        </w:rPr>
      </w:pPr>
      <w:r w:rsidRPr="00EB304C">
        <w:rPr>
          <w:rFonts w:ascii="Times New Roman" w:hAnsi="Times New Roman" w:cs="Times New Roman"/>
          <w:sz w:val="24"/>
          <w:szCs w:val="24"/>
        </w:rPr>
        <w:t xml:space="preserve">Wdrażane przepisy </w:t>
      </w:r>
      <w:r w:rsidR="00BC17C3" w:rsidRPr="00EB304C">
        <w:rPr>
          <w:rFonts w:ascii="Times New Roman" w:hAnsi="Times New Roman" w:cs="Times New Roman"/>
          <w:sz w:val="24"/>
          <w:szCs w:val="24"/>
        </w:rPr>
        <w:t xml:space="preserve">dyrektywy </w:t>
      </w:r>
      <w:r w:rsidRPr="00EB304C">
        <w:rPr>
          <w:rFonts w:ascii="Times New Roman" w:hAnsi="Times New Roman" w:cs="Times New Roman"/>
          <w:sz w:val="24"/>
          <w:szCs w:val="24"/>
        </w:rPr>
        <w:t>ograniczają się do stworzenia wspólnych, unijnych ram sprawozdawczości, które są konieczne do zgła</w:t>
      </w:r>
      <w:r w:rsidR="005C76FB" w:rsidRPr="00EB304C">
        <w:rPr>
          <w:rFonts w:ascii="Times New Roman" w:hAnsi="Times New Roman" w:cs="Times New Roman"/>
          <w:sz w:val="24"/>
          <w:szCs w:val="24"/>
        </w:rPr>
        <w:t>szania dochodów uzyskiwanych za </w:t>
      </w:r>
      <w:r w:rsidRPr="00EB304C">
        <w:rPr>
          <w:rFonts w:ascii="Times New Roman" w:hAnsi="Times New Roman" w:cs="Times New Roman"/>
          <w:sz w:val="24"/>
          <w:szCs w:val="24"/>
        </w:rPr>
        <w:t>pośrednictwem platform cyfrowych. Dla przykładu przepisy te zapewniają brak podwójnej sprawozdawczości (tj. jeden punkt rejestracji i sprawozdawczości)</w:t>
      </w:r>
      <w:r w:rsidR="001D6FAF" w:rsidRPr="00EB304C">
        <w:rPr>
          <w:rFonts w:ascii="Times New Roman" w:hAnsi="Times New Roman" w:cs="Times New Roman"/>
          <w:sz w:val="24"/>
          <w:szCs w:val="24"/>
        </w:rPr>
        <w:t xml:space="preserve"> oraz</w:t>
      </w:r>
      <w:r w:rsidRPr="00EB304C">
        <w:rPr>
          <w:rFonts w:ascii="Times New Roman" w:hAnsi="Times New Roman" w:cs="Times New Roman"/>
          <w:sz w:val="24"/>
          <w:szCs w:val="24"/>
        </w:rPr>
        <w:t xml:space="preserve"> ograniczenie automatycznej wymiany informacji </w:t>
      </w:r>
      <w:r w:rsidR="00A431BD" w:rsidRPr="00EB304C">
        <w:rPr>
          <w:rFonts w:ascii="Times New Roman" w:hAnsi="Times New Roman" w:cs="Times New Roman"/>
          <w:sz w:val="24"/>
          <w:szCs w:val="24"/>
        </w:rPr>
        <w:t xml:space="preserve">o transakcjach </w:t>
      </w:r>
      <w:r w:rsidRPr="00EB304C">
        <w:rPr>
          <w:rFonts w:ascii="Times New Roman" w:hAnsi="Times New Roman" w:cs="Times New Roman"/>
          <w:sz w:val="24"/>
          <w:szCs w:val="24"/>
        </w:rPr>
        <w:t>do właściwych państw członkowskich (tych</w:t>
      </w:r>
      <w:r w:rsidR="00507007">
        <w:rPr>
          <w:rFonts w:ascii="Times New Roman" w:hAnsi="Times New Roman" w:cs="Times New Roman"/>
          <w:sz w:val="24"/>
          <w:szCs w:val="24"/>
        </w:rPr>
        <w:t>,</w:t>
      </w:r>
      <w:r w:rsidRPr="00EB304C">
        <w:rPr>
          <w:rFonts w:ascii="Times New Roman" w:hAnsi="Times New Roman" w:cs="Times New Roman"/>
          <w:sz w:val="24"/>
          <w:szCs w:val="24"/>
        </w:rPr>
        <w:t xml:space="preserve"> które są państwami właściwymi podatkowo dla sprzedawcy)</w:t>
      </w:r>
      <w:r w:rsidR="00BC17C3" w:rsidRPr="00EB304C">
        <w:rPr>
          <w:rFonts w:ascii="Times New Roman" w:hAnsi="Times New Roman" w:cs="Times New Roman"/>
          <w:sz w:val="24"/>
          <w:szCs w:val="24"/>
        </w:rPr>
        <w:t>. DAC7 pozostawia państwom członkowskim kontrolę nad nakładaniem kar za nieprzestrzeganie przepisów.</w:t>
      </w:r>
      <w:r w:rsidR="00C62AA3" w:rsidRPr="00EB304C">
        <w:rPr>
          <w:rFonts w:ascii="Times New Roman" w:hAnsi="Times New Roman" w:cs="Times New Roman"/>
          <w:sz w:val="24"/>
          <w:szCs w:val="24"/>
        </w:rPr>
        <w:t xml:space="preserve"> </w:t>
      </w:r>
      <w:r w:rsidRPr="00EB304C">
        <w:rPr>
          <w:rFonts w:ascii="Times New Roman" w:hAnsi="Times New Roman" w:cs="Times New Roman"/>
          <w:sz w:val="24"/>
          <w:szCs w:val="24"/>
        </w:rPr>
        <w:t xml:space="preserve">Biorąc pod uwagę, że działalność platform jest transgraniczna, dyrektywa wprowadza mechanizm wymiany informacji do tych państw członkowskich, w których sprzedawcy powinni </w:t>
      </w:r>
      <w:r w:rsidR="005C76FB" w:rsidRPr="00EB304C">
        <w:rPr>
          <w:rFonts w:ascii="Times New Roman" w:hAnsi="Times New Roman" w:cs="Times New Roman"/>
          <w:sz w:val="24"/>
          <w:szCs w:val="24"/>
        </w:rPr>
        <w:t xml:space="preserve">zapłacić </w:t>
      </w:r>
      <w:r w:rsidRPr="00EB304C">
        <w:rPr>
          <w:rFonts w:ascii="Times New Roman" w:hAnsi="Times New Roman" w:cs="Times New Roman"/>
          <w:sz w:val="24"/>
          <w:szCs w:val="24"/>
        </w:rPr>
        <w:t>podatki</w:t>
      </w:r>
      <w:r w:rsidR="005C76FB" w:rsidRPr="00EB304C">
        <w:rPr>
          <w:rFonts w:ascii="Times New Roman" w:hAnsi="Times New Roman" w:cs="Times New Roman"/>
          <w:sz w:val="24"/>
          <w:szCs w:val="24"/>
        </w:rPr>
        <w:t xml:space="preserve"> wynikające z ich działalności</w:t>
      </w:r>
      <w:r w:rsidRPr="00EB304C">
        <w:rPr>
          <w:rFonts w:ascii="Times New Roman" w:hAnsi="Times New Roman" w:cs="Times New Roman"/>
          <w:sz w:val="24"/>
          <w:szCs w:val="24"/>
        </w:rPr>
        <w:t>. Automatyczna wymiana informacji między organami podatkowymi ma więc kluczowe znaczenie dla zapewnienia organom podatkowym niezbędnych informacji umożliwiających im określenie prawidłowej wysokości należnych podatków</w:t>
      </w:r>
      <w:r w:rsidR="00A431BD" w:rsidRPr="00EB304C">
        <w:rPr>
          <w:rFonts w:ascii="Times New Roman" w:hAnsi="Times New Roman" w:cs="Times New Roman"/>
          <w:sz w:val="24"/>
          <w:szCs w:val="24"/>
        </w:rPr>
        <w:t>.</w:t>
      </w:r>
    </w:p>
    <w:p w14:paraId="433094EC" w14:textId="33A2955B" w:rsidR="00BE55AB" w:rsidRPr="00EB304C" w:rsidRDefault="003044A2" w:rsidP="00507007">
      <w:pP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 xml:space="preserve">Dodatkowo </w:t>
      </w:r>
      <w:r w:rsidR="003C1606" w:rsidRPr="00EB304C">
        <w:rPr>
          <w:rFonts w:ascii="Times New Roman" w:hAnsi="Times New Roman" w:cs="Times New Roman"/>
          <w:sz w:val="24"/>
          <w:szCs w:val="24"/>
        </w:rPr>
        <w:t>wdrażane</w:t>
      </w:r>
      <w:r w:rsidR="00320E0F" w:rsidRPr="00EB304C">
        <w:rPr>
          <w:rFonts w:ascii="Times New Roman" w:hAnsi="Times New Roman" w:cs="Times New Roman"/>
          <w:sz w:val="24"/>
          <w:szCs w:val="24"/>
        </w:rPr>
        <w:t xml:space="preserve"> są przepisy dyrektywy</w:t>
      </w:r>
      <w:r w:rsidRPr="00EB304C">
        <w:rPr>
          <w:rFonts w:ascii="Times New Roman" w:hAnsi="Times New Roman" w:cs="Times New Roman"/>
          <w:sz w:val="24"/>
          <w:szCs w:val="24"/>
        </w:rPr>
        <w:t xml:space="preserve"> rozszerzające lub korygujące niektóre inne </w:t>
      </w:r>
      <w:r w:rsidR="00AB22C4" w:rsidRPr="00EB304C">
        <w:rPr>
          <w:rFonts w:ascii="Times New Roman" w:hAnsi="Times New Roman" w:cs="Times New Roman"/>
          <w:sz w:val="24"/>
          <w:szCs w:val="24"/>
        </w:rPr>
        <w:t>instrumenty</w:t>
      </w:r>
      <w:r w:rsidRPr="00EB304C">
        <w:rPr>
          <w:rFonts w:ascii="Times New Roman" w:hAnsi="Times New Roman" w:cs="Times New Roman"/>
          <w:sz w:val="24"/>
          <w:szCs w:val="24"/>
        </w:rPr>
        <w:t xml:space="preserve"> współpracy administracyjnej państw członkowskich (m.in. kontrole jednoczesne, wspólne kontrole) lub wyjaśniające wątpliwości prawne powstałe w związku z dotychczasową </w:t>
      </w:r>
      <w:r w:rsidRPr="00EB304C">
        <w:rPr>
          <w:rFonts w:ascii="Times New Roman" w:hAnsi="Times New Roman" w:cs="Times New Roman"/>
          <w:sz w:val="24"/>
          <w:szCs w:val="24"/>
        </w:rPr>
        <w:lastRenderedPageBreak/>
        <w:t>treścią przepisów (</w:t>
      </w:r>
      <w:r w:rsidR="003C1606" w:rsidRPr="00EB304C">
        <w:rPr>
          <w:rFonts w:ascii="Times New Roman" w:hAnsi="Times New Roman" w:cs="Times New Roman"/>
          <w:sz w:val="24"/>
          <w:szCs w:val="24"/>
        </w:rPr>
        <w:t xml:space="preserve">zastosowanie </w:t>
      </w:r>
      <w:r w:rsidRPr="00EB304C">
        <w:rPr>
          <w:rFonts w:ascii="Times New Roman" w:hAnsi="Times New Roman" w:cs="Times New Roman"/>
          <w:sz w:val="24"/>
          <w:szCs w:val="24"/>
        </w:rPr>
        <w:t>standardu „przewidywal</w:t>
      </w:r>
      <w:r w:rsidR="00AF11ED" w:rsidRPr="00EB304C">
        <w:rPr>
          <w:rFonts w:ascii="Times New Roman" w:hAnsi="Times New Roman" w:cs="Times New Roman"/>
          <w:sz w:val="24"/>
          <w:szCs w:val="24"/>
        </w:rPr>
        <w:t>nego związku”), a także zmian w </w:t>
      </w:r>
      <w:r w:rsidRPr="00EB304C">
        <w:rPr>
          <w:rFonts w:ascii="Times New Roman" w:hAnsi="Times New Roman" w:cs="Times New Roman"/>
          <w:sz w:val="24"/>
          <w:szCs w:val="24"/>
        </w:rPr>
        <w:t>przepisach związanych z wymogami dotyczącymi ochrony danych.</w:t>
      </w:r>
      <w:r w:rsidR="003C1606" w:rsidRPr="00EB304C">
        <w:rPr>
          <w:rFonts w:ascii="Times New Roman" w:hAnsi="Times New Roman" w:cs="Times New Roman"/>
          <w:sz w:val="24"/>
          <w:szCs w:val="24"/>
        </w:rPr>
        <w:t xml:space="preserve"> Projekt ustawy wprowadza również zmiany wynikające z zaleceń </w:t>
      </w:r>
      <w:r w:rsidR="00BE4928" w:rsidRPr="00EB304C">
        <w:rPr>
          <w:rFonts w:ascii="Times New Roman" w:hAnsi="Times New Roman" w:cs="Times New Roman"/>
          <w:sz w:val="24"/>
          <w:szCs w:val="24"/>
        </w:rPr>
        <w:t>Ogólnoświatowego Forum do Spraw Przejrzystości i Wymiany Informacji dla Celów Podatkowych (</w:t>
      </w:r>
      <w:r w:rsidR="00BE4928" w:rsidRPr="00EB304C">
        <w:rPr>
          <w:rFonts w:ascii="Times New Roman" w:hAnsi="Times New Roman" w:cs="Times New Roman"/>
          <w:i/>
          <w:sz w:val="24"/>
          <w:szCs w:val="24"/>
        </w:rPr>
        <w:t>Global Forum on Transparency and Exchange of Information for Tax Purposes</w:t>
      </w:r>
      <w:r w:rsidR="00BE4928" w:rsidRPr="00EB304C">
        <w:rPr>
          <w:rFonts w:ascii="Times New Roman" w:hAnsi="Times New Roman" w:cs="Times New Roman"/>
          <w:sz w:val="24"/>
          <w:szCs w:val="24"/>
        </w:rPr>
        <w:t>)</w:t>
      </w:r>
      <w:r w:rsidR="003C1606" w:rsidRPr="00EB304C">
        <w:rPr>
          <w:rFonts w:ascii="Times New Roman" w:hAnsi="Times New Roman" w:cs="Times New Roman"/>
          <w:sz w:val="24"/>
          <w:szCs w:val="24"/>
        </w:rPr>
        <w:t xml:space="preserve"> </w:t>
      </w:r>
      <w:r w:rsidR="00BE4928" w:rsidRPr="00EB304C">
        <w:rPr>
          <w:rFonts w:ascii="Times New Roman" w:hAnsi="Times New Roman" w:cs="Times New Roman"/>
          <w:sz w:val="24"/>
          <w:szCs w:val="24"/>
        </w:rPr>
        <w:t>w odniesieniu do automatycznej wymiany informacji o rachunkach raportowanych (DAC2/CRS)</w:t>
      </w:r>
      <w:r w:rsidR="003C1606" w:rsidRPr="00EB304C">
        <w:rPr>
          <w:rFonts w:ascii="Times New Roman" w:hAnsi="Times New Roman" w:cs="Times New Roman"/>
          <w:sz w:val="24"/>
          <w:szCs w:val="24"/>
        </w:rPr>
        <w:t xml:space="preserve">. </w:t>
      </w:r>
    </w:p>
    <w:p w14:paraId="3ACF7F72" w14:textId="624E36F3" w:rsidR="001B3772" w:rsidRPr="00EB304C" w:rsidRDefault="006C3492"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Projekt</w:t>
      </w:r>
      <w:r w:rsidR="00BD37AB" w:rsidRPr="00EB304C">
        <w:rPr>
          <w:rFonts w:ascii="Times New Roman" w:hAnsi="Times New Roman" w:cs="Times New Roman"/>
          <w:color w:val="000000" w:themeColor="text1"/>
          <w:sz w:val="24"/>
          <w:szCs w:val="24"/>
        </w:rPr>
        <w:t xml:space="preserve"> ustawy</w:t>
      </w:r>
      <w:r w:rsidRPr="00EB304C">
        <w:rPr>
          <w:rFonts w:ascii="Times New Roman" w:hAnsi="Times New Roman" w:cs="Times New Roman"/>
          <w:color w:val="000000" w:themeColor="text1"/>
          <w:sz w:val="24"/>
          <w:szCs w:val="24"/>
        </w:rPr>
        <w:t xml:space="preserve"> </w:t>
      </w:r>
      <w:r w:rsidR="003C1606" w:rsidRPr="00EB304C">
        <w:rPr>
          <w:rFonts w:ascii="Times New Roman" w:hAnsi="Times New Roman" w:cs="Times New Roman"/>
          <w:color w:val="000000" w:themeColor="text1"/>
          <w:sz w:val="24"/>
          <w:szCs w:val="24"/>
        </w:rPr>
        <w:t>wdrażającej</w:t>
      </w:r>
      <w:r w:rsidR="00BC17C3" w:rsidRPr="00EB304C">
        <w:rPr>
          <w:rFonts w:ascii="Times New Roman" w:hAnsi="Times New Roman" w:cs="Times New Roman"/>
          <w:color w:val="000000" w:themeColor="text1"/>
          <w:sz w:val="24"/>
          <w:szCs w:val="24"/>
        </w:rPr>
        <w:t xml:space="preserve"> DAC7, </w:t>
      </w:r>
      <w:r w:rsidR="00FE53DA" w:rsidRPr="00EB304C">
        <w:rPr>
          <w:rFonts w:ascii="Times New Roman" w:hAnsi="Times New Roman" w:cs="Times New Roman"/>
          <w:color w:val="000000" w:themeColor="text1"/>
          <w:sz w:val="24"/>
          <w:szCs w:val="24"/>
        </w:rPr>
        <w:t>poza zmianą ustawy z dnia 9 marca 2017 r. o wymianie informacji podatkowych z innymi państwami (Dz. U</w:t>
      </w:r>
      <w:r w:rsidR="00D759FA">
        <w:rPr>
          <w:rFonts w:ascii="Times New Roman" w:hAnsi="Times New Roman" w:cs="Times New Roman"/>
          <w:color w:val="000000" w:themeColor="text1"/>
          <w:sz w:val="24"/>
          <w:szCs w:val="24"/>
        </w:rPr>
        <w:t>.</w:t>
      </w:r>
      <w:r w:rsidR="00FE53DA" w:rsidRPr="00EB304C">
        <w:rPr>
          <w:rFonts w:ascii="Times New Roman" w:hAnsi="Times New Roman" w:cs="Times New Roman"/>
          <w:color w:val="000000" w:themeColor="text1"/>
          <w:sz w:val="24"/>
          <w:szCs w:val="24"/>
        </w:rPr>
        <w:t xml:space="preserve"> z </w:t>
      </w:r>
      <w:r w:rsidR="00784CD2" w:rsidRPr="00EB304C">
        <w:rPr>
          <w:rFonts w:ascii="Times New Roman" w:hAnsi="Times New Roman" w:cs="Times New Roman"/>
          <w:color w:val="000000" w:themeColor="text1"/>
          <w:sz w:val="24"/>
          <w:szCs w:val="24"/>
        </w:rPr>
        <w:t>202</w:t>
      </w:r>
      <w:r w:rsidR="00784CD2">
        <w:rPr>
          <w:rFonts w:ascii="Times New Roman" w:hAnsi="Times New Roman" w:cs="Times New Roman"/>
          <w:color w:val="000000" w:themeColor="text1"/>
          <w:sz w:val="24"/>
          <w:szCs w:val="24"/>
        </w:rPr>
        <w:t>3</w:t>
      </w:r>
      <w:r w:rsidR="00784CD2" w:rsidRPr="00EB304C">
        <w:rPr>
          <w:rFonts w:ascii="Times New Roman" w:hAnsi="Times New Roman" w:cs="Times New Roman"/>
          <w:color w:val="000000" w:themeColor="text1"/>
          <w:sz w:val="24"/>
          <w:szCs w:val="24"/>
        </w:rPr>
        <w:t xml:space="preserve"> </w:t>
      </w:r>
      <w:r w:rsidR="00FE53DA" w:rsidRPr="00EB304C">
        <w:rPr>
          <w:rFonts w:ascii="Times New Roman" w:hAnsi="Times New Roman" w:cs="Times New Roman"/>
          <w:color w:val="000000" w:themeColor="text1"/>
          <w:sz w:val="24"/>
          <w:szCs w:val="24"/>
        </w:rPr>
        <w:t xml:space="preserve">r. poz. </w:t>
      </w:r>
      <w:r w:rsidR="00784CD2">
        <w:rPr>
          <w:rFonts w:ascii="Times New Roman" w:hAnsi="Times New Roman" w:cs="Times New Roman"/>
          <w:color w:val="000000" w:themeColor="text1"/>
          <w:sz w:val="24"/>
          <w:szCs w:val="24"/>
        </w:rPr>
        <w:t>241)</w:t>
      </w:r>
      <w:r w:rsidR="00FE53DA" w:rsidRPr="00EB304C">
        <w:rPr>
          <w:rFonts w:ascii="Times New Roman" w:hAnsi="Times New Roman" w:cs="Times New Roman"/>
          <w:color w:val="000000" w:themeColor="text1"/>
          <w:sz w:val="24"/>
          <w:szCs w:val="24"/>
        </w:rPr>
        <w:t xml:space="preserve">, </w:t>
      </w:r>
      <w:r w:rsidRPr="00EB304C">
        <w:rPr>
          <w:rFonts w:ascii="Times New Roman" w:hAnsi="Times New Roman" w:cs="Times New Roman"/>
          <w:color w:val="000000" w:themeColor="text1"/>
          <w:sz w:val="24"/>
          <w:szCs w:val="24"/>
        </w:rPr>
        <w:t>wprowadza również zmiany w:</w:t>
      </w:r>
    </w:p>
    <w:p w14:paraId="3645478D" w14:textId="4FC3F834" w:rsidR="001B3772" w:rsidRPr="00EB304C" w:rsidRDefault="006C3492" w:rsidP="00507007">
      <w:pPr>
        <w:pStyle w:val="Akapitzlist"/>
        <w:numPr>
          <w:ilvl w:val="0"/>
          <w:numId w:val="28"/>
        </w:num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ustawie z dnia 16 listopada 2016 r. o Krajowej Administracji Skarbowej (Dz. U. z</w:t>
      </w:r>
      <w:r w:rsidR="005A5B1C" w:rsidRPr="00EB304C">
        <w:rPr>
          <w:rFonts w:ascii="Times New Roman" w:hAnsi="Times New Roman" w:cs="Times New Roman"/>
          <w:color w:val="000000" w:themeColor="text1"/>
          <w:sz w:val="24"/>
          <w:szCs w:val="24"/>
        </w:rPr>
        <w:t> </w:t>
      </w:r>
      <w:r w:rsidRPr="00EB304C">
        <w:rPr>
          <w:rFonts w:ascii="Times New Roman" w:hAnsi="Times New Roman" w:cs="Times New Roman"/>
          <w:color w:val="000000" w:themeColor="text1"/>
          <w:sz w:val="24"/>
          <w:szCs w:val="24"/>
        </w:rPr>
        <w:t>202</w:t>
      </w:r>
      <w:r w:rsidR="00784CD2">
        <w:rPr>
          <w:rFonts w:ascii="Times New Roman" w:hAnsi="Times New Roman" w:cs="Times New Roman"/>
          <w:color w:val="000000" w:themeColor="text1"/>
          <w:sz w:val="24"/>
          <w:szCs w:val="24"/>
        </w:rPr>
        <w:t>3</w:t>
      </w:r>
      <w:r w:rsidR="00507007">
        <w:rPr>
          <w:rFonts w:ascii="Times New Roman" w:hAnsi="Times New Roman" w:cs="Times New Roman"/>
          <w:color w:val="000000" w:themeColor="text1"/>
          <w:sz w:val="24"/>
          <w:szCs w:val="24"/>
        </w:rPr>
        <w:t> </w:t>
      </w:r>
      <w:r w:rsidR="00784CD2">
        <w:rPr>
          <w:rFonts w:ascii="Times New Roman" w:hAnsi="Times New Roman" w:cs="Times New Roman"/>
          <w:color w:val="000000" w:themeColor="text1"/>
          <w:sz w:val="24"/>
          <w:szCs w:val="24"/>
        </w:rPr>
        <w:t>r. poz. 615, z późn. zm.</w:t>
      </w:r>
      <w:r w:rsidR="00EE2E19" w:rsidRPr="00EB304C">
        <w:rPr>
          <w:rFonts w:ascii="Times New Roman" w:hAnsi="Times New Roman" w:cs="Times New Roman"/>
          <w:color w:val="000000" w:themeColor="text1"/>
          <w:sz w:val="24"/>
          <w:szCs w:val="24"/>
        </w:rPr>
        <w:t>)</w:t>
      </w:r>
      <w:r w:rsidR="00BD3630">
        <w:rPr>
          <w:rFonts w:ascii="Times New Roman" w:hAnsi="Times New Roman" w:cs="Times New Roman"/>
          <w:color w:val="000000" w:themeColor="text1"/>
          <w:sz w:val="24"/>
          <w:szCs w:val="24"/>
        </w:rPr>
        <w:t>, dalej „ustawa o Krajowej Administracji Skarbowej” albo „ustawa o KAS”</w:t>
      </w:r>
      <w:r w:rsidR="00EE2E19" w:rsidRPr="00EB304C">
        <w:rPr>
          <w:rFonts w:ascii="Times New Roman" w:hAnsi="Times New Roman" w:cs="Times New Roman"/>
          <w:color w:val="000000" w:themeColor="text1"/>
          <w:sz w:val="24"/>
          <w:szCs w:val="24"/>
        </w:rPr>
        <w:t>;</w:t>
      </w:r>
    </w:p>
    <w:p w14:paraId="79D01DFB" w14:textId="47BBC8FE" w:rsidR="001B3772" w:rsidRPr="00EB304C" w:rsidRDefault="006C3492" w:rsidP="00507007">
      <w:pPr>
        <w:pStyle w:val="Akapitzlist"/>
        <w:numPr>
          <w:ilvl w:val="0"/>
          <w:numId w:val="28"/>
        </w:numPr>
        <w:spacing w:before="120" w:after="0" w:line="360" w:lineRule="auto"/>
        <w:jc w:val="both"/>
        <w:rPr>
          <w:rFonts w:ascii="Times New Roman" w:hAnsi="Times New Roman" w:cs="Times New Roman"/>
        </w:rPr>
      </w:pPr>
      <w:r w:rsidRPr="00EB304C">
        <w:rPr>
          <w:rFonts w:ascii="Times New Roman" w:hAnsi="Times New Roman" w:cs="Times New Roman"/>
          <w:sz w:val="24"/>
          <w:szCs w:val="24"/>
        </w:rPr>
        <w:t xml:space="preserve">ustawie z dnia 29 sierpnia 1997 r. </w:t>
      </w:r>
      <w:r w:rsidR="000D4A1B">
        <w:rPr>
          <w:rFonts w:ascii="Times New Roman" w:hAnsi="Times New Roman" w:cs="Times New Roman"/>
          <w:sz w:val="24"/>
          <w:szCs w:val="24"/>
        </w:rPr>
        <w:t xml:space="preserve">– </w:t>
      </w:r>
      <w:r w:rsidRPr="00EB304C">
        <w:rPr>
          <w:rFonts w:ascii="Times New Roman" w:hAnsi="Times New Roman" w:cs="Times New Roman"/>
          <w:sz w:val="24"/>
          <w:szCs w:val="24"/>
        </w:rPr>
        <w:t xml:space="preserve">Ordynacja podatkowa (Dz. U. z </w:t>
      </w:r>
      <w:r w:rsidR="00784CD2" w:rsidRPr="00EB304C">
        <w:rPr>
          <w:rFonts w:ascii="Times New Roman" w:hAnsi="Times New Roman" w:cs="Times New Roman"/>
          <w:sz w:val="24"/>
          <w:szCs w:val="24"/>
        </w:rPr>
        <w:t>202</w:t>
      </w:r>
      <w:r w:rsidR="00784CD2">
        <w:rPr>
          <w:rFonts w:ascii="Times New Roman" w:hAnsi="Times New Roman" w:cs="Times New Roman"/>
          <w:sz w:val="24"/>
          <w:szCs w:val="24"/>
        </w:rPr>
        <w:t>3</w:t>
      </w:r>
      <w:r w:rsidR="00784CD2" w:rsidRPr="00EB304C">
        <w:rPr>
          <w:rFonts w:ascii="Times New Roman" w:hAnsi="Times New Roman" w:cs="Times New Roman"/>
          <w:sz w:val="24"/>
          <w:szCs w:val="24"/>
        </w:rPr>
        <w:t xml:space="preserve"> </w:t>
      </w:r>
      <w:r w:rsidRPr="00EB304C">
        <w:rPr>
          <w:rFonts w:ascii="Times New Roman" w:hAnsi="Times New Roman" w:cs="Times New Roman"/>
          <w:sz w:val="24"/>
          <w:szCs w:val="24"/>
        </w:rPr>
        <w:t xml:space="preserve">r. poz. </w:t>
      </w:r>
      <w:r w:rsidR="00784CD2">
        <w:rPr>
          <w:rFonts w:ascii="Times New Roman" w:hAnsi="Times New Roman" w:cs="Times New Roman"/>
          <w:sz w:val="24"/>
          <w:szCs w:val="24"/>
        </w:rPr>
        <w:t>2383, z poźn. zm.</w:t>
      </w:r>
      <w:r w:rsidRPr="00EB304C">
        <w:rPr>
          <w:rFonts w:ascii="Times New Roman" w:hAnsi="Times New Roman" w:cs="Times New Roman"/>
          <w:sz w:val="24"/>
          <w:szCs w:val="24"/>
        </w:rPr>
        <w:t>)</w:t>
      </w:r>
      <w:r w:rsidR="000D4A1B">
        <w:rPr>
          <w:rFonts w:ascii="Times New Roman" w:hAnsi="Times New Roman" w:cs="Times New Roman"/>
          <w:sz w:val="24"/>
          <w:szCs w:val="24"/>
        </w:rPr>
        <w:t>, dalej „Ordynacj</w:t>
      </w:r>
      <w:r w:rsidR="00EA045A">
        <w:rPr>
          <w:rFonts w:ascii="Times New Roman" w:hAnsi="Times New Roman" w:cs="Times New Roman"/>
          <w:sz w:val="24"/>
          <w:szCs w:val="24"/>
        </w:rPr>
        <w:t>a</w:t>
      </w:r>
      <w:r w:rsidR="000D4A1B">
        <w:rPr>
          <w:rFonts w:ascii="Times New Roman" w:hAnsi="Times New Roman" w:cs="Times New Roman"/>
          <w:sz w:val="24"/>
          <w:szCs w:val="24"/>
        </w:rPr>
        <w:t xml:space="preserve"> </w:t>
      </w:r>
      <w:r w:rsidR="00D56BF5">
        <w:rPr>
          <w:rFonts w:ascii="Times New Roman" w:hAnsi="Times New Roman" w:cs="Times New Roman"/>
          <w:sz w:val="24"/>
          <w:szCs w:val="24"/>
        </w:rPr>
        <w:t>p</w:t>
      </w:r>
      <w:r w:rsidR="000D4A1B">
        <w:rPr>
          <w:rFonts w:ascii="Times New Roman" w:hAnsi="Times New Roman" w:cs="Times New Roman"/>
          <w:sz w:val="24"/>
          <w:szCs w:val="24"/>
        </w:rPr>
        <w:t>odatkow</w:t>
      </w:r>
      <w:r w:rsidR="00EA045A">
        <w:rPr>
          <w:rFonts w:ascii="Times New Roman" w:hAnsi="Times New Roman" w:cs="Times New Roman"/>
          <w:sz w:val="24"/>
          <w:szCs w:val="24"/>
        </w:rPr>
        <w:t>a</w:t>
      </w:r>
      <w:r w:rsidR="000D4A1B">
        <w:rPr>
          <w:rFonts w:ascii="Times New Roman" w:hAnsi="Times New Roman" w:cs="Times New Roman"/>
          <w:sz w:val="24"/>
          <w:szCs w:val="24"/>
        </w:rPr>
        <w:t>”</w:t>
      </w:r>
      <w:r w:rsidR="00E254E2" w:rsidRPr="00EB304C">
        <w:rPr>
          <w:rFonts w:ascii="Times New Roman" w:hAnsi="Times New Roman" w:cs="Times New Roman"/>
          <w:sz w:val="24"/>
          <w:szCs w:val="24"/>
        </w:rPr>
        <w:t>;</w:t>
      </w:r>
    </w:p>
    <w:p w14:paraId="7C0023A2" w14:textId="77AE8422" w:rsidR="001B3772" w:rsidRPr="00EB304C" w:rsidRDefault="00784CD2" w:rsidP="00507007">
      <w:pPr>
        <w:pStyle w:val="Akapitzlist"/>
        <w:numPr>
          <w:ilvl w:val="0"/>
          <w:numId w:val="28"/>
        </w:numPr>
        <w:spacing w:before="120" w:after="0" w:line="360" w:lineRule="auto"/>
        <w:jc w:val="both"/>
        <w:rPr>
          <w:rFonts w:ascii="Times New Roman" w:hAnsi="Times New Roman" w:cs="Times New Roman"/>
        </w:rPr>
      </w:pPr>
      <w:r>
        <w:rPr>
          <w:rFonts w:ascii="Times New Roman" w:hAnsi="Times New Roman" w:cs="Times New Roman"/>
          <w:color w:val="000000" w:themeColor="text1"/>
          <w:sz w:val="24"/>
          <w:szCs w:val="24"/>
        </w:rPr>
        <w:t>u</w:t>
      </w:r>
      <w:r w:rsidR="00E254E2" w:rsidRPr="00EB304C">
        <w:rPr>
          <w:rFonts w:ascii="Times New Roman" w:hAnsi="Times New Roman" w:cs="Times New Roman"/>
          <w:color w:val="000000" w:themeColor="text1"/>
          <w:sz w:val="24"/>
          <w:szCs w:val="24"/>
        </w:rPr>
        <w:t>stawie z dnia 9 października 2015 r. o wykonywaniu Umowy między Rządem Rzeczypospolitej Polskiej a Rządem Stanów Zjednoczonych Ameryki w sprawie poprawy wypełniania międzynarodowych obowiązków podatkowych oraz wdrożenia ustawodawstwa FATCA</w:t>
      </w:r>
      <w:r>
        <w:rPr>
          <w:rFonts w:ascii="Times New Roman" w:hAnsi="Times New Roman" w:cs="Times New Roman"/>
          <w:color w:val="000000" w:themeColor="text1"/>
          <w:sz w:val="24"/>
          <w:szCs w:val="24"/>
        </w:rPr>
        <w:t xml:space="preserve"> </w:t>
      </w:r>
      <w:r w:rsidRPr="00784CD2">
        <w:rPr>
          <w:rFonts w:ascii="Times New Roman" w:eastAsia="Times New Roman" w:hAnsi="Times New Roman" w:cs="Arial"/>
          <w:sz w:val="24"/>
          <w:szCs w:val="20"/>
          <w:lang w:eastAsia="pl-PL"/>
        </w:rPr>
        <w:t>(Dz. U. z 2023 r. poz. 41)</w:t>
      </w:r>
      <w:r w:rsidR="00E4351A">
        <w:rPr>
          <w:rFonts w:ascii="Times New Roman" w:eastAsia="Times New Roman" w:hAnsi="Times New Roman" w:cs="Arial"/>
          <w:sz w:val="24"/>
          <w:szCs w:val="20"/>
          <w:lang w:eastAsia="pl-PL"/>
        </w:rPr>
        <w:t xml:space="preserve">, dalej </w:t>
      </w:r>
      <w:r w:rsidR="005160C4">
        <w:rPr>
          <w:rFonts w:ascii="Times New Roman" w:eastAsia="Times New Roman" w:hAnsi="Times New Roman" w:cs="Arial"/>
          <w:sz w:val="24"/>
          <w:szCs w:val="20"/>
          <w:lang w:eastAsia="pl-PL"/>
        </w:rPr>
        <w:t>„ustawa FATCA”</w:t>
      </w:r>
      <w:r w:rsidR="00E254E2" w:rsidRPr="00EB304C">
        <w:rPr>
          <w:rFonts w:ascii="Times New Roman" w:hAnsi="Times New Roman" w:cs="Times New Roman"/>
          <w:color w:val="000000" w:themeColor="text1"/>
          <w:sz w:val="24"/>
          <w:szCs w:val="24"/>
        </w:rPr>
        <w:t>;</w:t>
      </w:r>
    </w:p>
    <w:p w14:paraId="61E0744E" w14:textId="2C15D29C" w:rsidR="00784CD2" w:rsidRPr="00EB304C" w:rsidRDefault="001B3772" w:rsidP="00507007">
      <w:pPr>
        <w:pStyle w:val="Akapitzlist"/>
        <w:numPr>
          <w:ilvl w:val="0"/>
          <w:numId w:val="28"/>
        </w:num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 xml:space="preserve">ustawie z dnia 10 września 1999 r. </w:t>
      </w:r>
      <w:r w:rsidR="00784CD2">
        <w:rPr>
          <w:rFonts w:ascii="Times New Roman" w:hAnsi="Times New Roman" w:cs="Times New Roman"/>
          <w:color w:val="000000" w:themeColor="text1"/>
          <w:sz w:val="24"/>
          <w:szCs w:val="24"/>
        </w:rPr>
        <w:t xml:space="preserve">– </w:t>
      </w:r>
      <w:r w:rsidRPr="00EB304C">
        <w:rPr>
          <w:rFonts w:ascii="Times New Roman" w:hAnsi="Times New Roman" w:cs="Times New Roman"/>
          <w:color w:val="000000" w:themeColor="text1"/>
          <w:sz w:val="24"/>
          <w:szCs w:val="24"/>
        </w:rPr>
        <w:t>Kodeks karny skarbowy (Dz. U. z 202</w:t>
      </w:r>
      <w:r w:rsidR="00784CD2">
        <w:rPr>
          <w:rFonts w:ascii="Times New Roman" w:hAnsi="Times New Roman" w:cs="Times New Roman"/>
          <w:color w:val="000000" w:themeColor="text1"/>
          <w:sz w:val="24"/>
          <w:szCs w:val="24"/>
        </w:rPr>
        <w:t>3</w:t>
      </w:r>
      <w:r w:rsidRPr="00EB304C">
        <w:rPr>
          <w:rFonts w:ascii="Times New Roman" w:hAnsi="Times New Roman" w:cs="Times New Roman"/>
          <w:color w:val="000000" w:themeColor="text1"/>
          <w:sz w:val="24"/>
          <w:szCs w:val="24"/>
        </w:rPr>
        <w:t xml:space="preserve"> r. poz.</w:t>
      </w:r>
      <w:r w:rsidR="00507007">
        <w:rPr>
          <w:rFonts w:ascii="Times New Roman" w:hAnsi="Times New Roman" w:cs="Times New Roman"/>
          <w:color w:val="000000" w:themeColor="text1"/>
          <w:sz w:val="24"/>
          <w:szCs w:val="24"/>
        </w:rPr>
        <w:t> </w:t>
      </w:r>
      <w:r w:rsidR="00784CD2">
        <w:rPr>
          <w:rFonts w:ascii="Times New Roman" w:hAnsi="Times New Roman" w:cs="Times New Roman"/>
          <w:color w:val="000000" w:themeColor="text1"/>
          <w:sz w:val="24"/>
          <w:szCs w:val="24"/>
        </w:rPr>
        <w:t xml:space="preserve">654, z </w:t>
      </w:r>
      <w:proofErr w:type="spellStart"/>
      <w:r w:rsidR="00784CD2">
        <w:rPr>
          <w:rFonts w:ascii="Times New Roman" w:hAnsi="Times New Roman" w:cs="Times New Roman"/>
          <w:color w:val="000000" w:themeColor="text1"/>
          <w:sz w:val="24"/>
          <w:szCs w:val="24"/>
        </w:rPr>
        <w:t>późn</w:t>
      </w:r>
      <w:proofErr w:type="spellEnd"/>
      <w:r w:rsidR="00784CD2">
        <w:rPr>
          <w:rFonts w:ascii="Times New Roman" w:hAnsi="Times New Roman" w:cs="Times New Roman"/>
          <w:color w:val="000000" w:themeColor="text1"/>
          <w:sz w:val="24"/>
          <w:szCs w:val="24"/>
        </w:rPr>
        <w:t>. zm.</w:t>
      </w:r>
      <w:r w:rsidRPr="00EB304C">
        <w:rPr>
          <w:rFonts w:ascii="Times New Roman" w:hAnsi="Times New Roman" w:cs="Times New Roman"/>
          <w:color w:val="000000" w:themeColor="text1"/>
          <w:sz w:val="24"/>
          <w:szCs w:val="24"/>
        </w:rPr>
        <w:t>)</w:t>
      </w:r>
      <w:r w:rsidR="00784CD2">
        <w:rPr>
          <w:rFonts w:ascii="Times New Roman" w:hAnsi="Times New Roman" w:cs="Times New Roman"/>
          <w:color w:val="000000" w:themeColor="text1"/>
          <w:sz w:val="24"/>
          <w:szCs w:val="24"/>
        </w:rPr>
        <w:t>;</w:t>
      </w:r>
    </w:p>
    <w:p w14:paraId="0B85BB1D" w14:textId="095F1246" w:rsidR="00784CD2" w:rsidRDefault="00784CD2" w:rsidP="00507007">
      <w:pPr>
        <w:pStyle w:val="Akapitzlist"/>
        <w:numPr>
          <w:ilvl w:val="0"/>
          <w:numId w:val="28"/>
        </w:numPr>
        <w:spacing w:before="120" w:after="0" w:line="360" w:lineRule="auto"/>
        <w:jc w:val="both"/>
        <w:rPr>
          <w:rFonts w:ascii="Times New Roman" w:hAnsi="Times New Roman" w:cs="Times New Roman"/>
          <w:sz w:val="24"/>
          <w:szCs w:val="24"/>
        </w:rPr>
      </w:pPr>
      <w:r w:rsidRPr="00784CD2">
        <w:rPr>
          <w:rFonts w:ascii="Times New Roman" w:hAnsi="Times New Roman" w:cs="Times New Roman"/>
          <w:sz w:val="24"/>
          <w:szCs w:val="24"/>
        </w:rPr>
        <w:t>ustawie z dnia 29 sierpnia 1997 r. – Prawo bankowe (Dz. U. z 2023 r. poz. 2488</w:t>
      </w:r>
      <w:r>
        <w:rPr>
          <w:rFonts w:ascii="Times New Roman" w:hAnsi="Times New Roman" w:cs="Times New Roman"/>
          <w:sz w:val="24"/>
          <w:szCs w:val="24"/>
        </w:rPr>
        <w:t>);</w:t>
      </w:r>
    </w:p>
    <w:p w14:paraId="7A22B3AA" w14:textId="5C3D7DD7" w:rsidR="00E254E2" w:rsidRPr="00EB304C" w:rsidRDefault="00784CD2" w:rsidP="00507007">
      <w:pPr>
        <w:pStyle w:val="Akapitzlist"/>
        <w:numPr>
          <w:ilvl w:val="0"/>
          <w:numId w:val="28"/>
        </w:numPr>
        <w:spacing w:before="120" w:after="0" w:line="360" w:lineRule="auto"/>
        <w:jc w:val="both"/>
      </w:pPr>
      <w:r w:rsidRPr="00784CD2">
        <w:rPr>
          <w:rFonts w:ascii="Times New Roman" w:hAnsi="Times New Roman" w:cs="Times New Roman"/>
          <w:sz w:val="24"/>
          <w:szCs w:val="24"/>
        </w:rPr>
        <w:t>ustawie z dnia 5 listopada 2009 r. o spółdzielczych kasach oszczędnościowo</w:t>
      </w:r>
      <w:r w:rsidR="00507007">
        <w:rPr>
          <w:rFonts w:ascii="Times New Roman" w:hAnsi="Times New Roman" w:cs="Times New Roman"/>
          <w:sz w:val="24"/>
          <w:szCs w:val="24"/>
        </w:rPr>
        <w:noBreakHyphen/>
      </w:r>
      <w:r w:rsidRPr="00784CD2">
        <w:rPr>
          <w:rFonts w:ascii="Times New Roman" w:hAnsi="Times New Roman" w:cs="Times New Roman"/>
          <w:sz w:val="24"/>
          <w:szCs w:val="24"/>
        </w:rPr>
        <w:t>kredytowych (Dz. U. z 2023 r. poz. 1278</w:t>
      </w:r>
      <w:r>
        <w:rPr>
          <w:rFonts w:ascii="Times New Roman" w:hAnsi="Times New Roman" w:cs="Times New Roman"/>
          <w:sz w:val="24"/>
          <w:szCs w:val="24"/>
        </w:rPr>
        <w:t>, z późn. zm.).</w:t>
      </w:r>
    </w:p>
    <w:p w14:paraId="3BD26E5B" w14:textId="7DA3D428" w:rsidR="00E254E2" w:rsidRPr="00EB304C" w:rsidRDefault="00E254E2"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Celem projektowanej ustawy</w:t>
      </w:r>
      <w:r w:rsidR="00A47370" w:rsidRPr="00EB304C">
        <w:rPr>
          <w:rFonts w:ascii="Times New Roman" w:hAnsi="Times New Roman" w:cs="Times New Roman"/>
          <w:color w:val="000000" w:themeColor="text1"/>
          <w:sz w:val="24"/>
          <w:szCs w:val="24"/>
        </w:rPr>
        <w:t>, poza implementacją dyrektywy DAC7,</w:t>
      </w:r>
      <w:r w:rsidRPr="00EB304C">
        <w:rPr>
          <w:rFonts w:ascii="Times New Roman" w:hAnsi="Times New Roman" w:cs="Times New Roman"/>
          <w:color w:val="000000" w:themeColor="text1"/>
          <w:sz w:val="24"/>
          <w:szCs w:val="24"/>
        </w:rPr>
        <w:t xml:space="preserve"> jest także wyeliminowanie wątpliwości związanych ze stosowaniem pierwotnie przyjętych rozwiązań legislacyjnych, w tym także w kontekście:</w:t>
      </w:r>
    </w:p>
    <w:p w14:paraId="12E07C1E" w14:textId="472D900C" w:rsidR="00E254E2" w:rsidRPr="00EB304C" w:rsidRDefault="00E254E2" w:rsidP="00507007">
      <w:pPr>
        <w:numPr>
          <w:ilvl w:val="0"/>
          <w:numId w:val="17"/>
        </w:num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celu</w:t>
      </w:r>
      <w:r w:rsidR="0004532B" w:rsidRPr="00EB304C">
        <w:rPr>
          <w:rFonts w:ascii="Times New Roman" w:hAnsi="Times New Roman" w:cs="Times New Roman"/>
          <w:color w:val="000000" w:themeColor="text1"/>
          <w:sz w:val="24"/>
          <w:szCs w:val="24"/>
        </w:rPr>
        <w:t xml:space="preserve"> dyrektywy </w:t>
      </w:r>
      <w:r w:rsidR="00676520" w:rsidRPr="00EB304C">
        <w:rPr>
          <w:rFonts w:ascii="Times New Roman" w:hAnsi="Times New Roman" w:cs="Times New Roman"/>
          <w:color w:val="000000" w:themeColor="text1"/>
          <w:sz w:val="24"/>
          <w:szCs w:val="24"/>
        </w:rPr>
        <w:t>2011/16/UE;</w:t>
      </w:r>
    </w:p>
    <w:p w14:paraId="106EC7BB" w14:textId="666212E9" w:rsidR="00676520" w:rsidRPr="00EB304C" w:rsidRDefault="00E254E2" w:rsidP="00507007">
      <w:pPr>
        <w:numPr>
          <w:ilvl w:val="0"/>
          <w:numId w:val="17"/>
        </w:num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 xml:space="preserve">wytycznych </w:t>
      </w:r>
      <w:r w:rsidRPr="00EB304C">
        <w:rPr>
          <w:rFonts w:ascii="Times New Roman" w:hAnsi="Times New Roman" w:cs="Times New Roman"/>
          <w:i/>
          <w:color w:val="000000" w:themeColor="text1"/>
          <w:sz w:val="24"/>
          <w:szCs w:val="24"/>
        </w:rPr>
        <w:t>Common Reporting Standard</w:t>
      </w:r>
      <w:r w:rsidRPr="00EB304C">
        <w:rPr>
          <w:rFonts w:ascii="Times New Roman" w:hAnsi="Times New Roman" w:cs="Times New Roman"/>
          <w:color w:val="000000" w:themeColor="text1"/>
          <w:sz w:val="24"/>
          <w:szCs w:val="24"/>
        </w:rPr>
        <w:t xml:space="preserve"> (CRS), do stosowania których Polska zobowiązała się w podpisanym w dniu 29 października 2014 r. Wielostronnym porozumieniu właściwych władz w sprawie automatycznej wymiany informacji finansowych</w:t>
      </w:r>
      <w:r w:rsidRPr="00EB304C">
        <w:rPr>
          <w:rFonts w:ascii="Times New Roman" w:hAnsi="Times New Roman" w:cs="Times New Roman"/>
          <w:i/>
          <w:color w:val="000000" w:themeColor="text1"/>
          <w:sz w:val="24"/>
          <w:szCs w:val="24"/>
        </w:rPr>
        <w:t xml:space="preserve"> </w:t>
      </w:r>
      <w:r w:rsidRPr="00EB304C">
        <w:rPr>
          <w:rFonts w:ascii="Times New Roman" w:hAnsi="Times New Roman" w:cs="Times New Roman"/>
          <w:color w:val="000000" w:themeColor="text1"/>
          <w:sz w:val="24"/>
          <w:szCs w:val="24"/>
        </w:rPr>
        <w:t>(</w:t>
      </w:r>
      <w:proofErr w:type="spellStart"/>
      <w:r w:rsidRPr="00EB304C">
        <w:rPr>
          <w:rFonts w:ascii="Times New Roman" w:hAnsi="Times New Roman" w:cs="Times New Roman"/>
          <w:i/>
          <w:color w:val="000000" w:themeColor="text1"/>
          <w:sz w:val="24"/>
          <w:szCs w:val="24"/>
        </w:rPr>
        <w:t>Competent</w:t>
      </w:r>
      <w:proofErr w:type="spellEnd"/>
      <w:r w:rsidRPr="00EB304C">
        <w:rPr>
          <w:rFonts w:ascii="Times New Roman" w:hAnsi="Times New Roman" w:cs="Times New Roman"/>
          <w:i/>
          <w:color w:val="000000" w:themeColor="text1"/>
          <w:sz w:val="24"/>
          <w:szCs w:val="24"/>
        </w:rPr>
        <w:t xml:space="preserve"> Authority Agreement</w:t>
      </w:r>
      <w:r w:rsidR="00676520" w:rsidRPr="00EB304C">
        <w:rPr>
          <w:rFonts w:ascii="Times New Roman" w:hAnsi="Times New Roman" w:cs="Times New Roman"/>
          <w:color w:val="000000" w:themeColor="text1"/>
          <w:sz w:val="24"/>
          <w:szCs w:val="24"/>
        </w:rPr>
        <w:t>)</w:t>
      </w:r>
      <w:r w:rsidR="00BF60A1">
        <w:rPr>
          <w:rFonts w:ascii="Times New Roman" w:hAnsi="Times New Roman" w:cs="Times New Roman"/>
          <w:color w:val="000000" w:themeColor="text1"/>
          <w:sz w:val="24"/>
          <w:szCs w:val="24"/>
        </w:rPr>
        <w:t>,</w:t>
      </w:r>
      <w:r w:rsidR="00676520" w:rsidRPr="00EB304C">
        <w:rPr>
          <w:rFonts w:ascii="Times New Roman" w:hAnsi="Times New Roman" w:cs="Times New Roman"/>
          <w:color w:val="000000" w:themeColor="text1"/>
          <w:sz w:val="24"/>
          <w:szCs w:val="24"/>
        </w:rPr>
        <w:t xml:space="preserve"> oraz</w:t>
      </w:r>
    </w:p>
    <w:p w14:paraId="10517204" w14:textId="71538D54" w:rsidR="00E254E2" w:rsidRPr="00974117" w:rsidRDefault="00E254E2" w:rsidP="00507007">
      <w:pPr>
        <w:numPr>
          <w:ilvl w:val="0"/>
          <w:numId w:val="17"/>
        </w:numPr>
        <w:spacing w:before="120" w:after="0" w:line="360" w:lineRule="auto"/>
        <w:jc w:val="both"/>
        <w:rPr>
          <w:rFonts w:ascii="Times New Roman" w:hAnsi="Times New Roman" w:cs="Times New Roman"/>
          <w:color w:val="000000" w:themeColor="text1"/>
          <w:sz w:val="24"/>
          <w:szCs w:val="24"/>
          <w:lang w:val="en-GB"/>
        </w:rPr>
      </w:pPr>
      <w:r w:rsidRPr="00EB304C">
        <w:rPr>
          <w:rFonts w:ascii="Times New Roman" w:hAnsi="Times New Roman" w:cs="Times New Roman"/>
          <w:color w:val="000000" w:themeColor="text1"/>
          <w:sz w:val="24"/>
          <w:szCs w:val="24"/>
        </w:rPr>
        <w:lastRenderedPageBreak/>
        <w:t xml:space="preserve">rekomendacji wynikających z przeglądu ram prawnych przeprowadzonych przez Ogólnoświatowe Forum do Spraw Przejrzystości i Wymiany Informacji dla Celów Podatkowych (ang. </w:t>
      </w:r>
      <w:r w:rsidRPr="00EB304C">
        <w:rPr>
          <w:rFonts w:ascii="Times New Roman" w:hAnsi="Times New Roman" w:cs="Times New Roman"/>
          <w:i/>
          <w:color w:val="000000" w:themeColor="text1"/>
          <w:sz w:val="24"/>
          <w:szCs w:val="24"/>
          <w:lang w:val="en-GB"/>
        </w:rPr>
        <w:t>Global Forum on Transparency and Exchange of Information for Tax Purposes</w:t>
      </w:r>
      <w:r w:rsidRPr="00EB304C">
        <w:rPr>
          <w:rFonts w:ascii="Times New Roman" w:hAnsi="Times New Roman" w:cs="Times New Roman"/>
          <w:color w:val="000000" w:themeColor="text1"/>
          <w:sz w:val="24"/>
          <w:szCs w:val="24"/>
          <w:lang w:val="en-GB"/>
        </w:rPr>
        <w:t>, dalej: „Global Forum”).</w:t>
      </w:r>
      <w:r w:rsidRPr="00BF60A1">
        <w:rPr>
          <w:rFonts w:ascii="Times New Roman" w:hAnsi="Times New Roman" w:cs="Times New Roman"/>
          <w:vertAlign w:val="superscript"/>
        </w:rPr>
        <w:footnoteReference w:id="1"/>
      </w:r>
    </w:p>
    <w:p w14:paraId="5BD5D16C" w14:textId="0537B95D" w:rsidR="000247DE" w:rsidRPr="00EB304C" w:rsidRDefault="00E254E2"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W zakresie automatycznej wymiany informacji o rachunkach raportowanych projekt przewiduje m.in. zmianę definicji w słowniczku ustawy z uwzględnieniem wytycznych CRS oraz rozwiązań unijnych, a także wprowadzenie przepisów antyabuzywnych zgodnie z</w:t>
      </w:r>
      <w:r w:rsidR="006E7ECD">
        <w:rPr>
          <w:rFonts w:ascii="Times New Roman" w:hAnsi="Times New Roman" w:cs="Times New Roman"/>
          <w:color w:val="000000" w:themeColor="text1"/>
          <w:sz w:val="24"/>
          <w:szCs w:val="24"/>
        </w:rPr>
        <w:t> </w:t>
      </w:r>
      <w:r w:rsidRPr="00EB304C">
        <w:rPr>
          <w:rFonts w:ascii="Times New Roman" w:hAnsi="Times New Roman" w:cs="Times New Roman"/>
          <w:color w:val="000000" w:themeColor="text1"/>
          <w:sz w:val="24"/>
          <w:szCs w:val="24"/>
        </w:rPr>
        <w:t>rekomendacjami Global Forum.</w:t>
      </w:r>
    </w:p>
    <w:p w14:paraId="5DF4B042" w14:textId="12885ADE" w:rsidR="000247DE" w:rsidRPr="00EB304C" w:rsidRDefault="000247DE"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Wpływ nowych regulacji na przedsiębiorstwa został przedstawiony przez KE w Ocenie skutków dot. dyrektywy Rady zmieniającej dyrektywę 2011/16/UE</w:t>
      </w:r>
      <w:r w:rsidRPr="00EB304C">
        <w:rPr>
          <w:rFonts w:ascii="Times New Roman" w:hAnsi="Times New Roman" w:cs="Times New Roman"/>
          <w:color w:val="000000" w:themeColor="text1"/>
          <w:sz w:val="24"/>
          <w:szCs w:val="24"/>
          <w:vertAlign w:val="superscript"/>
        </w:rPr>
        <w:footnoteReference w:id="2"/>
      </w:r>
      <w:r w:rsidRPr="00EB304C">
        <w:rPr>
          <w:rFonts w:ascii="Times New Roman" w:hAnsi="Times New Roman" w:cs="Times New Roman"/>
          <w:color w:val="000000" w:themeColor="text1"/>
          <w:sz w:val="24"/>
          <w:szCs w:val="24"/>
        </w:rPr>
        <w:t>. Analizując wpływ nowych regulacji na sektor MŚP, należy założyć, że wraz z implementacją dyrektywy podmioty obowiązane do raportowania poniosą dodatkowe koszty związane z dopełnieniem obowiązków sprawozdawczych. Jednocześnie standaryzacja wymogów w zakresie sprawozdawczości w państwach członkowskich będzie korzystna dla MŚP, które zamierzają rozszerzyć swoją działalność za granicę. Jednolity standard raportowania w całej UE będzie korzystniejszym rozwiązaniem w porównaniu z obecnym wymogiem spełniania wielu różnych norm w państwach UE. W tym drugim przypadku rozbieżności regulacyjne między państwami członkowskimi prowadzą zarówno do wyższych kosztów przestrzegania przepisów, jak i do ograniczenia unijnej ekspansji firm z sektora MŚP z uwagi na potencjalną konieczność stawiania czoła nowym, odmiennym wymogom sprawozdawczym na każdym nowym rynku. Ponadto oczekuje się, że standaryzacja zwiększy zaufanie do sektora i wyrówna szanse. Jednocześnie dokładne koszty przystosowania przedsiębiorców do nowych obowiązków są trudne do skwantyfikowania.</w:t>
      </w:r>
    </w:p>
    <w:p w14:paraId="10651BC1" w14:textId="2CE14A9B" w:rsidR="000247DE" w:rsidRPr="00EB304C" w:rsidRDefault="000247DE"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 xml:space="preserve">Bardzo istotne z punktu widzenia wyjątkowości tej regulacji są procedury zawarte w </w:t>
      </w:r>
      <w:r w:rsidR="005940C9">
        <w:rPr>
          <w:rFonts w:ascii="Times New Roman" w:hAnsi="Times New Roman" w:cs="Times New Roman"/>
          <w:color w:val="000000" w:themeColor="text1"/>
          <w:sz w:val="24"/>
          <w:szCs w:val="24"/>
        </w:rPr>
        <w:t xml:space="preserve">nowym dziale IIIA </w:t>
      </w:r>
      <w:r w:rsidRPr="00EB304C">
        <w:rPr>
          <w:rFonts w:ascii="Times New Roman" w:hAnsi="Times New Roman" w:cs="Times New Roman"/>
          <w:color w:val="000000" w:themeColor="text1"/>
          <w:sz w:val="24"/>
          <w:szCs w:val="24"/>
        </w:rPr>
        <w:t xml:space="preserve">rozdziale 4 </w:t>
      </w:r>
      <w:r w:rsidR="005940C9">
        <w:rPr>
          <w:rFonts w:ascii="Times New Roman" w:hAnsi="Times New Roman" w:cs="Times New Roman"/>
          <w:color w:val="000000" w:themeColor="text1"/>
          <w:sz w:val="24"/>
          <w:szCs w:val="24"/>
        </w:rPr>
        <w:t>nowelizowanej</w:t>
      </w:r>
      <w:r w:rsidRPr="00EB304C">
        <w:rPr>
          <w:rFonts w:ascii="Times New Roman" w:hAnsi="Times New Roman" w:cs="Times New Roman"/>
          <w:color w:val="000000" w:themeColor="text1"/>
          <w:sz w:val="24"/>
          <w:szCs w:val="24"/>
        </w:rPr>
        <w:t xml:space="preserve"> ustawy, które mają na celu obniżenie kosztów dostosowania do wdrażanej dyrektywy dla operatorów platform.</w:t>
      </w:r>
      <w:r w:rsidR="00B50E2C" w:rsidRPr="00EB304C">
        <w:rPr>
          <w:rFonts w:ascii="Times New Roman" w:hAnsi="Times New Roman" w:cs="Times New Roman"/>
          <w:color w:val="000000" w:themeColor="text1"/>
          <w:sz w:val="24"/>
          <w:szCs w:val="24"/>
        </w:rPr>
        <w:t xml:space="preserve"> Upraszczając –</w:t>
      </w:r>
      <w:r w:rsidRPr="00EB304C">
        <w:rPr>
          <w:rFonts w:ascii="Times New Roman" w:hAnsi="Times New Roman" w:cs="Times New Roman"/>
          <w:color w:val="000000" w:themeColor="text1"/>
          <w:sz w:val="24"/>
          <w:szCs w:val="24"/>
        </w:rPr>
        <w:t xml:space="preserve"> </w:t>
      </w:r>
      <w:r w:rsidR="00B50E2C" w:rsidRPr="00EB304C">
        <w:rPr>
          <w:rFonts w:ascii="Times New Roman" w:hAnsi="Times New Roman" w:cs="Times New Roman"/>
          <w:color w:val="000000" w:themeColor="text1"/>
          <w:sz w:val="24"/>
          <w:szCs w:val="24"/>
        </w:rPr>
        <w:t>p</w:t>
      </w:r>
      <w:r w:rsidRPr="00EB304C">
        <w:rPr>
          <w:rFonts w:ascii="Times New Roman" w:hAnsi="Times New Roman" w:cs="Times New Roman"/>
          <w:color w:val="000000" w:themeColor="text1"/>
          <w:sz w:val="24"/>
          <w:szCs w:val="24"/>
        </w:rPr>
        <w:t>o pierwsze, obowiązek zgłaszania dochodów występuje tylko w jednym państwie członkowskim, przez jeden podmiot, pod warunkiem że</w:t>
      </w:r>
      <w:r w:rsidR="00E57FA8">
        <w:rPr>
          <w:rFonts w:ascii="Times New Roman" w:hAnsi="Times New Roman" w:cs="Times New Roman"/>
          <w:color w:val="000000" w:themeColor="text1"/>
          <w:sz w:val="24"/>
          <w:szCs w:val="24"/>
        </w:rPr>
        <w:t>,</w:t>
      </w:r>
      <w:r w:rsidRPr="00EB304C">
        <w:rPr>
          <w:rFonts w:ascii="Times New Roman" w:hAnsi="Times New Roman" w:cs="Times New Roman"/>
          <w:color w:val="000000" w:themeColor="text1"/>
          <w:sz w:val="24"/>
          <w:szCs w:val="24"/>
        </w:rPr>
        <w:t xml:space="preserve"> tam gdzie jest to wymagane</w:t>
      </w:r>
      <w:r w:rsidR="00E57FA8">
        <w:rPr>
          <w:rFonts w:ascii="Times New Roman" w:hAnsi="Times New Roman" w:cs="Times New Roman"/>
          <w:color w:val="000000" w:themeColor="text1"/>
          <w:sz w:val="24"/>
          <w:szCs w:val="24"/>
        </w:rPr>
        <w:t>,</w:t>
      </w:r>
      <w:r w:rsidRPr="00EB304C">
        <w:rPr>
          <w:rFonts w:ascii="Times New Roman" w:hAnsi="Times New Roman" w:cs="Times New Roman"/>
          <w:color w:val="000000" w:themeColor="text1"/>
          <w:sz w:val="24"/>
          <w:szCs w:val="24"/>
        </w:rPr>
        <w:t xml:space="preserve"> raportujący operator platformy poinformuje o tym inne państwa członkowskie. Operator platformy raportujący w innym państwie niż Polska będzie zwolniony z obowiązków raportowania wynikających z polskich </w:t>
      </w:r>
      <w:r w:rsidRPr="00EB304C">
        <w:rPr>
          <w:rFonts w:ascii="Times New Roman" w:hAnsi="Times New Roman" w:cs="Times New Roman"/>
          <w:color w:val="000000" w:themeColor="text1"/>
          <w:sz w:val="24"/>
          <w:szCs w:val="24"/>
        </w:rPr>
        <w:lastRenderedPageBreak/>
        <w:t>regulacji. Po drugie, raportujący operatorzy platform</w:t>
      </w:r>
      <w:r w:rsidR="00B50E2C" w:rsidRPr="00EB304C">
        <w:rPr>
          <w:rFonts w:ascii="Times New Roman" w:hAnsi="Times New Roman" w:cs="Times New Roman"/>
          <w:color w:val="000000" w:themeColor="text1"/>
          <w:sz w:val="24"/>
          <w:szCs w:val="24"/>
        </w:rPr>
        <w:t xml:space="preserve"> spoza UE</w:t>
      </w:r>
      <w:r w:rsidRPr="00EB304C">
        <w:rPr>
          <w:rFonts w:ascii="Times New Roman" w:hAnsi="Times New Roman" w:cs="Times New Roman"/>
          <w:color w:val="000000" w:themeColor="text1"/>
          <w:sz w:val="24"/>
          <w:szCs w:val="24"/>
        </w:rPr>
        <w:t xml:space="preserve"> są zobowiązani do rejestracji wyłącznie w jednym państwie członkowskim (obowiązek jednorazowej rejestracji). </w:t>
      </w:r>
    </w:p>
    <w:p w14:paraId="4E787C2F" w14:textId="40F762A4" w:rsidR="000247DE" w:rsidRPr="00EB304C" w:rsidRDefault="000247DE"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Proponowane zmiany będą miały także pozytywny wpływ na sektor MŚP reprezentowany przez sprzedawców. Platformy cyfrowe odgrywają dużą rolę dla małych przedsiębiorstw z</w:t>
      </w:r>
      <w:r w:rsidR="006E7ECD">
        <w:rPr>
          <w:rFonts w:ascii="Times New Roman" w:hAnsi="Times New Roman" w:cs="Times New Roman"/>
          <w:color w:val="000000" w:themeColor="text1"/>
          <w:sz w:val="24"/>
          <w:szCs w:val="24"/>
        </w:rPr>
        <w:t> </w:t>
      </w:r>
      <w:r w:rsidRPr="00EB304C">
        <w:rPr>
          <w:rFonts w:ascii="Times New Roman" w:hAnsi="Times New Roman" w:cs="Times New Roman"/>
          <w:color w:val="000000" w:themeColor="text1"/>
          <w:sz w:val="24"/>
          <w:szCs w:val="24"/>
        </w:rPr>
        <w:t xml:space="preserve">uwagi na to, że stanowią rynki, za pośrednictwem których można sprzedawać swoje produkty i usługi. </w:t>
      </w:r>
      <w:r w:rsidR="0090468F" w:rsidRPr="00EB304C">
        <w:rPr>
          <w:rFonts w:ascii="Times New Roman" w:hAnsi="Times New Roman" w:cs="Times New Roman"/>
          <w:color w:val="000000" w:themeColor="text1"/>
          <w:sz w:val="24"/>
          <w:szCs w:val="24"/>
        </w:rPr>
        <w:t xml:space="preserve">Projekt przeciwdziała </w:t>
      </w:r>
      <w:r w:rsidRPr="00EB304C">
        <w:rPr>
          <w:rFonts w:ascii="Times New Roman" w:hAnsi="Times New Roman" w:cs="Times New Roman"/>
          <w:color w:val="000000" w:themeColor="text1"/>
          <w:sz w:val="24"/>
          <w:szCs w:val="24"/>
        </w:rPr>
        <w:t>nieuczciw</w:t>
      </w:r>
      <w:r w:rsidR="0090468F" w:rsidRPr="00EB304C">
        <w:rPr>
          <w:rFonts w:ascii="Times New Roman" w:hAnsi="Times New Roman" w:cs="Times New Roman"/>
          <w:color w:val="000000" w:themeColor="text1"/>
          <w:sz w:val="24"/>
          <w:szCs w:val="24"/>
        </w:rPr>
        <w:t>ej</w:t>
      </w:r>
      <w:r w:rsidRPr="00EB304C">
        <w:rPr>
          <w:rFonts w:ascii="Times New Roman" w:hAnsi="Times New Roman" w:cs="Times New Roman"/>
          <w:color w:val="000000" w:themeColor="text1"/>
          <w:sz w:val="24"/>
          <w:szCs w:val="24"/>
        </w:rPr>
        <w:t xml:space="preserve"> konkurencj</w:t>
      </w:r>
      <w:r w:rsidR="0090468F" w:rsidRPr="00EB304C">
        <w:rPr>
          <w:rFonts w:ascii="Times New Roman" w:hAnsi="Times New Roman" w:cs="Times New Roman"/>
          <w:color w:val="000000" w:themeColor="text1"/>
          <w:sz w:val="24"/>
          <w:szCs w:val="24"/>
        </w:rPr>
        <w:t>i</w:t>
      </w:r>
      <w:r w:rsidRPr="00EB304C">
        <w:rPr>
          <w:rFonts w:ascii="Times New Roman" w:hAnsi="Times New Roman" w:cs="Times New Roman"/>
          <w:color w:val="000000" w:themeColor="text1"/>
          <w:sz w:val="24"/>
          <w:szCs w:val="24"/>
        </w:rPr>
        <w:t xml:space="preserve"> i brak</w:t>
      </w:r>
      <w:r w:rsidR="00247880">
        <w:rPr>
          <w:rFonts w:ascii="Times New Roman" w:hAnsi="Times New Roman" w:cs="Times New Roman"/>
          <w:color w:val="000000" w:themeColor="text1"/>
          <w:sz w:val="24"/>
          <w:szCs w:val="24"/>
        </w:rPr>
        <w:t>owi</w:t>
      </w:r>
      <w:r w:rsidRPr="00EB304C">
        <w:rPr>
          <w:rFonts w:ascii="Times New Roman" w:hAnsi="Times New Roman" w:cs="Times New Roman"/>
          <w:color w:val="000000" w:themeColor="text1"/>
          <w:sz w:val="24"/>
          <w:szCs w:val="24"/>
        </w:rPr>
        <w:t xml:space="preserve"> równych szans między większością MŚP przestrzegających przepisów i wypełniających swoje obowiązki w zakresie przestrzegania przepisów podatkowych a tymi, które </w:t>
      </w:r>
      <w:r w:rsidR="0090468F" w:rsidRPr="00EB304C">
        <w:rPr>
          <w:rFonts w:ascii="Times New Roman" w:hAnsi="Times New Roman" w:cs="Times New Roman"/>
          <w:color w:val="000000" w:themeColor="text1"/>
          <w:sz w:val="24"/>
          <w:szCs w:val="24"/>
        </w:rPr>
        <w:t xml:space="preserve">by </w:t>
      </w:r>
      <w:r w:rsidRPr="00EB304C">
        <w:rPr>
          <w:rFonts w:ascii="Times New Roman" w:hAnsi="Times New Roman" w:cs="Times New Roman"/>
          <w:color w:val="000000" w:themeColor="text1"/>
          <w:sz w:val="24"/>
          <w:szCs w:val="24"/>
        </w:rPr>
        <w:t>tego nie robi</w:t>
      </w:r>
      <w:r w:rsidR="0090468F" w:rsidRPr="00EB304C">
        <w:rPr>
          <w:rFonts w:ascii="Times New Roman" w:hAnsi="Times New Roman" w:cs="Times New Roman"/>
          <w:color w:val="000000" w:themeColor="text1"/>
          <w:sz w:val="24"/>
          <w:szCs w:val="24"/>
        </w:rPr>
        <w:t>ły</w:t>
      </w:r>
      <w:r w:rsidRPr="00EB304C">
        <w:rPr>
          <w:rFonts w:ascii="Times New Roman" w:hAnsi="Times New Roman" w:cs="Times New Roman"/>
          <w:color w:val="000000" w:themeColor="text1"/>
          <w:sz w:val="24"/>
          <w:szCs w:val="24"/>
        </w:rPr>
        <w:t xml:space="preserve">. Nowe regulacje mają na celu sprostanie temu wyzwaniu i </w:t>
      </w:r>
      <w:r w:rsidR="0090468F" w:rsidRPr="00EB304C">
        <w:rPr>
          <w:rFonts w:ascii="Times New Roman" w:hAnsi="Times New Roman" w:cs="Times New Roman"/>
          <w:color w:val="000000" w:themeColor="text1"/>
          <w:sz w:val="24"/>
          <w:szCs w:val="24"/>
        </w:rPr>
        <w:t>stworzeni</w:t>
      </w:r>
      <w:r w:rsidR="00247880">
        <w:rPr>
          <w:rFonts w:ascii="Times New Roman" w:hAnsi="Times New Roman" w:cs="Times New Roman"/>
          <w:color w:val="000000" w:themeColor="text1"/>
          <w:sz w:val="24"/>
          <w:szCs w:val="24"/>
        </w:rPr>
        <w:t>e</w:t>
      </w:r>
      <w:r w:rsidRPr="00EB304C">
        <w:rPr>
          <w:rFonts w:ascii="Times New Roman" w:hAnsi="Times New Roman" w:cs="Times New Roman"/>
          <w:color w:val="000000" w:themeColor="text1"/>
          <w:sz w:val="24"/>
          <w:szCs w:val="24"/>
        </w:rPr>
        <w:t xml:space="preserve"> równych warunków działania wśród sprzedawców. Zgodnie z Oceną wpływu, sprzedawcy</w:t>
      </w:r>
      <w:r w:rsidR="0090468F" w:rsidRPr="00EB304C">
        <w:rPr>
          <w:rFonts w:ascii="Times New Roman" w:hAnsi="Times New Roman" w:cs="Times New Roman"/>
          <w:color w:val="000000" w:themeColor="text1"/>
          <w:sz w:val="24"/>
          <w:szCs w:val="24"/>
        </w:rPr>
        <w:t>,</w:t>
      </w:r>
      <w:r w:rsidRPr="00EB304C">
        <w:rPr>
          <w:rFonts w:ascii="Times New Roman" w:hAnsi="Times New Roman" w:cs="Times New Roman"/>
          <w:color w:val="000000" w:themeColor="text1"/>
          <w:sz w:val="24"/>
          <w:szCs w:val="24"/>
        </w:rPr>
        <w:t xml:space="preserve"> w tym MŚP, nie będą musi</w:t>
      </w:r>
      <w:r w:rsidR="0090468F" w:rsidRPr="00EB304C">
        <w:rPr>
          <w:rFonts w:ascii="Times New Roman" w:hAnsi="Times New Roman" w:cs="Times New Roman"/>
          <w:color w:val="000000" w:themeColor="text1"/>
          <w:sz w:val="24"/>
          <w:szCs w:val="24"/>
        </w:rPr>
        <w:t>eli</w:t>
      </w:r>
      <w:r w:rsidRPr="00EB304C">
        <w:rPr>
          <w:rFonts w:ascii="Times New Roman" w:hAnsi="Times New Roman" w:cs="Times New Roman"/>
          <w:color w:val="000000" w:themeColor="text1"/>
          <w:sz w:val="24"/>
          <w:szCs w:val="24"/>
        </w:rPr>
        <w:t xml:space="preserve"> ponosić żadnych znaczących kosztów przestrzegania przepisów ani obciążeń administracyjnych.</w:t>
      </w:r>
    </w:p>
    <w:p w14:paraId="04B8C677" w14:textId="7E8AADDC" w:rsidR="005821D8" w:rsidRPr="00EB304C" w:rsidRDefault="0090468F" w:rsidP="00507007">
      <w:pPr>
        <w:pStyle w:val="Default"/>
        <w:spacing w:before="120" w:line="360" w:lineRule="auto"/>
        <w:jc w:val="both"/>
        <w:rPr>
          <w:rFonts w:ascii="Times New Roman" w:hAnsi="Times New Roman" w:cs="Times New Roman"/>
        </w:rPr>
      </w:pPr>
      <w:r w:rsidRPr="00EB304C">
        <w:rPr>
          <w:rFonts w:ascii="Times New Roman" w:hAnsi="Times New Roman" w:cs="Times New Roman"/>
          <w:color w:val="000000" w:themeColor="text1"/>
        </w:rPr>
        <w:t>Ponadto z</w:t>
      </w:r>
      <w:r w:rsidR="000247DE" w:rsidRPr="00EB304C">
        <w:rPr>
          <w:rFonts w:ascii="Times New Roman" w:hAnsi="Times New Roman" w:cs="Times New Roman"/>
          <w:color w:val="000000" w:themeColor="text1"/>
        </w:rPr>
        <w:t xml:space="preserve"> szacunków KE wynika, że korzyści płynące z równej gry, uczciwszej konkurencji i</w:t>
      </w:r>
      <w:r w:rsidR="006E7ECD">
        <w:rPr>
          <w:rFonts w:ascii="Times New Roman" w:hAnsi="Times New Roman" w:cs="Times New Roman"/>
          <w:color w:val="000000" w:themeColor="text1"/>
        </w:rPr>
        <w:t> </w:t>
      </w:r>
      <w:r w:rsidR="000247DE" w:rsidRPr="00EB304C">
        <w:rPr>
          <w:rFonts w:ascii="Times New Roman" w:hAnsi="Times New Roman" w:cs="Times New Roman"/>
          <w:color w:val="000000" w:themeColor="text1"/>
        </w:rPr>
        <w:t xml:space="preserve">standaryzacji oraz usunięcia barier regulacyjnych dla ekspansji na różnych rynkach zrównoważą koszty </w:t>
      </w:r>
      <w:r w:rsidRPr="00EB304C">
        <w:rPr>
          <w:rFonts w:ascii="Times New Roman" w:hAnsi="Times New Roman" w:cs="Times New Roman"/>
          <w:color w:val="000000" w:themeColor="text1"/>
        </w:rPr>
        <w:t xml:space="preserve">związane z raportowaniem </w:t>
      </w:r>
      <w:r w:rsidR="000247DE" w:rsidRPr="00EB304C">
        <w:rPr>
          <w:rFonts w:ascii="Times New Roman" w:hAnsi="Times New Roman" w:cs="Times New Roman"/>
          <w:color w:val="000000" w:themeColor="text1"/>
        </w:rPr>
        <w:t>i przyczynią się do stworzenia lepszego otoczenia biznesowego dla MŚP.</w:t>
      </w:r>
    </w:p>
    <w:p w14:paraId="4155F62C" w14:textId="355B32EE" w:rsidR="00F62650" w:rsidRPr="00726DE9" w:rsidRDefault="00F5740E" w:rsidP="00507007">
      <w:pPr>
        <w:pStyle w:val="Default"/>
        <w:numPr>
          <w:ilvl w:val="0"/>
          <w:numId w:val="35"/>
        </w:numPr>
        <w:spacing w:before="120" w:line="360" w:lineRule="auto"/>
        <w:jc w:val="both"/>
        <w:rPr>
          <w:rFonts w:ascii="Times New Roman" w:hAnsi="Times New Roman" w:cs="Times New Roman"/>
        </w:rPr>
      </w:pPr>
      <w:r w:rsidRPr="00EB304C">
        <w:rPr>
          <w:rFonts w:ascii="Times New Roman" w:eastAsiaTheme="minorHAnsi" w:hAnsi="Times New Roman" w:cs="Times New Roman"/>
          <w:b/>
          <w:color w:val="auto"/>
        </w:rPr>
        <w:t xml:space="preserve">Zmiany </w:t>
      </w:r>
      <w:r w:rsidR="00781748" w:rsidRPr="00EB304C">
        <w:rPr>
          <w:rFonts w:ascii="Times New Roman" w:eastAsiaTheme="minorHAnsi" w:hAnsi="Times New Roman" w:cs="Times New Roman"/>
          <w:b/>
          <w:color w:val="auto"/>
        </w:rPr>
        <w:t xml:space="preserve">w </w:t>
      </w:r>
      <w:r w:rsidR="00781748" w:rsidRPr="00EB304C">
        <w:rPr>
          <w:rFonts w:ascii="Times New Roman" w:hAnsi="Times New Roman" w:cs="Times New Roman"/>
          <w:b/>
        </w:rPr>
        <w:t>ustawie z dnia 9 marca 2017 r. o wy</w:t>
      </w:r>
      <w:r w:rsidR="005C76FB" w:rsidRPr="00EB304C">
        <w:rPr>
          <w:rFonts w:ascii="Times New Roman" w:hAnsi="Times New Roman" w:cs="Times New Roman"/>
          <w:b/>
        </w:rPr>
        <w:t>mianie informacji podatkowych z </w:t>
      </w:r>
      <w:r w:rsidR="00781748" w:rsidRPr="00EB304C">
        <w:rPr>
          <w:rFonts w:ascii="Times New Roman" w:hAnsi="Times New Roman" w:cs="Times New Roman"/>
          <w:b/>
        </w:rPr>
        <w:t xml:space="preserve">innymi państwami (dalej </w:t>
      </w:r>
      <w:r w:rsidR="00EA045A">
        <w:rPr>
          <w:rFonts w:ascii="Times New Roman" w:hAnsi="Times New Roman" w:cs="Times New Roman"/>
          <w:b/>
        </w:rPr>
        <w:t xml:space="preserve">„ustawa o wymianie informacji podatkowych z innymi państwami” albo </w:t>
      </w:r>
      <w:r w:rsidR="00781748" w:rsidRPr="00EB304C">
        <w:rPr>
          <w:rFonts w:ascii="Times New Roman" w:hAnsi="Times New Roman" w:cs="Times New Roman"/>
          <w:b/>
        </w:rPr>
        <w:t>„uWIP”) wynikające z dyrektywy DAC7</w:t>
      </w:r>
    </w:p>
    <w:p w14:paraId="3D73D59B" w14:textId="52D7D364" w:rsidR="00F62650" w:rsidRPr="00EB304C" w:rsidRDefault="00F62650" w:rsidP="00507007">
      <w:pPr>
        <w:pStyle w:val="Akapitzlist"/>
        <w:numPr>
          <w:ilvl w:val="0"/>
          <w:numId w:val="32"/>
        </w:numPr>
        <w:pBdr>
          <w:top w:val="nil"/>
          <w:left w:val="nil"/>
          <w:bottom w:val="nil"/>
          <w:right w:val="nil"/>
          <w:between w:val="nil"/>
          <w:bar w:val="nil"/>
        </w:pBdr>
        <w:spacing w:before="120" w:after="0" w:line="360" w:lineRule="auto"/>
        <w:jc w:val="both"/>
        <w:rPr>
          <w:rFonts w:ascii="Times New Roman" w:hAnsi="Times New Roman" w:cs="Times New Roman"/>
          <w:b/>
          <w:sz w:val="24"/>
          <w:szCs w:val="24"/>
        </w:rPr>
      </w:pPr>
      <w:r w:rsidRPr="00EB304C">
        <w:rPr>
          <w:rFonts w:ascii="Times New Roman" w:hAnsi="Times New Roman" w:cs="Times New Roman"/>
          <w:b/>
          <w:sz w:val="24"/>
          <w:szCs w:val="24"/>
        </w:rPr>
        <w:t>Zmiany w art. 2 (definicje)</w:t>
      </w:r>
      <w:r w:rsidR="00F5740E" w:rsidRPr="00EB304C">
        <w:rPr>
          <w:rFonts w:ascii="Times New Roman" w:hAnsi="Times New Roman" w:cs="Times New Roman"/>
          <w:b/>
          <w:sz w:val="24"/>
          <w:szCs w:val="24"/>
        </w:rPr>
        <w:t xml:space="preserve"> </w:t>
      </w:r>
    </w:p>
    <w:p w14:paraId="22AA1A8C" w14:textId="293CC5A9" w:rsidR="001754D8" w:rsidRPr="00EB304C" w:rsidRDefault="00F62650"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Projekt przewiduje wprowadzenie w art. 2 uWIP definicji „naruszenia ochrony danych”, stanowiąc</w:t>
      </w:r>
      <w:r w:rsidR="00CD1201">
        <w:rPr>
          <w:rFonts w:ascii="Times New Roman" w:hAnsi="Times New Roman" w:cs="Times New Roman"/>
          <w:sz w:val="24"/>
          <w:szCs w:val="24"/>
        </w:rPr>
        <w:t>ej</w:t>
      </w:r>
      <w:r w:rsidRPr="00EB304C">
        <w:rPr>
          <w:rFonts w:ascii="Times New Roman" w:hAnsi="Times New Roman" w:cs="Times New Roman"/>
          <w:sz w:val="24"/>
          <w:szCs w:val="24"/>
        </w:rPr>
        <w:t xml:space="preserve"> </w:t>
      </w:r>
      <w:r w:rsidR="003C1606" w:rsidRPr="00EB304C">
        <w:rPr>
          <w:rFonts w:ascii="Times New Roman" w:hAnsi="Times New Roman" w:cs="Times New Roman"/>
          <w:sz w:val="24"/>
          <w:szCs w:val="24"/>
        </w:rPr>
        <w:t xml:space="preserve">realizację </w:t>
      </w:r>
      <w:r w:rsidR="001C29BB" w:rsidRPr="00EB304C">
        <w:rPr>
          <w:rFonts w:ascii="Times New Roman" w:hAnsi="Times New Roman" w:cs="Times New Roman"/>
          <w:sz w:val="24"/>
          <w:szCs w:val="24"/>
        </w:rPr>
        <w:t>prze</w:t>
      </w:r>
      <w:r w:rsidR="003C1606" w:rsidRPr="00EB304C">
        <w:rPr>
          <w:rFonts w:ascii="Times New Roman" w:hAnsi="Times New Roman" w:cs="Times New Roman"/>
          <w:sz w:val="24"/>
          <w:szCs w:val="24"/>
        </w:rPr>
        <w:t>pis</w:t>
      </w:r>
      <w:r w:rsidR="00CD1201">
        <w:rPr>
          <w:rFonts w:ascii="Times New Roman" w:hAnsi="Times New Roman" w:cs="Times New Roman"/>
          <w:sz w:val="24"/>
          <w:szCs w:val="24"/>
        </w:rPr>
        <w:t>u</w:t>
      </w:r>
      <w:r w:rsidR="003C1606" w:rsidRPr="00EB304C">
        <w:rPr>
          <w:rFonts w:ascii="Times New Roman" w:hAnsi="Times New Roman" w:cs="Times New Roman"/>
          <w:sz w:val="24"/>
          <w:szCs w:val="24"/>
        </w:rPr>
        <w:t xml:space="preserve"> </w:t>
      </w:r>
      <w:r w:rsidRPr="00EB304C">
        <w:rPr>
          <w:rFonts w:ascii="Times New Roman" w:hAnsi="Times New Roman" w:cs="Times New Roman"/>
          <w:sz w:val="24"/>
          <w:szCs w:val="24"/>
        </w:rPr>
        <w:t xml:space="preserve">art. 3 </w:t>
      </w:r>
      <w:r w:rsidR="003C1606" w:rsidRPr="00EB304C">
        <w:rPr>
          <w:rFonts w:ascii="Times New Roman" w:hAnsi="Times New Roman" w:cs="Times New Roman"/>
          <w:sz w:val="24"/>
          <w:szCs w:val="24"/>
        </w:rPr>
        <w:t xml:space="preserve">pkt </w:t>
      </w:r>
      <w:r w:rsidRPr="00EB304C">
        <w:rPr>
          <w:rFonts w:ascii="Times New Roman" w:hAnsi="Times New Roman" w:cs="Times New Roman"/>
          <w:sz w:val="24"/>
          <w:szCs w:val="24"/>
        </w:rPr>
        <w:t xml:space="preserve">27 </w:t>
      </w:r>
      <w:r w:rsidR="00D56BF5">
        <w:rPr>
          <w:rFonts w:ascii="Times New Roman" w:hAnsi="Times New Roman" w:cs="Times New Roman"/>
          <w:sz w:val="24"/>
          <w:szCs w:val="24"/>
        </w:rPr>
        <w:t>d</w:t>
      </w:r>
      <w:r w:rsidRPr="00EB304C">
        <w:rPr>
          <w:rFonts w:ascii="Times New Roman" w:hAnsi="Times New Roman" w:cs="Times New Roman"/>
          <w:sz w:val="24"/>
          <w:szCs w:val="24"/>
        </w:rPr>
        <w:t>yrektywy 2011/16/UE.</w:t>
      </w:r>
      <w:r w:rsidR="00033E5C">
        <w:rPr>
          <w:rFonts w:ascii="Times New Roman" w:hAnsi="Times New Roman" w:cs="Times New Roman"/>
          <w:sz w:val="24"/>
          <w:szCs w:val="24"/>
        </w:rPr>
        <w:t xml:space="preserve"> </w:t>
      </w:r>
      <w:r w:rsidRPr="00EB304C">
        <w:rPr>
          <w:rFonts w:ascii="Times New Roman" w:hAnsi="Times New Roman" w:cs="Times New Roman"/>
          <w:sz w:val="24"/>
          <w:szCs w:val="24"/>
        </w:rPr>
        <w:t xml:space="preserve">Wprowadzenie definicji naruszenia ochrony danych związane jest ze szczególnie zaakcentowaną w dyrektywie potrzebą ochrony tych danych. W motywie 33 dyrektywy wskazano bowiem: </w:t>
      </w:r>
      <w:r w:rsidRPr="00EB304C">
        <w:rPr>
          <w:rFonts w:ascii="Times New Roman" w:hAnsi="Times New Roman" w:cs="Times New Roman"/>
          <w:i/>
          <w:sz w:val="24"/>
          <w:szCs w:val="24"/>
        </w:rPr>
        <w:t>„(…) sprawą najwyższej wagi jest poprawa bezpieczeństwa wszystkich danych wymienianych między właściwymi organami państw członkowskich w ramach dyrektywy 2011/16/UE”</w:t>
      </w:r>
      <w:r w:rsidRPr="00EB304C">
        <w:rPr>
          <w:rFonts w:ascii="Times New Roman" w:hAnsi="Times New Roman" w:cs="Times New Roman"/>
          <w:sz w:val="24"/>
          <w:szCs w:val="24"/>
        </w:rPr>
        <w:t>. Chcąc więc przeciwdziałać naruszeniom ochrony danych oraz ograniczyć szkody, które mogą powstać na skutek tego rodzaju naruszeń, dyrektywa określa działania</w:t>
      </w:r>
      <w:r w:rsidR="006B7CDB">
        <w:rPr>
          <w:rFonts w:ascii="Times New Roman" w:hAnsi="Times New Roman" w:cs="Times New Roman"/>
          <w:sz w:val="24"/>
          <w:szCs w:val="24"/>
        </w:rPr>
        <w:t>,</w:t>
      </w:r>
      <w:r w:rsidRPr="00EB304C">
        <w:rPr>
          <w:rFonts w:ascii="Times New Roman" w:hAnsi="Times New Roman" w:cs="Times New Roman"/>
          <w:sz w:val="24"/>
          <w:szCs w:val="24"/>
        </w:rPr>
        <w:t xml:space="preserve"> jakie należy podjąć w przypadku naruszenia ochrony danych. Punktem wyjścia jest zdefiniowanie pojęcia naruszenia ochrony danych, co też czyni dyrektywa w dodawanym art. 3 pkt 27.</w:t>
      </w:r>
      <w:r w:rsidR="003C1606" w:rsidRPr="00EB304C">
        <w:rPr>
          <w:rFonts w:ascii="Times New Roman" w:hAnsi="Times New Roman" w:cs="Times New Roman"/>
          <w:sz w:val="24"/>
          <w:szCs w:val="24"/>
        </w:rPr>
        <w:t xml:space="preserve"> </w:t>
      </w:r>
      <w:r w:rsidR="00F34B26" w:rsidRPr="00EB304C">
        <w:rPr>
          <w:rFonts w:ascii="Times New Roman" w:hAnsi="Times New Roman" w:cs="Times New Roman"/>
          <w:sz w:val="24"/>
          <w:szCs w:val="24"/>
        </w:rPr>
        <w:t>Ustawodawca w definicji jako przyczyny naruszenia bezpieczeństwa przywołał: „umyślne działanie niezgodne z prawem” oraz „zaniedbanie lub wypadek”. Intencją takiej konstrukcji było włączenie do definicji zarówno działań umyślnych, jak i nieumyślnych.</w:t>
      </w:r>
    </w:p>
    <w:p w14:paraId="2ED09E27" w14:textId="6794C1F5" w:rsidR="001754D8" w:rsidRPr="00EB304C" w:rsidRDefault="001754D8" w:rsidP="00507007">
      <w:pPr>
        <w:pStyle w:val="Akapitzlist"/>
        <w:numPr>
          <w:ilvl w:val="0"/>
          <w:numId w:val="33"/>
        </w:numPr>
        <w:pBdr>
          <w:top w:val="nil"/>
          <w:left w:val="nil"/>
          <w:bottom w:val="nil"/>
          <w:right w:val="nil"/>
          <w:between w:val="nil"/>
          <w:bar w:val="nil"/>
        </w:pBdr>
        <w:spacing w:before="120" w:after="0" w:line="360" w:lineRule="auto"/>
        <w:jc w:val="both"/>
        <w:rPr>
          <w:rFonts w:ascii="Times New Roman" w:hAnsi="Times New Roman" w:cs="Times New Roman"/>
          <w:b/>
          <w:sz w:val="24"/>
          <w:szCs w:val="24"/>
        </w:rPr>
      </w:pPr>
      <w:r w:rsidRPr="00EB304C">
        <w:rPr>
          <w:rFonts w:ascii="Times New Roman" w:hAnsi="Times New Roman" w:cs="Times New Roman"/>
          <w:b/>
          <w:sz w:val="24"/>
          <w:szCs w:val="24"/>
        </w:rPr>
        <w:lastRenderedPageBreak/>
        <w:t>Art. 4</w:t>
      </w:r>
    </w:p>
    <w:p w14:paraId="65B3BC73" w14:textId="7A78E97D" w:rsidR="001754D8" w:rsidRPr="00EB304C" w:rsidRDefault="001754D8" w:rsidP="00507007">
      <w:pPr>
        <w:pBdr>
          <w:top w:val="nil"/>
          <w:left w:val="nil"/>
          <w:bottom w:val="nil"/>
          <w:right w:val="nil"/>
          <w:between w:val="nil"/>
          <w:bar w:val="nil"/>
        </w:pBd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 xml:space="preserve">Jakkolwiek obecnie przepisy Ordynacji </w:t>
      </w:r>
      <w:r w:rsidR="00CF5ED1">
        <w:rPr>
          <w:rFonts w:ascii="Times New Roman" w:hAnsi="Times New Roman" w:cs="Times New Roman"/>
          <w:color w:val="000000" w:themeColor="text1"/>
          <w:sz w:val="24"/>
          <w:szCs w:val="24"/>
        </w:rPr>
        <w:t>p</w:t>
      </w:r>
      <w:r w:rsidRPr="00EB304C">
        <w:rPr>
          <w:rFonts w:ascii="Times New Roman" w:hAnsi="Times New Roman" w:cs="Times New Roman"/>
          <w:color w:val="000000" w:themeColor="text1"/>
          <w:sz w:val="24"/>
          <w:szCs w:val="24"/>
        </w:rPr>
        <w:t xml:space="preserve">odatkowej w sprawach o udzielenie informacji przez banki lub instytucje finansowe, o których mowa w art. 182 § 2 Ordynacji </w:t>
      </w:r>
      <w:r w:rsidR="00CF5ED1">
        <w:rPr>
          <w:rFonts w:ascii="Times New Roman" w:hAnsi="Times New Roman" w:cs="Times New Roman"/>
          <w:color w:val="000000" w:themeColor="text1"/>
          <w:sz w:val="24"/>
          <w:szCs w:val="24"/>
        </w:rPr>
        <w:t>p</w:t>
      </w:r>
      <w:r w:rsidRPr="00EB304C">
        <w:rPr>
          <w:rFonts w:ascii="Times New Roman" w:hAnsi="Times New Roman" w:cs="Times New Roman"/>
          <w:color w:val="000000" w:themeColor="text1"/>
          <w:sz w:val="24"/>
          <w:szCs w:val="24"/>
        </w:rPr>
        <w:t>odatkowej</w:t>
      </w:r>
      <w:r w:rsidR="006B7CDB">
        <w:rPr>
          <w:rFonts w:ascii="Times New Roman" w:hAnsi="Times New Roman" w:cs="Times New Roman"/>
          <w:color w:val="000000" w:themeColor="text1"/>
          <w:sz w:val="24"/>
          <w:szCs w:val="24"/>
        </w:rPr>
        <w:t>,</w:t>
      </w:r>
      <w:r w:rsidRPr="00EB304C">
        <w:rPr>
          <w:rFonts w:ascii="Times New Roman" w:hAnsi="Times New Roman" w:cs="Times New Roman"/>
          <w:color w:val="000000" w:themeColor="text1"/>
          <w:sz w:val="24"/>
          <w:szCs w:val="24"/>
        </w:rPr>
        <w:t xml:space="preserve"> są stosowane odpowiednio na zasadzie art. 23 ust. 1 ustawy o wymianie informacji</w:t>
      </w:r>
      <w:r w:rsidR="006E3BB7" w:rsidRPr="00EB304C">
        <w:rPr>
          <w:rFonts w:ascii="Times New Roman" w:hAnsi="Times New Roman" w:cs="Times New Roman"/>
          <w:color w:val="000000" w:themeColor="text1"/>
          <w:sz w:val="24"/>
          <w:szCs w:val="24"/>
        </w:rPr>
        <w:t xml:space="preserve"> podatkowych z innymi państwami</w:t>
      </w:r>
      <w:r w:rsidRPr="00EB304C">
        <w:rPr>
          <w:rFonts w:ascii="Times New Roman" w:hAnsi="Times New Roman" w:cs="Times New Roman"/>
          <w:color w:val="000000" w:themeColor="text1"/>
          <w:sz w:val="24"/>
          <w:szCs w:val="24"/>
        </w:rPr>
        <w:t xml:space="preserve">, to jednak z uwagi na powtarzające się wątpliwości związane z wykładnią art. 4 ustawy o wymianie informacji </w:t>
      </w:r>
      <w:r w:rsidR="006E3BB7" w:rsidRPr="00EB304C">
        <w:rPr>
          <w:rFonts w:ascii="Times New Roman" w:hAnsi="Times New Roman" w:cs="Times New Roman"/>
          <w:color w:val="000000" w:themeColor="text1"/>
          <w:sz w:val="24"/>
          <w:szCs w:val="24"/>
        </w:rPr>
        <w:t xml:space="preserve">podatkowych z innymi państwami </w:t>
      </w:r>
      <w:r w:rsidRPr="00EB304C">
        <w:rPr>
          <w:rFonts w:ascii="Times New Roman" w:hAnsi="Times New Roman" w:cs="Times New Roman"/>
          <w:color w:val="000000" w:themeColor="text1"/>
          <w:sz w:val="24"/>
          <w:szCs w:val="24"/>
        </w:rPr>
        <w:t>w zw. z art. 23 ust. 1 ustawy o wymianie informacji</w:t>
      </w:r>
      <w:r w:rsidR="006E3BB7" w:rsidRPr="00EB304C">
        <w:rPr>
          <w:rFonts w:ascii="Times New Roman" w:hAnsi="Times New Roman" w:cs="Times New Roman"/>
          <w:color w:val="000000" w:themeColor="text1"/>
          <w:sz w:val="24"/>
          <w:szCs w:val="24"/>
        </w:rPr>
        <w:t xml:space="preserve"> podatkowych z innymi państwami</w:t>
      </w:r>
      <w:r w:rsidRPr="00EB304C">
        <w:rPr>
          <w:rFonts w:ascii="Times New Roman" w:hAnsi="Times New Roman" w:cs="Times New Roman"/>
          <w:color w:val="000000" w:themeColor="text1"/>
          <w:sz w:val="24"/>
          <w:szCs w:val="24"/>
        </w:rPr>
        <w:t xml:space="preserve"> w zw. z art. 182 § 1 Ordynacji </w:t>
      </w:r>
      <w:r w:rsidR="00CF5ED1">
        <w:rPr>
          <w:rFonts w:ascii="Times New Roman" w:hAnsi="Times New Roman" w:cs="Times New Roman"/>
          <w:color w:val="000000" w:themeColor="text1"/>
          <w:sz w:val="24"/>
          <w:szCs w:val="24"/>
        </w:rPr>
        <w:t>p</w:t>
      </w:r>
      <w:r w:rsidRPr="00EB304C">
        <w:rPr>
          <w:rFonts w:ascii="Times New Roman" w:hAnsi="Times New Roman" w:cs="Times New Roman"/>
          <w:color w:val="000000" w:themeColor="text1"/>
          <w:sz w:val="24"/>
          <w:szCs w:val="24"/>
        </w:rPr>
        <w:t>odatkowej, zasadn</w:t>
      </w:r>
      <w:r w:rsidR="005F778C" w:rsidRPr="00EB304C">
        <w:rPr>
          <w:rFonts w:ascii="Times New Roman" w:hAnsi="Times New Roman" w:cs="Times New Roman"/>
          <w:color w:val="000000" w:themeColor="text1"/>
          <w:sz w:val="24"/>
          <w:szCs w:val="24"/>
        </w:rPr>
        <w:t>a</w:t>
      </w:r>
      <w:r w:rsidRPr="00EB304C">
        <w:rPr>
          <w:rFonts w:ascii="Times New Roman" w:hAnsi="Times New Roman" w:cs="Times New Roman"/>
          <w:color w:val="000000" w:themeColor="text1"/>
          <w:sz w:val="24"/>
          <w:szCs w:val="24"/>
        </w:rPr>
        <w:t xml:space="preserve"> jest modyfikacja brzmienia art. 4 ust. </w:t>
      </w:r>
      <w:r w:rsidR="006E3BB7" w:rsidRPr="00EB304C">
        <w:rPr>
          <w:rFonts w:ascii="Times New Roman" w:hAnsi="Times New Roman" w:cs="Times New Roman"/>
          <w:color w:val="000000" w:themeColor="text1"/>
          <w:sz w:val="24"/>
          <w:szCs w:val="24"/>
        </w:rPr>
        <w:t xml:space="preserve">1 </w:t>
      </w:r>
      <w:r w:rsidRPr="00EB304C">
        <w:rPr>
          <w:rFonts w:ascii="Times New Roman" w:hAnsi="Times New Roman" w:cs="Times New Roman"/>
          <w:color w:val="000000" w:themeColor="text1"/>
          <w:sz w:val="24"/>
          <w:szCs w:val="24"/>
        </w:rPr>
        <w:t xml:space="preserve">oraz wprowadzenie do ustawy </w:t>
      </w:r>
      <w:r w:rsidR="006E3BB7" w:rsidRPr="00EB304C">
        <w:rPr>
          <w:rFonts w:ascii="Times New Roman" w:hAnsi="Times New Roman" w:cs="Times New Roman"/>
          <w:color w:val="000000" w:themeColor="text1"/>
          <w:sz w:val="24"/>
          <w:szCs w:val="24"/>
        </w:rPr>
        <w:t>ust.</w:t>
      </w:r>
      <w:r w:rsidR="006B7CDB">
        <w:rPr>
          <w:rFonts w:ascii="Times New Roman" w:hAnsi="Times New Roman" w:cs="Times New Roman"/>
          <w:color w:val="000000" w:themeColor="text1"/>
          <w:sz w:val="24"/>
          <w:szCs w:val="24"/>
        </w:rPr>
        <w:t> </w:t>
      </w:r>
      <w:r w:rsidR="006E3BB7" w:rsidRPr="00EB304C">
        <w:rPr>
          <w:rFonts w:ascii="Times New Roman" w:hAnsi="Times New Roman" w:cs="Times New Roman"/>
          <w:color w:val="000000" w:themeColor="text1"/>
          <w:sz w:val="24"/>
          <w:szCs w:val="24"/>
        </w:rPr>
        <w:t>3</w:t>
      </w:r>
      <w:r w:rsidR="006B7CDB">
        <w:rPr>
          <w:rFonts w:ascii="Times New Roman" w:hAnsi="Times New Roman" w:cs="Times New Roman"/>
          <w:color w:val="000000" w:themeColor="text1"/>
          <w:sz w:val="24"/>
          <w:szCs w:val="24"/>
        </w:rPr>
        <w:t xml:space="preserve"> i </w:t>
      </w:r>
      <w:r w:rsidR="0049656A" w:rsidRPr="00EB304C">
        <w:rPr>
          <w:rFonts w:ascii="Times New Roman" w:hAnsi="Times New Roman" w:cs="Times New Roman"/>
          <w:color w:val="000000" w:themeColor="text1"/>
          <w:sz w:val="24"/>
          <w:szCs w:val="24"/>
        </w:rPr>
        <w:t>4</w:t>
      </w:r>
      <w:r w:rsidR="00124A99">
        <w:rPr>
          <w:rFonts w:ascii="Times New Roman" w:hAnsi="Times New Roman" w:cs="Times New Roman"/>
          <w:color w:val="000000" w:themeColor="text1"/>
          <w:sz w:val="24"/>
          <w:szCs w:val="24"/>
        </w:rPr>
        <w:t>,</w:t>
      </w:r>
      <w:r w:rsidR="006E3BB7" w:rsidRPr="00EB304C">
        <w:rPr>
          <w:rFonts w:ascii="Times New Roman" w:hAnsi="Times New Roman" w:cs="Times New Roman"/>
          <w:color w:val="000000" w:themeColor="text1"/>
          <w:sz w:val="24"/>
          <w:szCs w:val="24"/>
        </w:rPr>
        <w:t xml:space="preserve"> które</w:t>
      </w:r>
      <w:r w:rsidRPr="00EB304C">
        <w:rPr>
          <w:rFonts w:ascii="Times New Roman" w:hAnsi="Times New Roman" w:cs="Times New Roman"/>
          <w:color w:val="000000" w:themeColor="text1"/>
          <w:sz w:val="24"/>
          <w:szCs w:val="24"/>
        </w:rPr>
        <w:t xml:space="preserve"> ureguluj</w:t>
      </w:r>
      <w:r w:rsidR="00124A99">
        <w:rPr>
          <w:rFonts w:ascii="Times New Roman" w:hAnsi="Times New Roman" w:cs="Times New Roman"/>
          <w:color w:val="000000" w:themeColor="text1"/>
          <w:sz w:val="24"/>
          <w:szCs w:val="24"/>
        </w:rPr>
        <w:t>ą</w:t>
      </w:r>
      <w:r w:rsidRPr="00EB304C">
        <w:rPr>
          <w:rFonts w:ascii="Times New Roman" w:hAnsi="Times New Roman" w:cs="Times New Roman"/>
          <w:color w:val="000000" w:themeColor="text1"/>
          <w:sz w:val="24"/>
          <w:szCs w:val="24"/>
        </w:rPr>
        <w:t xml:space="preserve"> odrębnie sprawy załatwiane w ramach wniosku z art. 4 </w:t>
      </w:r>
      <w:r w:rsidR="00124A99">
        <w:rPr>
          <w:rFonts w:ascii="Times New Roman" w:hAnsi="Times New Roman" w:cs="Times New Roman"/>
          <w:color w:val="000000" w:themeColor="text1"/>
          <w:sz w:val="24"/>
          <w:szCs w:val="24"/>
        </w:rPr>
        <w:t>u</w:t>
      </w:r>
      <w:r w:rsidRPr="00EB304C">
        <w:rPr>
          <w:rFonts w:ascii="Times New Roman" w:hAnsi="Times New Roman" w:cs="Times New Roman"/>
          <w:color w:val="000000" w:themeColor="text1"/>
          <w:sz w:val="24"/>
          <w:szCs w:val="24"/>
        </w:rPr>
        <w:t>stawy o wymianie informacji podatkowych</w:t>
      </w:r>
      <w:r w:rsidR="00124A99">
        <w:rPr>
          <w:rFonts w:ascii="Times New Roman" w:hAnsi="Times New Roman" w:cs="Times New Roman"/>
          <w:color w:val="000000" w:themeColor="text1"/>
          <w:sz w:val="24"/>
          <w:szCs w:val="24"/>
        </w:rPr>
        <w:t xml:space="preserve"> z innymi państwami</w:t>
      </w:r>
      <w:r w:rsidRPr="00EB304C">
        <w:rPr>
          <w:rFonts w:ascii="Times New Roman" w:hAnsi="Times New Roman" w:cs="Times New Roman"/>
          <w:color w:val="000000" w:themeColor="text1"/>
          <w:sz w:val="24"/>
          <w:szCs w:val="24"/>
        </w:rPr>
        <w:t>.</w:t>
      </w:r>
      <w:r w:rsidR="00D86E59">
        <w:rPr>
          <w:rFonts w:ascii="Times New Roman" w:hAnsi="Times New Roman" w:cs="Times New Roman"/>
          <w:color w:val="000000" w:themeColor="text1"/>
          <w:sz w:val="24"/>
          <w:szCs w:val="24"/>
        </w:rPr>
        <w:t xml:space="preserve"> </w:t>
      </w:r>
      <w:r w:rsidR="00D86E59" w:rsidRPr="00D86E59">
        <w:rPr>
          <w:rFonts w:ascii="Times New Roman" w:hAnsi="Times New Roman" w:cs="Times New Roman"/>
          <w:color w:val="000000" w:themeColor="text1"/>
          <w:sz w:val="24"/>
          <w:szCs w:val="24"/>
        </w:rPr>
        <w:t xml:space="preserve">Dodawane w art. 4 </w:t>
      </w:r>
      <w:proofErr w:type="spellStart"/>
      <w:r w:rsidR="00D86E59" w:rsidRPr="00D86E59">
        <w:rPr>
          <w:rFonts w:ascii="Times New Roman" w:hAnsi="Times New Roman" w:cs="Times New Roman"/>
          <w:color w:val="000000" w:themeColor="text1"/>
          <w:sz w:val="24"/>
          <w:szCs w:val="24"/>
        </w:rPr>
        <w:t>uWIP</w:t>
      </w:r>
      <w:proofErr w:type="spellEnd"/>
      <w:r w:rsidR="00D86E59" w:rsidRPr="00D86E59">
        <w:rPr>
          <w:rFonts w:ascii="Times New Roman" w:hAnsi="Times New Roman" w:cs="Times New Roman"/>
          <w:color w:val="000000" w:themeColor="text1"/>
          <w:sz w:val="24"/>
          <w:szCs w:val="24"/>
        </w:rPr>
        <w:t xml:space="preserve"> ust</w:t>
      </w:r>
      <w:r w:rsidR="00837D12">
        <w:rPr>
          <w:rFonts w:ascii="Times New Roman" w:hAnsi="Times New Roman" w:cs="Times New Roman"/>
          <w:color w:val="000000" w:themeColor="text1"/>
          <w:sz w:val="24"/>
          <w:szCs w:val="24"/>
        </w:rPr>
        <w:t>.</w:t>
      </w:r>
      <w:r w:rsidR="00D86E59" w:rsidRPr="00D86E59">
        <w:rPr>
          <w:rFonts w:ascii="Times New Roman" w:hAnsi="Times New Roman" w:cs="Times New Roman"/>
          <w:color w:val="000000" w:themeColor="text1"/>
          <w:sz w:val="24"/>
          <w:szCs w:val="24"/>
        </w:rPr>
        <w:t xml:space="preserve"> 3 i 4 odnoszą się do przypadków, o których mowa zarówno w art. 4 ust. 1 uWIP, jak i w art. 4 ust.</w:t>
      </w:r>
      <w:r w:rsidR="000534E8">
        <w:rPr>
          <w:rFonts w:ascii="Times New Roman" w:hAnsi="Times New Roman" w:cs="Times New Roman"/>
          <w:color w:val="000000" w:themeColor="text1"/>
          <w:sz w:val="24"/>
          <w:szCs w:val="24"/>
        </w:rPr>
        <w:t> </w:t>
      </w:r>
      <w:r w:rsidR="00D86E59" w:rsidRPr="00D86E59">
        <w:rPr>
          <w:rFonts w:ascii="Times New Roman" w:hAnsi="Times New Roman" w:cs="Times New Roman"/>
          <w:color w:val="000000" w:themeColor="text1"/>
          <w:sz w:val="24"/>
          <w:szCs w:val="24"/>
        </w:rPr>
        <w:t xml:space="preserve">1a </w:t>
      </w:r>
      <w:proofErr w:type="spellStart"/>
      <w:r w:rsidR="00D86E59" w:rsidRPr="00D86E59">
        <w:rPr>
          <w:rFonts w:ascii="Times New Roman" w:hAnsi="Times New Roman" w:cs="Times New Roman"/>
          <w:color w:val="000000" w:themeColor="text1"/>
          <w:sz w:val="24"/>
          <w:szCs w:val="24"/>
        </w:rPr>
        <w:t>uWIP</w:t>
      </w:r>
      <w:proofErr w:type="spellEnd"/>
      <w:r w:rsidR="00D86E59" w:rsidRPr="00D86E59">
        <w:rPr>
          <w:rFonts w:ascii="Times New Roman" w:hAnsi="Times New Roman" w:cs="Times New Roman"/>
          <w:color w:val="000000" w:themeColor="text1"/>
          <w:sz w:val="24"/>
          <w:szCs w:val="24"/>
        </w:rPr>
        <w:t>.</w:t>
      </w:r>
    </w:p>
    <w:p w14:paraId="32CA3972" w14:textId="4B9F9391" w:rsidR="006E3BB7" w:rsidRPr="00EB304C" w:rsidRDefault="00D86E59" w:rsidP="00507007">
      <w:pPr>
        <w:pBdr>
          <w:top w:val="nil"/>
          <w:left w:val="nil"/>
          <w:bottom w:val="nil"/>
          <w:right w:val="nil"/>
          <w:between w:val="nil"/>
          <w:bar w:val="nil"/>
        </w:pBdr>
        <w:spacing w:before="120" w:after="0" w:line="360" w:lineRule="auto"/>
        <w:jc w:val="both"/>
        <w:rPr>
          <w:rFonts w:ascii="Times New Roman" w:hAnsi="Times New Roman" w:cs="Times New Roman"/>
          <w:color w:val="000000" w:themeColor="text1"/>
          <w:sz w:val="24"/>
          <w:szCs w:val="24"/>
        </w:rPr>
      </w:pPr>
      <w:r w:rsidRPr="00D86E59">
        <w:rPr>
          <w:rFonts w:ascii="Times New Roman" w:hAnsi="Times New Roman" w:cs="Times New Roman"/>
          <w:color w:val="000000" w:themeColor="text1"/>
          <w:sz w:val="24"/>
          <w:szCs w:val="24"/>
        </w:rPr>
        <w:t xml:space="preserve">Zgodnie z brzmieniem proponowanego art. 4 ust. 3 zakres udzielanych informacji podatkowych wymienianych z innymi państwami obejmuje </w:t>
      </w:r>
      <w:r w:rsidR="00033E5C">
        <w:rPr>
          <w:rFonts w:ascii="Times New Roman" w:hAnsi="Times New Roman" w:cs="Times New Roman"/>
          <w:color w:val="000000" w:themeColor="text1"/>
          <w:sz w:val="24"/>
          <w:szCs w:val="24"/>
        </w:rPr>
        <w:t>informacje niezbędne dla</w:t>
      </w:r>
      <w:r w:rsidRPr="00D86E59">
        <w:rPr>
          <w:rFonts w:ascii="Times New Roman" w:hAnsi="Times New Roman" w:cs="Times New Roman"/>
          <w:color w:val="000000" w:themeColor="text1"/>
          <w:sz w:val="24"/>
          <w:szCs w:val="24"/>
        </w:rPr>
        <w:t xml:space="preserve"> celów stosowania </w:t>
      </w:r>
      <w:r w:rsidR="00033E5C">
        <w:rPr>
          <w:rFonts w:ascii="Times New Roman" w:hAnsi="Times New Roman" w:cs="Times New Roman"/>
          <w:color w:val="000000" w:themeColor="text1"/>
          <w:sz w:val="24"/>
          <w:szCs w:val="24"/>
        </w:rPr>
        <w:t>i</w:t>
      </w:r>
      <w:r w:rsidRPr="00D86E59">
        <w:rPr>
          <w:rFonts w:ascii="Times New Roman" w:hAnsi="Times New Roman" w:cs="Times New Roman"/>
          <w:color w:val="000000" w:themeColor="text1"/>
          <w:sz w:val="24"/>
          <w:szCs w:val="24"/>
        </w:rPr>
        <w:t xml:space="preserve"> wykonywania krajowych przepisów państwa właściwego organu, </w:t>
      </w:r>
      <w:r w:rsidR="00033E5C">
        <w:rPr>
          <w:rFonts w:ascii="Times New Roman" w:hAnsi="Times New Roman" w:cs="Times New Roman"/>
          <w:color w:val="000000" w:themeColor="text1"/>
          <w:sz w:val="24"/>
          <w:szCs w:val="24"/>
        </w:rPr>
        <w:t xml:space="preserve">które są </w:t>
      </w:r>
      <w:r w:rsidRPr="00D86E59">
        <w:rPr>
          <w:rFonts w:ascii="Times New Roman" w:hAnsi="Times New Roman" w:cs="Times New Roman"/>
          <w:color w:val="000000" w:themeColor="text1"/>
          <w:sz w:val="24"/>
          <w:szCs w:val="24"/>
        </w:rPr>
        <w:t xml:space="preserve">możliwe do pozyskania przez organy podatkowe na podstawie obowiązujących przepisów prawa </w:t>
      </w:r>
      <w:r w:rsidR="00033E5C">
        <w:rPr>
          <w:rFonts w:ascii="Times New Roman" w:hAnsi="Times New Roman" w:cs="Times New Roman"/>
          <w:color w:val="000000" w:themeColor="text1"/>
          <w:sz w:val="24"/>
          <w:szCs w:val="24"/>
        </w:rPr>
        <w:t>i znajdują</w:t>
      </w:r>
      <w:r w:rsidRPr="00D86E59">
        <w:rPr>
          <w:rFonts w:ascii="Times New Roman" w:hAnsi="Times New Roman" w:cs="Times New Roman"/>
          <w:color w:val="000000" w:themeColor="text1"/>
          <w:sz w:val="24"/>
          <w:szCs w:val="24"/>
        </w:rPr>
        <w:t xml:space="preserve"> się w posiadaniu organu lub instytucji, o których mowa w ust. 1 i 1a. </w:t>
      </w:r>
      <w:r w:rsidR="006E3BB7" w:rsidRPr="00EB304C">
        <w:rPr>
          <w:rFonts w:ascii="Times New Roman" w:hAnsi="Times New Roman" w:cs="Times New Roman"/>
          <w:color w:val="000000" w:themeColor="text1"/>
          <w:sz w:val="24"/>
          <w:szCs w:val="24"/>
        </w:rPr>
        <w:t xml:space="preserve">Proponowane brzmienie jest zgodne z brzmieniem artykułu 1 ust. 1 </w:t>
      </w:r>
      <w:r w:rsidR="00124A99">
        <w:rPr>
          <w:rFonts w:ascii="Times New Roman" w:hAnsi="Times New Roman" w:cs="Times New Roman"/>
          <w:color w:val="000000" w:themeColor="text1"/>
          <w:sz w:val="24"/>
          <w:szCs w:val="24"/>
        </w:rPr>
        <w:t>d</w:t>
      </w:r>
      <w:r w:rsidR="006E3BB7" w:rsidRPr="00EB304C">
        <w:rPr>
          <w:rFonts w:ascii="Times New Roman" w:hAnsi="Times New Roman" w:cs="Times New Roman"/>
          <w:color w:val="000000" w:themeColor="text1"/>
          <w:sz w:val="24"/>
          <w:szCs w:val="24"/>
        </w:rPr>
        <w:t xml:space="preserve">yrektywy 2011/16/UE, którą ustawa o wymianie informacji podatkowych z innymi państwami transponuje. Zgodnie z art. 1 ust. 1 </w:t>
      </w:r>
      <w:r w:rsidR="00124A99">
        <w:rPr>
          <w:rFonts w:ascii="Times New Roman" w:hAnsi="Times New Roman" w:cs="Times New Roman"/>
          <w:color w:val="000000" w:themeColor="text1"/>
          <w:sz w:val="24"/>
          <w:szCs w:val="24"/>
        </w:rPr>
        <w:t>d</w:t>
      </w:r>
      <w:r w:rsidR="006E3BB7" w:rsidRPr="00EB304C">
        <w:rPr>
          <w:rFonts w:ascii="Times New Roman" w:hAnsi="Times New Roman" w:cs="Times New Roman"/>
          <w:color w:val="000000" w:themeColor="text1"/>
          <w:sz w:val="24"/>
          <w:szCs w:val="24"/>
        </w:rPr>
        <w:t>yrektywy 2011/16</w:t>
      </w:r>
      <w:r w:rsidR="00FB0E66">
        <w:rPr>
          <w:rFonts w:ascii="Times New Roman" w:hAnsi="Times New Roman" w:cs="Times New Roman"/>
          <w:color w:val="000000" w:themeColor="text1"/>
          <w:sz w:val="24"/>
          <w:szCs w:val="24"/>
        </w:rPr>
        <w:t>/UE</w:t>
      </w:r>
      <w:r w:rsidR="006E3BB7" w:rsidRPr="00EB304C">
        <w:rPr>
          <w:rFonts w:ascii="Times New Roman" w:hAnsi="Times New Roman" w:cs="Times New Roman"/>
          <w:color w:val="000000" w:themeColor="text1"/>
          <w:sz w:val="24"/>
          <w:szCs w:val="24"/>
        </w:rPr>
        <w:t xml:space="preserve"> dyrektywa ustanawia zasady i procedury, zgodnie z którymi państwa członkowskie współpracują ze sobą w celu wymiany informacji, które wydają się być istotne do celów stosowania i egzekwowania krajowych przepisów państw członkowskich dotyczących podatków, o których mowa w art. 2. Wskazane postanowienie przesądza o tym, że wolą ustawodawcy unijnego było wprowadzenie podstaw prawnych do szerokiej wymiany informacji podatkowych między administracjami podatkowymi państw członkowskich. </w:t>
      </w:r>
      <w:r w:rsidR="00200EED" w:rsidRPr="00EB304C">
        <w:rPr>
          <w:rFonts w:ascii="Times New Roman" w:hAnsi="Times New Roman" w:cs="Times New Roman"/>
          <w:color w:val="000000" w:themeColor="text1"/>
          <w:sz w:val="24"/>
          <w:szCs w:val="24"/>
        </w:rPr>
        <w:t xml:space="preserve">Analogiczne możliwości pozyskiwania informacji na potrzeby krajowe mają organy polskiej administracji skarbowej na podstawie ustawy o Krajowej Administracji Skarbowej. </w:t>
      </w:r>
      <w:r w:rsidR="006E3BB7" w:rsidRPr="00EB304C">
        <w:rPr>
          <w:rFonts w:ascii="Times New Roman" w:hAnsi="Times New Roman" w:cs="Times New Roman"/>
          <w:color w:val="000000" w:themeColor="text1"/>
          <w:sz w:val="24"/>
          <w:szCs w:val="24"/>
        </w:rPr>
        <w:t xml:space="preserve">Przedmiotem tej wymiany mają być bowiem te wszystkie informacje, które wydają się być istotne do celów stosowania i egzekwowania krajowych przepisów państw członkowskich. Wobec tego, że Polska jest zobowiązana do transponowania </w:t>
      </w:r>
      <w:r w:rsidR="00124A99">
        <w:rPr>
          <w:rFonts w:ascii="Times New Roman" w:hAnsi="Times New Roman" w:cs="Times New Roman"/>
          <w:color w:val="000000" w:themeColor="text1"/>
          <w:sz w:val="24"/>
          <w:szCs w:val="24"/>
        </w:rPr>
        <w:t>d</w:t>
      </w:r>
      <w:r w:rsidR="006E3BB7" w:rsidRPr="00EB304C">
        <w:rPr>
          <w:rFonts w:ascii="Times New Roman" w:hAnsi="Times New Roman" w:cs="Times New Roman"/>
          <w:color w:val="000000" w:themeColor="text1"/>
          <w:sz w:val="24"/>
          <w:szCs w:val="24"/>
        </w:rPr>
        <w:t>yrektywy 2011/16</w:t>
      </w:r>
      <w:r w:rsidR="00FB0E66">
        <w:rPr>
          <w:rFonts w:ascii="Times New Roman" w:hAnsi="Times New Roman" w:cs="Times New Roman"/>
          <w:color w:val="000000" w:themeColor="text1"/>
          <w:sz w:val="24"/>
          <w:szCs w:val="24"/>
        </w:rPr>
        <w:t>/UE</w:t>
      </w:r>
      <w:r w:rsidR="006E3BB7" w:rsidRPr="00EB304C">
        <w:rPr>
          <w:rFonts w:ascii="Times New Roman" w:hAnsi="Times New Roman" w:cs="Times New Roman"/>
          <w:color w:val="000000" w:themeColor="text1"/>
          <w:sz w:val="24"/>
          <w:szCs w:val="24"/>
        </w:rPr>
        <w:t xml:space="preserve"> zgodnie z jej duchem, proponowane brzmienie art. 4 ust. 3 zapewni zgodność wdrażanych przez Polskę postanowień z celem </w:t>
      </w:r>
      <w:r w:rsidR="00124A99">
        <w:rPr>
          <w:rFonts w:ascii="Times New Roman" w:hAnsi="Times New Roman" w:cs="Times New Roman"/>
          <w:color w:val="000000" w:themeColor="text1"/>
          <w:sz w:val="24"/>
          <w:szCs w:val="24"/>
        </w:rPr>
        <w:t>d</w:t>
      </w:r>
      <w:r w:rsidR="00FB0E66" w:rsidRPr="00EB304C">
        <w:rPr>
          <w:rFonts w:ascii="Times New Roman" w:hAnsi="Times New Roman" w:cs="Times New Roman"/>
          <w:color w:val="000000" w:themeColor="text1"/>
          <w:sz w:val="24"/>
          <w:szCs w:val="24"/>
        </w:rPr>
        <w:t xml:space="preserve">yrektywy </w:t>
      </w:r>
      <w:r w:rsidR="006E3BB7" w:rsidRPr="00EB304C">
        <w:rPr>
          <w:rFonts w:ascii="Times New Roman" w:hAnsi="Times New Roman" w:cs="Times New Roman"/>
          <w:color w:val="000000" w:themeColor="text1"/>
          <w:sz w:val="24"/>
          <w:szCs w:val="24"/>
        </w:rPr>
        <w:t>2011/16</w:t>
      </w:r>
      <w:r w:rsidR="00FB0E66">
        <w:rPr>
          <w:rFonts w:ascii="Times New Roman" w:hAnsi="Times New Roman" w:cs="Times New Roman"/>
          <w:color w:val="000000" w:themeColor="text1"/>
          <w:sz w:val="24"/>
          <w:szCs w:val="24"/>
        </w:rPr>
        <w:t>/UE</w:t>
      </w:r>
      <w:r w:rsidR="006E3BB7" w:rsidRPr="00EB304C">
        <w:rPr>
          <w:rFonts w:ascii="Times New Roman" w:hAnsi="Times New Roman" w:cs="Times New Roman"/>
          <w:color w:val="000000" w:themeColor="text1"/>
          <w:sz w:val="24"/>
          <w:szCs w:val="24"/>
        </w:rPr>
        <w:t>.</w:t>
      </w:r>
    </w:p>
    <w:p w14:paraId="7A56FCF5" w14:textId="71276459" w:rsidR="006E3BB7" w:rsidRDefault="006E3BB7" w:rsidP="00507007">
      <w:pPr>
        <w:pBdr>
          <w:top w:val="nil"/>
          <w:left w:val="nil"/>
          <w:bottom w:val="nil"/>
          <w:right w:val="nil"/>
          <w:between w:val="nil"/>
          <w:bar w:val="nil"/>
        </w:pBd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lastRenderedPageBreak/>
        <w:t>Dodatkowo należy zauważyć, że już w obecnym brzmieniu art. 2 pkt 2 ustawy o wymianie informacji podatkowych z innymi państwami, który zawiera definicj</w:t>
      </w:r>
      <w:r w:rsidR="008744AE">
        <w:rPr>
          <w:rFonts w:ascii="Times New Roman" w:hAnsi="Times New Roman" w:cs="Times New Roman"/>
          <w:color w:val="000000" w:themeColor="text1"/>
          <w:sz w:val="24"/>
          <w:szCs w:val="24"/>
        </w:rPr>
        <w:t>ę</w:t>
      </w:r>
      <w:r w:rsidRPr="00EB304C">
        <w:rPr>
          <w:rFonts w:ascii="Times New Roman" w:hAnsi="Times New Roman" w:cs="Times New Roman"/>
          <w:color w:val="000000" w:themeColor="text1"/>
          <w:sz w:val="24"/>
          <w:szCs w:val="24"/>
        </w:rPr>
        <w:t xml:space="preserve"> legalną informacji podatkowych, wskazuje się, że przez te informacje należy rozumieć informacje wymieniane z innymi państwami na podstawie ustawy, które mogą być istotne dla celów stosowania i wykonywania przepisów prawa podatkowego państw dokonujących wymiany tych informacji. W tym kontekście proponowane brzmienie art. 4 ust. 3 jest spójne z terminem „informacje podatkowe” w rozumieniu ustawy.</w:t>
      </w:r>
    </w:p>
    <w:p w14:paraId="71B5B51A" w14:textId="0F418BBE" w:rsidR="00D86E59" w:rsidRPr="00D86E59" w:rsidRDefault="00D86E59" w:rsidP="00507007">
      <w:pPr>
        <w:pBdr>
          <w:top w:val="nil"/>
          <w:left w:val="nil"/>
          <w:bottom w:val="nil"/>
          <w:right w:val="nil"/>
          <w:between w:val="nil"/>
          <w:bar w:val="nil"/>
        </w:pBdr>
        <w:spacing w:before="120" w:after="0" w:line="360" w:lineRule="auto"/>
        <w:jc w:val="both"/>
        <w:rPr>
          <w:rFonts w:ascii="Times New Roman" w:hAnsi="Times New Roman" w:cs="Times New Roman"/>
          <w:color w:val="000000" w:themeColor="text1"/>
          <w:sz w:val="24"/>
          <w:szCs w:val="24"/>
        </w:rPr>
      </w:pPr>
      <w:r w:rsidRPr="00D86E59">
        <w:rPr>
          <w:rFonts w:ascii="Times New Roman" w:hAnsi="Times New Roman" w:cs="Times New Roman"/>
          <w:color w:val="000000" w:themeColor="text1"/>
          <w:sz w:val="24"/>
          <w:szCs w:val="24"/>
        </w:rPr>
        <w:t>Ponadto w ust. 1 oraz 1a usunięte zostaje, jako nadmiarowe, odniesie do „upoważnionego przedstawiciela” – należy bowiem przyjąć, że upoważniony przedstawiciel nie jest nową kategorią podmiotu uprawnionego do wystąpienia z żądaniem, ale działa w imieniu udzielającego upoważnienia.</w:t>
      </w:r>
    </w:p>
    <w:p w14:paraId="62F1A659" w14:textId="08348E2F" w:rsidR="00D86E59" w:rsidRPr="00D86E59" w:rsidRDefault="00D86E59" w:rsidP="00507007">
      <w:pPr>
        <w:pBdr>
          <w:top w:val="nil"/>
          <w:left w:val="nil"/>
          <w:bottom w:val="nil"/>
          <w:right w:val="nil"/>
          <w:between w:val="nil"/>
          <w:bar w:val="nil"/>
        </w:pBdr>
        <w:spacing w:before="120" w:after="0" w:line="360" w:lineRule="auto"/>
        <w:jc w:val="both"/>
        <w:rPr>
          <w:rFonts w:ascii="Times New Roman" w:hAnsi="Times New Roman" w:cs="Times New Roman"/>
          <w:color w:val="000000" w:themeColor="text1"/>
          <w:sz w:val="24"/>
          <w:szCs w:val="24"/>
        </w:rPr>
      </w:pPr>
      <w:r w:rsidRPr="00D86E59">
        <w:rPr>
          <w:rFonts w:ascii="Times New Roman" w:hAnsi="Times New Roman" w:cs="Times New Roman"/>
          <w:color w:val="000000" w:themeColor="text1"/>
          <w:sz w:val="24"/>
          <w:szCs w:val="24"/>
        </w:rPr>
        <w:t xml:space="preserve">Dodatkowo, w odniesieniu do rozporządzenia </w:t>
      </w:r>
      <w:r w:rsidR="00124A99">
        <w:rPr>
          <w:rFonts w:ascii="Times New Roman" w:hAnsi="Times New Roman" w:cs="Times New Roman"/>
          <w:color w:val="000000" w:themeColor="text1"/>
          <w:sz w:val="24"/>
          <w:szCs w:val="24"/>
        </w:rPr>
        <w:t xml:space="preserve">Rady (UE) nr </w:t>
      </w:r>
      <w:r w:rsidRPr="00D86E59">
        <w:rPr>
          <w:rFonts w:ascii="Times New Roman" w:hAnsi="Times New Roman" w:cs="Times New Roman"/>
          <w:color w:val="000000" w:themeColor="text1"/>
          <w:sz w:val="24"/>
          <w:szCs w:val="24"/>
        </w:rPr>
        <w:t>904/2010</w:t>
      </w:r>
      <w:r w:rsidR="00124A99">
        <w:rPr>
          <w:rFonts w:ascii="Times New Roman" w:hAnsi="Times New Roman" w:cs="Times New Roman"/>
          <w:color w:val="000000" w:themeColor="text1"/>
          <w:sz w:val="24"/>
          <w:szCs w:val="24"/>
        </w:rPr>
        <w:t xml:space="preserve"> z dnia 7 października 2010 r. w sprawie współpracy administracyjnej oraz zwalczania oszustw w dziedzinie podatku od wartości dodanej (Dz. Urz. UE L 268 z 12.10.2010, str. 1, z późn. zm.)</w:t>
      </w:r>
      <w:r w:rsidRPr="00D86E59">
        <w:rPr>
          <w:rFonts w:ascii="Times New Roman" w:hAnsi="Times New Roman" w:cs="Times New Roman"/>
          <w:color w:val="000000" w:themeColor="text1"/>
          <w:sz w:val="24"/>
          <w:szCs w:val="24"/>
        </w:rPr>
        <w:t xml:space="preserve">, wskazanego w projektowanym brzmieniu art. 4 ust. 1 pkt 2 uWIP, sposób sformułowania żądania udzielenia informacji na tej podstawie prawnej powinien również następować w sposób określony w projektowanym art. 4 ust. 4 uWIP. </w:t>
      </w:r>
      <w:r w:rsidR="003B45E0">
        <w:rPr>
          <w:rFonts w:ascii="Times New Roman" w:hAnsi="Times New Roman" w:cs="Times New Roman"/>
          <w:color w:val="000000" w:themeColor="text1"/>
          <w:sz w:val="24"/>
          <w:szCs w:val="24"/>
        </w:rPr>
        <w:t>Ww. r</w:t>
      </w:r>
      <w:r w:rsidRPr="00D86E59">
        <w:rPr>
          <w:rFonts w:ascii="Times New Roman" w:hAnsi="Times New Roman" w:cs="Times New Roman"/>
          <w:color w:val="000000" w:themeColor="text1"/>
          <w:sz w:val="24"/>
          <w:szCs w:val="24"/>
        </w:rPr>
        <w:t xml:space="preserve">ozporządzenie </w:t>
      </w:r>
      <w:r w:rsidR="003B45E0">
        <w:rPr>
          <w:rFonts w:ascii="Times New Roman" w:hAnsi="Times New Roman" w:cs="Times New Roman"/>
          <w:color w:val="000000" w:themeColor="text1"/>
          <w:sz w:val="24"/>
          <w:szCs w:val="24"/>
        </w:rPr>
        <w:t xml:space="preserve">nr </w:t>
      </w:r>
      <w:r w:rsidRPr="00D86E59">
        <w:rPr>
          <w:rFonts w:ascii="Times New Roman" w:hAnsi="Times New Roman" w:cs="Times New Roman"/>
          <w:color w:val="000000" w:themeColor="text1"/>
          <w:sz w:val="24"/>
          <w:szCs w:val="24"/>
        </w:rPr>
        <w:t>904/2010 regulujące współpracę administracyjną między państwami członkowskimi w obszarze podatku VAT nie reguluje bowiem krajowej procedury pozyskiwania informacji na wniosek zagranicznej administracji.</w:t>
      </w:r>
    </w:p>
    <w:p w14:paraId="1BBFDF2D" w14:textId="160CAC6D" w:rsidR="00D86E59" w:rsidRPr="00EB304C" w:rsidRDefault="00D86E59" w:rsidP="00507007">
      <w:pPr>
        <w:pBdr>
          <w:top w:val="nil"/>
          <w:left w:val="nil"/>
          <w:bottom w:val="nil"/>
          <w:right w:val="nil"/>
          <w:between w:val="nil"/>
          <w:bar w:val="nil"/>
        </w:pBdr>
        <w:spacing w:before="120" w:after="0" w:line="360" w:lineRule="auto"/>
        <w:jc w:val="both"/>
        <w:rPr>
          <w:rFonts w:ascii="Times New Roman" w:hAnsi="Times New Roman" w:cs="Times New Roman"/>
          <w:color w:val="000000" w:themeColor="text1"/>
          <w:sz w:val="24"/>
          <w:szCs w:val="24"/>
        </w:rPr>
      </w:pPr>
      <w:r w:rsidRPr="00D86E59">
        <w:rPr>
          <w:rFonts w:ascii="Times New Roman" w:hAnsi="Times New Roman" w:cs="Times New Roman"/>
          <w:color w:val="000000" w:themeColor="text1"/>
          <w:sz w:val="24"/>
          <w:szCs w:val="24"/>
        </w:rPr>
        <w:t>Należy jednocześnie wyjaśni</w:t>
      </w:r>
      <w:r w:rsidR="00FB0E66">
        <w:rPr>
          <w:rFonts w:ascii="Times New Roman" w:hAnsi="Times New Roman" w:cs="Times New Roman"/>
          <w:color w:val="000000" w:themeColor="text1"/>
          <w:sz w:val="24"/>
          <w:szCs w:val="24"/>
        </w:rPr>
        <w:t>ć</w:t>
      </w:r>
      <w:r w:rsidRPr="00D86E59">
        <w:rPr>
          <w:rFonts w:ascii="Times New Roman" w:hAnsi="Times New Roman" w:cs="Times New Roman"/>
          <w:color w:val="000000" w:themeColor="text1"/>
          <w:sz w:val="24"/>
          <w:szCs w:val="24"/>
        </w:rPr>
        <w:t xml:space="preserve">, że „obowiązujące przepisy prawa”, do których nawiązuje projektowany art. 4 ust. 3 </w:t>
      </w:r>
      <w:proofErr w:type="spellStart"/>
      <w:r w:rsidRPr="00D86E59">
        <w:rPr>
          <w:rFonts w:ascii="Times New Roman" w:hAnsi="Times New Roman" w:cs="Times New Roman"/>
          <w:color w:val="000000" w:themeColor="text1"/>
          <w:sz w:val="24"/>
          <w:szCs w:val="24"/>
        </w:rPr>
        <w:t>uWIP</w:t>
      </w:r>
      <w:proofErr w:type="spellEnd"/>
      <w:r w:rsidR="00837D12">
        <w:rPr>
          <w:rFonts w:ascii="Times New Roman" w:hAnsi="Times New Roman" w:cs="Times New Roman"/>
          <w:color w:val="000000" w:themeColor="text1"/>
          <w:sz w:val="24"/>
          <w:szCs w:val="24"/>
        </w:rPr>
        <w:t>,</w:t>
      </w:r>
      <w:r w:rsidRPr="00D86E59">
        <w:rPr>
          <w:rFonts w:ascii="Times New Roman" w:hAnsi="Times New Roman" w:cs="Times New Roman"/>
          <w:color w:val="000000" w:themeColor="text1"/>
          <w:sz w:val="24"/>
          <w:szCs w:val="24"/>
        </w:rPr>
        <w:t xml:space="preserve"> powinny być rozumiane jako przepisy prawa państwa występującego z wnioskiem.</w:t>
      </w:r>
    </w:p>
    <w:p w14:paraId="5EB5796D" w14:textId="677B5591" w:rsidR="00727D0E" w:rsidRPr="00EB304C" w:rsidRDefault="00727D0E" w:rsidP="00507007">
      <w:pPr>
        <w:pStyle w:val="Akapitzlist"/>
        <w:numPr>
          <w:ilvl w:val="0"/>
          <w:numId w:val="33"/>
        </w:numPr>
        <w:pBdr>
          <w:top w:val="nil"/>
          <w:left w:val="nil"/>
          <w:bottom w:val="nil"/>
          <w:right w:val="nil"/>
          <w:between w:val="nil"/>
          <w:bar w:val="nil"/>
        </w:pBdr>
        <w:spacing w:before="120" w:after="0" w:line="360" w:lineRule="auto"/>
        <w:jc w:val="both"/>
        <w:rPr>
          <w:rFonts w:ascii="Times New Roman" w:hAnsi="Times New Roman" w:cs="Times New Roman"/>
          <w:b/>
          <w:sz w:val="24"/>
          <w:szCs w:val="24"/>
        </w:rPr>
      </w:pPr>
      <w:r w:rsidRPr="00EB304C">
        <w:rPr>
          <w:rFonts w:ascii="Times New Roman" w:hAnsi="Times New Roman" w:cs="Times New Roman"/>
          <w:b/>
          <w:sz w:val="24"/>
          <w:szCs w:val="24"/>
        </w:rPr>
        <w:t>Art. 6b</w:t>
      </w:r>
    </w:p>
    <w:p w14:paraId="2AE58024" w14:textId="29759661" w:rsidR="00727D0E" w:rsidRDefault="00727D0E"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color w:val="000000" w:themeColor="text1"/>
          <w:sz w:val="24"/>
          <w:szCs w:val="24"/>
        </w:rPr>
        <w:t xml:space="preserve">Art. 6b stanowi implementację art. 25 dyrektywy DAC7. Dotychczasowe brzmienie art. 25 </w:t>
      </w:r>
      <w:r w:rsidR="00F5015D">
        <w:rPr>
          <w:rFonts w:ascii="Times New Roman" w:hAnsi="Times New Roman" w:cs="Times New Roman"/>
          <w:color w:val="000000" w:themeColor="text1"/>
          <w:sz w:val="24"/>
          <w:szCs w:val="24"/>
        </w:rPr>
        <w:t>d</w:t>
      </w:r>
      <w:r w:rsidR="00FB0E66" w:rsidRPr="00EB304C">
        <w:rPr>
          <w:rFonts w:ascii="Times New Roman" w:hAnsi="Times New Roman" w:cs="Times New Roman"/>
          <w:color w:val="000000" w:themeColor="text1"/>
          <w:sz w:val="24"/>
          <w:szCs w:val="24"/>
        </w:rPr>
        <w:t xml:space="preserve">yrektywy </w:t>
      </w:r>
      <w:r w:rsidRPr="00EB304C">
        <w:rPr>
          <w:rFonts w:ascii="Times New Roman" w:hAnsi="Times New Roman" w:cs="Times New Roman"/>
          <w:color w:val="000000" w:themeColor="text1"/>
          <w:sz w:val="24"/>
          <w:szCs w:val="24"/>
        </w:rPr>
        <w:t>2011/16/UE było wdrożone przez art. 30 ustawy o wymianie informacji podatkowych z innymi państwami. Przepisy te zostały uchylone, a w ich miejsce wprowadzono art. 6b.</w:t>
      </w:r>
      <w:r w:rsidRPr="00EB304C">
        <w:rPr>
          <w:rFonts w:ascii="Times New Roman" w:hAnsi="Times New Roman" w:cs="Times New Roman"/>
          <w:sz w:val="24"/>
          <w:szCs w:val="24"/>
        </w:rPr>
        <w:t xml:space="preserve"> Projektowany przepis </w:t>
      </w:r>
      <w:r w:rsidR="0049656A" w:rsidRPr="00EB304C">
        <w:rPr>
          <w:rFonts w:ascii="Times New Roman" w:hAnsi="Times New Roman" w:cs="Times New Roman"/>
          <w:sz w:val="24"/>
          <w:szCs w:val="24"/>
        </w:rPr>
        <w:t xml:space="preserve">art. 6b ust. 1 </w:t>
      </w:r>
      <w:r w:rsidRPr="00EB304C">
        <w:rPr>
          <w:rFonts w:ascii="Times New Roman" w:hAnsi="Times New Roman" w:cs="Times New Roman"/>
          <w:sz w:val="24"/>
          <w:szCs w:val="24"/>
        </w:rPr>
        <w:t xml:space="preserve">reguluje obowiązki informacyjne raportującej instytucji finansowej </w:t>
      </w:r>
      <w:r w:rsidR="00EF3B4E" w:rsidRPr="00EB304C">
        <w:rPr>
          <w:rFonts w:ascii="Times New Roman" w:hAnsi="Times New Roman" w:cs="Times New Roman"/>
          <w:sz w:val="24"/>
          <w:szCs w:val="24"/>
        </w:rPr>
        <w:t xml:space="preserve">w rozumieniu art. 24 ust. 1 pkt 44 </w:t>
      </w:r>
      <w:r w:rsidRPr="00EB304C">
        <w:rPr>
          <w:rFonts w:ascii="Times New Roman" w:hAnsi="Times New Roman" w:cs="Times New Roman"/>
          <w:sz w:val="24"/>
          <w:szCs w:val="24"/>
        </w:rPr>
        <w:t xml:space="preserve">oraz </w:t>
      </w:r>
      <w:r w:rsidR="00EF3B4E" w:rsidRPr="00EB304C">
        <w:rPr>
          <w:rFonts w:ascii="Times New Roman" w:hAnsi="Times New Roman" w:cs="Times New Roman"/>
          <w:sz w:val="24"/>
          <w:szCs w:val="24"/>
        </w:rPr>
        <w:t>raportującego operatora platformy</w:t>
      </w:r>
      <w:r w:rsidRPr="00EB304C">
        <w:rPr>
          <w:rFonts w:ascii="Times New Roman" w:hAnsi="Times New Roman" w:cs="Times New Roman"/>
          <w:sz w:val="24"/>
          <w:szCs w:val="24"/>
        </w:rPr>
        <w:t xml:space="preserve">, </w:t>
      </w:r>
      <w:r w:rsidR="005C76FB" w:rsidRPr="00EB304C">
        <w:rPr>
          <w:rFonts w:ascii="Times New Roman" w:hAnsi="Times New Roman" w:cs="Times New Roman"/>
          <w:sz w:val="24"/>
          <w:szCs w:val="24"/>
        </w:rPr>
        <w:t>w </w:t>
      </w:r>
      <w:r w:rsidR="00EF3B4E" w:rsidRPr="00EB304C">
        <w:rPr>
          <w:rFonts w:ascii="Times New Roman" w:hAnsi="Times New Roman" w:cs="Times New Roman"/>
          <w:sz w:val="24"/>
          <w:szCs w:val="24"/>
        </w:rPr>
        <w:t>rozumieniu art. 75a ust. 1 pkt 1</w:t>
      </w:r>
      <w:r w:rsidR="008744AE">
        <w:rPr>
          <w:rFonts w:ascii="Times New Roman" w:hAnsi="Times New Roman" w:cs="Times New Roman"/>
          <w:sz w:val="24"/>
          <w:szCs w:val="24"/>
        </w:rPr>
        <w:t>4</w:t>
      </w:r>
      <w:r w:rsidRPr="00EB304C">
        <w:rPr>
          <w:rFonts w:ascii="Times New Roman" w:hAnsi="Times New Roman" w:cs="Times New Roman"/>
          <w:sz w:val="24"/>
          <w:szCs w:val="24"/>
        </w:rPr>
        <w:t>. Regulacja ta nakłada obowiązek</w:t>
      </w:r>
      <w:r w:rsidR="00EF3B4E" w:rsidRPr="00EB304C">
        <w:rPr>
          <w:rFonts w:ascii="Times New Roman" w:hAnsi="Times New Roman" w:cs="Times New Roman"/>
          <w:sz w:val="24"/>
          <w:szCs w:val="24"/>
        </w:rPr>
        <w:t xml:space="preserve"> </w:t>
      </w:r>
      <w:r w:rsidRPr="00EB304C">
        <w:rPr>
          <w:rFonts w:ascii="Times New Roman" w:hAnsi="Times New Roman" w:cs="Times New Roman"/>
          <w:sz w:val="24"/>
          <w:szCs w:val="24"/>
        </w:rPr>
        <w:t xml:space="preserve">informowania każdej osoby </w:t>
      </w:r>
      <w:r w:rsidR="00EF3B4E" w:rsidRPr="00EB304C">
        <w:rPr>
          <w:rFonts w:ascii="Times New Roman" w:hAnsi="Times New Roman" w:cs="Times New Roman"/>
          <w:sz w:val="24"/>
          <w:szCs w:val="24"/>
        </w:rPr>
        <w:t>fizycznej</w:t>
      </w:r>
      <w:r w:rsidR="00171CB5" w:rsidRPr="00EB304C">
        <w:rPr>
          <w:rFonts w:ascii="Times New Roman" w:hAnsi="Times New Roman" w:cs="Times New Roman"/>
          <w:sz w:val="24"/>
          <w:szCs w:val="24"/>
        </w:rPr>
        <w:t>, której informacje dotyczą, o tym, że</w:t>
      </w:r>
      <w:r w:rsidRPr="00EB304C">
        <w:rPr>
          <w:rFonts w:ascii="Times New Roman" w:hAnsi="Times New Roman" w:cs="Times New Roman"/>
          <w:sz w:val="24"/>
          <w:szCs w:val="24"/>
        </w:rPr>
        <w:t xml:space="preserve"> informacje </w:t>
      </w:r>
      <w:r w:rsidR="00171CB5" w:rsidRPr="00EB304C">
        <w:rPr>
          <w:rFonts w:ascii="Times New Roman" w:hAnsi="Times New Roman" w:cs="Times New Roman"/>
          <w:sz w:val="24"/>
          <w:szCs w:val="24"/>
        </w:rPr>
        <w:t xml:space="preserve">te </w:t>
      </w:r>
      <w:r w:rsidRPr="00EB304C">
        <w:rPr>
          <w:rFonts w:ascii="Times New Roman" w:hAnsi="Times New Roman" w:cs="Times New Roman"/>
          <w:sz w:val="24"/>
          <w:szCs w:val="24"/>
        </w:rPr>
        <w:t xml:space="preserve">zostaną zgromadzone, przetworzone i przekazane zgodnie </w:t>
      </w:r>
      <w:r w:rsidR="00EF3B4E" w:rsidRPr="00EB304C">
        <w:rPr>
          <w:rFonts w:ascii="Times New Roman" w:hAnsi="Times New Roman" w:cs="Times New Roman"/>
          <w:sz w:val="24"/>
          <w:szCs w:val="24"/>
        </w:rPr>
        <w:t>z niniejszą ustawą</w:t>
      </w:r>
      <w:r w:rsidRPr="00EB304C">
        <w:rPr>
          <w:rFonts w:ascii="Times New Roman" w:hAnsi="Times New Roman" w:cs="Times New Roman"/>
          <w:sz w:val="24"/>
          <w:szCs w:val="24"/>
        </w:rPr>
        <w:t xml:space="preserve">. </w:t>
      </w:r>
      <w:r w:rsidR="00EF3B4E" w:rsidRPr="00EB304C">
        <w:rPr>
          <w:rFonts w:ascii="Times New Roman" w:hAnsi="Times New Roman" w:cs="Times New Roman"/>
          <w:sz w:val="24"/>
          <w:szCs w:val="24"/>
        </w:rPr>
        <w:t>Ponadto</w:t>
      </w:r>
      <w:r w:rsidRPr="00EB304C">
        <w:rPr>
          <w:rFonts w:ascii="Times New Roman" w:hAnsi="Times New Roman" w:cs="Times New Roman"/>
          <w:sz w:val="24"/>
          <w:szCs w:val="24"/>
        </w:rPr>
        <w:t xml:space="preserve"> zobowiązuje do</w:t>
      </w:r>
      <w:r w:rsidR="005C76FB" w:rsidRPr="00EB304C">
        <w:rPr>
          <w:rFonts w:ascii="Times New Roman" w:hAnsi="Times New Roman" w:cs="Times New Roman"/>
          <w:sz w:val="24"/>
          <w:szCs w:val="24"/>
        </w:rPr>
        <w:t xml:space="preserve"> </w:t>
      </w:r>
      <w:r w:rsidR="00EF3B4E" w:rsidRPr="00EB304C">
        <w:rPr>
          <w:rFonts w:ascii="Times New Roman" w:hAnsi="Times New Roman" w:cs="Times New Roman"/>
          <w:sz w:val="24"/>
          <w:szCs w:val="24"/>
        </w:rPr>
        <w:t>udzielania</w:t>
      </w:r>
      <w:r w:rsidRPr="00EB304C">
        <w:rPr>
          <w:rFonts w:ascii="Times New Roman" w:hAnsi="Times New Roman" w:cs="Times New Roman"/>
          <w:sz w:val="24"/>
          <w:szCs w:val="24"/>
        </w:rPr>
        <w:t xml:space="preserve"> osobie</w:t>
      </w:r>
      <w:r w:rsidR="00EF3B4E" w:rsidRPr="00EB304C">
        <w:rPr>
          <w:rFonts w:ascii="Times New Roman" w:hAnsi="Times New Roman" w:cs="Times New Roman"/>
          <w:sz w:val="24"/>
          <w:szCs w:val="24"/>
        </w:rPr>
        <w:t xml:space="preserve"> fizycznej</w:t>
      </w:r>
      <w:r w:rsidR="005F778C" w:rsidRPr="00EB304C">
        <w:rPr>
          <w:rFonts w:ascii="Times New Roman" w:hAnsi="Times New Roman" w:cs="Times New Roman"/>
          <w:sz w:val="24"/>
          <w:szCs w:val="24"/>
        </w:rPr>
        <w:t xml:space="preserve"> </w:t>
      </w:r>
      <w:r w:rsidRPr="00EB304C">
        <w:rPr>
          <w:rFonts w:ascii="Times New Roman" w:hAnsi="Times New Roman" w:cs="Times New Roman"/>
          <w:sz w:val="24"/>
          <w:szCs w:val="24"/>
        </w:rPr>
        <w:t xml:space="preserve">informacji, </w:t>
      </w:r>
      <w:r w:rsidR="005F778C" w:rsidRPr="00EB304C">
        <w:rPr>
          <w:rFonts w:ascii="Times New Roman" w:hAnsi="Times New Roman" w:cs="Times New Roman"/>
          <w:sz w:val="24"/>
          <w:szCs w:val="24"/>
        </w:rPr>
        <w:t xml:space="preserve">które jej dotyczą i </w:t>
      </w:r>
      <w:r w:rsidRPr="00EB304C">
        <w:rPr>
          <w:rFonts w:ascii="Times New Roman" w:hAnsi="Times New Roman" w:cs="Times New Roman"/>
          <w:sz w:val="24"/>
          <w:szCs w:val="24"/>
        </w:rPr>
        <w:t>które</w:t>
      </w:r>
      <w:r w:rsidR="005C76FB" w:rsidRPr="00EB304C">
        <w:rPr>
          <w:rFonts w:ascii="Times New Roman" w:hAnsi="Times New Roman" w:cs="Times New Roman"/>
          <w:sz w:val="24"/>
          <w:szCs w:val="24"/>
        </w:rPr>
        <w:t xml:space="preserve"> dana osoba ma prawo uzyskać </w:t>
      </w:r>
      <w:r w:rsidR="005C76FB" w:rsidRPr="00EB304C">
        <w:rPr>
          <w:rFonts w:ascii="Times New Roman" w:hAnsi="Times New Roman" w:cs="Times New Roman"/>
          <w:sz w:val="24"/>
          <w:szCs w:val="24"/>
        </w:rPr>
        <w:lastRenderedPageBreak/>
        <w:t>od </w:t>
      </w:r>
      <w:r w:rsidRPr="00EB304C">
        <w:rPr>
          <w:rFonts w:ascii="Times New Roman" w:hAnsi="Times New Roman" w:cs="Times New Roman"/>
          <w:sz w:val="24"/>
          <w:szCs w:val="24"/>
        </w:rPr>
        <w:t>administratora, w czasie wystarczającym do skorzystania z jej praw ochrony danych osobowych, w każdym przypadku, zanim informacje zostaną przekazane.</w:t>
      </w:r>
    </w:p>
    <w:p w14:paraId="28CDFBAD" w14:textId="00ABA029" w:rsidR="00023DA3" w:rsidRPr="00EB304C" w:rsidRDefault="00023DA3"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Zgodnie z motywem 36 dyrektywy DAC7 w</w:t>
      </w:r>
      <w:r w:rsidRPr="00023DA3">
        <w:rPr>
          <w:rFonts w:ascii="Times New Roman" w:hAnsi="Times New Roman" w:cs="Times New Roman"/>
          <w:sz w:val="24"/>
          <w:szCs w:val="24"/>
        </w:rPr>
        <w:t xml:space="preserve">szelkie przetwarzanie danych osobowych w ramach dyrektywy 2011/16/UE powinno pozostać zgodne z rozporządzeniem Parlamentu Europejskiego i Rady (UE) 2016/679 </w:t>
      </w:r>
      <w:r w:rsidR="00F5015D">
        <w:rPr>
          <w:rFonts w:ascii="Times New Roman" w:hAnsi="Times New Roman" w:cs="Times New Roman"/>
          <w:sz w:val="24"/>
          <w:szCs w:val="24"/>
        </w:rPr>
        <w:t xml:space="preserve">z dnia 27 kwietnia 2016 r. w sprawie ochrony osób fizycznych w związku z przetwarzaniem danych osobowych i w sprawie swobodnego przepływu takich danych oraz uchylenia dyrektywy 95/46/WE (ogólne rozporządzenie o ochronie danych) (Dz. Urz. UE L 119 z 04.05.2016, str. 1, z późn. zm.) </w:t>
      </w:r>
      <w:r w:rsidRPr="00023DA3">
        <w:rPr>
          <w:rFonts w:ascii="Times New Roman" w:hAnsi="Times New Roman" w:cs="Times New Roman"/>
          <w:sz w:val="24"/>
          <w:szCs w:val="24"/>
        </w:rPr>
        <w:t xml:space="preserve">oraz z rozporządzeniem </w:t>
      </w:r>
      <w:r w:rsidR="00A9538C">
        <w:rPr>
          <w:rFonts w:ascii="Times New Roman" w:hAnsi="Times New Roman" w:cs="Times New Roman"/>
          <w:sz w:val="24"/>
          <w:szCs w:val="24"/>
        </w:rPr>
        <w:t xml:space="preserve">Parlamentu Europejskiego i Rady </w:t>
      </w:r>
      <w:r w:rsidRPr="00023DA3">
        <w:rPr>
          <w:rFonts w:ascii="Times New Roman" w:hAnsi="Times New Roman" w:cs="Times New Roman"/>
          <w:sz w:val="24"/>
          <w:szCs w:val="24"/>
        </w:rPr>
        <w:t>(UE) 2018/1725</w:t>
      </w:r>
      <w:r w:rsidR="00A9538C">
        <w:rPr>
          <w:rFonts w:ascii="Times New Roman" w:hAnsi="Times New Roman" w:cs="Times New Roman"/>
          <w:sz w:val="24"/>
          <w:szCs w:val="24"/>
        </w:rPr>
        <w:t xml:space="preserve"> z dnia 23 października 2018 r. w sprawie ochrony osób fizycznych w związku z przetwarzaniem danych osobowych przez instytucje, organy i jednostki organizacyjne Unii i swobodnego przepływu takich danych oraz uchylenia rozporządzenia (WE) nr 45/2001 i decyzji nr 1247/2002/WE (Dz. Urz. UE L 295 z 21.11.2018, str. 39</w:t>
      </w:r>
      <w:r w:rsidR="001C7849">
        <w:rPr>
          <w:rFonts w:ascii="Times New Roman" w:hAnsi="Times New Roman" w:cs="Times New Roman"/>
          <w:sz w:val="24"/>
          <w:szCs w:val="24"/>
        </w:rPr>
        <w:t>)</w:t>
      </w:r>
      <w:r w:rsidRPr="00023DA3">
        <w:rPr>
          <w:rFonts w:ascii="Times New Roman" w:hAnsi="Times New Roman" w:cs="Times New Roman"/>
          <w:sz w:val="24"/>
          <w:szCs w:val="24"/>
        </w:rPr>
        <w:t xml:space="preserve">. Przetwarzanie danych jest określone w </w:t>
      </w:r>
      <w:r w:rsidR="00F5015D">
        <w:rPr>
          <w:rFonts w:ascii="Times New Roman" w:hAnsi="Times New Roman" w:cs="Times New Roman"/>
          <w:sz w:val="24"/>
          <w:szCs w:val="24"/>
        </w:rPr>
        <w:t>d</w:t>
      </w:r>
      <w:r w:rsidR="00FB0E66" w:rsidRPr="00023DA3">
        <w:rPr>
          <w:rFonts w:ascii="Times New Roman" w:hAnsi="Times New Roman" w:cs="Times New Roman"/>
          <w:sz w:val="24"/>
          <w:szCs w:val="24"/>
        </w:rPr>
        <w:t xml:space="preserve">yrektywie </w:t>
      </w:r>
      <w:r w:rsidRPr="00023DA3">
        <w:rPr>
          <w:rFonts w:ascii="Times New Roman" w:hAnsi="Times New Roman" w:cs="Times New Roman"/>
          <w:sz w:val="24"/>
          <w:szCs w:val="24"/>
        </w:rPr>
        <w:t>2011/16/UE wyłącznie w celu służenia ogólnemu interesowi publicznemu, a mianowicie kwestiom podatkowym oraz na potrzeby zwalczania oszustw podatkowych, uchylania się od opodatkowania i unikania opodatkowania, na potrzeby ochrony dochodów podatkowych i promowania sprawiedliwego opodatkowania, co zwiększa możliwości włączenia społecznego, politycznego i ekonomicznego w państwach członkowskich.</w:t>
      </w:r>
      <w:r>
        <w:rPr>
          <w:rFonts w:ascii="Times New Roman" w:hAnsi="Times New Roman" w:cs="Times New Roman"/>
          <w:sz w:val="24"/>
          <w:szCs w:val="24"/>
        </w:rPr>
        <w:t xml:space="preserve"> </w:t>
      </w:r>
      <w:r w:rsidR="00577754">
        <w:rPr>
          <w:rFonts w:ascii="Times New Roman" w:hAnsi="Times New Roman" w:cs="Times New Roman"/>
          <w:sz w:val="24"/>
          <w:szCs w:val="24"/>
        </w:rPr>
        <w:t xml:space="preserve">Jednocześnie art. 25 </w:t>
      </w:r>
      <w:r w:rsidR="00F5015D">
        <w:rPr>
          <w:rFonts w:ascii="Times New Roman" w:hAnsi="Times New Roman" w:cs="Times New Roman"/>
          <w:sz w:val="24"/>
          <w:szCs w:val="24"/>
        </w:rPr>
        <w:t>d</w:t>
      </w:r>
      <w:r w:rsidR="00577754">
        <w:rPr>
          <w:rFonts w:ascii="Times New Roman" w:hAnsi="Times New Roman" w:cs="Times New Roman"/>
          <w:sz w:val="24"/>
          <w:szCs w:val="24"/>
        </w:rPr>
        <w:t xml:space="preserve">yrektywy </w:t>
      </w:r>
      <w:r w:rsidR="00577754" w:rsidRPr="00EB304C">
        <w:rPr>
          <w:rFonts w:ascii="Times New Roman" w:hAnsi="Times New Roman" w:cs="Times New Roman"/>
          <w:color w:val="000000" w:themeColor="text1"/>
          <w:sz w:val="24"/>
          <w:szCs w:val="24"/>
        </w:rPr>
        <w:t xml:space="preserve">2011/16/UE </w:t>
      </w:r>
      <w:r w:rsidR="00577754">
        <w:rPr>
          <w:rFonts w:ascii="Times New Roman" w:hAnsi="Times New Roman" w:cs="Times New Roman"/>
          <w:color w:val="000000" w:themeColor="text1"/>
          <w:sz w:val="24"/>
          <w:szCs w:val="24"/>
        </w:rPr>
        <w:t xml:space="preserve">wyraźnie stanowi, że do celów prawidłowego jej stosowania </w:t>
      </w:r>
      <w:r w:rsidR="00577754" w:rsidRPr="00577754">
        <w:rPr>
          <w:rFonts w:ascii="Times New Roman" w:hAnsi="Times New Roman" w:cs="Times New Roman"/>
          <w:color w:val="000000" w:themeColor="text1"/>
          <w:sz w:val="24"/>
          <w:szCs w:val="24"/>
        </w:rPr>
        <w:t xml:space="preserve">państwa członkowskie ograniczają zakres obowiązków i praw przewidzianych w art. 13, art. 14 ust. 1 oraz w art. 15 </w:t>
      </w:r>
      <w:r w:rsidR="00F5015D">
        <w:rPr>
          <w:rFonts w:ascii="Times New Roman" w:hAnsi="Times New Roman" w:cs="Times New Roman"/>
          <w:color w:val="000000" w:themeColor="text1"/>
          <w:sz w:val="24"/>
          <w:szCs w:val="24"/>
        </w:rPr>
        <w:t xml:space="preserve">ww. </w:t>
      </w:r>
      <w:r w:rsidR="00577754" w:rsidRPr="00577754">
        <w:rPr>
          <w:rFonts w:ascii="Times New Roman" w:hAnsi="Times New Roman" w:cs="Times New Roman"/>
          <w:color w:val="000000" w:themeColor="text1"/>
          <w:sz w:val="24"/>
          <w:szCs w:val="24"/>
        </w:rPr>
        <w:t>rozporządzenia 2016/679 w stopniu wymaganym w celu zabezpieczenia interesów, o których mowa w art. 23 ust. 1 lit. e tego rozporządzenia.</w:t>
      </w:r>
      <w:r>
        <w:rPr>
          <w:rFonts w:ascii="Times New Roman" w:hAnsi="Times New Roman" w:cs="Times New Roman"/>
          <w:sz w:val="24"/>
          <w:szCs w:val="24"/>
        </w:rPr>
        <w:t xml:space="preserve"> </w:t>
      </w:r>
    </w:p>
    <w:p w14:paraId="65F23BC3" w14:textId="3F7F9EAE" w:rsidR="00F62650" w:rsidRPr="00EB304C" w:rsidRDefault="00F62650" w:rsidP="00507007">
      <w:pPr>
        <w:pStyle w:val="Akapitzlist"/>
        <w:numPr>
          <w:ilvl w:val="0"/>
          <w:numId w:val="15"/>
        </w:numPr>
        <w:pBdr>
          <w:top w:val="nil"/>
          <w:left w:val="nil"/>
          <w:bottom w:val="nil"/>
          <w:right w:val="nil"/>
          <w:between w:val="nil"/>
          <w:bar w:val="nil"/>
        </w:pBdr>
        <w:spacing w:before="120" w:after="0" w:line="360" w:lineRule="auto"/>
        <w:jc w:val="both"/>
        <w:rPr>
          <w:rFonts w:ascii="Times New Roman" w:hAnsi="Times New Roman" w:cs="Times New Roman"/>
          <w:b/>
          <w:sz w:val="24"/>
          <w:szCs w:val="24"/>
        </w:rPr>
      </w:pPr>
      <w:r w:rsidRPr="00EB304C">
        <w:rPr>
          <w:rFonts w:ascii="Times New Roman" w:hAnsi="Times New Roman" w:cs="Times New Roman"/>
          <w:b/>
          <w:sz w:val="24"/>
          <w:szCs w:val="24"/>
        </w:rPr>
        <w:t>Art. 6</w:t>
      </w:r>
      <w:r w:rsidR="00390A56" w:rsidRPr="00EB304C">
        <w:rPr>
          <w:rFonts w:ascii="Times New Roman" w:hAnsi="Times New Roman" w:cs="Times New Roman"/>
          <w:b/>
          <w:sz w:val="24"/>
          <w:szCs w:val="24"/>
        </w:rPr>
        <w:t>c</w:t>
      </w:r>
    </w:p>
    <w:p w14:paraId="18EB84D4" w14:textId="7566D0CE" w:rsidR="00F62650" w:rsidRPr="00EB304C" w:rsidRDefault="00F62650" w:rsidP="00507007">
      <w:pPr>
        <w:pStyle w:val="ZUSTzmustartykuempunktem"/>
        <w:spacing w:before="120"/>
        <w:ind w:left="0" w:firstLine="0"/>
        <w:rPr>
          <w:rFonts w:ascii="Times New Roman" w:hAnsi="Times New Roman" w:cs="Times New Roman"/>
        </w:rPr>
      </w:pPr>
      <w:r w:rsidRPr="00EB304C">
        <w:rPr>
          <w:rFonts w:ascii="Times New Roman" w:hAnsi="Times New Roman" w:cs="Times New Roman"/>
        </w:rPr>
        <w:t>Art. 6</w:t>
      </w:r>
      <w:r w:rsidR="00390A56" w:rsidRPr="00EB304C">
        <w:rPr>
          <w:rFonts w:ascii="Times New Roman" w:hAnsi="Times New Roman" w:cs="Times New Roman"/>
        </w:rPr>
        <w:t>c</w:t>
      </w:r>
      <w:r w:rsidRPr="00EB304C">
        <w:rPr>
          <w:rFonts w:ascii="Times New Roman" w:hAnsi="Times New Roman" w:cs="Times New Roman"/>
        </w:rPr>
        <w:t xml:space="preserve"> uWIP stanowi implementację art. 25 </w:t>
      </w:r>
      <w:r w:rsidR="00727D0E" w:rsidRPr="00EB304C">
        <w:rPr>
          <w:rFonts w:ascii="Times New Roman" w:hAnsi="Times New Roman" w:cs="Times New Roman"/>
        </w:rPr>
        <w:t>d</w:t>
      </w:r>
      <w:r w:rsidRPr="00EB304C">
        <w:rPr>
          <w:rFonts w:ascii="Times New Roman" w:hAnsi="Times New Roman" w:cs="Times New Roman"/>
        </w:rPr>
        <w:t>yrektywy w zakresie dotyczącym automatycznej wymiany informacji o rachunkach raportowanych.</w:t>
      </w:r>
    </w:p>
    <w:p w14:paraId="2FECFA9D" w14:textId="49F3E2E3" w:rsidR="00915EF0" w:rsidRPr="00EB304C" w:rsidRDefault="00F62650" w:rsidP="00BC5F28">
      <w:pPr>
        <w:pStyle w:val="Akapitzlist"/>
        <w:numPr>
          <w:ilvl w:val="1"/>
          <w:numId w:val="15"/>
        </w:numPr>
        <w:spacing w:before="240" w:after="0" w:line="360" w:lineRule="auto"/>
        <w:ind w:left="992" w:hanging="357"/>
        <w:jc w:val="both"/>
        <w:rPr>
          <w:rFonts w:ascii="Times New Roman" w:hAnsi="Times New Roman" w:cs="Times New Roman"/>
          <w:sz w:val="24"/>
          <w:szCs w:val="24"/>
        </w:rPr>
      </w:pPr>
      <w:r w:rsidRPr="005C7D13">
        <w:rPr>
          <w:rFonts w:ascii="Times New Roman" w:hAnsi="Times New Roman" w:cs="Times New Roman"/>
          <w:sz w:val="24"/>
          <w:szCs w:val="24"/>
        </w:rPr>
        <w:t>Projektowany przepis art. 6</w:t>
      </w:r>
      <w:r w:rsidR="00390A56" w:rsidRPr="005C7D13">
        <w:rPr>
          <w:rFonts w:ascii="Times New Roman" w:hAnsi="Times New Roman" w:cs="Times New Roman"/>
          <w:sz w:val="24"/>
          <w:szCs w:val="24"/>
        </w:rPr>
        <w:t>c</w:t>
      </w:r>
      <w:r w:rsidRPr="005C7D13">
        <w:rPr>
          <w:rFonts w:ascii="Times New Roman" w:hAnsi="Times New Roman" w:cs="Times New Roman"/>
          <w:sz w:val="24"/>
          <w:szCs w:val="24"/>
        </w:rPr>
        <w:t xml:space="preserve"> ust. 1 reguluje obowiązki Szefa KAS, je</w:t>
      </w:r>
      <w:r w:rsidR="00BC5F28">
        <w:rPr>
          <w:rFonts w:ascii="Times New Roman" w:hAnsi="Times New Roman" w:cs="Times New Roman"/>
          <w:sz w:val="24"/>
          <w:szCs w:val="24"/>
        </w:rPr>
        <w:t>że</w:t>
      </w:r>
      <w:r w:rsidRPr="005C7D13">
        <w:rPr>
          <w:rFonts w:ascii="Times New Roman" w:hAnsi="Times New Roman" w:cs="Times New Roman"/>
          <w:sz w:val="24"/>
          <w:szCs w:val="24"/>
        </w:rPr>
        <w:t>li doszło do na</w:t>
      </w:r>
      <w:r w:rsidR="005C76FB" w:rsidRPr="005C7D13">
        <w:rPr>
          <w:rFonts w:ascii="Times New Roman" w:hAnsi="Times New Roman" w:cs="Times New Roman"/>
          <w:sz w:val="24"/>
          <w:szCs w:val="24"/>
        </w:rPr>
        <w:t xml:space="preserve">ruszenia ochrony danych, który </w:t>
      </w:r>
      <w:r w:rsidRPr="005C7D13">
        <w:rPr>
          <w:rFonts w:ascii="Times New Roman" w:hAnsi="Times New Roman" w:cs="Times New Roman"/>
          <w:sz w:val="24"/>
          <w:szCs w:val="24"/>
        </w:rPr>
        <w:t>niezwłocznie zgłasza Komisji Europejskiej to naruszenie, a także wszelkie późniejsze działania naprawcze. Zgodnie z ust. 2 art. 6</w:t>
      </w:r>
      <w:r w:rsidR="00390A56" w:rsidRPr="005C7D13">
        <w:rPr>
          <w:rFonts w:ascii="Times New Roman" w:hAnsi="Times New Roman" w:cs="Times New Roman"/>
          <w:sz w:val="24"/>
          <w:szCs w:val="24"/>
        </w:rPr>
        <w:t>c</w:t>
      </w:r>
      <w:r w:rsidRPr="005C7D13">
        <w:rPr>
          <w:rFonts w:ascii="Times New Roman" w:hAnsi="Times New Roman" w:cs="Times New Roman"/>
          <w:sz w:val="24"/>
          <w:szCs w:val="24"/>
        </w:rPr>
        <w:t xml:space="preserve"> Szef KAS może zawiesić w trybie natychmiastowym wymianę informacji z państwem członkowskim, w którym doszło do naruszenia ochrony danych, powiadamiając o tym na piśmie KE oraz zainteresowane państwo członkowskie. </w:t>
      </w:r>
      <w:r w:rsidR="005C7D13" w:rsidRPr="005C7D13">
        <w:rPr>
          <w:rFonts w:ascii="Times New Roman" w:hAnsi="Times New Roman" w:cs="Times New Roman"/>
          <w:sz w:val="24"/>
          <w:szCs w:val="24"/>
        </w:rPr>
        <w:t xml:space="preserve">W celu prawidłowego wdrożenia tego przepisu konieczne jest nadanie tej normie </w:t>
      </w:r>
      <w:r w:rsidR="005C7D13" w:rsidRPr="005C7D13">
        <w:rPr>
          <w:rFonts w:ascii="Times New Roman" w:hAnsi="Times New Roman" w:cs="Times New Roman"/>
          <w:sz w:val="24"/>
          <w:szCs w:val="24"/>
        </w:rPr>
        <w:lastRenderedPageBreak/>
        <w:t>właściwych ram</w:t>
      </w:r>
      <w:r w:rsidR="00BC5F28">
        <w:rPr>
          <w:rFonts w:ascii="Times New Roman" w:hAnsi="Times New Roman" w:cs="Times New Roman"/>
          <w:sz w:val="24"/>
          <w:szCs w:val="24"/>
        </w:rPr>
        <w:t>,</w:t>
      </w:r>
      <w:r w:rsidR="005C7D13" w:rsidRPr="005C7D13">
        <w:rPr>
          <w:rFonts w:ascii="Times New Roman" w:hAnsi="Times New Roman" w:cs="Times New Roman"/>
          <w:sz w:val="24"/>
          <w:szCs w:val="24"/>
        </w:rPr>
        <w:t xml:space="preserve"> uwzględniając cel regulacji</w:t>
      </w:r>
      <w:r w:rsidR="00BC5F28">
        <w:rPr>
          <w:rFonts w:ascii="Times New Roman" w:hAnsi="Times New Roman" w:cs="Times New Roman"/>
          <w:sz w:val="24"/>
          <w:szCs w:val="24"/>
        </w:rPr>
        <w:t>,</w:t>
      </w:r>
      <w:r w:rsidR="005C7D13" w:rsidRPr="005C7D13">
        <w:rPr>
          <w:rFonts w:ascii="Times New Roman" w:hAnsi="Times New Roman" w:cs="Times New Roman"/>
          <w:sz w:val="24"/>
          <w:szCs w:val="24"/>
        </w:rPr>
        <w:t xml:space="preserve"> jakim jest właściwe zabezpieczenie danych osobowych przetwarzanych w związku z wymianą informacji podatkowych przez wyznaczone do tego organy. Skoro zgodnie z art. 5 ust. 1 uWIP Szef KAS jest organem właściwym w sprawach wymiany informacji podatkowych z innymi państwami, który przetwarza dane osobowe pozostające w związku ze stosowaniem dyrektywy, to zasadn</w:t>
      </w:r>
      <w:r w:rsidR="00BC5F28">
        <w:rPr>
          <w:rFonts w:ascii="Times New Roman" w:hAnsi="Times New Roman" w:cs="Times New Roman"/>
          <w:sz w:val="24"/>
          <w:szCs w:val="24"/>
        </w:rPr>
        <w:t>e</w:t>
      </w:r>
      <w:r w:rsidR="005C7D13" w:rsidRPr="005C7D13">
        <w:rPr>
          <w:rFonts w:ascii="Times New Roman" w:hAnsi="Times New Roman" w:cs="Times New Roman"/>
          <w:sz w:val="24"/>
          <w:szCs w:val="24"/>
        </w:rPr>
        <w:t xml:space="preserve"> jest ograniczenie projektowanego art. 6c ust. 1 uWIP wdrażającego art. 25 ust. 6 dyrektywy do naruszeń ochrony danych osobowych przez Szefa KAS. Pozostałe incydenty skutkujące naruszeniem danych osobowych będą realizowane w ramach procedur przewidzianych w ogólnym rozporządzeniu o ochronie danych osobowych (RODO) oraz innych aktach regulujących kwestie ochrony danych osobowych.</w:t>
      </w:r>
    </w:p>
    <w:p w14:paraId="6505DC83" w14:textId="1148D240" w:rsidR="00F62650" w:rsidRPr="005C7D13" w:rsidRDefault="00D330A4" w:rsidP="00BC5F28">
      <w:pPr>
        <w:pStyle w:val="Akapitzlist"/>
        <w:numPr>
          <w:ilvl w:val="1"/>
          <w:numId w:val="15"/>
        </w:numPr>
        <w:spacing w:before="120" w:after="0" w:line="360" w:lineRule="auto"/>
        <w:ind w:left="993"/>
        <w:jc w:val="both"/>
        <w:rPr>
          <w:rFonts w:ascii="Times New Roman" w:hAnsi="Times New Roman" w:cs="Times New Roman"/>
          <w:sz w:val="24"/>
          <w:szCs w:val="24"/>
        </w:rPr>
      </w:pPr>
      <w:r>
        <w:rPr>
          <w:rFonts w:ascii="Times New Roman" w:hAnsi="Times New Roman" w:cs="Times New Roman"/>
          <w:sz w:val="24"/>
          <w:szCs w:val="24"/>
        </w:rPr>
        <w:t>Przepisy</w:t>
      </w:r>
      <w:r w:rsidR="00F62650" w:rsidRPr="005C7D13">
        <w:rPr>
          <w:rFonts w:ascii="Times New Roman" w:hAnsi="Times New Roman" w:cs="Times New Roman"/>
          <w:sz w:val="24"/>
          <w:szCs w:val="24"/>
        </w:rPr>
        <w:t xml:space="preserve"> art. 6</w:t>
      </w:r>
      <w:r w:rsidR="00390A56" w:rsidRPr="005C7D13">
        <w:rPr>
          <w:rFonts w:ascii="Times New Roman" w:hAnsi="Times New Roman" w:cs="Times New Roman"/>
          <w:sz w:val="24"/>
          <w:szCs w:val="24"/>
        </w:rPr>
        <w:t>c</w:t>
      </w:r>
      <w:r w:rsidR="00F62650" w:rsidRPr="005C7D13">
        <w:rPr>
          <w:rFonts w:ascii="Times New Roman" w:hAnsi="Times New Roman" w:cs="Times New Roman"/>
          <w:sz w:val="24"/>
          <w:szCs w:val="24"/>
        </w:rPr>
        <w:t xml:space="preserve"> ust. 3</w:t>
      </w:r>
      <w:r w:rsidR="00BC5F28">
        <w:rPr>
          <w:rFonts w:ascii="Times New Roman" w:hAnsi="Times New Roman" w:cs="Times New Roman"/>
          <w:sz w:val="24"/>
          <w:szCs w:val="24"/>
        </w:rPr>
        <w:t>–</w:t>
      </w:r>
      <w:r w:rsidR="00F62650" w:rsidRPr="005C7D13">
        <w:rPr>
          <w:rFonts w:ascii="Times New Roman" w:hAnsi="Times New Roman" w:cs="Times New Roman"/>
          <w:sz w:val="24"/>
          <w:szCs w:val="24"/>
        </w:rPr>
        <w:t>5 reguluj</w:t>
      </w:r>
      <w:r>
        <w:rPr>
          <w:rFonts w:ascii="Times New Roman" w:hAnsi="Times New Roman" w:cs="Times New Roman"/>
          <w:sz w:val="24"/>
          <w:szCs w:val="24"/>
        </w:rPr>
        <w:t>ą</w:t>
      </w:r>
      <w:r w:rsidR="00F62650" w:rsidRPr="005C7D13">
        <w:rPr>
          <w:rFonts w:ascii="Times New Roman" w:hAnsi="Times New Roman" w:cs="Times New Roman"/>
          <w:sz w:val="24"/>
          <w:szCs w:val="24"/>
        </w:rPr>
        <w:t xml:space="preserve"> kolejne obowiązki Szefa KAS, który w przypadku naruszenia ochrony danych bada i powstrzymuje to naruszenie oraz podejmuje działania naprawcze przez</w:t>
      </w:r>
      <w:r w:rsidR="00502932" w:rsidRPr="005C7D13">
        <w:rPr>
          <w:rFonts w:ascii="Times New Roman" w:hAnsi="Times New Roman" w:cs="Times New Roman"/>
          <w:sz w:val="24"/>
          <w:szCs w:val="24"/>
        </w:rPr>
        <w:t xml:space="preserve"> </w:t>
      </w:r>
      <w:r w:rsidR="00F62650" w:rsidRPr="005C7D13">
        <w:rPr>
          <w:rFonts w:ascii="Times New Roman" w:hAnsi="Times New Roman" w:cs="Times New Roman"/>
          <w:sz w:val="24"/>
          <w:szCs w:val="24"/>
        </w:rPr>
        <w:t>powiadomienie KE. Jeżeli naruszenie ochrony danych nie może zostać niezwłocznie i odpowiednio powstrzymane, Szef KAS występuje z wnioskiem o zawieszenie dostępu do wspólnej sieci łączności (CCN). Szef KAS może również wnioskować do KE o wspólne sprawdzenie, czy działania naprawcze względem naruszenia ochrony danych były skuteczne.</w:t>
      </w:r>
    </w:p>
    <w:p w14:paraId="2CE98540" w14:textId="77777777" w:rsidR="00F62650" w:rsidRPr="00FD37FC" w:rsidRDefault="00F62650" w:rsidP="00507007">
      <w:pPr>
        <w:pStyle w:val="Akapitzlist"/>
        <w:pBdr>
          <w:top w:val="nil"/>
          <w:left w:val="nil"/>
          <w:bottom w:val="nil"/>
          <w:right w:val="nil"/>
          <w:between w:val="nil"/>
          <w:bar w:val="nil"/>
        </w:pBdr>
        <w:spacing w:before="120" w:after="0" w:line="360" w:lineRule="auto"/>
        <w:jc w:val="both"/>
        <w:rPr>
          <w:rFonts w:ascii="Times New Roman" w:hAnsi="Times New Roman" w:cs="Times New Roman"/>
          <w:b/>
          <w:sz w:val="24"/>
          <w:szCs w:val="24"/>
        </w:rPr>
      </w:pPr>
    </w:p>
    <w:p w14:paraId="15A9C52A" w14:textId="77777777" w:rsidR="00F62650" w:rsidRPr="00FD37FC" w:rsidRDefault="00F62650" w:rsidP="00507007">
      <w:pPr>
        <w:pBdr>
          <w:top w:val="nil"/>
          <w:left w:val="nil"/>
          <w:bottom w:val="nil"/>
          <w:right w:val="nil"/>
          <w:between w:val="nil"/>
          <w:bar w:val="nil"/>
        </w:pBdr>
        <w:spacing w:before="120" w:after="0" w:line="360" w:lineRule="auto"/>
        <w:ind w:firstLine="284"/>
        <w:jc w:val="both"/>
        <w:rPr>
          <w:rFonts w:ascii="Times New Roman" w:hAnsi="Times New Roman" w:cs="Times New Roman"/>
          <w:b/>
          <w:sz w:val="24"/>
          <w:szCs w:val="24"/>
        </w:rPr>
      </w:pPr>
      <w:r w:rsidRPr="00FD37FC">
        <w:rPr>
          <w:rFonts w:ascii="Times New Roman" w:hAnsi="Times New Roman" w:cs="Times New Roman"/>
          <w:b/>
          <w:sz w:val="24"/>
          <w:szCs w:val="24"/>
        </w:rPr>
        <w:t>•</w:t>
      </w:r>
      <w:r w:rsidRPr="00FD37FC">
        <w:rPr>
          <w:rFonts w:ascii="Times New Roman" w:hAnsi="Times New Roman" w:cs="Times New Roman"/>
          <w:b/>
          <w:sz w:val="24"/>
          <w:szCs w:val="24"/>
        </w:rPr>
        <w:tab/>
        <w:t>Zmiany w art. 10 (standard przewidywalnego związku)</w:t>
      </w:r>
    </w:p>
    <w:p w14:paraId="0601CF22" w14:textId="238FB49F" w:rsidR="00FD37FC" w:rsidRPr="00FD37FC" w:rsidRDefault="00F62650"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FD37FC">
        <w:rPr>
          <w:rFonts w:ascii="Times New Roman" w:hAnsi="Times New Roman" w:cs="Times New Roman"/>
          <w:sz w:val="24"/>
          <w:szCs w:val="24"/>
        </w:rPr>
        <w:t>Zmiany wprowadzone w art. 10 uWIP</w:t>
      </w:r>
      <w:r w:rsidR="00FD37FC" w:rsidRPr="00471CB6">
        <w:rPr>
          <w:rFonts w:ascii="Times New Roman" w:hAnsi="Times New Roman" w:cs="Times New Roman"/>
          <w:sz w:val="24"/>
          <w:szCs w:val="24"/>
        </w:rPr>
        <w:t xml:space="preserve"> odzwierciedla</w:t>
      </w:r>
      <w:r w:rsidR="00FD37FC" w:rsidRPr="00FD37FC">
        <w:rPr>
          <w:rFonts w:ascii="Times New Roman" w:hAnsi="Times New Roman" w:cs="Times New Roman"/>
          <w:sz w:val="24"/>
          <w:szCs w:val="24"/>
        </w:rPr>
        <w:t>ją regulację</w:t>
      </w:r>
      <w:r w:rsidRPr="00FD37FC">
        <w:rPr>
          <w:rFonts w:ascii="Times New Roman" w:hAnsi="Times New Roman" w:cs="Times New Roman"/>
          <w:sz w:val="24"/>
          <w:szCs w:val="24"/>
        </w:rPr>
        <w:t xml:space="preserve"> </w:t>
      </w:r>
      <w:r w:rsidR="00FD37FC" w:rsidRPr="00FD37FC">
        <w:rPr>
          <w:rFonts w:ascii="Times New Roman" w:hAnsi="Times New Roman" w:cs="Times New Roman"/>
          <w:sz w:val="24"/>
          <w:szCs w:val="24"/>
        </w:rPr>
        <w:t>z</w:t>
      </w:r>
      <w:r w:rsidR="003C1606" w:rsidRPr="00FD37FC">
        <w:rPr>
          <w:rFonts w:ascii="Times New Roman" w:hAnsi="Times New Roman" w:cs="Times New Roman"/>
          <w:sz w:val="24"/>
          <w:szCs w:val="24"/>
        </w:rPr>
        <w:t xml:space="preserve"> </w:t>
      </w:r>
      <w:r w:rsidRPr="00FD37FC">
        <w:rPr>
          <w:rFonts w:ascii="Times New Roman" w:hAnsi="Times New Roman" w:cs="Times New Roman"/>
          <w:sz w:val="24"/>
          <w:szCs w:val="24"/>
        </w:rPr>
        <w:t xml:space="preserve">art. 5a </w:t>
      </w:r>
      <w:r w:rsidR="00D330A4">
        <w:rPr>
          <w:rFonts w:ascii="Times New Roman" w:hAnsi="Times New Roman" w:cs="Times New Roman"/>
          <w:sz w:val="24"/>
          <w:szCs w:val="24"/>
        </w:rPr>
        <w:t>d</w:t>
      </w:r>
      <w:r w:rsidRPr="00FD37FC">
        <w:rPr>
          <w:rFonts w:ascii="Times New Roman" w:hAnsi="Times New Roman" w:cs="Times New Roman"/>
          <w:sz w:val="24"/>
          <w:szCs w:val="24"/>
        </w:rPr>
        <w:t>yrektywy 2011/16/UE, regulującego standard „przewidywalnego związku”, mającego zastosowanie w przypadku wniosków o udzielenie informacji</w:t>
      </w:r>
      <w:r w:rsidR="00FD37FC" w:rsidRPr="00FD37FC">
        <w:rPr>
          <w:rFonts w:ascii="Times New Roman" w:hAnsi="Times New Roman" w:cs="Times New Roman"/>
          <w:sz w:val="24"/>
          <w:szCs w:val="24"/>
        </w:rPr>
        <w:t>:</w:t>
      </w:r>
    </w:p>
    <w:p w14:paraId="6E68DBF9" w14:textId="77777777" w:rsidR="00FD37FC" w:rsidRPr="006815B9" w:rsidRDefault="00FD37FC" w:rsidP="00507007">
      <w:pPr>
        <w:pStyle w:val="SrodtytulpismaMF"/>
        <w:spacing w:before="120" w:line="360" w:lineRule="auto"/>
        <w:rPr>
          <w:rFonts w:ascii="Times New Roman" w:hAnsi="Times New Roman" w:cs="Times New Roman"/>
          <w:b w:val="0"/>
          <w:i/>
          <w:iCs/>
          <w:sz w:val="24"/>
          <w:szCs w:val="24"/>
        </w:rPr>
      </w:pPr>
      <w:r w:rsidRPr="006815B9">
        <w:rPr>
          <w:rFonts w:ascii="Times New Roman" w:hAnsi="Times New Roman" w:cs="Times New Roman"/>
          <w:b w:val="0"/>
          <w:i/>
          <w:iCs/>
          <w:sz w:val="24"/>
          <w:szCs w:val="24"/>
        </w:rPr>
        <w:t xml:space="preserve">Artykuł 5a Przewidywalny związek </w:t>
      </w:r>
    </w:p>
    <w:p w14:paraId="47CBD193" w14:textId="77777777" w:rsidR="00FD37FC" w:rsidRPr="006815B9" w:rsidRDefault="00FD37FC" w:rsidP="006611E7">
      <w:pPr>
        <w:pStyle w:val="SrodtytulpismaMF"/>
        <w:spacing w:before="120" w:line="360" w:lineRule="auto"/>
        <w:ind w:left="284" w:hanging="284"/>
        <w:rPr>
          <w:rFonts w:ascii="Times New Roman" w:hAnsi="Times New Roman" w:cs="Times New Roman"/>
          <w:b w:val="0"/>
          <w:i/>
          <w:iCs/>
          <w:sz w:val="24"/>
          <w:szCs w:val="24"/>
        </w:rPr>
      </w:pPr>
      <w:r w:rsidRPr="006815B9">
        <w:rPr>
          <w:rFonts w:ascii="Times New Roman" w:hAnsi="Times New Roman" w:cs="Times New Roman"/>
          <w:b w:val="0"/>
          <w:i/>
          <w:iCs/>
          <w:sz w:val="24"/>
          <w:szCs w:val="24"/>
        </w:rPr>
        <w:t>1. Na potrzeby wniosku, o którym mowa w art. 5, informacje, których dotyczy wniosek, mają przewidywalny związek, jeżeli w momencie składania wniosku, organ wnioskujący uważa, że zgodnie z jego prawem krajowym zasadne jest uznanie, że informacje, których dotyczy wniosek, będą istotne dla spraw podatkowych jednego lub kilku podatników</w:t>
      </w:r>
      <w:r w:rsidRPr="00106721">
        <w:rPr>
          <w:rFonts w:ascii="Times New Roman" w:hAnsi="Times New Roman" w:cs="Times New Roman"/>
          <w:b w:val="0"/>
          <w:i/>
          <w:iCs/>
          <w:sz w:val="24"/>
          <w:szCs w:val="24"/>
        </w:rPr>
        <w:t xml:space="preserve">, </w:t>
      </w:r>
      <w:r w:rsidRPr="006815B9">
        <w:rPr>
          <w:rFonts w:ascii="Times New Roman" w:hAnsi="Times New Roman" w:cs="Times New Roman"/>
          <w:b w:val="0"/>
          <w:i/>
          <w:iCs/>
          <w:sz w:val="24"/>
          <w:szCs w:val="24"/>
        </w:rPr>
        <w:t xml:space="preserve">niezależnie od tego, czy identyfikuje się ich po imieniu i nazwisku/nazwie, czy w inny sposób, oraz że będą miały znaczenie do celów dochodzenia. </w:t>
      </w:r>
    </w:p>
    <w:p w14:paraId="7133C074" w14:textId="77777777" w:rsidR="00FD37FC" w:rsidRPr="006815B9" w:rsidRDefault="00FD37FC" w:rsidP="006611E7">
      <w:pPr>
        <w:pStyle w:val="SrodtytulpismaMF"/>
        <w:spacing w:before="120" w:line="360" w:lineRule="auto"/>
        <w:ind w:left="284" w:hanging="284"/>
        <w:rPr>
          <w:rFonts w:ascii="Times New Roman" w:hAnsi="Times New Roman" w:cs="Times New Roman"/>
          <w:b w:val="0"/>
          <w:i/>
          <w:iCs/>
          <w:sz w:val="24"/>
          <w:szCs w:val="24"/>
        </w:rPr>
      </w:pPr>
      <w:r w:rsidRPr="006815B9">
        <w:rPr>
          <w:rFonts w:ascii="Times New Roman" w:hAnsi="Times New Roman" w:cs="Times New Roman"/>
          <w:b w:val="0"/>
          <w:i/>
          <w:iCs/>
          <w:sz w:val="24"/>
          <w:szCs w:val="24"/>
        </w:rPr>
        <w:t xml:space="preserve">2. W celu wykazania przewidywalnego związku informacji, których dotyczy wniosek, organ wnioskujący przekazuje organowi współpracującemu co najmniej następujące informacje: </w:t>
      </w:r>
    </w:p>
    <w:p w14:paraId="696B09FD" w14:textId="77777777" w:rsidR="00FD37FC" w:rsidRPr="006815B9" w:rsidRDefault="00FD37FC" w:rsidP="006611E7">
      <w:pPr>
        <w:pStyle w:val="SrodtytulpismaMF"/>
        <w:spacing w:before="120" w:line="360" w:lineRule="auto"/>
        <w:ind w:left="426" w:hanging="142"/>
        <w:rPr>
          <w:rFonts w:ascii="Times New Roman" w:hAnsi="Times New Roman" w:cs="Times New Roman"/>
          <w:b w:val="0"/>
          <w:i/>
          <w:iCs/>
          <w:sz w:val="24"/>
          <w:szCs w:val="24"/>
        </w:rPr>
      </w:pPr>
      <w:r w:rsidRPr="006815B9">
        <w:rPr>
          <w:rFonts w:ascii="Times New Roman" w:hAnsi="Times New Roman" w:cs="Times New Roman"/>
          <w:b w:val="0"/>
          <w:i/>
          <w:iCs/>
          <w:sz w:val="24"/>
          <w:szCs w:val="24"/>
        </w:rPr>
        <w:t xml:space="preserve">a) cel podatkowy, dla którego złożono wniosek o udzielenie informacji; oraz </w:t>
      </w:r>
    </w:p>
    <w:p w14:paraId="4A6B25D2" w14:textId="77777777" w:rsidR="00FD37FC" w:rsidRPr="006815B9" w:rsidRDefault="00FD37FC" w:rsidP="006611E7">
      <w:pPr>
        <w:pStyle w:val="SrodtytulpismaMF"/>
        <w:spacing w:before="120" w:line="360" w:lineRule="auto"/>
        <w:ind w:left="426" w:hanging="142"/>
        <w:rPr>
          <w:rFonts w:ascii="Times New Roman" w:hAnsi="Times New Roman" w:cs="Times New Roman"/>
          <w:b w:val="0"/>
          <w:i/>
          <w:iCs/>
          <w:sz w:val="24"/>
          <w:szCs w:val="24"/>
        </w:rPr>
      </w:pPr>
      <w:r w:rsidRPr="006815B9">
        <w:rPr>
          <w:rFonts w:ascii="Times New Roman" w:hAnsi="Times New Roman" w:cs="Times New Roman"/>
          <w:b w:val="0"/>
          <w:i/>
          <w:iCs/>
          <w:sz w:val="24"/>
          <w:szCs w:val="24"/>
        </w:rPr>
        <w:lastRenderedPageBreak/>
        <w:t xml:space="preserve">b) wyszczególnienie informacji wymaganych przez administrację do celów stosowania lub egzekwowania prawa krajowego wnioskującego organu. </w:t>
      </w:r>
    </w:p>
    <w:p w14:paraId="0B96CD3F" w14:textId="35032FA5" w:rsidR="00FD37FC" w:rsidRPr="006815B9" w:rsidRDefault="00FD37FC" w:rsidP="006611E7">
      <w:pPr>
        <w:pStyle w:val="SrodtytulpismaMF"/>
        <w:spacing w:before="120" w:line="360" w:lineRule="auto"/>
        <w:ind w:left="284" w:hanging="284"/>
        <w:rPr>
          <w:rFonts w:ascii="Times New Roman" w:hAnsi="Times New Roman" w:cs="Times New Roman"/>
          <w:b w:val="0"/>
          <w:i/>
          <w:iCs/>
          <w:sz w:val="24"/>
          <w:szCs w:val="24"/>
        </w:rPr>
      </w:pPr>
      <w:r w:rsidRPr="006815B9">
        <w:rPr>
          <w:rFonts w:ascii="Times New Roman" w:hAnsi="Times New Roman" w:cs="Times New Roman"/>
          <w:b w:val="0"/>
          <w:i/>
          <w:iCs/>
          <w:sz w:val="24"/>
          <w:szCs w:val="24"/>
        </w:rPr>
        <w:t>3.</w:t>
      </w:r>
      <w:r w:rsidR="00D330A4">
        <w:rPr>
          <w:rFonts w:ascii="Times New Roman" w:hAnsi="Times New Roman" w:cs="Times New Roman"/>
          <w:b w:val="0"/>
          <w:i/>
          <w:iCs/>
          <w:sz w:val="24"/>
          <w:szCs w:val="24"/>
        </w:rPr>
        <w:t xml:space="preserve"> </w:t>
      </w:r>
      <w:r w:rsidRPr="006815B9">
        <w:rPr>
          <w:rFonts w:ascii="Times New Roman" w:hAnsi="Times New Roman" w:cs="Times New Roman"/>
          <w:b w:val="0"/>
          <w:i/>
          <w:iCs/>
          <w:sz w:val="24"/>
          <w:szCs w:val="24"/>
        </w:rPr>
        <w:t xml:space="preserve">W przypadku gdy wniosek, o którym mowa w art. 5, dotyczy grupy podatników, których nie można zidentyfikować indywidualnie, organ wnioskujący przekazuje organowi współpracującemu co najmniej następujące informacje: </w:t>
      </w:r>
    </w:p>
    <w:p w14:paraId="334CA934" w14:textId="77777777" w:rsidR="00FD37FC" w:rsidRPr="006815B9" w:rsidRDefault="00FD37FC" w:rsidP="006611E7">
      <w:pPr>
        <w:pStyle w:val="SrodtytulpismaMF"/>
        <w:spacing w:before="120" w:line="360" w:lineRule="auto"/>
        <w:ind w:left="426" w:hanging="142"/>
        <w:rPr>
          <w:rFonts w:ascii="Times New Roman" w:hAnsi="Times New Roman" w:cs="Times New Roman"/>
          <w:b w:val="0"/>
          <w:i/>
          <w:iCs/>
          <w:sz w:val="24"/>
          <w:szCs w:val="24"/>
        </w:rPr>
      </w:pPr>
      <w:r w:rsidRPr="006815B9">
        <w:rPr>
          <w:rFonts w:ascii="Times New Roman" w:hAnsi="Times New Roman" w:cs="Times New Roman"/>
          <w:b w:val="0"/>
          <w:i/>
          <w:iCs/>
          <w:sz w:val="24"/>
          <w:szCs w:val="24"/>
        </w:rPr>
        <w:t xml:space="preserve">a) szczegółowy opis grupy; </w:t>
      </w:r>
    </w:p>
    <w:p w14:paraId="1F03F607" w14:textId="77777777" w:rsidR="00FD37FC" w:rsidRPr="006815B9" w:rsidRDefault="00FD37FC" w:rsidP="006611E7">
      <w:pPr>
        <w:pStyle w:val="SrodtytulpismaMF"/>
        <w:spacing w:before="120" w:line="360" w:lineRule="auto"/>
        <w:ind w:left="426" w:hanging="142"/>
        <w:rPr>
          <w:rFonts w:ascii="Times New Roman" w:hAnsi="Times New Roman" w:cs="Times New Roman"/>
          <w:b w:val="0"/>
          <w:i/>
          <w:iCs/>
          <w:sz w:val="24"/>
          <w:szCs w:val="24"/>
        </w:rPr>
      </w:pPr>
      <w:r w:rsidRPr="006815B9">
        <w:rPr>
          <w:rFonts w:ascii="Times New Roman" w:hAnsi="Times New Roman" w:cs="Times New Roman"/>
          <w:b w:val="0"/>
          <w:i/>
          <w:iCs/>
          <w:sz w:val="24"/>
          <w:szCs w:val="24"/>
        </w:rPr>
        <w:t xml:space="preserve">b) wyjaśnienie mającego zastosowanie prawa oraz faktów, na podstawie których istnieją podstawy, by sądzić, że podatnicy należący do grupy nie zastosowali się do obowiązującego prawa; </w:t>
      </w:r>
    </w:p>
    <w:p w14:paraId="76021E9D" w14:textId="77777777" w:rsidR="00FD37FC" w:rsidRPr="006815B9" w:rsidRDefault="00FD37FC" w:rsidP="006611E7">
      <w:pPr>
        <w:pStyle w:val="SrodtytulpismaMF"/>
        <w:spacing w:before="120" w:line="360" w:lineRule="auto"/>
        <w:ind w:left="426" w:hanging="142"/>
        <w:rPr>
          <w:rFonts w:ascii="Times New Roman" w:hAnsi="Times New Roman" w:cs="Times New Roman"/>
          <w:b w:val="0"/>
          <w:i/>
          <w:iCs/>
          <w:sz w:val="24"/>
          <w:szCs w:val="24"/>
        </w:rPr>
      </w:pPr>
      <w:r w:rsidRPr="006815B9">
        <w:rPr>
          <w:rFonts w:ascii="Times New Roman" w:hAnsi="Times New Roman" w:cs="Times New Roman"/>
          <w:b w:val="0"/>
          <w:i/>
          <w:iCs/>
          <w:sz w:val="24"/>
          <w:szCs w:val="24"/>
        </w:rPr>
        <w:t xml:space="preserve">c) wyjaśnienie, w jaki sposób informacje, których dotyczy wniosek, miałyby pomóc w ustaleniu, czy podatnicy należący do grupy zastosowali się do obowiązujących przepisów prawa; oraz </w:t>
      </w:r>
    </w:p>
    <w:p w14:paraId="12D2A11E" w14:textId="6FA51159" w:rsidR="00FD37FC" w:rsidRPr="006815B9" w:rsidRDefault="00FD37FC" w:rsidP="006611E7">
      <w:pPr>
        <w:pStyle w:val="SrodtytulpismaMF"/>
        <w:spacing w:before="120" w:line="360" w:lineRule="auto"/>
        <w:ind w:left="426" w:hanging="142"/>
        <w:rPr>
          <w:rFonts w:ascii="Times New Roman" w:hAnsi="Times New Roman" w:cs="Times New Roman"/>
          <w:i/>
          <w:iCs/>
          <w:sz w:val="24"/>
          <w:szCs w:val="24"/>
        </w:rPr>
      </w:pPr>
      <w:r w:rsidRPr="006815B9">
        <w:rPr>
          <w:rFonts w:ascii="Times New Roman" w:hAnsi="Times New Roman" w:cs="Times New Roman"/>
          <w:b w:val="0"/>
          <w:i/>
          <w:iCs/>
          <w:sz w:val="24"/>
          <w:szCs w:val="24"/>
        </w:rPr>
        <w:t>d) w stosownych przypadkach – fakty i okoliczności związane z udziałem osoby trzeciej, która aktywnie przyczyniła się do potencjalnego niezgodnego z obowiązującym prawem działania podatników należących do grupy</w:t>
      </w:r>
      <w:r w:rsidRPr="006815B9">
        <w:rPr>
          <w:rFonts w:ascii="Times New Roman" w:hAnsi="Times New Roman" w:cs="Times New Roman"/>
          <w:b w:val="0"/>
          <w:sz w:val="24"/>
          <w:szCs w:val="24"/>
        </w:rPr>
        <w:t>.</w:t>
      </w:r>
    </w:p>
    <w:p w14:paraId="2CFD98BA" w14:textId="522972A5" w:rsidR="00F62650" w:rsidRPr="00EB304C" w:rsidRDefault="00F62650"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 xml:space="preserve">Projektowane zmiany określają elementy i wymogi proceduralne, których musi przestrzegać organ wnioskujący. </w:t>
      </w:r>
    </w:p>
    <w:p w14:paraId="17D8E174" w14:textId="203BC6AE" w:rsidR="00F62650" w:rsidRPr="00EB304C" w:rsidRDefault="00F62650"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 xml:space="preserve">Standard przewidywalnego związku został także wskazany w motywie 9 </w:t>
      </w:r>
      <w:r w:rsidR="00D330A4">
        <w:rPr>
          <w:rFonts w:ascii="Times New Roman" w:hAnsi="Times New Roman" w:cs="Times New Roman"/>
          <w:sz w:val="24"/>
          <w:szCs w:val="24"/>
        </w:rPr>
        <w:t>d</w:t>
      </w:r>
      <w:r w:rsidRPr="00EB304C">
        <w:rPr>
          <w:rFonts w:ascii="Times New Roman" w:hAnsi="Times New Roman" w:cs="Times New Roman"/>
          <w:sz w:val="24"/>
          <w:szCs w:val="24"/>
        </w:rPr>
        <w:t xml:space="preserve">yrektywy 2011/16/UE, zgodnie z którym </w:t>
      </w:r>
      <w:r w:rsidRPr="00EB304C">
        <w:rPr>
          <w:rFonts w:ascii="Times New Roman" w:hAnsi="Times New Roman" w:cs="Times New Roman"/>
          <w:i/>
          <w:sz w:val="24"/>
          <w:szCs w:val="24"/>
        </w:rPr>
        <w:t>Państwa członkowskie powinny wymieniać informacje dotyczące poszczególnych spraw, w przypadku gdy inne państwo członkowskie zwróci się ze</w:t>
      </w:r>
      <w:r w:rsidR="005C76FB" w:rsidRPr="00EB304C">
        <w:rPr>
          <w:rFonts w:ascii="Times New Roman" w:hAnsi="Times New Roman" w:cs="Times New Roman"/>
          <w:i/>
          <w:sz w:val="24"/>
          <w:szCs w:val="24"/>
        </w:rPr>
        <w:t> </w:t>
      </w:r>
      <w:r w:rsidRPr="00EB304C">
        <w:rPr>
          <w:rFonts w:ascii="Times New Roman" w:hAnsi="Times New Roman" w:cs="Times New Roman"/>
          <w:i/>
          <w:sz w:val="24"/>
          <w:szCs w:val="24"/>
        </w:rPr>
        <w:t>stosownym wnioskiem i powinny przeprowadzić niezbędne postępowanie w celu uzyskania tych informacji. Standard "przewidywalnego związku" (ang. foreseeable relevance) ma zapewnić jak najszerszą wymianę informacji w sprawach podatkowych i jednocześnie precyzować, że państwa członkowskie nie mają prawa angażować się w tzw. fishing expeditions ani zwracać się o informacje, które nie są związane ze sprawami podatkowymi danego podatnika. Choć art. 20 niniejszej dyrektywy zawiera wymogi proceduralne, przepisy te należy interpretować liberalnie, tak aby nie utrudnić skutecznej wymiany informacji.</w:t>
      </w:r>
    </w:p>
    <w:p w14:paraId="764DD65C" w14:textId="2039DEA2" w:rsidR="00F62650" w:rsidRPr="00EB304C" w:rsidRDefault="00F62650"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 xml:space="preserve">Zgodnie z obecnym brzmieniem art. 10 pkt 1 ustawy o wymianie informacji </w:t>
      </w:r>
      <w:r w:rsidR="00D330A4">
        <w:rPr>
          <w:rFonts w:ascii="Times New Roman" w:hAnsi="Times New Roman" w:cs="Times New Roman"/>
          <w:sz w:val="24"/>
          <w:szCs w:val="24"/>
        </w:rPr>
        <w:t xml:space="preserve">podatkowych z innymi państwami </w:t>
      </w:r>
      <w:r w:rsidRPr="00EB304C">
        <w:rPr>
          <w:rFonts w:ascii="Times New Roman" w:hAnsi="Times New Roman" w:cs="Times New Roman"/>
          <w:sz w:val="24"/>
          <w:szCs w:val="24"/>
        </w:rPr>
        <w:t>wniosek o udzielenie informacji podatkowych zawiera dane identyfikujące podmiot, którego informacje podatkowe mają dotyczyć: imię i nazwisko lub nazwę (firmę), adres i inne posiadane dane niezbędne do identyfikacji podmiotu, którego wniosek dotyczy. Przepis ten stan</w:t>
      </w:r>
      <w:r w:rsidR="005C76FB" w:rsidRPr="00EB304C">
        <w:rPr>
          <w:rFonts w:ascii="Times New Roman" w:hAnsi="Times New Roman" w:cs="Times New Roman"/>
          <w:sz w:val="24"/>
          <w:szCs w:val="24"/>
        </w:rPr>
        <w:t>owił transpozycję art. 1 ust. 1</w:t>
      </w:r>
      <w:r w:rsidRPr="00EB304C">
        <w:rPr>
          <w:rFonts w:ascii="Times New Roman" w:hAnsi="Times New Roman" w:cs="Times New Roman"/>
          <w:sz w:val="24"/>
          <w:szCs w:val="24"/>
        </w:rPr>
        <w:t xml:space="preserve"> oraz art. 5 dyrektywy 2011/16. Zgodnie z art. 1 ust. 1 dyrektywy 2011/16, dyrektywa ustanawia zasady i procedury, zgodnie z którymi państwa </w:t>
      </w:r>
      <w:r w:rsidRPr="00EB304C">
        <w:rPr>
          <w:rFonts w:ascii="Times New Roman" w:hAnsi="Times New Roman" w:cs="Times New Roman"/>
          <w:sz w:val="24"/>
          <w:szCs w:val="24"/>
        </w:rPr>
        <w:lastRenderedPageBreak/>
        <w:t>członkowskie współpracują ze sobą w celu wymiany informacji, które wydają się być istotne do celów stosowania i egzekwowania krajowych przepisów państw członkowskich dotyczących podatków, o których mowa w art. 2. Z kolei zgodnie z art. 5 dyrektywy 2011/16 na wniosek organu wnioskującego organ współpracujący przekazuje temu pierwszemu wszelkie informacje, o których mowa w art. 1 ust. 1, znajdujące się w jego posiadaniu lub uzyskane przez niego w wyniku postępowania administracyjnego.</w:t>
      </w:r>
    </w:p>
    <w:p w14:paraId="2325829B" w14:textId="4831AA2D" w:rsidR="00F62650" w:rsidRPr="00EB304C" w:rsidRDefault="00F62650"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 xml:space="preserve">W sprawie wykładni wskazanych wyżej postanowień dyrektywy 2011/16 stanowisko wyrażał Trybunał Sprawiedliwości Unii Europejskiej (dalej </w:t>
      </w:r>
      <w:r w:rsidR="00F71972">
        <w:rPr>
          <w:rFonts w:ascii="Times New Roman" w:hAnsi="Times New Roman" w:cs="Times New Roman"/>
          <w:sz w:val="24"/>
          <w:szCs w:val="24"/>
        </w:rPr>
        <w:t>„</w:t>
      </w:r>
      <w:r w:rsidRPr="00EB304C">
        <w:rPr>
          <w:rFonts w:ascii="Times New Roman" w:hAnsi="Times New Roman" w:cs="Times New Roman"/>
          <w:sz w:val="24"/>
          <w:szCs w:val="24"/>
        </w:rPr>
        <w:t>TSU</w:t>
      </w:r>
      <w:r w:rsidR="005C76FB" w:rsidRPr="00EB304C">
        <w:rPr>
          <w:rFonts w:ascii="Times New Roman" w:hAnsi="Times New Roman" w:cs="Times New Roman"/>
          <w:sz w:val="24"/>
          <w:szCs w:val="24"/>
        </w:rPr>
        <w:t>E</w:t>
      </w:r>
      <w:r w:rsidR="00F71972">
        <w:rPr>
          <w:rFonts w:ascii="Times New Roman" w:hAnsi="Times New Roman" w:cs="Times New Roman"/>
          <w:sz w:val="24"/>
          <w:szCs w:val="24"/>
        </w:rPr>
        <w:t>”</w:t>
      </w:r>
      <w:r w:rsidR="005C76FB" w:rsidRPr="00EB304C">
        <w:rPr>
          <w:rFonts w:ascii="Times New Roman" w:hAnsi="Times New Roman" w:cs="Times New Roman"/>
          <w:sz w:val="24"/>
          <w:szCs w:val="24"/>
        </w:rPr>
        <w:t>) m.in. w sprawie C-437/19, w </w:t>
      </w:r>
      <w:r w:rsidRPr="00EB304C">
        <w:rPr>
          <w:rFonts w:ascii="Times New Roman" w:hAnsi="Times New Roman" w:cs="Times New Roman"/>
          <w:sz w:val="24"/>
          <w:szCs w:val="24"/>
        </w:rPr>
        <w:t>sprawach połączonych C-245 i 246/2019 oraz w sprawie C-682/15. W powołanych wyżej sprawach TSUE wskazywał na wykładnię pojęcia przewidywalnego związku żądanej przez zagraniczną administrację informacji.</w:t>
      </w:r>
    </w:p>
    <w:p w14:paraId="71103F76" w14:textId="345A6281" w:rsidR="00F62650" w:rsidRPr="00EB304C" w:rsidRDefault="00F62650"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Należy w szczególności podkreślić, że w wyroku TSUE w sprawach połączonych C-245 i 246/2019 TSUE wskazał, że wniosek o udzielenie informacji nie jest pozbawiony w oczywisty sposób jakiegokolwiek przewidywalnego związku</w:t>
      </w:r>
      <w:r w:rsidR="006611E7">
        <w:rPr>
          <w:rFonts w:ascii="Times New Roman" w:hAnsi="Times New Roman" w:cs="Times New Roman"/>
          <w:sz w:val="24"/>
          <w:szCs w:val="24"/>
        </w:rPr>
        <w:t>,</w:t>
      </w:r>
      <w:r w:rsidRPr="00EB304C">
        <w:rPr>
          <w:rFonts w:ascii="Times New Roman" w:hAnsi="Times New Roman" w:cs="Times New Roman"/>
          <w:sz w:val="24"/>
          <w:szCs w:val="24"/>
        </w:rPr>
        <w:t xml:space="preserve"> w sytuacji gdy wskazano tożsamość osoby posiadającej odnośne informacje, tożsamość podatnika, którego dotyczy dochodzenie</w:t>
      </w:r>
      <w:r w:rsidR="006611E7">
        <w:rPr>
          <w:rFonts w:ascii="Times New Roman" w:hAnsi="Times New Roman" w:cs="Times New Roman"/>
          <w:sz w:val="24"/>
          <w:szCs w:val="24"/>
        </w:rPr>
        <w:t>,</w:t>
      </w:r>
      <w:r w:rsidRPr="00EB304C">
        <w:rPr>
          <w:rFonts w:ascii="Times New Roman" w:hAnsi="Times New Roman" w:cs="Times New Roman"/>
          <w:sz w:val="24"/>
          <w:szCs w:val="24"/>
        </w:rPr>
        <w:t xml:space="preserve"> i okres objęty tym dochodzeniem oraz gdy dotyczy ona umów, faktur i płatności, które nie są określone precyzyjnie, lecz za pomocą następujących kryteriów:</w:t>
      </w:r>
    </w:p>
    <w:p w14:paraId="175F72D4" w14:textId="77777777" w:rsidR="00F62650" w:rsidRPr="00EB304C" w:rsidRDefault="00F62650" w:rsidP="006611E7">
      <w:pPr>
        <w:pBdr>
          <w:top w:val="nil"/>
          <w:left w:val="nil"/>
          <w:bottom w:val="nil"/>
          <w:right w:val="nil"/>
          <w:between w:val="nil"/>
          <w:bar w:val="nil"/>
        </w:pBdr>
        <w:spacing w:before="120" w:after="0" w:line="360" w:lineRule="auto"/>
        <w:ind w:left="567" w:hanging="567"/>
        <w:jc w:val="both"/>
        <w:rPr>
          <w:rFonts w:ascii="Times New Roman" w:hAnsi="Times New Roman" w:cs="Times New Roman"/>
          <w:sz w:val="24"/>
          <w:szCs w:val="24"/>
        </w:rPr>
      </w:pPr>
      <w:r w:rsidRPr="00EB304C">
        <w:rPr>
          <w:rFonts w:ascii="Times New Roman" w:hAnsi="Times New Roman" w:cs="Times New Roman"/>
          <w:sz w:val="24"/>
          <w:szCs w:val="24"/>
        </w:rPr>
        <w:t>•</w:t>
      </w:r>
      <w:r w:rsidRPr="00EB304C">
        <w:rPr>
          <w:rFonts w:ascii="Times New Roman" w:hAnsi="Times New Roman" w:cs="Times New Roman"/>
          <w:sz w:val="24"/>
          <w:szCs w:val="24"/>
        </w:rPr>
        <w:tab/>
        <w:t>faktu, że zostały odpowiednio zawarte, wystawione lub dokonane przez osobę posiadającą informacje;</w:t>
      </w:r>
    </w:p>
    <w:p w14:paraId="43C4E44A" w14:textId="77777777" w:rsidR="00F62650" w:rsidRPr="00EB304C" w:rsidRDefault="00F62650"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w:t>
      </w:r>
      <w:r w:rsidRPr="00EB304C">
        <w:rPr>
          <w:rFonts w:ascii="Times New Roman" w:hAnsi="Times New Roman" w:cs="Times New Roman"/>
          <w:sz w:val="24"/>
          <w:szCs w:val="24"/>
        </w:rPr>
        <w:tab/>
        <w:t>okoliczności, że miały miejsce w okresie objętym tym dochodzeniem;</w:t>
      </w:r>
    </w:p>
    <w:p w14:paraId="2F3D552E" w14:textId="1B200C05" w:rsidR="00F62650" w:rsidRPr="00EB304C" w:rsidRDefault="00F62650"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w:t>
      </w:r>
      <w:r w:rsidRPr="00EB304C">
        <w:rPr>
          <w:rFonts w:ascii="Times New Roman" w:hAnsi="Times New Roman" w:cs="Times New Roman"/>
          <w:sz w:val="24"/>
          <w:szCs w:val="24"/>
        </w:rPr>
        <w:tab/>
        <w:t>ich związku ze wskazanym podatnikiem.</w:t>
      </w:r>
    </w:p>
    <w:p w14:paraId="5EF99D00" w14:textId="77777777" w:rsidR="00F62650" w:rsidRPr="00EB304C" w:rsidRDefault="00F62650"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 xml:space="preserve">Z kolei w wyroku w sprawie C-437/19 TSUE wskazał, że art. 1 ust. 1, art. 5 i art. 20 ust. 2 dyrektywy 2011/16/UE </w:t>
      </w:r>
      <w:r w:rsidRPr="00EB304C">
        <w:rPr>
          <w:rFonts w:ascii="Times New Roman" w:hAnsi="Times New Roman" w:cs="Times New Roman"/>
          <w:i/>
          <w:sz w:val="24"/>
          <w:szCs w:val="24"/>
        </w:rPr>
        <w:t xml:space="preserve">należy interpretować w ten sposób, że wniosek </w:t>
      </w:r>
      <w:r w:rsidRPr="00EB304C">
        <w:rPr>
          <w:rFonts w:ascii="Times New Roman" w:hAnsi="Times New Roman" w:cs="Times New Roman"/>
          <w:i/>
          <w:sz w:val="24"/>
          <w:szCs w:val="24"/>
        </w:rPr>
        <w:br/>
        <w:t>o przekazanie informacji należy uznać za dotyczący informacji, które nie jawią się jako pozbawione w sposób oczywisty jakiegokolwiek przewidywalnego związku, w przypadku gdy choć osoby, których dotyczy kontrola lub dochodzenie w rozumieniu tego ostatniego przepisu nie zostały wskazane w tym wniosku w sposób indywidualny poprzez podanie ich nazwisk, to jednak organ wnioskujący wykaże na podstawie jasnych i wystarczających wyjaśnień, iż prowadzi ukierunkowane dochodzenie dotyczące ograniczonej grupy osób, które zostało oparte na uzasadnionych podejrzeniach niewypełnienia określonego obowiązku prawnego</w:t>
      </w:r>
      <w:r w:rsidRPr="00EB304C">
        <w:rPr>
          <w:rFonts w:ascii="Times New Roman" w:hAnsi="Times New Roman" w:cs="Times New Roman"/>
          <w:sz w:val="24"/>
          <w:szCs w:val="24"/>
        </w:rPr>
        <w:t>.</w:t>
      </w:r>
    </w:p>
    <w:p w14:paraId="2908FA4B" w14:textId="0A81C6C2" w:rsidR="00F62650" w:rsidRPr="00EB304C" w:rsidRDefault="00F62650"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 xml:space="preserve">Z powołanych wyżej wyroków TSUE </w:t>
      </w:r>
      <w:r w:rsidR="005C76FB" w:rsidRPr="00EB304C">
        <w:rPr>
          <w:rFonts w:ascii="Times New Roman" w:hAnsi="Times New Roman" w:cs="Times New Roman"/>
          <w:sz w:val="24"/>
          <w:szCs w:val="24"/>
        </w:rPr>
        <w:t xml:space="preserve">wynika, że zgodnie z dyrektywą </w:t>
      </w:r>
      <w:r w:rsidRPr="00EB304C">
        <w:rPr>
          <w:rFonts w:ascii="Times New Roman" w:hAnsi="Times New Roman" w:cs="Times New Roman"/>
          <w:sz w:val="24"/>
          <w:szCs w:val="24"/>
        </w:rPr>
        <w:t xml:space="preserve">2011/16 wnioski zagranicznych organów o udzielenie informacji, które identyfikują podatnika w sposób inny </w:t>
      </w:r>
      <w:r w:rsidRPr="00EB304C">
        <w:rPr>
          <w:rFonts w:ascii="Times New Roman" w:hAnsi="Times New Roman" w:cs="Times New Roman"/>
          <w:sz w:val="24"/>
          <w:szCs w:val="24"/>
        </w:rPr>
        <w:lastRenderedPageBreak/>
        <w:t>niż przez wskazanie go z imienia lub nazwiska</w:t>
      </w:r>
      <w:r w:rsidR="00B8778A">
        <w:rPr>
          <w:rFonts w:ascii="Times New Roman" w:hAnsi="Times New Roman" w:cs="Times New Roman"/>
          <w:sz w:val="24"/>
          <w:szCs w:val="24"/>
        </w:rPr>
        <w:t>,</w:t>
      </w:r>
      <w:r w:rsidRPr="00EB304C">
        <w:rPr>
          <w:rFonts w:ascii="Times New Roman" w:hAnsi="Times New Roman" w:cs="Times New Roman"/>
          <w:sz w:val="24"/>
          <w:szCs w:val="24"/>
        </w:rPr>
        <w:t xml:space="preserve"> nie wykluczają uznania istnienia przewidywalnego związku z prowadzonym przez ten organ postępowaniem. </w:t>
      </w:r>
    </w:p>
    <w:p w14:paraId="5876DB4C" w14:textId="5F94DE7E" w:rsidR="00F62650" w:rsidRPr="00EB304C" w:rsidRDefault="00F62650"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 xml:space="preserve">W konsekwencji zgodnie z powołanym wyżej orzecznictwem TSUE, a także </w:t>
      </w:r>
      <w:r w:rsidR="00F71972">
        <w:rPr>
          <w:rFonts w:ascii="Times New Roman" w:hAnsi="Times New Roman" w:cs="Times New Roman"/>
          <w:sz w:val="24"/>
          <w:szCs w:val="24"/>
        </w:rPr>
        <w:t xml:space="preserve">z </w:t>
      </w:r>
      <w:r w:rsidRPr="00EB304C">
        <w:rPr>
          <w:rFonts w:ascii="Times New Roman" w:hAnsi="Times New Roman" w:cs="Times New Roman"/>
          <w:sz w:val="24"/>
          <w:szCs w:val="24"/>
        </w:rPr>
        <w:t xml:space="preserve">art. 5a </w:t>
      </w:r>
      <w:r w:rsidR="005C76FB" w:rsidRPr="00EB304C">
        <w:rPr>
          <w:rFonts w:ascii="Times New Roman" w:hAnsi="Times New Roman" w:cs="Times New Roman"/>
          <w:sz w:val="24"/>
          <w:szCs w:val="24"/>
        </w:rPr>
        <w:t>d</w:t>
      </w:r>
      <w:r w:rsidRPr="00EB304C">
        <w:rPr>
          <w:rFonts w:ascii="Times New Roman" w:hAnsi="Times New Roman" w:cs="Times New Roman"/>
          <w:sz w:val="24"/>
          <w:szCs w:val="24"/>
        </w:rPr>
        <w:t>yrektywy</w:t>
      </w:r>
      <w:r w:rsidR="00B8778A">
        <w:rPr>
          <w:rFonts w:ascii="Times New Roman" w:hAnsi="Times New Roman" w:cs="Times New Roman"/>
          <w:sz w:val="24"/>
          <w:szCs w:val="24"/>
        </w:rPr>
        <w:t>,</w:t>
      </w:r>
      <w:r w:rsidRPr="00EB304C">
        <w:rPr>
          <w:rFonts w:ascii="Times New Roman" w:hAnsi="Times New Roman" w:cs="Times New Roman"/>
          <w:sz w:val="24"/>
          <w:szCs w:val="24"/>
        </w:rPr>
        <w:t xml:space="preserve"> niezbędne jest wprowadzenie zmian </w:t>
      </w:r>
      <w:r w:rsidR="00F71972">
        <w:rPr>
          <w:rFonts w:ascii="Times New Roman" w:hAnsi="Times New Roman" w:cs="Times New Roman"/>
          <w:sz w:val="24"/>
          <w:szCs w:val="24"/>
        </w:rPr>
        <w:t>w</w:t>
      </w:r>
      <w:r w:rsidRPr="00EB304C">
        <w:rPr>
          <w:rFonts w:ascii="Times New Roman" w:hAnsi="Times New Roman" w:cs="Times New Roman"/>
          <w:sz w:val="24"/>
          <w:szCs w:val="24"/>
        </w:rPr>
        <w:t xml:space="preserve"> art. 10 uWIP, tak aby zapewnić pełną i właściwą transpozycję postanowień DAC7 do prawa polskiego.</w:t>
      </w:r>
    </w:p>
    <w:p w14:paraId="62C7DA75" w14:textId="5B786E95" w:rsidR="00F62650" w:rsidRPr="00EB304C" w:rsidRDefault="00F62650" w:rsidP="00507007">
      <w:pPr>
        <w:pBdr>
          <w:top w:val="nil"/>
          <w:left w:val="nil"/>
          <w:bottom w:val="nil"/>
          <w:right w:val="nil"/>
          <w:between w:val="nil"/>
          <w:bar w:val="nil"/>
        </w:pBdr>
        <w:spacing w:before="120" w:after="0" w:line="360" w:lineRule="auto"/>
        <w:ind w:firstLine="284"/>
        <w:jc w:val="both"/>
        <w:rPr>
          <w:rFonts w:ascii="Times New Roman" w:hAnsi="Times New Roman" w:cs="Times New Roman"/>
          <w:b/>
          <w:sz w:val="24"/>
          <w:szCs w:val="24"/>
        </w:rPr>
      </w:pPr>
      <w:r w:rsidRPr="00EB304C">
        <w:rPr>
          <w:rFonts w:ascii="Times New Roman" w:hAnsi="Times New Roman" w:cs="Times New Roman"/>
          <w:b/>
          <w:sz w:val="24"/>
          <w:szCs w:val="24"/>
        </w:rPr>
        <w:t>•</w:t>
      </w:r>
      <w:r w:rsidRPr="00EB304C">
        <w:rPr>
          <w:rFonts w:ascii="Times New Roman" w:hAnsi="Times New Roman" w:cs="Times New Roman"/>
          <w:b/>
          <w:sz w:val="24"/>
          <w:szCs w:val="24"/>
        </w:rPr>
        <w:tab/>
        <w:t xml:space="preserve">Art. 10a (wnioski </w:t>
      </w:r>
      <w:r w:rsidR="00D06B9E" w:rsidRPr="00EB304C">
        <w:rPr>
          <w:rFonts w:ascii="Times New Roman" w:hAnsi="Times New Roman" w:cs="Times New Roman"/>
          <w:b/>
          <w:sz w:val="24"/>
          <w:szCs w:val="24"/>
        </w:rPr>
        <w:t>dot. grupy podatników</w:t>
      </w:r>
      <w:r w:rsidRPr="00EB304C">
        <w:rPr>
          <w:rFonts w:ascii="Times New Roman" w:hAnsi="Times New Roman" w:cs="Times New Roman"/>
          <w:b/>
          <w:sz w:val="24"/>
          <w:szCs w:val="24"/>
        </w:rPr>
        <w:t>)</w:t>
      </w:r>
    </w:p>
    <w:p w14:paraId="2814B144" w14:textId="7C41D9AE" w:rsidR="00F62650" w:rsidRPr="00EB304C" w:rsidRDefault="00F62650" w:rsidP="00507007">
      <w:pPr>
        <w:pBdr>
          <w:top w:val="nil"/>
          <w:left w:val="nil"/>
          <w:bottom w:val="nil"/>
          <w:right w:val="nil"/>
          <w:between w:val="nil"/>
          <w:bar w:val="nil"/>
        </w:pBdr>
        <w:spacing w:before="120" w:after="0" w:line="360" w:lineRule="auto"/>
        <w:jc w:val="both"/>
        <w:rPr>
          <w:rFonts w:ascii="Times New Roman" w:hAnsi="Times New Roman" w:cs="Times New Roman"/>
        </w:rPr>
      </w:pPr>
      <w:r w:rsidRPr="00EB304C">
        <w:rPr>
          <w:rFonts w:ascii="Times New Roman" w:hAnsi="Times New Roman" w:cs="Times New Roman"/>
          <w:sz w:val="24"/>
          <w:szCs w:val="24"/>
        </w:rPr>
        <w:t>Projekt wprowadza do uWIP nowy art. 10a stanowiący</w:t>
      </w:r>
      <w:r w:rsidR="00FD37FC">
        <w:rPr>
          <w:rFonts w:ascii="Times New Roman" w:hAnsi="Times New Roman" w:cs="Times New Roman"/>
          <w:sz w:val="24"/>
          <w:szCs w:val="24"/>
        </w:rPr>
        <w:t xml:space="preserve"> – analogicznie jak zmiany wprowadzone w art. 10 –</w:t>
      </w:r>
      <w:r w:rsidRPr="00EB304C">
        <w:rPr>
          <w:rFonts w:ascii="Times New Roman" w:hAnsi="Times New Roman" w:cs="Times New Roman"/>
          <w:sz w:val="24"/>
          <w:szCs w:val="24"/>
        </w:rPr>
        <w:t xml:space="preserve"> implementację art. 5</w:t>
      </w:r>
      <w:r w:rsidR="00EA1D65" w:rsidRPr="00EB304C">
        <w:rPr>
          <w:rFonts w:ascii="Times New Roman" w:hAnsi="Times New Roman" w:cs="Times New Roman"/>
          <w:sz w:val="24"/>
          <w:szCs w:val="24"/>
        </w:rPr>
        <w:t>a</w:t>
      </w:r>
      <w:r w:rsidRPr="00EB304C">
        <w:rPr>
          <w:rFonts w:ascii="Times New Roman" w:hAnsi="Times New Roman" w:cs="Times New Roman"/>
          <w:sz w:val="24"/>
          <w:szCs w:val="24"/>
        </w:rPr>
        <w:t xml:space="preserve"> </w:t>
      </w:r>
      <w:r w:rsidR="005C76FB" w:rsidRPr="00EB304C">
        <w:rPr>
          <w:rFonts w:ascii="Times New Roman" w:hAnsi="Times New Roman" w:cs="Times New Roman"/>
          <w:sz w:val="24"/>
          <w:szCs w:val="24"/>
        </w:rPr>
        <w:t>d</w:t>
      </w:r>
      <w:r w:rsidRPr="00EB304C">
        <w:rPr>
          <w:rFonts w:ascii="Times New Roman" w:hAnsi="Times New Roman" w:cs="Times New Roman"/>
          <w:sz w:val="24"/>
          <w:szCs w:val="24"/>
        </w:rPr>
        <w:t xml:space="preserve">yrektywy DAC7. Art. 10a </w:t>
      </w:r>
      <w:r w:rsidR="00D06B9E" w:rsidRPr="00EB304C">
        <w:rPr>
          <w:rFonts w:ascii="Times New Roman" w:hAnsi="Times New Roman" w:cs="Times New Roman"/>
          <w:sz w:val="24"/>
          <w:szCs w:val="24"/>
        </w:rPr>
        <w:t xml:space="preserve">odnosi się do </w:t>
      </w:r>
      <w:r w:rsidRPr="00EB304C">
        <w:rPr>
          <w:rFonts w:ascii="Times New Roman" w:hAnsi="Times New Roman" w:cs="Times New Roman"/>
          <w:sz w:val="24"/>
          <w:szCs w:val="24"/>
        </w:rPr>
        <w:t xml:space="preserve">wniosków </w:t>
      </w:r>
      <w:r w:rsidR="00D06B9E" w:rsidRPr="00EB304C">
        <w:rPr>
          <w:rFonts w:ascii="Times New Roman" w:hAnsi="Times New Roman" w:cs="Times New Roman"/>
          <w:sz w:val="24"/>
          <w:szCs w:val="24"/>
        </w:rPr>
        <w:t xml:space="preserve">dotyczących grupy podatników </w:t>
      </w:r>
      <w:r w:rsidRPr="00EB304C">
        <w:rPr>
          <w:rFonts w:ascii="Times New Roman" w:hAnsi="Times New Roman" w:cs="Times New Roman"/>
          <w:sz w:val="24"/>
          <w:szCs w:val="24"/>
        </w:rPr>
        <w:t xml:space="preserve">w kontekście wniosku o udzielenie informacji. Wnioski </w:t>
      </w:r>
      <w:r w:rsidR="00D06B9E" w:rsidRPr="00EB304C">
        <w:rPr>
          <w:rFonts w:ascii="Times New Roman" w:hAnsi="Times New Roman" w:cs="Times New Roman"/>
          <w:sz w:val="24"/>
          <w:szCs w:val="24"/>
        </w:rPr>
        <w:t xml:space="preserve">te </w:t>
      </w:r>
      <w:r w:rsidRPr="00EB304C">
        <w:rPr>
          <w:rFonts w:ascii="Times New Roman" w:hAnsi="Times New Roman" w:cs="Times New Roman"/>
          <w:sz w:val="24"/>
          <w:szCs w:val="24"/>
        </w:rPr>
        <w:t xml:space="preserve">dotyczą grupy </w:t>
      </w:r>
      <w:r w:rsidR="00A85DEB" w:rsidRPr="00EB304C">
        <w:rPr>
          <w:rFonts w:ascii="Times New Roman" w:hAnsi="Times New Roman" w:cs="Times New Roman"/>
          <w:sz w:val="24"/>
          <w:szCs w:val="24"/>
        </w:rPr>
        <w:t>pod</w:t>
      </w:r>
      <w:r w:rsidR="006746BC" w:rsidRPr="00EB304C">
        <w:rPr>
          <w:rFonts w:ascii="Times New Roman" w:hAnsi="Times New Roman" w:cs="Times New Roman"/>
          <w:sz w:val="24"/>
          <w:szCs w:val="24"/>
        </w:rPr>
        <w:t>atników</w:t>
      </w:r>
      <w:r w:rsidRPr="00EB304C">
        <w:rPr>
          <w:rFonts w:ascii="Times New Roman" w:hAnsi="Times New Roman" w:cs="Times New Roman"/>
          <w:sz w:val="24"/>
          <w:szCs w:val="24"/>
        </w:rPr>
        <w:t>, których nie można zidentyfikować indywidualnie</w:t>
      </w:r>
      <w:r w:rsidR="003C1606" w:rsidRPr="00EB304C">
        <w:rPr>
          <w:rFonts w:ascii="Times New Roman" w:hAnsi="Times New Roman" w:cs="Times New Roman"/>
          <w:sz w:val="24"/>
          <w:szCs w:val="24"/>
        </w:rPr>
        <w:t xml:space="preserve"> (np. imię i nazwisko, nazwa firmy)</w:t>
      </w:r>
      <w:r w:rsidRPr="00EB304C">
        <w:rPr>
          <w:rFonts w:ascii="Times New Roman" w:hAnsi="Times New Roman" w:cs="Times New Roman"/>
          <w:sz w:val="24"/>
          <w:szCs w:val="24"/>
        </w:rPr>
        <w:t>, lecz których opisuje się za pomocą wspólnego zestawu cech</w:t>
      </w:r>
      <w:r w:rsidR="003C1606" w:rsidRPr="00EB304C">
        <w:rPr>
          <w:rFonts w:ascii="Times New Roman" w:hAnsi="Times New Roman" w:cs="Times New Roman"/>
          <w:sz w:val="24"/>
          <w:szCs w:val="24"/>
        </w:rPr>
        <w:t xml:space="preserve"> (np. numer konta)</w:t>
      </w:r>
      <w:r w:rsidRPr="00EB304C">
        <w:rPr>
          <w:rFonts w:ascii="Times New Roman" w:hAnsi="Times New Roman" w:cs="Times New Roman"/>
          <w:sz w:val="24"/>
          <w:szCs w:val="24"/>
        </w:rPr>
        <w:t>.</w:t>
      </w:r>
      <w:r w:rsidR="00223152">
        <w:rPr>
          <w:rFonts w:ascii="Times New Roman" w:hAnsi="Times New Roman" w:cs="Times New Roman"/>
          <w:sz w:val="24"/>
          <w:szCs w:val="24"/>
        </w:rPr>
        <w:t xml:space="preserve"> </w:t>
      </w:r>
      <w:r w:rsidR="006746BC" w:rsidRPr="00EB304C">
        <w:rPr>
          <w:rFonts w:ascii="Times New Roman" w:hAnsi="Times New Roman" w:cs="Times New Roman"/>
          <w:sz w:val="24"/>
          <w:szCs w:val="24"/>
        </w:rPr>
        <w:t xml:space="preserve">W tej sytuacji wniosek zawiera </w:t>
      </w:r>
      <w:r w:rsidRPr="00EB304C">
        <w:rPr>
          <w:rFonts w:ascii="Times New Roman" w:hAnsi="Times New Roman" w:cs="Times New Roman"/>
          <w:sz w:val="24"/>
          <w:szCs w:val="24"/>
        </w:rPr>
        <w:t xml:space="preserve">co najmniej następujące informacje: </w:t>
      </w:r>
    </w:p>
    <w:p w14:paraId="3CE153B9" w14:textId="0548ED83" w:rsidR="00F62650" w:rsidRPr="00EB304C" w:rsidRDefault="00F62650" w:rsidP="00507007">
      <w:pPr>
        <w:pStyle w:val="ZLITzmlitartykuempunktem"/>
        <w:spacing w:before="120"/>
        <w:rPr>
          <w:rFonts w:ascii="Times New Roman" w:hAnsi="Times New Roman" w:cs="Times New Roman"/>
        </w:rPr>
      </w:pPr>
      <w:r w:rsidRPr="00EB304C">
        <w:rPr>
          <w:rFonts w:ascii="Times New Roman" w:hAnsi="Times New Roman" w:cs="Times New Roman"/>
        </w:rPr>
        <w:t>a)</w:t>
      </w:r>
      <w:r w:rsidRPr="00EB304C">
        <w:rPr>
          <w:rFonts w:ascii="Times New Roman" w:hAnsi="Times New Roman" w:cs="Times New Roman"/>
        </w:rPr>
        <w:tab/>
        <w:t>szczegółowy opis grupy</w:t>
      </w:r>
      <w:r w:rsidR="00F21A23">
        <w:rPr>
          <w:rFonts w:ascii="Times New Roman" w:hAnsi="Times New Roman" w:cs="Times New Roman"/>
        </w:rPr>
        <w:t>,</w:t>
      </w:r>
    </w:p>
    <w:p w14:paraId="2B55A7C4" w14:textId="59CC7376" w:rsidR="00F62650" w:rsidRPr="00EB304C" w:rsidRDefault="00F62650" w:rsidP="00507007">
      <w:pPr>
        <w:pStyle w:val="ZLITzmlitartykuempunktem"/>
        <w:spacing w:before="120"/>
        <w:rPr>
          <w:rFonts w:ascii="Times New Roman" w:hAnsi="Times New Roman" w:cs="Times New Roman"/>
        </w:rPr>
      </w:pPr>
      <w:r w:rsidRPr="00EB304C">
        <w:rPr>
          <w:rFonts w:ascii="Times New Roman" w:hAnsi="Times New Roman" w:cs="Times New Roman"/>
        </w:rPr>
        <w:t>b)</w:t>
      </w:r>
      <w:r w:rsidRPr="00EB304C">
        <w:rPr>
          <w:rFonts w:ascii="Times New Roman" w:hAnsi="Times New Roman" w:cs="Times New Roman"/>
        </w:rPr>
        <w:tab/>
        <w:t>wyjaśnienie mającego zastosowanie prawa oraz faktów</w:t>
      </w:r>
      <w:r w:rsidR="00536D58">
        <w:rPr>
          <w:rFonts w:ascii="Times New Roman" w:hAnsi="Times New Roman" w:cs="Times New Roman"/>
        </w:rPr>
        <w:t>,</w:t>
      </w:r>
      <w:r w:rsidRPr="00EB304C" w:rsidDel="007F1B07">
        <w:rPr>
          <w:rFonts w:ascii="Times New Roman" w:hAnsi="Times New Roman" w:cs="Times New Roman"/>
        </w:rPr>
        <w:t xml:space="preserve"> </w:t>
      </w:r>
      <w:r w:rsidRPr="00EB304C">
        <w:rPr>
          <w:rFonts w:ascii="Times New Roman" w:hAnsi="Times New Roman" w:cs="Times New Roman"/>
        </w:rPr>
        <w:t>na podstawie których istnieją podstawy</w:t>
      </w:r>
      <w:r w:rsidR="007F12D8" w:rsidRPr="00EB304C">
        <w:rPr>
          <w:rFonts w:ascii="Times New Roman" w:hAnsi="Times New Roman" w:cs="Times New Roman"/>
        </w:rPr>
        <w:t xml:space="preserve"> sądzić</w:t>
      </w:r>
      <w:r w:rsidRPr="00EB304C">
        <w:rPr>
          <w:rFonts w:ascii="Times New Roman" w:hAnsi="Times New Roman" w:cs="Times New Roman"/>
        </w:rPr>
        <w:t>, że</w:t>
      </w:r>
      <w:r w:rsidR="006746BC" w:rsidRPr="00EB304C">
        <w:rPr>
          <w:rFonts w:ascii="Times New Roman" w:hAnsi="Times New Roman" w:cs="Times New Roman"/>
        </w:rPr>
        <w:t xml:space="preserve"> </w:t>
      </w:r>
      <w:r w:rsidRPr="00EB304C">
        <w:rPr>
          <w:rFonts w:ascii="Times New Roman" w:hAnsi="Times New Roman" w:cs="Times New Roman"/>
        </w:rPr>
        <w:t>podatnicy nie zastosowali się do obowiązującego prawa</w:t>
      </w:r>
      <w:r w:rsidR="00F21A23">
        <w:rPr>
          <w:rFonts w:ascii="Times New Roman" w:hAnsi="Times New Roman" w:cs="Times New Roman"/>
        </w:rPr>
        <w:t>,</w:t>
      </w:r>
    </w:p>
    <w:p w14:paraId="1011CF97" w14:textId="13764A8A" w:rsidR="00F62650" w:rsidRPr="00EB304C" w:rsidRDefault="00F62650" w:rsidP="00507007">
      <w:pPr>
        <w:pStyle w:val="ZLITzmlitartykuempunktem"/>
        <w:spacing w:before="120"/>
        <w:rPr>
          <w:rFonts w:ascii="Times New Roman" w:hAnsi="Times New Roman" w:cs="Times New Roman"/>
        </w:rPr>
      </w:pPr>
      <w:r w:rsidRPr="00EB304C">
        <w:rPr>
          <w:rFonts w:ascii="Times New Roman" w:hAnsi="Times New Roman" w:cs="Times New Roman"/>
        </w:rPr>
        <w:t>c)</w:t>
      </w:r>
      <w:r w:rsidRPr="00EB304C">
        <w:rPr>
          <w:rFonts w:ascii="Times New Roman" w:hAnsi="Times New Roman" w:cs="Times New Roman"/>
        </w:rPr>
        <w:tab/>
        <w:t>wyjaśnienie, w jaki sposób informacje, których dotyczy przedmiotowy wniosek, miałyby pomóc w ustaleniu, czy podatnicy zastosowali się do obowiązujących przepisów prawa</w:t>
      </w:r>
      <w:r w:rsidR="00F21A23">
        <w:rPr>
          <w:rFonts w:ascii="Times New Roman" w:hAnsi="Times New Roman" w:cs="Times New Roman"/>
        </w:rPr>
        <w:t>,</w:t>
      </w:r>
      <w:r w:rsidRPr="00EB304C">
        <w:rPr>
          <w:rFonts w:ascii="Times New Roman" w:hAnsi="Times New Roman" w:cs="Times New Roman"/>
        </w:rPr>
        <w:t xml:space="preserve"> oraz</w:t>
      </w:r>
    </w:p>
    <w:p w14:paraId="30B80CA1" w14:textId="5AA2EF04" w:rsidR="00471CB6" w:rsidRDefault="00F62650" w:rsidP="00507007">
      <w:pPr>
        <w:pStyle w:val="ZLITzmlitartykuempunktem"/>
        <w:spacing w:before="120"/>
        <w:rPr>
          <w:rFonts w:ascii="Times New Roman" w:hAnsi="Times New Roman" w:cs="Times New Roman"/>
        </w:rPr>
      </w:pPr>
      <w:r w:rsidRPr="00EB304C">
        <w:rPr>
          <w:rFonts w:ascii="Times New Roman" w:hAnsi="Times New Roman" w:cs="Times New Roman"/>
        </w:rPr>
        <w:t>d)</w:t>
      </w:r>
      <w:r w:rsidRPr="00EB304C">
        <w:rPr>
          <w:rFonts w:ascii="Times New Roman" w:hAnsi="Times New Roman" w:cs="Times New Roman"/>
        </w:rPr>
        <w:tab/>
        <w:t>w stosownych przypadkach – fakty i okoliczności</w:t>
      </w:r>
      <w:r w:rsidR="00536D58">
        <w:rPr>
          <w:rFonts w:ascii="Times New Roman" w:hAnsi="Times New Roman" w:cs="Times New Roman"/>
        </w:rPr>
        <w:t xml:space="preserve"> wskazujące</w:t>
      </w:r>
      <w:r w:rsidRPr="00EB304C">
        <w:rPr>
          <w:rFonts w:ascii="Times New Roman" w:hAnsi="Times New Roman" w:cs="Times New Roman"/>
        </w:rPr>
        <w:t xml:space="preserve"> na udział osoby trzeciej, która czynnie przyczyniła się do potencjalnego, niezgodnego z obowiązującym prawem, działania pod</w:t>
      </w:r>
      <w:r w:rsidR="006746BC" w:rsidRPr="00EB304C">
        <w:rPr>
          <w:rFonts w:ascii="Times New Roman" w:hAnsi="Times New Roman" w:cs="Times New Roman"/>
        </w:rPr>
        <w:t>atników.</w:t>
      </w:r>
    </w:p>
    <w:p w14:paraId="0F0FACC8" w14:textId="01BE26B3" w:rsidR="00471CB6" w:rsidRDefault="00471CB6" w:rsidP="00507007">
      <w:pPr>
        <w:pStyle w:val="ZLITzmlitartykuempunktem"/>
        <w:spacing w:before="120"/>
        <w:ind w:left="0" w:firstLine="0"/>
        <w:rPr>
          <w:rFonts w:ascii="Times New Roman" w:hAnsi="Times New Roman" w:cs="Times New Roman"/>
        </w:rPr>
      </w:pPr>
      <w:r>
        <w:rPr>
          <w:rFonts w:ascii="Times New Roman" w:hAnsi="Times New Roman" w:cs="Times New Roman"/>
        </w:rPr>
        <w:t xml:space="preserve">Otwarty katalog danych zawarty w art. 10 i </w:t>
      </w:r>
      <w:r w:rsidR="00536D58">
        <w:rPr>
          <w:rFonts w:ascii="Times New Roman" w:hAnsi="Times New Roman" w:cs="Times New Roman"/>
        </w:rPr>
        <w:t xml:space="preserve">art. </w:t>
      </w:r>
      <w:r>
        <w:rPr>
          <w:rFonts w:ascii="Times New Roman" w:hAnsi="Times New Roman" w:cs="Times New Roman"/>
        </w:rPr>
        <w:t xml:space="preserve">10a wynika z brzmienia dyrektywy. </w:t>
      </w:r>
    </w:p>
    <w:p w14:paraId="6B5ACC5B" w14:textId="6273EE1F" w:rsidR="00F62650" w:rsidRPr="00EB304C" w:rsidRDefault="00471CB6" w:rsidP="00507007">
      <w:pPr>
        <w:pStyle w:val="ZLITzmlitartykuempunktem"/>
        <w:spacing w:before="120"/>
        <w:ind w:left="0" w:firstLine="0"/>
        <w:rPr>
          <w:rFonts w:ascii="Times New Roman" w:hAnsi="Times New Roman" w:cs="Times New Roman"/>
        </w:rPr>
      </w:pPr>
      <w:r w:rsidRPr="00471CB6">
        <w:rPr>
          <w:rFonts w:ascii="Times New Roman" w:hAnsi="Times New Roman" w:cs="Times New Roman"/>
        </w:rPr>
        <w:t>Wielość przypadków oraz potencjalne trudności z identyfikacją podatników wymagają, aby państwa członkowskie operowały takimi danymi, jakie są w danych okolicznościach dostępne i jakich wykorzystanie będzie w konkretnym przypadku efektywne.</w:t>
      </w:r>
    </w:p>
    <w:p w14:paraId="155EC076" w14:textId="77777777" w:rsidR="00F62650" w:rsidRPr="00EB304C" w:rsidRDefault="00F62650" w:rsidP="00507007">
      <w:pPr>
        <w:pStyle w:val="ZLITzmlitartykuempunktem"/>
        <w:numPr>
          <w:ilvl w:val="0"/>
          <w:numId w:val="14"/>
        </w:numPr>
        <w:spacing w:before="120"/>
        <w:rPr>
          <w:rFonts w:ascii="Times New Roman" w:hAnsi="Times New Roman" w:cs="Times New Roman"/>
          <w:b/>
        </w:rPr>
      </w:pPr>
      <w:r w:rsidRPr="00EB304C">
        <w:rPr>
          <w:rFonts w:ascii="Times New Roman" w:hAnsi="Times New Roman" w:cs="Times New Roman"/>
          <w:b/>
        </w:rPr>
        <w:t>Art. 10b</w:t>
      </w:r>
    </w:p>
    <w:p w14:paraId="76D3AD99" w14:textId="3EA23888" w:rsidR="00F62650" w:rsidRPr="00EB304C" w:rsidRDefault="00F62650" w:rsidP="00507007">
      <w:pPr>
        <w:pStyle w:val="ZLITzmlitartykuempunktem"/>
        <w:spacing w:before="120"/>
        <w:ind w:left="0" w:firstLine="0"/>
        <w:rPr>
          <w:rFonts w:ascii="Times New Roman" w:hAnsi="Times New Roman" w:cs="Times New Roman"/>
        </w:rPr>
      </w:pPr>
      <w:r w:rsidRPr="00EB304C">
        <w:rPr>
          <w:rFonts w:ascii="Times New Roman" w:hAnsi="Times New Roman" w:cs="Times New Roman"/>
        </w:rPr>
        <w:t>Art. 10b ust. 1 wskazuje, że jeżeli w ocenie właściwego</w:t>
      </w:r>
      <w:r w:rsidR="000B2D93" w:rsidRPr="00EB304C">
        <w:rPr>
          <w:rFonts w:ascii="Times New Roman" w:hAnsi="Times New Roman" w:cs="Times New Roman"/>
        </w:rPr>
        <w:t xml:space="preserve"> organu </w:t>
      </w:r>
      <w:r w:rsidR="006746BC" w:rsidRPr="00EB304C">
        <w:rPr>
          <w:rFonts w:ascii="Times New Roman" w:hAnsi="Times New Roman" w:cs="Times New Roman"/>
        </w:rPr>
        <w:t xml:space="preserve">podatkowego </w:t>
      </w:r>
      <w:r w:rsidR="000B2D93" w:rsidRPr="00EB304C">
        <w:rPr>
          <w:rFonts w:ascii="Times New Roman" w:hAnsi="Times New Roman" w:cs="Times New Roman"/>
        </w:rPr>
        <w:t>istnieją przesłanki do </w:t>
      </w:r>
      <w:r w:rsidRPr="00EB304C">
        <w:rPr>
          <w:rFonts w:ascii="Times New Roman" w:hAnsi="Times New Roman" w:cs="Times New Roman"/>
        </w:rPr>
        <w:t>przeprowadzenia postępowania, kontroli lub czynności</w:t>
      </w:r>
      <w:r w:rsidR="006E116E">
        <w:rPr>
          <w:rFonts w:ascii="Times New Roman" w:hAnsi="Times New Roman" w:cs="Times New Roman"/>
        </w:rPr>
        <w:t>,</w:t>
      </w:r>
      <w:r w:rsidRPr="00EB304C">
        <w:rPr>
          <w:rFonts w:ascii="Times New Roman" w:hAnsi="Times New Roman" w:cs="Times New Roman"/>
        </w:rPr>
        <w:t xml:space="preserve"> organ występuje z uzasadnionym wnioskiem o ich przeprowadzenie. Natomiast w art. 10b ust. 2 określa się, że w</w:t>
      </w:r>
      <w:r w:rsidR="00946060">
        <w:rPr>
          <w:rFonts w:ascii="Times New Roman" w:hAnsi="Times New Roman" w:cs="Times New Roman"/>
        </w:rPr>
        <w:t xml:space="preserve"> </w:t>
      </w:r>
      <w:r w:rsidRPr="00EB304C">
        <w:rPr>
          <w:rFonts w:ascii="Times New Roman" w:hAnsi="Times New Roman" w:cs="Times New Roman"/>
        </w:rPr>
        <w:t xml:space="preserve">przypadku gdy zdaniem organu </w:t>
      </w:r>
      <w:r w:rsidR="006746BC" w:rsidRPr="00EB304C">
        <w:rPr>
          <w:rFonts w:ascii="Times New Roman" w:hAnsi="Times New Roman" w:cs="Times New Roman"/>
        </w:rPr>
        <w:t xml:space="preserve">podatkowego </w:t>
      </w:r>
      <w:r w:rsidRPr="00EB304C">
        <w:rPr>
          <w:rFonts w:ascii="Times New Roman" w:hAnsi="Times New Roman" w:cs="Times New Roman"/>
        </w:rPr>
        <w:t>nie jest konieczne przeprowadzenie</w:t>
      </w:r>
      <w:r w:rsidR="00946060">
        <w:rPr>
          <w:rFonts w:ascii="Times New Roman" w:hAnsi="Times New Roman" w:cs="Times New Roman"/>
        </w:rPr>
        <w:t xml:space="preserve"> </w:t>
      </w:r>
      <w:r w:rsidRPr="00EB304C">
        <w:rPr>
          <w:rFonts w:ascii="Times New Roman" w:hAnsi="Times New Roman" w:cs="Times New Roman"/>
        </w:rPr>
        <w:t xml:space="preserve">postępowania, kontroli lub </w:t>
      </w:r>
      <w:r w:rsidRPr="00EB304C">
        <w:rPr>
          <w:rFonts w:ascii="Times New Roman" w:hAnsi="Times New Roman" w:cs="Times New Roman"/>
        </w:rPr>
        <w:lastRenderedPageBreak/>
        <w:t>czynności,</w:t>
      </w:r>
      <w:r w:rsidR="00946060">
        <w:rPr>
          <w:rFonts w:ascii="Times New Roman" w:hAnsi="Times New Roman" w:cs="Times New Roman"/>
        </w:rPr>
        <w:t xml:space="preserve"> </w:t>
      </w:r>
      <w:r w:rsidRPr="00EB304C">
        <w:rPr>
          <w:rFonts w:ascii="Times New Roman" w:hAnsi="Times New Roman" w:cs="Times New Roman"/>
        </w:rPr>
        <w:t>o które zawnioskował właściwy organ innego państwa członkowskiego (mowa tu o wniosku o przeprowadzenie postępowania administracyjnego w rozumieniu dyrektywy 2011/16/UE, o którym stanowi jej art. 6 ust. 2), wówczas informacja o przyczynach takiej decyzji powinna zostać niezwłocznie przekazana organowi wnioskującemu. Przez postępowanie administracyjne dyrektywa 2011/16/UE rozumie wszystkie kontrole, postępowania wyjaśniające oraz inne działania podejmowane przez państwa członkowskie w ramach wykonywania swoich obowiązków w celu zapewnienia właściwego stosowania przepisów podatkowych (art. 3 pkt 7 dyrektywy 2011/16/UE).</w:t>
      </w:r>
    </w:p>
    <w:p w14:paraId="31B7BD32" w14:textId="77777777" w:rsidR="00F62650" w:rsidRPr="00EB304C" w:rsidRDefault="00F62650" w:rsidP="00507007">
      <w:pPr>
        <w:pBdr>
          <w:top w:val="nil"/>
          <w:left w:val="nil"/>
          <w:bottom w:val="nil"/>
          <w:right w:val="nil"/>
          <w:between w:val="nil"/>
          <w:bar w:val="nil"/>
        </w:pBdr>
        <w:spacing w:before="120" w:after="0" w:line="360" w:lineRule="auto"/>
        <w:ind w:firstLine="284"/>
        <w:jc w:val="both"/>
        <w:rPr>
          <w:rFonts w:ascii="Times New Roman" w:hAnsi="Times New Roman" w:cs="Times New Roman"/>
          <w:b/>
          <w:sz w:val="24"/>
          <w:szCs w:val="24"/>
        </w:rPr>
      </w:pPr>
      <w:r w:rsidRPr="00EB304C">
        <w:rPr>
          <w:rFonts w:ascii="Times New Roman" w:hAnsi="Times New Roman" w:cs="Times New Roman"/>
          <w:b/>
          <w:sz w:val="24"/>
          <w:szCs w:val="24"/>
        </w:rPr>
        <w:t>•</w:t>
      </w:r>
      <w:r w:rsidRPr="00EB304C">
        <w:rPr>
          <w:rFonts w:ascii="Times New Roman" w:hAnsi="Times New Roman" w:cs="Times New Roman"/>
          <w:b/>
          <w:sz w:val="24"/>
          <w:szCs w:val="24"/>
        </w:rPr>
        <w:tab/>
        <w:t>Zmiany w art. 11 (zmiany terminów – wymiana informacji na wniosek)</w:t>
      </w:r>
    </w:p>
    <w:p w14:paraId="70E1EF51" w14:textId="705F9424" w:rsidR="00F62650" w:rsidRPr="00EB304C" w:rsidRDefault="00F62650"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Przez nowelizację art. 11:</w:t>
      </w:r>
    </w:p>
    <w:p w14:paraId="26A6F38F" w14:textId="1DC32802" w:rsidR="00F62650" w:rsidRPr="00EB304C" w:rsidRDefault="00F62650" w:rsidP="00507007">
      <w:pPr>
        <w:pStyle w:val="Akapitzlist"/>
        <w:numPr>
          <w:ilvl w:val="0"/>
          <w:numId w:val="8"/>
        </w:num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 xml:space="preserve">skraca się podstawowy termin, w którym powinno zostać zakończone </w:t>
      </w:r>
      <w:r w:rsidR="000B2D93" w:rsidRPr="00EB304C">
        <w:rPr>
          <w:rFonts w:ascii="Times New Roman" w:hAnsi="Times New Roman" w:cs="Times New Roman"/>
          <w:sz w:val="24"/>
          <w:szCs w:val="24"/>
        </w:rPr>
        <w:t>postępowanie w </w:t>
      </w:r>
      <w:r w:rsidRPr="00EB304C">
        <w:rPr>
          <w:rFonts w:ascii="Times New Roman" w:hAnsi="Times New Roman" w:cs="Times New Roman"/>
          <w:sz w:val="24"/>
          <w:szCs w:val="24"/>
        </w:rPr>
        <w:t>sprawie udzielenia informacji podatkowych (w przypadku informacji podatkowych przekazywanych na wniosek). Dyrektywa – według zmienionego art. 7 ust. 1 – wymaga, aby organ współpracujący udzielił informacji najszybciej jak to możliwe, lecz nie później niż w terminie 3 miesięcy od daty otrzymania wniosku. Dotychczasowy, </w:t>
      </w:r>
      <w:r w:rsidRPr="00EB304C">
        <w:rPr>
          <w:rFonts w:ascii="Times New Roman" w:hAnsi="Times New Roman" w:cs="Times New Roman"/>
          <w:sz w:val="24"/>
          <w:szCs w:val="24"/>
        </w:rPr>
        <w:br/>
        <w:t>6-miesięczny termin, ulega więc zasadniczemu skróceniu</w:t>
      </w:r>
      <w:r w:rsidR="006E116E">
        <w:rPr>
          <w:rFonts w:ascii="Times New Roman" w:hAnsi="Times New Roman" w:cs="Times New Roman"/>
          <w:sz w:val="24"/>
          <w:szCs w:val="24"/>
        </w:rPr>
        <w:t>,</w:t>
      </w:r>
    </w:p>
    <w:p w14:paraId="6DDA759C" w14:textId="62E2A32D" w:rsidR="00F62650" w:rsidRPr="00EB304C" w:rsidRDefault="00F62650" w:rsidP="00507007">
      <w:pPr>
        <w:pStyle w:val="Akapitzlist"/>
        <w:numPr>
          <w:ilvl w:val="0"/>
          <w:numId w:val="8"/>
        </w:numPr>
        <w:pBdr>
          <w:top w:val="nil"/>
          <w:left w:val="nil"/>
          <w:bottom w:val="nil"/>
          <w:right w:val="nil"/>
          <w:between w:val="nil"/>
          <w:bar w:val="nil"/>
        </w:pBdr>
        <w:spacing w:before="120" w:after="0" w:line="360" w:lineRule="auto"/>
        <w:ind w:left="714" w:hanging="357"/>
        <w:contextualSpacing w:val="0"/>
        <w:jc w:val="both"/>
        <w:rPr>
          <w:rFonts w:ascii="Times New Roman" w:hAnsi="Times New Roman" w:cs="Times New Roman"/>
          <w:sz w:val="24"/>
          <w:szCs w:val="24"/>
        </w:rPr>
      </w:pPr>
      <w:r w:rsidRPr="00EB304C">
        <w:rPr>
          <w:rFonts w:ascii="Times New Roman" w:hAnsi="Times New Roman" w:cs="Times New Roman"/>
          <w:sz w:val="24"/>
          <w:szCs w:val="24"/>
        </w:rPr>
        <w:t>ogranicza się do 6 miesięcy termin, w którym maksymalnie powinny być przekazane informacje podatkowe</w:t>
      </w:r>
      <w:r w:rsidR="006E116E">
        <w:rPr>
          <w:rFonts w:ascii="Times New Roman" w:hAnsi="Times New Roman" w:cs="Times New Roman"/>
          <w:sz w:val="24"/>
          <w:szCs w:val="24"/>
        </w:rPr>
        <w:t>,</w:t>
      </w:r>
      <w:r w:rsidRPr="00EB304C">
        <w:rPr>
          <w:rFonts w:ascii="Times New Roman" w:hAnsi="Times New Roman" w:cs="Times New Roman"/>
          <w:sz w:val="24"/>
          <w:szCs w:val="24"/>
        </w:rPr>
        <w:t xml:space="preserve"> w przypadku gdy organ nie jest w stanie przekazać tych informacji w podstawowym (3-miesięcznym) terminie.</w:t>
      </w:r>
    </w:p>
    <w:p w14:paraId="70DED881" w14:textId="77777777" w:rsidR="00F62650" w:rsidRPr="00EB304C" w:rsidRDefault="00F62650" w:rsidP="00507007">
      <w:pPr>
        <w:pBdr>
          <w:top w:val="nil"/>
          <w:left w:val="nil"/>
          <w:bottom w:val="nil"/>
          <w:right w:val="nil"/>
          <w:between w:val="nil"/>
          <w:bar w:val="nil"/>
        </w:pBdr>
        <w:spacing w:before="120" w:after="0" w:line="360" w:lineRule="auto"/>
        <w:ind w:firstLine="284"/>
        <w:jc w:val="both"/>
        <w:rPr>
          <w:rFonts w:ascii="Times New Roman" w:hAnsi="Times New Roman" w:cs="Times New Roman"/>
          <w:b/>
          <w:sz w:val="24"/>
          <w:szCs w:val="24"/>
        </w:rPr>
      </w:pPr>
      <w:r w:rsidRPr="00EB304C">
        <w:rPr>
          <w:rFonts w:ascii="Times New Roman" w:hAnsi="Times New Roman" w:cs="Times New Roman"/>
          <w:b/>
          <w:sz w:val="24"/>
          <w:szCs w:val="24"/>
        </w:rPr>
        <w:t>•</w:t>
      </w:r>
      <w:r w:rsidRPr="00EB304C">
        <w:rPr>
          <w:rFonts w:ascii="Times New Roman" w:hAnsi="Times New Roman" w:cs="Times New Roman"/>
          <w:b/>
          <w:sz w:val="24"/>
          <w:szCs w:val="24"/>
        </w:rPr>
        <w:tab/>
        <w:t>Zmiany w art. 15 (rozszerzenie katalogu wymienianych informacji)</w:t>
      </w:r>
    </w:p>
    <w:p w14:paraId="3024D05D" w14:textId="5789709F" w:rsidR="00F62650" w:rsidRDefault="00F62650"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Zmiana wprowadzona w art. 15 uWIP rozszerza kat</w:t>
      </w:r>
      <w:r w:rsidR="0040297D" w:rsidRPr="00EB304C">
        <w:rPr>
          <w:rFonts w:ascii="Times New Roman" w:hAnsi="Times New Roman" w:cs="Times New Roman"/>
          <w:sz w:val="24"/>
          <w:szCs w:val="24"/>
        </w:rPr>
        <w:t>alog</w:t>
      </w:r>
      <w:r w:rsidRPr="00EB304C">
        <w:rPr>
          <w:rFonts w:ascii="Times New Roman" w:hAnsi="Times New Roman" w:cs="Times New Roman"/>
          <w:sz w:val="24"/>
          <w:szCs w:val="24"/>
        </w:rPr>
        <w:t xml:space="preserve"> informacji wymienianych między właściwymi organami państw członkowskich z</w:t>
      </w:r>
      <w:r w:rsidR="000B2D93" w:rsidRPr="00EB304C">
        <w:rPr>
          <w:rFonts w:ascii="Times New Roman" w:hAnsi="Times New Roman" w:cs="Times New Roman"/>
          <w:sz w:val="24"/>
          <w:szCs w:val="24"/>
        </w:rPr>
        <w:t xml:space="preserve">godnie z </w:t>
      </w:r>
      <w:r w:rsidR="00536D58">
        <w:rPr>
          <w:rFonts w:ascii="Times New Roman" w:hAnsi="Times New Roman" w:cs="Times New Roman"/>
          <w:sz w:val="24"/>
          <w:szCs w:val="24"/>
        </w:rPr>
        <w:t>d</w:t>
      </w:r>
      <w:r w:rsidR="00FB0E66" w:rsidRPr="00EB304C">
        <w:rPr>
          <w:rFonts w:ascii="Times New Roman" w:hAnsi="Times New Roman" w:cs="Times New Roman"/>
          <w:sz w:val="24"/>
          <w:szCs w:val="24"/>
        </w:rPr>
        <w:t xml:space="preserve">yrektywą </w:t>
      </w:r>
      <w:r w:rsidR="000B2D93" w:rsidRPr="00EB304C">
        <w:rPr>
          <w:rFonts w:ascii="Times New Roman" w:hAnsi="Times New Roman" w:cs="Times New Roman"/>
          <w:sz w:val="24"/>
          <w:szCs w:val="24"/>
        </w:rPr>
        <w:t xml:space="preserve">2011/16/UE. </w:t>
      </w:r>
      <w:r w:rsidRPr="00EB304C">
        <w:rPr>
          <w:rFonts w:ascii="Times New Roman" w:hAnsi="Times New Roman" w:cs="Times New Roman"/>
          <w:sz w:val="24"/>
          <w:szCs w:val="24"/>
        </w:rPr>
        <w:t>Dodawana kategoria to</w:t>
      </w:r>
      <w:r w:rsidRPr="00EB304C" w:rsidDel="00877C42">
        <w:rPr>
          <w:rFonts w:ascii="Times New Roman" w:hAnsi="Times New Roman" w:cs="Times New Roman"/>
          <w:sz w:val="24"/>
          <w:szCs w:val="24"/>
        </w:rPr>
        <w:t xml:space="preserve"> </w:t>
      </w:r>
      <w:r w:rsidR="00F648A9" w:rsidRPr="00EB304C">
        <w:rPr>
          <w:rFonts w:ascii="Times New Roman" w:hAnsi="Times New Roman" w:cs="Times New Roman"/>
          <w:sz w:val="24"/>
          <w:szCs w:val="24"/>
        </w:rPr>
        <w:t>dochody z praw autorskich lub z praw pokrewnych, z praw do projektów wynalazczych, znaków towarowych i wzorów zdobniczych, w tym również ze sprzedaży tych praw, z należności za udostępnienie tajemnicy receptury lub procesu produkcyjnego, za użytkowanie lub prawo do użytkowania urządzenia przemysłowego, handlowego lub naukowego, w tym także środka transportu, oraz za informacje związane ze zdobytym doświadczeniem w dziedzinie przemysłowej, handlowej lub naukowej (know-how).</w:t>
      </w:r>
      <w:r w:rsidRPr="00EB304C">
        <w:rPr>
          <w:rFonts w:ascii="Times New Roman" w:hAnsi="Times New Roman" w:cs="Times New Roman"/>
          <w:sz w:val="24"/>
          <w:szCs w:val="24"/>
        </w:rPr>
        <w:t xml:space="preserve"> </w:t>
      </w:r>
      <w:r w:rsidR="00F648A9" w:rsidRPr="00EB304C">
        <w:rPr>
          <w:rFonts w:ascii="Times New Roman" w:hAnsi="Times New Roman" w:cs="Times New Roman"/>
          <w:sz w:val="24"/>
          <w:szCs w:val="24"/>
        </w:rPr>
        <w:t>O</w:t>
      </w:r>
      <w:r w:rsidRPr="00EB304C">
        <w:rPr>
          <w:rFonts w:ascii="Times New Roman" w:hAnsi="Times New Roman" w:cs="Times New Roman"/>
          <w:sz w:val="24"/>
          <w:szCs w:val="24"/>
        </w:rPr>
        <w:t xml:space="preserve">bjęcie ich obowiązkiem wymiany informacji jest podyktowane koniecznością przeciwdziałania zjawisku wykorzystywania łatwo </w:t>
      </w:r>
      <w:r w:rsidR="00AE7706" w:rsidRPr="00EB304C">
        <w:rPr>
          <w:rFonts w:ascii="Times New Roman" w:hAnsi="Times New Roman" w:cs="Times New Roman"/>
          <w:sz w:val="24"/>
          <w:szCs w:val="24"/>
        </w:rPr>
        <w:t xml:space="preserve">przekazywalnych </w:t>
      </w:r>
      <w:r w:rsidRPr="00EB304C">
        <w:rPr>
          <w:rFonts w:ascii="Times New Roman" w:hAnsi="Times New Roman" w:cs="Times New Roman"/>
          <w:sz w:val="24"/>
          <w:szCs w:val="24"/>
        </w:rPr>
        <w:t xml:space="preserve">składników majątku do nadużyć podatkowych. </w:t>
      </w:r>
      <w:r w:rsidRPr="00EB304C">
        <w:rPr>
          <w:rFonts w:ascii="Times New Roman" w:hAnsi="Times New Roman" w:cs="Times New Roman"/>
          <w:i/>
          <w:sz w:val="24"/>
          <w:szCs w:val="24"/>
        </w:rPr>
        <w:t xml:space="preserve">Istotne jest, aby państwa członkowskie wymieniały informacje dotyczące dochodów pochodzących z własności intelektualnej, gdyż ze względu na bardzo mobilne aktywa </w:t>
      </w:r>
      <w:r w:rsidRPr="00EB304C">
        <w:rPr>
          <w:rFonts w:ascii="Times New Roman" w:hAnsi="Times New Roman" w:cs="Times New Roman"/>
          <w:i/>
          <w:sz w:val="24"/>
          <w:szCs w:val="24"/>
        </w:rPr>
        <w:lastRenderedPageBreak/>
        <w:t xml:space="preserve">bazowe ten obszar gospodarki jest podatny na rozwiązania w zakresie przenoszenia zysków </w:t>
      </w:r>
      <w:r w:rsidRPr="00EB304C">
        <w:rPr>
          <w:rFonts w:ascii="Times New Roman" w:hAnsi="Times New Roman" w:cs="Times New Roman"/>
          <w:sz w:val="24"/>
          <w:szCs w:val="24"/>
        </w:rPr>
        <w:t>– uzasadnia się w motywie 5 dyrektywy.</w:t>
      </w:r>
    </w:p>
    <w:p w14:paraId="3EC17993" w14:textId="2B9AD602" w:rsidR="00590142" w:rsidRPr="00EB304C" w:rsidRDefault="00590142"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Należy jednocześnie odnotować, że dodawana kategoria dochodów może być w praktyce uzyskiwana także przez podmioty inne niż osoby fizyczne. W związku z tym art. 15 uWIP został zmieniony w takim kierunku, aby obejmował zarówno podatników podatku dochodowego od osób fizycznych, jak i podatku dochodowego od osób prawnych, posiadających odpowiednio miejsce zamieszkania, siedzibę lub zarząd, w innym państwie członkowskim. </w:t>
      </w:r>
    </w:p>
    <w:p w14:paraId="33D08C59" w14:textId="710F0F9B" w:rsidR="00C954DC" w:rsidRPr="006815B9" w:rsidRDefault="00825BA1" w:rsidP="00507007">
      <w:pPr>
        <w:pStyle w:val="Akapitzlist"/>
        <w:numPr>
          <w:ilvl w:val="0"/>
          <w:numId w:val="36"/>
        </w:num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b/>
          <w:sz w:val="24"/>
          <w:szCs w:val="24"/>
        </w:rPr>
        <w:t xml:space="preserve">Zmiany w art. </w:t>
      </w:r>
      <w:r w:rsidR="00E07674" w:rsidRPr="00EB304C">
        <w:rPr>
          <w:rFonts w:ascii="Times New Roman" w:hAnsi="Times New Roman" w:cs="Times New Roman"/>
          <w:b/>
          <w:sz w:val="24"/>
          <w:szCs w:val="24"/>
        </w:rPr>
        <w:t xml:space="preserve">18 i </w:t>
      </w:r>
      <w:r w:rsidR="00536D58">
        <w:rPr>
          <w:rFonts w:ascii="Times New Roman" w:hAnsi="Times New Roman" w:cs="Times New Roman"/>
          <w:b/>
          <w:sz w:val="24"/>
          <w:szCs w:val="24"/>
        </w:rPr>
        <w:t xml:space="preserve">art. </w:t>
      </w:r>
      <w:r w:rsidR="00E07674" w:rsidRPr="00EB304C">
        <w:rPr>
          <w:rFonts w:ascii="Times New Roman" w:hAnsi="Times New Roman" w:cs="Times New Roman"/>
          <w:b/>
          <w:sz w:val="24"/>
          <w:szCs w:val="24"/>
        </w:rPr>
        <w:t>19 (zmiany w porozumieniach w zakresie przebywania upoważnionych przedstawicieli)</w:t>
      </w:r>
    </w:p>
    <w:p w14:paraId="23771171" w14:textId="4BED2488" w:rsidR="00C954DC" w:rsidRPr="00EB304C" w:rsidRDefault="00C954DC"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 xml:space="preserve">Projekt przewiduje zmianę brzmienia art. 18 i </w:t>
      </w:r>
      <w:r w:rsidR="003737DC">
        <w:rPr>
          <w:rFonts w:ascii="Times New Roman" w:hAnsi="Times New Roman" w:cs="Times New Roman"/>
          <w:color w:val="000000" w:themeColor="text1"/>
          <w:sz w:val="24"/>
          <w:szCs w:val="24"/>
        </w:rPr>
        <w:t xml:space="preserve">art. </w:t>
      </w:r>
      <w:r w:rsidRPr="00EB304C">
        <w:rPr>
          <w:rFonts w:ascii="Times New Roman" w:hAnsi="Times New Roman" w:cs="Times New Roman"/>
          <w:color w:val="000000" w:themeColor="text1"/>
          <w:sz w:val="24"/>
          <w:szCs w:val="24"/>
        </w:rPr>
        <w:t xml:space="preserve">19 </w:t>
      </w:r>
      <w:proofErr w:type="spellStart"/>
      <w:r w:rsidRPr="00EB304C">
        <w:rPr>
          <w:rFonts w:ascii="Times New Roman" w:hAnsi="Times New Roman" w:cs="Times New Roman"/>
          <w:color w:val="000000" w:themeColor="text1"/>
          <w:sz w:val="24"/>
          <w:szCs w:val="24"/>
        </w:rPr>
        <w:t>uWIP</w:t>
      </w:r>
      <w:proofErr w:type="spellEnd"/>
      <w:r w:rsidRPr="00EB304C">
        <w:rPr>
          <w:rFonts w:ascii="Times New Roman" w:hAnsi="Times New Roman" w:cs="Times New Roman"/>
          <w:color w:val="000000" w:themeColor="text1"/>
          <w:sz w:val="24"/>
          <w:szCs w:val="24"/>
        </w:rPr>
        <w:t xml:space="preserve"> w celu wyraźnego wskazania kompetencji Szefa KAS do zawierania dwustronnych porozumień dotyczących wymiany informacji podatkowych oraz przebywania upoważnionych przedstawicieli właściwych organów państw </w:t>
      </w:r>
      <w:r w:rsidR="004B46BE" w:rsidRPr="00EB304C">
        <w:rPr>
          <w:rFonts w:ascii="Times New Roman" w:hAnsi="Times New Roman" w:cs="Times New Roman"/>
          <w:color w:val="000000" w:themeColor="text1"/>
          <w:sz w:val="24"/>
          <w:szCs w:val="24"/>
        </w:rPr>
        <w:t xml:space="preserve">członkowskich lub </w:t>
      </w:r>
      <w:r w:rsidRPr="00EB304C">
        <w:rPr>
          <w:rFonts w:ascii="Times New Roman" w:hAnsi="Times New Roman" w:cs="Times New Roman"/>
          <w:color w:val="000000" w:themeColor="text1"/>
          <w:sz w:val="24"/>
          <w:szCs w:val="24"/>
        </w:rPr>
        <w:t>trzecich w siedzibach organów podatkowych oraz ich obecności w toku postępowań w sprawie udzielenia informacji podatk</w:t>
      </w:r>
      <w:r w:rsidR="000B2D93" w:rsidRPr="00EB304C">
        <w:rPr>
          <w:rFonts w:ascii="Times New Roman" w:hAnsi="Times New Roman" w:cs="Times New Roman"/>
          <w:color w:val="000000" w:themeColor="text1"/>
          <w:sz w:val="24"/>
          <w:szCs w:val="24"/>
        </w:rPr>
        <w:t>owych, postępowań podatkowych i </w:t>
      </w:r>
      <w:r w:rsidRPr="00EB304C">
        <w:rPr>
          <w:rFonts w:ascii="Times New Roman" w:hAnsi="Times New Roman" w:cs="Times New Roman"/>
          <w:color w:val="000000" w:themeColor="text1"/>
          <w:sz w:val="24"/>
          <w:szCs w:val="24"/>
        </w:rPr>
        <w:t>czynności kontrolnych.</w:t>
      </w:r>
    </w:p>
    <w:p w14:paraId="72EC37D1" w14:textId="152F4D9D" w:rsidR="00672EFC" w:rsidRPr="00EB304C" w:rsidRDefault="00F648A9"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Z</w:t>
      </w:r>
      <w:r w:rsidR="00C954DC" w:rsidRPr="00EB304C">
        <w:rPr>
          <w:rFonts w:ascii="Times New Roman" w:hAnsi="Times New Roman" w:cs="Times New Roman"/>
          <w:color w:val="000000" w:themeColor="text1"/>
          <w:sz w:val="24"/>
          <w:szCs w:val="24"/>
        </w:rPr>
        <w:t>godnie z</w:t>
      </w:r>
      <w:r w:rsidRPr="00EB304C">
        <w:rPr>
          <w:rFonts w:ascii="Times New Roman" w:hAnsi="Times New Roman" w:cs="Times New Roman"/>
          <w:color w:val="000000" w:themeColor="text1"/>
          <w:sz w:val="24"/>
          <w:szCs w:val="24"/>
        </w:rPr>
        <w:t xml:space="preserve"> nowym brzmieniem</w:t>
      </w:r>
      <w:r w:rsidR="00C954DC" w:rsidRPr="00EB304C">
        <w:rPr>
          <w:rFonts w:ascii="Times New Roman" w:hAnsi="Times New Roman" w:cs="Times New Roman"/>
          <w:color w:val="000000" w:themeColor="text1"/>
          <w:sz w:val="24"/>
          <w:szCs w:val="24"/>
        </w:rPr>
        <w:t xml:space="preserve"> art. 18</w:t>
      </w:r>
      <w:r w:rsidR="00FC04A3" w:rsidRPr="00FC04A3">
        <w:rPr>
          <w:rFonts w:ascii="Times New Roman" w:hAnsi="Times New Roman" w:cs="Times New Roman"/>
          <w:color w:val="000000" w:themeColor="text1"/>
          <w:sz w:val="24"/>
          <w:szCs w:val="24"/>
        </w:rPr>
        <w:t xml:space="preserve"> </w:t>
      </w:r>
      <w:proofErr w:type="spellStart"/>
      <w:r w:rsidR="00FC04A3" w:rsidRPr="00EB304C">
        <w:rPr>
          <w:rFonts w:ascii="Times New Roman" w:hAnsi="Times New Roman" w:cs="Times New Roman"/>
          <w:color w:val="000000" w:themeColor="text1"/>
          <w:sz w:val="24"/>
          <w:szCs w:val="24"/>
        </w:rPr>
        <w:t>uWIP</w:t>
      </w:r>
      <w:proofErr w:type="spellEnd"/>
      <w:r w:rsidR="00C954DC" w:rsidRPr="00EB304C">
        <w:rPr>
          <w:rFonts w:ascii="Times New Roman" w:hAnsi="Times New Roman" w:cs="Times New Roman"/>
          <w:color w:val="000000" w:themeColor="text1"/>
          <w:sz w:val="24"/>
          <w:szCs w:val="24"/>
        </w:rPr>
        <w:t xml:space="preserve">, Szef KAS, w celu usprawnienia współpracy, może zawierać z właściwym organem państwa członkowskiego </w:t>
      </w:r>
      <w:r w:rsidRPr="00EB304C">
        <w:rPr>
          <w:rFonts w:ascii="Times New Roman" w:hAnsi="Times New Roman" w:cs="Times New Roman"/>
          <w:color w:val="000000" w:themeColor="text1"/>
          <w:sz w:val="24"/>
          <w:szCs w:val="24"/>
        </w:rPr>
        <w:t xml:space="preserve">lub państwa trzeciego </w:t>
      </w:r>
      <w:r w:rsidR="00C954DC" w:rsidRPr="00EB304C">
        <w:rPr>
          <w:rFonts w:ascii="Times New Roman" w:hAnsi="Times New Roman" w:cs="Times New Roman"/>
          <w:color w:val="000000" w:themeColor="text1"/>
          <w:sz w:val="24"/>
          <w:szCs w:val="24"/>
        </w:rPr>
        <w:t>porozumieni</w:t>
      </w:r>
      <w:r w:rsidR="000B2D93" w:rsidRPr="00EB304C">
        <w:rPr>
          <w:rFonts w:ascii="Times New Roman" w:hAnsi="Times New Roman" w:cs="Times New Roman"/>
          <w:color w:val="000000" w:themeColor="text1"/>
          <w:sz w:val="24"/>
          <w:szCs w:val="24"/>
        </w:rPr>
        <w:t>a dwustronne lub wielostronne w </w:t>
      </w:r>
      <w:r w:rsidR="00C954DC" w:rsidRPr="00EB304C">
        <w:rPr>
          <w:rFonts w:ascii="Times New Roman" w:hAnsi="Times New Roman" w:cs="Times New Roman"/>
          <w:color w:val="000000" w:themeColor="text1"/>
          <w:sz w:val="24"/>
          <w:szCs w:val="24"/>
        </w:rPr>
        <w:t xml:space="preserve">zakresie szczegółowego sposobu i trybu wymiany informacji podatkowych, natomiast zgodnie z </w:t>
      </w:r>
      <w:r w:rsidRPr="00EB304C">
        <w:rPr>
          <w:rFonts w:ascii="Times New Roman" w:hAnsi="Times New Roman" w:cs="Times New Roman"/>
          <w:color w:val="000000" w:themeColor="text1"/>
          <w:sz w:val="24"/>
          <w:szCs w:val="24"/>
        </w:rPr>
        <w:t xml:space="preserve">nowym brzmieniem </w:t>
      </w:r>
      <w:r w:rsidR="00C954DC" w:rsidRPr="00EB304C">
        <w:rPr>
          <w:rFonts w:ascii="Times New Roman" w:hAnsi="Times New Roman" w:cs="Times New Roman"/>
          <w:color w:val="000000" w:themeColor="text1"/>
          <w:sz w:val="24"/>
          <w:szCs w:val="24"/>
        </w:rPr>
        <w:t xml:space="preserve">art. 19 ust. 1 </w:t>
      </w:r>
      <w:proofErr w:type="spellStart"/>
      <w:r w:rsidR="00FC04A3" w:rsidRPr="00EB304C">
        <w:rPr>
          <w:rFonts w:ascii="Times New Roman" w:hAnsi="Times New Roman" w:cs="Times New Roman"/>
          <w:color w:val="000000" w:themeColor="text1"/>
          <w:sz w:val="24"/>
          <w:szCs w:val="24"/>
        </w:rPr>
        <w:t>uWIP</w:t>
      </w:r>
      <w:proofErr w:type="spellEnd"/>
      <w:r w:rsidR="00FC04A3" w:rsidRPr="00EB304C" w:rsidDel="00536D58">
        <w:rPr>
          <w:rFonts w:ascii="Times New Roman" w:hAnsi="Times New Roman" w:cs="Times New Roman"/>
          <w:color w:val="000000" w:themeColor="text1"/>
          <w:sz w:val="24"/>
          <w:szCs w:val="24"/>
        </w:rPr>
        <w:t xml:space="preserve"> </w:t>
      </w:r>
      <w:r w:rsidR="00C954DC" w:rsidRPr="00EB304C">
        <w:rPr>
          <w:rFonts w:ascii="Times New Roman" w:hAnsi="Times New Roman" w:cs="Times New Roman"/>
          <w:color w:val="000000" w:themeColor="text1"/>
          <w:sz w:val="24"/>
          <w:szCs w:val="24"/>
        </w:rPr>
        <w:t>Szef KAS, w celu wymiany informacji podatkowych, może zawierać z właściwym organem państwa członkowskiego</w:t>
      </w:r>
      <w:r w:rsidR="004C233E" w:rsidRPr="00EB304C">
        <w:rPr>
          <w:rFonts w:ascii="Times New Roman" w:hAnsi="Times New Roman" w:cs="Times New Roman"/>
          <w:color w:val="000000" w:themeColor="text1"/>
          <w:sz w:val="24"/>
          <w:szCs w:val="24"/>
        </w:rPr>
        <w:t xml:space="preserve"> lub państwa trzeciego, na </w:t>
      </w:r>
      <w:r w:rsidR="00536D58">
        <w:rPr>
          <w:rFonts w:ascii="Times New Roman" w:hAnsi="Times New Roman" w:cs="Times New Roman"/>
          <w:color w:val="000000" w:themeColor="text1"/>
          <w:sz w:val="24"/>
          <w:szCs w:val="24"/>
        </w:rPr>
        <w:t>jego</w:t>
      </w:r>
      <w:r w:rsidR="004C233E" w:rsidRPr="00EB304C">
        <w:rPr>
          <w:rFonts w:ascii="Times New Roman" w:hAnsi="Times New Roman" w:cs="Times New Roman"/>
          <w:color w:val="000000" w:themeColor="text1"/>
          <w:sz w:val="24"/>
          <w:szCs w:val="24"/>
        </w:rPr>
        <w:t xml:space="preserve"> wniosek lub z własnej inicjatywy</w:t>
      </w:r>
      <w:r w:rsidR="00FA4949" w:rsidRPr="00EB304C">
        <w:rPr>
          <w:rFonts w:ascii="Times New Roman" w:hAnsi="Times New Roman" w:cs="Times New Roman"/>
          <w:color w:val="000000" w:themeColor="text1"/>
          <w:sz w:val="24"/>
          <w:szCs w:val="24"/>
        </w:rPr>
        <w:t>,</w:t>
      </w:r>
      <w:r w:rsidR="00C954DC" w:rsidRPr="00EB304C">
        <w:rPr>
          <w:rFonts w:ascii="Times New Roman" w:hAnsi="Times New Roman" w:cs="Times New Roman"/>
          <w:color w:val="000000" w:themeColor="text1"/>
          <w:sz w:val="24"/>
          <w:szCs w:val="24"/>
        </w:rPr>
        <w:t xml:space="preserve"> porozumienia w zakresie </w:t>
      </w:r>
      <w:r w:rsidRPr="00EB304C">
        <w:rPr>
          <w:rFonts w:ascii="Times New Roman" w:hAnsi="Times New Roman" w:cs="Times New Roman"/>
          <w:color w:val="000000" w:themeColor="text1"/>
          <w:sz w:val="24"/>
          <w:szCs w:val="24"/>
        </w:rPr>
        <w:t xml:space="preserve">obecności w urzędach oraz osobistego lub za pośrednictwem środków komunikacji elektronicznej udziału upoważnionych przedstawicieli właściwego organu państwa członkowskiego lub państwa trzeciego w </w:t>
      </w:r>
      <w:r w:rsidR="00C954DC" w:rsidRPr="00EB304C">
        <w:rPr>
          <w:rFonts w:ascii="Times New Roman" w:hAnsi="Times New Roman" w:cs="Times New Roman"/>
          <w:color w:val="000000" w:themeColor="text1"/>
          <w:sz w:val="24"/>
          <w:szCs w:val="24"/>
        </w:rPr>
        <w:t>postępowa</w:t>
      </w:r>
      <w:r w:rsidRPr="00EB304C">
        <w:rPr>
          <w:rFonts w:ascii="Times New Roman" w:hAnsi="Times New Roman" w:cs="Times New Roman"/>
          <w:color w:val="000000" w:themeColor="text1"/>
          <w:sz w:val="24"/>
          <w:szCs w:val="24"/>
        </w:rPr>
        <w:t>niach w sprawie udzielenia informacji podatkowych,</w:t>
      </w:r>
      <w:r w:rsidR="00223152">
        <w:rPr>
          <w:rFonts w:ascii="Times New Roman" w:hAnsi="Times New Roman" w:cs="Times New Roman"/>
          <w:color w:val="000000" w:themeColor="text1"/>
          <w:sz w:val="24"/>
          <w:szCs w:val="24"/>
        </w:rPr>
        <w:t xml:space="preserve"> </w:t>
      </w:r>
      <w:r w:rsidR="003737DC">
        <w:rPr>
          <w:rFonts w:ascii="Times New Roman" w:hAnsi="Times New Roman" w:cs="Times New Roman"/>
          <w:color w:val="000000" w:themeColor="text1"/>
          <w:sz w:val="24"/>
          <w:szCs w:val="24"/>
        </w:rPr>
        <w:t xml:space="preserve">postępowaniach </w:t>
      </w:r>
      <w:r w:rsidR="00C954DC" w:rsidRPr="00EB304C">
        <w:rPr>
          <w:rFonts w:ascii="Times New Roman" w:hAnsi="Times New Roman" w:cs="Times New Roman"/>
          <w:color w:val="000000" w:themeColor="text1"/>
          <w:sz w:val="24"/>
          <w:szCs w:val="24"/>
        </w:rPr>
        <w:t>podatkowych oraz w toku czynności kontrolnych</w:t>
      </w:r>
      <w:r w:rsidR="00677D4E" w:rsidRPr="00EB304C">
        <w:rPr>
          <w:rFonts w:ascii="Times New Roman" w:hAnsi="Times New Roman" w:cs="Times New Roman"/>
          <w:color w:val="000000" w:themeColor="text1"/>
          <w:sz w:val="24"/>
          <w:szCs w:val="24"/>
        </w:rPr>
        <w:t xml:space="preserve"> na terytorium RP, innego państwa członkowskiego lub państwa trzeciego</w:t>
      </w:r>
      <w:r w:rsidR="00C954DC" w:rsidRPr="00EB304C">
        <w:rPr>
          <w:rFonts w:ascii="Times New Roman" w:hAnsi="Times New Roman" w:cs="Times New Roman"/>
          <w:color w:val="000000" w:themeColor="text1"/>
          <w:sz w:val="24"/>
          <w:szCs w:val="24"/>
        </w:rPr>
        <w:t>. Zgodnie z art. 14 pkt 11 ustaw</w:t>
      </w:r>
      <w:r w:rsidR="000B2D93" w:rsidRPr="00EB304C">
        <w:rPr>
          <w:rFonts w:ascii="Times New Roman" w:hAnsi="Times New Roman" w:cs="Times New Roman"/>
          <w:color w:val="000000" w:themeColor="text1"/>
          <w:sz w:val="24"/>
          <w:szCs w:val="24"/>
        </w:rPr>
        <w:t>y o </w:t>
      </w:r>
      <w:r w:rsidR="00C954DC" w:rsidRPr="00EB304C">
        <w:rPr>
          <w:rFonts w:ascii="Times New Roman" w:hAnsi="Times New Roman" w:cs="Times New Roman"/>
          <w:color w:val="000000" w:themeColor="text1"/>
          <w:sz w:val="24"/>
          <w:szCs w:val="24"/>
        </w:rPr>
        <w:t>Krajowej Administracji Skarbowej do zadań Szefa KAS należy współpraca z właściwymi organami innych państw oraz organizacjami międzynarodowymi i instytucjami międzynarodowymi. W</w:t>
      </w:r>
      <w:r w:rsidR="00AE254B">
        <w:rPr>
          <w:rFonts w:ascii="Times New Roman" w:hAnsi="Times New Roman" w:cs="Times New Roman"/>
          <w:color w:val="000000" w:themeColor="text1"/>
          <w:sz w:val="24"/>
          <w:szCs w:val="24"/>
        </w:rPr>
        <w:t xml:space="preserve"> </w:t>
      </w:r>
      <w:r w:rsidR="00C954DC" w:rsidRPr="00EB304C">
        <w:rPr>
          <w:rFonts w:ascii="Times New Roman" w:hAnsi="Times New Roman" w:cs="Times New Roman"/>
          <w:color w:val="000000" w:themeColor="text1"/>
          <w:sz w:val="24"/>
          <w:szCs w:val="24"/>
        </w:rPr>
        <w:t>konsekwencji zawieranie wszystkich porozumień organizujących współpracę bilateralną w zakresie wymiany informacji podatkowych leży w kompetencji Szefa KAS. W związku z tym</w:t>
      </w:r>
      <w:r w:rsidR="00223152">
        <w:rPr>
          <w:rFonts w:ascii="Times New Roman" w:hAnsi="Times New Roman" w:cs="Times New Roman"/>
          <w:color w:val="000000" w:themeColor="text1"/>
          <w:sz w:val="24"/>
          <w:szCs w:val="24"/>
        </w:rPr>
        <w:t xml:space="preserve"> </w:t>
      </w:r>
      <w:r w:rsidR="00C954DC" w:rsidRPr="00EB304C">
        <w:rPr>
          <w:rFonts w:ascii="Times New Roman" w:hAnsi="Times New Roman" w:cs="Times New Roman"/>
          <w:color w:val="000000" w:themeColor="text1"/>
          <w:sz w:val="24"/>
          <w:szCs w:val="24"/>
        </w:rPr>
        <w:t xml:space="preserve">projektowana zmiana brzmienia art. 18 i </w:t>
      </w:r>
      <w:r w:rsidR="00536D58">
        <w:rPr>
          <w:rFonts w:ascii="Times New Roman" w:hAnsi="Times New Roman" w:cs="Times New Roman"/>
          <w:color w:val="000000" w:themeColor="text1"/>
          <w:sz w:val="24"/>
          <w:szCs w:val="24"/>
        </w:rPr>
        <w:t xml:space="preserve">art. </w:t>
      </w:r>
      <w:r w:rsidR="00C954DC" w:rsidRPr="00EB304C">
        <w:rPr>
          <w:rFonts w:ascii="Times New Roman" w:hAnsi="Times New Roman" w:cs="Times New Roman"/>
          <w:color w:val="000000" w:themeColor="text1"/>
          <w:sz w:val="24"/>
          <w:szCs w:val="24"/>
        </w:rPr>
        <w:t>19 uWIP ma na celu</w:t>
      </w:r>
      <w:r w:rsidR="00223152">
        <w:rPr>
          <w:rFonts w:ascii="Times New Roman" w:hAnsi="Times New Roman" w:cs="Times New Roman"/>
          <w:color w:val="000000" w:themeColor="text1"/>
          <w:sz w:val="24"/>
          <w:szCs w:val="24"/>
        </w:rPr>
        <w:t xml:space="preserve"> </w:t>
      </w:r>
      <w:r w:rsidR="00C954DC" w:rsidRPr="00EB304C">
        <w:rPr>
          <w:rFonts w:ascii="Times New Roman" w:hAnsi="Times New Roman" w:cs="Times New Roman"/>
          <w:color w:val="000000" w:themeColor="text1"/>
          <w:sz w:val="24"/>
          <w:szCs w:val="24"/>
        </w:rPr>
        <w:lastRenderedPageBreak/>
        <w:t>zapewnienie spójności z zadaniami przypisanymi Szefowi KAS. Zawieranie porozumień oraz podpisywanie innych dokumentów związanych z roboczą organizacją współpracy w zakresie wymiany informacji podatkowych zarówno z państwam</w:t>
      </w:r>
      <w:r w:rsidR="000B2D93" w:rsidRPr="00EB304C">
        <w:rPr>
          <w:rFonts w:ascii="Times New Roman" w:hAnsi="Times New Roman" w:cs="Times New Roman"/>
          <w:color w:val="000000" w:themeColor="text1"/>
          <w:sz w:val="24"/>
          <w:szCs w:val="24"/>
        </w:rPr>
        <w:t>i członkowskimi, jak również z </w:t>
      </w:r>
      <w:r w:rsidR="00C954DC" w:rsidRPr="00EB304C">
        <w:rPr>
          <w:rFonts w:ascii="Times New Roman" w:hAnsi="Times New Roman" w:cs="Times New Roman"/>
          <w:color w:val="000000" w:themeColor="text1"/>
          <w:sz w:val="24"/>
          <w:szCs w:val="24"/>
        </w:rPr>
        <w:t>państwami trzecimi, należy bowiem do kom</w:t>
      </w:r>
      <w:r w:rsidR="000B2D93" w:rsidRPr="00EB304C">
        <w:rPr>
          <w:rFonts w:ascii="Times New Roman" w:hAnsi="Times New Roman" w:cs="Times New Roman"/>
          <w:color w:val="000000" w:themeColor="text1"/>
          <w:sz w:val="24"/>
          <w:szCs w:val="24"/>
        </w:rPr>
        <w:t>petencji Szefa KAS. W związku z </w:t>
      </w:r>
      <w:r w:rsidR="00C954DC" w:rsidRPr="00EB304C">
        <w:rPr>
          <w:rFonts w:ascii="Times New Roman" w:hAnsi="Times New Roman" w:cs="Times New Roman"/>
          <w:color w:val="000000" w:themeColor="text1"/>
          <w:sz w:val="24"/>
          <w:szCs w:val="24"/>
        </w:rPr>
        <w:t xml:space="preserve">projektowanymi zmianami art. 18 i </w:t>
      </w:r>
      <w:r w:rsidR="00536D58">
        <w:rPr>
          <w:rFonts w:ascii="Times New Roman" w:hAnsi="Times New Roman" w:cs="Times New Roman"/>
          <w:color w:val="000000" w:themeColor="text1"/>
          <w:sz w:val="24"/>
          <w:szCs w:val="24"/>
        </w:rPr>
        <w:t xml:space="preserve">art. </w:t>
      </w:r>
      <w:r w:rsidR="00C954DC" w:rsidRPr="00EB304C">
        <w:rPr>
          <w:rFonts w:ascii="Times New Roman" w:hAnsi="Times New Roman" w:cs="Times New Roman"/>
          <w:color w:val="000000" w:themeColor="text1"/>
          <w:sz w:val="24"/>
          <w:szCs w:val="24"/>
        </w:rPr>
        <w:t xml:space="preserve">19 </w:t>
      </w:r>
      <w:proofErr w:type="spellStart"/>
      <w:r w:rsidR="00C954DC" w:rsidRPr="00EB304C">
        <w:rPr>
          <w:rFonts w:ascii="Times New Roman" w:hAnsi="Times New Roman" w:cs="Times New Roman"/>
          <w:color w:val="000000" w:themeColor="text1"/>
          <w:sz w:val="24"/>
          <w:szCs w:val="24"/>
        </w:rPr>
        <w:t>uWIP</w:t>
      </w:r>
      <w:proofErr w:type="spellEnd"/>
      <w:r w:rsidR="00C954DC" w:rsidRPr="00EB304C">
        <w:rPr>
          <w:rFonts w:ascii="Times New Roman" w:hAnsi="Times New Roman" w:cs="Times New Roman"/>
          <w:color w:val="000000" w:themeColor="text1"/>
          <w:sz w:val="24"/>
          <w:szCs w:val="24"/>
        </w:rPr>
        <w:t xml:space="preserve"> przewiduje się także zmianę nazwy działu</w:t>
      </w:r>
      <w:r w:rsidR="003737DC">
        <w:rPr>
          <w:rFonts w:ascii="Times New Roman" w:hAnsi="Times New Roman" w:cs="Times New Roman"/>
          <w:color w:val="000000" w:themeColor="text1"/>
          <w:sz w:val="24"/>
          <w:szCs w:val="24"/>
        </w:rPr>
        <w:t> </w:t>
      </w:r>
      <w:r w:rsidR="00C954DC" w:rsidRPr="00EB304C">
        <w:rPr>
          <w:rFonts w:ascii="Times New Roman" w:hAnsi="Times New Roman" w:cs="Times New Roman"/>
          <w:color w:val="000000" w:themeColor="text1"/>
          <w:sz w:val="24"/>
          <w:szCs w:val="24"/>
        </w:rPr>
        <w:t>II.</w:t>
      </w:r>
    </w:p>
    <w:p w14:paraId="2ECFA8AC" w14:textId="24956CD9" w:rsidR="00F62650" w:rsidRPr="00EB304C" w:rsidRDefault="00F62650"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 xml:space="preserve">Zmiany w art. 19 dotyczą uczestnictwa upoważnionych przedstawicieli właściwych organów państw członkowskich </w:t>
      </w:r>
      <w:r w:rsidR="00677D4E" w:rsidRPr="00EB304C">
        <w:rPr>
          <w:rFonts w:ascii="Times New Roman" w:hAnsi="Times New Roman" w:cs="Times New Roman"/>
          <w:color w:val="000000" w:themeColor="text1"/>
          <w:sz w:val="24"/>
          <w:szCs w:val="24"/>
        </w:rPr>
        <w:t xml:space="preserve">lub państw trzecich </w:t>
      </w:r>
      <w:r w:rsidRPr="00EB304C">
        <w:rPr>
          <w:rFonts w:ascii="Times New Roman" w:hAnsi="Times New Roman" w:cs="Times New Roman"/>
          <w:color w:val="000000" w:themeColor="text1"/>
          <w:sz w:val="24"/>
          <w:szCs w:val="24"/>
        </w:rPr>
        <w:t>– na zasadach współpracy międzynarodowej – w działaniach podejmowanych przez polskie organy. Nowelizacja w tym obszarze:</w:t>
      </w:r>
    </w:p>
    <w:p w14:paraId="6F8698F6" w14:textId="52C149FD" w:rsidR="00F62650" w:rsidRPr="00EB304C" w:rsidRDefault="00F62650" w:rsidP="00507007">
      <w:pPr>
        <w:pStyle w:val="Akapitzlist"/>
        <w:numPr>
          <w:ilvl w:val="0"/>
          <w:numId w:val="6"/>
        </w:num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 xml:space="preserve">rozszerza </w:t>
      </w:r>
      <w:r w:rsidR="00677D4E" w:rsidRPr="00EB304C">
        <w:rPr>
          <w:rFonts w:ascii="Times New Roman" w:hAnsi="Times New Roman" w:cs="Times New Roman"/>
          <w:color w:val="000000" w:themeColor="text1"/>
          <w:sz w:val="24"/>
          <w:szCs w:val="24"/>
        </w:rPr>
        <w:t xml:space="preserve">zasady współpracy międzynarodowej również do organów państw trzecich oraz </w:t>
      </w:r>
      <w:r w:rsidRPr="00EB304C">
        <w:rPr>
          <w:rFonts w:ascii="Times New Roman" w:hAnsi="Times New Roman" w:cs="Times New Roman"/>
          <w:color w:val="000000" w:themeColor="text1"/>
          <w:sz w:val="24"/>
          <w:szCs w:val="24"/>
        </w:rPr>
        <w:t xml:space="preserve">formy uczestnictwa upoważnionych przedstawicieli właściwych organów państw członkowskich </w:t>
      </w:r>
      <w:r w:rsidR="00677D4E" w:rsidRPr="00EB304C">
        <w:rPr>
          <w:rFonts w:ascii="Times New Roman" w:hAnsi="Times New Roman" w:cs="Times New Roman"/>
          <w:color w:val="000000" w:themeColor="text1"/>
          <w:sz w:val="24"/>
          <w:szCs w:val="24"/>
        </w:rPr>
        <w:t xml:space="preserve">lub państw trzecich </w:t>
      </w:r>
      <w:r w:rsidRPr="00EB304C">
        <w:rPr>
          <w:rFonts w:ascii="Times New Roman" w:hAnsi="Times New Roman" w:cs="Times New Roman"/>
          <w:color w:val="000000" w:themeColor="text1"/>
          <w:sz w:val="24"/>
          <w:szCs w:val="24"/>
        </w:rPr>
        <w:t>w czynnościach podejmowanych przez polskie organy o uczestnictwo za pośrednictwem środków komunikacji elektronicznej</w:t>
      </w:r>
      <w:r w:rsidR="003737DC">
        <w:rPr>
          <w:rFonts w:ascii="Times New Roman" w:hAnsi="Times New Roman" w:cs="Times New Roman"/>
          <w:color w:val="000000" w:themeColor="text1"/>
          <w:sz w:val="24"/>
          <w:szCs w:val="24"/>
        </w:rPr>
        <w:t>,</w:t>
      </w:r>
    </w:p>
    <w:p w14:paraId="19A70457" w14:textId="01425200" w:rsidR="00F62650" w:rsidRPr="00EB304C" w:rsidRDefault="00F62650" w:rsidP="00507007">
      <w:pPr>
        <w:pStyle w:val="Akapitzlist"/>
        <w:numPr>
          <w:ilvl w:val="0"/>
          <w:numId w:val="6"/>
        </w:num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 xml:space="preserve">obliguje polskie organy do udzielenia odpowiedzi na wniosek właściwego organu państwa członkowskiego </w:t>
      </w:r>
      <w:r w:rsidR="00677D4E" w:rsidRPr="00EB304C">
        <w:rPr>
          <w:rFonts w:ascii="Times New Roman" w:hAnsi="Times New Roman" w:cs="Times New Roman"/>
          <w:color w:val="000000" w:themeColor="text1"/>
          <w:sz w:val="24"/>
          <w:szCs w:val="24"/>
        </w:rPr>
        <w:t xml:space="preserve">lub państwa trzeciego </w:t>
      </w:r>
      <w:r w:rsidRPr="00EB304C">
        <w:rPr>
          <w:rFonts w:ascii="Times New Roman" w:hAnsi="Times New Roman" w:cs="Times New Roman"/>
          <w:color w:val="000000" w:themeColor="text1"/>
          <w:sz w:val="24"/>
          <w:szCs w:val="24"/>
        </w:rPr>
        <w:t>o uczestnictwo jego przedstawicieli w czynnościach podejmowanych przez polskie organy w terminie 60 dni od otrzymania wniosku (potwierdzenie albo odmowa). Jeżeli odpowiedź jest odmowna, wymagane jest jej uzasadnienie.</w:t>
      </w:r>
    </w:p>
    <w:p w14:paraId="06DEE036" w14:textId="1AD9D67E" w:rsidR="00F62650" w:rsidRPr="00EB304C" w:rsidRDefault="00F62650"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Uzasadnieniem dla uzupełnienia przepisów dotyczących uczestnictwa upoważnionych przedstawicieli (urzędników) właściwych organów w czynnościach podejmowanych w innym państwie była chęć wzmocnienia regulacji na tym polu współpracy międzynarodowej</w:t>
      </w:r>
      <w:r w:rsidR="001574B5" w:rsidRPr="00EB304C">
        <w:rPr>
          <w:rFonts w:ascii="Times New Roman" w:hAnsi="Times New Roman" w:cs="Times New Roman"/>
          <w:color w:val="000000" w:themeColor="text1"/>
          <w:sz w:val="24"/>
          <w:szCs w:val="24"/>
        </w:rPr>
        <w:t xml:space="preserve">. </w:t>
      </w:r>
    </w:p>
    <w:p w14:paraId="16D93802" w14:textId="32066CA7" w:rsidR="00F62650" w:rsidRPr="006815B9" w:rsidRDefault="00F62650" w:rsidP="00507007">
      <w:pPr>
        <w:pStyle w:val="Akapitzlist"/>
        <w:numPr>
          <w:ilvl w:val="0"/>
          <w:numId w:val="10"/>
        </w:numPr>
        <w:spacing w:before="120" w:after="0" w:line="360" w:lineRule="auto"/>
        <w:ind w:hanging="436"/>
        <w:jc w:val="both"/>
        <w:rPr>
          <w:rFonts w:ascii="Times New Roman" w:hAnsi="Times New Roman" w:cs="Times New Roman"/>
          <w:color w:val="000000" w:themeColor="text1"/>
          <w:sz w:val="24"/>
          <w:szCs w:val="24"/>
        </w:rPr>
      </w:pPr>
      <w:r w:rsidRPr="00EB304C">
        <w:rPr>
          <w:rFonts w:ascii="Times New Roman" w:hAnsi="Times New Roman" w:cs="Times New Roman"/>
          <w:b/>
          <w:color w:val="000000" w:themeColor="text1"/>
          <w:sz w:val="24"/>
          <w:szCs w:val="24"/>
        </w:rPr>
        <w:t>Art. 22a</w:t>
      </w:r>
      <w:r w:rsidR="00102668">
        <w:rPr>
          <w:rFonts w:ascii="Times New Roman" w:hAnsi="Times New Roman" w:cs="Times New Roman"/>
          <w:b/>
          <w:color w:val="000000" w:themeColor="text1"/>
          <w:sz w:val="24"/>
          <w:szCs w:val="24"/>
        </w:rPr>
        <w:t>-22d</w:t>
      </w:r>
      <w:r w:rsidRPr="00EB304C">
        <w:rPr>
          <w:rFonts w:ascii="Times New Roman" w:hAnsi="Times New Roman" w:cs="Times New Roman"/>
          <w:b/>
          <w:color w:val="000000" w:themeColor="text1"/>
          <w:sz w:val="24"/>
          <w:szCs w:val="24"/>
        </w:rPr>
        <w:t xml:space="preserve"> (wspólne kontrole)</w:t>
      </w:r>
    </w:p>
    <w:p w14:paraId="257AA633" w14:textId="13C60701" w:rsidR="00FD6230" w:rsidRPr="00FD6230" w:rsidRDefault="00FD6230" w:rsidP="00507007">
      <w:pPr>
        <w:spacing w:before="120"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Dodawany</w:t>
      </w:r>
      <w:r w:rsidRPr="00FD6230">
        <w:rPr>
          <w:rFonts w:ascii="Times New Roman" w:hAnsi="Times New Roman" w:cs="Times New Roman"/>
          <w:color w:val="000000" w:themeColor="text1"/>
          <w:sz w:val="24"/>
          <w:szCs w:val="24"/>
        </w:rPr>
        <w:t xml:space="preserve"> art. 2</w:t>
      </w:r>
      <w:r>
        <w:rPr>
          <w:rFonts w:ascii="Times New Roman" w:hAnsi="Times New Roman" w:cs="Times New Roman"/>
          <w:color w:val="000000" w:themeColor="text1"/>
          <w:sz w:val="24"/>
          <w:szCs w:val="24"/>
        </w:rPr>
        <w:t>2a ust. 2</w:t>
      </w:r>
      <w:r w:rsidRPr="00FD6230">
        <w:rPr>
          <w:rFonts w:ascii="Times New Roman" w:hAnsi="Times New Roman" w:cs="Times New Roman"/>
          <w:color w:val="000000" w:themeColor="text1"/>
          <w:sz w:val="24"/>
          <w:szCs w:val="24"/>
        </w:rPr>
        <w:t xml:space="preserve"> uWIP </w:t>
      </w:r>
      <w:r>
        <w:rPr>
          <w:rFonts w:ascii="Times New Roman" w:hAnsi="Times New Roman" w:cs="Times New Roman"/>
          <w:color w:val="000000" w:themeColor="text1"/>
          <w:sz w:val="24"/>
          <w:szCs w:val="24"/>
        </w:rPr>
        <w:t xml:space="preserve">wprowadza </w:t>
      </w:r>
      <w:r w:rsidRPr="00FD6230">
        <w:rPr>
          <w:rFonts w:ascii="Times New Roman" w:hAnsi="Times New Roman" w:cs="Times New Roman"/>
          <w:color w:val="000000" w:themeColor="text1"/>
          <w:sz w:val="24"/>
          <w:szCs w:val="24"/>
        </w:rPr>
        <w:t>definicj</w:t>
      </w:r>
      <w:r>
        <w:rPr>
          <w:rFonts w:ascii="Times New Roman" w:hAnsi="Times New Roman" w:cs="Times New Roman"/>
          <w:color w:val="000000" w:themeColor="text1"/>
          <w:sz w:val="24"/>
          <w:szCs w:val="24"/>
        </w:rPr>
        <w:t>ę</w:t>
      </w:r>
      <w:r w:rsidRPr="00FD6230">
        <w:rPr>
          <w:rFonts w:ascii="Times New Roman" w:hAnsi="Times New Roman" w:cs="Times New Roman"/>
          <w:color w:val="000000" w:themeColor="text1"/>
          <w:sz w:val="24"/>
          <w:szCs w:val="24"/>
        </w:rPr>
        <w:t xml:space="preserve"> „wspólnych kontroli”, </w:t>
      </w:r>
      <w:r>
        <w:rPr>
          <w:rFonts w:ascii="Times New Roman" w:hAnsi="Times New Roman" w:cs="Times New Roman"/>
          <w:color w:val="000000" w:themeColor="text1"/>
          <w:sz w:val="24"/>
          <w:szCs w:val="24"/>
        </w:rPr>
        <w:t xml:space="preserve">co stanowi </w:t>
      </w:r>
      <w:r w:rsidRPr="00FD6230">
        <w:rPr>
          <w:rFonts w:ascii="Times New Roman" w:hAnsi="Times New Roman" w:cs="Times New Roman"/>
          <w:color w:val="000000" w:themeColor="text1"/>
          <w:sz w:val="24"/>
          <w:szCs w:val="24"/>
        </w:rPr>
        <w:t xml:space="preserve">realizację przepisu art. 3 pkt 26 </w:t>
      </w:r>
      <w:r w:rsidR="004D1A18">
        <w:rPr>
          <w:rFonts w:ascii="Times New Roman" w:hAnsi="Times New Roman" w:cs="Times New Roman"/>
          <w:color w:val="000000" w:themeColor="text1"/>
          <w:sz w:val="24"/>
          <w:szCs w:val="24"/>
        </w:rPr>
        <w:t>d</w:t>
      </w:r>
      <w:r w:rsidRPr="00FD6230">
        <w:rPr>
          <w:rFonts w:ascii="Times New Roman" w:hAnsi="Times New Roman" w:cs="Times New Roman"/>
          <w:color w:val="000000" w:themeColor="text1"/>
          <w:sz w:val="24"/>
          <w:szCs w:val="24"/>
        </w:rPr>
        <w:t>yrektywy 2011/16/UE.</w:t>
      </w:r>
      <w:r>
        <w:rPr>
          <w:rFonts w:ascii="Times New Roman" w:hAnsi="Times New Roman" w:cs="Times New Roman"/>
          <w:color w:val="000000" w:themeColor="text1"/>
          <w:sz w:val="24"/>
          <w:szCs w:val="24"/>
        </w:rPr>
        <w:t xml:space="preserve"> </w:t>
      </w:r>
      <w:r w:rsidRPr="00FD6230">
        <w:rPr>
          <w:rFonts w:ascii="Times New Roman" w:hAnsi="Times New Roman" w:cs="Times New Roman"/>
          <w:color w:val="000000" w:themeColor="text1"/>
          <w:sz w:val="24"/>
          <w:szCs w:val="24"/>
        </w:rPr>
        <w:t>Dyrektywa wprowadziła nową płaszczyznę współpracy międzynarodowej – wspólne kontrole. Jest to odpowiedź na pozytywne efekty</w:t>
      </w:r>
      <w:r w:rsidR="007349BF">
        <w:rPr>
          <w:rFonts w:ascii="Times New Roman" w:hAnsi="Times New Roman" w:cs="Times New Roman"/>
          <w:color w:val="000000" w:themeColor="text1"/>
          <w:sz w:val="24"/>
          <w:szCs w:val="24"/>
        </w:rPr>
        <w:t>,</w:t>
      </w:r>
      <w:r w:rsidRPr="00FD6230">
        <w:rPr>
          <w:rFonts w:ascii="Times New Roman" w:hAnsi="Times New Roman" w:cs="Times New Roman"/>
          <w:color w:val="000000" w:themeColor="text1"/>
          <w:sz w:val="24"/>
          <w:szCs w:val="24"/>
        </w:rPr>
        <w:t xml:space="preserve"> jakie przyniosła dotychczasowa koordynacja w obszarze kontroli podatników pozostających we wspólnym zainteresowaniu różnych państw członkowskich. Zdecydowano się wi</w:t>
      </w:r>
      <w:r w:rsidR="007349BF">
        <w:rPr>
          <w:rFonts w:ascii="Times New Roman" w:hAnsi="Times New Roman" w:cs="Times New Roman"/>
          <w:color w:val="000000" w:themeColor="text1"/>
          <w:sz w:val="24"/>
          <w:szCs w:val="24"/>
        </w:rPr>
        <w:t>ę</w:t>
      </w:r>
      <w:r w:rsidRPr="00FD6230">
        <w:rPr>
          <w:rFonts w:ascii="Times New Roman" w:hAnsi="Times New Roman" w:cs="Times New Roman"/>
          <w:color w:val="000000" w:themeColor="text1"/>
          <w:sz w:val="24"/>
          <w:szCs w:val="24"/>
        </w:rPr>
        <w:t>c na uzupełnienie obowiązujących dotychczas rozwiązań</w:t>
      </w:r>
      <w:r w:rsidR="007349BF">
        <w:rPr>
          <w:rFonts w:ascii="Times New Roman" w:hAnsi="Times New Roman" w:cs="Times New Roman"/>
          <w:color w:val="000000" w:themeColor="text1"/>
          <w:sz w:val="24"/>
          <w:szCs w:val="24"/>
        </w:rPr>
        <w:t>,</w:t>
      </w:r>
      <w:r w:rsidRPr="00FD6230">
        <w:rPr>
          <w:rFonts w:ascii="Times New Roman" w:hAnsi="Times New Roman" w:cs="Times New Roman"/>
          <w:color w:val="000000" w:themeColor="text1"/>
          <w:sz w:val="24"/>
          <w:szCs w:val="24"/>
        </w:rPr>
        <w:t xml:space="preserve"> jakimi są obecność przedstawicieli państw członkowskich w drugim państwie członkowskim oraz kontrole jednoczesne. Wspólne kontrole powinny stanowić dodatkowe dostępne narzędzie współpracy administracyjnej między państwami członkowskimi w dziedzinie opodatkowania, które uzupełniałoby istniejące ramy zapewniające możliwość obecności w urzędach administracyjnych urzędników innego państwa członkowskiego, udział w postępowaniach </w:t>
      </w:r>
      <w:r w:rsidRPr="00FD6230">
        <w:rPr>
          <w:rFonts w:ascii="Times New Roman" w:hAnsi="Times New Roman" w:cs="Times New Roman"/>
          <w:color w:val="000000" w:themeColor="text1"/>
          <w:sz w:val="24"/>
          <w:szCs w:val="24"/>
        </w:rPr>
        <w:lastRenderedPageBreak/>
        <w:t xml:space="preserve">administracyjnych, a także kontrole jednoczesne – stanowi dyrektywa w motywie 25, określając miejsce wspólnych kontroli w systemie współpracy międzynarodowej w sprawach podatkowych. </w:t>
      </w:r>
    </w:p>
    <w:p w14:paraId="730C10BB" w14:textId="7912462F" w:rsidR="00FD6230" w:rsidRDefault="00FD6230" w:rsidP="00507007">
      <w:pPr>
        <w:spacing w:before="120" w:after="0" w:line="360" w:lineRule="auto"/>
        <w:jc w:val="both"/>
        <w:rPr>
          <w:rFonts w:ascii="Times New Roman" w:hAnsi="Times New Roman" w:cs="Times New Roman"/>
          <w:color w:val="000000" w:themeColor="text1"/>
          <w:sz w:val="24"/>
          <w:szCs w:val="24"/>
        </w:rPr>
      </w:pPr>
      <w:r w:rsidRPr="00FD6230">
        <w:rPr>
          <w:rFonts w:ascii="Times New Roman" w:hAnsi="Times New Roman" w:cs="Times New Roman"/>
          <w:color w:val="000000" w:themeColor="text1"/>
          <w:sz w:val="24"/>
          <w:szCs w:val="24"/>
        </w:rPr>
        <w:t>Definicja wspólnych kontroli nawiązuje do pojęcia osoby, którą należy rozumieć jako osobę fizyczną, osobę prawną, jednostkę organizacyjną nieposiadającą osobowości prawnej</w:t>
      </w:r>
      <w:r w:rsidR="004D1A18">
        <w:rPr>
          <w:rFonts w:ascii="Times New Roman" w:hAnsi="Times New Roman" w:cs="Times New Roman"/>
          <w:color w:val="000000" w:themeColor="text1"/>
          <w:sz w:val="24"/>
          <w:szCs w:val="24"/>
        </w:rPr>
        <w:t>,</w:t>
      </w:r>
      <w:r w:rsidRPr="00FD6230">
        <w:rPr>
          <w:rFonts w:ascii="Times New Roman" w:hAnsi="Times New Roman" w:cs="Times New Roman"/>
          <w:color w:val="000000" w:themeColor="text1"/>
          <w:sz w:val="24"/>
          <w:szCs w:val="24"/>
        </w:rPr>
        <w:t xml:space="preserve"> a także jako</w:t>
      </w:r>
      <w:r w:rsidR="00223152">
        <w:rPr>
          <w:rFonts w:ascii="Times New Roman" w:hAnsi="Times New Roman" w:cs="Times New Roman"/>
          <w:color w:val="000000" w:themeColor="text1"/>
          <w:sz w:val="24"/>
          <w:szCs w:val="24"/>
        </w:rPr>
        <w:t xml:space="preserve"> </w:t>
      </w:r>
      <w:r w:rsidRPr="00FD6230">
        <w:rPr>
          <w:rFonts w:ascii="Times New Roman" w:hAnsi="Times New Roman" w:cs="Times New Roman"/>
          <w:color w:val="000000" w:themeColor="text1"/>
          <w:sz w:val="24"/>
          <w:szCs w:val="24"/>
        </w:rPr>
        <w:t>inne niż określone konstrukcje prawne dowolnego rodzaju i postaci, będące w posiadaniu aktywów lub zarządzające aktywami, które, wraz z dochodem pochodzącym z tych aktywów, podlegają opodatkowaniu.</w:t>
      </w:r>
    </w:p>
    <w:p w14:paraId="7B1D9909" w14:textId="5A9891FD" w:rsidR="00ED297F" w:rsidRPr="00EB304C" w:rsidRDefault="00ED297F"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 xml:space="preserve">Wprowadzane dyrektywą DAC7 wspólne kontrole stanowią kolejne narzędzie wymiany informacji między państwami członkowskimi w obszarze podatków bezpośrednich. </w:t>
      </w:r>
      <w:r w:rsidR="007D02C9">
        <w:rPr>
          <w:rFonts w:ascii="Times New Roman" w:hAnsi="Times New Roman" w:cs="Times New Roman"/>
          <w:color w:val="000000" w:themeColor="text1"/>
          <w:sz w:val="24"/>
          <w:szCs w:val="24"/>
        </w:rPr>
        <w:t xml:space="preserve">Zostało ono przez </w:t>
      </w:r>
      <w:r w:rsidR="007D02C9" w:rsidRPr="007D02C9">
        <w:rPr>
          <w:rFonts w:ascii="Times New Roman" w:hAnsi="Times New Roman" w:cs="Times New Roman"/>
          <w:color w:val="000000" w:themeColor="text1"/>
          <w:sz w:val="24"/>
          <w:szCs w:val="24"/>
        </w:rPr>
        <w:t xml:space="preserve">ustawodawcę ukształtowane tak, aby zapewnić koordynację działań urzędników wyznaczonych do wymiany informacji w </w:t>
      </w:r>
      <w:r w:rsidR="007D02C9">
        <w:rPr>
          <w:rFonts w:ascii="Times New Roman" w:hAnsi="Times New Roman" w:cs="Times New Roman"/>
          <w:color w:val="000000" w:themeColor="text1"/>
          <w:sz w:val="24"/>
          <w:szCs w:val="24"/>
        </w:rPr>
        <w:t>ramach</w:t>
      </w:r>
      <w:r w:rsidR="007D02C9" w:rsidRPr="007D02C9">
        <w:rPr>
          <w:rFonts w:ascii="Times New Roman" w:hAnsi="Times New Roman" w:cs="Times New Roman"/>
          <w:color w:val="000000" w:themeColor="text1"/>
          <w:sz w:val="24"/>
          <w:szCs w:val="24"/>
        </w:rPr>
        <w:t xml:space="preserve"> wspólnych kontroli oraz zapewnić prawa osób, których wymiana informacji dotyczy. </w:t>
      </w:r>
      <w:r w:rsidRPr="00EB304C">
        <w:rPr>
          <w:rFonts w:ascii="Times New Roman" w:hAnsi="Times New Roman" w:cs="Times New Roman"/>
          <w:color w:val="000000" w:themeColor="text1"/>
          <w:sz w:val="24"/>
          <w:szCs w:val="24"/>
        </w:rPr>
        <w:t>Konstrukcja współpracy administracyjnej w ramach wspólnych kontroli nawiązuje do istniejącej już w ramach dyrektywy 2011/16</w:t>
      </w:r>
      <w:r w:rsidR="004D1A18">
        <w:rPr>
          <w:rFonts w:ascii="Times New Roman" w:hAnsi="Times New Roman" w:cs="Times New Roman"/>
          <w:color w:val="000000" w:themeColor="text1"/>
          <w:sz w:val="24"/>
          <w:szCs w:val="24"/>
        </w:rPr>
        <w:t>/UE</w:t>
      </w:r>
      <w:r w:rsidRPr="00EB304C">
        <w:rPr>
          <w:rFonts w:ascii="Times New Roman" w:hAnsi="Times New Roman" w:cs="Times New Roman"/>
          <w:color w:val="000000" w:themeColor="text1"/>
          <w:sz w:val="24"/>
          <w:szCs w:val="24"/>
        </w:rPr>
        <w:t xml:space="preserve"> wymiany informacji podatkowych w trybie tzw. PAOE</w:t>
      </w:r>
      <w:r w:rsidR="007349BF">
        <w:rPr>
          <w:rFonts w:ascii="Times New Roman" w:hAnsi="Times New Roman" w:cs="Times New Roman"/>
          <w:color w:val="000000" w:themeColor="text1"/>
          <w:sz w:val="24"/>
          <w:szCs w:val="24"/>
        </w:rPr>
        <w:t>,</w:t>
      </w:r>
      <w:r w:rsidRPr="00EB304C">
        <w:rPr>
          <w:rFonts w:ascii="Times New Roman" w:hAnsi="Times New Roman" w:cs="Times New Roman"/>
          <w:color w:val="000000" w:themeColor="text1"/>
          <w:sz w:val="24"/>
          <w:szCs w:val="24"/>
        </w:rPr>
        <w:t xml:space="preserve"> tj. obecności w urzędach oraz udziału w postępowaniach administracyjnych</w:t>
      </w:r>
      <w:r w:rsidR="00102668" w:rsidRPr="00102668">
        <w:t xml:space="preserve"> </w:t>
      </w:r>
      <w:r w:rsidR="00102668" w:rsidRPr="00102668">
        <w:rPr>
          <w:rFonts w:ascii="Times New Roman" w:hAnsi="Times New Roman" w:cs="Times New Roman"/>
          <w:color w:val="000000" w:themeColor="text1"/>
          <w:sz w:val="24"/>
          <w:szCs w:val="24"/>
        </w:rPr>
        <w:t>na terytorium innego państwa</w:t>
      </w:r>
      <w:r w:rsidRPr="00EB304C">
        <w:rPr>
          <w:rFonts w:ascii="Times New Roman" w:hAnsi="Times New Roman" w:cs="Times New Roman"/>
          <w:color w:val="000000" w:themeColor="text1"/>
          <w:sz w:val="24"/>
          <w:szCs w:val="24"/>
        </w:rPr>
        <w:t>, uregulowanej w art. 19 uWIP.</w:t>
      </w:r>
    </w:p>
    <w:p w14:paraId="28F2BBB6" w14:textId="26295E99" w:rsidR="00ED297F" w:rsidRPr="00EB304C" w:rsidRDefault="00ED297F"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Ustawodawca unijny zdecydował się na uregulowanie współpracy administracyjnej w ramach wspólnych kontroli w sposób bardziej szczegółowy w porównaniu z innymi zaawansowanymi narzędziami współpracy administracyjnej funkcjonującymi na podstawie dyrektywy 2011/16</w:t>
      </w:r>
      <w:r w:rsidR="004D1A18">
        <w:rPr>
          <w:rFonts w:ascii="Times New Roman" w:hAnsi="Times New Roman" w:cs="Times New Roman"/>
          <w:color w:val="000000" w:themeColor="text1"/>
          <w:sz w:val="24"/>
          <w:szCs w:val="24"/>
        </w:rPr>
        <w:t>/UE</w:t>
      </w:r>
      <w:r w:rsidR="004D1A18" w:rsidRPr="00EB304C">
        <w:rPr>
          <w:rFonts w:ascii="Times New Roman" w:hAnsi="Times New Roman" w:cs="Times New Roman"/>
          <w:color w:val="000000" w:themeColor="text1"/>
          <w:sz w:val="24"/>
          <w:szCs w:val="24"/>
        </w:rPr>
        <w:t xml:space="preserve"> </w:t>
      </w:r>
      <w:r w:rsidRPr="00EB304C">
        <w:rPr>
          <w:rFonts w:ascii="Times New Roman" w:hAnsi="Times New Roman" w:cs="Times New Roman"/>
          <w:color w:val="000000" w:themeColor="text1"/>
          <w:sz w:val="24"/>
          <w:szCs w:val="24"/>
        </w:rPr>
        <w:t>Instytucja wspólnych kontroli przewiduje bowiem nie tylko bezpośrednią wymianę informacji przez urzędników innego państwa członkowskiego</w:t>
      </w:r>
      <w:r w:rsidR="003B3A1F">
        <w:rPr>
          <w:rFonts w:ascii="Times New Roman" w:hAnsi="Times New Roman" w:cs="Times New Roman"/>
          <w:color w:val="000000" w:themeColor="text1"/>
          <w:sz w:val="24"/>
          <w:szCs w:val="24"/>
        </w:rPr>
        <w:t>,</w:t>
      </w:r>
      <w:r w:rsidRPr="00EB304C">
        <w:rPr>
          <w:rFonts w:ascii="Times New Roman" w:hAnsi="Times New Roman" w:cs="Times New Roman"/>
          <w:color w:val="000000" w:themeColor="text1"/>
          <w:sz w:val="24"/>
          <w:szCs w:val="24"/>
        </w:rPr>
        <w:t xml:space="preserve"> ale również wprowadza podstawy do aktywnego udziału tych urzędników na potrzeby pozyskiwania informacji na terytorium innego państwa</w:t>
      </w:r>
      <w:r w:rsidR="00102668">
        <w:rPr>
          <w:rFonts w:ascii="Times New Roman" w:hAnsi="Times New Roman" w:cs="Times New Roman"/>
          <w:color w:val="000000" w:themeColor="text1"/>
          <w:sz w:val="24"/>
          <w:szCs w:val="24"/>
        </w:rPr>
        <w:t xml:space="preserve"> we współpracy z urzędnikami innego państwa</w:t>
      </w:r>
      <w:r w:rsidRPr="00EB304C">
        <w:rPr>
          <w:rFonts w:ascii="Times New Roman" w:hAnsi="Times New Roman" w:cs="Times New Roman"/>
          <w:color w:val="000000" w:themeColor="text1"/>
          <w:sz w:val="24"/>
          <w:szCs w:val="24"/>
        </w:rPr>
        <w:t>. Regulacja wspólnych kontroli wprowadzona dyrektywą DAC7 przewiduje również prawo dla osób</w:t>
      </w:r>
      <w:r w:rsidR="004D1A18">
        <w:rPr>
          <w:rFonts w:ascii="Times New Roman" w:hAnsi="Times New Roman" w:cs="Times New Roman"/>
          <w:color w:val="000000" w:themeColor="text1"/>
          <w:sz w:val="24"/>
          <w:szCs w:val="24"/>
        </w:rPr>
        <w:t>,</w:t>
      </w:r>
      <w:r w:rsidR="007567C5">
        <w:rPr>
          <w:rFonts w:ascii="Times New Roman" w:hAnsi="Times New Roman" w:cs="Times New Roman"/>
          <w:color w:val="000000" w:themeColor="text1"/>
          <w:sz w:val="24"/>
          <w:szCs w:val="24"/>
        </w:rPr>
        <w:t xml:space="preserve"> </w:t>
      </w:r>
      <w:r w:rsidR="0079425E" w:rsidRPr="00EB304C">
        <w:rPr>
          <w:rFonts w:ascii="Times New Roman" w:hAnsi="Times New Roman" w:cs="Times New Roman"/>
          <w:color w:val="000000" w:themeColor="text1"/>
          <w:sz w:val="24"/>
          <w:szCs w:val="24"/>
        </w:rPr>
        <w:t xml:space="preserve">których </w:t>
      </w:r>
      <w:r w:rsidR="00102668">
        <w:rPr>
          <w:rFonts w:ascii="Times New Roman" w:hAnsi="Times New Roman" w:cs="Times New Roman"/>
          <w:color w:val="000000" w:themeColor="text1"/>
          <w:sz w:val="24"/>
          <w:szCs w:val="24"/>
        </w:rPr>
        <w:t xml:space="preserve">dotyczą </w:t>
      </w:r>
      <w:r w:rsidR="0079425E" w:rsidRPr="00EB304C">
        <w:rPr>
          <w:rFonts w:ascii="Times New Roman" w:hAnsi="Times New Roman" w:cs="Times New Roman"/>
          <w:color w:val="000000" w:themeColor="text1"/>
          <w:sz w:val="24"/>
          <w:szCs w:val="24"/>
        </w:rPr>
        <w:t xml:space="preserve">informacje </w:t>
      </w:r>
      <w:r w:rsidR="00102668">
        <w:rPr>
          <w:rFonts w:ascii="Times New Roman" w:hAnsi="Times New Roman" w:cs="Times New Roman"/>
          <w:color w:val="000000" w:themeColor="text1"/>
          <w:sz w:val="24"/>
          <w:szCs w:val="24"/>
        </w:rPr>
        <w:t>będące</w:t>
      </w:r>
      <w:r w:rsidR="00223152">
        <w:rPr>
          <w:rFonts w:ascii="Times New Roman" w:hAnsi="Times New Roman" w:cs="Times New Roman"/>
          <w:color w:val="000000" w:themeColor="text1"/>
          <w:sz w:val="24"/>
          <w:szCs w:val="24"/>
        </w:rPr>
        <w:t xml:space="preserve"> </w:t>
      </w:r>
      <w:r w:rsidRPr="00EB304C">
        <w:rPr>
          <w:rFonts w:ascii="Times New Roman" w:hAnsi="Times New Roman" w:cs="Times New Roman"/>
          <w:color w:val="000000" w:themeColor="text1"/>
          <w:sz w:val="24"/>
          <w:szCs w:val="24"/>
        </w:rPr>
        <w:t>przedmiotem tej wymiany informacji</w:t>
      </w:r>
      <w:r w:rsidR="003B3A1F">
        <w:rPr>
          <w:rFonts w:ascii="Times New Roman" w:hAnsi="Times New Roman" w:cs="Times New Roman"/>
          <w:color w:val="000000" w:themeColor="text1"/>
          <w:sz w:val="24"/>
          <w:szCs w:val="24"/>
        </w:rPr>
        <w:t>,</w:t>
      </w:r>
      <w:r w:rsidRPr="00EB304C">
        <w:rPr>
          <w:rFonts w:ascii="Times New Roman" w:hAnsi="Times New Roman" w:cs="Times New Roman"/>
          <w:color w:val="000000" w:themeColor="text1"/>
          <w:sz w:val="24"/>
          <w:szCs w:val="24"/>
        </w:rPr>
        <w:t xml:space="preserve"> do </w:t>
      </w:r>
      <w:r w:rsidR="00102668">
        <w:rPr>
          <w:rFonts w:ascii="Times New Roman" w:hAnsi="Times New Roman" w:cs="Times New Roman"/>
          <w:color w:val="000000" w:themeColor="text1"/>
          <w:sz w:val="24"/>
          <w:szCs w:val="24"/>
        </w:rPr>
        <w:t>uzyskania</w:t>
      </w:r>
      <w:r w:rsidR="00102668" w:rsidRPr="00EB304C">
        <w:rPr>
          <w:rFonts w:ascii="Times New Roman" w:hAnsi="Times New Roman" w:cs="Times New Roman"/>
          <w:color w:val="000000" w:themeColor="text1"/>
          <w:sz w:val="24"/>
          <w:szCs w:val="24"/>
        </w:rPr>
        <w:t xml:space="preserve"> </w:t>
      </w:r>
      <w:r w:rsidRPr="00EB304C">
        <w:rPr>
          <w:rFonts w:ascii="Times New Roman" w:hAnsi="Times New Roman" w:cs="Times New Roman"/>
          <w:color w:val="000000" w:themeColor="text1"/>
          <w:sz w:val="24"/>
          <w:szCs w:val="24"/>
        </w:rPr>
        <w:t>informacji w zakresie ustaleń poczynionych przez współpracujące administracje państw członkowskich.</w:t>
      </w:r>
    </w:p>
    <w:p w14:paraId="26465D13" w14:textId="6E9E8420" w:rsidR="00F62650" w:rsidRPr="00EB304C" w:rsidRDefault="00ED297F"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W konsekwencji d</w:t>
      </w:r>
      <w:r w:rsidR="00F62650" w:rsidRPr="00EB304C">
        <w:rPr>
          <w:rFonts w:ascii="Times New Roman" w:hAnsi="Times New Roman" w:cs="Times New Roman"/>
          <w:color w:val="000000" w:themeColor="text1"/>
          <w:sz w:val="24"/>
          <w:szCs w:val="24"/>
        </w:rPr>
        <w:t xml:space="preserve">o </w:t>
      </w:r>
      <w:proofErr w:type="spellStart"/>
      <w:r w:rsidR="00F62650" w:rsidRPr="00EB304C">
        <w:rPr>
          <w:rFonts w:ascii="Times New Roman" w:hAnsi="Times New Roman" w:cs="Times New Roman"/>
          <w:color w:val="000000" w:themeColor="text1"/>
          <w:sz w:val="24"/>
          <w:szCs w:val="24"/>
        </w:rPr>
        <w:t>uWIP</w:t>
      </w:r>
      <w:proofErr w:type="spellEnd"/>
      <w:r w:rsidR="00F62650" w:rsidRPr="00EB304C">
        <w:rPr>
          <w:rFonts w:ascii="Times New Roman" w:hAnsi="Times New Roman" w:cs="Times New Roman"/>
          <w:color w:val="000000" w:themeColor="text1"/>
          <w:sz w:val="24"/>
          <w:szCs w:val="24"/>
        </w:rPr>
        <w:t xml:space="preserve"> wprowadzono nowy instrument międzynarodowej współpracy administracyjnej w dziedzinie opodatkowania – wspólną kontrolę.</w:t>
      </w:r>
      <w:r w:rsidR="0036436E">
        <w:rPr>
          <w:rFonts w:ascii="Times New Roman" w:hAnsi="Times New Roman" w:cs="Times New Roman"/>
          <w:color w:val="000000" w:themeColor="text1"/>
          <w:sz w:val="24"/>
          <w:szCs w:val="24"/>
        </w:rPr>
        <w:t xml:space="preserve"> Wspólne kontrole mają stanowić formę wymiany informacji podatkowych między państwami.</w:t>
      </w:r>
      <w:r w:rsidR="00F62650" w:rsidRPr="00EB304C">
        <w:rPr>
          <w:rFonts w:ascii="Times New Roman" w:hAnsi="Times New Roman" w:cs="Times New Roman"/>
          <w:color w:val="000000" w:themeColor="text1"/>
          <w:sz w:val="24"/>
          <w:szCs w:val="24"/>
        </w:rPr>
        <w:t xml:space="preserve"> Projektowane przepisy obejmują </w:t>
      </w:r>
      <w:r w:rsidR="0036436E">
        <w:rPr>
          <w:rFonts w:ascii="Times New Roman" w:hAnsi="Times New Roman" w:cs="Times New Roman"/>
          <w:color w:val="000000" w:themeColor="text1"/>
          <w:sz w:val="24"/>
          <w:szCs w:val="24"/>
        </w:rPr>
        <w:t>działania</w:t>
      </w:r>
      <w:r w:rsidR="00F62650" w:rsidRPr="00EB304C">
        <w:rPr>
          <w:rFonts w:ascii="Times New Roman" w:hAnsi="Times New Roman" w:cs="Times New Roman"/>
          <w:color w:val="000000" w:themeColor="text1"/>
          <w:sz w:val="24"/>
          <w:szCs w:val="24"/>
        </w:rPr>
        <w:t xml:space="preserve">, które mają być przeprowadzane wspólnie przez właściwe organy co najmniej dwóch państw członkowskich i dotyczą jednej lub większej liczby osób </w:t>
      </w:r>
      <w:r w:rsidR="000B2D93" w:rsidRPr="00EB304C">
        <w:rPr>
          <w:rFonts w:ascii="Times New Roman" w:hAnsi="Times New Roman" w:cs="Times New Roman"/>
          <w:color w:val="000000" w:themeColor="text1"/>
          <w:sz w:val="24"/>
          <w:szCs w:val="24"/>
        </w:rPr>
        <w:t xml:space="preserve">(w szerokim </w:t>
      </w:r>
      <w:r w:rsidR="000B2D93" w:rsidRPr="00EB304C">
        <w:rPr>
          <w:rFonts w:ascii="Times New Roman" w:hAnsi="Times New Roman" w:cs="Times New Roman"/>
          <w:color w:val="000000" w:themeColor="text1"/>
          <w:sz w:val="24"/>
          <w:szCs w:val="24"/>
        </w:rPr>
        <w:lastRenderedPageBreak/>
        <w:t>rozumieniu osoby na </w:t>
      </w:r>
      <w:r w:rsidR="00F62650" w:rsidRPr="00EB304C">
        <w:rPr>
          <w:rFonts w:ascii="Times New Roman" w:hAnsi="Times New Roman" w:cs="Times New Roman"/>
          <w:color w:val="000000" w:themeColor="text1"/>
          <w:sz w:val="24"/>
          <w:szCs w:val="24"/>
        </w:rPr>
        <w:t xml:space="preserve">gruncie dyrektywy </w:t>
      </w:r>
      <w:r w:rsidR="00F62650" w:rsidRPr="00EB304C">
        <w:rPr>
          <w:rFonts w:ascii="Times New Roman" w:hAnsi="Times New Roman" w:cs="Times New Roman"/>
          <w:sz w:val="24"/>
          <w:szCs w:val="24"/>
        </w:rPr>
        <w:t>2011/16/UE)</w:t>
      </w:r>
      <w:r w:rsidR="00F62650" w:rsidRPr="00EB304C">
        <w:rPr>
          <w:rFonts w:ascii="Times New Roman" w:hAnsi="Times New Roman" w:cs="Times New Roman"/>
          <w:color w:val="000000" w:themeColor="text1"/>
          <w:sz w:val="24"/>
          <w:szCs w:val="24"/>
        </w:rPr>
        <w:t xml:space="preserve">, w których właściwe organy tych państw członkowskich mają wspólny lub uzupełniający się interes. </w:t>
      </w:r>
      <w:r w:rsidR="00102668" w:rsidRPr="00102668">
        <w:rPr>
          <w:rFonts w:ascii="Times New Roman" w:hAnsi="Times New Roman" w:cs="Times New Roman"/>
          <w:color w:val="000000" w:themeColor="text1"/>
          <w:sz w:val="24"/>
          <w:szCs w:val="24"/>
        </w:rPr>
        <w:t>Działania w ramach wspólnej kontroli, których celem jest bezpośrednia wymiana informacji, są przeprowadzane w sposób uprzednio uzgodniony na terytorium danego państwa członkowskiego. Uzgodnienia te są dokonywane w drodze porozumienia między właściwymi organami zainteresowanych państw członkowskich.</w:t>
      </w:r>
    </w:p>
    <w:p w14:paraId="7BDF4B3C" w14:textId="2FC874FF" w:rsidR="004C233E" w:rsidRDefault="00ED297F"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Jak już wspomniano, n</w:t>
      </w:r>
      <w:r w:rsidR="004C233E" w:rsidRPr="00EB304C">
        <w:rPr>
          <w:rFonts w:ascii="Times New Roman" w:hAnsi="Times New Roman" w:cs="Times New Roman"/>
          <w:color w:val="000000" w:themeColor="text1"/>
          <w:sz w:val="24"/>
          <w:szCs w:val="24"/>
        </w:rPr>
        <w:t>arzędzie współpracy administracyjnej</w:t>
      </w:r>
      <w:r w:rsidR="0039618A">
        <w:rPr>
          <w:rFonts w:ascii="Times New Roman" w:hAnsi="Times New Roman" w:cs="Times New Roman"/>
          <w:color w:val="000000" w:themeColor="text1"/>
          <w:sz w:val="24"/>
          <w:szCs w:val="24"/>
        </w:rPr>
        <w:t>,</w:t>
      </w:r>
      <w:r w:rsidR="004C233E" w:rsidRPr="00EB304C">
        <w:rPr>
          <w:rFonts w:ascii="Times New Roman" w:hAnsi="Times New Roman" w:cs="Times New Roman"/>
          <w:color w:val="000000" w:themeColor="text1"/>
          <w:sz w:val="24"/>
          <w:szCs w:val="24"/>
        </w:rPr>
        <w:t xml:space="preserve"> jakim są wprowadzane przez dyrektywę wspólne kontrole</w:t>
      </w:r>
      <w:r w:rsidR="0039618A">
        <w:rPr>
          <w:rFonts w:ascii="Times New Roman" w:hAnsi="Times New Roman" w:cs="Times New Roman"/>
          <w:color w:val="000000" w:themeColor="text1"/>
          <w:sz w:val="24"/>
          <w:szCs w:val="24"/>
        </w:rPr>
        <w:t>,</w:t>
      </w:r>
      <w:r w:rsidR="004C233E" w:rsidRPr="00EB304C">
        <w:rPr>
          <w:rFonts w:ascii="Times New Roman" w:hAnsi="Times New Roman" w:cs="Times New Roman"/>
          <w:color w:val="000000" w:themeColor="text1"/>
          <w:sz w:val="24"/>
          <w:szCs w:val="24"/>
        </w:rPr>
        <w:t xml:space="preserve"> stanowi instrument współpracy zbliżony do współpracy PAOE (obecność w urzędach i udział w postepowaniach na terytorium innego państwa), która jest również uregulowana w uWIP. Podobne narzędzia współpracy administracyjnej zostały uregulowane w rozporządzeniu Rady </w:t>
      </w:r>
      <w:r w:rsidR="004D1A18">
        <w:rPr>
          <w:rFonts w:ascii="Times New Roman" w:hAnsi="Times New Roman" w:cs="Times New Roman"/>
          <w:color w:val="000000" w:themeColor="text1"/>
          <w:sz w:val="24"/>
          <w:szCs w:val="24"/>
        </w:rPr>
        <w:t xml:space="preserve">(UE) </w:t>
      </w:r>
      <w:r w:rsidR="004C233E" w:rsidRPr="00EB304C">
        <w:rPr>
          <w:rFonts w:ascii="Times New Roman" w:hAnsi="Times New Roman" w:cs="Times New Roman"/>
          <w:color w:val="000000" w:themeColor="text1"/>
          <w:sz w:val="24"/>
          <w:szCs w:val="24"/>
        </w:rPr>
        <w:t xml:space="preserve">nr 904/2010 </w:t>
      </w:r>
      <w:r w:rsidR="004D1A18">
        <w:rPr>
          <w:rFonts w:ascii="Times New Roman" w:hAnsi="Times New Roman" w:cs="Times New Roman"/>
          <w:color w:val="000000" w:themeColor="text1"/>
          <w:sz w:val="24"/>
          <w:szCs w:val="24"/>
        </w:rPr>
        <w:t xml:space="preserve">z dnia 7 października 2010 r. w sprawie współpracy administracyjnej oraz zwalczania oszustw w dziedzinie podatku od wartości dodanej </w:t>
      </w:r>
      <w:r w:rsidR="004C233E" w:rsidRPr="00EB304C">
        <w:rPr>
          <w:rFonts w:ascii="Times New Roman" w:hAnsi="Times New Roman" w:cs="Times New Roman"/>
          <w:color w:val="000000" w:themeColor="text1"/>
          <w:sz w:val="24"/>
          <w:szCs w:val="24"/>
        </w:rPr>
        <w:t>(art. 28, art. 7 ust. 4a). Dyrektywa ma na celu zapewnienie takich samych narzędzi współpracy</w:t>
      </w:r>
      <w:r w:rsidR="00223152">
        <w:rPr>
          <w:rFonts w:ascii="Times New Roman" w:hAnsi="Times New Roman" w:cs="Times New Roman"/>
          <w:color w:val="000000" w:themeColor="text1"/>
          <w:sz w:val="24"/>
          <w:szCs w:val="24"/>
        </w:rPr>
        <w:t xml:space="preserve"> </w:t>
      </w:r>
      <w:r w:rsidR="004C233E" w:rsidRPr="00EB304C">
        <w:rPr>
          <w:rFonts w:ascii="Times New Roman" w:hAnsi="Times New Roman" w:cs="Times New Roman"/>
          <w:color w:val="000000" w:themeColor="text1"/>
          <w:sz w:val="24"/>
          <w:szCs w:val="24"/>
        </w:rPr>
        <w:t>administracyjnej</w:t>
      </w:r>
      <w:r w:rsidR="0039618A">
        <w:rPr>
          <w:rFonts w:ascii="Times New Roman" w:hAnsi="Times New Roman" w:cs="Times New Roman"/>
          <w:color w:val="000000" w:themeColor="text1"/>
          <w:sz w:val="24"/>
          <w:szCs w:val="24"/>
        </w:rPr>
        <w:t>,</w:t>
      </w:r>
      <w:r w:rsidR="004C233E" w:rsidRPr="00EB304C">
        <w:rPr>
          <w:rFonts w:ascii="Times New Roman" w:hAnsi="Times New Roman" w:cs="Times New Roman"/>
          <w:color w:val="000000" w:themeColor="text1"/>
          <w:sz w:val="24"/>
          <w:szCs w:val="24"/>
        </w:rPr>
        <w:t xml:space="preserve"> jakie funkcjonują już obecnie w obszarze VAT, co znalazło wyraz w przyjęciu regulacji wspólnych kontroli. Współpraca administracyjna w zakresie „kontroli jednoczesnych” została przez ustawodawcę uregulowana poza uWIP. Powyższe wynika z faktu, że dyrektywa została przyjęta w 2011 r.</w:t>
      </w:r>
      <w:r w:rsidR="00BD7E57">
        <w:rPr>
          <w:rFonts w:ascii="Times New Roman" w:hAnsi="Times New Roman" w:cs="Times New Roman"/>
          <w:color w:val="000000" w:themeColor="text1"/>
          <w:sz w:val="24"/>
          <w:szCs w:val="24"/>
        </w:rPr>
        <w:t>,</w:t>
      </w:r>
      <w:r w:rsidR="004C233E" w:rsidRPr="00EB304C">
        <w:rPr>
          <w:rFonts w:ascii="Times New Roman" w:hAnsi="Times New Roman" w:cs="Times New Roman"/>
          <w:color w:val="000000" w:themeColor="text1"/>
          <w:sz w:val="24"/>
          <w:szCs w:val="24"/>
        </w:rPr>
        <w:t xml:space="preserve"> a współpraca w zakresie kontroli jednoczesnych w obszarze innych podatków była możliwa </w:t>
      </w:r>
      <w:r w:rsidR="00FA4949" w:rsidRPr="00EB304C">
        <w:rPr>
          <w:rFonts w:ascii="Times New Roman" w:hAnsi="Times New Roman" w:cs="Times New Roman"/>
          <w:color w:val="000000" w:themeColor="text1"/>
          <w:sz w:val="24"/>
          <w:szCs w:val="24"/>
        </w:rPr>
        <w:t xml:space="preserve">w oparciu o inne podstawy </w:t>
      </w:r>
      <w:r w:rsidR="004C233E" w:rsidRPr="00EB304C">
        <w:rPr>
          <w:rFonts w:ascii="Times New Roman" w:hAnsi="Times New Roman" w:cs="Times New Roman"/>
          <w:color w:val="000000" w:themeColor="text1"/>
          <w:sz w:val="24"/>
          <w:szCs w:val="24"/>
        </w:rPr>
        <w:t>prawn</w:t>
      </w:r>
      <w:r w:rsidR="00FA4949" w:rsidRPr="00EB304C">
        <w:rPr>
          <w:rFonts w:ascii="Times New Roman" w:hAnsi="Times New Roman" w:cs="Times New Roman"/>
          <w:color w:val="000000" w:themeColor="text1"/>
          <w:sz w:val="24"/>
          <w:szCs w:val="24"/>
        </w:rPr>
        <w:t>e</w:t>
      </w:r>
      <w:r w:rsidR="004C233E" w:rsidRPr="00EB304C">
        <w:rPr>
          <w:rFonts w:ascii="Times New Roman" w:hAnsi="Times New Roman" w:cs="Times New Roman"/>
          <w:color w:val="000000" w:themeColor="text1"/>
          <w:sz w:val="24"/>
          <w:szCs w:val="24"/>
        </w:rPr>
        <w:t>.</w:t>
      </w:r>
    </w:p>
    <w:p w14:paraId="382156A2" w14:textId="10ED4C2C" w:rsidR="007D02C9" w:rsidRDefault="007D02C9" w:rsidP="00507007">
      <w:pPr>
        <w:spacing w:before="120"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Podsumowując istotę wspólnych kontroli, należy więc wskazać, że:</w:t>
      </w:r>
    </w:p>
    <w:p w14:paraId="0FFB24DB" w14:textId="523FB0EA" w:rsidR="00102668" w:rsidRPr="008E6516" w:rsidRDefault="007D02C9" w:rsidP="00507007">
      <w:pPr>
        <w:pStyle w:val="Akapitzlist"/>
        <w:numPr>
          <w:ilvl w:val="0"/>
          <w:numId w:val="38"/>
        </w:numPr>
        <w:spacing w:before="120" w:after="0" w:line="360" w:lineRule="auto"/>
        <w:ind w:left="426" w:hanging="284"/>
        <w:jc w:val="both"/>
        <w:rPr>
          <w:rFonts w:ascii="Times New Roman" w:hAnsi="Times New Roman" w:cs="Times New Roman"/>
          <w:sz w:val="24"/>
          <w:szCs w:val="24"/>
        </w:rPr>
      </w:pPr>
      <w:r w:rsidRPr="008E6516">
        <w:rPr>
          <w:rFonts w:ascii="Times New Roman" w:hAnsi="Times New Roman" w:cs="Times New Roman"/>
          <w:sz w:val="24"/>
          <w:szCs w:val="24"/>
        </w:rPr>
        <w:t>wspólne kontrole to nowe narzędzie dające organom podatkowym państw członkowskich dodatkowe uprawnienia w ramach wymiany informacji podatkowych</w:t>
      </w:r>
      <w:r w:rsidR="0039618A">
        <w:rPr>
          <w:rFonts w:ascii="Times New Roman" w:hAnsi="Times New Roman" w:cs="Times New Roman"/>
          <w:sz w:val="24"/>
          <w:szCs w:val="24"/>
        </w:rPr>
        <w:t>,</w:t>
      </w:r>
      <w:r w:rsidRPr="008E6516">
        <w:rPr>
          <w:rFonts w:ascii="Times New Roman" w:hAnsi="Times New Roman" w:cs="Times New Roman"/>
          <w:sz w:val="24"/>
          <w:szCs w:val="24"/>
        </w:rPr>
        <w:t xml:space="preserve"> </w:t>
      </w:r>
    </w:p>
    <w:p w14:paraId="06BF2FDA" w14:textId="04F15E17" w:rsidR="00102668" w:rsidRPr="006815B9" w:rsidRDefault="00102668" w:rsidP="00507007">
      <w:pPr>
        <w:pStyle w:val="Akapitzlist"/>
        <w:numPr>
          <w:ilvl w:val="0"/>
          <w:numId w:val="38"/>
        </w:numPr>
        <w:spacing w:before="120" w:after="0" w:line="360" w:lineRule="auto"/>
        <w:ind w:left="426" w:hanging="284"/>
        <w:jc w:val="both"/>
        <w:rPr>
          <w:rFonts w:ascii="Times New Roman" w:hAnsi="Times New Roman" w:cs="Times New Roman"/>
          <w:sz w:val="24"/>
          <w:szCs w:val="24"/>
        </w:rPr>
      </w:pPr>
      <w:r w:rsidRPr="006815B9">
        <w:rPr>
          <w:rFonts w:ascii="Times New Roman" w:hAnsi="Times New Roman" w:cs="Times New Roman"/>
          <w:sz w:val="24"/>
          <w:szCs w:val="24"/>
        </w:rPr>
        <w:t>wspólne kontrole to forma skoordynowanej współpracy organów podatkowych różnych państw członkowskich, których celem jest wymiana informacji podatkowych</w:t>
      </w:r>
      <w:r w:rsidR="00F979FE">
        <w:rPr>
          <w:rFonts w:ascii="Times New Roman" w:hAnsi="Times New Roman" w:cs="Times New Roman"/>
          <w:sz w:val="24"/>
          <w:szCs w:val="24"/>
        </w:rPr>
        <w:t xml:space="preserve"> </w:t>
      </w:r>
      <w:r w:rsidRPr="006815B9">
        <w:rPr>
          <w:rFonts w:ascii="Times New Roman" w:hAnsi="Times New Roman" w:cs="Times New Roman"/>
          <w:sz w:val="24"/>
          <w:szCs w:val="24"/>
        </w:rPr>
        <w:t>– nie należy stawiać znaku równości między wspólną kontrolą a konkretnym postępowaniem, kontrolą lub czynnościami podejmowanymi indywidualnie przez poszczególne państwa członkowskie (wprowadzenie rozwiązania</w:t>
      </w:r>
      <w:r w:rsidR="0039618A">
        <w:rPr>
          <w:rFonts w:ascii="Times New Roman" w:hAnsi="Times New Roman" w:cs="Times New Roman"/>
          <w:sz w:val="24"/>
          <w:szCs w:val="24"/>
        </w:rPr>
        <w:t>,</w:t>
      </w:r>
      <w:r w:rsidRPr="006815B9">
        <w:rPr>
          <w:rFonts w:ascii="Times New Roman" w:hAnsi="Times New Roman" w:cs="Times New Roman"/>
          <w:sz w:val="24"/>
          <w:szCs w:val="24"/>
        </w:rPr>
        <w:t xml:space="preserve"> jakim są wspólne kontrole</w:t>
      </w:r>
      <w:r w:rsidR="0039618A">
        <w:rPr>
          <w:rFonts w:ascii="Times New Roman" w:hAnsi="Times New Roman" w:cs="Times New Roman"/>
          <w:sz w:val="24"/>
          <w:szCs w:val="24"/>
        </w:rPr>
        <w:t>,</w:t>
      </w:r>
      <w:r w:rsidRPr="006815B9">
        <w:rPr>
          <w:rFonts w:ascii="Times New Roman" w:hAnsi="Times New Roman" w:cs="Times New Roman"/>
          <w:sz w:val="24"/>
          <w:szCs w:val="24"/>
        </w:rPr>
        <w:t xml:space="preserve"> nie zmienia sposobu prowadzenia postępowań i kontroli istniejących w polskim systemie prawnym, a jedynie umożliwia z jednej strony skoordynowany udział urzędników innego państwa członkowskiego w postępowaniach prowadzonych zgodnie z prawem polskim</w:t>
      </w:r>
      <w:r w:rsidR="00BD7E57">
        <w:rPr>
          <w:rFonts w:ascii="Times New Roman" w:hAnsi="Times New Roman" w:cs="Times New Roman"/>
          <w:sz w:val="24"/>
          <w:szCs w:val="24"/>
        </w:rPr>
        <w:t>,</w:t>
      </w:r>
      <w:r w:rsidRPr="006815B9">
        <w:rPr>
          <w:rFonts w:ascii="Times New Roman" w:hAnsi="Times New Roman" w:cs="Times New Roman"/>
          <w:sz w:val="24"/>
          <w:szCs w:val="24"/>
        </w:rPr>
        <w:t xml:space="preserve"> a z drugiej strony skoordynowany udział polskich urzędników w postępowaniach prowadzonych na terytorium i zgodnie z prawem innego państwa członkowskiego)</w:t>
      </w:r>
      <w:r w:rsidR="0039618A">
        <w:rPr>
          <w:rFonts w:ascii="Times New Roman" w:hAnsi="Times New Roman" w:cs="Times New Roman"/>
          <w:sz w:val="24"/>
          <w:szCs w:val="24"/>
        </w:rPr>
        <w:t>,</w:t>
      </w:r>
    </w:p>
    <w:p w14:paraId="40140738" w14:textId="3AB3428A" w:rsidR="007D02C9" w:rsidRPr="008E6516" w:rsidRDefault="007D02C9" w:rsidP="00507007">
      <w:pPr>
        <w:pStyle w:val="Akapitzlist"/>
        <w:numPr>
          <w:ilvl w:val="0"/>
          <w:numId w:val="38"/>
        </w:numPr>
        <w:spacing w:before="120" w:after="0" w:line="360" w:lineRule="auto"/>
        <w:ind w:left="426" w:hanging="284"/>
        <w:jc w:val="both"/>
        <w:rPr>
          <w:rFonts w:ascii="Times New Roman" w:hAnsi="Times New Roman" w:cs="Times New Roman"/>
          <w:sz w:val="24"/>
          <w:szCs w:val="24"/>
        </w:rPr>
      </w:pPr>
      <w:r w:rsidRPr="008E6516">
        <w:rPr>
          <w:rFonts w:ascii="Times New Roman" w:hAnsi="Times New Roman" w:cs="Times New Roman"/>
          <w:sz w:val="24"/>
          <w:szCs w:val="24"/>
        </w:rPr>
        <w:t>wspólne kontrole są wprowadzone na potrzeby wymiany informacji podatkowej i</w:t>
      </w:r>
      <w:r w:rsidR="003F7E79">
        <w:rPr>
          <w:rFonts w:ascii="Times New Roman" w:hAnsi="Times New Roman" w:cs="Times New Roman"/>
          <w:sz w:val="24"/>
          <w:szCs w:val="24"/>
        </w:rPr>
        <w:t> </w:t>
      </w:r>
      <w:r w:rsidRPr="008E6516">
        <w:rPr>
          <w:rFonts w:ascii="Times New Roman" w:hAnsi="Times New Roman" w:cs="Times New Roman"/>
          <w:sz w:val="24"/>
          <w:szCs w:val="24"/>
        </w:rPr>
        <w:t>stanowią sumę działań</w:t>
      </w:r>
      <w:r w:rsidR="0039618A">
        <w:rPr>
          <w:rFonts w:ascii="Times New Roman" w:hAnsi="Times New Roman" w:cs="Times New Roman"/>
          <w:sz w:val="24"/>
          <w:szCs w:val="24"/>
        </w:rPr>
        <w:t>,</w:t>
      </w:r>
      <w:r w:rsidRPr="008E6516">
        <w:rPr>
          <w:rFonts w:ascii="Times New Roman" w:hAnsi="Times New Roman" w:cs="Times New Roman"/>
          <w:sz w:val="24"/>
          <w:szCs w:val="24"/>
        </w:rPr>
        <w:t xml:space="preserve"> jakie w stosunku do określonego podmiotu mogą podejmować „wspólnie” </w:t>
      </w:r>
      <w:r w:rsidRPr="008E6516">
        <w:rPr>
          <w:rFonts w:ascii="Times New Roman" w:hAnsi="Times New Roman" w:cs="Times New Roman"/>
          <w:sz w:val="24"/>
          <w:szCs w:val="24"/>
        </w:rPr>
        <w:lastRenderedPageBreak/>
        <w:t>administracje podatkowe co najmniej dwóch państw członkowskich;</w:t>
      </w:r>
      <w:r w:rsidR="00650B0C">
        <w:rPr>
          <w:rFonts w:ascii="Times New Roman" w:hAnsi="Times New Roman" w:cs="Times New Roman"/>
          <w:sz w:val="24"/>
          <w:szCs w:val="24"/>
        </w:rPr>
        <w:t xml:space="preserve"> </w:t>
      </w:r>
      <w:r w:rsidR="00650B0C" w:rsidRPr="00EE40F1">
        <w:rPr>
          <w:rFonts w:ascii="Times New Roman" w:hAnsi="Times New Roman" w:cs="Times New Roman"/>
          <w:sz w:val="24"/>
          <w:szCs w:val="24"/>
        </w:rPr>
        <w:t>w</w:t>
      </w:r>
      <w:r w:rsidR="003F7E79">
        <w:rPr>
          <w:rFonts w:ascii="Times New Roman" w:hAnsi="Times New Roman" w:cs="Times New Roman"/>
          <w:sz w:val="24"/>
          <w:szCs w:val="24"/>
        </w:rPr>
        <w:t> </w:t>
      </w:r>
      <w:r w:rsidR="00650B0C" w:rsidRPr="00EE40F1">
        <w:rPr>
          <w:rFonts w:ascii="Times New Roman" w:hAnsi="Times New Roman" w:cs="Times New Roman"/>
          <w:sz w:val="24"/>
          <w:szCs w:val="24"/>
        </w:rPr>
        <w:t>ramach wspólnych kontroli administracje podatkowe poszczególnych państw prowadzić będą działania (kontrole, postępowania, czynności) zgodnie z przepisami kraju, na terytorium którego podejmowane są te działania</w:t>
      </w:r>
      <w:r w:rsidR="0039618A">
        <w:rPr>
          <w:rFonts w:ascii="Times New Roman" w:hAnsi="Times New Roman" w:cs="Times New Roman"/>
          <w:sz w:val="24"/>
          <w:szCs w:val="24"/>
        </w:rPr>
        <w:t>,</w:t>
      </w:r>
    </w:p>
    <w:p w14:paraId="5B65C1EA" w14:textId="0A0C8C17" w:rsidR="007D02C9" w:rsidRPr="008E6516" w:rsidRDefault="007D02C9" w:rsidP="00507007">
      <w:pPr>
        <w:pStyle w:val="Akapitzlist"/>
        <w:numPr>
          <w:ilvl w:val="0"/>
          <w:numId w:val="38"/>
        </w:numPr>
        <w:spacing w:before="120" w:after="0" w:line="360" w:lineRule="auto"/>
        <w:ind w:left="426" w:hanging="284"/>
        <w:jc w:val="both"/>
        <w:rPr>
          <w:rFonts w:ascii="Times New Roman" w:hAnsi="Times New Roman" w:cs="Times New Roman"/>
          <w:sz w:val="24"/>
          <w:szCs w:val="24"/>
        </w:rPr>
      </w:pPr>
      <w:r w:rsidRPr="008E6516">
        <w:rPr>
          <w:rFonts w:ascii="Times New Roman" w:hAnsi="Times New Roman" w:cs="Times New Roman"/>
          <w:sz w:val="24"/>
          <w:szCs w:val="24"/>
        </w:rPr>
        <w:t>w odróżnieniu od kontroli jednoczesnych</w:t>
      </w:r>
      <w:r w:rsidR="00650B0C">
        <w:rPr>
          <w:rFonts w:ascii="Times New Roman" w:hAnsi="Times New Roman" w:cs="Times New Roman"/>
          <w:sz w:val="24"/>
          <w:szCs w:val="24"/>
        </w:rPr>
        <w:t>,</w:t>
      </w:r>
      <w:r w:rsidRPr="008E6516">
        <w:rPr>
          <w:rFonts w:ascii="Times New Roman" w:hAnsi="Times New Roman" w:cs="Times New Roman"/>
          <w:sz w:val="24"/>
          <w:szCs w:val="24"/>
        </w:rPr>
        <w:t xml:space="preserve"> wspólne kontrole mogą obejmować nie tylko „kontrole” (por. art. 291a Ordynacji </w:t>
      </w:r>
      <w:r w:rsidR="004D1A18">
        <w:rPr>
          <w:rFonts w:ascii="Times New Roman" w:hAnsi="Times New Roman" w:cs="Times New Roman"/>
          <w:sz w:val="24"/>
          <w:szCs w:val="24"/>
        </w:rPr>
        <w:t>p</w:t>
      </w:r>
      <w:r w:rsidR="00CF5ED1">
        <w:rPr>
          <w:rFonts w:ascii="Times New Roman" w:hAnsi="Times New Roman" w:cs="Times New Roman"/>
          <w:sz w:val="24"/>
          <w:szCs w:val="24"/>
        </w:rPr>
        <w:t xml:space="preserve">odatkowej </w:t>
      </w:r>
      <w:r w:rsidRPr="008E6516">
        <w:rPr>
          <w:rFonts w:ascii="Times New Roman" w:hAnsi="Times New Roman" w:cs="Times New Roman"/>
          <w:sz w:val="24"/>
          <w:szCs w:val="24"/>
        </w:rPr>
        <w:t>i art. 88 ustawy o KAS), ale wszelkie procedury podejmowane przez administracje podatkowe różnych państw w odniesieniu do określonego podmiotu</w:t>
      </w:r>
      <w:r w:rsidR="0039618A">
        <w:rPr>
          <w:rFonts w:ascii="Times New Roman" w:hAnsi="Times New Roman" w:cs="Times New Roman"/>
          <w:sz w:val="24"/>
          <w:szCs w:val="24"/>
        </w:rPr>
        <w:t>,</w:t>
      </w:r>
    </w:p>
    <w:p w14:paraId="69CD0E4A" w14:textId="7284459D" w:rsidR="007D02C9" w:rsidRPr="008E6516" w:rsidRDefault="007D02C9" w:rsidP="00507007">
      <w:pPr>
        <w:pStyle w:val="Akapitzlist"/>
        <w:numPr>
          <w:ilvl w:val="0"/>
          <w:numId w:val="38"/>
        </w:numPr>
        <w:spacing w:before="120" w:after="0" w:line="360" w:lineRule="auto"/>
        <w:ind w:left="426" w:hanging="284"/>
        <w:jc w:val="both"/>
        <w:rPr>
          <w:rFonts w:ascii="Times New Roman" w:hAnsi="Times New Roman" w:cs="Times New Roman"/>
          <w:sz w:val="24"/>
          <w:szCs w:val="24"/>
        </w:rPr>
      </w:pPr>
      <w:r w:rsidRPr="008E6516">
        <w:rPr>
          <w:rFonts w:ascii="Times New Roman" w:hAnsi="Times New Roman" w:cs="Times New Roman"/>
          <w:sz w:val="24"/>
          <w:szCs w:val="24"/>
        </w:rPr>
        <w:t xml:space="preserve">w odróżnieniu od porozumień z art. 19 </w:t>
      </w:r>
      <w:proofErr w:type="spellStart"/>
      <w:r w:rsidRPr="008E6516">
        <w:rPr>
          <w:rFonts w:ascii="Times New Roman" w:hAnsi="Times New Roman" w:cs="Times New Roman"/>
          <w:sz w:val="24"/>
          <w:szCs w:val="24"/>
        </w:rPr>
        <w:t>uWIP</w:t>
      </w:r>
      <w:proofErr w:type="spellEnd"/>
      <w:r w:rsidRPr="008E6516">
        <w:rPr>
          <w:rFonts w:ascii="Times New Roman" w:hAnsi="Times New Roman" w:cs="Times New Roman"/>
          <w:sz w:val="24"/>
          <w:szCs w:val="24"/>
        </w:rPr>
        <w:t xml:space="preserve"> wspólne kontrole umożliwiają nie tylko wzajemny udział przedstawicieli w procedurach prowadzonych przez poszczególne administracje podatkowe państw członkowskich, ale daleko posuniętą synchronizację, koordynację tych działań na poziomie UE</w:t>
      </w:r>
      <w:r w:rsidR="0039618A">
        <w:rPr>
          <w:rFonts w:ascii="Times New Roman" w:hAnsi="Times New Roman" w:cs="Times New Roman"/>
          <w:sz w:val="24"/>
          <w:szCs w:val="24"/>
        </w:rPr>
        <w:t>,</w:t>
      </w:r>
    </w:p>
    <w:p w14:paraId="7AAA1661" w14:textId="576F98D6" w:rsidR="007D02C9" w:rsidRPr="008E6516" w:rsidRDefault="007D02C9" w:rsidP="00507007">
      <w:pPr>
        <w:pStyle w:val="Akapitzlist"/>
        <w:numPr>
          <w:ilvl w:val="0"/>
          <w:numId w:val="38"/>
        </w:numPr>
        <w:spacing w:before="120" w:after="0" w:line="360" w:lineRule="auto"/>
        <w:ind w:left="426" w:hanging="284"/>
        <w:jc w:val="both"/>
        <w:rPr>
          <w:rFonts w:ascii="Times New Roman" w:hAnsi="Times New Roman" w:cs="Times New Roman"/>
          <w:sz w:val="24"/>
          <w:szCs w:val="24"/>
        </w:rPr>
      </w:pPr>
      <w:r w:rsidRPr="008E6516">
        <w:rPr>
          <w:rFonts w:ascii="Times New Roman" w:hAnsi="Times New Roman" w:cs="Times New Roman"/>
          <w:sz w:val="24"/>
          <w:szCs w:val="24"/>
        </w:rPr>
        <w:t>te specyficzne, szerokie, uprawnienia przyznane na gruncie dyrektywy DAC7 powodują, że w przypadku wspólnych skoordynowanych działa</w:t>
      </w:r>
      <w:r w:rsidR="00BD7E57">
        <w:rPr>
          <w:rFonts w:ascii="Times New Roman" w:hAnsi="Times New Roman" w:cs="Times New Roman"/>
          <w:sz w:val="24"/>
          <w:szCs w:val="24"/>
        </w:rPr>
        <w:t>ń</w:t>
      </w:r>
      <w:r w:rsidRPr="008E6516">
        <w:rPr>
          <w:rFonts w:ascii="Times New Roman" w:hAnsi="Times New Roman" w:cs="Times New Roman"/>
          <w:sz w:val="24"/>
          <w:szCs w:val="24"/>
        </w:rPr>
        <w:t xml:space="preserve"> podejmowanych przez państwa członkowskie mówić</w:t>
      </w:r>
      <w:r w:rsidR="00650B0C" w:rsidRPr="007B18EC">
        <w:rPr>
          <w:rFonts w:ascii="Times New Roman" w:hAnsi="Times New Roman" w:cs="Times New Roman"/>
          <w:sz w:val="24"/>
          <w:szCs w:val="24"/>
        </w:rPr>
        <w:t xml:space="preserve"> mo</w:t>
      </w:r>
      <w:r w:rsidR="00650B0C">
        <w:rPr>
          <w:rFonts w:ascii="Times New Roman" w:hAnsi="Times New Roman" w:cs="Times New Roman"/>
          <w:sz w:val="24"/>
          <w:szCs w:val="24"/>
        </w:rPr>
        <w:t xml:space="preserve">żna </w:t>
      </w:r>
      <w:r w:rsidRPr="008E6516">
        <w:rPr>
          <w:rFonts w:ascii="Times New Roman" w:hAnsi="Times New Roman" w:cs="Times New Roman"/>
          <w:sz w:val="24"/>
          <w:szCs w:val="24"/>
        </w:rPr>
        <w:t xml:space="preserve">o „wspólnych kontrolach” na poziomie UE, a nie tylko kontrolach jednoczesnych czy porozumieniach w sprawie udziału poszczególnych urzędników obcych państw na gruncie art. 19 </w:t>
      </w:r>
      <w:proofErr w:type="spellStart"/>
      <w:r w:rsidRPr="008E6516">
        <w:rPr>
          <w:rFonts w:ascii="Times New Roman" w:hAnsi="Times New Roman" w:cs="Times New Roman"/>
          <w:sz w:val="24"/>
          <w:szCs w:val="24"/>
        </w:rPr>
        <w:t>uWIP</w:t>
      </w:r>
      <w:proofErr w:type="spellEnd"/>
      <w:r w:rsidR="0039618A">
        <w:rPr>
          <w:rFonts w:ascii="Times New Roman" w:hAnsi="Times New Roman" w:cs="Times New Roman"/>
          <w:sz w:val="24"/>
          <w:szCs w:val="24"/>
        </w:rPr>
        <w:t>,</w:t>
      </w:r>
    </w:p>
    <w:p w14:paraId="54CDDC5A" w14:textId="18914CC4" w:rsidR="007D02C9" w:rsidRPr="008E6516" w:rsidRDefault="00650B0C" w:rsidP="00507007">
      <w:pPr>
        <w:pStyle w:val="Akapitzlist"/>
        <w:numPr>
          <w:ilvl w:val="0"/>
          <w:numId w:val="38"/>
        </w:numPr>
        <w:spacing w:before="120"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ujęcie wspólnych kontroli w uWIP jest uzasadnione faktem, ż</w:t>
      </w:r>
      <w:r w:rsidR="0039618A">
        <w:rPr>
          <w:rFonts w:ascii="Times New Roman" w:hAnsi="Times New Roman" w:cs="Times New Roman"/>
          <w:sz w:val="24"/>
          <w:szCs w:val="24"/>
        </w:rPr>
        <w:t>e</w:t>
      </w:r>
      <w:r>
        <w:rPr>
          <w:rFonts w:ascii="Times New Roman" w:hAnsi="Times New Roman" w:cs="Times New Roman"/>
          <w:sz w:val="24"/>
          <w:szCs w:val="24"/>
        </w:rPr>
        <w:t xml:space="preserve"> </w:t>
      </w:r>
      <w:r w:rsidR="007D02C9" w:rsidRPr="008E6516">
        <w:rPr>
          <w:rFonts w:ascii="Times New Roman" w:hAnsi="Times New Roman" w:cs="Times New Roman"/>
          <w:sz w:val="24"/>
          <w:szCs w:val="24"/>
        </w:rPr>
        <w:t xml:space="preserve">przepisy te </w:t>
      </w:r>
      <w:r>
        <w:rPr>
          <w:rFonts w:ascii="Times New Roman" w:hAnsi="Times New Roman" w:cs="Times New Roman"/>
          <w:sz w:val="24"/>
          <w:szCs w:val="24"/>
        </w:rPr>
        <w:t xml:space="preserve">(dotyczące wspólnych kontroli) </w:t>
      </w:r>
      <w:r w:rsidR="007D02C9" w:rsidRPr="008E6516">
        <w:rPr>
          <w:rFonts w:ascii="Times New Roman" w:hAnsi="Times New Roman" w:cs="Times New Roman"/>
          <w:sz w:val="24"/>
          <w:szCs w:val="24"/>
        </w:rPr>
        <w:t>obejmują sw</w:t>
      </w:r>
      <w:r w:rsidR="0039618A">
        <w:rPr>
          <w:rFonts w:ascii="Times New Roman" w:hAnsi="Times New Roman" w:cs="Times New Roman"/>
          <w:sz w:val="24"/>
          <w:szCs w:val="24"/>
        </w:rPr>
        <w:t>oi</w:t>
      </w:r>
      <w:r w:rsidR="007D02C9" w:rsidRPr="008E6516">
        <w:rPr>
          <w:rFonts w:ascii="Times New Roman" w:hAnsi="Times New Roman" w:cs="Times New Roman"/>
          <w:sz w:val="24"/>
          <w:szCs w:val="24"/>
        </w:rPr>
        <w:t>m zakresem wszelkie procedury podatkowe, które mogą zostać zastosowane wobec podmiotu w Polsce, w celu</w:t>
      </w:r>
      <w:r w:rsidRPr="007B18EC">
        <w:rPr>
          <w:rFonts w:ascii="Times New Roman" w:hAnsi="Times New Roman" w:cs="Times New Roman"/>
          <w:sz w:val="24"/>
          <w:szCs w:val="24"/>
        </w:rPr>
        <w:t xml:space="preserve"> wymiany informacji podatkowych</w:t>
      </w:r>
      <w:r w:rsidR="003F7E79">
        <w:rPr>
          <w:rFonts w:ascii="Times New Roman" w:hAnsi="Times New Roman" w:cs="Times New Roman"/>
          <w:sz w:val="24"/>
          <w:szCs w:val="24"/>
        </w:rPr>
        <w:t>.</w:t>
      </w:r>
      <w:r w:rsidRPr="007B18EC">
        <w:rPr>
          <w:rFonts w:ascii="Times New Roman" w:hAnsi="Times New Roman" w:cs="Times New Roman"/>
          <w:sz w:val="24"/>
          <w:szCs w:val="24"/>
        </w:rPr>
        <w:t xml:space="preserve"> </w:t>
      </w:r>
    </w:p>
    <w:p w14:paraId="24DB1499" w14:textId="34F1F42C" w:rsidR="00F62650" w:rsidRPr="00EB304C" w:rsidRDefault="00F62650"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Projektowany art. 22</w:t>
      </w:r>
      <w:r w:rsidR="00BD7E57">
        <w:rPr>
          <w:rFonts w:ascii="Times New Roman" w:hAnsi="Times New Roman" w:cs="Times New Roman"/>
          <w:color w:val="000000" w:themeColor="text1"/>
          <w:sz w:val="24"/>
          <w:szCs w:val="24"/>
        </w:rPr>
        <w:t>b</w:t>
      </w:r>
      <w:r w:rsidRPr="00EB304C">
        <w:rPr>
          <w:rFonts w:ascii="Times New Roman" w:hAnsi="Times New Roman" w:cs="Times New Roman"/>
          <w:color w:val="000000" w:themeColor="text1"/>
          <w:sz w:val="24"/>
          <w:szCs w:val="24"/>
        </w:rPr>
        <w:t xml:space="preserve"> </w:t>
      </w:r>
      <w:proofErr w:type="spellStart"/>
      <w:r w:rsidRPr="00EB304C">
        <w:rPr>
          <w:rFonts w:ascii="Times New Roman" w:hAnsi="Times New Roman" w:cs="Times New Roman"/>
          <w:color w:val="000000" w:themeColor="text1"/>
          <w:sz w:val="24"/>
          <w:szCs w:val="24"/>
        </w:rPr>
        <w:t>uWIP</w:t>
      </w:r>
      <w:proofErr w:type="spellEnd"/>
      <w:r w:rsidRPr="00EB304C">
        <w:rPr>
          <w:rFonts w:ascii="Times New Roman" w:hAnsi="Times New Roman" w:cs="Times New Roman"/>
          <w:color w:val="000000" w:themeColor="text1"/>
          <w:sz w:val="24"/>
          <w:szCs w:val="24"/>
        </w:rPr>
        <w:t xml:space="preserve"> wprowadza uprawnienia dla upoważnionych przedstawicieli właściwego organu państwa członkowskiego biorącego</w:t>
      </w:r>
      <w:r w:rsidR="000B2D93" w:rsidRPr="00EB304C">
        <w:rPr>
          <w:rFonts w:ascii="Times New Roman" w:hAnsi="Times New Roman" w:cs="Times New Roman"/>
          <w:color w:val="000000" w:themeColor="text1"/>
          <w:sz w:val="24"/>
          <w:szCs w:val="24"/>
        </w:rPr>
        <w:t xml:space="preserve"> udział we wspólnej kontroli na </w:t>
      </w:r>
      <w:r w:rsidRPr="00EB304C">
        <w:rPr>
          <w:rFonts w:ascii="Times New Roman" w:hAnsi="Times New Roman" w:cs="Times New Roman"/>
          <w:color w:val="000000" w:themeColor="text1"/>
          <w:sz w:val="24"/>
          <w:szCs w:val="24"/>
        </w:rPr>
        <w:t>terytorium Rzeczypospolitej Polskiej. Zgodnie z art. 22</w:t>
      </w:r>
      <w:r w:rsidR="00BD7E57">
        <w:rPr>
          <w:rFonts w:ascii="Times New Roman" w:hAnsi="Times New Roman" w:cs="Times New Roman"/>
          <w:color w:val="000000" w:themeColor="text1"/>
          <w:sz w:val="24"/>
          <w:szCs w:val="24"/>
        </w:rPr>
        <w:t>b</w:t>
      </w:r>
      <w:r w:rsidRPr="00EB304C">
        <w:rPr>
          <w:rFonts w:ascii="Times New Roman" w:hAnsi="Times New Roman" w:cs="Times New Roman"/>
          <w:color w:val="000000" w:themeColor="text1"/>
          <w:sz w:val="24"/>
          <w:szCs w:val="24"/>
        </w:rPr>
        <w:t xml:space="preserve"> ust. </w:t>
      </w:r>
      <w:r w:rsidR="00BD7E57">
        <w:rPr>
          <w:rFonts w:ascii="Times New Roman" w:hAnsi="Times New Roman" w:cs="Times New Roman"/>
          <w:color w:val="000000" w:themeColor="text1"/>
          <w:sz w:val="24"/>
          <w:szCs w:val="24"/>
        </w:rPr>
        <w:t>1</w:t>
      </w:r>
      <w:r w:rsidRPr="00EB304C">
        <w:rPr>
          <w:rFonts w:ascii="Times New Roman" w:hAnsi="Times New Roman" w:cs="Times New Roman"/>
          <w:color w:val="000000" w:themeColor="text1"/>
          <w:sz w:val="24"/>
          <w:szCs w:val="24"/>
        </w:rPr>
        <w:t xml:space="preserve"> będą oni mieli prawo:</w:t>
      </w:r>
    </w:p>
    <w:p w14:paraId="03B1F1F3" w14:textId="41310903" w:rsidR="00F62650" w:rsidRPr="00EB304C" w:rsidRDefault="00F62650" w:rsidP="00DC431B">
      <w:pPr>
        <w:spacing w:before="120" w:after="0" w:line="360" w:lineRule="auto"/>
        <w:ind w:left="567" w:hanging="567"/>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1)</w:t>
      </w:r>
      <w:r w:rsidRPr="00EB304C">
        <w:rPr>
          <w:rFonts w:ascii="Times New Roman" w:hAnsi="Times New Roman" w:cs="Times New Roman"/>
          <w:color w:val="000000" w:themeColor="text1"/>
          <w:sz w:val="24"/>
          <w:szCs w:val="24"/>
        </w:rPr>
        <w:tab/>
      </w:r>
      <w:r w:rsidR="00C954DC" w:rsidRPr="00EB304C">
        <w:rPr>
          <w:rFonts w:ascii="Times New Roman" w:hAnsi="Times New Roman" w:cs="Times New Roman"/>
          <w:color w:val="000000" w:themeColor="text1"/>
          <w:sz w:val="24"/>
          <w:szCs w:val="24"/>
        </w:rPr>
        <w:t>przesłuchiwa</w:t>
      </w:r>
      <w:r w:rsidR="00BD7E57">
        <w:rPr>
          <w:rFonts w:ascii="Times New Roman" w:hAnsi="Times New Roman" w:cs="Times New Roman"/>
          <w:color w:val="000000" w:themeColor="text1"/>
          <w:sz w:val="24"/>
          <w:szCs w:val="24"/>
        </w:rPr>
        <w:t>ć</w:t>
      </w:r>
      <w:r w:rsidR="00C954DC" w:rsidRPr="00EB304C">
        <w:rPr>
          <w:rFonts w:ascii="Times New Roman" w:hAnsi="Times New Roman" w:cs="Times New Roman"/>
          <w:color w:val="000000" w:themeColor="text1"/>
          <w:sz w:val="24"/>
          <w:szCs w:val="24"/>
        </w:rPr>
        <w:t xml:space="preserve"> świadków</w:t>
      </w:r>
      <w:r w:rsidRPr="00EB304C">
        <w:rPr>
          <w:rFonts w:ascii="Times New Roman" w:hAnsi="Times New Roman" w:cs="Times New Roman"/>
          <w:color w:val="000000" w:themeColor="text1"/>
          <w:sz w:val="24"/>
          <w:szCs w:val="24"/>
        </w:rPr>
        <w:t xml:space="preserve"> oraz stron</w:t>
      </w:r>
      <w:r w:rsidR="00BD7E57">
        <w:rPr>
          <w:rFonts w:ascii="Times New Roman" w:hAnsi="Times New Roman" w:cs="Times New Roman"/>
          <w:color w:val="000000" w:themeColor="text1"/>
          <w:sz w:val="24"/>
          <w:szCs w:val="24"/>
        </w:rPr>
        <w:t>y</w:t>
      </w:r>
      <w:r w:rsidRPr="00EB304C">
        <w:rPr>
          <w:rFonts w:ascii="Times New Roman" w:hAnsi="Times New Roman" w:cs="Times New Roman"/>
          <w:color w:val="000000" w:themeColor="text1"/>
          <w:sz w:val="24"/>
          <w:szCs w:val="24"/>
        </w:rPr>
        <w:t xml:space="preserve"> w ramach przeprowadzanego dowodu z zeznań świadka lub przesłuchania strony</w:t>
      </w:r>
      <w:r w:rsidR="00D21383">
        <w:rPr>
          <w:rFonts w:ascii="Times New Roman" w:hAnsi="Times New Roman" w:cs="Times New Roman"/>
          <w:color w:val="000000" w:themeColor="text1"/>
          <w:sz w:val="24"/>
          <w:szCs w:val="24"/>
        </w:rPr>
        <w:t xml:space="preserve"> </w:t>
      </w:r>
      <w:r w:rsidR="00D21383" w:rsidRPr="00D21383">
        <w:rPr>
          <w:rFonts w:ascii="Times New Roman" w:hAnsi="Times New Roman" w:cs="Times New Roman"/>
          <w:color w:val="000000" w:themeColor="text1"/>
          <w:sz w:val="24"/>
          <w:szCs w:val="24"/>
        </w:rPr>
        <w:t>(należy jednak mieć na uwadze, że upoważniony przedstawiciel nie ma prawa do samodzielnego przeprowadzania dowodu z przesłuchiwania świadka lub strony, lecz ma prawo zadawać świadkowi lub stronie pytania samodzielnie lub formułować pytania, które zostaną zadane przez polskiego urzędnika prowadzącego przesłuchanie</w:t>
      </w:r>
      <w:r w:rsidR="00D21383">
        <w:rPr>
          <w:rFonts w:ascii="Times New Roman" w:hAnsi="Times New Roman" w:cs="Times New Roman"/>
          <w:color w:val="000000" w:themeColor="text1"/>
          <w:sz w:val="24"/>
          <w:szCs w:val="24"/>
        </w:rPr>
        <w:t>)</w:t>
      </w:r>
      <w:r w:rsidR="00BD7E57">
        <w:rPr>
          <w:rFonts w:ascii="Times New Roman" w:hAnsi="Times New Roman" w:cs="Times New Roman"/>
          <w:color w:val="000000" w:themeColor="text1"/>
          <w:sz w:val="24"/>
          <w:szCs w:val="24"/>
        </w:rPr>
        <w:t>;</w:t>
      </w:r>
    </w:p>
    <w:p w14:paraId="75C2A876" w14:textId="30D57B97" w:rsidR="00D21383" w:rsidRDefault="00F62650"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2)</w:t>
      </w:r>
      <w:r w:rsidRPr="00EB304C">
        <w:rPr>
          <w:rFonts w:ascii="Times New Roman" w:hAnsi="Times New Roman" w:cs="Times New Roman"/>
          <w:color w:val="000000" w:themeColor="text1"/>
          <w:sz w:val="24"/>
          <w:szCs w:val="24"/>
        </w:rPr>
        <w:tab/>
        <w:t>przegląda</w:t>
      </w:r>
      <w:r w:rsidR="00BD7E57">
        <w:rPr>
          <w:rFonts w:ascii="Times New Roman" w:hAnsi="Times New Roman" w:cs="Times New Roman"/>
          <w:color w:val="000000" w:themeColor="text1"/>
          <w:sz w:val="24"/>
          <w:szCs w:val="24"/>
        </w:rPr>
        <w:t>ć</w:t>
      </w:r>
      <w:r w:rsidRPr="00EB304C">
        <w:rPr>
          <w:rFonts w:ascii="Times New Roman" w:hAnsi="Times New Roman" w:cs="Times New Roman"/>
          <w:color w:val="000000" w:themeColor="text1"/>
          <w:sz w:val="24"/>
          <w:szCs w:val="24"/>
        </w:rPr>
        <w:t xml:space="preserve"> i utrwala</w:t>
      </w:r>
      <w:r w:rsidR="00BD7E57">
        <w:rPr>
          <w:rFonts w:ascii="Times New Roman" w:hAnsi="Times New Roman" w:cs="Times New Roman"/>
          <w:color w:val="000000" w:themeColor="text1"/>
          <w:sz w:val="24"/>
          <w:szCs w:val="24"/>
        </w:rPr>
        <w:t>ć</w:t>
      </w:r>
      <w:r w:rsidRPr="00EB304C">
        <w:rPr>
          <w:rFonts w:ascii="Times New Roman" w:hAnsi="Times New Roman" w:cs="Times New Roman"/>
          <w:color w:val="000000" w:themeColor="text1"/>
          <w:sz w:val="24"/>
          <w:szCs w:val="24"/>
        </w:rPr>
        <w:t xml:space="preserve"> dokument</w:t>
      </w:r>
      <w:r w:rsidR="00BD7E57">
        <w:rPr>
          <w:rFonts w:ascii="Times New Roman" w:hAnsi="Times New Roman" w:cs="Times New Roman"/>
          <w:color w:val="000000" w:themeColor="text1"/>
          <w:sz w:val="24"/>
          <w:szCs w:val="24"/>
        </w:rPr>
        <w:t>y</w:t>
      </w:r>
      <w:r w:rsidRPr="00EB304C">
        <w:rPr>
          <w:rFonts w:ascii="Times New Roman" w:hAnsi="Times New Roman" w:cs="Times New Roman"/>
          <w:color w:val="000000" w:themeColor="text1"/>
          <w:sz w:val="24"/>
          <w:szCs w:val="24"/>
        </w:rPr>
        <w:t xml:space="preserve"> i inn</w:t>
      </w:r>
      <w:r w:rsidR="00BD7E57">
        <w:rPr>
          <w:rFonts w:ascii="Times New Roman" w:hAnsi="Times New Roman" w:cs="Times New Roman"/>
          <w:color w:val="000000" w:themeColor="text1"/>
          <w:sz w:val="24"/>
          <w:szCs w:val="24"/>
        </w:rPr>
        <w:t>e</w:t>
      </w:r>
      <w:r w:rsidRPr="00EB304C">
        <w:rPr>
          <w:rFonts w:ascii="Times New Roman" w:hAnsi="Times New Roman" w:cs="Times New Roman"/>
          <w:color w:val="000000" w:themeColor="text1"/>
          <w:sz w:val="24"/>
          <w:szCs w:val="24"/>
        </w:rPr>
        <w:t xml:space="preserve"> dowod</w:t>
      </w:r>
      <w:r w:rsidR="00BD7E57">
        <w:rPr>
          <w:rFonts w:ascii="Times New Roman" w:hAnsi="Times New Roman" w:cs="Times New Roman"/>
          <w:color w:val="000000" w:themeColor="text1"/>
          <w:sz w:val="24"/>
          <w:szCs w:val="24"/>
        </w:rPr>
        <w:t>y</w:t>
      </w:r>
      <w:r w:rsidRPr="00EB304C">
        <w:rPr>
          <w:rFonts w:ascii="Times New Roman" w:hAnsi="Times New Roman" w:cs="Times New Roman"/>
          <w:color w:val="000000" w:themeColor="text1"/>
          <w:sz w:val="24"/>
          <w:szCs w:val="24"/>
        </w:rPr>
        <w:t xml:space="preserve"> związan</w:t>
      </w:r>
      <w:r w:rsidR="00BD7E57">
        <w:rPr>
          <w:rFonts w:ascii="Times New Roman" w:hAnsi="Times New Roman" w:cs="Times New Roman"/>
          <w:color w:val="000000" w:themeColor="text1"/>
          <w:sz w:val="24"/>
          <w:szCs w:val="24"/>
        </w:rPr>
        <w:t>e</w:t>
      </w:r>
      <w:r w:rsidRPr="00EB304C">
        <w:rPr>
          <w:rFonts w:ascii="Times New Roman" w:hAnsi="Times New Roman" w:cs="Times New Roman"/>
          <w:color w:val="000000" w:themeColor="text1"/>
          <w:sz w:val="24"/>
          <w:szCs w:val="24"/>
        </w:rPr>
        <w:t xml:space="preserve"> ze sprawą.</w:t>
      </w:r>
    </w:p>
    <w:p w14:paraId="796E25BD" w14:textId="7F28EE64" w:rsidR="00D21383" w:rsidRPr="00EB304C" w:rsidRDefault="00D21383" w:rsidP="00507007">
      <w:pPr>
        <w:spacing w:before="120" w:after="0" w:line="360" w:lineRule="auto"/>
        <w:jc w:val="both"/>
        <w:rPr>
          <w:rFonts w:ascii="Times New Roman" w:hAnsi="Times New Roman" w:cs="Times New Roman"/>
          <w:color w:val="000000" w:themeColor="text1"/>
          <w:sz w:val="24"/>
          <w:szCs w:val="24"/>
        </w:rPr>
      </w:pPr>
      <w:r w:rsidRPr="00D21383">
        <w:rPr>
          <w:rFonts w:ascii="Times New Roman" w:hAnsi="Times New Roman" w:cs="Times New Roman"/>
          <w:color w:val="000000" w:themeColor="text1"/>
          <w:sz w:val="24"/>
          <w:szCs w:val="24"/>
        </w:rPr>
        <w:lastRenderedPageBreak/>
        <w:t>Należy jednak wyraźnie zaznaczyć, że upoważnionemu przedstawicielowi nie przysługują uprawnienia inne niż wyraźnie wskazane w projektowanych przepisach. W szczególności upoważnionemu przedstawicielowi nie będzie przysługiwać prawo do działania w imieniu polskiego organu, tj. do wszczynania kontroli czy też postępowań, czy też do działania niezależnie od polskiego organu (upoważniony przedstawiciel nie będzie mógł więc niezależnie od polskiego organu wszcząć postępowania czy też kontroli). Projektowane przepisy regulują jedynie sposób wymiany informacji podatkowych między właściwymi organami państw członkowskich, który obejmuje również prawo do bezpośredniego pozyskiwania tych informacji przez urzędników innego państwa członkowskiego, lecz tylko we współpracy z polskimi urzędnikami właściwymi do prowadzenia postępowania zgodnie z prawem polskim. Analogiczne prawa mają przysługiwać urzędnikom polskim podejmującym działania w ramach wspólnych kontroli na terytorium innego państwa członkowskiego we współpracy z urzędnikami tego państwa.</w:t>
      </w:r>
    </w:p>
    <w:p w14:paraId="3D2A0C69" w14:textId="453E8FD0" w:rsidR="00F62650" w:rsidRPr="00EB304C" w:rsidRDefault="00F62650"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Wspólne kontrole będą prowadzone zgodnie z prawem i wymogami proceduralnymi państwa członkowskiego, w którym będą przeprowadzane czynności w</w:t>
      </w:r>
      <w:r w:rsidR="000B2D93" w:rsidRPr="00EB304C">
        <w:rPr>
          <w:rFonts w:ascii="Times New Roman" w:hAnsi="Times New Roman" w:cs="Times New Roman"/>
          <w:color w:val="000000" w:themeColor="text1"/>
          <w:sz w:val="24"/>
          <w:szCs w:val="24"/>
        </w:rPr>
        <w:t xml:space="preserve"> ramach wspólnej kontroli (art. </w:t>
      </w:r>
      <w:r w:rsidRPr="00EB304C">
        <w:rPr>
          <w:rFonts w:ascii="Times New Roman" w:hAnsi="Times New Roman" w:cs="Times New Roman"/>
          <w:color w:val="000000" w:themeColor="text1"/>
          <w:sz w:val="24"/>
          <w:szCs w:val="24"/>
        </w:rPr>
        <w:t>22</w:t>
      </w:r>
      <w:r w:rsidR="00204182">
        <w:rPr>
          <w:rFonts w:ascii="Times New Roman" w:hAnsi="Times New Roman" w:cs="Times New Roman"/>
          <w:color w:val="000000" w:themeColor="text1"/>
          <w:sz w:val="24"/>
          <w:szCs w:val="24"/>
        </w:rPr>
        <w:t>b</w:t>
      </w:r>
      <w:r w:rsidRPr="00EB304C">
        <w:rPr>
          <w:rFonts w:ascii="Times New Roman" w:hAnsi="Times New Roman" w:cs="Times New Roman"/>
          <w:color w:val="000000" w:themeColor="text1"/>
          <w:sz w:val="24"/>
          <w:szCs w:val="24"/>
        </w:rPr>
        <w:t xml:space="preserve"> ust.</w:t>
      </w:r>
      <w:r w:rsidR="00204182">
        <w:rPr>
          <w:rFonts w:ascii="Times New Roman" w:hAnsi="Times New Roman" w:cs="Times New Roman"/>
          <w:color w:val="000000" w:themeColor="text1"/>
          <w:sz w:val="24"/>
          <w:szCs w:val="24"/>
        </w:rPr>
        <w:t>2</w:t>
      </w:r>
      <w:r w:rsidRPr="00EB304C">
        <w:rPr>
          <w:rFonts w:ascii="Times New Roman" w:hAnsi="Times New Roman" w:cs="Times New Roman"/>
          <w:color w:val="000000" w:themeColor="text1"/>
          <w:sz w:val="24"/>
          <w:szCs w:val="24"/>
        </w:rPr>
        <w:t>).</w:t>
      </w:r>
    </w:p>
    <w:p w14:paraId="5123FB3D" w14:textId="604E73E1" w:rsidR="00514579" w:rsidRDefault="00F62650" w:rsidP="00507007">
      <w:pPr>
        <w:spacing w:before="120" w:after="0" w:line="360" w:lineRule="auto"/>
        <w:jc w:val="both"/>
        <w:rPr>
          <w:rFonts w:ascii="Times New Roman" w:hAnsi="Times New Roman" w:cs="Times New Roman"/>
          <w:sz w:val="24"/>
          <w:szCs w:val="24"/>
        </w:rPr>
      </w:pPr>
      <w:r w:rsidRPr="00EB304C">
        <w:rPr>
          <w:rFonts w:ascii="Times New Roman" w:hAnsi="Times New Roman" w:cs="Times New Roman"/>
          <w:color w:val="000000" w:themeColor="text1"/>
          <w:sz w:val="24"/>
          <w:szCs w:val="24"/>
        </w:rPr>
        <w:t>Przepisy projektowan</w:t>
      </w:r>
      <w:r w:rsidR="00204182">
        <w:rPr>
          <w:rFonts w:ascii="Times New Roman" w:hAnsi="Times New Roman" w:cs="Times New Roman"/>
          <w:color w:val="000000" w:themeColor="text1"/>
          <w:sz w:val="24"/>
          <w:szCs w:val="24"/>
        </w:rPr>
        <w:t>ych</w:t>
      </w:r>
      <w:r w:rsidRPr="00EB304C">
        <w:rPr>
          <w:rFonts w:ascii="Times New Roman" w:hAnsi="Times New Roman" w:cs="Times New Roman"/>
          <w:color w:val="000000" w:themeColor="text1"/>
          <w:sz w:val="24"/>
          <w:szCs w:val="24"/>
        </w:rPr>
        <w:t xml:space="preserve"> art. 22a</w:t>
      </w:r>
      <w:r w:rsidR="004A39E2">
        <w:rPr>
          <w:rFonts w:ascii="Times New Roman" w:hAnsi="Times New Roman" w:cs="Times New Roman"/>
          <w:color w:val="000000" w:themeColor="text1"/>
          <w:sz w:val="24"/>
          <w:szCs w:val="24"/>
        </w:rPr>
        <w:t>–</w:t>
      </w:r>
      <w:r w:rsidR="00204182">
        <w:rPr>
          <w:rFonts w:ascii="Times New Roman" w:hAnsi="Times New Roman" w:cs="Times New Roman"/>
          <w:color w:val="000000" w:themeColor="text1"/>
          <w:sz w:val="24"/>
          <w:szCs w:val="24"/>
        </w:rPr>
        <w:t xml:space="preserve">22d </w:t>
      </w:r>
      <w:proofErr w:type="spellStart"/>
      <w:r w:rsidR="00204182">
        <w:rPr>
          <w:rFonts w:ascii="Times New Roman" w:hAnsi="Times New Roman" w:cs="Times New Roman"/>
          <w:color w:val="000000" w:themeColor="text1"/>
          <w:sz w:val="24"/>
          <w:szCs w:val="24"/>
        </w:rPr>
        <w:t>uWIP</w:t>
      </w:r>
      <w:proofErr w:type="spellEnd"/>
      <w:r w:rsidRPr="00EB304C">
        <w:rPr>
          <w:rFonts w:ascii="Times New Roman" w:hAnsi="Times New Roman" w:cs="Times New Roman"/>
          <w:color w:val="000000" w:themeColor="text1"/>
          <w:sz w:val="24"/>
          <w:szCs w:val="24"/>
        </w:rPr>
        <w:t xml:space="preserve"> </w:t>
      </w:r>
      <w:r w:rsidR="00C954DC" w:rsidRPr="00EB304C">
        <w:rPr>
          <w:rFonts w:ascii="Times New Roman" w:hAnsi="Times New Roman" w:cs="Times New Roman"/>
          <w:color w:val="000000" w:themeColor="text1"/>
          <w:sz w:val="24"/>
          <w:szCs w:val="24"/>
        </w:rPr>
        <w:t>doprecyzowują ponadto</w:t>
      </w:r>
      <w:r w:rsidRPr="00EB304C">
        <w:rPr>
          <w:rFonts w:ascii="Times New Roman" w:hAnsi="Times New Roman" w:cs="Times New Roman"/>
          <w:color w:val="000000" w:themeColor="text1"/>
          <w:sz w:val="24"/>
          <w:szCs w:val="24"/>
        </w:rPr>
        <w:t xml:space="preserve"> zasady funkcjonowania instytucji wspólnej kontroli w polskim porządku prawnym.</w:t>
      </w:r>
    </w:p>
    <w:p w14:paraId="0E01BFD9" w14:textId="0CF37B03" w:rsidR="00204182" w:rsidRPr="00204182" w:rsidRDefault="00514579" w:rsidP="00507007">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Należy jednocześnie wskazać, że s</w:t>
      </w:r>
      <w:r w:rsidRPr="00506BCA">
        <w:rPr>
          <w:rFonts w:ascii="Times New Roman" w:hAnsi="Times New Roman" w:cs="Times New Roman"/>
          <w:sz w:val="24"/>
          <w:szCs w:val="24"/>
        </w:rPr>
        <w:t>posób realizacji postanowień art. 12a ust. 3 lit. b dyrektywy DAC7</w:t>
      </w:r>
      <w:r w:rsidR="002019BC">
        <w:rPr>
          <w:rFonts w:ascii="Times New Roman" w:hAnsi="Times New Roman" w:cs="Times New Roman"/>
          <w:sz w:val="24"/>
          <w:szCs w:val="24"/>
        </w:rPr>
        <w:t>,</w:t>
      </w:r>
      <w:r w:rsidRPr="00506BCA">
        <w:rPr>
          <w:rFonts w:ascii="Times New Roman" w:hAnsi="Times New Roman" w:cs="Times New Roman"/>
          <w:sz w:val="24"/>
          <w:szCs w:val="24"/>
        </w:rPr>
        <w:t xml:space="preserve"> tj. zapewnieni</w:t>
      </w:r>
      <w:r w:rsidR="00B23A78">
        <w:rPr>
          <w:rFonts w:ascii="Times New Roman" w:hAnsi="Times New Roman" w:cs="Times New Roman"/>
          <w:sz w:val="24"/>
          <w:szCs w:val="24"/>
        </w:rPr>
        <w:t>e</w:t>
      </w:r>
      <w:r w:rsidRPr="00506BCA">
        <w:rPr>
          <w:rFonts w:ascii="Times New Roman" w:hAnsi="Times New Roman" w:cs="Times New Roman"/>
          <w:sz w:val="24"/>
          <w:szCs w:val="24"/>
        </w:rPr>
        <w:t xml:space="preserve"> właściwej oceny dowodów zgromadzonych podczas czynności w</w:t>
      </w:r>
      <w:r>
        <w:rPr>
          <w:rFonts w:ascii="Times New Roman" w:hAnsi="Times New Roman" w:cs="Times New Roman"/>
          <w:sz w:val="24"/>
          <w:szCs w:val="24"/>
        </w:rPr>
        <w:t> </w:t>
      </w:r>
      <w:r w:rsidRPr="00506BCA">
        <w:rPr>
          <w:rFonts w:ascii="Times New Roman" w:hAnsi="Times New Roman" w:cs="Times New Roman"/>
          <w:sz w:val="24"/>
          <w:szCs w:val="24"/>
        </w:rPr>
        <w:t xml:space="preserve">ramach wspólnej kontroli, w szczególności w przypadku ich zgromadzenia w toku wspólnej kontroli wykonywanej w państwie członkowskim UE zgodnie z obowiązującymi w tym państwie przepisami regulującymi postępowanie, które nie ma „odpowiednika” w polskim systemie prawa, </w:t>
      </w:r>
      <w:r>
        <w:rPr>
          <w:rFonts w:ascii="Times New Roman" w:hAnsi="Times New Roman" w:cs="Times New Roman"/>
          <w:sz w:val="24"/>
          <w:szCs w:val="24"/>
        </w:rPr>
        <w:t>jest</w:t>
      </w:r>
      <w:r w:rsidRPr="00506BCA">
        <w:rPr>
          <w:rFonts w:ascii="Times New Roman" w:hAnsi="Times New Roman" w:cs="Times New Roman"/>
          <w:sz w:val="24"/>
          <w:szCs w:val="24"/>
        </w:rPr>
        <w:t xml:space="preserve"> transponowany do </w:t>
      </w:r>
      <w:proofErr w:type="spellStart"/>
      <w:r w:rsidRPr="00506BCA">
        <w:rPr>
          <w:rFonts w:ascii="Times New Roman" w:hAnsi="Times New Roman" w:cs="Times New Roman"/>
          <w:sz w:val="24"/>
          <w:szCs w:val="24"/>
        </w:rPr>
        <w:t>uWIP</w:t>
      </w:r>
      <w:proofErr w:type="spellEnd"/>
      <w:r w:rsidRPr="00506BCA">
        <w:rPr>
          <w:rFonts w:ascii="Times New Roman" w:hAnsi="Times New Roman" w:cs="Times New Roman"/>
          <w:sz w:val="24"/>
          <w:szCs w:val="24"/>
        </w:rPr>
        <w:t xml:space="preserve"> przez projektowany art. </w:t>
      </w:r>
      <w:r w:rsidR="00145BE3">
        <w:rPr>
          <w:rFonts w:ascii="Times New Roman" w:hAnsi="Times New Roman" w:cs="Times New Roman"/>
          <w:sz w:val="24"/>
          <w:szCs w:val="24"/>
        </w:rPr>
        <w:t>2</w:t>
      </w:r>
      <w:r w:rsidRPr="00506BCA">
        <w:rPr>
          <w:rFonts w:ascii="Times New Roman" w:hAnsi="Times New Roman" w:cs="Times New Roman"/>
          <w:sz w:val="24"/>
          <w:szCs w:val="24"/>
        </w:rPr>
        <w:t>2</w:t>
      </w:r>
      <w:r w:rsidR="00145BE3">
        <w:rPr>
          <w:rFonts w:ascii="Times New Roman" w:hAnsi="Times New Roman" w:cs="Times New Roman"/>
          <w:sz w:val="24"/>
          <w:szCs w:val="24"/>
        </w:rPr>
        <w:t>b</w:t>
      </w:r>
      <w:r w:rsidRPr="00506BCA">
        <w:rPr>
          <w:rFonts w:ascii="Times New Roman" w:hAnsi="Times New Roman" w:cs="Times New Roman"/>
          <w:sz w:val="24"/>
          <w:szCs w:val="24"/>
        </w:rPr>
        <w:t xml:space="preserve"> ust. </w:t>
      </w:r>
      <w:r w:rsidR="00145BE3">
        <w:rPr>
          <w:rFonts w:ascii="Times New Roman" w:hAnsi="Times New Roman" w:cs="Times New Roman"/>
          <w:sz w:val="24"/>
          <w:szCs w:val="24"/>
        </w:rPr>
        <w:t>2</w:t>
      </w:r>
      <w:r>
        <w:rPr>
          <w:rFonts w:ascii="Times New Roman" w:hAnsi="Times New Roman" w:cs="Times New Roman"/>
          <w:sz w:val="24"/>
          <w:szCs w:val="24"/>
        </w:rPr>
        <w:t xml:space="preserve"> </w:t>
      </w:r>
      <w:r w:rsidRPr="000C0B57">
        <w:rPr>
          <w:rFonts w:ascii="Times New Roman" w:hAnsi="Times New Roman" w:cs="Times New Roman"/>
          <w:sz w:val="24"/>
          <w:szCs w:val="24"/>
        </w:rPr>
        <w:t xml:space="preserve">i art. 23 </w:t>
      </w:r>
      <w:r w:rsidR="00145BE3">
        <w:rPr>
          <w:rFonts w:ascii="Times New Roman" w:hAnsi="Times New Roman" w:cs="Times New Roman"/>
          <w:sz w:val="24"/>
          <w:szCs w:val="24"/>
        </w:rPr>
        <w:t>ust</w:t>
      </w:r>
      <w:r w:rsidR="002019BC">
        <w:rPr>
          <w:rFonts w:ascii="Times New Roman" w:hAnsi="Times New Roman" w:cs="Times New Roman"/>
          <w:sz w:val="24"/>
          <w:szCs w:val="24"/>
        </w:rPr>
        <w:t> </w:t>
      </w:r>
      <w:r w:rsidR="00145BE3">
        <w:rPr>
          <w:rFonts w:ascii="Times New Roman" w:hAnsi="Times New Roman" w:cs="Times New Roman"/>
          <w:sz w:val="24"/>
          <w:szCs w:val="24"/>
        </w:rPr>
        <w:t xml:space="preserve">1 </w:t>
      </w:r>
      <w:proofErr w:type="spellStart"/>
      <w:r w:rsidRPr="000C0B57">
        <w:rPr>
          <w:rFonts w:ascii="Times New Roman" w:hAnsi="Times New Roman" w:cs="Times New Roman"/>
          <w:sz w:val="24"/>
          <w:szCs w:val="24"/>
        </w:rPr>
        <w:t>uWIP</w:t>
      </w:r>
      <w:proofErr w:type="spellEnd"/>
      <w:r w:rsidRPr="00506BCA">
        <w:rPr>
          <w:rFonts w:ascii="Times New Roman" w:hAnsi="Times New Roman" w:cs="Times New Roman"/>
          <w:sz w:val="24"/>
          <w:szCs w:val="24"/>
        </w:rPr>
        <w:t>. Zgodnie z przepisem art. 2</w:t>
      </w:r>
      <w:r w:rsidR="00204182">
        <w:rPr>
          <w:rFonts w:ascii="Times New Roman" w:hAnsi="Times New Roman" w:cs="Times New Roman"/>
          <w:sz w:val="24"/>
          <w:szCs w:val="24"/>
        </w:rPr>
        <w:t>2d</w:t>
      </w:r>
      <w:r w:rsidRPr="00506BCA">
        <w:rPr>
          <w:rFonts w:ascii="Times New Roman" w:hAnsi="Times New Roman" w:cs="Times New Roman"/>
          <w:sz w:val="24"/>
          <w:szCs w:val="24"/>
        </w:rPr>
        <w:t xml:space="preserve"> ust. </w:t>
      </w:r>
      <w:r w:rsidR="00B23A78">
        <w:rPr>
          <w:rFonts w:ascii="Times New Roman" w:hAnsi="Times New Roman" w:cs="Times New Roman"/>
          <w:sz w:val="24"/>
          <w:szCs w:val="24"/>
        </w:rPr>
        <w:t>3</w:t>
      </w:r>
      <w:r w:rsidRPr="00506BCA">
        <w:rPr>
          <w:rFonts w:ascii="Times New Roman" w:hAnsi="Times New Roman" w:cs="Times New Roman"/>
          <w:sz w:val="24"/>
          <w:szCs w:val="24"/>
        </w:rPr>
        <w:t xml:space="preserve"> </w:t>
      </w:r>
      <w:proofErr w:type="spellStart"/>
      <w:r w:rsidRPr="00506BCA">
        <w:rPr>
          <w:rFonts w:ascii="Times New Roman" w:hAnsi="Times New Roman" w:cs="Times New Roman"/>
          <w:sz w:val="24"/>
          <w:szCs w:val="24"/>
        </w:rPr>
        <w:t>uWIP</w:t>
      </w:r>
      <w:proofErr w:type="spellEnd"/>
      <w:r w:rsidRPr="00506BCA">
        <w:rPr>
          <w:rFonts w:ascii="Times New Roman" w:hAnsi="Times New Roman" w:cs="Times New Roman"/>
          <w:sz w:val="24"/>
          <w:szCs w:val="24"/>
        </w:rPr>
        <w:t xml:space="preserve"> osoby</w:t>
      </w:r>
      <w:r w:rsidR="00204182">
        <w:rPr>
          <w:rFonts w:ascii="Times New Roman" w:hAnsi="Times New Roman" w:cs="Times New Roman"/>
          <w:sz w:val="24"/>
          <w:szCs w:val="24"/>
        </w:rPr>
        <w:t xml:space="preserve"> </w:t>
      </w:r>
      <w:r w:rsidR="00204182" w:rsidRPr="00204182">
        <w:rPr>
          <w:rFonts w:ascii="Times New Roman" w:hAnsi="Times New Roman" w:cs="Times New Roman"/>
          <w:sz w:val="24"/>
          <w:szCs w:val="24"/>
        </w:rPr>
        <w:t>zatrudnione przez organ i wyznaczone do wymiany informacji w ramach wspólnej kontroli (zob. art. 22c ust</w:t>
      </w:r>
      <w:r w:rsidR="00204182">
        <w:rPr>
          <w:rFonts w:ascii="Times New Roman" w:hAnsi="Times New Roman" w:cs="Times New Roman"/>
          <w:sz w:val="24"/>
          <w:szCs w:val="24"/>
        </w:rPr>
        <w:t>. 1)</w:t>
      </w:r>
      <w:r w:rsidR="00204182" w:rsidRPr="00204182">
        <w:rPr>
          <w:rFonts w:ascii="Times New Roman" w:hAnsi="Times New Roman" w:cs="Times New Roman"/>
          <w:sz w:val="24"/>
          <w:szCs w:val="24"/>
        </w:rPr>
        <w:t xml:space="preserve"> włączają do akt sprawy prowadzonej przez ten organ dowody zgromadzone w trakcie prowadzenia wspólnej kontroli oraz sprawozdanie końcowe. W związku z powyższym wszelkie informacje (dokumenty) pozyskane w ramach wymiany informacji podatkowych dokonywanej w ramach wspólnej kontroli zostaną włączone do akt sprawy i będą stanowiły dowód w sprawie. Zgodnie z art. 180 § 1 Ordynacj</w:t>
      </w:r>
      <w:r w:rsidR="002D49FA">
        <w:rPr>
          <w:rFonts w:ascii="Times New Roman" w:hAnsi="Times New Roman" w:cs="Times New Roman"/>
          <w:sz w:val="24"/>
          <w:szCs w:val="24"/>
        </w:rPr>
        <w:t>i</w:t>
      </w:r>
      <w:r w:rsidR="00204182" w:rsidRPr="00204182">
        <w:rPr>
          <w:rFonts w:ascii="Times New Roman" w:hAnsi="Times New Roman" w:cs="Times New Roman"/>
          <w:sz w:val="24"/>
          <w:szCs w:val="24"/>
        </w:rPr>
        <w:t xml:space="preserve"> </w:t>
      </w:r>
      <w:r w:rsidR="00B86080">
        <w:rPr>
          <w:rFonts w:ascii="Times New Roman" w:hAnsi="Times New Roman" w:cs="Times New Roman"/>
          <w:sz w:val="24"/>
          <w:szCs w:val="24"/>
        </w:rPr>
        <w:t>p</w:t>
      </w:r>
      <w:r w:rsidR="00204182" w:rsidRPr="00204182">
        <w:rPr>
          <w:rFonts w:ascii="Times New Roman" w:hAnsi="Times New Roman" w:cs="Times New Roman"/>
          <w:sz w:val="24"/>
          <w:szCs w:val="24"/>
        </w:rPr>
        <w:t>odatkow</w:t>
      </w:r>
      <w:r w:rsidR="002D49FA">
        <w:rPr>
          <w:rFonts w:ascii="Times New Roman" w:hAnsi="Times New Roman" w:cs="Times New Roman"/>
          <w:sz w:val="24"/>
          <w:szCs w:val="24"/>
        </w:rPr>
        <w:t>ej</w:t>
      </w:r>
      <w:r w:rsidR="00204182" w:rsidRPr="00204182">
        <w:rPr>
          <w:rFonts w:ascii="Times New Roman" w:hAnsi="Times New Roman" w:cs="Times New Roman"/>
          <w:sz w:val="24"/>
          <w:szCs w:val="24"/>
        </w:rPr>
        <w:t xml:space="preserve"> (który jest stosowany na mocy odesłania </w:t>
      </w:r>
      <w:r w:rsidR="002D49FA">
        <w:rPr>
          <w:rFonts w:ascii="Times New Roman" w:hAnsi="Times New Roman" w:cs="Times New Roman"/>
          <w:sz w:val="24"/>
          <w:szCs w:val="24"/>
        </w:rPr>
        <w:t xml:space="preserve">zgodnie </w:t>
      </w:r>
      <w:r w:rsidR="00204182" w:rsidRPr="00204182">
        <w:rPr>
          <w:rFonts w:ascii="Times New Roman" w:hAnsi="Times New Roman" w:cs="Times New Roman"/>
          <w:sz w:val="24"/>
          <w:szCs w:val="24"/>
        </w:rPr>
        <w:t xml:space="preserve">z art. 23 uWIP) jako dowód należy dopuścić wszystko, co może przyczynić się do wyjaśnienia sprawy, a nie jest sprzeczne z prawem. Informacje pozyskane w ramach wymiany informacji z </w:t>
      </w:r>
      <w:r w:rsidR="00204182" w:rsidRPr="00204182">
        <w:rPr>
          <w:rFonts w:ascii="Times New Roman" w:hAnsi="Times New Roman" w:cs="Times New Roman"/>
          <w:sz w:val="24"/>
          <w:szCs w:val="24"/>
        </w:rPr>
        <w:lastRenderedPageBreak/>
        <w:t>wykorzystanie</w:t>
      </w:r>
      <w:r w:rsidR="002019BC">
        <w:rPr>
          <w:rFonts w:ascii="Times New Roman" w:hAnsi="Times New Roman" w:cs="Times New Roman"/>
          <w:sz w:val="24"/>
          <w:szCs w:val="24"/>
        </w:rPr>
        <w:t>m</w:t>
      </w:r>
      <w:r w:rsidR="00204182" w:rsidRPr="00204182">
        <w:rPr>
          <w:rFonts w:ascii="Times New Roman" w:hAnsi="Times New Roman" w:cs="Times New Roman"/>
          <w:sz w:val="24"/>
          <w:szCs w:val="24"/>
        </w:rPr>
        <w:t xml:space="preserve"> wspólnej kontroli będą pozyskiwane na podstawie wprowadzanych do uWIP przepisów o wspólnej kontroli</w:t>
      </w:r>
      <w:r w:rsidR="00204182">
        <w:rPr>
          <w:rFonts w:ascii="Times New Roman" w:hAnsi="Times New Roman" w:cs="Times New Roman"/>
          <w:sz w:val="24"/>
          <w:szCs w:val="24"/>
        </w:rPr>
        <w:t>.</w:t>
      </w:r>
    </w:p>
    <w:p w14:paraId="79DF165F" w14:textId="77777777" w:rsidR="00BF1D2D" w:rsidRDefault="00204182" w:rsidP="00507007">
      <w:pPr>
        <w:spacing w:before="120" w:after="0" w:line="360" w:lineRule="auto"/>
        <w:jc w:val="both"/>
        <w:rPr>
          <w:rFonts w:ascii="Times New Roman" w:hAnsi="Times New Roman" w:cs="Times New Roman"/>
          <w:sz w:val="24"/>
          <w:szCs w:val="24"/>
        </w:rPr>
      </w:pPr>
      <w:r w:rsidRPr="00204182">
        <w:rPr>
          <w:rFonts w:ascii="Times New Roman" w:hAnsi="Times New Roman" w:cs="Times New Roman"/>
          <w:sz w:val="24"/>
          <w:szCs w:val="24"/>
        </w:rPr>
        <w:t>Biorąc jednocześnie pod uwagę, że wspólna kontrola może dotyczyć spraw z obszaru właściwości organów niewchodzących w skład Krajowej Administracji Skarbowej (np. podatki lokalne), w projekcie zawarto przepis, który pozwoli na wyznaczenie osób uczestniczących we wspólnej kontroli w takich przypadkach (zob. art. 22c ust. 1 pkt 2 uWIP, na podstawie którego Szef Krajowej Administracji Skarbowej występuje o wyznaczenie osób zatrudnionych w organach podatkowych innych niż organy Krajowej Administracji Skarbowej, które będą uczestniczyć we wspólnej kontroli).</w:t>
      </w:r>
    </w:p>
    <w:p w14:paraId="06B966BD" w14:textId="4F627780" w:rsidR="00514579" w:rsidRDefault="00204182" w:rsidP="00507007">
      <w:pPr>
        <w:spacing w:before="120" w:after="0" w:line="360" w:lineRule="auto"/>
        <w:jc w:val="both"/>
        <w:rPr>
          <w:rFonts w:ascii="Times New Roman" w:hAnsi="Times New Roman" w:cs="Times New Roman"/>
          <w:sz w:val="24"/>
          <w:szCs w:val="24"/>
        </w:rPr>
      </w:pPr>
      <w:r w:rsidRPr="00204182">
        <w:rPr>
          <w:rFonts w:ascii="Times New Roman" w:hAnsi="Times New Roman" w:cs="Times New Roman"/>
          <w:sz w:val="24"/>
          <w:szCs w:val="24"/>
        </w:rPr>
        <w:t>Trzeba jednocześnie wskazać, że wyznaczenie (przez Szefa KAS albo przez organ podatkowy inny niż organy Krajowej Administracji Skarbowej) osób uczestniczących we wspólnej kontroli następuje również w przypadku prowadzenia wspólnej kontroli na terytorium RP.</w:t>
      </w:r>
    </w:p>
    <w:p w14:paraId="00909563" w14:textId="5BE8E59F" w:rsidR="00877ADA" w:rsidRPr="00EB304C" w:rsidRDefault="00877ADA" w:rsidP="00507007">
      <w:pPr>
        <w:pStyle w:val="ZARTzmartartykuempunktem"/>
        <w:spacing w:before="120"/>
        <w:ind w:left="0" w:firstLine="0"/>
        <w:rPr>
          <w:rFonts w:ascii="Times New Roman" w:hAnsi="Times New Roman" w:cs="Times New Roman"/>
          <w:szCs w:val="24"/>
        </w:rPr>
      </w:pPr>
    </w:p>
    <w:p w14:paraId="2282DBCF" w14:textId="0F8F503B" w:rsidR="00877ADA" w:rsidRPr="00EB304C" w:rsidRDefault="00085552" w:rsidP="00507007">
      <w:pPr>
        <w:pStyle w:val="Akapitzlist"/>
        <w:numPr>
          <w:ilvl w:val="0"/>
          <w:numId w:val="11"/>
        </w:numPr>
        <w:pBdr>
          <w:top w:val="nil"/>
          <w:left w:val="nil"/>
          <w:bottom w:val="nil"/>
          <w:right w:val="nil"/>
          <w:between w:val="nil"/>
          <w:bar w:val="nil"/>
        </w:pBdr>
        <w:spacing w:before="120" w:after="0" w:line="360" w:lineRule="auto"/>
        <w:jc w:val="both"/>
        <w:rPr>
          <w:rFonts w:ascii="Times New Roman" w:hAnsi="Times New Roman" w:cs="Times New Roman"/>
          <w:b/>
          <w:sz w:val="24"/>
          <w:szCs w:val="24"/>
        </w:rPr>
      </w:pPr>
      <w:r w:rsidRPr="00EB304C">
        <w:rPr>
          <w:rFonts w:ascii="Times New Roman" w:hAnsi="Times New Roman" w:cs="Times New Roman"/>
          <w:b/>
          <w:sz w:val="24"/>
          <w:szCs w:val="24"/>
        </w:rPr>
        <w:t xml:space="preserve">Rozdział 1 </w:t>
      </w:r>
      <w:r w:rsidR="002019BC">
        <w:rPr>
          <w:rFonts w:ascii="Times New Roman" w:hAnsi="Times New Roman" w:cs="Times New Roman"/>
          <w:b/>
          <w:sz w:val="24"/>
          <w:szCs w:val="24"/>
        </w:rPr>
        <w:t>–</w:t>
      </w:r>
      <w:r w:rsidRPr="00EB304C">
        <w:rPr>
          <w:rFonts w:ascii="Times New Roman" w:hAnsi="Times New Roman" w:cs="Times New Roman"/>
          <w:b/>
          <w:sz w:val="24"/>
          <w:szCs w:val="24"/>
        </w:rPr>
        <w:t xml:space="preserve"> definicj</w:t>
      </w:r>
      <w:r w:rsidR="00F40F63" w:rsidRPr="00EB304C">
        <w:rPr>
          <w:rFonts w:ascii="Times New Roman" w:hAnsi="Times New Roman" w:cs="Times New Roman"/>
          <w:b/>
          <w:sz w:val="24"/>
          <w:szCs w:val="24"/>
        </w:rPr>
        <w:t>e</w:t>
      </w:r>
      <w:r w:rsidRPr="00EB304C">
        <w:rPr>
          <w:rFonts w:ascii="Times New Roman" w:hAnsi="Times New Roman" w:cs="Times New Roman"/>
          <w:b/>
          <w:sz w:val="24"/>
          <w:szCs w:val="24"/>
        </w:rPr>
        <w:t xml:space="preserve"> w zakresie aut</w:t>
      </w:r>
      <w:r w:rsidR="000B2D93" w:rsidRPr="00EB304C">
        <w:rPr>
          <w:rFonts w:ascii="Times New Roman" w:hAnsi="Times New Roman" w:cs="Times New Roman"/>
          <w:b/>
          <w:sz w:val="24"/>
          <w:szCs w:val="24"/>
        </w:rPr>
        <w:t>omatycznej wymiany informacji o </w:t>
      </w:r>
      <w:r w:rsidRPr="00EB304C">
        <w:rPr>
          <w:rFonts w:ascii="Times New Roman" w:hAnsi="Times New Roman" w:cs="Times New Roman"/>
          <w:b/>
          <w:sz w:val="24"/>
          <w:szCs w:val="24"/>
        </w:rPr>
        <w:t>sprzedawcach</w:t>
      </w:r>
    </w:p>
    <w:p w14:paraId="154BF567" w14:textId="49229E06" w:rsidR="00877ADA" w:rsidRPr="00EB304C" w:rsidRDefault="00877ADA"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Na szczególną uwagę w</w:t>
      </w:r>
      <w:r w:rsidR="008E132B" w:rsidRPr="00EB304C">
        <w:rPr>
          <w:rFonts w:ascii="Times New Roman" w:hAnsi="Times New Roman" w:cs="Times New Roman"/>
          <w:sz w:val="24"/>
          <w:szCs w:val="24"/>
        </w:rPr>
        <w:t xml:space="preserve"> ustawie wdrażającej dyrektywę</w:t>
      </w:r>
      <w:r w:rsidRPr="00EB304C">
        <w:rPr>
          <w:rFonts w:ascii="Times New Roman" w:hAnsi="Times New Roman" w:cs="Times New Roman"/>
          <w:sz w:val="24"/>
          <w:szCs w:val="24"/>
        </w:rPr>
        <w:t xml:space="preserve"> zasługują definicje</w:t>
      </w:r>
      <w:r w:rsidR="00E71BA0" w:rsidRPr="00EB304C">
        <w:rPr>
          <w:rFonts w:ascii="Times New Roman" w:hAnsi="Times New Roman" w:cs="Times New Roman"/>
          <w:sz w:val="24"/>
          <w:szCs w:val="24"/>
        </w:rPr>
        <w:t xml:space="preserve"> zawarte w</w:t>
      </w:r>
      <w:r w:rsidR="002019BC">
        <w:rPr>
          <w:rFonts w:ascii="Times New Roman" w:hAnsi="Times New Roman" w:cs="Times New Roman"/>
          <w:sz w:val="24"/>
          <w:szCs w:val="24"/>
        </w:rPr>
        <w:t> </w:t>
      </w:r>
      <w:r w:rsidR="00E71BA0" w:rsidRPr="00EB304C">
        <w:rPr>
          <w:rFonts w:ascii="Times New Roman" w:hAnsi="Times New Roman" w:cs="Times New Roman"/>
          <w:sz w:val="24"/>
          <w:szCs w:val="24"/>
        </w:rPr>
        <w:t>rozdziale 1</w:t>
      </w:r>
      <w:r w:rsidRPr="00EB304C">
        <w:rPr>
          <w:rFonts w:ascii="Times New Roman" w:hAnsi="Times New Roman" w:cs="Times New Roman"/>
          <w:sz w:val="24"/>
          <w:szCs w:val="24"/>
        </w:rPr>
        <w:t xml:space="preserve"> (art. </w:t>
      </w:r>
      <w:r w:rsidR="00E03C82" w:rsidRPr="00EB304C">
        <w:rPr>
          <w:rFonts w:ascii="Times New Roman" w:hAnsi="Times New Roman" w:cs="Times New Roman"/>
          <w:sz w:val="24"/>
          <w:szCs w:val="24"/>
        </w:rPr>
        <w:t>75a</w:t>
      </w:r>
      <w:r w:rsidRPr="00EB304C">
        <w:rPr>
          <w:rFonts w:ascii="Times New Roman" w:hAnsi="Times New Roman" w:cs="Times New Roman"/>
          <w:sz w:val="24"/>
          <w:szCs w:val="24"/>
        </w:rPr>
        <w:t>):</w:t>
      </w:r>
    </w:p>
    <w:p w14:paraId="2C732C59" w14:textId="08059C09" w:rsidR="005C420E" w:rsidRPr="00EB304C" w:rsidRDefault="005C420E" w:rsidP="00507007">
      <w:pPr>
        <w:pStyle w:val="Akapitzlist"/>
        <w:numPr>
          <w:ilvl w:val="0"/>
          <w:numId w:val="2"/>
        </w:num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 xml:space="preserve">Głównego adresu – rozumie się przez to </w:t>
      </w:r>
      <w:r w:rsidR="0079425E" w:rsidRPr="00EB304C">
        <w:rPr>
          <w:rFonts w:ascii="Times New Roman" w:hAnsi="Times New Roman" w:cs="Times New Roman"/>
          <w:sz w:val="24"/>
          <w:szCs w:val="24"/>
        </w:rPr>
        <w:t>adres głównego miejsca</w:t>
      </w:r>
      <w:r w:rsidRPr="00EB304C">
        <w:rPr>
          <w:rFonts w:ascii="Times New Roman" w:hAnsi="Times New Roman" w:cs="Times New Roman"/>
          <w:sz w:val="24"/>
          <w:szCs w:val="24"/>
        </w:rPr>
        <w:t xml:space="preserve"> pobytu sprzedawców będących osobami fizycznymi</w:t>
      </w:r>
      <w:r w:rsidR="00981505">
        <w:rPr>
          <w:rFonts w:ascii="Times New Roman" w:hAnsi="Times New Roman" w:cs="Times New Roman"/>
          <w:sz w:val="24"/>
          <w:szCs w:val="24"/>
        </w:rPr>
        <w:t>,</w:t>
      </w:r>
      <w:r w:rsidRPr="00EB304C">
        <w:rPr>
          <w:rFonts w:ascii="Times New Roman" w:hAnsi="Times New Roman" w:cs="Times New Roman"/>
          <w:sz w:val="24"/>
          <w:szCs w:val="24"/>
        </w:rPr>
        <w:t xml:space="preserve"> jak i siedzibę sprzedawców będących podmiotami. Należy podkreślić, że w przypadku osób</w:t>
      </w:r>
      <w:r w:rsidR="0079425E" w:rsidRPr="00EB304C">
        <w:rPr>
          <w:rFonts w:ascii="Times New Roman" w:hAnsi="Times New Roman" w:cs="Times New Roman"/>
          <w:sz w:val="24"/>
          <w:szCs w:val="24"/>
        </w:rPr>
        <w:t xml:space="preserve"> fizycznych pojęciem tym objęte są</w:t>
      </w:r>
      <w:r w:rsidRPr="00EB304C">
        <w:rPr>
          <w:rFonts w:ascii="Times New Roman" w:hAnsi="Times New Roman" w:cs="Times New Roman"/>
          <w:sz w:val="24"/>
          <w:szCs w:val="24"/>
        </w:rPr>
        <w:t xml:space="preserve"> zarówno osoby fizyczne prowadzące działalność gospodarczą</w:t>
      </w:r>
      <w:r w:rsidR="00981505">
        <w:rPr>
          <w:rFonts w:ascii="Times New Roman" w:hAnsi="Times New Roman" w:cs="Times New Roman"/>
          <w:sz w:val="24"/>
          <w:szCs w:val="24"/>
        </w:rPr>
        <w:t>,</w:t>
      </w:r>
      <w:r w:rsidRPr="00EB304C">
        <w:rPr>
          <w:rFonts w:ascii="Times New Roman" w:hAnsi="Times New Roman" w:cs="Times New Roman"/>
          <w:sz w:val="24"/>
          <w:szCs w:val="24"/>
        </w:rPr>
        <w:t xml:space="preserve"> jak i osoby fizyczne, które takiej działalności nie prowadzą. W odniesieniu do podmiotów, definicja tego pojęcia została określona w art. 75a </w:t>
      </w:r>
      <w:r w:rsidR="0066507D" w:rsidRPr="00EB304C">
        <w:rPr>
          <w:rFonts w:ascii="Times New Roman" w:hAnsi="Times New Roman" w:cs="Times New Roman"/>
          <w:sz w:val="24"/>
          <w:szCs w:val="24"/>
        </w:rPr>
        <w:t>ust. 1 pkt 1</w:t>
      </w:r>
      <w:r w:rsidR="004A345B">
        <w:rPr>
          <w:rFonts w:ascii="Times New Roman" w:hAnsi="Times New Roman" w:cs="Times New Roman"/>
          <w:sz w:val="24"/>
          <w:szCs w:val="24"/>
        </w:rPr>
        <w:t>3</w:t>
      </w:r>
      <w:r w:rsidR="00B86080" w:rsidRPr="00B86080">
        <w:rPr>
          <w:rFonts w:ascii="Times New Roman" w:hAnsi="Times New Roman" w:cs="Times New Roman"/>
          <w:color w:val="000000" w:themeColor="text1"/>
          <w:sz w:val="24"/>
          <w:szCs w:val="24"/>
        </w:rPr>
        <w:t xml:space="preserve"> </w:t>
      </w:r>
      <w:proofErr w:type="spellStart"/>
      <w:r w:rsidR="00B86080" w:rsidRPr="00EB304C">
        <w:rPr>
          <w:rFonts w:ascii="Times New Roman" w:hAnsi="Times New Roman" w:cs="Times New Roman"/>
          <w:color w:val="000000" w:themeColor="text1"/>
          <w:sz w:val="24"/>
          <w:szCs w:val="24"/>
        </w:rPr>
        <w:t>uWIP</w:t>
      </w:r>
      <w:proofErr w:type="spellEnd"/>
      <w:r w:rsidR="0066507D" w:rsidRPr="00EB304C">
        <w:rPr>
          <w:rFonts w:ascii="Times New Roman" w:hAnsi="Times New Roman" w:cs="Times New Roman"/>
          <w:sz w:val="24"/>
          <w:szCs w:val="24"/>
        </w:rPr>
        <w:t xml:space="preserve">. </w:t>
      </w:r>
    </w:p>
    <w:p w14:paraId="1E123EA5" w14:textId="5C90672C" w:rsidR="00877ADA" w:rsidRPr="00EB304C" w:rsidRDefault="00877ADA" w:rsidP="00507007">
      <w:pPr>
        <w:pStyle w:val="Akapitzlist"/>
        <w:numPr>
          <w:ilvl w:val="0"/>
          <w:numId w:val="2"/>
        </w:num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 xml:space="preserve">Grupy obiektów – </w:t>
      </w:r>
      <w:r w:rsidR="00D30EE7">
        <w:rPr>
          <w:rFonts w:ascii="Times New Roman" w:hAnsi="Times New Roman" w:cs="Times New Roman"/>
          <w:sz w:val="24"/>
          <w:szCs w:val="24"/>
        </w:rPr>
        <w:t>rozumie się przez to</w:t>
      </w:r>
      <w:r w:rsidRPr="00EB304C">
        <w:rPr>
          <w:rFonts w:ascii="Times New Roman" w:hAnsi="Times New Roman" w:cs="Times New Roman"/>
          <w:sz w:val="24"/>
          <w:szCs w:val="24"/>
        </w:rPr>
        <w:t xml:space="preserve"> nieruchomości</w:t>
      </w:r>
      <w:r w:rsidR="00285400">
        <w:rPr>
          <w:rFonts w:ascii="Times New Roman" w:hAnsi="Times New Roman" w:cs="Times New Roman"/>
          <w:sz w:val="24"/>
          <w:szCs w:val="24"/>
        </w:rPr>
        <w:t xml:space="preserve"> lub ich części</w:t>
      </w:r>
      <w:r w:rsidRPr="00EB304C">
        <w:rPr>
          <w:rFonts w:ascii="Times New Roman" w:hAnsi="Times New Roman" w:cs="Times New Roman"/>
          <w:sz w:val="24"/>
          <w:szCs w:val="24"/>
        </w:rPr>
        <w:t xml:space="preserve"> </w:t>
      </w:r>
      <w:r w:rsidR="0079425E" w:rsidRPr="00EB304C">
        <w:rPr>
          <w:rFonts w:ascii="Times New Roman" w:hAnsi="Times New Roman" w:cs="Times New Roman"/>
          <w:sz w:val="24"/>
          <w:szCs w:val="24"/>
        </w:rPr>
        <w:t>położon</w:t>
      </w:r>
      <w:r w:rsidR="00285400">
        <w:rPr>
          <w:rFonts w:ascii="Times New Roman" w:hAnsi="Times New Roman" w:cs="Times New Roman"/>
          <w:sz w:val="24"/>
          <w:szCs w:val="24"/>
        </w:rPr>
        <w:t>e</w:t>
      </w:r>
      <w:r w:rsidR="0079425E" w:rsidRPr="00EB304C">
        <w:rPr>
          <w:rFonts w:ascii="Times New Roman" w:hAnsi="Times New Roman" w:cs="Times New Roman"/>
          <w:sz w:val="24"/>
          <w:szCs w:val="24"/>
        </w:rPr>
        <w:t xml:space="preserve"> </w:t>
      </w:r>
      <w:r w:rsidRPr="00EB304C">
        <w:rPr>
          <w:rFonts w:ascii="Times New Roman" w:hAnsi="Times New Roman" w:cs="Times New Roman"/>
          <w:sz w:val="24"/>
          <w:szCs w:val="24"/>
        </w:rPr>
        <w:t xml:space="preserve">pod </w:t>
      </w:r>
      <w:r w:rsidR="00D30EE7">
        <w:rPr>
          <w:rFonts w:ascii="Times New Roman" w:hAnsi="Times New Roman" w:cs="Times New Roman"/>
          <w:sz w:val="24"/>
          <w:szCs w:val="24"/>
        </w:rPr>
        <w:t xml:space="preserve">tym samym </w:t>
      </w:r>
      <w:r w:rsidRPr="00EB304C">
        <w:rPr>
          <w:rFonts w:ascii="Times New Roman" w:hAnsi="Times New Roman" w:cs="Times New Roman"/>
          <w:sz w:val="24"/>
          <w:szCs w:val="24"/>
        </w:rPr>
        <w:t xml:space="preserve">adresem </w:t>
      </w:r>
      <w:r w:rsidR="00285400">
        <w:rPr>
          <w:rFonts w:ascii="Times New Roman" w:hAnsi="Times New Roman" w:cs="Times New Roman"/>
          <w:sz w:val="24"/>
          <w:szCs w:val="24"/>
        </w:rPr>
        <w:t>oraz udziały w tych nieruchomościach</w:t>
      </w:r>
      <w:r w:rsidR="00D30EE7">
        <w:rPr>
          <w:rFonts w:ascii="Times New Roman" w:hAnsi="Times New Roman" w:cs="Times New Roman"/>
          <w:sz w:val="24"/>
          <w:szCs w:val="24"/>
        </w:rPr>
        <w:t xml:space="preserve"> (tj. udziały w nieruchomościach lub ich częściach,</w:t>
      </w:r>
      <w:r w:rsidR="00042355">
        <w:rPr>
          <w:rFonts w:ascii="Times New Roman" w:hAnsi="Times New Roman" w:cs="Times New Roman"/>
          <w:sz w:val="24"/>
          <w:szCs w:val="24"/>
        </w:rPr>
        <w:t xml:space="preserve"> </w:t>
      </w:r>
      <w:r w:rsidR="00D30EE7">
        <w:rPr>
          <w:rFonts w:ascii="Times New Roman" w:hAnsi="Times New Roman" w:cs="Times New Roman"/>
          <w:sz w:val="24"/>
          <w:szCs w:val="24"/>
        </w:rPr>
        <w:t>je</w:t>
      </w:r>
      <w:r w:rsidR="00981505">
        <w:rPr>
          <w:rFonts w:ascii="Times New Roman" w:hAnsi="Times New Roman" w:cs="Times New Roman"/>
          <w:sz w:val="24"/>
          <w:szCs w:val="24"/>
        </w:rPr>
        <w:t>że</w:t>
      </w:r>
      <w:r w:rsidR="00D30EE7">
        <w:rPr>
          <w:rFonts w:ascii="Times New Roman" w:hAnsi="Times New Roman" w:cs="Times New Roman"/>
          <w:sz w:val="24"/>
          <w:szCs w:val="24"/>
        </w:rPr>
        <w:t>li te nieruchomości lub ich części położone są pod tym samym adresem)</w:t>
      </w:r>
      <w:r w:rsidR="00F13DC4">
        <w:rPr>
          <w:rFonts w:ascii="Times New Roman" w:hAnsi="Times New Roman" w:cs="Times New Roman"/>
          <w:sz w:val="24"/>
          <w:szCs w:val="24"/>
        </w:rPr>
        <w:t xml:space="preserve">. </w:t>
      </w:r>
      <w:r w:rsidR="009D3A2A" w:rsidRPr="009D3A2A">
        <w:rPr>
          <w:rFonts w:ascii="Times New Roman" w:hAnsi="Times New Roman" w:cs="Times New Roman"/>
          <w:sz w:val="24"/>
          <w:szCs w:val="24"/>
        </w:rPr>
        <w:t>W ten sposób zakresem definicji będą objęte zarówno nieruchomości lub udziały w nieruchomości</w:t>
      </w:r>
      <w:r w:rsidR="00F36285">
        <w:rPr>
          <w:rFonts w:ascii="Times New Roman" w:hAnsi="Times New Roman" w:cs="Times New Roman"/>
          <w:sz w:val="24"/>
          <w:szCs w:val="24"/>
        </w:rPr>
        <w:t>,</w:t>
      </w:r>
      <w:r w:rsidR="009D3A2A" w:rsidRPr="009D3A2A">
        <w:rPr>
          <w:rFonts w:ascii="Times New Roman" w:hAnsi="Times New Roman" w:cs="Times New Roman"/>
          <w:sz w:val="24"/>
          <w:szCs w:val="24"/>
        </w:rPr>
        <w:t xml:space="preserve"> na których znajdują się np. budynki (domy, domki letniskowe, hotele), choćby nie stanowiły odrębnego przedmiotu własności</w:t>
      </w:r>
      <w:r w:rsidR="00981505">
        <w:rPr>
          <w:rFonts w:ascii="Times New Roman" w:hAnsi="Times New Roman" w:cs="Times New Roman"/>
          <w:sz w:val="24"/>
          <w:szCs w:val="24"/>
        </w:rPr>
        <w:t>,</w:t>
      </w:r>
      <w:r w:rsidR="009D3A2A" w:rsidRPr="009D3A2A">
        <w:rPr>
          <w:rFonts w:ascii="Times New Roman" w:hAnsi="Times New Roman" w:cs="Times New Roman"/>
          <w:sz w:val="24"/>
          <w:szCs w:val="24"/>
        </w:rPr>
        <w:t xml:space="preserve"> oraz takie części nieruchomości jak</w:t>
      </w:r>
      <w:r w:rsidR="00981505">
        <w:rPr>
          <w:rFonts w:ascii="Times New Roman" w:hAnsi="Times New Roman" w:cs="Times New Roman"/>
          <w:sz w:val="24"/>
          <w:szCs w:val="24"/>
        </w:rPr>
        <w:t>:</w:t>
      </w:r>
      <w:r w:rsidR="009D3A2A" w:rsidRPr="009D3A2A">
        <w:rPr>
          <w:rFonts w:ascii="Times New Roman" w:hAnsi="Times New Roman" w:cs="Times New Roman"/>
          <w:sz w:val="24"/>
          <w:szCs w:val="24"/>
        </w:rPr>
        <w:t xml:space="preserve"> piwnice, komórki lokatorskie, miejsca postojowe w parkingach podziemnych etc. </w:t>
      </w:r>
      <w:r w:rsidR="004C6627" w:rsidRPr="00EB304C">
        <w:rPr>
          <w:rFonts w:ascii="Times New Roman" w:hAnsi="Times New Roman" w:cs="Times New Roman"/>
          <w:sz w:val="24"/>
          <w:szCs w:val="24"/>
        </w:rPr>
        <w:t xml:space="preserve">Ponadto </w:t>
      </w:r>
      <w:r w:rsidRPr="00EB304C">
        <w:rPr>
          <w:rFonts w:ascii="Times New Roman" w:hAnsi="Times New Roman" w:cs="Times New Roman"/>
          <w:sz w:val="24"/>
          <w:szCs w:val="24"/>
        </w:rPr>
        <w:t>wszystkie</w:t>
      </w:r>
      <w:r w:rsidR="00E03C82" w:rsidRPr="00EB304C">
        <w:rPr>
          <w:rFonts w:ascii="Times New Roman" w:hAnsi="Times New Roman" w:cs="Times New Roman"/>
          <w:sz w:val="24"/>
          <w:szCs w:val="24"/>
        </w:rPr>
        <w:t xml:space="preserve"> wspomniane</w:t>
      </w:r>
      <w:r w:rsidRPr="00EB304C">
        <w:rPr>
          <w:rFonts w:ascii="Times New Roman" w:hAnsi="Times New Roman" w:cs="Times New Roman"/>
          <w:sz w:val="24"/>
          <w:szCs w:val="24"/>
        </w:rPr>
        <w:t xml:space="preserve"> nieruchomości </w:t>
      </w:r>
      <w:r w:rsidR="004C6627" w:rsidRPr="00EB304C">
        <w:rPr>
          <w:rFonts w:ascii="Times New Roman" w:hAnsi="Times New Roman" w:cs="Times New Roman"/>
          <w:sz w:val="24"/>
          <w:szCs w:val="24"/>
        </w:rPr>
        <w:t>muszą należeć</w:t>
      </w:r>
      <w:r w:rsidRPr="00EB304C">
        <w:rPr>
          <w:rFonts w:ascii="Times New Roman" w:hAnsi="Times New Roman" w:cs="Times New Roman"/>
          <w:sz w:val="24"/>
          <w:szCs w:val="24"/>
        </w:rPr>
        <w:t xml:space="preserve"> do tego samego właściciela</w:t>
      </w:r>
      <w:r w:rsidR="00F13DC4">
        <w:rPr>
          <w:rFonts w:ascii="Times New Roman" w:hAnsi="Times New Roman" w:cs="Times New Roman"/>
          <w:sz w:val="24"/>
          <w:szCs w:val="24"/>
        </w:rPr>
        <w:t xml:space="preserve">. </w:t>
      </w:r>
      <w:r w:rsidRPr="00EB304C">
        <w:rPr>
          <w:rFonts w:ascii="Times New Roman" w:hAnsi="Times New Roman" w:cs="Times New Roman"/>
          <w:sz w:val="24"/>
          <w:szCs w:val="24"/>
        </w:rPr>
        <w:t xml:space="preserve">Celem istnienia takiej definicji jest wyłączenie </w:t>
      </w:r>
      <w:r w:rsidR="004C6627" w:rsidRPr="00EB304C">
        <w:rPr>
          <w:rFonts w:ascii="Times New Roman" w:hAnsi="Times New Roman" w:cs="Times New Roman"/>
          <w:sz w:val="24"/>
          <w:szCs w:val="24"/>
        </w:rPr>
        <w:t xml:space="preserve">z </w:t>
      </w:r>
      <w:r w:rsidR="004C6627" w:rsidRPr="00EB304C">
        <w:rPr>
          <w:rFonts w:ascii="Times New Roman" w:hAnsi="Times New Roman" w:cs="Times New Roman"/>
          <w:sz w:val="24"/>
          <w:szCs w:val="24"/>
        </w:rPr>
        <w:lastRenderedPageBreak/>
        <w:t>obowiązków określonych w</w:t>
      </w:r>
      <w:r w:rsidRPr="00EB304C">
        <w:rPr>
          <w:rFonts w:ascii="Times New Roman" w:hAnsi="Times New Roman" w:cs="Times New Roman"/>
          <w:sz w:val="24"/>
          <w:szCs w:val="24"/>
        </w:rPr>
        <w:t xml:space="preserve"> art. </w:t>
      </w:r>
      <w:r w:rsidR="005D081E" w:rsidRPr="00EB304C">
        <w:rPr>
          <w:rFonts w:ascii="Times New Roman" w:hAnsi="Times New Roman" w:cs="Times New Roman"/>
          <w:sz w:val="24"/>
          <w:szCs w:val="24"/>
        </w:rPr>
        <w:t>75c</w:t>
      </w:r>
      <w:r w:rsidRPr="00EB304C">
        <w:rPr>
          <w:rFonts w:ascii="Times New Roman" w:hAnsi="Times New Roman" w:cs="Times New Roman"/>
          <w:sz w:val="24"/>
          <w:szCs w:val="24"/>
        </w:rPr>
        <w:t xml:space="preserve"> </w:t>
      </w:r>
      <w:r w:rsidR="005D081E" w:rsidRPr="00EB304C">
        <w:rPr>
          <w:rFonts w:ascii="Times New Roman" w:hAnsi="Times New Roman" w:cs="Times New Roman"/>
          <w:sz w:val="24"/>
          <w:szCs w:val="24"/>
        </w:rPr>
        <w:t xml:space="preserve">pkt </w:t>
      </w:r>
      <w:r w:rsidR="00285400">
        <w:rPr>
          <w:rFonts w:ascii="Times New Roman" w:hAnsi="Times New Roman" w:cs="Times New Roman"/>
          <w:sz w:val="24"/>
          <w:szCs w:val="24"/>
        </w:rPr>
        <w:t>6</w:t>
      </w:r>
      <w:r w:rsidRPr="00EB304C">
        <w:rPr>
          <w:rFonts w:ascii="Times New Roman" w:hAnsi="Times New Roman" w:cs="Times New Roman"/>
          <w:sz w:val="24"/>
          <w:szCs w:val="24"/>
        </w:rPr>
        <w:t xml:space="preserve"> podmiotów</w:t>
      </w:r>
      <w:r w:rsidR="004C6627" w:rsidRPr="00EB304C">
        <w:rPr>
          <w:rFonts w:ascii="Times New Roman" w:hAnsi="Times New Roman" w:cs="Times New Roman"/>
          <w:sz w:val="24"/>
          <w:szCs w:val="24"/>
        </w:rPr>
        <w:t xml:space="preserve">, które dokonały znaczącej liczby stosownych czynności </w:t>
      </w:r>
      <w:r w:rsidR="0031258B" w:rsidRPr="00EB304C">
        <w:rPr>
          <w:rFonts w:ascii="Times New Roman" w:hAnsi="Times New Roman" w:cs="Times New Roman"/>
          <w:sz w:val="24"/>
          <w:szCs w:val="24"/>
        </w:rPr>
        <w:t xml:space="preserve">związanych z np. </w:t>
      </w:r>
      <w:r w:rsidR="004C6627" w:rsidRPr="00EB304C">
        <w:rPr>
          <w:rFonts w:ascii="Times New Roman" w:hAnsi="Times New Roman" w:cs="Times New Roman"/>
          <w:sz w:val="24"/>
          <w:szCs w:val="24"/>
        </w:rPr>
        <w:t>najm</w:t>
      </w:r>
      <w:r w:rsidR="0031258B" w:rsidRPr="00EB304C">
        <w:rPr>
          <w:rFonts w:ascii="Times New Roman" w:hAnsi="Times New Roman" w:cs="Times New Roman"/>
          <w:sz w:val="24"/>
          <w:szCs w:val="24"/>
        </w:rPr>
        <w:t>em</w:t>
      </w:r>
      <w:r w:rsidR="004C6627" w:rsidRPr="00EB304C">
        <w:rPr>
          <w:rFonts w:ascii="Times New Roman" w:hAnsi="Times New Roman" w:cs="Times New Roman"/>
          <w:sz w:val="24"/>
          <w:szCs w:val="24"/>
        </w:rPr>
        <w:t xml:space="preserve"> nieruchomości (art. 75a ust.1 pkt 2</w:t>
      </w:r>
      <w:r w:rsidR="00356DCA">
        <w:rPr>
          <w:rFonts w:ascii="Times New Roman" w:hAnsi="Times New Roman" w:cs="Times New Roman"/>
          <w:sz w:val="24"/>
          <w:szCs w:val="24"/>
        </w:rPr>
        <w:t>4</w:t>
      </w:r>
      <w:r w:rsidR="004C6627" w:rsidRPr="00EB304C">
        <w:rPr>
          <w:rFonts w:ascii="Times New Roman" w:hAnsi="Times New Roman" w:cs="Times New Roman"/>
          <w:sz w:val="24"/>
          <w:szCs w:val="24"/>
        </w:rPr>
        <w:t xml:space="preserve"> lit. c)</w:t>
      </w:r>
      <w:r w:rsidRPr="00EB304C">
        <w:rPr>
          <w:rFonts w:ascii="Times New Roman" w:hAnsi="Times New Roman" w:cs="Times New Roman"/>
          <w:sz w:val="24"/>
          <w:szCs w:val="24"/>
        </w:rPr>
        <w:t>.</w:t>
      </w:r>
    </w:p>
    <w:p w14:paraId="3CFA0BB2" w14:textId="5F80BB64" w:rsidR="00877ADA" w:rsidRPr="00EB304C" w:rsidRDefault="00877ADA" w:rsidP="00507007">
      <w:pPr>
        <w:pStyle w:val="Akapitzlist"/>
        <w:numPr>
          <w:ilvl w:val="0"/>
          <w:numId w:val="2"/>
        </w:num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Państwa uczestniczącego – dzięki takiemu szerokiemu sformułowaniu</w:t>
      </w:r>
      <w:r w:rsidR="00981505">
        <w:rPr>
          <w:rFonts w:ascii="Times New Roman" w:hAnsi="Times New Roman" w:cs="Times New Roman"/>
          <w:sz w:val="24"/>
          <w:szCs w:val="24"/>
        </w:rPr>
        <w:t>,</w:t>
      </w:r>
      <w:r w:rsidRPr="00EB304C">
        <w:rPr>
          <w:rFonts w:ascii="Times New Roman" w:hAnsi="Times New Roman" w:cs="Times New Roman"/>
          <w:sz w:val="24"/>
          <w:szCs w:val="24"/>
        </w:rPr>
        <w:t xml:space="preserve"> jakie zostało zaproponowane</w:t>
      </w:r>
      <w:r w:rsidR="00981505">
        <w:rPr>
          <w:rFonts w:ascii="Times New Roman" w:hAnsi="Times New Roman" w:cs="Times New Roman"/>
          <w:sz w:val="24"/>
          <w:szCs w:val="24"/>
        </w:rPr>
        <w:t>,</w:t>
      </w:r>
      <w:r w:rsidRPr="00EB304C">
        <w:rPr>
          <w:rFonts w:ascii="Times New Roman" w:hAnsi="Times New Roman" w:cs="Times New Roman"/>
          <w:sz w:val="24"/>
          <w:szCs w:val="24"/>
        </w:rPr>
        <w:t xml:space="preserve"> wymiana informacji będzie mogła nastąpić także z innymi niż unijne państwami, je</w:t>
      </w:r>
      <w:r w:rsidR="00981505">
        <w:rPr>
          <w:rFonts w:ascii="Times New Roman" w:hAnsi="Times New Roman" w:cs="Times New Roman"/>
          <w:sz w:val="24"/>
          <w:szCs w:val="24"/>
        </w:rPr>
        <w:t>że</w:t>
      </w:r>
      <w:r w:rsidRPr="00EB304C">
        <w:rPr>
          <w:rFonts w:ascii="Times New Roman" w:hAnsi="Times New Roman" w:cs="Times New Roman"/>
          <w:sz w:val="24"/>
          <w:szCs w:val="24"/>
        </w:rPr>
        <w:t>li te zdecydują się przystąpić do opracowywanej na forum OECD konwencji mającej na celu umożliwienie powszechnej wymiany informacji w zakresie platform</w:t>
      </w:r>
      <w:r w:rsidR="008A41EC" w:rsidRPr="00EB304C">
        <w:rPr>
          <w:rFonts w:ascii="Times New Roman" w:hAnsi="Times New Roman" w:cs="Times New Roman"/>
          <w:sz w:val="24"/>
          <w:szCs w:val="24"/>
        </w:rPr>
        <w:t xml:space="preserve"> lub umow</w:t>
      </w:r>
      <w:r w:rsidR="00251AF0" w:rsidRPr="00EB304C">
        <w:rPr>
          <w:rFonts w:ascii="Times New Roman" w:hAnsi="Times New Roman" w:cs="Times New Roman"/>
          <w:sz w:val="24"/>
          <w:szCs w:val="24"/>
        </w:rPr>
        <w:t>y</w:t>
      </w:r>
      <w:r w:rsidR="008A41EC" w:rsidRPr="00EB304C">
        <w:rPr>
          <w:rFonts w:ascii="Times New Roman" w:hAnsi="Times New Roman" w:cs="Times New Roman"/>
          <w:sz w:val="24"/>
          <w:szCs w:val="24"/>
        </w:rPr>
        <w:t xml:space="preserve"> </w:t>
      </w:r>
      <w:r w:rsidR="00251AF0" w:rsidRPr="00EB304C">
        <w:rPr>
          <w:rFonts w:ascii="Times New Roman" w:hAnsi="Times New Roman" w:cs="Times New Roman"/>
          <w:sz w:val="24"/>
          <w:szCs w:val="24"/>
        </w:rPr>
        <w:t>dwustronnej lub wielostronnej</w:t>
      </w:r>
      <w:r w:rsidR="008A41EC" w:rsidRPr="00EB304C">
        <w:rPr>
          <w:rFonts w:ascii="Times New Roman" w:hAnsi="Times New Roman" w:cs="Times New Roman"/>
          <w:sz w:val="24"/>
          <w:szCs w:val="24"/>
        </w:rPr>
        <w:t xml:space="preserve"> z </w:t>
      </w:r>
      <w:r w:rsidR="00606B5D" w:rsidRPr="00EB304C">
        <w:rPr>
          <w:rFonts w:ascii="Times New Roman" w:hAnsi="Times New Roman" w:cs="Times New Roman"/>
          <w:sz w:val="24"/>
          <w:szCs w:val="24"/>
        </w:rPr>
        <w:t>Rzecząpospolitą</w:t>
      </w:r>
      <w:r w:rsidR="008A41EC" w:rsidRPr="00EB304C">
        <w:rPr>
          <w:rFonts w:ascii="Times New Roman" w:hAnsi="Times New Roman" w:cs="Times New Roman"/>
          <w:sz w:val="24"/>
          <w:szCs w:val="24"/>
        </w:rPr>
        <w:t xml:space="preserve"> Polską zakładając</w:t>
      </w:r>
      <w:r w:rsidR="00F36285">
        <w:rPr>
          <w:rFonts w:ascii="Times New Roman" w:hAnsi="Times New Roman" w:cs="Times New Roman"/>
          <w:sz w:val="24"/>
          <w:szCs w:val="24"/>
        </w:rPr>
        <w:t>ej</w:t>
      </w:r>
      <w:r w:rsidR="008A41EC" w:rsidRPr="00EB304C">
        <w:rPr>
          <w:rFonts w:ascii="Times New Roman" w:hAnsi="Times New Roman" w:cs="Times New Roman"/>
          <w:sz w:val="24"/>
          <w:szCs w:val="24"/>
        </w:rPr>
        <w:t xml:space="preserve"> wymianę równoważnych informacji co kwalifikowana stosowna umowa</w:t>
      </w:r>
      <w:r w:rsidRPr="00EB304C">
        <w:rPr>
          <w:rFonts w:ascii="Times New Roman" w:hAnsi="Times New Roman" w:cs="Times New Roman"/>
          <w:sz w:val="24"/>
          <w:szCs w:val="24"/>
        </w:rPr>
        <w:t>.</w:t>
      </w:r>
      <w:r w:rsidR="001C0E96" w:rsidRPr="00EB304C">
        <w:rPr>
          <w:rFonts w:ascii="Times New Roman" w:hAnsi="Times New Roman" w:cs="Times New Roman"/>
          <w:sz w:val="24"/>
          <w:szCs w:val="24"/>
        </w:rPr>
        <w:t xml:space="preserve"> Państwem uczestniczącym będzie także państwo</w:t>
      </w:r>
      <w:r w:rsidRPr="00EB304C">
        <w:rPr>
          <w:rFonts w:ascii="Times New Roman" w:hAnsi="Times New Roman" w:cs="Times New Roman"/>
          <w:sz w:val="24"/>
          <w:szCs w:val="24"/>
        </w:rPr>
        <w:t xml:space="preserve"> </w:t>
      </w:r>
      <w:r w:rsidR="001C0E96" w:rsidRPr="00EB304C">
        <w:rPr>
          <w:rFonts w:ascii="Times New Roman" w:hAnsi="Times New Roman" w:cs="Times New Roman"/>
          <w:sz w:val="24"/>
          <w:szCs w:val="24"/>
        </w:rPr>
        <w:t>lub terytorium, z którym Rzeczpospolita Polska zawarła porozumienie stanowiące podstawę automatycznej wymiany informacji o sprzedawcach, o której mowa w art. 75b ust. 1, a niebędące kwalifikowaną jurysdykcją spoza UE</w:t>
      </w:r>
      <w:r w:rsidR="00553F58" w:rsidRPr="00EB304C">
        <w:rPr>
          <w:rFonts w:ascii="Times New Roman" w:hAnsi="Times New Roman" w:cs="Times New Roman"/>
          <w:sz w:val="24"/>
          <w:szCs w:val="24"/>
        </w:rPr>
        <w:t>.</w:t>
      </w:r>
      <w:r w:rsidR="00223152">
        <w:rPr>
          <w:rFonts w:ascii="Times New Roman" w:hAnsi="Times New Roman" w:cs="Times New Roman"/>
          <w:sz w:val="24"/>
          <w:szCs w:val="24"/>
        </w:rPr>
        <w:t xml:space="preserve"> </w:t>
      </w:r>
      <w:r w:rsidR="00553F58" w:rsidRPr="00EB304C">
        <w:rPr>
          <w:rFonts w:ascii="Times New Roman" w:hAnsi="Times New Roman" w:cs="Times New Roman"/>
          <w:sz w:val="24"/>
          <w:szCs w:val="24"/>
        </w:rPr>
        <w:t xml:space="preserve">W </w:t>
      </w:r>
      <w:r w:rsidRPr="00EB304C">
        <w:rPr>
          <w:rFonts w:ascii="Times New Roman" w:hAnsi="Times New Roman" w:cs="Times New Roman"/>
          <w:sz w:val="24"/>
          <w:szCs w:val="24"/>
        </w:rPr>
        <w:t xml:space="preserve">takiej sytuacji </w:t>
      </w:r>
      <w:r w:rsidR="008A41EC" w:rsidRPr="00EB304C">
        <w:rPr>
          <w:rFonts w:ascii="Times New Roman" w:hAnsi="Times New Roman" w:cs="Times New Roman"/>
          <w:sz w:val="24"/>
          <w:szCs w:val="24"/>
        </w:rPr>
        <w:t xml:space="preserve">Rzeczpospolita </w:t>
      </w:r>
      <w:r w:rsidRPr="00EB304C">
        <w:rPr>
          <w:rFonts w:ascii="Times New Roman" w:hAnsi="Times New Roman" w:cs="Times New Roman"/>
          <w:sz w:val="24"/>
          <w:szCs w:val="24"/>
        </w:rPr>
        <w:t xml:space="preserve">Polska będzie mogła </w:t>
      </w:r>
      <w:r w:rsidR="00606B5D" w:rsidRPr="00EB304C">
        <w:rPr>
          <w:rFonts w:ascii="Times New Roman" w:hAnsi="Times New Roman" w:cs="Times New Roman"/>
          <w:sz w:val="24"/>
          <w:szCs w:val="24"/>
        </w:rPr>
        <w:t xml:space="preserve">również </w:t>
      </w:r>
      <w:r w:rsidRPr="00EB304C">
        <w:rPr>
          <w:rFonts w:ascii="Times New Roman" w:hAnsi="Times New Roman" w:cs="Times New Roman"/>
          <w:sz w:val="24"/>
          <w:szCs w:val="24"/>
        </w:rPr>
        <w:t>po</w:t>
      </w:r>
      <w:r w:rsidR="00606B5D" w:rsidRPr="00EB304C">
        <w:rPr>
          <w:rFonts w:ascii="Times New Roman" w:hAnsi="Times New Roman" w:cs="Times New Roman"/>
          <w:sz w:val="24"/>
          <w:szCs w:val="24"/>
        </w:rPr>
        <w:t>zyskiwać</w:t>
      </w:r>
      <w:r w:rsidRPr="00EB304C">
        <w:rPr>
          <w:rFonts w:ascii="Times New Roman" w:hAnsi="Times New Roman" w:cs="Times New Roman"/>
          <w:sz w:val="24"/>
          <w:szCs w:val="24"/>
        </w:rPr>
        <w:t xml:space="preserve"> od platform spoza U</w:t>
      </w:r>
      <w:r w:rsidR="008A41EC" w:rsidRPr="00EB304C">
        <w:rPr>
          <w:rFonts w:ascii="Times New Roman" w:hAnsi="Times New Roman" w:cs="Times New Roman"/>
          <w:sz w:val="24"/>
          <w:szCs w:val="24"/>
        </w:rPr>
        <w:t>nii Europejskiej</w:t>
      </w:r>
      <w:r w:rsidRPr="00EB304C">
        <w:rPr>
          <w:rFonts w:ascii="Times New Roman" w:hAnsi="Times New Roman" w:cs="Times New Roman"/>
          <w:sz w:val="24"/>
          <w:szCs w:val="24"/>
        </w:rPr>
        <w:t xml:space="preserve"> informacje o polskich podatnikach.</w:t>
      </w:r>
    </w:p>
    <w:p w14:paraId="5F9F77A4" w14:textId="1C96562C" w:rsidR="00877ADA" w:rsidRPr="00EB304C" w:rsidRDefault="00877ADA" w:rsidP="00507007">
      <w:pPr>
        <w:pStyle w:val="Akapitzlist"/>
        <w:numPr>
          <w:ilvl w:val="0"/>
          <w:numId w:val="2"/>
        </w:num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Platformy – platforma obejmuje każde oprogramowanie</w:t>
      </w:r>
      <w:r w:rsidR="00F36285">
        <w:rPr>
          <w:rFonts w:ascii="Times New Roman" w:hAnsi="Times New Roman" w:cs="Times New Roman"/>
          <w:sz w:val="24"/>
          <w:szCs w:val="24"/>
        </w:rPr>
        <w:t>,</w:t>
      </w:r>
      <w:r w:rsidRPr="00EB304C">
        <w:rPr>
          <w:rFonts w:ascii="Times New Roman" w:hAnsi="Times New Roman" w:cs="Times New Roman"/>
          <w:sz w:val="24"/>
          <w:szCs w:val="24"/>
        </w:rPr>
        <w:t xml:space="preserve"> którego celem jest umożliwienie kontaktu </w:t>
      </w:r>
      <w:r w:rsidR="000C2EE1" w:rsidRPr="00EB304C">
        <w:rPr>
          <w:rFonts w:ascii="Times New Roman" w:hAnsi="Times New Roman" w:cs="Times New Roman"/>
          <w:sz w:val="24"/>
          <w:szCs w:val="24"/>
        </w:rPr>
        <w:t xml:space="preserve">między </w:t>
      </w:r>
      <w:r w:rsidRPr="00EB304C">
        <w:rPr>
          <w:rFonts w:ascii="Times New Roman" w:hAnsi="Times New Roman" w:cs="Times New Roman"/>
          <w:sz w:val="24"/>
          <w:szCs w:val="24"/>
        </w:rPr>
        <w:t>sprzedawc</w:t>
      </w:r>
      <w:r w:rsidR="000C2EE1" w:rsidRPr="00EB304C">
        <w:rPr>
          <w:rFonts w:ascii="Times New Roman" w:hAnsi="Times New Roman" w:cs="Times New Roman"/>
          <w:sz w:val="24"/>
          <w:szCs w:val="24"/>
        </w:rPr>
        <w:t>ami</w:t>
      </w:r>
      <w:r w:rsidRPr="00EB304C">
        <w:rPr>
          <w:rFonts w:ascii="Times New Roman" w:hAnsi="Times New Roman" w:cs="Times New Roman"/>
          <w:sz w:val="24"/>
          <w:szCs w:val="24"/>
        </w:rPr>
        <w:t xml:space="preserve"> </w:t>
      </w:r>
      <w:r w:rsidR="000C2EE1" w:rsidRPr="00EB304C">
        <w:rPr>
          <w:rFonts w:ascii="Times New Roman" w:hAnsi="Times New Roman" w:cs="Times New Roman"/>
          <w:sz w:val="24"/>
          <w:szCs w:val="24"/>
        </w:rPr>
        <w:t>i</w:t>
      </w:r>
      <w:r w:rsidRPr="00EB304C">
        <w:rPr>
          <w:rFonts w:ascii="Times New Roman" w:hAnsi="Times New Roman" w:cs="Times New Roman"/>
          <w:sz w:val="24"/>
          <w:szCs w:val="24"/>
        </w:rPr>
        <w:t xml:space="preserve"> kupującymi </w:t>
      </w:r>
      <w:r w:rsidR="000C2EE1" w:rsidRPr="00EB304C">
        <w:rPr>
          <w:rFonts w:ascii="Times New Roman" w:hAnsi="Times New Roman" w:cs="Times New Roman"/>
          <w:sz w:val="24"/>
          <w:szCs w:val="24"/>
        </w:rPr>
        <w:t>oraz</w:t>
      </w:r>
      <w:r w:rsidRPr="00EB304C">
        <w:rPr>
          <w:rFonts w:ascii="Times New Roman" w:hAnsi="Times New Roman" w:cs="Times New Roman"/>
          <w:sz w:val="24"/>
          <w:szCs w:val="24"/>
        </w:rPr>
        <w:t xml:space="preserve"> </w:t>
      </w:r>
      <w:r w:rsidR="000C2EE1" w:rsidRPr="00EB304C">
        <w:rPr>
          <w:rFonts w:ascii="Times New Roman" w:hAnsi="Times New Roman" w:cs="Times New Roman"/>
          <w:sz w:val="24"/>
          <w:szCs w:val="24"/>
        </w:rPr>
        <w:t xml:space="preserve">świadczeniodawcami </w:t>
      </w:r>
      <w:r w:rsidRPr="00EB304C">
        <w:rPr>
          <w:rFonts w:ascii="Times New Roman" w:hAnsi="Times New Roman" w:cs="Times New Roman"/>
          <w:sz w:val="24"/>
          <w:szCs w:val="24"/>
        </w:rPr>
        <w:t>ze świadczeniobiorcami</w:t>
      </w:r>
      <w:r w:rsidR="000C2EE1" w:rsidRPr="00EB304C">
        <w:rPr>
          <w:rFonts w:ascii="Times New Roman" w:hAnsi="Times New Roman" w:cs="Times New Roman"/>
          <w:sz w:val="24"/>
          <w:szCs w:val="24"/>
        </w:rPr>
        <w:t xml:space="preserve"> i zawieranie między nimi transakcji</w:t>
      </w:r>
      <w:r w:rsidRPr="00EB304C">
        <w:rPr>
          <w:rFonts w:ascii="Times New Roman" w:hAnsi="Times New Roman" w:cs="Times New Roman"/>
          <w:sz w:val="24"/>
          <w:szCs w:val="24"/>
        </w:rPr>
        <w:t>.</w:t>
      </w:r>
      <w:r w:rsidR="00926EB7" w:rsidRPr="00EB304C">
        <w:rPr>
          <w:rFonts w:ascii="Times New Roman" w:hAnsi="Times New Roman" w:cs="Times New Roman"/>
          <w:sz w:val="24"/>
          <w:szCs w:val="24"/>
        </w:rPr>
        <w:t xml:space="preserve"> Stosowne czynności są </w:t>
      </w:r>
      <w:r w:rsidR="00044D1C" w:rsidRPr="00EB304C">
        <w:rPr>
          <w:rFonts w:ascii="Times New Roman" w:hAnsi="Times New Roman" w:cs="Times New Roman"/>
          <w:sz w:val="24"/>
          <w:szCs w:val="24"/>
        </w:rPr>
        <w:t>świadczone bezpośrednio przez sprzedawców będących osobami trzec</w:t>
      </w:r>
      <w:r w:rsidR="00926EB7" w:rsidRPr="00EB304C">
        <w:rPr>
          <w:rFonts w:ascii="Times New Roman" w:hAnsi="Times New Roman" w:cs="Times New Roman"/>
          <w:sz w:val="24"/>
          <w:szCs w:val="24"/>
        </w:rPr>
        <w:t>imi na rzecz użytkowników</w:t>
      </w:r>
      <w:r w:rsidR="0026645E">
        <w:rPr>
          <w:rFonts w:ascii="Times New Roman" w:hAnsi="Times New Roman" w:cs="Times New Roman"/>
          <w:sz w:val="24"/>
          <w:szCs w:val="24"/>
        </w:rPr>
        <w:t>,</w:t>
      </w:r>
      <w:r w:rsidR="00926EB7" w:rsidRPr="00EB304C">
        <w:rPr>
          <w:rFonts w:ascii="Times New Roman" w:hAnsi="Times New Roman" w:cs="Times New Roman"/>
          <w:sz w:val="24"/>
          <w:szCs w:val="24"/>
        </w:rPr>
        <w:t xml:space="preserve"> ale mogą być także świadczone pośrednio,</w:t>
      </w:r>
      <w:r w:rsidR="00044D1C" w:rsidRPr="00EB304C">
        <w:rPr>
          <w:rFonts w:ascii="Times New Roman" w:hAnsi="Times New Roman" w:cs="Times New Roman"/>
          <w:sz w:val="24"/>
          <w:szCs w:val="24"/>
        </w:rPr>
        <w:t xml:space="preserve"> </w:t>
      </w:r>
      <w:r w:rsidR="00343C88" w:rsidRPr="00EB304C">
        <w:rPr>
          <w:rFonts w:ascii="Times New Roman" w:hAnsi="Times New Roman" w:cs="Times New Roman"/>
          <w:sz w:val="24"/>
          <w:szCs w:val="24"/>
        </w:rPr>
        <w:t>tj.</w:t>
      </w:r>
      <w:r w:rsidR="00926EB7" w:rsidRPr="00EB304C">
        <w:rPr>
          <w:rFonts w:ascii="Times New Roman" w:hAnsi="Times New Roman" w:cs="Times New Roman"/>
          <w:sz w:val="24"/>
          <w:szCs w:val="24"/>
        </w:rPr>
        <w:t xml:space="preserve"> kiedy</w:t>
      </w:r>
      <w:r w:rsidR="00044D1C" w:rsidRPr="00EB304C">
        <w:rPr>
          <w:rFonts w:ascii="Times New Roman" w:hAnsi="Times New Roman" w:cs="Times New Roman"/>
          <w:sz w:val="24"/>
          <w:szCs w:val="24"/>
        </w:rPr>
        <w:t xml:space="preserve"> platforma najpierw kupuje takie usługi</w:t>
      </w:r>
      <w:r w:rsidR="00515CFB" w:rsidRPr="00EB304C">
        <w:rPr>
          <w:rFonts w:ascii="Times New Roman" w:hAnsi="Times New Roman" w:cs="Times New Roman"/>
          <w:sz w:val="24"/>
          <w:szCs w:val="24"/>
        </w:rPr>
        <w:t>/towary</w:t>
      </w:r>
      <w:r w:rsidR="00044D1C" w:rsidRPr="00EB304C">
        <w:rPr>
          <w:rFonts w:ascii="Times New Roman" w:hAnsi="Times New Roman" w:cs="Times New Roman"/>
          <w:sz w:val="24"/>
          <w:szCs w:val="24"/>
        </w:rPr>
        <w:t>, a następnie oferuje je we własnym imieniu użytkownikom</w:t>
      </w:r>
      <w:r w:rsidR="00BE39D0" w:rsidRPr="00EB304C">
        <w:rPr>
          <w:rFonts w:ascii="Times New Roman" w:hAnsi="Times New Roman" w:cs="Times New Roman"/>
          <w:sz w:val="24"/>
          <w:szCs w:val="24"/>
        </w:rPr>
        <w:t>, jednak</w:t>
      </w:r>
      <w:r w:rsidR="00343C88" w:rsidRPr="00EB304C">
        <w:rPr>
          <w:rFonts w:ascii="Times New Roman" w:hAnsi="Times New Roman" w:cs="Times New Roman"/>
          <w:sz w:val="24"/>
          <w:szCs w:val="24"/>
        </w:rPr>
        <w:t xml:space="preserve"> w rzeczywistości</w:t>
      </w:r>
      <w:r w:rsidR="00BE39D0" w:rsidRPr="00EB304C">
        <w:rPr>
          <w:rFonts w:ascii="Times New Roman" w:hAnsi="Times New Roman" w:cs="Times New Roman"/>
          <w:sz w:val="24"/>
          <w:szCs w:val="24"/>
        </w:rPr>
        <w:t xml:space="preserve"> na rzecz konkretnych sprzedawców</w:t>
      </w:r>
      <w:r w:rsidR="00044D1C" w:rsidRPr="00EB304C">
        <w:rPr>
          <w:rFonts w:ascii="Times New Roman" w:hAnsi="Times New Roman" w:cs="Times New Roman"/>
          <w:sz w:val="24"/>
          <w:szCs w:val="24"/>
        </w:rPr>
        <w:t>.</w:t>
      </w:r>
      <w:r w:rsidR="00BE39D0" w:rsidRPr="00EB304C">
        <w:rPr>
          <w:rFonts w:ascii="Times New Roman" w:hAnsi="Times New Roman" w:cs="Times New Roman"/>
          <w:sz w:val="24"/>
          <w:szCs w:val="24"/>
        </w:rPr>
        <w:t xml:space="preserve"> W</w:t>
      </w:r>
      <w:r w:rsidR="00343C88" w:rsidRPr="00EB304C">
        <w:rPr>
          <w:rFonts w:ascii="Times New Roman" w:hAnsi="Times New Roman" w:cs="Times New Roman"/>
          <w:sz w:val="24"/>
          <w:szCs w:val="24"/>
        </w:rPr>
        <w:t> </w:t>
      </w:r>
      <w:r w:rsidR="00BE39D0" w:rsidRPr="00EB304C">
        <w:rPr>
          <w:rFonts w:ascii="Times New Roman" w:hAnsi="Times New Roman" w:cs="Times New Roman"/>
          <w:sz w:val="24"/>
          <w:szCs w:val="24"/>
        </w:rPr>
        <w:t>sytuacji jednak, gdy platforma działa w imieniu swoim</w:t>
      </w:r>
      <w:r w:rsidR="0026645E">
        <w:rPr>
          <w:rFonts w:ascii="Times New Roman" w:hAnsi="Times New Roman" w:cs="Times New Roman"/>
          <w:sz w:val="24"/>
          <w:szCs w:val="24"/>
        </w:rPr>
        <w:t>,</w:t>
      </w:r>
      <w:r w:rsidR="00BE39D0" w:rsidRPr="00EB304C">
        <w:rPr>
          <w:rFonts w:ascii="Times New Roman" w:hAnsi="Times New Roman" w:cs="Times New Roman"/>
          <w:sz w:val="24"/>
          <w:szCs w:val="24"/>
        </w:rPr>
        <w:t xml:space="preserve"> ale i na swoją rzecz</w:t>
      </w:r>
      <w:r w:rsidR="00343C88" w:rsidRPr="00EB304C">
        <w:rPr>
          <w:rFonts w:ascii="Times New Roman" w:hAnsi="Times New Roman" w:cs="Times New Roman"/>
          <w:sz w:val="24"/>
          <w:szCs w:val="24"/>
        </w:rPr>
        <w:t xml:space="preserve"> (działa więc w istocie jako typowy sklep internetowy)</w:t>
      </w:r>
      <w:r w:rsidR="00BE39D0" w:rsidRPr="00EB304C">
        <w:rPr>
          <w:rFonts w:ascii="Times New Roman" w:hAnsi="Times New Roman" w:cs="Times New Roman"/>
          <w:sz w:val="24"/>
          <w:szCs w:val="24"/>
        </w:rPr>
        <w:t xml:space="preserve">, </w:t>
      </w:r>
      <w:r w:rsidR="00343C88" w:rsidRPr="00EB304C">
        <w:rPr>
          <w:rFonts w:ascii="Times New Roman" w:hAnsi="Times New Roman" w:cs="Times New Roman"/>
          <w:sz w:val="24"/>
          <w:szCs w:val="24"/>
        </w:rPr>
        <w:t>czynności takie nie podlegają raportowaniu</w:t>
      </w:r>
      <w:r w:rsidR="00BE39D0" w:rsidRPr="00EB304C">
        <w:rPr>
          <w:rFonts w:ascii="Times New Roman" w:hAnsi="Times New Roman" w:cs="Times New Roman"/>
          <w:sz w:val="24"/>
          <w:szCs w:val="24"/>
        </w:rPr>
        <w:t>. Należy zauważyć, że komisanci i agenci nie są wyłączeni z podlegania obowiązkom sprawozdawczym wykonywanym przez raportujących operatorów platform.</w:t>
      </w:r>
      <w:r w:rsidRPr="00EB304C">
        <w:rPr>
          <w:rFonts w:ascii="Times New Roman" w:hAnsi="Times New Roman" w:cs="Times New Roman"/>
          <w:sz w:val="24"/>
          <w:szCs w:val="24"/>
        </w:rPr>
        <w:t xml:space="preserve"> </w:t>
      </w:r>
      <w:r w:rsidR="00926EB7" w:rsidRPr="00EB304C">
        <w:rPr>
          <w:rFonts w:ascii="Times New Roman" w:hAnsi="Times New Roman" w:cs="Times New Roman"/>
          <w:sz w:val="24"/>
          <w:szCs w:val="24"/>
        </w:rPr>
        <w:t xml:space="preserve">Pojęcie platformy obejmuje też ustalenia dotyczące poboru i wypłaty wynagrodzenia z tytułu stosownej czynności. </w:t>
      </w:r>
      <w:r w:rsidRPr="00EB304C">
        <w:rPr>
          <w:rFonts w:ascii="Times New Roman" w:hAnsi="Times New Roman" w:cs="Times New Roman"/>
          <w:sz w:val="24"/>
          <w:szCs w:val="24"/>
        </w:rPr>
        <w:t xml:space="preserve">Jednakże </w:t>
      </w:r>
      <w:r w:rsidR="008A41EC" w:rsidRPr="00EB304C">
        <w:rPr>
          <w:rFonts w:ascii="Times New Roman" w:hAnsi="Times New Roman" w:cs="Times New Roman"/>
          <w:sz w:val="24"/>
          <w:szCs w:val="24"/>
        </w:rPr>
        <w:t xml:space="preserve">zgodnie z ust. 2 </w:t>
      </w:r>
      <w:r w:rsidRPr="00EB304C">
        <w:rPr>
          <w:rFonts w:ascii="Times New Roman" w:hAnsi="Times New Roman" w:cs="Times New Roman"/>
          <w:sz w:val="24"/>
          <w:szCs w:val="24"/>
        </w:rPr>
        <w:t xml:space="preserve">za platformę nie uznaje się oprogramowania, które służy wyłącznie przetworzeniu płatności (np. </w:t>
      </w:r>
      <w:r w:rsidR="000B2D93" w:rsidRPr="00EB304C">
        <w:rPr>
          <w:rFonts w:ascii="Times New Roman" w:hAnsi="Times New Roman" w:cs="Times New Roman"/>
          <w:sz w:val="24"/>
          <w:szCs w:val="24"/>
        </w:rPr>
        <w:t xml:space="preserve">platformy świadczące usługi płatnicze), </w:t>
      </w:r>
      <w:r w:rsidRPr="00EB304C">
        <w:rPr>
          <w:rFonts w:ascii="Times New Roman" w:hAnsi="Times New Roman" w:cs="Times New Roman"/>
          <w:sz w:val="24"/>
          <w:szCs w:val="24"/>
        </w:rPr>
        <w:t>ogłaszaniu się (tzw. tablice ogłoszeń, gdzie transakcja i kontakt następują poza platformą)</w:t>
      </w:r>
      <w:r w:rsidR="000C016B">
        <w:rPr>
          <w:rFonts w:ascii="Times New Roman" w:hAnsi="Times New Roman" w:cs="Times New Roman"/>
          <w:sz w:val="24"/>
          <w:szCs w:val="24"/>
        </w:rPr>
        <w:t>,</w:t>
      </w:r>
      <w:r w:rsidRPr="00EB304C">
        <w:rPr>
          <w:rFonts w:ascii="Times New Roman" w:hAnsi="Times New Roman" w:cs="Times New Roman"/>
          <w:sz w:val="24"/>
          <w:szCs w:val="24"/>
        </w:rPr>
        <w:t xml:space="preserve"> oraz takiego, które wyłącznie przekierowuje na inne platformy (agregatory czy porównywarki cen).</w:t>
      </w:r>
      <w:r w:rsidR="00926EB7" w:rsidRPr="00EB304C">
        <w:rPr>
          <w:rFonts w:ascii="Times New Roman" w:hAnsi="Times New Roman" w:cs="Times New Roman"/>
          <w:sz w:val="24"/>
          <w:szCs w:val="24"/>
        </w:rPr>
        <w:t xml:space="preserve"> </w:t>
      </w:r>
    </w:p>
    <w:p w14:paraId="03BDAF77" w14:textId="538DAC15" w:rsidR="00877ADA" w:rsidRPr="00EB304C" w:rsidRDefault="00877ADA" w:rsidP="00507007">
      <w:pPr>
        <w:pStyle w:val="Akapitzlist"/>
        <w:numPr>
          <w:ilvl w:val="0"/>
          <w:numId w:val="2"/>
        </w:num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Raportującego operatora platformy (i skorelowan</w:t>
      </w:r>
      <w:r w:rsidR="008B00F0" w:rsidRPr="00EB304C">
        <w:rPr>
          <w:rFonts w:ascii="Times New Roman" w:hAnsi="Times New Roman" w:cs="Times New Roman"/>
          <w:sz w:val="24"/>
          <w:szCs w:val="24"/>
        </w:rPr>
        <w:t>e</w:t>
      </w:r>
      <w:r w:rsidRPr="00EB304C">
        <w:rPr>
          <w:rFonts w:ascii="Times New Roman" w:hAnsi="Times New Roman" w:cs="Times New Roman"/>
          <w:sz w:val="24"/>
          <w:szCs w:val="24"/>
        </w:rPr>
        <w:t xml:space="preserve"> z nią definicj</w:t>
      </w:r>
      <w:r w:rsidR="008B00F0" w:rsidRPr="00EB304C">
        <w:rPr>
          <w:rFonts w:ascii="Times New Roman" w:hAnsi="Times New Roman" w:cs="Times New Roman"/>
          <w:sz w:val="24"/>
          <w:szCs w:val="24"/>
        </w:rPr>
        <w:t xml:space="preserve">e raportującego operatora platformy z Unii Europejskiej, raportującego operatora platformy spoza Unii </w:t>
      </w:r>
      <w:r w:rsidR="008B00F0" w:rsidRPr="00EB304C">
        <w:rPr>
          <w:rFonts w:ascii="Times New Roman" w:hAnsi="Times New Roman" w:cs="Times New Roman"/>
          <w:sz w:val="24"/>
          <w:szCs w:val="24"/>
        </w:rPr>
        <w:lastRenderedPageBreak/>
        <w:t>Europejskiej oraz</w:t>
      </w:r>
      <w:r w:rsidRPr="00EB304C">
        <w:rPr>
          <w:rFonts w:ascii="Times New Roman" w:hAnsi="Times New Roman" w:cs="Times New Roman"/>
          <w:sz w:val="24"/>
          <w:szCs w:val="24"/>
        </w:rPr>
        <w:t xml:space="preserve"> kwalifikowanego operatora platformy spoza UE) – </w:t>
      </w:r>
      <w:r w:rsidR="00686D0D" w:rsidRPr="00EB304C">
        <w:rPr>
          <w:rFonts w:ascii="Times New Roman" w:hAnsi="Times New Roman" w:cs="Times New Roman"/>
          <w:sz w:val="24"/>
          <w:szCs w:val="24"/>
        </w:rPr>
        <w:t xml:space="preserve">ustawa </w:t>
      </w:r>
      <w:r w:rsidRPr="00EB304C">
        <w:rPr>
          <w:rFonts w:ascii="Times New Roman" w:hAnsi="Times New Roman" w:cs="Times New Roman"/>
          <w:sz w:val="24"/>
          <w:szCs w:val="24"/>
        </w:rPr>
        <w:t>nakłada obowiązki sprawozdawcze nie tylko na operatorów platform będących rezydentami podatkowymi Unii</w:t>
      </w:r>
      <w:r w:rsidR="000C016B">
        <w:rPr>
          <w:rFonts w:ascii="Times New Roman" w:hAnsi="Times New Roman" w:cs="Times New Roman"/>
          <w:sz w:val="24"/>
          <w:szCs w:val="24"/>
        </w:rPr>
        <w:t xml:space="preserve"> Europejskiej</w:t>
      </w:r>
      <w:r w:rsidR="00231B62" w:rsidRPr="00EB304C">
        <w:rPr>
          <w:rFonts w:ascii="Times New Roman" w:hAnsi="Times New Roman" w:cs="Times New Roman"/>
          <w:sz w:val="24"/>
          <w:szCs w:val="24"/>
        </w:rPr>
        <w:t xml:space="preserve"> lub posiadających miejsce zarządu</w:t>
      </w:r>
      <w:r w:rsidR="00922899" w:rsidRPr="00EB304C">
        <w:rPr>
          <w:rFonts w:ascii="Times New Roman" w:hAnsi="Times New Roman" w:cs="Times New Roman"/>
          <w:sz w:val="24"/>
          <w:szCs w:val="24"/>
        </w:rPr>
        <w:t>, rejestracji</w:t>
      </w:r>
      <w:r w:rsidR="00231B62" w:rsidRPr="00EB304C">
        <w:rPr>
          <w:rFonts w:ascii="Times New Roman" w:hAnsi="Times New Roman" w:cs="Times New Roman"/>
          <w:sz w:val="24"/>
          <w:szCs w:val="24"/>
        </w:rPr>
        <w:t xml:space="preserve"> lub stały zakład na terytorium UE</w:t>
      </w:r>
      <w:r w:rsidRPr="00EB304C">
        <w:rPr>
          <w:rFonts w:ascii="Times New Roman" w:hAnsi="Times New Roman" w:cs="Times New Roman"/>
          <w:sz w:val="24"/>
          <w:szCs w:val="24"/>
        </w:rPr>
        <w:t xml:space="preserve">, ale także na takich operatorów, którzy ani nie mają w państwie członkowskim </w:t>
      </w:r>
      <w:r w:rsidR="00231B62" w:rsidRPr="00EB304C">
        <w:rPr>
          <w:rFonts w:ascii="Times New Roman" w:hAnsi="Times New Roman" w:cs="Times New Roman"/>
          <w:sz w:val="24"/>
          <w:szCs w:val="24"/>
        </w:rPr>
        <w:t xml:space="preserve">rezydencji, </w:t>
      </w:r>
      <w:r w:rsidRPr="00EB304C">
        <w:rPr>
          <w:rFonts w:ascii="Times New Roman" w:hAnsi="Times New Roman" w:cs="Times New Roman"/>
          <w:sz w:val="24"/>
          <w:szCs w:val="24"/>
        </w:rPr>
        <w:t>swojego miejsca zarządu</w:t>
      </w:r>
      <w:r w:rsidR="00922899" w:rsidRPr="00EB304C">
        <w:rPr>
          <w:rFonts w:ascii="Times New Roman" w:hAnsi="Times New Roman" w:cs="Times New Roman"/>
          <w:sz w:val="24"/>
          <w:szCs w:val="24"/>
        </w:rPr>
        <w:t xml:space="preserve"> czy rejestracji</w:t>
      </w:r>
      <w:r w:rsidR="000C016B">
        <w:rPr>
          <w:rFonts w:ascii="Times New Roman" w:hAnsi="Times New Roman" w:cs="Times New Roman"/>
          <w:sz w:val="24"/>
          <w:szCs w:val="24"/>
        </w:rPr>
        <w:t>,</w:t>
      </w:r>
      <w:r w:rsidRPr="00EB304C">
        <w:rPr>
          <w:rFonts w:ascii="Times New Roman" w:hAnsi="Times New Roman" w:cs="Times New Roman"/>
          <w:sz w:val="24"/>
          <w:szCs w:val="24"/>
        </w:rPr>
        <w:t xml:space="preserve"> ani nie posiadają w</w:t>
      </w:r>
      <w:r w:rsidR="00922899" w:rsidRPr="00EB304C">
        <w:rPr>
          <w:rFonts w:ascii="Times New Roman" w:hAnsi="Times New Roman" w:cs="Times New Roman"/>
          <w:sz w:val="24"/>
          <w:szCs w:val="24"/>
        </w:rPr>
        <w:t> </w:t>
      </w:r>
      <w:r w:rsidRPr="00EB304C">
        <w:rPr>
          <w:rFonts w:ascii="Times New Roman" w:hAnsi="Times New Roman" w:cs="Times New Roman"/>
          <w:sz w:val="24"/>
          <w:szCs w:val="24"/>
        </w:rPr>
        <w:t>państwie członkowskim stałego zakładu. Ma to zapewnić operatorom europejskim, w tym polskim, równe zasady konkurencji.</w:t>
      </w:r>
    </w:p>
    <w:p w14:paraId="70AB05EA" w14:textId="5FDAFAC0" w:rsidR="008B00F0" w:rsidRPr="00EB304C" w:rsidRDefault="00877ADA" w:rsidP="00507007">
      <w:pPr>
        <w:pStyle w:val="Akapitzlist"/>
        <w:numPr>
          <w:ilvl w:val="0"/>
          <w:numId w:val="2"/>
        </w:num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 xml:space="preserve">Sprzedawcy – obejmuje ona zarówno osoby fizyczne, jak i </w:t>
      </w:r>
      <w:r w:rsidR="00686D0D" w:rsidRPr="00EB304C">
        <w:rPr>
          <w:rFonts w:ascii="Times New Roman" w:hAnsi="Times New Roman" w:cs="Times New Roman"/>
          <w:sz w:val="24"/>
          <w:szCs w:val="24"/>
        </w:rPr>
        <w:t>podmioty</w:t>
      </w:r>
      <w:r w:rsidRPr="00EB304C">
        <w:rPr>
          <w:rFonts w:ascii="Times New Roman" w:hAnsi="Times New Roman" w:cs="Times New Roman"/>
          <w:sz w:val="24"/>
          <w:szCs w:val="24"/>
        </w:rPr>
        <w:t>, bez względu na to, czy prowadzą one zarejestrowaną działalność gos</w:t>
      </w:r>
      <w:r w:rsidR="00C7017A" w:rsidRPr="00EB304C">
        <w:rPr>
          <w:rFonts w:ascii="Times New Roman" w:hAnsi="Times New Roman" w:cs="Times New Roman"/>
          <w:sz w:val="24"/>
          <w:szCs w:val="24"/>
        </w:rPr>
        <w:t>podarczą. Szerokie podejście do </w:t>
      </w:r>
      <w:r w:rsidRPr="00EB304C">
        <w:rPr>
          <w:rFonts w:ascii="Times New Roman" w:hAnsi="Times New Roman" w:cs="Times New Roman"/>
          <w:sz w:val="24"/>
          <w:szCs w:val="24"/>
        </w:rPr>
        <w:t xml:space="preserve">tej definicji ma na celu przeciwdziałanie unikaniu </w:t>
      </w:r>
      <w:r w:rsidR="000C016B">
        <w:rPr>
          <w:rFonts w:ascii="Times New Roman" w:hAnsi="Times New Roman" w:cs="Times New Roman"/>
          <w:sz w:val="24"/>
          <w:szCs w:val="24"/>
        </w:rPr>
        <w:t>o</w:t>
      </w:r>
      <w:r w:rsidRPr="00EB304C">
        <w:rPr>
          <w:rFonts w:ascii="Times New Roman" w:hAnsi="Times New Roman" w:cs="Times New Roman"/>
          <w:sz w:val="24"/>
          <w:szCs w:val="24"/>
        </w:rPr>
        <w:t>podatkowania i ma pomóc</w:t>
      </w:r>
      <w:r w:rsidR="006A470A" w:rsidRPr="00EB304C">
        <w:rPr>
          <w:rFonts w:ascii="Times New Roman" w:hAnsi="Times New Roman" w:cs="Times New Roman"/>
          <w:sz w:val="24"/>
          <w:szCs w:val="24"/>
        </w:rPr>
        <w:t xml:space="preserve"> administracji podatkowej</w:t>
      </w:r>
      <w:r w:rsidRPr="00EB304C">
        <w:rPr>
          <w:rFonts w:ascii="Times New Roman" w:hAnsi="Times New Roman" w:cs="Times New Roman"/>
          <w:sz w:val="24"/>
          <w:szCs w:val="24"/>
        </w:rPr>
        <w:t xml:space="preserve"> w </w:t>
      </w:r>
      <w:r w:rsidR="006A470A" w:rsidRPr="00EB304C">
        <w:rPr>
          <w:rFonts w:ascii="Times New Roman" w:hAnsi="Times New Roman" w:cs="Times New Roman"/>
          <w:sz w:val="24"/>
          <w:szCs w:val="24"/>
        </w:rPr>
        <w:t>ujawnieniu</w:t>
      </w:r>
      <w:r w:rsidRPr="00EB304C">
        <w:rPr>
          <w:rFonts w:ascii="Times New Roman" w:hAnsi="Times New Roman" w:cs="Times New Roman"/>
          <w:sz w:val="24"/>
          <w:szCs w:val="24"/>
        </w:rPr>
        <w:t xml:space="preserve"> </w:t>
      </w:r>
      <w:r w:rsidR="006A470A" w:rsidRPr="00EB304C">
        <w:rPr>
          <w:rFonts w:ascii="Times New Roman" w:hAnsi="Times New Roman" w:cs="Times New Roman"/>
          <w:sz w:val="24"/>
          <w:szCs w:val="24"/>
        </w:rPr>
        <w:t>sprzedawców</w:t>
      </w:r>
      <w:r w:rsidRPr="00EB304C">
        <w:rPr>
          <w:rFonts w:ascii="Times New Roman" w:hAnsi="Times New Roman" w:cs="Times New Roman"/>
          <w:sz w:val="24"/>
          <w:szCs w:val="24"/>
        </w:rPr>
        <w:t xml:space="preserve">, którzy próbują ukryć swoją działalność </w:t>
      </w:r>
      <w:r w:rsidR="00C7017A" w:rsidRPr="00EB304C">
        <w:rPr>
          <w:rFonts w:ascii="Times New Roman" w:hAnsi="Times New Roman" w:cs="Times New Roman"/>
          <w:sz w:val="24"/>
          <w:szCs w:val="24"/>
        </w:rPr>
        <w:t>i </w:t>
      </w:r>
      <w:r w:rsidR="00AE7706" w:rsidRPr="00EB304C">
        <w:rPr>
          <w:rFonts w:ascii="Times New Roman" w:hAnsi="Times New Roman" w:cs="Times New Roman"/>
          <w:sz w:val="24"/>
          <w:szCs w:val="24"/>
        </w:rPr>
        <w:t xml:space="preserve">przychody </w:t>
      </w:r>
      <w:r w:rsidRPr="00EB304C">
        <w:rPr>
          <w:rFonts w:ascii="Times New Roman" w:hAnsi="Times New Roman" w:cs="Times New Roman"/>
          <w:sz w:val="24"/>
          <w:szCs w:val="24"/>
        </w:rPr>
        <w:t xml:space="preserve">w </w:t>
      </w:r>
      <w:r w:rsidR="006A470A" w:rsidRPr="00EB304C">
        <w:rPr>
          <w:rFonts w:ascii="Times New Roman" w:hAnsi="Times New Roman" w:cs="Times New Roman"/>
          <w:sz w:val="24"/>
          <w:szCs w:val="24"/>
        </w:rPr>
        <w:t xml:space="preserve">tzw. </w:t>
      </w:r>
      <w:r w:rsidRPr="00EB304C">
        <w:rPr>
          <w:rFonts w:ascii="Times New Roman" w:hAnsi="Times New Roman" w:cs="Times New Roman"/>
          <w:sz w:val="24"/>
          <w:szCs w:val="24"/>
        </w:rPr>
        <w:t xml:space="preserve">szarej strefie na platformach cyfrowych. </w:t>
      </w:r>
      <w:r w:rsidR="0059281F" w:rsidRPr="00EB304C">
        <w:rPr>
          <w:rFonts w:ascii="Times New Roman" w:hAnsi="Times New Roman" w:cs="Times New Roman"/>
          <w:sz w:val="24"/>
          <w:szCs w:val="24"/>
        </w:rPr>
        <w:t xml:space="preserve">Przepis stanowi, że użytkownik platformy nie musi być zarejestrowany na platformie i wykonywać stosownej czynności przez cały okres sprawozdawczy, aby być zakwalifikowanym jako sprzedawca. Wystarczy, że w dowolnym momencie okresu sprawozdawczego będzie spełniał </w:t>
      </w:r>
      <w:r w:rsidR="00270206" w:rsidRPr="00EB304C">
        <w:rPr>
          <w:rFonts w:ascii="Times New Roman" w:hAnsi="Times New Roman" w:cs="Times New Roman"/>
          <w:sz w:val="24"/>
          <w:szCs w:val="24"/>
        </w:rPr>
        <w:t>wskazane warunki</w:t>
      </w:r>
      <w:r w:rsidR="0059281F" w:rsidRPr="00EB304C">
        <w:rPr>
          <w:rFonts w:ascii="Times New Roman" w:hAnsi="Times New Roman" w:cs="Times New Roman"/>
          <w:sz w:val="24"/>
          <w:szCs w:val="24"/>
        </w:rPr>
        <w:t>.</w:t>
      </w:r>
    </w:p>
    <w:p w14:paraId="265E756A" w14:textId="6F2BB193" w:rsidR="00D965F9" w:rsidRPr="00EB304C" w:rsidRDefault="00D965F9" w:rsidP="00507007">
      <w:pPr>
        <w:pStyle w:val="Akapitzlist"/>
        <w:numPr>
          <w:ilvl w:val="0"/>
          <w:numId w:val="2"/>
        </w:num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 xml:space="preserve">Stosownej czynności – ustawa obejmuje obowiązkiem sprawozdawczym te czynności, które stanowią najczęstszy przedmiot ofert na platformach. </w:t>
      </w:r>
      <w:r w:rsidR="00D34E55" w:rsidRPr="00EB304C">
        <w:rPr>
          <w:rFonts w:ascii="Times New Roman" w:hAnsi="Times New Roman" w:cs="Times New Roman"/>
          <w:sz w:val="24"/>
          <w:szCs w:val="24"/>
        </w:rPr>
        <w:t xml:space="preserve">Pojęcie </w:t>
      </w:r>
      <w:r w:rsidR="00FE7C9F" w:rsidRPr="00EB304C">
        <w:rPr>
          <w:rFonts w:ascii="Times New Roman" w:hAnsi="Times New Roman" w:cs="Times New Roman"/>
          <w:sz w:val="24"/>
          <w:szCs w:val="24"/>
        </w:rPr>
        <w:t xml:space="preserve">udostępnienia nieruchomości </w:t>
      </w:r>
      <w:r w:rsidR="00D34E55" w:rsidRPr="00EB304C">
        <w:rPr>
          <w:rFonts w:ascii="Times New Roman" w:hAnsi="Times New Roman" w:cs="Times New Roman"/>
          <w:sz w:val="24"/>
          <w:szCs w:val="24"/>
        </w:rPr>
        <w:t>obejmuje</w:t>
      </w:r>
      <w:r w:rsidR="00FE7C9F" w:rsidRPr="00EB304C">
        <w:rPr>
          <w:rFonts w:ascii="Times New Roman" w:hAnsi="Times New Roman" w:cs="Times New Roman"/>
          <w:sz w:val="24"/>
          <w:szCs w:val="24"/>
        </w:rPr>
        <w:t xml:space="preserve"> zarówno nieruchomości mieszkalne, jak i komercyjne, a także inne nieruchomości i ich części (np. garaże, pola kempingowe, pokoje, parkingi</w:t>
      </w:r>
      <w:r w:rsidR="0026645E">
        <w:rPr>
          <w:rFonts w:ascii="Times New Roman" w:hAnsi="Times New Roman" w:cs="Times New Roman"/>
          <w:sz w:val="24"/>
          <w:szCs w:val="24"/>
        </w:rPr>
        <w:t xml:space="preserve"> </w:t>
      </w:r>
      <w:r w:rsidR="00625D04">
        <w:rPr>
          <w:rFonts w:ascii="Times New Roman" w:hAnsi="Times New Roman" w:cs="Times New Roman"/>
          <w:sz w:val="24"/>
          <w:szCs w:val="24"/>
        </w:rPr>
        <w:t>–</w:t>
      </w:r>
      <w:r w:rsidR="00C06BA5">
        <w:rPr>
          <w:rFonts w:ascii="Times New Roman" w:hAnsi="Times New Roman" w:cs="Times New Roman"/>
          <w:sz w:val="24"/>
          <w:szCs w:val="24"/>
        </w:rPr>
        <w:t xml:space="preserve"> por. definicja „grupy obiektów”</w:t>
      </w:r>
      <w:r w:rsidR="00FE7C9F" w:rsidRPr="00EB304C">
        <w:rPr>
          <w:rFonts w:ascii="Times New Roman" w:hAnsi="Times New Roman" w:cs="Times New Roman"/>
          <w:sz w:val="24"/>
          <w:szCs w:val="24"/>
        </w:rPr>
        <w:t>). Stosowne czynności obejmują zarówno krótko</w:t>
      </w:r>
      <w:r w:rsidR="0026645E">
        <w:rPr>
          <w:rFonts w:ascii="Times New Roman" w:hAnsi="Times New Roman" w:cs="Times New Roman"/>
          <w:sz w:val="24"/>
          <w:szCs w:val="24"/>
        </w:rPr>
        <w:t>terminowe</w:t>
      </w:r>
      <w:r w:rsidR="00625D04">
        <w:rPr>
          <w:rFonts w:ascii="Times New Roman" w:hAnsi="Times New Roman" w:cs="Times New Roman"/>
          <w:sz w:val="24"/>
          <w:szCs w:val="24"/>
        </w:rPr>
        <w:t>,</w:t>
      </w:r>
      <w:r w:rsidR="00FE7C9F" w:rsidRPr="00EB304C">
        <w:rPr>
          <w:rFonts w:ascii="Times New Roman" w:hAnsi="Times New Roman" w:cs="Times New Roman"/>
          <w:sz w:val="24"/>
          <w:szCs w:val="24"/>
        </w:rPr>
        <w:t xml:space="preserve"> jak i długoterminow</w:t>
      </w:r>
      <w:r w:rsidR="000764AE" w:rsidRPr="00EB304C">
        <w:rPr>
          <w:rFonts w:ascii="Times New Roman" w:hAnsi="Times New Roman" w:cs="Times New Roman"/>
          <w:sz w:val="24"/>
          <w:szCs w:val="24"/>
        </w:rPr>
        <w:t>e</w:t>
      </w:r>
      <w:r w:rsidR="00FE7C9F" w:rsidRPr="00EB304C">
        <w:rPr>
          <w:rFonts w:ascii="Times New Roman" w:hAnsi="Times New Roman" w:cs="Times New Roman"/>
          <w:sz w:val="24"/>
          <w:szCs w:val="24"/>
        </w:rPr>
        <w:t xml:space="preserve"> </w:t>
      </w:r>
      <w:r w:rsidR="000764AE" w:rsidRPr="00EB304C">
        <w:rPr>
          <w:rFonts w:ascii="Times New Roman" w:hAnsi="Times New Roman" w:cs="Times New Roman"/>
          <w:sz w:val="24"/>
          <w:szCs w:val="24"/>
        </w:rPr>
        <w:t>stosunki prawne, o</w:t>
      </w:r>
      <w:r w:rsidR="00FE7C9F" w:rsidRPr="00EB304C">
        <w:rPr>
          <w:rFonts w:ascii="Times New Roman" w:hAnsi="Times New Roman" w:cs="Times New Roman"/>
          <w:sz w:val="24"/>
          <w:szCs w:val="24"/>
        </w:rPr>
        <w:t xml:space="preserve"> </w:t>
      </w:r>
      <w:r w:rsidR="000764AE" w:rsidRPr="00EB304C">
        <w:rPr>
          <w:rFonts w:ascii="Times New Roman" w:hAnsi="Times New Roman" w:cs="Times New Roman"/>
          <w:sz w:val="24"/>
          <w:szCs w:val="24"/>
        </w:rPr>
        <w:t>różnym</w:t>
      </w:r>
      <w:r w:rsidR="00FE7C9F" w:rsidRPr="00EB304C">
        <w:rPr>
          <w:rFonts w:ascii="Times New Roman" w:hAnsi="Times New Roman" w:cs="Times New Roman"/>
          <w:sz w:val="24"/>
          <w:szCs w:val="24"/>
        </w:rPr>
        <w:t xml:space="preserve"> charakter</w:t>
      </w:r>
      <w:r w:rsidR="000764AE" w:rsidRPr="00EB304C">
        <w:rPr>
          <w:rFonts w:ascii="Times New Roman" w:hAnsi="Times New Roman" w:cs="Times New Roman"/>
          <w:sz w:val="24"/>
          <w:szCs w:val="24"/>
        </w:rPr>
        <w:t>ze</w:t>
      </w:r>
      <w:r w:rsidR="00FE7C9F" w:rsidRPr="00EB304C">
        <w:rPr>
          <w:rFonts w:ascii="Times New Roman" w:hAnsi="Times New Roman" w:cs="Times New Roman"/>
          <w:sz w:val="24"/>
          <w:szCs w:val="24"/>
        </w:rPr>
        <w:t xml:space="preserve"> (</w:t>
      </w:r>
      <w:r w:rsidR="000764AE" w:rsidRPr="00EB304C">
        <w:rPr>
          <w:rFonts w:ascii="Times New Roman" w:hAnsi="Times New Roman" w:cs="Times New Roman"/>
          <w:sz w:val="24"/>
          <w:szCs w:val="24"/>
        </w:rPr>
        <w:t xml:space="preserve">m.in. </w:t>
      </w:r>
      <w:r w:rsidR="00FE7C9F" w:rsidRPr="00EB304C">
        <w:rPr>
          <w:rFonts w:ascii="Times New Roman" w:hAnsi="Times New Roman" w:cs="Times New Roman"/>
          <w:sz w:val="24"/>
          <w:szCs w:val="24"/>
        </w:rPr>
        <w:t>dzierżawa, najem, użytkowanie). Stosownymi czynnościami są również</w:t>
      </w:r>
      <w:r w:rsidR="00223152">
        <w:rPr>
          <w:rFonts w:ascii="Times New Roman" w:hAnsi="Times New Roman" w:cs="Times New Roman"/>
          <w:sz w:val="24"/>
          <w:szCs w:val="24"/>
        </w:rPr>
        <w:t xml:space="preserve"> </w:t>
      </w:r>
      <w:r w:rsidRPr="00EB304C">
        <w:rPr>
          <w:rFonts w:ascii="Times New Roman" w:hAnsi="Times New Roman" w:cs="Times New Roman"/>
          <w:sz w:val="24"/>
          <w:szCs w:val="24"/>
        </w:rPr>
        <w:t>usługi świadczone oso</w:t>
      </w:r>
      <w:r w:rsidR="006936B9" w:rsidRPr="00EB304C">
        <w:rPr>
          <w:rFonts w:ascii="Times New Roman" w:hAnsi="Times New Roman" w:cs="Times New Roman"/>
          <w:sz w:val="24"/>
          <w:szCs w:val="24"/>
        </w:rPr>
        <w:t>biście (np. usługi przewozu osób</w:t>
      </w:r>
      <w:r w:rsidRPr="00EB304C">
        <w:rPr>
          <w:rFonts w:ascii="Times New Roman" w:hAnsi="Times New Roman" w:cs="Times New Roman"/>
          <w:sz w:val="24"/>
          <w:szCs w:val="24"/>
        </w:rPr>
        <w:t>, transportowe/dostawcze czy drobne usługi codzienne, takie jak hydrauliczne, roboty budowlane, usługi fryzjerskie itp.)</w:t>
      </w:r>
      <w:r w:rsidR="0026645E">
        <w:rPr>
          <w:rFonts w:ascii="Times New Roman" w:hAnsi="Times New Roman" w:cs="Times New Roman"/>
          <w:sz w:val="24"/>
          <w:szCs w:val="24"/>
        </w:rPr>
        <w:t>,</w:t>
      </w:r>
      <w:r w:rsidR="001E772E" w:rsidRPr="00EB304C">
        <w:rPr>
          <w:rFonts w:ascii="Times New Roman" w:hAnsi="Times New Roman" w:cs="Times New Roman"/>
          <w:sz w:val="24"/>
          <w:szCs w:val="24"/>
        </w:rPr>
        <w:t xml:space="preserve"> a także</w:t>
      </w:r>
      <w:r w:rsidR="00223152">
        <w:rPr>
          <w:rFonts w:ascii="Times New Roman" w:hAnsi="Times New Roman" w:cs="Times New Roman"/>
          <w:sz w:val="24"/>
          <w:szCs w:val="24"/>
        </w:rPr>
        <w:t xml:space="preserve"> </w:t>
      </w:r>
      <w:r w:rsidRPr="00EB304C">
        <w:rPr>
          <w:rFonts w:ascii="Times New Roman" w:hAnsi="Times New Roman" w:cs="Times New Roman"/>
          <w:sz w:val="24"/>
          <w:szCs w:val="24"/>
        </w:rPr>
        <w:t xml:space="preserve">sprzedaż towarów i </w:t>
      </w:r>
      <w:r w:rsidR="00231B62" w:rsidRPr="00EB304C">
        <w:rPr>
          <w:rFonts w:ascii="Times New Roman" w:hAnsi="Times New Roman" w:cs="Times New Roman"/>
          <w:sz w:val="24"/>
          <w:szCs w:val="24"/>
        </w:rPr>
        <w:t>udostępnienie</w:t>
      </w:r>
      <w:r w:rsidR="00223152">
        <w:rPr>
          <w:rFonts w:ascii="Times New Roman" w:hAnsi="Times New Roman" w:cs="Times New Roman"/>
          <w:sz w:val="24"/>
          <w:szCs w:val="24"/>
        </w:rPr>
        <w:t xml:space="preserve"> </w:t>
      </w:r>
      <w:r w:rsidRPr="00EB304C">
        <w:rPr>
          <w:rFonts w:ascii="Times New Roman" w:hAnsi="Times New Roman" w:cs="Times New Roman"/>
          <w:sz w:val="24"/>
          <w:szCs w:val="24"/>
        </w:rPr>
        <w:t>środków transportu</w:t>
      </w:r>
      <w:r w:rsidR="00231B62" w:rsidRPr="00EB304C">
        <w:rPr>
          <w:rFonts w:ascii="Times New Roman" w:hAnsi="Times New Roman" w:cs="Times New Roman"/>
          <w:sz w:val="24"/>
          <w:szCs w:val="24"/>
        </w:rPr>
        <w:t xml:space="preserve"> (np. najem)</w:t>
      </w:r>
      <w:r w:rsidRPr="00EB304C">
        <w:rPr>
          <w:rFonts w:ascii="Times New Roman" w:hAnsi="Times New Roman" w:cs="Times New Roman"/>
          <w:sz w:val="24"/>
          <w:szCs w:val="24"/>
        </w:rPr>
        <w:t>. Zakres takiej sprawozdawczości nie powinien obejmować działalności prowadzonej przez sprzedawcę działającego w roli pracownika operatora platformy (co znajduje odzwierciedlen</w:t>
      </w:r>
      <w:r w:rsidR="00C7017A" w:rsidRPr="00EB304C">
        <w:rPr>
          <w:rFonts w:ascii="Times New Roman" w:hAnsi="Times New Roman" w:cs="Times New Roman"/>
          <w:sz w:val="24"/>
          <w:szCs w:val="24"/>
        </w:rPr>
        <w:t>ie w art. 75a ust.1 pkt 2</w:t>
      </w:r>
      <w:r w:rsidR="008A36EB">
        <w:rPr>
          <w:rFonts w:ascii="Times New Roman" w:hAnsi="Times New Roman" w:cs="Times New Roman"/>
          <w:sz w:val="24"/>
          <w:szCs w:val="24"/>
        </w:rPr>
        <w:t>0</w:t>
      </w:r>
      <w:r w:rsidR="00C7017A" w:rsidRPr="00EB304C">
        <w:rPr>
          <w:rFonts w:ascii="Times New Roman" w:hAnsi="Times New Roman" w:cs="Times New Roman"/>
          <w:sz w:val="24"/>
          <w:szCs w:val="24"/>
        </w:rPr>
        <w:t>). Do </w:t>
      </w:r>
      <w:r w:rsidRPr="00EB304C">
        <w:rPr>
          <w:rFonts w:ascii="Times New Roman" w:hAnsi="Times New Roman" w:cs="Times New Roman"/>
          <w:sz w:val="24"/>
          <w:szCs w:val="24"/>
        </w:rPr>
        <w:t>stosownych czynności zalicza się usługę świadczoną osobiście. Oznacza ona czynność spełniającą łącznie następujące warunki:</w:t>
      </w:r>
    </w:p>
    <w:p w14:paraId="10CB31F6" w14:textId="61A1FCC7" w:rsidR="00D965F9" w:rsidRPr="00EB304C" w:rsidRDefault="00D965F9" w:rsidP="00507007">
      <w:pPr>
        <w:pStyle w:val="Akapitzlist"/>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w:t>
      </w:r>
      <w:r w:rsidRPr="00EB304C">
        <w:rPr>
          <w:rFonts w:ascii="Times New Roman" w:hAnsi="Times New Roman" w:cs="Times New Roman"/>
          <w:sz w:val="24"/>
          <w:szCs w:val="24"/>
        </w:rPr>
        <w:tab/>
        <w:t>praca jest wykonywana w trybie zadaniowym lub czasowym</w:t>
      </w:r>
      <w:r w:rsidR="0026645E">
        <w:rPr>
          <w:rFonts w:ascii="Times New Roman" w:hAnsi="Times New Roman" w:cs="Times New Roman"/>
          <w:sz w:val="24"/>
          <w:szCs w:val="24"/>
        </w:rPr>
        <w:t>,</w:t>
      </w:r>
    </w:p>
    <w:p w14:paraId="5E4864A9" w14:textId="6C12F226" w:rsidR="00D965F9" w:rsidRPr="00EB304C" w:rsidRDefault="00D965F9" w:rsidP="00625D04">
      <w:pPr>
        <w:pStyle w:val="Akapitzlist"/>
        <w:pBdr>
          <w:top w:val="nil"/>
          <w:left w:val="nil"/>
          <w:bottom w:val="nil"/>
          <w:right w:val="nil"/>
          <w:between w:val="nil"/>
          <w:bar w:val="nil"/>
        </w:pBdr>
        <w:spacing w:before="120" w:after="0" w:line="360" w:lineRule="auto"/>
        <w:ind w:left="1276" w:hanging="567"/>
        <w:jc w:val="both"/>
        <w:rPr>
          <w:rFonts w:ascii="Times New Roman" w:hAnsi="Times New Roman" w:cs="Times New Roman"/>
          <w:sz w:val="24"/>
          <w:szCs w:val="24"/>
        </w:rPr>
      </w:pPr>
      <w:r w:rsidRPr="00EB304C">
        <w:rPr>
          <w:rFonts w:ascii="Times New Roman" w:hAnsi="Times New Roman" w:cs="Times New Roman"/>
          <w:sz w:val="24"/>
          <w:szCs w:val="24"/>
        </w:rPr>
        <w:t>●</w:t>
      </w:r>
      <w:r w:rsidRPr="00EB304C">
        <w:rPr>
          <w:rFonts w:ascii="Times New Roman" w:hAnsi="Times New Roman" w:cs="Times New Roman"/>
          <w:sz w:val="24"/>
          <w:szCs w:val="24"/>
        </w:rPr>
        <w:tab/>
        <w:t>praca jest wykonywana przez osobę fizyczną działającą</w:t>
      </w:r>
      <w:r w:rsidR="00D6650B" w:rsidRPr="00EB304C">
        <w:rPr>
          <w:rFonts w:ascii="Times New Roman" w:hAnsi="Times New Roman" w:cs="Times New Roman"/>
          <w:sz w:val="24"/>
          <w:szCs w:val="24"/>
        </w:rPr>
        <w:t xml:space="preserve"> niezależnie albo</w:t>
      </w:r>
      <w:r w:rsidRPr="00EB304C">
        <w:rPr>
          <w:rFonts w:ascii="Times New Roman" w:hAnsi="Times New Roman" w:cs="Times New Roman"/>
          <w:sz w:val="24"/>
          <w:szCs w:val="24"/>
        </w:rPr>
        <w:t xml:space="preserve"> na rzecz lub w imieniu podmiotu, </w:t>
      </w:r>
    </w:p>
    <w:p w14:paraId="1A4A8D60" w14:textId="77777777" w:rsidR="00D965F9" w:rsidRPr="00EB304C" w:rsidRDefault="00D965F9" w:rsidP="00625D04">
      <w:pPr>
        <w:pStyle w:val="Akapitzlist"/>
        <w:pBdr>
          <w:top w:val="nil"/>
          <w:left w:val="nil"/>
          <w:bottom w:val="nil"/>
          <w:right w:val="nil"/>
          <w:between w:val="nil"/>
          <w:bar w:val="nil"/>
        </w:pBdr>
        <w:spacing w:before="120" w:after="0" w:line="360" w:lineRule="auto"/>
        <w:ind w:left="1276" w:hanging="567"/>
        <w:jc w:val="both"/>
        <w:rPr>
          <w:rFonts w:ascii="Times New Roman" w:hAnsi="Times New Roman" w:cs="Times New Roman"/>
          <w:sz w:val="24"/>
          <w:szCs w:val="24"/>
        </w:rPr>
      </w:pPr>
      <w:r w:rsidRPr="00EB304C">
        <w:rPr>
          <w:rFonts w:ascii="Times New Roman" w:hAnsi="Times New Roman" w:cs="Times New Roman"/>
          <w:sz w:val="24"/>
          <w:szCs w:val="24"/>
        </w:rPr>
        <w:t>●</w:t>
      </w:r>
      <w:r w:rsidRPr="00EB304C">
        <w:rPr>
          <w:rFonts w:ascii="Times New Roman" w:hAnsi="Times New Roman" w:cs="Times New Roman"/>
          <w:sz w:val="24"/>
          <w:szCs w:val="24"/>
        </w:rPr>
        <w:tab/>
        <w:t xml:space="preserve">praca jest wykonywana na żądanie użytkownika stacjonarnie lub zdalnie, </w:t>
      </w:r>
    </w:p>
    <w:p w14:paraId="391E5785" w14:textId="1C92AB07" w:rsidR="00D965F9" w:rsidRPr="00EB304C" w:rsidRDefault="00D965F9" w:rsidP="000B09AD">
      <w:pPr>
        <w:pStyle w:val="Akapitzlist"/>
        <w:pBdr>
          <w:top w:val="nil"/>
          <w:left w:val="nil"/>
          <w:bottom w:val="nil"/>
          <w:right w:val="nil"/>
          <w:between w:val="nil"/>
          <w:bar w:val="nil"/>
        </w:pBdr>
        <w:spacing w:before="120" w:after="0" w:line="360" w:lineRule="auto"/>
        <w:ind w:left="1276" w:hanging="567"/>
        <w:jc w:val="both"/>
        <w:rPr>
          <w:rFonts w:ascii="Times New Roman" w:hAnsi="Times New Roman" w:cs="Times New Roman"/>
          <w:sz w:val="24"/>
          <w:szCs w:val="24"/>
        </w:rPr>
      </w:pPr>
      <w:r w:rsidRPr="00EB304C">
        <w:rPr>
          <w:rFonts w:ascii="Times New Roman" w:hAnsi="Times New Roman" w:cs="Times New Roman"/>
          <w:sz w:val="24"/>
          <w:szCs w:val="24"/>
        </w:rPr>
        <w:lastRenderedPageBreak/>
        <w:t>●</w:t>
      </w:r>
      <w:r w:rsidRPr="00EB304C">
        <w:rPr>
          <w:rFonts w:ascii="Times New Roman" w:hAnsi="Times New Roman" w:cs="Times New Roman"/>
          <w:sz w:val="24"/>
          <w:szCs w:val="24"/>
        </w:rPr>
        <w:tab/>
        <w:t xml:space="preserve">praca jest wykonywana </w:t>
      </w:r>
      <w:r w:rsidR="00D6650B" w:rsidRPr="00EB304C">
        <w:rPr>
          <w:rFonts w:ascii="Times New Roman" w:hAnsi="Times New Roman" w:cs="Times New Roman"/>
          <w:sz w:val="24"/>
          <w:szCs w:val="24"/>
        </w:rPr>
        <w:t xml:space="preserve">w związku z umożliwieniem jej wykonania </w:t>
      </w:r>
      <w:r w:rsidRPr="00EB304C">
        <w:rPr>
          <w:rFonts w:ascii="Times New Roman" w:hAnsi="Times New Roman" w:cs="Times New Roman"/>
          <w:sz w:val="24"/>
          <w:szCs w:val="24"/>
        </w:rPr>
        <w:t>za pośrednictwem platformy.</w:t>
      </w:r>
    </w:p>
    <w:p w14:paraId="458F528B" w14:textId="4F2D19E2" w:rsidR="00D965F9" w:rsidRPr="00EB304C" w:rsidRDefault="00270CDE" w:rsidP="00507007">
      <w:pPr>
        <w:pStyle w:val="Akapitzlist"/>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 xml:space="preserve">Usługa ta obejmuje pracę w trybie czasowym (np. umowy zlecenia) lub zadaniowym (np. umowy o dzieło). </w:t>
      </w:r>
    </w:p>
    <w:p w14:paraId="626DC081" w14:textId="41433D8D" w:rsidR="001A780A" w:rsidRPr="00EB304C" w:rsidRDefault="001A780A" w:rsidP="00507007">
      <w:pPr>
        <w:pStyle w:val="Akapitzlist"/>
        <w:numPr>
          <w:ilvl w:val="0"/>
          <w:numId w:val="2"/>
        </w:num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 xml:space="preserve">Towarów – definicja została zaczerpnięta z </w:t>
      </w:r>
      <w:r w:rsidR="00CD1102" w:rsidRPr="00EB304C">
        <w:rPr>
          <w:rFonts w:ascii="Times New Roman" w:hAnsi="Times New Roman" w:cs="Times New Roman"/>
          <w:sz w:val="24"/>
          <w:szCs w:val="24"/>
        </w:rPr>
        <w:t xml:space="preserve">art. 45 ustawy </w:t>
      </w:r>
      <w:r w:rsidR="008F576B">
        <w:rPr>
          <w:rFonts w:ascii="Times New Roman" w:hAnsi="Times New Roman" w:cs="Times New Roman"/>
          <w:sz w:val="24"/>
          <w:szCs w:val="24"/>
        </w:rPr>
        <w:t>z dnia 23 kwietnia 1964 r. –K</w:t>
      </w:r>
      <w:r w:rsidR="00CD1102" w:rsidRPr="00EB304C">
        <w:rPr>
          <w:rFonts w:ascii="Times New Roman" w:hAnsi="Times New Roman" w:cs="Times New Roman"/>
          <w:sz w:val="24"/>
          <w:szCs w:val="24"/>
        </w:rPr>
        <w:t xml:space="preserve">odeks cywilny </w:t>
      </w:r>
      <w:r w:rsidR="008F576B">
        <w:rPr>
          <w:rFonts w:ascii="Times New Roman" w:hAnsi="Times New Roman" w:cs="Times New Roman"/>
          <w:sz w:val="24"/>
          <w:szCs w:val="24"/>
        </w:rPr>
        <w:t>(Dz. U. z  2023 r. poz. 1610, z późn. zm.).</w:t>
      </w:r>
    </w:p>
    <w:p w14:paraId="0A1B5C14" w14:textId="77CC921A" w:rsidR="008A36EB" w:rsidRDefault="008666B8" w:rsidP="00507007">
      <w:pPr>
        <w:pStyle w:val="Akapitzlist"/>
        <w:numPr>
          <w:ilvl w:val="0"/>
          <w:numId w:val="2"/>
        </w:num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Wyłączonego operatora platformy – w art. 75a ust. 1 pkt 2</w:t>
      </w:r>
      <w:r w:rsidR="00356DCA">
        <w:rPr>
          <w:rFonts w:ascii="Times New Roman" w:hAnsi="Times New Roman" w:cs="Times New Roman"/>
          <w:sz w:val="24"/>
          <w:szCs w:val="24"/>
        </w:rPr>
        <w:t>3</w:t>
      </w:r>
      <w:r w:rsidRPr="00EB304C">
        <w:rPr>
          <w:rFonts w:ascii="Times New Roman" w:hAnsi="Times New Roman" w:cs="Times New Roman"/>
          <w:sz w:val="24"/>
          <w:szCs w:val="24"/>
        </w:rPr>
        <w:t xml:space="preserve"> zawarto definicję wyłączonego operatora platformy, przy czym odniesienie do modelu biznesowego może obejmować sytuacje, kiedy np. operator platformy umożliwia dostęp do platformy wyłącznie wyłączonym sprzedawcom, zapewniając w ten sposób, że nie ma tam sprzedawców podlegających obowiązkowi zgłoszenia.</w:t>
      </w:r>
      <w:r w:rsidRPr="00EB304C">
        <w:rPr>
          <w:rFonts w:ascii="Times New Roman" w:hAnsi="Times New Roman" w:cs="Times New Roman"/>
        </w:rPr>
        <w:t xml:space="preserve"> </w:t>
      </w:r>
      <w:r w:rsidRPr="00EB304C">
        <w:rPr>
          <w:rFonts w:ascii="Times New Roman" w:hAnsi="Times New Roman" w:cs="Times New Roman"/>
          <w:sz w:val="24"/>
          <w:szCs w:val="24"/>
        </w:rPr>
        <w:t xml:space="preserve">Należy </w:t>
      </w:r>
      <w:r w:rsidR="00954E6D" w:rsidRPr="00EB304C">
        <w:rPr>
          <w:rFonts w:ascii="Times New Roman" w:hAnsi="Times New Roman" w:cs="Times New Roman"/>
          <w:sz w:val="24"/>
          <w:szCs w:val="24"/>
        </w:rPr>
        <w:t>to wykazać w sposób wystarczający dla administracji podatkowej</w:t>
      </w:r>
      <w:r w:rsidRPr="00EB304C">
        <w:rPr>
          <w:rFonts w:ascii="Times New Roman" w:hAnsi="Times New Roman" w:cs="Times New Roman"/>
          <w:sz w:val="24"/>
          <w:szCs w:val="24"/>
        </w:rPr>
        <w:t xml:space="preserve"> przez wyjaśnienie wszystkich istniejących okoliczności umożliwiających uznanie, że podmiot jest wyłączonym operatorem platformy. W modelach mieszanych, tj. je</w:t>
      </w:r>
      <w:r w:rsidR="00743475">
        <w:rPr>
          <w:rFonts w:ascii="Times New Roman" w:hAnsi="Times New Roman" w:cs="Times New Roman"/>
          <w:sz w:val="24"/>
          <w:szCs w:val="24"/>
        </w:rPr>
        <w:t>że</w:t>
      </w:r>
      <w:r w:rsidRPr="00EB304C">
        <w:rPr>
          <w:rFonts w:ascii="Times New Roman" w:hAnsi="Times New Roman" w:cs="Times New Roman"/>
          <w:sz w:val="24"/>
          <w:szCs w:val="24"/>
        </w:rPr>
        <w:t xml:space="preserve">li operator platformy umożliwia zawieranie transakcji za pośrednictwem platformy </w:t>
      </w:r>
      <w:r w:rsidR="00954E6D" w:rsidRPr="00EB304C">
        <w:rPr>
          <w:rFonts w:ascii="Times New Roman" w:hAnsi="Times New Roman" w:cs="Times New Roman"/>
          <w:sz w:val="24"/>
          <w:szCs w:val="24"/>
        </w:rPr>
        <w:t>lub poza nią (np. przez wystawianie ofert lub reklamowanie, o których mowa w art. 75a ust. 2 pkt 2 ustawy</w:t>
      </w:r>
      <w:r w:rsidRPr="00EB304C">
        <w:rPr>
          <w:rFonts w:ascii="Times New Roman" w:hAnsi="Times New Roman" w:cs="Times New Roman"/>
          <w:sz w:val="24"/>
          <w:szCs w:val="24"/>
        </w:rPr>
        <w:t xml:space="preserve">), bierze się pod uwagę te transakcje, które </w:t>
      </w:r>
      <w:r w:rsidR="00D6526B" w:rsidRPr="00EB304C">
        <w:rPr>
          <w:rFonts w:ascii="Times New Roman" w:hAnsi="Times New Roman" w:cs="Times New Roman"/>
          <w:sz w:val="24"/>
          <w:szCs w:val="24"/>
        </w:rPr>
        <w:t xml:space="preserve">zostały dokonane </w:t>
      </w:r>
      <w:r w:rsidRPr="00EB304C">
        <w:rPr>
          <w:rFonts w:ascii="Times New Roman" w:hAnsi="Times New Roman" w:cs="Times New Roman"/>
          <w:sz w:val="24"/>
          <w:szCs w:val="24"/>
        </w:rPr>
        <w:t>za pośrednictwem platformy. Podobnie je</w:t>
      </w:r>
      <w:r w:rsidR="00743475">
        <w:rPr>
          <w:rFonts w:ascii="Times New Roman" w:hAnsi="Times New Roman" w:cs="Times New Roman"/>
          <w:sz w:val="24"/>
          <w:szCs w:val="24"/>
        </w:rPr>
        <w:t>że</w:t>
      </w:r>
      <w:r w:rsidRPr="00EB304C">
        <w:rPr>
          <w:rFonts w:ascii="Times New Roman" w:hAnsi="Times New Roman" w:cs="Times New Roman"/>
          <w:sz w:val="24"/>
          <w:szCs w:val="24"/>
        </w:rPr>
        <w:t>li dana transakcja może zostać zawarta za pośrednictwem platformy lub poza nią – bierze się pod uwagę</w:t>
      </w:r>
      <w:r w:rsidR="00EC7CC0" w:rsidRPr="00EB304C">
        <w:rPr>
          <w:rFonts w:ascii="Times New Roman" w:hAnsi="Times New Roman" w:cs="Times New Roman"/>
          <w:sz w:val="24"/>
          <w:szCs w:val="24"/>
        </w:rPr>
        <w:t xml:space="preserve"> to</w:t>
      </w:r>
      <w:r w:rsidR="008F576B">
        <w:rPr>
          <w:rFonts w:ascii="Times New Roman" w:hAnsi="Times New Roman" w:cs="Times New Roman"/>
          <w:sz w:val="24"/>
          <w:szCs w:val="24"/>
        </w:rPr>
        <w:t>,</w:t>
      </w:r>
      <w:r w:rsidRPr="00EB304C">
        <w:rPr>
          <w:rFonts w:ascii="Times New Roman" w:hAnsi="Times New Roman" w:cs="Times New Roman"/>
          <w:sz w:val="24"/>
          <w:szCs w:val="24"/>
        </w:rPr>
        <w:t xml:space="preserve"> który tryb został zrealizowany. Raportowaniu będą podlegały wówczas te transakcje, które zostały dokonane za pośrednictwem platformy.</w:t>
      </w:r>
    </w:p>
    <w:p w14:paraId="1BACE0AE" w14:textId="01608C52" w:rsidR="00356DCA" w:rsidRPr="006815B9" w:rsidRDefault="00356DCA" w:rsidP="00507007">
      <w:pPr>
        <w:pStyle w:val="Akapitzlist"/>
        <w:numPr>
          <w:ilvl w:val="0"/>
          <w:numId w:val="2"/>
        </w:num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 xml:space="preserve">Wyłączonego sprzedawcy – </w:t>
      </w:r>
      <w:r w:rsidR="008F576B">
        <w:rPr>
          <w:rFonts w:ascii="Times New Roman" w:hAnsi="Times New Roman" w:cs="Times New Roman"/>
          <w:sz w:val="24"/>
          <w:szCs w:val="24"/>
        </w:rPr>
        <w:t>w</w:t>
      </w:r>
      <w:r w:rsidRPr="00EB304C">
        <w:rPr>
          <w:rFonts w:ascii="Times New Roman" w:hAnsi="Times New Roman" w:cs="Times New Roman"/>
          <w:sz w:val="24"/>
          <w:szCs w:val="24"/>
        </w:rPr>
        <w:t xml:space="preserve"> art. 75a ust. 1 pkt 2</w:t>
      </w:r>
      <w:r>
        <w:rPr>
          <w:rFonts w:ascii="Times New Roman" w:hAnsi="Times New Roman" w:cs="Times New Roman"/>
          <w:sz w:val="24"/>
          <w:szCs w:val="24"/>
        </w:rPr>
        <w:t>4</w:t>
      </w:r>
      <w:r w:rsidRPr="00EB304C">
        <w:rPr>
          <w:rFonts w:ascii="Times New Roman" w:hAnsi="Times New Roman" w:cs="Times New Roman"/>
          <w:sz w:val="24"/>
          <w:szCs w:val="24"/>
        </w:rPr>
        <w:t xml:space="preserve"> </w:t>
      </w:r>
      <w:r w:rsidR="008F576B">
        <w:rPr>
          <w:rFonts w:ascii="Times New Roman" w:hAnsi="Times New Roman" w:cs="Times New Roman"/>
          <w:sz w:val="24"/>
          <w:szCs w:val="24"/>
        </w:rPr>
        <w:t xml:space="preserve">wskazano </w:t>
      </w:r>
      <w:r w:rsidRPr="00EB304C">
        <w:rPr>
          <w:rFonts w:ascii="Times New Roman" w:hAnsi="Times New Roman" w:cs="Times New Roman"/>
          <w:sz w:val="24"/>
          <w:szCs w:val="24"/>
        </w:rPr>
        <w:t>podmioty wyłączone z zakresu raportowania. Są to: podmioty rządowe, podmioty notowane na giełdzie,</w:t>
      </w:r>
      <w:r>
        <w:rPr>
          <w:rFonts w:ascii="Times New Roman" w:hAnsi="Times New Roman" w:cs="Times New Roman"/>
          <w:sz w:val="24"/>
          <w:szCs w:val="24"/>
        </w:rPr>
        <w:t xml:space="preserve"> podmioty</w:t>
      </w:r>
      <w:r w:rsidRPr="00EB304C">
        <w:rPr>
          <w:rFonts w:ascii="Times New Roman" w:hAnsi="Times New Roman" w:cs="Times New Roman"/>
          <w:sz w:val="24"/>
          <w:szCs w:val="24"/>
        </w:rPr>
        <w:t>, któr</w:t>
      </w:r>
      <w:r>
        <w:rPr>
          <w:rFonts w:ascii="Times New Roman" w:hAnsi="Times New Roman" w:cs="Times New Roman"/>
          <w:sz w:val="24"/>
          <w:szCs w:val="24"/>
        </w:rPr>
        <w:t>e</w:t>
      </w:r>
      <w:r w:rsidRPr="00EB304C">
        <w:rPr>
          <w:rFonts w:ascii="Times New Roman" w:hAnsi="Times New Roman" w:cs="Times New Roman"/>
          <w:sz w:val="24"/>
          <w:szCs w:val="24"/>
        </w:rPr>
        <w:t xml:space="preserve"> zawar</w:t>
      </w:r>
      <w:r>
        <w:rPr>
          <w:rFonts w:ascii="Times New Roman" w:hAnsi="Times New Roman" w:cs="Times New Roman"/>
          <w:sz w:val="24"/>
          <w:szCs w:val="24"/>
        </w:rPr>
        <w:t>ły</w:t>
      </w:r>
      <w:r w:rsidRPr="00EB304C">
        <w:rPr>
          <w:rFonts w:ascii="Times New Roman" w:hAnsi="Times New Roman" w:cs="Times New Roman"/>
          <w:sz w:val="24"/>
          <w:szCs w:val="24"/>
        </w:rPr>
        <w:t xml:space="preserve"> ponad 2000</w:t>
      </w:r>
      <w:r>
        <w:rPr>
          <w:rFonts w:ascii="Times New Roman" w:hAnsi="Times New Roman" w:cs="Times New Roman"/>
          <w:sz w:val="24"/>
          <w:szCs w:val="24"/>
        </w:rPr>
        <w:t xml:space="preserve"> </w:t>
      </w:r>
      <w:r w:rsidRPr="00EB304C">
        <w:rPr>
          <w:rFonts w:ascii="Times New Roman" w:hAnsi="Times New Roman" w:cs="Times New Roman"/>
          <w:sz w:val="24"/>
          <w:szCs w:val="24"/>
        </w:rPr>
        <w:t>stosownych czynności dotyczących udostępnienia nieruchomości</w:t>
      </w:r>
      <w:r>
        <w:rPr>
          <w:rFonts w:ascii="Times New Roman" w:hAnsi="Times New Roman" w:cs="Times New Roman"/>
          <w:sz w:val="24"/>
          <w:szCs w:val="24"/>
        </w:rPr>
        <w:t xml:space="preserve"> w odniesieniu do grupy obiektów</w:t>
      </w:r>
      <w:r w:rsidRPr="00EB304C">
        <w:rPr>
          <w:rFonts w:ascii="Times New Roman" w:hAnsi="Times New Roman" w:cs="Times New Roman"/>
          <w:sz w:val="24"/>
          <w:szCs w:val="24"/>
        </w:rPr>
        <w:t xml:space="preserve"> w okresie sprawozdawczym</w:t>
      </w:r>
      <w:r w:rsidR="00743475">
        <w:rPr>
          <w:rFonts w:ascii="Times New Roman" w:hAnsi="Times New Roman" w:cs="Times New Roman"/>
          <w:sz w:val="24"/>
          <w:szCs w:val="24"/>
        </w:rPr>
        <w:t>,</w:t>
      </w:r>
      <w:r w:rsidRPr="00EB304C">
        <w:rPr>
          <w:rFonts w:ascii="Times New Roman" w:hAnsi="Times New Roman" w:cs="Times New Roman"/>
          <w:sz w:val="24"/>
          <w:szCs w:val="24"/>
        </w:rPr>
        <w:t xml:space="preserve"> oraz podatnicy sprzedający okazjonalnie rzeczy (głównie używane) w trakcie okresu sprawozdawczego</w:t>
      </w:r>
      <w:r>
        <w:rPr>
          <w:rFonts w:ascii="Times New Roman" w:hAnsi="Times New Roman" w:cs="Times New Roman"/>
          <w:sz w:val="24"/>
          <w:szCs w:val="24"/>
        </w:rPr>
        <w:t xml:space="preserve"> </w:t>
      </w:r>
      <w:r w:rsidRPr="00EB304C">
        <w:rPr>
          <w:rFonts w:ascii="Times New Roman" w:hAnsi="Times New Roman" w:cs="Times New Roman"/>
          <w:sz w:val="24"/>
          <w:szCs w:val="24"/>
        </w:rPr>
        <w:t>(mniej niż 30 transakcji za kwotę do 2000 euro). Wyłączenia dotyczące podmiotów rządowych oraz podlegających przepisom giełdowym opierają się na założeniu, że ze względu na swój publiczny status istnieje niewielkie prawdopodobieństwo, aby te podmioty funkcjonowały w tzw. szarej strefie.</w:t>
      </w:r>
    </w:p>
    <w:p w14:paraId="353B6BCD" w14:textId="613301C3" w:rsidR="00CC7EE7" w:rsidRPr="00EB304C" w:rsidRDefault="00CC7EE7" w:rsidP="00507007">
      <w:pPr>
        <w:pStyle w:val="Akapitzlist"/>
        <w:numPr>
          <w:ilvl w:val="0"/>
          <w:numId w:val="2"/>
        </w:num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Wynagrodzeni</w:t>
      </w:r>
      <w:r w:rsidR="00981505">
        <w:rPr>
          <w:rFonts w:ascii="Times New Roman" w:hAnsi="Times New Roman" w:cs="Times New Roman"/>
          <w:sz w:val="24"/>
          <w:szCs w:val="24"/>
        </w:rPr>
        <w:t>a</w:t>
      </w:r>
      <w:r w:rsidRPr="00EB304C">
        <w:rPr>
          <w:rFonts w:ascii="Times New Roman" w:hAnsi="Times New Roman" w:cs="Times New Roman"/>
          <w:sz w:val="24"/>
          <w:szCs w:val="24"/>
        </w:rPr>
        <w:t xml:space="preserve"> – w art. 75a ust. 1 pkt 2</w:t>
      </w:r>
      <w:r w:rsidR="008A36EB">
        <w:rPr>
          <w:rFonts w:ascii="Times New Roman" w:hAnsi="Times New Roman" w:cs="Times New Roman"/>
          <w:sz w:val="24"/>
          <w:szCs w:val="24"/>
        </w:rPr>
        <w:t>5</w:t>
      </w:r>
      <w:r w:rsidRPr="00EB304C">
        <w:rPr>
          <w:rFonts w:ascii="Times New Roman" w:hAnsi="Times New Roman" w:cs="Times New Roman"/>
          <w:sz w:val="24"/>
          <w:szCs w:val="24"/>
        </w:rPr>
        <w:t xml:space="preserve"> zawarto definicję wynagrodzenia, przy czym jest to kwota, która stanowi wartość będąc</w:t>
      </w:r>
      <w:r w:rsidR="00D6526B" w:rsidRPr="00EB304C">
        <w:rPr>
          <w:rFonts w:ascii="Times New Roman" w:hAnsi="Times New Roman" w:cs="Times New Roman"/>
          <w:sz w:val="24"/>
          <w:szCs w:val="24"/>
        </w:rPr>
        <w:t>ą w dyspozycji sprzedawcy, a wię</w:t>
      </w:r>
      <w:r w:rsidRPr="00EB304C">
        <w:rPr>
          <w:rFonts w:ascii="Times New Roman" w:hAnsi="Times New Roman" w:cs="Times New Roman"/>
          <w:sz w:val="24"/>
          <w:szCs w:val="24"/>
        </w:rPr>
        <w:t>c pomniejszona o składki, prowizje etc. Jednocześnie jest to wartość wypłacona lub uznana</w:t>
      </w:r>
      <w:r w:rsidR="00F97F96" w:rsidRPr="00F97F96">
        <w:rPr>
          <w:rFonts w:ascii="Times New Roman" w:hAnsi="Times New Roman" w:cs="Times New Roman"/>
          <w:sz w:val="24"/>
          <w:szCs w:val="24"/>
        </w:rPr>
        <w:t xml:space="preserve"> </w:t>
      </w:r>
      <w:r w:rsidR="00F97F96">
        <w:rPr>
          <w:rFonts w:ascii="Times New Roman" w:hAnsi="Times New Roman" w:cs="Times New Roman"/>
          <w:sz w:val="24"/>
          <w:szCs w:val="24"/>
        </w:rPr>
        <w:t>(odwołanie się przez ustawodawcę do kryterium „uznania” wynagrodzenia na rzecz sprzedawcy stanowi realizację wymogu dyrektywowego)</w:t>
      </w:r>
      <w:r w:rsidRPr="00EB304C">
        <w:rPr>
          <w:rFonts w:ascii="Times New Roman" w:hAnsi="Times New Roman" w:cs="Times New Roman"/>
          <w:sz w:val="24"/>
          <w:szCs w:val="24"/>
        </w:rPr>
        <w:t xml:space="preserve">, co w nawiązaniu do </w:t>
      </w:r>
      <w:r w:rsidRPr="00EB304C">
        <w:rPr>
          <w:rFonts w:ascii="Times New Roman" w:hAnsi="Times New Roman" w:cs="Times New Roman"/>
          <w:sz w:val="24"/>
          <w:szCs w:val="24"/>
        </w:rPr>
        <w:lastRenderedPageBreak/>
        <w:t>art.</w:t>
      </w:r>
      <w:r w:rsidR="00743475">
        <w:rPr>
          <w:rFonts w:ascii="Times New Roman" w:hAnsi="Times New Roman" w:cs="Times New Roman"/>
          <w:sz w:val="24"/>
          <w:szCs w:val="24"/>
        </w:rPr>
        <w:t> </w:t>
      </w:r>
      <w:r w:rsidR="0072468D" w:rsidRPr="00EB304C">
        <w:rPr>
          <w:rFonts w:ascii="Times New Roman" w:hAnsi="Times New Roman" w:cs="Times New Roman"/>
          <w:sz w:val="24"/>
          <w:szCs w:val="24"/>
        </w:rPr>
        <w:t xml:space="preserve">75c powinno stanowić pierwszą z zaistniałych okoliczności (uznanie lub wypłata), przez co raportujący operator platformy nie wykazuje </w:t>
      </w:r>
      <w:r w:rsidR="00D6526B" w:rsidRPr="00EB304C">
        <w:rPr>
          <w:rFonts w:ascii="Times New Roman" w:hAnsi="Times New Roman" w:cs="Times New Roman"/>
          <w:sz w:val="24"/>
          <w:szCs w:val="24"/>
        </w:rPr>
        <w:t xml:space="preserve">podwójnie </w:t>
      </w:r>
      <w:r w:rsidR="0072468D" w:rsidRPr="00EB304C">
        <w:rPr>
          <w:rFonts w:ascii="Times New Roman" w:hAnsi="Times New Roman" w:cs="Times New Roman"/>
          <w:sz w:val="24"/>
          <w:szCs w:val="24"/>
        </w:rPr>
        <w:t>w informacji o sprzedawcach</w:t>
      </w:r>
      <w:r w:rsidR="00D6526B" w:rsidRPr="00EB304C">
        <w:rPr>
          <w:rFonts w:ascii="Times New Roman" w:hAnsi="Times New Roman" w:cs="Times New Roman"/>
          <w:sz w:val="24"/>
          <w:szCs w:val="24"/>
        </w:rPr>
        <w:t xml:space="preserve"> ich wynagrodzenia</w:t>
      </w:r>
      <w:r w:rsidR="0072468D" w:rsidRPr="00EB304C">
        <w:rPr>
          <w:rFonts w:ascii="Times New Roman" w:hAnsi="Times New Roman" w:cs="Times New Roman"/>
          <w:sz w:val="24"/>
          <w:szCs w:val="24"/>
        </w:rPr>
        <w:t>. W przypadku natomiast je</w:t>
      </w:r>
      <w:r w:rsidR="00743475">
        <w:rPr>
          <w:rFonts w:ascii="Times New Roman" w:hAnsi="Times New Roman" w:cs="Times New Roman"/>
          <w:sz w:val="24"/>
          <w:szCs w:val="24"/>
        </w:rPr>
        <w:t>że</w:t>
      </w:r>
      <w:r w:rsidR="0072468D" w:rsidRPr="00EB304C">
        <w:rPr>
          <w:rFonts w:ascii="Times New Roman" w:hAnsi="Times New Roman" w:cs="Times New Roman"/>
          <w:sz w:val="24"/>
          <w:szCs w:val="24"/>
        </w:rPr>
        <w:t xml:space="preserve">li dokonana lub dokonywana stosowna czynność miała miejsce w innym terminie niż uznanie lub wypłata wynagrodzenia, również należy wziąć pod uwagę pierwsze z zaistniałych zdarzeń. W sytuacji kiedy wynagrodzenie wykazane w informacji o sprzedawcach ulegnie zmianie, np. wskutek dokonania zwrotu lub odstąpienia od umowy, wówczas raportujący operator platformy powinien skorygować te dane na podstawie art. </w:t>
      </w:r>
      <w:r w:rsidR="00515CFB" w:rsidRPr="00EB304C">
        <w:rPr>
          <w:rFonts w:ascii="Times New Roman" w:hAnsi="Times New Roman" w:cs="Times New Roman"/>
          <w:sz w:val="24"/>
          <w:szCs w:val="24"/>
        </w:rPr>
        <w:t>75h.</w:t>
      </w:r>
      <w:r w:rsidR="00F97F96">
        <w:rPr>
          <w:rFonts w:ascii="Times New Roman" w:hAnsi="Times New Roman" w:cs="Times New Roman"/>
          <w:sz w:val="24"/>
          <w:szCs w:val="24"/>
        </w:rPr>
        <w:t xml:space="preserve"> </w:t>
      </w:r>
    </w:p>
    <w:p w14:paraId="085BE116" w14:textId="77777777" w:rsidR="009913D2" w:rsidRPr="00EB304C" w:rsidRDefault="009913D2" w:rsidP="00507007">
      <w:pPr>
        <w:pStyle w:val="Akapitzlist"/>
        <w:pBdr>
          <w:top w:val="nil"/>
          <w:left w:val="nil"/>
          <w:bottom w:val="nil"/>
          <w:right w:val="nil"/>
          <w:between w:val="nil"/>
          <w:bar w:val="nil"/>
        </w:pBdr>
        <w:spacing w:before="120" w:after="0" w:line="360" w:lineRule="auto"/>
        <w:jc w:val="both"/>
        <w:rPr>
          <w:rFonts w:ascii="Times New Roman" w:hAnsi="Times New Roman" w:cs="Times New Roman"/>
          <w:sz w:val="24"/>
          <w:szCs w:val="24"/>
        </w:rPr>
      </w:pPr>
    </w:p>
    <w:p w14:paraId="298216FB" w14:textId="7CD77944" w:rsidR="00CE2544" w:rsidRPr="00EB304C" w:rsidRDefault="009913D2" w:rsidP="00507007">
      <w:pPr>
        <w:pStyle w:val="Akapitzlist"/>
        <w:pBdr>
          <w:top w:val="nil"/>
          <w:left w:val="nil"/>
          <w:bottom w:val="nil"/>
          <w:right w:val="nil"/>
          <w:between w:val="nil"/>
          <w:bar w:val="nil"/>
        </w:pBdr>
        <w:spacing w:before="120" w:after="0" w:line="360" w:lineRule="auto"/>
        <w:ind w:left="0"/>
        <w:jc w:val="both"/>
        <w:rPr>
          <w:rFonts w:ascii="Times New Roman" w:hAnsi="Times New Roman" w:cs="Times New Roman"/>
        </w:rPr>
      </w:pPr>
      <w:r w:rsidRPr="00EB304C">
        <w:rPr>
          <w:rFonts w:ascii="Times New Roman" w:hAnsi="Times New Roman" w:cs="Times New Roman"/>
          <w:sz w:val="24"/>
          <w:szCs w:val="24"/>
        </w:rPr>
        <w:t>W art. 75a ust. 3 określono</w:t>
      </w:r>
      <w:r w:rsidR="00AF3023">
        <w:rPr>
          <w:rFonts w:ascii="Times New Roman" w:hAnsi="Times New Roman" w:cs="Times New Roman"/>
          <w:sz w:val="24"/>
          <w:szCs w:val="24"/>
        </w:rPr>
        <w:t>,</w:t>
      </w:r>
      <w:r w:rsidRPr="00EB304C">
        <w:rPr>
          <w:rFonts w:ascii="Times New Roman" w:hAnsi="Times New Roman" w:cs="Times New Roman"/>
          <w:sz w:val="24"/>
          <w:szCs w:val="24"/>
        </w:rPr>
        <w:t xml:space="preserve"> jakie podmioty są podmiotami powiązanymi, co ma później </w:t>
      </w:r>
      <w:r w:rsidR="009E40D8" w:rsidRPr="00EB304C">
        <w:rPr>
          <w:rFonts w:ascii="Times New Roman" w:hAnsi="Times New Roman" w:cs="Times New Roman"/>
          <w:sz w:val="24"/>
          <w:szCs w:val="24"/>
        </w:rPr>
        <w:t>zastosowanie w definicji stosow</w:t>
      </w:r>
      <w:r w:rsidRPr="00EB304C">
        <w:rPr>
          <w:rFonts w:ascii="Times New Roman" w:hAnsi="Times New Roman" w:cs="Times New Roman"/>
          <w:sz w:val="24"/>
          <w:szCs w:val="24"/>
        </w:rPr>
        <w:t xml:space="preserve">nej czynności </w:t>
      </w:r>
      <w:r w:rsidR="00EC7CC0" w:rsidRPr="00EB304C">
        <w:rPr>
          <w:rFonts w:ascii="Times New Roman" w:hAnsi="Times New Roman" w:cs="Times New Roman"/>
          <w:sz w:val="24"/>
          <w:szCs w:val="24"/>
        </w:rPr>
        <w:t>z</w:t>
      </w:r>
      <w:r w:rsidRPr="00EB304C">
        <w:rPr>
          <w:rFonts w:ascii="Times New Roman" w:hAnsi="Times New Roman" w:cs="Times New Roman"/>
          <w:sz w:val="24"/>
          <w:szCs w:val="24"/>
        </w:rPr>
        <w:t xml:space="preserve"> art. 75a ust. 1 pkt 2</w:t>
      </w:r>
      <w:r w:rsidR="008A36EB">
        <w:rPr>
          <w:rFonts w:ascii="Times New Roman" w:hAnsi="Times New Roman" w:cs="Times New Roman"/>
          <w:sz w:val="24"/>
          <w:szCs w:val="24"/>
        </w:rPr>
        <w:t>0</w:t>
      </w:r>
      <w:r w:rsidRPr="00EB304C">
        <w:rPr>
          <w:rFonts w:ascii="Times New Roman" w:hAnsi="Times New Roman" w:cs="Times New Roman"/>
          <w:sz w:val="24"/>
          <w:szCs w:val="24"/>
        </w:rPr>
        <w:t xml:space="preserve"> (są to wymienione w tym artykule czynności</w:t>
      </w:r>
      <w:r w:rsidR="00AF3023">
        <w:rPr>
          <w:rFonts w:ascii="Times New Roman" w:hAnsi="Times New Roman" w:cs="Times New Roman"/>
          <w:sz w:val="24"/>
          <w:szCs w:val="24"/>
        </w:rPr>
        <w:t>,</w:t>
      </w:r>
      <w:r w:rsidRPr="00EB304C">
        <w:rPr>
          <w:rFonts w:ascii="Times New Roman" w:hAnsi="Times New Roman" w:cs="Times New Roman"/>
          <w:sz w:val="24"/>
          <w:szCs w:val="24"/>
        </w:rPr>
        <w:t xml:space="preserve"> z wyjątkiem czynności wykonywanych przez sprzedawcę będącego pracownikiem raportującego operatora platform lub powiązanego podmiotu operatora platformy)</w:t>
      </w:r>
      <w:r w:rsidR="008F576B">
        <w:rPr>
          <w:rFonts w:ascii="Times New Roman" w:hAnsi="Times New Roman" w:cs="Times New Roman"/>
          <w:sz w:val="24"/>
          <w:szCs w:val="24"/>
        </w:rPr>
        <w:t>,</w:t>
      </w:r>
      <w:r w:rsidRPr="00EB304C">
        <w:rPr>
          <w:rFonts w:ascii="Times New Roman" w:hAnsi="Times New Roman" w:cs="Times New Roman"/>
          <w:sz w:val="24"/>
          <w:szCs w:val="24"/>
        </w:rPr>
        <w:t xml:space="preserve"> a także w definicji wyłączonego sprzedawcy w zakresie określonym w art. 75a ust.</w:t>
      </w:r>
      <w:r w:rsidR="00AF3023">
        <w:rPr>
          <w:rFonts w:ascii="Times New Roman" w:hAnsi="Times New Roman" w:cs="Times New Roman"/>
          <w:sz w:val="24"/>
          <w:szCs w:val="24"/>
        </w:rPr>
        <w:t> </w:t>
      </w:r>
      <w:r w:rsidRPr="00EB304C">
        <w:rPr>
          <w:rFonts w:ascii="Times New Roman" w:hAnsi="Times New Roman" w:cs="Times New Roman"/>
          <w:sz w:val="24"/>
          <w:szCs w:val="24"/>
        </w:rPr>
        <w:t>1 pkt 2</w:t>
      </w:r>
      <w:r w:rsidR="00356DCA">
        <w:rPr>
          <w:rFonts w:ascii="Times New Roman" w:hAnsi="Times New Roman" w:cs="Times New Roman"/>
          <w:sz w:val="24"/>
          <w:szCs w:val="24"/>
        </w:rPr>
        <w:t>4</w:t>
      </w:r>
      <w:r w:rsidRPr="00EB304C">
        <w:rPr>
          <w:rFonts w:ascii="Times New Roman" w:hAnsi="Times New Roman" w:cs="Times New Roman"/>
          <w:sz w:val="24"/>
          <w:szCs w:val="24"/>
        </w:rPr>
        <w:t xml:space="preserve"> lit. b (</w:t>
      </w:r>
      <w:r w:rsidR="00357CC7" w:rsidRPr="00EB304C">
        <w:rPr>
          <w:rFonts w:ascii="Times New Roman" w:hAnsi="Times New Roman" w:cs="Times New Roman"/>
          <w:sz w:val="24"/>
          <w:szCs w:val="24"/>
        </w:rPr>
        <w:t xml:space="preserve">tj. </w:t>
      </w:r>
      <w:r w:rsidRPr="00EB304C">
        <w:rPr>
          <w:rFonts w:ascii="Times New Roman" w:hAnsi="Times New Roman" w:cs="Times New Roman"/>
          <w:sz w:val="24"/>
          <w:szCs w:val="24"/>
        </w:rPr>
        <w:t>będącego podmiotem, którego akcje są przedmiotem regularnego obrotu na regulowanym rynku papierów wartościowych</w:t>
      </w:r>
      <w:r w:rsidR="00AF3023">
        <w:rPr>
          <w:rFonts w:ascii="Times New Roman" w:hAnsi="Times New Roman" w:cs="Times New Roman"/>
          <w:sz w:val="24"/>
          <w:szCs w:val="24"/>
        </w:rPr>
        <w:t>,</w:t>
      </w:r>
      <w:r w:rsidRPr="00EB304C">
        <w:rPr>
          <w:rFonts w:ascii="Times New Roman" w:hAnsi="Times New Roman" w:cs="Times New Roman"/>
          <w:sz w:val="24"/>
          <w:szCs w:val="24"/>
        </w:rPr>
        <w:t xml:space="preserve"> lub podmiotem powiązanym podmiotu, którego akcje są przedmiotem takiego obrotu</w:t>
      </w:r>
      <w:r w:rsidR="00357CC7" w:rsidRPr="00EB304C">
        <w:rPr>
          <w:rFonts w:ascii="Times New Roman" w:hAnsi="Times New Roman" w:cs="Times New Roman"/>
          <w:sz w:val="24"/>
          <w:szCs w:val="24"/>
        </w:rPr>
        <w:t xml:space="preserve">). </w:t>
      </w:r>
      <w:r w:rsidR="00EC7CC0" w:rsidRPr="00EB304C">
        <w:rPr>
          <w:rFonts w:ascii="Times New Roman" w:hAnsi="Times New Roman" w:cs="Times New Roman"/>
          <w:sz w:val="24"/>
          <w:szCs w:val="24"/>
        </w:rPr>
        <w:t>Zasadn</w:t>
      </w:r>
      <w:r w:rsidR="00AF3023">
        <w:rPr>
          <w:rFonts w:ascii="Times New Roman" w:hAnsi="Times New Roman" w:cs="Times New Roman"/>
          <w:sz w:val="24"/>
          <w:szCs w:val="24"/>
        </w:rPr>
        <w:t>e</w:t>
      </w:r>
      <w:r w:rsidR="00EC7CC0" w:rsidRPr="00EB304C">
        <w:rPr>
          <w:rFonts w:ascii="Times New Roman" w:hAnsi="Times New Roman" w:cs="Times New Roman"/>
          <w:sz w:val="24"/>
          <w:szCs w:val="24"/>
        </w:rPr>
        <w:t xml:space="preserve"> jest, aby </w:t>
      </w:r>
      <w:r w:rsidR="00357CC7" w:rsidRPr="00EB304C">
        <w:rPr>
          <w:rFonts w:ascii="Times New Roman" w:hAnsi="Times New Roman" w:cs="Times New Roman"/>
          <w:sz w:val="24"/>
          <w:szCs w:val="24"/>
        </w:rPr>
        <w:t>weryfikacja, czy podmi</w:t>
      </w:r>
      <w:r w:rsidR="009E40D8" w:rsidRPr="00EB304C">
        <w:rPr>
          <w:rFonts w:ascii="Times New Roman" w:hAnsi="Times New Roman" w:cs="Times New Roman"/>
          <w:sz w:val="24"/>
          <w:szCs w:val="24"/>
        </w:rPr>
        <w:t>ot jest powiązany</w:t>
      </w:r>
      <w:r w:rsidR="00AF3023">
        <w:rPr>
          <w:rFonts w:ascii="Times New Roman" w:hAnsi="Times New Roman" w:cs="Times New Roman"/>
          <w:sz w:val="24"/>
          <w:szCs w:val="24"/>
        </w:rPr>
        <w:t>,</w:t>
      </w:r>
      <w:r w:rsidR="00357CC7" w:rsidRPr="00EB304C">
        <w:rPr>
          <w:rFonts w:ascii="Times New Roman" w:hAnsi="Times New Roman" w:cs="Times New Roman"/>
          <w:sz w:val="24"/>
          <w:szCs w:val="24"/>
        </w:rPr>
        <w:t xml:space="preserve"> następowa</w:t>
      </w:r>
      <w:r w:rsidR="00EC7CC0" w:rsidRPr="00EB304C">
        <w:rPr>
          <w:rFonts w:ascii="Times New Roman" w:hAnsi="Times New Roman" w:cs="Times New Roman"/>
          <w:sz w:val="24"/>
          <w:szCs w:val="24"/>
        </w:rPr>
        <w:t>ła</w:t>
      </w:r>
      <w:r w:rsidR="00357CC7" w:rsidRPr="00EB304C">
        <w:rPr>
          <w:rFonts w:ascii="Times New Roman" w:hAnsi="Times New Roman" w:cs="Times New Roman"/>
          <w:sz w:val="24"/>
          <w:szCs w:val="24"/>
        </w:rPr>
        <w:t xml:space="preserve"> </w:t>
      </w:r>
      <w:r w:rsidR="008F576B">
        <w:rPr>
          <w:rFonts w:ascii="Times New Roman" w:hAnsi="Times New Roman" w:cs="Times New Roman"/>
          <w:sz w:val="24"/>
          <w:szCs w:val="24"/>
        </w:rPr>
        <w:t xml:space="preserve">w </w:t>
      </w:r>
      <w:r w:rsidR="00357CC7" w:rsidRPr="00EB304C">
        <w:rPr>
          <w:rFonts w:ascii="Times New Roman" w:hAnsi="Times New Roman" w:cs="Times New Roman"/>
          <w:sz w:val="24"/>
          <w:szCs w:val="24"/>
        </w:rPr>
        <w:t>momen</w:t>
      </w:r>
      <w:r w:rsidR="008F576B">
        <w:rPr>
          <w:rFonts w:ascii="Times New Roman" w:hAnsi="Times New Roman" w:cs="Times New Roman"/>
          <w:sz w:val="24"/>
          <w:szCs w:val="24"/>
        </w:rPr>
        <w:t>cie</w:t>
      </w:r>
      <w:r w:rsidR="00357CC7" w:rsidRPr="00EB304C">
        <w:rPr>
          <w:rFonts w:ascii="Times New Roman" w:hAnsi="Times New Roman" w:cs="Times New Roman"/>
          <w:sz w:val="24"/>
          <w:szCs w:val="24"/>
        </w:rPr>
        <w:t xml:space="preserve"> dokonywania </w:t>
      </w:r>
      <w:r w:rsidR="00EC7CC0" w:rsidRPr="00EB304C">
        <w:rPr>
          <w:rFonts w:ascii="Times New Roman" w:hAnsi="Times New Roman" w:cs="Times New Roman"/>
          <w:sz w:val="24"/>
          <w:szCs w:val="24"/>
        </w:rPr>
        <w:t>czynności</w:t>
      </w:r>
      <w:r w:rsidR="00357CC7" w:rsidRPr="00EB304C">
        <w:rPr>
          <w:rFonts w:ascii="Times New Roman" w:hAnsi="Times New Roman" w:cs="Times New Roman"/>
          <w:sz w:val="24"/>
          <w:szCs w:val="24"/>
        </w:rPr>
        <w:t xml:space="preserve">. </w:t>
      </w:r>
    </w:p>
    <w:p w14:paraId="7EB861C3" w14:textId="71542754" w:rsidR="00CE2544" w:rsidRPr="00EB304C" w:rsidRDefault="00CE2544" w:rsidP="00507007">
      <w:pPr>
        <w:pStyle w:val="Akapitzlist"/>
        <w:pBdr>
          <w:top w:val="nil"/>
          <w:left w:val="nil"/>
          <w:bottom w:val="nil"/>
          <w:right w:val="nil"/>
          <w:between w:val="nil"/>
          <w:bar w:val="nil"/>
        </w:pBdr>
        <w:spacing w:before="120" w:after="0" w:line="360" w:lineRule="auto"/>
        <w:ind w:left="0"/>
        <w:jc w:val="both"/>
        <w:rPr>
          <w:rFonts w:ascii="Times New Roman" w:hAnsi="Times New Roman" w:cs="Times New Roman"/>
          <w:sz w:val="24"/>
          <w:szCs w:val="24"/>
        </w:rPr>
      </w:pPr>
      <w:r w:rsidRPr="00EB304C">
        <w:rPr>
          <w:rFonts w:ascii="Times New Roman" w:hAnsi="Times New Roman" w:cs="Times New Roman"/>
          <w:sz w:val="24"/>
          <w:szCs w:val="24"/>
        </w:rPr>
        <w:t xml:space="preserve">W art. 75a ust. </w:t>
      </w:r>
      <w:r w:rsidR="008F576B">
        <w:rPr>
          <w:rFonts w:ascii="Times New Roman" w:hAnsi="Times New Roman" w:cs="Times New Roman"/>
          <w:sz w:val="24"/>
          <w:szCs w:val="24"/>
        </w:rPr>
        <w:t>4</w:t>
      </w:r>
      <w:r w:rsidRPr="00EB304C">
        <w:rPr>
          <w:rFonts w:ascii="Times New Roman" w:hAnsi="Times New Roman" w:cs="Times New Roman"/>
          <w:sz w:val="24"/>
          <w:szCs w:val="24"/>
        </w:rPr>
        <w:t xml:space="preserve"> określono, że raportujący operator platformy z Unii Europejskiej będący rezydentem do celów podatkowych w innym niż Rzeczpospolita Polska państwie członkowskim </w:t>
      </w:r>
      <w:r w:rsidR="009E40D8" w:rsidRPr="00EB304C">
        <w:rPr>
          <w:rFonts w:ascii="Times New Roman" w:hAnsi="Times New Roman" w:cs="Times New Roman"/>
          <w:sz w:val="24"/>
          <w:szCs w:val="24"/>
        </w:rPr>
        <w:t>nie jest zobowiązany</w:t>
      </w:r>
      <w:r w:rsidRPr="00EB304C">
        <w:rPr>
          <w:rFonts w:ascii="Times New Roman" w:hAnsi="Times New Roman" w:cs="Times New Roman"/>
          <w:sz w:val="24"/>
          <w:szCs w:val="24"/>
        </w:rPr>
        <w:t xml:space="preserve"> do raportowa</w:t>
      </w:r>
      <w:r w:rsidR="009E40D8" w:rsidRPr="00EB304C">
        <w:rPr>
          <w:rFonts w:ascii="Times New Roman" w:hAnsi="Times New Roman" w:cs="Times New Roman"/>
          <w:sz w:val="24"/>
          <w:szCs w:val="24"/>
        </w:rPr>
        <w:t>nia w Polsce, jako że wypełnia</w:t>
      </w:r>
      <w:r w:rsidRPr="00EB304C">
        <w:rPr>
          <w:rFonts w:ascii="Times New Roman" w:hAnsi="Times New Roman" w:cs="Times New Roman"/>
          <w:sz w:val="24"/>
          <w:szCs w:val="24"/>
        </w:rPr>
        <w:t xml:space="preserve"> te obowiązki zgodnie z właściwymi przepisami państwa rezydencji podatkowej. </w:t>
      </w:r>
    </w:p>
    <w:p w14:paraId="3A4AF2DB" w14:textId="4475A4A5" w:rsidR="00145CA2" w:rsidRPr="00EB304C" w:rsidRDefault="00145CA2"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 xml:space="preserve">W art. 75a ust. </w:t>
      </w:r>
      <w:r w:rsidR="00231B62" w:rsidRPr="00EB304C">
        <w:rPr>
          <w:rFonts w:ascii="Times New Roman" w:hAnsi="Times New Roman" w:cs="Times New Roman"/>
          <w:sz w:val="24"/>
          <w:szCs w:val="24"/>
        </w:rPr>
        <w:t>6</w:t>
      </w:r>
      <w:r w:rsidRPr="00EB304C">
        <w:rPr>
          <w:rFonts w:ascii="Times New Roman" w:hAnsi="Times New Roman" w:cs="Times New Roman"/>
          <w:sz w:val="24"/>
          <w:szCs w:val="24"/>
        </w:rPr>
        <w:t xml:space="preserve"> zawarto zobowiązanie </w:t>
      </w:r>
      <w:r w:rsidR="00753436" w:rsidRPr="00EB304C">
        <w:rPr>
          <w:rFonts w:ascii="Times New Roman" w:hAnsi="Times New Roman" w:cs="Times New Roman"/>
          <w:sz w:val="24"/>
          <w:szCs w:val="24"/>
        </w:rPr>
        <w:t>ministra właściwego do spraw finansów publicznych</w:t>
      </w:r>
      <w:r w:rsidRPr="00EB304C">
        <w:rPr>
          <w:rFonts w:ascii="Times New Roman" w:hAnsi="Times New Roman" w:cs="Times New Roman"/>
          <w:sz w:val="24"/>
          <w:szCs w:val="24"/>
        </w:rPr>
        <w:t xml:space="preserve"> do </w:t>
      </w:r>
      <w:r w:rsidR="00C7017A" w:rsidRPr="00EB304C">
        <w:rPr>
          <w:rFonts w:ascii="Times New Roman" w:hAnsi="Times New Roman" w:cs="Times New Roman"/>
          <w:sz w:val="24"/>
          <w:szCs w:val="24"/>
        </w:rPr>
        <w:t xml:space="preserve">publikacji </w:t>
      </w:r>
      <w:r w:rsidR="00753436" w:rsidRPr="00EB304C">
        <w:rPr>
          <w:rFonts w:ascii="Times New Roman" w:hAnsi="Times New Roman" w:cs="Times New Roman"/>
          <w:sz w:val="24"/>
          <w:szCs w:val="24"/>
        </w:rPr>
        <w:t xml:space="preserve">oraz aktualizacji </w:t>
      </w:r>
      <w:r w:rsidR="00C7017A" w:rsidRPr="00EB304C">
        <w:rPr>
          <w:rFonts w:ascii="Times New Roman" w:hAnsi="Times New Roman" w:cs="Times New Roman"/>
          <w:sz w:val="24"/>
          <w:szCs w:val="24"/>
        </w:rPr>
        <w:t>listy państw i </w:t>
      </w:r>
      <w:r w:rsidRPr="00EB304C">
        <w:rPr>
          <w:rFonts w:ascii="Times New Roman" w:hAnsi="Times New Roman" w:cs="Times New Roman"/>
          <w:sz w:val="24"/>
          <w:szCs w:val="24"/>
        </w:rPr>
        <w:t>terytoriów, z którymi Rzeczpospolita Polska zawarła skuteczne kwalifikujące umowy lub inne porozumienia stanowiące podstawę automatycznej wymiany informacji o sprzedawcach, o której mowa w art.</w:t>
      </w:r>
      <w:r w:rsidR="007D6B36" w:rsidRPr="00EB304C">
        <w:rPr>
          <w:rFonts w:ascii="Times New Roman" w:hAnsi="Times New Roman" w:cs="Times New Roman"/>
          <w:sz w:val="24"/>
          <w:szCs w:val="24"/>
        </w:rPr>
        <w:t xml:space="preserve"> 75b ust. 1 (z</w:t>
      </w:r>
      <w:r w:rsidR="00AF3023">
        <w:rPr>
          <w:rFonts w:ascii="Times New Roman" w:hAnsi="Times New Roman" w:cs="Times New Roman"/>
          <w:sz w:val="24"/>
          <w:szCs w:val="24"/>
        </w:rPr>
        <w:t> </w:t>
      </w:r>
      <w:r w:rsidR="007D6B36" w:rsidRPr="00EB304C">
        <w:rPr>
          <w:rFonts w:ascii="Times New Roman" w:hAnsi="Times New Roman" w:cs="Times New Roman"/>
          <w:sz w:val="24"/>
          <w:szCs w:val="24"/>
        </w:rPr>
        <w:t>państwami, które nie są kwalifikowaną jurysdykcją spoza UE).</w:t>
      </w:r>
    </w:p>
    <w:p w14:paraId="351378C2" w14:textId="383A664D" w:rsidR="00085552" w:rsidRPr="00EB304C" w:rsidRDefault="00F8617C" w:rsidP="00507007">
      <w:pPr>
        <w:pStyle w:val="Akapitzlist"/>
        <w:numPr>
          <w:ilvl w:val="0"/>
          <w:numId w:val="11"/>
        </w:numPr>
        <w:pBdr>
          <w:top w:val="nil"/>
          <w:left w:val="nil"/>
          <w:bottom w:val="nil"/>
          <w:right w:val="nil"/>
          <w:between w:val="nil"/>
          <w:bar w:val="nil"/>
        </w:pBdr>
        <w:spacing w:before="120" w:after="0" w:line="360" w:lineRule="auto"/>
        <w:jc w:val="both"/>
        <w:rPr>
          <w:rFonts w:ascii="Times New Roman" w:hAnsi="Times New Roman" w:cs="Times New Roman"/>
          <w:b/>
          <w:sz w:val="24"/>
          <w:szCs w:val="24"/>
        </w:rPr>
      </w:pPr>
      <w:r w:rsidRPr="00EB304C">
        <w:rPr>
          <w:rFonts w:ascii="Times New Roman" w:hAnsi="Times New Roman" w:cs="Times New Roman"/>
          <w:b/>
          <w:sz w:val="24"/>
          <w:szCs w:val="24"/>
        </w:rPr>
        <w:t>Rozdział 2</w:t>
      </w:r>
      <w:r w:rsidR="00085552" w:rsidRPr="00EB304C">
        <w:rPr>
          <w:rFonts w:ascii="Times New Roman" w:hAnsi="Times New Roman" w:cs="Times New Roman"/>
          <w:b/>
          <w:sz w:val="24"/>
          <w:szCs w:val="24"/>
        </w:rPr>
        <w:t xml:space="preserve"> </w:t>
      </w:r>
      <w:r w:rsidRPr="00EB304C">
        <w:rPr>
          <w:rFonts w:ascii="Times New Roman" w:hAnsi="Times New Roman" w:cs="Times New Roman"/>
          <w:b/>
          <w:sz w:val="24"/>
          <w:szCs w:val="24"/>
        </w:rPr>
        <w:t xml:space="preserve">- </w:t>
      </w:r>
      <w:r w:rsidR="00085552" w:rsidRPr="00EB304C">
        <w:rPr>
          <w:rFonts w:ascii="Times New Roman" w:hAnsi="Times New Roman" w:cs="Times New Roman"/>
          <w:b/>
          <w:sz w:val="24"/>
          <w:szCs w:val="24"/>
        </w:rPr>
        <w:t>procedury sprawozdawcze</w:t>
      </w:r>
    </w:p>
    <w:p w14:paraId="28472D9D" w14:textId="703A33C4" w:rsidR="00877ADA" w:rsidRPr="00EB304C" w:rsidRDefault="00877ADA"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 xml:space="preserve">Rozdział 2 </w:t>
      </w:r>
      <w:r w:rsidR="00BF4A69">
        <w:rPr>
          <w:rFonts w:ascii="Times New Roman" w:hAnsi="Times New Roman" w:cs="Times New Roman"/>
          <w:sz w:val="24"/>
          <w:szCs w:val="24"/>
        </w:rPr>
        <w:t xml:space="preserve">określa </w:t>
      </w:r>
      <w:r w:rsidRPr="00EB304C">
        <w:rPr>
          <w:rFonts w:ascii="Times New Roman" w:hAnsi="Times New Roman" w:cs="Times New Roman"/>
          <w:sz w:val="24"/>
          <w:szCs w:val="24"/>
        </w:rPr>
        <w:t>zakres danych</w:t>
      </w:r>
      <w:r w:rsidR="00AF3023">
        <w:rPr>
          <w:rFonts w:ascii="Times New Roman" w:hAnsi="Times New Roman" w:cs="Times New Roman"/>
          <w:sz w:val="24"/>
          <w:szCs w:val="24"/>
        </w:rPr>
        <w:t>,</w:t>
      </w:r>
      <w:r w:rsidRPr="00EB304C">
        <w:rPr>
          <w:rFonts w:ascii="Times New Roman" w:hAnsi="Times New Roman" w:cs="Times New Roman"/>
          <w:sz w:val="24"/>
          <w:szCs w:val="24"/>
        </w:rPr>
        <w:t xml:space="preserve"> jaki powinien być przekazywany w informacji o sprzedawcach. Art</w:t>
      </w:r>
      <w:r w:rsidR="00AF3023">
        <w:rPr>
          <w:rFonts w:ascii="Times New Roman" w:hAnsi="Times New Roman" w:cs="Times New Roman"/>
          <w:sz w:val="24"/>
          <w:szCs w:val="24"/>
        </w:rPr>
        <w:t>.</w:t>
      </w:r>
      <w:r w:rsidRPr="00EB304C">
        <w:rPr>
          <w:rFonts w:ascii="Times New Roman" w:hAnsi="Times New Roman" w:cs="Times New Roman"/>
          <w:sz w:val="24"/>
          <w:szCs w:val="24"/>
        </w:rPr>
        <w:t xml:space="preserve"> </w:t>
      </w:r>
      <w:r w:rsidR="007F6AEA" w:rsidRPr="00EB304C">
        <w:rPr>
          <w:rFonts w:ascii="Times New Roman" w:hAnsi="Times New Roman" w:cs="Times New Roman"/>
          <w:sz w:val="24"/>
          <w:szCs w:val="24"/>
        </w:rPr>
        <w:t>75b</w:t>
      </w:r>
      <w:r w:rsidRPr="00EB304C">
        <w:rPr>
          <w:rFonts w:ascii="Times New Roman" w:hAnsi="Times New Roman" w:cs="Times New Roman"/>
          <w:sz w:val="24"/>
          <w:szCs w:val="24"/>
        </w:rPr>
        <w:t xml:space="preserve"> w tym rozdziale wskazuje kluczow</w:t>
      </w:r>
      <w:r w:rsidR="007F6AEA" w:rsidRPr="00EB304C">
        <w:rPr>
          <w:rFonts w:ascii="Times New Roman" w:hAnsi="Times New Roman" w:cs="Times New Roman"/>
          <w:sz w:val="24"/>
          <w:szCs w:val="24"/>
        </w:rPr>
        <w:t>e</w:t>
      </w:r>
      <w:r w:rsidRPr="00EB304C">
        <w:rPr>
          <w:rFonts w:ascii="Times New Roman" w:hAnsi="Times New Roman" w:cs="Times New Roman"/>
          <w:sz w:val="24"/>
          <w:szCs w:val="24"/>
        </w:rPr>
        <w:t xml:space="preserve"> dla projektu </w:t>
      </w:r>
      <w:r w:rsidR="007F6AEA" w:rsidRPr="00EB304C">
        <w:rPr>
          <w:rFonts w:ascii="Times New Roman" w:hAnsi="Times New Roman" w:cs="Times New Roman"/>
          <w:sz w:val="24"/>
          <w:szCs w:val="24"/>
        </w:rPr>
        <w:t>procedury</w:t>
      </w:r>
      <w:r w:rsidRPr="00EB304C">
        <w:rPr>
          <w:rFonts w:ascii="Times New Roman" w:hAnsi="Times New Roman" w:cs="Times New Roman"/>
          <w:sz w:val="24"/>
          <w:szCs w:val="24"/>
        </w:rPr>
        <w:t xml:space="preserve"> sprawozdawcz</w:t>
      </w:r>
      <w:r w:rsidR="007F6AEA" w:rsidRPr="00EB304C">
        <w:rPr>
          <w:rFonts w:ascii="Times New Roman" w:hAnsi="Times New Roman" w:cs="Times New Roman"/>
          <w:sz w:val="24"/>
          <w:szCs w:val="24"/>
        </w:rPr>
        <w:t>e</w:t>
      </w:r>
      <w:r w:rsidRPr="00EB304C">
        <w:rPr>
          <w:rFonts w:ascii="Times New Roman" w:hAnsi="Times New Roman" w:cs="Times New Roman"/>
          <w:sz w:val="24"/>
          <w:szCs w:val="24"/>
        </w:rPr>
        <w:t xml:space="preserve"> operatorów platform polegając</w:t>
      </w:r>
      <w:r w:rsidR="007F6AEA" w:rsidRPr="00EB304C">
        <w:rPr>
          <w:rFonts w:ascii="Times New Roman" w:hAnsi="Times New Roman" w:cs="Times New Roman"/>
          <w:sz w:val="24"/>
          <w:szCs w:val="24"/>
        </w:rPr>
        <w:t>e</w:t>
      </w:r>
      <w:r w:rsidRPr="00EB304C">
        <w:rPr>
          <w:rFonts w:ascii="Times New Roman" w:hAnsi="Times New Roman" w:cs="Times New Roman"/>
          <w:sz w:val="24"/>
          <w:szCs w:val="24"/>
        </w:rPr>
        <w:t xml:space="preserve"> na przekazywaniu Szefowi Krajowej Administracji Skarbowej zestawu danych o sprzedawcach i czynnościach przez nich wykonywanych (sprzedaży towarów i świadczeniu usług). Informacja o sprzedawcach powinna </w:t>
      </w:r>
      <w:r w:rsidRPr="00EB304C">
        <w:rPr>
          <w:rFonts w:ascii="Times New Roman" w:hAnsi="Times New Roman" w:cs="Times New Roman"/>
          <w:sz w:val="24"/>
          <w:szCs w:val="24"/>
        </w:rPr>
        <w:lastRenderedPageBreak/>
        <w:t xml:space="preserve">być przekazana do </w:t>
      </w:r>
      <w:r w:rsidR="007F6AEA" w:rsidRPr="00EB304C">
        <w:rPr>
          <w:rFonts w:ascii="Times New Roman" w:hAnsi="Times New Roman" w:cs="Times New Roman"/>
          <w:sz w:val="24"/>
          <w:szCs w:val="24"/>
        </w:rPr>
        <w:t>końca miesiąca następującego</w:t>
      </w:r>
      <w:r w:rsidRPr="00EB304C">
        <w:rPr>
          <w:rFonts w:ascii="Times New Roman" w:hAnsi="Times New Roman" w:cs="Times New Roman"/>
          <w:sz w:val="24"/>
          <w:szCs w:val="24"/>
        </w:rPr>
        <w:t xml:space="preserve"> po </w:t>
      </w:r>
      <w:r w:rsidR="007F6AEA" w:rsidRPr="00EB304C">
        <w:rPr>
          <w:rFonts w:ascii="Times New Roman" w:hAnsi="Times New Roman" w:cs="Times New Roman"/>
          <w:sz w:val="24"/>
          <w:szCs w:val="24"/>
        </w:rPr>
        <w:t>zakończeniu okresu</w:t>
      </w:r>
      <w:r w:rsidRPr="00EB304C">
        <w:rPr>
          <w:rFonts w:ascii="Times New Roman" w:hAnsi="Times New Roman" w:cs="Times New Roman"/>
          <w:sz w:val="24"/>
          <w:szCs w:val="24"/>
        </w:rPr>
        <w:t xml:space="preserve"> sprawozdawcz</w:t>
      </w:r>
      <w:r w:rsidR="007F6AEA" w:rsidRPr="00EB304C">
        <w:rPr>
          <w:rFonts w:ascii="Times New Roman" w:hAnsi="Times New Roman" w:cs="Times New Roman"/>
          <w:sz w:val="24"/>
          <w:szCs w:val="24"/>
        </w:rPr>
        <w:t>ego</w:t>
      </w:r>
      <w:r w:rsidR="00C7017A" w:rsidRPr="00EB304C">
        <w:rPr>
          <w:rFonts w:ascii="Times New Roman" w:hAnsi="Times New Roman" w:cs="Times New Roman"/>
          <w:sz w:val="24"/>
          <w:szCs w:val="24"/>
        </w:rPr>
        <w:t>, w </w:t>
      </w:r>
      <w:r w:rsidRPr="00EB304C">
        <w:rPr>
          <w:rFonts w:ascii="Times New Roman" w:hAnsi="Times New Roman" w:cs="Times New Roman"/>
          <w:sz w:val="24"/>
          <w:szCs w:val="24"/>
        </w:rPr>
        <w:t>którym na platformie zaczął funkcjonować co najmniej jeden sprzedawca podlegający raportowaniu.</w:t>
      </w:r>
      <w:r w:rsidR="002612E1" w:rsidRPr="00EB304C">
        <w:rPr>
          <w:rFonts w:ascii="Times New Roman" w:hAnsi="Times New Roman" w:cs="Times New Roman"/>
          <w:sz w:val="24"/>
          <w:szCs w:val="24"/>
        </w:rPr>
        <w:t xml:space="preserve"> Przy liczeniu terminów stosuje się właściwe przepisy Ordynacj</w:t>
      </w:r>
      <w:r w:rsidR="00CF5ED1">
        <w:rPr>
          <w:rFonts w:ascii="Times New Roman" w:hAnsi="Times New Roman" w:cs="Times New Roman"/>
          <w:sz w:val="24"/>
          <w:szCs w:val="24"/>
        </w:rPr>
        <w:t>i</w:t>
      </w:r>
      <w:r w:rsidR="002612E1" w:rsidRPr="00EB304C">
        <w:rPr>
          <w:rFonts w:ascii="Times New Roman" w:hAnsi="Times New Roman" w:cs="Times New Roman"/>
          <w:sz w:val="24"/>
          <w:szCs w:val="24"/>
        </w:rPr>
        <w:t xml:space="preserve"> podatkow</w:t>
      </w:r>
      <w:r w:rsidR="00CF5ED1">
        <w:rPr>
          <w:rFonts w:ascii="Times New Roman" w:hAnsi="Times New Roman" w:cs="Times New Roman"/>
          <w:sz w:val="24"/>
          <w:szCs w:val="24"/>
        </w:rPr>
        <w:t>ej</w:t>
      </w:r>
      <w:r w:rsidR="002612E1" w:rsidRPr="00EB304C">
        <w:rPr>
          <w:rFonts w:ascii="Times New Roman" w:hAnsi="Times New Roman" w:cs="Times New Roman"/>
          <w:sz w:val="24"/>
          <w:szCs w:val="24"/>
        </w:rPr>
        <w:t>.</w:t>
      </w:r>
    </w:p>
    <w:p w14:paraId="4DAD9E4D" w14:textId="65169F8F" w:rsidR="00877ADA" w:rsidRPr="00EB304C" w:rsidRDefault="00877ADA"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 xml:space="preserve">Informacja </w:t>
      </w:r>
      <w:r w:rsidR="00FD5450">
        <w:rPr>
          <w:rFonts w:ascii="Times New Roman" w:hAnsi="Times New Roman" w:cs="Times New Roman"/>
          <w:sz w:val="24"/>
          <w:szCs w:val="24"/>
        </w:rPr>
        <w:t>jest</w:t>
      </w:r>
      <w:r w:rsidRPr="00EB304C">
        <w:rPr>
          <w:rFonts w:ascii="Times New Roman" w:hAnsi="Times New Roman" w:cs="Times New Roman"/>
          <w:sz w:val="24"/>
          <w:szCs w:val="24"/>
        </w:rPr>
        <w:t xml:space="preserve"> sporządz</w:t>
      </w:r>
      <w:r w:rsidR="00FD5450">
        <w:rPr>
          <w:rFonts w:ascii="Times New Roman" w:hAnsi="Times New Roman" w:cs="Times New Roman"/>
          <w:sz w:val="24"/>
          <w:szCs w:val="24"/>
        </w:rPr>
        <w:t>a</w:t>
      </w:r>
      <w:r w:rsidRPr="00EB304C">
        <w:rPr>
          <w:rFonts w:ascii="Times New Roman" w:hAnsi="Times New Roman" w:cs="Times New Roman"/>
          <w:sz w:val="24"/>
          <w:szCs w:val="24"/>
        </w:rPr>
        <w:t>na elektronicznie, zgodnie ze wzorem za</w:t>
      </w:r>
      <w:r w:rsidR="00C7017A" w:rsidRPr="00EB304C">
        <w:rPr>
          <w:rFonts w:ascii="Times New Roman" w:hAnsi="Times New Roman" w:cs="Times New Roman"/>
          <w:sz w:val="24"/>
          <w:szCs w:val="24"/>
        </w:rPr>
        <w:t>mieszczonym w </w:t>
      </w:r>
      <w:r w:rsidRPr="00EB304C">
        <w:rPr>
          <w:rFonts w:ascii="Times New Roman" w:hAnsi="Times New Roman" w:cs="Times New Roman"/>
          <w:sz w:val="24"/>
          <w:szCs w:val="24"/>
        </w:rPr>
        <w:t>Biuletynie Informacji Publicznej. Formularz spełnia dwie role. Pierwszą jest raportowanie informacji o sprzedawcach. Drugą – informowanie o tym, że prowadzony model biznesowy jest taki, że nie obejmuje sprzedawców podlegających raportowaniu.</w:t>
      </w:r>
      <w:r w:rsidR="00A53267" w:rsidRPr="00EB304C">
        <w:rPr>
          <w:rFonts w:ascii="Times New Roman" w:hAnsi="Times New Roman" w:cs="Times New Roman"/>
          <w:sz w:val="24"/>
          <w:szCs w:val="24"/>
        </w:rPr>
        <w:t xml:space="preserve"> Przepis art. 75b ust. </w:t>
      </w:r>
      <w:r w:rsidR="00DF43A0">
        <w:rPr>
          <w:rFonts w:ascii="Times New Roman" w:hAnsi="Times New Roman" w:cs="Times New Roman"/>
          <w:sz w:val="24"/>
          <w:szCs w:val="24"/>
        </w:rPr>
        <w:t>4</w:t>
      </w:r>
      <w:r w:rsidR="00A53267" w:rsidRPr="00EB304C">
        <w:rPr>
          <w:rFonts w:ascii="Times New Roman" w:hAnsi="Times New Roman" w:cs="Times New Roman"/>
          <w:sz w:val="24"/>
          <w:szCs w:val="24"/>
        </w:rPr>
        <w:t xml:space="preserve"> reguluje prawo do wykazania przez operatorów platform, że są oni wyłączonymi operatorami platform, z tego powodu, że ich zasady prowadzenia działalności efektywnie prowadzą do sytuacji, ż</w:t>
      </w:r>
      <w:r w:rsidR="00AF3023">
        <w:rPr>
          <w:rFonts w:ascii="Times New Roman" w:hAnsi="Times New Roman" w:cs="Times New Roman"/>
          <w:sz w:val="24"/>
          <w:szCs w:val="24"/>
        </w:rPr>
        <w:t>e</w:t>
      </w:r>
      <w:r w:rsidR="00A53267" w:rsidRPr="00EB304C">
        <w:rPr>
          <w:rFonts w:ascii="Times New Roman" w:hAnsi="Times New Roman" w:cs="Times New Roman"/>
          <w:sz w:val="24"/>
          <w:szCs w:val="24"/>
        </w:rPr>
        <w:t xml:space="preserve"> nie będą oni mieli na swojej platformie sprzedawców podlegających raportowaniu, np. w sytuacji gdy nie można dokonywać na platformie transakcji zarobkowych, a jedynie </w:t>
      </w:r>
      <w:r w:rsidR="00B159A6" w:rsidRPr="00EB304C">
        <w:rPr>
          <w:rFonts w:ascii="Times New Roman" w:hAnsi="Times New Roman" w:cs="Times New Roman"/>
          <w:sz w:val="24"/>
          <w:szCs w:val="24"/>
        </w:rPr>
        <w:t>świadczenie</w:t>
      </w:r>
      <w:r w:rsidR="00A53267" w:rsidRPr="00EB304C">
        <w:rPr>
          <w:rFonts w:ascii="Times New Roman" w:hAnsi="Times New Roman" w:cs="Times New Roman"/>
          <w:sz w:val="24"/>
          <w:szCs w:val="24"/>
        </w:rPr>
        <w:t xml:space="preserve"> drobnych przysług – np. forum pomocy sąsiedzkiej. </w:t>
      </w:r>
      <w:r w:rsidR="00B159A6" w:rsidRPr="00EB304C">
        <w:rPr>
          <w:rFonts w:ascii="Times New Roman" w:hAnsi="Times New Roman" w:cs="Times New Roman"/>
          <w:sz w:val="24"/>
          <w:szCs w:val="24"/>
        </w:rPr>
        <w:t xml:space="preserve">Operator platformy musi dopełnić procedur </w:t>
      </w:r>
      <w:r w:rsidR="006A07A8" w:rsidRPr="00EB304C">
        <w:rPr>
          <w:rFonts w:ascii="Times New Roman" w:hAnsi="Times New Roman" w:cs="Times New Roman"/>
          <w:sz w:val="24"/>
          <w:szCs w:val="24"/>
        </w:rPr>
        <w:t>należytej staranności, o których mowa w rozdziale 3,</w:t>
      </w:r>
      <w:r w:rsidR="00C7017A" w:rsidRPr="00EB304C">
        <w:rPr>
          <w:rFonts w:ascii="Times New Roman" w:hAnsi="Times New Roman" w:cs="Times New Roman"/>
          <w:sz w:val="24"/>
          <w:szCs w:val="24"/>
        </w:rPr>
        <w:t xml:space="preserve"> nawet jeżeli po </w:t>
      </w:r>
      <w:r w:rsidR="00B159A6" w:rsidRPr="00EB304C">
        <w:rPr>
          <w:rFonts w:ascii="Times New Roman" w:hAnsi="Times New Roman" w:cs="Times New Roman"/>
          <w:sz w:val="24"/>
          <w:szCs w:val="24"/>
        </w:rPr>
        <w:t xml:space="preserve">zakończeniu okresu sprawozdawczego zgłosi, </w:t>
      </w:r>
      <w:r w:rsidR="00FD5450">
        <w:rPr>
          <w:rFonts w:ascii="Times New Roman" w:hAnsi="Times New Roman" w:cs="Times New Roman"/>
          <w:sz w:val="24"/>
          <w:szCs w:val="24"/>
        </w:rPr>
        <w:t>ż</w:t>
      </w:r>
      <w:r w:rsidR="00B159A6" w:rsidRPr="00EB304C">
        <w:rPr>
          <w:rFonts w:ascii="Times New Roman" w:hAnsi="Times New Roman" w:cs="Times New Roman"/>
          <w:sz w:val="24"/>
          <w:szCs w:val="24"/>
        </w:rPr>
        <w:t xml:space="preserve">e jego model biznesowy nie obejmuje sprzedawców podlegających raportowaniu. </w:t>
      </w:r>
    </w:p>
    <w:p w14:paraId="189EC7A4" w14:textId="66F5323A" w:rsidR="00877ADA" w:rsidRDefault="00877ADA"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Art</w:t>
      </w:r>
      <w:r w:rsidR="00056BA4">
        <w:rPr>
          <w:rFonts w:ascii="Times New Roman" w:hAnsi="Times New Roman" w:cs="Times New Roman"/>
          <w:sz w:val="24"/>
          <w:szCs w:val="24"/>
        </w:rPr>
        <w:t>.</w:t>
      </w:r>
      <w:r w:rsidRPr="00EB304C">
        <w:rPr>
          <w:rFonts w:ascii="Times New Roman" w:hAnsi="Times New Roman" w:cs="Times New Roman"/>
          <w:sz w:val="24"/>
          <w:szCs w:val="24"/>
        </w:rPr>
        <w:t xml:space="preserve"> </w:t>
      </w:r>
      <w:r w:rsidR="00240507" w:rsidRPr="00EB304C">
        <w:rPr>
          <w:rFonts w:ascii="Times New Roman" w:hAnsi="Times New Roman" w:cs="Times New Roman"/>
          <w:sz w:val="24"/>
          <w:szCs w:val="24"/>
        </w:rPr>
        <w:t>75c</w:t>
      </w:r>
      <w:r w:rsidRPr="00EB304C">
        <w:rPr>
          <w:rFonts w:ascii="Times New Roman" w:hAnsi="Times New Roman" w:cs="Times New Roman"/>
          <w:sz w:val="24"/>
          <w:szCs w:val="24"/>
        </w:rPr>
        <w:t xml:space="preserve"> projektowanej ustawy wskazuje</w:t>
      </w:r>
      <w:r w:rsidR="00056BA4">
        <w:rPr>
          <w:rFonts w:ascii="Times New Roman" w:hAnsi="Times New Roman" w:cs="Times New Roman"/>
          <w:sz w:val="24"/>
          <w:szCs w:val="24"/>
        </w:rPr>
        <w:t>,</w:t>
      </w:r>
      <w:r w:rsidRPr="00EB304C">
        <w:rPr>
          <w:rFonts w:ascii="Times New Roman" w:hAnsi="Times New Roman" w:cs="Times New Roman"/>
          <w:sz w:val="24"/>
          <w:szCs w:val="24"/>
        </w:rPr>
        <w:t xml:space="preserve"> co zawiera przekazywana do Szefa Krajowej Administracji Skarbowej informacja o sprzedawcach, zaczynając od: danych identyfikujących raportującego operatora platformy, </w:t>
      </w:r>
      <w:r w:rsidR="000735A1" w:rsidRPr="00EB304C">
        <w:rPr>
          <w:rFonts w:ascii="Times New Roman" w:hAnsi="Times New Roman" w:cs="Times New Roman"/>
          <w:sz w:val="24"/>
          <w:szCs w:val="24"/>
        </w:rPr>
        <w:t>informacj</w:t>
      </w:r>
      <w:r w:rsidR="00BF4A69">
        <w:rPr>
          <w:rFonts w:ascii="Times New Roman" w:hAnsi="Times New Roman" w:cs="Times New Roman"/>
          <w:sz w:val="24"/>
          <w:szCs w:val="24"/>
        </w:rPr>
        <w:t>i</w:t>
      </w:r>
      <w:r w:rsidR="000735A1" w:rsidRPr="00EB304C">
        <w:rPr>
          <w:rFonts w:ascii="Times New Roman" w:hAnsi="Times New Roman" w:cs="Times New Roman"/>
          <w:sz w:val="24"/>
          <w:szCs w:val="24"/>
        </w:rPr>
        <w:t xml:space="preserve"> dotycząc</w:t>
      </w:r>
      <w:r w:rsidR="00BF4A69">
        <w:rPr>
          <w:rFonts w:ascii="Times New Roman" w:hAnsi="Times New Roman" w:cs="Times New Roman"/>
          <w:sz w:val="24"/>
          <w:szCs w:val="24"/>
        </w:rPr>
        <w:t>y</w:t>
      </w:r>
      <w:r w:rsidR="00B86080">
        <w:rPr>
          <w:rFonts w:ascii="Times New Roman" w:hAnsi="Times New Roman" w:cs="Times New Roman"/>
          <w:sz w:val="24"/>
          <w:szCs w:val="24"/>
        </w:rPr>
        <w:t>c</w:t>
      </w:r>
      <w:r w:rsidR="00BF4A69">
        <w:rPr>
          <w:rFonts w:ascii="Times New Roman" w:hAnsi="Times New Roman" w:cs="Times New Roman"/>
          <w:sz w:val="24"/>
          <w:szCs w:val="24"/>
        </w:rPr>
        <w:t>h</w:t>
      </w:r>
      <w:r w:rsidR="000735A1" w:rsidRPr="00EB304C">
        <w:rPr>
          <w:rFonts w:ascii="Times New Roman" w:hAnsi="Times New Roman" w:cs="Times New Roman"/>
          <w:sz w:val="24"/>
          <w:szCs w:val="24"/>
        </w:rPr>
        <w:t xml:space="preserve"> wyłączonego operatora platformy,</w:t>
      </w:r>
      <w:r w:rsidR="00223152">
        <w:rPr>
          <w:rFonts w:ascii="Times New Roman" w:hAnsi="Times New Roman" w:cs="Times New Roman"/>
          <w:sz w:val="24"/>
          <w:szCs w:val="24"/>
        </w:rPr>
        <w:t xml:space="preserve"> </w:t>
      </w:r>
      <w:r w:rsidRPr="00EB304C">
        <w:rPr>
          <w:rFonts w:ascii="Times New Roman" w:hAnsi="Times New Roman" w:cs="Times New Roman"/>
          <w:sz w:val="24"/>
          <w:szCs w:val="24"/>
        </w:rPr>
        <w:t>dan</w:t>
      </w:r>
      <w:r w:rsidR="00BF4A69">
        <w:rPr>
          <w:rFonts w:ascii="Times New Roman" w:hAnsi="Times New Roman" w:cs="Times New Roman"/>
          <w:sz w:val="24"/>
          <w:szCs w:val="24"/>
        </w:rPr>
        <w:t>ych</w:t>
      </w:r>
      <w:r w:rsidRPr="00EB304C">
        <w:rPr>
          <w:rFonts w:ascii="Times New Roman" w:hAnsi="Times New Roman" w:cs="Times New Roman"/>
          <w:sz w:val="24"/>
          <w:szCs w:val="24"/>
        </w:rPr>
        <w:t xml:space="preserve"> identyfikując</w:t>
      </w:r>
      <w:r w:rsidR="00BF4A69">
        <w:rPr>
          <w:rFonts w:ascii="Times New Roman" w:hAnsi="Times New Roman" w:cs="Times New Roman"/>
          <w:sz w:val="24"/>
          <w:szCs w:val="24"/>
        </w:rPr>
        <w:t>ych</w:t>
      </w:r>
      <w:r w:rsidRPr="00EB304C">
        <w:rPr>
          <w:rFonts w:ascii="Times New Roman" w:hAnsi="Times New Roman" w:cs="Times New Roman"/>
          <w:sz w:val="24"/>
          <w:szCs w:val="24"/>
        </w:rPr>
        <w:t xml:space="preserve"> sprzedawców – osoby fizyczne </w:t>
      </w:r>
      <w:r w:rsidR="002612E1" w:rsidRPr="00EB304C">
        <w:rPr>
          <w:rFonts w:ascii="Times New Roman" w:hAnsi="Times New Roman" w:cs="Times New Roman"/>
          <w:sz w:val="24"/>
          <w:szCs w:val="24"/>
        </w:rPr>
        <w:t xml:space="preserve">(w tym osoby fizyczne prowadzące działalność gospodarczą oraz osoby fizyczne, które nie prowadzą takiej działalności) </w:t>
      </w:r>
      <w:r w:rsidRPr="00EB304C">
        <w:rPr>
          <w:rFonts w:ascii="Times New Roman" w:hAnsi="Times New Roman" w:cs="Times New Roman"/>
          <w:sz w:val="24"/>
          <w:szCs w:val="24"/>
        </w:rPr>
        <w:t xml:space="preserve">oraz podmioty (osoby prawne i jednostki organizacyjne nieposiadające osobowości prawnej) </w:t>
      </w:r>
      <w:r w:rsidR="006A07A8" w:rsidRPr="00EB304C">
        <w:rPr>
          <w:rFonts w:ascii="Times New Roman" w:hAnsi="Times New Roman" w:cs="Times New Roman"/>
          <w:sz w:val="24"/>
          <w:szCs w:val="24"/>
        </w:rPr>
        <w:t>aż do</w:t>
      </w:r>
      <w:r w:rsidRPr="00EB304C">
        <w:rPr>
          <w:rFonts w:ascii="Times New Roman" w:hAnsi="Times New Roman" w:cs="Times New Roman"/>
          <w:sz w:val="24"/>
          <w:szCs w:val="24"/>
        </w:rPr>
        <w:t xml:space="preserve"> informacj</w:t>
      </w:r>
      <w:r w:rsidR="006A07A8" w:rsidRPr="00EB304C">
        <w:rPr>
          <w:rFonts w:ascii="Times New Roman" w:hAnsi="Times New Roman" w:cs="Times New Roman"/>
          <w:sz w:val="24"/>
          <w:szCs w:val="24"/>
        </w:rPr>
        <w:t>i</w:t>
      </w:r>
      <w:r w:rsidRPr="00EB304C">
        <w:rPr>
          <w:rFonts w:ascii="Times New Roman" w:hAnsi="Times New Roman" w:cs="Times New Roman"/>
          <w:sz w:val="24"/>
          <w:szCs w:val="24"/>
        </w:rPr>
        <w:t xml:space="preserve"> szczegółow</w:t>
      </w:r>
      <w:r w:rsidR="006A07A8" w:rsidRPr="00EB304C">
        <w:rPr>
          <w:rFonts w:ascii="Times New Roman" w:hAnsi="Times New Roman" w:cs="Times New Roman"/>
          <w:sz w:val="24"/>
          <w:szCs w:val="24"/>
        </w:rPr>
        <w:t>ych</w:t>
      </w:r>
      <w:r w:rsidRPr="00EB304C">
        <w:rPr>
          <w:rFonts w:ascii="Times New Roman" w:hAnsi="Times New Roman" w:cs="Times New Roman"/>
          <w:sz w:val="24"/>
          <w:szCs w:val="24"/>
        </w:rPr>
        <w:t xml:space="preserve"> o sprzedawcach</w:t>
      </w:r>
      <w:r w:rsidR="006A07A8" w:rsidRPr="00EB304C">
        <w:rPr>
          <w:rFonts w:ascii="Times New Roman" w:hAnsi="Times New Roman" w:cs="Times New Roman"/>
          <w:sz w:val="24"/>
          <w:szCs w:val="24"/>
        </w:rPr>
        <w:t xml:space="preserve">. </w:t>
      </w:r>
      <w:r w:rsidR="003F4F1E" w:rsidRPr="00EB304C">
        <w:rPr>
          <w:rFonts w:ascii="Times New Roman" w:hAnsi="Times New Roman" w:cs="Times New Roman"/>
          <w:sz w:val="24"/>
          <w:szCs w:val="24"/>
        </w:rPr>
        <w:t xml:space="preserve">W przepisie art. 75c pkt </w:t>
      </w:r>
      <w:r w:rsidR="000735A1" w:rsidRPr="00EB304C">
        <w:rPr>
          <w:rFonts w:ascii="Times New Roman" w:hAnsi="Times New Roman" w:cs="Times New Roman"/>
          <w:sz w:val="24"/>
          <w:szCs w:val="24"/>
        </w:rPr>
        <w:t>5</w:t>
      </w:r>
      <w:r w:rsidR="003F4F1E" w:rsidRPr="00EB304C">
        <w:rPr>
          <w:rFonts w:ascii="Times New Roman" w:hAnsi="Times New Roman" w:cs="Times New Roman"/>
          <w:sz w:val="24"/>
          <w:szCs w:val="24"/>
        </w:rPr>
        <w:t xml:space="preserve"> lit. e </w:t>
      </w:r>
      <w:r w:rsidRPr="00EB304C">
        <w:rPr>
          <w:rFonts w:ascii="Times New Roman" w:hAnsi="Times New Roman" w:cs="Times New Roman"/>
          <w:sz w:val="24"/>
          <w:szCs w:val="24"/>
        </w:rPr>
        <w:t xml:space="preserve">chodzi o wszystkie składki, prowizje i podatki, zatrzymywane lub pobierane przez raportującego operatora platformy. Operator platformy nie ma zatem obowiązku gromadzenia informacji na temat składek, prowizji i podatków niezatrzymywanych i niepobieranych przez niego. </w:t>
      </w:r>
      <w:r w:rsidR="00C06958" w:rsidRPr="00EB304C">
        <w:rPr>
          <w:rFonts w:ascii="Times New Roman" w:hAnsi="Times New Roman" w:cs="Times New Roman"/>
          <w:sz w:val="24"/>
          <w:szCs w:val="24"/>
        </w:rPr>
        <w:t>Ma to na celu</w:t>
      </w:r>
      <w:r w:rsidRPr="00EB304C">
        <w:rPr>
          <w:rFonts w:ascii="Times New Roman" w:hAnsi="Times New Roman" w:cs="Times New Roman"/>
          <w:sz w:val="24"/>
          <w:szCs w:val="24"/>
        </w:rPr>
        <w:t xml:space="preserve"> ustalenie </w:t>
      </w:r>
      <w:r w:rsidR="00632831">
        <w:rPr>
          <w:rFonts w:ascii="Times New Roman" w:hAnsi="Times New Roman" w:cs="Times New Roman"/>
          <w:sz w:val="24"/>
          <w:szCs w:val="24"/>
        </w:rPr>
        <w:t>wartości</w:t>
      </w:r>
      <w:r w:rsidRPr="00EB304C">
        <w:rPr>
          <w:rFonts w:ascii="Times New Roman" w:hAnsi="Times New Roman" w:cs="Times New Roman"/>
          <w:sz w:val="24"/>
          <w:szCs w:val="24"/>
        </w:rPr>
        <w:t xml:space="preserve"> netto wy</w:t>
      </w:r>
      <w:r w:rsidR="00632831">
        <w:rPr>
          <w:rFonts w:ascii="Times New Roman" w:hAnsi="Times New Roman" w:cs="Times New Roman"/>
          <w:sz w:val="24"/>
          <w:szCs w:val="24"/>
        </w:rPr>
        <w:t>nagrodzenia</w:t>
      </w:r>
      <w:r w:rsidRPr="00EB304C">
        <w:rPr>
          <w:rFonts w:ascii="Times New Roman" w:hAnsi="Times New Roman" w:cs="Times New Roman"/>
          <w:sz w:val="24"/>
          <w:szCs w:val="24"/>
        </w:rPr>
        <w:t xml:space="preserve"> sprzedawcy.</w:t>
      </w:r>
      <w:r w:rsidR="00BC4A18" w:rsidRPr="00EB304C">
        <w:rPr>
          <w:rFonts w:ascii="Times New Roman" w:hAnsi="Times New Roman" w:cs="Times New Roman"/>
          <w:sz w:val="24"/>
          <w:szCs w:val="24"/>
        </w:rPr>
        <w:t xml:space="preserve"> </w:t>
      </w:r>
    </w:p>
    <w:p w14:paraId="1E5DA5FD" w14:textId="01F25286" w:rsidR="00877ADA" w:rsidRPr="00EB304C" w:rsidRDefault="00043B33"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Zgodnie z</w:t>
      </w:r>
      <w:r w:rsidR="00207DAB" w:rsidRPr="00EB304C">
        <w:rPr>
          <w:rFonts w:ascii="Times New Roman" w:hAnsi="Times New Roman" w:cs="Times New Roman"/>
          <w:sz w:val="24"/>
          <w:szCs w:val="24"/>
        </w:rPr>
        <w:t xml:space="preserve"> art. 75d</w:t>
      </w:r>
      <w:r w:rsidR="00877ADA" w:rsidRPr="00EB304C">
        <w:rPr>
          <w:rFonts w:ascii="Times New Roman" w:hAnsi="Times New Roman" w:cs="Times New Roman"/>
          <w:sz w:val="24"/>
          <w:szCs w:val="24"/>
        </w:rPr>
        <w:t xml:space="preserve"> ust. 1 </w:t>
      </w:r>
      <w:r w:rsidR="00207DAB" w:rsidRPr="00EB304C">
        <w:rPr>
          <w:rFonts w:ascii="Times New Roman" w:hAnsi="Times New Roman" w:cs="Times New Roman"/>
          <w:sz w:val="24"/>
          <w:szCs w:val="24"/>
        </w:rPr>
        <w:t>pkt 2</w:t>
      </w:r>
      <w:r w:rsidRPr="00EB304C">
        <w:rPr>
          <w:rFonts w:ascii="Times New Roman" w:hAnsi="Times New Roman" w:cs="Times New Roman"/>
          <w:sz w:val="24"/>
          <w:szCs w:val="24"/>
        </w:rPr>
        <w:t>,</w:t>
      </w:r>
      <w:r w:rsidR="00877ADA" w:rsidRPr="00EB304C">
        <w:rPr>
          <w:rFonts w:ascii="Times New Roman" w:hAnsi="Times New Roman" w:cs="Times New Roman"/>
          <w:sz w:val="24"/>
          <w:szCs w:val="24"/>
        </w:rPr>
        <w:t xml:space="preserve"> raportujący operator platformy jest zobowiązany do zastosowania w przekazywanej informacji jednolitych metod wyceny w stosunku do wszystkich wynagrodzeń </w:t>
      </w:r>
      <w:r w:rsidR="003B273A" w:rsidRPr="00EB304C">
        <w:rPr>
          <w:rFonts w:ascii="Times New Roman" w:hAnsi="Times New Roman" w:cs="Times New Roman"/>
          <w:sz w:val="24"/>
          <w:szCs w:val="24"/>
        </w:rPr>
        <w:t xml:space="preserve">w formie niepieniężnej </w:t>
      </w:r>
      <w:r w:rsidR="00877ADA" w:rsidRPr="00EB304C">
        <w:rPr>
          <w:rFonts w:ascii="Times New Roman" w:hAnsi="Times New Roman" w:cs="Times New Roman"/>
          <w:sz w:val="24"/>
          <w:szCs w:val="24"/>
        </w:rPr>
        <w:t>dla wszystkich sprzedawców.</w:t>
      </w:r>
    </w:p>
    <w:p w14:paraId="09B5925C" w14:textId="6794C252" w:rsidR="00877ADA" w:rsidRPr="00EB304C" w:rsidRDefault="00877ADA"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 xml:space="preserve">Celem przepisu art. </w:t>
      </w:r>
      <w:r w:rsidR="00207DAB" w:rsidRPr="00EB304C">
        <w:rPr>
          <w:rFonts w:ascii="Times New Roman" w:hAnsi="Times New Roman" w:cs="Times New Roman"/>
          <w:sz w:val="24"/>
          <w:szCs w:val="24"/>
        </w:rPr>
        <w:t>75e</w:t>
      </w:r>
      <w:r w:rsidRPr="00EB304C">
        <w:rPr>
          <w:rFonts w:ascii="Times New Roman" w:hAnsi="Times New Roman" w:cs="Times New Roman"/>
          <w:sz w:val="24"/>
          <w:szCs w:val="24"/>
        </w:rPr>
        <w:t xml:space="preserve"> jest redukcja kosztów koniecznych do poniesienia przez operatorów platform związanych z dostosowaniem się do wymogów implementowanej dyrektywy. Cel ten jest realizowany przez zwolnienie z obowiązku przekazania informacji</w:t>
      </w:r>
      <w:r w:rsidR="00922899" w:rsidRPr="00EB304C">
        <w:rPr>
          <w:rFonts w:ascii="Times New Roman" w:hAnsi="Times New Roman" w:cs="Times New Roman"/>
          <w:sz w:val="24"/>
          <w:szCs w:val="24"/>
        </w:rPr>
        <w:t xml:space="preserve"> w określonych przypadkach</w:t>
      </w:r>
      <w:r w:rsidRPr="00EB304C">
        <w:rPr>
          <w:rFonts w:ascii="Times New Roman" w:hAnsi="Times New Roman" w:cs="Times New Roman"/>
          <w:sz w:val="24"/>
          <w:szCs w:val="24"/>
        </w:rPr>
        <w:t>, jeżeli</w:t>
      </w:r>
      <w:r w:rsidR="00922899" w:rsidRPr="00EB304C">
        <w:rPr>
          <w:rFonts w:ascii="Times New Roman" w:hAnsi="Times New Roman" w:cs="Times New Roman"/>
          <w:sz w:val="24"/>
          <w:szCs w:val="24"/>
        </w:rPr>
        <w:t xml:space="preserve"> w tych przypadkach</w:t>
      </w:r>
      <w:r w:rsidRPr="00EB304C">
        <w:rPr>
          <w:rFonts w:ascii="Times New Roman" w:hAnsi="Times New Roman" w:cs="Times New Roman"/>
          <w:sz w:val="24"/>
          <w:szCs w:val="24"/>
        </w:rPr>
        <w:t xml:space="preserve"> raportujący operator platformy będzie posiadał </w:t>
      </w:r>
      <w:r w:rsidRPr="00EB304C">
        <w:rPr>
          <w:rFonts w:ascii="Times New Roman" w:hAnsi="Times New Roman" w:cs="Times New Roman"/>
          <w:sz w:val="24"/>
          <w:szCs w:val="24"/>
        </w:rPr>
        <w:lastRenderedPageBreak/>
        <w:t>dowody, że inny operator zgłosił tę samą informację (nawet jeżeli miało to miejsce w innym państwie członkowskim).</w:t>
      </w:r>
      <w:r w:rsidR="002612E1" w:rsidRPr="00EB304C">
        <w:rPr>
          <w:rFonts w:ascii="Times New Roman" w:hAnsi="Times New Roman" w:cs="Times New Roman"/>
          <w:sz w:val="24"/>
          <w:szCs w:val="24"/>
        </w:rPr>
        <w:t xml:space="preserve"> Dowodem będzie wszystko, co może posłużyć do wykazania prawdziwości faktów, na które powołuje się raportujący operator platformy.</w:t>
      </w:r>
    </w:p>
    <w:p w14:paraId="15BC96C9" w14:textId="541E4473" w:rsidR="00877ADA" w:rsidRPr="00EB304C" w:rsidRDefault="00922899"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 xml:space="preserve">Redukcję obciążeń po stronie operatorów platform przewiduje także </w:t>
      </w:r>
      <w:r w:rsidR="00877ADA" w:rsidRPr="00EB304C">
        <w:rPr>
          <w:rFonts w:ascii="Times New Roman" w:hAnsi="Times New Roman" w:cs="Times New Roman"/>
          <w:sz w:val="24"/>
          <w:szCs w:val="24"/>
        </w:rPr>
        <w:t>art. 7</w:t>
      </w:r>
      <w:r w:rsidR="00207DAB" w:rsidRPr="00EB304C">
        <w:rPr>
          <w:rFonts w:ascii="Times New Roman" w:hAnsi="Times New Roman" w:cs="Times New Roman"/>
          <w:sz w:val="24"/>
          <w:szCs w:val="24"/>
        </w:rPr>
        <w:t>5f</w:t>
      </w:r>
      <w:r w:rsidRPr="00EB304C">
        <w:rPr>
          <w:rFonts w:ascii="Times New Roman" w:hAnsi="Times New Roman" w:cs="Times New Roman"/>
          <w:sz w:val="24"/>
          <w:szCs w:val="24"/>
        </w:rPr>
        <w:t xml:space="preserve">, skierowany do </w:t>
      </w:r>
      <w:r w:rsidR="00877ADA" w:rsidRPr="00EB304C">
        <w:rPr>
          <w:rFonts w:ascii="Times New Roman" w:hAnsi="Times New Roman" w:cs="Times New Roman"/>
          <w:sz w:val="24"/>
          <w:szCs w:val="24"/>
        </w:rPr>
        <w:t>operator</w:t>
      </w:r>
      <w:r w:rsidRPr="00EB304C">
        <w:rPr>
          <w:rFonts w:ascii="Times New Roman" w:hAnsi="Times New Roman" w:cs="Times New Roman"/>
          <w:sz w:val="24"/>
          <w:szCs w:val="24"/>
        </w:rPr>
        <w:t>ów</w:t>
      </w:r>
      <w:r w:rsidR="0066249A" w:rsidRPr="00EB304C">
        <w:rPr>
          <w:rFonts w:ascii="Times New Roman" w:hAnsi="Times New Roman" w:cs="Times New Roman"/>
          <w:sz w:val="24"/>
          <w:szCs w:val="24"/>
        </w:rPr>
        <w:t xml:space="preserve"> platform spoza Unii Europejskiej</w:t>
      </w:r>
      <w:r w:rsidRPr="00EB304C">
        <w:rPr>
          <w:rFonts w:ascii="Times New Roman" w:hAnsi="Times New Roman" w:cs="Times New Roman"/>
          <w:sz w:val="24"/>
          <w:szCs w:val="24"/>
        </w:rPr>
        <w:t>.</w:t>
      </w:r>
    </w:p>
    <w:p w14:paraId="7EF15BCE" w14:textId="50EFA92B" w:rsidR="00877ADA" w:rsidRPr="00EB304C" w:rsidRDefault="00043B33"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 xml:space="preserve">Zgodnie z art. 75g, </w:t>
      </w:r>
      <w:r w:rsidR="00F13645" w:rsidRPr="00EB304C">
        <w:rPr>
          <w:rFonts w:ascii="Times New Roman" w:hAnsi="Times New Roman" w:cs="Times New Roman"/>
          <w:sz w:val="24"/>
          <w:szCs w:val="24"/>
        </w:rPr>
        <w:t>raportujący operator platformy zobowiązany jest do stosowania jednolitego formatu informacji, któr</w:t>
      </w:r>
      <w:r w:rsidR="005B1BD5" w:rsidRPr="00EB304C">
        <w:rPr>
          <w:rFonts w:ascii="Times New Roman" w:hAnsi="Times New Roman" w:cs="Times New Roman"/>
          <w:sz w:val="24"/>
          <w:szCs w:val="24"/>
        </w:rPr>
        <w:t>y będzie przekazywany</w:t>
      </w:r>
      <w:r w:rsidR="00F13645" w:rsidRPr="00EB304C">
        <w:rPr>
          <w:rFonts w:ascii="Times New Roman" w:hAnsi="Times New Roman" w:cs="Times New Roman"/>
          <w:sz w:val="24"/>
          <w:szCs w:val="24"/>
        </w:rPr>
        <w:t xml:space="preserve"> wszystkim sprzedawcom.</w:t>
      </w:r>
      <w:r w:rsidR="00223152">
        <w:rPr>
          <w:rFonts w:ascii="Times New Roman" w:hAnsi="Times New Roman" w:cs="Times New Roman"/>
          <w:sz w:val="24"/>
          <w:szCs w:val="24"/>
        </w:rPr>
        <w:t xml:space="preserve"> </w:t>
      </w:r>
      <w:r w:rsidR="00B67A51" w:rsidRPr="00EB304C">
        <w:rPr>
          <w:rFonts w:ascii="Times New Roman" w:hAnsi="Times New Roman" w:cs="Times New Roman"/>
          <w:sz w:val="24"/>
          <w:szCs w:val="24"/>
        </w:rPr>
        <w:t xml:space="preserve">Operator platformy może udostępnić dane w dowolnie obranej formie, </w:t>
      </w:r>
      <w:r w:rsidR="00CE1B99" w:rsidRPr="00EB304C">
        <w:rPr>
          <w:rFonts w:ascii="Times New Roman" w:hAnsi="Times New Roman" w:cs="Times New Roman"/>
          <w:sz w:val="24"/>
          <w:szCs w:val="24"/>
        </w:rPr>
        <w:t xml:space="preserve">np. przez przesłanie czy udostępnienie linku sprzedawcy, pod którym są zawarte informacje. Operator musi przy tym zapewnić, że niezależnie od obranej formy </w:t>
      </w:r>
      <w:r w:rsidR="00B67A51" w:rsidRPr="00EB304C">
        <w:rPr>
          <w:rFonts w:ascii="Times New Roman" w:hAnsi="Times New Roman" w:cs="Times New Roman"/>
          <w:sz w:val="24"/>
          <w:szCs w:val="24"/>
        </w:rPr>
        <w:t>sprzedawca będzie miał dostęp do tych danych.</w:t>
      </w:r>
    </w:p>
    <w:p w14:paraId="0C5BF649" w14:textId="54E55EA5" w:rsidR="00877ADA" w:rsidRPr="00EB304C" w:rsidRDefault="001F32C3"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877ADA" w:rsidRPr="00EB304C">
        <w:rPr>
          <w:rFonts w:ascii="Times New Roman" w:hAnsi="Times New Roman" w:cs="Times New Roman"/>
          <w:sz w:val="24"/>
          <w:szCs w:val="24"/>
        </w:rPr>
        <w:t>hcąc wyjść naprzeciw operatorom platformy i wykraczając poza zakres dyrektywy, w projekcie ustawy zawar</w:t>
      </w:r>
      <w:r>
        <w:rPr>
          <w:rFonts w:ascii="Times New Roman" w:hAnsi="Times New Roman" w:cs="Times New Roman"/>
          <w:sz w:val="24"/>
          <w:szCs w:val="24"/>
        </w:rPr>
        <w:t>to</w:t>
      </w:r>
      <w:r w:rsidR="00877ADA" w:rsidRPr="00EB304C">
        <w:rPr>
          <w:rFonts w:ascii="Times New Roman" w:hAnsi="Times New Roman" w:cs="Times New Roman"/>
          <w:sz w:val="24"/>
          <w:szCs w:val="24"/>
        </w:rPr>
        <w:t xml:space="preserve"> możliwość dokonania korekty informacji o sprzedawcach (art. </w:t>
      </w:r>
      <w:r w:rsidR="00A52F10" w:rsidRPr="00EB304C">
        <w:rPr>
          <w:rFonts w:ascii="Times New Roman" w:hAnsi="Times New Roman" w:cs="Times New Roman"/>
          <w:sz w:val="24"/>
          <w:szCs w:val="24"/>
        </w:rPr>
        <w:t>75h</w:t>
      </w:r>
      <w:r w:rsidR="00877ADA" w:rsidRPr="00EB304C">
        <w:rPr>
          <w:rFonts w:ascii="Times New Roman" w:hAnsi="Times New Roman" w:cs="Times New Roman"/>
          <w:sz w:val="24"/>
          <w:szCs w:val="24"/>
        </w:rPr>
        <w:t>)</w:t>
      </w:r>
      <w:r w:rsidR="00F81D7B">
        <w:rPr>
          <w:rFonts w:ascii="Times New Roman" w:hAnsi="Times New Roman" w:cs="Times New Roman"/>
          <w:sz w:val="24"/>
          <w:szCs w:val="24"/>
        </w:rPr>
        <w:t xml:space="preserve">, w terminie </w:t>
      </w:r>
      <w:r w:rsidR="00F81D7B" w:rsidRPr="00F81D7B">
        <w:rPr>
          <w:rFonts w:ascii="Times New Roman" w:hAnsi="Times New Roman" w:cs="Times New Roman"/>
          <w:sz w:val="24"/>
          <w:szCs w:val="24"/>
        </w:rPr>
        <w:t>5 lat</w:t>
      </w:r>
      <w:r w:rsidR="00056BA4">
        <w:rPr>
          <w:rFonts w:ascii="Times New Roman" w:hAnsi="Times New Roman" w:cs="Times New Roman"/>
          <w:sz w:val="24"/>
          <w:szCs w:val="24"/>
        </w:rPr>
        <w:t>,</w:t>
      </w:r>
      <w:r w:rsidR="00F81D7B" w:rsidRPr="00F81D7B">
        <w:rPr>
          <w:rFonts w:ascii="Times New Roman" w:hAnsi="Times New Roman" w:cs="Times New Roman"/>
          <w:sz w:val="24"/>
          <w:szCs w:val="24"/>
        </w:rPr>
        <w:t xml:space="preserve"> licząc od końca roku, w którym upłynął termin do przekazania informacji o sprzedawcach</w:t>
      </w:r>
      <w:r w:rsidR="00877ADA" w:rsidRPr="00EB304C">
        <w:rPr>
          <w:rFonts w:ascii="Times New Roman" w:hAnsi="Times New Roman" w:cs="Times New Roman"/>
          <w:sz w:val="24"/>
          <w:szCs w:val="24"/>
        </w:rPr>
        <w:t xml:space="preserve">. Korekta </w:t>
      </w:r>
      <w:r w:rsidR="00DE2214" w:rsidRPr="00EB304C">
        <w:rPr>
          <w:rFonts w:ascii="Times New Roman" w:hAnsi="Times New Roman" w:cs="Times New Roman"/>
          <w:sz w:val="24"/>
          <w:szCs w:val="24"/>
        </w:rPr>
        <w:t>polega na skorygowaniu t</w:t>
      </w:r>
      <w:r w:rsidR="00C7017A" w:rsidRPr="00EB304C">
        <w:rPr>
          <w:rFonts w:ascii="Times New Roman" w:hAnsi="Times New Roman" w:cs="Times New Roman"/>
          <w:sz w:val="24"/>
          <w:szCs w:val="24"/>
        </w:rPr>
        <w:t>ylko tych informacji, których w </w:t>
      </w:r>
      <w:r w:rsidR="00DE2214" w:rsidRPr="00EB304C">
        <w:rPr>
          <w:rFonts w:ascii="Times New Roman" w:hAnsi="Times New Roman" w:cs="Times New Roman"/>
          <w:sz w:val="24"/>
          <w:szCs w:val="24"/>
        </w:rPr>
        <w:t>pierwszej wersji brakowało lub były niepoprawne.</w:t>
      </w:r>
      <w:r w:rsidR="00877ADA" w:rsidRPr="00EB304C">
        <w:rPr>
          <w:rFonts w:ascii="Times New Roman" w:hAnsi="Times New Roman" w:cs="Times New Roman"/>
          <w:sz w:val="24"/>
          <w:szCs w:val="24"/>
        </w:rPr>
        <w:t xml:space="preserve"> </w:t>
      </w:r>
    </w:p>
    <w:p w14:paraId="2300B577" w14:textId="6E7FEE2A" w:rsidR="00762F12" w:rsidRDefault="00753436"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 xml:space="preserve">Stosowne informacje </w:t>
      </w:r>
      <w:r w:rsidR="0036741A" w:rsidRPr="00EB304C">
        <w:rPr>
          <w:rFonts w:ascii="Times New Roman" w:hAnsi="Times New Roman" w:cs="Times New Roman"/>
          <w:sz w:val="24"/>
          <w:szCs w:val="24"/>
        </w:rPr>
        <w:t>oraz dowody są przechowywane przez raportującego operatora platformy przez o</w:t>
      </w:r>
      <w:r w:rsidR="00AF54AF" w:rsidRPr="00EB304C">
        <w:rPr>
          <w:rFonts w:ascii="Times New Roman" w:hAnsi="Times New Roman" w:cs="Times New Roman"/>
          <w:sz w:val="24"/>
          <w:szCs w:val="24"/>
        </w:rPr>
        <w:t>kre</w:t>
      </w:r>
      <w:r w:rsidR="00C7017A" w:rsidRPr="00EB304C">
        <w:rPr>
          <w:rFonts w:ascii="Times New Roman" w:hAnsi="Times New Roman" w:cs="Times New Roman"/>
          <w:sz w:val="24"/>
          <w:szCs w:val="24"/>
        </w:rPr>
        <w:t>s 5 lat</w:t>
      </w:r>
      <w:r w:rsidR="00056BA4">
        <w:rPr>
          <w:rFonts w:ascii="Times New Roman" w:hAnsi="Times New Roman" w:cs="Times New Roman"/>
          <w:sz w:val="24"/>
          <w:szCs w:val="24"/>
        </w:rPr>
        <w:t>,</w:t>
      </w:r>
      <w:r w:rsidR="00C7017A" w:rsidRPr="00EB304C">
        <w:rPr>
          <w:rFonts w:ascii="Times New Roman" w:hAnsi="Times New Roman" w:cs="Times New Roman"/>
          <w:sz w:val="24"/>
          <w:szCs w:val="24"/>
        </w:rPr>
        <w:t xml:space="preserve"> licząc od końca roku, w </w:t>
      </w:r>
      <w:r w:rsidR="0036741A" w:rsidRPr="00EB304C">
        <w:rPr>
          <w:rFonts w:ascii="Times New Roman" w:hAnsi="Times New Roman" w:cs="Times New Roman"/>
          <w:sz w:val="24"/>
          <w:szCs w:val="24"/>
        </w:rPr>
        <w:t>którym upłynął termin</w:t>
      </w:r>
      <w:r w:rsidR="00AF54AF" w:rsidRPr="00EB304C">
        <w:rPr>
          <w:rFonts w:ascii="Times New Roman" w:hAnsi="Times New Roman" w:cs="Times New Roman"/>
          <w:sz w:val="24"/>
          <w:szCs w:val="24"/>
        </w:rPr>
        <w:t xml:space="preserve"> przekazania informacji o sprzedawcach</w:t>
      </w:r>
      <w:r w:rsidRPr="00EB304C">
        <w:rPr>
          <w:rFonts w:ascii="Times New Roman" w:hAnsi="Times New Roman" w:cs="Times New Roman"/>
          <w:sz w:val="24"/>
          <w:szCs w:val="24"/>
        </w:rPr>
        <w:t xml:space="preserve"> (zob. art. 75j)</w:t>
      </w:r>
      <w:r w:rsidR="00AF54AF" w:rsidRPr="00EB304C">
        <w:rPr>
          <w:rFonts w:ascii="Times New Roman" w:hAnsi="Times New Roman" w:cs="Times New Roman"/>
          <w:sz w:val="24"/>
          <w:szCs w:val="24"/>
        </w:rPr>
        <w:t>. Taki termin został ustalony w celu dostosowania do art. 70 § 1 Ordynacji podatkowej, zgodnie z którym zobowiązanie podatkowe przedawnia się po upływie 5 lat</w:t>
      </w:r>
      <w:r w:rsidR="00056BA4">
        <w:rPr>
          <w:rFonts w:ascii="Times New Roman" w:hAnsi="Times New Roman" w:cs="Times New Roman"/>
          <w:sz w:val="24"/>
          <w:szCs w:val="24"/>
        </w:rPr>
        <w:t>,</w:t>
      </w:r>
      <w:r w:rsidR="005A32C0" w:rsidRPr="00EB304C">
        <w:rPr>
          <w:rFonts w:ascii="Times New Roman" w:hAnsi="Times New Roman" w:cs="Times New Roman"/>
          <w:sz w:val="24"/>
          <w:szCs w:val="24"/>
        </w:rPr>
        <w:t xml:space="preserve"> licząc od końca roku kalendarzowego, w którym upłynął termin jego zapłaty</w:t>
      </w:r>
      <w:r w:rsidR="00AF54AF" w:rsidRPr="00EB304C">
        <w:rPr>
          <w:rFonts w:ascii="Times New Roman" w:hAnsi="Times New Roman" w:cs="Times New Roman"/>
          <w:sz w:val="24"/>
          <w:szCs w:val="24"/>
        </w:rPr>
        <w:t>.</w:t>
      </w:r>
    </w:p>
    <w:p w14:paraId="5FFCBF15" w14:textId="7E6CD4C0" w:rsidR="00084DC1" w:rsidRPr="00EB304C" w:rsidRDefault="00F56EF1"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Je</w:t>
      </w:r>
      <w:r w:rsidR="00056BA4">
        <w:rPr>
          <w:rFonts w:ascii="Times New Roman" w:hAnsi="Times New Roman" w:cs="Times New Roman"/>
          <w:sz w:val="24"/>
          <w:szCs w:val="24"/>
        </w:rPr>
        <w:t>że</w:t>
      </w:r>
      <w:r>
        <w:rPr>
          <w:rFonts w:ascii="Times New Roman" w:hAnsi="Times New Roman" w:cs="Times New Roman"/>
          <w:sz w:val="24"/>
          <w:szCs w:val="24"/>
        </w:rPr>
        <w:t xml:space="preserve">li zaś chodzi o </w:t>
      </w:r>
      <w:r w:rsidRPr="00F56EF1">
        <w:rPr>
          <w:rFonts w:ascii="Times New Roman" w:hAnsi="Times New Roman" w:cs="Times New Roman"/>
          <w:sz w:val="24"/>
          <w:szCs w:val="24"/>
        </w:rPr>
        <w:t>retencję danych</w:t>
      </w:r>
      <w:r>
        <w:rPr>
          <w:rFonts w:ascii="Times New Roman" w:hAnsi="Times New Roman" w:cs="Times New Roman"/>
          <w:sz w:val="24"/>
          <w:szCs w:val="24"/>
        </w:rPr>
        <w:t xml:space="preserve"> </w:t>
      </w:r>
      <w:r w:rsidRPr="00F56EF1">
        <w:rPr>
          <w:rFonts w:ascii="Times New Roman" w:hAnsi="Times New Roman" w:cs="Times New Roman"/>
          <w:sz w:val="24"/>
          <w:szCs w:val="24"/>
        </w:rPr>
        <w:t>osobowych przetwarzanych przez Krajową</w:t>
      </w:r>
      <w:r>
        <w:rPr>
          <w:rFonts w:ascii="Times New Roman" w:hAnsi="Times New Roman" w:cs="Times New Roman"/>
          <w:sz w:val="24"/>
          <w:szCs w:val="24"/>
        </w:rPr>
        <w:t xml:space="preserve"> </w:t>
      </w:r>
      <w:r w:rsidRPr="00F56EF1">
        <w:rPr>
          <w:rFonts w:ascii="Times New Roman" w:hAnsi="Times New Roman" w:cs="Times New Roman"/>
          <w:sz w:val="24"/>
          <w:szCs w:val="24"/>
        </w:rPr>
        <w:t>Administrację Skarbową</w:t>
      </w:r>
      <w:r>
        <w:rPr>
          <w:rFonts w:ascii="Times New Roman" w:hAnsi="Times New Roman" w:cs="Times New Roman"/>
          <w:sz w:val="24"/>
          <w:szCs w:val="24"/>
        </w:rPr>
        <w:t xml:space="preserve">, wskazać należy, że </w:t>
      </w:r>
      <w:r w:rsidRPr="00F56EF1">
        <w:rPr>
          <w:rFonts w:ascii="Times New Roman" w:hAnsi="Times New Roman" w:cs="Times New Roman"/>
          <w:sz w:val="24"/>
          <w:szCs w:val="24"/>
        </w:rPr>
        <w:t>przetwarzanie odbywać się będzie na</w:t>
      </w:r>
      <w:r w:rsidR="00084DC1">
        <w:rPr>
          <w:rFonts w:ascii="Times New Roman" w:hAnsi="Times New Roman" w:cs="Times New Roman"/>
          <w:sz w:val="24"/>
          <w:szCs w:val="24"/>
        </w:rPr>
        <w:t xml:space="preserve"> </w:t>
      </w:r>
      <w:r w:rsidRPr="00F56EF1">
        <w:rPr>
          <w:rFonts w:ascii="Times New Roman" w:hAnsi="Times New Roman" w:cs="Times New Roman"/>
          <w:sz w:val="24"/>
          <w:szCs w:val="24"/>
        </w:rPr>
        <w:t>zasadach mających</w:t>
      </w:r>
      <w:r>
        <w:rPr>
          <w:rFonts w:ascii="Times New Roman" w:hAnsi="Times New Roman" w:cs="Times New Roman"/>
          <w:sz w:val="24"/>
          <w:szCs w:val="24"/>
        </w:rPr>
        <w:t xml:space="preserve"> </w:t>
      </w:r>
      <w:r w:rsidRPr="00F56EF1">
        <w:rPr>
          <w:rFonts w:ascii="Times New Roman" w:hAnsi="Times New Roman" w:cs="Times New Roman"/>
          <w:sz w:val="24"/>
          <w:szCs w:val="24"/>
        </w:rPr>
        <w:t>zastosowanie do dotychczas gromadzonych przez ni</w:t>
      </w:r>
      <w:r>
        <w:rPr>
          <w:rFonts w:ascii="Times New Roman" w:hAnsi="Times New Roman" w:cs="Times New Roman"/>
          <w:sz w:val="24"/>
          <w:szCs w:val="24"/>
        </w:rPr>
        <w:t>ą</w:t>
      </w:r>
      <w:r w:rsidRPr="00F56EF1">
        <w:rPr>
          <w:rFonts w:ascii="Times New Roman" w:hAnsi="Times New Roman" w:cs="Times New Roman"/>
          <w:sz w:val="24"/>
          <w:szCs w:val="24"/>
        </w:rPr>
        <w:t xml:space="preserve"> danych osobowych.</w:t>
      </w:r>
      <w:r>
        <w:rPr>
          <w:rFonts w:ascii="Times New Roman" w:hAnsi="Times New Roman" w:cs="Times New Roman"/>
          <w:sz w:val="24"/>
          <w:szCs w:val="24"/>
        </w:rPr>
        <w:t xml:space="preserve"> W szczególności przywołać tutaj należy</w:t>
      </w:r>
      <w:r w:rsidRPr="00F56EF1">
        <w:rPr>
          <w:rFonts w:ascii="Times New Roman" w:hAnsi="Times New Roman" w:cs="Times New Roman"/>
          <w:sz w:val="24"/>
          <w:szCs w:val="24"/>
        </w:rPr>
        <w:t xml:space="preserve"> art. 47b ust. 1 ustawy o Krajowej</w:t>
      </w:r>
      <w:r>
        <w:rPr>
          <w:rFonts w:ascii="Times New Roman" w:hAnsi="Times New Roman" w:cs="Times New Roman"/>
          <w:sz w:val="24"/>
          <w:szCs w:val="24"/>
        </w:rPr>
        <w:t xml:space="preserve"> </w:t>
      </w:r>
      <w:r w:rsidRPr="00F56EF1">
        <w:rPr>
          <w:rFonts w:ascii="Times New Roman" w:hAnsi="Times New Roman" w:cs="Times New Roman"/>
          <w:sz w:val="24"/>
          <w:szCs w:val="24"/>
        </w:rPr>
        <w:t>Administracji Skarbowej w brzmieniu:</w:t>
      </w:r>
      <w:r>
        <w:rPr>
          <w:rFonts w:ascii="Times New Roman" w:hAnsi="Times New Roman" w:cs="Times New Roman"/>
          <w:sz w:val="24"/>
          <w:szCs w:val="24"/>
        </w:rPr>
        <w:t xml:space="preserve"> </w:t>
      </w:r>
      <w:r w:rsidRPr="00F56EF1">
        <w:rPr>
          <w:rFonts w:ascii="Times New Roman" w:hAnsi="Times New Roman" w:cs="Times New Roman"/>
          <w:sz w:val="24"/>
          <w:szCs w:val="24"/>
        </w:rPr>
        <w:t>„</w:t>
      </w:r>
      <w:r w:rsidRPr="006815B9">
        <w:rPr>
          <w:rFonts w:ascii="Times New Roman" w:hAnsi="Times New Roman" w:cs="Times New Roman"/>
          <w:i/>
          <w:iCs/>
          <w:sz w:val="24"/>
          <w:szCs w:val="24"/>
        </w:rPr>
        <w:t>Organy KAS przetwarzają dane osobowe, w tym w CRDP, w celach realizacji zadań lub obowiązków określonych w ustawie, przez okres niezbędny do osiągnięcia tych celów</w:t>
      </w:r>
      <w:r w:rsidRPr="00F56EF1">
        <w:rPr>
          <w:rFonts w:ascii="Times New Roman" w:hAnsi="Times New Roman" w:cs="Times New Roman"/>
          <w:sz w:val="24"/>
          <w:szCs w:val="24"/>
        </w:rPr>
        <w:t>”.</w:t>
      </w:r>
    </w:p>
    <w:p w14:paraId="5D79F764" w14:textId="302AD0C6" w:rsidR="00A549FF" w:rsidRPr="006815B9" w:rsidRDefault="009659C3" w:rsidP="00507007">
      <w:pPr>
        <w:pStyle w:val="Akapitzlist"/>
        <w:numPr>
          <w:ilvl w:val="0"/>
          <w:numId w:val="11"/>
        </w:numPr>
        <w:pBdr>
          <w:top w:val="nil"/>
          <w:left w:val="nil"/>
          <w:bottom w:val="nil"/>
          <w:right w:val="nil"/>
          <w:between w:val="nil"/>
          <w:bar w:val="nil"/>
        </w:pBdr>
        <w:spacing w:before="120" w:after="0" w:line="360" w:lineRule="auto"/>
        <w:jc w:val="both"/>
        <w:rPr>
          <w:rFonts w:ascii="Times New Roman" w:hAnsi="Times New Roman" w:cs="Times New Roman"/>
          <w:b/>
          <w:sz w:val="24"/>
          <w:szCs w:val="24"/>
        </w:rPr>
      </w:pPr>
      <w:r w:rsidRPr="006815B9">
        <w:rPr>
          <w:rFonts w:ascii="Times New Roman" w:hAnsi="Times New Roman" w:cs="Times New Roman"/>
          <w:b/>
          <w:sz w:val="24"/>
          <w:szCs w:val="24"/>
        </w:rPr>
        <w:t xml:space="preserve">Rozdział 3 </w:t>
      </w:r>
      <w:r w:rsidR="00056BA4">
        <w:rPr>
          <w:rFonts w:ascii="Times New Roman" w:hAnsi="Times New Roman" w:cs="Times New Roman"/>
          <w:b/>
          <w:sz w:val="24"/>
          <w:szCs w:val="24"/>
        </w:rPr>
        <w:t>–</w:t>
      </w:r>
      <w:r w:rsidRPr="006815B9">
        <w:rPr>
          <w:rFonts w:ascii="Times New Roman" w:hAnsi="Times New Roman" w:cs="Times New Roman"/>
          <w:b/>
          <w:sz w:val="24"/>
          <w:szCs w:val="24"/>
        </w:rPr>
        <w:t xml:space="preserve"> procedury należytej starannośc</w:t>
      </w:r>
      <w:r w:rsidR="00F40F63" w:rsidRPr="006815B9">
        <w:rPr>
          <w:rFonts w:ascii="Times New Roman" w:hAnsi="Times New Roman" w:cs="Times New Roman"/>
          <w:b/>
          <w:sz w:val="24"/>
          <w:szCs w:val="24"/>
        </w:rPr>
        <w:t>i</w:t>
      </w:r>
      <w:r w:rsidR="00BE1B6C" w:rsidRPr="006815B9">
        <w:rPr>
          <w:rFonts w:ascii="Times New Roman" w:hAnsi="Times New Roman" w:cs="Times New Roman"/>
          <w:b/>
          <w:sz w:val="24"/>
          <w:szCs w:val="24"/>
        </w:rPr>
        <w:t xml:space="preserve"> </w:t>
      </w:r>
    </w:p>
    <w:p w14:paraId="2D4212D3" w14:textId="7597FBB1" w:rsidR="001D3438" w:rsidRPr="00EB304C" w:rsidRDefault="00877ADA"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 xml:space="preserve">Rozdział 3 odnosi się do obowiązków związanych z </w:t>
      </w:r>
      <w:r w:rsidR="00D6650B" w:rsidRPr="00EB304C">
        <w:rPr>
          <w:rFonts w:ascii="Times New Roman" w:hAnsi="Times New Roman" w:cs="Times New Roman"/>
          <w:sz w:val="24"/>
          <w:szCs w:val="24"/>
        </w:rPr>
        <w:t xml:space="preserve">gromadzeniem i </w:t>
      </w:r>
      <w:r w:rsidRPr="00EB304C">
        <w:rPr>
          <w:rFonts w:ascii="Times New Roman" w:hAnsi="Times New Roman" w:cs="Times New Roman"/>
          <w:sz w:val="24"/>
          <w:szCs w:val="24"/>
        </w:rPr>
        <w:t>weryfikacją gromadzonych danych</w:t>
      </w:r>
      <w:r w:rsidR="00D6650B" w:rsidRPr="00EB304C">
        <w:rPr>
          <w:rFonts w:ascii="Times New Roman" w:hAnsi="Times New Roman" w:cs="Times New Roman"/>
          <w:sz w:val="24"/>
          <w:szCs w:val="24"/>
        </w:rPr>
        <w:t>, z określaniem rezydencji sprzedawcy, a także z przechowywaniem dokumentacji</w:t>
      </w:r>
      <w:r w:rsidRPr="00EB304C">
        <w:rPr>
          <w:rFonts w:ascii="Times New Roman" w:hAnsi="Times New Roman" w:cs="Times New Roman"/>
          <w:sz w:val="24"/>
          <w:szCs w:val="24"/>
        </w:rPr>
        <w:t xml:space="preserve">. Mowa tu w szczególności o weryfikacji </w:t>
      </w:r>
      <w:r w:rsidR="00D6650B" w:rsidRPr="00EB304C">
        <w:rPr>
          <w:rFonts w:ascii="Times New Roman" w:hAnsi="Times New Roman" w:cs="Times New Roman"/>
          <w:sz w:val="24"/>
          <w:szCs w:val="24"/>
        </w:rPr>
        <w:t>statusu sprzedawcy i ustaleniu, czy jest on sprzedawcą podlegającym raportowaniu, czy też nie.</w:t>
      </w:r>
      <w:r w:rsidRPr="00EB304C">
        <w:rPr>
          <w:rFonts w:ascii="Times New Roman" w:hAnsi="Times New Roman" w:cs="Times New Roman"/>
          <w:sz w:val="24"/>
          <w:szCs w:val="24"/>
        </w:rPr>
        <w:t xml:space="preserve"> W celu ustalenia </w:t>
      </w:r>
      <w:r w:rsidR="00F226C9" w:rsidRPr="00EB304C">
        <w:rPr>
          <w:rFonts w:ascii="Times New Roman" w:hAnsi="Times New Roman" w:cs="Times New Roman"/>
          <w:sz w:val="24"/>
          <w:szCs w:val="24"/>
        </w:rPr>
        <w:t>statusu wyłączonego sprzedawcy, o którym mowa w art. 75a pkt 2</w:t>
      </w:r>
      <w:r w:rsidR="00356DCA">
        <w:rPr>
          <w:rFonts w:ascii="Times New Roman" w:hAnsi="Times New Roman" w:cs="Times New Roman"/>
          <w:sz w:val="24"/>
          <w:szCs w:val="24"/>
        </w:rPr>
        <w:t>4</w:t>
      </w:r>
      <w:r w:rsidR="00F226C9" w:rsidRPr="00EB304C">
        <w:rPr>
          <w:rFonts w:ascii="Times New Roman" w:hAnsi="Times New Roman" w:cs="Times New Roman"/>
          <w:sz w:val="24"/>
          <w:szCs w:val="24"/>
        </w:rPr>
        <w:t xml:space="preserve"> lit. a</w:t>
      </w:r>
      <w:r w:rsidR="001D3438" w:rsidRPr="00EB304C">
        <w:rPr>
          <w:rFonts w:ascii="Times New Roman" w:hAnsi="Times New Roman" w:cs="Times New Roman"/>
          <w:sz w:val="24"/>
          <w:szCs w:val="24"/>
        </w:rPr>
        <w:t xml:space="preserve"> i b</w:t>
      </w:r>
      <w:r w:rsidR="00F226C9" w:rsidRPr="00EB304C">
        <w:rPr>
          <w:rFonts w:ascii="Times New Roman" w:hAnsi="Times New Roman" w:cs="Times New Roman"/>
          <w:sz w:val="24"/>
          <w:szCs w:val="24"/>
        </w:rPr>
        <w:t>,</w:t>
      </w:r>
      <w:r w:rsidR="00223152">
        <w:rPr>
          <w:rFonts w:ascii="Times New Roman" w:hAnsi="Times New Roman" w:cs="Times New Roman"/>
          <w:sz w:val="24"/>
          <w:szCs w:val="24"/>
        </w:rPr>
        <w:t xml:space="preserve"> </w:t>
      </w:r>
      <w:r w:rsidRPr="00EB304C">
        <w:rPr>
          <w:rFonts w:ascii="Times New Roman" w:hAnsi="Times New Roman" w:cs="Times New Roman"/>
          <w:sz w:val="24"/>
          <w:szCs w:val="24"/>
        </w:rPr>
        <w:t xml:space="preserve">operator platformy może korzystać z </w:t>
      </w:r>
      <w:r w:rsidRPr="00EB304C">
        <w:rPr>
          <w:rFonts w:ascii="Times New Roman" w:hAnsi="Times New Roman" w:cs="Times New Roman"/>
          <w:sz w:val="24"/>
          <w:szCs w:val="24"/>
        </w:rPr>
        <w:lastRenderedPageBreak/>
        <w:t>dostępnych publi</w:t>
      </w:r>
      <w:r w:rsidR="00C7017A" w:rsidRPr="00EB304C">
        <w:rPr>
          <w:rFonts w:ascii="Times New Roman" w:hAnsi="Times New Roman" w:cs="Times New Roman"/>
          <w:sz w:val="24"/>
          <w:szCs w:val="24"/>
        </w:rPr>
        <w:t>cznie informacji lub polegać na </w:t>
      </w:r>
      <w:r w:rsidRPr="00EB304C">
        <w:rPr>
          <w:rFonts w:ascii="Times New Roman" w:hAnsi="Times New Roman" w:cs="Times New Roman"/>
          <w:sz w:val="24"/>
          <w:szCs w:val="24"/>
        </w:rPr>
        <w:t xml:space="preserve">potwierdzeniu uzyskanym od sprzedawcy. Przepis ten wynika wprost z dyrektywy. Dostępne publicznie informacje oznaczają w szczególności dostępne publicznie, oficjalne rządowe rejestry. </w:t>
      </w:r>
      <w:r w:rsidR="001D3438" w:rsidRPr="00EB304C">
        <w:rPr>
          <w:rFonts w:ascii="Times New Roman" w:hAnsi="Times New Roman" w:cs="Times New Roman"/>
          <w:sz w:val="24"/>
          <w:szCs w:val="24"/>
        </w:rPr>
        <w:t>W przypadku potwierdzeń uzyskanych od sprzedawcy ustawa nie precyzuje ich formy – należy więc przyjąć, że dopuszczalna jest każda forma potwierdzenia, o ile operator platformy jest w stanie udokumentować następnie fakt otrzymania takiego potwierdzenia od sprzedawcy.</w:t>
      </w:r>
      <w:r w:rsidR="00BE1B6C" w:rsidRPr="00EB304C">
        <w:rPr>
          <w:rFonts w:ascii="Times New Roman" w:hAnsi="Times New Roman" w:cs="Times New Roman"/>
          <w:sz w:val="24"/>
          <w:szCs w:val="24"/>
        </w:rPr>
        <w:t xml:space="preserve"> W przypadku nieskorzystania przez operatora platformy z jednego z ww. sposobów ustalenia statusu sprzedawcy jako wyłączonego sprzedawcy, taki operator może wykorzystać inny sposób ustalenia</w:t>
      </w:r>
      <w:r w:rsidR="00056BA4">
        <w:rPr>
          <w:rFonts w:ascii="Times New Roman" w:hAnsi="Times New Roman" w:cs="Times New Roman"/>
          <w:sz w:val="24"/>
          <w:szCs w:val="24"/>
        </w:rPr>
        <w:t>,</w:t>
      </w:r>
      <w:r w:rsidR="00BE1B6C" w:rsidRPr="00EB304C">
        <w:rPr>
          <w:rFonts w:ascii="Times New Roman" w:hAnsi="Times New Roman" w:cs="Times New Roman"/>
          <w:sz w:val="24"/>
          <w:szCs w:val="24"/>
        </w:rPr>
        <w:t xml:space="preserve"> czy dany sprzedawca jest wyłączonym sprzedawcą. Jeżeli taki status nie zostanie </w:t>
      </w:r>
      <w:r w:rsidR="00B90D58" w:rsidRPr="00EB304C">
        <w:rPr>
          <w:rFonts w:ascii="Times New Roman" w:hAnsi="Times New Roman" w:cs="Times New Roman"/>
          <w:sz w:val="24"/>
          <w:szCs w:val="24"/>
        </w:rPr>
        <w:t>ustalony przez operatora platformy</w:t>
      </w:r>
      <w:r w:rsidR="00BE1B6C" w:rsidRPr="00EB304C">
        <w:rPr>
          <w:rFonts w:ascii="Times New Roman" w:hAnsi="Times New Roman" w:cs="Times New Roman"/>
          <w:sz w:val="24"/>
          <w:szCs w:val="24"/>
        </w:rPr>
        <w:t xml:space="preserve"> (tj. nie zostanie </w:t>
      </w:r>
      <w:r w:rsidR="00B90D58" w:rsidRPr="00EB304C">
        <w:rPr>
          <w:rFonts w:ascii="Times New Roman" w:hAnsi="Times New Roman" w:cs="Times New Roman"/>
          <w:sz w:val="24"/>
          <w:szCs w:val="24"/>
        </w:rPr>
        <w:t xml:space="preserve">przez danego operatora </w:t>
      </w:r>
      <w:r w:rsidR="00BE1B6C" w:rsidRPr="00EB304C">
        <w:rPr>
          <w:rFonts w:ascii="Times New Roman" w:hAnsi="Times New Roman" w:cs="Times New Roman"/>
          <w:sz w:val="24"/>
          <w:szCs w:val="24"/>
        </w:rPr>
        <w:t xml:space="preserve">platformy ustalone, że sprzedawca ma status wyłączonego sprzedawcy), </w:t>
      </w:r>
      <w:r w:rsidR="00B90D58" w:rsidRPr="00EB304C">
        <w:rPr>
          <w:rFonts w:ascii="Times New Roman" w:hAnsi="Times New Roman" w:cs="Times New Roman"/>
          <w:sz w:val="24"/>
          <w:szCs w:val="24"/>
        </w:rPr>
        <w:t xml:space="preserve">taki </w:t>
      </w:r>
      <w:r w:rsidR="00BE1B6C" w:rsidRPr="00EB304C">
        <w:rPr>
          <w:rFonts w:ascii="Times New Roman" w:hAnsi="Times New Roman" w:cs="Times New Roman"/>
          <w:sz w:val="24"/>
          <w:szCs w:val="24"/>
        </w:rPr>
        <w:t>operator będzie zobowiązany do uznania danego sprzedawcy za niebędącego wyłączonym sprzedawcą, o</w:t>
      </w:r>
      <w:r w:rsidR="00B90D58" w:rsidRPr="00EB304C">
        <w:rPr>
          <w:rFonts w:ascii="Times New Roman" w:hAnsi="Times New Roman" w:cs="Times New Roman"/>
          <w:sz w:val="24"/>
          <w:szCs w:val="24"/>
        </w:rPr>
        <w:t> </w:t>
      </w:r>
      <w:r w:rsidR="00BE1B6C" w:rsidRPr="00EB304C">
        <w:rPr>
          <w:rFonts w:ascii="Times New Roman" w:hAnsi="Times New Roman" w:cs="Times New Roman"/>
          <w:sz w:val="24"/>
          <w:szCs w:val="24"/>
        </w:rPr>
        <w:t>którym mowa w art. 75a pkt 2</w:t>
      </w:r>
      <w:r w:rsidR="00356DCA">
        <w:rPr>
          <w:rFonts w:ascii="Times New Roman" w:hAnsi="Times New Roman" w:cs="Times New Roman"/>
          <w:sz w:val="24"/>
          <w:szCs w:val="24"/>
        </w:rPr>
        <w:t>4</w:t>
      </w:r>
      <w:r w:rsidR="00BE1B6C" w:rsidRPr="00EB304C">
        <w:rPr>
          <w:rFonts w:ascii="Times New Roman" w:hAnsi="Times New Roman" w:cs="Times New Roman"/>
          <w:sz w:val="24"/>
          <w:szCs w:val="24"/>
        </w:rPr>
        <w:t xml:space="preserve"> lit. a i b ustawy.</w:t>
      </w:r>
    </w:p>
    <w:p w14:paraId="3F03F927" w14:textId="05319F36" w:rsidR="00877ADA" w:rsidRPr="00EB304C" w:rsidRDefault="00437CF9"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W celu określenia</w:t>
      </w:r>
      <w:r w:rsidR="00840DB6" w:rsidRPr="00EB304C">
        <w:rPr>
          <w:rFonts w:ascii="Times New Roman" w:hAnsi="Times New Roman" w:cs="Times New Roman"/>
          <w:sz w:val="24"/>
          <w:szCs w:val="24"/>
        </w:rPr>
        <w:t>,</w:t>
      </w:r>
      <w:r w:rsidR="00877ADA" w:rsidRPr="00EB304C">
        <w:rPr>
          <w:rFonts w:ascii="Times New Roman" w:hAnsi="Times New Roman" w:cs="Times New Roman"/>
          <w:sz w:val="24"/>
          <w:szCs w:val="24"/>
        </w:rPr>
        <w:t xml:space="preserve"> czy sprzedawcy są sprzedawcami wyłączonymi ze względu na to, że prowadzą </w:t>
      </w:r>
      <w:r w:rsidR="00632831">
        <w:rPr>
          <w:rFonts w:ascii="Times New Roman" w:hAnsi="Times New Roman" w:cs="Times New Roman"/>
          <w:sz w:val="24"/>
          <w:szCs w:val="24"/>
        </w:rPr>
        <w:t xml:space="preserve">(uogólniając) </w:t>
      </w:r>
      <w:r w:rsidR="00877ADA" w:rsidRPr="00EB304C">
        <w:rPr>
          <w:rFonts w:ascii="Times New Roman" w:hAnsi="Times New Roman" w:cs="Times New Roman"/>
          <w:sz w:val="24"/>
          <w:szCs w:val="24"/>
        </w:rPr>
        <w:t>profesjonalną działalność hotelarską</w:t>
      </w:r>
      <w:r w:rsidR="00632831">
        <w:rPr>
          <w:rFonts w:ascii="Times New Roman" w:hAnsi="Times New Roman" w:cs="Times New Roman"/>
          <w:sz w:val="24"/>
          <w:szCs w:val="24"/>
        </w:rPr>
        <w:t xml:space="preserve"> lub </w:t>
      </w:r>
      <w:r w:rsidR="00632831" w:rsidRPr="00EB304C">
        <w:rPr>
          <w:rFonts w:ascii="Times New Roman" w:hAnsi="Times New Roman" w:cs="Times New Roman"/>
          <w:sz w:val="24"/>
          <w:szCs w:val="24"/>
        </w:rPr>
        <w:t>sprzedaż okazyjną</w:t>
      </w:r>
      <w:r w:rsidR="00C7017A" w:rsidRPr="00EB304C">
        <w:rPr>
          <w:rFonts w:ascii="Times New Roman" w:hAnsi="Times New Roman" w:cs="Times New Roman"/>
          <w:sz w:val="24"/>
          <w:szCs w:val="24"/>
        </w:rPr>
        <w:t xml:space="preserve"> (art. 75a pkt 2</w:t>
      </w:r>
      <w:r w:rsidR="00632831">
        <w:rPr>
          <w:rFonts w:ascii="Times New Roman" w:hAnsi="Times New Roman" w:cs="Times New Roman"/>
          <w:sz w:val="24"/>
          <w:szCs w:val="24"/>
        </w:rPr>
        <w:t>4</w:t>
      </w:r>
      <w:r w:rsidR="00C7017A" w:rsidRPr="00EB304C">
        <w:rPr>
          <w:rFonts w:ascii="Times New Roman" w:hAnsi="Times New Roman" w:cs="Times New Roman"/>
          <w:sz w:val="24"/>
          <w:szCs w:val="24"/>
        </w:rPr>
        <w:t xml:space="preserve"> lit. c i </w:t>
      </w:r>
      <w:r w:rsidRPr="00EB304C">
        <w:rPr>
          <w:rFonts w:ascii="Times New Roman" w:hAnsi="Times New Roman" w:cs="Times New Roman"/>
          <w:sz w:val="24"/>
          <w:szCs w:val="24"/>
        </w:rPr>
        <w:t>d</w:t>
      </w:r>
      <w:r w:rsidR="00056BA4">
        <w:rPr>
          <w:rFonts w:ascii="Times New Roman" w:hAnsi="Times New Roman" w:cs="Times New Roman"/>
          <w:sz w:val="24"/>
          <w:szCs w:val="24"/>
        </w:rPr>
        <w:t>),</w:t>
      </w:r>
      <w:r w:rsidR="00877ADA" w:rsidRPr="00EB304C">
        <w:rPr>
          <w:rFonts w:ascii="Times New Roman" w:hAnsi="Times New Roman" w:cs="Times New Roman"/>
          <w:sz w:val="24"/>
          <w:szCs w:val="24"/>
        </w:rPr>
        <w:t xml:space="preserve"> </w:t>
      </w:r>
      <w:r w:rsidRPr="00EB304C">
        <w:rPr>
          <w:rFonts w:ascii="Times New Roman" w:hAnsi="Times New Roman" w:cs="Times New Roman"/>
          <w:sz w:val="24"/>
          <w:szCs w:val="24"/>
        </w:rPr>
        <w:t xml:space="preserve">operator może skorzystać z informacji zgromadzonych </w:t>
      </w:r>
      <w:r w:rsidR="00877ADA" w:rsidRPr="00EB304C">
        <w:rPr>
          <w:rFonts w:ascii="Times New Roman" w:hAnsi="Times New Roman" w:cs="Times New Roman"/>
          <w:sz w:val="24"/>
          <w:szCs w:val="24"/>
        </w:rPr>
        <w:t>w toku</w:t>
      </w:r>
      <w:r w:rsidRPr="00EB304C">
        <w:rPr>
          <w:rFonts w:ascii="Times New Roman" w:hAnsi="Times New Roman" w:cs="Times New Roman"/>
          <w:sz w:val="24"/>
          <w:szCs w:val="24"/>
        </w:rPr>
        <w:t xml:space="preserve"> </w:t>
      </w:r>
      <w:r w:rsidR="00877ADA" w:rsidRPr="00EB304C">
        <w:rPr>
          <w:rFonts w:ascii="Times New Roman" w:hAnsi="Times New Roman" w:cs="Times New Roman"/>
          <w:sz w:val="24"/>
          <w:szCs w:val="24"/>
        </w:rPr>
        <w:t xml:space="preserve">prowadzonej przez niego działalności. </w:t>
      </w:r>
    </w:p>
    <w:p w14:paraId="21D8984A" w14:textId="3F4866E7" w:rsidR="00A553CF" w:rsidRPr="00EB304C" w:rsidRDefault="00877ADA"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 xml:space="preserve">Art. </w:t>
      </w:r>
      <w:r w:rsidR="00B446EA" w:rsidRPr="00EB304C">
        <w:rPr>
          <w:rFonts w:ascii="Times New Roman" w:hAnsi="Times New Roman" w:cs="Times New Roman"/>
          <w:sz w:val="24"/>
          <w:szCs w:val="24"/>
        </w:rPr>
        <w:t>75l</w:t>
      </w:r>
      <w:r w:rsidRPr="00EB304C">
        <w:rPr>
          <w:rFonts w:ascii="Times New Roman" w:hAnsi="Times New Roman" w:cs="Times New Roman"/>
          <w:sz w:val="24"/>
          <w:szCs w:val="24"/>
        </w:rPr>
        <w:t xml:space="preserve"> określa, że</w:t>
      </w:r>
      <w:r w:rsidR="00223152">
        <w:rPr>
          <w:rFonts w:ascii="Times New Roman" w:hAnsi="Times New Roman" w:cs="Times New Roman"/>
          <w:sz w:val="24"/>
          <w:szCs w:val="24"/>
        </w:rPr>
        <w:t xml:space="preserve"> </w:t>
      </w:r>
      <w:r w:rsidRPr="00EB304C">
        <w:rPr>
          <w:rFonts w:ascii="Times New Roman" w:hAnsi="Times New Roman" w:cs="Times New Roman"/>
          <w:sz w:val="24"/>
          <w:szCs w:val="24"/>
        </w:rPr>
        <w:t xml:space="preserve">raportujący operator platformy jest zobowiązany dopełnić procedur </w:t>
      </w:r>
      <w:r w:rsidR="003D20A8" w:rsidRPr="00EB304C">
        <w:rPr>
          <w:rFonts w:ascii="Times New Roman" w:hAnsi="Times New Roman" w:cs="Times New Roman"/>
          <w:sz w:val="24"/>
          <w:szCs w:val="24"/>
        </w:rPr>
        <w:t>gromadzenia i weryfikacji danych o sprzedawcach oraz uznawania sprzedawcy za rezydenta danego państwa, zwanych</w:t>
      </w:r>
      <w:r w:rsidR="00223152">
        <w:rPr>
          <w:rFonts w:ascii="Times New Roman" w:hAnsi="Times New Roman" w:cs="Times New Roman"/>
          <w:sz w:val="24"/>
          <w:szCs w:val="24"/>
        </w:rPr>
        <w:t xml:space="preserve"> </w:t>
      </w:r>
      <w:r w:rsidR="00056BA4">
        <w:rPr>
          <w:rFonts w:ascii="Times New Roman" w:hAnsi="Times New Roman" w:cs="Times New Roman"/>
          <w:sz w:val="24"/>
          <w:szCs w:val="24"/>
        </w:rPr>
        <w:t>„</w:t>
      </w:r>
      <w:r w:rsidR="003D20A8" w:rsidRPr="00EB304C">
        <w:rPr>
          <w:rFonts w:ascii="Times New Roman" w:hAnsi="Times New Roman" w:cs="Times New Roman"/>
          <w:sz w:val="24"/>
          <w:szCs w:val="24"/>
        </w:rPr>
        <w:t>procedurami należytej staranności</w:t>
      </w:r>
      <w:r w:rsidR="00056BA4">
        <w:rPr>
          <w:rFonts w:ascii="Times New Roman" w:hAnsi="Times New Roman" w:cs="Times New Roman"/>
          <w:sz w:val="24"/>
          <w:szCs w:val="24"/>
        </w:rPr>
        <w:t>”,</w:t>
      </w:r>
      <w:r w:rsidR="00223152">
        <w:rPr>
          <w:rFonts w:ascii="Times New Roman" w:hAnsi="Times New Roman" w:cs="Times New Roman"/>
          <w:sz w:val="24"/>
          <w:szCs w:val="24"/>
        </w:rPr>
        <w:t xml:space="preserve"> </w:t>
      </w:r>
      <w:r w:rsidRPr="00EB304C">
        <w:rPr>
          <w:rFonts w:ascii="Times New Roman" w:hAnsi="Times New Roman" w:cs="Times New Roman"/>
          <w:sz w:val="24"/>
          <w:szCs w:val="24"/>
        </w:rPr>
        <w:t>co najmniej wobec aktywnych sprzedawców</w:t>
      </w:r>
      <w:r w:rsidR="009228C1" w:rsidRPr="00EB304C">
        <w:rPr>
          <w:rFonts w:ascii="Times New Roman" w:hAnsi="Times New Roman" w:cs="Times New Roman"/>
          <w:sz w:val="24"/>
          <w:szCs w:val="24"/>
        </w:rPr>
        <w:t xml:space="preserve"> (w tym wyłączonych sprzedawców)</w:t>
      </w:r>
      <w:r w:rsidRPr="00EB304C">
        <w:rPr>
          <w:rFonts w:ascii="Times New Roman" w:hAnsi="Times New Roman" w:cs="Times New Roman"/>
          <w:sz w:val="24"/>
          <w:szCs w:val="24"/>
        </w:rPr>
        <w:t>, to jest wobec sprzedawców</w:t>
      </w:r>
      <w:r w:rsidR="00056BA4">
        <w:rPr>
          <w:rFonts w:ascii="Times New Roman" w:hAnsi="Times New Roman" w:cs="Times New Roman"/>
          <w:sz w:val="24"/>
          <w:szCs w:val="24"/>
        </w:rPr>
        <w:t>,</w:t>
      </w:r>
      <w:r w:rsidRPr="00EB304C">
        <w:rPr>
          <w:rFonts w:ascii="Times New Roman" w:hAnsi="Times New Roman" w:cs="Times New Roman"/>
          <w:sz w:val="24"/>
          <w:szCs w:val="24"/>
        </w:rPr>
        <w:t xml:space="preserve"> którzy faktycznie otrzymali wynagrodzenie dzięki wykorzystaniu platformy albo chociaż wykonali stosowną czynność dzięki wykorzystaniu platformy. Zdefiniowany jest tutaj zatem minimalny zakres. Oznacza to, że jeżeli operator będzie miał taką wolę, może dopełniać ww. procedur również wobec pozostałych sprzedawców.</w:t>
      </w:r>
      <w:r w:rsidR="008669D9">
        <w:rPr>
          <w:rFonts w:ascii="Times New Roman" w:hAnsi="Times New Roman" w:cs="Times New Roman"/>
          <w:sz w:val="24"/>
          <w:szCs w:val="24"/>
        </w:rPr>
        <w:t xml:space="preserve"> </w:t>
      </w:r>
      <w:r w:rsidR="00A553CF">
        <w:rPr>
          <w:rFonts w:ascii="Times New Roman" w:hAnsi="Times New Roman" w:cs="Times New Roman"/>
          <w:sz w:val="24"/>
          <w:szCs w:val="24"/>
        </w:rPr>
        <w:t>Zbieranie i weryfikacja danych na podstawie art.</w:t>
      </w:r>
      <w:r w:rsidR="00762F12">
        <w:rPr>
          <w:rFonts w:ascii="Times New Roman" w:hAnsi="Times New Roman" w:cs="Times New Roman"/>
          <w:sz w:val="24"/>
          <w:szCs w:val="24"/>
        </w:rPr>
        <w:t> </w:t>
      </w:r>
      <w:r w:rsidR="00A553CF">
        <w:rPr>
          <w:rFonts w:ascii="Times New Roman" w:hAnsi="Times New Roman" w:cs="Times New Roman"/>
          <w:sz w:val="24"/>
          <w:szCs w:val="24"/>
        </w:rPr>
        <w:t>75l powinn</w:t>
      </w:r>
      <w:r w:rsidR="00125495">
        <w:rPr>
          <w:rFonts w:ascii="Times New Roman" w:hAnsi="Times New Roman" w:cs="Times New Roman"/>
          <w:sz w:val="24"/>
          <w:szCs w:val="24"/>
        </w:rPr>
        <w:t>y</w:t>
      </w:r>
      <w:r w:rsidR="00A553CF">
        <w:rPr>
          <w:rFonts w:ascii="Times New Roman" w:hAnsi="Times New Roman" w:cs="Times New Roman"/>
          <w:sz w:val="24"/>
          <w:szCs w:val="24"/>
        </w:rPr>
        <w:t xml:space="preserve"> odbywać się w korelacji z wypełnianiem obowiązków, o których mowa w</w:t>
      </w:r>
      <w:r w:rsidR="00762F12">
        <w:rPr>
          <w:rFonts w:ascii="Times New Roman" w:hAnsi="Times New Roman" w:cs="Times New Roman"/>
          <w:sz w:val="24"/>
          <w:szCs w:val="24"/>
        </w:rPr>
        <w:t> </w:t>
      </w:r>
      <w:r w:rsidR="00A553CF">
        <w:rPr>
          <w:rFonts w:ascii="Times New Roman" w:hAnsi="Times New Roman" w:cs="Times New Roman"/>
          <w:sz w:val="24"/>
          <w:szCs w:val="24"/>
        </w:rPr>
        <w:t>art.</w:t>
      </w:r>
      <w:r w:rsidR="00762F12">
        <w:rPr>
          <w:rFonts w:ascii="Times New Roman" w:hAnsi="Times New Roman" w:cs="Times New Roman"/>
          <w:sz w:val="24"/>
          <w:szCs w:val="24"/>
        </w:rPr>
        <w:t> </w:t>
      </w:r>
      <w:r w:rsidR="00A553CF">
        <w:rPr>
          <w:rFonts w:ascii="Times New Roman" w:hAnsi="Times New Roman" w:cs="Times New Roman"/>
          <w:sz w:val="24"/>
          <w:szCs w:val="24"/>
        </w:rPr>
        <w:t>75o. Oznacza to, że dopóki nie wystąpi obowiązek wystąpienia do sprzedawcy o</w:t>
      </w:r>
      <w:r w:rsidR="00762F12">
        <w:rPr>
          <w:rFonts w:ascii="Times New Roman" w:hAnsi="Times New Roman" w:cs="Times New Roman"/>
          <w:sz w:val="24"/>
          <w:szCs w:val="24"/>
        </w:rPr>
        <w:t xml:space="preserve"> pełen katalog </w:t>
      </w:r>
      <w:r w:rsidR="00A553CF">
        <w:rPr>
          <w:rFonts w:ascii="Times New Roman" w:hAnsi="Times New Roman" w:cs="Times New Roman"/>
          <w:sz w:val="24"/>
          <w:szCs w:val="24"/>
        </w:rPr>
        <w:t>informacj</w:t>
      </w:r>
      <w:r w:rsidR="00762F12">
        <w:rPr>
          <w:rFonts w:ascii="Times New Roman" w:hAnsi="Times New Roman" w:cs="Times New Roman"/>
          <w:sz w:val="24"/>
          <w:szCs w:val="24"/>
        </w:rPr>
        <w:t>i</w:t>
      </w:r>
      <w:r w:rsidR="00A553CF">
        <w:rPr>
          <w:rFonts w:ascii="Times New Roman" w:hAnsi="Times New Roman" w:cs="Times New Roman"/>
          <w:sz w:val="24"/>
          <w:szCs w:val="24"/>
        </w:rPr>
        <w:t xml:space="preserve"> na podstawie art. 75o ust. 1, to raportujący operator platformy nie jest zobligowany</w:t>
      </w:r>
      <w:r w:rsidR="0004724A">
        <w:rPr>
          <w:rFonts w:ascii="Times New Roman" w:hAnsi="Times New Roman" w:cs="Times New Roman"/>
          <w:sz w:val="24"/>
          <w:szCs w:val="24"/>
        </w:rPr>
        <w:t xml:space="preserve"> do</w:t>
      </w:r>
      <w:r w:rsidR="00A553CF">
        <w:rPr>
          <w:rFonts w:ascii="Times New Roman" w:hAnsi="Times New Roman" w:cs="Times New Roman"/>
          <w:sz w:val="24"/>
          <w:szCs w:val="24"/>
        </w:rPr>
        <w:t xml:space="preserve"> </w:t>
      </w:r>
      <w:r w:rsidR="006F53D0">
        <w:rPr>
          <w:rFonts w:ascii="Times New Roman" w:hAnsi="Times New Roman" w:cs="Times New Roman"/>
          <w:sz w:val="24"/>
          <w:szCs w:val="24"/>
        </w:rPr>
        <w:t xml:space="preserve">gromadzenia ich w zakresie, </w:t>
      </w:r>
      <w:r w:rsidR="00762F12">
        <w:rPr>
          <w:rFonts w:ascii="Times New Roman" w:hAnsi="Times New Roman" w:cs="Times New Roman"/>
          <w:sz w:val="24"/>
          <w:szCs w:val="24"/>
        </w:rPr>
        <w:t>co do którego nie musiał jeszcze wystąpić</w:t>
      </w:r>
      <w:r w:rsidR="0004724A">
        <w:rPr>
          <w:rFonts w:ascii="Times New Roman" w:hAnsi="Times New Roman" w:cs="Times New Roman"/>
          <w:sz w:val="24"/>
          <w:szCs w:val="24"/>
        </w:rPr>
        <w:t xml:space="preserve"> </w:t>
      </w:r>
      <w:r w:rsidR="00762F12">
        <w:rPr>
          <w:rFonts w:ascii="Times New Roman" w:hAnsi="Times New Roman" w:cs="Times New Roman"/>
          <w:sz w:val="24"/>
          <w:szCs w:val="24"/>
        </w:rPr>
        <w:t xml:space="preserve">do sprzedawcy (zob. </w:t>
      </w:r>
      <w:r w:rsidR="000C7828">
        <w:rPr>
          <w:rFonts w:ascii="Times New Roman" w:hAnsi="Times New Roman" w:cs="Times New Roman"/>
          <w:sz w:val="24"/>
          <w:szCs w:val="24"/>
        </w:rPr>
        <w:t>art. 75o ust. 2)</w:t>
      </w:r>
      <w:r w:rsidR="00762F12">
        <w:rPr>
          <w:rFonts w:ascii="Times New Roman" w:hAnsi="Times New Roman" w:cs="Times New Roman"/>
          <w:sz w:val="24"/>
          <w:szCs w:val="24"/>
        </w:rPr>
        <w:t xml:space="preserve">. </w:t>
      </w:r>
      <w:r w:rsidR="000C7828">
        <w:rPr>
          <w:rFonts w:ascii="Times New Roman" w:hAnsi="Times New Roman" w:cs="Times New Roman"/>
          <w:sz w:val="24"/>
          <w:szCs w:val="24"/>
        </w:rPr>
        <w:t xml:space="preserve">Gromadzenie </w:t>
      </w:r>
      <w:r w:rsidR="00A553CF">
        <w:rPr>
          <w:rFonts w:ascii="Times New Roman" w:hAnsi="Times New Roman" w:cs="Times New Roman"/>
          <w:sz w:val="24"/>
          <w:szCs w:val="24"/>
        </w:rPr>
        <w:t>dan</w:t>
      </w:r>
      <w:r w:rsidR="000C7828">
        <w:rPr>
          <w:rFonts w:ascii="Times New Roman" w:hAnsi="Times New Roman" w:cs="Times New Roman"/>
          <w:sz w:val="24"/>
          <w:szCs w:val="24"/>
        </w:rPr>
        <w:t>ych</w:t>
      </w:r>
      <w:r w:rsidR="00A553CF">
        <w:rPr>
          <w:rFonts w:ascii="Times New Roman" w:hAnsi="Times New Roman" w:cs="Times New Roman"/>
          <w:sz w:val="24"/>
          <w:szCs w:val="24"/>
        </w:rPr>
        <w:t xml:space="preserve"> obejm</w:t>
      </w:r>
      <w:r w:rsidR="000C7828">
        <w:rPr>
          <w:rFonts w:ascii="Times New Roman" w:hAnsi="Times New Roman" w:cs="Times New Roman"/>
          <w:sz w:val="24"/>
          <w:szCs w:val="24"/>
        </w:rPr>
        <w:t>uje więc</w:t>
      </w:r>
      <w:r w:rsidR="00A553CF">
        <w:rPr>
          <w:rFonts w:ascii="Times New Roman" w:hAnsi="Times New Roman" w:cs="Times New Roman"/>
          <w:sz w:val="24"/>
          <w:szCs w:val="24"/>
        </w:rPr>
        <w:t xml:space="preserve"> tylko ten zakres, który jest wymagany na obecną chwilę</w:t>
      </w:r>
      <w:r w:rsidR="000C7828">
        <w:rPr>
          <w:rFonts w:ascii="Times New Roman" w:hAnsi="Times New Roman" w:cs="Times New Roman"/>
          <w:sz w:val="24"/>
          <w:szCs w:val="24"/>
        </w:rPr>
        <w:t xml:space="preserve"> (je</w:t>
      </w:r>
      <w:r w:rsidR="00712A84">
        <w:rPr>
          <w:rFonts w:ascii="Times New Roman" w:hAnsi="Times New Roman" w:cs="Times New Roman"/>
          <w:sz w:val="24"/>
          <w:szCs w:val="24"/>
        </w:rPr>
        <w:t>że</w:t>
      </w:r>
      <w:r w:rsidR="000C7828">
        <w:rPr>
          <w:rFonts w:ascii="Times New Roman" w:hAnsi="Times New Roman" w:cs="Times New Roman"/>
          <w:sz w:val="24"/>
          <w:szCs w:val="24"/>
        </w:rPr>
        <w:t>li więc na dany moment wymagane jest posiadanie jedynie danych służących ustaleniu tożsamości sprzedawcy – zob.</w:t>
      </w:r>
      <w:r w:rsidR="000C7828" w:rsidRPr="000C7828">
        <w:rPr>
          <w:rFonts w:ascii="Times New Roman" w:hAnsi="Times New Roman" w:cs="Times New Roman"/>
          <w:sz w:val="24"/>
          <w:szCs w:val="24"/>
        </w:rPr>
        <w:t xml:space="preserve"> </w:t>
      </w:r>
      <w:r w:rsidR="000C7828">
        <w:rPr>
          <w:rFonts w:ascii="Times New Roman" w:hAnsi="Times New Roman" w:cs="Times New Roman"/>
          <w:sz w:val="24"/>
          <w:szCs w:val="24"/>
        </w:rPr>
        <w:t xml:space="preserve">art. 75o ust. 2 – to tylko te dane są obowiązkowo przechowywane przez operatora). </w:t>
      </w:r>
    </w:p>
    <w:p w14:paraId="693F91FD" w14:textId="57A07559" w:rsidR="00877ADA" w:rsidRPr="00EB304C" w:rsidRDefault="00877ADA"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lastRenderedPageBreak/>
        <w:t>W celu weryfikacji ważności NIP lub numeru identyfikacyjnego VAT</w:t>
      </w:r>
      <w:r w:rsidR="009060DC" w:rsidRPr="00EB304C">
        <w:rPr>
          <w:rFonts w:ascii="Times New Roman" w:hAnsi="Times New Roman" w:cs="Times New Roman"/>
          <w:sz w:val="24"/>
          <w:szCs w:val="24"/>
        </w:rPr>
        <w:t>, o której mowa w</w:t>
      </w:r>
      <w:r w:rsidR="00712A84">
        <w:rPr>
          <w:rFonts w:ascii="Times New Roman" w:hAnsi="Times New Roman" w:cs="Times New Roman"/>
          <w:sz w:val="24"/>
          <w:szCs w:val="24"/>
        </w:rPr>
        <w:t> </w:t>
      </w:r>
      <w:r w:rsidR="009060DC" w:rsidRPr="00EB304C">
        <w:rPr>
          <w:rFonts w:ascii="Times New Roman" w:hAnsi="Times New Roman" w:cs="Times New Roman"/>
          <w:sz w:val="24"/>
          <w:szCs w:val="24"/>
        </w:rPr>
        <w:t>art.</w:t>
      </w:r>
      <w:r w:rsidR="00712A84">
        <w:rPr>
          <w:rFonts w:ascii="Times New Roman" w:hAnsi="Times New Roman" w:cs="Times New Roman"/>
          <w:sz w:val="24"/>
          <w:szCs w:val="24"/>
        </w:rPr>
        <w:t> </w:t>
      </w:r>
      <w:r w:rsidR="009060DC" w:rsidRPr="00EB304C">
        <w:rPr>
          <w:rFonts w:ascii="Times New Roman" w:hAnsi="Times New Roman" w:cs="Times New Roman"/>
          <w:sz w:val="24"/>
          <w:szCs w:val="24"/>
        </w:rPr>
        <w:t>75m ust. 1</w:t>
      </w:r>
      <w:r w:rsidRPr="00EB304C">
        <w:rPr>
          <w:rFonts w:ascii="Times New Roman" w:hAnsi="Times New Roman" w:cs="Times New Roman"/>
          <w:sz w:val="24"/>
          <w:szCs w:val="24"/>
        </w:rPr>
        <w:t>, raportujący operator platformy może skorzystać z każdego narzędzia udostępnianego prze</w:t>
      </w:r>
      <w:r w:rsidR="00C625DE" w:rsidRPr="00EB304C">
        <w:rPr>
          <w:rFonts w:ascii="Times New Roman" w:hAnsi="Times New Roman" w:cs="Times New Roman"/>
          <w:sz w:val="24"/>
          <w:szCs w:val="24"/>
        </w:rPr>
        <w:t xml:space="preserve">z państwa uczestniczące lub UE, </w:t>
      </w:r>
      <w:r w:rsidRPr="00EB304C">
        <w:rPr>
          <w:rFonts w:ascii="Times New Roman" w:hAnsi="Times New Roman" w:cs="Times New Roman"/>
          <w:sz w:val="24"/>
          <w:szCs w:val="24"/>
        </w:rPr>
        <w:t xml:space="preserve">np. z systemu </w:t>
      </w:r>
      <w:r w:rsidR="00C625DE" w:rsidRPr="00EB304C">
        <w:rPr>
          <w:rFonts w:ascii="Times New Roman" w:hAnsi="Times New Roman" w:cs="Times New Roman"/>
          <w:sz w:val="24"/>
          <w:szCs w:val="24"/>
        </w:rPr>
        <w:t>wymiany informacji o VAT (VIES)</w:t>
      </w:r>
      <w:r w:rsidR="00B67A51" w:rsidRPr="00EB304C">
        <w:rPr>
          <w:rFonts w:ascii="Times New Roman" w:hAnsi="Times New Roman" w:cs="Times New Roman"/>
          <w:sz w:val="24"/>
          <w:szCs w:val="24"/>
        </w:rPr>
        <w:t xml:space="preserve"> czy dostępnego w Polsce </w:t>
      </w:r>
      <w:r w:rsidR="00B67A51" w:rsidRPr="00EB304C">
        <w:rPr>
          <w:rFonts w:ascii="Times New Roman" w:hAnsi="Times New Roman" w:cs="Times New Roman"/>
          <w:color w:val="1A1A1A"/>
          <w:sz w:val="24"/>
          <w:szCs w:val="24"/>
          <w:shd w:val="clear" w:color="auto" w:fill="FFFFFF"/>
        </w:rPr>
        <w:t>Wykazu podmiotów zarejestrowanych jako podatnicy VAT, niezarejestrowanych oraz wykreślonych i przywróconych do rejestru VAT (tzw. biała lista)</w:t>
      </w:r>
      <w:r w:rsidR="00B67A51" w:rsidRPr="00EB304C">
        <w:rPr>
          <w:rFonts w:ascii="Times New Roman" w:hAnsi="Times New Roman" w:cs="Times New Roman"/>
          <w:sz w:val="24"/>
          <w:szCs w:val="24"/>
        </w:rPr>
        <w:t xml:space="preserve">. Ustawa nie </w:t>
      </w:r>
      <w:r w:rsidR="000E17B2">
        <w:rPr>
          <w:rFonts w:ascii="Times New Roman" w:hAnsi="Times New Roman" w:cs="Times New Roman"/>
          <w:sz w:val="24"/>
          <w:szCs w:val="24"/>
        </w:rPr>
        <w:t>wskazuje</w:t>
      </w:r>
      <w:r w:rsidR="00B67A51" w:rsidRPr="00EB304C">
        <w:rPr>
          <w:rFonts w:ascii="Times New Roman" w:hAnsi="Times New Roman" w:cs="Times New Roman"/>
          <w:sz w:val="24"/>
          <w:szCs w:val="24"/>
        </w:rPr>
        <w:t xml:space="preserve"> jednak konkretnych źródeł, z których powinien skorzystać raportujący operator platformy.</w:t>
      </w:r>
    </w:p>
    <w:p w14:paraId="46D085A7" w14:textId="41C2B179" w:rsidR="00877ADA" w:rsidRPr="00EB304C" w:rsidRDefault="00877ADA"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 xml:space="preserve">Istotnym uproszczeniem dla operatorów platform jest domniemanie, że sprzedawca jest rezydentem w państwie, w którym znajduje się jego główny adres (art. </w:t>
      </w:r>
      <w:r w:rsidR="004A5C33" w:rsidRPr="00EB304C">
        <w:rPr>
          <w:rFonts w:ascii="Times New Roman" w:hAnsi="Times New Roman" w:cs="Times New Roman"/>
          <w:sz w:val="24"/>
          <w:szCs w:val="24"/>
        </w:rPr>
        <w:t>75n</w:t>
      </w:r>
      <w:r w:rsidRPr="00EB304C">
        <w:rPr>
          <w:rFonts w:ascii="Times New Roman" w:hAnsi="Times New Roman" w:cs="Times New Roman"/>
          <w:sz w:val="24"/>
          <w:szCs w:val="24"/>
        </w:rPr>
        <w:t>)</w:t>
      </w:r>
      <w:r w:rsidR="005C420E" w:rsidRPr="00EB304C">
        <w:rPr>
          <w:rFonts w:ascii="Times New Roman" w:hAnsi="Times New Roman" w:cs="Times New Roman"/>
          <w:sz w:val="24"/>
          <w:szCs w:val="24"/>
        </w:rPr>
        <w:t xml:space="preserve">. </w:t>
      </w:r>
    </w:p>
    <w:p w14:paraId="6048DBE2" w14:textId="1B930519" w:rsidR="009060DC" w:rsidRPr="00EB304C" w:rsidRDefault="009060DC"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W art. 75o zawarte są konsekwencje braku przekazania przez sprzedawcę informacji</w:t>
      </w:r>
      <w:r w:rsidR="00125495">
        <w:rPr>
          <w:rFonts w:ascii="Times New Roman" w:hAnsi="Times New Roman" w:cs="Times New Roman"/>
          <w:sz w:val="24"/>
          <w:szCs w:val="24"/>
        </w:rPr>
        <w:t>,</w:t>
      </w:r>
      <w:r w:rsidRPr="00EB304C">
        <w:rPr>
          <w:rFonts w:ascii="Times New Roman" w:hAnsi="Times New Roman" w:cs="Times New Roman"/>
          <w:sz w:val="24"/>
          <w:szCs w:val="24"/>
        </w:rPr>
        <w:t xml:space="preserve"> o których mowa w </w:t>
      </w:r>
      <w:r w:rsidR="009263C4" w:rsidRPr="00EB304C">
        <w:rPr>
          <w:rFonts w:ascii="Times New Roman" w:hAnsi="Times New Roman" w:cs="Times New Roman"/>
          <w:sz w:val="24"/>
          <w:szCs w:val="24"/>
        </w:rPr>
        <w:t xml:space="preserve">poszczególnych przepisach </w:t>
      </w:r>
      <w:r w:rsidRPr="00EB304C">
        <w:rPr>
          <w:rFonts w:ascii="Times New Roman" w:hAnsi="Times New Roman" w:cs="Times New Roman"/>
          <w:sz w:val="24"/>
          <w:szCs w:val="24"/>
        </w:rPr>
        <w:t>art. 75c. Ma to na celu skuteczne wy</w:t>
      </w:r>
      <w:r w:rsidR="00C7017A" w:rsidRPr="00EB304C">
        <w:rPr>
          <w:rFonts w:ascii="Times New Roman" w:hAnsi="Times New Roman" w:cs="Times New Roman"/>
          <w:sz w:val="24"/>
          <w:szCs w:val="24"/>
        </w:rPr>
        <w:t>egzekwowanie wywiązywania się z </w:t>
      </w:r>
      <w:r w:rsidRPr="00EB304C">
        <w:rPr>
          <w:rFonts w:ascii="Times New Roman" w:hAnsi="Times New Roman" w:cs="Times New Roman"/>
          <w:sz w:val="24"/>
          <w:szCs w:val="24"/>
        </w:rPr>
        <w:t xml:space="preserve">obowiązków wobec platform. </w:t>
      </w:r>
      <w:r w:rsidR="009263C4" w:rsidRPr="00EB304C">
        <w:rPr>
          <w:rFonts w:ascii="Times New Roman" w:hAnsi="Times New Roman" w:cs="Times New Roman"/>
          <w:sz w:val="24"/>
          <w:szCs w:val="24"/>
        </w:rPr>
        <w:t>R</w:t>
      </w:r>
      <w:r w:rsidRPr="00EB304C">
        <w:rPr>
          <w:rFonts w:ascii="Times New Roman" w:hAnsi="Times New Roman" w:cs="Times New Roman"/>
          <w:sz w:val="24"/>
          <w:szCs w:val="24"/>
        </w:rPr>
        <w:t xml:space="preserve">aportujący operator platformy </w:t>
      </w:r>
      <w:r w:rsidR="009263C4" w:rsidRPr="00EB304C">
        <w:rPr>
          <w:rFonts w:ascii="Times New Roman" w:hAnsi="Times New Roman" w:cs="Times New Roman"/>
          <w:sz w:val="24"/>
          <w:szCs w:val="24"/>
        </w:rPr>
        <w:t xml:space="preserve">zobowiązany jest więc </w:t>
      </w:r>
      <w:r w:rsidRPr="00EB304C">
        <w:rPr>
          <w:rFonts w:ascii="Times New Roman" w:hAnsi="Times New Roman" w:cs="Times New Roman"/>
          <w:sz w:val="24"/>
          <w:szCs w:val="24"/>
        </w:rPr>
        <w:t>wyst</w:t>
      </w:r>
      <w:r w:rsidR="009263C4" w:rsidRPr="00EB304C">
        <w:rPr>
          <w:rFonts w:ascii="Times New Roman" w:hAnsi="Times New Roman" w:cs="Times New Roman"/>
          <w:sz w:val="24"/>
          <w:szCs w:val="24"/>
        </w:rPr>
        <w:t>ąpić</w:t>
      </w:r>
      <w:r w:rsidRPr="00EB304C">
        <w:rPr>
          <w:rFonts w:ascii="Times New Roman" w:hAnsi="Times New Roman" w:cs="Times New Roman"/>
          <w:sz w:val="24"/>
          <w:szCs w:val="24"/>
        </w:rPr>
        <w:t xml:space="preserve"> do sprzedawcy o </w:t>
      </w:r>
      <w:r w:rsidR="009263C4" w:rsidRPr="00EB304C">
        <w:rPr>
          <w:rFonts w:ascii="Times New Roman" w:hAnsi="Times New Roman" w:cs="Times New Roman"/>
          <w:sz w:val="24"/>
          <w:szCs w:val="24"/>
        </w:rPr>
        <w:t>brakujące informacje</w:t>
      </w:r>
      <w:r w:rsidRPr="00EB304C">
        <w:rPr>
          <w:rFonts w:ascii="Times New Roman" w:hAnsi="Times New Roman" w:cs="Times New Roman"/>
          <w:sz w:val="24"/>
          <w:szCs w:val="24"/>
        </w:rPr>
        <w:t>. Nieprzekazanie takiej informacji</w:t>
      </w:r>
      <w:r w:rsidR="00B85DBC" w:rsidRPr="00EB304C">
        <w:rPr>
          <w:rFonts w:ascii="Times New Roman" w:hAnsi="Times New Roman" w:cs="Times New Roman"/>
          <w:sz w:val="24"/>
          <w:szCs w:val="24"/>
        </w:rPr>
        <w:t>, pomimo dwukrotnego ponowienia wystąpienia,</w:t>
      </w:r>
      <w:r w:rsidRPr="00EB304C">
        <w:rPr>
          <w:rFonts w:ascii="Times New Roman" w:hAnsi="Times New Roman" w:cs="Times New Roman"/>
          <w:sz w:val="24"/>
          <w:szCs w:val="24"/>
        </w:rPr>
        <w:t xml:space="preserve"> skutkuje </w:t>
      </w:r>
      <w:r w:rsidR="000E17B2">
        <w:rPr>
          <w:rFonts w:ascii="Times New Roman" w:hAnsi="Times New Roman" w:cs="Times New Roman"/>
          <w:sz w:val="24"/>
          <w:szCs w:val="24"/>
        </w:rPr>
        <w:t xml:space="preserve">wstrzymaniem wypłaty wynagrodzenia temu sprzedawcy </w:t>
      </w:r>
      <w:r w:rsidR="00B85DBC" w:rsidRPr="00EB304C">
        <w:rPr>
          <w:rFonts w:ascii="Times New Roman" w:hAnsi="Times New Roman" w:cs="Times New Roman"/>
          <w:sz w:val="24"/>
          <w:szCs w:val="24"/>
        </w:rPr>
        <w:t xml:space="preserve">do czasu przekazania </w:t>
      </w:r>
      <w:r w:rsidR="00D115D1">
        <w:rPr>
          <w:rFonts w:ascii="Times New Roman" w:hAnsi="Times New Roman" w:cs="Times New Roman"/>
          <w:sz w:val="24"/>
          <w:szCs w:val="24"/>
        </w:rPr>
        <w:t>przez niego wymaganych</w:t>
      </w:r>
      <w:r w:rsidRPr="00EB304C">
        <w:rPr>
          <w:rFonts w:ascii="Times New Roman" w:hAnsi="Times New Roman" w:cs="Times New Roman"/>
          <w:sz w:val="24"/>
          <w:szCs w:val="24"/>
        </w:rPr>
        <w:t xml:space="preserve"> danych. </w:t>
      </w:r>
      <w:r w:rsidR="00D115D1">
        <w:rPr>
          <w:rFonts w:ascii="Times New Roman" w:hAnsi="Times New Roman" w:cs="Times New Roman"/>
          <w:sz w:val="24"/>
          <w:szCs w:val="24"/>
        </w:rPr>
        <w:t>W przypadku braku możliwości blokady wynagrodzenia (na przykład z przyczyn technicznych</w:t>
      </w:r>
      <w:r w:rsidR="00E96721">
        <w:rPr>
          <w:rFonts w:ascii="Times New Roman" w:hAnsi="Times New Roman" w:cs="Times New Roman"/>
          <w:sz w:val="24"/>
          <w:szCs w:val="24"/>
        </w:rPr>
        <w:t>, prawnych</w:t>
      </w:r>
      <w:r w:rsidR="00D115D1">
        <w:rPr>
          <w:rFonts w:ascii="Times New Roman" w:hAnsi="Times New Roman" w:cs="Times New Roman"/>
          <w:sz w:val="24"/>
          <w:szCs w:val="24"/>
        </w:rPr>
        <w:t xml:space="preserve"> lub proceduralnych) raportujący operator platformy ma obowiązek zablokowania sprzedawcy możliwości wykonywania stosownej czynności do czasu przekazania przez niego wymaganych informacji. </w:t>
      </w:r>
      <w:r w:rsidRPr="00EB304C">
        <w:rPr>
          <w:rFonts w:ascii="Times New Roman" w:hAnsi="Times New Roman" w:cs="Times New Roman"/>
          <w:sz w:val="24"/>
          <w:szCs w:val="24"/>
        </w:rPr>
        <w:t xml:space="preserve">Zmodyfikowano tutaj treść dyrektywy, która </w:t>
      </w:r>
      <w:r w:rsidR="0004724A">
        <w:rPr>
          <w:rFonts w:ascii="Times New Roman" w:hAnsi="Times New Roman" w:cs="Times New Roman"/>
          <w:sz w:val="24"/>
          <w:szCs w:val="24"/>
        </w:rPr>
        <w:t>stanow</w:t>
      </w:r>
      <w:r w:rsidR="0004724A" w:rsidRPr="00EB304C">
        <w:rPr>
          <w:rFonts w:ascii="Times New Roman" w:hAnsi="Times New Roman" w:cs="Times New Roman"/>
          <w:sz w:val="24"/>
          <w:szCs w:val="24"/>
        </w:rPr>
        <w:t xml:space="preserve">i </w:t>
      </w:r>
      <w:r w:rsidRPr="00EB304C">
        <w:rPr>
          <w:rFonts w:ascii="Times New Roman" w:hAnsi="Times New Roman" w:cs="Times New Roman"/>
          <w:sz w:val="24"/>
          <w:szCs w:val="24"/>
        </w:rPr>
        <w:t>o zamknięciu konta sprzedawcy i uniemożliwieniu mu ponownej rejestracji. Zablokowanie konta oznaczałoby uniemożliwienie dokonywania zakupów, a w tym przypadku chodzi wyłącznie o zablokowanie możliwości wykonywania stosownej czynności. Dyrektywa</w:t>
      </w:r>
      <w:r w:rsidR="00712A84">
        <w:rPr>
          <w:rFonts w:ascii="Times New Roman" w:hAnsi="Times New Roman" w:cs="Times New Roman"/>
          <w:sz w:val="24"/>
          <w:szCs w:val="24"/>
        </w:rPr>
        <w:t>,</w:t>
      </w:r>
      <w:r w:rsidRPr="00EB304C">
        <w:rPr>
          <w:rFonts w:ascii="Times New Roman" w:hAnsi="Times New Roman" w:cs="Times New Roman"/>
          <w:sz w:val="24"/>
          <w:szCs w:val="24"/>
        </w:rPr>
        <w:t xml:space="preserve"> wskazując na powyższe sankcje</w:t>
      </w:r>
      <w:r w:rsidR="00712A84">
        <w:rPr>
          <w:rFonts w:ascii="Times New Roman" w:hAnsi="Times New Roman" w:cs="Times New Roman"/>
          <w:sz w:val="24"/>
          <w:szCs w:val="24"/>
        </w:rPr>
        <w:t>,</w:t>
      </w:r>
      <w:r w:rsidRPr="00EB304C">
        <w:rPr>
          <w:rFonts w:ascii="Times New Roman" w:hAnsi="Times New Roman" w:cs="Times New Roman"/>
          <w:sz w:val="24"/>
          <w:szCs w:val="24"/>
        </w:rPr>
        <w:t xml:space="preserve"> używa spójnika </w:t>
      </w:r>
      <w:r w:rsidR="00712A84">
        <w:rPr>
          <w:rFonts w:ascii="Times New Roman" w:hAnsi="Times New Roman" w:cs="Times New Roman"/>
          <w:sz w:val="24"/>
          <w:szCs w:val="24"/>
        </w:rPr>
        <w:t>„</w:t>
      </w:r>
      <w:r w:rsidRPr="00EB304C">
        <w:rPr>
          <w:rFonts w:ascii="Times New Roman" w:hAnsi="Times New Roman" w:cs="Times New Roman"/>
          <w:sz w:val="24"/>
          <w:szCs w:val="24"/>
        </w:rPr>
        <w:t>lub</w:t>
      </w:r>
      <w:r w:rsidR="00712A84">
        <w:rPr>
          <w:rFonts w:ascii="Times New Roman" w:hAnsi="Times New Roman" w:cs="Times New Roman"/>
          <w:sz w:val="24"/>
          <w:szCs w:val="24"/>
        </w:rPr>
        <w:t>”</w:t>
      </w:r>
      <w:r w:rsidRPr="00EB304C">
        <w:rPr>
          <w:rFonts w:ascii="Times New Roman" w:hAnsi="Times New Roman" w:cs="Times New Roman"/>
          <w:sz w:val="24"/>
          <w:szCs w:val="24"/>
        </w:rPr>
        <w:t>, tj.</w:t>
      </w:r>
      <w:r w:rsidR="00C7017A" w:rsidRPr="00EB304C">
        <w:rPr>
          <w:rFonts w:ascii="Times New Roman" w:hAnsi="Times New Roman" w:cs="Times New Roman"/>
          <w:sz w:val="24"/>
          <w:szCs w:val="24"/>
        </w:rPr>
        <w:t> </w:t>
      </w:r>
      <w:r w:rsidRPr="00EB304C">
        <w:rPr>
          <w:rFonts w:ascii="Times New Roman" w:hAnsi="Times New Roman" w:cs="Times New Roman"/>
          <w:sz w:val="24"/>
          <w:szCs w:val="24"/>
        </w:rPr>
        <w:t>pozostaw</w:t>
      </w:r>
      <w:r w:rsidR="00C5225D" w:rsidRPr="00EB304C">
        <w:rPr>
          <w:rFonts w:ascii="Times New Roman" w:hAnsi="Times New Roman" w:cs="Times New Roman"/>
          <w:sz w:val="24"/>
          <w:szCs w:val="24"/>
        </w:rPr>
        <w:t>ia swobodę zastosowania któregokolwiek ze środków lub obu</w:t>
      </w:r>
      <w:r w:rsidRPr="00EB304C">
        <w:rPr>
          <w:rFonts w:ascii="Times New Roman" w:hAnsi="Times New Roman" w:cs="Times New Roman"/>
          <w:sz w:val="24"/>
          <w:szCs w:val="24"/>
        </w:rPr>
        <w:t xml:space="preserve">. </w:t>
      </w:r>
      <w:r w:rsidR="0004724A">
        <w:rPr>
          <w:rFonts w:ascii="Times New Roman" w:hAnsi="Times New Roman" w:cs="Times New Roman"/>
          <w:sz w:val="24"/>
          <w:szCs w:val="24"/>
        </w:rPr>
        <w:t>W projekcie ustawy zdecydowano</w:t>
      </w:r>
      <w:r w:rsidR="00E96721">
        <w:rPr>
          <w:rFonts w:ascii="Times New Roman" w:hAnsi="Times New Roman" w:cs="Times New Roman"/>
          <w:sz w:val="24"/>
          <w:szCs w:val="24"/>
        </w:rPr>
        <w:t xml:space="preserve"> się więc wprowadzić gradację sankcji, wychodząc od </w:t>
      </w:r>
      <w:r w:rsidR="00D115D1">
        <w:rPr>
          <w:rFonts w:ascii="Times New Roman" w:hAnsi="Times New Roman" w:cs="Times New Roman"/>
          <w:sz w:val="24"/>
          <w:szCs w:val="24"/>
        </w:rPr>
        <w:t>wstrzymani</w:t>
      </w:r>
      <w:r w:rsidR="00E96721">
        <w:rPr>
          <w:rFonts w:ascii="Times New Roman" w:hAnsi="Times New Roman" w:cs="Times New Roman"/>
          <w:sz w:val="24"/>
          <w:szCs w:val="24"/>
        </w:rPr>
        <w:t>a</w:t>
      </w:r>
      <w:r w:rsidR="00D115D1">
        <w:rPr>
          <w:rFonts w:ascii="Times New Roman" w:hAnsi="Times New Roman" w:cs="Times New Roman"/>
          <w:sz w:val="24"/>
          <w:szCs w:val="24"/>
        </w:rPr>
        <w:t xml:space="preserve"> wypłaty wynagrodzenia. Blokada możliwości wykonywania stosownej czynności jest</w:t>
      </w:r>
      <w:r w:rsidR="00E96721">
        <w:rPr>
          <w:rFonts w:ascii="Times New Roman" w:hAnsi="Times New Roman" w:cs="Times New Roman"/>
          <w:sz w:val="24"/>
          <w:szCs w:val="24"/>
        </w:rPr>
        <w:t xml:space="preserve"> obowiązkowa</w:t>
      </w:r>
      <w:r w:rsidR="00D115D1">
        <w:rPr>
          <w:rFonts w:ascii="Times New Roman" w:hAnsi="Times New Roman" w:cs="Times New Roman"/>
          <w:sz w:val="24"/>
          <w:szCs w:val="24"/>
        </w:rPr>
        <w:t xml:space="preserve"> tylko w przypadku braku możliwości zastosowania pierwszej sankcji</w:t>
      </w:r>
      <w:r w:rsidR="00E96721">
        <w:rPr>
          <w:rFonts w:ascii="Times New Roman" w:hAnsi="Times New Roman" w:cs="Times New Roman"/>
          <w:sz w:val="24"/>
          <w:szCs w:val="24"/>
        </w:rPr>
        <w:t xml:space="preserve"> (blokady wypłaty wynagrodzenia)</w:t>
      </w:r>
      <w:r w:rsidR="00D115D1">
        <w:rPr>
          <w:rFonts w:ascii="Times New Roman" w:hAnsi="Times New Roman" w:cs="Times New Roman"/>
          <w:sz w:val="24"/>
          <w:szCs w:val="24"/>
        </w:rPr>
        <w:t>.</w:t>
      </w:r>
    </w:p>
    <w:p w14:paraId="3D39A277" w14:textId="4FF91629" w:rsidR="00321BF1" w:rsidRPr="00EB304C" w:rsidRDefault="00877ADA"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Kolejnym uproszczeniem jest możliwość polegania na proc</w:t>
      </w:r>
      <w:r w:rsidR="00C7017A" w:rsidRPr="00EB304C">
        <w:rPr>
          <w:rFonts w:ascii="Times New Roman" w:hAnsi="Times New Roman" w:cs="Times New Roman"/>
          <w:sz w:val="24"/>
          <w:szCs w:val="24"/>
        </w:rPr>
        <w:t>edurach należytej staranności z </w:t>
      </w:r>
      <w:r w:rsidRPr="00EB304C">
        <w:rPr>
          <w:rFonts w:ascii="Times New Roman" w:hAnsi="Times New Roman" w:cs="Times New Roman"/>
          <w:sz w:val="24"/>
          <w:szCs w:val="24"/>
        </w:rPr>
        <w:t>poprzednich okresów</w:t>
      </w:r>
      <w:r w:rsidR="00EF45CA" w:rsidRPr="00EB304C">
        <w:rPr>
          <w:rFonts w:ascii="Times New Roman" w:hAnsi="Times New Roman" w:cs="Times New Roman"/>
          <w:sz w:val="24"/>
          <w:szCs w:val="24"/>
        </w:rPr>
        <w:t xml:space="preserve"> </w:t>
      </w:r>
      <w:r w:rsidR="009060DC" w:rsidRPr="00EB304C">
        <w:rPr>
          <w:rFonts w:ascii="Times New Roman" w:hAnsi="Times New Roman" w:cs="Times New Roman"/>
          <w:sz w:val="24"/>
          <w:szCs w:val="24"/>
        </w:rPr>
        <w:t>(</w:t>
      </w:r>
      <w:r w:rsidR="00C269B0">
        <w:rPr>
          <w:rFonts w:ascii="Times New Roman" w:hAnsi="Times New Roman" w:cs="Times New Roman"/>
          <w:sz w:val="24"/>
          <w:szCs w:val="24"/>
        </w:rPr>
        <w:t>a</w:t>
      </w:r>
      <w:r w:rsidR="009060DC" w:rsidRPr="00EB304C">
        <w:rPr>
          <w:rFonts w:ascii="Times New Roman" w:hAnsi="Times New Roman" w:cs="Times New Roman"/>
          <w:sz w:val="24"/>
          <w:szCs w:val="24"/>
        </w:rPr>
        <w:t>rt. 75p)</w:t>
      </w:r>
      <w:r w:rsidRPr="00EB304C">
        <w:rPr>
          <w:rFonts w:ascii="Times New Roman" w:hAnsi="Times New Roman" w:cs="Times New Roman"/>
          <w:sz w:val="24"/>
          <w:szCs w:val="24"/>
        </w:rPr>
        <w:t xml:space="preserve">. Daje to możliwość ograniczenia częstotliwości przekazywania informacji do jednego razu na </w:t>
      </w:r>
      <w:r w:rsidR="00F81F57" w:rsidRPr="00EB304C">
        <w:rPr>
          <w:rFonts w:ascii="Times New Roman" w:hAnsi="Times New Roman" w:cs="Times New Roman"/>
          <w:sz w:val="24"/>
          <w:szCs w:val="24"/>
        </w:rPr>
        <w:t>36 miesięcy</w:t>
      </w:r>
      <w:r w:rsidRPr="00EB304C">
        <w:rPr>
          <w:rFonts w:ascii="Times New Roman" w:hAnsi="Times New Roman" w:cs="Times New Roman"/>
          <w:sz w:val="24"/>
          <w:szCs w:val="24"/>
        </w:rPr>
        <w:t>. Wymagane jest jednak spełnienie dwóch warunków. Po pierwsze informacje</w:t>
      </w:r>
      <w:r w:rsidR="00712A84">
        <w:rPr>
          <w:rFonts w:ascii="Times New Roman" w:hAnsi="Times New Roman" w:cs="Times New Roman"/>
          <w:sz w:val="24"/>
          <w:szCs w:val="24"/>
        </w:rPr>
        <w:t>,</w:t>
      </w:r>
      <w:r w:rsidRPr="00EB304C">
        <w:rPr>
          <w:rFonts w:ascii="Times New Roman" w:hAnsi="Times New Roman" w:cs="Times New Roman"/>
          <w:sz w:val="24"/>
          <w:szCs w:val="24"/>
        </w:rPr>
        <w:t xml:space="preserve"> o których mowa w art. </w:t>
      </w:r>
      <w:r w:rsidR="00F73844" w:rsidRPr="00EB304C">
        <w:rPr>
          <w:rFonts w:ascii="Times New Roman" w:hAnsi="Times New Roman" w:cs="Times New Roman"/>
          <w:sz w:val="24"/>
          <w:szCs w:val="24"/>
        </w:rPr>
        <w:t>75c</w:t>
      </w:r>
      <w:r w:rsidRPr="00EB304C">
        <w:rPr>
          <w:rFonts w:ascii="Times New Roman" w:hAnsi="Times New Roman" w:cs="Times New Roman"/>
          <w:sz w:val="24"/>
          <w:szCs w:val="24"/>
        </w:rPr>
        <w:t xml:space="preserve"> pkt </w:t>
      </w:r>
      <w:r w:rsidR="00431984" w:rsidRPr="00EB304C">
        <w:rPr>
          <w:rFonts w:ascii="Times New Roman" w:hAnsi="Times New Roman" w:cs="Times New Roman"/>
          <w:sz w:val="24"/>
          <w:szCs w:val="24"/>
        </w:rPr>
        <w:t>3</w:t>
      </w:r>
      <w:r w:rsidRPr="00EB304C">
        <w:rPr>
          <w:rFonts w:ascii="Times New Roman" w:hAnsi="Times New Roman" w:cs="Times New Roman"/>
          <w:sz w:val="24"/>
          <w:szCs w:val="24"/>
        </w:rPr>
        <w:t xml:space="preserve"> i </w:t>
      </w:r>
      <w:r w:rsidR="00431984" w:rsidRPr="00EB304C">
        <w:rPr>
          <w:rFonts w:ascii="Times New Roman" w:hAnsi="Times New Roman" w:cs="Times New Roman"/>
          <w:sz w:val="24"/>
          <w:szCs w:val="24"/>
        </w:rPr>
        <w:t>4</w:t>
      </w:r>
      <w:r w:rsidR="00712A84">
        <w:rPr>
          <w:rFonts w:ascii="Times New Roman" w:hAnsi="Times New Roman" w:cs="Times New Roman"/>
          <w:sz w:val="24"/>
          <w:szCs w:val="24"/>
        </w:rPr>
        <w:t>,</w:t>
      </w:r>
      <w:r w:rsidRPr="00EB304C">
        <w:rPr>
          <w:rFonts w:ascii="Times New Roman" w:hAnsi="Times New Roman" w:cs="Times New Roman"/>
          <w:sz w:val="24"/>
          <w:szCs w:val="24"/>
        </w:rPr>
        <w:t xml:space="preserve"> muszą być zgromadzone i zweryfikowane lub potwierdzone nie dawniej niż w ciągu ostatnich 36 miesięcy. </w:t>
      </w:r>
      <w:r w:rsidRPr="00EB304C">
        <w:rPr>
          <w:rFonts w:ascii="Times New Roman" w:hAnsi="Times New Roman" w:cs="Times New Roman"/>
          <w:sz w:val="24"/>
          <w:szCs w:val="24"/>
        </w:rPr>
        <w:lastRenderedPageBreak/>
        <w:t xml:space="preserve">Po drugie raportujący operator platformy </w:t>
      </w:r>
      <w:r w:rsidR="00D6650B" w:rsidRPr="00EB304C">
        <w:rPr>
          <w:rFonts w:ascii="Times New Roman" w:hAnsi="Times New Roman" w:cs="Times New Roman"/>
          <w:sz w:val="24"/>
          <w:szCs w:val="24"/>
        </w:rPr>
        <w:t>nie ma podstawy, aby sądzić</w:t>
      </w:r>
      <w:r w:rsidRPr="00EB304C">
        <w:rPr>
          <w:rFonts w:ascii="Times New Roman" w:hAnsi="Times New Roman" w:cs="Times New Roman"/>
          <w:sz w:val="24"/>
          <w:szCs w:val="24"/>
        </w:rPr>
        <w:t xml:space="preserve">, że informacje z art. </w:t>
      </w:r>
      <w:r w:rsidR="00F73844" w:rsidRPr="00EB304C">
        <w:rPr>
          <w:rFonts w:ascii="Times New Roman" w:hAnsi="Times New Roman" w:cs="Times New Roman"/>
          <w:sz w:val="24"/>
          <w:szCs w:val="24"/>
        </w:rPr>
        <w:t>75c</w:t>
      </w:r>
      <w:r w:rsidRPr="00EB304C">
        <w:rPr>
          <w:rFonts w:ascii="Times New Roman" w:hAnsi="Times New Roman" w:cs="Times New Roman"/>
          <w:sz w:val="24"/>
          <w:szCs w:val="24"/>
        </w:rPr>
        <w:t xml:space="preserve"> pkt </w:t>
      </w:r>
      <w:r w:rsidR="00431984" w:rsidRPr="00EB304C">
        <w:rPr>
          <w:rFonts w:ascii="Times New Roman" w:hAnsi="Times New Roman" w:cs="Times New Roman"/>
          <w:sz w:val="24"/>
          <w:szCs w:val="24"/>
        </w:rPr>
        <w:t>3</w:t>
      </w:r>
      <w:r w:rsidR="00C7017A" w:rsidRPr="00EB304C">
        <w:rPr>
          <w:rFonts w:ascii="Times New Roman" w:hAnsi="Times New Roman" w:cs="Times New Roman"/>
          <w:sz w:val="24"/>
          <w:szCs w:val="24"/>
        </w:rPr>
        <w:t xml:space="preserve"> i </w:t>
      </w:r>
      <w:r w:rsidR="00431984" w:rsidRPr="00EB304C">
        <w:rPr>
          <w:rFonts w:ascii="Times New Roman" w:hAnsi="Times New Roman" w:cs="Times New Roman"/>
          <w:sz w:val="24"/>
          <w:szCs w:val="24"/>
        </w:rPr>
        <w:t>4</w:t>
      </w:r>
      <w:r w:rsidR="00652600" w:rsidRPr="00EB304C">
        <w:rPr>
          <w:rFonts w:ascii="Times New Roman" w:hAnsi="Times New Roman" w:cs="Times New Roman"/>
          <w:sz w:val="24"/>
          <w:szCs w:val="24"/>
        </w:rPr>
        <w:t>,</w:t>
      </w:r>
      <w:r w:rsidRPr="00EB304C">
        <w:rPr>
          <w:rFonts w:ascii="Times New Roman" w:hAnsi="Times New Roman" w:cs="Times New Roman"/>
          <w:sz w:val="24"/>
          <w:szCs w:val="24"/>
        </w:rPr>
        <w:t xml:space="preserve"> </w:t>
      </w:r>
      <w:r w:rsidR="00652600" w:rsidRPr="00EB304C">
        <w:rPr>
          <w:rFonts w:ascii="Times New Roman" w:hAnsi="Times New Roman" w:cs="Times New Roman"/>
          <w:sz w:val="24"/>
          <w:szCs w:val="24"/>
        </w:rPr>
        <w:t>art. 75k oraz</w:t>
      </w:r>
      <w:r w:rsidR="00F73844" w:rsidRPr="00EB304C">
        <w:rPr>
          <w:rFonts w:ascii="Times New Roman" w:hAnsi="Times New Roman" w:cs="Times New Roman"/>
          <w:sz w:val="24"/>
          <w:szCs w:val="24"/>
        </w:rPr>
        <w:t xml:space="preserve"> art. 75l ust. 4</w:t>
      </w:r>
      <w:r w:rsidRPr="00EB304C">
        <w:rPr>
          <w:rFonts w:ascii="Times New Roman" w:hAnsi="Times New Roman" w:cs="Times New Roman"/>
          <w:sz w:val="24"/>
          <w:szCs w:val="24"/>
        </w:rPr>
        <w:t xml:space="preserve"> są </w:t>
      </w:r>
      <w:r w:rsidR="009228C1" w:rsidRPr="00EB304C">
        <w:rPr>
          <w:rFonts w:ascii="Times New Roman" w:hAnsi="Times New Roman" w:cs="Times New Roman"/>
          <w:sz w:val="24"/>
          <w:szCs w:val="24"/>
        </w:rPr>
        <w:t xml:space="preserve">lub stały się </w:t>
      </w:r>
      <w:r w:rsidR="00D6650B" w:rsidRPr="00EB304C">
        <w:rPr>
          <w:rFonts w:ascii="Times New Roman" w:hAnsi="Times New Roman" w:cs="Times New Roman"/>
          <w:sz w:val="24"/>
          <w:szCs w:val="24"/>
        </w:rPr>
        <w:t>nie</w:t>
      </w:r>
      <w:r w:rsidR="00652600" w:rsidRPr="00EB304C">
        <w:rPr>
          <w:rFonts w:ascii="Times New Roman" w:hAnsi="Times New Roman" w:cs="Times New Roman"/>
          <w:sz w:val="24"/>
          <w:szCs w:val="24"/>
        </w:rPr>
        <w:t xml:space="preserve">wiarygodne </w:t>
      </w:r>
      <w:r w:rsidR="00D6650B" w:rsidRPr="00EB304C">
        <w:rPr>
          <w:rFonts w:ascii="Times New Roman" w:hAnsi="Times New Roman" w:cs="Times New Roman"/>
          <w:sz w:val="24"/>
          <w:szCs w:val="24"/>
        </w:rPr>
        <w:t>lub</w:t>
      </w:r>
      <w:r w:rsidR="00652600" w:rsidRPr="00EB304C">
        <w:rPr>
          <w:rFonts w:ascii="Times New Roman" w:hAnsi="Times New Roman" w:cs="Times New Roman"/>
          <w:sz w:val="24"/>
          <w:szCs w:val="24"/>
        </w:rPr>
        <w:t xml:space="preserve"> </w:t>
      </w:r>
      <w:r w:rsidR="00D6650B" w:rsidRPr="00EB304C">
        <w:rPr>
          <w:rFonts w:ascii="Times New Roman" w:hAnsi="Times New Roman" w:cs="Times New Roman"/>
          <w:sz w:val="24"/>
          <w:szCs w:val="24"/>
        </w:rPr>
        <w:t>nie</w:t>
      </w:r>
      <w:r w:rsidRPr="00EB304C">
        <w:rPr>
          <w:rFonts w:ascii="Times New Roman" w:hAnsi="Times New Roman" w:cs="Times New Roman"/>
          <w:sz w:val="24"/>
          <w:szCs w:val="24"/>
        </w:rPr>
        <w:t>prawidłowe.</w:t>
      </w:r>
      <w:r w:rsidR="00AE7706" w:rsidRPr="00EB304C">
        <w:rPr>
          <w:rFonts w:ascii="Times New Roman" w:hAnsi="Times New Roman" w:cs="Times New Roman"/>
          <w:sz w:val="24"/>
          <w:szCs w:val="24"/>
        </w:rPr>
        <w:t xml:space="preserve"> </w:t>
      </w:r>
    </w:p>
    <w:p w14:paraId="7DD022D0" w14:textId="69E46E1C" w:rsidR="00321BF1" w:rsidRPr="00EB304C" w:rsidRDefault="00321BF1"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Nawiązując do art. 75</w:t>
      </w:r>
      <w:r w:rsidR="001C7239">
        <w:rPr>
          <w:rFonts w:ascii="Times New Roman" w:hAnsi="Times New Roman" w:cs="Times New Roman"/>
          <w:sz w:val="24"/>
          <w:szCs w:val="24"/>
        </w:rPr>
        <w:t>q</w:t>
      </w:r>
      <w:r w:rsidR="00E504CA">
        <w:rPr>
          <w:rFonts w:ascii="Times New Roman" w:hAnsi="Times New Roman" w:cs="Times New Roman"/>
          <w:sz w:val="24"/>
          <w:szCs w:val="24"/>
        </w:rPr>
        <w:t>,</w:t>
      </w:r>
      <w:r w:rsidRPr="00EB304C">
        <w:rPr>
          <w:rFonts w:ascii="Times New Roman" w:hAnsi="Times New Roman" w:cs="Times New Roman"/>
          <w:sz w:val="24"/>
          <w:szCs w:val="24"/>
        </w:rPr>
        <w:t xml:space="preserve"> należy wskazać</w:t>
      </w:r>
      <w:r w:rsidR="007528D2">
        <w:rPr>
          <w:rFonts w:ascii="Times New Roman" w:hAnsi="Times New Roman" w:cs="Times New Roman"/>
          <w:sz w:val="24"/>
          <w:szCs w:val="24"/>
        </w:rPr>
        <w:t>, że zagraniczne administracje skarbowe mogą zwracać się do Szefa KAS z wnioskiem o wyjaśnienie określonych wątpliwości</w:t>
      </w:r>
      <w:r w:rsidR="007B18EC">
        <w:rPr>
          <w:rFonts w:ascii="Times New Roman" w:hAnsi="Times New Roman" w:cs="Times New Roman"/>
          <w:sz w:val="24"/>
          <w:szCs w:val="24"/>
        </w:rPr>
        <w:t xml:space="preserve"> lub zastrzeżeń</w:t>
      </w:r>
      <w:r w:rsidR="007528D2">
        <w:rPr>
          <w:rFonts w:ascii="Times New Roman" w:hAnsi="Times New Roman" w:cs="Times New Roman"/>
          <w:sz w:val="24"/>
          <w:szCs w:val="24"/>
        </w:rPr>
        <w:t xml:space="preserve"> zaistniałych na gruncie informacji wymienianych między państwami. Należy przyjąć, że może to być wniosek przekazany </w:t>
      </w:r>
      <w:r w:rsidR="007B18EC">
        <w:rPr>
          <w:rFonts w:ascii="Times New Roman" w:hAnsi="Times New Roman" w:cs="Times New Roman"/>
          <w:sz w:val="24"/>
          <w:szCs w:val="24"/>
        </w:rPr>
        <w:t xml:space="preserve">Szefowi KAS </w:t>
      </w:r>
      <w:r w:rsidR="007528D2">
        <w:rPr>
          <w:rFonts w:ascii="Times New Roman" w:hAnsi="Times New Roman" w:cs="Times New Roman"/>
          <w:sz w:val="24"/>
          <w:szCs w:val="24"/>
        </w:rPr>
        <w:t xml:space="preserve">w oparciu o każdą podstawę prawną umożliwiającą współpracę </w:t>
      </w:r>
      <w:r w:rsidR="007B18EC">
        <w:rPr>
          <w:rFonts w:ascii="Times New Roman" w:hAnsi="Times New Roman" w:cs="Times New Roman"/>
          <w:sz w:val="24"/>
          <w:szCs w:val="24"/>
        </w:rPr>
        <w:t xml:space="preserve">z </w:t>
      </w:r>
      <w:r w:rsidR="007528D2">
        <w:rPr>
          <w:rFonts w:ascii="Times New Roman" w:hAnsi="Times New Roman" w:cs="Times New Roman"/>
          <w:sz w:val="24"/>
          <w:szCs w:val="24"/>
        </w:rPr>
        <w:t>administracj</w:t>
      </w:r>
      <w:r w:rsidR="007B18EC">
        <w:rPr>
          <w:rFonts w:ascii="Times New Roman" w:hAnsi="Times New Roman" w:cs="Times New Roman"/>
          <w:sz w:val="24"/>
          <w:szCs w:val="24"/>
        </w:rPr>
        <w:t>ą</w:t>
      </w:r>
      <w:r w:rsidR="007528D2">
        <w:rPr>
          <w:rFonts w:ascii="Times New Roman" w:hAnsi="Times New Roman" w:cs="Times New Roman"/>
          <w:sz w:val="24"/>
          <w:szCs w:val="24"/>
        </w:rPr>
        <w:t xml:space="preserve"> podatkow</w:t>
      </w:r>
      <w:r w:rsidR="007B18EC">
        <w:rPr>
          <w:rFonts w:ascii="Times New Roman" w:hAnsi="Times New Roman" w:cs="Times New Roman"/>
          <w:sz w:val="24"/>
          <w:szCs w:val="24"/>
        </w:rPr>
        <w:t>ą</w:t>
      </w:r>
      <w:r w:rsidR="007528D2">
        <w:rPr>
          <w:rFonts w:ascii="Times New Roman" w:hAnsi="Times New Roman" w:cs="Times New Roman"/>
          <w:sz w:val="24"/>
          <w:szCs w:val="24"/>
        </w:rPr>
        <w:t xml:space="preserve"> </w:t>
      </w:r>
      <w:r w:rsidR="007B18EC">
        <w:rPr>
          <w:rFonts w:ascii="Times New Roman" w:hAnsi="Times New Roman" w:cs="Times New Roman"/>
          <w:sz w:val="24"/>
          <w:szCs w:val="24"/>
        </w:rPr>
        <w:t>z danym państwem</w:t>
      </w:r>
      <w:r w:rsidR="007528D2">
        <w:rPr>
          <w:rFonts w:ascii="Times New Roman" w:hAnsi="Times New Roman" w:cs="Times New Roman"/>
          <w:sz w:val="24"/>
          <w:szCs w:val="24"/>
        </w:rPr>
        <w:t>.</w:t>
      </w:r>
      <w:r w:rsidR="00223152">
        <w:rPr>
          <w:rFonts w:ascii="Times New Roman" w:hAnsi="Times New Roman" w:cs="Times New Roman"/>
          <w:sz w:val="24"/>
          <w:szCs w:val="24"/>
        </w:rPr>
        <w:t xml:space="preserve"> </w:t>
      </w:r>
      <w:r w:rsidR="007528D2">
        <w:rPr>
          <w:rFonts w:ascii="Times New Roman" w:hAnsi="Times New Roman" w:cs="Times New Roman"/>
          <w:sz w:val="24"/>
          <w:szCs w:val="24"/>
        </w:rPr>
        <w:t>Z</w:t>
      </w:r>
      <w:r w:rsidR="00DE2B04" w:rsidRPr="00EB304C">
        <w:rPr>
          <w:rFonts w:ascii="Times New Roman" w:hAnsi="Times New Roman" w:cs="Times New Roman"/>
          <w:sz w:val="24"/>
          <w:szCs w:val="24"/>
        </w:rPr>
        <w:t xml:space="preserve"> </w:t>
      </w:r>
      <w:r w:rsidRPr="00EB304C">
        <w:rPr>
          <w:rFonts w:ascii="Times New Roman" w:hAnsi="Times New Roman" w:cs="Times New Roman"/>
          <w:sz w:val="24"/>
          <w:szCs w:val="24"/>
        </w:rPr>
        <w:t xml:space="preserve">natury współpracy między państwami wynika, że wniosek państwa uczestniczącego, o którym mowa w </w:t>
      </w:r>
      <w:r w:rsidR="007528D2">
        <w:rPr>
          <w:rFonts w:ascii="Times New Roman" w:hAnsi="Times New Roman" w:cs="Times New Roman"/>
          <w:sz w:val="24"/>
          <w:szCs w:val="24"/>
        </w:rPr>
        <w:t>omawianym</w:t>
      </w:r>
      <w:r w:rsidR="007528D2" w:rsidRPr="00EB304C">
        <w:rPr>
          <w:rFonts w:ascii="Times New Roman" w:hAnsi="Times New Roman" w:cs="Times New Roman"/>
          <w:sz w:val="24"/>
          <w:szCs w:val="24"/>
        </w:rPr>
        <w:t xml:space="preserve"> </w:t>
      </w:r>
      <w:r w:rsidRPr="00EB304C">
        <w:rPr>
          <w:rFonts w:ascii="Times New Roman" w:hAnsi="Times New Roman" w:cs="Times New Roman"/>
          <w:sz w:val="24"/>
          <w:szCs w:val="24"/>
        </w:rPr>
        <w:t>przepisie, będzie kierowany do państwa, którego jurysdykcji podlega dany operator platformy. Wniosek, o którym mowa w art. 75</w:t>
      </w:r>
      <w:r w:rsidR="001C7239">
        <w:rPr>
          <w:rFonts w:ascii="Times New Roman" w:hAnsi="Times New Roman" w:cs="Times New Roman"/>
          <w:sz w:val="24"/>
          <w:szCs w:val="24"/>
        </w:rPr>
        <w:t>q</w:t>
      </w:r>
      <w:r w:rsidRPr="00EB304C">
        <w:rPr>
          <w:rFonts w:ascii="Times New Roman" w:hAnsi="Times New Roman" w:cs="Times New Roman"/>
          <w:sz w:val="24"/>
          <w:szCs w:val="24"/>
        </w:rPr>
        <w:t>, nie będzie zatem kierowany przez zagraniczny organ bezpośrednio do operatora platformy, ale do wspomnianego wyżej państwa, którego jurysdykcji ten operator podlega. Dopiero organ tego państwa (mającego w swojej jurysdykcji danego operatora platformy) będzie mógł zgłosić określone wątpliwości/zastrzeżenia operatorowi platformy (pierwotnym źródłem tych wątpliwości/zastrzeżeń będzie wniosek państwa uczestniczącego).</w:t>
      </w:r>
    </w:p>
    <w:p w14:paraId="60B83B1E" w14:textId="3850DD2E" w:rsidR="00877ADA" w:rsidRPr="00EB304C" w:rsidRDefault="00877ADA"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 xml:space="preserve">Art. </w:t>
      </w:r>
      <w:r w:rsidR="0036741A" w:rsidRPr="00EB304C">
        <w:rPr>
          <w:rFonts w:ascii="Times New Roman" w:hAnsi="Times New Roman" w:cs="Times New Roman"/>
          <w:sz w:val="24"/>
          <w:szCs w:val="24"/>
        </w:rPr>
        <w:t>75r</w:t>
      </w:r>
      <w:r w:rsidRPr="00EB304C">
        <w:rPr>
          <w:rFonts w:ascii="Times New Roman" w:hAnsi="Times New Roman" w:cs="Times New Roman"/>
          <w:sz w:val="24"/>
          <w:szCs w:val="24"/>
        </w:rPr>
        <w:t xml:space="preserve"> pozwala wykorzystać zewnętrzny podmiot do przeprowadzenia odpowiednich procedur należytej staranności</w:t>
      </w:r>
      <w:r w:rsidR="0036741A" w:rsidRPr="00EB304C">
        <w:rPr>
          <w:rFonts w:ascii="Times New Roman" w:hAnsi="Times New Roman" w:cs="Times New Roman"/>
          <w:sz w:val="24"/>
          <w:szCs w:val="24"/>
        </w:rPr>
        <w:t>.</w:t>
      </w:r>
      <w:r w:rsidRPr="00EB304C">
        <w:rPr>
          <w:rFonts w:ascii="Times New Roman" w:hAnsi="Times New Roman" w:cs="Times New Roman"/>
          <w:sz w:val="24"/>
          <w:szCs w:val="24"/>
        </w:rPr>
        <w:t xml:space="preserve"> Istotne jest, że nawet jeżeli raportujący operator platformy skorzysta z usług innego podmiotu w celu dopełnienia obowiązków należytej staranności, </w:t>
      </w:r>
      <w:r w:rsidR="00DE2B04" w:rsidRPr="00EB304C">
        <w:rPr>
          <w:rFonts w:ascii="Times New Roman" w:hAnsi="Times New Roman" w:cs="Times New Roman"/>
          <w:sz w:val="24"/>
          <w:szCs w:val="24"/>
        </w:rPr>
        <w:t xml:space="preserve">to nie wyłącza to odpowiedzialności raportującego operatora platformy. </w:t>
      </w:r>
    </w:p>
    <w:p w14:paraId="19636215" w14:textId="7B610F58" w:rsidR="0036741A" w:rsidRPr="00EB304C" w:rsidRDefault="0036741A"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 xml:space="preserve">Obowiązek przechowywania dokumentacji </w:t>
      </w:r>
      <w:r w:rsidR="00554C20" w:rsidRPr="00EB304C">
        <w:rPr>
          <w:rFonts w:ascii="Times New Roman" w:hAnsi="Times New Roman" w:cs="Times New Roman"/>
          <w:sz w:val="24"/>
          <w:szCs w:val="24"/>
        </w:rPr>
        <w:t xml:space="preserve">wymaganej do celów realizacji procedur należytej staranności </w:t>
      </w:r>
      <w:r w:rsidRPr="00EB304C">
        <w:rPr>
          <w:rFonts w:ascii="Times New Roman" w:hAnsi="Times New Roman" w:cs="Times New Roman"/>
          <w:sz w:val="24"/>
          <w:szCs w:val="24"/>
        </w:rPr>
        <w:t xml:space="preserve">wynosi – podobnie jak przy procedurach </w:t>
      </w:r>
      <w:r w:rsidR="00652600" w:rsidRPr="00EB304C">
        <w:rPr>
          <w:rFonts w:ascii="Times New Roman" w:hAnsi="Times New Roman" w:cs="Times New Roman"/>
          <w:sz w:val="24"/>
          <w:szCs w:val="24"/>
        </w:rPr>
        <w:t>sprawozdawczych</w:t>
      </w:r>
      <w:r w:rsidRPr="00EB304C">
        <w:rPr>
          <w:rFonts w:ascii="Times New Roman" w:hAnsi="Times New Roman" w:cs="Times New Roman"/>
          <w:sz w:val="24"/>
          <w:szCs w:val="24"/>
        </w:rPr>
        <w:t xml:space="preserve"> – 5 lat</w:t>
      </w:r>
      <w:r w:rsidR="00E504CA">
        <w:rPr>
          <w:rFonts w:ascii="Times New Roman" w:hAnsi="Times New Roman" w:cs="Times New Roman"/>
          <w:sz w:val="24"/>
          <w:szCs w:val="24"/>
        </w:rPr>
        <w:t>,</w:t>
      </w:r>
      <w:r w:rsidR="00652600" w:rsidRPr="00EB304C">
        <w:rPr>
          <w:rFonts w:ascii="Times New Roman" w:hAnsi="Times New Roman" w:cs="Times New Roman"/>
          <w:sz w:val="24"/>
          <w:szCs w:val="24"/>
        </w:rPr>
        <w:t xml:space="preserve"> licząc od końca roku, w którym upłynął termin na przekazanie informacji o sprzedawcach (art. 75s)</w:t>
      </w:r>
      <w:r w:rsidRPr="00EB304C">
        <w:rPr>
          <w:rFonts w:ascii="Times New Roman" w:hAnsi="Times New Roman" w:cs="Times New Roman"/>
          <w:sz w:val="24"/>
          <w:szCs w:val="24"/>
        </w:rPr>
        <w:t>.</w:t>
      </w:r>
    </w:p>
    <w:p w14:paraId="6C016526" w14:textId="5596A7BE" w:rsidR="001303C9" w:rsidRPr="00EB304C" w:rsidRDefault="00BB6313"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Nie jest możliwe stworzenie schematu stosowania procedur należytej staranności dopasowanego do każdej sytuacji, z uwagi na ich różnorodność. W związku z tym z</w:t>
      </w:r>
      <w:r w:rsidR="00877ADA" w:rsidRPr="00EB304C">
        <w:rPr>
          <w:rFonts w:ascii="Times New Roman" w:hAnsi="Times New Roman" w:cs="Times New Roman"/>
          <w:sz w:val="24"/>
          <w:szCs w:val="24"/>
        </w:rPr>
        <w:t>akres stosowania procedur należytej staranności będzie</w:t>
      </w:r>
      <w:r w:rsidRPr="00EB304C">
        <w:rPr>
          <w:rFonts w:ascii="Times New Roman" w:hAnsi="Times New Roman" w:cs="Times New Roman"/>
          <w:sz w:val="24"/>
          <w:szCs w:val="24"/>
        </w:rPr>
        <w:t xml:space="preserve"> zależał od konkretnej sytuacji. Przykładowo inaczej będą one stosowane </w:t>
      </w:r>
      <w:r w:rsidR="00D44742" w:rsidRPr="00EB304C">
        <w:rPr>
          <w:rFonts w:ascii="Times New Roman" w:hAnsi="Times New Roman" w:cs="Times New Roman"/>
          <w:sz w:val="24"/>
          <w:szCs w:val="24"/>
        </w:rPr>
        <w:t xml:space="preserve">przez operatorów platform </w:t>
      </w:r>
      <w:r w:rsidR="00C7017A" w:rsidRPr="00EB304C">
        <w:rPr>
          <w:rFonts w:ascii="Times New Roman" w:hAnsi="Times New Roman" w:cs="Times New Roman"/>
          <w:sz w:val="24"/>
          <w:szCs w:val="24"/>
        </w:rPr>
        <w:t>wobec dużych sprzedawców o </w:t>
      </w:r>
      <w:r w:rsidRPr="00EB304C">
        <w:rPr>
          <w:rFonts w:ascii="Times New Roman" w:hAnsi="Times New Roman" w:cs="Times New Roman"/>
          <w:sz w:val="24"/>
          <w:szCs w:val="24"/>
        </w:rPr>
        <w:t xml:space="preserve">znaczących kwotach wynagrodzenia, a inaczej wobec nieprofesjonalnych sprzedawców, którzy mimo niewielkich zarobków kwalifikują się jako </w:t>
      </w:r>
      <w:r w:rsidR="00070877" w:rsidRPr="00EB304C">
        <w:rPr>
          <w:rFonts w:ascii="Times New Roman" w:hAnsi="Times New Roman" w:cs="Times New Roman"/>
          <w:sz w:val="24"/>
          <w:szCs w:val="24"/>
        </w:rPr>
        <w:t>sprzedawcy podlegający raportowaniu</w:t>
      </w:r>
      <w:r w:rsidRPr="00EB304C">
        <w:rPr>
          <w:rFonts w:ascii="Times New Roman" w:hAnsi="Times New Roman" w:cs="Times New Roman"/>
          <w:sz w:val="24"/>
          <w:szCs w:val="24"/>
        </w:rPr>
        <w:t>.</w:t>
      </w:r>
    </w:p>
    <w:p w14:paraId="0AF2EBE3" w14:textId="0FADF8C5" w:rsidR="00F40F63" w:rsidRPr="00EB304C" w:rsidRDefault="00667462" w:rsidP="00507007">
      <w:pPr>
        <w:pStyle w:val="Akapitzlist"/>
        <w:numPr>
          <w:ilvl w:val="0"/>
          <w:numId w:val="11"/>
        </w:numPr>
        <w:pBdr>
          <w:top w:val="nil"/>
          <w:left w:val="nil"/>
          <w:bottom w:val="nil"/>
          <w:right w:val="nil"/>
          <w:between w:val="nil"/>
          <w:bar w:val="nil"/>
        </w:pBdr>
        <w:spacing w:before="120" w:after="0" w:line="360" w:lineRule="auto"/>
        <w:jc w:val="both"/>
        <w:rPr>
          <w:rFonts w:ascii="Times New Roman" w:hAnsi="Times New Roman" w:cs="Times New Roman"/>
          <w:b/>
          <w:sz w:val="24"/>
          <w:szCs w:val="24"/>
        </w:rPr>
      </w:pPr>
      <w:r w:rsidRPr="00EB304C">
        <w:rPr>
          <w:rFonts w:ascii="Times New Roman" w:hAnsi="Times New Roman" w:cs="Times New Roman"/>
          <w:b/>
          <w:sz w:val="24"/>
          <w:szCs w:val="24"/>
        </w:rPr>
        <w:t>Rozdział 4</w:t>
      </w:r>
      <w:r w:rsidR="00402A2D" w:rsidRPr="00EB304C">
        <w:rPr>
          <w:rFonts w:ascii="Times New Roman" w:hAnsi="Times New Roman" w:cs="Times New Roman"/>
          <w:b/>
          <w:sz w:val="24"/>
          <w:szCs w:val="24"/>
        </w:rPr>
        <w:t xml:space="preserve"> </w:t>
      </w:r>
      <w:r w:rsidR="00B42696">
        <w:rPr>
          <w:rFonts w:ascii="Times New Roman" w:hAnsi="Times New Roman" w:cs="Times New Roman"/>
          <w:b/>
          <w:sz w:val="24"/>
          <w:szCs w:val="24"/>
        </w:rPr>
        <w:t>–</w:t>
      </w:r>
      <w:r w:rsidR="00402A2D" w:rsidRPr="00EB304C">
        <w:rPr>
          <w:rFonts w:ascii="Times New Roman" w:hAnsi="Times New Roman" w:cs="Times New Roman"/>
          <w:b/>
          <w:sz w:val="24"/>
          <w:szCs w:val="24"/>
        </w:rPr>
        <w:t xml:space="preserve"> </w:t>
      </w:r>
      <w:r w:rsidR="00F40F63" w:rsidRPr="00EB304C">
        <w:rPr>
          <w:rFonts w:ascii="Times New Roman" w:hAnsi="Times New Roman" w:cs="Times New Roman"/>
          <w:b/>
          <w:sz w:val="24"/>
          <w:szCs w:val="24"/>
        </w:rPr>
        <w:t>p</w:t>
      </w:r>
      <w:r w:rsidR="007D1EB0" w:rsidRPr="00EB304C">
        <w:rPr>
          <w:rFonts w:ascii="Times New Roman" w:hAnsi="Times New Roman" w:cs="Times New Roman"/>
          <w:b/>
          <w:sz w:val="24"/>
          <w:szCs w:val="24"/>
        </w:rPr>
        <w:t>rocedura wyboru jednego państwa członkowskiego, procedura jednorazowej rejestracji i inne przepisy proceduralne</w:t>
      </w:r>
    </w:p>
    <w:p w14:paraId="7F285365" w14:textId="0DEB4609" w:rsidR="00877ADA" w:rsidRPr="00EB304C" w:rsidRDefault="00877ADA"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Bardzo istotne z punktu widzenia wyjątkowości tej regulacji są procedury zawarte w</w:t>
      </w:r>
      <w:r w:rsidR="00BC404F">
        <w:rPr>
          <w:rFonts w:ascii="Times New Roman" w:hAnsi="Times New Roman" w:cs="Times New Roman"/>
          <w:sz w:val="24"/>
          <w:szCs w:val="24"/>
        </w:rPr>
        <w:t> </w:t>
      </w:r>
      <w:r w:rsidRPr="00EB304C">
        <w:rPr>
          <w:rFonts w:ascii="Times New Roman" w:hAnsi="Times New Roman" w:cs="Times New Roman"/>
          <w:sz w:val="24"/>
          <w:szCs w:val="24"/>
        </w:rPr>
        <w:t>rozdziale</w:t>
      </w:r>
      <w:r w:rsidR="00BC404F">
        <w:rPr>
          <w:rFonts w:ascii="Times New Roman" w:hAnsi="Times New Roman" w:cs="Times New Roman"/>
          <w:sz w:val="24"/>
          <w:szCs w:val="24"/>
        </w:rPr>
        <w:t> </w:t>
      </w:r>
      <w:r w:rsidRPr="00EB304C">
        <w:rPr>
          <w:rFonts w:ascii="Times New Roman" w:hAnsi="Times New Roman" w:cs="Times New Roman"/>
          <w:sz w:val="24"/>
          <w:szCs w:val="24"/>
        </w:rPr>
        <w:t xml:space="preserve">4, które mają na celu obniżenie kosztów dostosowania do wdrażanej dyrektywy dla </w:t>
      </w:r>
      <w:r w:rsidRPr="00EB304C">
        <w:rPr>
          <w:rFonts w:ascii="Times New Roman" w:hAnsi="Times New Roman" w:cs="Times New Roman"/>
          <w:sz w:val="24"/>
          <w:szCs w:val="24"/>
        </w:rPr>
        <w:lastRenderedPageBreak/>
        <w:t xml:space="preserve">platform. Po pierwsze, obowiązek zgłaszania dochodów występuje tylko w jednym państwie członkowskim </w:t>
      </w:r>
      <w:r w:rsidR="00C93F26" w:rsidRPr="00EB304C">
        <w:rPr>
          <w:rFonts w:ascii="Times New Roman" w:hAnsi="Times New Roman" w:cs="Times New Roman"/>
          <w:sz w:val="24"/>
          <w:szCs w:val="24"/>
        </w:rPr>
        <w:t>przez operatora platformy niebędącego rezydentem do celów podatkowych w państwie członkowskim</w:t>
      </w:r>
      <w:r w:rsidR="00223152">
        <w:rPr>
          <w:rFonts w:ascii="Times New Roman" w:hAnsi="Times New Roman" w:cs="Times New Roman"/>
          <w:sz w:val="24"/>
          <w:szCs w:val="24"/>
        </w:rPr>
        <w:t xml:space="preserve"> </w:t>
      </w:r>
      <w:r w:rsidRPr="00EB304C">
        <w:rPr>
          <w:rFonts w:ascii="Times New Roman" w:hAnsi="Times New Roman" w:cs="Times New Roman"/>
          <w:sz w:val="24"/>
          <w:szCs w:val="24"/>
        </w:rPr>
        <w:t xml:space="preserve">(art. </w:t>
      </w:r>
      <w:r w:rsidR="00C34152" w:rsidRPr="00EB304C">
        <w:rPr>
          <w:rFonts w:ascii="Times New Roman" w:hAnsi="Times New Roman" w:cs="Times New Roman"/>
          <w:sz w:val="24"/>
          <w:szCs w:val="24"/>
        </w:rPr>
        <w:t>75t</w:t>
      </w:r>
      <w:r w:rsidRPr="00EB304C">
        <w:rPr>
          <w:rFonts w:ascii="Times New Roman" w:hAnsi="Times New Roman" w:cs="Times New Roman"/>
          <w:sz w:val="24"/>
          <w:szCs w:val="24"/>
        </w:rPr>
        <w:t xml:space="preserve">), pod warunkiem że </w:t>
      </w:r>
      <w:r w:rsidR="00C93F26" w:rsidRPr="00EB304C">
        <w:rPr>
          <w:rFonts w:ascii="Times New Roman" w:hAnsi="Times New Roman" w:cs="Times New Roman"/>
          <w:sz w:val="24"/>
          <w:szCs w:val="24"/>
        </w:rPr>
        <w:t xml:space="preserve">ten </w:t>
      </w:r>
      <w:r w:rsidRPr="00EB304C">
        <w:rPr>
          <w:rFonts w:ascii="Times New Roman" w:hAnsi="Times New Roman" w:cs="Times New Roman"/>
          <w:sz w:val="24"/>
          <w:szCs w:val="24"/>
        </w:rPr>
        <w:t xml:space="preserve">raportujący operator platformy poinformuje o tym inne państwa członkowskie </w:t>
      </w:r>
      <w:r w:rsidR="00DD3E94" w:rsidRPr="00EB304C">
        <w:rPr>
          <w:rFonts w:ascii="Times New Roman" w:hAnsi="Times New Roman" w:cs="Times New Roman"/>
          <w:sz w:val="24"/>
          <w:szCs w:val="24"/>
        </w:rPr>
        <w:t>oraz powiadomi Szefa KAS o swoim wyborze (je</w:t>
      </w:r>
      <w:r w:rsidR="00BC404F">
        <w:rPr>
          <w:rFonts w:ascii="Times New Roman" w:hAnsi="Times New Roman" w:cs="Times New Roman"/>
          <w:sz w:val="24"/>
          <w:szCs w:val="24"/>
        </w:rPr>
        <w:t>że</w:t>
      </w:r>
      <w:r w:rsidR="00DD3E94" w:rsidRPr="00EB304C">
        <w:rPr>
          <w:rFonts w:ascii="Times New Roman" w:hAnsi="Times New Roman" w:cs="Times New Roman"/>
          <w:sz w:val="24"/>
          <w:szCs w:val="24"/>
        </w:rPr>
        <w:t>li wybierze Polskę lub je</w:t>
      </w:r>
      <w:r w:rsidR="00BC404F">
        <w:rPr>
          <w:rFonts w:ascii="Times New Roman" w:hAnsi="Times New Roman" w:cs="Times New Roman"/>
          <w:sz w:val="24"/>
          <w:szCs w:val="24"/>
        </w:rPr>
        <w:t>że</w:t>
      </w:r>
      <w:r w:rsidR="00DD3E94" w:rsidRPr="00EB304C">
        <w:rPr>
          <w:rFonts w:ascii="Times New Roman" w:hAnsi="Times New Roman" w:cs="Times New Roman"/>
          <w:sz w:val="24"/>
          <w:szCs w:val="24"/>
        </w:rPr>
        <w:t>li nie wybierze Polski jako kraju, w którym będzie wypełniał swoje obowiązki sprawozdawcze)</w:t>
      </w:r>
      <w:r w:rsidRPr="00EB304C">
        <w:rPr>
          <w:rFonts w:ascii="Times New Roman" w:hAnsi="Times New Roman" w:cs="Times New Roman"/>
          <w:sz w:val="24"/>
          <w:szCs w:val="24"/>
        </w:rPr>
        <w:t>. Operator platformy raportujący w innym państwie</w:t>
      </w:r>
      <w:r w:rsidR="007D1EB0" w:rsidRPr="00EB304C">
        <w:rPr>
          <w:rFonts w:ascii="Times New Roman" w:hAnsi="Times New Roman" w:cs="Times New Roman"/>
          <w:sz w:val="24"/>
          <w:szCs w:val="24"/>
        </w:rPr>
        <w:t xml:space="preserve"> członkowskim</w:t>
      </w:r>
      <w:r w:rsidRPr="00EB304C">
        <w:rPr>
          <w:rFonts w:ascii="Times New Roman" w:hAnsi="Times New Roman" w:cs="Times New Roman"/>
          <w:sz w:val="24"/>
          <w:szCs w:val="24"/>
        </w:rPr>
        <w:t xml:space="preserve"> niż Polska będzie zwolniony z obowiązków raportowania wynikających z polskich regulacji.</w:t>
      </w:r>
    </w:p>
    <w:p w14:paraId="25E3D4EC" w14:textId="2B66D3DF" w:rsidR="00A40B2E" w:rsidRPr="00EB304C" w:rsidRDefault="00877ADA"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Po drugie, raportujący operatorzy platform</w:t>
      </w:r>
      <w:r w:rsidR="00EF45CA" w:rsidRPr="00EB304C">
        <w:rPr>
          <w:rFonts w:ascii="Times New Roman" w:hAnsi="Times New Roman" w:cs="Times New Roman"/>
          <w:sz w:val="24"/>
          <w:szCs w:val="24"/>
        </w:rPr>
        <w:t xml:space="preserve"> </w:t>
      </w:r>
      <w:r w:rsidR="00CD03B2" w:rsidRPr="00EB304C">
        <w:rPr>
          <w:rFonts w:ascii="Times New Roman" w:hAnsi="Times New Roman" w:cs="Times New Roman"/>
          <w:sz w:val="24"/>
          <w:szCs w:val="24"/>
        </w:rPr>
        <w:t>spoza Unii Europejskiej</w:t>
      </w:r>
      <w:r w:rsidRPr="00EB304C">
        <w:rPr>
          <w:rFonts w:ascii="Times New Roman" w:hAnsi="Times New Roman" w:cs="Times New Roman"/>
          <w:sz w:val="24"/>
          <w:szCs w:val="24"/>
        </w:rPr>
        <w:t>, którzy działają na unijnym rynku, ale nie maj</w:t>
      </w:r>
      <w:r w:rsidR="007D1EB0" w:rsidRPr="00EB304C">
        <w:rPr>
          <w:rFonts w:ascii="Times New Roman" w:hAnsi="Times New Roman" w:cs="Times New Roman"/>
          <w:sz w:val="24"/>
          <w:szCs w:val="24"/>
        </w:rPr>
        <w:t>ą</w:t>
      </w:r>
      <w:r w:rsidRPr="00EB304C">
        <w:rPr>
          <w:rFonts w:ascii="Times New Roman" w:hAnsi="Times New Roman" w:cs="Times New Roman"/>
          <w:sz w:val="24"/>
          <w:szCs w:val="24"/>
        </w:rPr>
        <w:t xml:space="preserve"> siedziby w państwie</w:t>
      </w:r>
      <w:r w:rsidR="00D6650B" w:rsidRPr="00EB304C">
        <w:rPr>
          <w:rFonts w:ascii="Times New Roman" w:hAnsi="Times New Roman" w:cs="Times New Roman"/>
          <w:sz w:val="24"/>
          <w:szCs w:val="24"/>
        </w:rPr>
        <w:t>,</w:t>
      </w:r>
      <w:r w:rsidRPr="00EB304C">
        <w:rPr>
          <w:rFonts w:ascii="Times New Roman" w:hAnsi="Times New Roman" w:cs="Times New Roman"/>
          <w:sz w:val="24"/>
          <w:szCs w:val="24"/>
        </w:rPr>
        <w:t xml:space="preserve"> z którym </w:t>
      </w:r>
      <w:r w:rsidR="00D6650B" w:rsidRPr="00EB304C">
        <w:rPr>
          <w:rFonts w:ascii="Times New Roman" w:hAnsi="Times New Roman" w:cs="Times New Roman"/>
          <w:sz w:val="24"/>
          <w:szCs w:val="24"/>
        </w:rPr>
        <w:t>została</w:t>
      </w:r>
      <w:r w:rsidRPr="00EB304C">
        <w:rPr>
          <w:rFonts w:ascii="Times New Roman" w:hAnsi="Times New Roman" w:cs="Times New Roman"/>
          <w:sz w:val="24"/>
          <w:szCs w:val="24"/>
        </w:rPr>
        <w:t xml:space="preserve"> podpisan</w:t>
      </w:r>
      <w:r w:rsidR="00D6650B" w:rsidRPr="00EB304C">
        <w:rPr>
          <w:rFonts w:ascii="Times New Roman" w:hAnsi="Times New Roman" w:cs="Times New Roman"/>
          <w:sz w:val="24"/>
          <w:szCs w:val="24"/>
        </w:rPr>
        <w:t>a</w:t>
      </w:r>
      <w:r w:rsidRPr="00EB304C">
        <w:rPr>
          <w:rFonts w:ascii="Times New Roman" w:hAnsi="Times New Roman" w:cs="Times New Roman"/>
          <w:sz w:val="24"/>
          <w:szCs w:val="24"/>
        </w:rPr>
        <w:t xml:space="preserve"> </w:t>
      </w:r>
      <w:r w:rsidR="00CD03B2" w:rsidRPr="00EB304C">
        <w:rPr>
          <w:rFonts w:ascii="Times New Roman" w:hAnsi="Times New Roman" w:cs="Times New Roman"/>
          <w:sz w:val="24"/>
          <w:szCs w:val="24"/>
        </w:rPr>
        <w:t>stosown</w:t>
      </w:r>
      <w:r w:rsidR="00D6650B" w:rsidRPr="00EB304C">
        <w:rPr>
          <w:rFonts w:ascii="Times New Roman" w:hAnsi="Times New Roman" w:cs="Times New Roman"/>
          <w:sz w:val="24"/>
          <w:szCs w:val="24"/>
        </w:rPr>
        <w:t>a</w:t>
      </w:r>
      <w:r w:rsidR="00CD03B2" w:rsidRPr="00EB304C">
        <w:rPr>
          <w:rFonts w:ascii="Times New Roman" w:hAnsi="Times New Roman" w:cs="Times New Roman"/>
          <w:sz w:val="24"/>
          <w:szCs w:val="24"/>
        </w:rPr>
        <w:t xml:space="preserve"> </w:t>
      </w:r>
      <w:r w:rsidRPr="00EB304C">
        <w:rPr>
          <w:rFonts w:ascii="Times New Roman" w:hAnsi="Times New Roman" w:cs="Times New Roman"/>
          <w:sz w:val="24"/>
          <w:szCs w:val="24"/>
        </w:rPr>
        <w:t>kwalifik</w:t>
      </w:r>
      <w:r w:rsidR="00D6650B" w:rsidRPr="00EB304C">
        <w:rPr>
          <w:rFonts w:ascii="Times New Roman" w:hAnsi="Times New Roman" w:cs="Times New Roman"/>
          <w:sz w:val="24"/>
          <w:szCs w:val="24"/>
        </w:rPr>
        <w:t>owana</w:t>
      </w:r>
      <w:r w:rsidRPr="00EB304C">
        <w:rPr>
          <w:rFonts w:ascii="Times New Roman" w:hAnsi="Times New Roman" w:cs="Times New Roman"/>
          <w:sz w:val="24"/>
          <w:szCs w:val="24"/>
        </w:rPr>
        <w:t xml:space="preserve"> umow</w:t>
      </w:r>
      <w:r w:rsidR="00D6650B" w:rsidRPr="00EB304C">
        <w:rPr>
          <w:rFonts w:ascii="Times New Roman" w:hAnsi="Times New Roman" w:cs="Times New Roman"/>
          <w:sz w:val="24"/>
          <w:szCs w:val="24"/>
        </w:rPr>
        <w:t>a</w:t>
      </w:r>
      <w:r w:rsidRPr="00EB304C">
        <w:rPr>
          <w:rFonts w:ascii="Times New Roman" w:hAnsi="Times New Roman" w:cs="Times New Roman"/>
          <w:sz w:val="24"/>
          <w:szCs w:val="24"/>
        </w:rPr>
        <w:t xml:space="preserve"> o wymianie informacji, są zobowiązani do rejestracji wyłącznie w jednym państwie członkowskim (obowiązek jednorazowej rejestracji – art. </w:t>
      </w:r>
      <w:r w:rsidR="00CD03B2" w:rsidRPr="00EB304C">
        <w:rPr>
          <w:rFonts w:ascii="Times New Roman" w:hAnsi="Times New Roman" w:cs="Times New Roman"/>
          <w:sz w:val="24"/>
          <w:szCs w:val="24"/>
        </w:rPr>
        <w:t>75u</w:t>
      </w:r>
      <w:r w:rsidR="00A35F8A">
        <w:rPr>
          <w:rFonts w:ascii="Times New Roman" w:hAnsi="Times New Roman" w:cs="Times New Roman"/>
          <w:sz w:val="24"/>
          <w:szCs w:val="24"/>
        </w:rPr>
        <w:t xml:space="preserve"> ust. 1</w:t>
      </w:r>
      <w:r w:rsidRPr="00EB304C">
        <w:rPr>
          <w:rFonts w:ascii="Times New Roman" w:hAnsi="Times New Roman" w:cs="Times New Roman"/>
          <w:sz w:val="24"/>
          <w:szCs w:val="24"/>
        </w:rPr>
        <w:t>). W</w:t>
      </w:r>
      <w:r w:rsidR="00D6650B" w:rsidRPr="00EB304C">
        <w:rPr>
          <w:rFonts w:ascii="Times New Roman" w:hAnsi="Times New Roman" w:cs="Times New Roman"/>
          <w:sz w:val="24"/>
          <w:szCs w:val="24"/>
        </w:rPr>
        <w:t>edług</w:t>
      </w:r>
      <w:r w:rsidRPr="00EB304C">
        <w:rPr>
          <w:rFonts w:ascii="Times New Roman" w:hAnsi="Times New Roman" w:cs="Times New Roman"/>
          <w:sz w:val="24"/>
          <w:szCs w:val="24"/>
        </w:rPr>
        <w:t xml:space="preserve"> polskich przepis</w:t>
      </w:r>
      <w:r w:rsidR="00D6650B" w:rsidRPr="00EB304C">
        <w:rPr>
          <w:rFonts w:ascii="Times New Roman" w:hAnsi="Times New Roman" w:cs="Times New Roman"/>
          <w:sz w:val="24"/>
          <w:szCs w:val="24"/>
        </w:rPr>
        <w:t>ów</w:t>
      </w:r>
      <w:r w:rsidRPr="00EB304C">
        <w:rPr>
          <w:rFonts w:ascii="Times New Roman" w:hAnsi="Times New Roman" w:cs="Times New Roman"/>
          <w:sz w:val="24"/>
          <w:szCs w:val="24"/>
        </w:rPr>
        <w:t xml:space="preserve"> implementujących</w:t>
      </w:r>
      <w:r w:rsidR="007D1EB0" w:rsidRPr="00EB304C">
        <w:rPr>
          <w:rFonts w:ascii="Times New Roman" w:hAnsi="Times New Roman" w:cs="Times New Roman"/>
          <w:sz w:val="24"/>
          <w:szCs w:val="24"/>
        </w:rPr>
        <w:t>,</w:t>
      </w:r>
      <w:r w:rsidRPr="00EB304C">
        <w:rPr>
          <w:rFonts w:ascii="Times New Roman" w:hAnsi="Times New Roman" w:cs="Times New Roman"/>
          <w:sz w:val="24"/>
          <w:szCs w:val="24"/>
        </w:rPr>
        <w:t xml:space="preserve"> jednorazowej rejestracji dokonuje się przez złożenie formularza rejestracyjnego </w:t>
      </w:r>
      <w:r w:rsidR="009777A5" w:rsidRPr="00EB304C">
        <w:rPr>
          <w:rFonts w:ascii="Times New Roman" w:hAnsi="Times New Roman" w:cs="Times New Roman"/>
          <w:sz w:val="24"/>
          <w:szCs w:val="24"/>
        </w:rPr>
        <w:t xml:space="preserve">najpóźniej w dniu rozpoczęcia działalności </w:t>
      </w:r>
      <w:r w:rsidR="00D4689E" w:rsidRPr="00EB304C">
        <w:rPr>
          <w:rFonts w:ascii="Times New Roman" w:hAnsi="Times New Roman" w:cs="Times New Roman"/>
          <w:sz w:val="24"/>
          <w:szCs w:val="24"/>
        </w:rPr>
        <w:t>jako</w:t>
      </w:r>
      <w:r w:rsidRPr="00EB304C">
        <w:rPr>
          <w:rFonts w:ascii="Times New Roman" w:hAnsi="Times New Roman" w:cs="Times New Roman"/>
          <w:sz w:val="24"/>
          <w:szCs w:val="24"/>
        </w:rPr>
        <w:t xml:space="preserve"> raportujący operator platformy</w:t>
      </w:r>
      <w:r w:rsidR="00A40B2E" w:rsidRPr="00EB304C">
        <w:rPr>
          <w:rFonts w:ascii="Times New Roman" w:hAnsi="Times New Roman" w:cs="Times New Roman"/>
          <w:sz w:val="24"/>
          <w:szCs w:val="24"/>
        </w:rPr>
        <w:t>.</w:t>
      </w:r>
    </w:p>
    <w:p w14:paraId="00578C3E" w14:textId="77777777" w:rsidR="000D031B" w:rsidRDefault="00877ADA"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W ramach procedury jednorazowej rejestracji następuje nadanie indywidualnego numeru</w:t>
      </w:r>
      <w:r w:rsidR="00E91D14" w:rsidRPr="00EB304C">
        <w:rPr>
          <w:rFonts w:ascii="Times New Roman" w:hAnsi="Times New Roman" w:cs="Times New Roman"/>
          <w:sz w:val="24"/>
          <w:szCs w:val="24"/>
        </w:rPr>
        <w:t xml:space="preserve"> operatora</w:t>
      </w:r>
      <w:r w:rsidRPr="00EB304C">
        <w:rPr>
          <w:rFonts w:ascii="Times New Roman" w:hAnsi="Times New Roman" w:cs="Times New Roman"/>
          <w:sz w:val="24"/>
          <w:szCs w:val="24"/>
        </w:rPr>
        <w:t xml:space="preserve"> platformy (art. </w:t>
      </w:r>
      <w:r w:rsidR="003A5A0E" w:rsidRPr="00EB304C">
        <w:rPr>
          <w:rFonts w:ascii="Times New Roman" w:hAnsi="Times New Roman" w:cs="Times New Roman"/>
          <w:sz w:val="24"/>
          <w:szCs w:val="24"/>
        </w:rPr>
        <w:t>75v</w:t>
      </w:r>
      <w:r w:rsidRPr="00EB304C">
        <w:rPr>
          <w:rFonts w:ascii="Times New Roman" w:hAnsi="Times New Roman" w:cs="Times New Roman"/>
          <w:sz w:val="24"/>
          <w:szCs w:val="24"/>
        </w:rPr>
        <w:t>). Indywidualny numer indentyfikacyjny do celów sprawozdawczych jest zunifikowany na terenie UE. Raportujący operator platformy może uzyskać tylko jeden taki numer w UE i samodzielnie wybiera państwo rejestracji. Nadanie indywidualnego numeru</w:t>
      </w:r>
      <w:r w:rsidR="00E91D14" w:rsidRPr="00EB304C">
        <w:rPr>
          <w:rFonts w:ascii="Times New Roman" w:hAnsi="Times New Roman" w:cs="Times New Roman"/>
          <w:sz w:val="24"/>
          <w:szCs w:val="24"/>
        </w:rPr>
        <w:t xml:space="preserve"> operatora</w:t>
      </w:r>
      <w:r w:rsidRPr="00EB304C">
        <w:rPr>
          <w:rFonts w:ascii="Times New Roman" w:hAnsi="Times New Roman" w:cs="Times New Roman"/>
          <w:sz w:val="24"/>
          <w:szCs w:val="24"/>
        </w:rPr>
        <w:t xml:space="preserve"> platformy nie wymaga wydania decyzji administracyjnej. </w:t>
      </w:r>
    </w:p>
    <w:p w14:paraId="4000F9DC" w14:textId="15EA80F8" w:rsidR="000D031B" w:rsidRDefault="000D031B"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Zgodnie z art. 75w, formularz rejestracyjny może zostać pozostawiony bez rozpatrzenia na podstawie postanowienia wydanego przez Szefa KAS</w:t>
      </w:r>
      <w:r w:rsidR="00CA026B">
        <w:rPr>
          <w:rFonts w:ascii="Times New Roman" w:hAnsi="Times New Roman" w:cs="Times New Roman"/>
          <w:sz w:val="24"/>
          <w:szCs w:val="24"/>
        </w:rPr>
        <w:t xml:space="preserve"> (m.in. w przypadku gdy nie spełnia on wymogów formalnych)</w:t>
      </w:r>
      <w:r>
        <w:rPr>
          <w:rFonts w:ascii="Times New Roman" w:hAnsi="Times New Roman" w:cs="Times New Roman"/>
          <w:sz w:val="24"/>
          <w:szCs w:val="24"/>
        </w:rPr>
        <w:t xml:space="preserve">. </w:t>
      </w:r>
      <w:r w:rsidR="00CA4E5F">
        <w:rPr>
          <w:rFonts w:ascii="Times New Roman" w:hAnsi="Times New Roman" w:cs="Times New Roman"/>
          <w:sz w:val="24"/>
          <w:szCs w:val="24"/>
        </w:rPr>
        <w:t>Ustawodawca zdecydował o wykorzystaniu postanowienia o pozostawieniu formularza bez rozpatrzenia jako formy rozstrzygnięcia, co jest dopuszczalne dla tego rodzaju przypadków (biorąc pod uwagę, że p</w:t>
      </w:r>
      <w:r w:rsidR="00CA4E5F" w:rsidRPr="00F61104">
        <w:rPr>
          <w:rFonts w:ascii="Times New Roman" w:hAnsi="Times New Roman" w:cs="Times New Roman"/>
          <w:sz w:val="24"/>
          <w:szCs w:val="24"/>
        </w:rPr>
        <w:t>rzepis art. 216 § 2 Ordynacji podatkowej dopuszcza, w drodze wyjątku, postanowienia rozstrzygające o istocie sprawy, jeżeli ustawa tak stanowi</w:t>
      </w:r>
      <w:r w:rsidR="00CA4E5F">
        <w:rPr>
          <w:rFonts w:ascii="Times New Roman" w:hAnsi="Times New Roman" w:cs="Times New Roman"/>
          <w:sz w:val="24"/>
          <w:szCs w:val="24"/>
        </w:rPr>
        <w:t xml:space="preserve">). </w:t>
      </w:r>
      <w:r>
        <w:rPr>
          <w:rFonts w:ascii="Times New Roman" w:hAnsi="Times New Roman" w:cs="Times New Roman"/>
          <w:sz w:val="24"/>
          <w:szCs w:val="24"/>
        </w:rPr>
        <w:t>W</w:t>
      </w:r>
      <w:r w:rsidR="00CA4E5F">
        <w:rPr>
          <w:rFonts w:ascii="Times New Roman" w:hAnsi="Times New Roman" w:cs="Times New Roman"/>
          <w:sz w:val="24"/>
          <w:szCs w:val="24"/>
        </w:rPr>
        <w:t> </w:t>
      </w:r>
      <w:r>
        <w:rPr>
          <w:rFonts w:ascii="Times New Roman" w:hAnsi="Times New Roman" w:cs="Times New Roman"/>
          <w:sz w:val="24"/>
          <w:szCs w:val="24"/>
        </w:rPr>
        <w:t>związku ze stosowaniem odpowiednio, na podstawie art. 75z</w:t>
      </w:r>
      <w:r w:rsidR="00CA4E5F">
        <w:rPr>
          <w:rFonts w:ascii="Times New Roman" w:hAnsi="Times New Roman" w:cs="Times New Roman"/>
          <w:sz w:val="24"/>
          <w:szCs w:val="24"/>
        </w:rPr>
        <w:t>,</w:t>
      </w:r>
      <w:r>
        <w:rPr>
          <w:rFonts w:ascii="Times New Roman" w:hAnsi="Times New Roman" w:cs="Times New Roman"/>
          <w:sz w:val="24"/>
          <w:szCs w:val="24"/>
        </w:rPr>
        <w:t xml:space="preserve"> </w:t>
      </w:r>
      <w:r w:rsidRPr="000D031B">
        <w:rPr>
          <w:rFonts w:ascii="Times New Roman" w:hAnsi="Times New Roman" w:cs="Times New Roman"/>
          <w:sz w:val="24"/>
          <w:szCs w:val="24"/>
        </w:rPr>
        <w:t>przepis</w:t>
      </w:r>
      <w:r>
        <w:rPr>
          <w:rFonts w:ascii="Times New Roman" w:hAnsi="Times New Roman" w:cs="Times New Roman"/>
          <w:sz w:val="24"/>
          <w:szCs w:val="24"/>
        </w:rPr>
        <w:t>ów</w:t>
      </w:r>
      <w:r w:rsidRPr="000D031B">
        <w:rPr>
          <w:rFonts w:ascii="Times New Roman" w:hAnsi="Times New Roman" w:cs="Times New Roman"/>
          <w:sz w:val="24"/>
          <w:szCs w:val="24"/>
        </w:rPr>
        <w:t xml:space="preserve"> działu IV Ordynacj</w:t>
      </w:r>
      <w:r w:rsidR="00093E3C">
        <w:rPr>
          <w:rFonts w:ascii="Times New Roman" w:hAnsi="Times New Roman" w:cs="Times New Roman"/>
          <w:sz w:val="24"/>
          <w:szCs w:val="24"/>
        </w:rPr>
        <w:t>i</w:t>
      </w:r>
      <w:r w:rsidRPr="000D031B">
        <w:rPr>
          <w:rFonts w:ascii="Times New Roman" w:hAnsi="Times New Roman" w:cs="Times New Roman"/>
          <w:sz w:val="24"/>
          <w:szCs w:val="24"/>
        </w:rPr>
        <w:t xml:space="preserve"> podatkow</w:t>
      </w:r>
      <w:r w:rsidR="001734E6">
        <w:rPr>
          <w:rFonts w:ascii="Times New Roman" w:hAnsi="Times New Roman" w:cs="Times New Roman"/>
          <w:sz w:val="24"/>
          <w:szCs w:val="24"/>
        </w:rPr>
        <w:t>ej</w:t>
      </w:r>
      <w:r w:rsidR="00CA4E5F">
        <w:rPr>
          <w:rFonts w:ascii="Times New Roman" w:hAnsi="Times New Roman" w:cs="Times New Roman"/>
          <w:sz w:val="24"/>
          <w:szCs w:val="24"/>
        </w:rPr>
        <w:t>,</w:t>
      </w:r>
      <w:r w:rsidRPr="000D031B">
        <w:rPr>
          <w:rFonts w:ascii="Times New Roman" w:hAnsi="Times New Roman" w:cs="Times New Roman"/>
          <w:sz w:val="24"/>
          <w:szCs w:val="24"/>
        </w:rPr>
        <w:t xml:space="preserve"> </w:t>
      </w:r>
      <w:r>
        <w:rPr>
          <w:rFonts w:ascii="Times New Roman" w:hAnsi="Times New Roman" w:cs="Times New Roman"/>
          <w:sz w:val="24"/>
          <w:szCs w:val="24"/>
        </w:rPr>
        <w:t>na wydane postanowienie służy zażalenie</w:t>
      </w:r>
      <w:r w:rsidR="00CA026B">
        <w:rPr>
          <w:rFonts w:ascii="Times New Roman" w:hAnsi="Times New Roman" w:cs="Times New Roman"/>
          <w:sz w:val="24"/>
          <w:szCs w:val="24"/>
        </w:rPr>
        <w:t xml:space="preserve"> (odpowiednie stosowanie art.</w:t>
      </w:r>
      <w:r w:rsidR="0061090B">
        <w:rPr>
          <w:rFonts w:ascii="Times New Roman" w:hAnsi="Times New Roman" w:cs="Times New Roman"/>
          <w:sz w:val="24"/>
          <w:szCs w:val="24"/>
        </w:rPr>
        <w:t> </w:t>
      </w:r>
      <w:r w:rsidR="00CA026B">
        <w:rPr>
          <w:rFonts w:ascii="Times New Roman" w:hAnsi="Times New Roman" w:cs="Times New Roman"/>
          <w:sz w:val="24"/>
          <w:szCs w:val="24"/>
        </w:rPr>
        <w:t>169</w:t>
      </w:r>
      <w:r w:rsidR="00CA026B" w:rsidRPr="00CA026B">
        <w:t xml:space="preserve"> </w:t>
      </w:r>
      <w:r w:rsidR="00CA026B" w:rsidRPr="00CA026B">
        <w:rPr>
          <w:rFonts w:ascii="Times New Roman" w:hAnsi="Times New Roman" w:cs="Times New Roman"/>
          <w:sz w:val="24"/>
          <w:szCs w:val="24"/>
        </w:rPr>
        <w:t>§</w:t>
      </w:r>
      <w:r w:rsidR="00CA026B">
        <w:rPr>
          <w:rFonts w:ascii="Times New Roman" w:hAnsi="Times New Roman" w:cs="Times New Roman"/>
          <w:sz w:val="24"/>
          <w:szCs w:val="24"/>
        </w:rPr>
        <w:t xml:space="preserve"> 4 Ordynacj</w:t>
      </w:r>
      <w:r w:rsidR="001734E6">
        <w:rPr>
          <w:rFonts w:ascii="Times New Roman" w:hAnsi="Times New Roman" w:cs="Times New Roman"/>
          <w:sz w:val="24"/>
          <w:szCs w:val="24"/>
        </w:rPr>
        <w:t>i</w:t>
      </w:r>
      <w:r w:rsidR="00CA026B">
        <w:rPr>
          <w:rFonts w:ascii="Times New Roman" w:hAnsi="Times New Roman" w:cs="Times New Roman"/>
          <w:sz w:val="24"/>
          <w:szCs w:val="24"/>
        </w:rPr>
        <w:t xml:space="preserve"> podatkow</w:t>
      </w:r>
      <w:r w:rsidR="001734E6">
        <w:rPr>
          <w:rFonts w:ascii="Times New Roman" w:hAnsi="Times New Roman" w:cs="Times New Roman"/>
          <w:sz w:val="24"/>
          <w:szCs w:val="24"/>
        </w:rPr>
        <w:t>ej</w:t>
      </w:r>
      <w:r w:rsidR="00CA026B">
        <w:rPr>
          <w:rFonts w:ascii="Times New Roman" w:hAnsi="Times New Roman" w:cs="Times New Roman"/>
          <w:sz w:val="24"/>
          <w:szCs w:val="24"/>
        </w:rPr>
        <w:t>)</w:t>
      </w:r>
      <w:r>
        <w:rPr>
          <w:rFonts w:ascii="Times New Roman" w:hAnsi="Times New Roman" w:cs="Times New Roman"/>
          <w:sz w:val="24"/>
          <w:szCs w:val="24"/>
        </w:rPr>
        <w:t>.</w:t>
      </w:r>
      <w:r w:rsidR="00CA026B">
        <w:rPr>
          <w:rFonts w:ascii="Times New Roman" w:hAnsi="Times New Roman" w:cs="Times New Roman"/>
          <w:sz w:val="24"/>
          <w:szCs w:val="24"/>
        </w:rPr>
        <w:t xml:space="preserve"> </w:t>
      </w:r>
    </w:p>
    <w:p w14:paraId="2927762A" w14:textId="1A7527F1" w:rsidR="00877ADA" w:rsidRPr="00EB304C" w:rsidRDefault="00437F10"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Decyzje są wydawane przez</w:t>
      </w:r>
      <w:r w:rsidR="00877ADA" w:rsidRPr="00EB304C">
        <w:rPr>
          <w:rFonts w:ascii="Times New Roman" w:hAnsi="Times New Roman" w:cs="Times New Roman"/>
          <w:sz w:val="24"/>
          <w:szCs w:val="24"/>
        </w:rPr>
        <w:t xml:space="preserve"> Szef</w:t>
      </w:r>
      <w:r>
        <w:rPr>
          <w:rFonts w:ascii="Times New Roman" w:hAnsi="Times New Roman" w:cs="Times New Roman"/>
          <w:sz w:val="24"/>
          <w:szCs w:val="24"/>
        </w:rPr>
        <w:t>a</w:t>
      </w:r>
      <w:r w:rsidR="00877ADA" w:rsidRPr="00EB304C">
        <w:rPr>
          <w:rFonts w:ascii="Times New Roman" w:hAnsi="Times New Roman" w:cs="Times New Roman"/>
          <w:sz w:val="24"/>
          <w:szCs w:val="24"/>
        </w:rPr>
        <w:t xml:space="preserve"> Krajowej Administracji Skarbowej w przypadkach: unieważnienia </w:t>
      </w:r>
      <w:r w:rsidR="001734E6">
        <w:rPr>
          <w:rFonts w:ascii="Times New Roman" w:hAnsi="Times New Roman" w:cs="Times New Roman"/>
          <w:sz w:val="24"/>
          <w:szCs w:val="24"/>
        </w:rPr>
        <w:t xml:space="preserve">indywidualnego numeru operatora platformy </w:t>
      </w:r>
      <w:r w:rsidR="00877ADA" w:rsidRPr="00EB304C">
        <w:rPr>
          <w:rFonts w:ascii="Times New Roman" w:hAnsi="Times New Roman" w:cs="Times New Roman"/>
          <w:sz w:val="24"/>
          <w:szCs w:val="24"/>
        </w:rPr>
        <w:t xml:space="preserve">(art. </w:t>
      </w:r>
      <w:r w:rsidR="003A5A0E" w:rsidRPr="00EB304C">
        <w:rPr>
          <w:rFonts w:ascii="Times New Roman" w:hAnsi="Times New Roman" w:cs="Times New Roman"/>
          <w:sz w:val="24"/>
          <w:szCs w:val="24"/>
        </w:rPr>
        <w:t>75x</w:t>
      </w:r>
      <w:r w:rsidR="00877ADA" w:rsidRPr="00EB304C">
        <w:rPr>
          <w:rFonts w:ascii="Times New Roman" w:hAnsi="Times New Roman" w:cs="Times New Roman"/>
          <w:sz w:val="24"/>
          <w:szCs w:val="24"/>
        </w:rPr>
        <w:t xml:space="preserve">) lub cofnięcia </w:t>
      </w:r>
      <w:r w:rsidR="001734E6">
        <w:rPr>
          <w:rFonts w:ascii="Times New Roman" w:hAnsi="Times New Roman" w:cs="Times New Roman"/>
          <w:sz w:val="24"/>
          <w:szCs w:val="24"/>
        </w:rPr>
        <w:t xml:space="preserve">takiego numeru </w:t>
      </w:r>
      <w:r w:rsidR="00877ADA" w:rsidRPr="00EB304C">
        <w:rPr>
          <w:rFonts w:ascii="Times New Roman" w:hAnsi="Times New Roman" w:cs="Times New Roman"/>
          <w:sz w:val="24"/>
          <w:szCs w:val="24"/>
        </w:rPr>
        <w:t xml:space="preserve">(art. </w:t>
      </w:r>
      <w:r w:rsidR="003A5A0E" w:rsidRPr="00EB304C">
        <w:rPr>
          <w:rFonts w:ascii="Times New Roman" w:hAnsi="Times New Roman" w:cs="Times New Roman"/>
          <w:sz w:val="24"/>
          <w:szCs w:val="24"/>
        </w:rPr>
        <w:t>75y</w:t>
      </w:r>
      <w:r w:rsidR="00877ADA" w:rsidRPr="00EB304C">
        <w:rPr>
          <w:rFonts w:ascii="Times New Roman" w:hAnsi="Times New Roman" w:cs="Times New Roman"/>
          <w:sz w:val="24"/>
          <w:szCs w:val="24"/>
        </w:rPr>
        <w:t>)</w:t>
      </w:r>
      <w:r w:rsidR="001734E6">
        <w:rPr>
          <w:rFonts w:ascii="Times New Roman" w:hAnsi="Times New Roman" w:cs="Times New Roman"/>
          <w:sz w:val="24"/>
          <w:szCs w:val="24"/>
        </w:rPr>
        <w:t xml:space="preserve"> </w:t>
      </w:r>
      <w:r w:rsidR="00877ADA" w:rsidRPr="00EB304C">
        <w:rPr>
          <w:rFonts w:ascii="Times New Roman" w:hAnsi="Times New Roman" w:cs="Times New Roman"/>
          <w:sz w:val="24"/>
          <w:szCs w:val="24"/>
        </w:rPr>
        <w:t>.</w:t>
      </w:r>
    </w:p>
    <w:p w14:paraId="69ED0292" w14:textId="60625853" w:rsidR="00877ADA" w:rsidRPr="00EB304C" w:rsidRDefault="00877ADA" w:rsidP="00507007">
      <w:pPr>
        <w:pStyle w:val="USTustnpkodeksu"/>
        <w:spacing w:before="120"/>
        <w:ind w:firstLine="0"/>
        <w:rPr>
          <w:rFonts w:ascii="Times New Roman" w:hAnsi="Times New Roman" w:cs="Times New Roman"/>
          <w:szCs w:val="24"/>
        </w:rPr>
      </w:pPr>
      <w:r w:rsidRPr="00EB304C">
        <w:rPr>
          <w:rFonts w:ascii="Times New Roman" w:hAnsi="Times New Roman" w:cs="Times New Roman"/>
          <w:szCs w:val="24"/>
        </w:rPr>
        <w:lastRenderedPageBreak/>
        <w:t xml:space="preserve">Jeżeli został nadany indywidualny numer </w:t>
      </w:r>
      <w:r w:rsidR="00E91D14" w:rsidRPr="00EB304C">
        <w:rPr>
          <w:rFonts w:ascii="Times New Roman" w:hAnsi="Times New Roman" w:cs="Times New Roman"/>
          <w:szCs w:val="24"/>
        </w:rPr>
        <w:t xml:space="preserve">operatora </w:t>
      </w:r>
      <w:r w:rsidRPr="00EB304C">
        <w:rPr>
          <w:rFonts w:ascii="Times New Roman" w:hAnsi="Times New Roman" w:cs="Times New Roman"/>
          <w:szCs w:val="24"/>
        </w:rPr>
        <w:t xml:space="preserve">platformy, to zgodnie z art. </w:t>
      </w:r>
      <w:r w:rsidR="0044309D" w:rsidRPr="00EB304C">
        <w:rPr>
          <w:rFonts w:ascii="Times New Roman" w:hAnsi="Times New Roman" w:cs="Times New Roman"/>
          <w:szCs w:val="24"/>
        </w:rPr>
        <w:t>75x</w:t>
      </w:r>
      <w:r w:rsidRPr="00EB304C">
        <w:rPr>
          <w:rFonts w:ascii="Times New Roman" w:hAnsi="Times New Roman" w:cs="Times New Roman"/>
          <w:szCs w:val="24"/>
        </w:rPr>
        <w:t xml:space="preserve"> Szef KAS unieważnia z urzędu, w drodze decyzji</w:t>
      </w:r>
      <w:r w:rsidR="005500FB">
        <w:rPr>
          <w:rFonts w:ascii="Times New Roman" w:hAnsi="Times New Roman" w:cs="Times New Roman"/>
          <w:szCs w:val="24"/>
        </w:rPr>
        <w:t>,</w:t>
      </w:r>
      <w:r w:rsidRPr="00EB304C">
        <w:rPr>
          <w:rFonts w:ascii="Times New Roman" w:hAnsi="Times New Roman" w:cs="Times New Roman"/>
          <w:szCs w:val="24"/>
        </w:rPr>
        <w:t xml:space="preserve"> taki numer:</w:t>
      </w:r>
    </w:p>
    <w:p w14:paraId="448888A9" w14:textId="7872EB49" w:rsidR="00877ADA" w:rsidRPr="00EB304C" w:rsidRDefault="00EC060D" w:rsidP="00507007">
      <w:pPr>
        <w:pStyle w:val="USTustnpkodeksu"/>
        <w:numPr>
          <w:ilvl w:val="0"/>
          <w:numId w:val="3"/>
        </w:numPr>
        <w:spacing w:before="120"/>
        <w:ind w:left="567" w:hanging="425"/>
        <w:rPr>
          <w:rFonts w:ascii="Times New Roman" w:hAnsi="Times New Roman" w:cs="Times New Roman"/>
          <w:szCs w:val="24"/>
        </w:rPr>
      </w:pPr>
      <w:r w:rsidRPr="00EB304C">
        <w:rPr>
          <w:rFonts w:ascii="Times New Roman" w:hAnsi="Times New Roman" w:cs="Times New Roman"/>
          <w:szCs w:val="24"/>
        </w:rPr>
        <w:t>g</w:t>
      </w:r>
      <w:r w:rsidR="00877ADA" w:rsidRPr="00EB304C">
        <w:rPr>
          <w:rFonts w:ascii="Times New Roman" w:hAnsi="Times New Roman" w:cs="Times New Roman"/>
          <w:szCs w:val="24"/>
        </w:rPr>
        <w:t xml:space="preserve">dy </w:t>
      </w:r>
      <w:r w:rsidR="00DD3E94" w:rsidRPr="00EB304C">
        <w:rPr>
          <w:rFonts w:ascii="Times New Roman" w:hAnsi="Times New Roman" w:cs="Times New Roman"/>
          <w:szCs w:val="24"/>
        </w:rPr>
        <w:t xml:space="preserve">raportującemu </w:t>
      </w:r>
      <w:r w:rsidR="00877ADA" w:rsidRPr="00EB304C">
        <w:rPr>
          <w:rFonts w:ascii="Times New Roman" w:hAnsi="Times New Roman" w:cs="Times New Roman"/>
          <w:szCs w:val="24"/>
        </w:rPr>
        <w:t>operatowi platformy nadano już</w:t>
      </w:r>
      <w:r w:rsidR="00D844FB" w:rsidRPr="00EB304C">
        <w:rPr>
          <w:rFonts w:ascii="Times New Roman" w:hAnsi="Times New Roman" w:cs="Times New Roman"/>
          <w:szCs w:val="24"/>
        </w:rPr>
        <w:t xml:space="preserve"> wcześniej</w:t>
      </w:r>
      <w:r w:rsidR="00223152">
        <w:rPr>
          <w:rFonts w:ascii="Times New Roman" w:hAnsi="Times New Roman" w:cs="Times New Roman"/>
          <w:szCs w:val="24"/>
        </w:rPr>
        <w:t xml:space="preserve"> </w:t>
      </w:r>
      <w:r w:rsidR="00DD3E94" w:rsidRPr="00EB304C">
        <w:rPr>
          <w:rFonts w:ascii="Times New Roman" w:hAnsi="Times New Roman" w:cs="Times New Roman"/>
          <w:szCs w:val="24"/>
        </w:rPr>
        <w:t xml:space="preserve">indywidualny </w:t>
      </w:r>
      <w:r w:rsidR="00877ADA" w:rsidRPr="00EB304C">
        <w:rPr>
          <w:rFonts w:ascii="Times New Roman" w:hAnsi="Times New Roman" w:cs="Times New Roman"/>
          <w:szCs w:val="24"/>
        </w:rPr>
        <w:t>numer</w:t>
      </w:r>
      <w:r w:rsidR="00461E3F" w:rsidRPr="00EB304C">
        <w:rPr>
          <w:rFonts w:ascii="Times New Roman" w:hAnsi="Times New Roman" w:cs="Times New Roman"/>
          <w:szCs w:val="24"/>
        </w:rPr>
        <w:t xml:space="preserve"> raportującego operatora platformy</w:t>
      </w:r>
      <w:r w:rsidR="00877ADA" w:rsidRPr="00EB304C">
        <w:rPr>
          <w:rFonts w:ascii="Times New Roman" w:hAnsi="Times New Roman" w:cs="Times New Roman"/>
          <w:szCs w:val="24"/>
        </w:rPr>
        <w:t xml:space="preserve"> – w Polsce lub w i</w:t>
      </w:r>
      <w:r w:rsidR="00914203" w:rsidRPr="00EB304C">
        <w:rPr>
          <w:rFonts w:ascii="Times New Roman" w:hAnsi="Times New Roman" w:cs="Times New Roman"/>
          <w:szCs w:val="24"/>
        </w:rPr>
        <w:t>nnym państwie członkowskim (np.</w:t>
      </w:r>
      <w:r w:rsidR="00877ADA" w:rsidRPr="00EB304C">
        <w:rPr>
          <w:rFonts w:ascii="Times New Roman" w:hAnsi="Times New Roman" w:cs="Times New Roman"/>
          <w:szCs w:val="24"/>
        </w:rPr>
        <w:t xml:space="preserve"> w wyniku pomyłki), bądź</w:t>
      </w:r>
    </w:p>
    <w:p w14:paraId="2027C3F5" w14:textId="6BB9533E" w:rsidR="00461E3F" w:rsidRPr="006815B9" w:rsidRDefault="00461E3F" w:rsidP="00507007">
      <w:pPr>
        <w:pStyle w:val="USTustnpkodeksu"/>
        <w:numPr>
          <w:ilvl w:val="0"/>
          <w:numId w:val="3"/>
        </w:numPr>
        <w:spacing w:before="120"/>
        <w:ind w:left="567" w:hanging="425"/>
        <w:rPr>
          <w:rFonts w:ascii="Times New Roman" w:hAnsi="Times New Roman" w:cs="Times New Roman"/>
          <w:szCs w:val="24"/>
        </w:rPr>
      </w:pPr>
      <w:r w:rsidRPr="00EB304C">
        <w:rPr>
          <w:rFonts w:ascii="Times New Roman" w:hAnsi="Times New Roman" w:cs="Times New Roman"/>
          <w:szCs w:val="24"/>
        </w:rPr>
        <w:t>d</w:t>
      </w:r>
      <w:r w:rsidR="00877ADA" w:rsidRPr="00EB304C">
        <w:rPr>
          <w:rFonts w:ascii="Times New Roman" w:hAnsi="Times New Roman" w:cs="Times New Roman"/>
          <w:szCs w:val="24"/>
        </w:rPr>
        <w:t>ane przekazane na formularzu rejestracyjnym były fałszywe lub fikcyjne.</w:t>
      </w:r>
      <w:r w:rsidR="00D844FB" w:rsidRPr="00EB304C">
        <w:rPr>
          <w:rFonts w:ascii="Times New Roman" w:hAnsi="Times New Roman" w:cs="Times New Roman"/>
          <w:szCs w:val="24"/>
        </w:rPr>
        <w:t xml:space="preserve"> Dotyczy </w:t>
      </w:r>
      <w:r w:rsidR="005500FB">
        <w:rPr>
          <w:rFonts w:ascii="Times New Roman" w:hAnsi="Times New Roman" w:cs="Times New Roman"/>
          <w:szCs w:val="24"/>
        </w:rPr>
        <w:t xml:space="preserve">to </w:t>
      </w:r>
      <w:r w:rsidR="00D844FB" w:rsidRPr="00EB304C">
        <w:rPr>
          <w:rFonts w:ascii="Times New Roman" w:hAnsi="Times New Roman" w:cs="Times New Roman"/>
          <w:szCs w:val="24"/>
        </w:rPr>
        <w:t>sytuacji, kiedy Szef KAS poweźmie informację, że w momencie składania formularza rejestracyjnego operator platformy posługiwał się danymi fałszywymi (np. dot. innego podmiotu) lub fikcyjnymi (np. dot. nieistniejącego podmiotu).</w:t>
      </w:r>
    </w:p>
    <w:p w14:paraId="4A9E2E69" w14:textId="31B58B30" w:rsidR="00461E3F" w:rsidRPr="00EB304C" w:rsidRDefault="00461E3F" w:rsidP="00507007">
      <w:pPr>
        <w:pStyle w:val="USTustnpkodeksu"/>
        <w:spacing w:before="120"/>
        <w:ind w:firstLine="0"/>
        <w:rPr>
          <w:rFonts w:ascii="Times New Roman" w:hAnsi="Times New Roman" w:cs="Times New Roman"/>
          <w:szCs w:val="24"/>
        </w:rPr>
      </w:pPr>
      <w:r w:rsidRPr="00EB304C">
        <w:rPr>
          <w:rFonts w:ascii="Times New Roman" w:hAnsi="Times New Roman" w:cs="Times New Roman"/>
          <w:szCs w:val="24"/>
        </w:rPr>
        <w:t xml:space="preserve">Z kolei art. 75y projektowanej ustawy wskazuje, że w pewnych sytuacjach Szef Krajowej Administracji Skarbowej może cofnąć już nadany numer. Jest to szczególnie istotne z punktu widzenia obowiązków nałożonych na państwa członkowskie w dyrektywie. </w:t>
      </w:r>
    </w:p>
    <w:p w14:paraId="0AAAAFA9" w14:textId="4790B163" w:rsidR="00461E3F" w:rsidRPr="00EB304C" w:rsidRDefault="00461E3F" w:rsidP="00507007">
      <w:pPr>
        <w:pStyle w:val="USTustnpkodeksu"/>
        <w:spacing w:before="120"/>
        <w:ind w:firstLine="0"/>
        <w:rPr>
          <w:rFonts w:ascii="Times New Roman" w:hAnsi="Times New Roman" w:cs="Times New Roman"/>
          <w:szCs w:val="24"/>
        </w:rPr>
      </w:pPr>
      <w:r w:rsidRPr="00EB304C">
        <w:rPr>
          <w:rFonts w:ascii="Times New Roman" w:hAnsi="Times New Roman" w:cs="Times New Roman"/>
          <w:szCs w:val="24"/>
        </w:rPr>
        <w:t xml:space="preserve">DAC7 nakłada obowiązek informowania KE i innych państw członkowskich o fakcie unieważnienia lub cofnięcia nadania takiego numeru (art. 75zf). Raportujący operator platformy nie może wystąpić o ponowne nadanie tego samego numeru. </w:t>
      </w:r>
      <w:r w:rsidR="00402A2D" w:rsidRPr="00EB304C">
        <w:rPr>
          <w:rFonts w:ascii="Times New Roman" w:hAnsi="Times New Roman" w:cs="Times New Roman"/>
          <w:szCs w:val="24"/>
        </w:rPr>
        <w:t>W przypadku cofnięcia numeru na podstawie art. 75y ust. 1 pkt 4</w:t>
      </w:r>
      <w:r w:rsidRPr="00EB304C">
        <w:rPr>
          <w:rFonts w:ascii="Times New Roman" w:hAnsi="Times New Roman" w:cs="Times New Roman"/>
          <w:szCs w:val="24"/>
        </w:rPr>
        <w:t>, ponowne nadanie numeru może się odbyć dopiero po złożeniu kaucji (art. 75y</w:t>
      </w:r>
      <w:r w:rsidR="00402A2D" w:rsidRPr="00EB304C">
        <w:rPr>
          <w:rFonts w:ascii="Times New Roman" w:hAnsi="Times New Roman" w:cs="Times New Roman"/>
          <w:szCs w:val="24"/>
        </w:rPr>
        <w:t xml:space="preserve"> ust. 3</w:t>
      </w:r>
      <w:r w:rsidRPr="00EB304C">
        <w:rPr>
          <w:rFonts w:ascii="Times New Roman" w:hAnsi="Times New Roman" w:cs="Times New Roman"/>
          <w:szCs w:val="24"/>
        </w:rPr>
        <w:t xml:space="preserve">). </w:t>
      </w:r>
      <w:r w:rsidR="00D0087B" w:rsidRPr="00EB304C">
        <w:rPr>
          <w:rFonts w:ascii="Times New Roman" w:hAnsi="Times New Roman" w:cs="Times New Roman"/>
          <w:szCs w:val="24"/>
        </w:rPr>
        <w:t>W przypadku złożenia kaucji gwarancyjn</w:t>
      </w:r>
      <w:r w:rsidRPr="00EB304C">
        <w:rPr>
          <w:rFonts w:ascii="Times New Roman" w:hAnsi="Times New Roman" w:cs="Times New Roman"/>
          <w:szCs w:val="24"/>
        </w:rPr>
        <w:t>ej zgodnie z</w:t>
      </w:r>
      <w:r w:rsidR="0009626F" w:rsidRPr="00EB304C">
        <w:rPr>
          <w:rFonts w:ascii="Times New Roman" w:hAnsi="Times New Roman" w:cs="Times New Roman"/>
          <w:szCs w:val="24"/>
        </w:rPr>
        <w:t> </w:t>
      </w:r>
      <w:r w:rsidRPr="00EB304C">
        <w:rPr>
          <w:rFonts w:ascii="Times New Roman" w:hAnsi="Times New Roman" w:cs="Times New Roman"/>
          <w:szCs w:val="24"/>
        </w:rPr>
        <w:t>art.</w:t>
      </w:r>
      <w:r w:rsidR="005500FB">
        <w:rPr>
          <w:rFonts w:ascii="Times New Roman" w:hAnsi="Times New Roman" w:cs="Times New Roman"/>
          <w:szCs w:val="24"/>
        </w:rPr>
        <w:t> </w:t>
      </w:r>
      <w:r w:rsidRPr="00EB304C">
        <w:rPr>
          <w:rFonts w:ascii="Times New Roman" w:hAnsi="Times New Roman" w:cs="Times New Roman"/>
          <w:szCs w:val="24"/>
        </w:rPr>
        <w:t xml:space="preserve">75y ust. </w:t>
      </w:r>
      <w:r w:rsidR="000B5C2B">
        <w:rPr>
          <w:rFonts w:ascii="Times New Roman" w:hAnsi="Times New Roman" w:cs="Times New Roman"/>
          <w:szCs w:val="24"/>
        </w:rPr>
        <w:t>3</w:t>
      </w:r>
      <w:r w:rsidR="00D0087B" w:rsidRPr="00EB304C">
        <w:rPr>
          <w:rFonts w:ascii="Times New Roman" w:hAnsi="Times New Roman" w:cs="Times New Roman"/>
          <w:szCs w:val="24"/>
        </w:rPr>
        <w:t>, raportującemu operatorowi platformy ponownie zostaje nadany indywidualny numer operatora platformy. Chodzi tutaj o nadanie nowego numeru, a nie numeru, który został cofnięty.</w:t>
      </w:r>
    </w:p>
    <w:p w14:paraId="2CB2108D" w14:textId="4C6E13C1" w:rsidR="00F40F63" w:rsidRPr="00EB304C" w:rsidRDefault="00461E3F"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Zarówno w przypadku unieważnienia, jak i cofnięcia</w:t>
      </w:r>
      <w:r w:rsidR="00E91D14" w:rsidRPr="00EB304C">
        <w:rPr>
          <w:rFonts w:ascii="Times New Roman" w:hAnsi="Times New Roman" w:cs="Times New Roman"/>
          <w:sz w:val="24"/>
          <w:szCs w:val="24"/>
        </w:rPr>
        <w:t xml:space="preserve"> indywidualnego</w:t>
      </w:r>
      <w:r w:rsidRPr="00EB304C">
        <w:rPr>
          <w:rFonts w:ascii="Times New Roman" w:hAnsi="Times New Roman" w:cs="Times New Roman"/>
          <w:sz w:val="24"/>
          <w:szCs w:val="24"/>
        </w:rPr>
        <w:t xml:space="preserve"> numeru operatora platformy </w:t>
      </w:r>
      <w:r w:rsidR="00877ADA" w:rsidRPr="00EB304C">
        <w:rPr>
          <w:rFonts w:ascii="Times New Roman" w:hAnsi="Times New Roman" w:cs="Times New Roman"/>
          <w:sz w:val="24"/>
          <w:szCs w:val="24"/>
        </w:rPr>
        <w:t>nie nadaje się już operatorowi tego samego numeru.</w:t>
      </w:r>
      <w:r w:rsidR="00ED412A" w:rsidRPr="00EB304C">
        <w:rPr>
          <w:rFonts w:ascii="Times New Roman" w:hAnsi="Times New Roman" w:cs="Times New Roman"/>
          <w:sz w:val="24"/>
          <w:szCs w:val="24"/>
        </w:rPr>
        <w:t xml:space="preserve"> Musi on wystąpić o nowy numer.</w:t>
      </w:r>
    </w:p>
    <w:p w14:paraId="27468D9F" w14:textId="1CA981E3" w:rsidR="00402A2D" w:rsidRPr="00BF1D2D" w:rsidRDefault="00402A2D" w:rsidP="00507007">
      <w:pPr>
        <w:pStyle w:val="USTustnpkodeksu"/>
        <w:numPr>
          <w:ilvl w:val="0"/>
          <w:numId w:val="11"/>
        </w:numPr>
        <w:spacing w:before="120"/>
        <w:rPr>
          <w:rFonts w:ascii="Times New Roman" w:hAnsi="Times New Roman" w:cs="Times New Roman"/>
          <w:szCs w:val="24"/>
        </w:rPr>
      </w:pPr>
      <w:r w:rsidRPr="00EB304C">
        <w:rPr>
          <w:rFonts w:ascii="Times New Roman" w:hAnsi="Times New Roman" w:cs="Times New Roman"/>
          <w:b/>
          <w:szCs w:val="24"/>
        </w:rPr>
        <w:t xml:space="preserve">Rozdział 5 </w:t>
      </w:r>
      <w:r w:rsidR="005500FB">
        <w:rPr>
          <w:rFonts w:ascii="Times New Roman" w:hAnsi="Times New Roman" w:cs="Times New Roman"/>
          <w:b/>
          <w:szCs w:val="24"/>
        </w:rPr>
        <w:t>–</w:t>
      </w:r>
      <w:r w:rsidRPr="00EB304C">
        <w:rPr>
          <w:rFonts w:ascii="Times New Roman" w:hAnsi="Times New Roman" w:cs="Times New Roman"/>
          <w:b/>
          <w:szCs w:val="24"/>
        </w:rPr>
        <w:t xml:space="preserve"> kontrola raportujących operatorów platform</w:t>
      </w:r>
    </w:p>
    <w:p w14:paraId="080CEC57" w14:textId="6F6CEFBE" w:rsidR="00877ADA" w:rsidRPr="00EB304C" w:rsidRDefault="00061B34" w:rsidP="00507007">
      <w:pPr>
        <w:pStyle w:val="USTustnpkodeksu"/>
        <w:spacing w:before="120"/>
        <w:ind w:firstLine="0"/>
        <w:rPr>
          <w:rFonts w:ascii="Times New Roman" w:hAnsi="Times New Roman" w:cs="Times New Roman"/>
          <w:szCs w:val="24"/>
        </w:rPr>
      </w:pPr>
      <w:r w:rsidRPr="00EB304C">
        <w:rPr>
          <w:rFonts w:ascii="Times New Roman" w:hAnsi="Times New Roman" w:cs="Times New Roman"/>
          <w:szCs w:val="24"/>
        </w:rPr>
        <w:t>Rozdział 5</w:t>
      </w:r>
      <w:r w:rsidR="00914203" w:rsidRPr="00EB304C">
        <w:rPr>
          <w:rFonts w:ascii="Times New Roman" w:hAnsi="Times New Roman" w:cs="Times New Roman"/>
          <w:szCs w:val="24"/>
        </w:rPr>
        <w:t xml:space="preserve"> obejmuje</w:t>
      </w:r>
      <w:r w:rsidR="00877ADA" w:rsidRPr="00EB304C">
        <w:rPr>
          <w:rFonts w:ascii="Times New Roman" w:hAnsi="Times New Roman" w:cs="Times New Roman"/>
          <w:szCs w:val="24"/>
        </w:rPr>
        <w:t xml:space="preserve"> procedury administracyjne służące weryfikacji przestrzegania przez raportujących operatorów platform procedur należytej staranności oraz wymogów sprawozdawczych. Zgodnie z dyrektywą, to państwa członkowskie określają procedury administracyjne służące weryfikacji przestrzegania procedur należytej staranności i wymogów sprawozdawczych.</w:t>
      </w:r>
    </w:p>
    <w:p w14:paraId="365D265A" w14:textId="41364A5A" w:rsidR="00877ADA" w:rsidRPr="00EB304C" w:rsidRDefault="00402A2D" w:rsidP="00507007">
      <w:pPr>
        <w:pStyle w:val="USTustnpkodeksu"/>
        <w:spacing w:before="120"/>
        <w:ind w:firstLine="0"/>
        <w:rPr>
          <w:rFonts w:ascii="Times New Roman" w:hAnsi="Times New Roman" w:cs="Times New Roman"/>
          <w:szCs w:val="24"/>
        </w:rPr>
      </w:pPr>
      <w:r w:rsidRPr="00EB304C">
        <w:rPr>
          <w:rFonts w:ascii="Times New Roman" w:hAnsi="Times New Roman" w:cs="Times New Roman"/>
          <w:szCs w:val="24"/>
        </w:rPr>
        <w:t>Zgodnie z art. 75za p</w:t>
      </w:r>
      <w:r w:rsidR="00877ADA" w:rsidRPr="00EB304C">
        <w:rPr>
          <w:rFonts w:ascii="Times New Roman" w:hAnsi="Times New Roman" w:cs="Times New Roman"/>
          <w:szCs w:val="24"/>
        </w:rPr>
        <w:t>odmiotem odpowiedzialnym za przeprowadzenie kontroli w tym zakresie jest Szef Krajowej Administracji Skarbowej.</w:t>
      </w:r>
    </w:p>
    <w:p w14:paraId="2AEC6A57" w14:textId="2DE8A5F3" w:rsidR="00877ADA" w:rsidRPr="00EB304C" w:rsidRDefault="00402A2D" w:rsidP="00507007">
      <w:pPr>
        <w:pStyle w:val="USTustnpkodeksu"/>
        <w:spacing w:before="120"/>
        <w:ind w:firstLine="0"/>
        <w:rPr>
          <w:rFonts w:ascii="Times New Roman" w:hAnsi="Times New Roman" w:cs="Times New Roman"/>
          <w:szCs w:val="24"/>
        </w:rPr>
      </w:pPr>
      <w:r w:rsidRPr="00EB304C">
        <w:rPr>
          <w:rFonts w:ascii="Times New Roman" w:hAnsi="Times New Roman" w:cs="Times New Roman"/>
          <w:szCs w:val="24"/>
        </w:rPr>
        <w:lastRenderedPageBreak/>
        <w:t>Zgodnie z art. 75zb c</w:t>
      </w:r>
      <w:r w:rsidR="00877ADA" w:rsidRPr="00EB304C">
        <w:rPr>
          <w:rFonts w:ascii="Times New Roman" w:hAnsi="Times New Roman" w:cs="Times New Roman"/>
          <w:szCs w:val="24"/>
        </w:rPr>
        <w:t>zynności kontrolne podsumowuje protokół kontroli. Kontrolowany ma możliwość przedstawienia w ciągu 14 dni od jego doręczenia zastrzeżeń lub wyjaśnień, wraz z dowodami. Brak zgłoszenia takich zastrzeżeń uznaje się za zaakceptowanie ustaleń kontroli. Kontrolujący w ciągu 14 dni od</w:t>
      </w:r>
      <w:r w:rsidR="00223152">
        <w:rPr>
          <w:rFonts w:ascii="Times New Roman" w:hAnsi="Times New Roman" w:cs="Times New Roman"/>
          <w:szCs w:val="24"/>
        </w:rPr>
        <w:t xml:space="preserve"> </w:t>
      </w:r>
      <w:r w:rsidR="00877ADA" w:rsidRPr="00EB304C">
        <w:rPr>
          <w:rFonts w:ascii="Times New Roman" w:hAnsi="Times New Roman" w:cs="Times New Roman"/>
          <w:szCs w:val="24"/>
        </w:rPr>
        <w:t>otrzymania uwag jest</w:t>
      </w:r>
      <w:r w:rsidR="0009626F" w:rsidRPr="00EB304C">
        <w:rPr>
          <w:rFonts w:ascii="Times New Roman" w:hAnsi="Times New Roman" w:cs="Times New Roman"/>
          <w:szCs w:val="24"/>
        </w:rPr>
        <w:t xml:space="preserve"> zobowiązany do zawiadomienia o </w:t>
      </w:r>
      <w:r w:rsidR="00877ADA" w:rsidRPr="00EB304C">
        <w:rPr>
          <w:rFonts w:ascii="Times New Roman" w:hAnsi="Times New Roman" w:cs="Times New Roman"/>
          <w:szCs w:val="24"/>
        </w:rPr>
        <w:t>sposobie ich załatwienia. Protokół kontroli, zastrzeżenia, w</w:t>
      </w:r>
      <w:r w:rsidR="0009626F" w:rsidRPr="00EB304C">
        <w:rPr>
          <w:rFonts w:ascii="Times New Roman" w:hAnsi="Times New Roman" w:cs="Times New Roman"/>
          <w:szCs w:val="24"/>
        </w:rPr>
        <w:t>yjaśnienia oraz zawiadomienie o </w:t>
      </w:r>
      <w:r w:rsidR="00877ADA" w:rsidRPr="00EB304C">
        <w:rPr>
          <w:rFonts w:ascii="Times New Roman" w:hAnsi="Times New Roman" w:cs="Times New Roman"/>
          <w:szCs w:val="24"/>
        </w:rPr>
        <w:t xml:space="preserve">sposobie ich załatwienia są podstawą do </w:t>
      </w:r>
      <w:r w:rsidR="00DD3E94" w:rsidRPr="00EB304C">
        <w:rPr>
          <w:rFonts w:ascii="Times New Roman" w:hAnsi="Times New Roman" w:cs="Times New Roman"/>
          <w:szCs w:val="24"/>
        </w:rPr>
        <w:t>przygotowania</w:t>
      </w:r>
      <w:r w:rsidR="00223152">
        <w:rPr>
          <w:rFonts w:ascii="Times New Roman" w:hAnsi="Times New Roman" w:cs="Times New Roman"/>
          <w:szCs w:val="24"/>
        </w:rPr>
        <w:t xml:space="preserve"> </w:t>
      </w:r>
      <w:r w:rsidR="00877ADA" w:rsidRPr="00EB304C">
        <w:rPr>
          <w:rFonts w:ascii="Times New Roman" w:hAnsi="Times New Roman" w:cs="Times New Roman"/>
          <w:szCs w:val="24"/>
        </w:rPr>
        <w:t>wyniku kontroli. Ustawa określa elementy, jakie musi zawierać wynik kontroli. Jednym z obowiązkowych punktów są ustalenia końcowe i wnioski zawierające informację o stwierdzeniu ni</w:t>
      </w:r>
      <w:r w:rsidR="0009626F" w:rsidRPr="00EB304C">
        <w:rPr>
          <w:rFonts w:ascii="Times New Roman" w:hAnsi="Times New Roman" w:cs="Times New Roman"/>
          <w:szCs w:val="24"/>
        </w:rPr>
        <w:t>eprawidłowości lub ich braku. W </w:t>
      </w:r>
      <w:r w:rsidR="00877ADA" w:rsidRPr="00EB304C">
        <w:rPr>
          <w:rFonts w:ascii="Times New Roman" w:hAnsi="Times New Roman" w:cs="Times New Roman"/>
          <w:szCs w:val="24"/>
        </w:rPr>
        <w:t>tym kontekście ważne jest, że kontrolowany jest zobowiązany do poinformowania organu kontrolującego o sposobie usunięcia nieprawidłowości (lub przyczynach nieusunięcia) bez zbędnej zwłoki</w:t>
      </w:r>
      <w:r w:rsidR="002E489A" w:rsidRPr="00EB304C">
        <w:rPr>
          <w:rFonts w:ascii="Times New Roman" w:hAnsi="Times New Roman" w:cs="Times New Roman"/>
          <w:szCs w:val="24"/>
        </w:rPr>
        <w:t xml:space="preserve"> (ale nie później niż </w:t>
      </w:r>
      <w:r w:rsidR="000B5C2B">
        <w:rPr>
          <w:rFonts w:ascii="Times New Roman" w:hAnsi="Times New Roman" w:cs="Times New Roman"/>
          <w:szCs w:val="24"/>
        </w:rPr>
        <w:t xml:space="preserve">w terminie </w:t>
      </w:r>
      <w:r w:rsidR="002E489A" w:rsidRPr="00EB304C">
        <w:rPr>
          <w:rFonts w:ascii="Times New Roman" w:hAnsi="Times New Roman" w:cs="Times New Roman"/>
          <w:szCs w:val="24"/>
        </w:rPr>
        <w:t>14 dni od dnia upływu termin</w:t>
      </w:r>
      <w:r w:rsidR="004838DF" w:rsidRPr="00EB304C">
        <w:rPr>
          <w:rFonts w:ascii="Times New Roman" w:hAnsi="Times New Roman" w:cs="Times New Roman"/>
          <w:szCs w:val="24"/>
        </w:rPr>
        <w:t>u</w:t>
      </w:r>
      <w:r w:rsidR="002E489A" w:rsidRPr="00EB304C">
        <w:rPr>
          <w:rFonts w:ascii="Times New Roman" w:hAnsi="Times New Roman" w:cs="Times New Roman"/>
          <w:szCs w:val="24"/>
        </w:rPr>
        <w:t xml:space="preserve"> wyznaczonego na ich usunięcie)</w:t>
      </w:r>
      <w:r w:rsidR="00877ADA" w:rsidRPr="00EB304C">
        <w:rPr>
          <w:rFonts w:ascii="Times New Roman" w:hAnsi="Times New Roman" w:cs="Times New Roman"/>
          <w:szCs w:val="24"/>
        </w:rPr>
        <w:t>.</w:t>
      </w:r>
    </w:p>
    <w:p w14:paraId="1BB47F25" w14:textId="513335DD" w:rsidR="00877ADA" w:rsidRPr="00EB304C" w:rsidRDefault="00877ADA" w:rsidP="00507007">
      <w:pPr>
        <w:pStyle w:val="USTustnpkodeksu"/>
        <w:spacing w:before="120"/>
        <w:ind w:firstLine="0"/>
        <w:rPr>
          <w:rFonts w:ascii="Times New Roman" w:hAnsi="Times New Roman" w:cs="Times New Roman"/>
          <w:szCs w:val="24"/>
        </w:rPr>
      </w:pPr>
      <w:r w:rsidRPr="00EB304C">
        <w:rPr>
          <w:rFonts w:ascii="Times New Roman" w:hAnsi="Times New Roman" w:cs="Times New Roman"/>
          <w:szCs w:val="24"/>
        </w:rPr>
        <w:t>Uproszczeniem jest możliwość złożenia wyjaśnień (na pisemne żąd</w:t>
      </w:r>
      <w:r w:rsidR="0009626F" w:rsidRPr="00EB304C">
        <w:rPr>
          <w:rFonts w:ascii="Times New Roman" w:hAnsi="Times New Roman" w:cs="Times New Roman"/>
          <w:szCs w:val="24"/>
        </w:rPr>
        <w:t>anie szefa KAS)</w:t>
      </w:r>
      <w:r w:rsidR="002A34F7">
        <w:rPr>
          <w:rFonts w:ascii="Times New Roman" w:hAnsi="Times New Roman" w:cs="Times New Roman"/>
          <w:szCs w:val="24"/>
        </w:rPr>
        <w:t>,</w:t>
      </w:r>
      <w:r w:rsidR="0009626F" w:rsidRPr="00EB304C">
        <w:rPr>
          <w:rFonts w:ascii="Times New Roman" w:hAnsi="Times New Roman" w:cs="Times New Roman"/>
          <w:szCs w:val="24"/>
        </w:rPr>
        <w:t xml:space="preserve"> w </w:t>
      </w:r>
      <w:r w:rsidRPr="00EB304C">
        <w:rPr>
          <w:rFonts w:ascii="Times New Roman" w:hAnsi="Times New Roman" w:cs="Times New Roman"/>
          <w:szCs w:val="24"/>
        </w:rPr>
        <w:t xml:space="preserve">przypadku kiedy uchybienia nie wymagają przeprowadzenia kontroli (art. </w:t>
      </w:r>
      <w:r w:rsidR="002E489A" w:rsidRPr="00EB304C">
        <w:rPr>
          <w:rFonts w:ascii="Times New Roman" w:hAnsi="Times New Roman" w:cs="Times New Roman"/>
          <w:szCs w:val="24"/>
        </w:rPr>
        <w:t>75zc</w:t>
      </w:r>
      <w:r w:rsidRPr="00EB304C">
        <w:rPr>
          <w:rFonts w:ascii="Times New Roman" w:hAnsi="Times New Roman" w:cs="Times New Roman"/>
          <w:szCs w:val="24"/>
        </w:rPr>
        <w:t xml:space="preserve">). </w:t>
      </w:r>
    </w:p>
    <w:p w14:paraId="43D6062C" w14:textId="05F75BDD" w:rsidR="00F40F63" w:rsidRPr="00BF1D2D" w:rsidRDefault="002E489A" w:rsidP="00507007">
      <w:pPr>
        <w:pStyle w:val="USTustnpkodeksu"/>
        <w:numPr>
          <w:ilvl w:val="0"/>
          <w:numId w:val="11"/>
        </w:numPr>
        <w:spacing w:before="120"/>
        <w:rPr>
          <w:rFonts w:ascii="Times New Roman" w:hAnsi="Times New Roman" w:cs="Times New Roman"/>
          <w:b/>
          <w:szCs w:val="24"/>
        </w:rPr>
      </w:pPr>
      <w:r w:rsidRPr="00EB304C">
        <w:rPr>
          <w:rFonts w:ascii="Times New Roman" w:hAnsi="Times New Roman" w:cs="Times New Roman"/>
          <w:b/>
          <w:szCs w:val="24"/>
        </w:rPr>
        <w:t>Rozdział 6 – obowiązki organu</w:t>
      </w:r>
    </w:p>
    <w:p w14:paraId="4B602E02" w14:textId="21BB4807" w:rsidR="00CE383F" w:rsidRPr="00EB304C" w:rsidRDefault="002E489A" w:rsidP="00507007">
      <w:pPr>
        <w:pStyle w:val="ZARTzmartartykuempunktem"/>
        <w:spacing w:before="120"/>
        <w:ind w:left="0" w:firstLine="0"/>
        <w:rPr>
          <w:rFonts w:ascii="Times New Roman" w:hAnsi="Times New Roman" w:cs="Times New Roman"/>
        </w:rPr>
      </w:pPr>
      <w:r w:rsidRPr="00EB304C">
        <w:rPr>
          <w:rFonts w:ascii="Times New Roman" w:hAnsi="Times New Roman" w:cs="Times New Roman"/>
        </w:rPr>
        <w:t xml:space="preserve">Zgodnie z art. 75ze </w:t>
      </w:r>
      <w:r w:rsidR="00CE383F" w:rsidRPr="00EB304C">
        <w:rPr>
          <w:rFonts w:ascii="Times New Roman" w:hAnsi="Times New Roman" w:cs="Times New Roman"/>
        </w:rPr>
        <w:t>Szef KAS, w drodze automatycznej wymiany, przekazuje właściw</w:t>
      </w:r>
      <w:r w:rsidR="00F969F4" w:rsidRPr="00EB304C">
        <w:rPr>
          <w:rFonts w:ascii="Times New Roman" w:hAnsi="Times New Roman" w:cs="Times New Roman"/>
        </w:rPr>
        <w:t>emu</w:t>
      </w:r>
      <w:r w:rsidR="00CE383F" w:rsidRPr="00EB304C">
        <w:rPr>
          <w:rFonts w:ascii="Times New Roman" w:hAnsi="Times New Roman" w:cs="Times New Roman"/>
        </w:rPr>
        <w:t xml:space="preserve"> organo</w:t>
      </w:r>
      <w:r w:rsidR="00F969F4" w:rsidRPr="00EB304C">
        <w:rPr>
          <w:rFonts w:ascii="Times New Roman" w:hAnsi="Times New Roman" w:cs="Times New Roman"/>
        </w:rPr>
        <w:t>wi</w:t>
      </w:r>
      <w:r w:rsidR="00CE383F" w:rsidRPr="00EB304C">
        <w:rPr>
          <w:rFonts w:ascii="Times New Roman" w:hAnsi="Times New Roman" w:cs="Times New Roman"/>
        </w:rPr>
        <w:t xml:space="preserve"> państw</w:t>
      </w:r>
      <w:r w:rsidR="00F969F4" w:rsidRPr="00EB304C">
        <w:rPr>
          <w:rFonts w:ascii="Times New Roman" w:hAnsi="Times New Roman" w:cs="Times New Roman"/>
        </w:rPr>
        <w:t>a</w:t>
      </w:r>
      <w:r w:rsidR="00CE383F" w:rsidRPr="00EB304C">
        <w:rPr>
          <w:rFonts w:ascii="Times New Roman" w:hAnsi="Times New Roman" w:cs="Times New Roman"/>
        </w:rPr>
        <w:t xml:space="preserve"> </w:t>
      </w:r>
      <w:r w:rsidR="004838DF" w:rsidRPr="00EB304C">
        <w:rPr>
          <w:rFonts w:ascii="Times New Roman" w:hAnsi="Times New Roman" w:cs="Times New Roman"/>
        </w:rPr>
        <w:t>uczestniczącego</w:t>
      </w:r>
      <w:r w:rsidR="00CE383F" w:rsidRPr="00EB304C">
        <w:rPr>
          <w:rFonts w:ascii="Times New Roman" w:hAnsi="Times New Roman" w:cs="Times New Roman"/>
        </w:rPr>
        <w:t>, którego rezydentem jest sprzedawca podlegający raportowaniu</w:t>
      </w:r>
      <w:r w:rsidR="0000318E" w:rsidRPr="00EB304C">
        <w:rPr>
          <w:rFonts w:ascii="Times New Roman" w:hAnsi="Times New Roman" w:cs="Times New Roman"/>
        </w:rPr>
        <w:t>,</w:t>
      </w:r>
      <w:r w:rsidR="00CE383F" w:rsidRPr="00EB304C">
        <w:rPr>
          <w:rFonts w:ascii="Times New Roman" w:hAnsi="Times New Roman" w:cs="Times New Roman"/>
        </w:rPr>
        <w:t xml:space="preserve"> </w:t>
      </w:r>
      <w:r w:rsidR="0000318E" w:rsidRPr="00EB304C">
        <w:rPr>
          <w:rFonts w:ascii="Times New Roman" w:hAnsi="Times New Roman" w:cs="Times New Roman"/>
        </w:rPr>
        <w:t>informacje odnoszące się do każdego sprzedawcy podlegającego raportowaniu wskazane w art. 75c. Ponadto</w:t>
      </w:r>
      <w:r w:rsidR="00CE383F" w:rsidRPr="00EB304C">
        <w:rPr>
          <w:rFonts w:ascii="Times New Roman" w:hAnsi="Times New Roman" w:cs="Times New Roman"/>
        </w:rPr>
        <w:t xml:space="preserve"> jeżeli sprzedawca podlegający raportowaniu świadczy usługi </w:t>
      </w:r>
      <w:r w:rsidR="004838DF" w:rsidRPr="00EB304C">
        <w:rPr>
          <w:rFonts w:ascii="Times New Roman" w:hAnsi="Times New Roman" w:cs="Times New Roman"/>
        </w:rPr>
        <w:t xml:space="preserve">udostępniania </w:t>
      </w:r>
      <w:r w:rsidR="00CE383F" w:rsidRPr="00EB304C">
        <w:rPr>
          <w:rFonts w:ascii="Times New Roman" w:hAnsi="Times New Roman" w:cs="Times New Roman"/>
        </w:rPr>
        <w:t>nieruchomości</w:t>
      </w:r>
      <w:r w:rsidR="0000318E" w:rsidRPr="00EB304C">
        <w:rPr>
          <w:rFonts w:ascii="Times New Roman" w:hAnsi="Times New Roman" w:cs="Times New Roman"/>
        </w:rPr>
        <w:t>, Szef KAS przekazuje informacje także</w:t>
      </w:r>
      <w:r w:rsidR="00CE383F" w:rsidRPr="00EB304C">
        <w:rPr>
          <w:rFonts w:ascii="Times New Roman" w:hAnsi="Times New Roman" w:cs="Times New Roman"/>
        </w:rPr>
        <w:t xml:space="preserve"> właściwemu organowi państwa </w:t>
      </w:r>
      <w:r w:rsidR="004838DF" w:rsidRPr="00EB304C">
        <w:rPr>
          <w:rFonts w:ascii="Times New Roman" w:hAnsi="Times New Roman" w:cs="Times New Roman"/>
        </w:rPr>
        <w:t>uczestniczącego</w:t>
      </w:r>
      <w:r w:rsidR="006D39F7" w:rsidRPr="00EB304C">
        <w:rPr>
          <w:rFonts w:ascii="Times New Roman" w:hAnsi="Times New Roman" w:cs="Times New Roman"/>
        </w:rPr>
        <w:t xml:space="preserve"> </w:t>
      </w:r>
      <w:r w:rsidR="00CE383F" w:rsidRPr="00EB304C">
        <w:rPr>
          <w:rFonts w:ascii="Times New Roman" w:hAnsi="Times New Roman" w:cs="Times New Roman"/>
        </w:rPr>
        <w:t>, w którym zlokalizowana jest nieruchomość</w:t>
      </w:r>
      <w:r w:rsidR="0000318E" w:rsidRPr="00EB304C">
        <w:rPr>
          <w:rFonts w:ascii="Times New Roman" w:hAnsi="Times New Roman" w:cs="Times New Roman"/>
        </w:rPr>
        <w:t>.</w:t>
      </w:r>
      <w:r w:rsidR="00CE383F" w:rsidRPr="00EB304C">
        <w:rPr>
          <w:rFonts w:ascii="Times New Roman" w:hAnsi="Times New Roman" w:cs="Times New Roman"/>
        </w:rPr>
        <w:t xml:space="preserve"> </w:t>
      </w:r>
    </w:p>
    <w:p w14:paraId="2871B8AA" w14:textId="7D8BF164" w:rsidR="00412E2F" w:rsidRPr="00EB304C" w:rsidRDefault="00CE383F" w:rsidP="00507007">
      <w:pPr>
        <w:pStyle w:val="ZARTzmartartykuempunktem"/>
        <w:spacing w:before="120"/>
        <w:ind w:left="0" w:firstLine="0"/>
        <w:rPr>
          <w:rFonts w:ascii="Times New Roman" w:hAnsi="Times New Roman" w:cs="Times New Roman"/>
        </w:rPr>
      </w:pPr>
      <w:r w:rsidRPr="00EB304C">
        <w:rPr>
          <w:rFonts w:ascii="Times New Roman" w:hAnsi="Times New Roman" w:cs="Times New Roman"/>
        </w:rPr>
        <w:t>Automatyczna wymiana informacji odbywa się</w:t>
      </w:r>
      <w:r w:rsidR="00412E2F" w:rsidRPr="00EB304C">
        <w:rPr>
          <w:rFonts w:ascii="Times New Roman" w:hAnsi="Times New Roman" w:cs="Times New Roman"/>
        </w:rPr>
        <w:t>:</w:t>
      </w:r>
      <w:r w:rsidR="00223152">
        <w:rPr>
          <w:rFonts w:ascii="Times New Roman" w:hAnsi="Times New Roman" w:cs="Times New Roman"/>
        </w:rPr>
        <w:t xml:space="preserve"> </w:t>
      </w:r>
    </w:p>
    <w:p w14:paraId="29BE7B04" w14:textId="34A65047" w:rsidR="00412E2F" w:rsidRPr="00EB304C" w:rsidRDefault="00412E2F" w:rsidP="00445D1A">
      <w:pPr>
        <w:pStyle w:val="ZARTzmartartykuempunktem"/>
        <w:spacing w:before="120"/>
        <w:ind w:left="426" w:hanging="426"/>
        <w:rPr>
          <w:rFonts w:ascii="Times New Roman" w:hAnsi="Times New Roman" w:cs="Times New Roman"/>
        </w:rPr>
      </w:pPr>
      <w:r w:rsidRPr="00EB304C">
        <w:rPr>
          <w:rFonts w:ascii="Times New Roman" w:hAnsi="Times New Roman" w:cs="Times New Roman"/>
        </w:rPr>
        <w:t>a)</w:t>
      </w:r>
      <w:r w:rsidR="00445D1A">
        <w:rPr>
          <w:rFonts w:ascii="Times New Roman" w:hAnsi="Times New Roman" w:cs="Times New Roman"/>
        </w:rPr>
        <w:tab/>
      </w:r>
      <w:r w:rsidRPr="00EB304C">
        <w:rPr>
          <w:rFonts w:ascii="Times New Roman" w:hAnsi="Times New Roman" w:cs="Times New Roman"/>
        </w:rPr>
        <w:t xml:space="preserve">w przypadku państw członkowskich </w:t>
      </w:r>
      <w:r w:rsidR="00445D1A">
        <w:rPr>
          <w:rFonts w:ascii="Times New Roman" w:hAnsi="Times New Roman" w:cs="Times New Roman"/>
        </w:rPr>
        <w:t>–</w:t>
      </w:r>
      <w:r w:rsidRPr="00EB304C">
        <w:rPr>
          <w:rFonts w:ascii="Times New Roman" w:hAnsi="Times New Roman" w:cs="Times New Roman"/>
        </w:rPr>
        <w:t xml:space="preserve"> za pomocą środków komunikacji elektronicznej, według formatu określonego w rozporządzeniu </w:t>
      </w:r>
      <w:r w:rsidR="000B5C2B">
        <w:rPr>
          <w:rFonts w:ascii="Times New Roman" w:hAnsi="Times New Roman" w:cs="Times New Roman"/>
        </w:rPr>
        <w:t xml:space="preserve">wykonawczym </w:t>
      </w:r>
      <w:r w:rsidRPr="00EB304C">
        <w:rPr>
          <w:rFonts w:ascii="Times New Roman" w:hAnsi="Times New Roman" w:cs="Times New Roman"/>
        </w:rPr>
        <w:t>Komisji (UE) nr 2015/2378</w:t>
      </w:r>
      <w:r w:rsidR="00687F6B" w:rsidRPr="00EB304C">
        <w:rPr>
          <w:rFonts w:ascii="Times New Roman" w:hAnsi="Times New Roman" w:cs="Times New Roman"/>
        </w:rPr>
        <w:t xml:space="preserve"> z dnia 15 grudnia 2015 r. ustanawiającym</w:t>
      </w:r>
      <w:r w:rsidR="00223152">
        <w:rPr>
          <w:rFonts w:ascii="Times New Roman" w:hAnsi="Times New Roman" w:cs="Times New Roman"/>
        </w:rPr>
        <w:t xml:space="preserve"> </w:t>
      </w:r>
      <w:r w:rsidR="00687F6B" w:rsidRPr="00EB304C">
        <w:rPr>
          <w:rFonts w:ascii="Times New Roman" w:hAnsi="Times New Roman" w:cs="Times New Roman"/>
        </w:rPr>
        <w:t>szczegółowe</w:t>
      </w:r>
      <w:r w:rsidR="00223152">
        <w:rPr>
          <w:rFonts w:ascii="Times New Roman" w:hAnsi="Times New Roman" w:cs="Times New Roman"/>
        </w:rPr>
        <w:t xml:space="preserve"> </w:t>
      </w:r>
      <w:r w:rsidR="00687F6B" w:rsidRPr="00EB304C">
        <w:rPr>
          <w:rFonts w:ascii="Times New Roman" w:hAnsi="Times New Roman" w:cs="Times New Roman"/>
        </w:rPr>
        <w:t>zasady</w:t>
      </w:r>
      <w:r w:rsidR="00223152">
        <w:rPr>
          <w:rFonts w:ascii="Times New Roman" w:hAnsi="Times New Roman" w:cs="Times New Roman"/>
        </w:rPr>
        <w:t xml:space="preserve"> </w:t>
      </w:r>
      <w:r w:rsidR="00687F6B" w:rsidRPr="00EB304C">
        <w:rPr>
          <w:rFonts w:ascii="Times New Roman" w:hAnsi="Times New Roman" w:cs="Times New Roman"/>
        </w:rPr>
        <w:t>wykonywania</w:t>
      </w:r>
      <w:r w:rsidR="00223152">
        <w:rPr>
          <w:rFonts w:ascii="Times New Roman" w:hAnsi="Times New Roman" w:cs="Times New Roman"/>
        </w:rPr>
        <w:t xml:space="preserve"> </w:t>
      </w:r>
      <w:r w:rsidR="00687F6B" w:rsidRPr="00EB304C">
        <w:rPr>
          <w:rFonts w:ascii="Times New Roman" w:hAnsi="Times New Roman" w:cs="Times New Roman"/>
        </w:rPr>
        <w:t>niektórych</w:t>
      </w:r>
      <w:r w:rsidR="00223152">
        <w:rPr>
          <w:rFonts w:ascii="Times New Roman" w:hAnsi="Times New Roman" w:cs="Times New Roman"/>
        </w:rPr>
        <w:t xml:space="preserve"> </w:t>
      </w:r>
      <w:r w:rsidR="00687F6B" w:rsidRPr="00EB304C">
        <w:rPr>
          <w:rFonts w:ascii="Times New Roman" w:hAnsi="Times New Roman" w:cs="Times New Roman"/>
        </w:rPr>
        <w:t>przepisów</w:t>
      </w:r>
      <w:r w:rsidR="00223152">
        <w:rPr>
          <w:rFonts w:ascii="Times New Roman" w:hAnsi="Times New Roman" w:cs="Times New Roman"/>
        </w:rPr>
        <w:t xml:space="preserve"> </w:t>
      </w:r>
      <w:r w:rsidR="00687F6B" w:rsidRPr="00EB304C">
        <w:rPr>
          <w:rFonts w:ascii="Times New Roman" w:hAnsi="Times New Roman" w:cs="Times New Roman"/>
        </w:rPr>
        <w:t>dyrektywy</w:t>
      </w:r>
      <w:r w:rsidR="00223152">
        <w:rPr>
          <w:rFonts w:ascii="Times New Roman" w:hAnsi="Times New Roman" w:cs="Times New Roman"/>
        </w:rPr>
        <w:t xml:space="preserve"> </w:t>
      </w:r>
      <w:r w:rsidR="00687F6B" w:rsidRPr="00EB304C">
        <w:rPr>
          <w:rFonts w:ascii="Times New Roman" w:hAnsi="Times New Roman" w:cs="Times New Roman"/>
        </w:rPr>
        <w:t>Rady</w:t>
      </w:r>
      <w:r w:rsidR="00223152">
        <w:rPr>
          <w:rFonts w:ascii="Times New Roman" w:hAnsi="Times New Roman" w:cs="Times New Roman"/>
        </w:rPr>
        <w:t xml:space="preserve"> </w:t>
      </w:r>
      <w:r w:rsidR="00687F6B" w:rsidRPr="00EB304C">
        <w:rPr>
          <w:rFonts w:ascii="Times New Roman" w:hAnsi="Times New Roman" w:cs="Times New Roman"/>
        </w:rPr>
        <w:t>2011/16/UE</w:t>
      </w:r>
      <w:r w:rsidR="00223152">
        <w:rPr>
          <w:rFonts w:ascii="Times New Roman" w:hAnsi="Times New Roman" w:cs="Times New Roman"/>
        </w:rPr>
        <w:t xml:space="preserve"> </w:t>
      </w:r>
      <w:r w:rsidR="00687F6B" w:rsidRPr="00EB304C">
        <w:rPr>
          <w:rFonts w:ascii="Times New Roman" w:hAnsi="Times New Roman" w:cs="Times New Roman"/>
        </w:rPr>
        <w:t>w sprawie współpracy</w:t>
      </w:r>
      <w:r w:rsidR="00223152">
        <w:rPr>
          <w:rFonts w:ascii="Times New Roman" w:hAnsi="Times New Roman" w:cs="Times New Roman"/>
        </w:rPr>
        <w:t xml:space="preserve"> </w:t>
      </w:r>
      <w:r w:rsidR="00687F6B" w:rsidRPr="00EB304C">
        <w:rPr>
          <w:rFonts w:ascii="Times New Roman" w:hAnsi="Times New Roman" w:cs="Times New Roman"/>
        </w:rPr>
        <w:t>administracyjnej</w:t>
      </w:r>
      <w:r w:rsidR="00223152">
        <w:rPr>
          <w:rFonts w:ascii="Times New Roman" w:hAnsi="Times New Roman" w:cs="Times New Roman"/>
        </w:rPr>
        <w:t xml:space="preserve"> </w:t>
      </w:r>
      <w:r w:rsidR="00687F6B" w:rsidRPr="00EB304C">
        <w:rPr>
          <w:rFonts w:ascii="Times New Roman" w:hAnsi="Times New Roman" w:cs="Times New Roman"/>
        </w:rPr>
        <w:t>w</w:t>
      </w:r>
      <w:r w:rsidR="00223152">
        <w:rPr>
          <w:rFonts w:ascii="Times New Roman" w:hAnsi="Times New Roman" w:cs="Times New Roman"/>
        </w:rPr>
        <w:t xml:space="preserve"> </w:t>
      </w:r>
      <w:r w:rsidR="00687F6B" w:rsidRPr="00EB304C">
        <w:rPr>
          <w:rFonts w:ascii="Times New Roman" w:hAnsi="Times New Roman" w:cs="Times New Roman"/>
        </w:rPr>
        <w:t>dziedzinie</w:t>
      </w:r>
      <w:r w:rsidR="00223152">
        <w:rPr>
          <w:rFonts w:ascii="Times New Roman" w:hAnsi="Times New Roman" w:cs="Times New Roman"/>
        </w:rPr>
        <w:t xml:space="preserve"> </w:t>
      </w:r>
      <w:r w:rsidR="00687F6B" w:rsidRPr="00EB304C">
        <w:rPr>
          <w:rFonts w:ascii="Times New Roman" w:hAnsi="Times New Roman" w:cs="Times New Roman"/>
        </w:rPr>
        <w:t>opodatkowania</w:t>
      </w:r>
      <w:r w:rsidR="00223152">
        <w:rPr>
          <w:rFonts w:ascii="Times New Roman" w:hAnsi="Times New Roman" w:cs="Times New Roman"/>
        </w:rPr>
        <w:t xml:space="preserve"> </w:t>
      </w:r>
      <w:r w:rsidR="00687F6B" w:rsidRPr="00EB304C">
        <w:rPr>
          <w:rFonts w:ascii="Times New Roman" w:hAnsi="Times New Roman" w:cs="Times New Roman"/>
        </w:rPr>
        <w:t>i</w:t>
      </w:r>
      <w:r w:rsidR="00223152">
        <w:rPr>
          <w:rFonts w:ascii="Times New Roman" w:hAnsi="Times New Roman" w:cs="Times New Roman"/>
        </w:rPr>
        <w:t xml:space="preserve"> </w:t>
      </w:r>
      <w:r w:rsidR="00687F6B" w:rsidRPr="00EB304C">
        <w:rPr>
          <w:rFonts w:ascii="Times New Roman" w:hAnsi="Times New Roman" w:cs="Times New Roman"/>
        </w:rPr>
        <w:t>uchylając</w:t>
      </w:r>
      <w:r w:rsidR="000B5C2B">
        <w:rPr>
          <w:rFonts w:ascii="Times New Roman" w:hAnsi="Times New Roman" w:cs="Times New Roman"/>
        </w:rPr>
        <w:t>ym</w:t>
      </w:r>
      <w:r w:rsidR="00687F6B" w:rsidRPr="00EB304C">
        <w:rPr>
          <w:rFonts w:ascii="Times New Roman" w:hAnsi="Times New Roman" w:cs="Times New Roman"/>
        </w:rPr>
        <w:t xml:space="preserve"> rozporządzenie</w:t>
      </w:r>
      <w:r w:rsidR="00223152">
        <w:rPr>
          <w:rFonts w:ascii="Times New Roman" w:hAnsi="Times New Roman" w:cs="Times New Roman"/>
        </w:rPr>
        <w:t xml:space="preserve"> </w:t>
      </w:r>
      <w:r w:rsidR="00687F6B" w:rsidRPr="00EB304C">
        <w:rPr>
          <w:rFonts w:ascii="Times New Roman" w:hAnsi="Times New Roman" w:cs="Times New Roman"/>
        </w:rPr>
        <w:t>wykonawcze</w:t>
      </w:r>
      <w:r w:rsidR="00223152">
        <w:rPr>
          <w:rFonts w:ascii="Times New Roman" w:hAnsi="Times New Roman" w:cs="Times New Roman"/>
        </w:rPr>
        <w:t xml:space="preserve"> </w:t>
      </w:r>
      <w:r w:rsidR="00687F6B" w:rsidRPr="00EB304C">
        <w:rPr>
          <w:rFonts w:ascii="Times New Roman" w:hAnsi="Times New Roman" w:cs="Times New Roman"/>
        </w:rPr>
        <w:t>(UE)</w:t>
      </w:r>
      <w:r w:rsidR="00223152">
        <w:rPr>
          <w:rFonts w:ascii="Times New Roman" w:hAnsi="Times New Roman" w:cs="Times New Roman"/>
        </w:rPr>
        <w:t xml:space="preserve"> </w:t>
      </w:r>
      <w:r w:rsidR="00687F6B" w:rsidRPr="00EB304C">
        <w:rPr>
          <w:rFonts w:ascii="Times New Roman" w:hAnsi="Times New Roman" w:cs="Times New Roman"/>
        </w:rPr>
        <w:t>nr</w:t>
      </w:r>
      <w:r w:rsidR="00223152">
        <w:rPr>
          <w:rFonts w:ascii="Times New Roman" w:hAnsi="Times New Roman" w:cs="Times New Roman"/>
        </w:rPr>
        <w:t xml:space="preserve"> </w:t>
      </w:r>
      <w:r w:rsidR="00687F6B" w:rsidRPr="00EB304C">
        <w:rPr>
          <w:rFonts w:ascii="Times New Roman" w:hAnsi="Times New Roman" w:cs="Times New Roman"/>
        </w:rPr>
        <w:t>1156/2012 (Dz. U</w:t>
      </w:r>
      <w:r w:rsidR="00445D1A">
        <w:rPr>
          <w:rFonts w:ascii="Times New Roman" w:hAnsi="Times New Roman" w:cs="Times New Roman"/>
        </w:rPr>
        <w:t>rz</w:t>
      </w:r>
      <w:r w:rsidR="00687F6B" w:rsidRPr="00EB304C">
        <w:rPr>
          <w:rFonts w:ascii="Times New Roman" w:hAnsi="Times New Roman" w:cs="Times New Roman"/>
        </w:rPr>
        <w:t xml:space="preserve">. </w:t>
      </w:r>
      <w:r w:rsidR="00445D1A">
        <w:rPr>
          <w:rFonts w:ascii="Times New Roman" w:hAnsi="Times New Roman" w:cs="Times New Roman"/>
        </w:rPr>
        <w:t xml:space="preserve">UE </w:t>
      </w:r>
      <w:r w:rsidR="00687F6B" w:rsidRPr="00EB304C">
        <w:rPr>
          <w:rFonts w:ascii="Times New Roman" w:hAnsi="Times New Roman" w:cs="Times New Roman"/>
        </w:rPr>
        <w:t>L 332 z 18.12.2015, str. 19, z późn. zm.)</w:t>
      </w:r>
      <w:r w:rsidRPr="00EB304C">
        <w:rPr>
          <w:rFonts w:ascii="Times New Roman" w:hAnsi="Times New Roman" w:cs="Times New Roman"/>
        </w:rPr>
        <w:t>,</w:t>
      </w:r>
    </w:p>
    <w:p w14:paraId="25B543AF" w14:textId="6B628A55" w:rsidR="00BF1D2D" w:rsidRDefault="00412E2F" w:rsidP="00445D1A">
      <w:pPr>
        <w:pStyle w:val="ZARTzmartartykuempunktem"/>
        <w:spacing w:before="120"/>
        <w:ind w:left="426" w:hanging="426"/>
        <w:rPr>
          <w:rFonts w:ascii="Times New Roman" w:hAnsi="Times New Roman" w:cs="Times New Roman"/>
        </w:rPr>
      </w:pPr>
      <w:r w:rsidRPr="00EB304C">
        <w:rPr>
          <w:rFonts w:ascii="Times New Roman" w:hAnsi="Times New Roman" w:cs="Times New Roman"/>
        </w:rPr>
        <w:t>b)</w:t>
      </w:r>
      <w:r w:rsidR="00445D1A">
        <w:rPr>
          <w:rFonts w:ascii="Times New Roman" w:hAnsi="Times New Roman" w:cs="Times New Roman"/>
        </w:rPr>
        <w:tab/>
      </w:r>
      <w:r w:rsidRPr="00EB304C">
        <w:rPr>
          <w:rFonts w:ascii="Times New Roman" w:hAnsi="Times New Roman" w:cs="Times New Roman"/>
        </w:rPr>
        <w:t xml:space="preserve">w przypadku państw uczestniczących innych niż państwa członkowskie </w:t>
      </w:r>
      <w:r w:rsidR="00445D1A">
        <w:rPr>
          <w:rFonts w:ascii="Times New Roman" w:hAnsi="Times New Roman" w:cs="Times New Roman"/>
        </w:rPr>
        <w:t>–</w:t>
      </w:r>
      <w:r w:rsidRPr="00EB304C">
        <w:rPr>
          <w:rFonts w:ascii="Times New Roman" w:hAnsi="Times New Roman" w:cs="Times New Roman"/>
        </w:rPr>
        <w:t xml:space="preserve"> za pomocą środków komunikacji elektronicznej, według formatu określonego przez ministra właściwego do spraw finansów publicznych na podstawie wymagań oraz standardów </w:t>
      </w:r>
      <w:r w:rsidRPr="00EB304C">
        <w:rPr>
          <w:rFonts w:ascii="Times New Roman" w:hAnsi="Times New Roman" w:cs="Times New Roman"/>
        </w:rPr>
        <w:lastRenderedPageBreak/>
        <w:t>określonych przez Organizację Współpracy Gospodarczej i Rozwoju (OECD) w zakresie obowiązkowej automatycznej wymiany informacji o sprzedawcach.</w:t>
      </w:r>
    </w:p>
    <w:p w14:paraId="05557885" w14:textId="3E61D737" w:rsidR="00CE383F" w:rsidRPr="00EB304C" w:rsidRDefault="00412E2F" w:rsidP="00507007">
      <w:pPr>
        <w:pStyle w:val="ZARTzmartartykuempunktem"/>
        <w:spacing w:before="120"/>
        <w:ind w:left="0" w:firstLine="0"/>
      </w:pPr>
      <w:r w:rsidRPr="00EB304C">
        <w:rPr>
          <w:rFonts w:ascii="Times New Roman" w:hAnsi="Times New Roman" w:cs="Times New Roman"/>
        </w:rPr>
        <w:t>Jednocześnie Szef Krajowej Administracji Skarbowej, w celu usprawnienia współpracy, może zawierać z właściwym organem innego państwa porozumienia dwustronne lub wielostronne w zakresie szczegółowego sposobu i trybu wymiany informacji o sprzedawcach.</w:t>
      </w:r>
    </w:p>
    <w:p w14:paraId="7A3695C2" w14:textId="57E5FD08" w:rsidR="00520CA3" w:rsidRPr="006815B9" w:rsidRDefault="00F40F63" w:rsidP="00507007">
      <w:pPr>
        <w:pStyle w:val="USTustnpkodeksu"/>
        <w:numPr>
          <w:ilvl w:val="0"/>
          <w:numId w:val="11"/>
        </w:numPr>
        <w:spacing w:before="120"/>
        <w:rPr>
          <w:rFonts w:ascii="Times New Roman" w:hAnsi="Times New Roman" w:cs="Times New Roman"/>
          <w:szCs w:val="24"/>
        </w:rPr>
      </w:pPr>
      <w:r w:rsidRPr="00EB304C">
        <w:rPr>
          <w:rFonts w:ascii="Times New Roman" w:hAnsi="Times New Roman" w:cs="Times New Roman"/>
          <w:b/>
          <w:szCs w:val="24"/>
        </w:rPr>
        <w:t>Zmiany w a</w:t>
      </w:r>
      <w:r w:rsidR="00520CA3" w:rsidRPr="00EB304C">
        <w:rPr>
          <w:rFonts w:ascii="Times New Roman" w:hAnsi="Times New Roman" w:cs="Times New Roman"/>
          <w:b/>
          <w:szCs w:val="24"/>
        </w:rPr>
        <w:t>rt. 77</w:t>
      </w:r>
    </w:p>
    <w:p w14:paraId="7C426B60" w14:textId="312E8696" w:rsidR="00CE383F" w:rsidRPr="00EB304C" w:rsidRDefault="00CE383F" w:rsidP="00507007">
      <w:pP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 xml:space="preserve">Zmiany wprowadzane w art. 77 </w:t>
      </w:r>
      <w:r w:rsidR="00E67D8E" w:rsidRPr="00EB304C">
        <w:rPr>
          <w:rFonts w:ascii="Times New Roman" w:hAnsi="Times New Roman" w:cs="Times New Roman"/>
          <w:sz w:val="24"/>
          <w:szCs w:val="24"/>
        </w:rPr>
        <w:t xml:space="preserve">ust. 3 </w:t>
      </w:r>
      <w:r w:rsidRPr="00EB304C">
        <w:rPr>
          <w:rFonts w:ascii="Times New Roman" w:hAnsi="Times New Roman" w:cs="Times New Roman"/>
          <w:sz w:val="24"/>
          <w:szCs w:val="24"/>
        </w:rPr>
        <w:t xml:space="preserve">uWIP </w:t>
      </w:r>
      <w:r w:rsidR="00EC060D" w:rsidRPr="00EB304C">
        <w:rPr>
          <w:rFonts w:ascii="Times New Roman" w:hAnsi="Times New Roman" w:cs="Times New Roman"/>
          <w:sz w:val="24"/>
          <w:szCs w:val="24"/>
        </w:rPr>
        <w:t>wdrażają</w:t>
      </w:r>
      <w:r w:rsidRPr="00EB304C">
        <w:rPr>
          <w:rFonts w:ascii="Times New Roman" w:hAnsi="Times New Roman" w:cs="Times New Roman"/>
          <w:sz w:val="24"/>
          <w:szCs w:val="24"/>
        </w:rPr>
        <w:t xml:space="preserve"> art. 8a </w:t>
      </w:r>
      <w:r w:rsidR="0079317A">
        <w:rPr>
          <w:rFonts w:ascii="Times New Roman" w:hAnsi="Times New Roman" w:cs="Times New Roman"/>
          <w:sz w:val="24"/>
          <w:szCs w:val="24"/>
        </w:rPr>
        <w:t>d</w:t>
      </w:r>
      <w:r w:rsidRPr="00EB304C">
        <w:rPr>
          <w:rFonts w:ascii="Times New Roman" w:hAnsi="Times New Roman" w:cs="Times New Roman"/>
          <w:sz w:val="24"/>
          <w:szCs w:val="24"/>
        </w:rPr>
        <w:t>yrektywy 2011/16/UE</w:t>
      </w:r>
      <w:r w:rsidR="00EC060D" w:rsidRPr="00EB304C">
        <w:rPr>
          <w:rFonts w:ascii="Times New Roman" w:hAnsi="Times New Roman" w:cs="Times New Roman"/>
          <w:sz w:val="24"/>
          <w:szCs w:val="24"/>
        </w:rPr>
        <w:t>, rozszerzając</w:t>
      </w:r>
      <w:r w:rsidR="0078476E" w:rsidRPr="00EB304C">
        <w:rPr>
          <w:rFonts w:ascii="Times New Roman" w:hAnsi="Times New Roman" w:cs="Times New Roman"/>
          <w:sz w:val="24"/>
          <w:szCs w:val="24"/>
        </w:rPr>
        <w:t xml:space="preserve"> </w:t>
      </w:r>
      <w:r w:rsidRPr="00EB304C">
        <w:rPr>
          <w:rFonts w:ascii="Times New Roman" w:hAnsi="Times New Roman" w:cs="Times New Roman"/>
          <w:sz w:val="24"/>
          <w:szCs w:val="24"/>
        </w:rPr>
        <w:t>zakres informacji przekazywanych przez Szefa KAS</w:t>
      </w:r>
      <w:r w:rsidR="00EC060D" w:rsidRPr="00EB304C">
        <w:rPr>
          <w:rFonts w:ascii="Times New Roman" w:hAnsi="Times New Roman" w:cs="Times New Roman"/>
          <w:sz w:val="24"/>
          <w:szCs w:val="24"/>
        </w:rPr>
        <w:t xml:space="preserve">, określonych jako </w:t>
      </w:r>
      <w:r w:rsidR="00445D1A">
        <w:rPr>
          <w:rFonts w:ascii="Times New Roman" w:hAnsi="Times New Roman" w:cs="Times New Roman"/>
          <w:sz w:val="24"/>
          <w:szCs w:val="24"/>
        </w:rPr>
        <w:t>„</w:t>
      </w:r>
      <w:r w:rsidRPr="00EB304C">
        <w:rPr>
          <w:rFonts w:ascii="Times New Roman" w:hAnsi="Times New Roman" w:cs="Times New Roman"/>
          <w:sz w:val="24"/>
          <w:szCs w:val="24"/>
        </w:rPr>
        <w:t>wszelkie inne informacje, które mog</w:t>
      </w:r>
      <w:r w:rsidR="00445D1A">
        <w:rPr>
          <w:rFonts w:ascii="Times New Roman" w:hAnsi="Times New Roman" w:cs="Times New Roman"/>
          <w:sz w:val="24"/>
          <w:szCs w:val="24"/>
        </w:rPr>
        <w:t>ą</w:t>
      </w:r>
      <w:r w:rsidRPr="00EB304C">
        <w:rPr>
          <w:rFonts w:ascii="Times New Roman" w:hAnsi="Times New Roman" w:cs="Times New Roman"/>
          <w:sz w:val="24"/>
          <w:szCs w:val="24"/>
        </w:rPr>
        <w:t xml:space="preserve"> pomóc właściwemu organowi podatkowemu w ocenie potencjalnego ryzyka”. </w:t>
      </w:r>
    </w:p>
    <w:p w14:paraId="40C99A5F" w14:textId="1D5AC2F7" w:rsidR="000666C8" w:rsidRPr="00EB304C" w:rsidRDefault="00EC060D" w:rsidP="00507007">
      <w:pP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Natomiast p</w:t>
      </w:r>
      <w:r w:rsidR="00CE383F" w:rsidRPr="00EB304C">
        <w:rPr>
          <w:rFonts w:ascii="Times New Roman" w:hAnsi="Times New Roman" w:cs="Times New Roman"/>
          <w:sz w:val="24"/>
          <w:szCs w:val="24"/>
        </w:rPr>
        <w:t xml:space="preserve">rzepis art. 77 ust. 5 uWIP reguluje </w:t>
      </w:r>
      <w:r w:rsidR="00E67D8E" w:rsidRPr="00EB304C">
        <w:rPr>
          <w:rFonts w:ascii="Times New Roman" w:hAnsi="Times New Roman" w:cs="Times New Roman"/>
          <w:sz w:val="24"/>
          <w:szCs w:val="24"/>
        </w:rPr>
        <w:t xml:space="preserve">termin </w:t>
      </w:r>
      <w:r w:rsidR="00CE383F" w:rsidRPr="00EB304C">
        <w:rPr>
          <w:rFonts w:ascii="Times New Roman" w:hAnsi="Times New Roman" w:cs="Times New Roman"/>
          <w:sz w:val="24"/>
          <w:szCs w:val="24"/>
        </w:rPr>
        <w:t>przekazywania informacji dotyczących interpretacji podatkowych oraz decyzji w sprawach cen transferowych. Projektowana zmiana polega na</w:t>
      </w:r>
      <w:r w:rsidR="00E67D8E" w:rsidRPr="00EB304C">
        <w:rPr>
          <w:rFonts w:ascii="Times New Roman" w:hAnsi="Times New Roman" w:cs="Times New Roman"/>
          <w:sz w:val="24"/>
          <w:szCs w:val="24"/>
        </w:rPr>
        <w:t xml:space="preserve"> wskazaniu, że informacje przekazywane są </w:t>
      </w:r>
      <w:r w:rsidR="0079317A">
        <w:rPr>
          <w:rFonts w:ascii="Times New Roman" w:hAnsi="Times New Roman" w:cs="Times New Roman"/>
          <w:sz w:val="24"/>
          <w:szCs w:val="24"/>
        </w:rPr>
        <w:t>nie</w:t>
      </w:r>
      <w:r w:rsidR="00E67D8E" w:rsidRPr="00EB304C">
        <w:rPr>
          <w:rFonts w:ascii="Times New Roman" w:hAnsi="Times New Roman" w:cs="Times New Roman"/>
          <w:sz w:val="24"/>
          <w:szCs w:val="24"/>
        </w:rPr>
        <w:t>zwłocznie (nie później niż w dotychczas obowiązujących terminach)</w:t>
      </w:r>
      <w:r w:rsidRPr="00EB304C">
        <w:rPr>
          <w:rFonts w:ascii="Times New Roman" w:hAnsi="Times New Roman" w:cs="Times New Roman"/>
          <w:sz w:val="24"/>
          <w:szCs w:val="24"/>
        </w:rPr>
        <w:t>.</w:t>
      </w:r>
    </w:p>
    <w:p w14:paraId="113410AC" w14:textId="165E0AE7" w:rsidR="000666C8" w:rsidRPr="00EB304C" w:rsidRDefault="000666C8" w:rsidP="00507007">
      <w:pPr>
        <w:spacing w:before="120" w:after="0" w:line="360" w:lineRule="auto"/>
        <w:jc w:val="both"/>
        <w:rPr>
          <w:rFonts w:ascii="Times New Roman" w:hAnsi="Times New Roman" w:cs="Times New Roman"/>
          <w:sz w:val="24"/>
          <w:szCs w:val="24"/>
        </w:rPr>
      </w:pPr>
      <w:r w:rsidRPr="00EB304C">
        <w:rPr>
          <w:rFonts w:ascii="Times New Roman" w:hAnsi="Times New Roman" w:cs="Times New Roman"/>
          <w:bCs/>
          <w:sz w:val="24"/>
          <w:szCs w:val="24"/>
        </w:rPr>
        <w:t>W zakresie części</w:t>
      </w:r>
      <w:r w:rsidR="002720F0" w:rsidRPr="00EB304C">
        <w:rPr>
          <w:rFonts w:ascii="Times New Roman" w:hAnsi="Times New Roman" w:cs="Times New Roman"/>
          <w:bCs/>
          <w:sz w:val="24"/>
          <w:szCs w:val="24"/>
        </w:rPr>
        <w:t xml:space="preserve"> wdrażanego przepisu dyrektywy:</w:t>
      </w:r>
      <w:r w:rsidRPr="00EB304C">
        <w:rPr>
          <w:rFonts w:ascii="Times New Roman" w:hAnsi="Times New Roman" w:cs="Times New Roman"/>
          <w:bCs/>
          <w:sz w:val="24"/>
          <w:szCs w:val="24"/>
        </w:rPr>
        <w:t xml:space="preserve"> „</w:t>
      </w:r>
      <w:r w:rsidRPr="00EB304C">
        <w:rPr>
          <w:rFonts w:ascii="Times New Roman" w:hAnsi="Times New Roman" w:cs="Times New Roman"/>
          <w:sz w:val="24"/>
          <w:szCs w:val="24"/>
        </w:rPr>
        <w:t>nie prowadząc do ujawnienia tajemnicy handlowej, przemysłowej lub zawodowej lub procesu produkcyjnego, lub do ujawnienia informacji, które byłoby sprzeczne z porządkiem publicznym;”</w:t>
      </w:r>
      <w:r w:rsidR="002720F0" w:rsidRPr="00EB304C">
        <w:rPr>
          <w:rFonts w:ascii="Times New Roman" w:hAnsi="Times New Roman" w:cs="Times New Roman"/>
          <w:sz w:val="24"/>
          <w:szCs w:val="24"/>
        </w:rPr>
        <w:t xml:space="preserve"> nie dokonano zmian w uWIP z uwagi na to, że</w:t>
      </w:r>
      <w:r w:rsidRPr="00EB304C">
        <w:rPr>
          <w:rFonts w:ascii="Times New Roman" w:hAnsi="Times New Roman" w:cs="Times New Roman"/>
          <w:sz w:val="24"/>
          <w:szCs w:val="24"/>
        </w:rPr>
        <w:t xml:space="preserve"> </w:t>
      </w:r>
      <w:r w:rsidR="002720F0" w:rsidRPr="00EB304C">
        <w:rPr>
          <w:rFonts w:ascii="Times New Roman" w:hAnsi="Times New Roman" w:cs="Times New Roman"/>
          <w:bCs/>
          <w:sz w:val="24"/>
          <w:szCs w:val="24"/>
        </w:rPr>
        <w:t>taki przepis obowiązuje już w a</w:t>
      </w:r>
      <w:r w:rsidRPr="00EB304C">
        <w:rPr>
          <w:rFonts w:ascii="Times New Roman" w:hAnsi="Times New Roman" w:cs="Times New Roman"/>
          <w:bCs/>
          <w:sz w:val="24"/>
          <w:szCs w:val="24"/>
        </w:rPr>
        <w:t>rt. 77 ust. 4 uWIP</w:t>
      </w:r>
      <w:r w:rsidR="002720F0" w:rsidRPr="00EB304C">
        <w:rPr>
          <w:rFonts w:ascii="Times New Roman" w:hAnsi="Times New Roman" w:cs="Times New Roman"/>
          <w:bCs/>
          <w:sz w:val="24"/>
          <w:szCs w:val="24"/>
        </w:rPr>
        <w:t>.</w:t>
      </w:r>
    </w:p>
    <w:p w14:paraId="4F7F8953" w14:textId="30D4F6B1" w:rsidR="00D35391" w:rsidRPr="006815B9" w:rsidRDefault="00520CA3" w:rsidP="00507007">
      <w:pPr>
        <w:pStyle w:val="Akapitzlist"/>
        <w:numPr>
          <w:ilvl w:val="0"/>
          <w:numId w:val="11"/>
        </w:numPr>
        <w:spacing w:before="120" w:after="0" w:line="360" w:lineRule="auto"/>
        <w:jc w:val="both"/>
        <w:rPr>
          <w:rFonts w:ascii="Times New Roman" w:hAnsi="Times New Roman" w:cs="Times New Roman"/>
          <w:szCs w:val="24"/>
        </w:rPr>
      </w:pPr>
      <w:r w:rsidRPr="00EB304C">
        <w:rPr>
          <w:rFonts w:ascii="Times New Roman" w:hAnsi="Times New Roman" w:cs="Times New Roman"/>
          <w:b/>
          <w:sz w:val="24"/>
          <w:szCs w:val="24"/>
        </w:rPr>
        <w:t>Art. 90b</w:t>
      </w:r>
      <w:r w:rsidR="00F40F63" w:rsidRPr="00EB304C">
        <w:rPr>
          <w:rFonts w:ascii="Times New Roman" w:hAnsi="Times New Roman" w:cs="Times New Roman"/>
          <w:b/>
          <w:sz w:val="24"/>
          <w:szCs w:val="24"/>
        </w:rPr>
        <w:t xml:space="preserve"> i </w:t>
      </w:r>
      <w:r w:rsidRPr="00EB304C">
        <w:rPr>
          <w:rFonts w:ascii="Times New Roman" w:hAnsi="Times New Roman" w:cs="Times New Roman"/>
          <w:b/>
          <w:sz w:val="24"/>
          <w:szCs w:val="24"/>
        </w:rPr>
        <w:t>art. 91</w:t>
      </w:r>
    </w:p>
    <w:p w14:paraId="6C4B493D" w14:textId="7B2F22E0" w:rsidR="00520CA3" w:rsidRPr="00EB304C" w:rsidRDefault="0078476E" w:rsidP="00507007">
      <w:pPr>
        <w:pStyle w:val="USTustnpkodeksu"/>
        <w:spacing w:before="120"/>
        <w:ind w:firstLine="0"/>
        <w:rPr>
          <w:rFonts w:ascii="Times New Roman" w:hAnsi="Times New Roman" w:cs="Times New Roman"/>
          <w:szCs w:val="24"/>
        </w:rPr>
      </w:pPr>
      <w:r w:rsidRPr="00EB304C">
        <w:rPr>
          <w:rFonts w:ascii="Times New Roman" w:hAnsi="Times New Roman" w:cs="Times New Roman"/>
          <w:szCs w:val="24"/>
        </w:rPr>
        <w:t>Art</w:t>
      </w:r>
      <w:r w:rsidR="00445D1A">
        <w:rPr>
          <w:rFonts w:ascii="Times New Roman" w:hAnsi="Times New Roman" w:cs="Times New Roman"/>
          <w:szCs w:val="24"/>
        </w:rPr>
        <w:t>.</w:t>
      </w:r>
      <w:r w:rsidRPr="00EB304C">
        <w:rPr>
          <w:rFonts w:ascii="Times New Roman" w:hAnsi="Times New Roman" w:cs="Times New Roman"/>
          <w:szCs w:val="24"/>
        </w:rPr>
        <w:t xml:space="preserve"> 90b </w:t>
      </w:r>
      <w:r w:rsidR="00D6650B" w:rsidRPr="00EB304C">
        <w:rPr>
          <w:rFonts w:ascii="Times New Roman" w:hAnsi="Times New Roman" w:cs="Times New Roman"/>
          <w:szCs w:val="24"/>
        </w:rPr>
        <w:t>wskazuje na obowiązki operatorów platform, których niedopełnienie będzie powodować nałożenie sankcji</w:t>
      </w:r>
      <w:r w:rsidRPr="00EB304C">
        <w:rPr>
          <w:rFonts w:ascii="Times New Roman" w:hAnsi="Times New Roman" w:cs="Times New Roman"/>
          <w:szCs w:val="24"/>
        </w:rPr>
        <w:t xml:space="preserve">. </w:t>
      </w:r>
      <w:r w:rsidR="00877ADA" w:rsidRPr="00EB304C">
        <w:rPr>
          <w:rFonts w:ascii="Times New Roman" w:hAnsi="Times New Roman" w:cs="Times New Roman"/>
          <w:szCs w:val="24"/>
        </w:rPr>
        <w:t xml:space="preserve">Dyrektywa DAC7 pozostawia państwom członkowskim swobodę kształtowania przepisów karnych. Cytując motyw 21 </w:t>
      </w:r>
      <w:r w:rsidR="00786BD4">
        <w:rPr>
          <w:rFonts w:ascii="Times New Roman" w:hAnsi="Times New Roman" w:cs="Times New Roman"/>
          <w:szCs w:val="24"/>
        </w:rPr>
        <w:t>d</w:t>
      </w:r>
      <w:r w:rsidR="00877ADA" w:rsidRPr="00EB304C">
        <w:rPr>
          <w:rFonts w:ascii="Times New Roman" w:hAnsi="Times New Roman" w:cs="Times New Roman"/>
          <w:szCs w:val="24"/>
        </w:rPr>
        <w:t xml:space="preserve">yrektywy: </w:t>
      </w:r>
      <w:r w:rsidR="00877ADA" w:rsidRPr="00EB304C">
        <w:rPr>
          <w:rFonts w:ascii="Times New Roman" w:hAnsi="Times New Roman" w:cs="Times New Roman"/>
          <w:i/>
          <w:szCs w:val="24"/>
        </w:rPr>
        <w:t xml:space="preserve">[...] Wybór sankcji pozostaje wprawdzie w gestii państw członkowskich, lecz przewidziane sankcje powinny być skuteczne, proporcjonalne i odstraszające...” </w:t>
      </w:r>
      <w:r w:rsidR="00877ADA" w:rsidRPr="00EB304C">
        <w:rPr>
          <w:rFonts w:ascii="Times New Roman" w:hAnsi="Times New Roman" w:cs="Times New Roman"/>
          <w:szCs w:val="24"/>
        </w:rPr>
        <w:t xml:space="preserve">oraz zmieniany art. 25a: </w:t>
      </w:r>
      <w:r w:rsidR="00877ADA" w:rsidRPr="00EB304C">
        <w:rPr>
          <w:rFonts w:ascii="Times New Roman" w:hAnsi="Times New Roman" w:cs="Times New Roman"/>
          <w:i/>
          <w:szCs w:val="24"/>
        </w:rPr>
        <w:t>„Państwa członkowskie przyjmują przepisy dotyczące sankcji […]. Sankcje te muszą być skuteczne, proporcjonalne i odstraszające.</w:t>
      </w:r>
    </w:p>
    <w:p w14:paraId="4246ADF6" w14:textId="412C8634" w:rsidR="00DF7358" w:rsidRDefault="00877ADA" w:rsidP="00507007">
      <w:pPr>
        <w:pStyle w:val="USTustnpkodeksu"/>
        <w:spacing w:before="120"/>
        <w:ind w:firstLine="0"/>
      </w:pPr>
      <w:r w:rsidRPr="00EB304C">
        <w:rPr>
          <w:rFonts w:ascii="Times New Roman" w:hAnsi="Times New Roman" w:cs="Times New Roman"/>
          <w:szCs w:val="24"/>
        </w:rPr>
        <w:t>Projektodawca</w:t>
      </w:r>
      <w:r w:rsidR="00520CA3" w:rsidRPr="00EB304C">
        <w:rPr>
          <w:rFonts w:ascii="Times New Roman" w:hAnsi="Times New Roman" w:cs="Times New Roman"/>
          <w:szCs w:val="24"/>
        </w:rPr>
        <w:t xml:space="preserve"> w art. 91</w:t>
      </w:r>
      <w:r w:rsidRPr="00EB304C">
        <w:rPr>
          <w:rFonts w:ascii="Times New Roman" w:hAnsi="Times New Roman" w:cs="Times New Roman"/>
          <w:szCs w:val="24"/>
        </w:rPr>
        <w:t xml:space="preserve"> zapropo</w:t>
      </w:r>
      <w:r w:rsidR="00DE45C0" w:rsidRPr="00EB304C">
        <w:rPr>
          <w:rFonts w:ascii="Times New Roman" w:hAnsi="Times New Roman" w:cs="Times New Roman"/>
          <w:szCs w:val="24"/>
        </w:rPr>
        <w:t>nował karę pieniężną w wysokości</w:t>
      </w:r>
      <w:r w:rsidRPr="00EB304C">
        <w:rPr>
          <w:rFonts w:ascii="Times New Roman" w:hAnsi="Times New Roman" w:cs="Times New Roman"/>
          <w:szCs w:val="24"/>
        </w:rPr>
        <w:t xml:space="preserve"> do </w:t>
      </w:r>
      <w:r w:rsidR="00D6650B" w:rsidRPr="00EB304C">
        <w:rPr>
          <w:rFonts w:ascii="Times New Roman" w:hAnsi="Times New Roman" w:cs="Times New Roman"/>
          <w:szCs w:val="24"/>
        </w:rPr>
        <w:t>1 000 000</w:t>
      </w:r>
      <w:r w:rsidRPr="00EB304C">
        <w:rPr>
          <w:rFonts w:ascii="Times New Roman" w:hAnsi="Times New Roman" w:cs="Times New Roman"/>
          <w:szCs w:val="24"/>
        </w:rPr>
        <w:t xml:space="preserve"> zł, tym samym </w:t>
      </w:r>
      <w:r w:rsidR="00DE45C0" w:rsidRPr="00EB304C">
        <w:rPr>
          <w:rFonts w:ascii="Times New Roman" w:hAnsi="Times New Roman" w:cs="Times New Roman"/>
          <w:szCs w:val="24"/>
        </w:rPr>
        <w:t>kierując się sugestią wprost z d</w:t>
      </w:r>
      <w:r w:rsidRPr="00EB304C">
        <w:rPr>
          <w:rFonts w:ascii="Times New Roman" w:hAnsi="Times New Roman" w:cs="Times New Roman"/>
          <w:szCs w:val="24"/>
        </w:rPr>
        <w:t xml:space="preserve">yrektywy, że sankcja powinna być </w:t>
      </w:r>
      <w:r w:rsidRPr="00EB304C">
        <w:rPr>
          <w:rFonts w:ascii="Times New Roman" w:hAnsi="Times New Roman" w:cs="Times New Roman"/>
          <w:i/>
          <w:szCs w:val="24"/>
        </w:rPr>
        <w:t>skuteczna, proporcjonalna oraz odstraszająca</w:t>
      </w:r>
      <w:r w:rsidRPr="00EB304C">
        <w:rPr>
          <w:rFonts w:ascii="Times New Roman" w:hAnsi="Times New Roman" w:cs="Times New Roman"/>
          <w:szCs w:val="24"/>
        </w:rPr>
        <w:t>. Należy tutaj zwrócić uwagę, że gospodarka cyfrowa rozwija się z roku na rok, a dużą część tej gospodarki stanowią właśnie platformy cyfrowe.</w:t>
      </w:r>
      <w:r w:rsidR="00D6650B" w:rsidRPr="00EB304C">
        <w:rPr>
          <w:rFonts w:ascii="Times New Roman" w:hAnsi="Times New Roman" w:cs="Times New Roman"/>
          <w:szCs w:val="24"/>
        </w:rPr>
        <w:t xml:space="preserve"> T</w:t>
      </w:r>
      <w:r w:rsidR="0009626F" w:rsidRPr="00EB304C">
        <w:rPr>
          <w:rFonts w:ascii="Times New Roman" w:hAnsi="Times New Roman" w:cs="Times New Roman"/>
          <w:szCs w:val="24"/>
        </w:rPr>
        <w:t>ym samym w </w:t>
      </w:r>
      <w:r w:rsidRPr="00EB304C">
        <w:rPr>
          <w:rFonts w:ascii="Times New Roman" w:hAnsi="Times New Roman" w:cs="Times New Roman"/>
          <w:szCs w:val="24"/>
        </w:rPr>
        <w:t>ocenie projektodawcy zaproponowan</w:t>
      </w:r>
      <w:r w:rsidR="00D6650B" w:rsidRPr="00EB304C">
        <w:rPr>
          <w:rFonts w:ascii="Times New Roman" w:hAnsi="Times New Roman" w:cs="Times New Roman"/>
          <w:szCs w:val="24"/>
        </w:rPr>
        <w:t>a</w:t>
      </w:r>
      <w:r w:rsidRPr="00EB304C">
        <w:rPr>
          <w:rFonts w:ascii="Times New Roman" w:hAnsi="Times New Roman" w:cs="Times New Roman"/>
          <w:szCs w:val="24"/>
        </w:rPr>
        <w:t xml:space="preserve"> </w:t>
      </w:r>
      <w:r w:rsidR="00D6650B" w:rsidRPr="00EB304C">
        <w:rPr>
          <w:rFonts w:ascii="Times New Roman" w:hAnsi="Times New Roman" w:cs="Times New Roman"/>
          <w:szCs w:val="24"/>
        </w:rPr>
        <w:t xml:space="preserve">górna granica </w:t>
      </w:r>
      <w:r w:rsidRPr="00EB304C">
        <w:rPr>
          <w:rFonts w:ascii="Times New Roman" w:hAnsi="Times New Roman" w:cs="Times New Roman"/>
          <w:szCs w:val="24"/>
        </w:rPr>
        <w:t>kary pieniężne</w:t>
      </w:r>
      <w:r w:rsidR="00D6650B" w:rsidRPr="00EB304C">
        <w:rPr>
          <w:rFonts w:ascii="Times New Roman" w:hAnsi="Times New Roman" w:cs="Times New Roman"/>
          <w:szCs w:val="24"/>
        </w:rPr>
        <w:t>j</w:t>
      </w:r>
      <w:r w:rsidRPr="00EB304C">
        <w:rPr>
          <w:rFonts w:ascii="Times New Roman" w:hAnsi="Times New Roman" w:cs="Times New Roman"/>
          <w:szCs w:val="24"/>
        </w:rPr>
        <w:t xml:space="preserve"> </w:t>
      </w:r>
      <w:r w:rsidR="00D6650B" w:rsidRPr="00EB304C">
        <w:rPr>
          <w:rFonts w:ascii="Times New Roman" w:hAnsi="Times New Roman" w:cs="Times New Roman"/>
          <w:szCs w:val="24"/>
        </w:rPr>
        <w:t>jest</w:t>
      </w:r>
      <w:r w:rsidRPr="00EB304C">
        <w:rPr>
          <w:rFonts w:ascii="Times New Roman" w:hAnsi="Times New Roman" w:cs="Times New Roman"/>
          <w:szCs w:val="24"/>
        </w:rPr>
        <w:t xml:space="preserve"> </w:t>
      </w:r>
      <w:r w:rsidRPr="00EB304C">
        <w:rPr>
          <w:rFonts w:ascii="Times New Roman" w:hAnsi="Times New Roman" w:cs="Times New Roman"/>
          <w:szCs w:val="24"/>
        </w:rPr>
        <w:lastRenderedPageBreak/>
        <w:t>adekwatn</w:t>
      </w:r>
      <w:r w:rsidR="00D6650B" w:rsidRPr="00EB304C">
        <w:rPr>
          <w:rFonts w:ascii="Times New Roman" w:hAnsi="Times New Roman" w:cs="Times New Roman"/>
          <w:szCs w:val="24"/>
        </w:rPr>
        <w:t>a</w:t>
      </w:r>
      <w:r w:rsidRPr="00EB304C">
        <w:rPr>
          <w:rFonts w:ascii="Times New Roman" w:hAnsi="Times New Roman" w:cs="Times New Roman"/>
          <w:szCs w:val="24"/>
        </w:rPr>
        <w:t>. Jednocześnie, projektodawca zauważa, że powyższy zakres kar</w:t>
      </w:r>
      <w:r w:rsidR="00AA0AF3" w:rsidRPr="00EB304C">
        <w:rPr>
          <w:rFonts w:ascii="Times New Roman" w:hAnsi="Times New Roman" w:cs="Times New Roman"/>
          <w:szCs w:val="24"/>
        </w:rPr>
        <w:t>y</w:t>
      </w:r>
      <w:r w:rsidRPr="00EB304C">
        <w:rPr>
          <w:rFonts w:ascii="Times New Roman" w:hAnsi="Times New Roman" w:cs="Times New Roman"/>
          <w:szCs w:val="24"/>
        </w:rPr>
        <w:t xml:space="preserve"> uwzględnia m.in. rodzaj i zakres niedopełnienia obowiązków oraz dotychczasowe terminowe i poprawne wykonywanie ustawowych obowiązków. Dodatkowo należy wspomnieć, że stopień </w:t>
      </w:r>
      <w:r w:rsidR="00520CA3" w:rsidRPr="00EB304C">
        <w:rPr>
          <w:rFonts w:ascii="Times New Roman" w:hAnsi="Times New Roman" w:cs="Times New Roman"/>
          <w:szCs w:val="24"/>
        </w:rPr>
        <w:t xml:space="preserve">dolegliwości </w:t>
      </w:r>
      <w:r w:rsidRPr="00EB304C">
        <w:rPr>
          <w:rFonts w:ascii="Times New Roman" w:hAnsi="Times New Roman" w:cs="Times New Roman"/>
          <w:szCs w:val="24"/>
        </w:rPr>
        <w:t>sankcji uzależniono m.in. od powagi przewinienia</w:t>
      </w:r>
      <w:r w:rsidR="006A48D6" w:rsidRPr="00EB304C">
        <w:rPr>
          <w:rFonts w:ascii="Times New Roman" w:hAnsi="Times New Roman" w:cs="Times New Roman"/>
          <w:szCs w:val="24"/>
        </w:rPr>
        <w:t>.</w:t>
      </w:r>
      <w:r w:rsidR="009E163E">
        <w:rPr>
          <w:rFonts w:ascii="Times New Roman" w:hAnsi="Times New Roman" w:cs="Times New Roman"/>
          <w:szCs w:val="24"/>
        </w:rPr>
        <w:t xml:space="preserve"> Kara za niedopełnienie obowiązku jednorazowej rejestracji w wybranym państwie członkowskim, o której mowa w</w:t>
      </w:r>
      <w:r w:rsidR="00F91632">
        <w:rPr>
          <w:rFonts w:ascii="Times New Roman" w:hAnsi="Times New Roman" w:cs="Times New Roman"/>
          <w:szCs w:val="24"/>
        </w:rPr>
        <w:t> </w:t>
      </w:r>
      <w:r w:rsidR="009E163E">
        <w:rPr>
          <w:rFonts w:ascii="Times New Roman" w:hAnsi="Times New Roman" w:cs="Times New Roman"/>
          <w:szCs w:val="24"/>
        </w:rPr>
        <w:t xml:space="preserve">dodawanym w </w:t>
      </w:r>
      <w:proofErr w:type="spellStart"/>
      <w:r w:rsidR="009E163E">
        <w:rPr>
          <w:rFonts w:ascii="Times New Roman" w:hAnsi="Times New Roman" w:cs="Times New Roman"/>
          <w:szCs w:val="24"/>
        </w:rPr>
        <w:t>uWIP</w:t>
      </w:r>
      <w:proofErr w:type="spellEnd"/>
      <w:r w:rsidR="009E163E">
        <w:rPr>
          <w:rFonts w:ascii="Times New Roman" w:hAnsi="Times New Roman" w:cs="Times New Roman"/>
          <w:szCs w:val="24"/>
        </w:rPr>
        <w:t xml:space="preserve"> art</w:t>
      </w:r>
      <w:r w:rsidR="00555A6C">
        <w:rPr>
          <w:rFonts w:ascii="Times New Roman" w:hAnsi="Times New Roman" w:cs="Times New Roman"/>
          <w:szCs w:val="24"/>
        </w:rPr>
        <w:t>.</w:t>
      </w:r>
      <w:r w:rsidR="009E163E">
        <w:rPr>
          <w:rFonts w:ascii="Times New Roman" w:hAnsi="Times New Roman" w:cs="Times New Roman"/>
          <w:szCs w:val="24"/>
        </w:rPr>
        <w:t xml:space="preserve"> 90b </w:t>
      </w:r>
      <w:r w:rsidR="00A14A62">
        <w:rPr>
          <w:rFonts w:ascii="Times New Roman" w:hAnsi="Times New Roman" w:cs="Times New Roman"/>
          <w:szCs w:val="24"/>
        </w:rPr>
        <w:t xml:space="preserve">ust. 1 </w:t>
      </w:r>
      <w:r w:rsidR="009E163E">
        <w:rPr>
          <w:rFonts w:ascii="Times New Roman" w:hAnsi="Times New Roman" w:cs="Times New Roman"/>
          <w:szCs w:val="24"/>
        </w:rPr>
        <w:t>pkt 6</w:t>
      </w:r>
      <w:r w:rsidR="0004724A">
        <w:rPr>
          <w:rFonts w:ascii="Times New Roman" w:hAnsi="Times New Roman" w:cs="Times New Roman"/>
          <w:szCs w:val="24"/>
        </w:rPr>
        <w:t xml:space="preserve"> </w:t>
      </w:r>
      <w:r w:rsidR="009E163E">
        <w:rPr>
          <w:rFonts w:ascii="Times New Roman" w:hAnsi="Times New Roman" w:cs="Times New Roman"/>
          <w:szCs w:val="24"/>
        </w:rPr>
        <w:t xml:space="preserve">oraz dodawanym </w:t>
      </w:r>
      <w:r w:rsidR="00284672">
        <w:t xml:space="preserve">w </w:t>
      </w:r>
      <w:r w:rsidR="00A14A62">
        <w:t xml:space="preserve">ustawie z dnia 10 września 1999 r. – </w:t>
      </w:r>
      <w:r w:rsidR="009E163E">
        <w:t>K</w:t>
      </w:r>
      <w:r w:rsidR="00A14A62">
        <w:t>odeks karny skarbowy</w:t>
      </w:r>
      <w:r w:rsidR="009E163E">
        <w:t xml:space="preserve"> </w:t>
      </w:r>
      <w:r w:rsidR="00A14A62">
        <w:t>a</w:t>
      </w:r>
      <w:r w:rsidR="00A14A62" w:rsidRPr="004A6B8E">
        <w:t>rt. 80</w:t>
      </w:r>
      <w:r w:rsidR="00A14A62">
        <w:t>cb</w:t>
      </w:r>
      <w:r w:rsidR="00A14A62" w:rsidRPr="005F0415">
        <w:t> </w:t>
      </w:r>
      <w:r w:rsidR="00A14A62" w:rsidRPr="001778C3">
        <w:t>§ 1</w:t>
      </w:r>
      <w:r w:rsidR="00A14A62">
        <w:t xml:space="preserve"> pkt 3 </w:t>
      </w:r>
      <w:r w:rsidR="009E163E">
        <w:t xml:space="preserve">odnosi się do sytuacji, w której operator platformy </w:t>
      </w:r>
      <w:r w:rsidR="00284672">
        <w:t xml:space="preserve">spoza UE </w:t>
      </w:r>
      <w:r w:rsidR="00F91632">
        <w:t>posiadający</w:t>
      </w:r>
      <w:r w:rsidR="00284672">
        <w:t xml:space="preserve"> sprzedawców będących rezydentami w Rzeczypospolitej Polskiej</w:t>
      </w:r>
      <w:r w:rsidR="00F91632">
        <w:t xml:space="preserve"> lub udostępniających nieruchomość położoną w Rzeczpospolitej Polskiej</w:t>
      </w:r>
      <w:r w:rsidR="00284672">
        <w:t xml:space="preserve"> nie dokona</w:t>
      </w:r>
      <w:r w:rsidR="00F91632">
        <w:t>ł</w:t>
      </w:r>
      <w:r w:rsidR="00284672">
        <w:t xml:space="preserve"> w Polsce jednorazowej rejestracji, o której mowa w art. 75u ust. 1</w:t>
      </w:r>
      <w:r w:rsidR="0004724A">
        <w:t>,</w:t>
      </w:r>
      <w:r w:rsidR="00F91632">
        <w:t xml:space="preserve"> i jednocześnie nie dokonał jej w innym państwie członkowskim (w takim przypadku rejestracja w Polsce nie jest obowiązkowa)</w:t>
      </w:r>
      <w:r w:rsidR="00284672">
        <w:t>.</w:t>
      </w:r>
    </w:p>
    <w:p w14:paraId="2EFB61E6" w14:textId="6A2E6B5D" w:rsidR="00520CA3" w:rsidRPr="00EB304C" w:rsidRDefault="00DF7358" w:rsidP="00507007">
      <w:pPr>
        <w:pStyle w:val="USTustnpkodeksu"/>
        <w:spacing w:before="120"/>
        <w:ind w:firstLine="0"/>
        <w:rPr>
          <w:rFonts w:ascii="Times New Roman" w:hAnsi="Times New Roman" w:cs="Times New Roman"/>
          <w:szCs w:val="24"/>
        </w:rPr>
      </w:pPr>
      <w:r>
        <w:t xml:space="preserve">Zmieniany ust. 2 w art. 91 pozwala zróżnicować wysokość kary w zależności od skali prowadzonej działalności. Przepis stanowi, że przy ustalaniu wysokości kary należy wziąć pod uwagę całkowity obrót za rok obrotowy poprzedzający rok nałożenia kary. Biorąc jednak pod uwagę, że kara może zostać nałożona w pierwszym roku działalności, projekt przewiduje, że w takim przypadku uwzględniana jest wysokość całkowitego obrotu za </w:t>
      </w:r>
      <w:r w:rsidRPr="00DF7358">
        <w:t>okres od rozpoczęcia prowadzenia działalności gospodarczej do dnia wszczęcia postępowania o nałożenie kary pieniężnej.</w:t>
      </w:r>
    </w:p>
    <w:p w14:paraId="72B6F5DB" w14:textId="11D9AD93" w:rsidR="00520CA3" w:rsidRPr="00BF1D2D" w:rsidRDefault="00520CA3" w:rsidP="00507007">
      <w:pPr>
        <w:pStyle w:val="USTustnpkodeksu"/>
        <w:numPr>
          <w:ilvl w:val="0"/>
          <w:numId w:val="11"/>
        </w:numPr>
        <w:spacing w:before="120"/>
        <w:rPr>
          <w:rFonts w:ascii="Times New Roman" w:hAnsi="Times New Roman" w:cs="Times New Roman"/>
          <w:szCs w:val="24"/>
        </w:rPr>
      </w:pPr>
      <w:r w:rsidRPr="00EB304C">
        <w:rPr>
          <w:rFonts w:ascii="Times New Roman" w:hAnsi="Times New Roman" w:cs="Times New Roman"/>
          <w:b/>
          <w:szCs w:val="24"/>
        </w:rPr>
        <w:t>Art. 102 (obowiązki Szefa KAS)</w:t>
      </w:r>
    </w:p>
    <w:p w14:paraId="6BF7A997" w14:textId="75A0EC53" w:rsidR="00877ADA" w:rsidRPr="00EB304C" w:rsidRDefault="006B5C7C" w:rsidP="00507007">
      <w:pPr>
        <w:pStyle w:val="USTustnpkodeksu"/>
        <w:spacing w:before="120"/>
        <w:ind w:firstLine="0"/>
        <w:rPr>
          <w:rFonts w:ascii="Times New Roman" w:hAnsi="Times New Roman" w:cs="Times New Roman"/>
          <w:szCs w:val="24"/>
        </w:rPr>
      </w:pPr>
      <w:r>
        <w:rPr>
          <w:rFonts w:ascii="Times New Roman" w:hAnsi="Times New Roman" w:cs="Times New Roman"/>
        </w:rPr>
        <w:t>W art.</w:t>
      </w:r>
      <w:r w:rsidR="00F40F63" w:rsidRPr="00EB304C">
        <w:rPr>
          <w:rFonts w:ascii="Times New Roman" w:hAnsi="Times New Roman" w:cs="Times New Roman"/>
        </w:rPr>
        <w:t xml:space="preserve"> 102 </w:t>
      </w:r>
      <w:r>
        <w:rPr>
          <w:rFonts w:ascii="Times New Roman" w:hAnsi="Times New Roman" w:cs="Times New Roman"/>
        </w:rPr>
        <w:t xml:space="preserve">w pkt 3 </w:t>
      </w:r>
      <w:proofErr w:type="spellStart"/>
      <w:r>
        <w:rPr>
          <w:rFonts w:ascii="Times New Roman" w:hAnsi="Times New Roman" w:cs="Times New Roman"/>
        </w:rPr>
        <w:t>uWIP</w:t>
      </w:r>
      <w:proofErr w:type="spellEnd"/>
      <w:r>
        <w:rPr>
          <w:rFonts w:ascii="Times New Roman" w:hAnsi="Times New Roman" w:cs="Times New Roman"/>
        </w:rPr>
        <w:t xml:space="preserve"> projekt wprowadza </w:t>
      </w:r>
      <w:r w:rsidR="008E132B" w:rsidRPr="00EB304C">
        <w:rPr>
          <w:rFonts w:ascii="Times New Roman" w:hAnsi="Times New Roman" w:cs="Times New Roman"/>
        </w:rPr>
        <w:t>zmiany o charakterze dostosowawczym uwzględniające obowiązek przekazania KE statystyk dotyczących automatycznej wymiany informacji przekazywanych przez operatorów platform oraz</w:t>
      </w:r>
      <w:r>
        <w:rPr>
          <w:rFonts w:ascii="Times New Roman" w:hAnsi="Times New Roman" w:cs="Times New Roman"/>
        </w:rPr>
        <w:t>,</w:t>
      </w:r>
      <w:r w:rsidR="008E132B" w:rsidRPr="00EB304C">
        <w:rPr>
          <w:rFonts w:ascii="Times New Roman" w:hAnsi="Times New Roman" w:cs="Times New Roman"/>
        </w:rPr>
        <w:t xml:space="preserve"> w zakresie</w:t>
      </w:r>
      <w:r w:rsidR="00585B76">
        <w:rPr>
          <w:rFonts w:ascii="Times New Roman" w:hAnsi="Times New Roman" w:cs="Times New Roman"/>
        </w:rPr>
        <w:t>,</w:t>
      </w:r>
      <w:r w:rsidR="008E132B" w:rsidRPr="00EB304C">
        <w:rPr>
          <w:rFonts w:ascii="Times New Roman" w:hAnsi="Times New Roman" w:cs="Times New Roman"/>
        </w:rPr>
        <w:t xml:space="preserve"> w jakim jest to możliwe</w:t>
      </w:r>
      <w:r>
        <w:rPr>
          <w:rFonts w:ascii="Times New Roman" w:hAnsi="Times New Roman" w:cs="Times New Roman"/>
        </w:rPr>
        <w:t>,</w:t>
      </w:r>
      <w:r w:rsidR="008E132B" w:rsidRPr="00EB304C">
        <w:rPr>
          <w:rFonts w:ascii="Times New Roman" w:hAnsi="Times New Roman" w:cs="Times New Roman"/>
        </w:rPr>
        <w:t xml:space="preserve"> informacje dotyczące kosztów i korzyści związanych z dokonaną wymianą informacji podatkowych.</w:t>
      </w:r>
    </w:p>
    <w:p w14:paraId="48A96C63" w14:textId="5D492B49" w:rsidR="00F62650" w:rsidRPr="00EB304C" w:rsidRDefault="00F62650" w:rsidP="00507007">
      <w:pPr>
        <w:pStyle w:val="ZARTzmartartykuempunktem"/>
        <w:numPr>
          <w:ilvl w:val="0"/>
          <w:numId w:val="35"/>
        </w:numPr>
        <w:spacing w:before="120"/>
        <w:rPr>
          <w:rFonts w:ascii="Times New Roman" w:eastAsiaTheme="minorHAnsi" w:hAnsi="Times New Roman" w:cs="Times New Roman"/>
          <w:b/>
          <w:color w:val="000000" w:themeColor="text1"/>
          <w:szCs w:val="24"/>
          <w:lang w:eastAsia="en-US"/>
        </w:rPr>
      </w:pPr>
      <w:r w:rsidRPr="00EB304C">
        <w:rPr>
          <w:rFonts w:ascii="Times New Roman" w:eastAsiaTheme="minorHAnsi" w:hAnsi="Times New Roman" w:cs="Times New Roman"/>
          <w:b/>
          <w:color w:val="000000" w:themeColor="text1"/>
          <w:szCs w:val="24"/>
          <w:lang w:eastAsia="en-US"/>
        </w:rPr>
        <w:t xml:space="preserve">Dodatkowe zmiany </w:t>
      </w:r>
      <w:r w:rsidR="00564EF0" w:rsidRPr="00EB304C">
        <w:rPr>
          <w:rFonts w:ascii="Times New Roman" w:eastAsiaTheme="minorHAnsi" w:hAnsi="Times New Roman" w:cs="Times New Roman"/>
          <w:b/>
          <w:color w:val="000000" w:themeColor="text1"/>
          <w:szCs w:val="24"/>
          <w:lang w:eastAsia="en-US"/>
        </w:rPr>
        <w:t>w uWIP</w:t>
      </w:r>
    </w:p>
    <w:p w14:paraId="26AFFE76" w14:textId="635E7A24" w:rsidR="00F62650" w:rsidRPr="00EB304C" w:rsidRDefault="00F62650" w:rsidP="00507007">
      <w:pPr>
        <w:spacing w:before="120" w:after="0" w:line="360" w:lineRule="auto"/>
        <w:ind w:left="426" w:hanging="426"/>
        <w:jc w:val="both"/>
        <w:rPr>
          <w:rFonts w:ascii="Times New Roman" w:hAnsi="Times New Roman" w:cs="Times New Roman"/>
          <w:b/>
          <w:color w:val="000000" w:themeColor="text1"/>
          <w:sz w:val="24"/>
          <w:szCs w:val="24"/>
        </w:rPr>
      </w:pPr>
      <w:r w:rsidRPr="00EB304C">
        <w:rPr>
          <w:rFonts w:ascii="Times New Roman" w:hAnsi="Times New Roman" w:cs="Times New Roman"/>
          <w:b/>
          <w:color w:val="000000" w:themeColor="text1"/>
          <w:sz w:val="24"/>
          <w:szCs w:val="24"/>
        </w:rPr>
        <w:t xml:space="preserve">Zmiany dostosowujące do rekomendacji Global Forum </w:t>
      </w:r>
    </w:p>
    <w:p w14:paraId="4E3AC664" w14:textId="226AEA96" w:rsidR="00F62650" w:rsidRPr="00EB304C" w:rsidRDefault="00F62650"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Zgodnie z rekomendacjami Global Forum obowiązujące polskie ramy prawne regulujące automatyczną wymianę informacji podatkowych zawierają większość kluczowych aspektów CRS i jego komentarza, natomiast wymagają one poprawy, aby być w pełni spójne z wymogami wytycznych CRS</w:t>
      </w:r>
      <w:r w:rsidR="00EC060D" w:rsidRPr="00EB304C">
        <w:rPr>
          <w:rFonts w:ascii="Times New Roman" w:hAnsi="Times New Roman" w:cs="Times New Roman"/>
          <w:color w:val="000000" w:themeColor="text1"/>
          <w:sz w:val="24"/>
          <w:szCs w:val="24"/>
        </w:rPr>
        <w:t xml:space="preserve"> i </w:t>
      </w:r>
      <w:r w:rsidR="00D6650B" w:rsidRPr="00EB304C">
        <w:rPr>
          <w:rFonts w:ascii="Times New Roman" w:hAnsi="Times New Roman" w:cs="Times New Roman"/>
          <w:color w:val="000000" w:themeColor="text1"/>
          <w:sz w:val="24"/>
          <w:szCs w:val="24"/>
        </w:rPr>
        <w:t xml:space="preserve">CRS </w:t>
      </w:r>
      <w:r w:rsidR="00EC060D" w:rsidRPr="00EB304C">
        <w:rPr>
          <w:rFonts w:ascii="Times New Roman" w:hAnsi="Times New Roman" w:cs="Times New Roman"/>
          <w:color w:val="000000" w:themeColor="text1"/>
          <w:sz w:val="24"/>
          <w:szCs w:val="24"/>
        </w:rPr>
        <w:t>MCAA</w:t>
      </w:r>
      <w:r w:rsidRPr="00EB304C">
        <w:rPr>
          <w:rFonts w:ascii="Times New Roman" w:hAnsi="Times New Roman" w:cs="Times New Roman"/>
          <w:color w:val="000000" w:themeColor="text1"/>
          <w:sz w:val="24"/>
          <w:szCs w:val="24"/>
        </w:rPr>
        <w:t xml:space="preserve">, a także przepisami dyrektywy 2011/16/UE. </w:t>
      </w:r>
    </w:p>
    <w:p w14:paraId="3FD9C91D" w14:textId="1913749D" w:rsidR="00F62650" w:rsidRPr="00EB304C" w:rsidRDefault="00F62650" w:rsidP="00507007">
      <w:pPr>
        <w:pStyle w:val="Akapitzlist"/>
        <w:numPr>
          <w:ilvl w:val="0"/>
          <w:numId w:val="11"/>
        </w:numPr>
        <w:spacing w:before="120" w:after="0" w:line="360" w:lineRule="auto"/>
        <w:jc w:val="both"/>
        <w:rPr>
          <w:rFonts w:ascii="Times New Roman" w:hAnsi="Times New Roman" w:cs="Times New Roman"/>
          <w:b/>
          <w:color w:val="000000" w:themeColor="text1"/>
          <w:sz w:val="24"/>
          <w:szCs w:val="24"/>
        </w:rPr>
      </w:pPr>
      <w:r w:rsidRPr="00EB304C">
        <w:rPr>
          <w:rFonts w:ascii="Times New Roman" w:hAnsi="Times New Roman" w:cs="Times New Roman"/>
          <w:b/>
          <w:color w:val="000000" w:themeColor="text1"/>
          <w:sz w:val="24"/>
          <w:szCs w:val="24"/>
        </w:rPr>
        <w:t>Definicja „aktywów finansowych”</w:t>
      </w:r>
      <w:r w:rsidR="00070D4E" w:rsidRPr="00EB304C">
        <w:rPr>
          <w:rFonts w:ascii="Times New Roman" w:hAnsi="Times New Roman" w:cs="Times New Roman"/>
          <w:b/>
          <w:color w:val="000000" w:themeColor="text1"/>
          <w:sz w:val="24"/>
          <w:szCs w:val="24"/>
        </w:rPr>
        <w:t xml:space="preserve"> (art. 24 ust. 1 pkt 1)</w:t>
      </w:r>
    </w:p>
    <w:p w14:paraId="21052EC2" w14:textId="042EE0C7" w:rsidR="00F62650" w:rsidRPr="00EB304C" w:rsidRDefault="00F62650"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lastRenderedPageBreak/>
        <w:t>Projekt przewiduje modyfikację</w:t>
      </w:r>
      <w:r w:rsidR="00223152">
        <w:rPr>
          <w:rFonts w:ascii="Times New Roman" w:hAnsi="Times New Roman" w:cs="Times New Roman"/>
          <w:color w:val="000000" w:themeColor="text1"/>
          <w:sz w:val="24"/>
          <w:szCs w:val="24"/>
        </w:rPr>
        <w:t xml:space="preserve"> </w:t>
      </w:r>
      <w:r w:rsidRPr="00EB304C">
        <w:rPr>
          <w:rFonts w:ascii="Times New Roman" w:hAnsi="Times New Roman" w:cs="Times New Roman"/>
          <w:color w:val="000000" w:themeColor="text1"/>
          <w:sz w:val="24"/>
          <w:szCs w:val="24"/>
        </w:rPr>
        <w:t>pojęcia aktywa finansowe zawartego w słowniczku ustawy, przez wprowadzenie katalogu otwartego zgodnie ze standardem CRS, a także przepisami dyrektywy 2011/16/UE. Termin „aktywa finansowe” zgodnie z komentarzem do standardu CRS, chociaż nie odnosi się do wszelkiego rodzaju aktywów, ma obejmować wszystkie aktywa, które mogą znajdować się na rachunku prowadzonym przez instytucję finansową, z wyjątkiem niedłużnego, bezpośredniego udziału w nieruchomości. Definicja „aktywów finansowych” jest także kluczowym elementem innych pojęć, do których referuje ustawa, m.in. definicji „instytucji powierniczej”, „podmiotu inwestującego” czy „rachunku powierniczego”, a zatem jest istotna dla prawidłowego funkcjonowania standardu CRS.</w:t>
      </w:r>
    </w:p>
    <w:p w14:paraId="24F04C04" w14:textId="1FDC524E" w:rsidR="008A2B45" w:rsidRPr="00EB304C" w:rsidRDefault="008A2B45"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Aktywa zostały zdefiniowane w art. 3 ust. 1 pkt 12 ustawy z dnia 29 września 1994 r. o rachunkowości (Dz. U. z 2023 r. poz. 120</w:t>
      </w:r>
      <w:r w:rsidR="00D759FA">
        <w:rPr>
          <w:rFonts w:ascii="Times New Roman" w:hAnsi="Times New Roman" w:cs="Times New Roman"/>
          <w:color w:val="000000" w:themeColor="text1"/>
          <w:sz w:val="24"/>
          <w:szCs w:val="24"/>
        </w:rPr>
        <w:t>, z późn. zm.</w:t>
      </w:r>
      <w:r w:rsidRPr="00EB304C">
        <w:rPr>
          <w:rFonts w:ascii="Times New Roman" w:hAnsi="Times New Roman" w:cs="Times New Roman"/>
          <w:color w:val="000000" w:themeColor="text1"/>
          <w:sz w:val="24"/>
          <w:szCs w:val="24"/>
        </w:rPr>
        <w:t xml:space="preserve">), dalej „ustawa”, jako kontrolowane przez jednostkę zasoby majątkowe o wiarygodnie określonej wartości, powstałe w wyniku przeszłych zdarzeń, które spowodują w przyszłości wpływ do jednostki korzyści ekonomicznych. W dalszej części ustawy wprowadzono podział na określone rodzaje aktywów – tj. aktywa finansowe, aktywa trwałe, aktywa obrotowe (wśród których rozróżnia się aktywa rzeczowe i finansowe), aktywa pieniężne, jak również aktywa netto. </w:t>
      </w:r>
    </w:p>
    <w:p w14:paraId="31A108C6" w14:textId="77777777" w:rsidR="008A2B45" w:rsidRPr="00EB304C" w:rsidRDefault="008A2B45"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 xml:space="preserve">Jednym z ww. rodzajów aktywów są aktywa finansowe. Zakresem definicji ustawowej obejmują one: aktywa pieniężne, instrumenty kapitałowe wyemitowane przez inne jednostki, a także wynikające z kontraktu prawo do otrzymania aktywów pieniężnych lub prawo do wymiany instrumentów finansowych z inną jednostką na korzystnych warunkach. Zaliczyć do nich można krajowe i zagraniczne środki płatnicze oraz dewizy. Będą nimi również prawa do otrzymania aktywów pieniężnych, do wymiany instrumentów finansowych, jak również instrumenty kapitałowe emitowane przez inne jednostki. Aktywami finansowymi będą również ekwiwalenty środków pieniężnych – np. czeki i weksle, udziały w innych jednostkach, kontrakty terminowe, gwarancje, warranty, udzielone pożyczki, obligacje, a także bony skarbowe. </w:t>
      </w:r>
    </w:p>
    <w:p w14:paraId="09DA6D2C" w14:textId="0A7FE3AD" w:rsidR="008A2B45" w:rsidRPr="00EB304C" w:rsidRDefault="008A2B45"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Ze względu na fakt, ż</w:t>
      </w:r>
      <w:r w:rsidR="00A95DCF">
        <w:rPr>
          <w:rFonts w:ascii="Times New Roman" w:hAnsi="Times New Roman" w:cs="Times New Roman"/>
          <w:color w:val="000000" w:themeColor="text1"/>
          <w:sz w:val="24"/>
          <w:szCs w:val="24"/>
        </w:rPr>
        <w:t>e</w:t>
      </w:r>
      <w:r w:rsidRPr="00EB304C">
        <w:rPr>
          <w:rFonts w:ascii="Times New Roman" w:hAnsi="Times New Roman" w:cs="Times New Roman"/>
          <w:color w:val="000000" w:themeColor="text1"/>
          <w:sz w:val="24"/>
          <w:szCs w:val="24"/>
        </w:rPr>
        <w:t xml:space="preserve"> wskazane powyżej przykłady aktywów finansowych nie wyczerpują całego katalogu, zakwalifikowanie do tej grupy powinno odbyć się po analizie danego składnika majątku (zgodnie z definicją aktywów) oraz zastosowaniem oceny dokonywanej przez podmiot, w którego władztwie znajdują się określone aktywa</w:t>
      </w:r>
      <w:r w:rsidR="00A95DCF">
        <w:rPr>
          <w:rFonts w:ascii="Times New Roman" w:hAnsi="Times New Roman" w:cs="Times New Roman"/>
          <w:color w:val="000000" w:themeColor="text1"/>
          <w:sz w:val="24"/>
          <w:szCs w:val="24"/>
        </w:rPr>
        <w:t>,</w:t>
      </w:r>
      <w:r w:rsidRPr="00EB304C">
        <w:rPr>
          <w:rFonts w:ascii="Times New Roman" w:hAnsi="Times New Roman" w:cs="Times New Roman"/>
          <w:color w:val="000000" w:themeColor="text1"/>
          <w:sz w:val="24"/>
          <w:szCs w:val="24"/>
        </w:rPr>
        <w:t xml:space="preserve"> z uwzględnieniem: wiarygodnej wartości aktywów (weryfikacja wartości), udokumentowaniem, ż</w:t>
      </w:r>
      <w:r w:rsidR="00A95DCF">
        <w:rPr>
          <w:rFonts w:ascii="Times New Roman" w:hAnsi="Times New Roman" w:cs="Times New Roman"/>
          <w:color w:val="000000" w:themeColor="text1"/>
          <w:sz w:val="24"/>
          <w:szCs w:val="24"/>
        </w:rPr>
        <w:t>e</w:t>
      </w:r>
      <w:r w:rsidRPr="00EB304C">
        <w:rPr>
          <w:rFonts w:ascii="Times New Roman" w:hAnsi="Times New Roman" w:cs="Times New Roman"/>
          <w:color w:val="000000" w:themeColor="text1"/>
          <w:sz w:val="24"/>
          <w:szCs w:val="24"/>
        </w:rPr>
        <w:t xml:space="preserve"> powstały one w wyniku przeszłych zdarzeń, oraz korzyści, które </w:t>
      </w:r>
      <w:r w:rsidR="00A95DCF">
        <w:rPr>
          <w:rFonts w:ascii="Times New Roman" w:hAnsi="Times New Roman" w:cs="Times New Roman"/>
          <w:color w:val="000000" w:themeColor="text1"/>
          <w:sz w:val="24"/>
          <w:szCs w:val="24"/>
        </w:rPr>
        <w:t>te</w:t>
      </w:r>
      <w:r w:rsidRPr="00EB304C">
        <w:rPr>
          <w:rFonts w:ascii="Times New Roman" w:hAnsi="Times New Roman" w:cs="Times New Roman"/>
          <w:color w:val="000000" w:themeColor="text1"/>
          <w:sz w:val="24"/>
          <w:szCs w:val="24"/>
        </w:rPr>
        <w:t xml:space="preserve"> aktywa przyniosą w przyszłości. </w:t>
      </w:r>
    </w:p>
    <w:p w14:paraId="5EDF9E6B" w14:textId="3C45E147" w:rsidR="00F62650" w:rsidRPr="00EB304C" w:rsidRDefault="008A2B45"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lastRenderedPageBreak/>
        <w:t xml:space="preserve">Z powyższego względu projektodawca w ustawie nowelizującej wprowadził otwarty katalog aktywów finansowych przez dodanie w art. 24 ust. 1 pkt 1 </w:t>
      </w:r>
      <w:proofErr w:type="spellStart"/>
      <w:r w:rsidR="00C27926">
        <w:rPr>
          <w:rFonts w:ascii="Times New Roman" w:hAnsi="Times New Roman" w:cs="Times New Roman"/>
          <w:color w:val="000000" w:themeColor="text1"/>
          <w:sz w:val="24"/>
          <w:szCs w:val="24"/>
        </w:rPr>
        <w:t>uWIP</w:t>
      </w:r>
      <w:proofErr w:type="spellEnd"/>
      <w:r w:rsidR="00C27926">
        <w:rPr>
          <w:rFonts w:ascii="Times New Roman" w:hAnsi="Times New Roman" w:cs="Times New Roman"/>
          <w:color w:val="000000" w:themeColor="text1"/>
          <w:sz w:val="24"/>
          <w:szCs w:val="24"/>
        </w:rPr>
        <w:t xml:space="preserve"> </w:t>
      </w:r>
      <w:r w:rsidRPr="00EB304C">
        <w:rPr>
          <w:rFonts w:ascii="Times New Roman" w:hAnsi="Times New Roman" w:cs="Times New Roman"/>
          <w:color w:val="000000" w:themeColor="text1"/>
          <w:sz w:val="24"/>
          <w:szCs w:val="24"/>
        </w:rPr>
        <w:t>wyrazu „w szczególności”. Za taką regulacją przemawia również fakt, ż</w:t>
      </w:r>
      <w:r w:rsidR="00A95DCF">
        <w:rPr>
          <w:rFonts w:ascii="Times New Roman" w:hAnsi="Times New Roman" w:cs="Times New Roman"/>
          <w:color w:val="000000" w:themeColor="text1"/>
          <w:sz w:val="24"/>
          <w:szCs w:val="24"/>
        </w:rPr>
        <w:t>e</w:t>
      </w:r>
      <w:r w:rsidRPr="00EB304C">
        <w:rPr>
          <w:rFonts w:ascii="Times New Roman" w:hAnsi="Times New Roman" w:cs="Times New Roman"/>
          <w:color w:val="000000" w:themeColor="text1"/>
          <w:sz w:val="24"/>
          <w:szCs w:val="24"/>
        </w:rPr>
        <w:t xml:space="preserve"> ustawodawca w obowiązującej ustawie </w:t>
      </w:r>
      <w:r w:rsidR="00C27926">
        <w:rPr>
          <w:rFonts w:ascii="Times New Roman" w:hAnsi="Times New Roman" w:cs="Times New Roman"/>
          <w:color w:val="000000" w:themeColor="text1"/>
          <w:sz w:val="24"/>
          <w:szCs w:val="24"/>
        </w:rPr>
        <w:t>z dnia 29</w:t>
      </w:r>
      <w:r w:rsidR="00A95DCF">
        <w:rPr>
          <w:rFonts w:ascii="Times New Roman" w:hAnsi="Times New Roman" w:cs="Times New Roman"/>
          <w:color w:val="000000" w:themeColor="text1"/>
          <w:sz w:val="24"/>
          <w:szCs w:val="24"/>
        </w:rPr>
        <w:t> </w:t>
      </w:r>
      <w:r w:rsidR="00C27926">
        <w:rPr>
          <w:rFonts w:ascii="Times New Roman" w:hAnsi="Times New Roman" w:cs="Times New Roman"/>
          <w:color w:val="000000" w:themeColor="text1"/>
          <w:sz w:val="24"/>
          <w:szCs w:val="24"/>
        </w:rPr>
        <w:t xml:space="preserve">września 1994 r. </w:t>
      </w:r>
      <w:r w:rsidRPr="00EB304C">
        <w:rPr>
          <w:rFonts w:ascii="Times New Roman" w:hAnsi="Times New Roman" w:cs="Times New Roman"/>
          <w:color w:val="000000" w:themeColor="text1"/>
          <w:sz w:val="24"/>
          <w:szCs w:val="24"/>
        </w:rPr>
        <w:t xml:space="preserve">o rachunkowości definiuje </w:t>
      </w:r>
      <w:r w:rsidR="00A95DCF">
        <w:rPr>
          <w:rFonts w:ascii="Times New Roman" w:hAnsi="Times New Roman" w:cs="Times New Roman"/>
          <w:color w:val="000000" w:themeColor="text1"/>
          <w:sz w:val="24"/>
          <w:szCs w:val="24"/>
        </w:rPr>
        <w:t>te</w:t>
      </w:r>
      <w:r w:rsidRPr="00EB304C">
        <w:rPr>
          <w:rFonts w:ascii="Times New Roman" w:hAnsi="Times New Roman" w:cs="Times New Roman"/>
          <w:color w:val="000000" w:themeColor="text1"/>
          <w:sz w:val="24"/>
          <w:szCs w:val="24"/>
        </w:rPr>
        <w:t xml:space="preserve"> wartości jako powstałe w wyniku przeszłych zdarzeń, które spowodują w przyszłości wpływ do jednostki korzyści ekonomicznych. Dodatkowo przedmiotowa zmiana wynika również z rekomendacji OECD – zgodnie z którą aktywa finansowe powinny być zgodne ze standardem automatycznej wymiany danych, co oznacza raportowanie przez państwa członkowskie tej organizacji zarówno nazwanych aktywów finansowych, jak również nowych produktów pojawiających się na rynkach finansowych każdego </w:t>
      </w:r>
      <w:r w:rsidR="00C27926">
        <w:rPr>
          <w:rFonts w:ascii="Times New Roman" w:hAnsi="Times New Roman" w:cs="Times New Roman"/>
          <w:color w:val="000000" w:themeColor="text1"/>
          <w:sz w:val="24"/>
          <w:szCs w:val="24"/>
        </w:rPr>
        <w:t xml:space="preserve">z </w:t>
      </w:r>
      <w:r w:rsidRPr="00EB304C">
        <w:rPr>
          <w:rFonts w:ascii="Times New Roman" w:hAnsi="Times New Roman" w:cs="Times New Roman"/>
          <w:color w:val="000000" w:themeColor="text1"/>
          <w:sz w:val="24"/>
          <w:szCs w:val="24"/>
        </w:rPr>
        <w:t>państw członkowskich związanego z rozwojem rynków finansowych.</w:t>
      </w:r>
    </w:p>
    <w:p w14:paraId="4F523EBF" w14:textId="19900A11" w:rsidR="00F00EA6" w:rsidRPr="006815B9" w:rsidRDefault="00F62650" w:rsidP="00507007">
      <w:pPr>
        <w:pStyle w:val="Akapitzlist"/>
        <w:numPr>
          <w:ilvl w:val="0"/>
          <w:numId w:val="11"/>
        </w:num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b/>
          <w:color w:val="000000" w:themeColor="text1"/>
          <w:sz w:val="24"/>
          <w:szCs w:val="24"/>
        </w:rPr>
        <w:t>Przepisy antyabuzywne</w:t>
      </w:r>
      <w:r w:rsidR="00F5740E" w:rsidRPr="00EB304C">
        <w:rPr>
          <w:rFonts w:ascii="Times New Roman" w:hAnsi="Times New Roman" w:cs="Times New Roman"/>
          <w:b/>
          <w:color w:val="000000" w:themeColor="text1"/>
          <w:sz w:val="24"/>
          <w:szCs w:val="24"/>
        </w:rPr>
        <w:t xml:space="preserve"> (art. 71a)</w:t>
      </w:r>
    </w:p>
    <w:p w14:paraId="509D64A3" w14:textId="020DF3B3" w:rsidR="00F62650" w:rsidRPr="00EB304C" w:rsidRDefault="00F62650"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 xml:space="preserve">W celu wdrożenia sekcji IX standardu CRS, zgodnie z rekomendacjami Global Forum Polska powinna także wprowadzić zasady uniemożliwiające instytucjom finansowym oraz innym osobom i pośrednikom stosowanie praktyk mających na celu obejście procedur należytej staranności i sprawozdawczości, o których mowa w przepisach </w:t>
      </w:r>
      <w:r w:rsidR="00070D4E" w:rsidRPr="00EB304C">
        <w:rPr>
          <w:rFonts w:ascii="Times New Roman" w:hAnsi="Times New Roman" w:cs="Times New Roman"/>
          <w:color w:val="000000" w:themeColor="text1"/>
          <w:sz w:val="24"/>
          <w:szCs w:val="24"/>
        </w:rPr>
        <w:t>u</w:t>
      </w:r>
      <w:r w:rsidRPr="00EB304C">
        <w:rPr>
          <w:rFonts w:ascii="Times New Roman" w:hAnsi="Times New Roman" w:cs="Times New Roman"/>
          <w:color w:val="000000" w:themeColor="text1"/>
          <w:sz w:val="24"/>
          <w:szCs w:val="24"/>
        </w:rPr>
        <w:t>stawy. W rekomendacjach Global Forum podkreślono, że obowiązujące wymogi dotyczące raportowania schematów podatkowych ułatwią identyfikację takich praktyk, jednakże potrzebne są dodatkowe przepisy, które pozwolą na zapobieganie takim praktykom. W związku</w:t>
      </w:r>
      <w:r w:rsidR="00223152">
        <w:rPr>
          <w:rFonts w:ascii="Times New Roman" w:hAnsi="Times New Roman" w:cs="Times New Roman"/>
          <w:color w:val="000000" w:themeColor="text1"/>
          <w:sz w:val="24"/>
          <w:szCs w:val="24"/>
        </w:rPr>
        <w:t xml:space="preserve"> </w:t>
      </w:r>
      <w:r w:rsidRPr="00EB304C">
        <w:rPr>
          <w:rFonts w:ascii="Times New Roman" w:hAnsi="Times New Roman" w:cs="Times New Roman"/>
          <w:color w:val="000000" w:themeColor="text1"/>
          <w:sz w:val="24"/>
          <w:szCs w:val="24"/>
        </w:rPr>
        <w:t>z powyższym</w:t>
      </w:r>
      <w:r w:rsidR="00223152">
        <w:rPr>
          <w:rFonts w:ascii="Times New Roman" w:hAnsi="Times New Roman" w:cs="Times New Roman"/>
          <w:color w:val="000000" w:themeColor="text1"/>
          <w:sz w:val="24"/>
          <w:szCs w:val="24"/>
        </w:rPr>
        <w:t xml:space="preserve"> </w:t>
      </w:r>
      <w:r w:rsidRPr="00EB304C">
        <w:rPr>
          <w:rFonts w:ascii="Times New Roman" w:hAnsi="Times New Roman" w:cs="Times New Roman"/>
          <w:color w:val="000000" w:themeColor="text1"/>
          <w:sz w:val="24"/>
          <w:szCs w:val="24"/>
        </w:rPr>
        <w:t xml:space="preserve">projekt przewiduje wprowadzenie tzw. małej klauzuli antyabuzywnej mającej na celu uniemożliwienie obchodzenia procedur należytej staranności i sprawozdawczości. Projekt małej klauzuli antyabuzywnej z uwagi na zbliżony reżim dotyczący automatycznej wymiany informacji podatkowych jest </w:t>
      </w:r>
      <w:r w:rsidR="002E2BE7" w:rsidRPr="00EB304C">
        <w:rPr>
          <w:rFonts w:ascii="Times New Roman" w:hAnsi="Times New Roman" w:cs="Times New Roman"/>
          <w:color w:val="000000" w:themeColor="text1"/>
          <w:sz w:val="24"/>
          <w:szCs w:val="24"/>
        </w:rPr>
        <w:t>implementowany</w:t>
      </w:r>
      <w:r w:rsidRPr="00EB304C">
        <w:rPr>
          <w:rFonts w:ascii="Times New Roman" w:hAnsi="Times New Roman" w:cs="Times New Roman"/>
          <w:color w:val="000000" w:themeColor="text1"/>
          <w:sz w:val="24"/>
          <w:szCs w:val="24"/>
        </w:rPr>
        <w:t xml:space="preserve"> także w ustawie FATCA.</w:t>
      </w:r>
    </w:p>
    <w:p w14:paraId="412AAAA4" w14:textId="5FE03EC0" w:rsidR="00F62650" w:rsidRPr="00EB304C" w:rsidRDefault="00F62650"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Należy także odróżnić kwestie dotyczące nieprzestrzegania procedur należytej staranności oraz procedur sprawozdawczych od prób ich obejścia. Zgodnie z zaleceniami Global Forum</w:t>
      </w:r>
      <w:r w:rsidRPr="00EB304C">
        <w:rPr>
          <w:rStyle w:val="Odwoanieprzypisudolnego"/>
          <w:rFonts w:ascii="Times New Roman" w:hAnsi="Times New Roman" w:cs="Times New Roman"/>
          <w:color w:val="000000" w:themeColor="text1"/>
          <w:sz w:val="24"/>
          <w:szCs w:val="24"/>
        </w:rPr>
        <w:footnoteReference w:id="3"/>
      </w:r>
      <w:r w:rsidRPr="00EB304C">
        <w:rPr>
          <w:rFonts w:ascii="Times New Roman" w:hAnsi="Times New Roman" w:cs="Times New Roman"/>
          <w:color w:val="000000" w:themeColor="text1"/>
          <w:sz w:val="24"/>
          <w:szCs w:val="24"/>
        </w:rPr>
        <w:t>, potrzeba wprowadzenia środków przeciwdziałającyc</w:t>
      </w:r>
      <w:r w:rsidR="0009626F" w:rsidRPr="00EB304C">
        <w:rPr>
          <w:rFonts w:ascii="Times New Roman" w:hAnsi="Times New Roman" w:cs="Times New Roman"/>
          <w:color w:val="000000" w:themeColor="text1"/>
          <w:sz w:val="24"/>
          <w:szCs w:val="24"/>
        </w:rPr>
        <w:t>h obchodzeniu procedur wynika z </w:t>
      </w:r>
      <w:r w:rsidRPr="00EB304C">
        <w:rPr>
          <w:rFonts w:ascii="Times New Roman" w:hAnsi="Times New Roman" w:cs="Times New Roman"/>
          <w:color w:val="000000" w:themeColor="text1"/>
          <w:sz w:val="24"/>
          <w:szCs w:val="24"/>
        </w:rPr>
        <w:t>możliwości obejścia obowiązków raportowania w cel</w:t>
      </w:r>
      <w:r w:rsidR="00936D84" w:rsidRPr="00EB304C">
        <w:rPr>
          <w:rFonts w:ascii="Times New Roman" w:hAnsi="Times New Roman" w:cs="Times New Roman"/>
          <w:color w:val="000000" w:themeColor="text1"/>
          <w:sz w:val="24"/>
          <w:szCs w:val="24"/>
        </w:rPr>
        <w:t>u unikania lub uchylania się od </w:t>
      </w:r>
      <w:r w:rsidRPr="00EB304C">
        <w:rPr>
          <w:rFonts w:ascii="Times New Roman" w:hAnsi="Times New Roman" w:cs="Times New Roman"/>
          <w:color w:val="000000" w:themeColor="text1"/>
          <w:sz w:val="24"/>
          <w:szCs w:val="24"/>
        </w:rPr>
        <w:t xml:space="preserve">opodatkowania przez osoby korzystające z rachunków finansowych. </w:t>
      </w:r>
    </w:p>
    <w:p w14:paraId="1CE11EDC" w14:textId="77777777" w:rsidR="00F62650" w:rsidRPr="00EB304C" w:rsidRDefault="00F62650"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 xml:space="preserve">Działania mające na celu uniknięcie tych obowiązków mogą być ułatwiane m.in. przez instytucje finansowe, pośredników lub inne podmioty (np. profesjonalnych pełnomocników) </w:t>
      </w:r>
      <w:r w:rsidRPr="00EB304C">
        <w:rPr>
          <w:rFonts w:ascii="Times New Roman" w:hAnsi="Times New Roman" w:cs="Times New Roman"/>
          <w:color w:val="000000" w:themeColor="text1"/>
          <w:sz w:val="24"/>
          <w:szCs w:val="24"/>
        </w:rPr>
        <w:lastRenderedPageBreak/>
        <w:t>oraz polegać m.in. na przenoszeniu aktywów lub sztucznych transakcjach i strukturach prawnych.</w:t>
      </w:r>
    </w:p>
    <w:p w14:paraId="07B05D0E" w14:textId="38D44369" w:rsidR="00F62650" w:rsidRPr="00EB304C" w:rsidRDefault="00F62650"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 xml:space="preserve">Wdrażane schematy mające na celu obejście przepisów uWIP z innymi państwami mogą wymagać zaangażowania albo samej instytucji finansowej, pośredników, osób kontrolujących lub innych osób, takich jak doradcy finansowi czy profesjonalni pełnomocnicy. Mając to na uwadze, systemy prawne powinny przewidywać odpowiednie regulacje, sankcjonujące działania podejmowane przez te osoby. </w:t>
      </w:r>
    </w:p>
    <w:p w14:paraId="13EE83E2" w14:textId="77777777" w:rsidR="00F62650" w:rsidRPr="00EB304C" w:rsidRDefault="00F62650" w:rsidP="00507007">
      <w:pPr>
        <w:pStyle w:val="PKTpunkt"/>
        <w:spacing w:before="120"/>
        <w:ind w:left="0" w:firstLine="0"/>
        <w:rPr>
          <w:rFonts w:ascii="Times New Roman" w:hAnsi="Times New Roman" w:cs="Times New Roman"/>
          <w:szCs w:val="24"/>
        </w:rPr>
      </w:pPr>
      <w:r w:rsidRPr="00EB304C">
        <w:rPr>
          <w:rFonts w:ascii="Times New Roman" w:hAnsi="Times New Roman" w:cs="Times New Roman"/>
          <w:szCs w:val="24"/>
        </w:rPr>
        <w:t>Komentarz do Standardu CRS</w:t>
      </w:r>
      <w:r w:rsidRPr="00EB304C">
        <w:rPr>
          <w:rStyle w:val="Odwoanieprzypisudolnego"/>
          <w:rFonts w:ascii="Times New Roman" w:hAnsi="Times New Roman" w:cs="Times New Roman"/>
          <w:szCs w:val="24"/>
        </w:rPr>
        <w:footnoteReference w:id="4"/>
      </w:r>
      <w:r w:rsidRPr="00EB304C">
        <w:rPr>
          <w:rFonts w:ascii="Times New Roman" w:hAnsi="Times New Roman" w:cs="Times New Roman"/>
          <w:szCs w:val="24"/>
        </w:rPr>
        <w:t xml:space="preserve"> przywołuje poniższe przykłady sytuacji, w których może następować wykorzystanie schematów wpływających na procedurę należytej staranności lub procedurę sprawozdawczą:</w:t>
      </w:r>
    </w:p>
    <w:p w14:paraId="40462581" w14:textId="422AF00E" w:rsidR="00F62650" w:rsidRPr="00EB304C" w:rsidRDefault="00F62650" w:rsidP="00507007">
      <w:pPr>
        <w:pStyle w:val="PKTpunkt"/>
        <w:numPr>
          <w:ilvl w:val="0"/>
          <w:numId w:val="27"/>
        </w:numPr>
        <w:spacing w:before="120"/>
        <w:rPr>
          <w:rFonts w:ascii="Times New Roman" w:hAnsi="Times New Roman" w:cs="Times New Roman"/>
          <w:szCs w:val="24"/>
        </w:rPr>
      </w:pPr>
      <w:r w:rsidRPr="00EB304C">
        <w:rPr>
          <w:rFonts w:ascii="Times New Roman" w:hAnsi="Times New Roman" w:cs="Times New Roman"/>
          <w:szCs w:val="24"/>
        </w:rPr>
        <w:t>Przykład 1 (Zmiana sposobu prowadzenia rachunku) – raportująca instytucja finansowa doradza klientowi prowadzenie rachunku w podmiocie powiązanym w państwie nieuczestniczącym, który umożliwia tej raportującej instytucji finansowej uniknięcie raportowania przy jednoczesnym oferowaniu świadczenia usług i utrzymywaniu relacji z klientem</w:t>
      </w:r>
      <w:r w:rsidR="00A95DCF">
        <w:rPr>
          <w:rFonts w:ascii="Times New Roman" w:hAnsi="Times New Roman" w:cs="Times New Roman"/>
          <w:szCs w:val="24"/>
        </w:rPr>
        <w:t>,</w:t>
      </w:r>
      <w:r w:rsidRPr="00EB304C">
        <w:rPr>
          <w:rFonts w:ascii="Times New Roman" w:hAnsi="Times New Roman" w:cs="Times New Roman"/>
          <w:szCs w:val="24"/>
        </w:rPr>
        <w:t xml:space="preserve"> tak jakby rachunek był prowadzony przez t</w:t>
      </w:r>
      <w:r w:rsidR="003A04E1">
        <w:rPr>
          <w:rFonts w:ascii="Times New Roman" w:hAnsi="Times New Roman" w:cs="Times New Roman"/>
          <w:szCs w:val="24"/>
        </w:rPr>
        <w:t>ę</w:t>
      </w:r>
      <w:r w:rsidRPr="00EB304C">
        <w:rPr>
          <w:rFonts w:ascii="Times New Roman" w:hAnsi="Times New Roman" w:cs="Times New Roman"/>
          <w:szCs w:val="24"/>
        </w:rPr>
        <w:t xml:space="preserve"> raportującą instytucję finansową. W takim przypadku należy uznać, że to raportująca instytucja finansowa prowadzi taki rachunek i spełnia wynikające z tego wymogi w zakresie procedur należytej staranności oraz procedur sprawozdawczych.</w:t>
      </w:r>
    </w:p>
    <w:p w14:paraId="5E19ACBD" w14:textId="77777777" w:rsidR="00F62650" w:rsidRPr="00EB304C" w:rsidRDefault="00F62650" w:rsidP="00507007">
      <w:pPr>
        <w:pStyle w:val="PKTpunkt"/>
        <w:numPr>
          <w:ilvl w:val="0"/>
          <w:numId w:val="27"/>
        </w:numPr>
        <w:spacing w:before="120"/>
        <w:rPr>
          <w:rFonts w:ascii="Times New Roman" w:hAnsi="Times New Roman" w:cs="Times New Roman"/>
          <w:szCs w:val="24"/>
        </w:rPr>
      </w:pPr>
      <w:r w:rsidRPr="00EB304C">
        <w:rPr>
          <w:rFonts w:ascii="Times New Roman" w:hAnsi="Times New Roman" w:cs="Times New Roman"/>
          <w:szCs w:val="24"/>
        </w:rPr>
        <w:t xml:space="preserve">Przykład 2 (Kwoty na koniec roku) – instytucja finansowa lub posiadacz rachunku </w:t>
      </w:r>
      <w:r w:rsidRPr="00EB304C">
        <w:rPr>
          <w:rFonts w:ascii="Times New Roman" w:hAnsi="Times New Roman" w:cs="Times New Roman"/>
          <w:szCs w:val="24"/>
        </w:rPr>
        <w:br/>
        <w:t>(lub osoba upoważniona) manipulują kwotami na koniec roku (np. saldem rachunku), aby uniknąć lub wpłynąć na zakres raportowania.</w:t>
      </w:r>
    </w:p>
    <w:p w14:paraId="1A04B790" w14:textId="77777777" w:rsidR="00F62650" w:rsidRPr="00EB304C" w:rsidRDefault="00F62650" w:rsidP="00507007">
      <w:pPr>
        <w:pStyle w:val="PKTpunkt"/>
        <w:numPr>
          <w:ilvl w:val="0"/>
          <w:numId w:val="27"/>
        </w:numPr>
        <w:spacing w:before="120"/>
        <w:rPr>
          <w:rFonts w:ascii="Times New Roman" w:hAnsi="Times New Roman" w:cs="Times New Roman"/>
          <w:szCs w:val="24"/>
        </w:rPr>
      </w:pPr>
      <w:r w:rsidRPr="00EB304C">
        <w:rPr>
          <w:rFonts w:ascii="Times New Roman" w:hAnsi="Times New Roman" w:cs="Times New Roman"/>
          <w:szCs w:val="24"/>
        </w:rPr>
        <w:t xml:space="preserve">Przykład 3 (Lokowanie środków u kwalifikowanego wystawcy kart kredytowych) – posiadacz rachunku lokuje krótkoterminowo środki z rachunków raportowanych </w:t>
      </w:r>
      <w:r w:rsidRPr="00EB304C">
        <w:rPr>
          <w:rFonts w:ascii="Times New Roman" w:hAnsi="Times New Roman" w:cs="Times New Roman"/>
          <w:szCs w:val="24"/>
        </w:rPr>
        <w:br/>
        <w:t>u kwalifikowanego wystawcy kart kredytowych, aby uniknąć lub wpłynąć na zakres raportowania.</w:t>
      </w:r>
    </w:p>
    <w:p w14:paraId="6A7D6983" w14:textId="643646DD" w:rsidR="00F62650" w:rsidRPr="006815B9" w:rsidRDefault="00F62650" w:rsidP="00507007">
      <w:pPr>
        <w:pStyle w:val="PKTpunkt"/>
        <w:numPr>
          <w:ilvl w:val="0"/>
          <w:numId w:val="27"/>
        </w:numPr>
        <w:spacing w:before="120"/>
        <w:rPr>
          <w:rFonts w:ascii="Times New Roman" w:hAnsi="Times New Roman" w:cs="Times New Roman"/>
          <w:color w:val="000000" w:themeColor="text1"/>
          <w:szCs w:val="24"/>
        </w:rPr>
      </w:pPr>
      <w:r w:rsidRPr="00EB304C">
        <w:rPr>
          <w:rFonts w:ascii="Times New Roman" w:hAnsi="Times New Roman" w:cs="Times New Roman"/>
          <w:szCs w:val="24"/>
        </w:rPr>
        <w:t>Przykład 4 (Elektroniczne rejestry i systemy komputerowe) – raportująca instytucja finansowa celowo nie tworzy żadnych rejestrów elektronicznych (tak aby elektroniczne wyszukiwanie danych nie przyniosło żadnych wyników) lub utrzymuje skomputeryzowane systemy sztucznie oddzielone (tak aby uniknąć zasady sumowania rachunków).</w:t>
      </w:r>
    </w:p>
    <w:p w14:paraId="6845B5B5" w14:textId="607867AF" w:rsidR="00F62650" w:rsidRPr="00EB304C" w:rsidRDefault="00F62650"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lastRenderedPageBreak/>
        <w:t xml:space="preserve">Jeżeli dana osoba zawiera jakiekolwiek porozumienie, sprzeczne w danych </w:t>
      </w:r>
      <w:r w:rsidR="00936D84" w:rsidRPr="00EB304C">
        <w:rPr>
          <w:rFonts w:ascii="Times New Roman" w:hAnsi="Times New Roman" w:cs="Times New Roman"/>
          <w:color w:val="000000" w:themeColor="text1"/>
          <w:sz w:val="24"/>
          <w:szCs w:val="24"/>
        </w:rPr>
        <w:t>okolicznościach z </w:t>
      </w:r>
      <w:r w:rsidRPr="00EB304C">
        <w:rPr>
          <w:rFonts w:ascii="Times New Roman" w:hAnsi="Times New Roman" w:cs="Times New Roman"/>
          <w:color w:val="000000" w:themeColor="text1"/>
          <w:sz w:val="24"/>
          <w:szCs w:val="24"/>
        </w:rPr>
        <w:t>przedmiotem lub celem ustawy, którego głównym celem lub jednym z głównych celów jest uniknięcie obowiązków stosowania procedur należytej staranności lub procedur sprawozdawczych wynikających z ustawy, a sposób działania był sztuczny, uznaje się na potrzeby obowiązków wynikających z uWIP, że takie poro</w:t>
      </w:r>
      <w:r w:rsidR="00936D84" w:rsidRPr="00EB304C">
        <w:rPr>
          <w:rFonts w:ascii="Times New Roman" w:hAnsi="Times New Roman" w:cs="Times New Roman"/>
          <w:color w:val="000000" w:themeColor="text1"/>
          <w:sz w:val="24"/>
          <w:szCs w:val="24"/>
        </w:rPr>
        <w:t>zumienie nie zostało zawarte. W </w:t>
      </w:r>
      <w:r w:rsidRPr="00EB304C">
        <w:rPr>
          <w:rFonts w:ascii="Times New Roman" w:hAnsi="Times New Roman" w:cs="Times New Roman"/>
          <w:color w:val="000000" w:themeColor="text1"/>
          <w:sz w:val="24"/>
          <w:szCs w:val="24"/>
        </w:rPr>
        <w:t xml:space="preserve">takiej sytuacji oczekuje się, aby obowiązek stosowania procedur należytej staranności oraz procedur sprawozdawczych był przestrzegany, tak jakby dane porozumienie nigdy nie miało miejsca (ang. </w:t>
      </w:r>
      <w:r w:rsidRPr="00EB304C">
        <w:rPr>
          <w:rFonts w:ascii="Times New Roman" w:hAnsi="Times New Roman" w:cs="Times New Roman"/>
          <w:i/>
          <w:color w:val="000000" w:themeColor="text1"/>
          <w:sz w:val="24"/>
          <w:szCs w:val="24"/>
        </w:rPr>
        <w:t>null and void approach</w:t>
      </w:r>
      <w:r w:rsidRPr="00EB304C">
        <w:rPr>
          <w:rFonts w:ascii="Times New Roman" w:hAnsi="Times New Roman" w:cs="Times New Roman"/>
          <w:color w:val="000000" w:themeColor="text1"/>
          <w:sz w:val="24"/>
          <w:szCs w:val="24"/>
        </w:rPr>
        <w:t xml:space="preserve">). </w:t>
      </w:r>
    </w:p>
    <w:p w14:paraId="4A203230" w14:textId="04482BEC" w:rsidR="00F62650" w:rsidRPr="00EB304C" w:rsidRDefault="00F62650"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Projektowana klauzula zo</w:t>
      </w:r>
      <w:r w:rsidR="00997F56" w:rsidRPr="00EB304C">
        <w:rPr>
          <w:rFonts w:ascii="Times New Roman" w:hAnsi="Times New Roman" w:cs="Times New Roman"/>
          <w:color w:val="000000" w:themeColor="text1"/>
          <w:sz w:val="24"/>
          <w:szCs w:val="24"/>
        </w:rPr>
        <w:t xml:space="preserve">stała umieszczona w </w:t>
      </w:r>
      <w:r w:rsidR="003A04E1">
        <w:rPr>
          <w:rFonts w:ascii="Times New Roman" w:hAnsi="Times New Roman" w:cs="Times New Roman"/>
          <w:color w:val="000000" w:themeColor="text1"/>
          <w:sz w:val="24"/>
          <w:szCs w:val="24"/>
        </w:rPr>
        <w:t xml:space="preserve">dziale III </w:t>
      </w:r>
      <w:r w:rsidR="00997F56" w:rsidRPr="00EB304C">
        <w:rPr>
          <w:rFonts w:ascii="Times New Roman" w:hAnsi="Times New Roman" w:cs="Times New Roman"/>
          <w:color w:val="000000" w:themeColor="text1"/>
          <w:sz w:val="24"/>
          <w:szCs w:val="24"/>
        </w:rPr>
        <w:t xml:space="preserve">rozdziale 9 </w:t>
      </w:r>
      <w:r w:rsidR="00A95DCF">
        <w:rPr>
          <w:rFonts w:ascii="Times New Roman" w:hAnsi="Times New Roman" w:cs="Times New Roman"/>
          <w:color w:val="000000" w:themeColor="text1"/>
          <w:sz w:val="24"/>
          <w:szCs w:val="24"/>
        </w:rPr>
        <w:t>–</w:t>
      </w:r>
      <w:r w:rsidRPr="00EB304C">
        <w:rPr>
          <w:rFonts w:ascii="Times New Roman" w:hAnsi="Times New Roman" w:cs="Times New Roman"/>
          <w:color w:val="000000" w:themeColor="text1"/>
          <w:sz w:val="24"/>
          <w:szCs w:val="24"/>
        </w:rPr>
        <w:t xml:space="preserve"> </w:t>
      </w:r>
      <w:r w:rsidR="00997F56" w:rsidRPr="00EB304C">
        <w:rPr>
          <w:rFonts w:ascii="Times New Roman" w:hAnsi="Times New Roman" w:cs="Times New Roman"/>
          <w:color w:val="000000" w:themeColor="text1"/>
          <w:sz w:val="24"/>
          <w:szCs w:val="24"/>
        </w:rPr>
        <w:t>k</w:t>
      </w:r>
      <w:r w:rsidRPr="00EB304C">
        <w:rPr>
          <w:rFonts w:ascii="Times New Roman" w:hAnsi="Times New Roman" w:cs="Times New Roman"/>
          <w:color w:val="000000" w:themeColor="text1"/>
          <w:sz w:val="24"/>
          <w:szCs w:val="24"/>
        </w:rPr>
        <w:t xml:space="preserve">ontrola raportujących instytucji finansowych. </w:t>
      </w:r>
      <w:r w:rsidR="00997F56" w:rsidRPr="00EB304C">
        <w:rPr>
          <w:rFonts w:ascii="Times New Roman" w:hAnsi="Times New Roman" w:cs="Times New Roman"/>
          <w:color w:val="000000" w:themeColor="text1"/>
          <w:sz w:val="24"/>
          <w:szCs w:val="24"/>
        </w:rPr>
        <w:t>K</w:t>
      </w:r>
      <w:r w:rsidRPr="00EB304C">
        <w:rPr>
          <w:rFonts w:ascii="Times New Roman" w:hAnsi="Times New Roman" w:cs="Times New Roman"/>
          <w:color w:val="000000" w:themeColor="text1"/>
          <w:sz w:val="24"/>
          <w:szCs w:val="24"/>
        </w:rPr>
        <w:t>lauzula, celem uniknięcia wątpliwości przy jej stosowaniu</w:t>
      </w:r>
      <w:r w:rsidR="00A95DCF">
        <w:rPr>
          <w:rFonts w:ascii="Times New Roman" w:hAnsi="Times New Roman" w:cs="Times New Roman"/>
          <w:color w:val="000000" w:themeColor="text1"/>
          <w:sz w:val="24"/>
          <w:szCs w:val="24"/>
        </w:rPr>
        <w:t>,</w:t>
      </w:r>
      <w:r w:rsidRPr="00EB304C">
        <w:rPr>
          <w:rFonts w:ascii="Times New Roman" w:hAnsi="Times New Roman" w:cs="Times New Roman"/>
          <w:color w:val="000000" w:themeColor="text1"/>
          <w:sz w:val="24"/>
          <w:szCs w:val="24"/>
        </w:rPr>
        <w:t xml:space="preserve"> definiuje także pojęcie sztuczności oraz porozumienia. W odniesieniu do </w:t>
      </w:r>
      <w:r w:rsidR="003A04E1">
        <w:rPr>
          <w:rFonts w:ascii="Times New Roman" w:hAnsi="Times New Roman" w:cs="Times New Roman"/>
          <w:color w:val="000000" w:themeColor="text1"/>
          <w:sz w:val="24"/>
          <w:szCs w:val="24"/>
        </w:rPr>
        <w:t xml:space="preserve">określenia </w:t>
      </w:r>
      <w:r w:rsidRPr="00EB304C">
        <w:rPr>
          <w:rFonts w:ascii="Times New Roman" w:hAnsi="Times New Roman" w:cs="Times New Roman"/>
          <w:color w:val="000000" w:themeColor="text1"/>
          <w:sz w:val="24"/>
          <w:szCs w:val="24"/>
        </w:rPr>
        <w:t xml:space="preserve">„porozumienie” należy wskazać, że wszelkiego rodzaju schematy mające na celu unikanie stosowania procedur należytej staranności i procedur sprawozdawczych w zakresie automatycznej wymiany informacji podatkowych (opisane m.in. w komentarzu do Standardu CRS lub w analizie OECD dot. programów </w:t>
      </w:r>
      <w:r w:rsidRPr="00EB304C">
        <w:rPr>
          <w:rFonts w:ascii="Times New Roman" w:hAnsi="Times New Roman" w:cs="Times New Roman"/>
          <w:i/>
          <w:color w:val="000000" w:themeColor="text1"/>
          <w:sz w:val="24"/>
          <w:szCs w:val="24"/>
        </w:rPr>
        <w:t>Citizenship by Investment</w:t>
      </w:r>
      <w:r w:rsidRPr="00EB304C">
        <w:rPr>
          <w:rFonts w:ascii="Times New Roman" w:hAnsi="Times New Roman" w:cs="Times New Roman"/>
          <w:color w:val="000000" w:themeColor="text1"/>
          <w:sz w:val="24"/>
          <w:szCs w:val="24"/>
        </w:rPr>
        <w:t xml:space="preserve"> (CBI) i </w:t>
      </w:r>
      <w:r w:rsidRPr="00EB304C">
        <w:rPr>
          <w:rFonts w:ascii="Times New Roman" w:hAnsi="Times New Roman" w:cs="Times New Roman"/>
          <w:i/>
          <w:color w:val="000000" w:themeColor="text1"/>
          <w:sz w:val="24"/>
          <w:szCs w:val="24"/>
        </w:rPr>
        <w:t xml:space="preserve">Residence by Investment </w:t>
      </w:r>
      <w:r w:rsidRPr="00EB304C">
        <w:rPr>
          <w:rFonts w:ascii="Times New Roman" w:hAnsi="Times New Roman" w:cs="Times New Roman"/>
          <w:color w:val="000000" w:themeColor="text1"/>
          <w:sz w:val="24"/>
          <w:szCs w:val="24"/>
        </w:rPr>
        <w:t>(RBI))</w:t>
      </w:r>
      <w:r w:rsidRPr="00EB304C">
        <w:rPr>
          <w:rStyle w:val="Odwoanieprzypisudolnego"/>
          <w:rFonts w:ascii="Times New Roman" w:hAnsi="Times New Roman" w:cs="Times New Roman"/>
          <w:color w:val="000000" w:themeColor="text1"/>
          <w:sz w:val="24"/>
          <w:szCs w:val="24"/>
        </w:rPr>
        <w:footnoteReference w:id="5"/>
      </w:r>
      <w:r w:rsidRPr="00EB304C">
        <w:rPr>
          <w:rFonts w:ascii="Times New Roman" w:hAnsi="Times New Roman" w:cs="Times New Roman"/>
          <w:color w:val="000000" w:themeColor="text1"/>
          <w:sz w:val="24"/>
          <w:szCs w:val="24"/>
        </w:rPr>
        <w:t xml:space="preserve"> mogą być również działaniem jednostronnym (np. przez samego posiadacza rachunku). W związku z tym „porozumienie</w:t>
      </w:r>
      <w:r w:rsidR="00A7258F">
        <w:rPr>
          <w:rFonts w:ascii="Times New Roman" w:hAnsi="Times New Roman" w:cs="Times New Roman"/>
          <w:color w:val="000000" w:themeColor="text1"/>
          <w:sz w:val="24"/>
          <w:szCs w:val="24"/>
        </w:rPr>
        <w:t>”</w:t>
      </w:r>
      <w:r w:rsidRPr="00EB304C">
        <w:rPr>
          <w:rFonts w:ascii="Times New Roman" w:hAnsi="Times New Roman" w:cs="Times New Roman"/>
          <w:color w:val="000000" w:themeColor="text1"/>
          <w:sz w:val="24"/>
          <w:szCs w:val="24"/>
        </w:rPr>
        <w:t xml:space="preserve"> będzie czynnością lub zespołem czynności podejmowanych w celu ominięcia stosowania procedur należytej staranności lub procedur sprawozdawczych.</w:t>
      </w:r>
    </w:p>
    <w:p w14:paraId="51D87C45" w14:textId="1149896B" w:rsidR="00F62650" w:rsidRPr="006815B9" w:rsidRDefault="00F62650"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Celem omawianych przepisów jest także osiągnięcie skutków prewencyjnych względem możliwych naruszeń.</w:t>
      </w:r>
    </w:p>
    <w:p w14:paraId="08B8F01E" w14:textId="4D298E62" w:rsidR="00B16D5E" w:rsidRPr="006815B9" w:rsidRDefault="00B16D5E" w:rsidP="00507007">
      <w:pPr>
        <w:pStyle w:val="Akapitzlist"/>
        <w:numPr>
          <w:ilvl w:val="0"/>
          <w:numId w:val="21"/>
        </w:numPr>
        <w:spacing w:before="120" w:after="0" w:line="360" w:lineRule="auto"/>
        <w:jc w:val="both"/>
        <w:rPr>
          <w:rFonts w:ascii="Times New Roman" w:hAnsi="Times New Roman" w:cs="Times New Roman"/>
          <w:b/>
          <w:color w:val="000000" w:themeColor="text1"/>
          <w:sz w:val="24"/>
          <w:szCs w:val="24"/>
        </w:rPr>
      </w:pPr>
      <w:r w:rsidRPr="00EB304C">
        <w:rPr>
          <w:rFonts w:ascii="Times New Roman" w:hAnsi="Times New Roman" w:cs="Times New Roman"/>
          <w:b/>
          <w:color w:val="000000" w:themeColor="text1"/>
          <w:sz w:val="24"/>
          <w:szCs w:val="24"/>
        </w:rPr>
        <w:t>Zmiany w art. 4</w:t>
      </w:r>
      <w:r w:rsidR="00F62650" w:rsidRPr="00EB304C">
        <w:rPr>
          <w:rFonts w:ascii="Times New Roman" w:hAnsi="Times New Roman" w:cs="Times New Roman"/>
          <w:b/>
          <w:color w:val="000000" w:themeColor="text1"/>
          <w:sz w:val="24"/>
          <w:szCs w:val="24"/>
        </w:rPr>
        <w:t xml:space="preserve"> uWIP</w:t>
      </w:r>
    </w:p>
    <w:p w14:paraId="7E8C1E96" w14:textId="2CF87F56" w:rsidR="00F62650" w:rsidRPr="00EB304C" w:rsidRDefault="00F62650"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 xml:space="preserve">Zgodnie z obecnym brzmieniem art. 4 ust. 1 ustawy o wymianie informacji </w:t>
      </w:r>
      <w:r w:rsidR="0042082C">
        <w:rPr>
          <w:rFonts w:ascii="Times New Roman" w:hAnsi="Times New Roman" w:cs="Times New Roman"/>
          <w:color w:val="000000" w:themeColor="text1"/>
          <w:sz w:val="24"/>
          <w:szCs w:val="24"/>
        </w:rPr>
        <w:t xml:space="preserve">podatkowych </w:t>
      </w:r>
      <w:r w:rsidR="0042082C" w:rsidRPr="00EB304C">
        <w:rPr>
          <w:rFonts w:ascii="Times New Roman" w:hAnsi="Times New Roman" w:cs="Times New Roman"/>
          <w:color w:val="000000" w:themeColor="text1"/>
          <w:sz w:val="24"/>
          <w:szCs w:val="24"/>
        </w:rPr>
        <w:t xml:space="preserve">z innymi państwami </w:t>
      </w:r>
      <w:r w:rsidRPr="00EB304C">
        <w:rPr>
          <w:rFonts w:ascii="Times New Roman" w:hAnsi="Times New Roman" w:cs="Times New Roman"/>
          <w:color w:val="000000" w:themeColor="text1"/>
          <w:sz w:val="24"/>
          <w:szCs w:val="24"/>
        </w:rPr>
        <w:t>organy administracji publicznej oraz instytucje finansowe wymienione w art. 182 Ordynacji podatkowej, na sporządzone na piśmie żądanie ministra właściwego do spraw finansów publicznych, Szefa KAS lub jego upoważnionego przedstawiciela, są obowiązane do udzielenia informacji podatkowych w razie wystąpienia właściwego organu w zakresie i na zasadach określonych w dziale II lub wynikających z ratyfikowanych umów o unikaniu podwójnego opodatkowania i innych ratyfikowanych umów międzynarodowych, których stroną jest Rzeczpospolita Polska.</w:t>
      </w:r>
    </w:p>
    <w:p w14:paraId="607E6830" w14:textId="0C8ACEB3" w:rsidR="00F62650" w:rsidRPr="00EB304C" w:rsidRDefault="00F62650"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lastRenderedPageBreak/>
        <w:t>Jednocześnie, zgodnie z obecnym brzmieniem przepisu art. 23 ust. 1</w:t>
      </w:r>
      <w:r w:rsidR="00FC582C" w:rsidRPr="00EB304C">
        <w:rPr>
          <w:rFonts w:ascii="Times New Roman" w:hAnsi="Times New Roman" w:cs="Times New Roman"/>
          <w:color w:val="000000" w:themeColor="text1"/>
          <w:sz w:val="24"/>
          <w:szCs w:val="24"/>
        </w:rPr>
        <w:t>, znajdującego się w dziale II</w:t>
      </w:r>
      <w:r w:rsidRPr="00EB304C">
        <w:rPr>
          <w:rFonts w:ascii="Times New Roman" w:hAnsi="Times New Roman" w:cs="Times New Roman"/>
          <w:color w:val="000000" w:themeColor="text1"/>
          <w:sz w:val="24"/>
          <w:szCs w:val="24"/>
        </w:rPr>
        <w:t xml:space="preserve"> ustawy o wymianie informacji podatkowych z innymi państwami, w sprawach nieuregulowanych w art. 8</w:t>
      </w:r>
      <w:r w:rsidR="00C01DFF">
        <w:rPr>
          <w:rFonts w:ascii="Times New Roman" w:hAnsi="Times New Roman" w:cs="Times New Roman"/>
          <w:color w:val="000000" w:themeColor="text1"/>
          <w:sz w:val="24"/>
          <w:szCs w:val="24"/>
        </w:rPr>
        <w:t>–</w:t>
      </w:r>
      <w:r w:rsidRPr="00EB304C">
        <w:rPr>
          <w:rFonts w:ascii="Times New Roman" w:hAnsi="Times New Roman" w:cs="Times New Roman"/>
          <w:color w:val="000000" w:themeColor="text1"/>
          <w:sz w:val="24"/>
          <w:szCs w:val="24"/>
        </w:rPr>
        <w:t>14 tej ustawy stosuje się odpowiednio przepisy działu IV rozdziałów 1, 2 i 5, rozdziału 6</w:t>
      </w:r>
      <w:r w:rsidR="00C01DFF">
        <w:rPr>
          <w:rFonts w:ascii="Times New Roman" w:hAnsi="Times New Roman" w:cs="Times New Roman"/>
          <w:color w:val="000000" w:themeColor="text1"/>
          <w:sz w:val="24"/>
          <w:szCs w:val="24"/>
        </w:rPr>
        <w:t>,</w:t>
      </w:r>
      <w:r w:rsidRPr="00EB304C">
        <w:rPr>
          <w:rFonts w:ascii="Times New Roman" w:hAnsi="Times New Roman" w:cs="Times New Roman"/>
          <w:color w:val="000000" w:themeColor="text1"/>
          <w:sz w:val="24"/>
          <w:szCs w:val="24"/>
        </w:rPr>
        <w:t xml:space="preserve"> z wyłączeniem art. 156 § 2 i 3, rozdziałów 8, 9, 11 i 14 oraz art. 143 Ordynacj</w:t>
      </w:r>
      <w:r w:rsidR="00093E3C">
        <w:rPr>
          <w:rFonts w:ascii="Times New Roman" w:hAnsi="Times New Roman" w:cs="Times New Roman"/>
          <w:color w:val="000000" w:themeColor="text1"/>
          <w:sz w:val="24"/>
          <w:szCs w:val="24"/>
        </w:rPr>
        <w:t>i</w:t>
      </w:r>
      <w:r w:rsidRPr="00EB304C">
        <w:rPr>
          <w:rFonts w:ascii="Times New Roman" w:hAnsi="Times New Roman" w:cs="Times New Roman"/>
          <w:color w:val="000000" w:themeColor="text1"/>
          <w:sz w:val="24"/>
          <w:szCs w:val="24"/>
        </w:rPr>
        <w:t xml:space="preserve"> podatkow</w:t>
      </w:r>
      <w:r w:rsidR="00C01DFF">
        <w:rPr>
          <w:rFonts w:ascii="Times New Roman" w:hAnsi="Times New Roman" w:cs="Times New Roman"/>
          <w:color w:val="000000" w:themeColor="text1"/>
          <w:sz w:val="24"/>
          <w:szCs w:val="24"/>
        </w:rPr>
        <w:t>ej</w:t>
      </w:r>
      <w:r w:rsidRPr="00EB304C">
        <w:rPr>
          <w:rFonts w:ascii="Times New Roman" w:hAnsi="Times New Roman" w:cs="Times New Roman"/>
          <w:color w:val="000000" w:themeColor="text1"/>
          <w:sz w:val="24"/>
          <w:szCs w:val="24"/>
        </w:rPr>
        <w:t>.</w:t>
      </w:r>
    </w:p>
    <w:p w14:paraId="6C6FD17A" w14:textId="1A0CC50A" w:rsidR="00F62650" w:rsidRPr="00EB304C" w:rsidRDefault="00F62650"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 xml:space="preserve">Przepisy art. 182–185 Ordynacji podatkowej zostały umieszczone przez ustawodawcę w dziale IV rozdziale 11 Ordynacji podatkowej, a wobec tego </w:t>
      </w:r>
      <w:r w:rsidR="00936D84" w:rsidRPr="00EB304C">
        <w:rPr>
          <w:rFonts w:ascii="Times New Roman" w:hAnsi="Times New Roman" w:cs="Times New Roman"/>
          <w:color w:val="000000" w:themeColor="text1"/>
          <w:sz w:val="24"/>
          <w:szCs w:val="24"/>
        </w:rPr>
        <w:t>zgodnie z art. 4 ust. 1 w zw. z </w:t>
      </w:r>
      <w:r w:rsidRPr="00EB304C">
        <w:rPr>
          <w:rFonts w:ascii="Times New Roman" w:hAnsi="Times New Roman" w:cs="Times New Roman"/>
          <w:color w:val="000000" w:themeColor="text1"/>
          <w:sz w:val="24"/>
          <w:szCs w:val="24"/>
        </w:rPr>
        <w:t>art. 23 ust.</w:t>
      </w:r>
      <w:r w:rsidR="000254C2">
        <w:rPr>
          <w:rFonts w:ascii="Times New Roman" w:hAnsi="Times New Roman" w:cs="Times New Roman"/>
          <w:color w:val="000000" w:themeColor="text1"/>
          <w:sz w:val="24"/>
          <w:szCs w:val="24"/>
        </w:rPr>
        <w:t> </w:t>
      </w:r>
      <w:r w:rsidRPr="00EB304C">
        <w:rPr>
          <w:rFonts w:ascii="Times New Roman" w:hAnsi="Times New Roman" w:cs="Times New Roman"/>
          <w:color w:val="000000" w:themeColor="text1"/>
          <w:sz w:val="24"/>
          <w:szCs w:val="24"/>
        </w:rPr>
        <w:t xml:space="preserve">1 ustawy o wymianie informacji </w:t>
      </w:r>
      <w:r w:rsidR="0042082C">
        <w:rPr>
          <w:rFonts w:ascii="Times New Roman" w:hAnsi="Times New Roman" w:cs="Times New Roman"/>
          <w:color w:val="000000" w:themeColor="text1"/>
          <w:sz w:val="24"/>
          <w:szCs w:val="24"/>
        </w:rPr>
        <w:t xml:space="preserve">podatkowych </w:t>
      </w:r>
      <w:r w:rsidR="0042082C" w:rsidRPr="00EB304C">
        <w:rPr>
          <w:rFonts w:ascii="Times New Roman" w:hAnsi="Times New Roman" w:cs="Times New Roman"/>
          <w:color w:val="000000" w:themeColor="text1"/>
          <w:sz w:val="24"/>
          <w:szCs w:val="24"/>
        </w:rPr>
        <w:t>z innymi państwami</w:t>
      </w:r>
      <w:r w:rsidR="006E4D41">
        <w:rPr>
          <w:rFonts w:ascii="Times New Roman" w:hAnsi="Times New Roman" w:cs="Times New Roman"/>
          <w:color w:val="000000" w:themeColor="text1"/>
          <w:sz w:val="24"/>
          <w:szCs w:val="24"/>
        </w:rPr>
        <w:t xml:space="preserve"> </w:t>
      </w:r>
      <w:r w:rsidRPr="00EB304C">
        <w:rPr>
          <w:rFonts w:ascii="Times New Roman" w:hAnsi="Times New Roman" w:cs="Times New Roman"/>
          <w:color w:val="000000" w:themeColor="text1"/>
          <w:sz w:val="24"/>
          <w:szCs w:val="24"/>
        </w:rPr>
        <w:t>znajdą one zastosowanie odpowiednio do spraw załatwianych przez KAS w przedmiocie udzielenia informacji podatkowych</w:t>
      </w:r>
      <w:r w:rsidR="00FD7F0B">
        <w:rPr>
          <w:rFonts w:ascii="Times New Roman" w:hAnsi="Times New Roman" w:cs="Times New Roman"/>
          <w:color w:val="000000" w:themeColor="text1"/>
          <w:sz w:val="24"/>
          <w:szCs w:val="24"/>
        </w:rPr>
        <w:t xml:space="preserve"> z uwzględnieniem regulacji art. 4 uWIP</w:t>
      </w:r>
      <w:r w:rsidRPr="00EB304C">
        <w:rPr>
          <w:rFonts w:ascii="Times New Roman" w:hAnsi="Times New Roman" w:cs="Times New Roman"/>
          <w:color w:val="000000" w:themeColor="text1"/>
          <w:sz w:val="24"/>
          <w:szCs w:val="24"/>
        </w:rPr>
        <w:t>.</w:t>
      </w:r>
      <w:r w:rsidR="00FC582C" w:rsidRPr="00EB304C">
        <w:rPr>
          <w:rFonts w:ascii="Times New Roman" w:hAnsi="Times New Roman" w:cs="Times New Roman"/>
          <w:color w:val="000000" w:themeColor="text1"/>
          <w:sz w:val="24"/>
          <w:szCs w:val="24"/>
        </w:rPr>
        <w:t xml:space="preserve"> </w:t>
      </w:r>
    </w:p>
    <w:p w14:paraId="18C41F92" w14:textId="5FC9A040" w:rsidR="00F62650" w:rsidRPr="00EB304C" w:rsidRDefault="00F62650"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Zgodnie z art. 11 ust. 1 ustawy o wymianie informacji podatkowych z innymi państwami wniosek właściwego organu państwa członkowskiego wszczyna postępowanie w sprawie udzielenia informacji podatkowych. Postępowanie, o którym mowa w art. 11 ust. 1 uWIP</w:t>
      </w:r>
      <w:r w:rsidR="006E4D41">
        <w:rPr>
          <w:rFonts w:ascii="Times New Roman" w:hAnsi="Times New Roman" w:cs="Times New Roman"/>
          <w:color w:val="000000" w:themeColor="text1"/>
          <w:sz w:val="24"/>
          <w:szCs w:val="24"/>
        </w:rPr>
        <w:t>,</w:t>
      </w:r>
      <w:r w:rsidRPr="00EB304C">
        <w:rPr>
          <w:rFonts w:ascii="Times New Roman" w:hAnsi="Times New Roman" w:cs="Times New Roman"/>
          <w:color w:val="000000" w:themeColor="text1"/>
          <w:sz w:val="24"/>
          <w:szCs w:val="24"/>
        </w:rPr>
        <w:t xml:space="preserve"> jest postępowaniem odrębnym od postępowań podatkowych, o których mowa w Ordynacji podatkowej, a jego przedmiotem jest załatwienie sprawy polegającej na udzieleniu informacji organowi podatkowemu innego państwa. W ramach tego postępowania</w:t>
      </w:r>
      <w:r w:rsidR="00223152">
        <w:rPr>
          <w:rFonts w:ascii="Times New Roman" w:hAnsi="Times New Roman" w:cs="Times New Roman"/>
          <w:color w:val="000000" w:themeColor="text1"/>
          <w:sz w:val="24"/>
          <w:szCs w:val="24"/>
        </w:rPr>
        <w:t xml:space="preserve"> </w:t>
      </w:r>
      <w:r w:rsidRPr="00EB304C">
        <w:rPr>
          <w:rFonts w:ascii="Times New Roman" w:hAnsi="Times New Roman" w:cs="Times New Roman"/>
          <w:color w:val="000000" w:themeColor="text1"/>
          <w:sz w:val="24"/>
          <w:szCs w:val="24"/>
        </w:rPr>
        <w:t>odpowiednie zastosowanie znajdują wybrane działy Ordynacji podatkow</w:t>
      </w:r>
      <w:r w:rsidR="00936D84" w:rsidRPr="00EB304C">
        <w:rPr>
          <w:rFonts w:ascii="Times New Roman" w:hAnsi="Times New Roman" w:cs="Times New Roman"/>
          <w:color w:val="000000" w:themeColor="text1"/>
          <w:sz w:val="24"/>
          <w:szCs w:val="24"/>
        </w:rPr>
        <w:t>ej. Przedmiotem post</w:t>
      </w:r>
      <w:r w:rsidR="000254C2">
        <w:rPr>
          <w:rFonts w:ascii="Times New Roman" w:hAnsi="Times New Roman" w:cs="Times New Roman"/>
          <w:color w:val="000000" w:themeColor="text1"/>
          <w:sz w:val="24"/>
          <w:szCs w:val="24"/>
        </w:rPr>
        <w:t>ę</w:t>
      </w:r>
      <w:r w:rsidR="00936D84" w:rsidRPr="00EB304C">
        <w:rPr>
          <w:rFonts w:ascii="Times New Roman" w:hAnsi="Times New Roman" w:cs="Times New Roman"/>
          <w:color w:val="000000" w:themeColor="text1"/>
          <w:sz w:val="24"/>
          <w:szCs w:val="24"/>
        </w:rPr>
        <w:t>powania są </w:t>
      </w:r>
      <w:r w:rsidRPr="00EB304C">
        <w:rPr>
          <w:rFonts w:ascii="Times New Roman" w:hAnsi="Times New Roman" w:cs="Times New Roman"/>
          <w:color w:val="000000" w:themeColor="text1"/>
          <w:sz w:val="24"/>
          <w:szCs w:val="24"/>
        </w:rPr>
        <w:t>sprawy polegające na</w:t>
      </w:r>
      <w:r w:rsidR="00223152">
        <w:rPr>
          <w:rFonts w:ascii="Times New Roman" w:hAnsi="Times New Roman" w:cs="Times New Roman"/>
          <w:color w:val="000000" w:themeColor="text1"/>
          <w:sz w:val="24"/>
          <w:szCs w:val="24"/>
        </w:rPr>
        <w:t xml:space="preserve"> </w:t>
      </w:r>
      <w:r w:rsidRPr="00EB304C">
        <w:rPr>
          <w:rFonts w:ascii="Times New Roman" w:hAnsi="Times New Roman" w:cs="Times New Roman"/>
          <w:color w:val="000000" w:themeColor="text1"/>
          <w:sz w:val="24"/>
          <w:szCs w:val="24"/>
        </w:rPr>
        <w:t xml:space="preserve">gromadzeniu informacji, o których udzielenie zwróciła się obca administracja na podstawie istniejących podstaw prawnych ujętych w prawie międzynarodowym lub unijnym. W szczególności na podstawie umów o unikaniu podwójnego opodatkowania </w:t>
      </w:r>
      <w:r w:rsidR="006E4D41" w:rsidRPr="00EB304C">
        <w:rPr>
          <w:rFonts w:ascii="Times New Roman" w:hAnsi="Times New Roman" w:cs="Times New Roman"/>
          <w:color w:val="000000" w:themeColor="text1"/>
          <w:sz w:val="24"/>
          <w:szCs w:val="24"/>
        </w:rPr>
        <w:t xml:space="preserve">z innymi państwami </w:t>
      </w:r>
      <w:r w:rsidRPr="00EB304C">
        <w:rPr>
          <w:rFonts w:ascii="Times New Roman" w:hAnsi="Times New Roman" w:cs="Times New Roman"/>
          <w:color w:val="000000" w:themeColor="text1"/>
          <w:sz w:val="24"/>
          <w:szCs w:val="24"/>
        </w:rPr>
        <w:t xml:space="preserve">lub </w:t>
      </w:r>
      <w:proofErr w:type="spellStart"/>
      <w:r w:rsidRPr="00EB304C">
        <w:rPr>
          <w:rFonts w:ascii="Times New Roman" w:hAnsi="Times New Roman" w:cs="Times New Roman"/>
          <w:color w:val="000000" w:themeColor="text1"/>
          <w:sz w:val="24"/>
          <w:szCs w:val="24"/>
        </w:rPr>
        <w:t>uWIP</w:t>
      </w:r>
      <w:proofErr w:type="spellEnd"/>
      <w:r w:rsidRPr="00EB304C">
        <w:rPr>
          <w:rFonts w:ascii="Times New Roman" w:hAnsi="Times New Roman" w:cs="Times New Roman"/>
          <w:color w:val="000000" w:themeColor="text1"/>
          <w:sz w:val="24"/>
          <w:szCs w:val="24"/>
        </w:rPr>
        <w:t>, która stanowi między innymi transpozycję do polskiego porządku prawnego dyrektywy 2011/16/UE.</w:t>
      </w:r>
    </w:p>
    <w:p w14:paraId="36FBED65" w14:textId="38FAE6AF" w:rsidR="00F62650" w:rsidRPr="00EB304C" w:rsidRDefault="00F62650"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Zgodnie z art. 182 § 1 Ordynacji podatkowej, jeżeli z dowodów zgromadzonych w toku postępowania podatkowego wynika potrzeba uzupełnienia tych dowodów lub ich porównania z informacjami pochodzącymi z banku, bank jest obowiązany na pisemne żądanie naczelnika urzędu skarbowego, a w toku postępowania odwoławczego na żądanie dyrektora izby administracji skarbowej, zwanych dalej ,,upoważni</w:t>
      </w:r>
      <w:r w:rsidR="00936D84" w:rsidRPr="00EB304C">
        <w:rPr>
          <w:rFonts w:ascii="Times New Roman" w:hAnsi="Times New Roman" w:cs="Times New Roman"/>
          <w:color w:val="000000" w:themeColor="text1"/>
          <w:sz w:val="24"/>
          <w:szCs w:val="24"/>
        </w:rPr>
        <w:t>onymi organami podatkowymi”, do </w:t>
      </w:r>
      <w:r w:rsidRPr="00EB304C">
        <w:rPr>
          <w:rFonts w:ascii="Times New Roman" w:hAnsi="Times New Roman" w:cs="Times New Roman"/>
          <w:color w:val="000000" w:themeColor="text1"/>
          <w:sz w:val="24"/>
          <w:szCs w:val="24"/>
        </w:rPr>
        <w:t>sporządzenia i przekazania informacji dotyczących strony postępowania w zakresie:</w:t>
      </w:r>
    </w:p>
    <w:p w14:paraId="79CF0EDC" w14:textId="0C06AC6A" w:rsidR="00F62650" w:rsidRPr="00EB304C" w:rsidRDefault="00F62650" w:rsidP="000254C2">
      <w:pPr>
        <w:spacing w:before="120" w:after="0" w:line="360" w:lineRule="auto"/>
        <w:ind w:left="426" w:hanging="426"/>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1</w:t>
      </w:r>
      <w:r w:rsidR="006E4D41">
        <w:rPr>
          <w:rFonts w:ascii="Times New Roman" w:hAnsi="Times New Roman" w:cs="Times New Roman"/>
          <w:color w:val="000000" w:themeColor="text1"/>
          <w:sz w:val="24"/>
          <w:szCs w:val="24"/>
        </w:rPr>
        <w:t>)</w:t>
      </w:r>
      <w:r w:rsidRPr="00EB304C">
        <w:rPr>
          <w:rFonts w:ascii="Times New Roman" w:hAnsi="Times New Roman" w:cs="Times New Roman"/>
          <w:color w:val="000000" w:themeColor="text1"/>
          <w:sz w:val="24"/>
          <w:szCs w:val="24"/>
        </w:rPr>
        <w:tab/>
        <w:t xml:space="preserve">posiadanych rachunków bankowych lub rachunków oszczędnościowych, liczby tych rachunków, a także obrotów i stanów tych rachunków; </w:t>
      </w:r>
    </w:p>
    <w:p w14:paraId="1779FF97" w14:textId="77111B92" w:rsidR="00F62650" w:rsidRPr="00EB304C" w:rsidRDefault="00F62650" w:rsidP="000254C2">
      <w:pPr>
        <w:spacing w:before="120" w:after="0" w:line="360" w:lineRule="auto"/>
        <w:ind w:left="426" w:hanging="426"/>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2</w:t>
      </w:r>
      <w:r w:rsidR="006E4D41">
        <w:rPr>
          <w:rFonts w:ascii="Times New Roman" w:hAnsi="Times New Roman" w:cs="Times New Roman"/>
          <w:color w:val="000000" w:themeColor="text1"/>
          <w:sz w:val="24"/>
          <w:szCs w:val="24"/>
        </w:rPr>
        <w:t>)</w:t>
      </w:r>
      <w:r w:rsidRPr="00EB304C">
        <w:rPr>
          <w:rFonts w:ascii="Times New Roman" w:hAnsi="Times New Roman" w:cs="Times New Roman"/>
          <w:color w:val="000000" w:themeColor="text1"/>
          <w:sz w:val="24"/>
          <w:szCs w:val="24"/>
        </w:rPr>
        <w:tab/>
        <w:t>posiadanych rachunków pieniężnych lub rachunków papierów wartościowych, liczby tych rachunków, a także obrotów i stanów tych rachunków;</w:t>
      </w:r>
    </w:p>
    <w:p w14:paraId="3E4F0C76" w14:textId="26F4424F" w:rsidR="00F62650" w:rsidRPr="00EB304C" w:rsidRDefault="00F62650" w:rsidP="000254C2">
      <w:pPr>
        <w:spacing w:before="120" w:after="0" w:line="360" w:lineRule="auto"/>
        <w:ind w:left="426" w:hanging="426"/>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lastRenderedPageBreak/>
        <w:t>3</w:t>
      </w:r>
      <w:r w:rsidR="006E4D41">
        <w:rPr>
          <w:rFonts w:ascii="Times New Roman" w:hAnsi="Times New Roman" w:cs="Times New Roman"/>
          <w:color w:val="000000" w:themeColor="text1"/>
          <w:sz w:val="24"/>
          <w:szCs w:val="24"/>
        </w:rPr>
        <w:t>)</w:t>
      </w:r>
      <w:r w:rsidRPr="00EB304C">
        <w:rPr>
          <w:rFonts w:ascii="Times New Roman" w:hAnsi="Times New Roman" w:cs="Times New Roman"/>
          <w:color w:val="000000" w:themeColor="text1"/>
          <w:sz w:val="24"/>
          <w:szCs w:val="24"/>
        </w:rPr>
        <w:tab/>
        <w:t>zawartych umów kredytowych lub umów pożyczek pieniężnych, a także umów depozytowych;</w:t>
      </w:r>
    </w:p>
    <w:p w14:paraId="799DE514" w14:textId="03A088C0" w:rsidR="00F62650" w:rsidRPr="00EB304C" w:rsidRDefault="00F62650" w:rsidP="000254C2">
      <w:pPr>
        <w:spacing w:before="120" w:after="0" w:line="360" w:lineRule="auto"/>
        <w:ind w:left="426" w:hanging="426"/>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4</w:t>
      </w:r>
      <w:r w:rsidR="006E4D41">
        <w:rPr>
          <w:rFonts w:ascii="Times New Roman" w:hAnsi="Times New Roman" w:cs="Times New Roman"/>
          <w:color w:val="000000" w:themeColor="text1"/>
          <w:sz w:val="24"/>
          <w:szCs w:val="24"/>
        </w:rPr>
        <w:t>)</w:t>
      </w:r>
      <w:r w:rsidRPr="00EB304C">
        <w:rPr>
          <w:rFonts w:ascii="Times New Roman" w:hAnsi="Times New Roman" w:cs="Times New Roman"/>
          <w:color w:val="000000" w:themeColor="text1"/>
          <w:sz w:val="24"/>
          <w:szCs w:val="24"/>
        </w:rPr>
        <w:tab/>
        <w:t>nabytych za pośrednictwem banków akcji Skarbu Państwa lub obligacji Skarbu Państwa, a także obrotu tymi papierami wartościowymi;</w:t>
      </w:r>
    </w:p>
    <w:p w14:paraId="396A24C8" w14:textId="40AADC22" w:rsidR="00F62650" w:rsidRPr="00EB304C" w:rsidRDefault="00F62650" w:rsidP="000254C2">
      <w:pPr>
        <w:spacing w:before="120" w:after="0" w:line="360" w:lineRule="auto"/>
        <w:ind w:left="426" w:hanging="426"/>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5</w:t>
      </w:r>
      <w:r w:rsidR="006E4D41">
        <w:rPr>
          <w:rFonts w:ascii="Times New Roman" w:hAnsi="Times New Roman" w:cs="Times New Roman"/>
          <w:color w:val="000000" w:themeColor="text1"/>
          <w:sz w:val="24"/>
          <w:szCs w:val="24"/>
        </w:rPr>
        <w:t>)</w:t>
      </w:r>
      <w:r w:rsidRPr="00EB304C">
        <w:rPr>
          <w:rFonts w:ascii="Times New Roman" w:hAnsi="Times New Roman" w:cs="Times New Roman"/>
          <w:color w:val="000000" w:themeColor="text1"/>
          <w:sz w:val="24"/>
          <w:szCs w:val="24"/>
        </w:rPr>
        <w:tab/>
        <w:t xml:space="preserve">obrotu wydawanymi przez banki certyfikatami depozytowymi lub innymi papierami wartościowymi. </w:t>
      </w:r>
    </w:p>
    <w:p w14:paraId="3811D184" w14:textId="1401A406" w:rsidR="00F62650" w:rsidRPr="00EB304C" w:rsidRDefault="00F62650"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Z kolei zgodnie z art. 182 § 2 Ordynacj</w:t>
      </w:r>
      <w:r w:rsidR="006E4D41">
        <w:rPr>
          <w:rFonts w:ascii="Times New Roman" w:hAnsi="Times New Roman" w:cs="Times New Roman"/>
          <w:color w:val="000000" w:themeColor="text1"/>
          <w:sz w:val="24"/>
          <w:szCs w:val="24"/>
        </w:rPr>
        <w:t>i</w:t>
      </w:r>
      <w:r w:rsidRPr="00EB304C">
        <w:rPr>
          <w:rFonts w:ascii="Times New Roman" w:hAnsi="Times New Roman" w:cs="Times New Roman"/>
          <w:color w:val="000000" w:themeColor="text1"/>
          <w:sz w:val="24"/>
          <w:szCs w:val="24"/>
        </w:rPr>
        <w:t xml:space="preserve"> podatkow</w:t>
      </w:r>
      <w:r w:rsidR="006E4D41">
        <w:rPr>
          <w:rFonts w:ascii="Times New Roman" w:hAnsi="Times New Roman" w:cs="Times New Roman"/>
          <w:color w:val="000000" w:themeColor="text1"/>
          <w:sz w:val="24"/>
          <w:szCs w:val="24"/>
        </w:rPr>
        <w:t>ej</w:t>
      </w:r>
      <w:r w:rsidRPr="00EB304C">
        <w:rPr>
          <w:rFonts w:ascii="Times New Roman" w:hAnsi="Times New Roman" w:cs="Times New Roman"/>
          <w:color w:val="000000" w:themeColor="text1"/>
          <w:sz w:val="24"/>
          <w:szCs w:val="24"/>
        </w:rPr>
        <w:t xml:space="preserve"> przepisy § 1 stosuje się odpowiednio do zakładów ubezpieczeń, funduszy inwestycyjnych, dobrowolnych funduszy emerytalnych i banków prowadzących działalność maklerską, w zakresie prowadzonych indywidualnych kont emerytalnych oraz indywidualnych kont zabezpieczenia emerytalnego, a także do domów maklerskich oraz spółdzielczych kas oszczędnościowo-kredytowych. </w:t>
      </w:r>
    </w:p>
    <w:p w14:paraId="1E9F8C06" w14:textId="77777777" w:rsidR="00F62650" w:rsidRPr="00EB304C" w:rsidRDefault="00F62650"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W przepisie art. 182 § 4 wskazano, że powołane wyżej żądanie udzielenia informacji, o którym mowa w § 1, następuje w drodze postanowienia.</w:t>
      </w:r>
    </w:p>
    <w:p w14:paraId="69CB7833" w14:textId="0273404C" w:rsidR="00F62650" w:rsidRPr="00EB304C" w:rsidRDefault="00F62650"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W praktyce z doświadczenia KAS wynika, że katalog pytań zagranicznych administracji obejmuje zakres wykraczający poza art. 182 § 1 Ordynacji podatkowej, bowiem pojawiające się pytania są przykładowo następujące:</w:t>
      </w:r>
    </w:p>
    <w:p w14:paraId="3DCF3B4E" w14:textId="1A766506" w:rsidR="00F62650" w:rsidRPr="00EB304C" w:rsidRDefault="00F62650" w:rsidP="000254C2">
      <w:pPr>
        <w:spacing w:before="120" w:after="0" w:line="360" w:lineRule="auto"/>
        <w:ind w:left="426" w:hanging="426"/>
        <w:jc w:val="both"/>
        <w:rPr>
          <w:rFonts w:ascii="Times New Roman" w:hAnsi="Times New Roman" w:cs="Times New Roman"/>
          <w:color w:val="000000" w:themeColor="text1"/>
          <w:sz w:val="24"/>
          <w:szCs w:val="24"/>
        </w:rPr>
      </w:pPr>
      <w:r w:rsidRPr="000254C2">
        <w:rPr>
          <w:rFonts w:ascii="Times New Roman" w:hAnsi="Times New Roman" w:cs="Times New Roman"/>
          <w:iCs/>
          <w:color w:val="000000" w:themeColor="text1"/>
          <w:sz w:val="24"/>
          <w:szCs w:val="24"/>
        </w:rPr>
        <w:t>1)</w:t>
      </w:r>
      <w:r w:rsidRPr="00EB304C">
        <w:rPr>
          <w:rFonts w:ascii="Times New Roman" w:hAnsi="Times New Roman" w:cs="Times New Roman"/>
          <w:i/>
          <w:color w:val="000000" w:themeColor="text1"/>
          <w:sz w:val="24"/>
          <w:szCs w:val="24"/>
        </w:rPr>
        <w:tab/>
      </w:r>
      <w:r w:rsidRPr="00EB304C">
        <w:rPr>
          <w:rFonts w:ascii="Times New Roman" w:hAnsi="Times New Roman" w:cs="Times New Roman"/>
          <w:color w:val="000000" w:themeColor="text1"/>
          <w:sz w:val="24"/>
          <w:szCs w:val="24"/>
        </w:rPr>
        <w:t>proszę o przekazanie pełnych wyciągów z rachunków pokazujących wszystkie transakcje, w tym szczegółowe informacje o uznaniach i obciążeniach na rachunkach (nazwy płatników i odbiorców, szczegóły płatności itp.);</w:t>
      </w:r>
    </w:p>
    <w:p w14:paraId="52230610" w14:textId="77777777" w:rsidR="00F62650" w:rsidRPr="00EB304C" w:rsidRDefault="00F62650" w:rsidP="000254C2">
      <w:pPr>
        <w:spacing w:before="120" w:after="0" w:line="360" w:lineRule="auto"/>
        <w:ind w:left="426" w:hanging="426"/>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2)</w:t>
      </w:r>
      <w:r w:rsidRPr="00EB304C">
        <w:rPr>
          <w:rFonts w:ascii="Times New Roman" w:hAnsi="Times New Roman" w:cs="Times New Roman"/>
          <w:color w:val="000000" w:themeColor="text1"/>
          <w:sz w:val="24"/>
          <w:szCs w:val="24"/>
        </w:rPr>
        <w:tab/>
        <w:t>proszę o dostarczenie kopii wszystkich dokumentów dotyczących otwarcia rachunku, w tym dokumentów wskazujących dane identyfikacyjne osoby, która otworzyła rachunek (np. kopia paszportu, czytelna kserokopia dowodu osobistego);</w:t>
      </w:r>
    </w:p>
    <w:p w14:paraId="24AC6EC7" w14:textId="42E0E3C3" w:rsidR="00F62650" w:rsidRPr="00EB304C" w:rsidRDefault="00F62650" w:rsidP="000254C2">
      <w:pPr>
        <w:spacing w:before="120" w:after="0" w:line="360" w:lineRule="auto"/>
        <w:ind w:left="426" w:hanging="426"/>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3)</w:t>
      </w:r>
      <w:r w:rsidRPr="00EB304C">
        <w:rPr>
          <w:rFonts w:ascii="Times New Roman" w:hAnsi="Times New Roman" w:cs="Times New Roman"/>
          <w:color w:val="000000" w:themeColor="text1"/>
          <w:sz w:val="24"/>
          <w:szCs w:val="24"/>
        </w:rPr>
        <w:tab/>
        <w:t>proszę o dostarczenie informacji</w:t>
      </w:r>
      <w:r w:rsidR="000254C2">
        <w:rPr>
          <w:rFonts w:ascii="Times New Roman" w:hAnsi="Times New Roman" w:cs="Times New Roman"/>
          <w:color w:val="000000" w:themeColor="text1"/>
          <w:sz w:val="24"/>
          <w:szCs w:val="24"/>
        </w:rPr>
        <w:t>,</w:t>
      </w:r>
      <w:r w:rsidRPr="00EB304C">
        <w:rPr>
          <w:rFonts w:ascii="Times New Roman" w:hAnsi="Times New Roman" w:cs="Times New Roman"/>
          <w:color w:val="000000" w:themeColor="text1"/>
          <w:sz w:val="24"/>
          <w:szCs w:val="24"/>
        </w:rPr>
        <w:t xml:space="preserve"> czy można za pośrednictwem Internetu dokonywać operacji na rachunku bankowym;</w:t>
      </w:r>
    </w:p>
    <w:p w14:paraId="06228F67" w14:textId="77777777" w:rsidR="00F62650" w:rsidRPr="00EB304C" w:rsidRDefault="00F62650" w:rsidP="000254C2">
      <w:pPr>
        <w:spacing w:before="120" w:after="0" w:line="360" w:lineRule="auto"/>
        <w:ind w:left="426" w:hanging="426"/>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4)</w:t>
      </w:r>
      <w:r w:rsidRPr="00EB304C">
        <w:rPr>
          <w:rFonts w:ascii="Times New Roman" w:hAnsi="Times New Roman" w:cs="Times New Roman"/>
          <w:color w:val="000000" w:themeColor="text1"/>
          <w:sz w:val="24"/>
          <w:szCs w:val="24"/>
        </w:rPr>
        <w:tab/>
        <w:t>czy następująca karta jest powiązana z danym rachunkiem bankowym;</w:t>
      </w:r>
    </w:p>
    <w:p w14:paraId="29538AE8" w14:textId="551594D6" w:rsidR="00F62650" w:rsidRPr="00EB304C" w:rsidRDefault="00F62650" w:rsidP="000254C2">
      <w:pPr>
        <w:spacing w:before="120" w:after="0" w:line="360" w:lineRule="auto"/>
        <w:ind w:left="426" w:hanging="426"/>
        <w:jc w:val="both"/>
        <w:rPr>
          <w:rFonts w:ascii="Times New Roman" w:hAnsi="Times New Roman" w:cs="Times New Roman"/>
          <w:i/>
          <w:color w:val="000000" w:themeColor="text1"/>
          <w:sz w:val="24"/>
          <w:szCs w:val="24"/>
        </w:rPr>
      </w:pPr>
      <w:r w:rsidRPr="00EB304C">
        <w:rPr>
          <w:rFonts w:ascii="Times New Roman" w:hAnsi="Times New Roman" w:cs="Times New Roman"/>
          <w:color w:val="000000" w:themeColor="text1"/>
          <w:sz w:val="24"/>
          <w:szCs w:val="24"/>
        </w:rPr>
        <w:t>5)</w:t>
      </w:r>
      <w:r w:rsidRPr="00EB304C">
        <w:rPr>
          <w:rFonts w:ascii="Times New Roman" w:hAnsi="Times New Roman" w:cs="Times New Roman"/>
          <w:color w:val="000000" w:themeColor="text1"/>
          <w:sz w:val="24"/>
          <w:szCs w:val="24"/>
        </w:rPr>
        <w:tab/>
        <w:t>proszę podać wysokość odsetek wypłaconych dla tego rachunku w okresie, o którym mowa (je</w:t>
      </w:r>
      <w:r w:rsidR="000254C2">
        <w:rPr>
          <w:rFonts w:ascii="Times New Roman" w:hAnsi="Times New Roman" w:cs="Times New Roman"/>
          <w:color w:val="000000" w:themeColor="text1"/>
          <w:sz w:val="24"/>
          <w:szCs w:val="24"/>
        </w:rPr>
        <w:t>że</w:t>
      </w:r>
      <w:r w:rsidRPr="00EB304C">
        <w:rPr>
          <w:rFonts w:ascii="Times New Roman" w:hAnsi="Times New Roman" w:cs="Times New Roman"/>
          <w:color w:val="000000" w:themeColor="text1"/>
          <w:sz w:val="24"/>
          <w:szCs w:val="24"/>
        </w:rPr>
        <w:t>li wystąpiły).</w:t>
      </w:r>
    </w:p>
    <w:p w14:paraId="19A83A7B" w14:textId="3F96D4A9" w:rsidR="00FA7843" w:rsidRPr="00EB304C" w:rsidRDefault="00F62650"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 xml:space="preserve">Obecnie obowiązujące przepisy Ordynacji podatkowej w sprawach o udzielenie informacji przez banki lub instytucje finansowe, o których mowa w art. </w:t>
      </w:r>
      <w:r w:rsidR="00936D84" w:rsidRPr="00EB304C">
        <w:rPr>
          <w:rFonts w:ascii="Times New Roman" w:hAnsi="Times New Roman" w:cs="Times New Roman"/>
          <w:color w:val="000000" w:themeColor="text1"/>
          <w:sz w:val="24"/>
          <w:szCs w:val="24"/>
        </w:rPr>
        <w:t>182 § 2 Ordynacji podatkowej</w:t>
      </w:r>
      <w:r w:rsidR="006E4D41">
        <w:rPr>
          <w:rFonts w:ascii="Times New Roman" w:hAnsi="Times New Roman" w:cs="Times New Roman"/>
          <w:color w:val="000000" w:themeColor="text1"/>
          <w:sz w:val="24"/>
          <w:szCs w:val="24"/>
        </w:rPr>
        <w:t>,</w:t>
      </w:r>
      <w:r w:rsidR="00936D84" w:rsidRPr="00EB304C">
        <w:rPr>
          <w:rFonts w:ascii="Times New Roman" w:hAnsi="Times New Roman" w:cs="Times New Roman"/>
          <w:color w:val="000000" w:themeColor="text1"/>
          <w:sz w:val="24"/>
          <w:szCs w:val="24"/>
        </w:rPr>
        <w:t xml:space="preserve"> są </w:t>
      </w:r>
      <w:r w:rsidRPr="00EB304C">
        <w:rPr>
          <w:rFonts w:ascii="Times New Roman" w:hAnsi="Times New Roman" w:cs="Times New Roman"/>
          <w:color w:val="000000" w:themeColor="text1"/>
          <w:sz w:val="24"/>
          <w:szCs w:val="24"/>
        </w:rPr>
        <w:t>stosowane odpowiednio na zasadzie art. 23 ust. 1 uWIP. Jednak z uwagi na powtarzające się</w:t>
      </w:r>
      <w:r w:rsidR="00FD7F0B">
        <w:rPr>
          <w:rFonts w:ascii="Times New Roman" w:hAnsi="Times New Roman" w:cs="Times New Roman"/>
          <w:color w:val="000000" w:themeColor="text1"/>
          <w:sz w:val="24"/>
          <w:szCs w:val="24"/>
        </w:rPr>
        <w:t xml:space="preserve"> </w:t>
      </w:r>
      <w:r w:rsidRPr="00EB304C">
        <w:rPr>
          <w:rFonts w:ascii="Times New Roman" w:hAnsi="Times New Roman" w:cs="Times New Roman"/>
          <w:color w:val="000000" w:themeColor="text1"/>
          <w:sz w:val="24"/>
          <w:szCs w:val="24"/>
        </w:rPr>
        <w:lastRenderedPageBreak/>
        <w:t>wątpliwości związane z wykładnią</w:t>
      </w:r>
      <w:r w:rsidR="002E1326" w:rsidRPr="00EB304C">
        <w:rPr>
          <w:rFonts w:ascii="Times New Roman" w:hAnsi="Times New Roman" w:cs="Times New Roman"/>
          <w:color w:val="000000" w:themeColor="text1"/>
          <w:sz w:val="24"/>
          <w:szCs w:val="24"/>
        </w:rPr>
        <w:t xml:space="preserve"> </w:t>
      </w:r>
      <w:r w:rsidRPr="00EB304C">
        <w:rPr>
          <w:rFonts w:ascii="Times New Roman" w:hAnsi="Times New Roman" w:cs="Times New Roman"/>
          <w:color w:val="000000" w:themeColor="text1"/>
          <w:sz w:val="24"/>
          <w:szCs w:val="24"/>
        </w:rPr>
        <w:t xml:space="preserve">art. 4 </w:t>
      </w:r>
      <w:proofErr w:type="spellStart"/>
      <w:r w:rsidRPr="00EB304C">
        <w:rPr>
          <w:rFonts w:ascii="Times New Roman" w:hAnsi="Times New Roman" w:cs="Times New Roman"/>
          <w:color w:val="000000" w:themeColor="text1"/>
          <w:sz w:val="24"/>
          <w:szCs w:val="24"/>
        </w:rPr>
        <w:t>uWIP</w:t>
      </w:r>
      <w:proofErr w:type="spellEnd"/>
      <w:r w:rsidRPr="00EB304C">
        <w:rPr>
          <w:rFonts w:ascii="Times New Roman" w:hAnsi="Times New Roman" w:cs="Times New Roman"/>
          <w:color w:val="000000" w:themeColor="text1"/>
          <w:sz w:val="24"/>
          <w:szCs w:val="24"/>
        </w:rPr>
        <w:t xml:space="preserve"> w zw</w:t>
      </w:r>
      <w:r w:rsidR="00555A6C">
        <w:rPr>
          <w:rFonts w:ascii="Times New Roman" w:hAnsi="Times New Roman" w:cs="Times New Roman"/>
          <w:color w:val="000000" w:themeColor="text1"/>
          <w:sz w:val="24"/>
          <w:szCs w:val="24"/>
        </w:rPr>
        <w:t>iązku</w:t>
      </w:r>
      <w:r w:rsidRPr="00EB304C">
        <w:rPr>
          <w:rFonts w:ascii="Times New Roman" w:hAnsi="Times New Roman" w:cs="Times New Roman"/>
          <w:color w:val="000000" w:themeColor="text1"/>
          <w:sz w:val="24"/>
          <w:szCs w:val="24"/>
        </w:rPr>
        <w:t xml:space="preserve"> z art. 23</w:t>
      </w:r>
      <w:r w:rsidR="002E1326" w:rsidRPr="00EB304C">
        <w:rPr>
          <w:rFonts w:ascii="Times New Roman" w:hAnsi="Times New Roman" w:cs="Times New Roman"/>
          <w:color w:val="000000" w:themeColor="text1"/>
          <w:sz w:val="24"/>
          <w:szCs w:val="24"/>
        </w:rPr>
        <w:t xml:space="preserve"> ust. 1 uWIP </w:t>
      </w:r>
      <w:r w:rsidR="006E4D41">
        <w:rPr>
          <w:rFonts w:ascii="Times New Roman" w:hAnsi="Times New Roman" w:cs="Times New Roman"/>
          <w:color w:val="000000" w:themeColor="text1"/>
          <w:sz w:val="24"/>
          <w:szCs w:val="24"/>
        </w:rPr>
        <w:t xml:space="preserve">i </w:t>
      </w:r>
      <w:r w:rsidR="001B431E">
        <w:rPr>
          <w:rFonts w:ascii="Times New Roman" w:hAnsi="Times New Roman" w:cs="Times New Roman"/>
          <w:color w:val="000000" w:themeColor="text1"/>
          <w:sz w:val="24"/>
          <w:szCs w:val="24"/>
        </w:rPr>
        <w:t xml:space="preserve">w związku </w:t>
      </w:r>
      <w:r w:rsidR="002E1326" w:rsidRPr="00EB304C">
        <w:rPr>
          <w:rFonts w:ascii="Times New Roman" w:hAnsi="Times New Roman" w:cs="Times New Roman"/>
          <w:color w:val="000000" w:themeColor="text1"/>
          <w:sz w:val="24"/>
          <w:szCs w:val="24"/>
        </w:rPr>
        <w:t xml:space="preserve">z art.182 § 1 </w:t>
      </w:r>
      <w:r w:rsidRPr="00EB304C">
        <w:rPr>
          <w:rFonts w:ascii="Times New Roman" w:hAnsi="Times New Roman" w:cs="Times New Roman"/>
          <w:color w:val="000000" w:themeColor="text1"/>
          <w:sz w:val="24"/>
          <w:szCs w:val="24"/>
        </w:rPr>
        <w:t>Ordynacji podatkowej, projektowana zmiana pr</w:t>
      </w:r>
      <w:r w:rsidR="00936D84" w:rsidRPr="00EB304C">
        <w:rPr>
          <w:rFonts w:ascii="Times New Roman" w:hAnsi="Times New Roman" w:cs="Times New Roman"/>
          <w:color w:val="000000" w:themeColor="text1"/>
          <w:sz w:val="24"/>
          <w:szCs w:val="24"/>
        </w:rPr>
        <w:t xml:space="preserve">zewiduje usunięcie </w:t>
      </w:r>
      <w:r w:rsidR="00FB78E3" w:rsidRPr="00EB304C">
        <w:rPr>
          <w:rFonts w:ascii="Times New Roman" w:hAnsi="Times New Roman" w:cs="Times New Roman"/>
          <w:color w:val="000000" w:themeColor="text1"/>
          <w:sz w:val="24"/>
          <w:szCs w:val="24"/>
        </w:rPr>
        <w:t xml:space="preserve">poszczególnych odesłań </w:t>
      </w:r>
      <w:r w:rsidR="00936D84" w:rsidRPr="00EB304C">
        <w:rPr>
          <w:rFonts w:ascii="Times New Roman" w:hAnsi="Times New Roman" w:cs="Times New Roman"/>
          <w:color w:val="000000" w:themeColor="text1"/>
          <w:sz w:val="24"/>
          <w:szCs w:val="24"/>
        </w:rPr>
        <w:t>do </w:t>
      </w:r>
      <w:r w:rsidRPr="00EB304C">
        <w:rPr>
          <w:rFonts w:ascii="Times New Roman" w:hAnsi="Times New Roman" w:cs="Times New Roman"/>
          <w:color w:val="000000" w:themeColor="text1"/>
          <w:sz w:val="24"/>
          <w:szCs w:val="24"/>
        </w:rPr>
        <w:t>Ordynacji podatkowej</w:t>
      </w:r>
      <w:r w:rsidR="00FB78E3" w:rsidRPr="00EB304C">
        <w:rPr>
          <w:rFonts w:ascii="Times New Roman" w:hAnsi="Times New Roman" w:cs="Times New Roman"/>
          <w:color w:val="000000" w:themeColor="text1"/>
          <w:sz w:val="24"/>
          <w:szCs w:val="24"/>
        </w:rPr>
        <w:t>.</w:t>
      </w:r>
      <w:r w:rsidRPr="00EB304C">
        <w:rPr>
          <w:rFonts w:ascii="Times New Roman" w:hAnsi="Times New Roman" w:cs="Times New Roman"/>
          <w:color w:val="000000" w:themeColor="text1"/>
          <w:sz w:val="24"/>
          <w:szCs w:val="24"/>
        </w:rPr>
        <w:t xml:space="preserve"> </w:t>
      </w:r>
    </w:p>
    <w:p w14:paraId="5419F9D4" w14:textId="37FBAA90" w:rsidR="004C233E" w:rsidRPr="00EB304C" w:rsidRDefault="004C233E"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Przepis ust. 3 reguluje zakres informacji, do których udzielenia jest zobowiązana instytucja finansowa w przypadku sformułowania wniosku o udzielenie informacji przez inne państwo. Powyższe jest zgodne z celem dyrektywy sformułowanym</w:t>
      </w:r>
      <w:r w:rsidR="006E4D41">
        <w:rPr>
          <w:rFonts w:ascii="Times New Roman" w:hAnsi="Times New Roman" w:cs="Times New Roman"/>
          <w:color w:val="000000" w:themeColor="text1"/>
          <w:sz w:val="24"/>
          <w:szCs w:val="24"/>
        </w:rPr>
        <w:t xml:space="preserve"> </w:t>
      </w:r>
      <w:r w:rsidRPr="00EB304C">
        <w:rPr>
          <w:rFonts w:ascii="Times New Roman" w:hAnsi="Times New Roman" w:cs="Times New Roman"/>
          <w:color w:val="000000" w:themeColor="text1"/>
          <w:sz w:val="24"/>
          <w:szCs w:val="24"/>
        </w:rPr>
        <w:t>w art.</w:t>
      </w:r>
      <w:r w:rsidR="000254C2">
        <w:rPr>
          <w:rFonts w:ascii="Times New Roman" w:hAnsi="Times New Roman" w:cs="Times New Roman"/>
          <w:color w:val="000000" w:themeColor="text1"/>
          <w:sz w:val="24"/>
          <w:szCs w:val="24"/>
        </w:rPr>
        <w:t xml:space="preserve"> </w:t>
      </w:r>
      <w:r w:rsidRPr="00EB304C">
        <w:rPr>
          <w:rFonts w:ascii="Times New Roman" w:hAnsi="Times New Roman" w:cs="Times New Roman"/>
          <w:color w:val="000000" w:themeColor="text1"/>
          <w:sz w:val="24"/>
          <w:szCs w:val="24"/>
        </w:rPr>
        <w:t>1 ust. 1</w:t>
      </w:r>
      <w:r w:rsidR="00367C8E">
        <w:rPr>
          <w:rFonts w:ascii="Times New Roman" w:hAnsi="Times New Roman" w:cs="Times New Roman"/>
          <w:color w:val="000000" w:themeColor="text1"/>
          <w:sz w:val="24"/>
          <w:szCs w:val="24"/>
        </w:rPr>
        <w:t>,</w:t>
      </w:r>
      <w:r w:rsidRPr="00EB304C">
        <w:rPr>
          <w:rFonts w:ascii="Times New Roman" w:hAnsi="Times New Roman" w:cs="Times New Roman"/>
          <w:color w:val="000000" w:themeColor="text1"/>
          <w:sz w:val="24"/>
          <w:szCs w:val="24"/>
        </w:rPr>
        <w:t xml:space="preserve"> zgodnie z którym dyrektywa ustanawia zasady i procedury, zgodnie z którymi państwa członkowskie współpracują ze sobą w celu wymiany informacji, które wydają się być istotne do celów stosowania i egzekwowania krajowych przepisów państw członkowskich</w:t>
      </w:r>
      <w:r w:rsidR="00D65E06">
        <w:rPr>
          <w:rFonts w:ascii="Times New Roman" w:hAnsi="Times New Roman" w:cs="Times New Roman"/>
          <w:color w:val="000000" w:themeColor="text1"/>
          <w:sz w:val="24"/>
          <w:szCs w:val="24"/>
        </w:rPr>
        <w:t xml:space="preserve"> </w:t>
      </w:r>
      <w:r w:rsidRPr="00EB304C">
        <w:rPr>
          <w:rFonts w:ascii="Times New Roman" w:hAnsi="Times New Roman" w:cs="Times New Roman"/>
          <w:color w:val="000000" w:themeColor="text1"/>
          <w:sz w:val="24"/>
          <w:szCs w:val="24"/>
        </w:rPr>
        <w:t>dotyczących podatków, o których mowa w art. 2.</w:t>
      </w:r>
    </w:p>
    <w:p w14:paraId="73C2F753" w14:textId="4D303038" w:rsidR="004C233E" w:rsidRPr="00EB304C" w:rsidRDefault="00FA7843"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Ponadto u</w:t>
      </w:r>
      <w:r w:rsidR="004C233E" w:rsidRPr="00EB304C">
        <w:rPr>
          <w:rFonts w:ascii="Times New Roman" w:hAnsi="Times New Roman" w:cs="Times New Roman"/>
          <w:color w:val="000000" w:themeColor="text1"/>
          <w:sz w:val="24"/>
          <w:szCs w:val="24"/>
        </w:rPr>
        <w:t>stawa o wymianie informacji podatkowych z innymi państwami nie dotyczy wymiany informacji o VAT w zakresie</w:t>
      </w:r>
      <w:r w:rsidR="000254C2">
        <w:rPr>
          <w:rFonts w:ascii="Times New Roman" w:hAnsi="Times New Roman" w:cs="Times New Roman"/>
          <w:color w:val="000000" w:themeColor="text1"/>
          <w:sz w:val="24"/>
          <w:szCs w:val="24"/>
        </w:rPr>
        <w:t>,</w:t>
      </w:r>
      <w:r w:rsidR="004C233E" w:rsidRPr="00EB304C">
        <w:rPr>
          <w:rFonts w:ascii="Times New Roman" w:hAnsi="Times New Roman" w:cs="Times New Roman"/>
          <w:color w:val="000000" w:themeColor="text1"/>
          <w:sz w:val="24"/>
          <w:szCs w:val="24"/>
        </w:rPr>
        <w:t xml:space="preserve"> w jakim prowadzona jest ona na podstawie rozporządzenia Rady (UE) nr 904/2010</w:t>
      </w:r>
      <w:r w:rsidR="0073042C">
        <w:rPr>
          <w:rFonts w:ascii="Times New Roman" w:hAnsi="Times New Roman" w:cs="Times New Roman"/>
          <w:color w:val="000000" w:themeColor="text1"/>
          <w:sz w:val="24"/>
          <w:szCs w:val="24"/>
        </w:rPr>
        <w:t xml:space="preserve"> z dnia 7 października 2010 r. w sprawie współpracy administracyjnej oraz zwalczania oszustw w dziedzinie podatku od wartości dodanej</w:t>
      </w:r>
      <w:r w:rsidR="0023590F">
        <w:rPr>
          <w:rFonts w:ascii="Times New Roman" w:hAnsi="Times New Roman" w:cs="Times New Roman"/>
          <w:color w:val="000000" w:themeColor="text1"/>
          <w:sz w:val="24"/>
          <w:szCs w:val="24"/>
        </w:rPr>
        <w:t>.</w:t>
      </w:r>
      <w:r w:rsidR="004C233E" w:rsidRPr="00EB304C">
        <w:rPr>
          <w:rFonts w:ascii="Times New Roman" w:hAnsi="Times New Roman" w:cs="Times New Roman"/>
          <w:color w:val="000000" w:themeColor="text1"/>
          <w:sz w:val="24"/>
          <w:szCs w:val="24"/>
        </w:rPr>
        <w:t xml:space="preserve"> Wskazane rozporządzenie nie zawiera jednak postanowień dotyczących kar za nieudzielenie informacji. Po wejściu w życie zmian do ustawy o wymianie informacji podatkowych z innymi państwami przewidujących kary za nieudzielenie przez instytucję finansową informacji na wniosek zagranicznej administracji powstanie więc dychotomia w zakresie skutków prawnych zaniechania obowiązk</w:t>
      </w:r>
      <w:r w:rsidRPr="00EB304C">
        <w:rPr>
          <w:rFonts w:ascii="Times New Roman" w:hAnsi="Times New Roman" w:cs="Times New Roman"/>
          <w:color w:val="000000" w:themeColor="text1"/>
          <w:sz w:val="24"/>
          <w:szCs w:val="24"/>
        </w:rPr>
        <w:t>u</w:t>
      </w:r>
      <w:r w:rsidR="004C233E" w:rsidRPr="00EB304C">
        <w:rPr>
          <w:rFonts w:ascii="Times New Roman" w:hAnsi="Times New Roman" w:cs="Times New Roman"/>
          <w:color w:val="000000" w:themeColor="text1"/>
          <w:sz w:val="24"/>
          <w:szCs w:val="24"/>
        </w:rPr>
        <w:t xml:space="preserve"> udzielenia informacji przez instytucje finansowe</w:t>
      </w:r>
      <w:r w:rsidR="00FD7F0B">
        <w:rPr>
          <w:rFonts w:ascii="Times New Roman" w:hAnsi="Times New Roman" w:cs="Times New Roman"/>
          <w:color w:val="000000" w:themeColor="text1"/>
          <w:sz w:val="24"/>
          <w:szCs w:val="24"/>
        </w:rPr>
        <w:t xml:space="preserve"> w zależności od podstawy prawnej wystąpienia zagranicznej administracji</w:t>
      </w:r>
      <w:r w:rsidR="004C233E" w:rsidRPr="00EB304C">
        <w:rPr>
          <w:rFonts w:ascii="Times New Roman" w:hAnsi="Times New Roman" w:cs="Times New Roman"/>
          <w:color w:val="000000" w:themeColor="text1"/>
          <w:sz w:val="24"/>
          <w:szCs w:val="24"/>
        </w:rPr>
        <w:t>.</w:t>
      </w:r>
    </w:p>
    <w:p w14:paraId="1E06E814" w14:textId="5A7299B9" w:rsidR="00F62650" w:rsidRPr="00EB304C" w:rsidRDefault="00FA7843"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Omawiana zmiana ma więc na</w:t>
      </w:r>
      <w:r w:rsidR="004C233E" w:rsidRPr="00EB304C">
        <w:rPr>
          <w:rFonts w:ascii="Times New Roman" w:hAnsi="Times New Roman" w:cs="Times New Roman"/>
          <w:color w:val="000000" w:themeColor="text1"/>
          <w:sz w:val="24"/>
          <w:szCs w:val="24"/>
        </w:rPr>
        <w:t xml:space="preserve"> celu wyeliminowani</w:t>
      </w:r>
      <w:r w:rsidRPr="00EB304C">
        <w:rPr>
          <w:rFonts w:ascii="Times New Roman" w:hAnsi="Times New Roman" w:cs="Times New Roman"/>
          <w:color w:val="000000" w:themeColor="text1"/>
          <w:sz w:val="24"/>
          <w:szCs w:val="24"/>
        </w:rPr>
        <w:t>e</w:t>
      </w:r>
      <w:r w:rsidR="004C233E" w:rsidRPr="00EB304C">
        <w:rPr>
          <w:rFonts w:ascii="Times New Roman" w:hAnsi="Times New Roman" w:cs="Times New Roman"/>
          <w:color w:val="000000" w:themeColor="text1"/>
          <w:sz w:val="24"/>
          <w:szCs w:val="24"/>
        </w:rPr>
        <w:t xml:space="preserve"> odmiennej sytuacji prawnej instytucji finansowych w przypadku występowania do nich z wnioskiem o udzielenie informacji na podstawach prawnych wskazanych obecnie w art. 4 ustawy o wymianie informacji podatkowych z </w:t>
      </w:r>
      <w:r w:rsidR="0023590F">
        <w:rPr>
          <w:rFonts w:ascii="Times New Roman" w:hAnsi="Times New Roman" w:cs="Times New Roman"/>
          <w:color w:val="000000" w:themeColor="text1"/>
          <w:sz w:val="24"/>
          <w:szCs w:val="24"/>
        </w:rPr>
        <w:t xml:space="preserve">innymi </w:t>
      </w:r>
      <w:r w:rsidR="004C233E" w:rsidRPr="00EB304C">
        <w:rPr>
          <w:rFonts w:ascii="Times New Roman" w:hAnsi="Times New Roman" w:cs="Times New Roman"/>
          <w:color w:val="000000" w:themeColor="text1"/>
          <w:sz w:val="24"/>
          <w:szCs w:val="24"/>
        </w:rPr>
        <w:t xml:space="preserve">państwami oraz na podstawie </w:t>
      </w:r>
      <w:r w:rsidR="0023590F">
        <w:rPr>
          <w:rFonts w:ascii="Times New Roman" w:hAnsi="Times New Roman" w:cs="Times New Roman"/>
          <w:color w:val="000000" w:themeColor="text1"/>
          <w:sz w:val="24"/>
          <w:szCs w:val="24"/>
        </w:rPr>
        <w:t xml:space="preserve">ww. </w:t>
      </w:r>
      <w:r w:rsidR="004C233E" w:rsidRPr="00EB304C">
        <w:rPr>
          <w:rFonts w:ascii="Times New Roman" w:hAnsi="Times New Roman" w:cs="Times New Roman"/>
          <w:color w:val="000000" w:themeColor="text1"/>
          <w:sz w:val="24"/>
          <w:szCs w:val="24"/>
        </w:rPr>
        <w:t xml:space="preserve">rozporządzenia Rady </w:t>
      </w:r>
      <w:r w:rsidR="0023590F">
        <w:rPr>
          <w:rFonts w:ascii="Times New Roman" w:hAnsi="Times New Roman" w:cs="Times New Roman"/>
          <w:color w:val="000000" w:themeColor="text1"/>
          <w:sz w:val="24"/>
          <w:szCs w:val="24"/>
        </w:rPr>
        <w:t>(UE) nr</w:t>
      </w:r>
      <w:r w:rsidR="002E1673">
        <w:rPr>
          <w:rFonts w:ascii="Times New Roman" w:hAnsi="Times New Roman" w:cs="Times New Roman"/>
          <w:color w:val="000000" w:themeColor="text1"/>
          <w:sz w:val="24"/>
          <w:szCs w:val="24"/>
        </w:rPr>
        <w:t> </w:t>
      </w:r>
      <w:r w:rsidR="004C233E" w:rsidRPr="00EB304C">
        <w:rPr>
          <w:rFonts w:ascii="Times New Roman" w:hAnsi="Times New Roman" w:cs="Times New Roman"/>
          <w:color w:val="000000" w:themeColor="text1"/>
          <w:sz w:val="24"/>
          <w:szCs w:val="24"/>
        </w:rPr>
        <w:t>904/2010.</w:t>
      </w:r>
    </w:p>
    <w:p w14:paraId="0DA32728" w14:textId="4CCB2177" w:rsidR="00F62650" w:rsidRPr="00EB304C" w:rsidRDefault="00F62650"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W</w:t>
      </w:r>
      <w:r w:rsidR="006B3DCD" w:rsidRPr="00EB304C">
        <w:rPr>
          <w:rFonts w:ascii="Times New Roman" w:hAnsi="Times New Roman" w:cs="Times New Roman"/>
          <w:color w:val="000000" w:themeColor="text1"/>
          <w:sz w:val="24"/>
          <w:szCs w:val="24"/>
        </w:rPr>
        <w:t xml:space="preserve"> projektowanych </w:t>
      </w:r>
      <w:r w:rsidR="00D856F6">
        <w:rPr>
          <w:rFonts w:ascii="Times New Roman" w:hAnsi="Times New Roman" w:cs="Times New Roman"/>
          <w:color w:val="000000" w:themeColor="text1"/>
          <w:sz w:val="24"/>
          <w:szCs w:val="24"/>
        </w:rPr>
        <w:t xml:space="preserve">w </w:t>
      </w:r>
      <w:r w:rsidR="006B3DCD" w:rsidRPr="00EB304C">
        <w:rPr>
          <w:rFonts w:ascii="Times New Roman" w:hAnsi="Times New Roman" w:cs="Times New Roman"/>
          <w:color w:val="000000" w:themeColor="text1"/>
          <w:sz w:val="24"/>
          <w:szCs w:val="24"/>
        </w:rPr>
        <w:t>art. 4 ust. 3</w:t>
      </w:r>
      <w:r w:rsidR="00D856F6">
        <w:rPr>
          <w:rFonts w:ascii="Times New Roman" w:hAnsi="Times New Roman" w:cs="Times New Roman"/>
          <w:color w:val="000000" w:themeColor="text1"/>
          <w:sz w:val="24"/>
          <w:szCs w:val="24"/>
        </w:rPr>
        <w:t xml:space="preserve"> i </w:t>
      </w:r>
      <w:r w:rsidR="006E217F" w:rsidRPr="00EB304C">
        <w:rPr>
          <w:rFonts w:ascii="Times New Roman" w:hAnsi="Times New Roman" w:cs="Times New Roman"/>
          <w:color w:val="000000" w:themeColor="text1"/>
          <w:sz w:val="24"/>
          <w:szCs w:val="24"/>
        </w:rPr>
        <w:t>4</w:t>
      </w:r>
      <w:r w:rsidR="006B3DCD" w:rsidRPr="00EB304C">
        <w:rPr>
          <w:rFonts w:ascii="Times New Roman" w:hAnsi="Times New Roman" w:cs="Times New Roman"/>
          <w:color w:val="000000" w:themeColor="text1"/>
          <w:sz w:val="24"/>
          <w:szCs w:val="24"/>
        </w:rPr>
        <w:t xml:space="preserve"> </w:t>
      </w:r>
      <w:r w:rsidRPr="00EB304C">
        <w:rPr>
          <w:rFonts w:ascii="Times New Roman" w:hAnsi="Times New Roman" w:cs="Times New Roman"/>
          <w:color w:val="000000" w:themeColor="text1"/>
          <w:sz w:val="24"/>
          <w:szCs w:val="24"/>
        </w:rPr>
        <w:t>przewidziano odrębną regulację procedowania żądań zgłoszonych zgodnie z art. 4 ust. 1 uWIP</w:t>
      </w:r>
      <w:r w:rsidR="006B3DCD" w:rsidRPr="00EB304C">
        <w:rPr>
          <w:rFonts w:ascii="Times New Roman" w:hAnsi="Times New Roman" w:cs="Times New Roman"/>
          <w:color w:val="000000" w:themeColor="text1"/>
          <w:sz w:val="24"/>
          <w:szCs w:val="24"/>
        </w:rPr>
        <w:t>. Zgodnie z ust. 3</w:t>
      </w:r>
      <w:r w:rsidRPr="00EB304C">
        <w:rPr>
          <w:rFonts w:ascii="Times New Roman" w:hAnsi="Times New Roman" w:cs="Times New Roman"/>
          <w:color w:val="000000" w:themeColor="text1"/>
          <w:sz w:val="24"/>
          <w:szCs w:val="24"/>
        </w:rPr>
        <w:t xml:space="preserve"> </w:t>
      </w:r>
      <w:r w:rsidRPr="00EB304C">
        <w:rPr>
          <w:rFonts w:ascii="Times New Roman" w:hAnsi="Times New Roman" w:cs="Times New Roman"/>
          <w:i/>
          <w:color w:val="000000" w:themeColor="text1"/>
          <w:sz w:val="24"/>
          <w:szCs w:val="24"/>
        </w:rPr>
        <w:t xml:space="preserve">Zakres informacji </w:t>
      </w:r>
      <w:r w:rsidR="0023590F">
        <w:rPr>
          <w:rFonts w:ascii="Times New Roman" w:hAnsi="Times New Roman" w:cs="Times New Roman"/>
          <w:i/>
          <w:color w:val="000000" w:themeColor="text1"/>
          <w:sz w:val="24"/>
          <w:szCs w:val="24"/>
        </w:rPr>
        <w:t xml:space="preserve">podatkowych wymienianych z innymi państwami </w:t>
      </w:r>
      <w:r w:rsidRPr="00EB304C">
        <w:rPr>
          <w:rFonts w:ascii="Times New Roman" w:hAnsi="Times New Roman" w:cs="Times New Roman"/>
          <w:i/>
          <w:color w:val="000000" w:themeColor="text1"/>
          <w:sz w:val="24"/>
          <w:szCs w:val="24"/>
        </w:rPr>
        <w:t xml:space="preserve">obejmuje </w:t>
      </w:r>
      <w:r w:rsidR="007A56A2">
        <w:rPr>
          <w:rFonts w:ascii="Times New Roman" w:hAnsi="Times New Roman" w:cs="Times New Roman"/>
          <w:i/>
          <w:color w:val="000000" w:themeColor="text1"/>
          <w:sz w:val="24"/>
          <w:szCs w:val="24"/>
        </w:rPr>
        <w:t>informacje niezbędne dla</w:t>
      </w:r>
      <w:r w:rsidRPr="00EB304C">
        <w:rPr>
          <w:rFonts w:ascii="Times New Roman" w:hAnsi="Times New Roman" w:cs="Times New Roman"/>
          <w:i/>
          <w:color w:val="000000" w:themeColor="text1"/>
          <w:sz w:val="24"/>
          <w:szCs w:val="24"/>
        </w:rPr>
        <w:t xml:space="preserve"> celów stosowania </w:t>
      </w:r>
      <w:r w:rsidR="007A56A2">
        <w:rPr>
          <w:rFonts w:ascii="Times New Roman" w:hAnsi="Times New Roman" w:cs="Times New Roman"/>
          <w:i/>
          <w:color w:val="000000" w:themeColor="text1"/>
          <w:sz w:val="24"/>
          <w:szCs w:val="24"/>
        </w:rPr>
        <w:t>i wykonywania</w:t>
      </w:r>
      <w:r w:rsidRPr="00EB304C">
        <w:rPr>
          <w:rFonts w:ascii="Times New Roman" w:hAnsi="Times New Roman" w:cs="Times New Roman"/>
          <w:i/>
          <w:color w:val="000000" w:themeColor="text1"/>
          <w:sz w:val="24"/>
          <w:szCs w:val="24"/>
        </w:rPr>
        <w:t xml:space="preserve"> krajowych przepisów państwa właściwego organu, </w:t>
      </w:r>
      <w:r w:rsidR="007A56A2">
        <w:rPr>
          <w:rFonts w:ascii="Times New Roman" w:hAnsi="Times New Roman" w:cs="Times New Roman"/>
          <w:i/>
          <w:color w:val="000000" w:themeColor="text1"/>
          <w:sz w:val="24"/>
          <w:szCs w:val="24"/>
        </w:rPr>
        <w:t xml:space="preserve">które są </w:t>
      </w:r>
      <w:r w:rsidR="0036436E" w:rsidRPr="0036436E">
        <w:rPr>
          <w:rFonts w:ascii="Times New Roman" w:hAnsi="Times New Roman" w:cs="Times New Roman"/>
          <w:i/>
          <w:color w:val="000000" w:themeColor="text1"/>
          <w:sz w:val="24"/>
          <w:szCs w:val="24"/>
        </w:rPr>
        <w:t>możliwe do pozyskania przez organy podatkowe na podstawie</w:t>
      </w:r>
      <w:r w:rsidR="007A56A2">
        <w:rPr>
          <w:rFonts w:ascii="Times New Roman" w:hAnsi="Times New Roman" w:cs="Times New Roman"/>
          <w:i/>
          <w:color w:val="000000" w:themeColor="text1"/>
          <w:sz w:val="24"/>
          <w:szCs w:val="24"/>
        </w:rPr>
        <w:t xml:space="preserve"> obowiązujących</w:t>
      </w:r>
      <w:r w:rsidR="0036436E" w:rsidRPr="0036436E">
        <w:rPr>
          <w:rFonts w:ascii="Times New Roman" w:hAnsi="Times New Roman" w:cs="Times New Roman"/>
          <w:i/>
          <w:color w:val="000000" w:themeColor="text1"/>
          <w:sz w:val="24"/>
          <w:szCs w:val="24"/>
        </w:rPr>
        <w:t xml:space="preserve"> przepisów</w:t>
      </w:r>
      <w:r w:rsidR="007A56A2">
        <w:rPr>
          <w:rFonts w:ascii="Times New Roman" w:hAnsi="Times New Roman" w:cs="Times New Roman"/>
          <w:i/>
          <w:color w:val="000000" w:themeColor="text1"/>
          <w:sz w:val="24"/>
          <w:szCs w:val="24"/>
        </w:rPr>
        <w:t xml:space="preserve"> prawa </w:t>
      </w:r>
      <w:r w:rsidR="0036436E">
        <w:rPr>
          <w:rFonts w:ascii="Times New Roman" w:hAnsi="Times New Roman" w:cs="Times New Roman"/>
          <w:i/>
          <w:color w:val="000000" w:themeColor="text1"/>
          <w:sz w:val="24"/>
          <w:szCs w:val="24"/>
        </w:rPr>
        <w:t>i</w:t>
      </w:r>
      <w:r w:rsidRPr="00EB304C">
        <w:rPr>
          <w:rFonts w:ascii="Times New Roman" w:hAnsi="Times New Roman" w:cs="Times New Roman"/>
          <w:i/>
          <w:color w:val="000000" w:themeColor="text1"/>
          <w:sz w:val="24"/>
          <w:szCs w:val="24"/>
        </w:rPr>
        <w:t xml:space="preserve"> znajduj</w:t>
      </w:r>
      <w:r w:rsidR="007A56A2">
        <w:rPr>
          <w:rFonts w:ascii="Times New Roman" w:hAnsi="Times New Roman" w:cs="Times New Roman"/>
          <w:i/>
          <w:color w:val="000000" w:themeColor="text1"/>
          <w:sz w:val="24"/>
          <w:szCs w:val="24"/>
        </w:rPr>
        <w:t>ą</w:t>
      </w:r>
      <w:r w:rsidRPr="00EB304C">
        <w:rPr>
          <w:rFonts w:ascii="Times New Roman" w:hAnsi="Times New Roman" w:cs="Times New Roman"/>
          <w:i/>
          <w:color w:val="000000" w:themeColor="text1"/>
          <w:sz w:val="24"/>
          <w:szCs w:val="24"/>
        </w:rPr>
        <w:t xml:space="preserve"> się w posiadaniu organu lub instytucji, o których mowa w ust. 1</w:t>
      </w:r>
      <w:r w:rsidR="007A56A2">
        <w:rPr>
          <w:rFonts w:ascii="Times New Roman" w:hAnsi="Times New Roman" w:cs="Times New Roman"/>
          <w:i/>
          <w:color w:val="000000" w:themeColor="text1"/>
          <w:sz w:val="24"/>
          <w:szCs w:val="24"/>
        </w:rPr>
        <w:t xml:space="preserve"> i 1a</w:t>
      </w:r>
      <w:r w:rsidRPr="00EB304C">
        <w:rPr>
          <w:rFonts w:ascii="Times New Roman" w:hAnsi="Times New Roman" w:cs="Times New Roman"/>
          <w:color w:val="000000" w:themeColor="text1"/>
          <w:sz w:val="24"/>
          <w:szCs w:val="24"/>
        </w:rPr>
        <w:t>.</w:t>
      </w:r>
      <w:r w:rsidR="00223152">
        <w:rPr>
          <w:rFonts w:ascii="Times New Roman" w:hAnsi="Times New Roman" w:cs="Times New Roman"/>
          <w:color w:val="000000" w:themeColor="text1"/>
          <w:sz w:val="24"/>
          <w:szCs w:val="24"/>
        </w:rPr>
        <w:t xml:space="preserve"> </w:t>
      </w:r>
      <w:r w:rsidRPr="00EB304C">
        <w:rPr>
          <w:rFonts w:ascii="Times New Roman" w:hAnsi="Times New Roman" w:cs="Times New Roman"/>
          <w:color w:val="000000" w:themeColor="text1"/>
          <w:sz w:val="24"/>
          <w:szCs w:val="24"/>
        </w:rPr>
        <w:t xml:space="preserve">W ust. </w:t>
      </w:r>
      <w:r w:rsidR="006B3DCD" w:rsidRPr="00EB304C">
        <w:rPr>
          <w:rFonts w:ascii="Times New Roman" w:hAnsi="Times New Roman" w:cs="Times New Roman"/>
          <w:color w:val="000000" w:themeColor="text1"/>
          <w:sz w:val="24"/>
          <w:szCs w:val="24"/>
        </w:rPr>
        <w:t>4</w:t>
      </w:r>
      <w:r w:rsidRPr="00EB304C">
        <w:rPr>
          <w:rFonts w:ascii="Times New Roman" w:hAnsi="Times New Roman" w:cs="Times New Roman"/>
          <w:color w:val="000000" w:themeColor="text1"/>
          <w:sz w:val="24"/>
          <w:szCs w:val="24"/>
        </w:rPr>
        <w:t xml:space="preserve"> wskazano, że </w:t>
      </w:r>
      <w:r w:rsidR="00FA7843" w:rsidRPr="00EB304C">
        <w:rPr>
          <w:rFonts w:ascii="Times New Roman" w:hAnsi="Times New Roman" w:cs="Times New Roman"/>
          <w:i/>
          <w:color w:val="000000" w:themeColor="text1"/>
          <w:sz w:val="24"/>
          <w:szCs w:val="24"/>
        </w:rPr>
        <w:t>ż</w:t>
      </w:r>
      <w:r w:rsidRPr="00EB304C">
        <w:rPr>
          <w:rFonts w:ascii="Times New Roman" w:hAnsi="Times New Roman" w:cs="Times New Roman"/>
          <w:i/>
          <w:color w:val="000000" w:themeColor="text1"/>
          <w:sz w:val="24"/>
          <w:szCs w:val="24"/>
        </w:rPr>
        <w:t>ądani</w:t>
      </w:r>
      <w:r w:rsidR="0023590F">
        <w:rPr>
          <w:rFonts w:ascii="Times New Roman" w:hAnsi="Times New Roman" w:cs="Times New Roman"/>
          <w:i/>
          <w:color w:val="000000" w:themeColor="text1"/>
          <w:sz w:val="24"/>
          <w:szCs w:val="24"/>
        </w:rPr>
        <w:t>a</w:t>
      </w:r>
      <w:r w:rsidR="007A56A2">
        <w:rPr>
          <w:rFonts w:ascii="Times New Roman" w:hAnsi="Times New Roman" w:cs="Times New Roman"/>
          <w:i/>
          <w:color w:val="000000" w:themeColor="text1"/>
          <w:sz w:val="24"/>
          <w:szCs w:val="24"/>
        </w:rPr>
        <w:t>, o który</w:t>
      </w:r>
      <w:r w:rsidR="0023590F">
        <w:rPr>
          <w:rFonts w:ascii="Times New Roman" w:hAnsi="Times New Roman" w:cs="Times New Roman"/>
          <w:i/>
          <w:color w:val="000000" w:themeColor="text1"/>
          <w:sz w:val="24"/>
          <w:szCs w:val="24"/>
        </w:rPr>
        <w:t>ch</w:t>
      </w:r>
      <w:r w:rsidR="007A56A2">
        <w:rPr>
          <w:rFonts w:ascii="Times New Roman" w:hAnsi="Times New Roman" w:cs="Times New Roman"/>
          <w:i/>
          <w:color w:val="000000" w:themeColor="text1"/>
          <w:sz w:val="24"/>
          <w:szCs w:val="24"/>
        </w:rPr>
        <w:t xml:space="preserve"> mowa w ust. 1 i 1a</w:t>
      </w:r>
      <w:r w:rsidR="0023590F">
        <w:rPr>
          <w:rFonts w:ascii="Times New Roman" w:hAnsi="Times New Roman" w:cs="Times New Roman"/>
          <w:i/>
          <w:color w:val="000000" w:themeColor="text1"/>
          <w:sz w:val="24"/>
          <w:szCs w:val="24"/>
        </w:rPr>
        <w:t>,</w:t>
      </w:r>
      <w:r w:rsidRPr="00EB304C">
        <w:rPr>
          <w:rFonts w:ascii="Times New Roman" w:hAnsi="Times New Roman" w:cs="Times New Roman"/>
          <w:i/>
          <w:color w:val="000000" w:themeColor="text1"/>
          <w:sz w:val="24"/>
          <w:szCs w:val="24"/>
        </w:rPr>
        <w:t xml:space="preserve"> obejmuj</w:t>
      </w:r>
      <w:r w:rsidR="0023590F">
        <w:rPr>
          <w:rFonts w:ascii="Times New Roman" w:hAnsi="Times New Roman" w:cs="Times New Roman"/>
          <w:i/>
          <w:color w:val="000000" w:themeColor="text1"/>
          <w:sz w:val="24"/>
          <w:szCs w:val="24"/>
        </w:rPr>
        <w:t>ą</w:t>
      </w:r>
      <w:r w:rsidRPr="00EB304C">
        <w:rPr>
          <w:rFonts w:ascii="Times New Roman" w:hAnsi="Times New Roman" w:cs="Times New Roman"/>
          <w:i/>
          <w:color w:val="000000" w:themeColor="text1"/>
          <w:sz w:val="24"/>
          <w:szCs w:val="24"/>
        </w:rPr>
        <w:t xml:space="preserve"> wskazanie </w:t>
      </w:r>
      <w:r w:rsidR="007A56A2">
        <w:rPr>
          <w:rFonts w:ascii="Times New Roman" w:hAnsi="Times New Roman" w:cs="Times New Roman"/>
          <w:i/>
          <w:color w:val="000000" w:themeColor="text1"/>
          <w:sz w:val="24"/>
          <w:szCs w:val="24"/>
        </w:rPr>
        <w:t xml:space="preserve">właściwego </w:t>
      </w:r>
      <w:r w:rsidRPr="00EB304C">
        <w:rPr>
          <w:rFonts w:ascii="Times New Roman" w:hAnsi="Times New Roman" w:cs="Times New Roman"/>
          <w:i/>
          <w:color w:val="000000" w:themeColor="text1"/>
          <w:sz w:val="24"/>
          <w:szCs w:val="24"/>
        </w:rPr>
        <w:t>organu, który</w:t>
      </w:r>
      <w:r w:rsidR="007A56A2">
        <w:rPr>
          <w:rFonts w:ascii="Times New Roman" w:hAnsi="Times New Roman" w:cs="Times New Roman"/>
          <w:i/>
          <w:color w:val="000000" w:themeColor="text1"/>
          <w:sz w:val="24"/>
          <w:szCs w:val="24"/>
        </w:rPr>
        <w:t xml:space="preserve"> wystąpił</w:t>
      </w:r>
      <w:r w:rsidRPr="00EB304C">
        <w:rPr>
          <w:rFonts w:ascii="Times New Roman" w:hAnsi="Times New Roman" w:cs="Times New Roman"/>
          <w:i/>
          <w:color w:val="000000" w:themeColor="text1"/>
          <w:sz w:val="24"/>
          <w:szCs w:val="24"/>
        </w:rPr>
        <w:t xml:space="preserve"> </w:t>
      </w:r>
      <w:r w:rsidRPr="00EB304C">
        <w:rPr>
          <w:rFonts w:ascii="Times New Roman" w:hAnsi="Times New Roman" w:cs="Times New Roman"/>
          <w:i/>
          <w:color w:val="000000" w:themeColor="text1"/>
          <w:sz w:val="24"/>
          <w:szCs w:val="24"/>
        </w:rPr>
        <w:lastRenderedPageBreak/>
        <w:t>o udzielenie informacji,</w:t>
      </w:r>
      <w:r w:rsidR="006B3DCD" w:rsidRPr="00EB304C">
        <w:rPr>
          <w:rFonts w:ascii="Times New Roman" w:hAnsi="Times New Roman" w:cs="Times New Roman"/>
          <w:i/>
          <w:color w:val="000000" w:themeColor="text1"/>
          <w:sz w:val="24"/>
          <w:szCs w:val="24"/>
        </w:rPr>
        <w:t xml:space="preserve"> </w:t>
      </w:r>
      <w:r w:rsidRPr="00EB304C">
        <w:rPr>
          <w:rFonts w:ascii="Times New Roman" w:hAnsi="Times New Roman" w:cs="Times New Roman"/>
          <w:i/>
          <w:color w:val="000000" w:themeColor="text1"/>
          <w:sz w:val="24"/>
          <w:szCs w:val="24"/>
        </w:rPr>
        <w:t xml:space="preserve">zakres </w:t>
      </w:r>
      <w:r w:rsidR="006B3DCD" w:rsidRPr="00EB304C">
        <w:rPr>
          <w:rFonts w:ascii="Times New Roman" w:hAnsi="Times New Roman" w:cs="Times New Roman"/>
          <w:i/>
          <w:color w:val="000000" w:themeColor="text1"/>
          <w:sz w:val="24"/>
          <w:szCs w:val="24"/>
        </w:rPr>
        <w:t xml:space="preserve">żądanych </w:t>
      </w:r>
      <w:r w:rsidRPr="00EB304C">
        <w:rPr>
          <w:rFonts w:ascii="Times New Roman" w:hAnsi="Times New Roman" w:cs="Times New Roman"/>
          <w:i/>
          <w:color w:val="000000" w:themeColor="text1"/>
          <w:sz w:val="24"/>
          <w:szCs w:val="24"/>
        </w:rPr>
        <w:t xml:space="preserve">informacji, okres, którego informacje mają dotyczyć, termin ich przekazania oraz pouczenie o </w:t>
      </w:r>
      <w:r w:rsidR="006B3DCD" w:rsidRPr="00EB304C">
        <w:rPr>
          <w:rFonts w:ascii="Times New Roman" w:hAnsi="Times New Roman" w:cs="Times New Roman"/>
          <w:i/>
          <w:color w:val="000000" w:themeColor="text1"/>
          <w:sz w:val="24"/>
          <w:szCs w:val="24"/>
        </w:rPr>
        <w:t xml:space="preserve">treści </w:t>
      </w:r>
      <w:r w:rsidRPr="00EB304C">
        <w:rPr>
          <w:rFonts w:ascii="Times New Roman" w:hAnsi="Times New Roman" w:cs="Times New Roman"/>
          <w:i/>
          <w:color w:val="000000" w:themeColor="text1"/>
          <w:sz w:val="24"/>
          <w:szCs w:val="24"/>
        </w:rPr>
        <w:t>art. 90a</w:t>
      </w:r>
      <w:r w:rsidRPr="00EB304C">
        <w:rPr>
          <w:rFonts w:ascii="Times New Roman" w:hAnsi="Times New Roman" w:cs="Times New Roman"/>
          <w:color w:val="000000" w:themeColor="text1"/>
          <w:sz w:val="24"/>
          <w:szCs w:val="24"/>
        </w:rPr>
        <w:t>.</w:t>
      </w:r>
    </w:p>
    <w:p w14:paraId="7C1F4541" w14:textId="1BA354D0" w:rsidR="00F62650" w:rsidRPr="006815B9" w:rsidRDefault="006B3DCD" w:rsidP="00D856F6">
      <w:pPr>
        <w:pStyle w:val="Akapitzlist"/>
        <w:numPr>
          <w:ilvl w:val="0"/>
          <w:numId w:val="21"/>
        </w:numPr>
        <w:spacing w:before="240" w:after="0" w:line="360" w:lineRule="auto"/>
        <w:ind w:left="714" w:hanging="357"/>
        <w:jc w:val="both"/>
        <w:rPr>
          <w:rFonts w:ascii="Times New Roman" w:hAnsi="Times New Roman" w:cs="Times New Roman"/>
          <w:color w:val="000000" w:themeColor="text1"/>
          <w:sz w:val="24"/>
          <w:szCs w:val="24"/>
        </w:rPr>
      </w:pPr>
      <w:r w:rsidRPr="00EB304C">
        <w:rPr>
          <w:rFonts w:ascii="Times New Roman" w:hAnsi="Times New Roman" w:cs="Times New Roman"/>
          <w:b/>
          <w:color w:val="000000" w:themeColor="text1"/>
          <w:sz w:val="24"/>
          <w:szCs w:val="24"/>
        </w:rPr>
        <w:t>Art. 90a</w:t>
      </w:r>
    </w:p>
    <w:p w14:paraId="13FD1AD2" w14:textId="117B3C9F" w:rsidR="00C41BBA" w:rsidRPr="00EB304C" w:rsidRDefault="00F62650" w:rsidP="00507007">
      <w:pPr>
        <w:pStyle w:val="USTustnpkodeksu"/>
        <w:spacing w:before="120"/>
        <w:ind w:firstLine="0"/>
        <w:rPr>
          <w:rFonts w:ascii="Times New Roman" w:hAnsi="Times New Roman" w:cs="Times New Roman"/>
          <w:b/>
          <w:szCs w:val="24"/>
        </w:rPr>
      </w:pPr>
      <w:r w:rsidRPr="00EB304C">
        <w:rPr>
          <w:rFonts w:ascii="Times New Roman" w:hAnsi="Times New Roman" w:cs="Times New Roman"/>
          <w:color w:val="000000" w:themeColor="text1"/>
          <w:szCs w:val="24"/>
        </w:rPr>
        <w:t>Projekt przewiduje dodanie przepisu art. 90a w uWIP. Przepis ten ustanawia kar</w:t>
      </w:r>
      <w:r w:rsidR="00DB3B8C" w:rsidRPr="00EB304C">
        <w:rPr>
          <w:rFonts w:ascii="Times New Roman" w:hAnsi="Times New Roman" w:cs="Times New Roman"/>
          <w:color w:val="000000" w:themeColor="text1"/>
          <w:szCs w:val="24"/>
        </w:rPr>
        <w:t>ę</w:t>
      </w:r>
      <w:r w:rsidRPr="00EB304C">
        <w:rPr>
          <w:rFonts w:ascii="Times New Roman" w:hAnsi="Times New Roman" w:cs="Times New Roman"/>
          <w:color w:val="000000" w:themeColor="text1"/>
          <w:szCs w:val="24"/>
        </w:rPr>
        <w:t xml:space="preserve"> pieniężn</w:t>
      </w:r>
      <w:r w:rsidR="00DB3B8C" w:rsidRPr="00EB304C">
        <w:rPr>
          <w:rFonts w:ascii="Times New Roman" w:hAnsi="Times New Roman" w:cs="Times New Roman"/>
          <w:color w:val="000000" w:themeColor="text1"/>
          <w:szCs w:val="24"/>
        </w:rPr>
        <w:t>ą</w:t>
      </w:r>
      <w:r w:rsidRPr="00EB304C">
        <w:rPr>
          <w:rFonts w:ascii="Times New Roman" w:hAnsi="Times New Roman" w:cs="Times New Roman"/>
          <w:color w:val="000000" w:themeColor="text1"/>
          <w:szCs w:val="24"/>
        </w:rPr>
        <w:t xml:space="preserve"> nakładan</w:t>
      </w:r>
      <w:r w:rsidR="00DB3B8C" w:rsidRPr="00EB304C">
        <w:rPr>
          <w:rFonts w:ascii="Times New Roman" w:hAnsi="Times New Roman" w:cs="Times New Roman"/>
          <w:color w:val="000000" w:themeColor="text1"/>
          <w:szCs w:val="24"/>
        </w:rPr>
        <w:t>ą</w:t>
      </w:r>
      <w:r w:rsidRPr="00EB304C">
        <w:rPr>
          <w:rFonts w:ascii="Times New Roman" w:hAnsi="Times New Roman" w:cs="Times New Roman"/>
          <w:color w:val="000000" w:themeColor="text1"/>
          <w:szCs w:val="24"/>
        </w:rPr>
        <w:t xml:space="preserve"> na</w:t>
      </w:r>
      <w:r w:rsidR="00223152">
        <w:rPr>
          <w:rFonts w:ascii="Times New Roman" w:hAnsi="Times New Roman" w:cs="Times New Roman"/>
          <w:color w:val="000000" w:themeColor="text1"/>
          <w:szCs w:val="24"/>
        </w:rPr>
        <w:t xml:space="preserve"> </w:t>
      </w:r>
      <w:r w:rsidRPr="00EB304C">
        <w:rPr>
          <w:rFonts w:ascii="Times New Roman" w:hAnsi="Times New Roman" w:cs="Times New Roman"/>
          <w:color w:val="000000" w:themeColor="text1"/>
          <w:szCs w:val="24"/>
        </w:rPr>
        <w:t>instytucję finansową lub instytucj</w:t>
      </w:r>
      <w:r w:rsidR="00DB3B8C" w:rsidRPr="00EB304C">
        <w:rPr>
          <w:rFonts w:ascii="Times New Roman" w:hAnsi="Times New Roman" w:cs="Times New Roman"/>
          <w:color w:val="000000" w:themeColor="text1"/>
          <w:szCs w:val="24"/>
        </w:rPr>
        <w:t xml:space="preserve">ę </w:t>
      </w:r>
      <w:r w:rsidRPr="00EB304C">
        <w:rPr>
          <w:rFonts w:ascii="Times New Roman" w:hAnsi="Times New Roman" w:cs="Times New Roman"/>
          <w:color w:val="000000" w:themeColor="text1"/>
          <w:szCs w:val="24"/>
        </w:rPr>
        <w:t>obowiązan</w:t>
      </w:r>
      <w:r w:rsidR="00DB3B8C" w:rsidRPr="00EB304C">
        <w:rPr>
          <w:rFonts w:ascii="Times New Roman" w:hAnsi="Times New Roman" w:cs="Times New Roman"/>
          <w:color w:val="000000" w:themeColor="text1"/>
          <w:szCs w:val="24"/>
        </w:rPr>
        <w:t>ą</w:t>
      </w:r>
      <w:r w:rsidRPr="00EB304C">
        <w:rPr>
          <w:rFonts w:ascii="Times New Roman" w:hAnsi="Times New Roman" w:cs="Times New Roman"/>
          <w:color w:val="000000" w:themeColor="text1"/>
          <w:szCs w:val="24"/>
        </w:rPr>
        <w:t xml:space="preserve">, które </w:t>
      </w:r>
      <w:r w:rsidR="00936D84" w:rsidRPr="00EB304C">
        <w:rPr>
          <w:rFonts w:ascii="Times New Roman" w:hAnsi="Times New Roman" w:cs="Times New Roman"/>
          <w:color w:val="000000" w:themeColor="text1"/>
          <w:szCs w:val="24"/>
        </w:rPr>
        <w:t xml:space="preserve">mimo obowiązku </w:t>
      </w:r>
      <w:r w:rsidRPr="00EB304C">
        <w:rPr>
          <w:rFonts w:ascii="Times New Roman" w:hAnsi="Times New Roman" w:cs="Times New Roman"/>
          <w:color w:val="000000" w:themeColor="text1"/>
          <w:szCs w:val="24"/>
        </w:rPr>
        <w:t xml:space="preserve">nie udzielają informacji </w:t>
      </w:r>
      <w:r w:rsidR="004A1864" w:rsidRPr="00EB304C">
        <w:rPr>
          <w:rFonts w:ascii="Times New Roman" w:hAnsi="Times New Roman" w:cs="Times New Roman"/>
          <w:color w:val="000000" w:themeColor="text1"/>
          <w:szCs w:val="24"/>
        </w:rPr>
        <w:t>z art. 4 ust. 1 lub 1a</w:t>
      </w:r>
      <w:r w:rsidR="00455C29" w:rsidRPr="00EB304C">
        <w:rPr>
          <w:rFonts w:ascii="Times New Roman" w:hAnsi="Times New Roman" w:cs="Times New Roman"/>
          <w:color w:val="000000" w:themeColor="text1"/>
          <w:szCs w:val="24"/>
        </w:rPr>
        <w:t>.</w:t>
      </w:r>
      <w:r w:rsidR="004A1864" w:rsidRPr="00EB304C">
        <w:rPr>
          <w:rFonts w:ascii="Times New Roman" w:hAnsi="Times New Roman" w:cs="Times New Roman"/>
          <w:color w:val="000000" w:themeColor="text1"/>
          <w:szCs w:val="24"/>
        </w:rPr>
        <w:t xml:space="preserve"> </w:t>
      </w:r>
    </w:p>
    <w:p w14:paraId="0ECDF0CD" w14:textId="4FD40739" w:rsidR="00C41BBA" w:rsidRPr="00EB304C" w:rsidRDefault="00781748" w:rsidP="00D856F6">
      <w:pPr>
        <w:pStyle w:val="USTustnpkodeksu"/>
        <w:numPr>
          <w:ilvl w:val="0"/>
          <w:numId w:val="35"/>
        </w:numPr>
        <w:spacing w:before="360"/>
        <w:ind w:left="714" w:hanging="357"/>
        <w:rPr>
          <w:rFonts w:ascii="Times New Roman" w:hAnsi="Times New Roman" w:cs="Times New Roman"/>
          <w:b/>
          <w:szCs w:val="24"/>
        </w:rPr>
      </w:pPr>
      <w:r w:rsidRPr="00EB304C">
        <w:rPr>
          <w:rFonts w:ascii="Times New Roman" w:hAnsi="Times New Roman" w:cs="Times New Roman"/>
          <w:b/>
          <w:szCs w:val="24"/>
        </w:rPr>
        <w:t>Zmiany w innych ustawach</w:t>
      </w:r>
    </w:p>
    <w:p w14:paraId="398AC81C" w14:textId="206CF668" w:rsidR="00084DC1" w:rsidRPr="00EB304C" w:rsidRDefault="00021378" w:rsidP="00507007">
      <w:pPr>
        <w:pBdr>
          <w:top w:val="nil"/>
          <w:left w:val="nil"/>
          <w:bottom w:val="nil"/>
          <w:right w:val="nil"/>
          <w:between w:val="nil"/>
          <w:bar w:val="nil"/>
        </w:pBdr>
        <w:spacing w:before="120" w:after="0" w:line="360" w:lineRule="auto"/>
        <w:jc w:val="both"/>
        <w:rPr>
          <w:rFonts w:ascii="Times New Roman" w:hAnsi="Times New Roman" w:cs="Times New Roman"/>
          <w:b/>
          <w:sz w:val="24"/>
          <w:szCs w:val="24"/>
        </w:rPr>
      </w:pPr>
      <w:r w:rsidRPr="00EB304C">
        <w:rPr>
          <w:rFonts w:ascii="Times New Roman" w:hAnsi="Times New Roman" w:cs="Times New Roman"/>
          <w:b/>
          <w:sz w:val="24"/>
          <w:szCs w:val="24"/>
        </w:rPr>
        <w:t xml:space="preserve">A. Ordynacja podatkowa </w:t>
      </w:r>
    </w:p>
    <w:p w14:paraId="662C9DE9" w14:textId="68DFE03C" w:rsidR="001303C9" w:rsidRPr="006815B9" w:rsidRDefault="00021378" w:rsidP="00507007">
      <w:pPr>
        <w:pStyle w:val="Akapitzlist"/>
        <w:numPr>
          <w:ilvl w:val="0"/>
          <w:numId w:val="40"/>
        </w:numPr>
        <w:pBdr>
          <w:top w:val="nil"/>
          <w:left w:val="nil"/>
          <w:bottom w:val="nil"/>
          <w:right w:val="nil"/>
          <w:between w:val="nil"/>
          <w:bar w:val="nil"/>
        </w:pBdr>
        <w:spacing w:before="120" w:after="0" w:line="360" w:lineRule="auto"/>
        <w:jc w:val="both"/>
        <w:rPr>
          <w:rFonts w:ascii="Times New Roman" w:hAnsi="Times New Roman" w:cs="Times New Roman"/>
          <w:b/>
          <w:color w:val="000000" w:themeColor="text1"/>
          <w:sz w:val="24"/>
          <w:szCs w:val="24"/>
        </w:rPr>
      </w:pPr>
      <w:r w:rsidRPr="006815B9">
        <w:rPr>
          <w:rFonts w:ascii="Times New Roman" w:hAnsi="Times New Roman" w:cs="Times New Roman"/>
          <w:b/>
          <w:color w:val="000000" w:themeColor="text1"/>
          <w:sz w:val="24"/>
          <w:szCs w:val="24"/>
        </w:rPr>
        <w:t>Art. 86a (MDR – definicja osoby kontrolującej, dane osobowe, obowiązki względem osób fizycznych)</w:t>
      </w:r>
    </w:p>
    <w:p w14:paraId="6FAA5382" w14:textId="77777777" w:rsidR="00BF1D2D" w:rsidRPr="00D856F6" w:rsidRDefault="00BF1D2D" w:rsidP="00507007">
      <w:pPr>
        <w:pStyle w:val="Akapitzlist"/>
        <w:pBdr>
          <w:top w:val="nil"/>
          <w:left w:val="nil"/>
          <w:bottom w:val="nil"/>
          <w:right w:val="nil"/>
          <w:between w:val="nil"/>
          <w:bar w:val="nil"/>
        </w:pBdr>
        <w:spacing w:before="120" w:after="0" w:line="360" w:lineRule="auto"/>
        <w:jc w:val="both"/>
        <w:rPr>
          <w:rFonts w:ascii="Times New Roman" w:hAnsi="Times New Roman" w:cs="Times New Roman"/>
          <w:b/>
          <w:color w:val="000000" w:themeColor="text1"/>
          <w:sz w:val="16"/>
          <w:szCs w:val="16"/>
        </w:rPr>
      </w:pPr>
    </w:p>
    <w:p w14:paraId="6095DD8D" w14:textId="056A8305" w:rsidR="001303C9" w:rsidRPr="00EB304C" w:rsidRDefault="00021378" w:rsidP="00507007">
      <w:pPr>
        <w:pStyle w:val="Akapitzlist"/>
        <w:pBdr>
          <w:top w:val="nil"/>
          <w:left w:val="nil"/>
          <w:bottom w:val="nil"/>
          <w:right w:val="nil"/>
          <w:between w:val="nil"/>
          <w:bar w:val="nil"/>
        </w:pBd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 xml:space="preserve">a) dodanie art. 86a § 1 pkt </w:t>
      </w:r>
      <w:r w:rsidR="00E91D14" w:rsidRPr="00EB304C">
        <w:rPr>
          <w:rFonts w:ascii="Times New Roman" w:hAnsi="Times New Roman" w:cs="Times New Roman"/>
          <w:color w:val="000000" w:themeColor="text1"/>
          <w:sz w:val="24"/>
          <w:szCs w:val="24"/>
        </w:rPr>
        <w:t>6a</w:t>
      </w:r>
    </w:p>
    <w:p w14:paraId="4DDFA153" w14:textId="77777777" w:rsidR="001303C9" w:rsidRPr="00EB304C" w:rsidRDefault="00021378" w:rsidP="00507007">
      <w:pPr>
        <w:pBdr>
          <w:top w:val="nil"/>
          <w:left w:val="nil"/>
          <w:bottom w:val="nil"/>
          <w:right w:val="nil"/>
          <w:between w:val="nil"/>
          <w:bar w:val="nil"/>
        </w:pBdr>
        <w:spacing w:before="120" w:after="0" w:line="360" w:lineRule="auto"/>
        <w:jc w:val="both"/>
        <w:rPr>
          <w:rFonts w:ascii="Times New Roman" w:hAnsi="Times New Roman" w:cs="Times New Roman"/>
          <w:b/>
          <w:color w:val="000000" w:themeColor="text1"/>
          <w:sz w:val="24"/>
          <w:szCs w:val="24"/>
        </w:rPr>
      </w:pPr>
      <w:r w:rsidRPr="00EB304C">
        <w:rPr>
          <w:rFonts w:ascii="Times New Roman" w:hAnsi="Times New Roman" w:cs="Times New Roman"/>
          <w:color w:val="000000" w:themeColor="text1"/>
          <w:sz w:val="24"/>
          <w:szCs w:val="24"/>
        </w:rPr>
        <w:t xml:space="preserve">Dyrektywa dokonuje następującej zmiany w art. 3 </w:t>
      </w:r>
      <w:r w:rsidRPr="00EB304C">
        <w:rPr>
          <w:rFonts w:ascii="Times New Roman" w:hAnsi="Times New Roman" w:cs="Times New Roman"/>
          <w:sz w:val="24"/>
          <w:szCs w:val="24"/>
        </w:rPr>
        <w:t xml:space="preserve">dyrektywy 2011/16/UE: </w:t>
      </w:r>
      <w:r w:rsidRPr="00EB304C">
        <w:rPr>
          <w:rFonts w:ascii="Times New Roman" w:hAnsi="Times New Roman" w:cs="Times New Roman"/>
          <w:i/>
          <w:sz w:val="24"/>
          <w:szCs w:val="24"/>
        </w:rPr>
        <w:t>„</w:t>
      </w:r>
      <w:r w:rsidRPr="00EB304C">
        <w:rPr>
          <w:rFonts w:ascii="Times New Roman" w:hAnsi="Times New Roman" w:cs="Times New Roman"/>
          <w:i/>
          <w:color w:val="000000" w:themeColor="text1"/>
          <w:sz w:val="24"/>
          <w:szCs w:val="24"/>
        </w:rPr>
        <w:t>pkt 9 akapit drugi otrzymuje brzmienie: W kontekście art. 8 ust. 3a, art. 8 ust. 7a, art. 21 ust. 2 oraz załącznika IV wszelkie terminy ujęte w pojedyncze górne cudzysłowy mają takie samo znaczenie jak w odpowiadających im definicjach zawartych w załączniku I […]”.</w:t>
      </w:r>
    </w:p>
    <w:p w14:paraId="1FC6A40F" w14:textId="600AF372" w:rsidR="001303C9" w:rsidRPr="00EB304C" w:rsidRDefault="00021378" w:rsidP="00507007">
      <w:pPr>
        <w:pBdr>
          <w:top w:val="nil"/>
          <w:left w:val="nil"/>
          <w:bottom w:val="nil"/>
          <w:right w:val="nil"/>
          <w:between w:val="nil"/>
          <w:bar w:val="nil"/>
        </w:pBdr>
        <w:spacing w:before="120" w:after="0" w:line="360" w:lineRule="auto"/>
        <w:jc w:val="both"/>
        <w:rPr>
          <w:rFonts w:ascii="Times New Roman" w:hAnsi="Times New Roman" w:cs="Times New Roman"/>
          <w:b/>
          <w:color w:val="000000" w:themeColor="text1"/>
          <w:sz w:val="24"/>
          <w:szCs w:val="24"/>
        </w:rPr>
      </w:pPr>
      <w:r w:rsidRPr="00EB304C">
        <w:rPr>
          <w:rFonts w:ascii="Times New Roman" w:hAnsi="Times New Roman" w:cs="Times New Roman"/>
          <w:color w:val="000000" w:themeColor="text1"/>
          <w:sz w:val="24"/>
          <w:szCs w:val="24"/>
        </w:rPr>
        <w:t>W świetle powyższego należy stwierdzić, że termin</w:t>
      </w:r>
      <w:r w:rsidR="00223152">
        <w:rPr>
          <w:rFonts w:ascii="Times New Roman" w:hAnsi="Times New Roman" w:cs="Times New Roman"/>
          <w:color w:val="000000" w:themeColor="text1"/>
          <w:sz w:val="24"/>
          <w:szCs w:val="24"/>
        </w:rPr>
        <w:t xml:space="preserve"> </w:t>
      </w:r>
      <w:r w:rsidRPr="00EB304C">
        <w:rPr>
          <w:rFonts w:ascii="Times New Roman" w:hAnsi="Times New Roman" w:cs="Times New Roman"/>
          <w:color w:val="000000" w:themeColor="text1"/>
          <w:sz w:val="24"/>
          <w:szCs w:val="24"/>
        </w:rPr>
        <w:t xml:space="preserve">„osoba kontrolująca” został zdefiniowany w </w:t>
      </w:r>
      <w:r w:rsidR="001C5C47">
        <w:rPr>
          <w:rFonts w:ascii="Times New Roman" w:hAnsi="Times New Roman" w:cs="Times New Roman"/>
          <w:color w:val="000000" w:themeColor="text1"/>
          <w:sz w:val="24"/>
          <w:szCs w:val="24"/>
        </w:rPr>
        <w:t>z</w:t>
      </w:r>
      <w:r w:rsidRPr="00EB304C">
        <w:rPr>
          <w:rFonts w:ascii="Times New Roman" w:hAnsi="Times New Roman" w:cs="Times New Roman"/>
          <w:color w:val="000000" w:themeColor="text1"/>
          <w:sz w:val="24"/>
          <w:szCs w:val="24"/>
        </w:rPr>
        <w:t xml:space="preserve">ałączniku I </w:t>
      </w:r>
      <w:r w:rsidRPr="00EB304C">
        <w:rPr>
          <w:rFonts w:ascii="Times New Roman" w:hAnsi="Times New Roman" w:cs="Times New Roman"/>
          <w:sz w:val="24"/>
          <w:szCs w:val="24"/>
        </w:rPr>
        <w:t>dyrektywy 2011/16/UE</w:t>
      </w:r>
      <w:r w:rsidRPr="00EB304C">
        <w:rPr>
          <w:rFonts w:ascii="Times New Roman" w:hAnsi="Times New Roman" w:cs="Times New Roman"/>
          <w:color w:val="000000" w:themeColor="text1"/>
          <w:sz w:val="24"/>
          <w:szCs w:val="24"/>
        </w:rPr>
        <w:t xml:space="preserve">, jednak brak jest stosownej definicji w art. 86a § 1 Ordynacji podatkowej, w którym znajduje się słownik pojęć implementowanych, występujących w </w:t>
      </w:r>
      <w:r w:rsidR="001C5C47">
        <w:rPr>
          <w:rFonts w:ascii="Times New Roman" w:hAnsi="Times New Roman" w:cs="Times New Roman"/>
          <w:color w:val="000000" w:themeColor="text1"/>
          <w:sz w:val="24"/>
          <w:szCs w:val="24"/>
        </w:rPr>
        <w:t>z</w:t>
      </w:r>
      <w:r w:rsidRPr="00EB304C">
        <w:rPr>
          <w:rFonts w:ascii="Times New Roman" w:hAnsi="Times New Roman" w:cs="Times New Roman"/>
          <w:color w:val="000000" w:themeColor="text1"/>
          <w:sz w:val="24"/>
          <w:szCs w:val="24"/>
        </w:rPr>
        <w:t>ałączniku IV</w:t>
      </w:r>
      <w:r w:rsidR="00223152">
        <w:rPr>
          <w:rFonts w:ascii="Times New Roman" w:hAnsi="Times New Roman" w:cs="Times New Roman"/>
          <w:color w:val="000000" w:themeColor="text1"/>
          <w:sz w:val="24"/>
          <w:szCs w:val="24"/>
        </w:rPr>
        <w:t xml:space="preserve"> </w:t>
      </w:r>
      <w:r w:rsidR="001C5C47">
        <w:rPr>
          <w:rFonts w:ascii="Times New Roman" w:hAnsi="Times New Roman" w:cs="Times New Roman"/>
          <w:color w:val="000000" w:themeColor="text1"/>
          <w:sz w:val="24"/>
          <w:szCs w:val="24"/>
        </w:rPr>
        <w:t>d</w:t>
      </w:r>
      <w:r w:rsidRPr="00EB304C">
        <w:rPr>
          <w:rFonts w:ascii="Times New Roman" w:hAnsi="Times New Roman" w:cs="Times New Roman"/>
          <w:color w:val="000000" w:themeColor="text1"/>
          <w:sz w:val="24"/>
          <w:szCs w:val="24"/>
        </w:rPr>
        <w:t xml:space="preserve">yrektywy. W związku z tym dodaje się art. 86a § 1 pkt </w:t>
      </w:r>
      <w:r w:rsidR="004A1864" w:rsidRPr="00EB304C">
        <w:rPr>
          <w:rFonts w:ascii="Times New Roman" w:hAnsi="Times New Roman" w:cs="Times New Roman"/>
          <w:color w:val="000000" w:themeColor="text1"/>
          <w:sz w:val="24"/>
          <w:szCs w:val="24"/>
        </w:rPr>
        <w:t>6a</w:t>
      </w:r>
      <w:r w:rsidRPr="00EB304C">
        <w:rPr>
          <w:rFonts w:ascii="Times New Roman" w:hAnsi="Times New Roman" w:cs="Times New Roman"/>
          <w:color w:val="000000" w:themeColor="text1"/>
          <w:sz w:val="24"/>
          <w:szCs w:val="24"/>
        </w:rPr>
        <w:t xml:space="preserve"> Ordynacji podatkowej, który wprowadza definicję „osoby kontrolującej” przez odesłanie do przepisów ustawy </w:t>
      </w:r>
      <w:r w:rsidR="001C5C47">
        <w:rPr>
          <w:rFonts w:ascii="Times New Roman" w:hAnsi="Times New Roman" w:cs="Times New Roman"/>
          <w:color w:val="000000" w:themeColor="text1"/>
          <w:sz w:val="24"/>
          <w:szCs w:val="24"/>
        </w:rPr>
        <w:t>z dnia 1 marca 2018 r</w:t>
      </w:r>
      <w:r w:rsidR="00D856F6">
        <w:rPr>
          <w:rFonts w:ascii="Times New Roman" w:hAnsi="Times New Roman" w:cs="Times New Roman"/>
          <w:color w:val="000000" w:themeColor="text1"/>
          <w:sz w:val="24"/>
          <w:szCs w:val="24"/>
        </w:rPr>
        <w:t>.</w:t>
      </w:r>
      <w:r w:rsidR="001C5C47">
        <w:rPr>
          <w:rFonts w:ascii="Times New Roman" w:hAnsi="Times New Roman" w:cs="Times New Roman"/>
          <w:color w:val="000000" w:themeColor="text1"/>
          <w:sz w:val="24"/>
          <w:szCs w:val="24"/>
        </w:rPr>
        <w:t xml:space="preserve"> </w:t>
      </w:r>
      <w:r w:rsidRPr="00EB304C">
        <w:rPr>
          <w:rFonts w:ascii="Times New Roman" w:hAnsi="Times New Roman" w:cs="Times New Roman"/>
          <w:color w:val="000000" w:themeColor="text1"/>
          <w:sz w:val="24"/>
          <w:szCs w:val="24"/>
        </w:rPr>
        <w:t xml:space="preserve">o przeciwdziałaniu praniu pieniędzy oraz finansowaniu terroryzmu </w:t>
      </w:r>
      <w:r w:rsidR="00D2473C">
        <w:rPr>
          <w:rFonts w:ascii="Times New Roman" w:hAnsi="Times New Roman" w:cs="Times New Roman"/>
          <w:color w:val="000000" w:themeColor="text1"/>
          <w:sz w:val="24"/>
          <w:szCs w:val="24"/>
        </w:rPr>
        <w:t xml:space="preserve">(Dz. U. z 2023 r. poz. 1124, z późn. zm.) </w:t>
      </w:r>
      <w:r w:rsidRPr="00EB304C">
        <w:rPr>
          <w:rFonts w:ascii="Times New Roman" w:hAnsi="Times New Roman" w:cs="Times New Roman"/>
          <w:color w:val="000000" w:themeColor="text1"/>
          <w:sz w:val="24"/>
          <w:szCs w:val="24"/>
        </w:rPr>
        <w:t>i zawartej tam definicji beneficjenta rzeczywistego, tak jak zrobił to ustawodawca w art. 24 ust. 1 pkt 20 uWIP.</w:t>
      </w:r>
      <w:r w:rsidR="00223152">
        <w:rPr>
          <w:rFonts w:ascii="Times New Roman" w:hAnsi="Times New Roman" w:cs="Times New Roman"/>
          <w:color w:val="000000" w:themeColor="text1"/>
          <w:sz w:val="24"/>
          <w:szCs w:val="24"/>
        </w:rPr>
        <w:t xml:space="preserve"> </w:t>
      </w:r>
    </w:p>
    <w:p w14:paraId="6E23FBAC" w14:textId="77777777" w:rsidR="001303C9" w:rsidRPr="00EB304C" w:rsidRDefault="00021378" w:rsidP="00507007">
      <w:pPr>
        <w:pBdr>
          <w:top w:val="nil"/>
          <w:left w:val="nil"/>
          <w:bottom w:val="nil"/>
          <w:right w:val="nil"/>
          <w:between w:val="nil"/>
          <w:bar w:val="nil"/>
        </w:pBdr>
        <w:spacing w:before="120" w:after="0" w:line="360" w:lineRule="auto"/>
        <w:ind w:firstLine="708"/>
        <w:jc w:val="both"/>
        <w:rPr>
          <w:rFonts w:ascii="Times New Roman" w:hAnsi="Times New Roman" w:cs="Times New Roman"/>
          <w:b/>
          <w:color w:val="000000" w:themeColor="text1"/>
          <w:sz w:val="24"/>
          <w:szCs w:val="24"/>
        </w:rPr>
      </w:pPr>
      <w:r w:rsidRPr="00EB304C">
        <w:rPr>
          <w:rFonts w:ascii="Times New Roman" w:hAnsi="Times New Roman" w:cs="Times New Roman"/>
          <w:color w:val="000000" w:themeColor="text1"/>
          <w:sz w:val="24"/>
          <w:szCs w:val="24"/>
        </w:rPr>
        <w:t>b) dodanie art. 86a § 11 i 12</w:t>
      </w:r>
    </w:p>
    <w:p w14:paraId="6C1FA377" w14:textId="3EE4A1A0" w:rsidR="001303C9" w:rsidRPr="00EB304C" w:rsidRDefault="00021378" w:rsidP="00507007">
      <w:pPr>
        <w:pBdr>
          <w:top w:val="nil"/>
          <w:left w:val="nil"/>
          <w:bottom w:val="nil"/>
          <w:right w:val="nil"/>
          <w:between w:val="nil"/>
          <w:bar w:val="nil"/>
        </w:pBdr>
        <w:spacing w:before="120" w:after="0" w:line="360" w:lineRule="auto"/>
        <w:jc w:val="both"/>
        <w:rPr>
          <w:rFonts w:ascii="Times New Roman" w:hAnsi="Times New Roman" w:cs="Times New Roman"/>
          <w:b/>
          <w:color w:val="000000" w:themeColor="text1"/>
          <w:sz w:val="24"/>
          <w:szCs w:val="24"/>
        </w:rPr>
      </w:pPr>
      <w:r w:rsidRPr="00EB304C">
        <w:rPr>
          <w:rFonts w:ascii="Times New Roman" w:hAnsi="Times New Roman" w:cs="Times New Roman"/>
          <w:color w:val="000000" w:themeColor="text1"/>
          <w:sz w:val="24"/>
          <w:szCs w:val="24"/>
        </w:rPr>
        <w:t xml:space="preserve">Na mocy </w:t>
      </w:r>
      <w:r w:rsidR="00720791" w:rsidRPr="00EB304C">
        <w:rPr>
          <w:rFonts w:ascii="Times New Roman" w:hAnsi="Times New Roman" w:cs="Times New Roman"/>
          <w:color w:val="000000" w:themeColor="text1"/>
          <w:sz w:val="24"/>
          <w:szCs w:val="24"/>
        </w:rPr>
        <w:t>d</w:t>
      </w:r>
      <w:r w:rsidRPr="00EB304C">
        <w:rPr>
          <w:rFonts w:ascii="Times New Roman" w:hAnsi="Times New Roman" w:cs="Times New Roman"/>
          <w:color w:val="000000" w:themeColor="text1"/>
          <w:sz w:val="24"/>
          <w:szCs w:val="24"/>
        </w:rPr>
        <w:t>yrektywy, art. 25 ust. 3 i 4 dyrektywy 2011/16/UE uzysk</w:t>
      </w:r>
      <w:r w:rsidR="00720791" w:rsidRPr="00EB304C">
        <w:rPr>
          <w:rFonts w:ascii="Times New Roman" w:hAnsi="Times New Roman" w:cs="Times New Roman"/>
          <w:color w:val="000000" w:themeColor="text1"/>
          <w:sz w:val="24"/>
          <w:szCs w:val="24"/>
        </w:rPr>
        <w:t xml:space="preserve">ały następujące brzmienie: </w:t>
      </w:r>
      <w:r w:rsidR="00274CC6">
        <w:rPr>
          <w:rFonts w:ascii="Times New Roman" w:hAnsi="Times New Roman" w:cs="Times New Roman"/>
          <w:color w:val="000000" w:themeColor="text1"/>
          <w:sz w:val="24"/>
          <w:szCs w:val="24"/>
        </w:rPr>
        <w:t>„</w:t>
      </w:r>
      <w:r w:rsidRPr="00EB304C">
        <w:rPr>
          <w:rFonts w:ascii="Times New Roman" w:hAnsi="Times New Roman" w:cs="Times New Roman"/>
          <w:i/>
          <w:color w:val="000000" w:themeColor="text1"/>
          <w:sz w:val="24"/>
          <w:szCs w:val="24"/>
        </w:rPr>
        <w:t>3.‘Raportujące instytucje finansowe’, pośredników, ‘raportujących operatorów platform’ oraz właściwe organy państw członkowskich uznaje się za administratorów danych, gdy – działając samodzielnie lub wspólnie – określają cele i sposoby p</w:t>
      </w:r>
      <w:r w:rsidR="00936D84" w:rsidRPr="00EB304C">
        <w:rPr>
          <w:rFonts w:ascii="Times New Roman" w:hAnsi="Times New Roman" w:cs="Times New Roman"/>
          <w:i/>
          <w:color w:val="000000" w:themeColor="text1"/>
          <w:sz w:val="24"/>
          <w:szCs w:val="24"/>
        </w:rPr>
        <w:t>rzetwarzania danych osobowych w </w:t>
      </w:r>
      <w:r w:rsidRPr="00EB304C">
        <w:rPr>
          <w:rFonts w:ascii="Times New Roman" w:hAnsi="Times New Roman" w:cs="Times New Roman"/>
          <w:i/>
          <w:color w:val="000000" w:themeColor="text1"/>
          <w:sz w:val="24"/>
          <w:szCs w:val="24"/>
        </w:rPr>
        <w:t>rozumieniu rozporządzenia (UE) 2016/679.</w:t>
      </w:r>
      <w:r w:rsidRPr="00EB304C">
        <w:rPr>
          <w:rFonts w:ascii="Times New Roman" w:hAnsi="Times New Roman" w:cs="Times New Roman"/>
          <w:color w:val="000000" w:themeColor="text1"/>
          <w:sz w:val="24"/>
          <w:szCs w:val="24"/>
        </w:rPr>
        <w:t xml:space="preserve"> </w:t>
      </w:r>
    </w:p>
    <w:p w14:paraId="4D114B2B" w14:textId="58C79B59" w:rsidR="001303C9" w:rsidRPr="00EB304C" w:rsidRDefault="00021378" w:rsidP="00507007">
      <w:pPr>
        <w:pBdr>
          <w:top w:val="nil"/>
          <w:left w:val="nil"/>
          <w:bottom w:val="nil"/>
          <w:right w:val="nil"/>
          <w:between w:val="nil"/>
          <w:bar w:val="nil"/>
        </w:pBdr>
        <w:spacing w:before="120" w:after="0" w:line="360" w:lineRule="auto"/>
        <w:jc w:val="both"/>
        <w:rPr>
          <w:rFonts w:ascii="Times New Roman" w:hAnsi="Times New Roman" w:cs="Times New Roman"/>
          <w:b/>
          <w:color w:val="000000" w:themeColor="text1"/>
          <w:sz w:val="24"/>
          <w:szCs w:val="24"/>
        </w:rPr>
      </w:pPr>
      <w:r w:rsidRPr="00EB304C">
        <w:rPr>
          <w:rFonts w:ascii="Times New Roman" w:hAnsi="Times New Roman" w:cs="Times New Roman"/>
          <w:i/>
          <w:color w:val="000000" w:themeColor="text1"/>
          <w:sz w:val="24"/>
          <w:szCs w:val="24"/>
        </w:rPr>
        <w:lastRenderedPageBreak/>
        <w:t>4.</w:t>
      </w:r>
      <w:r w:rsidR="00C958A4">
        <w:rPr>
          <w:rFonts w:ascii="Times New Roman" w:hAnsi="Times New Roman" w:cs="Times New Roman"/>
          <w:i/>
          <w:color w:val="000000" w:themeColor="text1"/>
          <w:sz w:val="24"/>
          <w:szCs w:val="24"/>
        </w:rPr>
        <w:t xml:space="preserve"> </w:t>
      </w:r>
      <w:r w:rsidRPr="00EB304C">
        <w:rPr>
          <w:rFonts w:ascii="Times New Roman" w:hAnsi="Times New Roman" w:cs="Times New Roman"/>
          <w:i/>
          <w:color w:val="000000" w:themeColor="text1"/>
          <w:sz w:val="24"/>
          <w:szCs w:val="24"/>
        </w:rPr>
        <w:t>Niezależnie od ust. 1 każde państwo członkowskie zapewnia, aby, w zależności od przypadku, każda ‘raportująca instytucja finansowa’, pośrednik lub ‘raportujący operator platformy’, które podlegają jego jurysdykcji: a)informowali każdą zaintere</w:t>
      </w:r>
      <w:r w:rsidR="00936D84" w:rsidRPr="00EB304C">
        <w:rPr>
          <w:rFonts w:ascii="Times New Roman" w:hAnsi="Times New Roman" w:cs="Times New Roman"/>
          <w:i/>
          <w:color w:val="000000" w:themeColor="text1"/>
          <w:sz w:val="24"/>
          <w:szCs w:val="24"/>
        </w:rPr>
        <w:t>sowaną osobę fizyczną o tym, że </w:t>
      </w:r>
      <w:r w:rsidRPr="00EB304C">
        <w:rPr>
          <w:rFonts w:ascii="Times New Roman" w:hAnsi="Times New Roman" w:cs="Times New Roman"/>
          <w:i/>
          <w:color w:val="000000" w:themeColor="text1"/>
          <w:sz w:val="24"/>
          <w:szCs w:val="24"/>
        </w:rPr>
        <w:t>dotyczące jej informacje zostaną zgromadzone i przekazane zgodnie z niniejszą dyrektywą; oraz b) udzielali każdej zainteresowanej osobie fizycznej wszelkich informacji, które dana osoba ma prawo uzyskać od administratora danych, w czasie wystarczającym do skorzystania z jej praw ochrony danych osobowych, w każdym przypadku, zanim informacje zostaną przekazane</w:t>
      </w:r>
      <w:r w:rsidR="00720791" w:rsidRPr="00EB304C">
        <w:rPr>
          <w:rFonts w:ascii="Times New Roman" w:hAnsi="Times New Roman" w:cs="Times New Roman"/>
          <w:i/>
          <w:color w:val="000000" w:themeColor="text1"/>
          <w:sz w:val="24"/>
          <w:szCs w:val="24"/>
        </w:rPr>
        <w:t xml:space="preserve"> […]</w:t>
      </w:r>
      <w:r w:rsidRPr="00EB304C">
        <w:rPr>
          <w:rFonts w:ascii="Times New Roman" w:hAnsi="Times New Roman" w:cs="Times New Roman"/>
          <w:i/>
          <w:color w:val="000000" w:themeColor="text1"/>
          <w:sz w:val="24"/>
          <w:szCs w:val="24"/>
        </w:rPr>
        <w:t>.</w:t>
      </w:r>
      <w:r w:rsidR="00274CC6">
        <w:rPr>
          <w:rFonts w:ascii="Times New Roman" w:hAnsi="Times New Roman" w:cs="Times New Roman"/>
          <w:i/>
          <w:color w:val="000000" w:themeColor="text1"/>
          <w:sz w:val="24"/>
          <w:szCs w:val="24"/>
        </w:rPr>
        <w:t>”</w:t>
      </w:r>
    </w:p>
    <w:p w14:paraId="5AA689D3" w14:textId="0832B729" w:rsidR="009F2AAC" w:rsidRPr="00EB304C" w:rsidRDefault="00021378"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color w:val="000000" w:themeColor="text1"/>
          <w:sz w:val="24"/>
          <w:szCs w:val="24"/>
        </w:rPr>
        <w:t xml:space="preserve">W związku z wystąpieniem w dyrektywie 2011/16/UE </w:t>
      </w:r>
      <w:r w:rsidR="00936D84" w:rsidRPr="00EB304C">
        <w:rPr>
          <w:rFonts w:ascii="Times New Roman" w:hAnsi="Times New Roman" w:cs="Times New Roman"/>
          <w:color w:val="000000" w:themeColor="text1"/>
          <w:sz w:val="24"/>
          <w:szCs w:val="24"/>
        </w:rPr>
        <w:t>normy prawnej odnoszącej się do </w:t>
      </w:r>
      <w:r w:rsidRPr="00EB304C">
        <w:rPr>
          <w:rFonts w:ascii="Times New Roman" w:hAnsi="Times New Roman" w:cs="Times New Roman"/>
          <w:color w:val="000000" w:themeColor="text1"/>
          <w:sz w:val="24"/>
          <w:szCs w:val="24"/>
        </w:rPr>
        <w:t>pośredników, konieczne stało się implementowanie tej normy prawnej do Ordynacji podatkowej, która zawiera przepisy krajowe dotyczące obowiązków spoczywających na tego rodzaju podmiotach. Należy zwrócić jednak uwagę, że</w:t>
      </w:r>
      <w:r w:rsidR="00936D84" w:rsidRPr="00EB304C">
        <w:rPr>
          <w:rFonts w:ascii="Times New Roman" w:hAnsi="Times New Roman" w:cs="Times New Roman"/>
          <w:color w:val="000000" w:themeColor="text1"/>
          <w:sz w:val="24"/>
          <w:szCs w:val="24"/>
        </w:rPr>
        <w:t xml:space="preserve"> co do zasady, to pośrednicy są </w:t>
      </w:r>
      <w:r w:rsidRPr="00EB304C">
        <w:rPr>
          <w:rFonts w:ascii="Times New Roman" w:hAnsi="Times New Roman" w:cs="Times New Roman"/>
          <w:color w:val="000000" w:themeColor="text1"/>
          <w:sz w:val="24"/>
          <w:szCs w:val="24"/>
        </w:rPr>
        <w:t>podmiotami dysponującymi danymi osobowymi innych po</w:t>
      </w:r>
      <w:r w:rsidR="00936D84" w:rsidRPr="00EB304C">
        <w:rPr>
          <w:rFonts w:ascii="Times New Roman" w:hAnsi="Times New Roman" w:cs="Times New Roman"/>
          <w:color w:val="000000" w:themeColor="text1"/>
          <w:sz w:val="24"/>
          <w:szCs w:val="24"/>
        </w:rPr>
        <w:t>dmiotów z tego względu</w:t>
      </w:r>
      <w:r w:rsidR="00274CC6">
        <w:rPr>
          <w:rFonts w:ascii="Times New Roman" w:hAnsi="Times New Roman" w:cs="Times New Roman"/>
          <w:color w:val="000000" w:themeColor="text1"/>
          <w:sz w:val="24"/>
          <w:szCs w:val="24"/>
        </w:rPr>
        <w:t>,</w:t>
      </w:r>
      <w:r w:rsidR="00936D84" w:rsidRPr="00EB304C">
        <w:rPr>
          <w:rFonts w:ascii="Times New Roman" w:hAnsi="Times New Roman" w:cs="Times New Roman"/>
          <w:color w:val="000000" w:themeColor="text1"/>
          <w:sz w:val="24"/>
          <w:szCs w:val="24"/>
        </w:rPr>
        <w:t xml:space="preserve"> że to </w:t>
      </w:r>
      <w:r w:rsidR="00936D84" w:rsidRPr="00EB304C">
        <w:rPr>
          <w:rFonts w:ascii="Times New Roman" w:hAnsi="Times New Roman" w:cs="Times New Roman"/>
          <w:sz w:val="24"/>
          <w:szCs w:val="24"/>
        </w:rPr>
        <w:t>na </w:t>
      </w:r>
      <w:r w:rsidRPr="00EB304C">
        <w:rPr>
          <w:rFonts w:ascii="Times New Roman" w:hAnsi="Times New Roman" w:cs="Times New Roman"/>
          <w:sz w:val="24"/>
          <w:szCs w:val="24"/>
        </w:rPr>
        <w:t>nich w pierwszej kolejności spoczywają obowiązki sprawozdawcze</w:t>
      </w:r>
      <w:r w:rsidR="00817FAB" w:rsidRPr="00EB304C">
        <w:rPr>
          <w:rFonts w:ascii="Times New Roman" w:hAnsi="Times New Roman" w:cs="Times New Roman"/>
          <w:sz w:val="24"/>
          <w:szCs w:val="24"/>
        </w:rPr>
        <w:t>.</w:t>
      </w:r>
    </w:p>
    <w:p w14:paraId="5FD3F538" w14:textId="1F2A4DC8" w:rsidR="001303C9" w:rsidRPr="00EB304C" w:rsidRDefault="009F2AAC" w:rsidP="00507007">
      <w:pPr>
        <w:pBdr>
          <w:top w:val="nil"/>
          <w:left w:val="nil"/>
          <w:bottom w:val="nil"/>
          <w:right w:val="nil"/>
          <w:between w:val="nil"/>
          <w:bar w:val="nil"/>
        </w:pBdr>
        <w:spacing w:before="120" w:after="0" w:line="360" w:lineRule="auto"/>
        <w:jc w:val="both"/>
        <w:rPr>
          <w:rFonts w:ascii="Times New Roman" w:hAnsi="Times New Roman" w:cs="Times New Roman"/>
          <w:b/>
          <w:sz w:val="24"/>
          <w:szCs w:val="24"/>
        </w:rPr>
      </w:pPr>
      <w:r w:rsidRPr="00EB304C">
        <w:rPr>
          <w:rFonts w:ascii="Times New Roman" w:hAnsi="Times New Roman" w:cs="Times New Roman"/>
          <w:sz w:val="24"/>
          <w:szCs w:val="24"/>
        </w:rPr>
        <w:t>Mając na uwadze niezwykle istotną instytucję ochrony danych osobowych w §12 proponuje się zobligowanie promotorów i wspomagających do informowania</w:t>
      </w:r>
      <w:r w:rsidR="00595036">
        <w:rPr>
          <w:rFonts w:ascii="Times New Roman" w:hAnsi="Times New Roman" w:cs="Times New Roman"/>
          <w:sz w:val="24"/>
          <w:szCs w:val="24"/>
        </w:rPr>
        <w:t xml:space="preserve"> na piśmie</w:t>
      </w:r>
      <w:r w:rsidRPr="00EB304C">
        <w:rPr>
          <w:rFonts w:ascii="Times New Roman" w:hAnsi="Times New Roman" w:cs="Times New Roman"/>
          <w:sz w:val="24"/>
          <w:szCs w:val="24"/>
        </w:rPr>
        <w:t xml:space="preserve"> osób fizycznych w zakresie informacji, które tych osób dotyczą</w:t>
      </w:r>
      <w:r w:rsidR="00C958A4">
        <w:rPr>
          <w:rFonts w:ascii="Times New Roman" w:hAnsi="Times New Roman" w:cs="Times New Roman"/>
          <w:sz w:val="24"/>
          <w:szCs w:val="24"/>
        </w:rPr>
        <w:t>,</w:t>
      </w:r>
      <w:r w:rsidRPr="00EB304C">
        <w:rPr>
          <w:rFonts w:ascii="Times New Roman" w:hAnsi="Times New Roman" w:cs="Times New Roman"/>
          <w:sz w:val="24"/>
          <w:szCs w:val="24"/>
        </w:rPr>
        <w:t xml:space="preserve"> o gromadzeniu, przetwarzaniu, przekazywaniu, a także o naruszeniu ochrony danych osobowych, jeżeli informacje te mogą skutkować wysokim ryzykiem naruszenia praw lub wolności tych osób. Wprowadzane regulację mają umożliwić t</w:t>
      </w:r>
      <w:r w:rsidR="00274CC6">
        <w:rPr>
          <w:rFonts w:ascii="Times New Roman" w:hAnsi="Times New Roman" w:cs="Times New Roman"/>
          <w:sz w:val="24"/>
          <w:szCs w:val="24"/>
        </w:rPr>
        <w:t>ym</w:t>
      </w:r>
      <w:r w:rsidRPr="00EB304C">
        <w:rPr>
          <w:rFonts w:ascii="Times New Roman" w:hAnsi="Times New Roman" w:cs="Times New Roman"/>
          <w:sz w:val="24"/>
          <w:szCs w:val="24"/>
        </w:rPr>
        <w:t xml:space="preserve"> osob</w:t>
      </w:r>
      <w:r w:rsidR="00274CC6">
        <w:rPr>
          <w:rFonts w:ascii="Times New Roman" w:hAnsi="Times New Roman" w:cs="Times New Roman"/>
          <w:sz w:val="24"/>
          <w:szCs w:val="24"/>
        </w:rPr>
        <w:t>om</w:t>
      </w:r>
      <w:r w:rsidRPr="00EB304C">
        <w:rPr>
          <w:rFonts w:ascii="Times New Roman" w:hAnsi="Times New Roman" w:cs="Times New Roman"/>
          <w:sz w:val="24"/>
          <w:szCs w:val="24"/>
        </w:rPr>
        <w:t xml:space="preserve"> podjęcie niezbędnych działań zapobiegawczych. Informacja taka powinna zawierać opis charakteru naruszenia ochrony danych osobowych oraz zalecenia dla danej osoby fizycznej co do minimalizacji potencjalnych niekorzystnych skutków. Informacje należy przekazywać osobom, których dane dotyczą, tak szybko, jak jest to rozsądnie możliwe, w ścisłej współpracy z organem nadzorczym, z poszanowaniem wskazówek przekazanych przez ten organ lub inne odpowiednie organy, takie jak organy ścigania. Na przykład potrzeba zminimalizowania bezpośredniego ryzyka wystąpienia szkody będzie wymagać niezwłocznego poinformowania osób, których dane dotyczą, natomiast wdrożenie odpowiednich środków przeciwko takim samym lub podobnym naruszeniom ochrony danych może uzasadniać późniejsze poinformowanie</w:t>
      </w:r>
      <w:r w:rsidR="0090468F" w:rsidRPr="00EB304C">
        <w:rPr>
          <w:rFonts w:ascii="Times New Roman" w:hAnsi="Times New Roman" w:cs="Times New Roman"/>
          <w:sz w:val="24"/>
          <w:szCs w:val="24"/>
        </w:rPr>
        <w:t>.</w:t>
      </w:r>
    </w:p>
    <w:p w14:paraId="0C48A867" w14:textId="77777777" w:rsidR="001303C9" w:rsidRPr="00EB304C" w:rsidRDefault="00021378" w:rsidP="00507007">
      <w:pPr>
        <w:pStyle w:val="Akapitzlist"/>
        <w:numPr>
          <w:ilvl w:val="0"/>
          <w:numId w:val="21"/>
        </w:numPr>
        <w:pBdr>
          <w:top w:val="nil"/>
          <w:left w:val="nil"/>
          <w:bottom w:val="nil"/>
          <w:right w:val="nil"/>
          <w:between w:val="nil"/>
          <w:bar w:val="nil"/>
        </w:pBdr>
        <w:spacing w:before="120" w:after="0" w:line="360" w:lineRule="auto"/>
        <w:jc w:val="both"/>
        <w:rPr>
          <w:rFonts w:ascii="Times New Roman" w:hAnsi="Times New Roman" w:cs="Times New Roman"/>
          <w:b/>
          <w:color w:val="000000" w:themeColor="text1"/>
          <w:sz w:val="24"/>
          <w:szCs w:val="24"/>
        </w:rPr>
      </w:pPr>
      <w:r w:rsidRPr="00EB304C">
        <w:rPr>
          <w:rFonts w:ascii="Times New Roman" w:hAnsi="Times New Roman" w:cs="Times New Roman"/>
          <w:b/>
          <w:color w:val="000000" w:themeColor="text1"/>
          <w:sz w:val="24"/>
          <w:szCs w:val="24"/>
        </w:rPr>
        <w:t xml:space="preserve">Art. 291a </w:t>
      </w:r>
      <w:r w:rsidRPr="00EB304C">
        <w:rPr>
          <w:rFonts w:ascii="Times New Roman" w:hAnsi="Times New Roman" w:cs="Times New Roman"/>
          <w:b/>
          <w:sz w:val="24"/>
          <w:szCs w:val="24"/>
        </w:rPr>
        <w:t>(zmiana terminów – kontrole jednoczesne)</w:t>
      </w:r>
    </w:p>
    <w:p w14:paraId="33F90250" w14:textId="7E9A4FD4" w:rsidR="00B16D5E" w:rsidRPr="00EB304C" w:rsidRDefault="00021378" w:rsidP="00507007">
      <w:pPr>
        <w:pBdr>
          <w:top w:val="nil"/>
          <w:left w:val="nil"/>
          <w:bottom w:val="nil"/>
          <w:right w:val="nil"/>
          <w:between w:val="nil"/>
          <w:bar w:val="nil"/>
        </w:pBdr>
        <w:spacing w:before="120" w:after="0" w:line="360" w:lineRule="auto"/>
        <w:jc w:val="both"/>
        <w:rPr>
          <w:rFonts w:ascii="Times New Roman" w:hAnsi="Times New Roman" w:cs="Times New Roman"/>
          <w:b/>
          <w:color w:val="000000" w:themeColor="text1"/>
          <w:sz w:val="24"/>
          <w:szCs w:val="24"/>
        </w:rPr>
      </w:pPr>
      <w:r w:rsidRPr="00EB304C">
        <w:rPr>
          <w:rFonts w:ascii="Times New Roman" w:hAnsi="Times New Roman" w:cs="Times New Roman"/>
          <w:color w:val="000000" w:themeColor="text1"/>
          <w:sz w:val="24"/>
          <w:szCs w:val="24"/>
        </w:rPr>
        <w:t xml:space="preserve">Podobnie jak w zmianie wprowadzonej do ustawy o KAS, zmieniany art. </w:t>
      </w:r>
      <w:r w:rsidRPr="00EB304C">
        <w:rPr>
          <w:rFonts w:ascii="Times New Roman" w:hAnsi="Times New Roman" w:cs="Times New Roman"/>
          <w:sz w:val="24"/>
          <w:szCs w:val="24"/>
        </w:rPr>
        <w:t xml:space="preserve">291a § 3 Ordynacji podatkowej stanowi implementację art. 12 ust. 3 dyrektywy </w:t>
      </w:r>
      <w:r w:rsidRPr="00EB304C">
        <w:rPr>
          <w:rFonts w:ascii="Times New Roman" w:hAnsi="Times New Roman" w:cs="Times New Roman"/>
          <w:color w:val="000000" w:themeColor="text1"/>
          <w:sz w:val="24"/>
          <w:szCs w:val="24"/>
        </w:rPr>
        <w:t>2011/16/UE</w:t>
      </w:r>
      <w:r w:rsidRPr="00EB304C">
        <w:rPr>
          <w:rFonts w:ascii="Times New Roman" w:hAnsi="Times New Roman" w:cs="Times New Roman"/>
          <w:sz w:val="24"/>
          <w:szCs w:val="24"/>
        </w:rPr>
        <w:t>.</w:t>
      </w:r>
    </w:p>
    <w:p w14:paraId="72DA8A28" w14:textId="794AF4AE" w:rsidR="00B16D5E" w:rsidRPr="00EB304C" w:rsidRDefault="00021378" w:rsidP="00507007">
      <w:pPr>
        <w:pStyle w:val="Akapitzlist"/>
        <w:numPr>
          <w:ilvl w:val="0"/>
          <w:numId w:val="16"/>
        </w:numPr>
        <w:pBdr>
          <w:top w:val="nil"/>
          <w:left w:val="nil"/>
          <w:bottom w:val="nil"/>
          <w:right w:val="nil"/>
          <w:between w:val="nil"/>
          <w:bar w:val="nil"/>
        </w:pBdr>
        <w:spacing w:before="120" w:after="0" w:line="360" w:lineRule="auto"/>
        <w:jc w:val="both"/>
        <w:rPr>
          <w:rFonts w:ascii="Times New Roman" w:hAnsi="Times New Roman" w:cs="Times New Roman"/>
          <w:b/>
          <w:sz w:val="24"/>
          <w:szCs w:val="24"/>
        </w:rPr>
      </w:pPr>
      <w:r w:rsidRPr="00EB304C">
        <w:rPr>
          <w:rFonts w:ascii="Times New Roman" w:hAnsi="Times New Roman" w:cs="Times New Roman"/>
          <w:b/>
          <w:sz w:val="24"/>
          <w:szCs w:val="24"/>
        </w:rPr>
        <w:lastRenderedPageBreak/>
        <w:t>Art. 293 (kontrola u operatorów platform – tajemnica skarbowa)</w:t>
      </w:r>
    </w:p>
    <w:p w14:paraId="6F8F397B" w14:textId="34F6C4AE" w:rsidR="00021378" w:rsidRPr="00EB304C" w:rsidRDefault="00021378"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 xml:space="preserve">Dane, które posiadają operatorzy platform cyfrowych, a także dane o samych platformach, mają charakter danych wrażliwych. W konsekwencji dane zawarte w aktach dokumentujących kontrolę wykonywania przez raportującego operatora platformy obowiązków w zakresie stosowania procedur należytej staranności oraz obowiązków sprawozdawczych powinny być objęte specjalnym reżimem ochrony. Obejmuje się je więc tajemnicą skarbową. W tym celu </w:t>
      </w:r>
      <w:r w:rsidR="00E822D9" w:rsidRPr="00EB304C">
        <w:rPr>
          <w:rFonts w:ascii="Times New Roman" w:hAnsi="Times New Roman" w:cs="Times New Roman"/>
          <w:sz w:val="24"/>
          <w:szCs w:val="24"/>
        </w:rPr>
        <w:t>zmodyfikowano art. 293 § 2 pkt 7</w:t>
      </w:r>
      <w:r w:rsidRPr="00EB304C">
        <w:rPr>
          <w:rFonts w:ascii="Times New Roman" w:hAnsi="Times New Roman" w:cs="Times New Roman"/>
          <w:sz w:val="24"/>
          <w:szCs w:val="24"/>
        </w:rPr>
        <w:t>. Zgodnie z</w:t>
      </w:r>
      <w:r w:rsidR="00E822D9" w:rsidRPr="00EB304C">
        <w:rPr>
          <w:rFonts w:ascii="Times New Roman" w:hAnsi="Times New Roman" w:cs="Times New Roman"/>
          <w:sz w:val="24"/>
          <w:szCs w:val="24"/>
        </w:rPr>
        <w:t>e zmieni</w:t>
      </w:r>
      <w:r w:rsidR="00274CC6">
        <w:rPr>
          <w:rFonts w:ascii="Times New Roman" w:hAnsi="Times New Roman" w:cs="Times New Roman"/>
          <w:sz w:val="24"/>
          <w:szCs w:val="24"/>
        </w:rPr>
        <w:t>o</w:t>
      </w:r>
      <w:r w:rsidR="00E822D9" w:rsidRPr="00EB304C">
        <w:rPr>
          <w:rFonts w:ascii="Times New Roman" w:hAnsi="Times New Roman" w:cs="Times New Roman"/>
          <w:sz w:val="24"/>
          <w:szCs w:val="24"/>
        </w:rPr>
        <w:t>nym</w:t>
      </w:r>
      <w:r w:rsidRPr="00EB304C">
        <w:rPr>
          <w:rFonts w:ascii="Times New Roman" w:hAnsi="Times New Roman" w:cs="Times New Roman"/>
          <w:sz w:val="24"/>
          <w:szCs w:val="24"/>
        </w:rPr>
        <w:t xml:space="preserve"> przepisem, tajemnicą skarbową objęte będą </w:t>
      </w:r>
      <w:r w:rsidR="00E822D9" w:rsidRPr="00EB304C">
        <w:rPr>
          <w:rFonts w:ascii="Times New Roman" w:hAnsi="Times New Roman" w:cs="Times New Roman"/>
          <w:sz w:val="24"/>
          <w:szCs w:val="24"/>
        </w:rPr>
        <w:t xml:space="preserve">również </w:t>
      </w:r>
      <w:r w:rsidRPr="00EB304C">
        <w:rPr>
          <w:rFonts w:ascii="Times New Roman" w:hAnsi="Times New Roman" w:cs="Times New Roman"/>
          <w:sz w:val="24"/>
          <w:szCs w:val="24"/>
        </w:rPr>
        <w:t>dane zawarte w aktach dokumentujące kontrolę, o której mowa w</w:t>
      </w:r>
      <w:r w:rsidR="0021065D">
        <w:rPr>
          <w:rFonts w:ascii="Times New Roman" w:hAnsi="Times New Roman" w:cs="Times New Roman"/>
          <w:sz w:val="24"/>
          <w:szCs w:val="24"/>
        </w:rPr>
        <w:t> </w:t>
      </w:r>
      <w:r w:rsidR="00274CC6">
        <w:rPr>
          <w:rFonts w:ascii="Times New Roman" w:hAnsi="Times New Roman" w:cs="Times New Roman"/>
          <w:sz w:val="24"/>
          <w:szCs w:val="24"/>
        </w:rPr>
        <w:t>dziale</w:t>
      </w:r>
      <w:r w:rsidR="0021065D">
        <w:rPr>
          <w:rFonts w:ascii="Times New Roman" w:hAnsi="Times New Roman" w:cs="Times New Roman"/>
          <w:sz w:val="24"/>
          <w:szCs w:val="24"/>
        </w:rPr>
        <w:t> </w:t>
      </w:r>
      <w:r w:rsidR="00274CC6">
        <w:rPr>
          <w:rFonts w:ascii="Times New Roman" w:hAnsi="Times New Roman" w:cs="Times New Roman"/>
          <w:sz w:val="24"/>
          <w:szCs w:val="24"/>
        </w:rPr>
        <w:t xml:space="preserve">IIIA </w:t>
      </w:r>
      <w:r w:rsidRPr="00EB304C">
        <w:rPr>
          <w:rFonts w:ascii="Times New Roman" w:hAnsi="Times New Roman" w:cs="Times New Roman"/>
          <w:sz w:val="24"/>
          <w:szCs w:val="24"/>
        </w:rPr>
        <w:t xml:space="preserve">rozdziale 5 </w:t>
      </w:r>
      <w:proofErr w:type="spellStart"/>
      <w:r w:rsidRPr="00EB304C">
        <w:rPr>
          <w:rFonts w:ascii="Times New Roman" w:hAnsi="Times New Roman" w:cs="Times New Roman"/>
          <w:sz w:val="24"/>
          <w:szCs w:val="24"/>
        </w:rPr>
        <w:t>u</w:t>
      </w:r>
      <w:r w:rsidR="00E822D9" w:rsidRPr="00EB304C">
        <w:rPr>
          <w:rFonts w:ascii="Times New Roman" w:hAnsi="Times New Roman" w:cs="Times New Roman"/>
          <w:sz w:val="24"/>
          <w:szCs w:val="24"/>
        </w:rPr>
        <w:t>WIP</w:t>
      </w:r>
      <w:proofErr w:type="spellEnd"/>
      <w:r w:rsidRPr="00EB304C">
        <w:rPr>
          <w:rFonts w:ascii="Times New Roman" w:hAnsi="Times New Roman" w:cs="Times New Roman"/>
          <w:sz w:val="24"/>
          <w:szCs w:val="24"/>
        </w:rPr>
        <w:t xml:space="preserve">. </w:t>
      </w:r>
    </w:p>
    <w:p w14:paraId="649D0610" w14:textId="77777777" w:rsidR="00021378" w:rsidRPr="00EB304C" w:rsidRDefault="00021378" w:rsidP="00507007">
      <w:pPr>
        <w:pStyle w:val="Akapitzlist"/>
        <w:numPr>
          <w:ilvl w:val="0"/>
          <w:numId w:val="16"/>
        </w:numPr>
        <w:pBdr>
          <w:top w:val="nil"/>
          <w:left w:val="nil"/>
          <w:bottom w:val="nil"/>
          <w:right w:val="nil"/>
          <w:between w:val="nil"/>
          <w:bar w:val="nil"/>
        </w:pBdr>
        <w:spacing w:before="120" w:after="0" w:line="360" w:lineRule="auto"/>
        <w:jc w:val="both"/>
        <w:rPr>
          <w:rFonts w:ascii="Times New Roman" w:hAnsi="Times New Roman" w:cs="Times New Roman"/>
          <w:b/>
          <w:sz w:val="24"/>
          <w:szCs w:val="24"/>
        </w:rPr>
      </w:pPr>
      <w:r w:rsidRPr="00EB304C">
        <w:rPr>
          <w:rFonts w:ascii="Times New Roman" w:hAnsi="Times New Roman" w:cs="Times New Roman"/>
          <w:b/>
          <w:sz w:val="24"/>
          <w:szCs w:val="24"/>
        </w:rPr>
        <w:t>Art. 295b (kontrola u operatorów platform – dostęp do akt)</w:t>
      </w:r>
    </w:p>
    <w:p w14:paraId="1C9B907E" w14:textId="2E1B8731" w:rsidR="00021378" w:rsidRPr="00EB304C" w:rsidRDefault="00021378" w:rsidP="00507007">
      <w:pPr>
        <w:pStyle w:val="ZUSTzmustartykuempunktem"/>
        <w:spacing w:before="120"/>
        <w:ind w:left="0" w:firstLine="0"/>
        <w:rPr>
          <w:rFonts w:ascii="Times New Roman" w:hAnsi="Times New Roman" w:cs="Times New Roman"/>
        </w:rPr>
      </w:pPr>
      <w:r w:rsidRPr="00EB304C">
        <w:rPr>
          <w:rFonts w:ascii="Times New Roman" w:hAnsi="Times New Roman" w:cs="Times New Roman"/>
          <w:color w:val="000000" w:themeColor="text1"/>
          <w:szCs w:val="24"/>
        </w:rPr>
        <w:t xml:space="preserve">Istotą zmiany w art. 295b Ordynacji podatkowej jest jego rozszerzenie o przepis odnoszący się do kontroli, o której mowa w </w:t>
      </w:r>
      <w:r w:rsidR="00274CC6">
        <w:rPr>
          <w:rFonts w:ascii="Times New Roman" w:hAnsi="Times New Roman" w:cs="Times New Roman"/>
          <w:color w:val="000000" w:themeColor="text1"/>
          <w:szCs w:val="24"/>
        </w:rPr>
        <w:t xml:space="preserve">dziale IIIA </w:t>
      </w:r>
      <w:r w:rsidRPr="00EB304C">
        <w:rPr>
          <w:rFonts w:ascii="Times New Roman" w:hAnsi="Times New Roman" w:cs="Times New Roman"/>
          <w:color w:val="000000" w:themeColor="text1"/>
          <w:szCs w:val="24"/>
        </w:rPr>
        <w:t xml:space="preserve">rozdziale </w:t>
      </w:r>
      <w:r w:rsidRPr="00EB304C">
        <w:rPr>
          <w:rFonts w:ascii="Times New Roman" w:hAnsi="Times New Roman" w:cs="Times New Roman"/>
          <w:szCs w:val="24"/>
        </w:rPr>
        <w:t xml:space="preserve">5 </w:t>
      </w:r>
      <w:proofErr w:type="spellStart"/>
      <w:r w:rsidR="00E822D9" w:rsidRPr="00EB304C">
        <w:rPr>
          <w:rFonts w:ascii="Times New Roman" w:hAnsi="Times New Roman" w:cs="Times New Roman"/>
          <w:szCs w:val="24"/>
        </w:rPr>
        <w:t>uWIP</w:t>
      </w:r>
      <w:proofErr w:type="spellEnd"/>
      <w:r w:rsidRPr="00EB304C">
        <w:rPr>
          <w:rFonts w:ascii="Times New Roman" w:hAnsi="Times New Roman" w:cs="Times New Roman"/>
          <w:szCs w:val="24"/>
        </w:rPr>
        <w:t>.</w:t>
      </w:r>
      <w:r w:rsidR="00936D84" w:rsidRPr="00EB304C">
        <w:rPr>
          <w:rFonts w:ascii="Times New Roman" w:hAnsi="Times New Roman" w:cs="Times New Roman"/>
          <w:szCs w:val="24"/>
        </w:rPr>
        <w:t xml:space="preserve"> Na mocy dodawanej regulacji, w </w:t>
      </w:r>
      <w:r w:rsidRPr="00EB304C">
        <w:rPr>
          <w:rFonts w:ascii="Times New Roman" w:hAnsi="Times New Roman" w:cs="Times New Roman"/>
          <w:szCs w:val="24"/>
        </w:rPr>
        <w:t xml:space="preserve">toku wspomnianej wyżej kontroli, dostęp do akt </w:t>
      </w:r>
      <w:r w:rsidRPr="00EB304C">
        <w:rPr>
          <w:rFonts w:ascii="Times New Roman" w:hAnsi="Times New Roman" w:cs="Times New Roman"/>
        </w:rPr>
        <w:t>przysługiwać będzie pracownikowi załatwiającemu sprawę, jego przełożonemu oraz organowi przeprowadzającemu kontrolę.</w:t>
      </w:r>
    </w:p>
    <w:p w14:paraId="1703003A" w14:textId="77777777" w:rsidR="00021378" w:rsidRPr="00EB304C" w:rsidRDefault="00021378" w:rsidP="00507007">
      <w:pPr>
        <w:pStyle w:val="Akapitzlist"/>
        <w:numPr>
          <w:ilvl w:val="0"/>
          <w:numId w:val="16"/>
        </w:numPr>
        <w:pBdr>
          <w:top w:val="nil"/>
          <w:left w:val="nil"/>
          <w:bottom w:val="nil"/>
          <w:right w:val="nil"/>
          <w:between w:val="nil"/>
          <w:bar w:val="nil"/>
        </w:pBdr>
        <w:spacing w:before="120" w:after="0" w:line="360" w:lineRule="auto"/>
        <w:jc w:val="both"/>
        <w:rPr>
          <w:rFonts w:ascii="Times New Roman" w:hAnsi="Times New Roman" w:cs="Times New Roman"/>
          <w:b/>
          <w:sz w:val="24"/>
          <w:szCs w:val="24"/>
        </w:rPr>
      </w:pPr>
      <w:r w:rsidRPr="00EB304C">
        <w:rPr>
          <w:rFonts w:ascii="Times New Roman" w:hAnsi="Times New Roman" w:cs="Times New Roman"/>
          <w:b/>
          <w:sz w:val="24"/>
          <w:szCs w:val="24"/>
        </w:rPr>
        <w:t>Art. 296 (dane pochodzące z platform – przechowywanie akt)</w:t>
      </w:r>
    </w:p>
    <w:p w14:paraId="492B2005" w14:textId="3165C704" w:rsidR="00777962" w:rsidRPr="00EB304C" w:rsidRDefault="00021378" w:rsidP="00507007">
      <w:pPr>
        <w:pStyle w:val="ZUSTzmustartykuempunktem"/>
        <w:spacing w:before="120"/>
        <w:ind w:left="0" w:firstLine="0"/>
      </w:pPr>
      <w:r w:rsidRPr="00EB304C">
        <w:rPr>
          <w:rFonts w:ascii="Times New Roman" w:hAnsi="Times New Roman" w:cs="Times New Roman"/>
        </w:rPr>
        <w:t xml:space="preserve">Zmiana w art. 296 Ordynacji podatkowej wynika z charakteru danych, które pozostają w posiadaniu operatorów platform cyfrowych. Jak już była o tym mowa, dane tego rodzaju powinny podlegać szczególnej ochronie (z uwagi na ich wrażliwość). W konsekwencji, akta spraw zawierające zarówno informacje pochodzące od </w:t>
      </w:r>
      <w:r w:rsidR="00274CC6">
        <w:rPr>
          <w:rFonts w:ascii="Times New Roman" w:hAnsi="Times New Roman" w:cs="Times New Roman"/>
        </w:rPr>
        <w:t xml:space="preserve">operatorów </w:t>
      </w:r>
      <w:r w:rsidRPr="00EB304C">
        <w:rPr>
          <w:rFonts w:ascii="Times New Roman" w:hAnsi="Times New Roman" w:cs="Times New Roman"/>
        </w:rPr>
        <w:t xml:space="preserve">platform sprawozdających do polskiej administracji, jak również informacje uzyskane przez polską administrację od innych państw w ramach wymiany informacji (które pochodzą od </w:t>
      </w:r>
      <w:r w:rsidR="00274CC6">
        <w:rPr>
          <w:rFonts w:ascii="Times New Roman" w:hAnsi="Times New Roman" w:cs="Times New Roman"/>
        </w:rPr>
        <w:t xml:space="preserve">operatorów </w:t>
      </w:r>
      <w:r w:rsidRPr="00EB304C">
        <w:rPr>
          <w:rFonts w:ascii="Times New Roman" w:hAnsi="Times New Roman" w:cs="Times New Roman"/>
        </w:rPr>
        <w:t>platform sprawozdających do zagranicznych administracji), powinny korzystać ze specjalnej ochrony. W tym celu stosownie rozszerza się art. 296 § 1 Ordynacji podatkowej.</w:t>
      </w:r>
    </w:p>
    <w:p w14:paraId="3D099846" w14:textId="79E40493" w:rsidR="00715D7D" w:rsidRDefault="00715D7D" w:rsidP="00507007">
      <w:pPr>
        <w:pBdr>
          <w:top w:val="nil"/>
          <w:left w:val="nil"/>
          <w:bottom w:val="nil"/>
          <w:right w:val="nil"/>
          <w:between w:val="nil"/>
          <w:bar w:val="nil"/>
        </w:pBdr>
        <w:spacing w:before="120"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 Ustawa z dnia </w:t>
      </w:r>
      <w:r w:rsidRPr="00715D7D">
        <w:rPr>
          <w:rFonts w:ascii="Times New Roman" w:hAnsi="Times New Roman" w:cs="Times New Roman"/>
          <w:b/>
          <w:sz w:val="24"/>
          <w:szCs w:val="24"/>
        </w:rPr>
        <w:t xml:space="preserve">29 sierpnia 1997 r. </w:t>
      </w:r>
      <w:r w:rsidR="0021065D">
        <w:rPr>
          <w:rFonts w:ascii="Times New Roman" w:hAnsi="Times New Roman" w:cs="Times New Roman"/>
          <w:b/>
          <w:sz w:val="24"/>
          <w:szCs w:val="24"/>
        </w:rPr>
        <w:t>–</w:t>
      </w:r>
      <w:r w:rsidRPr="00715D7D">
        <w:rPr>
          <w:rFonts w:ascii="Times New Roman" w:hAnsi="Times New Roman" w:cs="Times New Roman"/>
          <w:b/>
          <w:sz w:val="24"/>
          <w:szCs w:val="24"/>
        </w:rPr>
        <w:t xml:space="preserve"> Prawo bankowe</w:t>
      </w:r>
      <w:r>
        <w:rPr>
          <w:rFonts w:ascii="Times New Roman" w:hAnsi="Times New Roman" w:cs="Times New Roman"/>
          <w:b/>
          <w:sz w:val="24"/>
          <w:szCs w:val="24"/>
        </w:rPr>
        <w:t xml:space="preserve"> oraz ustawa z dnia </w:t>
      </w:r>
      <w:r w:rsidRPr="00715D7D">
        <w:rPr>
          <w:rFonts w:ascii="Times New Roman" w:hAnsi="Times New Roman" w:cs="Times New Roman"/>
          <w:b/>
          <w:sz w:val="24"/>
          <w:szCs w:val="24"/>
        </w:rPr>
        <w:t>5 listopada 2009</w:t>
      </w:r>
      <w:r w:rsidR="0021065D">
        <w:rPr>
          <w:rFonts w:ascii="Times New Roman" w:hAnsi="Times New Roman" w:cs="Times New Roman"/>
          <w:b/>
          <w:sz w:val="24"/>
          <w:szCs w:val="24"/>
        </w:rPr>
        <w:t> </w:t>
      </w:r>
      <w:r w:rsidRPr="00715D7D">
        <w:rPr>
          <w:rFonts w:ascii="Times New Roman" w:hAnsi="Times New Roman" w:cs="Times New Roman"/>
          <w:b/>
          <w:sz w:val="24"/>
          <w:szCs w:val="24"/>
        </w:rPr>
        <w:t>r. o spółdzielczych kasach oszczędnościowo-kredytowych</w:t>
      </w:r>
    </w:p>
    <w:p w14:paraId="211D58D9" w14:textId="5A87CF85" w:rsidR="00715D7D" w:rsidRPr="006815B9" w:rsidRDefault="00715D7D" w:rsidP="00507007">
      <w:pPr>
        <w:pBdr>
          <w:top w:val="nil"/>
          <w:left w:val="nil"/>
          <w:bottom w:val="nil"/>
          <w:right w:val="nil"/>
          <w:between w:val="nil"/>
          <w:bar w:val="nil"/>
        </w:pBdr>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Zmiany w ww. ustawach</w:t>
      </w:r>
      <w:r w:rsidR="001A0277">
        <w:rPr>
          <w:rFonts w:ascii="Times New Roman" w:hAnsi="Times New Roman" w:cs="Times New Roman"/>
          <w:bCs/>
          <w:sz w:val="24"/>
          <w:szCs w:val="24"/>
        </w:rPr>
        <w:t xml:space="preserve"> uwzględniają uprawnienia leżące po stronie administracji państwowej do domagania się danych objętych tajemnicą bankową i zawodową, o których mowa w przepisach tych ustaw.</w:t>
      </w:r>
    </w:p>
    <w:p w14:paraId="16782D25" w14:textId="38299515" w:rsidR="00777962" w:rsidRPr="00EB304C" w:rsidRDefault="001A0277" w:rsidP="00507007">
      <w:pPr>
        <w:pBdr>
          <w:top w:val="nil"/>
          <w:left w:val="nil"/>
          <w:bottom w:val="nil"/>
          <w:right w:val="nil"/>
          <w:between w:val="nil"/>
          <w:bar w:val="nil"/>
        </w:pBdr>
        <w:spacing w:before="120" w:after="0" w:line="360" w:lineRule="auto"/>
        <w:jc w:val="both"/>
        <w:rPr>
          <w:rFonts w:ascii="Times New Roman" w:hAnsi="Times New Roman" w:cs="Times New Roman"/>
          <w:b/>
          <w:sz w:val="24"/>
          <w:szCs w:val="24"/>
        </w:rPr>
      </w:pPr>
      <w:r>
        <w:rPr>
          <w:rFonts w:ascii="Times New Roman" w:hAnsi="Times New Roman" w:cs="Times New Roman"/>
          <w:b/>
          <w:sz w:val="24"/>
          <w:szCs w:val="24"/>
        </w:rPr>
        <w:t>C</w:t>
      </w:r>
      <w:r w:rsidR="00777962" w:rsidRPr="00EB304C">
        <w:rPr>
          <w:rFonts w:ascii="Times New Roman" w:hAnsi="Times New Roman" w:cs="Times New Roman"/>
          <w:b/>
          <w:sz w:val="24"/>
          <w:szCs w:val="24"/>
        </w:rPr>
        <w:t xml:space="preserve">. </w:t>
      </w:r>
      <w:r w:rsidR="00817FAB" w:rsidRPr="00EB304C">
        <w:rPr>
          <w:rFonts w:ascii="Times New Roman" w:hAnsi="Times New Roman" w:cs="Times New Roman"/>
          <w:b/>
          <w:sz w:val="24"/>
          <w:szCs w:val="24"/>
        </w:rPr>
        <w:t>Ustawa</w:t>
      </w:r>
      <w:r w:rsidR="00777962" w:rsidRPr="00EB304C">
        <w:rPr>
          <w:rFonts w:ascii="Times New Roman" w:hAnsi="Times New Roman" w:cs="Times New Roman"/>
          <w:b/>
          <w:sz w:val="24"/>
          <w:szCs w:val="24"/>
        </w:rPr>
        <w:t xml:space="preserve"> z dnia 10 września 1999 r.</w:t>
      </w:r>
      <w:r w:rsidR="00084DC1">
        <w:rPr>
          <w:rFonts w:ascii="Times New Roman" w:hAnsi="Times New Roman" w:cs="Times New Roman"/>
          <w:b/>
          <w:sz w:val="24"/>
          <w:szCs w:val="24"/>
        </w:rPr>
        <w:t xml:space="preserve"> –</w:t>
      </w:r>
      <w:r w:rsidR="00777962" w:rsidRPr="00EB304C">
        <w:rPr>
          <w:rFonts w:ascii="Times New Roman" w:hAnsi="Times New Roman" w:cs="Times New Roman"/>
          <w:b/>
          <w:sz w:val="24"/>
          <w:szCs w:val="24"/>
        </w:rPr>
        <w:t xml:space="preserve"> Kodeks </w:t>
      </w:r>
      <w:r w:rsidR="00367C8E">
        <w:rPr>
          <w:rFonts w:ascii="Times New Roman" w:hAnsi="Times New Roman" w:cs="Times New Roman"/>
          <w:b/>
          <w:sz w:val="24"/>
          <w:szCs w:val="24"/>
        </w:rPr>
        <w:t>k</w:t>
      </w:r>
      <w:r w:rsidR="00777962" w:rsidRPr="00EB304C">
        <w:rPr>
          <w:rFonts w:ascii="Times New Roman" w:hAnsi="Times New Roman" w:cs="Times New Roman"/>
          <w:b/>
          <w:sz w:val="24"/>
          <w:szCs w:val="24"/>
        </w:rPr>
        <w:t xml:space="preserve">arny </w:t>
      </w:r>
      <w:r w:rsidR="00367C8E">
        <w:rPr>
          <w:rFonts w:ascii="Times New Roman" w:hAnsi="Times New Roman" w:cs="Times New Roman"/>
          <w:b/>
          <w:sz w:val="24"/>
          <w:szCs w:val="24"/>
        </w:rPr>
        <w:t>s</w:t>
      </w:r>
      <w:r w:rsidR="00777962" w:rsidRPr="00EB304C">
        <w:rPr>
          <w:rFonts w:ascii="Times New Roman" w:hAnsi="Times New Roman" w:cs="Times New Roman"/>
          <w:b/>
          <w:sz w:val="24"/>
          <w:szCs w:val="24"/>
        </w:rPr>
        <w:t>karbowy (dalej „KKS”)</w:t>
      </w:r>
    </w:p>
    <w:p w14:paraId="0A1E8798" w14:textId="44863FBC" w:rsidR="00777962" w:rsidRDefault="00777962"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Przepis art. 80</w:t>
      </w:r>
      <w:r w:rsidR="009F2AAC" w:rsidRPr="00EB304C">
        <w:rPr>
          <w:rFonts w:ascii="Times New Roman" w:hAnsi="Times New Roman" w:cs="Times New Roman"/>
          <w:color w:val="000000" w:themeColor="text1"/>
          <w:sz w:val="24"/>
          <w:szCs w:val="24"/>
        </w:rPr>
        <w:t>cb</w:t>
      </w:r>
      <w:r w:rsidRPr="00EB304C">
        <w:rPr>
          <w:rFonts w:ascii="Times New Roman" w:hAnsi="Times New Roman" w:cs="Times New Roman"/>
          <w:color w:val="000000" w:themeColor="text1"/>
          <w:sz w:val="24"/>
          <w:szCs w:val="24"/>
        </w:rPr>
        <w:t xml:space="preserve"> KKS penalizuje niedopełnienie</w:t>
      </w:r>
      <w:r w:rsidR="007E7A37">
        <w:rPr>
          <w:rFonts w:ascii="Times New Roman" w:hAnsi="Times New Roman" w:cs="Times New Roman"/>
          <w:color w:val="000000" w:themeColor="text1"/>
          <w:sz w:val="24"/>
          <w:szCs w:val="24"/>
        </w:rPr>
        <w:t xml:space="preserve"> wymienionych</w:t>
      </w:r>
      <w:r w:rsidRPr="00EB304C">
        <w:rPr>
          <w:rFonts w:ascii="Times New Roman" w:hAnsi="Times New Roman" w:cs="Times New Roman"/>
          <w:color w:val="000000" w:themeColor="text1"/>
          <w:sz w:val="24"/>
          <w:szCs w:val="24"/>
        </w:rPr>
        <w:t xml:space="preserve"> </w:t>
      </w:r>
      <w:r w:rsidR="007E7A37">
        <w:rPr>
          <w:rFonts w:ascii="Times New Roman" w:hAnsi="Times New Roman" w:cs="Times New Roman"/>
          <w:color w:val="000000" w:themeColor="text1"/>
          <w:sz w:val="24"/>
          <w:szCs w:val="24"/>
        </w:rPr>
        <w:t xml:space="preserve">tam </w:t>
      </w:r>
      <w:r w:rsidRPr="00EB304C">
        <w:rPr>
          <w:rFonts w:ascii="Times New Roman" w:hAnsi="Times New Roman" w:cs="Times New Roman"/>
          <w:color w:val="000000" w:themeColor="text1"/>
          <w:sz w:val="24"/>
          <w:szCs w:val="24"/>
        </w:rPr>
        <w:t xml:space="preserve">obowiązków wynikających z </w:t>
      </w:r>
      <w:r w:rsidR="007E7A37">
        <w:rPr>
          <w:rFonts w:ascii="Times New Roman" w:hAnsi="Times New Roman" w:cs="Times New Roman"/>
          <w:color w:val="000000" w:themeColor="text1"/>
          <w:sz w:val="24"/>
          <w:szCs w:val="24"/>
        </w:rPr>
        <w:t>dodawanego działu IIIA uWIP</w:t>
      </w:r>
      <w:r w:rsidRPr="00EB304C">
        <w:rPr>
          <w:rFonts w:ascii="Times New Roman" w:hAnsi="Times New Roman" w:cs="Times New Roman"/>
          <w:color w:val="000000" w:themeColor="text1"/>
          <w:sz w:val="24"/>
          <w:szCs w:val="24"/>
        </w:rPr>
        <w:t>. Karze grzywny podlega osoba, która</w:t>
      </w:r>
      <w:r w:rsidR="0021065D">
        <w:rPr>
          <w:rFonts w:ascii="Times New Roman" w:hAnsi="Times New Roman" w:cs="Times New Roman"/>
          <w:color w:val="000000" w:themeColor="text1"/>
          <w:sz w:val="24"/>
          <w:szCs w:val="24"/>
        </w:rPr>
        <w:t>,</w:t>
      </w:r>
      <w:r w:rsidRPr="00EB304C">
        <w:rPr>
          <w:rFonts w:ascii="Times New Roman" w:hAnsi="Times New Roman" w:cs="Times New Roman"/>
          <w:color w:val="000000" w:themeColor="text1"/>
          <w:sz w:val="24"/>
          <w:szCs w:val="24"/>
        </w:rPr>
        <w:t xml:space="preserve"> działając </w:t>
      </w:r>
      <w:r w:rsidRPr="00EB304C">
        <w:rPr>
          <w:rFonts w:ascii="Times New Roman" w:hAnsi="Times New Roman" w:cs="Times New Roman"/>
          <w:color w:val="000000" w:themeColor="text1"/>
          <w:sz w:val="24"/>
          <w:szCs w:val="24"/>
        </w:rPr>
        <w:lastRenderedPageBreak/>
        <w:t>w imieniu lub interesie raportującego operatora platform</w:t>
      </w:r>
      <w:r w:rsidR="00E822D9" w:rsidRPr="00EB304C">
        <w:rPr>
          <w:rFonts w:ascii="Times New Roman" w:hAnsi="Times New Roman" w:cs="Times New Roman"/>
          <w:color w:val="000000" w:themeColor="text1"/>
          <w:sz w:val="24"/>
          <w:szCs w:val="24"/>
        </w:rPr>
        <w:t>y</w:t>
      </w:r>
      <w:r w:rsidRPr="00EB304C">
        <w:rPr>
          <w:rFonts w:ascii="Times New Roman" w:hAnsi="Times New Roman" w:cs="Times New Roman"/>
          <w:color w:val="000000" w:themeColor="text1"/>
          <w:sz w:val="24"/>
          <w:szCs w:val="24"/>
        </w:rPr>
        <w:t xml:space="preserve">, wbrew przepisom </w:t>
      </w:r>
      <w:r w:rsidR="00274CC6">
        <w:rPr>
          <w:rFonts w:ascii="Times New Roman" w:hAnsi="Times New Roman" w:cs="Times New Roman"/>
          <w:color w:val="000000" w:themeColor="text1"/>
          <w:sz w:val="24"/>
          <w:szCs w:val="24"/>
        </w:rPr>
        <w:t xml:space="preserve">tej </w:t>
      </w:r>
      <w:r w:rsidRPr="00EB304C">
        <w:rPr>
          <w:rFonts w:ascii="Times New Roman" w:hAnsi="Times New Roman" w:cs="Times New Roman"/>
          <w:color w:val="000000" w:themeColor="text1"/>
          <w:sz w:val="24"/>
          <w:szCs w:val="24"/>
        </w:rPr>
        <w:t>ustawy, nie dopełni któregoś z obowiązków enumeratywnie wymienionych w art. 80</w:t>
      </w:r>
      <w:r w:rsidR="009F2AAC" w:rsidRPr="00EB304C">
        <w:rPr>
          <w:rFonts w:ascii="Times New Roman" w:hAnsi="Times New Roman" w:cs="Times New Roman"/>
          <w:color w:val="000000" w:themeColor="text1"/>
          <w:sz w:val="24"/>
          <w:szCs w:val="24"/>
        </w:rPr>
        <w:t>cb</w:t>
      </w:r>
      <w:r w:rsidRPr="00EB304C">
        <w:rPr>
          <w:rFonts w:ascii="Times New Roman" w:hAnsi="Times New Roman" w:cs="Times New Roman"/>
          <w:color w:val="000000" w:themeColor="text1"/>
          <w:sz w:val="24"/>
          <w:szCs w:val="24"/>
        </w:rPr>
        <w:t xml:space="preserve"> § 1 KKS. Przepis §</w:t>
      </w:r>
      <w:r w:rsidR="0021065D">
        <w:rPr>
          <w:rFonts w:ascii="Times New Roman" w:hAnsi="Times New Roman" w:cs="Times New Roman"/>
          <w:color w:val="000000" w:themeColor="text1"/>
          <w:sz w:val="24"/>
          <w:szCs w:val="24"/>
        </w:rPr>
        <w:t> </w:t>
      </w:r>
      <w:r w:rsidRPr="00EB304C">
        <w:rPr>
          <w:rFonts w:ascii="Times New Roman" w:hAnsi="Times New Roman" w:cs="Times New Roman"/>
          <w:color w:val="000000" w:themeColor="text1"/>
          <w:sz w:val="24"/>
          <w:szCs w:val="24"/>
        </w:rPr>
        <w:t>2 w zw. z § 1 art. 80</w:t>
      </w:r>
      <w:r w:rsidR="009F2AAC" w:rsidRPr="00EB304C">
        <w:rPr>
          <w:rFonts w:ascii="Times New Roman" w:hAnsi="Times New Roman" w:cs="Times New Roman"/>
          <w:color w:val="000000" w:themeColor="text1"/>
          <w:sz w:val="24"/>
          <w:szCs w:val="24"/>
        </w:rPr>
        <w:t>cb</w:t>
      </w:r>
      <w:r w:rsidRPr="00EB304C">
        <w:rPr>
          <w:rFonts w:ascii="Times New Roman" w:hAnsi="Times New Roman" w:cs="Times New Roman"/>
          <w:color w:val="000000" w:themeColor="text1"/>
          <w:sz w:val="24"/>
          <w:szCs w:val="24"/>
        </w:rPr>
        <w:t xml:space="preserve"> KKS przewiduje </w:t>
      </w:r>
      <w:r w:rsidRPr="00EB304C">
        <w:rPr>
          <w:rFonts w:ascii="Times New Roman" w:hAnsi="Times New Roman" w:cs="Times New Roman"/>
          <w:sz w:val="24"/>
          <w:szCs w:val="24"/>
        </w:rPr>
        <w:t xml:space="preserve">uprzywilejowaną postać czynu zabronionego, jeżeli zaistnieje wypadek mniejszej wagi. </w:t>
      </w:r>
      <w:r w:rsidR="009F2AAC" w:rsidRPr="00EB304C">
        <w:rPr>
          <w:rFonts w:ascii="Times New Roman" w:hAnsi="Times New Roman" w:cs="Times New Roman"/>
          <w:sz w:val="24"/>
          <w:szCs w:val="24"/>
        </w:rPr>
        <w:t>Użycie w przepisie art. 80cb zaimka osobowego „kto” oznacza, że przestępstwo skarbowe lub wykroczenie skarbowe może zostać popełnione przez każdą osobę, która nie dopełni obowiązków, o których mowa w tym przepisie. W tym wypadku przepis dookreśla, że osoba ta musi działać w imieniu lub interesie operatora platformy (ta przesłanka jest konieczna do pociągnięcia do odpowiedzialności karnej skarbowej).</w:t>
      </w:r>
      <w:r w:rsidR="005171C0">
        <w:rPr>
          <w:rFonts w:ascii="Times New Roman" w:hAnsi="Times New Roman" w:cs="Times New Roman"/>
          <w:sz w:val="24"/>
          <w:szCs w:val="24"/>
        </w:rPr>
        <w:t xml:space="preserve"> </w:t>
      </w:r>
      <w:r w:rsidR="00E822D9" w:rsidRPr="00EB304C">
        <w:rPr>
          <w:rFonts w:ascii="Times New Roman" w:hAnsi="Times New Roman" w:cs="Times New Roman"/>
          <w:sz w:val="24"/>
          <w:szCs w:val="24"/>
        </w:rPr>
        <w:t>Wprowadzanym</w:t>
      </w:r>
      <w:r w:rsidRPr="00EB304C">
        <w:rPr>
          <w:rFonts w:ascii="Times New Roman" w:hAnsi="Times New Roman" w:cs="Times New Roman"/>
          <w:sz w:val="24"/>
          <w:szCs w:val="24"/>
        </w:rPr>
        <w:t xml:space="preserve"> przepisem art. 80</w:t>
      </w:r>
      <w:r w:rsidR="009F2AAC" w:rsidRPr="00EB304C">
        <w:rPr>
          <w:rFonts w:ascii="Times New Roman" w:hAnsi="Times New Roman" w:cs="Times New Roman"/>
          <w:sz w:val="24"/>
          <w:szCs w:val="24"/>
        </w:rPr>
        <w:t>cb</w:t>
      </w:r>
      <w:r w:rsidRPr="00EB304C">
        <w:rPr>
          <w:rFonts w:ascii="Times New Roman" w:hAnsi="Times New Roman" w:cs="Times New Roman"/>
          <w:sz w:val="24"/>
          <w:szCs w:val="24"/>
        </w:rPr>
        <w:t xml:space="preserve"> KKS implementuje się przepisy DAC7 nowelizujące art.</w:t>
      </w:r>
      <w:r w:rsidR="0021065D">
        <w:rPr>
          <w:rFonts w:ascii="Times New Roman" w:hAnsi="Times New Roman" w:cs="Times New Roman"/>
          <w:sz w:val="24"/>
          <w:szCs w:val="24"/>
        </w:rPr>
        <w:t> </w:t>
      </w:r>
      <w:r w:rsidRPr="00EB304C">
        <w:rPr>
          <w:rFonts w:ascii="Times New Roman" w:hAnsi="Times New Roman" w:cs="Times New Roman"/>
          <w:sz w:val="24"/>
          <w:szCs w:val="24"/>
        </w:rPr>
        <w:t xml:space="preserve">25a dyrektywy 2011/16/UE, zgodnie z którym </w:t>
      </w:r>
      <w:r w:rsidR="00274CC6">
        <w:rPr>
          <w:rFonts w:ascii="Times New Roman" w:hAnsi="Times New Roman" w:cs="Times New Roman"/>
          <w:sz w:val="24"/>
          <w:szCs w:val="24"/>
        </w:rPr>
        <w:t>p</w:t>
      </w:r>
      <w:r w:rsidRPr="00EB304C">
        <w:rPr>
          <w:rFonts w:ascii="Times New Roman" w:hAnsi="Times New Roman" w:cs="Times New Roman"/>
          <w:sz w:val="24"/>
          <w:szCs w:val="24"/>
        </w:rPr>
        <w:t xml:space="preserve">aństwa członkowskie przyjmują przepisy dotyczące sankcji mających zastosowanie w przypadku naruszenia przepisów krajowych przyjętych zgodnie z niniejszą dyrektywą dotyczących art. 8aa, </w:t>
      </w:r>
      <w:r w:rsidR="0021065D">
        <w:rPr>
          <w:rFonts w:ascii="Times New Roman" w:hAnsi="Times New Roman" w:cs="Times New Roman"/>
          <w:sz w:val="24"/>
          <w:szCs w:val="24"/>
        </w:rPr>
        <w:t xml:space="preserve">art. </w:t>
      </w:r>
      <w:r w:rsidRPr="00EB304C">
        <w:rPr>
          <w:rFonts w:ascii="Times New Roman" w:hAnsi="Times New Roman" w:cs="Times New Roman"/>
          <w:sz w:val="24"/>
          <w:szCs w:val="24"/>
        </w:rPr>
        <w:t xml:space="preserve">8ab i </w:t>
      </w:r>
      <w:r w:rsidR="0021065D">
        <w:rPr>
          <w:rFonts w:ascii="Times New Roman" w:hAnsi="Times New Roman" w:cs="Times New Roman"/>
          <w:sz w:val="24"/>
          <w:szCs w:val="24"/>
        </w:rPr>
        <w:t xml:space="preserve">art. </w:t>
      </w:r>
      <w:r w:rsidRPr="00EB304C">
        <w:rPr>
          <w:rFonts w:ascii="Times New Roman" w:hAnsi="Times New Roman" w:cs="Times New Roman"/>
          <w:sz w:val="24"/>
          <w:szCs w:val="24"/>
        </w:rPr>
        <w:t xml:space="preserve">8ac oraz </w:t>
      </w:r>
      <w:r w:rsidRPr="00EB304C">
        <w:rPr>
          <w:rFonts w:ascii="Times New Roman" w:hAnsi="Times New Roman" w:cs="Times New Roman"/>
          <w:color w:val="000000" w:themeColor="text1"/>
          <w:sz w:val="24"/>
          <w:szCs w:val="24"/>
        </w:rPr>
        <w:t>przyjmują wszelkie niezbędne środki w celu zapewnienia stosowania tych sankcji. Sankcje te muszą być skuteczne, proporcjonalne i odstraszające.</w:t>
      </w:r>
    </w:p>
    <w:p w14:paraId="03168F35" w14:textId="2F86EAC8" w:rsidR="005171C0" w:rsidRPr="005171C0" w:rsidRDefault="005171C0" w:rsidP="00507007">
      <w:pPr>
        <w:spacing w:before="120" w:after="0" w:line="360" w:lineRule="auto"/>
        <w:jc w:val="both"/>
        <w:rPr>
          <w:rFonts w:ascii="Times New Roman" w:hAnsi="Times New Roman" w:cs="Times New Roman"/>
          <w:color w:val="000000" w:themeColor="text1"/>
          <w:sz w:val="24"/>
          <w:szCs w:val="24"/>
        </w:rPr>
      </w:pPr>
      <w:r w:rsidRPr="005171C0">
        <w:rPr>
          <w:rFonts w:ascii="Times New Roman" w:hAnsi="Times New Roman" w:cs="Times New Roman"/>
          <w:color w:val="000000" w:themeColor="text1"/>
          <w:sz w:val="24"/>
          <w:szCs w:val="24"/>
        </w:rPr>
        <w:t xml:space="preserve">Kara za niedopełnienie obowiązku jednorazowej rejestracji w wybranym państwie członkowskim, o której mowa w dodawanym w uWIP artykule 90b </w:t>
      </w:r>
      <w:r w:rsidR="00367C8E">
        <w:rPr>
          <w:rFonts w:ascii="Times New Roman" w:hAnsi="Times New Roman" w:cs="Times New Roman"/>
          <w:color w:val="000000" w:themeColor="text1"/>
          <w:sz w:val="24"/>
          <w:szCs w:val="24"/>
        </w:rPr>
        <w:t xml:space="preserve">ust. 1 </w:t>
      </w:r>
      <w:r w:rsidRPr="005171C0">
        <w:rPr>
          <w:rFonts w:ascii="Times New Roman" w:hAnsi="Times New Roman" w:cs="Times New Roman"/>
          <w:color w:val="000000" w:themeColor="text1"/>
          <w:sz w:val="24"/>
          <w:szCs w:val="24"/>
        </w:rPr>
        <w:t xml:space="preserve">pkt 6 oraz dodawanym art. 80cb § 1 pkt </w:t>
      </w:r>
      <w:r w:rsidR="00274CC6">
        <w:rPr>
          <w:rFonts w:ascii="Times New Roman" w:hAnsi="Times New Roman" w:cs="Times New Roman"/>
          <w:color w:val="000000" w:themeColor="text1"/>
          <w:sz w:val="24"/>
          <w:szCs w:val="24"/>
        </w:rPr>
        <w:t>3</w:t>
      </w:r>
      <w:r w:rsidRPr="005171C0">
        <w:rPr>
          <w:rFonts w:ascii="Times New Roman" w:hAnsi="Times New Roman" w:cs="Times New Roman"/>
          <w:color w:val="000000" w:themeColor="text1"/>
          <w:sz w:val="24"/>
          <w:szCs w:val="24"/>
        </w:rPr>
        <w:t xml:space="preserve"> w KKS</w:t>
      </w:r>
      <w:r w:rsidR="0021065D">
        <w:rPr>
          <w:rFonts w:ascii="Times New Roman" w:hAnsi="Times New Roman" w:cs="Times New Roman"/>
          <w:color w:val="000000" w:themeColor="text1"/>
          <w:sz w:val="24"/>
          <w:szCs w:val="24"/>
        </w:rPr>
        <w:t>,</w:t>
      </w:r>
      <w:r w:rsidRPr="005171C0">
        <w:rPr>
          <w:rFonts w:ascii="Times New Roman" w:hAnsi="Times New Roman" w:cs="Times New Roman"/>
          <w:color w:val="000000" w:themeColor="text1"/>
          <w:sz w:val="24"/>
          <w:szCs w:val="24"/>
        </w:rPr>
        <w:t xml:space="preserve"> odnosi się do sytuacji, w której operator platformy spoza UE posiadający sprzedawców będących rezydentami w Rzeczypospolitej Polskiej lub udostępniających nieruchomość położoną w Rzeczpospolitej Polskiej nie dokonał w Polsce jednorazowej rejestracji, o której mowa w art. 75u ust. 1 </w:t>
      </w:r>
      <w:proofErr w:type="spellStart"/>
      <w:r w:rsidR="00274CC6">
        <w:rPr>
          <w:rFonts w:ascii="Times New Roman" w:hAnsi="Times New Roman" w:cs="Times New Roman"/>
          <w:color w:val="000000" w:themeColor="text1"/>
          <w:sz w:val="24"/>
          <w:szCs w:val="24"/>
        </w:rPr>
        <w:t>uWIP</w:t>
      </w:r>
      <w:proofErr w:type="spellEnd"/>
      <w:r w:rsidR="0021065D">
        <w:rPr>
          <w:rFonts w:ascii="Times New Roman" w:hAnsi="Times New Roman" w:cs="Times New Roman"/>
          <w:color w:val="000000" w:themeColor="text1"/>
          <w:sz w:val="24"/>
          <w:szCs w:val="24"/>
        </w:rPr>
        <w:t>,</w:t>
      </w:r>
      <w:r w:rsidR="00274CC6">
        <w:rPr>
          <w:rFonts w:ascii="Times New Roman" w:hAnsi="Times New Roman" w:cs="Times New Roman"/>
          <w:color w:val="000000" w:themeColor="text1"/>
          <w:sz w:val="24"/>
          <w:szCs w:val="24"/>
        </w:rPr>
        <w:t xml:space="preserve"> </w:t>
      </w:r>
      <w:r w:rsidRPr="005171C0">
        <w:rPr>
          <w:rFonts w:ascii="Times New Roman" w:hAnsi="Times New Roman" w:cs="Times New Roman"/>
          <w:color w:val="000000" w:themeColor="text1"/>
          <w:sz w:val="24"/>
          <w:szCs w:val="24"/>
        </w:rPr>
        <w:t>i jednocześnie nie dokonał jej w innym państwie członkowskim.</w:t>
      </w:r>
    </w:p>
    <w:p w14:paraId="5478C996" w14:textId="65E9BB8B" w:rsidR="005171C0" w:rsidRPr="00EB304C" w:rsidRDefault="005171C0" w:rsidP="00507007">
      <w:pPr>
        <w:spacing w:before="120" w:after="0" w:line="360" w:lineRule="auto"/>
        <w:jc w:val="both"/>
        <w:rPr>
          <w:rFonts w:ascii="Times New Roman" w:hAnsi="Times New Roman" w:cs="Times New Roman"/>
          <w:color w:val="000000" w:themeColor="text1"/>
          <w:sz w:val="24"/>
          <w:szCs w:val="24"/>
        </w:rPr>
      </w:pPr>
      <w:r w:rsidRPr="005171C0">
        <w:rPr>
          <w:rFonts w:ascii="Times New Roman" w:hAnsi="Times New Roman" w:cs="Times New Roman"/>
          <w:color w:val="000000" w:themeColor="text1"/>
          <w:sz w:val="24"/>
          <w:szCs w:val="24"/>
        </w:rPr>
        <w:t xml:space="preserve">Brak rejestracji będzie oznaczał możliwość ścigania i ukarania w Polsce osób działających w imieniu lub interesie raportującego operatora platformy, mając na uwadze, że obowiązek ten może zostać zrealizowany również w Polsce. Przepis art. 80cb § 1 pkt </w:t>
      </w:r>
      <w:r w:rsidR="00274CC6">
        <w:rPr>
          <w:rFonts w:ascii="Times New Roman" w:hAnsi="Times New Roman" w:cs="Times New Roman"/>
          <w:color w:val="000000" w:themeColor="text1"/>
          <w:sz w:val="24"/>
          <w:szCs w:val="24"/>
        </w:rPr>
        <w:t>3 KKS</w:t>
      </w:r>
      <w:r w:rsidRPr="005171C0">
        <w:rPr>
          <w:rFonts w:ascii="Times New Roman" w:hAnsi="Times New Roman" w:cs="Times New Roman"/>
          <w:color w:val="000000" w:themeColor="text1"/>
          <w:sz w:val="24"/>
          <w:szCs w:val="24"/>
        </w:rPr>
        <w:t xml:space="preserve"> penalizuje</w:t>
      </w:r>
      <w:r w:rsidR="00223152">
        <w:rPr>
          <w:rFonts w:ascii="Times New Roman" w:hAnsi="Times New Roman" w:cs="Times New Roman"/>
          <w:color w:val="000000" w:themeColor="text1"/>
          <w:sz w:val="24"/>
          <w:szCs w:val="24"/>
        </w:rPr>
        <w:t xml:space="preserve"> </w:t>
      </w:r>
      <w:r w:rsidRPr="005171C0">
        <w:rPr>
          <w:rFonts w:ascii="Times New Roman" w:hAnsi="Times New Roman" w:cs="Times New Roman"/>
          <w:color w:val="000000" w:themeColor="text1"/>
          <w:sz w:val="24"/>
          <w:szCs w:val="24"/>
        </w:rPr>
        <w:t>niedopełnienie obowiązku jednorazowej rejestracji w wybranym państwie członkowskim, którym może być także Polska. Warunkiem pociągnięcia do odpowiedzialności karnej skarbowej będzie niezarejestrowanie się w innym kraju członkowskim.</w:t>
      </w:r>
    </w:p>
    <w:p w14:paraId="1FC24F56" w14:textId="2EA97497" w:rsidR="00021378" w:rsidRPr="00EB304C" w:rsidRDefault="001A0277" w:rsidP="00507007">
      <w:pPr>
        <w:keepNext/>
        <w:spacing w:before="120"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w:t>
      </w:r>
      <w:r w:rsidR="00021378" w:rsidRPr="00EB304C">
        <w:rPr>
          <w:rFonts w:ascii="Times New Roman" w:hAnsi="Times New Roman" w:cs="Times New Roman"/>
          <w:b/>
          <w:color w:val="000000" w:themeColor="text1"/>
          <w:sz w:val="24"/>
          <w:szCs w:val="24"/>
        </w:rPr>
        <w:t>. Ustawa FATCA</w:t>
      </w:r>
    </w:p>
    <w:p w14:paraId="0FE7D60A" w14:textId="0A1467C1" w:rsidR="002E2BE7" w:rsidRPr="006815B9" w:rsidRDefault="00021378" w:rsidP="00507007">
      <w:pPr>
        <w:pStyle w:val="Akapitzlist"/>
        <w:keepNext/>
        <w:numPr>
          <w:ilvl w:val="0"/>
          <w:numId w:val="16"/>
        </w:numPr>
        <w:spacing w:before="120" w:after="0" w:line="360" w:lineRule="auto"/>
        <w:jc w:val="both"/>
        <w:rPr>
          <w:rFonts w:ascii="Times New Roman" w:hAnsi="Times New Roman" w:cs="Times New Roman"/>
          <w:b/>
          <w:color w:val="000000" w:themeColor="text1"/>
          <w:sz w:val="24"/>
          <w:szCs w:val="24"/>
        </w:rPr>
      </w:pPr>
      <w:r w:rsidRPr="00EB304C">
        <w:rPr>
          <w:rFonts w:ascii="Times New Roman" w:hAnsi="Times New Roman" w:cs="Times New Roman"/>
          <w:b/>
          <w:bCs/>
          <w:color w:val="000000" w:themeColor="text1"/>
          <w:sz w:val="24"/>
          <w:szCs w:val="24"/>
        </w:rPr>
        <w:t>Odpowiedzialność za składanie fałszywych oświadczeń</w:t>
      </w:r>
    </w:p>
    <w:p w14:paraId="19105FD5" w14:textId="4BDD044B" w:rsidR="00021378" w:rsidRPr="00EB304C" w:rsidRDefault="00817FAB"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Odpowiadając</w:t>
      </w:r>
      <w:r w:rsidR="00021378" w:rsidRPr="00EB304C">
        <w:rPr>
          <w:rFonts w:ascii="Times New Roman" w:hAnsi="Times New Roman" w:cs="Times New Roman"/>
          <w:color w:val="000000" w:themeColor="text1"/>
          <w:sz w:val="24"/>
          <w:szCs w:val="24"/>
        </w:rPr>
        <w:t xml:space="preserve"> na wątpliwości zgłaszane przez instytucje finansowe, projekt przewiduje doprecyzowanie kwestii oświadczeń zbieranych pod rygo</w:t>
      </w:r>
      <w:r w:rsidR="00936D84" w:rsidRPr="00EB304C">
        <w:rPr>
          <w:rFonts w:ascii="Times New Roman" w:hAnsi="Times New Roman" w:cs="Times New Roman"/>
          <w:color w:val="000000" w:themeColor="text1"/>
          <w:sz w:val="24"/>
          <w:szCs w:val="24"/>
        </w:rPr>
        <w:t>rem odpowiedzialności karnej za </w:t>
      </w:r>
      <w:r w:rsidR="00021378" w:rsidRPr="00EB304C">
        <w:rPr>
          <w:rFonts w:ascii="Times New Roman" w:hAnsi="Times New Roman" w:cs="Times New Roman"/>
          <w:color w:val="000000" w:themeColor="text1"/>
          <w:sz w:val="24"/>
          <w:szCs w:val="24"/>
        </w:rPr>
        <w:t>składanie fałszywych zezna</w:t>
      </w:r>
      <w:r w:rsidRPr="00EB304C">
        <w:rPr>
          <w:rFonts w:ascii="Times New Roman" w:hAnsi="Times New Roman" w:cs="Times New Roman"/>
          <w:color w:val="000000" w:themeColor="text1"/>
          <w:sz w:val="24"/>
          <w:szCs w:val="24"/>
        </w:rPr>
        <w:t>ń</w:t>
      </w:r>
      <w:r w:rsidR="00021378" w:rsidRPr="00EB304C">
        <w:rPr>
          <w:rFonts w:ascii="Times New Roman" w:hAnsi="Times New Roman" w:cs="Times New Roman"/>
          <w:color w:val="000000" w:themeColor="text1"/>
          <w:sz w:val="24"/>
          <w:szCs w:val="24"/>
        </w:rPr>
        <w:t xml:space="preserve"> w odniesieniu do nowych rachunków finansowych.</w:t>
      </w:r>
    </w:p>
    <w:p w14:paraId="243929E0" w14:textId="52CCA8E0" w:rsidR="00021378" w:rsidRPr="00EB304C" w:rsidRDefault="00021378"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lastRenderedPageBreak/>
        <w:t>Od dnia 1 maja 2017 r. w ustawie FATCA nie ma już art. 4 ust</w:t>
      </w:r>
      <w:r w:rsidR="00B94FD5">
        <w:rPr>
          <w:rFonts w:ascii="Times New Roman" w:hAnsi="Times New Roman" w:cs="Times New Roman"/>
          <w:color w:val="000000" w:themeColor="text1"/>
          <w:sz w:val="24"/>
          <w:szCs w:val="24"/>
        </w:rPr>
        <w:t>.</w:t>
      </w:r>
      <w:r w:rsidRPr="00EB304C">
        <w:rPr>
          <w:rFonts w:ascii="Times New Roman" w:hAnsi="Times New Roman" w:cs="Times New Roman"/>
          <w:color w:val="000000" w:themeColor="text1"/>
          <w:sz w:val="24"/>
          <w:szCs w:val="24"/>
        </w:rPr>
        <w:t xml:space="preserve"> 4 (został on u</w:t>
      </w:r>
      <w:r w:rsidR="00274CC6">
        <w:rPr>
          <w:rFonts w:ascii="Times New Roman" w:hAnsi="Times New Roman" w:cs="Times New Roman"/>
          <w:color w:val="000000" w:themeColor="text1"/>
          <w:sz w:val="24"/>
          <w:szCs w:val="24"/>
        </w:rPr>
        <w:t>chylony</w:t>
      </w:r>
      <w:r w:rsidRPr="00EB304C">
        <w:rPr>
          <w:rFonts w:ascii="Times New Roman" w:hAnsi="Times New Roman" w:cs="Times New Roman"/>
          <w:color w:val="000000" w:themeColor="text1"/>
          <w:sz w:val="24"/>
          <w:szCs w:val="24"/>
        </w:rPr>
        <w:t xml:space="preserve"> na mocy art. 96 pkt 1 lit</w:t>
      </w:r>
      <w:r w:rsidR="00B94FD5">
        <w:rPr>
          <w:rFonts w:ascii="Times New Roman" w:hAnsi="Times New Roman" w:cs="Times New Roman"/>
          <w:color w:val="000000" w:themeColor="text1"/>
          <w:sz w:val="24"/>
          <w:szCs w:val="24"/>
        </w:rPr>
        <w:t>.</w:t>
      </w:r>
      <w:r w:rsidRPr="00EB304C">
        <w:rPr>
          <w:rFonts w:ascii="Times New Roman" w:hAnsi="Times New Roman" w:cs="Times New Roman"/>
          <w:color w:val="000000" w:themeColor="text1"/>
          <w:sz w:val="24"/>
          <w:szCs w:val="24"/>
        </w:rPr>
        <w:t xml:space="preserve"> a ustawy o wymianie informacji podatkowych z innymi państwami</w:t>
      </w:r>
      <w:r w:rsidR="00B94FD5">
        <w:rPr>
          <w:rFonts w:ascii="Times New Roman" w:hAnsi="Times New Roman" w:cs="Times New Roman"/>
          <w:color w:val="000000" w:themeColor="text1"/>
          <w:sz w:val="24"/>
          <w:szCs w:val="24"/>
        </w:rPr>
        <w:t>)</w:t>
      </w:r>
      <w:r w:rsidRPr="00EB304C">
        <w:rPr>
          <w:rFonts w:ascii="Times New Roman" w:hAnsi="Times New Roman" w:cs="Times New Roman"/>
          <w:color w:val="000000" w:themeColor="text1"/>
          <w:sz w:val="24"/>
          <w:szCs w:val="24"/>
        </w:rPr>
        <w:t xml:space="preserve">. Uchylony przepis nakazywał, aby w oświadczeniach FATCA znajdowała się klauzula odpowiedzialności karnej: </w:t>
      </w:r>
      <w:r w:rsidRPr="00EB304C">
        <w:rPr>
          <w:rFonts w:ascii="Times New Roman" w:hAnsi="Times New Roman" w:cs="Times New Roman"/>
          <w:i/>
          <w:color w:val="000000" w:themeColor="text1"/>
          <w:sz w:val="24"/>
          <w:szCs w:val="24"/>
        </w:rPr>
        <w:t>„Jestem świadomy odpowiedzialności karnej za złożenie fałszywego oświadczenia”</w:t>
      </w:r>
      <w:r w:rsidR="00936D84" w:rsidRPr="00EB304C">
        <w:rPr>
          <w:rFonts w:ascii="Times New Roman" w:hAnsi="Times New Roman" w:cs="Times New Roman"/>
          <w:color w:val="000000" w:themeColor="text1"/>
          <w:sz w:val="24"/>
          <w:szCs w:val="24"/>
        </w:rPr>
        <w:t>. Z</w:t>
      </w:r>
      <w:r w:rsidR="00B94FD5">
        <w:rPr>
          <w:rFonts w:ascii="Times New Roman" w:hAnsi="Times New Roman" w:cs="Times New Roman"/>
          <w:color w:val="000000" w:themeColor="text1"/>
          <w:sz w:val="24"/>
          <w:szCs w:val="24"/>
        </w:rPr>
        <w:t> </w:t>
      </w:r>
      <w:r w:rsidR="00936D84" w:rsidRPr="00EB304C">
        <w:rPr>
          <w:rFonts w:ascii="Times New Roman" w:hAnsi="Times New Roman" w:cs="Times New Roman"/>
          <w:color w:val="000000" w:themeColor="text1"/>
          <w:sz w:val="24"/>
          <w:szCs w:val="24"/>
        </w:rPr>
        <w:t>kolei ustawa z dnia 4 </w:t>
      </w:r>
      <w:r w:rsidRPr="00EB304C">
        <w:rPr>
          <w:rFonts w:ascii="Times New Roman" w:hAnsi="Times New Roman" w:cs="Times New Roman"/>
          <w:color w:val="000000" w:themeColor="text1"/>
          <w:sz w:val="24"/>
          <w:szCs w:val="24"/>
        </w:rPr>
        <w:t>kwietnia 2019 r. o zmianie ustawy o wymianie informacji podatkowych z innymi państwami oraz niektórych innych ustaw (Dz.</w:t>
      </w:r>
      <w:r w:rsidR="00D759FA">
        <w:rPr>
          <w:rFonts w:ascii="Times New Roman" w:hAnsi="Times New Roman" w:cs="Times New Roman"/>
          <w:color w:val="000000" w:themeColor="text1"/>
          <w:sz w:val="24"/>
          <w:szCs w:val="24"/>
        </w:rPr>
        <w:t xml:space="preserve"> </w:t>
      </w:r>
      <w:r w:rsidRPr="00EB304C">
        <w:rPr>
          <w:rFonts w:ascii="Times New Roman" w:hAnsi="Times New Roman" w:cs="Times New Roman"/>
          <w:color w:val="000000" w:themeColor="text1"/>
          <w:sz w:val="24"/>
          <w:szCs w:val="24"/>
        </w:rPr>
        <w:t xml:space="preserve">U. poz. 694) wprowadziła m.in. </w:t>
      </w:r>
      <w:r w:rsidR="00274CC6">
        <w:rPr>
          <w:rFonts w:ascii="Times New Roman" w:hAnsi="Times New Roman" w:cs="Times New Roman"/>
          <w:color w:val="000000" w:themeColor="text1"/>
          <w:sz w:val="24"/>
          <w:szCs w:val="24"/>
        </w:rPr>
        <w:t>dwie</w:t>
      </w:r>
      <w:r w:rsidRPr="00EB304C">
        <w:rPr>
          <w:rFonts w:ascii="Times New Roman" w:hAnsi="Times New Roman" w:cs="Times New Roman"/>
          <w:color w:val="000000" w:themeColor="text1"/>
          <w:sz w:val="24"/>
          <w:szCs w:val="24"/>
        </w:rPr>
        <w:t xml:space="preserve"> zmiany:</w:t>
      </w:r>
    </w:p>
    <w:p w14:paraId="40083265" w14:textId="487AF635" w:rsidR="00021378" w:rsidRPr="00EB304C" w:rsidRDefault="00021378" w:rsidP="00B94FD5">
      <w:pPr>
        <w:spacing w:before="120" w:after="0" w:line="360" w:lineRule="auto"/>
        <w:ind w:left="426" w:hanging="426"/>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w:t>
      </w:r>
      <w:r w:rsidRPr="00EB304C">
        <w:rPr>
          <w:rFonts w:ascii="Times New Roman" w:hAnsi="Times New Roman" w:cs="Times New Roman"/>
          <w:color w:val="000000" w:themeColor="text1"/>
          <w:sz w:val="24"/>
          <w:szCs w:val="24"/>
        </w:rPr>
        <w:tab/>
        <w:t>do ustawy o wymianie informacji podatkowych z innymi państwami – dodanie w</w:t>
      </w:r>
      <w:r w:rsidR="00B94FD5">
        <w:rPr>
          <w:rFonts w:ascii="Times New Roman" w:hAnsi="Times New Roman" w:cs="Times New Roman"/>
          <w:color w:val="000000" w:themeColor="text1"/>
          <w:sz w:val="24"/>
          <w:szCs w:val="24"/>
        </w:rPr>
        <w:t> </w:t>
      </w:r>
      <w:r w:rsidRPr="00EB304C">
        <w:rPr>
          <w:rFonts w:ascii="Times New Roman" w:hAnsi="Times New Roman" w:cs="Times New Roman"/>
          <w:color w:val="000000" w:themeColor="text1"/>
          <w:sz w:val="24"/>
          <w:szCs w:val="24"/>
        </w:rPr>
        <w:t>art.</w:t>
      </w:r>
      <w:r w:rsidR="00B94FD5">
        <w:rPr>
          <w:rFonts w:ascii="Times New Roman" w:hAnsi="Times New Roman" w:cs="Times New Roman"/>
          <w:color w:val="000000" w:themeColor="text1"/>
          <w:sz w:val="24"/>
          <w:szCs w:val="24"/>
        </w:rPr>
        <w:t> </w:t>
      </w:r>
      <w:r w:rsidRPr="00EB304C">
        <w:rPr>
          <w:rFonts w:ascii="Times New Roman" w:hAnsi="Times New Roman" w:cs="Times New Roman"/>
          <w:color w:val="000000" w:themeColor="text1"/>
          <w:sz w:val="24"/>
          <w:szCs w:val="24"/>
        </w:rPr>
        <w:t>43 ust. 1 tej ustawy obowiązku opatrywania oświadczeń CRS klauzulą odpowiedzialności karnej (art. 1 pkt 9 ustawy zmieniającej) oraz</w:t>
      </w:r>
    </w:p>
    <w:p w14:paraId="15821320" w14:textId="1F9CC9AF" w:rsidR="00021378" w:rsidRPr="00EB304C" w:rsidRDefault="00021378" w:rsidP="00B94FD5">
      <w:pPr>
        <w:spacing w:before="120" w:after="0" w:line="360" w:lineRule="auto"/>
        <w:ind w:left="426" w:hanging="426"/>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w:t>
      </w:r>
      <w:r w:rsidRPr="00EB304C">
        <w:rPr>
          <w:rFonts w:ascii="Times New Roman" w:hAnsi="Times New Roman" w:cs="Times New Roman"/>
          <w:color w:val="000000" w:themeColor="text1"/>
          <w:sz w:val="24"/>
          <w:szCs w:val="24"/>
        </w:rPr>
        <w:tab/>
        <w:t xml:space="preserve">do ustawy FATCA – dodanie </w:t>
      </w:r>
      <w:r w:rsidR="00B94FD5">
        <w:rPr>
          <w:rFonts w:ascii="Times New Roman" w:hAnsi="Times New Roman" w:cs="Times New Roman"/>
          <w:color w:val="000000" w:themeColor="text1"/>
          <w:sz w:val="24"/>
          <w:szCs w:val="24"/>
        </w:rPr>
        <w:t xml:space="preserve">w </w:t>
      </w:r>
      <w:r w:rsidRPr="00EB304C">
        <w:rPr>
          <w:rFonts w:ascii="Times New Roman" w:hAnsi="Times New Roman" w:cs="Times New Roman"/>
          <w:color w:val="000000" w:themeColor="text1"/>
          <w:sz w:val="24"/>
          <w:szCs w:val="24"/>
        </w:rPr>
        <w:t>art. 19 ust. 5 tej ustawy obowiązku opatrywania klauzulą odpowiedzialności karnej oświadczeń FATCA, odbieranych w procedurze przeznaczonej wyłącznie dla rachunków z okresu przejściowego (art. 4 pkt 2 ustawy zmieniającej)</w:t>
      </w:r>
      <w:r w:rsidR="00274CC6">
        <w:rPr>
          <w:rFonts w:ascii="Times New Roman" w:hAnsi="Times New Roman" w:cs="Times New Roman"/>
          <w:color w:val="000000" w:themeColor="text1"/>
          <w:sz w:val="24"/>
          <w:szCs w:val="24"/>
        </w:rPr>
        <w:t>.</w:t>
      </w:r>
    </w:p>
    <w:p w14:paraId="3A248293" w14:textId="04DE0372" w:rsidR="00021378" w:rsidRPr="00EB304C" w:rsidRDefault="00021378"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Analiza powyższego może prowadzić do wniosku, że ustawa zmieniająca nie wprowadziła zatem (nie przywróciła) obowiązku opatrywania klauzulą odp</w:t>
      </w:r>
      <w:r w:rsidR="00D048EF">
        <w:rPr>
          <w:rFonts w:ascii="Times New Roman" w:hAnsi="Times New Roman" w:cs="Times New Roman"/>
          <w:color w:val="000000" w:themeColor="text1"/>
          <w:sz w:val="24"/>
          <w:szCs w:val="24"/>
        </w:rPr>
        <w:t>owiedzialności</w:t>
      </w:r>
      <w:r w:rsidRPr="00EB304C">
        <w:rPr>
          <w:rFonts w:ascii="Times New Roman" w:hAnsi="Times New Roman" w:cs="Times New Roman"/>
          <w:color w:val="000000" w:themeColor="text1"/>
          <w:sz w:val="24"/>
          <w:szCs w:val="24"/>
        </w:rPr>
        <w:t xml:space="preserve"> karnej pozostałych oświadczeń FATCA („zwykłych" oświadczeń FATCA odbieranych od nowych klientów), bo tych oświadczeń nie dotyczy art. 19 ust. 5 ustawy FATCA.</w:t>
      </w:r>
    </w:p>
    <w:p w14:paraId="3BB517BE" w14:textId="78FA9F63" w:rsidR="00021378" w:rsidRPr="00EB304C" w:rsidRDefault="00021378"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Jednocześnie z uzasadnienia do ustawy zmieniającej wynika, że celem ustawodawcy było objęcie wymogiem opatrzenia klauzulą wszystkich oświadczeń FATCA i CRS. Ponadto należy wskazać, że niektóre instytucje finansowe mogą zbie</w:t>
      </w:r>
      <w:r w:rsidR="00936D84" w:rsidRPr="00EB304C">
        <w:rPr>
          <w:rFonts w:ascii="Times New Roman" w:hAnsi="Times New Roman" w:cs="Times New Roman"/>
          <w:color w:val="000000" w:themeColor="text1"/>
          <w:sz w:val="24"/>
          <w:szCs w:val="24"/>
        </w:rPr>
        <w:t>rać oświadczenia FATCA i CRS na </w:t>
      </w:r>
      <w:r w:rsidRPr="00EB304C">
        <w:rPr>
          <w:rFonts w:ascii="Times New Roman" w:hAnsi="Times New Roman" w:cs="Times New Roman"/>
          <w:color w:val="000000" w:themeColor="text1"/>
          <w:sz w:val="24"/>
          <w:szCs w:val="24"/>
        </w:rPr>
        <w:t>jednym formularzu.</w:t>
      </w:r>
    </w:p>
    <w:p w14:paraId="2D5C9729" w14:textId="7699589E" w:rsidR="00021378" w:rsidRPr="00EB304C" w:rsidRDefault="00021378" w:rsidP="00507007">
      <w:pPr>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color w:val="000000" w:themeColor="text1"/>
          <w:sz w:val="24"/>
          <w:szCs w:val="24"/>
        </w:rPr>
        <w:t xml:space="preserve">Z uzasadnienia do nowelizacji ustawy: </w:t>
      </w:r>
    </w:p>
    <w:p w14:paraId="541FD024" w14:textId="77777777" w:rsidR="00021378" w:rsidRPr="00EB304C" w:rsidRDefault="00021378" w:rsidP="00507007">
      <w:pPr>
        <w:spacing w:before="120" w:after="0" w:line="360" w:lineRule="auto"/>
        <w:jc w:val="both"/>
        <w:rPr>
          <w:rFonts w:ascii="Times New Roman" w:hAnsi="Times New Roman" w:cs="Times New Roman"/>
          <w:i/>
          <w:color w:val="000000" w:themeColor="text1"/>
          <w:sz w:val="24"/>
          <w:szCs w:val="24"/>
        </w:rPr>
      </w:pPr>
      <w:r w:rsidRPr="00EB304C">
        <w:rPr>
          <w:rFonts w:ascii="Times New Roman" w:hAnsi="Times New Roman" w:cs="Times New Roman"/>
          <w:i/>
          <w:color w:val="000000" w:themeColor="text1"/>
          <w:sz w:val="24"/>
          <w:szCs w:val="24"/>
        </w:rPr>
        <w:t>„Odpowiedzialność za składanie fałszywych oświadczeń</w:t>
      </w:r>
    </w:p>
    <w:p w14:paraId="4F8F00AF" w14:textId="41C1999E" w:rsidR="002E2BE7" w:rsidRPr="00EB304C" w:rsidRDefault="00021378" w:rsidP="00507007">
      <w:pPr>
        <w:spacing w:before="120" w:after="0" w:line="360" w:lineRule="auto"/>
        <w:jc w:val="both"/>
        <w:rPr>
          <w:rFonts w:ascii="Times New Roman" w:hAnsi="Times New Roman" w:cs="Times New Roman"/>
          <w:i/>
          <w:color w:val="000000" w:themeColor="text1"/>
          <w:sz w:val="24"/>
          <w:szCs w:val="24"/>
        </w:rPr>
      </w:pPr>
      <w:r w:rsidRPr="00EB304C">
        <w:rPr>
          <w:rFonts w:ascii="Times New Roman" w:hAnsi="Times New Roman" w:cs="Times New Roman"/>
          <w:i/>
          <w:color w:val="000000" w:themeColor="text1"/>
          <w:sz w:val="24"/>
          <w:szCs w:val="24"/>
        </w:rPr>
        <w:t xml:space="preserve">W proponowanym brzmieniu art. 19 ust. 5 proponuje się wprowadzenie wymogu składania oświadczenia posiadacza rachunku, o którym mowa w art. 19 ust. 1, pod rygorem odpowiedzialności karnej za podanie danych niezgodnych ze stanem faktycznym. Oświadczenia te winny zostać opatrzone klauzulą o następującej treści: „Jestem świadomy odpowiedzialności karnej za złożenie fałszywego oświadczenia.”. Należy zauważyć, że w wyniku wprowadzonej zmiany składane oświadczenie będzie spójne z klauzulą zawartą na formularzach W-8 i W-9 </w:t>
      </w:r>
      <w:r w:rsidRPr="00EB304C">
        <w:rPr>
          <w:rFonts w:ascii="Times New Roman" w:hAnsi="Times New Roman" w:cs="Times New Roman"/>
          <w:b/>
          <w:i/>
          <w:color w:val="000000" w:themeColor="text1"/>
          <w:sz w:val="24"/>
          <w:szCs w:val="24"/>
          <w:u w:val="single"/>
        </w:rPr>
        <w:t>oraz z analogiczną zmianą dla celów automatycznej wymiany informacji podatkowych.</w:t>
      </w:r>
      <w:r w:rsidRPr="00EB304C">
        <w:rPr>
          <w:rFonts w:ascii="Times New Roman" w:hAnsi="Times New Roman" w:cs="Times New Roman"/>
          <w:i/>
          <w:color w:val="000000" w:themeColor="text1"/>
          <w:sz w:val="24"/>
          <w:szCs w:val="24"/>
        </w:rPr>
        <w:t xml:space="preserve"> Przy czym zgodnie z proponowanym przepisem wymóg pouczenia o odpowiedzialności karnej za składanie fałszywych zeznań uważa się za spełniony także w przypadku oświadc</w:t>
      </w:r>
      <w:r w:rsidR="00936D84" w:rsidRPr="00EB304C">
        <w:rPr>
          <w:rFonts w:ascii="Times New Roman" w:hAnsi="Times New Roman" w:cs="Times New Roman"/>
          <w:i/>
          <w:color w:val="000000" w:themeColor="text1"/>
          <w:sz w:val="24"/>
          <w:szCs w:val="24"/>
        </w:rPr>
        <w:t xml:space="preserve">zeń </w:t>
      </w:r>
      <w:r w:rsidR="00936D84" w:rsidRPr="00EB304C">
        <w:rPr>
          <w:rFonts w:ascii="Times New Roman" w:hAnsi="Times New Roman" w:cs="Times New Roman"/>
          <w:i/>
          <w:color w:val="000000" w:themeColor="text1"/>
          <w:sz w:val="24"/>
          <w:szCs w:val="24"/>
        </w:rPr>
        <w:lastRenderedPageBreak/>
        <w:t>o </w:t>
      </w:r>
      <w:r w:rsidRPr="00EB304C">
        <w:rPr>
          <w:rFonts w:ascii="Times New Roman" w:hAnsi="Times New Roman" w:cs="Times New Roman"/>
          <w:i/>
          <w:color w:val="000000" w:themeColor="text1"/>
          <w:sz w:val="24"/>
          <w:szCs w:val="24"/>
        </w:rPr>
        <w:t>odpowiedzialności za składanie fałszywych zeznań składany</w:t>
      </w:r>
      <w:r w:rsidR="00936D84" w:rsidRPr="00EB304C">
        <w:rPr>
          <w:rFonts w:ascii="Times New Roman" w:hAnsi="Times New Roman" w:cs="Times New Roman"/>
          <w:i/>
          <w:color w:val="000000" w:themeColor="text1"/>
          <w:sz w:val="24"/>
          <w:szCs w:val="24"/>
        </w:rPr>
        <w:t>ch na formularzach W-8 i W-9, o </w:t>
      </w:r>
      <w:r w:rsidRPr="00EB304C">
        <w:rPr>
          <w:rFonts w:ascii="Times New Roman" w:hAnsi="Times New Roman" w:cs="Times New Roman"/>
          <w:i/>
          <w:color w:val="000000" w:themeColor="text1"/>
          <w:sz w:val="24"/>
          <w:szCs w:val="24"/>
        </w:rPr>
        <w:t>których mowa w umowie FATCA oraz załączniku I do tej umowy”</w:t>
      </w:r>
      <w:r w:rsidRPr="00EB304C">
        <w:rPr>
          <w:rStyle w:val="Odwoanieprzypisudolnego"/>
          <w:rFonts w:ascii="Times New Roman" w:hAnsi="Times New Roman" w:cs="Times New Roman"/>
          <w:i/>
          <w:color w:val="000000" w:themeColor="text1"/>
          <w:sz w:val="24"/>
          <w:szCs w:val="24"/>
        </w:rPr>
        <w:footnoteReference w:id="6"/>
      </w:r>
      <w:r w:rsidRPr="00EB304C">
        <w:rPr>
          <w:rFonts w:ascii="Times New Roman" w:hAnsi="Times New Roman" w:cs="Times New Roman"/>
          <w:i/>
          <w:color w:val="000000" w:themeColor="text1"/>
          <w:sz w:val="24"/>
          <w:szCs w:val="24"/>
        </w:rPr>
        <w:t>.</w:t>
      </w:r>
    </w:p>
    <w:p w14:paraId="49BDE050" w14:textId="3B2F1798" w:rsidR="002E2BE7" w:rsidRPr="006815B9" w:rsidRDefault="002E2BE7" w:rsidP="00507007">
      <w:pPr>
        <w:pStyle w:val="Akapitzlist"/>
        <w:numPr>
          <w:ilvl w:val="0"/>
          <w:numId w:val="16"/>
        </w:numPr>
        <w:spacing w:before="120" w:after="0" w:line="360" w:lineRule="auto"/>
        <w:jc w:val="both"/>
        <w:rPr>
          <w:rFonts w:ascii="Times New Roman" w:hAnsi="Times New Roman" w:cs="Times New Roman"/>
          <w:i/>
          <w:color w:val="000000" w:themeColor="text1"/>
          <w:sz w:val="24"/>
          <w:szCs w:val="24"/>
        </w:rPr>
      </w:pPr>
      <w:r w:rsidRPr="00EB304C">
        <w:rPr>
          <w:rFonts w:ascii="Times New Roman" w:hAnsi="Times New Roman" w:cs="Times New Roman"/>
          <w:b/>
          <w:color w:val="000000" w:themeColor="text1"/>
          <w:sz w:val="24"/>
          <w:szCs w:val="24"/>
        </w:rPr>
        <w:t xml:space="preserve">Art. </w:t>
      </w:r>
      <w:r w:rsidR="005D4E1A" w:rsidRPr="00EB304C">
        <w:rPr>
          <w:rFonts w:ascii="Times New Roman" w:hAnsi="Times New Roman" w:cs="Times New Roman"/>
          <w:b/>
          <w:color w:val="000000" w:themeColor="text1"/>
          <w:sz w:val="24"/>
          <w:szCs w:val="24"/>
        </w:rPr>
        <w:t>10a</w:t>
      </w:r>
    </w:p>
    <w:p w14:paraId="1732FC03" w14:textId="2B832FD0" w:rsidR="00E254E2" w:rsidRPr="00EB304C" w:rsidRDefault="002E2BE7" w:rsidP="00507007">
      <w:pPr>
        <w:spacing w:before="120" w:after="0" w:line="360" w:lineRule="auto"/>
        <w:jc w:val="both"/>
      </w:pPr>
      <w:r w:rsidRPr="00EB304C">
        <w:rPr>
          <w:rFonts w:ascii="Times New Roman" w:hAnsi="Times New Roman" w:cs="Times New Roman"/>
          <w:color w:val="000000" w:themeColor="text1"/>
          <w:sz w:val="24"/>
          <w:szCs w:val="24"/>
        </w:rPr>
        <w:t xml:space="preserve">W kontekście art. 10a zob. </w:t>
      </w:r>
      <w:r w:rsidR="00D048EF">
        <w:rPr>
          <w:rFonts w:ascii="Times New Roman" w:hAnsi="Times New Roman" w:cs="Times New Roman"/>
          <w:color w:val="000000" w:themeColor="text1"/>
          <w:sz w:val="24"/>
          <w:szCs w:val="24"/>
        </w:rPr>
        <w:t xml:space="preserve">projektowany </w:t>
      </w:r>
      <w:r w:rsidRPr="00EB304C">
        <w:rPr>
          <w:rFonts w:ascii="Times New Roman" w:hAnsi="Times New Roman" w:cs="Times New Roman"/>
          <w:color w:val="000000" w:themeColor="text1"/>
          <w:sz w:val="24"/>
          <w:szCs w:val="24"/>
        </w:rPr>
        <w:t>art. 71a uWIP.</w:t>
      </w:r>
    </w:p>
    <w:p w14:paraId="41685AB4" w14:textId="75896DF6" w:rsidR="00193B5C" w:rsidRPr="00EB304C" w:rsidRDefault="001A0277" w:rsidP="00507007">
      <w:pPr>
        <w:pBdr>
          <w:top w:val="nil"/>
          <w:left w:val="nil"/>
          <w:bottom w:val="nil"/>
          <w:right w:val="nil"/>
          <w:between w:val="nil"/>
          <w:bar w:val="nil"/>
        </w:pBdr>
        <w:spacing w:before="120" w:after="0" w:line="360" w:lineRule="auto"/>
        <w:jc w:val="both"/>
        <w:rPr>
          <w:rFonts w:ascii="Times New Roman" w:hAnsi="Times New Roman" w:cs="Times New Roman"/>
          <w:b/>
          <w:sz w:val="24"/>
          <w:szCs w:val="24"/>
        </w:rPr>
      </w:pPr>
      <w:r>
        <w:rPr>
          <w:rFonts w:ascii="Times New Roman" w:hAnsi="Times New Roman" w:cs="Times New Roman"/>
          <w:b/>
          <w:sz w:val="24"/>
          <w:szCs w:val="24"/>
        </w:rPr>
        <w:t>E</w:t>
      </w:r>
      <w:r w:rsidR="00C41BBA" w:rsidRPr="00EB304C">
        <w:rPr>
          <w:rFonts w:ascii="Times New Roman" w:hAnsi="Times New Roman" w:cs="Times New Roman"/>
          <w:b/>
          <w:sz w:val="24"/>
          <w:szCs w:val="24"/>
        </w:rPr>
        <w:t xml:space="preserve">. </w:t>
      </w:r>
      <w:r w:rsidR="00193B5C" w:rsidRPr="00EB304C">
        <w:rPr>
          <w:rFonts w:ascii="Times New Roman" w:hAnsi="Times New Roman" w:cs="Times New Roman"/>
          <w:b/>
          <w:sz w:val="24"/>
          <w:szCs w:val="24"/>
        </w:rPr>
        <w:t>Ustawa</w:t>
      </w:r>
      <w:r w:rsidR="00BD37AB" w:rsidRPr="00EB304C">
        <w:rPr>
          <w:rFonts w:ascii="Times New Roman" w:hAnsi="Times New Roman" w:cs="Times New Roman"/>
          <w:b/>
          <w:sz w:val="24"/>
          <w:szCs w:val="24"/>
        </w:rPr>
        <w:t xml:space="preserve"> </w:t>
      </w:r>
      <w:r w:rsidR="00193B5C" w:rsidRPr="00EB304C">
        <w:rPr>
          <w:rFonts w:ascii="Times New Roman" w:hAnsi="Times New Roman" w:cs="Times New Roman"/>
          <w:b/>
          <w:sz w:val="24"/>
          <w:szCs w:val="24"/>
        </w:rPr>
        <w:t>o Krajowej Administracji Skarbowej</w:t>
      </w:r>
      <w:r w:rsidR="00BD37AB" w:rsidRPr="00EB304C">
        <w:rPr>
          <w:rFonts w:ascii="Times New Roman" w:hAnsi="Times New Roman" w:cs="Times New Roman"/>
          <w:b/>
          <w:sz w:val="24"/>
          <w:szCs w:val="24"/>
        </w:rPr>
        <w:t xml:space="preserve"> </w:t>
      </w:r>
    </w:p>
    <w:p w14:paraId="5B6C81C8" w14:textId="10405A32" w:rsidR="00193B5C" w:rsidRPr="00EB304C" w:rsidRDefault="00193B5C" w:rsidP="00507007">
      <w:pPr>
        <w:pBdr>
          <w:top w:val="nil"/>
          <w:left w:val="nil"/>
          <w:bottom w:val="nil"/>
          <w:right w:val="nil"/>
          <w:between w:val="nil"/>
          <w:bar w:val="nil"/>
        </w:pBdr>
        <w:spacing w:before="120" w:after="0" w:line="360" w:lineRule="auto"/>
        <w:ind w:firstLine="284"/>
        <w:jc w:val="both"/>
        <w:rPr>
          <w:rFonts w:ascii="Times New Roman" w:hAnsi="Times New Roman" w:cs="Times New Roman"/>
          <w:b/>
          <w:sz w:val="24"/>
          <w:szCs w:val="24"/>
        </w:rPr>
      </w:pPr>
      <w:r w:rsidRPr="00EB304C">
        <w:rPr>
          <w:rFonts w:ascii="Times New Roman" w:hAnsi="Times New Roman" w:cs="Times New Roman"/>
          <w:b/>
          <w:sz w:val="24"/>
          <w:szCs w:val="24"/>
        </w:rPr>
        <w:t>•</w:t>
      </w:r>
      <w:r w:rsidRPr="00EB304C">
        <w:rPr>
          <w:rFonts w:ascii="Times New Roman" w:hAnsi="Times New Roman" w:cs="Times New Roman"/>
          <w:b/>
          <w:sz w:val="24"/>
          <w:szCs w:val="24"/>
        </w:rPr>
        <w:tab/>
      </w:r>
      <w:r w:rsidR="00F0452C" w:rsidRPr="00EB304C">
        <w:rPr>
          <w:rFonts w:ascii="Times New Roman" w:hAnsi="Times New Roman" w:cs="Times New Roman"/>
          <w:b/>
          <w:sz w:val="24"/>
          <w:szCs w:val="24"/>
        </w:rPr>
        <w:t>A</w:t>
      </w:r>
      <w:r w:rsidRPr="00EB304C">
        <w:rPr>
          <w:rFonts w:ascii="Times New Roman" w:hAnsi="Times New Roman" w:cs="Times New Roman"/>
          <w:b/>
          <w:sz w:val="24"/>
          <w:szCs w:val="24"/>
        </w:rPr>
        <w:t>rt. 88 ust. 3</w:t>
      </w:r>
      <w:r w:rsidR="00964674" w:rsidRPr="00EB304C">
        <w:rPr>
          <w:rFonts w:ascii="Times New Roman" w:hAnsi="Times New Roman" w:cs="Times New Roman"/>
          <w:b/>
          <w:sz w:val="24"/>
          <w:szCs w:val="24"/>
        </w:rPr>
        <w:t xml:space="preserve"> (zmiana terminów – kontrole jednoczesne)</w:t>
      </w:r>
    </w:p>
    <w:p w14:paraId="072813C0" w14:textId="73E98BAC" w:rsidR="004536E8" w:rsidRPr="00EB304C" w:rsidRDefault="00193B5C" w:rsidP="00507007">
      <w:pPr>
        <w:keepNext/>
        <w:spacing w:before="120" w:after="0" w:line="360" w:lineRule="auto"/>
        <w:jc w:val="both"/>
        <w:rPr>
          <w:rFonts w:ascii="Times New Roman" w:hAnsi="Times New Roman" w:cs="Times New Roman"/>
          <w:color w:val="000000" w:themeColor="text1"/>
          <w:sz w:val="24"/>
          <w:szCs w:val="24"/>
        </w:rPr>
      </w:pPr>
      <w:r w:rsidRPr="00EB304C">
        <w:rPr>
          <w:rFonts w:ascii="Times New Roman" w:hAnsi="Times New Roman" w:cs="Times New Roman"/>
          <w:sz w:val="24"/>
          <w:szCs w:val="24"/>
        </w:rPr>
        <w:t>Przepis reguluje instytucję kontroli jednoczesnych</w:t>
      </w:r>
      <w:r w:rsidR="00D057EB">
        <w:rPr>
          <w:rFonts w:ascii="Times New Roman" w:hAnsi="Times New Roman" w:cs="Times New Roman"/>
          <w:sz w:val="24"/>
          <w:szCs w:val="24"/>
        </w:rPr>
        <w:t>,</w:t>
      </w:r>
      <w:r w:rsidRPr="00EB304C">
        <w:rPr>
          <w:rFonts w:ascii="Times New Roman" w:hAnsi="Times New Roman" w:cs="Times New Roman"/>
          <w:sz w:val="24"/>
          <w:szCs w:val="24"/>
        </w:rPr>
        <w:t xml:space="preserve"> tj. kontroli prowadzonych równocześnie w</w:t>
      </w:r>
      <w:r w:rsidR="00D9321F" w:rsidRPr="00EB304C">
        <w:rPr>
          <w:rFonts w:ascii="Times New Roman" w:hAnsi="Times New Roman" w:cs="Times New Roman"/>
          <w:sz w:val="24"/>
          <w:szCs w:val="24"/>
        </w:rPr>
        <w:t> </w:t>
      </w:r>
      <w:r w:rsidRPr="00EB304C">
        <w:rPr>
          <w:rFonts w:ascii="Times New Roman" w:hAnsi="Times New Roman" w:cs="Times New Roman"/>
          <w:sz w:val="24"/>
          <w:szCs w:val="24"/>
        </w:rPr>
        <w:t>Polsce oraz w innym państwie dotyczących jedne</w:t>
      </w:r>
      <w:r w:rsidR="005D4E1A" w:rsidRPr="00EB304C">
        <w:rPr>
          <w:rFonts w:ascii="Times New Roman" w:hAnsi="Times New Roman" w:cs="Times New Roman"/>
          <w:sz w:val="24"/>
          <w:szCs w:val="24"/>
        </w:rPr>
        <w:t>go</w:t>
      </w:r>
      <w:r w:rsidRPr="00EB304C">
        <w:rPr>
          <w:rFonts w:ascii="Times New Roman" w:hAnsi="Times New Roman" w:cs="Times New Roman"/>
          <w:sz w:val="24"/>
          <w:szCs w:val="24"/>
        </w:rPr>
        <w:t xml:space="preserve"> lub większej liczby </w:t>
      </w:r>
      <w:r w:rsidR="005D4E1A" w:rsidRPr="00EB304C">
        <w:rPr>
          <w:rFonts w:ascii="Times New Roman" w:hAnsi="Times New Roman" w:cs="Times New Roman"/>
          <w:sz w:val="24"/>
          <w:szCs w:val="24"/>
        </w:rPr>
        <w:t>podmiotów</w:t>
      </w:r>
      <w:r w:rsidRPr="00EB304C">
        <w:rPr>
          <w:rFonts w:ascii="Times New Roman" w:hAnsi="Times New Roman" w:cs="Times New Roman"/>
          <w:sz w:val="24"/>
          <w:szCs w:val="24"/>
        </w:rPr>
        <w:t>. Zmieniony art. 88 ust. 3 ustawy o KAS stanowi, że w przypadku gdy obca władza wystąpiła o</w:t>
      </w:r>
      <w:r w:rsidR="00D9321F" w:rsidRPr="00EB304C">
        <w:rPr>
          <w:rFonts w:ascii="Times New Roman" w:hAnsi="Times New Roman" w:cs="Times New Roman"/>
          <w:sz w:val="24"/>
          <w:szCs w:val="24"/>
        </w:rPr>
        <w:t> </w:t>
      </w:r>
      <w:r w:rsidRPr="00EB304C">
        <w:rPr>
          <w:rFonts w:ascii="Times New Roman" w:hAnsi="Times New Roman" w:cs="Times New Roman"/>
          <w:sz w:val="24"/>
          <w:szCs w:val="24"/>
        </w:rPr>
        <w:t>przeprowadzenie kontroli jednoczesnej, minister właściwy do spraw finansów publicznych potwierdza przystąpienie do kontroli albo odmawia przeprowadzenia kontroli, uzasadniając przyczynę odmowy, bezzwłocznie, jednak nie później niż w terminie 60 dni od dnia otrzymania wniosku o przeprowadzenie takiej kontroli.</w:t>
      </w:r>
      <w:r w:rsidR="000C41C7" w:rsidRPr="00EB304C">
        <w:rPr>
          <w:rFonts w:ascii="Times New Roman" w:hAnsi="Times New Roman" w:cs="Times New Roman"/>
          <w:sz w:val="24"/>
          <w:szCs w:val="24"/>
        </w:rPr>
        <w:t xml:space="preserve"> Art. 88 ust. 3 ustawy </w:t>
      </w:r>
      <w:r w:rsidR="00596C37" w:rsidRPr="00EB304C">
        <w:rPr>
          <w:rFonts w:ascii="Times New Roman" w:hAnsi="Times New Roman" w:cs="Times New Roman"/>
          <w:sz w:val="24"/>
          <w:szCs w:val="24"/>
        </w:rPr>
        <w:t>o KAS s</w:t>
      </w:r>
      <w:r w:rsidR="000C41C7" w:rsidRPr="00EB304C">
        <w:rPr>
          <w:rFonts w:ascii="Times New Roman" w:hAnsi="Times New Roman" w:cs="Times New Roman"/>
          <w:sz w:val="24"/>
          <w:szCs w:val="24"/>
        </w:rPr>
        <w:t xml:space="preserve">tanowi implementację art. 12 ust. 3 </w:t>
      </w:r>
      <w:r w:rsidR="00D048EF">
        <w:rPr>
          <w:rFonts w:ascii="Times New Roman" w:hAnsi="Times New Roman" w:cs="Times New Roman"/>
          <w:sz w:val="24"/>
          <w:szCs w:val="24"/>
        </w:rPr>
        <w:t>d</w:t>
      </w:r>
      <w:r w:rsidR="000C41C7" w:rsidRPr="00EB304C">
        <w:rPr>
          <w:rFonts w:ascii="Times New Roman" w:hAnsi="Times New Roman" w:cs="Times New Roman"/>
          <w:sz w:val="24"/>
          <w:szCs w:val="24"/>
        </w:rPr>
        <w:t>yrektywy.</w:t>
      </w:r>
    </w:p>
    <w:p w14:paraId="10C30646" w14:textId="108C35C2" w:rsidR="00E254E2" w:rsidRPr="00EB304C" w:rsidRDefault="001A0277" w:rsidP="00507007">
      <w:pPr>
        <w:keepNext/>
        <w:spacing w:before="120" w:after="0" w:line="360" w:lineRule="auto"/>
        <w:jc w:val="both"/>
        <w:rPr>
          <w:rFonts w:ascii="Times New Roman" w:hAnsi="Times New Roman" w:cs="Times New Roman"/>
          <w:b/>
          <w:color w:val="000000" w:themeColor="text1"/>
          <w:sz w:val="24"/>
          <w:szCs w:val="24"/>
        </w:rPr>
      </w:pPr>
      <w:r>
        <w:rPr>
          <w:rFonts w:ascii="Times New Roman" w:hAnsi="Times New Roman" w:cs="Times New Roman"/>
          <w:b/>
          <w:sz w:val="24"/>
          <w:szCs w:val="24"/>
        </w:rPr>
        <w:t>F</w:t>
      </w:r>
      <w:r w:rsidR="00C41BBA" w:rsidRPr="00EB304C">
        <w:rPr>
          <w:rFonts w:ascii="Times New Roman" w:hAnsi="Times New Roman" w:cs="Times New Roman"/>
          <w:b/>
          <w:sz w:val="24"/>
          <w:szCs w:val="24"/>
        </w:rPr>
        <w:t xml:space="preserve">. </w:t>
      </w:r>
      <w:r w:rsidR="00E254E2" w:rsidRPr="00EB304C">
        <w:rPr>
          <w:rFonts w:ascii="Times New Roman" w:hAnsi="Times New Roman" w:cs="Times New Roman"/>
          <w:b/>
          <w:sz w:val="24"/>
          <w:szCs w:val="24"/>
        </w:rPr>
        <w:t xml:space="preserve">Dostosowanie do zmian wynikających z </w:t>
      </w:r>
      <w:r w:rsidR="00817FAB" w:rsidRPr="00EB304C">
        <w:rPr>
          <w:rFonts w:ascii="Times New Roman" w:hAnsi="Times New Roman" w:cs="Times New Roman"/>
          <w:b/>
          <w:sz w:val="24"/>
          <w:szCs w:val="24"/>
        </w:rPr>
        <w:t>u</w:t>
      </w:r>
      <w:r w:rsidR="00E254E2" w:rsidRPr="00EB304C">
        <w:rPr>
          <w:rFonts w:ascii="Times New Roman" w:hAnsi="Times New Roman" w:cs="Times New Roman"/>
          <w:b/>
          <w:sz w:val="24"/>
          <w:szCs w:val="24"/>
        </w:rPr>
        <w:t xml:space="preserve">stawy </w:t>
      </w:r>
      <w:r w:rsidR="00D048EF">
        <w:rPr>
          <w:rFonts w:ascii="Times New Roman" w:hAnsi="Times New Roman" w:cs="Times New Roman"/>
          <w:b/>
          <w:sz w:val="24"/>
          <w:szCs w:val="24"/>
        </w:rPr>
        <w:t xml:space="preserve">z dnia 18 listopada 2020 r. </w:t>
      </w:r>
      <w:r w:rsidR="00E254E2" w:rsidRPr="00EB304C">
        <w:rPr>
          <w:rFonts w:ascii="Times New Roman" w:hAnsi="Times New Roman" w:cs="Times New Roman"/>
          <w:b/>
          <w:sz w:val="24"/>
          <w:szCs w:val="24"/>
        </w:rPr>
        <w:t>o doręczeniach elektronicznych</w:t>
      </w:r>
      <w:r w:rsidR="00D048EF">
        <w:rPr>
          <w:rFonts w:ascii="Times New Roman" w:hAnsi="Times New Roman" w:cs="Times New Roman"/>
          <w:b/>
          <w:sz w:val="24"/>
          <w:szCs w:val="24"/>
        </w:rPr>
        <w:t xml:space="preserve"> (Dz. U. z 2023 r. poz. 285, z późn. zm.)</w:t>
      </w:r>
    </w:p>
    <w:p w14:paraId="5BA773E9" w14:textId="785533E7" w:rsidR="00E254E2" w:rsidRPr="00EB304C" w:rsidRDefault="00E254E2" w:rsidP="00507007">
      <w:pPr>
        <w:keepNext/>
        <w:spacing w:before="120" w:after="0" w:line="360" w:lineRule="auto"/>
        <w:jc w:val="both"/>
      </w:pPr>
      <w:r w:rsidRPr="00EB304C">
        <w:rPr>
          <w:rFonts w:ascii="Times New Roman" w:hAnsi="Times New Roman" w:cs="Times New Roman"/>
          <w:color w:val="000000" w:themeColor="text1"/>
          <w:sz w:val="24"/>
          <w:szCs w:val="24"/>
        </w:rPr>
        <w:t xml:space="preserve">Projekt ustawy przewiduje wprowadzenie zmian w ustawie o wymianie informacji podatkowych z innymi państwami, a także </w:t>
      </w:r>
      <w:r w:rsidR="00367C8E">
        <w:rPr>
          <w:rFonts w:ascii="Times New Roman" w:hAnsi="Times New Roman" w:cs="Times New Roman"/>
          <w:color w:val="000000" w:themeColor="text1"/>
          <w:sz w:val="24"/>
          <w:szCs w:val="24"/>
        </w:rPr>
        <w:t xml:space="preserve">w </w:t>
      </w:r>
      <w:r w:rsidR="00923B12" w:rsidRPr="00EB304C">
        <w:rPr>
          <w:rFonts w:ascii="Times New Roman" w:hAnsi="Times New Roman" w:cs="Times New Roman"/>
          <w:color w:val="000000" w:themeColor="text1"/>
          <w:sz w:val="24"/>
          <w:szCs w:val="24"/>
        </w:rPr>
        <w:t>u</w:t>
      </w:r>
      <w:r w:rsidR="00936D84" w:rsidRPr="00EB304C">
        <w:rPr>
          <w:rFonts w:ascii="Times New Roman" w:hAnsi="Times New Roman" w:cs="Times New Roman"/>
          <w:color w:val="000000" w:themeColor="text1"/>
          <w:sz w:val="24"/>
          <w:szCs w:val="24"/>
        </w:rPr>
        <w:t xml:space="preserve">stawie </w:t>
      </w:r>
      <w:r w:rsidRPr="00EB304C">
        <w:rPr>
          <w:rFonts w:ascii="Times New Roman" w:hAnsi="Times New Roman" w:cs="Times New Roman"/>
          <w:color w:val="000000" w:themeColor="text1"/>
          <w:sz w:val="24"/>
          <w:szCs w:val="24"/>
        </w:rPr>
        <w:t xml:space="preserve">FATCA mających na celu dostosowanie do siatki pojęciowej wynikającej ze zmian wprowadzonych w szeregu ustaw w wyniku wejścia w życie </w:t>
      </w:r>
      <w:r w:rsidR="00923B12" w:rsidRPr="00EB304C">
        <w:rPr>
          <w:rFonts w:ascii="Times New Roman" w:hAnsi="Times New Roman" w:cs="Times New Roman"/>
          <w:color w:val="000000" w:themeColor="text1"/>
          <w:sz w:val="24"/>
          <w:szCs w:val="24"/>
        </w:rPr>
        <w:t>u</w:t>
      </w:r>
      <w:r w:rsidR="00936D84" w:rsidRPr="00EB304C">
        <w:rPr>
          <w:rFonts w:ascii="Times New Roman" w:hAnsi="Times New Roman" w:cs="Times New Roman"/>
          <w:color w:val="000000" w:themeColor="text1"/>
          <w:sz w:val="24"/>
          <w:szCs w:val="24"/>
        </w:rPr>
        <w:t xml:space="preserve">stawy </w:t>
      </w:r>
      <w:r w:rsidR="00D048EF">
        <w:rPr>
          <w:rFonts w:ascii="Times New Roman" w:hAnsi="Times New Roman" w:cs="Times New Roman"/>
          <w:color w:val="000000" w:themeColor="text1"/>
          <w:sz w:val="24"/>
          <w:szCs w:val="24"/>
        </w:rPr>
        <w:t xml:space="preserve">z dnia 18 listopada 2020 r. </w:t>
      </w:r>
      <w:r w:rsidR="00936D84" w:rsidRPr="00EB304C">
        <w:rPr>
          <w:rFonts w:ascii="Times New Roman" w:hAnsi="Times New Roman" w:cs="Times New Roman"/>
          <w:color w:val="000000" w:themeColor="text1"/>
          <w:sz w:val="24"/>
          <w:szCs w:val="24"/>
        </w:rPr>
        <w:t>o </w:t>
      </w:r>
      <w:r w:rsidRPr="00EB304C">
        <w:rPr>
          <w:rFonts w:ascii="Times New Roman" w:hAnsi="Times New Roman" w:cs="Times New Roman"/>
          <w:color w:val="000000" w:themeColor="text1"/>
          <w:sz w:val="24"/>
          <w:szCs w:val="24"/>
        </w:rPr>
        <w:t xml:space="preserve">doręczeniach elektronicznych. </w:t>
      </w:r>
    </w:p>
    <w:p w14:paraId="53528CFA" w14:textId="77B52E09" w:rsidR="000706A5" w:rsidRPr="00BF1D2D" w:rsidRDefault="00136A95" w:rsidP="00507007">
      <w:pPr>
        <w:pStyle w:val="ZUSTzmustartykuempunktem"/>
        <w:numPr>
          <w:ilvl w:val="0"/>
          <w:numId w:val="35"/>
        </w:numPr>
        <w:spacing w:before="120"/>
        <w:rPr>
          <w:rFonts w:ascii="Times New Roman" w:hAnsi="Times New Roman" w:cs="Times New Roman"/>
          <w:b/>
        </w:rPr>
      </w:pPr>
      <w:r w:rsidRPr="00EB304C">
        <w:rPr>
          <w:rFonts w:ascii="Times New Roman" w:hAnsi="Times New Roman" w:cs="Times New Roman"/>
          <w:b/>
        </w:rPr>
        <w:t xml:space="preserve">Przepisy </w:t>
      </w:r>
      <w:r w:rsidR="002C20D3">
        <w:rPr>
          <w:rFonts w:ascii="Times New Roman" w:hAnsi="Times New Roman" w:cs="Times New Roman"/>
          <w:b/>
        </w:rPr>
        <w:t xml:space="preserve">przejściowe i przepis </w:t>
      </w:r>
      <w:r w:rsidRPr="00EB304C">
        <w:rPr>
          <w:rFonts w:ascii="Times New Roman" w:hAnsi="Times New Roman" w:cs="Times New Roman"/>
          <w:b/>
        </w:rPr>
        <w:t>końcow</w:t>
      </w:r>
      <w:r w:rsidR="002C20D3">
        <w:rPr>
          <w:rFonts w:ascii="Times New Roman" w:hAnsi="Times New Roman" w:cs="Times New Roman"/>
          <w:b/>
        </w:rPr>
        <w:t>y</w:t>
      </w:r>
    </w:p>
    <w:p w14:paraId="784D9D6C" w14:textId="07487AF1" w:rsidR="009A4B07" w:rsidRPr="00EB304C" w:rsidRDefault="009A4B07" w:rsidP="00507007">
      <w:pPr>
        <w:spacing w:before="120" w:after="0" w:line="360" w:lineRule="auto"/>
        <w:jc w:val="both"/>
      </w:pPr>
      <w:r w:rsidRPr="00EB304C">
        <w:rPr>
          <w:rFonts w:ascii="Times New Roman" w:hAnsi="Times New Roman" w:cs="Times New Roman"/>
          <w:sz w:val="24"/>
          <w:szCs w:val="24"/>
        </w:rPr>
        <w:t xml:space="preserve">Art. </w:t>
      </w:r>
      <w:r w:rsidR="00A357C5">
        <w:rPr>
          <w:rFonts w:ascii="Times New Roman" w:hAnsi="Times New Roman" w:cs="Times New Roman"/>
          <w:sz w:val="24"/>
          <w:szCs w:val="24"/>
        </w:rPr>
        <w:t>8</w:t>
      </w:r>
      <w:r w:rsidRPr="00EB304C">
        <w:rPr>
          <w:rFonts w:ascii="Times New Roman" w:hAnsi="Times New Roman" w:cs="Times New Roman"/>
          <w:sz w:val="24"/>
          <w:szCs w:val="24"/>
        </w:rPr>
        <w:t xml:space="preserve"> określa, że raportujący operator platformy jest obowiązany dopełnić procedur należytej staranności do dnia 31 grudnia 2024 r. w przypadku sprzedawców, którzy byli zarejestrowani na platformie na dzień </w:t>
      </w:r>
      <w:r w:rsidRPr="00EB304C">
        <w:rPr>
          <w:rFonts w:ascii="Times New Roman" w:hAnsi="Times New Roman" w:cs="Times New Roman"/>
          <w:bCs/>
          <w:sz w:val="24"/>
          <w:szCs w:val="24"/>
        </w:rPr>
        <w:t xml:space="preserve">wejścia w życie ustawy. </w:t>
      </w:r>
      <w:r w:rsidR="008E7CC4">
        <w:rPr>
          <w:rFonts w:ascii="Times New Roman" w:hAnsi="Times New Roman" w:cs="Times New Roman"/>
          <w:bCs/>
          <w:sz w:val="24"/>
          <w:szCs w:val="24"/>
        </w:rPr>
        <w:t>Termin wykonania obowiązków sprawozdawczych</w:t>
      </w:r>
      <w:r w:rsidR="000D67AE">
        <w:rPr>
          <w:rFonts w:ascii="Times New Roman" w:hAnsi="Times New Roman" w:cs="Times New Roman"/>
          <w:bCs/>
          <w:sz w:val="24"/>
          <w:szCs w:val="24"/>
        </w:rPr>
        <w:t xml:space="preserve"> w stosunku do </w:t>
      </w:r>
      <w:r w:rsidR="008E7CC4">
        <w:rPr>
          <w:rFonts w:ascii="Times New Roman" w:hAnsi="Times New Roman" w:cs="Times New Roman"/>
          <w:bCs/>
          <w:sz w:val="24"/>
          <w:szCs w:val="24"/>
        </w:rPr>
        <w:t>sprzedawców, którzy na dzień wejścia w życie ustawy byli sprzedawcami podlegającymi raportowaniu</w:t>
      </w:r>
      <w:r w:rsidR="00D31F64">
        <w:rPr>
          <w:rFonts w:ascii="Times New Roman" w:hAnsi="Times New Roman" w:cs="Times New Roman"/>
          <w:bCs/>
          <w:sz w:val="24"/>
          <w:szCs w:val="24"/>
        </w:rPr>
        <w:t>,</w:t>
      </w:r>
      <w:r w:rsidR="000D67AE">
        <w:rPr>
          <w:rFonts w:ascii="Times New Roman" w:hAnsi="Times New Roman" w:cs="Times New Roman"/>
          <w:bCs/>
          <w:sz w:val="24"/>
          <w:szCs w:val="24"/>
        </w:rPr>
        <w:t xml:space="preserve"> </w:t>
      </w:r>
      <w:r w:rsidR="008E7CC4">
        <w:rPr>
          <w:rFonts w:ascii="Times New Roman" w:hAnsi="Times New Roman" w:cs="Times New Roman"/>
          <w:bCs/>
          <w:sz w:val="24"/>
          <w:szCs w:val="24"/>
        </w:rPr>
        <w:t>wynika z</w:t>
      </w:r>
      <w:r w:rsidR="000D67AE">
        <w:rPr>
          <w:rFonts w:ascii="Times New Roman" w:hAnsi="Times New Roman" w:cs="Times New Roman"/>
          <w:bCs/>
          <w:sz w:val="24"/>
          <w:szCs w:val="24"/>
        </w:rPr>
        <w:t xml:space="preserve"> zasad ogólnych określonych w </w:t>
      </w:r>
      <w:r w:rsidR="00152C79">
        <w:rPr>
          <w:rFonts w:ascii="Times New Roman" w:hAnsi="Times New Roman" w:cs="Times New Roman"/>
          <w:bCs/>
          <w:sz w:val="24"/>
          <w:szCs w:val="24"/>
        </w:rPr>
        <w:t xml:space="preserve">art. </w:t>
      </w:r>
      <w:r w:rsidR="000D67AE">
        <w:rPr>
          <w:rFonts w:ascii="Times New Roman" w:hAnsi="Times New Roman" w:cs="Times New Roman"/>
          <w:bCs/>
          <w:sz w:val="24"/>
          <w:szCs w:val="24"/>
        </w:rPr>
        <w:t>75b</w:t>
      </w:r>
      <w:r w:rsidR="008E7CC4">
        <w:rPr>
          <w:rFonts w:ascii="Times New Roman" w:hAnsi="Times New Roman" w:cs="Times New Roman"/>
          <w:bCs/>
          <w:sz w:val="24"/>
          <w:szCs w:val="24"/>
        </w:rPr>
        <w:t xml:space="preserve"> ust. 1</w:t>
      </w:r>
      <w:r w:rsidR="00152C79">
        <w:rPr>
          <w:rFonts w:ascii="Times New Roman" w:hAnsi="Times New Roman" w:cs="Times New Roman"/>
          <w:bCs/>
          <w:sz w:val="24"/>
          <w:szCs w:val="24"/>
        </w:rPr>
        <w:t xml:space="preserve"> </w:t>
      </w:r>
      <w:r w:rsidR="00F5787F">
        <w:rPr>
          <w:rFonts w:ascii="Times New Roman" w:hAnsi="Times New Roman" w:cs="Times New Roman"/>
          <w:bCs/>
          <w:sz w:val="24"/>
          <w:szCs w:val="24"/>
        </w:rPr>
        <w:t>uWIP</w:t>
      </w:r>
      <w:r w:rsidR="00152C79">
        <w:rPr>
          <w:rFonts w:ascii="Times New Roman" w:hAnsi="Times New Roman" w:cs="Times New Roman"/>
          <w:bCs/>
          <w:sz w:val="24"/>
          <w:szCs w:val="24"/>
        </w:rPr>
        <w:t xml:space="preserve">. </w:t>
      </w:r>
      <w:r w:rsidR="000D67AE">
        <w:rPr>
          <w:rFonts w:ascii="Times New Roman" w:hAnsi="Times New Roman" w:cs="Times New Roman"/>
          <w:bCs/>
          <w:sz w:val="24"/>
          <w:szCs w:val="24"/>
        </w:rPr>
        <w:t xml:space="preserve">Oznacza to, że </w:t>
      </w:r>
      <w:r w:rsidR="000F68F9">
        <w:rPr>
          <w:rFonts w:ascii="Times New Roman" w:hAnsi="Times New Roman" w:cs="Times New Roman"/>
          <w:bCs/>
          <w:sz w:val="24"/>
          <w:szCs w:val="24"/>
        </w:rPr>
        <w:t xml:space="preserve">terminem na przekazanie Szefowi </w:t>
      </w:r>
      <w:r w:rsidR="00F5787F">
        <w:rPr>
          <w:rFonts w:ascii="Times New Roman" w:hAnsi="Times New Roman" w:cs="Times New Roman"/>
          <w:bCs/>
          <w:sz w:val="24"/>
          <w:szCs w:val="24"/>
        </w:rPr>
        <w:t>KAS</w:t>
      </w:r>
      <w:r w:rsidR="000F68F9">
        <w:rPr>
          <w:rFonts w:ascii="Times New Roman" w:hAnsi="Times New Roman" w:cs="Times New Roman"/>
          <w:bCs/>
          <w:sz w:val="24"/>
          <w:szCs w:val="24"/>
        </w:rPr>
        <w:t xml:space="preserve"> informacji o tych sprzedawcach jest </w:t>
      </w:r>
      <w:r w:rsidR="00803E12">
        <w:rPr>
          <w:rFonts w:ascii="Times New Roman" w:hAnsi="Times New Roman" w:cs="Times New Roman"/>
          <w:bCs/>
          <w:sz w:val="24"/>
          <w:szCs w:val="24"/>
        </w:rPr>
        <w:t xml:space="preserve">dzień </w:t>
      </w:r>
      <w:r w:rsidR="000F68F9">
        <w:rPr>
          <w:rFonts w:ascii="Times New Roman" w:hAnsi="Times New Roman" w:cs="Times New Roman"/>
          <w:bCs/>
          <w:sz w:val="24"/>
          <w:szCs w:val="24"/>
        </w:rPr>
        <w:t>31 stycznia 2025 r.</w:t>
      </w:r>
    </w:p>
    <w:p w14:paraId="035E1160" w14:textId="7A5E2BE9" w:rsidR="009367F6" w:rsidRDefault="00E029E6" w:rsidP="00507007">
      <w:pPr>
        <w:pStyle w:val="ZUSTzmustartykuempunktem"/>
        <w:spacing w:before="120"/>
        <w:ind w:left="0" w:firstLine="0"/>
        <w:rPr>
          <w:rFonts w:ascii="Times New Roman" w:hAnsi="Times New Roman" w:cs="Times New Roman"/>
          <w:szCs w:val="24"/>
        </w:rPr>
      </w:pPr>
      <w:r w:rsidRPr="00EB304C">
        <w:rPr>
          <w:rFonts w:ascii="Times New Roman" w:hAnsi="Times New Roman" w:cs="Times New Roman"/>
          <w:szCs w:val="24"/>
        </w:rPr>
        <w:lastRenderedPageBreak/>
        <w:t xml:space="preserve">Art. </w:t>
      </w:r>
      <w:r w:rsidR="00A357C5">
        <w:rPr>
          <w:rFonts w:ascii="Times New Roman" w:hAnsi="Times New Roman" w:cs="Times New Roman"/>
          <w:szCs w:val="24"/>
        </w:rPr>
        <w:t>9</w:t>
      </w:r>
      <w:r w:rsidR="00223152">
        <w:rPr>
          <w:rFonts w:ascii="Times New Roman" w:hAnsi="Times New Roman" w:cs="Times New Roman"/>
          <w:szCs w:val="24"/>
        </w:rPr>
        <w:t xml:space="preserve"> </w:t>
      </w:r>
      <w:r w:rsidR="00F91632">
        <w:rPr>
          <w:rFonts w:ascii="Times New Roman" w:hAnsi="Times New Roman" w:cs="Times New Roman"/>
          <w:szCs w:val="24"/>
        </w:rPr>
        <w:t xml:space="preserve">wskazuje, że </w:t>
      </w:r>
      <w:r w:rsidR="00DA2FF1">
        <w:rPr>
          <w:rFonts w:ascii="Times New Roman" w:hAnsi="Times New Roman" w:cs="Times New Roman"/>
          <w:szCs w:val="24"/>
        </w:rPr>
        <w:t>wprowadza</w:t>
      </w:r>
      <w:r w:rsidR="009367F6">
        <w:rPr>
          <w:rFonts w:ascii="Times New Roman" w:hAnsi="Times New Roman" w:cs="Times New Roman"/>
          <w:szCs w:val="24"/>
        </w:rPr>
        <w:t xml:space="preserve">ne do uWIP przepisy </w:t>
      </w:r>
      <w:r w:rsidR="009367F6" w:rsidRPr="009367F6">
        <w:rPr>
          <w:rFonts w:ascii="Times New Roman" w:hAnsi="Times New Roman" w:cs="Times New Roman"/>
          <w:szCs w:val="24"/>
        </w:rPr>
        <w:t>działu IIIA</w:t>
      </w:r>
      <w:r w:rsidR="009367F6">
        <w:rPr>
          <w:rFonts w:ascii="Times New Roman" w:hAnsi="Times New Roman" w:cs="Times New Roman"/>
          <w:szCs w:val="24"/>
        </w:rPr>
        <w:t xml:space="preserve"> (ze wszystkimi zawartymi tam obowiązkami) stosować się będzie także do</w:t>
      </w:r>
      <w:r w:rsidR="00DA2FF1">
        <w:rPr>
          <w:rFonts w:ascii="Times New Roman" w:hAnsi="Times New Roman" w:cs="Times New Roman"/>
          <w:szCs w:val="24"/>
        </w:rPr>
        <w:t xml:space="preserve"> podmiot</w:t>
      </w:r>
      <w:r w:rsidR="009367F6">
        <w:rPr>
          <w:rFonts w:ascii="Times New Roman" w:hAnsi="Times New Roman" w:cs="Times New Roman"/>
          <w:szCs w:val="24"/>
        </w:rPr>
        <w:t>ów</w:t>
      </w:r>
      <w:r w:rsidR="00DA2FF1">
        <w:rPr>
          <w:rFonts w:ascii="Times New Roman" w:hAnsi="Times New Roman" w:cs="Times New Roman"/>
          <w:szCs w:val="24"/>
        </w:rPr>
        <w:t xml:space="preserve">, które </w:t>
      </w:r>
      <w:r w:rsidR="00DA2FF1" w:rsidRPr="00DA2FF1">
        <w:rPr>
          <w:rFonts w:ascii="Times New Roman" w:hAnsi="Times New Roman" w:cs="Times New Roman"/>
          <w:szCs w:val="24"/>
        </w:rPr>
        <w:t>w dowolnym momencie w</w:t>
      </w:r>
      <w:r w:rsidR="000612B6">
        <w:rPr>
          <w:rFonts w:ascii="Times New Roman" w:hAnsi="Times New Roman" w:cs="Times New Roman"/>
          <w:szCs w:val="24"/>
        </w:rPr>
        <w:t> </w:t>
      </w:r>
      <w:r w:rsidR="00DA2FF1" w:rsidRPr="00DA2FF1">
        <w:rPr>
          <w:rFonts w:ascii="Times New Roman" w:hAnsi="Times New Roman" w:cs="Times New Roman"/>
          <w:szCs w:val="24"/>
        </w:rPr>
        <w:t>okresie od dnia 1 stycznia 2023 r. do dnia</w:t>
      </w:r>
      <w:r w:rsidR="00223152">
        <w:rPr>
          <w:rFonts w:ascii="Times New Roman" w:hAnsi="Times New Roman" w:cs="Times New Roman"/>
          <w:szCs w:val="24"/>
        </w:rPr>
        <w:t xml:space="preserve"> </w:t>
      </w:r>
      <w:r w:rsidR="00DA2FF1" w:rsidRPr="00DA2FF1">
        <w:rPr>
          <w:rFonts w:ascii="Times New Roman" w:hAnsi="Times New Roman" w:cs="Times New Roman"/>
          <w:szCs w:val="24"/>
        </w:rPr>
        <w:t>poprzedzającego dzień wejścia w życie ustawy spełnił</w:t>
      </w:r>
      <w:r w:rsidR="00DA2FF1">
        <w:rPr>
          <w:rFonts w:ascii="Times New Roman" w:hAnsi="Times New Roman" w:cs="Times New Roman"/>
          <w:szCs w:val="24"/>
        </w:rPr>
        <w:t>y</w:t>
      </w:r>
      <w:r w:rsidR="00DA2FF1" w:rsidRPr="00DA2FF1">
        <w:rPr>
          <w:rFonts w:ascii="Times New Roman" w:hAnsi="Times New Roman" w:cs="Times New Roman"/>
          <w:szCs w:val="24"/>
        </w:rPr>
        <w:t xml:space="preserve"> warunki uznania</w:t>
      </w:r>
      <w:r w:rsidR="009367F6">
        <w:rPr>
          <w:rFonts w:ascii="Times New Roman" w:hAnsi="Times New Roman" w:cs="Times New Roman"/>
          <w:szCs w:val="24"/>
        </w:rPr>
        <w:t xml:space="preserve"> je</w:t>
      </w:r>
      <w:r w:rsidR="00DA2FF1" w:rsidRPr="00DA2FF1">
        <w:rPr>
          <w:rFonts w:ascii="Times New Roman" w:hAnsi="Times New Roman" w:cs="Times New Roman"/>
          <w:szCs w:val="24"/>
        </w:rPr>
        <w:t xml:space="preserve"> za raportując</w:t>
      </w:r>
      <w:r w:rsidR="00DA2FF1">
        <w:rPr>
          <w:rFonts w:ascii="Times New Roman" w:hAnsi="Times New Roman" w:cs="Times New Roman"/>
          <w:szCs w:val="24"/>
        </w:rPr>
        <w:t>ych</w:t>
      </w:r>
      <w:r w:rsidR="00DA2FF1" w:rsidRPr="00DA2FF1">
        <w:rPr>
          <w:rFonts w:ascii="Times New Roman" w:hAnsi="Times New Roman" w:cs="Times New Roman"/>
          <w:szCs w:val="24"/>
        </w:rPr>
        <w:t xml:space="preserve"> operator</w:t>
      </w:r>
      <w:r w:rsidR="00DA2FF1">
        <w:rPr>
          <w:rFonts w:ascii="Times New Roman" w:hAnsi="Times New Roman" w:cs="Times New Roman"/>
          <w:szCs w:val="24"/>
        </w:rPr>
        <w:t>ów</w:t>
      </w:r>
      <w:r w:rsidR="00DA2FF1" w:rsidRPr="00DA2FF1">
        <w:rPr>
          <w:rFonts w:ascii="Times New Roman" w:hAnsi="Times New Roman" w:cs="Times New Roman"/>
          <w:szCs w:val="24"/>
        </w:rPr>
        <w:t xml:space="preserve"> platform</w:t>
      </w:r>
      <w:r w:rsidRPr="00EB304C">
        <w:rPr>
          <w:rFonts w:ascii="Times New Roman" w:hAnsi="Times New Roman" w:cs="Times New Roman"/>
          <w:szCs w:val="24"/>
        </w:rPr>
        <w:t>.</w:t>
      </w:r>
    </w:p>
    <w:p w14:paraId="07DC3887" w14:textId="61A04370" w:rsidR="00143F8F" w:rsidRDefault="009367F6" w:rsidP="00507007">
      <w:pPr>
        <w:pStyle w:val="ZUSTzmustartykuempunktem"/>
        <w:spacing w:before="120"/>
        <w:ind w:left="0" w:firstLine="0"/>
        <w:rPr>
          <w:rFonts w:ascii="Times New Roman" w:hAnsi="Times New Roman" w:cs="Times New Roman"/>
          <w:szCs w:val="24"/>
        </w:rPr>
      </w:pPr>
      <w:r>
        <w:rPr>
          <w:rFonts w:ascii="Times New Roman" w:hAnsi="Times New Roman" w:cs="Times New Roman"/>
          <w:szCs w:val="24"/>
        </w:rPr>
        <w:t>W kwestii terminów na wypełnienie poszczególnych obowiązków za okresy sprzed wejścia w życie ustawy wskazuje się</w:t>
      </w:r>
      <w:r w:rsidR="00143F8F">
        <w:rPr>
          <w:rFonts w:ascii="Times New Roman" w:hAnsi="Times New Roman" w:cs="Times New Roman"/>
          <w:szCs w:val="24"/>
        </w:rPr>
        <w:t xml:space="preserve"> na następujące terminy wykonania obowiązków: </w:t>
      </w:r>
      <w:r w:rsidR="00444FBE">
        <w:rPr>
          <w:rFonts w:ascii="Times New Roman" w:hAnsi="Times New Roman" w:cs="Times New Roman"/>
          <w:szCs w:val="24"/>
        </w:rPr>
        <w:t>dokonani</w:t>
      </w:r>
      <w:r w:rsidR="00143F8F">
        <w:rPr>
          <w:rFonts w:ascii="Times New Roman" w:hAnsi="Times New Roman" w:cs="Times New Roman"/>
          <w:szCs w:val="24"/>
        </w:rPr>
        <w:t>e</w:t>
      </w:r>
      <w:r w:rsidR="00444FBE">
        <w:rPr>
          <w:rFonts w:ascii="Times New Roman" w:hAnsi="Times New Roman" w:cs="Times New Roman"/>
          <w:szCs w:val="24"/>
        </w:rPr>
        <w:t xml:space="preserve"> procedur należytej starannośc</w:t>
      </w:r>
      <w:r w:rsidR="000612B6">
        <w:rPr>
          <w:rFonts w:ascii="Times New Roman" w:hAnsi="Times New Roman" w:cs="Times New Roman"/>
          <w:szCs w:val="24"/>
        </w:rPr>
        <w:t>i –</w:t>
      </w:r>
      <w:r w:rsidR="00444FBE">
        <w:rPr>
          <w:rFonts w:ascii="Times New Roman" w:hAnsi="Times New Roman" w:cs="Times New Roman"/>
          <w:szCs w:val="24"/>
        </w:rPr>
        <w:t xml:space="preserve"> do dnia 31 grudnia 2024 r</w:t>
      </w:r>
      <w:r w:rsidR="007D3A76">
        <w:rPr>
          <w:rFonts w:ascii="Times New Roman" w:hAnsi="Times New Roman" w:cs="Times New Roman"/>
          <w:szCs w:val="24"/>
        </w:rPr>
        <w:t>.</w:t>
      </w:r>
      <w:r w:rsidR="000612B6">
        <w:rPr>
          <w:rFonts w:ascii="Times New Roman" w:hAnsi="Times New Roman" w:cs="Times New Roman"/>
          <w:szCs w:val="24"/>
        </w:rPr>
        <w:t>, o</w:t>
      </w:r>
      <w:r w:rsidR="00444FBE">
        <w:rPr>
          <w:rFonts w:ascii="Times New Roman" w:hAnsi="Times New Roman" w:cs="Times New Roman"/>
          <w:szCs w:val="24"/>
        </w:rPr>
        <w:t>bowiązki sprawozdawcze</w:t>
      </w:r>
      <w:r w:rsidR="000612B6">
        <w:rPr>
          <w:rFonts w:ascii="Times New Roman" w:hAnsi="Times New Roman" w:cs="Times New Roman"/>
          <w:szCs w:val="24"/>
        </w:rPr>
        <w:t xml:space="preserve"> –</w:t>
      </w:r>
      <w:r w:rsidR="00444FBE">
        <w:rPr>
          <w:rFonts w:ascii="Times New Roman" w:hAnsi="Times New Roman" w:cs="Times New Roman"/>
          <w:szCs w:val="24"/>
        </w:rPr>
        <w:t xml:space="preserve"> do </w:t>
      </w:r>
      <w:r w:rsidR="00143F8F">
        <w:rPr>
          <w:rFonts w:ascii="Times New Roman" w:hAnsi="Times New Roman" w:cs="Times New Roman"/>
          <w:szCs w:val="24"/>
        </w:rPr>
        <w:t xml:space="preserve">dnia </w:t>
      </w:r>
      <w:r w:rsidR="00444FBE">
        <w:rPr>
          <w:rFonts w:ascii="Times New Roman" w:hAnsi="Times New Roman" w:cs="Times New Roman"/>
          <w:szCs w:val="24"/>
        </w:rPr>
        <w:t>31 stycznia 2025 r.</w:t>
      </w:r>
      <w:r w:rsidR="00994790">
        <w:rPr>
          <w:rFonts w:ascii="Times New Roman" w:hAnsi="Times New Roman" w:cs="Times New Roman"/>
          <w:szCs w:val="24"/>
        </w:rPr>
        <w:t xml:space="preserve"> Ustawodawca przyjął, </w:t>
      </w:r>
      <w:r w:rsidR="002C20D3">
        <w:rPr>
          <w:rFonts w:ascii="Times New Roman" w:hAnsi="Times New Roman" w:cs="Times New Roman"/>
          <w:szCs w:val="24"/>
        </w:rPr>
        <w:t xml:space="preserve">że </w:t>
      </w:r>
      <w:r w:rsidR="00994790">
        <w:rPr>
          <w:rFonts w:ascii="Times New Roman" w:hAnsi="Times New Roman" w:cs="Times New Roman"/>
          <w:szCs w:val="24"/>
        </w:rPr>
        <w:t xml:space="preserve">raportowanie za okres sprzed wejścia w życie ustawy powinno nastąpić nie później niż za 2024 r. (tj. do </w:t>
      </w:r>
      <w:r w:rsidR="00D31F64">
        <w:rPr>
          <w:rFonts w:ascii="Times New Roman" w:hAnsi="Times New Roman" w:cs="Times New Roman"/>
          <w:szCs w:val="24"/>
        </w:rPr>
        <w:t xml:space="preserve">dnia </w:t>
      </w:r>
      <w:r w:rsidR="00994790">
        <w:rPr>
          <w:rFonts w:ascii="Times New Roman" w:hAnsi="Times New Roman" w:cs="Times New Roman"/>
          <w:szCs w:val="24"/>
        </w:rPr>
        <w:t>31 stycznia 2025 r.) – w przeciwnym razie raportowanie za 2024 r. mogłoby nie objąć sprzedawców, którzy zostali zweryfikowani pierwotnie na potrzeby 2023 r.</w:t>
      </w:r>
    </w:p>
    <w:p w14:paraId="0781572D" w14:textId="79A925DB" w:rsidR="000933A7" w:rsidRDefault="00DA2FF1" w:rsidP="00507007">
      <w:pPr>
        <w:pStyle w:val="ZUSTzmustartykuempunktem"/>
        <w:spacing w:before="120"/>
        <w:ind w:left="0" w:firstLine="0"/>
        <w:rPr>
          <w:rFonts w:ascii="Times New Roman" w:hAnsi="Times New Roman" w:cs="Times New Roman"/>
          <w:szCs w:val="24"/>
        </w:rPr>
      </w:pPr>
      <w:r>
        <w:rPr>
          <w:rFonts w:ascii="Times New Roman" w:hAnsi="Times New Roman" w:cs="Times New Roman"/>
          <w:szCs w:val="24"/>
        </w:rPr>
        <w:t xml:space="preserve">Oznacza to, że raportowaniu podlega także rok 2023 oraz okres od </w:t>
      </w:r>
      <w:r w:rsidR="00D31F64">
        <w:rPr>
          <w:rFonts w:ascii="Times New Roman" w:hAnsi="Times New Roman" w:cs="Times New Roman"/>
          <w:szCs w:val="24"/>
        </w:rPr>
        <w:t xml:space="preserve">dnia </w:t>
      </w:r>
      <w:r>
        <w:rPr>
          <w:rFonts w:ascii="Times New Roman" w:hAnsi="Times New Roman" w:cs="Times New Roman"/>
          <w:szCs w:val="24"/>
        </w:rPr>
        <w:t>1 stycznia 2024 r</w:t>
      </w:r>
      <w:r w:rsidR="002C20D3">
        <w:rPr>
          <w:rFonts w:ascii="Times New Roman" w:hAnsi="Times New Roman" w:cs="Times New Roman"/>
          <w:szCs w:val="24"/>
        </w:rPr>
        <w:t>.</w:t>
      </w:r>
      <w:r>
        <w:rPr>
          <w:rFonts w:ascii="Times New Roman" w:hAnsi="Times New Roman" w:cs="Times New Roman"/>
          <w:szCs w:val="24"/>
        </w:rPr>
        <w:t xml:space="preserve"> do dnia wejścia w życie ustawy</w:t>
      </w:r>
      <w:r w:rsidR="00936D84" w:rsidRPr="00EB304C">
        <w:rPr>
          <w:rFonts w:ascii="Times New Roman" w:hAnsi="Times New Roman" w:cs="Times New Roman"/>
          <w:szCs w:val="24"/>
        </w:rPr>
        <w:t xml:space="preserve">. </w:t>
      </w:r>
      <w:r w:rsidR="00743CFD">
        <w:rPr>
          <w:rFonts w:ascii="Times New Roman" w:hAnsi="Times New Roman" w:cs="Times New Roman"/>
          <w:szCs w:val="24"/>
        </w:rPr>
        <w:t xml:space="preserve">Informacja za okres od </w:t>
      </w:r>
      <w:r w:rsidR="00D31F64">
        <w:rPr>
          <w:rFonts w:ascii="Times New Roman" w:hAnsi="Times New Roman" w:cs="Times New Roman"/>
          <w:szCs w:val="24"/>
        </w:rPr>
        <w:t xml:space="preserve">dnia </w:t>
      </w:r>
      <w:r w:rsidR="00743CFD">
        <w:rPr>
          <w:rFonts w:ascii="Times New Roman" w:hAnsi="Times New Roman" w:cs="Times New Roman"/>
          <w:szCs w:val="24"/>
        </w:rPr>
        <w:t>1 stycznia 2024 r</w:t>
      </w:r>
      <w:r w:rsidR="002C20D3">
        <w:rPr>
          <w:rFonts w:ascii="Times New Roman" w:hAnsi="Times New Roman" w:cs="Times New Roman"/>
          <w:szCs w:val="24"/>
        </w:rPr>
        <w:t>.</w:t>
      </w:r>
      <w:r w:rsidR="00743CFD">
        <w:rPr>
          <w:rFonts w:ascii="Times New Roman" w:hAnsi="Times New Roman" w:cs="Times New Roman"/>
          <w:szCs w:val="24"/>
        </w:rPr>
        <w:t xml:space="preserve"> do dnia wejścia w</w:t>
      </w:r>
      <w:r w:rsidR="000612B6">
        <w:rPr>
          <w:rFonts w:ascii="Times New Roman" w:hAnsi="Times New Roman" w:cs="Times New Roman"/>
          <w:szCs w:val="24"/>
        </w:rPr>
        <w:t> </w:t>
      </w:r>
      <w:r w:rsidR="00743CFD">
        <w:rPr>
          <w:rFonts w:ascii="Times New Roman" w:hAnsi="Times New Roman" w:cs="Times New Roman"/>
          <w:szCs w:val="24"/>
        </w:rPr>
        <w:t xml:space="preserve">życie ustawy raportowana jest </w:t>
      </w:r>
      <w:r w:rsidR="00143F8F">
        <w:rPr>
          <w:rFonts w:ascii="Times New Roman" w:hAnsi="Times New Roman" w:cs="Times New Roman"/>
          <w:szCs w:val="24"/>
        </w:rPr>
        <w:t>łącznie za cały</w:t>
      </w:r>
      <w:r w:rsidR="00743CFD">
        <w:rPr>
          <w:rFonts w:ascii="Times New Roman" w:hAnsi="Times New Roman" w:cs="Times New Roman"/>
          <w:szCs w:val="24"/>
        </w:rPr>
        <w:t xml:space="preserve"> rok 2024</w:t>
      </w:r>
      <w:r w:rsidR="007D3A76">
        <w:rPr>
          <w:rFonts w:ascii="Times New Roman" w:hAnsi="Times New Roman" w:cs="Times New Roman"/>
          <w:szCs w:val="24"/>
        </w:rPr>
        <w:t xml:space="preserve"> (co przesądza art. </w:t>
      </w:r>
      <w:r w:rsidR="00A357C5">
        <w:rPr>
          <w:rFonts w:ascii="Times New Roman" w:hAnsi="Times New Roman" w:cs="Times New Roman"/>
          <w:szCs w:val="24"/>
        </w:rPr>
        <w:t>10</w:t>
      </w:r>
      <w:r w:rsidR="007D3A76">
        <w:rPr>
          <w:rFonts w:ascii="Times New Roman" w:hAnsi="Times New Roman" w:cs="Times New Roman"/>
          <w:szCs w:val="24"/>
        </w:rPr>
        <w:t xml:space="preserve"> ustawy nowelizującej)</w:t>
      </w:r>
      <w:r w:rsidR="00743CFD">
        <w:rPr>
          <w:rFonts w:ascii="Times New Roman" w:hAnsi="Times New Roman" w:cs="Times New Roman"/>
          <w:szCs w:val="24"/>
        </w:rPr>
        <w:t xml:space="preserve">. </w:t>
      </w:r>
    </w:p>
    <w:p w14:paraId="65B33DE4" w14:textId="5C480690" w:rsidR="002F04D3" w:rsidRDefault="00294E49" w:rsidP="00507007">
      <w:pPr>
        <w:pStyle w:val="ZUSTzmustartykuempunktem"/>
        <w:spacing w:before="120"/>
        <w:ind w:left="0" w:firstLine="0"/>
        <w:rPr>
          <w:rFonts w:ascii="Times New Roman" w:hAnsi="Times New Roman" w:cs="Times New Roman"/>
          <w:szCs w:val="24"/>
        </w:rPr>
      </w:pPr>
      <w:r>
        <w:rPr>
          <w:rFonts w:ascii="Times New Roman" w:hAnsi="Times New Roman" w:cs="Times New Roman"/>
          <w:szCs w:val="24"/>
        </w:rPr>
        <w:t xml:space="preserve">Jednocześnie w stosunku do okresu od </w:t>
      </w:r>
      <w:r w:rsidR="00D31F64">
        <w:rPr>
          <w:rFonts w:ascii="Times New Roman" w:hAnsi="Times New Roman" w:cs="Times New Roman"/>
          <w:szCs w:val="24"/>
        </w:rPr>
        <w:t xml:space="preserve">dnia </w:t>
      </w:r>
      <w:r>
        <w:rPr>
          <w:rFonts w:ascii="Times New Roman" w:hAnsi="Times New Roman" w:cs="Times New Roman"/>
          <w:szCs w:val="24"/>
        </w:rPr>
        <w:t>1 stycznia 2023 r. do dnia</w:t>
      </w:r>
      <w:r w:rsidR="00143F8F">
        <w:rPr>
          <w:rFonts w:ascii="Times New Roman" w:hAnsi="Times New Roman" w:cs="Times New Roman"/>
          <w:szCs w:val="24"/>
        </w:rPr>
        <w:t xml:space="preserve"> poprzedzającego dzień</w:t>
      </w:r>
      <w:r>
        <w:rPr>
          <w:rFonts w:ascii="Times New Roman" w:hAnsi="Times New Roman" w:cs="Times New Roman"/>
          <w:szCs w:val="24"/>
        </w:rPr>
        <w:t xml:space="preserve"> wejści</w:t>
      </w:r>
      <w:r w:rsidR="00143F8F">
        <w:rPr>
          <w:rFonts w:ascii="Times New Roman" w:hAnsi="Times New Roman" w:cs="Times New Roman"/>
          <w:szCs w:val="24"/>
        </w:rPr>
        <w:t>a</w:t>
      </w:r>
      <w:r>
        <w:rPr>
          <w:rFonts w:ascii="Times New Roman" w:hAnsi="Times New Roman" w:cs="Times New Roman"/>
          <w:szCs w:val="24"/>
        </w:rPr>
        <w:t xml:space="preserve"> w życie ustawy</w:t>
      </w:r>
      <w:r w:rsidR="000933A7">
        <w:rPr>
          <w:rFonts w:ascii="Times New Roman" w:hAnsi="Times New Roman" w:cs="Times New Roman"/>
          <w:szCs w:val="24"/>
        </w:rPr>
        <w:t xml:space="preserve"> </w:t>
      </w:r>
      <w:r w:rsidR="00E4596D">
        <w:rPr>
          <w:rFonts w:ascii="Times New Roman" w:hAnsi="Times New Roman" w:cs="Times New Roman"/>
          <w:szCs w:val="24"/>
        </w:rPr>
        <w:t>(</w:t>
      </w:r>
      <w:r w:rsidR="000612B6">
        <w:rPr>
          <w:rFonts w:ascii="Times New Roman" w:hAnsi="Times New Roman" w:cs="Times New Roman"/>
          <w:szCs w:val="24"/>
        </w:rPr>
        <w:t>tj.</w:t>
      </w:r>
      <w:r w:rsidR="00E4596D">
        <w:rPr>
          <w:rFonts w:ascii="Times New Roman" w:hAnsi="Times New Roman" w:cs="Times New Roman"/>
          <w:szCs w:val="24"/>
        </w:rPr>
        <w:t xml:space="preserve"> </w:t>
      </w:r>
      <w:r w:rsidR="00E4596D" w:rsidRPr="003422A8">
        <w:t xml:space="preserve">w </w:t>
      </w:r>
      <w:r w:rsidR="000612B6">
        <w:t>stosunku do</w:t>
      </w:r>
      <w:r w:rsidR="00E4596D" w:rsidRPr="003422A8">
        <w:t xml:space="preserve"> czynności, których wykonanie umożliwi</w:t>
      </w:r>
      <w:r w:rsidR="00E4596D">
        <w:t>ono</w:t>
      </w:r>
      <w:r w:rsidR="00E4596D" w:rsidRPr="003422A8">
        <w:t xml:space="preserve"> sprzedawcy </w:t>
      </w:r>
      <w:r w:rsidR="00E4596D">
        <w:t>w okresie</w:t>
      </w:r>
      <w:r w:rsidR="00E4596D" w:rsidRPr="003422A8">
        <w:t xml:space="preserve"> od dnia 1 stycznia 2023 r. do dnia </w:t>
      </w:r>
      <w:r w:rsidR="00E4596D">
        <w:t>poprzedzającego dzień wejścia w</w:t>
      </w:r>
      <w:r w:rsidR="00021454">
        <w:t xml:space="preserve"> </w:t>
      </w:r>
      <w:r w:rsidR="00E4596D">
        <w:t xml:space="preserve">życie niniejszej ustawy) </w:t>
      </w:r>
      <w:r w:rsidR="000933A7">
        <w:rPr>
          <w:rFonts w:ascii="Times New Roman" w:hAnsi="Times New Roman" w:cs="Times New Roman"/>
          <w:szCs w:val="24"/>
        </w:rPr>
        <w:t>ograniczone są sankcje, którym podlegają sprzedawcy oraz raportujący operatorzy platform.</w:t>
      </w:r>
      <w:r>
        <w:rPr>
          <w:rFonts w:ascii="Times New Roman" w:hAnsi="Times New Roman" w:cs="Times New Roman"/>
          <w:szCs w:val="24"/>
        </w:rPr>
        <w:t xml:space="preserve"> </w:t>
      </w:r>
      <w:r w:rsidR="000933A7">
        <w:rPr>
          <w:rFonts w:ascii="Times New Roman" w:hAnsi="Times New Roman" w:cs="Times New Roman"/>
          <w:szCs w:val="24"/>
        </w:rPr>
        <w:t xml:space="preserve">Wobec sprzedawców </w:t>
      </w:r>
      <w:r w:rsidR="007D3A76">
        <w:rPr>
          <w:rFonts w:ascii="Times New Roman" w:hAnsi="Times New Roman" w:cs="Times New Roman"/>
          <w:szCs w:val="24"/>
        </w:rPr>
        <w:t xml:space="preserve">ustawa nie wymaga stosowania (przez operatorów platform) </w:t>
      </w:r>
      <w:r>
        <w:rPr>
          <w:rFonts w:ascii="Times New Roman" w:hAnsi="Times New Roman" w:cs="Times New Roman"/>
          <w:szCs w:val="24"/>
        </w:rPr>
        <w:t>sankcj</w:t>
      </w:r>
      <w:r w:rsidR="007D3A76">
        <w:rPr>
          <w:rFonts w:ascii="Times New Roman" w:hAnsi="Times New Roman" w:cs="Times New Roman"/>
          <w:szCs w:val="24"/>
        </w:rPr>
        <w:t>i</w:t>
      </w:r>
      <w:r>
        <w:rPr>
          <w:rFonts w:ascii="Times New Roman" w:hAnsi="Times New Roman" w:cs="Times New Roman"/>
          <w:szCs w:val="24"/>
        </w:rPr>
        <w:t>, o których mowa w art.</w:t>
      </w:r>
      <w:r w:rsidR="000612B6">
        <w:rPr>
          <w:rFonts w:ascii="Times New Roman" w:hAnsi="Times New Roman" w:cs="Times New Roman"/>
          <w:szCs w:val="24"/>
        </w:rPr>
        <w:t> </w:t>
      </w:r>
      <w:r>
        <w:rPr>
          <w:rFonts w:ascii="Times New Roman" w:hAnsi="Times New Roman" w:cs="Times New Roman"/>
          <w:szCs w:val="24"/>
        </w:rPr>
        <w:t>75o ust. 5 i 6</w:t>
      </w:r>
      <w:r w:rsidR="00DE5836">
        <w:rPr>
          <w:rFonts w:ascii="Times New Roman" w:hAnsi="Times New Roman" w:cs="Times New Roman"/>
          <w:szCs w:val="24"/>
        </w:rPr>
        <w:t xml:space="preserve"> (wstrzymanie wypłaty wynagrodzenia </w:t>
      </w:r>
      <w:r w:rsidR="006A2E85">
        <w:rPr>
          <w:rFonts w:ascii="Times New Roman" w:hAnsi="Times New Roman" w:cs="Times New Roman"/>
          <w:szCs w:val="24"/>
        </w:rPr>
        <w:t xml:space="preserve">lub </w:t>
      </w:r>
      <w:r w:rsidR="00DE5836">
        <w:rPr>
          <w:rFonts w:ascii="Times New Roman" w:hAnsi="Times New Roman" w:cs="Times New Roman"/>
          <w:szCs w:val="24"/>
        </w:rPr>
        <w:t>blokada transakcji)</w:t>
      </w:r>
      <w:r w:rsidR="000933A7">
        <w:rPr>
          <w:rFonts w:ascii="Times New Roman" w:hAnsi="Times New Roman" w:cs="Times New Roman"/>
          <w:szCs w:val="24"/>
        </w:rPr>
        <w:t>. Natomiast raportujący operatorzy platform, którzy nie przekażą informacji o</w:t>
      </w:r>
      <w:r w:rsidR="000612B6">
        <w:rPr>
          <w:rFonts w:ascii="Times New Roman" w:hAnsi="Times New Roman" w:cs="Times New Roman"/>
          <w:szCs w:val="24"/>
        </w:rPr>
        <w:t> </w:t>
      </w:r>
      <w:r w:rsidR="000933A7">
        <w:rPr>
          <w:rFonts w:ascii="Times New Roman" w:hAnsi="Times New Roman" w:cs="Times New Roman"/>
          <w:szCs w:val="24"/>
        </w:rPr>
        <w:t>sprzedawcach, ale będą posiadali dowody, że bezskutecznie wystąpili ponownie o informacje do sprzedawcy lub wystąpienie nie było możliwe, nie będą podlegali karze pieniężnej. W</w:t>
      </w:r>
      <w:r w:rsidR="000612B6">
        <w:rPr>
          <w:rFonts w:ascii="Times New Roman" w:hAnsi="Times New Roman" w:cs="Times New Roman"/>
          <w:szCs w:val="24"/>
        </w:rPr>
        <w:t> </w:t>
      </w:r>
      <w:r w:rsidR="000933A7">
        <w:rPr>
          <w:rFonts w:ascii="Times New Roman" w:hAnsi="Times New Roman" w:cs="Times New Roman"/>
          <w:szCs w:val="24"/>
        </w:rPr>
        <w:t xml:space="preserve">takich sytuacjach nie będą także wszczynane </w:t>
      </w:r>
      <w:r w:rsidR="000933A7" w:rsidRPr="000933A7">
        <w:rPr>
          <w:rFonts w:ascii="Times New Roman" w:hAnsi="Times New Roman" w:cs="Times New Roman"/>
          <w:szCs w:val="24"/>
        </w:rPr>
        <w:t>postępowania w sprawach o przestępstwa skarbowe lub wykroczenia skarbowe.</w:t>
      </w:r>
    </w:p>
    <w:p w14:paraId="1B558AAE" w14:textId="78C9B1B0" w:rsidR="005E245B" w:rsidRDefault="00F9404C" w:rsidP="00507007">
      <w:pPr>
        <w:pStyle w:val="ZUSTzmustartykuempunktem"/>
        <w:spacing w:before="120"/>
        <w:ind w:left="0" w:firstLine="0"/>
        <w:rPr>
          <w:rFonts w:ascii="Times New Roman" w:hAnsi="Times New Roman" w:cs="Times New Roman"/>
          <w:szCs w:val="24"/>
        </w:rPr>
      </w:pPr>
      <w:r>
        <w:rPr>
          <w:rFonts w:ascii="Times New Roman" w:hAnsi="Times New Roman" w:cs="Times New Roman"/>
          <w:szCs w:val="24"/>
        </w:rPr>
        <w:t xml:space="preserve">Art. </w:t>
      </w:r>
      <w:r w:rsidR="00A357C5">
        <w:rPr>
          <w:rFonts w:ascii="Times New Roman" w:hAnsi="Times New Roman" w:cs="Times New Roman"/>
          <w:szCs w:val="24"/>
        </w:rPr>
        <w:t>10</w:t>
      </w:r>
      <w:r>
        <w:rPr>
          <w:rFonts w:ascii="Times New Roman" w:hAnsi="Times New Roman" w:cs="Times New Roman"/>
          <w:szCs w:val="24"/>
        </w:rPr>
        <w:t xml:space="preserve"> określa, że dla celów raportowania w 2025 r. wyróżnia się dwa okresy sprawozdawcze:</w:t>
      </w:r>
    </w:p>
    <w:p w14:paraId="77288610" w14:textId="32BF8181" w:rsidR="00F9404C" w:rsidRDefault="00986B0F" w:rsidP="00BF7234">
      <w:pPr>
        <w:pStyle w:val="ZUSTzmustartykuempunktem"/>
        <w:numPr>
          <w:ilvl w:val="0"/>
          <w:numId w:val="39"/>
        </w:numPr>
        <w:spacing w:before="120"/>
        <w:ind w:left="426"/>
        <w:rPr>
          <w:rFonts w:ascii="Times New Roman" w:hAnsi="Times New Roman" w:cs="Times New Roman"/>
          <w:szCs w:val="24"/>
        </w:rPr>
      </w:pPr>
      <w:r>
        <w:rPr>
          <w:rFonts w:ascii="Times New Roman" w:hAnsi="Times New Roman" w:cs="Times New Roman"/>
          <w:szCs w:val="24"/>
        </w:rPr>
        <w:t>Rok 2023 – pierwszy okres sprawozdawczy – obejmujący</w:t>
      </w:r>
      <w:r w:rsidR="0056550D">
        <w:rPr>
          <w:rFonts w:ascii="Times New Roman" w:hAnsi="Times New Roman" w:cs="Times New Roman"/>
          <w:szCs w:val="24"/>
        </w:rPr>
        <w:t xml:space="preserve"> czynności wykonane w</w:t>
      </w:r>
      <w:r w:rsidR="00D31F64">
        <w:rPr>
          <w:rFonts w:ascii="Times New Roman" w:hAnsi="Times New Roman" w:cs="Times New Roman"/>
          <w:szCs w:val="24"/>
        </w:rPr>
        <w:t> </w:t>
      </w:r>
      <w:r w:rsidR="0056550D">
        <w:rPr>
          <w:rFonts w:ascii="Times New Roman" w:hAnsi="Times New Roman" w:cs="Times New Roman"/>
          <w:szCs w:val="24"/>
        </w:rPr>
        <w:t>2023</w:t>
      </w:r>
      <w:r w:rsidR="00D31F64">
        <w:rPr>
          <w:rFonts w:ascii="Times New Roman" w:hAnsi="Times New Roman" w:cs="Times New Roman"/>
          <w:szCs w:val="24"/>
        </w:rPr>
        <w:t> </w:t>
      </w:r>
      <w:r w:rsidR="0056550D">
        <w:rPr>
          <w:rFonts w:ascii="Times New Roman" w:hAnsi="Times New Roman" w:cs="Times New Roman"/>
          <w:szCs w:val="24"/>
        </w:rPr>
        <w:t>r. przez</w:t>
      </w:r>
      <w:r>
        <w:rPr>
          <w:rFonts w:ascii="Times New Roman" w:hAnsi="Times New Roman" w:cs="Times New Roman"/>
          <w:szCs w:val="24"/>
        </w:rPr>
        <w:t xml:space="preserve"> sprzedawców, którzy </w:t>
      </w:r>
      <w:r w:rsidR="00C33B4E">
        <w:rPr>
          <w:rFonts w:ascii="Times New Roman" w:hAnsi="Times New Roman" w:cs="Times New Roman"/>
          <w:szCs w:val="24"/>
        </w:rPr>
        <w:t xml:space="preserve">w dowolnym momencie </w:t>
      </w:r>
      <w:r w:rsidR="00C33B4E" w:rsidRPr="00C33B4E">
        <w:rPr>
          <w:rFonts w:ascii="Times New Roman" w:hAnsi="Times New Roman" w:cs="Times New Roman"/>
          <w:szCs w:val="24"/>
        </w:rPr>
        <w:t xml:space="preserve">w okresie od </w:t>
      </w:r>
      <w:r w:rsidR="00D31F64">
        <w:rPr>
          <w:rFonts w:ascii="Times New Roman" w:hAnsi="Times New Roman" w:cs="Times New Roman"/>
          <w:szCs w:val="24"/>
        </w:rPr>
        <w:t xml:space="preserve">dnia </w:t>
      </w:r>
      <w:r w:rsidR="00C33B4E" w:rsidRPr="00C33B4E">
        <w:rPr>
          <w:rFonts w:ascii="Times New Roman" w:hAnsi="Times New Roman" w:cs="Times New Roman"/>
          <w:szCs w:val="24"/>
        </w:rPr>
        <w:t>1</w:t>
      </w:r>
      <w:r w:rsidR="00D31F64">
        <w:rPr>
          <w:rFonts w:ascii="Times New Roman" w:hAnsi="Times New Roman" w:cs="Times New Roman"/>
          <w:szCs w:val="24"/>
        </w:rPr>
        <w:t> </w:t>
      </w:r>
      <w:r w:rsidR="00C33B4E" w:rsidRPr="00C33B4E">
        <w:rPr>
          <w:rFonts w:ascii="Times New Roman" w:hAnsi="Times New Roman" w:cs="Times New Roman"/>
          <w:szCs w:val="24"/>
        </w:rPr>
        <w:t xml:space="preserve">stycznia 2023 r. do </w:t>
      </w:r>
      <w:r w:rsidR="00D31F64">
        <w:rPr>
          <w:rFonts w:ascii="Times New Roman" w:hAnsi="Times New Roman" w:cs="Times New Roman"/>
          <w:szCs w:val="24"/>
        </w:rPr>
        <w:t xml:space="preserve">dnia </w:t>
      </w:r>
      <w:r w:rsidR="00C33B4E" w:rsidRPr="00C33B4E">
        <w:rPr>
          <w:rFonts w:ascii="Times New Roman" w:hAnsi="Times New Roman" w:cs="Times New Roman"/>
          <w:szCs w:val="24"/>
        </w:rPr>
        <w:t>31 grudnia 2023 r.</w:t>
      </w:r>
      <w:r w:rsidR="00C33B4E">
        <w:rPr>
          <w:rFonts w:ascii="Times New Roman" w:hAnsi="Times New Roman" w:cs="Times New Roman"/>
          <w:szCs w:val="24"/>
        </w:rPr>
        <w:t xml:space="preserve"> </w:t>
      </w:r>
      <w:r>
        <w:rPr>
          <w:rFonts w:ascii="Times New Roman" w:hAnsi="Times New Roman" w:cs="Times New Roman"/>
          <w:szCs w:val="24"/>
        </w:rPr>
        <w:t>byli zarejestrowani na plat</w:t>
      </w:r>
      <w:r w:rsidR="000E3464">
        <w:rPr>
          <w:rFonts w:ascii="Times New Roman" w:hAnsi="Times New Roman" w:cs="Times New Roman"/>
          <w:szCs w:val="24"/>
        </w:rPr>
        <w:t>fo</w:t>
      </w:r>
      <w:r>
        <w:rPr>
          <w:rFonts w:ascii="Times New Roman" w:hAnsi="Times New Roman" w:cs="Times New Roman"/>
          <w:szCs w:val="24"/>
        </w:rPr>
        <w:t>rmie</w:t>
      </w:r>
      <w:r w:rsidR="00C33B4E">
        <w:rPr>
          <w:rFonts w:ascii="Times New Roman" w:hAnsi="Times New Roman" w:cs="Times New Roman"/>
          <w:szCs w:val="24"/>
        </w:rPr>
        <w:t>;</w:t>
      </w:r>
    </w:p>
    <w:p w14:paraId="3CA573A3" w14:textId="0C47C3FA" w:rsidR="00986B0F" w:rsidRPr="00C33B4E" w:rsidRDefault="00986B0F" w:rsidP="00BF7234">
      <w:pPr>
        <w:pStyle w:val="ZUSTzmustartykuempunktem"/>
        <w:numPr>
          <w:ilvl w:val="0"/>
          <w:numId w:val="39"/>
        </w:numPr>
        <w:spacing w:before="120"/>
        <w:ind w:left="426"/>
        <w:rPr>
          <w:rFonts w:ascii="Times New Roman" w:hAnsi="Times New Roman" w:cs="Times New Roman"/>
          <w:szCs w:val="24"/>
        </w:rPr>
      </w:pPr>
      <w:r w:rsidRPr="00C33B4E">
        <w:rPr>
          <w:rFonts w:ascii="Times New Roman" w:hAnsi="Times New Roman" w:cs="Times New Roman"/>
          <w:szCs w:val="24"/>
        </w:rPr>
        <w:lastRenderedPageBreak/>
        <w:t xml:space="preserve">Rok 2024 – drugi </w:t>
      </w:r>
      <w:r w:rsidRPr="00152C79">
        <w:rPr>
          <w:rFonts w:ascii="Times New Roman" w:hAnsi="Times New Roman" w:cs="Times New Roman"/>
          <w:szCs w:val="24"/>
        </w:rPr>
        <w:t>okres sprawozdawczy</w:t>
      </w:r>
      <w:r w:rsidR="00C33B4E" w:rsidRPr="00152C79">
        <w:rPr>
          <w:rFonts w:ascii="Times New Roman" w:hAnsi="Times New Roman" w:cs="Times New Roman"/>
          <w:szCs w:val="24"/>
        </w:rPr>
        <w:t xml:space="preserve"> </w:t>
      </w:r>
      <w:r w:rsidR="00C33B4E" w:rsidRPr="00C33B4E">
        <w:rPr>
          <w:rFonts w:ascii="Times New Roman" w:hAnsi="Times New Roman" w:cs="Times New Roman"/>
          <w:szCs w:val="24"/>
        </w:rPr>
        <w:t xml:space="preserve">– obejmujący </w:t>
      </w:r>
      <w:r w:rsidR="0056550D">
        <w:rPr>
          <w:rFonts w:ascii="Times New Roman" w:hAnsi="Times New Roman" w:cs="Times New Roman"/>
          <w:szCs w:val="24"/>
        </w:rPr>
        <w:t xml:space="preserve">czynności wykonane w 2024 r. (przed dniem wejścia w życie ustawy oraz od tego dnia) przez </w:t>
      </w:r>
      <w:r w:rsidR="00C33B4E" w:rsidRPr="00C33B4E">
        <w:rPr>
          <w:rFonts w:ascii="Times New Roman" w:hAnsi="Times New Roman" w:cs="Times New Roman"/>
          <w:szCs w:val="24"/>
        </w:rPr>
        <w:t>sprzedawców, którzy byli zarejestrowani na platformie:</w:t>
      </w:r>
    </w:p>
    <w:p w14:paraId="774C64EC" w14:textId="725C6805" w:rsidR="00C33B4E" w:rsidRPr="00C33B4E" w:rsidRDefault="00C33B4E" w:rsidP="00BF7234">
      <w:pPr>
        <w:pStyle w:val="ZUSTzmustartykuempunktem"/>
        <w:numPr>
          <w:ilvl w:val="1"/>
          <w:numId w:val="39"/>
        </w:numPr>
        <w:spacing w:before="120"/>
        <w:ind w:left="851"/>
        <w:rPr>
          <w:rFonts w:ascii="Times New Roman" w:hAnsi="Times New Roman" w:cs="Times New Roman"/>
          <w:szCs w:val="24"/>
        </w:rPr>
      </w:pPr>
      <w:bookmarkStart w:id="1" w:name="_Hlk161056335"/>
      <w:r w:rsidRPr="00C33B4E">
        <w:rPr>
          <w:rFonts w:ascii="Times New Roman" w:hAnsi="Times New Roman" w:cs="Times New Roman"/>
          <w:szCs w:val="24"/>
        </w:rPr>
        <w:t>w dowolnym momencie okres</w:t>
      </w:r>
      <w:r w:rsidR="00E4694A">
        <w:rPr>
          <w:rFonts w:ascii="Times New Roman" w:hAnsi="Times New Roman" w:cs="Times New Roman"/>
          <w:szCs w:val="24"/>
        </w:rPr>
        <w:t>u</w:t>
      </w:r>
      <w:r w:rsidRPr="00C33B4E">
        <w:rPr>
          <w:rFonts w:ascii="Times New Roman" w:hAnsi="Times New Roman" w:cs="Times New Roman"/>
          <w:szCs w:val="24"/>
        </w:rPr>
        <w:t xml:space="preserve"> od </w:t>
      </w:r>
      <w:r w:rsidR="00D31F64">
        <w:rPr>
          <w:rFonts w:ascii="Times New Roman" w:hAnsi="Times New Roman" w:cs="Times New Roman"/>
          <w:szCs w:val="24"/>
        </w:rPr>
        <w:t xml:space="preserve">dnia </w:t>
      </w:r>
      <w:r w:rsidRPr="00C33B4E">
        <w:rPr>
          <w:rFonts w:ascii="Times New Roman" w:hAnsi="Times New Roman" w:cs="Times New Roman"/>
          <w:szCs w:val="24"/>
        </w:rPr>
        <w:t xml:space="preserve">1 stycznia 2024 r. do dnia </w:t>
      </w:r>
      <w:r>
        <w:rPr>
          <w:rFonts w:ascii="Times New Roman" w:hAnsi="Times New Roman" w:cs="Times New Roman"/>
          <w:szCs w:val="24"/>
        </w:rPr>
        <w:t xml:space="preserve">poprzedzającego dzień </w:t>
      </w:r>
      <w:r w:rsidRPr="00C33B4E">
        <w:rPr>
          <w:rFonts w:ascii="Times New Roman" w:hAnsi="Times New Roman" w:cs="Times New Roman"/>
          <w:szCs w:val="24"/>
        </w:rPr>
        <w:t>wejścia w życie ustawy,</w:t>
      </w:r>
    </w:p>
    <w:bookmarkEnd w:id="1"/>
    <w:p w14:paraId="77694E9E" w14:textId="62F8419A" w:rsidR="00C33B4E" w:rsidRPr="00152C79" w:rsidRDefault="00C33B4E" w:rsidP="00BF7234">
      <w:pPr>
        <w:pStyle w:val="ZUSTzmustartykuempunktem"/>
        <w:numPr>
          <w:ilvl w:val="1"/>
          <w:numId w:val="39"/>
        </w:numPr>
        <w:spacing w:before="120"/>
        <w:ind w:left="851"/>
        <w:rPr>
          <w:rFonts w:ascii="Times New Roman" w:hAnsi="Times New Roman" w:cs="Times New Roman"/>
          <w:szCs w:val="24"/>
        </w:rPr>
      </w:pPr>
      <w:r w:rsidRPr="00C33B4E">
        <w:rPr>
          <w:rFonts w:ascii="Times New Roman" w:hAnsi="Times New Roman" w:cs="Times New Roman"/>
          <w:szCs w:val="24"/>
        </w:rPr>
        <w:t>na dzień wejścia w życie ustawy,</w:t>
      </w:r>
    </w:p>
    <w:p w14:paraId="24004019" w14:textId="290BEF23" w:rsidR="00C33B4E" w:rsidRDefault="00C33B4E" w:rsidP="00BF7234">
      <w:pPr>
        <w:pStyle w:val="Akapitzlist"/>
        <w:numPr>
          <w:ilvl w:val="1"/>
          <w:numId w:val="39"/>
        </w:numPr>
        <w:spacing w:before="120" w:after="120" w:line="360" w:lineRule="auto"/>
        <w:ind w:left="850" w:hanging="357"/>
        <w:rPr>
          <w:rFonts w:ascii="Times New Roman" w:eastAsiaTheme="minorEastAsia" w:hAnsi="Times New Roman" w:cs="Times New Roman"/>
          <w:sz w:val="24"/>
          <w:szCs w:val="24"/>
          <w:lang w:eastAsia="pl-PL"/>
        </w:rPr>
      </w:pPr>
      <w:r w:rsidRPr="006815B9">
        <w:rPr>
          <w:rFonts w:ascii="Times New Roman" w:hAnsi="Times New Roman" w:cs="Times New Roman"/>
          <w:sz w:val="24"/>
          <w:szCs w:val="24"/>
        </w:rPr>
        <w:t xml:space="preserve">w </w:t>
      </w:r>
      <w:r w:rsidRPr="00C33B4E">
        <w:rPr>
          <w:rFonts w:ascii="Times New Roman" w:eastAsiaTheme="minorEastAsia" w:hAnsi="Times New Roman" w:cs="Times New Roman"/>
          <w:sz w:val="24"/>
          <w:szCs w:val="24"/>
          <w:lang w:eastAsia="pl-PL"/>
        </w:rPr>
        <w:t xml:space="preserve">dowolnym momencie w okresie od dnia </w:t>
      </w:r>
      <w:r>
        <w:rPr>
          <w:rFonts w:ascii="Times New Roman" w:eastAsiaTheme="minorEastAsia" w:hAnsi="Times New Roman" w:cs="Times New Roman"/>
          <w:sz w:val="24"/>
          <w:szCs w:val="24"/>
          <w:lang w:eastAsia="pl-PL"/>
        </w:rPr>
        <w:t xml:space="preserve">następującego po dniu </w:t>
      </w:r>
      <w:r w:rsidRPr="00C33B4E">
        <w:rPr>
          <w:rFonts w:ascii="Times New Roman" w:eastAsiaTheme="minorEastAsia" w:hAnsi="Times New Roman" w:cs="Times New Roman"/>
          <w:sz w:val="24"/>
          <w:szCs w:val="24"/>
          <w:lang w:eastAsia="pl-PL"/>
        </w:rPr>
        <w:t>wejścia w życie ustawy</w:t>
      </w:r>
      <w:r>
        <w:rPr>
          <w:rFonts w:ascii="Times New Roman" w:eastAsiaTheme="minorEastAsia" w:hAnsi="Times New Roman" w:cs="Times New Roman"/>
          <w:sz w:val="24"/>
          <w:szCs w:val="24"/>
          <w:lang w:eastAsia="pl-PL"/>
        </w:rPr>
        <w:t xml:space="preserve"> do </w:t>
      </w:r>
      <w:r w:rsidR="00D31F64">
        <w:rPr>
          <w:rFonts w:ascii="Times New Roman" w:eastAsiaTheme="minorEastAsia" w:hAnsi="Times New Roman" w:cs="Times New Roman"/>
          <w:sz w:val="24"/>
          <w:szCs w:val="24"/>
          <w:lang w:eastAsia="pl-PL"/>
        </w:rPr>
        <w:t xml:space="preserve">dnia </w:t>
      </w:r>
      <w:r>
        <w:rPr>
          <w:rFonts w:ascii="Times New Roman" w:eastAsiaTheme="minorEastAsia" w:hAnsi="Times New Roman" w:cs="Times New Roman"/>
          <w:sz w:val="24"/>
          <w:szCs w:val="24"/>
          <w:lang w:eastAsia="pl-PL"/>
        </w:rPr>
        <w:t>31 grudnia 2024 r.</w:t>
      </w:r>
    </w:p>
    <w:p w14:paraId="5198ADA2" w14:textId="77777777" w:rsidR="00BF7234" w:rsidRPr="00BF7234" w:rsidRDefault="00BF7234" w:rsidP="00BF7234">
      <w:pPr>
        <w:pStyle w:val="Akapitzlist"/>
        <w:spacing w:before="120" w:after="120" w:line="360" w:lineRule="auto"/>
        <w:ind w:left="850"/>
        <w:rPr>
          <w:rFonts w:ascii="Times New Roman" w:eastAsiaTheme="minorEastAsia" w:hAnsi="Times New Roman" w:cs="Times New Roman"/>
          <w:sz w:val="8"/>
          <w:szCs w:val="8"/>
          <w:lang w:eastAsia="pl-PL"/>
        </w:rPr>
      </w:pPr>
    </w:p>
    <w:p w14:paraId="2FE4ADE7" w14:textId="5230AB36" w:rsidR="00C33B4E" w:rsidRDefault="00021454" w:rsidP="00BF7234">
      <w:pPr>
        <w:pStyle w:val="Akapitzlist"/>
        <w:numPr>
          <w:ilvl w:val="0"/>
          <w:numId w:val="16"/>
        </w:numPr>
        <w:spacing w:before="240" w:after="0" w:line="360" w:lineRule="auto"/>
        <w:ind w:left="1135" w:hanging="284"/>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t</w:t>
      </w:r>
      <w:r w:rsidR="00C33B4E">
        <w:rPr>
          <w:rFonts w:ascii="Times New Roman" w:eastAsiaTheme="minorEastAsia" w:hAnsi="Times New Roman" w:cs="Times New Roman"/>
          <w:sz w:val="24"/>
          <w:szCs w:val="24"/>
          <w:lang w:eastAsia="pl-PL"/>
        </w:rPr>
        <w:t>ermin na wykonanie procedur należytej staranności w stosunku do ram czasowych</w:t>
      </w:r>
      <w:r w:rsidR="00F03326">
        <w:rPr>
          <w:rFonts w:ascii="Times New Roman" w:eastAsiaTheme="minorEastAsia" w:hAnsi="Times New Roman" w:cs="Times New Roman"/>
          <w:sz w:val="24"/>
          <w:szCs w:val="24"/>
          <w:lang w:eastAsia="pl-PL"/>
        </w:rPr>
        <w:t>,</w:t>
      </w:r>
      <w:r w:rsidR="00C33B4E">
        <w:rPr>
          <w:rFonts w:ascii="Times New Roman" w:eastAsiaTheme="minorEastAsia" w:hAnsi="Times New Roman" w:cs="Times New Roman"/>
          <w:sz w:val="24"/>
          <w:szCs w:val="24"/>
          <w:lang w:eastAsia="pl-PL"/>
        </w:rPr>
        <w:t xml:space="preserve"> o których mowa w pkt 1 i pkt 2 lit. a </w:t>
      </w:r>
      <w:r w:rsidR="00CC78D9">
        <w:rPr>
          <w:rFonts w:ascii="Times New Roman" w:eastAsiaTheme="minorEastAsia" w:hAnsi="Times New Roman" w:cs="Times New Roman"/>
          <w:sz w:val="24"/>
          <w:szCs w:val="24"/>
          <w:lang w:eastAsia="pl-PL"/>
        </w:rPr>
        <w:t>powyżej</w:t>
      </w:r>
      <w:r>
        <w:rPr>
          <w:rFonts w:ascii="Times New Roman" w:eastAsiaTheme="minorEastAsia" w:hAnsi="Times New Roman" w:cs="Times New Roman"/>
          <w:sz w:val="24"/>
          <w:szCs w:val="24"/>
          <w:lang w:eastAsia="pl-PL"/>
        </w:rPr>
        <w:t>,</w:t>
      </w:r>
      <w:r w:rsidR="00CC78D9">
        <w:rPr>
          <w:rFonts w:ascii="Times New Roman" w:eastAsiaTheme="minorEastAsia" w:hAnsi="Times New Roman" w:cs="Times New Roman"/>
          <w:sz w:val="24"/>
          <w:szCs w:val="24"/>
          <w:lang w:eastAsia="pl-PL"/>
        </w:rPr>
        <w:t xml:space="preserve"> </w:t>
      </w:r>
      <w:r w:rsidR="00C33B4E">
        <w:rPr>
          <w:rFonts w:ascii="Times New Roman" w:eastAsiaTheme="minorEastAsia" w:hAnsi="Times New Roman" w:cs="Times New Roman"/>
          <w:sz w:val="24"/>
          <w:szCs w:val="24"/>
          <w:lang w:eastAsia="pl-PL"/>
        </w:rPr>
        <w:t xml:space="preserve">wynika z art. </w:t>
      </w:r>
      <w:r w:rsidR="00A357C5">
        <w:rPr>
          <w:rFonts w:ascii="Times New Roman" w:eastAsiaTheme="minorEastAsia" w:hAnsi="Times New Roman" w:cs="Times New Roman"/>
          <w:sz w:val="24"/>
          <w:szCs w:val="24"/>
          <w:lang w:eastAsia="pl-PL"/>
        </w:rPr>
        <w:t>9</w:t>
      </w:r>
      <w:r w:rsidR="00C33B4E">
        <w:rPr>
          <w:rFonts w:ascii="Times New Roman" w:eastAsiaTheme="minorEastAsia" w:hAnsi="Times New Roman" w:cs="Times New Roman"/>
          <w:sz w:val="24"/>
          <w:szCs w:val="24"/>
          <w:lang w:eastAsia="pl-PL"/>
        </w:rPr>
        <w:t xml:space="preserve"> </w:t>
      </w:r>
      <w:r w:rsidR="00CC78D9">
        <w:rPr>
          <w:rFonts w:ascii="Times New Roman" w:eastAsiaTheme="minorEastAsia" w:hAnsi="Times New Roman" w:cs="Times New Roman"/>
          <w:sz w:val="24"/>
          <w:szCs w:val="24"/>
          <w:lang w:eastAsia="pl-PL"/>
        </w:rPr>
        <w:t xml:space="preserve">ustawy nowelizującej </w:t>
      </w:r>
      <w:r w:rsidR="00C33B4E">
        <w:rPr>
          <w:rFonts w:ascii="Times New Roman" w:eastAsiaTheme="minorEastAsia" w:hAnsi="Times New Roman" w:cs="Times New Roman"/>
          <w:sz w:val="24"/>
          <w:szCs w:val="24"/>
          <w:lang w:eastAsia="pl-PL"/>
        </w:rPr>
        <w:t>(</w:t>
      </w:r>
      <w:r w:rsidR="00CC78D9">
        <w:rPr>
          <w:rFonts w:ascii="Times New Roman" w:eastAsiaTheme="minorEastAsia" w:hAnsi="Times New Roman" w:cs="Times New Roman"/>
          <w:sz w:val="24"/>
          <w:szCs w:val="24"/>
          <w:lang w:eastAsia="pl-PL"/>
        </w:rPr>
        <w:t xml:space="preserve">do </w:t>
      </w:r>
      <w:r w:rsidR="00C33B4E">
        <w:rPr>
          <w:rFonts w:ascii="Times New Roman" w:eastAsiaTheme="minorEastAsia" w:hAnsi="Times New Roman" w:cs="Times New Roman"/>
          <w:sz w:val="24"/>
          <w:szCs w:val="24"/>
          <w:lang w:eastAsia="pl-PL"/>
        </w:rPr>
        <w:t>31 grudnia 2024 r.)</w:t>
      </w:r>
      <w:r w:rsidR="00F03326">
        <w:rPr>
          <w:rFonts w:ascii="Times New Roman" w:eastAsiaTheme="minorEastAsia" w:hAnsi="Times New Roman" w:cs="Times New Roman"/>
          <w:sz w:val="24"/>
          <w:szCs w:val="24"/>
          <w:lang w:eastAsia="pl-PL"/>
        </w:rPr>
        <w:t>,</w:t>
      </w:r>
    </w:p>
    <w:p w14:paraId="7EC364B5" w14:textId="30251BD9" w:rsidR="00C33B4E" w:rsidRPr="007876B4" w:rsidRDefault="00021454" w:rsidP="00BF7234">
      <w:pPr>
        <w:pStyle w:val="Akapitzlist"/>
        <w:numPr>
          <w:ilvl w:val="0"/>
          <w:numId w:val="16"/>
        </w:numPr>
        <w:spacing w:before="120" w:after="0" w:line="360" w:lineRule="auto"/>
        <w:ind w:left="1134" w:hanging="283"/>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t</w:t>
      </w:r>
      <w:r w:rsidR="00C33B4E">
        <w:rPr>
          <w:rFonts w:ascii="Times New Roman" w:eastAsiaTheme="minorEastAsia" w:hAnsi="Times New Roman" w:cs="Times New Roman"/>
          <w:sz w:val="24"/>
          <w:szCs w:val="24"/>
          <w:lang w:eastAsia="pl-PL"/>
        </w:rPr>
        <w:t xml:space="preserve">ermin na wykonanie </w:t>
      </w:r>
      <w:r w:rsidR="00152C79">
        <w:rPr>
          <w:rFonts w:ascii="Times New Roman" w:eastAsiaTheme="minorEastAsia" w:hAnsi="Times New Roman" w:cs="Times New Roman"/>
          <w:sz w:val="24"/>
          <w:szCs w:val="24"/>
          <w:lang w:eastAsia="pl-PL"/>
        </w:rPr>
        <w:t>obowiązków sprawozdawczych</w:t>
      </w:r>
      <w:r w:rsidR="00C33B4E">
        <w:rPr>
          <w:rFonts w:ascii="Times New Roman" w:eastAsiaTheme="minorEastAsia" w:hAnsi="Times New Roman" w:cs="Times New Roman"/>
          <w:sz w:val="24"/>
          <w:szCs w:val="24"/>
          <w:lang w:eastAsia="pl-PL"/>
        </w:rPr>
        <w:t xml:space="preserve"> w stosunku</w:t>
      </w:r>
      <w:r w:rsidR="00C33B4E" w:rsidRPr="00C33B4E">
        <w:t xml:space="preserve"> </w:t>
      </w:r>
      <w:r w:rsidR="00C33B4E" w:rsidRPr="00C33B4E">
        <w:rPr>
          <w:rFonts w:ascii="Times New Roman" w:eastAsiaTheme="minorEastAsia" w:hAnsi="Times New Roman" w:cs="Times New Roman"/>
          <w:sz w:val="24"/>
          <w:szCs w:val="24"/>
          <w:lang w:eastAsia="pl-PL"/>
        </w:rPr>
        <w:t>do ram czasowych</w:t>
      </w:r>
      <w:r w:rsidR="00F03326">
        <w:rPr>
          <w:rFonts w:ascii="Times New Roman" w:eastAsiaTheme="minorEastAsia" w:hAnsi="Times New Roman" w:cs="Times New Roman"/>
          <w:sz w:val="24"/>
          <w:szCs w:val="24"/>
          <w:lang w:eastAsia="pl-PL"/>
        </w:rPr>
        <w:t>,</w:t>
      </w:r>
      <w:r w:rsidR="00C33B4E" w:rsidRPr="00C33B4E">
        <w:rPr>
          <w:rFonts w:ascii="Times New Roman" w:eastAsiaTheme="minorEastAsia" w:hAnsi="Times New Roman" w:cs="Times New Roman"/>
          <w:sz w:val="24"/>
          <w:szCs w:val="24"/>
          <w:lang w:eastAsia="pl-PL"/>
        </w:rPr>
        <w:t xml:space="preserve"> o których mowa</w:t>
      </w:r>
      <w:r w:rsidR="00C33B4E">
        <w:rPr>
          <w:rFonts w:ascii="Times New Roman" w:eastAsiaTheme="minorEastAsia" w:hAnsi="Times New Roman" w:cs="Times New Roman"/>
          <w:sz w:val="24"/>
          <w:szCs w:val="24"/>
          <w:lang w:eastAsia="pl-PL"/>
        </w:rPr>
        <w:t xml:space="preserve"> w pkt 1 i pkt 2 lit. a </w:t>
      </w:r>
      <w:r w:rsidR="00CC78D9">
        <w:rPr>
          <w:rFonts w:ascii="Times New Roman" w:eastAsiaTheme="minorEastAsia" w:hAnsi="Times New Roman" w:cs="Times New Roman"/>
          <w:sz w:val="24"/>
          <w:szCs w:val="24"/>
          <w:lang w:eastAsia="pl-PL"/>
        </w:rPr>
        <w:t>powyżej</w:t>
      </w:r>
      <w:r w:rsidR="00582436">
        <w:rPr>
          <w:rFonts w:ascii="Times New Roman" w:eastAsiaTheme="minorEastAsia" w:hAnsi="Times New Roman" w:cs="Times New Roman"/>
          <w:sz w:val="24"/>
          <w:szCs w:val="24"/>
          <w:lang w:eastAsia="pl-PL"/>
        </w:rPr>
        <w:t>,</w:t>
      </w:r>
      <w:r w:rsidR="00CC78D9">
        <w:rPr>
          <w:rFonts w:ascii="Times New Roman" w:eastAsiaTheme="minorEastAsia" w:hAnsi="Times New Roman" w:cs="Times New Roman"/>
          <w:sz w:val="24"/>
          <w:szCs w:val="24"/>
          <w:lang w:eastAsia="pl-PL"/>
        </w:rPr>
        <w:t xml:space="preserve"> </w:t>
      </w:r>
      <w:r w:rsidR="00C33B4E">
        <w:rPr>
          <w:rFonts w:ascii="Times New Roman" w:eastAsiaTheme="minorEastAsia" w:hAnsi="Times New Roman" w:cs="Times New Roman"/>
          <w:sz w:val="24"/>
          <w:szCs w:val="24"/>
          <w:lang w:eastAsia="pl-PL"/>
        </w:rPr>
        <w:t xml:space="preserve">wynika z art. </w:t>
      </w:r>
      <w:r w:rsidR="00A357C5">
        <w:rPr>
          <w:rFonts w:ascii="Times New Roman" w:eastAsiaTheme="minorEastAsia" w:hAnsi="Times New Roman" w:cs="Times New Roman"/>
          <w:sz w:val="24"/>
          <w:szCs w:val="24"/>
          <w:lang w:eastAsia="pl-PL"/>
        </w:rPr>
        <w:t>9</w:t>
      </w:r>
      <w:r w:rsidR="00CC78D9">
        <w:rPr>
          <w:rFonts w:ascii="Times New Roman" w:eastAsiaTheme="minorEastAsia" w:hAnsi="Times New Roman" w:cs="Times New Roman"/>
          <w:sz w:val="24"/>
          <w:szCs w:val="24"/>
          <w:lang w:eastAsia="pl-PL"/>
        </w:rPr>
        <w:t xml:space="preserve"> ustawy nowelizującej</w:t>
      </w:r>
      <w:r w:rsidR="00C33B4E">
        <w:rPr>
          <w:rFonts w:ascii="Times New Roman" w:eastAsiaTheme="minorEastAsia" w:hAnsi="Times New Roman" w:cs="Times New Roman"/>
          <w:sz w:val="24"/>
          <w:szCs w:val="24"/>
          <w:lang w:eastAsia="pl-PL"/>
        </w:rPr>
        <w:t xml:space="preserve"> (</w:t>
      </w:r>
      <w:r w:rsidR="00CC78D9">
        <w:rPr>
          <w:rFonts w:ascii="Times New Roman" w:eastAsiaTheme="minorEastAsia" w:hAnsi="Times New Roman" w:cs="Times New Roman"/>
          <w:sz w:val="24"/>
          <w:szCs w:val="24"/>
          <w:lang w:eastAsia="pl-PL"/>
        </w:rPr>
        <w:t xml:space="preserve">do </w:t>
      </w:r>
      <w:r w:rsidR="00C33B4E">
        <w:rPr>
          <w:rFonts w:ascii="Times New Roman" w:eastAsiaTheme="minorEastAsia" w:hAnsi="Times New Roman" w:cs="Times New Roman"/>
          <w:sz w:val="24"/>
          <w:szCs w:val="24"/>
          <w:lang w:eastAsia="pl-PL"/>
        </w:rPr>
        <w:t>31 stycznia 2025 r.)</w:t>
      </w:r>
      <w:r w:rsidR="00582436">
        <w:rPr>
          <w:rFonts w:ascii="Times New Roman" w:eastAsiaTheme="minorEastAsia" w:hAnsi="Times New Roman" w:cs="Times New Roman"/>
          <w:sz w:val="24"/>
          <w:szCs w:val="24"/>
          <w:lang w:eastAsia="pl-PL"/>
        </w:rPr>
        <w:t>,</w:t>
      </w:r>
    </w:p>
    <w:p w14:paraId="3A9E7BCF" w14:textId="643A4BD2" w:rsidR="00C33B4E" w:rsidRDefault="00021454" w:rsidP="00BF7234">
      <w:pPr>
        <w:pStyle w:val="Akapitzlist"/>
        <w:numPr>
          <w:ilvl w:val="0"/>
          <w:numId w:val="16"/>
        </w:numPr>
        <w:spacing w:before="120" w:after="0" w:line="360" w:lineRule="auto"/>
        <w:ind w:left="1134" w:hanging="283"/>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t</w:t>
      </w:r>
      <w:r w:rsidR="00C33B4E">
        <w:rPr>
          <w:rFonts w:ascii="Times New Roman" w:eastAsiaTheme="minorEastAsia" w:hAnsi="Times New Roman" w:cs="Times New Roman"/>
          <w:sz w:val="24"/>
          <w:szCs w:val="24"/>
          <w:lang w:eastAsia="pl-PL"/>
        </w:rPr>
        <w:t xml:space="preserve">ermin na wykonanie procedur należytej staranności w stosunku do </w:t>
      </w:r>
      <w:r w:rsidR="00C33B4E" w:rsidRPr="00C33B4E">
        <w:rPr>
          <w:rFonts w:ascii="Times New Roman" w:eastAsiaTheme="minorEastAsia" w:hAnsi="Times New Roman" w:cs="Times New Roman"/>
          <w:sz w:val="24"/>
          <w:szCs w:val="24"/>
          <w:lang w:eastAsia="pl-PL"/>
        </w:rPr>
        <w:t>ram czasowych</w:t>
      </w:r>
      <w:r w:rsidR="00582436">
        <w:rPr>
          <w:rFonts w:ascii="Times New Roman" w:eastAsiaTheme="minorEastAsia" w:hAnsi="Times New Roman" w:cs="Times New Roman"/>
          <w:sz w:val="24"/>
          <w:szCs w:val="24"/>
          <w:lang w:eastAsia="pl-PL"/>
        </w:rPr>
        <w:t>,</w:t>
      </w:r>
      <w:r w:rsidR="00C33B4E" w:rsidRPr="00C33B4E">
        <w:rPr>
          <w:rFonts w:ascii="Times New Roman" w:eastAsiaTheme="minorEastAsia" w:hAnsi="Times New Roman" w:cs="Times New Roman"/>
          <w:sz w:val="24"/>
          <w:szCs w:val="24"/>
          <w:lang w:eastAsia="pl-PL"/>
        </w:rPr>
        <w:t xml:space="preserve"> o których mowa </w:t>
      </w:r>
      <w:r w:rsidR="004024C0">
        <w:rPr>
          <w:rFonts w:ascii="Times New Roman" w:eastAsiaTheme="minorEastAsia" w:hAnsi="Times New Roman" w:cs="Times New Roman"/>
          <w:sz w:val="24"/>
          <w:szCs w:val="24"/>
          <w:lang w:eastAsia="pl-PL"/>
        </w:rPr>
        <w:t xml:space="preserve">w </w:t>
      </w:r>
      <w:r w:rsidR="00C33B4E">
        <w:rPr>
          <w:rFonts w:ascii="Times New Roman" w:eastAsiaTheme="minorEastAsia" w:hAnsi="Times New Roman" w:cs="Times New Roman"/>
          <w:sz w:val="24"/>
          <w:szCs w:val="24"/>
          <w:lang w:eastAsia="pl-PL"/>
        </w:rPr>
        <w:t xml:space="preserve">pkt 2 lit. b </w:t>
      </w:r>
      <w:r w:rsidR="00CC78D9">
        <w:rPr>
          <w:rFonts w:ascii="Times New Roman" w:eastAsiaTheme="minorEastAsia" w:hAnsi="Times New Roman" w:cs="Times New Roman"/>
          <w:sz w:val="24"/>
          <w:szCs w:val="24"/>
          <w:lang w:eastAsia="pl-PL"/>
        </w:rPr>
        <w:t>powyżej</w:t>
      </w:r>
      <w:r w:rsidR="00582436">
        <w:rPr>
          <w:rFonts w:ascii="Times New Roman" w:eastAsiaTheme="minorEastAsia" w:hAnsi="Times New Roman" w:cs="Times New Roman"/>
          <w:sz w:val="24"/>
          <w:szCs w:val="24"/>
          <w:lang w:eastAsia="pl-PL"/>
        </w:rPr>
        <w:t>,</w:t>
      </w:r>
      <w:r w:rsidR="00CC78D9">
        <w:rPr>
          <w:rFonts w:ascii="Times New Roman" w:eastAsiaTheme="minorEastAsia" w:hAnsi="Times New Roman" w:cs="Times New Roman"/>
          <w:sz w:val="24"/>
          <w:szCs w:val="24"/>
          <w:lang w:eastAsia="pl-PL"/>
        </w:rPr>
        <w:t xml:space="preserve"> </w:t>
      </w:r>
      <w:r w:rsidR="00C33B4E">
        <w:rPr>
          <w:rFonts w:ascii="Times New Roman" w:eastAsiaTheme="minorEastAsia" w:hAnsi="Times New Roman" w:cs="Times New Roman"/>
          <w:sz w:val="24"/>
          <w:szCs w:val="24"/>
          <w:lang w:eastAsia="pl-PL"/>
        </w:rPr>
        <w:t xml:space="preserve">wynika z art. </w:t>
      </w:r>
      <w:r w:rsidR="00A357C5">
        <w:rPr>
          <w:rFonts w:ascii="Times New Roman" w:eastAsiaTheme="minorEastAsia" w:hAnsi="Times New Roman" w:cs="Times New Roman"/>
          <w:sz w:val="24"/>
          <w:szCs w:val="24"/>
          <w:lang w:eastAsia="pl-PL"/>
        </w:rPr>
        <w:t>8</w:t>
      </w:r>
      <w:r w:rsidR="00C33B4E">
        <w:rPr>
          <w:rFonts w:ascii="Times New Roman" w:eastAsiaTheme="minorEastAsia" w:hAnsi="Times New Roman" w:cs="Times New Roman"/>
          <w:sz w:val="24"/>
          <w:szCs w:val="24"/>
          <w:lang w:eastAsia="pl-PL"/>
        </w:rPr>
        <w:t xml:space="preserve"> </w:t>
      </w:r>
      <w:r w:rsidR="00CC78D9">
        <w:rPr>
          <w:rFonts w:ascii="Times New Roman" w:eastAsiaTheme="minorEastAsia" w:hAnsi="Times New Roman" w:cs="Times New Roman"/>
          <w:sz w:val="24"/>
          <w:szCs w:val="24"/>
          <w:lang w:eastAsia="pl-PL"/>
        </w:rPr>
        <w:t xml:space="preserve">ustawy nowelizującej </w:t>
      </w:r>
      <w:r w:rsidR="00C33B4E">
        <w:rPr>
          <w:rFonts w:ascii="Times New Roman" w:eastAsiaTheme="minorEastAsia" w:hAnsi="Times New Roman" w:cs="Times New Roman"/>
          <w:sz w:val="24"/>
          <w:szCs w:val="24"/>
          <w:lang w:eastAsia="pl-PL"/>
        </w:rPr>
        <w:t>(</w:t>
      </w:r>
      <w:r w:rsidR="00CC78D9">
        <w:rPr>
          <w:rFonts w:ascii="Times New Roman" w:eastAsiaTheme="minorEastAsia" w:hAnsi="Times New Roman" w:cs="Times New Roman"/>
          <w:sz w:val="24"/>
          <w:szCs w:val="24"/>
          <w:lang w:eastAsia="pl-PL"/>
        </w:rPr>
        <w:t xml:space="preserve">do </w:t>
      </w:r>
      <w:r w:rsidR="00C33B4E">
        <w:rPr>
          <w:rFonts w:ascii="Times New Roman" w:eastAsiaTheme="minorEastAsia" w:hAnsi="Times New Roman" w:cs="Times New Roman"/>
          <w:sz w:val="24"/>
          <w:szCs w:val="24"/>
          <w:lang w:eastAsia="pl-PL"/>
        </w:rPr>
        <w:t>31</w:t>
      </w:r>
      <w:r w:rsidR="00582436">
        <w:rPr>
          <w:rFonts w:ascii="Times New Roman" w:eastAsiaTheme="minorEastAsia" w:hAnsi="Times New Roman" w:cs="Times New Roman"/>
          <w:sz w:val="24"/>
          <w:szCs w:val="24"/>
          <w:lang w:eastAsia="pl-PL"/>
        </w:rPr>
        <w:t> </w:t>
      </w:r>
      <w:r w:rsidR="00C33B4E">
        <w:rPr>
          <w:rFonts w:ascii="Times New Roman" w:eastAsiaTheme="minorEastAsia" w:hAnsi="Times New Roman" w:cs="Times New Roman"/>
          <w:sz w:val="24"/>
          <w:szCs w:val="24"/>
          <w:lang w:eastAsia="pl-PL"/>
        </w:rPr>
        <w:t>grudnia 2024 r.)</w:t>
      </w:r>
      <w:r w:rsidR="00CC78D9">
        <w:rPr>
          <w:rFonts w:ascii="Times New Roman" w:eastAsiaTheme="minorEastAsia" w:hAnsi="Times New Roman" w:cs="Times New Roman"/>
          <w:sz w:val="24"/>
          <w:szCs w:val="24"/>
          <w:lang w:eastAsia="pl-PL"/>
        </w:rPr>
        <w:t>;</w:t>
      </w:r>
    </w:p>
    <w:p w14:paraId="425A7347" w14:textId="2C762F49" w:rsidR="00152C79" w:rsidRPr="006815B9" w:rsidRDefault="00021454" w:rsidP="00BF7234">
      <w:pPr>
        <w:pStyle w:val="Akapitzlist"/>
        <w:numPr>
          <w:ilvl w:val="0"/>
          <w:numId w:val="16"/>
        </w:numPr>
        <w:spacing w:before="120" w:after="0" w:line="360" w:lineRule="auto"/>
        <w:ind w:left="1134" w:hanging="283"/>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t</w:t>
      </w:r>
      <w:r w:rsidR="00152C79" w:rsidRPr="00152C79">
        <w:rPr>
          <w:rFonts w:ascii="Times New Roman" w:eastAsiaTheme="minorEastAsia" w:hAnsi="Times New Roman" w:cs="Times New Roman"/>
          <w:sz w:val="24"/>
          <w:szCs w:val="24"/>
          <w:lang w:eastAsia="pl-PL"/>
        </w:rPr>
        <w:t xml:space="preserve">ermin na wykonanie </w:t>
      </w:r>
      <w:r w:rsidR="00152C79">
        <w:rPr>
          <w:rFonts w:ascii="Times New Roman" w:eastAsiaTheme="minorEastAsia" w:hAnsi="Times New Roman" w:cs="Times New Roman"/>
          <w:sz w:val="24"/>
          <w:szCs w:val="24"/>
          <w:lang w:eastAsia="pl-PL"/>
        </w:rPr>
        <w:t>procedur należytej staranności</w:t>
      </w:r>
      <w:r w:rsidR="00152C79" w:rsidRPr="00152C79">
        <w:rPr>
          <w:rFonts w:ascii="Times New Roman" w:eastAsiaTheme="minorEastAsia" w:hAnsi="Times New Roman" w:cs="Times New Roman"/>
          <w:sz w:val="24"/>
          <w:szCs w:val="24"/>
          <w:lang w:eastAsia="pl-PL"/>
        </w:rPr>
        <w:t xml:space="preserve"> w stosunku do ram czasowych</w:t>
      </w:r>
      <w:r w:rsidR="00582436">
        <w:rPr>
          <w:rFonts w:ascii="Times New Roman" w:eastAsiaTheme="minorEastAsia" w:hAnsi="Times New Roman" w:cs="Times New Roman"/>
          <w:sz w:val="24"/>
          <w:szCs w:val="24"/>
          <w:lang w:eastAsia="pl-PL"/>
        </w:rPr>
        <w:t>,</w:t>
      </w:r>
      <w:r w:rsidR="00152C79" w:rsidRPr="00152C79">
        <w:rPr>
          <w:rFonts w:ascii="Times New Roman" w:eastAsiaTheme="minorEastAsia" w:hAnsi="Times New Roman" w:cs="Times New Roman"/>
          <w:sz w:val="24"/>
          <w:szCs w:val="24"/>
          <w:lang w:eastAsia="pl-PL"/>
        </w:rPr>
        <w:t xml:space="preserve"> o których mowa </w:t>
      </w:r>
      <w:r w:rsidR="004024C0">
        <w:rPr>
          <w:rFonts w:ascii="Times New Roman" w:eastAsiaTheme="minorEastAsia" w:hAnsi="Times New Roman" w:cs="Times New Roman"/>
          <w:sz w:val="24"/>
          <w:szCs w:val="24"/>
          <w:lang w:eastAsia="pl-PL"/>
        </w:rPr>
        <w:t xml:space="preserve">w </w:t>
      </w:r>
      <w:r w:rsidR="00152C79" w:rsidRPr="00152C79">
        <w:rPr>
          <w:rFonts w:ascii="Times New Roman" w:eastAsiaTheme="minorEastAsia" w:hAnsi="Times New Roman" w:cs="Times New Roman"/>
          <w:sz w:val="24"/>
          <w:szCs w:val="24"/>
          <w:lang w:eastAsia="pl-PL"/>
        </w:rPr>
        <w:t xml:space="preserve">pkt 2 lit. c </w:t>
      </w:r>
      <w:r w:rsidR="00CC78D9">
        <w:rPr>
          <w:rFonts w:ascii="Times New Roman" w:eastAsiaTheme="minorEastAsia" w:hAnsi="Times New Roman" w:cs="Times New Roman"/>
          <w:sz w:val="24"/>
          <w:szCs w:val="24"/>
          <w:lang w:eastAsia="pl-PL"/>
        </w:rPr>
        <w:t>powyżej</w:t>
      </w:r>
      <w:r>
        <w:rPr>
          <w:rFonts w:ascii="Times New Roman" w:eastAsiaTheme="minorEastAsia" w:hAnsi="Times New Roman" w:cs="Times New Roman"/>
          <w:sz w:val="24"/>
          <w:szCs w:val="24"/>
          <w:lang w:eastAsia="pl-PL"/>
        </w:rPr>
        <w:t>,</w:t>
      </w:r>
      <w:r w:rsidR="00CC78D9">
        <w:rPr>
          <w:rFonts w:ascii="Times New Roman" w:eastAsiaTheme="minorEastAsia" w:hAnsi="Times New Roman" w:cs="Times New Roman"/>
          <w:sz w:val="24"/>
          <w:szCs w:val="24"/>
          <w:lang w:eastAsia="pl-PL"/>
        </w:rPr>
        <w:t xml:space="preserve"> </w:t>
      </w:r>
      <w:r w:rsidR="00152C79" w:rsidRPr="00152C79">
        <w:rPr>
          <w:rFonts w:ascii="Times New Roman" w:eastAsiaTheme="minorEastAsia" w:hAnsi="Times New Roman" w:cs="Times New Roman"/>
          <w:sz w:val="24"/>
          <w:szCs w:val="24"/>
          <w:lang w:eastAsia="pl-PL"/>
        </w:rPr>
        <w:t>wynika z zasad ogólnych określonych w</w:t>
      </w:r>
      <w:r w:rsidR="00582436">
        <w:rPr>
          <w:rFonts w:ascii="Times New Roman" w:eastAsiaTheme="minorEastAsia" w:hAnsi="Times New Roman" w:cs="Times New Roman"/>
          <w:sz w:val="24"/>
          <w:szCs w:val="24"/>
          <w:lang w:eastAsia="pl-PL"/>
        </w:rPr>
        <w:t> </w:t>
      </w:r>
      <w:r w:rsidR="00152C79" w:rsidRPr="00152C79">
        <w:rPr>
          <w:rFonts w:ascii="Times New Roman" w:eastAsiaTheme="minorEastAsia" w:hAnsi="Times New Roman" w:cs="Times New Roman"/>
          <w:sz w:val="24"/>
          <w:szCs w:val="24"/>
          <w:lang w:eastAsia="pl-PL"/>
        </w:rPr>
        <w:t>art.</w:t>
      </w:r>
      <w:r w:rsidR="00582436">
        <w:rPr>
          <w:rFonts w:ascii="Times New Roman" w:eastAsiaTheme="minorEastAsia" w:hAnsi="Times New Roman" w:cs="Times New Roman"/>
          <w:sz w:val="24"/>
          <w:szCs w:val="24"/>
          <w:lang w:eastAsia="pl-PL"/>
        </w:rPr>
        <w:t> </w:t>
      </w:r>
      <w:r w:rsidR="00152C79" w:rsidRPr="00152C79">
        <w:rPr>
          <w:rFonts w:ascii="Times New Roman" w:eastAsiaTheme="minorEastAsia" w:hAnsi="Times New Roman" w:cs="Times New Roman"/>
          <w:sz w:val="24"/>
          <w:szCs w:val="24"/>
          <w:lang w:eastAsia="pl-PL"/>
        </w:rPr>
        <w:t>75</w:t>
      </w:r>
      <w:r w:rsidR="00152C79">
        <w:rPr>
          <w:rFonts w:ascii="Times New Roman" w:eastAsiaTheme="minorEastAsia" w:hAnsi="Times New Roman" w:cs="Times New Roman"/>
          <w:sz w:val="24"/>
          <w:szCs w:val="24"/>
          <w:lang w:eastAsia="pl-PL"/>
        </w:rPr>
        <w:t>p</w:t>
      </w:r>
      <w:r w:rsidR="00152C79" w:rsidRPr="00152C79">
        <w:rPr>
          <w:rFonts w:ascii="Times New Roman" w:eastAsiaTheme="minorEastAsia" w:hAnsi="Times New Roman" w:cs="Times New Roman"/>
          <w:sz w:val="24"/>
          <w:szCs w:val="24"/>
          <w:lang w:eastAsia="pl-PL"/>
        </w:rPr>
        <w:t xml:space="preserve"> ust. 1</w:t>
      </w:r>
      <w:r w:rsidR="00CC78D9">
        <w:rPr>
          <w:rFonts w:ascii="Times New Roman" w:eastAsiaTheme="minorEastAsia" w:hAnsi="Times New Roman" w:cs="Times New Roman"/>
          <w:sz w:val="24"/>
          <w:szCs w:val="24"/>
          <w:lang w:eastAsia="pl-PL"/>
        </w:rPr>
        <w:t xml:space="preserve"> pkt 1</w:t>
      </w:r>
      <w:r w:rsidR="00152C79" w:rsidRPr="00152C79">
        <w:rPr>
          <w:rFonts w:ascii="Times New Roman" w:eastAsiaTheme="minorEastAsia" w:hAnsi="Times New Roman" w:cs="Times New Roman"/>
          <w:sz w:val="24"/>
          <w:szCs w:val="24"/>
          <w:lang w:eastAsia="pl-PL"/>
        </w:rPr>
        <w:t xml:space="preserve"> </w:t>
      </w:r>
      <w:r w:rsidR="00CC78D9">
        <w:rPr>
          <w:rFonts w:ascii="Times New Roman" w:eastAsiaTheme="minorEastAsia" w:hAnsi="Times New Roman" w:cs="Times New Roman"/>
          <w:sz w:val="24"/>
          <w:szCs w:val="24"/>
          <w:lang w:eastAsia="pl-PL"/>
        </w:rPr>
        <w:t xml:space="preserve">uWIP </w:t>
      </w:r>
      <w:r w:rsidR="00152C79" w:rsidRPr="00152C79">
        <w:rPr>
          <w:rFonts w:ascii="Times New Roman" w:eastAsiaTheme="minorEastAsia" w:hAnsi="Times New Roman" w:cs="Times New Roman"/>
          <w:sz w:val="24"/>
          <w:szCs w:val="24"/>
          <w:lang w:eastAsia="pl-PL"/>
        </w:rPr>
        <w:t>(</w:t>
      </w:r>
      <w:r w:rsidR="00CC78D9">
        <w:rPr>
          <w:rFonts w:ascii="Times New Roman" w:eastAsiaTheme="minorEastAsia" w:hAnsi="Times New Roman" w:cs="Times New Roman"/>
          <w:sz w:val="24"/>
          <w:szCs w:val="24"/>
          <w:lang w:eastAsia="pl-PL"/>
        </w:rPr>
        <w:t xml:space="preserve">do 31 grudnia okresu sprawozdawczego, tj. w omawianym przypadku do </w:t>
      </w:r>
      <w:r w:rsidR="00152C79" w:rsidRPr="00152C79">
        <w:rPr>
          <w:rFonts w:ascii="Times New Roman" w:eastAsiaTheme="minorEastAsia" w:hAnsi="Times New Roman" w:cs="Times New Roman"/>
          <w:sz w:val="24"/>
          <w:szCs w:val="24"/>
          <w:lang w:eastAsia="pl-PL"/>
        </w:rPr>
        <w:t xml:space="preserve">31 </w:t>
      </w:r>
      <w:r w:rsidR="00152C79">
        <w:rPr>
          <w:rFonts w:ascii="Times New Roman" w:eastAsiaTheme="minorEastAsia" w:hAnsi="Times New Roman" w:cs="Times New Roman"/>
          <w:sz w:val="24"/>
          <w:szCs w:val="24"/>
          <w:lang w:eastAsia="pl-PL"/>
        </w:rPr>
        <w:t>grudnia</w:t>
      </w:r>
      <w:r w:rsidR="00152C79" w:rsidRPr="00152C79">
        <w:rPr>
          <w:rFonts w:ascii="Times New Roman" w:eastAsiaTheme="minorEastAsia" w:hAnsi="Times New Roman" w:cs="Times New Roman"/>
          <w:sz w:val="24"/>
          <w:szCs w:val="24"/>
          <w:lang w:eastAsia="pl-PL"/>
        </w:rPr>
        <w:t xml:space="preserve"> 202</w:t>
      </w:r>
      <w:r w:rsidR="00152C79">
        <w:rPr>
          <w:rFonts w:ascii="Times New Roman" w:eastAsiaTheme="minorEastAsia" w:hAnsi="Times New Roman" w:cs="Times New Roman"/>
          <w:sz w:val="24"/>
          <w:szCs w:val="24"/>
          <w:lang w:eastAsia="pl-PL"/>
        </w:rPr>
        <w:t>4</w:t>
      </w:r>
      <w:r w:rsidR="00152C79" w:rsidRPr="00152C79">
        <w:rPr>
          <w:rFonts w:ascii="Times New Roman" w:eastAsiaTheme="minorEastAsia" w:hAnsi="Times New Roman" w:cs="Times New Roman"/>
          <w:sz w:val="24"/>
          <w:szCs w:val="24"/>
          <w:lang w:eastAsia="pl-PL"/>
        </w:rPr>
        <w:t xml:space="preserve"> r.)</w:t>
      </w:r>
      <w:r w:rsidR="00CC78D9">
        <w:rPr>
          <w:rFonts w:ascii="Times New Roman" w:eastAsiaTheme="minorEastAsia" w:hAnsi="Times New Roman" w:cs="Times New Roman"/>
          <w:sz w:val="24"/>
          <w:szCs w:val="24"/>
          <w:lang w:eastAsia="pl-PL"/>
        </w:rPr>
        <w:t>;</w:t>
      </w:r>
    </w:p>
    <w:p w14:paraId="3E6C3EC3" w14:textId="2DBA3334" w:rsidR="00F9404C" w:rsidRPr="006815B9" w:rsidRDefault="00021454" w:rsidP="00BF7234">
      <w:pPr>
        <w:pStyle w:val="Akapitzlist"/>
        <w:numPr>
          <w:ilvl w:val="0"/>
          <w:numId w:val="16"/>
        </w:numPr>
        <w:spacing w:before="120" w:after="0" w:line="360" w:lineRule="auto"/>
        <w:ind w:left="1134" w:hanging="283"/>
        <w:jc w:val="both"/>
        <w:rPr>
          <w:rFonts w:ascii="Times New Roman" w:hAnsi="Times New Roman" w:cs="Times New Roman"/>
          <w:szCs w:val="24"/>
        </w:rPr>
      </w:pPr>
      <w:r>
        <w:rPr>
          <w:rFonts w:ascii="Times New Roman" w:eastAsiaTheme="minorEastAsia" w:hAnsi="Times New Roman" w:cs="Times New Roman"/>
          <w:sz w:val="24"/>
          <w:szCs w:val="24"/>
          <w:lang w:eastAsia="pl-PL"/>
        </w:rPr>
        <w:t>t</w:t>
      </w:r>
      <w:r w:rsidR="00C33B4E">
        <w:rPr>
          <w:rFonts w:ascii="Times New Roman" w:eastAsiaTheme="minorEastAsia" w:hAnsi="Times New Roman" w:cs="Times New Roman"/>
          <w:sz w:val="24"/>
          <w:szCs w:val="24"/>
          <w:lang w:eastAsia="pl-PL"/>
        </w:rPr>
        <w:t xml:space="preserve">ermin na wykonanie </w:t>
      </w:r>
      <w:r w:rsidR="00152C79">
        <w:rPr>
          <w:rFonts w:ascii="Times New Roman" w:eastAsiaTheme="minorEastAsia" w:hAnsi="Times New Roman" w:cs="Times New Roman"/>
          <w:sz w:val="24"/>
          <w:szCs w:val="24"/>
          <w:lang w:eastAsia="pl-PL"/>
        </w:rPr>
        <w:t>obowiązków sprawozdawczych</w:t>
      </w:r>
      <w:r w:rsidR="00C33B4E">
        <w:rPr>
          <w:rFonts w:ascii="Times New Roman" w:eastAsiaTheme="minorEastAsia" w:hAnsi="Times New Roman" w:cs="Times New Roman"/>
          <w:sz w:val="24"/>
          <w:szCs w:val="24"/>
          <w:lang w:eastAsia="pl-PL"/>
        </w:rPr>
        <w:t xml:space="preserve"> w stosunku do</w:t>
      </w:r>
      <w:r w:rsidR="00C33B4E" w:rsidRPr="00C33B4E">
        <w:rPr>
          <w:rFonts w:ascii="Times New Roman" w:eastAsiaTheme="minorEastAsia" w:hAnsi="Times New Roman" w:cs="Times New Roman"/>
          <w:sz w:val="24"/>
          <w:szCs w:val="24"/>
          <w:lang w:eastAsia="pl-PL"/>
        </w:rPr>
        <w:t xml:space="preserve"> ram czasowych</w:t>
      </w:r>
      <w:r w:rsidR="00582436">
        <w:rPr>
          <w:rFonts w:ascii="Times New Roman" w:eastAsiaTheme="minorEastAsia" w:hAnsi="Times New Roman" w:cs="Times New Roman"/>
          <w:sz w:val="24"/>
          <w:szCs w:val="24"/>
          <w:lang w:eastAsia="pl-PL"/>
        </w:rPr>
        <w:t>,</w:t>
      </w:r>
      <w:r w:rsidR="00C33B4E" w:rsidRPr="00C33B4E">
        <w:rPr>
          <w:rFonts w:ascii="Times New Roman" w:eastAsiaTheme="minorEastAsia" w:hAnsi="Times New Roman" w:cs="Times New Roman"/>
          <w:sz w:val="24"/>
          <w:szCs w:val="24"/>
          <w:lang w:eastAsia="pl-PL"/>
        </w:rPr>
        <w:t xml:space="preserve"> o których mowa</w:t>
      </w:r>
      <w:r w:rsidR="004024C0">
        <w:rPr>
          <w:rFonts w:ascii="Times New Roman" w:eastAsiaTheme="minorEastAsia" w:hAnsi="Times New Roman" w:cs="Times New Roman"/>
          <w:sz w:val="24"/>
          <w:szCs w:val="24"/>
          <w:lang w:eastAsia="pl-PL"/>
        </w:rPr>
        <w:t xml:space="preserve"> w</w:t>
      </w:r>
      <w:r w:rsidR="00C33B4E">
        <w:rPr>
          <w:rFonts w:ascii="Times New Roman" w:eastAsiaTheme="minorEastAsia" w:hAnsi="Times New Roman" w:cs="Times New Roman"/>
          <w:sz w:val="24"/>
          <w:szCs w:val="24"/>
          <w:lang w:eastAsia="pl-PL"/>
        </w:rPr>
        <w:t xml:space="preserve"> pkt 2 lit.</w:t>
      </w:r>
      <w:r w:rsidR="00152C79">
        <w:rPr>
          <w:rFonts w:ascii="Times New Roman" w:eastAsiaTheme="minorEastAsia" w:hAnsi="Times New Roman" w:cs="Times New Roman"/>
          <w:sz w:val="24"/>
          <w:szCs w:val="24"/>
          <w:lang w:eastAsia="pl-PL"/>
        </w:rPr>
        <w:t xml:space="preserve"> b i c</w:t>
      </w:r>
      <w:r w:rsidR="00C33B4E">
        <w:rPr>
          <w:rFonts w:ascii="Times New Roman" w:eastAsiaTheme="minorEastAsia" w:hAnsi="Times New Roman" w:cs="Times New Roman"/>
          <w:sz w:val="24"/>
          <w:szCs w:val="24"/>
          <w:lang w:eastAsia="pl-PL"/>
        </w:rPr>
        <w:t xml:space="preserve"> </w:t>
      </w:r>
      <w:r w:rsidR="00CC78D9">
        <w:rPr>
          <w:rFonts w:ascii="Times New Roman" w:eastAsiaTheme="minorEastAsia" w:hAnsi="Times New Roman" w:cs="Times New Roman"/>
          <w:sz w:val="24"/>
          <w:szCs w:val="24"/>
          <w:lang w:eastAsia="pl-PL"/>
        </w:rPr>
        <w:t>powyżej</w:t>
      </w:r>
      <w:r>
        <w:rPr>
          <w:rFonts w:ascii="Times New Roman" w:eastAsiaTheme="minorEastAsia" w:hAnsi="Times New Roman" w:cs="Times New Roman"/>
          <w:sz w:val="24"/>
          <w:szCs w:val="24"/>
          <w:lang w:eastAsia="pl-PL"/>
        </w:rPr>
        <w:t>,</w:t>
      </w:r>
      <w:r w:rsidR="00CC78D9">
        <w:rPr>
          <w:rFonts w:ascii="Times New Roman" w:eastAsiaTheme="minorEastAsia" w:hAnsi="Times New Roman" w:cs="Times New Roman"/>
          <w:sz w:val="24"/>
          <w:szCs w:val="24"/>
          <w:lang w:eastAsia="pl-PL"/>
        </w:rPr>
        <w:t xml:space="preserve"> </w:t>
      </w:r>
      <w:r w:rsidR="00C33B4E">
        <w:rPr>
          <w:rFonts w:ascii="Times New Roman" w:eastAsiaTheme="minorEastAsia" w:hAnsi="Times New Roman" w:cs="Times New Roman"/>
          <w:sz w:val="24"/>
          <w:szCs w:val="24"/>
          <w:lang w:eastAsia="pl-PL"/>
        </w:rPr>
        <w:t xml:space="preserve">wynika z </w:t>
      </w:r>
      <w:r w:rsidR="00152C79">
        <w:rPr>
          <w:rFonts w:ascii="Times New Roman" w:eastAsiaTheme="minorEastAsia" w:hAnsi="Times New Roman" w:cs="Times New Roman"/>
          <w:sz w:val="24"/>
          <w:szCs w:val="24"/>
          <w:lang w:eastAsia="pl-PL"/>
        </w:rPr>
        <w:t>zasad ogólnych określonych w art. 75b ust. 1</w:t>
      </w:r>
      <w:r w:rsidR="00C33B4E">
        <w:rPr>
          <w:rFonts w:ascii="Times New Roman" w:eastAsiaTheme="minorEastAsia" w:hAnsi="Times New Roman" w:cs="Times New Roman"/>
          <w:sz w:val="24"/>
          <w:szCs w:val="24"/>
          <w:lang w:eastAsia="pl-PL"/>
        </w:rPr>
        <w:t xml:space="preserve"> </w:t>
      </w:r>
      <w:r w:rsidR="00CC78D9">
        <w:rPr>
          <w:rFonts w:ascii="Times New Roman" w:eastAsiaTheme="minorEastAsia" w:hAnsi="Times New Roman" w:cs="Times New Roman"/>
          <w:sz w:val="24"/>
          <w:szCs w:val="24"/>
          <w:lang w:eastAsia="pl-PL"/>
        </w:rPr>
        <w:t xml:space="preserve">uWIP </w:t>
      </w:r>
      <w:r w:rsidR="00C33B4E">
        <w:rPr>
          <w:rFonts w:ascii="Times New Roman" w:eastAsiaTheme="minorEastAsia" w:hAnsi="Times New Roman" w:cs="Times New Roman"/>
          <w:sz w:val="24"/>
          <w:szCs w:val="24"/>
          <w:lang w:eastAsia="pl-PL"/>
        </w:rPr>
        <w:t>(</w:t>
      </w:r>
      <w:r w:rsidR="00CC78D9">
        <w:rPr>
          <w:rFonts w:ascii="Times New Roman" w:eastAsiaTheme="minorEastAsia" w:hAnsi="Times New Roman" w:cs="Times New Roman"/>
          <w:sz w:val="24"/>
          <w:szCs w:val="24"/>
          <w:lang w:eastAsia="pl-PL"/>
        </w:rPr>
        <w:t xml:space="preserve">do </w:t>
      </w:r>
      <w:r w:rsidR="00C33B4E">
        <w:rPr>
          <w:rFonts w:ascii="Times New Roman" w:eastAsiaTheme="minorEastAsia" w:hAnsi="Times New Roman" w:cs="Times New Roman"/>
          <w:sz w:val="24"/>
          <w:szCs w:val="24"/>
          <w:lang w:eastAsia="pl-PL"/>
        </w:rPr>
        <w:t xml:space="preserve">31 </w:t>
      </w:r>
      <w:r w:rsidR="00152C79">
        <w:rPr>
          <w:rFonts w:ascii="Times New Roman" w:eastAsiaTheme="minorEastAsia" w:hAnsi="Times New Roman" w:cs="Times New Roman"/>
          <w:sz w:val="24"/>
          <w:szCs w:val="24"/>
          <w:lang w:eastAsia="pl-PL"/>
        </w:rPr>
        <w:t>stycznia</w:t>
      </w:r>
      <w:r w:rsidR="00C33B4E">
        <w:rPr>
          <w:rFonts w:ascii="Times New Roman" w:eastAsiaTheme="minorEastAsia" w:hAnsi="Times New Roman" w:cs="Times New Roman"/>
          <w:sz w:val="24"/>
          <w:szCs w:val="24"/>
          <w:lang w:eastAsia="pl-PL"/>
        </w:rPr>
        <w:t xml:space="preserve"> 202</w:t>
      </w:r>
      <w:r w:rsidR="00152C79">
        <w:rPr>
          <w:rFonts w:ascii="Times New Roman" w:eastAsiaTheme="minorEastAsia" w:hAnsi="Times New Roman" w:cs="Times New Roman"/>
          <w:sz w:val="24"/>
          <w:szCs w:val="24"/>
          <w:lang w:eastAsia="pl-PL"/>
        </w:rPr>
        <w:t>5</w:t>
      </w:r>
      <w:r w:rsidR="00C33B4E">
        <w:rPr>
          <w:rFonts w:ascii="Times New Roman" w:eastAsiaTheme="minorEastAsia" w:hAnsi="Times New Roman" w:cs="Times New Roman"/>
          <w:sz w:val="24"/>
          <w:szCs w:val="24"/>
          <w:lang w:eastAsia="pl-PL"/>
        </w:rPr>
        <w:t xml:space="preserve"> r.)</w:t>
      </w:r>
      <w:r w:rsidR="00CC78D9">
        <w:rPr>
          <w:rFonts w:ascii="Times New Roman" w:eastAsiaTheme="minorEastAsia" w:hAnsi="Times New Roman" w:cs="Times New Roman"/>
          <w:sz w:val="24"/>
          <w:szCs w:val="24"/>
          <w:lang w:eastAsia="pl-PL"/>
        </w:rPr>
        <w:t>.</w:t>
      </w:r>
    </w:p>
    <w:p w14:paraId="02F8A68A" w14:textId="78E6B673" w:rsidR="000612B6" w:rsidRPr="00EB304C" w:rsidRDefault="00F9404C" w:rsidP="00507007">
      <w:pPr>
        <w:pStyle w:val="ZUSTzmustartykuempunktem"/>
        <w:spacing w:before="120"/>
        <w:ind w:left="0" w:firstLine="0"/>
        <w:rPr>
          <w:rFonts w:ascii="Times New Roman" w:hAnsi="Times New Roman" w:cs="Times New Roman"/>
          <w:szCs w:val="24"/>
        </w:rPr>
      </w:pPr>
      <w:r>
        <w:rPr>
          <w:rFonts w:ascii="Times New Roman" w:hAnsi="Times New Roman" w:cs="Times New Roman"/>
          <w:szCs w:val="24"/>
        </w:rPr>
        <w:t xml:space="preserve">Informacja </w:t>
      </w:r>
      <w:r w:rsidR="008A19FC">
        <w:rPr>
          <w:rFonts w:ascii="Times New Roman" w:hAnsi="Times New Roman" w:cs="Times New Roman"/>
          <w:szCs w:val="24"/>
        </w:rPr>
        <w:t xml:space="preserve">o sprzedawcach </w:t>
      </w:r>
      <w:r>
        <w:rPr>
          <w:rFonts w:ascii="Times New Roman" w:hAnsi="Times New Roman" w:cs="Times New Roman"/>
          <w:szCs w:val="24"/>
        </w:rPr>
        <w:t xml:space="preserve">za powyższe okresy sprawozdawcze </w:t>
      </w:r>
      <w:r w:rsidR="008A19FC">
        <w:rPr>
          <w:rFonts w:ascii="Times New Roman" w:hAnsi="Times New Roman" w:cs="Times New Roman"/>
          <w:szCs w:val="24"/>
        </w:rPr>
        <w:t xml:space="preserve">(2023 r. i 2024 r.) </w:t>
      </w:r>
      <w:r w:rsidR="00D759FA">
        <w:rPr>
          <w:rFonts w:ascii="Times New Roman" w:hAnsi="Times New Roman" w:cs="Times New Roman"/>
          <w:szCs w:val="24"/>
        </w:rPr>
        <w:t xml:space="preserve">jest </w:t>
      </w:r>
      <w:r>
        <w:rPr>
          <w:rFonts w:ascii="Times New Roman" w:hAnsi="Times New Roman" w:cs="Times New Roman"/>
          <w:szCs w:val="24"/>
        </w:rPr>
        <w:t>przekazywana</w:t>
      </w:r>
      <w:r w:rsidR="00676B3A">
        <w:rPr>
          <w:rFonts w:ascii="Times New Roman" w:hAnsi="Times New Roman" w:cs="Times New Roman"/>
          <w:szCs w:val="24"/>
        </w:rPr>
        <w:t xml:space="preserve"> odrębnie dla każdego z tych </w:t>
      </w:r>
      <w:r w:rsidR="001F4116">
        <w:rPr>
          <w:rFonts w:ascii="Times New Roman" w:hAnsi="Times New Roman" w:cs="Times New Roman"/>
          <w:szCs w:val="24"/>
        </w:rPr>
        <w:t>okresów sprawozdawczych</w:t>
      </w:r>
      <w:r>
        <w:rPr>
          <w:rFonts w:ascii="Times New Roman" w:hAnsi="Times New Roman" w:cs="Times New Roman"/>
          <w:szCs w:val="24"/>
        </w:rPr>
        <w:t>.</w:t>
      </w:r>
      <w:r w:rsidR="004B2F02">
        <w:rPr>
          <w:rFonts w:ascii="Times New Roman" w:hAnsi="Times New Roman" w:cs="Times New Roman"/>
          <w:szCs w:val="24"/>
        </w:rPr>
        <w:t xml:space="preserve"> Do raportowania za te okresy sprawozdawcze oraz do wykonania procedur należytej staranności</w:t>
      </w:r>
      <w:r w:rsidR="00400478">
        <w:rPr>
          <w:rFonts w:ascii="Times New Roman" w:hAnsi="Times New Roman" w:cs="Times New Roman"/>
          <w:szCs w:val="24"/>
        </w:rPr>
        <w:t xml:space="preserve"> w odniesieniu do tych okresów sprawozdawczych</w:t>
      </w:r>
      <w:r w:rsidR="004B2F02">
        <w:rPr>
          <w:rFonts w:ascii="Times New Roman" w:hAnsi="Times New Roman" w:cs="Times New Roman"/>
          <w:szCs w:val="24"/>
        </w:rPr>
        <w:t xml:space="preserve"> zobowiązane są także te podmioty, które od wejścia w życie ustawy nie spełniają już warunku uznania za </w:t>
      </w:r>
      <w:r w:rsidR="004B2F02" w:rsidRPr="003422A8">
        <w:t xml:space="preserve">raportującego operatora platformy </w:t>
      </w:r>
      <w:bookmarkStart w:id="2" w:name="_Hlk155705345"/>
      <w:r w:rsidR="004B2F02" w:rsidRPr="003422A8">
        <w:t>w rozumieniu art. 75a ust. 1 pkt 1</w:t>
      </w:r>
      <w:bookmarkEnd w:id="2"/>
      <w:r w:rsidR="004B2F02">
        <w:t xml:space="preserve">4 uWIP, ale spełniły ten warunek w dowolnym momencie okresu od </w:t>
      </w:r>
      <w:r w:rsidR="004B2F02" w:rsidRPr="003422A8">
        <w:t>dnia 1</w:t>
      </w:r>
      <w:r w:rsidR="00316B79">
        <w:t> </w:t>
      </w:r>
      <w:r w:rsidR="004B2F02" w:rsidRPr="003422A8">
        <w:t xml:space="preserve">stycznia 2023 r. do dnia </w:t>
      </w:r>
      <w:r w:rsidR="004B2F02">
        <w:t xml:space="preserve">poprzedzającego dzień wejścia w życie ustawy nowelizującej (zob. art. </w:t>
      </w:r>
      <w:r w:rsidR="00A357C5">
        <w:t>9</w:t>
      </w:r>
      <w:r w:rsidR="004B2F02">
        <w:t xml:space="preserve"> ust. 1 ustawy nowelizującej).</w:t>
      </w:r>
    </w:p>
    <w:p w14:paraId="0E376E68" w14:textId="1AAA1685" w:rsidR="00B44D2F" w:rsidRDefault="0039366F" w:rsidP="00507007">
      <w:pPr>
        <w:pStyle w:val="ZUSTzmustartykuempunktem"/>
        <w:spacing w:before="120"/>
        <w:ind w:left="0" w:firstLine="0"/>
        <w:rPr>
          <w:rFonts w:ascii="Times New Roman" w:hAnsi="Times New Roman" w:cs="Times New Roman"/>
        </w:rPr>
      </w:pPr>
      <w:r w:rsidRPr="00EB304C">
        <w:rPr>
          <w:rFonts w:ascii="Times New Roman" w:hAnsi="Times New Roman" w:cs="Times New Roman"/>
        </w:rPr>
        <w:lastRenderedPageBreak/>
        <w:t xml:space="preserve">Art. </w:t>
      </w:r>
      <w:r w:rsidR="00A357C5">
        <w:rPr>
          <w:rFonts w:ascii="Times New Roman" w:hAnsi="Times New Roman" w:cs="Times New Roman"/>
        </w:rPr>
        <w:t>11</w:t>
      </w:r>
      <w:r w:rsidR="00B31D89">
        <w:rPr>
          <w:rFonts w:ascii="Times New Roman" w:hAnsi="Times New Roman" w:cs="Times New Roman"/>
        </w:rPr>
        <w:t>–</w:t>
      </w:r>
      <w:r w:rsidR="00BA0005">
        <w:rPr>
          <w:rFonts w:ascii="Times New Roman" w:hAnsi="Times New Roman" w:cs="Times New Roman"/>
        </w:rPr>
        <w:t>1</w:t>
      </w:r>
      <w:r w:rsidR="00680AAE">
        <w:rPr>
          <w:rFonts w:ascii="Times New Roman" w:hAnsi="Times New Roman" w:cs="Times New Roman"/>
        </w:rPr>
        <w:t>7</w:t>
      </w:r>
      <w:r w:rsidR="00DE5836">
        <w:rPr>
          <w:rFonts w:ascii="Times New Roman" w:hAnsi="Times New Roman" w:cs="Times New Roman"/>
        </w:rPr>
        <w:t xml:space="preserve"> </w:t>
      </w:r>
      <w:r w:rsidRPr="00EB304C">
        <w:rPr>
          <w:rFonts w:ascii="Times New Roman" w:hAnsi="Times New Roman" w:cs="Times New Roman"/>
        </w:rPr>
        <w:t>wprowadzają niezbędne przepisy przejściowe.</w:t>
      </w:r>
    </w:p>
    <w:p w14:paraId="4EFA1821" w14:textId="12D63CE0" w:rsidR="00B44D2F" w:rsidRDefault="00B44D2F" w:rsidP="00507007">
      <w:pPr>
        <w:pStyle w:val="ZUSTzmustartykuempunktem"/>
        <w:spacing w:before="120"/>
        <w:ind w:left="0" w:firstLine="0"/>
        <w:rPr>
          <w:rFonts w:ascii="Times New Roman" w:hAnsi="Times New Roman" w:cs="Times New Roman"/>
        </w:rPr>
      </w:pPr>
      <w:r>
        <w:rPr>
          <w:rFonts w:ascii="Times New Roman" w:hAnsi="Times New Roman" w:cs="Times New Roman"/>
        </w:rPr>
        <w:t xml:space="preserve">Zastosowanie art. 15 ust. 3 uWIP po raz pierwszy w odniesieniu do informacji podatkowych o dochodach uzyskanych po dniu 31 grudnia 2023 r. wynika z brzmienia dyrektywy DAC7 i oznacza, że informacje w tym zakresie zostaną </w:t>
      </w:r>
      <w:r w:rsidR="00F41E54">
        <w:rPr>
          <w:rFonts w:ascii="Times New Roman" w:hAnsi="Times New Roman" w:cs="Times New Roman"/>
        </w:rPr>
        <w:t>wymienione</w:t>
      </w:r>
      <w:r>
        <w:rPr>
          <w:rFonts w:ascii="Times New Roman" w:hAnsi="Times New Roman" w:cs="Times New Roman"/>
        </w:rPr>
        <w:t xml:space="preserve"> </w:t>
      </w:r>
      <w:r w:rsidR="00F4177C">
        <w:rPr>
          <w:rFonts w:ascii="Times New Roman" w:hAnsi="Times New Roman" w:cs="Times New Roman"/>
        </w:rPr>
        <w:t xml:space="preserve">przez Szefa KAS </w:t>
      </w:r>
      <w:r>
        <w:rPr>
          <w:rFonts w:ascii="Times New Roman" w:hAnsi="Times New Roman" w:cs="Times New Roman"/>
        </w:rPr>
        <w:t xml:space="preserve">po raz pierwszy </w:t>
      </w:r>
      <w:r w:rsidR="00F41E54">
        <w:rPr>
          <w:rFonts w:ascii="Times New Roman" w:hAnsi="Times New Roman" w:cs="Times New Roman"/>
        </w:rPr>
        <w:t>po zakończeniu 2024 r.</w:t>
      </w:r>
      <w:r w:rsidR="00EC01D4">
        <w:rPr>
          <w:rFonts w:ascii="Times New Roman" w:hAnsi="Times New Roman" w:cs="Times New Roman"/>
        </w:rPr>
        <w:t xml:space="preserve"> (tj. po zakończeniu roku podatkowego osób fizycznych rozpoczynającego się po dniu 31 grudnia 2023 r.).</w:t>
      </w:r>
    </w:p>
    <w:p w14:paraId="4897A7B8" w14:textId="1140EA28" w:rsidR="0039366F" w:rsidRPr="00EB304C" w:rsidRDefault="00204182" w:rsidP="00507007">
      <w:pPr>
        <w:pStyle w:val="ZUSTzmustartykuempunktem"/>
        <w:spacing w:before="120"/>
        <w:ind w:left="0" w:firstLine="0"/>
        <w:rPr>
          <w:rFonts w:ascii="Times New Roman" w:hAnsi="Times New Roman" w:cs="Times New Roman"/>
        </w:rPr>
      </w:pPr>
      <w:r>
        <w:rPr>
          <w:rFonts w:ascii="Times New Roman" w:hAnsi="Times New Roman" w:cs="Times New Roman"/>
        </w:rPr>
        <w:t>Art. 14 odnosi się do stosowania art. 4 uWIP (w zmienianym brzmieniu) względem żądań, które zostały skierowan</w:t>
      </w:r>
      <w:r w:rsidR="00B104E8">
        <w:rPr>
          <w:rFonts w:ascii="Times New Roman" w:hAnsi="Times New Roman" w:cs="Times New Roman"/>
        </w:rPr>
        <w:t>e</w:t>
      </w:r>
      <w:r>
        <w:rPr>
          <w:rFonts w:ascii="Times New Roman" w:hAnsi="Times New Roman" w:cs="Times New Roman"/>
        </w:rPr>
        <w:t xml:space="preserve"> do organu lub instytucji wymienionych w art. 4 </w:t>
      </w:r>
      <w:proofErr w:type="spellStart"/>
      <w:r>
        <w:rPr>
          <w:rFonts w:ascii="Times New Roman" w:hAnsi="Times New Roman" w:cs="Times New Roman"/>
        </w:rPr>
        <w:t>uWIP</w:t>
      </w:r>
      <w:proofErr w:type="spellEnd"/>
      <w:r>
        <w:rPr>
          <w:rFonts w:ascii="Times New Roman" w:hAnsi="Times New Roman" w:cs="Times New Roman"/>
        </w:rPr>
        <w:t xml:space="preserve"> przed </w:t>
      </w:r>
      <w:r w:rsidR="00F4177C">
        <w:rPr>
          <w:rFonts w:ascii="Times New Roman" w:hAnsi="Times New Roman" w:cs="Times New Roman"/>
        </w:rPr>
        <w:t xml:space="preserve">dniem </w:t>
      </w:r>
      <w:r>
        <w:rPr>
          <w:rFonts w:ascii="Times New Roman" w:hAnsi="Times New Roman" w:cs="Times New Roman"/>
        </w:rPr>
        <w:t>wejści</w:t>
      </w:r>
      <w:r w:rsidR="00F4177C">
        <w:rPr>
          <w:rFonts w:ascii="Times New Roman" w:hAnsi="Times New Roman" w:cs="Times New Roman"/>
        </w:rPr>
        <w:t>a</w:t>
      </w:r>
      <w:r>
        <w:rPr>
          <w:rFonts w:ascii="Times New Roman" w:hAnsi="Times New Roman" w:cs="Times New Roman"/>
        </w:rPr>
        <w:t xml:space="preserve"> w życie ustawy nowelizującej. Jeżeli do dnia poprzedzającego dzień wejścia w życie ustawy nowelizującej nie doszło jeszcze do udzielenia informacji przez wskazany organ lub instytucję (w odpowiedzi na żądanie skierowane wobec nich na podstawie art. 4 uWIP), zastosowanie znajdą przepisy art. 4 uWIP w brzmieniu nadanym ustawą nowelizującą.</w:t>
      </w:r>
      <w:r>
        <w:t xml:space="preserve"> </w:t>
      </w:r>
    </w:p>
    <w:p w14:paraId="3F524959" w14:textId="446DA53D" w:rsidR="00B8380C" w:rsidRPr="00EB304C" w:rsidRDefault="0075533A" w:rsidP="00507007">
      <w:pPr>
        <w:pStyle w:val="ZUSTzmustartykuempunktem"/>
        <w:spacing w:before="120"/>
        <w:ind w:left="0" w:firstLine="0"/>
        <w:rPr>
          <w:rFonts w:ascii="Times New Roman" w:hAnsi="Times New Roman" w:cs="Times New Roman"/>
        </w:rPr>
      </w:pPr>
      <w:r w:rsidRPr="00EB304C">
        <w:rPr>
          <w:rFonts w:ascii="Times New Roman" w:hAnsi="Times New Roman" w:cs="Times New Roman"/>
        </w:rPr>
        <w:t xml:space="preserve">Ustawa wchodzi w życie z dniem 1 </w:t>
      </w:r>
      <w:r w:rsidR="00D21912">
        <w:rPr>
          <w:rFonts w:ascii="Times New Roman" w:hAnsi="Times New Roman" w:cs="Times New Roman"/>
        </w:rPr>
        <w:t>lipca</w:t>
      </w:r>
      <w:r w:rsidR="00F470FB" w:rsidRPr="00EB304C">
        <w:rPr>
          <w:rFonts w:ascii="Times New Roman" w:hAnsi="Times New Roman" w:cs="Times New Roman"/>
        </w:rPr>
        <w:t xml:space="preserve"> </w:t>
      </w:r>
      <w:r w:rsidRPr="00EB304C">
        <w:rPr>
          <w:rFonts w:ascii="Times New Roman" w:hAnsi="Times New Roman" w:cs="Times New Roman"/>
        </w:rPr>
        <w:t>202</w:t>
      </w:r>
      <w:r w:rsidR="00D21912">
        <w:rPr>
          <w:rFonts w:ascii="Times New Roman" w:hAnsi="Times New Roman" w:cs="Times New Roman"/>
        </w:rPr>
        <w:t>4</w:t>
      </w:r>
      <w:r w:rsidRPr="00EB304C">
        <w:rPr>
          <w:rFonts w:ascii="Times New Roman" w:hAnsi="Times New Roman" w:cs="Times New Roman"/>
        </w:rPr>
        <w:t xml:space="preserve"> r. (art. </w:t>
      </w:r>
      <w:r w:rsidR="00F470FB" w:rsidRPr="00EB304C">
        <w:rPr>
          <w:rFonts w:ascii="Times New Roman" w:hAnsi="Times New Roman" w:cs="Times New Roman"/>
        </w:rPr>
        <w:t>1</w:t>
      </w:r>
      <w:r w:rsidR="00A357C5">
        <w:rPr>
          <w:rFonts w:ascii="Times New Roman" w:hAnsi="Times New Roman" w:cs="Times New Roman"/>
        </w:rPr>
        <w:t>8</w:t>
      </w:r>
      <w:r w:rsidRPr="00EB304C">
        <w:rPr>
          <w:rFonts w:ascii="Times New Roman" w:hAnsi="Times New Roman" w:cs="Times New Roman"/>
        </w:rPr>
        <w:t xml:space="preserve"> projektu ustawy)</w:t>
      </w:r>
      <w:r w:rsidR="00EF6FA3">
        <w:rPr>
          <w:rFonts w:ascii="Times New Roman" w:hAnsi="Times New Roman" w:cs="Times New Roman"/>
        </w:rPr>
        <w:t>,</w:t>
      </w:r>
      <w:r w:rsidR="00B8380C">
        <w:rPr>
          <w:rFonts w:ascii="Times New Roman" w:hAnsi="Times New Roman" w:cs="Times New Roman"/>
        </w:rPr>
        <w:t xml:space="preserve"> z wyjątkiem przepisu dotyczącego oświadczeń składanych na potrzeby </w:t>
      </w:r>
      <w:r w:rsidR="00F4177C">
        <w:rPr>
          <w:rFonts w:ascii="Times New Roman" w:hAnsi="Times New Roman" w:cs="Times New Roman"/>
        </w:rPr>
        <w:t xml:space="preserve">ustawy </w:t>
      </w:r>
      <w:r w:rsidR="00B8380C">
        <w:rPr>
          <w:rFonts w:ascii="Times New Roman" w:hAnsi="Times New Roman" w:cs="Times New Roman"/>
        </w:rPr>
        <w:t>FATCA (art. 4 pkt 1 ustawy nowelizującej), który wchodzi w życie z dniem 1 września 2024 r</w:t>
      </w:r>
      <w:r w:rsidRPr="00EB304C">
        <w:rPr>
          <w:rFonts w:ascii="Times New Roman" w:hAnsi="Times New Roman" w:cs="Times New Roman"/>
        </w:rPr>
        <w:t>.</w:t>
      </w:r>
      <w:r w:rsidR="00B8380C">
        <w:rPr>
          <w:rFonts w:ascii="Times New Roman" w:hAnsi="Times New Roman" w:cs="Times New Roman"/>
        </w:rPr>
        <w:t xml:space="preserve"> (intencją projektodawcy jest zapewnienie odpowiedniego czasu na wdrożenie zmian w </w:t>
      </w:r>
      <w:r w:rsidR="00F4177C">
        <w:rPr>
          <w:rFonts w:ascii="Times New Roman" w:hAnsi="Times New Roman" w:cs="Times New Roman"/>
        </w:rPr>
        <w:t xml:space="preserve">zakresie ustawy </w:t>
      </w:r>
      <w:r w:rsidR="00B8380C">
        <w:rPr>
          <w:rFonts w:ascii="Times New Roman" w:hAnsi="Times New Roman" w:cs="Times New Roman"/>
        </w:rPr>
        <w:t>FATCA).</w:t>
      </w:r>
      <w:r w:rsidRPr="00EB304C">
        <w:rPr>
          <w:rFonts w:ascii="Times New Roman" w:hAnsi="Times New Roman" w:cs="Times New Roman"/>
        </w:rPr>
        <w:t xml:space="preserve"> </w:t>
      </w:r>
    </w:p>
    <w:p w14:paraId="64835F76" w14:textId="1C455C7D" w:rsidR="006212D0" w:rsidRPr="00EB304C" w:rsidRDefault="006212D0"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Projekt ustawy jest zgodny z prawem U</w:t>
      </w:r>
      <w:r w:rsidR="00923B12" w:rsidRPr="00EB304C">
        <w:rPr>
          <w:rFonts w:ascii="Times New Roman" w:hAnsi="Times New Roman" w:cs="Times New Roman"/>
          <w:sz w:val="24"/>
          <w:szCs w:val="24"/>
        </w:rPr>
        <w:t>E</w:t>
      </w:r>
      <w:r w:rsidRPr="00EB304C">
        <w:rPr>
          <w:rFonts w:ascii="Times New Roman" w:hAnsi="Times New Roman" w:cs="Times New Roman"/>
          <w:sz w:val="24"/>
          <w:szCs w:val="24"/>
        </w:rPr>
        <w:t>.</w:t>
      </w:r>
    </w:p>
    <w:p w14:paraId="1EF20B55" w14:textId="7C6AEC0F" w:rsidR="006212D0" w:rsidRPr="00EB304C" w:rsidRDefault="006212D0"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Zgodnie z art. 5 ustawy z dnia 7 lipca 2005 r. o działalności lobbingowej w procesie stanowienia prawa (Dz. U. z 2017 r. poz. 248) oraz § 52 ust. 1 uchwały nr 190 Rady Ministrów z dnia 29</w:t>
      </w:r>
      <w:r w:rsidR="00C42DE6">
        <w:rPr>
          <w:rFonts w:ascii="Times New Roman" w:hAnsi="Times New Roman" w:cs="Times New Roman"/>
          <w:sz w:val="24"/>
          <w:szCs w:val="24"/>
        </w:rPr>
        <w:t> </w:t>
      </w:r>
      <w:r w:rsidRPr="00EB304C">
        <w:rPr>
          <w:rFonts w:ascii="Times New Roman" w:hAnsi="Times New Roman" w:cs="Times New Roman"/>
          <w:sz w:val="24"/>
          <w:szCs w:val="24"/>
        </w:rPr>
        <w:t xml:space="preserve">października 2013 r. – Regulamin pracy Rady Ministrów </w:t>
      </w:r>
      <w:r w:rsidR="0075533A" w:rsidRPr="00EB304C">
        <w:rPr>
          <w:rFonts w:ascii="Times New Roman" w:hAnsi="Times New Roman" w:cs="Times New Roman"/>
          <w:sz w:val="24"/>
          <w:szCs w:val="24"/>
        </w:rPr>
        <w:t>(M.P. z 2022 r. poz. 348)</w:t>
      </w:r>
      <w:r w:rsidR="0075533A" w:rsidRPr="00EB304C" w:rsidDel="0075533A">
        <w:rPr>
          <w:rFonts w:ascii="Times New Roman" w:hAnsi="Times New Roman" w:cs="Times New Roman"/>
          <w:sz w:val="24"/>
          <w:szCs w:val="24"/>
        </w:rPr>
        <w:t xml:space="preserve"> </w:t>
      </w:r>
      <w:r w:rsidRPr="00EB304C">
        <w:rPr>
          <w:rFonts w:ascii="Times New Roman" w:hAnsi="Times New Roman" w:cs="Times New Roman"/>
          <w:sz w:val="24"/>
          <w:szCs w:val="24"/>
        </w:rPr>
        <w:t xml:space="preserve">projekt </w:t>
      </w:r>
      <w:r w:rsidR="00DE5836" w:rsidRPr="00EB304C">
        <w:rPr>
          <w:rFonts w:ascii="Times New Roman" w:hAnsi="Times New Roman" w:cs="Times New Roman"/>
          <w:sz w:val="24"/>
          <w:szCs w:val="24"/>
        </w:rPr>
        <w:t>zosta</w:t>
      </w:r>
      <w:r w:rsidR="00DE5836">
        <w:rPr>
          <w:rFonts w:ascii="Times New Roman" w:hAnsi="Times New Roman" w:cs="Times New Roman"/>
          <w:sz w:val="24"/>
          <w:szCs w:val="24"/>
        </w:rPr>
        <w:t>ł</w:t>
      </w:r>
      <w:r w:rsidR="00DE5836" w:rsidRPr="00EB304C">
        <w:rPr>
          <w:rFonts w:ascii="Times New Roman" w:hAnsi="Times New Roman" w:cs="Times New Roman"/>
          <w:sz w:val="24"/>
          <w:szCs w:val="24"/>
        </w:rPr>
        <w:t xml:space="preserve"> </w:t>
      </w:r>
      <w:r w:rsidRPr="00EB304C">
        <w:rPr>
          <w:rFonts w:ascii="Times New Roman" w:hAnsi="Times New Roman" w:cs="Times New Roman"/>
          <w:sz w:val="24"/>
          <w:szCs w:val="24"/>
        </w:rPr>
        <w:t>udostępniony w Biuletynie Informacji Publicznej na stronach internetowych Rządowego Centrum Legislacji.</w:t>
      </w:r>
    </w:p>
    <w:p w14:paraId="46A99113" w14:textId="18BB7269" w:rsidR="006212D0" w:rsidRPr="00EB304C" w:rsidRDefault="006212D0"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Projekt nie podlega notyfikacji zgodnie z procedurą określoną w rozporządzeniu Rady Ministrów z dnia 23 grudnia 2002 r. w sprawie sposobu funkcjonowania krajowego sytemu notyfikacji norm i aktów prawnych (Dz. U. poz. 2039</w:t>
      </w:r>
      <w:r w:rsidR="00DE5836">
        <w:rPr>
          <w:rFonts w:ascii="Times New Roman" w:hAnsi="Times New Roman" w:cs="Times New Roman"/>
          <w:sz w:val="24"/>
          <w:szCs w:val="24"/>
        </w:rPr>
        <w:t>, z późn. zm.</w:t>
      </w:r>
      <w:r w:rsidRPr="00EB304C">
        <w:rPr>
          <w:rFonts w:ascii="Times New Roman" w:hAnsi="Times New Roman" w:cs="Times New Roman"/>
          <w:sz w:val="24"/>
          <w:szCs w:val="24"/>
        </w:rPr>
        <w:t xml:space="preserve">). </w:t>
      </w:r>
    </w:p>
    <w:p w14:paraId="3AF85550" w14:textId="168668C9" w:rsidR="006212D0" w:rsidRDefault="006212D0"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sidRPr="00EB304C">
        <w:rPr>
          <w:rFonts w:ascii="Times New Roman" w:hAnsi="Times New Roman" w:cs="Times New Roman"/>
          <w:sz w:val="24"/>
          <w:szCs w:val="24"/>
        </w:rPr>
        <w:t>Projekt ustawy nie wymaga zaopiniowania, dokonania konsultacji albo uzgo</w:t>
      </w:r>
      <w:r w:rsidR="00304D38" w:rsidRPr="00EB304C">
        <w:rPr>
          <w:rFonts w:ascii="Times New Roman" w:hAnsi="Times New Roman" w:cs="Times New Roman"/>
          <w:sz w:val="24"/>
          <w:szCs w:val="24"/>
        </w:rPr>
        <w:t>dnienia z </w:t>
      </w:r>
      <w:r w:rsidRPr="00EB304C">
        <w:rPr>
          <w:rFonts w:ascii="Times New Roman" w:hAnsi="Times New Roman" w:cs="Times New Roman"/>
          <w:sz w:val="24"/>
          <w:szCs w:val="24"/>
        </w:rPr>
        <w:t>właściwymi instytucjami organami U</w:t>
      </w:r>
      <w:r w:rsidR="007006AE" w:rsidRPr="00EB304C">
        <w:rPr>
          <w:rFonts w:ascii="Times New Roman" w:hAnsi="Times New Roman" w:cs="Times New Roman"/>
          <w:sz w:val="24"/>
          <w:szCs w:val="24"/>
        </w:rPr>
        <w:t>E</w:t>
      </w:r>
      <w:r w:rsidRPr="00EB304C">
        <w:rPr>
          <w:rFonts w:ascii="Times New Roman" w:hAnsi="Times New Roman" w:cs="Times New Roman"/>
          <w:sz w:val="24"/>
          <w:szCs w:val="24"/>
        </w:rPr>
        <w:t>, w tym Europejskim Bankiem Centralnym.</w:t>
      </w:r>
    </w:p>
    <w:p w14:paraId="3D6EA31D" w14:textId="0A9D0F06" w:rsidR="003C29B6" w:rsidRPr="00EB304C" w:rsidRDefault="003C29B6" w:rsidP="00507007">
      <w:pPr>
        <w:pBdr>
          <w:top w:val="nil"/>
          <w:left w:val="nil"/>
          <w:bottom w:val="nil"/>
          <w:right w:val="nil"/>
          <w:between w:val="nil"/>
          <w:bar w:val="nil"/>
        </w:pBd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Projekt ustawy w ramach opiniowania został skonsultowany z Prezesem Urzędu Ochrony Danych Osobowych.</w:t>
      </w:r>
    </w:p>
    <w:sectPr w:rsidR="003C29B6" w:rsidRPr="00EB304C" w:rsidSect="00405C3F">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2557D" w16cex:dateUtc="2024-04-11T10:26:00Z"/>
  <w16cex:commentExtensible w16cex:durableId="29C263DF" w16cex:dateUtc="2024-04-11T11:27:00Z"/>
  <w16cex:commentExtensible w16cex:durableId="29C275FE" w16cex:dateUtc="2024-04-11T12: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9CC9E" w14:textId="77777777" w:rsidR="00132F55" w:rsidRDefault="00132F55" w:rsidP="00055762">
      <w:pPr>
        <w:spacing w:after="0" w:line="240" w:lineRule="auto"/>
      </w:pPr>
      <w:r>
        <w:separator/>
      </w:r>
    </w:p>
  </w:endnote>
  <w:endnote w:type="continuationSeparator" w:id="0">
    <w:p w14:paraId="4525BEFE" w14:textId="77777777" w:rsidR="00132F55" w:rsidRDefault="00132F55" w:rsidP="00055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391232414"/>
      <w:docPartObj>
        <w:docPartGallery w:val="Page Numbers (Bottom of Page)"/>
        <w:docPartUnique/>
      </w:docPartObj>
    </w:sdtPr>
    <w:sdtEndPr/>
    <w:sdtContent>
      <w:p w14:paraId="5B33126C" w14:textId="705BD8D6" w:rsidR="000B09AD" w:rsidRPr="00A2472E" w:rsidRDefault="000B09AD">
        <w:pPr>
          <w:pStyle w:val="Stopka"/>
          <w:jc w:val="center"/>
          <w:rPr>
            <w:rFonts w:ascii="Times New Roman" w:hAnsi="Times New Roman" w:cs="Times New Roman"/>
            <w:sz w:val="24"/>
            <w:szCs w:val="24"/>
          </w:rPr>
        </w:pPr>
        <w:r w:rsidRPr="00A2472E">
          <w:rPr>
            <w:rFonts w:ascii="Times New Roman" w:hAnsi="Times New Roman" w:cs="Times New Roman"/>
            <w:sz w:val="24"/>
            <w:szCs w:val="24"/>
          </w:rPr>
          <w:fldChar w:fldCharType="begin"/>
        </w:r>
        <w:r w:rsidRPr="00A2472E">
          <w:rPr>
            <w:rFonts w:ascii="Times New Roman" w:hAnsi="Times New Roman" w:cs="Times New Roman"/>
            <w:sz w:val="24"/>
            <w:szCs w:val="24"/>
          </w:rPr>
          <w:instrText>PAGE   \* MERGEFORMAT</w:instrText>
        </w:r>
        <w:r w:rsidRPr="00A2472E">
          <w:rPr>
            <w:rFonts w:ascii="Times New Roman" w:hAnsi="Times New Roman" w:cs="Times New Roman"/>
            <w:sz w:val="24"/>
            <w:szCs w:val="24"/>
          </w:rPr>
          <w:fldChar w:fldCharType="separate"/>
        </w:r>
        <w:r w:rsidRPr="00A2472E">
          <w:rPr>
            <w:rFonts w:ascii="Times New Roman" w:hAnsi="Times New Roman" w:cs="Times New Roman"/>
            <w:sz w:val="24"/>
            <w:szCs w:val="24"/>
          </w:rPr>
          <w:t>2</w:t>
        </w:r>
        <w:r w:rsidRPr="00A2472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6B47F" w14:textId="77777777" w:rsidR="00132F55" w:rsidRDefault="00132F55" w:rsidP="00055762">
      <w:pPr>
        <w:spacing w:after="0" w:line="240" w:lineRule="auto"/>
      </w:pPr>
      <w:r>
        <w:separator/>
      </w:r>
    </w:p>
  </w:footnote>
  <w:footnote w:type="continuationSeparator" w:id="0">
    <w:p w14:paraId="105D0FD1" w14:textId="77777777" w:rsidR="00132F55" w:rsidRDefault="00132F55" w:rsidP="00055762">
      <w:pPr>
        <w:spacing w:after="0" w:line="240" w:lineRule="auto"/>
      </w:pPr>
      <w:r>
        <w:continuationSeparator/>
      </w:r>
    </w:p>
  </w:footnote>
  <w:footnote w:id="1">
    <w:p w14:paraId="66D420DB" w14:textId="143E4A18" w:rsidR="000B09AD" w:rsidRPr="00FB7F6F" w:rsidRDefault="000B09AD" w:rsidP="00E254E2">
      <w:pPr>
        <w:pStyle w:val="Tekstprzypisudolnego"/>
        <w:jc w:val="both"/>
        <w:rPr>
          <w:rFonts w:ascii="Times New Roman" w:hAnsi="Times New Roman"/>
          <w:lang w:val="en-GB"/>
        </w:rPr>
      </w:pPr>
      <w:r w:rsidRPr="00FB7F6F">
        <w:rPr>
          <w:rStyle w:val="Odwoanieprzypisudolnego"/>
          <w:rFonts w:ascii="Times New Roman" w:hAnsi="Times New Roman"/>
        </w:rPr>
        <w:footnoteRef/>
      </w:r>
      <w:r w:rsidRPr="00FB7F6F">
        <w:rPr>
          <w:rFonts w:ascii="Times New Roman" w:hAnsi="Times New Roman"/>
          <w:lang w:val="en-GB"/>
        </w:rPr>
        <w:t xml:space="preserve"> OECD (2020), “Poland”, in Peer Review of the Automatic Exchange of Financial Account Information 2020,</w:t>
      </w:r>
    </w:p>
    <w:p w14:paraId="72FD616C" w14:textId="77777777" w:rsidR="000B09AD" w:rsidRPr="00FB7F6F" w:rsidRDefault="000B09AD" w:rsidP="003737DC">
      <w:pPr>
        <w:pStyle w:val="Tekstprzypisudolnego"/>
        <w:ind w:left="142"/>
        <w:rPr>
          <w:rFonts w:ascii="Times New Roman" w:hAnsi="Times New Roman"/>
          <w:lang w:val="en-GB"/>
        </w:rPr>
      </w:pPr>
      <w:r w:rsidRPr="00FB7F6F">
        <w:rPr>
          <w:rFonts w:ascii="Times New Roman" w:hAnsi="Times New Roman"/>
          <w:lang w:val="en-GB"/>
        </w:rPr>
        <w:t xml:space="preserve">OECD Publishing, Paris. </w:t>
      </w:r>
      <w:hyperlink r:id="rId1" w:history="1">
        <w:r w:rsidRPr="00FB7F6F">
          <w:rPr>
            <w:rStyle w:val="Hipercze"/>
            <w:rFonts w:ascii="Times New Roman" w:hAnsi="Times New Roman"/>
            <w:lang w:val="en-GB"/>
          </w:rPr>
          <w:t>https://www.oecd-ilibrary.org/taxation/peer-review-of-the-automatic-exchange-of-financial-account-information-2020_bd2e1eef-en</w:t>
        </w:r>
      </w:hyperlink>
      <w:r w:rsidRPr="00FB7F6F">
        <w:rPr>
          <w:rFonts w:ascii="Times New Roman" w:hAnsi="Times New Roman"/>
          <w:lang w:val="en-GB"/>
        </w:rPr>
        <w:t xml:space="preserve"> </w:t>
      </w:r>
    </w:p>
  </w:footnote>
  <w:footnote w:id="2">
    <w:p w14:paraId="7B38BDBA" w14:textId="77777777" w:rsidR="000B09AD" w:rsidRPr="005E007F" w:rsidRDefault="000B09AD" w:rsidP="000247DE">
      <w:pPr>
        <w:pStyle w:val="Tekstprzypisudolnego"/>
        <w:rPr>
          <w:lang w:val="en-GB"/>
        </w:rPr>
      </w:pPr>
      <w:r w:rsidRPr="00FB7F6F">
        <w:rPr>
          <w:rStyle w:val="Odwoanieprzypisudolnego"/>
          <w:rFonts w:ascii="Times New Roman" w:hAnsi="Times New Roman"/>
        </w:rPr>
        <w:footnoteRef/>
      </w:r>
      <w:r w:rsidRPr="00FB7F6F">
        <w:rPr>
          <w:rFonts w:ascii="Times New Roman" w:hAnsi="Times New Roman"/>
          <w:lang w:val="en-GB"/>
        </w:rPr>
        <w:t xml:space="preserve"> https://eur-lex.europa.eu/legal-content/EN/TXT/?uri=SWD%3A2020%3A0131%3AFIN</w:t>
      </w:r>
    </w:p>
  </w:footnote>
  <w:footnote w:id="3">
    <w:p w14:paraId="7A06849D" w14:textId="77777777" w:rsidR="000B09AD" w:rsidRPr="00FB7F6F" w:rsidRDefault="000B09AD" w:rsidP="00A95DCF">
      <w:pPr>
        <w:pStyle w:val="Tekstprzypisudolnego"/>
        <w:ind w:left="142" w:hanging="142"/>
        <w:jc w:val="both"/>
        <w:rPr>
          <w:rFonts w:ascii="Times New Roman" w:hAnsi="Times New Roman"/>
          <w:lang w:val="en-GB"/>
        </w:rPr>
      </w:pPr>
      <w:r w:rsidRPr="00FB7F6F">
        <w:rPr>
          <w:rStyle w:val="Odwoanieprzypisudolnego"/>
          <w:rFonts w:ascii="Times New Roman" w:hAnsi="Times New Roman"/>
        </w:rPr>
        <w:footnoteRef/>
      </w:r>
      <w:r w:rsidRPr="00FB7F6F">
        <w:rPr>
          <w:rFonts w:ascii="Times New Roman" w:hAnsi="Times New Roman"/>
          <w:lang w:val="en-GB"/>
        </w:rPr>
        <w:t xml:space="preserve"> Toolkit for the Implementation of the Standard for Automatic Exchange of Financial Account Information </w:t>
      </w:r>
      <w:hyperlink r:id="rId2" w:history="1">
        <w:r w:rsidRPr="00FB7F6F">
          <w:rPr>
            <w:rStyle w:val="Hipercze"/>
            <w:rFonts w:ascii="Times New Roman" w:hAnsi="Times New Roman"/>
            <w:lang w:val="en-GB"/>
          </w:rPr>
          <w:t>https://www.oecd.org/tax/transparency/documents/MAAC-toolkit_en.pdf</w:t>
        </w:r>
      </w:hyperlink>
      <w:r w:rsidRPr="00FB7F6F">
        <w:rPr>
          <w:rFonts w:ascii="Times New Roman" w:hAnsi="Times New Roman"/>
          <w:lang w:val="en-GB"/>
        </w:rPr>
        <w:t xml:space="preserve"> </w:t>
      </w:r>
    </w:p>
  </w:footnote>
  <w:footnote w:id="4">
    <w:p w14:paraId="671A710C" w14:textId="77777777" w:rsidR="000B09AD" w:rsidRPr="002354CE" w:rsidRDefault="000B09AD" w:rsidP="00F62650">
      <w:pPr>
        <w:pStyle w:val="Tekstprzypisudolnego"/>
        <w:spacing w:after="120"/>
        <w:rPr>
          <w:rFonts w:ascii="Times New Roman" w:hAnsi="Times New Roman"/>
          <w:lang w:val="en-GB"/>
        </w:rPr>
      </w:pPr>
      <w:r w:rsidRPr="002354CE">
        <w:rPr>
          <w:rStyle w:val="Odwoanieprzypisudolnego"/>
          <w:rFonts w:ascii="Times New Roman" w:hAnsi="Times New Roman"/>
        </w:rPr>
        <w:footnoteRef/>
      </w:r>
      <w:r w:rsidRPr="003354EC">
        <w:rPr>
          <w:rFonts w:ascii="Times New Roman" w:hAnsi="Times New Roman"/>
          <w:lang w:val="en-GB"/>
        </w:rPr>
        <w:t xml:space="preserve"> Standard for Automatic</w:t>
      </w:r>
      <w:r w:rsidRPr="002354CE">
        <w:rPr>
          <w:rFonts w:ascii="Times New Roman" w:hAnsi="Times New Roman"/>
          <w:lang w:val="en-GB"/>
        </w:rPr>
        <w:t xml:space="preserve"> </w:t>
      </w:r>
      <w:r w:rsidRPr="003354EC">
        <w:rPr>
          <w:rFonts w:ascii="Times New Roman" w:hAnsi="Times New Roman"/>
          <w:lang w:val="en-GB"/>
        </w:rPr>
        <w:t>Exchange of Financial</w:t>
      </w:r>
      <w:r w:rsidRPr="002354CE">
        <w:rPr>
          <w:rFonts w:ascii="Times New Roman" w:hAnsi="Times New Roman"/>
          <w:lang w:val="en-GB"/>
        </w:rPr>
        <w:t xml:space="preserve"> </w:t>
      </w:r>
      <w:r w:rsidRPr="003354EC">
        <w:rPr>
          <w:rFonts w:ascii="Times New Roman" w:hAnsi="Times New Roman"/>
          <w:lang w:val="en-GB"/>
        </w:rPr>
        <w:t>Account Information</w:t>
      </w:r>
      <w:r w:rsidRPr="002354CE">
        <w:rPr>
          <w:rFonts w:ascii="Times New Roman" w:hAnsi="Times New Roman"/>
          <w:lang w:val="en-GB"/>
        </w:rPr>
        <w:t xml:space="preserve"> </w:t>
      </w:r>
      <w:r w:rsidRPr="003354EC">
        <w:rPr>
          <w:rFonts w:ascii="Times New Roman" w:hAnsi="Times New Roman"/>
          <w:lang w:val="en-GB"/>
        </w:rPr>
        <w:t>in Tax Matters</w:t>
      </w:r>
      <w:r w:rsidRPr="002354CE">
        <w:rPr>
          <w:rFonts w:ascii="Times New Roman" w:hAnsi="Times New Roman"/>
          <w:lang w:val="en-GB"/>
        </w:rPr>
        <w:t xml:space="preserve"> (</w:t>
      </w:r>
      <w:r w:rsidRPr="003354EC">
        <w:rPr>
          <w:rFonts w:ascii="Times New Roman" w:hAnsi="Times New Roman"/>
          <w:lang w:val="en-GB"/>
        </w:rPr>
        <w:t>Second Edition</w:t>
      </w:r>
      <w:r w:rsidRPr="002354CE">
        <w:rPr>
          <w:rFonts w:ascii="Times New Roman" w:hAnsi="Times New Roman"/>
          <w:lang w:val="en-GB"/>
        </w:rPr>
        <w:t>), str. 208.</w:t>
      </w:r>
    </w:p>
  </w:footnote>
  <w:footnote w:id="5">
    <w:p w14:paraId="7C6FB67E" w14:textId="77777777" w:rsidR="000B09AD" w:rsidRPr="00FB7F6F" w:rsidRDefault="000B09AD" w:rsidP="00F62650">
      <w:pPr>
        <w:pStyle w:val="Tekstprzypisudolnego"/>
        <w:rPr>
          <w:rFonts w:ascii="Times New Roman" w:hAnsi="Times New Roman"/>
          <w:lang w:val="en-GB"/>
        </w:rPr>
      </w:pPr>
      <w:r w:rsidRPr="00FB7F6F">
        <w:rPr>
          <w:rStyle w:val="Odwoanieprzypisudolnego"/>
          <w:rFonts w:ascii="Times New Roman" w:hAnsi="Times New Roman"/>
        </w:rPr>
        <w:footnoteRef/>
      </w:r>
      <w:r w:rsidRPr="00FB7F6F">
        <w:rPr>
          <w:rFonts w:ascii="Times New Roman" w:hAnsi="Times New Roman"/>
          <w:lang w:val="en-GB"/>
        </w:rPr>
        <w:t xml:space="preserve"> </w:t>
      </w:r>
      <w:hyperlink r:id="rId3" w:history="1">
        <w:r w:rsidRPr="00FB7F6F">
          <w:rPr>
            <w:rStyle w:val="Hipercze"/>
            <w:rFonts w:ascii="Times New Roman" w:hAnsi="Times New Roman"/>
            <w:lang w:val="en-GB"/>
          </w:rPr>
          <w:t>https://www.oecd.org/tax/automatic-exchange/crs-implementation-and-assistance/residence-citizenship-by-investment/</w:t>
        </w:r>
      </w:hyperlink>
      <w:r w:rsidRPr="00FB7F6F">
        <w:rPr>
          <w:rFonts w:ascii="Times New Roman" w:hAnsi="Times New Roman"/>
          <w:lang w:val="en-GB"/>
        </w:rPr>
        <w:t xml:space="preserve"> </w:t>
      </w:r>
    </w:p>
  </w:footnote>
  <w:footnote w:id="6">
    <w:p w14:paraId="62A55B7A" w14:textId="77777777" w:rsidR="000B09AD" w:rsidRPr="00FB7F6F" w:rsidRDefault="000B09AD" w:rsidP="00021378">
      <w:pPr>
        <w:pStyle w:val="Tekstprzypisudolnego"/>
        <w:rPr>
          <w:rFonts w:ascii="Times New Roman" w:hAnsi="Times New Roman"/>
          <w:lang w:val="en-GB"/>
        </w:rPr>
      </w:pPr>
      <w:r w:rsidRPr="00FB7F6F">
        <w:rPr>
          <w:rStyle w:val="Odwoanieprzypisudolnego"/>
          <w:rFonts w:ascii="Times New Roman" w:hAnsi="Times New Roman"/>
        </w:rPr>
        <w:footnoteRef/>
      </w:r>
      <w:r w:rsidRPr="00FB7F6F">
        <w:rPr>
          <w:rFonts w:ascii="Times New Roman" w:hAnsi="Times New Roman"/>
          <w:lang w:val="en-GB"/>
        </w:rPr>
        <w:t xml:space="preserve"> </w:t>
      </w:r>
      <w:hyperlink r:id="rId4" w:history="1">
        <w:r w:rsidRPr="00FB7F6F">
          <w:rPr>
            <w:rStyle w:val="Hipercze"/>
            <w:rFonts w:ascii="Times New Roman" w:hAnsi="Times New Roman"/>
            <w:lang w:val="en-GB"/>
          </w:rPr>
          <w:t>https://sejm.gov.pl/Sejm8.nsf/druk.xsp?nr=3208</w:t>
        </w:r>
      </w:hyperlink>
      <w:r w:rsidRPr="00FB7F6F">
        <w:rPr>
          <w:rFonts w:ascii="Times New Roman" w:hAnsi="Times New Roman"/>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5994"/>
    <w:multiLevelType w:val="multilevel"/>
    <w:tmpl w:val="BB8C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D06CB"/>
    <w:multiLevelType w:val="hybridMultilevel"/>
    <w:tmpl w:val="8C66C656"/>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2" w15:restartNumberingAfterBreak="0">
    <w:nsid w:val="07561EBA"/>
    <w:multiLevelType w:val="hybridMultilevel"/>
    <w:tmpl w:val="DFC4E6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9FF25EE"/>
    <w:multiLevelType w:val="hybridMultilevel"/>
    <w:tmpl w:val="A67419D4"/>
    <w:lvl w:ilvl="0" w:tplc="04150015">
      <w:start w:val="1"/>
      <w:numFmt w:val="upperLetter"/>
      <w:lvlText w:val="%1."/>
      <w:lvlJc w:val="left"/>
      <w:pPr>
        <w:ind w:left="720" w:hanging="360"/>
      </w:pPr>
    </w:lvl>
    <w:lvl w:ilvl="1" w:tplc="38744CF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5871A8"/>
    <w:multiLevelType w:val="hybridMultilevel"/>
    <w:tmpl w:val="FADC8620"/>
    <w:lvl w:ilvl="0" w:tplc="0415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C51A20"/>
    <w:multiLevelType w:val="hybridMultilevel"/>
    <w:tmpl w:val="DF8A3C1C"/>
    <w:lvl w:ilvl="0" w:tplc="4A8EA4A2">
      <w:start w:val="2"/>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D12294"/>
    <w:multiLevelType w:val="hybridMultilevel"/>
    <w:tmpl w:val="5E5A3A9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1B541B1F"/>
    <w:multiLevelType w:val="hybridMultilevel"/>
    <w:tmpl w:val="36D4B34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5F1CFB"/>
    <w:multiLevelType w:val="hybridMultilevel"/>
    <w:tmpl w:val="E07EC6D2"/>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764B04"/>
    <w:multiLevelType w:val="hybridMultilevel"/>
    <w:tmpl w:val="A1E698EE"/>
    <w:lvl w:ilvl="0" w:tplc="66F09742">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C641A8"/>
    <w:multiLevelType w:val="hybridMultilevel"/>
    <w:tmpl w:val="D3D2BF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49665A"/>
    <w:multiLevelType w:val="hybridMultilevel"/>
    <w:tmpl w:val="7FF67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AF7556"/>
    <w:multiLevelType w:val="hybridMultilevel"/>
    <w:tmpl w:val="DC9831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C07807"/>
    <w:multiLevelType w:val="hybridMultilevel"/>
    <w:tmpl w:val="D72E8F6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9C6C50"/>
    <w:multiLevelType w:val="multilevel"/>
    <w:tmpl w:val="04150027"/>
    <w:lvl w:ilvl="0">
      <w:start w:val="1"/>
      <w:numFmt w:val="upperRoman"/>
      <w:pStyle w:val="Nagwek1"/>
      <w:lvlText w:val="%1."/>
      <w:lvlJc w:val="left"/>
      <w:pPr>
        <w:ind w:left="0" w:firstLine="0"/>
      </w:pPr>
      <w:rPr>
        <w:rFonts w:hint="default"/>
      </w:rPr>
    </w:lvl>
    <w:lvl w:ilvl="1">
      <w:start w:val="1"/>
      <w:numFmt w:val="upperLetter"/>
      <w:pStyle w:val="Nagwek2"/>
      <w:lvlText w:val="%2."/>
      <w:lvlJc w:val="left"/>
      <w:pPr>
        <w:ind w:left="720" w:firstLine="0"/>
      </w:pPr>
      <w:rPr>
        <w:rFonts w:hint="default"/>
      </w:rPr>
    </w:lvl>
    <w:lvl w:ilvl="2">
      <w:start w:val="1"/>
      <w:numFmt w:val="decimal"/>
      <w:pStyle w:val="Nagwek3"/>
      <w:lvlText w:val="%3."/>
      <w:lvlJc w:val="left"/>
      <w:pPr>
        <w:ind w:left="1440" w:firstLine="0"/>
      </w:pPr>
      <w:rPr>
        <w:rFonts w:hint="default"/>
      </w:rPr>
    </w:lvl>
    <w:lvl w:ilvl="3">
      <w:start w:val="1"/>
      <w:numFmt w:val="lowerLetter"/>
      <w:pStyle w:val="Nagwek4"/>
      <w:lvlText w:val="%4)"/>
      <w:lvlJc w:val="left"/>
      <w:pPr>
        <w:ind w:left="2160" w:firstLine="0"/>
      </w:pPr>
      <w:rPr>
        <w:rFonts w:hint="default"/>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15" w15:restartNumberingAfterBreak="0">
    <w:nsid w:val="291007AB"/>
    <w:multiLevelType w:val="multilevel"/>
    <w:tmpl w:val="BB8C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A95B46"/>
    <w:multiLevelType w:val="hybridMultilevel"/>
    <w:tmpl w:val="6C8A6E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FC01D6F"/>
    <w:multiLevelType w:val="hybridMultilevel"/>
    <w:tmpl w:val="CF3817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EC5D36"/>
    <w:multiLevelType w:val="hybridMultilevel"/>
    <w:tmpl w:val="6AEEAE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CFF506E"/>
    <w:multiLevelType w:val="hybridMultilevel"/>
    <w:tmpl w:val="C8B41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7E0AD8"/>
    <w:multiLevelType w:val="hybridMultilevel"/>
    <w:tmpl w:val="7A324F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5A7C77"/>
    <w:multiLevelType w:val="hybridMultilevel"/>
    <w:tmpl w:val="931AEDF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BA048C"/>
    <w:multiLevelType w:val="hybridMultilevel"/>
    <w:tmpl w:val="3D2C50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B0D4927"/>
    <w:multiLevelType w:val="hybridMultilevel"/>
    <w:tmpl w:val="C9FA1C2A"/>
    <w:lvl w:ilvl="0" w:tplc="AB182A22">
      <w:start w:val="1"/>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4" w15:restartNumberingAfterBreak="0">
    <w:nsid w:val="5CD82560"/>
    <w:multiLevelType w:val="hybridMultilevel"/>
    <w:tmpl w:val="346A28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08E70DB"/>
    <w:multiLevelType w:val="hybridMultilevel"/>
    <w:tmpl w:val="C548D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2995BFF"/>
    <w:multiLevelType w:val="hybridMultilevel"/>
    <w:tmpl w:val="413ADA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69C301D"/>
    <w:multiLevelType w:val="hybridMultilevel"/>
    <w:tmpl w:val="0F8273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7A60D6E"/>
    <w:multiLevelType w:val="hybridMultilevel"/>
    <w:tmpl w:val="52FAA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AF46D48"/>
    <w:multiLevelType w:val="hybridMultilevel"/>
    <w:tmpl w:val="485AFB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D940E4A"/>
    <w:multiLevelType w:val="hybridMultilevel"/>
    <w:tmpl w:val="9976B2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0D076C"/>
    <w:multiLevelType w:val="hybridMultilevel"/>
    <w:tmpl w:val="B27CBF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05E0CB0"/>
    <w:multiLevelType w:val="hybridMultilevel"/>
    <w:tmpl w:val="E4786F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18F4753"/>
    <w:multiLevelType w:val="hybridMultilevel"/>
    <w:tmpl w:val="E42E3946"/>
    <w:lvl w:ilvl="0" w:tplc="9054833A">
      <w:numFmt w:val="bullet"/>
      <w:lvlText w:val="•"/>
      <w:lvlJc w:val="left"/>
      <w:pPr>
        <w:ind w:left="704" w:hanging="420"/>
      </w:pPr>
      <w:rPr>
        <w:rFonts w:ascii="Times New Roman" w:eastAsiaTheme="minorHAnsi" w:hAnsi="Times New Roman"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768D3E73"/>
    <w:multiLevelType w:val="hybridMultilevel"/>
    <w:tmpl w:val="E36AE4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963553"/>
    <w:multiLevelType w:val="hybridMultilevel"/>
    <w:tmpl w:val="F1F8567A"/>
    <w:lvl w:ilvl="0" w:tplc="9054833A">
      <w:numFmt w:val="bullet"/>
      <w:lvlText w:val="•"/>
      <w:lvlJc w:val="left"/>
      <w:pPr>
        <w:ind w:left="704" w:hanging="42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BB05295"/>
    <w:multiLevelType w:val="hybridMultilevel"/>
    <w:tmpl w:val="5628A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C32596E"/>
    <w:multiLevelType w:val="hybridMultilevel"/>
    <w:tmpl w:val="7F320C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F693ABC"/>
    <w:multiLevelType w:val="hybridMultilevel"/>
    <w:tmpl w:val="5996362C"/>
    <w:lvl w:ilvl="0" w:tplc="9816111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30"/>
  </w:num>
  <w:num w:numId="3">
    <w:abstractNumId w:val="1"/>
  </w:num>
  <w:num w:numId="4">
    <w:abstractNumId w:val="9"/>
  </w:num>
  <w:num w:numId="5">
    <w:abstractNumId w:val="19"/>
  </w:num>
  <w:num w:numId="6">
    <w:abstractNumId w:val="16"/>
  </w:num>
  <w:num w:numId="7">
    <w:abstractNumId w:val="37"/>
  </w:num>
  <w:num w:numId="8">
    <w:abstractNumId w:val="24"/>
  </w:num>
  <w:num w:numId="9">
    <w:abstractNumId w:val="22"/>
  </w:num>
  <w:num w:numId="10">
    <w:abstractNumId w:val="11"/>
  </w:num>
  <w:num w:numId="11">
    <w:abstractNumId w:val="36"/>
  </w:num>
  <w:num w:numId="12">
    <w:abstractNumId w:val="25"/>
  </w:num>
  <w:num w:numId="13">
    <w:abstractNumId w:val="3"/>
  </w:num>
  <w:num w:numId="14">
    <w:abstractNumId w:val="28"/>
  </w:num>
  <w:num w:numId="15">
    <w:abstractNumId w:val="29"/>
  </w:num>
  <w:num w:numId="16">
    <w:abstractNumId w:val="31"/>
  </w:num>
  <w:num w:numId="17">
    <w:abstractNumId w:val="8"/>
  </w:num>
  <w:num w:numId="18">
    <w:abstractNumId w:val="26"/>
  </w:num>
  <w:num w:numId="19">
    <w:abstractNumId w:val="14"/>
  </w:num>
  <w:num w:numId="20">
    <w:abstractNumId w:val="4"/>
  </w:num>
  <w:num w:numId="21">
    <w:abstractNumId w:val="12"/>
  </w:num>
  <w:num w:numId="22">
    <w:abstractNumId w:val="5"/>
  </w:num>
  <w:num w:numId="23">
    <w:abstractNumId w:val="15"/>
  </w:num>
  <w:num w:numId="24">
    <w:abstractNumId w:val="0"/>
  </w:num>
  <w:num w:numId="25">
    <w:abstractNumId w:val="32"/>
  </w:num>
  <w:num w:numId="26">
    <w:abstractNumId w:val="13"/>
  </w:num>
  <w:num w:numId="27">
    <w:abstractNumId w:val="34"/>
  </w:num>
  <w:num w:numId="28">
    <w:abstractNumId w:val="38"/>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3"/>
  </w:num>
  <w:num w:numId="32">
    <w:abstractNumId w:val="35"/>
  </w:num>
  <w:num w:numId="33">
    <w:abstractNumId w:val="18"/>
  </w:num>
  <w:num w:numId="34">
    <w:abstractNumId w:val="7"/>
  </w:num>
  <w:num w:numId="35">
    <w:abstractNumId w:val="21"/>
  </w:num>
  <w:num w:numId="36">
    <w:abstractNumId w:val="27"/>
  </w:num>
  <w:num w:numId="37">
    <w:abstractNumId w:val="23"/>
  </w:num>
  <w:num w:numId="38">
    <w:abstractNumId w:val="2"/>
  </w:num>
  <w:num w:numId="39">
    <w:abstractNumId w:val="20"/>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0MTWwsDQ1MLE0szRS0lEKTi0uzszPAykwqQUA2n5ZkiwAAAA="/>
  </w:docVars>
  <w:rsids>
    <w:rsidRoot w:val="00055762"/>
    <w:rsid w:val="00001ACC"/>
    <w:rsid w:val="0000318E"/>
    <w:rsid w:val="00006212"/>
    <w:rsid w:val="000126DA"/>
    <w:rsid w:val="0001472A"/>
    <w:rsid w:val="00021378"/>
    <w:rsid w:val="00021454"/>
    <w:rsid w:val="00023DA3"/>
    <w:rsid w:val="000247DE"/>
    <w:rsid w:val="000254C2"/>
    <w:rsid w:val="000266D6"/>
    <w:rsid w:val="00031D3D"/>
    <w:rsid w:val="00033CFA"/>
    <w:rsid w:val="00033E5C"/>
    <w:rsid w:val="0003409F"/>
    <w:rsid w:val="0003513F"/>
    <w:rsid w:val="00042355"/>
    <w:rsid w:val="00043B33"/>
    <w:rsid w:val="00044D1C"/>
    <w:rsid w:val="0004532B"/>
    <w:rsid w:val="00045AEE"/>
    <w:rsid w:val="00046C64"/>
    <w:rsid w:val="0004724A"/>
    <w:rsid w:val="00047FE2"/>
    <w:rsid w:val="00050D4F"/>
    <w:rsid w:val="0005122C"/>
    <w:rsid w:val="00051ECD"/>
    <w:rsid w:val="000534E8"/>
    <w:rsid w:val="00055762"/>
    <w:rsid w:val="00056BA4"/>
    <w:rsid w:val="00057434"/>
    <w:rsid w:val="000610C9"/>
    <w:rsid w:val="000612B6"/>
    <w:rsid w:val="00061B34"/>
    <w:rsid w:val="00061D96"/>
    <w:rsid w:val="00064F2C"/>
    <w:rsid w:val="000666C8"/>
    <w:rsid w:val="000706A5"/>
    <w:rsid w:val="00070877"/>
    <w:rsid w:val="00070D4E"/>
    <w:rsid w:val="000735A1"/>
    <w:rsid w:val="000739E5"/>
    <w:rsid w:val="000764AE"/>
    <w:rsid w:val="00081186"/>
    <w:rsid w:val="000820EE"/>
    <w:rsid w:val="00083A97"/>
    <w:rsid w:val="00084DC1"/>
    <w:rsid w:val="000850FA"/>
    <w:rsid w:val="00085552"/>
    <w:rsid w:val="0009028D"/>
    <w:rsid w:val="00090AD3"/>
    <w:rsid w:val="0009199F"/>
    <w:rsid w:val="00091EBE"/>
    <w:rsid w:val="000933A7"/>
    <w:rsid w:val="00093E3C"/>
    <w:rsid w:val="00095223"/>
    <w:rsid w:val="0009626F"/>
    <w:rsid w:val="000A0090"/>
    <w:rsid w:val="000A2DB2"/>
    <w:rsid w:val="000B09AD"/>
    <w:rsid w:val="000B1566"/>
    <w:rsid w:val="000B2151"/>
    <w:rsid w:val="000B2D93"/>
    <w:rsid w:val="000B5C2B"/>
    <w:rsid w:val="000B78FE"/>
    <w:rsid w:val="000B7E88"/>
    <w:rsid w:val="000C016B"/>
    <w:rsid w:val="000C0FFA"/>
    <w:rsid w:val="000C1946"/>
    <w:rsid w:val="000C2EE1"/>
    <w:rsid w:val="000C41C7"/>
    <w:rsid w:val="000C7828"/>
    <w:rsid w:val="000D031B"/>
    <w:rsid w:val="000D09EA"/>
    <w:rsid w:val="000D3A3A"/>
    <w:rsid w:val="000D4A1B"/>
    <w:rsid w:val="000D67AE"/>
    <w:rsid w:val="000E1347"/>
    <w:rsid w:val="000E17B2"/>
    <w:rsid w:val="000E3464"/>
    <w:rsid w:val="000E64E5"/>
    <w:rsid w:val="000F06CB"/>
    <w:rsid w:val="000F68F9"/>
    <w:rsid w:val="000F76EF"/>
    <w:rsid w:val="001002CB"/>
    <w:rsid w:val="00102668"/>
    <w:rsid w:val="00102732"/>
    <w:rsid w:val="00106675"/>
    <w:rsid w:val="00106721"/>
    <w:rsid w:val="001103FC"/>
    <w:rsid w:val="00111645"/>
    <w:rsid w:val="00123DCE"/>
    <w:rsid w:val="00124A99"/>
    <w:rsid w:val="00125495"/>
    <w:rsid w:val="001261A2"/>
    <w:rsid w:val="001303C9"/>
    <w:rsid w:val="00132F55"/>
    <w:rsid w:val="00136A95"/>
    <w:rsid w:val="00143A95"/>
    <w:rsid w:val="00143F8F"/>
    <w:rsid w:val="00144715"/>
    <w:rsid w:val="001447E2"/>
    <w:rsid w:val="00145BE3"/>
    <w:rsid w:val="00145CA2"/>
    <w:rsid w:val="00152C79"/>
    <w:rsid w:val="001574B5"/>
    <w:rsid w:val="00160133"/>
    <w:rsid w:val="001619C2"/>
    <w:rsid w:val="001671D8"/>
    <w:rsid w:val="001671F8"/>
    <w:rsid w:val="001700B0"/>
    <w:rsid w:val="00170552"/>
    <w:rsid w:val="00171CB3"/>
    <w:rsid w:val="00171CB5"/>
    <w:rsid w:val="001734E6"/>
    <w:rsid w:val="00173CCE"/>
    <w:rsid w:val="001754D8"/>
    <w:rsid w:val="001775EC"/>
    <w:rsid w:val="0018407F"/>
    <w:rsid w:val="001910A1"/>
    <w:rsid w:val="001921DC"/>
    <w:rsid w:val="00193B5C"/>
    <w:rsid w:val="00194156"/>
    <w:rsid w:val="00194219"/>
    <w:rsid w:val="001A0277"/>
    <w:rsid w:val="001A780A"/>
    <w:rsid w:val="001B1B69"/>
    <w:rsid w:val="001B3772"/>
    <w:rsid w:val="001B431E"/>
    <w:rsid w:val="001B4425"/>
    <w:rsid w:val="001B4518"/>
    <w:rsid w:val="001C0E96"/>
    <w:rsid w:val="001C29BB"/>
    <w:rsid w:val="001C5C47"/>
    <w:rsid w:val="001C7239"/>
    <w:rsid w:val="001C7849"/>
    <w:rsid w:val="001C7A20"/>
    <w:rsid w:val="001D0187"/>
    <w:rsid w:val="001D3438"/>
    <w:rsid w:val="001D4B84"/>
    <w:rsid w:val="001D6FAF"/>
    <w:rsid w:val="001E1CB1"/>
    <w:rsid w:val="001E772E"/>
    <w:rsid w:val="001E78F4"/>
    <w:rsid w:val="001F02C0"/>
    <w:rsid w:val="001F32C3"/>
    <w:rsid w:val="001F4116"/>
    <w:rsid w:val="00200EED"/>
    <w:rsid w:val="002019BC"/>
    <w:rsid w:val="00204182"/>
    <w:rsid w:val="00204DD0"/>
    <w:rsid w:val="00205028"/>
    <w:rsid w:val="00206FC2"/>
    <w:rsid w:val="00207727"/>
    <w:rsid w:val="00207DAB"/>
    <w:rsid w:val="0021065D"/>
    <w:rsid w:val="00223152"/>
    <w:rsid w:val="002243D9"/>
    <w:rsid w:val="002255DF"/>
    <w:rsid w:val="00226CF7"/>
    <w:rsid w:val="00231B62"/>
    <w:rsid w:val="0023590F"/>
    <w:rsid w:val="00236B87"/>
    <w:rsid w:val="00240507"/>
    <w:rsid w:val="00247880"/>
    <w:rsid w:val="00251AF0"/>
    <w:rsid w:val="00251CDC"/>
    <w:rsid w:val="002612E1"/>
    <w:rsid w:val="002640D6"/>
    <w:rsid w:val="0026645E"/>
    <w:rsid w:val="00270206"/>
    <w:rsid w:val="00270CDE"/>
    <w:rsid w:val="00270E0B"/>
    <w:rsid w:val="002720F0"/>
    <w:rsid w:val="002729A6"/>
    <w:rsid w:val="00274CC6"/>
    <w:rsid w:val="00277F63"/>
    <w:rsid w:val="00280391"/>
    <w:rsid w:val="00280698"/>
    <w:rsid w:val="00281455"/>
    <w:rsid w:val="00284672"/>
    <w:rsid w:val="00285400"/>
    <w:rsid w:val="00294B81"/>
    <w:rsid w:val="00294E49"/>
    <w:rsid w:val="0029659C"/>
    <w:rsid w:val="002A1C56"/>
    <w:rsid w:val="002A20B9"/>
    <w:rsid w:val="002A34F7"/>
    <w:rsid w:val="002B32A1"/>
    <w:rsid w:val="002B3F22"/>
    <w:rsid w:val="002C09C3"/>
    <w:rsid w:val="002C20D3"/>
    <w:rsid w:val="002C2927"/>
    <w:rsid w:val="002C3895"/>
    <w:rsid w:val="002C643F"/>
    <w:rsid w:val="002D16BF"/>
    <w:rsid w:val="002D49FA"/>
    <w:rsid w:val="002D7EB4"/>
    <w:rsid w:val="002E03E4"/>
    <w:rsid w:val="002E1326"/>
    <w:rsid w:val="002E1673"/>
    <w:rsid w:val="002E2BE7"/>
    <w:rsid w:val="002E3019"/>
    <w:rsid w:val="002E3910"/>
    <w:rsid w:val="002E3B17"/>
    <w:rsid w:val="002E4039"/>
    <w:rsid w:val="002E489A"/>
    <w:rsid w:val="002E5114"/>
    <w:rsid w:val="002F04D3"/>
    <w:rsid w:val="002F4215"/>
    <w:rsid w:val="002F5AC5"/>
    <w:rsid w:val="0030108F"/>
    <w:rsid w:val="003010A9"/>
    <w:rsid w:val="003044A2"/>
    <w:rsid w:val="00304D38"/>
    <w:rsid w:val="00305815"/>
    <w:rsid w:val="0031258B"/>
    <w:rsid w:val="00312987"/>
    <w:rsid w:val="00315C5C"/>
    <w:rsid w:val="00316B79"/>
    <w:rsid w:val="00317FF0"/>
    <w:rsid w:val="00320E0F"/>
    <w:rsid w:val="003219CC"/>
    <w:rsid w:val="00321BF1"/>
    <w:rsid w:val="0032376B"/>
    <w:rsid w:val="00323E4B"/>
    <w:rsid w:val="00330325"/>
    <w:rsid w:val="003340C0"/>
    <w:rsid w:val="003354EC"/>
    <w:rsid w:val="00337F84"/>
    <w:rsid w:val="003403FE"/>
    <w:rsid w:val="003404E1"/>
    <w:rsid w:val="00343C88"/>
    <w:rsid w:val="00344253"/>
    <w:rsid w:val="003509B3"/>
    <w:rsid w:val="00352967"/>
    <w:rsid w:val="003560F6"/>
    <w:rsid w:val="00356DCA"/>
    <w:rsid w:val="00357CC7"/>
    <w:rsid w:val="00357DEB"/>
    <w:rsid w:val="0036436E"/>
    <w:rsid w:val="00365F44"/>
    <w:rsid w:val="003667D1"/>
    <w:rsid w:val="0036708D"/>
    <w:rsid w:val="0036741A"/>
    <w:rsid w:val="00367C8E"/>
    <w:rsid w:val="00370794"/>
    <w:rsid w:val="0037201B"/>
    <w:rsid w:val="00372DF7"/>
    <w:rsid w:val="003737DC"/>
    <w:rsid w:val="00373AF0"/>
    <w:rsid w:val="00375560"/>
    <w:rsid w:val="00376DE5"/>
    <w:rsid w:val="00390A56"/>
    <w:rsid w:val="0039366F"/>
    <w:rsid w:val="0039618A"/>
    <w:rsid w:val="003A04E1"/>
    <w:rsid w:val="003A07F6"/>
    <w:rsid w:val="003A5A0E"/>
    <w:rsid w:val="003B0AD5"/>
    <w:rsid w:val="003B273A"/>
    <w:rsid w:val="003B3A1F"/>
    <w:rsid w:val="003B45E0"/>
    <w:rsid w:val="003B4D17"/>
    <w:rsid w:val="003B52E4"/>
    <w:rsid w:val="003B5FC1"/>
    <w:rsid w:val="003B60B2"/>
    <w:rsid w:val="003B79EE"/>
    <w:rsid w:val="003C1606"/>
    <w:rsid w:val="003C2425"/>
    <w:rsid w:val="003C29B6"/>
    <w:rsid w:val="003C6FB8"/>
    <w:rsid w:val="003D20A8"/>
    <w:rsid w:val="003D5137"/>
    <w:rsid w:val="003E2BB0"/>
    <w:rsid w:val="003E4745"/>
    <w:rsid w:val="003E49DE"/>
    <w:rsid w:val="003E7E1B"/>
    <w:rsid w:val="003F2249"/>
    <w:rsid w:val="003F4F1E"/>
    <w:rsid w:val="003F5730"/>
    <w:rsid w:val="003F7E79"/>
    <w:rsid w:val="00400478"/>
    <w:rsid w:val="004024C0"/>
    <w:rsid w:val="0040297D"/>
    <w:rsid w:val="00402A2D"/>
    <w:rsid w:val="00402BD2"/>
    <w:rsid w:val="00405BEB"/>
    <w:rsid w:val="00405C3F"/>
    <w:rsid w:val="00407B96"/>
    <w:rsid w:val="00412E2F"/>
    <w:rsid w:val="0041546A"/>
    <w:rsid w:val="00416679"/>
    <w:rsid w:val="0042082C"/>
    <w:rsid w:val="00425FAC"/>
    <w:rsid w:val="004265D6"/>
    <w:rsid w:val="00431984"/>
    <w:rsid w:val="00437BE5"/>
    <w:rsid w:val="00437CF9"/>
    <w:rsid w:val="00437F10"/>
    <w:rsid w:val="00442BFA"/>
    <w:rsid w:val="0044309D"/>
    <w:rsid w:val="004430BA"/>
    <w:rsid w:val="00444FBE"/>
    <w:rsid w:val="00445D1A"/>
    <w:rsid w:val="00446FC7"/>
    <w:rsid w:val="00451014"/>
    <w:rsid w:val="0045324C"/>
    <w:rsid w:val="004536E8"/>
    <w:rsid w:val="00455C29"/>
    <w:rsid w:val="00456458"/>
    <w:rsid w:val="00461E3F"/>
    <w:rsid w:val="0046686F"/>
    <w:rsid w:val="00470D0C"/>
    <w:rsid w:val="00471CB6"/>
    <w:rsid w:val="0048093C"/>
    <w:rsid w:val="00482150"/>
    <w:rsid w:val="00483671"/>
    <w:rsid w:val="004838DF"/>
    <w:rsid w:val="004925A3"/>
    <w:rsid w:val="00495E8E"/>
    <w:rsid w:val="0049656A"/>
    <w:rsid w:val="004A1864"/>
    <w:rsid w:val="004A2D8C"/>
    <w:rsid w:val="004A345B"/>
    <w:rsid w:val="004A39E2"/>
    <w:rsid w:val="004A4AA7"/>
    <w:rsid w:val="004A4FA0"/>
    <w:rsid w:val="004A5C33"/>
    <w:rsid w:val="004A7766"/>
    <w:rsid w:val="004B15FD"/>
    <w:rsid w:val="004B2DFD"/>
    <w:rsid w:val="004B2F02"/>
    <w:rsid w:val="004B46BE"/>
    <w:rsid w:val="004B63F4"/>
    <w:rsid w:val="004C0850"/>
    <w:rsid w:val="004C233E"/>
    <w:rsid w:val="004C6627"/>
    <w:rsid w:val="004C6EF5"/>
    <w:rsid w:val="004D1A18"/>
    <w:rsid w:val="004D60B5"/>
    <w:rsid w:val="004D7C12"/>
    <w:rsid w:val="004D7CCE"/>
    <w:rsid w:val="004E05A6"/>
    <w:rsid w:val="004E062B"/>
    <w:rsid w:val="004E5DE0"/>
    <w:rsid w:val="004E6DA4"/>
    <w:rsid w:val="004E77E0"/>
    <w:rsid w:val="004F1124"/>
    <w:rsid w:val="004F2A44"/>
    <w:rsid w:val="004F300E"/>
    <w:rsid w:val="004F36E0"/>
    <w:rsid w:val="004F3B22"/>
    <w:rsid w:val="004F467B"/>
    <w:rsid w:val="004F4B22"/>
    <w:rsid w:val="004F6651"/>
    <w:rsid w:val="004F6FD2"/>
    <w:rsid w:val="00501CFC"/>
    <w:rsid w:val="00502932"/>
    <w:rsid w:val="0050348E"/>
    <w:rsid w:val="00503E0E"/>
    <w:rsid w:val="0050460D"/>
    <w:rsid w:val="00507007"/>
    <w:rsid w:val="005109F4"/>
    <w:rsid w:val="00512A8E"/>
    <w:rsid w:val="00514579"/>
    <w:rsid w:val="00515CFB"/>
    <w:rsid w:val="005160C4"/>
    <w:rsid w:val="005171C0"/>
    <w:rsid w:val="00520426"/>
    <w:rsid w:val="00520CA3"/>
    <w:rsid w:val="00534A5D"/>
    <w:rsid w:val="00536D58"/>
    <w:rsid w:val="0053796D"/>
    <w:rsid w:val="00542D3D"/>
    <w:rsid w:val="005450EB"/>
    <w:rsid w:val="00547C34"/>
    <w:rsid w:val="005500FB"/>
    <w:rsid w:val="0055211D"/>
    <w:rsid w:val="00553F58"/>
    <w:rsid w:val="00554C20"/>
    <w:rsid w:val="00555A6C"/>
    <w:rsid w:val="00557041"/>
    <w:rsid w:val="00561033"/>
    <w:rsid w:val="005633C5"/>
    <w:rsid w:val="00564EF0"/>
    <w:rsid w:val="0056550D"/>
    <w:rsid w:val="005658E7"/>
    <w:rsid w:val="00567164"/>
    <w:rsid w:val="00570375"/>
    <w:rsid w:val="005715E4"/>
    <w:rsid w:val="00572472"/>
    <w:rsid w:val="00575219"/>
    <w:rsid w:val="00577754"/>
    <w:rsid w:val="0057778F"/>
    <w:rsid w:val="00581ADA"/>
    <w:rsid w:val="005821D8"/>
    <w:rsid w:val="00582436"/>
    <w:rsid w:val="00584515"/>
    <w:rsid w:val="00585B76"/>
    <w:rsid w:val="00586396"/>
    <w:rsid w:val="00590142"/>
    <w:rsid w:val="005920D8"/>
    <w:rsid w:val="0059281F"/>
    <w:rsid w:val="005933DB"/>
    <w:rsid w:val="005940C9"/>
    <w:rsid w:val="00594344"/>
    <w:rsid w:val="00595036"/>
    <w:rsid w:val="00596C37"/>
    <w:rsid w:val="005A2446"/>
    <w:rsid w:val="005A32C0"/>
    <w:rsid w:val="005A5B1C"/>
    <w:rsid w:val="005A5DC5"/>
    <w:rsid w:val="005A6DBA"/>
    <w:rsid w:val="005B1904"/>
    <w:rsid w:val="005B1BD5"/>
    <w:rsid w:val="005B2233"/>
    <w:rsid w:val="005B2907"/>
    <w:rsid w:val="005B2DCE"/>
    <w:rsid w:val="005B462F"/>
    <w:rsid w:val="005B5F82"/>
    <w:rsid w:val="005C13A3"/>
    <w:rsid w:val="005C276D"/>
    <w:rsid w:val="005C420E"/>
    <w:rsid w:val="005C76FB"/>
    <w:rsid w:val="005C7D13"/>
    <w:rsid w:val="005D005E"/>
    <w:rsid w:val="005D081E"/>
    <w:rsid w:val="005D4E1A"/>
    <w:rsid w:val="005D70F9"/>
    <w:rsid w:val="005D73DC"/>
    <w:rsid w:val="005E007F"/>
    <w:rsid w:val="005E245B"/>
    <w:rsid w:val="005E3525"/>
    <w:rsid w:val="005E7932"/>
    <w:rsid w:val="005F02D3"/>
    <w:rsid w:val="005F0DB0"/>
    <w:rsid w:val="005F3C3B"/>
    <w:rsid w:val="005F4EFB"/>
    <w:rsid w:val="005F778C"/>
    <w:rsid w:val="00600BD1"/>
    <w:rsid w:val="0060433F"/>
    <w:rsid w:val="00604A8F"/>
    <w:rsid w:val="00606B5D"/>
    <w:rsid w:val="006101C2"/>
    <w:rsid w:val="0061090B"/>
    <w:rsid w:val="00613508"/>
    <w:rsid w:val="00615EC9"/>
    <w:rsid w:val="006212D0"/>
    <w:rsid w:val="00625D04"/>
    <w:rsid w:val="006316E8"/>
    <w:rsid w:val="00631B90"/>
    <w:rsid w:val="00632831"/>
    <w:rsid w:val="00633786"/>
    <w:rsid w:val="00633A7A"/>
    <w:rsid w:val="00633B3B"/>
    <w:rsid w:val="00633C6B"/>
    <w:rsid w:val="006342A1"/>
    <w:rsid w:val="00636B7C"/>
    <w:rsid w:val="006375E4"/>
    <w:rsid w:val="00637806"/>
    <w:rsid w:val="00640380"/>
    <w:rsid w:val="00641D9F"/>
    <w:rsid w:val="00642B26"/>
    <w:rsid w:val="00643A21"/>
    <w:rsid w:val="006453E7"/>
    <w:rsid w:val="006465F9"/>
    <w:rsid w:val="00646D71"/>
    <w:rsid w:val="00650B0C"/>
    <w:rsid w:val="00652600"/>
    <w:rsid w:val="006611E7"/>
    <w:rsid w:val="0066154C"/>
    <w:rsid w:val="0066249A"/>
    <w:rsid w:val="00663929"/>
    <w:rsid w:val="006646F7"/>
    <w:rsid w:val="0066507D"/>
    <w:rsid w:val="0066661B"/>
    <w:rsid w:val="00667462"/>
    <w:rsid w:val="00670F00"/>
    <w:rsid w:val="006728CF"/>
    <w:rsid w:val="00672EFC"/>
    <w:rsid w:val="00673CB0"/>
    <w:rsid w:val="006746BC"/>
    <w:rsid w:val="00676520"/>
    <w:rsid w:val="00676B3A"/>
    <w:rsid w:val="0067797B"/>
    <w:rsid w:val="00677D4E"/>
    <w:rsid w:val="00680AAE"/>
    <w:rsid w:val="006815B9"/>
    <w:rsid w:val="00684ECC"/>
    <w:rsid w:val="006869C5"/>
    <w:rsid w:val="00686D0D"/>
    <w:rsid w:val="00687F6B"/>
    <w:rsid w:val="006936B9"/>
    <w:rsid w:val="00696117"/>
    <w:rsid w:val="00696367"/>
    <w:rsid w:val="006A07A8"/>
    <w:rsid w:val="006A2E85"/>
    <w:rsid w:val="006A470A"/>
    <w:rsid w:val="006A48D6"/>
    <w:rsid w:val="006A4CCA"/>
    <w:rsid w:val="006A5E10"/>
    <w:rsid w:val="006B204B"/>
    <w:rsid w:val="006B2A43"/>
    <w:rsid w:val="006B3DCD"/>
    <w:rsid w:val="006B551F"/>
    <w:rsid w:val="006B5C7C"/>
    <w:rsid w:val="006B7561"/>
    <w:rsid w:val="006B7CDB"/>
    <w:rsid w:val="006C15D2"/>
    <w:rsid w:val="006C1E6C"/>
    <w:rsid w:val="006C1E89"/>
    <w:rsid w:val="006C2E6C"/>
    <w:rsid w:val="006C3492"/>
    <w:rsid w:val="006D0270"/>
    <w:rsid w:val="006D0A9B"/>
    <w:rsid w:val="006D1687"/>
    <w:rsid w:val="006D39F7"/>
    <w:rsid w:val="006D3CE7"/>
    <w:rsid w:val="006D6F09"/>
    <w:rsid w:val="006E116E"/>
    <w:rsid w:val="006E12EC"/>
    <w:rsid w:val="006E217F"/>
    <w:rsid w:val="006E3BB7"/>
    <w:rsid w:val="006E4D41"/>
    <w:rsid w:val="006E7629"/>
    <w:rsid w:val="006E7ECD"/>
    <w:rsid w:val="006F011E"/>
    <w:rsid w:val="006F023F"/>
    <w:rsid w:val="006F06BA"/>
    <w:rsid w:val="006F20B7"/>
    <w:rsid w:val="006F4A50"/>
    <w:rsid w:val="006F53D0"/>
    <w:rsid w:val="007006AE"/>
    <w:rsid w:val="00703367"/>
    <w:rsid w:val="00707705"/>
    <w:rsid w:val="0070798A"/>
    <w:rsid w:val="00710EA5"/>
    <w:rsid w:val="00712A84"/>
    <w:rsid w:val="00715D7D"/>
    <w:rsid w:val="00720791"/>
    <w:rsid w:val="0072397E"/>
    <w:rsid w:val="00723EDF"/>
    <w:rsid w:val="0072468D"/>
    <w:rsid w:val="00726DE9"/>
    <w:rsid w:val="00727D0E"/>
    <w:rsid w:val="00730187"/>
    <w:rsid w:val="0073042C"/>
    <w:rsid w:val="0073283B"/>
    <w:rsid w:val="007349BF"/>
    <w:rsid w:val="00735355"/>
    <w:rsid w:val="00736BCD"/>
    <w:rsid w:val="00740DCF"/>
    <w:rsid w:val="00742C66"/>
    <w:rsid w:val="00743475"/>
    <w:rsid w:val="00743B94"/>
    <w:rsid w:val="00743CFD"/>
    <w:rsid w:val="007460F3"/>
    <w:rsid w:val="007528D2"/>
    <w:rsid w:val="00753436"/>
    <w:rsid w:val="0075533A"/>
    <w:rsid w:val="007567C5"/>
    <w:rsid w:val="0075786A"/>
    <w:rsid w:val="007602A9"/>
    <w:rsid w:val="00761999"/>
    <w:rsid w:val="00762F12"/>
    <w:rsid w:val="00765C05"/>
    <w:rsid w:val="00766C7D"/>
    <w:rsid w:val="007670F2"/>
    <w:rsid w:val="00774145"/>
    <w:rsid w:val="0077504A"/>
    <w:rsid w:val="00775E8E"/>
    <w:rsid w:val="00777962"/>
    <w:rsid w:val="00781748"/>
    <w:rsid w:val="00783FB7"/>
    <w:rsid w:val="0078476E"/>
    <w:rsid w:val="00784CD2"/>
    <w:rsid w:val="00786BD4"/>
    <w:rsid w:val="007917FD"/>
    <w:rsid w:val="007920DD"/>
    <w:rsid w:val="0079317A"/>
    <w:rsid w:val="0079425E"/>
    <w:rsid w:val="00794292"/>
    <w:rsid w:val="007A56A2"/>
    <w:rsid w:val="007B00AC"/>
    <w:rsid w:val="007B0F8A"/>
    <w:rsid w:val="007B18EC"/>
    <w:rsid w:val="007B232C"/>
    <w:rsid w:val="007B7E05"/>
    <w:rsid w:val="007C21C7"/>
    <w:rsid w:val="007C684B"/>
    <w:rsid w:val="007D02C9"/>
    <w:rsid w:val="007D1EB0"/>
    <w:rsid w:val="007D2E17"/>
    <w:rsid w:val="007D3A76"/>
    <w:rsid w:val="007D6B36"/>
    <w:rsid w:val="007D71A2"/>
    <w:rsid w:val="007D7BFC"/>
    <w:rsid w:val="007E0430"/>
    <w:rsid w:val="007E3FD3"/>
    <w:rsid w:val="007E7A37"/>
    <w:rsid w:val="007F05F7"/>
    <w:rsid w:val="007F12D8"/>
    <w:rsid w:val="007F25CF"/>
    <w:rsid w:val="007F2E71"/>
    <w:rsid w:val="007F6AEA"/>
    <w:rsid w:val="0080239F"/>
    <w:rsid w:val="008030BD"/>
    <w:rsid w:val="00803E12"/>
    <w:rsid w:val="008040B4"/>
    <w:rsid w:val="00817FAB"/>
    <w:rsid w:val="00822CE9"/>
    <w:rsid w:val="00825BA1"/>
    <w:rsid w:val="00827DDF"/>
    <w:rsid w:val="008354A8"/>
    <w:rsid w:val="00837D12"/>
    <w:rsid w:val="00840242"/>
    <w:rsid w:val="00840DB6"/>
    <w:rsid w:val="0084342C"/>
    <w:rsid w:val="00844500"/>
    <w:rsid w:val="00844BC7"/>
    <w:rsid w:val="0084546C"/>
    <w:rsid w:val="00846418"/>
    <w:rsid w:val="00847B50"/>
    <w:rsid w:val="00857A86"/>
    <w:rsid w:val="00862354"/>
    <w:rsid w:val="00862662"/>
    <w:rsid w:val="00865BFE"/>
    <w:rsid w:val="008666B8"/>
    <w:rsid w:val="008669D9"/>
    <w:rsid w:val="008671C5"/>
    <w:rsid w:val="008744AE"/>
    <w:rsid w:val="008763C9"/>
    <w:rsid w:val="00876C1E"/>
    <w:rsid w:val="00877ADA"/>
    <w:rsid w:val="00877C42"/>
    <w:rsid w:val="00881E62"/>
    <w:rsid w:val="00886961"/>
    <w:rsid w:val="00891178"/>
    <w:rsid w:val="0089252C"/>
    <w:rsid w:val="00893D76"/>
    <w:rsid w:val="00895957"/>
    <w:rsid w:val="008A19FC"/>
    <w:rsid w:val="008A2B45"/>
    <w:rsid w:val="008A36EB"/>
    <w:rsid w:val="008A41EC"/>
    <w:rsid w:val="008A68B2"/>
    <w:rsid w:val="008A726A"/>
    <w:rsid w:val="008B00F0"/>
    <w:rsid w:val="008B1AA2"/>
    <w:rsid w:val="008C069E"/>
    <w:rsid w:val="008D06D0"/>
    <w:rsid w:val="008D2B49"/>
    <w:rsid w:val="008D556E"/>
    <w:rsid w:val="008D7E06"/>
    <w:rsid w:val="008E132B"/>
    <w:rsid w:val="008E14E3"/>
    <w:rsid w:val="008E2532"/>
    <w:rsid w:val="008E2F34"/>
    <w:rsid w:val="008E3706"/>
    <w:rsid w:val="008E38DF"/>
    <w:rsid w:val="008E4A6F"/>
    <w:rsid w:val="008E6516"/>
    <w:rsid w:val="008E7CC4"/>
    <w:rsid w:val="008E7D1B"/>
    <w:rsid w:val="008E7E0E"/>
    <w:rsid w:val="008F576B"/>
    <w:rsid w:val="009044C3"/>
    <w:rsid w:val="0090468F"/>
    <w:rsid w:val="009060DC"/>
    <w:rsid w:val="009062E1"/>
    <w:rsid w:val="00914203"/>
    <w:rsid w:val="00915EF0"/>
    <w:rsid w:val="009212F3"/>
    <w:rsid w:val="00921E08"/>
    <w:rsid w:val="00922899"/>
    <w:rsid w:val="009228C1"/>
    <w:rsid w:val="00923B12"/>
    <w:rsid w:val="009263C4"/>
    <w:rsid w:val="00926444"/>
    <w:rsid w:val="00926742"/>
    <w:rsid w:val="00926EB7"/>
    <w:rsid w:val="00933B8F"/>
    <w:rsid w:val="00936021"/>
    <w:rsid w:val="009367F6"/>
    <w:rsid w:val="00936D84"/>
    <w:rsid w:val="00937A21"/>
    <w:rsid w:val="00937BB1"/>
    <w:rsid w:val="009408ED"/>
    <w:rsid w:val="009424F6"/>
    <w:rsid w:val="00942727"/>
    <w:rsid w:val="00946060"/>
    <w:rsid w:val="00950E1C"/>
    <w:rsid w:val="009533F2"/>
    <w:rsid w:val="009538A1"/>
    <w:rsid w:val="00954E6D"/>
    <w:rsid w:val="009565B6"/>
    <w:rsid w:val="0095737A"/>
    <w:rsid w:val="009606B4"/>
    <w:rsid w:val="009630C5"/>
    <w:rsid w:val="00963972"/>
    <w:rsid w:val="00964674"/>
    <w:rsid w:val="009659C3"/>
    <w:rsid w:val="009719E5"/>
    <w:rsid w:val="009735F4"/>
    <w:rsid w:val="00974117"/>
    <w:rsid w:val="00974401"/>
    <w:rsid w:val="009777A5"/>
    <w:rsid w:val="00977E15"/>
    <w:rsid w:val="00981505"/>
    <w:rsid w:val="00982172"/>
    <w:rsid w:val="009837B8"/>
    <w:rsid w:val="00986288"/>
    <w:rsid w:val="00986B0F"/>
    <w:rsid w:val="00990292"/>
    <w:rsid w:val="009913D2"/>
    <w:rsid w:val="00994790"/>
    <w:rsid w:val="00994CE3"/>
    <w:rsid w:val="0099537A"/>
    <w:rsid w:val="00997041"/>
    <w:rsid w:val="00997F56"/>
    <w:rsid w:val="009A068B"/>
    <w:rsid w:val="009A1B73"/>
    <w:rsid w:val="009A1EE9"/>
    <w:rsid w:val="009A2BEC"/>
    <w:rsid w:val="009A4B07"/>
    <w:rsid w:val="009A513B"/>
    <w:rsid w:val="009A6970"/>
    <w:rsid w:val="009B5387"/>
    <w:rsid w:val="009B716F"/>
    <w:rsid w:val="009C35C0"/>
    <w:rsid w:val="009C75DB"/>
    <w:rsid w:val="009D3190"/>
    <w:rsid w:val="009D3A2A"/>
    <w:rsid w:val="009D7433"/>
    <w:rsid w:val="009D7744"/>
    <w:rsid w:val="009E163E"/>
    <w:rsid w:val="009E3B40"/>
    <w:rsid w:val="009E40D8"/>
    <w:rsid w:val="009E5D37"/>
    <w:rsid w:val="009F225E"/>
    <w:rsid w:val="009F2AAC"/>
    <w:rsid w:val="009F3D1C"/>
    <w:rsid w:val="009F5AED"/>
    <w:rsid w:val="00A030EE"/>
    <w:rsid w:val="00A0547C"/>
    <w:rsid w:val="00A069B5"/>
    <w:rsid w:val="00A06ABD"/>
    <w:rsid w:val="00A14355"/>
    <w:rsid w:val="00A14A62"/>
    <w:rsid w:val="00A20243"/>
    <w:rsid w:val="00A21D0E"/>
    <w:rsid w:val="00A2472E"/>
    <w:rsid w:val="00A260FD"/>
    <w:rsid w:val="00A27B2F"/>
    <w:rsid w:val="00A27F44"/>
    <w:rsid w:val="00A357C5"/>
    <w:rsid w:val="00A35F8A"/>
    <w:rsid w:val="00A36AD4"/>
    <w:rsid w:val="00A40B2E"/>
    <w:rsid w:val="00A4139D"/>
    <w:rsid w:val="00A431BD"/>
    <w:rsid w:val="00A47370"/>
    <w:rsid w:val="00A52F10"/>
    <w:rsid w:val="00A5318D"/>
    <w:rsid w:val="00A53267"/>
    <w:rsid w:val="00A549FF"/>
    <w:rsid w:val="00A553CF"/>
    <w:rsid w:val="00A557D8"/>
    <w:rsid w:val="00A63241"/>
    <w:rsid w:val="00A6454A"/>
    <w:rsid w:val="00A66930"/>
    <w:rsid w:val="00A7058E"/>
    <w:rsid w:val="00A7258F"/>
    <w:rsid w:val="00A72652"/>
    <w:rsid w:val="00A73F36"/>
    <w:rsid w:val="00A7459D"/>
    <w:rsid w:val="00A74D24"/>
    <w:rsid w:val="00A76625"/>
    <w:rsid w:val="00A800EA"/>
    <w:rsid w:val="00A81653"/>
    <w:rsid w:val="00A83979"/>
    <w:rsid w:val="00A84E03"/>
    <w:rsid w:val="00A85045"/>
    <w:rsid w:val="00A85DEB"/>
    <w:rsid w:val="00A90F8C"/>
    <w:rsid w:val="00A934E7"/>
    <w:rsid w:val="00A9538C"/>
    <w:rsid w:val="00A957D1"/>
    <w:rsid w:val="00A95DCF"/>
    <w:rsid w:val="00AA0AE2"/>
    <w:rsid w:val="00AA0AF3"/>
    <w:rsid w:val="00AA1AFE"/>
    <w:rsid w:val="00AA1C33"/>
    <w:rsid w:val="00AA3902"/>
    <w:rsid w:val="00AA6ADE"/>
    <w:rsid w:val="00AB22C4"/>
    <w:rsid w:val="00AC145E"/>
    <w:rsid w:val="00AC62C4"/>
    <w:rsid w:val="00AC6B20"/>
    <w:rsid w:val="00AC732D"/>
    <w:rsid w:val="00AD44EA"/>
    <w:rsid w:val="00AD6C0D"/>
    <w:rsid w:val="00AE08AF"/>
    <w:rsid w:val="00AE1CD8"/>
    <w:rsid w:val="00AE254B"/>
    <w:rsid w:val="00AE344D"/>
    <w:rsid w:val="00AE7706"/>
    <w:rsid w:val="00AF11ED"/>
    <w:rsid w:val="00AF3023"/>
    <w:rsid w:val="00AF54AF"/>
    <w:rsid w:val="00B00059"/>
    <w:rsid w:val="00B00786"/>
    <w:rsid w:val="00B01582"/>
    <w:rsid w:val="00B01BDB"/>
    <w:rsid w:val="00B022F3"/>
    <w:rsid w:val="00B02DA3"/>
    <w:rsid w:val="00B04806"/>
    <w:rsid w:val="00B05534"/>
    <w:rsid w:val="00B104E8"/>
    <w:rsid w:val="00B13DB3"/>
    <w:rsid w:val="00B159A6"/>
    <w:rsid w:val="00B16D5E"/>
    <w:rsid w:val="00B21481"/>
    <w:rsid w:val="00B23366"/>
    <w:rsid w:val="00B23A78"/>
    <w:rsid w:val="00B300EA"/>
    <w:rsid w:val="00B31D89"/>
    <w:rsid w:val="00B35E3C"/>
    <w:rsid w:val="00B4024C"/>
    <w:rsid w:val="00B40B4F"/>
    <w:rsid w:val="00B42696"/>
    <w:rsid w:val="00B43765"/>
    <w:rsid w:val="00B446EA"/>
    <w:rsid w:val="00B44D2F"/>
    <w:rsid w:val="00B44E3C"/>
    <w:rsid w:val="00B4643F"/>
    <w:rsid w:val="00B4739B"/>
    <w:rsid w:val="00B4777E"/>
    <w:rsid w:val="00B50E2C"/>
    <w:rsid w:val="00B50FD5"/>
    <w:rsid w:val="00B5102F"/>
    <w:rsid w:val="00B52265"/>
    <w:rsid w:val="00B52FAE"/>
    <w:rsid w:val="00B630AD"/>
    <w:rsid w:val="00B640D3"/>
    <w:rsid w:val="00B6631E"/>
    <w:rsid w:val="00B67A51"/>
    <w:rsid w:val="00B67F18"/>
    <w:rsid w:val="00B70A71"/>
    <w:rsid w:val="00B71F0E"/>
    <w:rsid w:val="00B75C31"/>
    <w:rsid w:val="00B75E80"/>
    <w:rsid w:val="00B80E7E"/>
    <w:rsid w:val="00B81F9C"/>
    <w:rsid w:val="00B8380C"/>
    <w:rsid w:val="00B859F7"/>
    <w:rsid w:val="00B85DBC"/>
    <w:rsid w:val="00B86080"/>
    <w:rsid w:val="00B868F2"/>
    <w:rsid w:val="00B8778A"/>
    <w:rsid w:val="00B87A3E"/>
    <w:rsid w:val="00B90D58"/>
    <w:rsid w:val="00B94FD5"/>
    <w:rsid w:val="00B95CEF"/>
    <w:rsid w:val="00B9708A"/>
    <w:rsid w:val="00B979FE"/>
    <w:rsid w:val="00B97BBC"/>
    <w:rsid w:val="00BA0005"/>
    <w:rsid w:val="00BB6313"/>
    <w:rsid w:val="00BB6A79"/>
    <w:rsid w:val="00BC087A"/>
    <w:rsid w:val="00BC0E9A"/>
    <w:rsid w:val="00BC17C3"/>
    <w:rsid w:val="00BC3D52"/>
    <w:rsid w:val="00BC404F"/>
    <w:rsid w:val="00BC4A18"/>
    <w:rsid w:val="00BC5F28"/>
    <w:rsid w:val="00BD3630"/>
    <w:rsid w:val="00BD37AB"/>
    <w:rsid w:val="00BD4E7E"/>
    <w:rsid w:val="00BD5924"/>
    <w:rsid w:val="00BD7C53"/>
    <w:rsid w:val="00BD7E57"/>
    <w:rsid w:val="00BE151B"/>
    <w:rsid w:val="00BE1B6C"/>
    <w:rsid w:val="00BE39D0"/>
    <w:rsid w:val="00BE4928"/>
    <w:rsid w:val="00BE55AB"/>
    <w:rsid w:val="00BF1D2D"/>
    <w:rsid w:val="00BF2162"/>
    <w:rsid w:val="00BF4A69"/>
    <w:rsid w:val="00BF58AD"/>
    <w:rsid w:val="00BF605B"/>
    <w:rsid w:val="00BF60A1"/>
    <w:rsid w:val="00BF68D3"/>
    <w:rsid w:val="00BF7234"/>
    <w:rsid w:val="00BF74F1"/>
    <w:rsid w:val="00C01DFF"/>
    <w:rsid w:val="00C021CB"/>
    <w:rsid w:val="00C0237A"/>
    <w:rsid w:val="00C036F6"/>
    <w:rsid w:val="00C03AFC"/>
    <w:rsid w:val="00C048D5"/>
    <w:rsid w:val="00C06958"/>
    <w:rsid w:val="00C06BA5"/>
    <w:rsid w:val="00C10CC2"/>
    <w:rsid w:val="00C11097"/>
    <w:rsid w:val="00C11F34"/>
    <w:rsid w:val="00C14775"/>
    <w:rsid w:val="00C15ABE"/>
    <w:rsid w:val="00C24A9D"/>
    <w:rsid w:val="00C269B0"/>
    <w:rsid w:val="00C27926"/>
    <w:rsid w:val="00C30ECA"/>
    <w:rsid w:val="00C33B4E"/>
    <w:rsid w:val="00C34152"/>
    <w:rsid w:val="00C40FE4"/>
    <w:rsid w:val="00C414FF"/>
    <w:rsid w:val="00C419DF"/>
    <w:rsid w:val="00C41BBA"/>
    <w:rsid w:val="00C42DE6"/>
    <w:rsid w:val="00C44244"/>
    <w:rsid w:val="00C5225D"/>
    <w:rsid w:val="00C545D8"/>
    <w:rsid w:val="00C5519F"/>
    <w:rsid w:val="00C625DE"/>
    <w:rsid w:val="00C62AA3"/>
    <w:rsid w:val="00C7017A"/>
    <w:rsid w:val="00C75032"/>
    <w:rsid w:val="00C75D38"/>
    <w:rsid w:val="00C82C0E"/>
    <w:rsid w:val="00C83D7F"/>
    <w:rsid w:val="00C90F4E"/>
    <w:rsid w:val="00C91E2B"/>
    <w:rsid w:val="00C93F26"/>
    <w:rsid w:val="00C954DC"/>
    <w:rsid w:val="00C958A4"/>
    <w:rsid w:val="00CA026B"/>
    <w:rsid w:val="00CA4E5F"/>
    <w:rsid w:val="00CA765E"/>
    <w:rsid w:val="00CB2B5B"/>
    <w:rsid w:val="00CC4449"/>
    <w:rsid w:val="00CC4ED3"/>
    <w:rsid w:val="00CC60AF"/>
    <w:rsid w:val="00CC7493"/>
    <w:rsid w:val="00CC78D9"/>
    <w:rsid w:val="00CC7EE7"/>
    <w:rsid w:val="00CD03B2"/>
    <w:rsid w:val="00CD1022"/>
    <w:rsid w:val="00CD1102"/>
    <w:rsid w:val="00CD1201"/>
    <w:rsid w:val="00CD17A2"/>
    <w:rsid w:val="00CD22EF"/>
    <w:rsid w:val="00CD63FF"/>
    <w:rsid w:val="00CD6D25"/>
    <w:rsid w:val="00CD74D5"/>
    <w:rsid w:val="00CE1B99"/>
    <w:rsid w:val="00CE1CFE"/>
    <w:rsid w:val="00CE2544"/>
    <w:rsid w:val="00CE2CDE"/>
    <w:rsid w:val="00CE383F"/>
    <w:rsid w:val="00CE38C4"/>
    <w:rsid w:val="00CE5567"/>
    <w:rsid w:val="00CE5860"/>
    <w:rsid w:val="00CF5ED1"/>
    <w:rsid w:val="00D0087B"/>
    <w:rsid w:val="00D024AD"/>
    <w:rsid w:val="00D04491"/>
    <w:rsid w:val="00D048EF"/>
    <w:rsid w:val="00D04AA7"/>
    <w:rsid w:val="00D057EB"/>
    <w:rsid w:val="00D06B9E"/>
    <w:rsid w:val="00D115D1"/>
    <w:rsid w:val="00D17364"/>
    <w:rsid w:val="00D17EEA"/>
    <w:rsid w:val="00D2120F"/>
    <w:rsid w:val="00D21383"/>
    <w:rsid w:val="00D21912"/>
    <w:rsid w:val="00D23AB5"/>
    <w:rsid w:val="00D2473C"/>
    <w:rsid w:val="00D24B33"/>
    <w:rsid w:val="00D24D99"/>
    <w:rsid w:val="00D2614D"/>
    <w:rsid w:val="00D30EE7"/>
    <w:rsid w:val="00D31F64"/>
    <w:rsid w:val="00D322BD"/>
    <w:rsid w:val="00D330A4"/>
    <w:rsid w:val="00D34E55"/>
    <w:rsid w:val="00D35391"/>
    <w:rsid w:val="00D3602D"/>
    <w:rsid w:val="00D36E2A"/>
    <w:rsid w:val="00D373FB"/>
    <w:rsid w:val="00D431CD"/>
    <w:rsid w:val="00D44742"/>
    <w:rsid w:val="00D4689E"/>
    <w:rsid w:val="00D54C0C"/>
    <w:rsid w:val="00D560BA"/>
    <w:rsid w:val="00D5650A"/>
    <w:rsid w:val="00D56BF5"/>
    <w:rsid w:val="00D57157"/>
    <w:rsid w:val="00D60164"/>
    <w:rsid w:val="00D64135"/>
    <w:rsid w:val="00D6526B"/>
    <w:rsid w:val="00D65E06"/>
    <w:rsid w:val="00D6650B"/>
    <w:rsid w:val="00D7031E"/>
    <w:rsid w:val="00D759FA"/>
    <w:rsid w:val="00D76A28"/>
    <w:rsid w:val="00D81035"/>
    <w:rsid w:val="00D833A6"/>
    <w:rsid w:val="00D844FB"/>
    <w:rsid w:val="00D856F6"/>
    <w:rsid w:val="00D86E59"/>
    <w:rsid w:val="00D90DDA"/>
    <w:rsid w:val="00D9321F"/>
    <w:rsid w:val="00D95971"/>
    <w:rsid w:val="00D965F9"/>
    <w:rsid w:val="00DA2FF1"/>
    <w:rsid w:val="00DA3351"/>
    <w:rsid w:val="00DA6A61"/>
    <w:rsid w:val="00DB3B8C"/>
    <w:rsid w:val="00DB674A"/>
    <w:rsid w:val="00DB682E"/>
    <w:rsid w:val="00DC26E1"/>
    <w:rsid w:val="00DC2DFB"/>
    <w:rsid w:val="00DC431B"/>
    <w:rsid w:val="00DC6725"/>
    <w:rsid w:val="00DD0485"/>
    <w:rsid w:val="00DD0716"/>
    <w:rsid w:val="00DD0956"/>
    <w:rsid w:val="00DD0A29"/>
    <w:rsid w:val="00DD19DC"/>
    <w:rsid w:val="00DD1B1E"/>
    <w:rsid w:val="00DD3E94"/>
    <w:rsid w:val="00DE0C8F"/>
    <w:rsid w:val="00DE2214"/>
    <w:rsid w:val="00DE2B04"/>
    <w:rsid w:val="00DE2E53"/>
    <w:rsid w:val="00DE36CB"/>
    <w:rsid w:val="00DE45C0"/>
    <w:rsid w:val="00DE5836"/>
    <w:rsid w:val="00DE6018"/>
    <w:rsid w:val="00DE6751"/>
    <w:rsid w:val="00DF1786"/>
    <w:rsid w:val="00DF43A0"/>
    <w:rsid w:val="00DF7358"/>
    <w:rsid w:val="00E024EE"/>
    <w:rsid w:val="00E029E6"/>
    <w:rsid w:val="00E03C82"/>
    <w:rsid w:val="00E07674"/>
    <w:rsid w:val="00E15C68"/>
    <w:rsid w:val="00E202D7"/>
    <w:rsid w:val="00E20FEE"/>
    <w:rsid w:val="00E23F7D"/>
    <w:rsid w:val="00E254E2"/>
    <w:rsid w:val="00E306CF"/>
    <w:rsid w:val="00E33DCF"/>
    <w:rsid w:val="00E37660"/>
    <w:rsid w:val="00E4351A"/>
    <w:rsid w:val="00E4596D"/>
    <w:rsid w:val="00E4694A"/>
    <w:rsid w:val="00E47F4C"/>
    <w:rsid w:val="00E504CA"/>
    <w:rsid w:val="00E510A9"/>
    <w:rsid w:val="00E57FA8"/>
    <w:rsid w:val="00E67D8E"/>
    <w:rsid w:val="00E71BA0"/>
    <w:rsid w:val="00E745E0"/>
    <w:rsid w:val="00E754CB"/>
    <w:rsid w:val="00E755D6"/>
    <w:rsid w:val="00E76C09"/>
    <w:rsid w:val="00E77723"/>
    <w:rsid w:val="00E822D9"/>
    <w:rsid w:val="00E85232"/>
    <w:rsid w:val="00E85C22"/>
    <w:rsid w:val="00E85D94"/>
    <w:rsid w:val="00E8739C"/>
    <w:rsid w:val="00E9053A"/>
    <w:rsid w:val="00E91D14"/>
    <w:rsid w:val="00E91D5E"/>
    <w:rsid w:val="00E957A8"/>
    <w:rsid w:val="00E96471"/>
    <w:rsid w:val="00E96721"/>
    <w:rsid w:val="00E96A9E"/>
    <w:rsid w:val="00E97C7C"/>
    <w:rsid w:val="00EA045A"/>
    <w:rsid w:val="00EA0794"/>
    <w:rsid w:val="00EA1D65"/>
    <w:rsid w:val="00EA7977"/>
    <w:rsid w:val="00EB0F8E"/>
    <w:rsid w:val="00EB0FD0"/>
    <w:rsid w:val="00EB1CBD"/>
    <w:rsid w:val="00EB2F21"/>
    <w:rsid w:val="00EB304C"/>
    <w:rsid w:val="00EB382E"/>
    <w:rsid w:val="00EB3F80"/>
    <w:rsid w:val="00EC01D4"/>
    <w:rsid w:val="00EC060D"/>
    <w:rsid w:val="00EC2CE5"/>
    <w:rsid w:val="00EC55D6"/>
    <w:rsid w:val="00EC7CC0"/>
    <w:rsid w:val="00ED297F"/>
    <w:rsid w:val="00ED38B1"/>
    <w:rsid w:val="00ED412A"/>
    <w:rsid w:val="00ED5BF9"/>
    <w:rsid w:val="00EE2E19"/>
    <w:rsid w:val="00EF0513"/>
    <w:rsid w:val="00EF1D18"/>
    <w:rsid w:val="00EF3269"/>
    <w:rsid w:val="00EF34AC"/>
    <w:rsid w:val="00EF3545"/>
    <w:rsid w:val="00EF3B39"/>
    <w:rsid w:val="00EF3B4E"/>
    <w:rsid w:val="00EF3FC9"/>
    <w:rsid w:val="00EF45CA"/>
    <w:rsid w:val="00EF6FA3"/>
    <w:rsid w:val="00F00EA6"/>
    <w:rsid w:val="00F02132"/>
    <w:rsid w:val="00F02EF7"/>
    <w:rsid w:val="00F03326"/>
    <w:rsid w:val="00F038C4"/>
    <w:rsid w:val="00F0452C"/>
    <w:rsid w:val="00F1176F"/>
    <w:rsid w:val="00F11848"/>
    <w:rsid w:val="00F13645"/>
    <w:rsid w:val="00F13DC4"/>
    <w:rsid w:val="00F21A23"/>
    <w:rsid w:val="00F2236C"/>
    <w:rsid w:val="00F226C9"/>
    <w:rsid w:val="00F22A02"/>
    <w:rsid w:val="00F34B26"/>
    <w:rsid w:val="00F357E3"/>
    <w:rsid w:val="00F36285"/>
    <w:rsid w:val="00F40B2A"/>
    <w:rsid w:val="00F40F63"/>
    <w:rsid w:val="00F411B7"/>
    <w:rsid w:val="00F4177C"/>
    <w:rsid w:val="00F41E54"/>
    <w:rsid w:val="00F4351D"/>
    <w:rsid w:val="00F43BA8"/>
    <w:rsid w:val="00F44928"/>
    <w:rsid w:val="00F45491"/>
    <w:rsid w:val="00F46091"/>
    <w:rsid w:val="00F4674C"/>
    <w:rsid w:val="00F470FB"/>
    <w:rsid w:val="00F5015D"/>
    <w:rsid w:val="00F5037D"/>
    <w:rsid w:val="00F53645"/>
    <w:rsid w:val="00F564C5"/>
    <w:rsid w:val="00F56EF1"/>
    <w:rsid w:val="00F5740E"/>
    <w:rsid w:val="00F5787F"/>
    <w:rsid w:val="00F61104"/>
    <w:rsid w:val="00F62579"/>
    <w:rsid w:val="00F62650"/>
    <w:rsid w:val="00F648A9"/>
    <w:rsid w:val="00F67503"/>
    <w:rsid w:val="00F71972"/>
    <w:rsid w:val="00F73844"/>
    <w:rsid w:val="00F75E1F"/>
    <w:rsid w:val="00F813DD"/>
    <w:rsid w:val="00F81D7B"/>
    <w:rsid w:val="00F81F57"/>
    <w:rsid w:val="00F84163"/>
    <w:rsid w:val="00F8617C"/>
    <w:rsid w:val="00F86BD4"/>
    <w:rsid w:val="00F87C80"/>
    <w:rsid w:val="00F91632"/>
    <w:rsid w:val="00F921E3"/>
    <w:rsid w:val="00F931ED"/>
    <w:rsid w:val="00F93D83"/>
    <w:rsid w:val="00F9404C"/>
    <w:rsid w:val="00F94559"/>
    <w:rsid w:val="00F94892"/>
    <w:rsid w:val="00F94ADC"/>
    <w:rsid w:val="00F9523D"/>
    <w:rsid w:val="00F95364"/>
    <w:rsid w:val="00F969F4"/>
    <w:rsid w:val="00F96EB8"/>
    <w:rsid w:val="00F979FE"/>
    <w:rsid w:val="00F97F96"/>
    <w:rsid w:val="00FA0205"/>
    <w:rsid w:val="00FA0E36"/>
    <w:rsid w:val="00FA4949"/>
    <w:rsid w:val="00FA591E"/>
    <w:rsid w:val="00FA7843"/>
    <w:rsid w:val="00FA7D37"/>
    <w:rsid w:val="00FB0E66"/>
    <w:rsid w:val="00FB575B"/>
    <w:rsid w:val="00FB78E3"/>
    <w:rsid w:val="00FB7F6F"/>
    <w:rsid w:val="00FC04A3"/>
    <w:rsid w:val="00FC1640"/>
    <w:rsid w:val="00FC3BE3"/>
    <w:rsid w:val="00FC582C"/>
    <w:rsid w:val="00FC7988"/>
    <w:rsid w:val="00FD03EB"/>
    <w:rsid w:val="00FD37FC"/>
    <w:rsid w:val="00FD5450"/>
    <w:rsid w:val="00FD6230"/>
    <w:rsid w:val="00FD7E87"/>
    <w:rsid w:val="00FD7F0B"/>
    <w:rsid w:val="00FE1945"/>
    <w:rsid w:val="00FE53DA"/>
    <w:rsid w:val="00FE5B81"/>
    <w:rsid w:val="00FE5BEC"/>
    <w:rsid w:val="00FE7C13"/>
    <w:rsid w:val="00FE7C9F"/>
    <w:rsid w:val="00FF0B90"/>
    <w:rsid w:val="00FF363A"/>
    <w:rsid w:val="00FF4874"/>
    <w:rsid w:val="00FF71B6"/>
    <w:rsid w:val="00FF79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AAFBF"/>
  <w15:chartTrackingRefBased/>
  <w15:docId w15:val="{35FC24D7-4B97-44CA-8C6C-4A4DBA78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74D24"/>
    <w:pPr>
      <w:keepNext/>
      <w:keepLines/>
      <w:numPr>
        <w:numId w:val="19"/>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62650"/>
    <w:pPr>
      <w:keepNext/>
      <w:keepLines/>
      <w:numPr>
        <w:ilvl w:val="1"/>
        <w:numId w:val="19"/>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C0FFA"/>
    <w:pPr>
      <w:keepNext/>
      <w:keepLines/>
      <w:numPr>
        <w:ilvl w:val="2"/>
        <w:numId w:val="19"/>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F62650"/>
    <w:pPr>
      <w:keepNext/>
      <w:keepLines/>
      <w:numPr>
        <w:ilvl w:val="3"/>
        <w:numId w:val="19"/>
      </w:numPr>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F62650"/>
    <w:pPr>
      <w:keepNext/>
      <w:keepLines/>
      <w:numPr>
        <w:ilvl w:val="4"/>
        <w:numId w:val="19"/>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F62650"/>
    <w:pPr>
      <w:keepNext/>
      <w:keepLines/>
      <w:numPr>
        <w:ilvl w:val="5"/>
        <w:numId w:val="19"/>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F62650"/>
    <w:pPr>
      <w:keepNext/>
      <w:keepLines/>
      <w:numPr>
        <w:ilvl w:val="6"/>
        <w:numId w:val="19"/>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F62650"/>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F62650"/>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26CF7"/>
    <w:pPr>
      <w:autoSpaceDE w:val="0"/>
      <w:autoSpaceDN w:val="0"/>
      <w:adjustRightInd w:val="0"/>
      <w:spacing w:after="0" w:line="240" w:lineRule="auto"/>
    </w:pPr>
    <w:rPr>
      <w:rFonts w:ascii="Arial" w:eastAsia="Calibri" w:hAnsi="Arial" w:cs="Arial"/>
      <w:color w:val="000000"/>
      <w:sz w:val="24"/>
      <w:szCs w:val="24"/>
      <w:lang w:eastAsia="pl-PL"/>
    </w:rPr>
  </w:style>
  <w:style w:type="paragraph" w:styleId="Tekstkomentarza">
    <w:name w:val="annotation text"/>
    <w:basedOn w:val="Normalny"/>
    <w:link w:val="TekstkomentarzaZnak"/>
    <w:uiPriority w:val="99"/>
    <w:unhideWhenUsed/>
    <w:rsid w:val="00226CF7"/>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226CF7"/>
    <w:rPr>
      <w:rFonts w:ascii="Calibri" w:eastAsia="Calibri" w:hAnsi="Calibri" w:cs="Times New Roman"/>
      <w:sz w:val="20"/>
      <w:szCs w:val="20"/>
    </w:rPr>
  </w:style>
  <w:style w:type="paragraph" w:styleId="Tekstprzypisudolnego">
    <w:name w:val="footnote text"/>
    <w:aliases w:val="Fußnotentextf,Note de bas de page Car Car Car Car Car Car Car Car Car Car,Note de bas de page Car Car Car Car,Note de bas de page Car Car Car Car Car Car Car Car Car,ft,Note de bas de page Car Car Car Car Car Car Car Car,fußn,fn"/>
    <w:basedOn w:val="Normalny"/>
    <w:link w:val="TekstprzypisudolnegoZnak"/>
    <w:uiPriority w:val="99"/>
    <w:unhideWhenUsed/>
    <w:qFormat/>
    <w:rsid w:val="00226CF7"/>
    <w:pPr>
      <w:spacing w:after="0" w:line="240" w:lineRule="auto"/>
    </w:pPr>
    <w:rPr>
      <w:rFonts w:ascii="Calibri" w:eastAsia="Calibri" w:hAnsi="Calibri" w:cs="Times New Roman"/>
      <w:sz w:val="20"/>
      <w:szCs w:val="20"/>
    </w:rPr>
  </w:style>
  <w:style w:type="character" w:customStyle="1" w:styleId="TekstprzypisudolnegoZnak">
    <w:name w:val="Tekst przypisu dolnego Znak"/>
    <w:aliases w:val="Fußnotentextf Znak,Note de bas de page Car Car Car Car Car Car Car Car Car Car Znak,Note de bas de page Car Car Car Car Znak,Note de bas de page Car Car Car Car Car Car Car Car Car Znak,ft Znak,fußn Znak,fn Znak"/>
    <w:basedOn w:val="Domylnaczcionkaakapitu"/>
    <w:link w:val="Tekstprzypisudolnego"/>
    <w:uiPriority w:val="99"/>
    <w:rsid w:val="00226CF7"/>
    <w:rPr>
      <w:rFonts w:ascii="Calibri" w:eastAsia="Calibri" w:hAnsi="Calibri" w:cs="Times New Roman"/>
      <w:sz w:val="20"/>
      <w:szCs w:val="20"/>
    </w:rPr>
  </w:style>
  <w:style w:type="character" w:styleId="Odwoanieprzypisudolnego">
    <w:name w:val="footnote reference"/>
    <w:aliases w:val="16 Point,Superscript 6 Point,Footnote Reference Number,Footnote Reference Superscript,BVI fnr,Footnote symbol,SUPERS,(Footnote Reference),Footnote,Voetnootverwijzing,Times 10 Point,Exposant 3 Point,note TESI,FR,ftref,FZ"/>
    <w:basedOn w:val="Domylnaczcionkaakapitu"/>
    <w:uiPriority w:val="99"/>
    <w:unhideWhenUsed/>
    <w:qFormat/>
    <w:rsid w:val="00226CF7"/>
    <w:rPr>
      <w:vertAlign w:val="superscript"/>
    </w:rPr>
  </w:style>
  <w:style w:type="character" w:customStyle="1" w:styleId="Aucun">
    <w:name w:val="Aucun"/>
    <w:rsid w:val="00226CF7"/>
  </w:style>
  <w:style w:type="character" w:customStyle="1" w:styleId="Nagwek3Znak">
    <w:name w:val="Nagłówek 3 Znak"/>
    <w:basedOn w:val="Domylnaczcionkaakapitu"/>
    <w:link w:val="Nagwek3"/>
    <w:uiPriority w:val="9"/>
    <w:rsid w:val="000C0FFA"/>
    <w:rPr>
      <w:rFonts w:asciiTheme="majorHAnsi" w:eastAsiaTheme="majorEastAsia" w:hAnsiTheme="majorHAnsi" w:cstheme="majorBidi"/>
      <w:color w:val="1F4D78" w:themeColor="accent1" w:themeShade="7F"/>
      <w:sz w:val="24"/>
      <w:szCs w:val="24"/>
    </w:rPr>
  </w:style>
  <w:style w:type="paragraph" w:customStyle="1" w:styleId="oj-normal">
    <w:name w:val="oj-normal"/>
    <w:basedOn w:val="Normalny"/>
    <w:rsid w:val="00DA6A6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DA6A61"/>
    <w:rPr>
      <w:color w:val="0000FF"/>
      <w:u w:val="single"/>
    </w:rPr>
  </w:style>
  <w:style w:type="character" w:customStyle="1" w:styleId="oj-super">
    <w:name w:val="oj-super"/>
    <w:basedOn w:val="Domylnaczcionkaakapitu"/>
    <w:rsid w:val="00DA6A61"/>
  </w:style>
  <w:style w:type="paragraph" w:styleId="Akapitzlist">
    <w:name w:val="List Paragraph"/>
    <w:basedOn w:val="Normalny"/>
    <w:uiPriority w:val="34"/>
    <w:qFormat/>
    <w:rsid w:val="00B022F3"/>
    <w:pPr>
      <w:ind w:left="720"/>
      <w:contextualSpacing/>
    </w:pPr>
  </w:style>
  <w:style w:type="paragraph" w:customStyle="1" w:styleId="USTustnpkodeksu">
    <w:name w:val="UST(§) – ust. (§ np. kodeksu)"/>
    <w:basedOn w:val="Normalny"/>
    <w:uiPriority w:val="12"/>
    <w:qFormat/>
    <w:rsid w:val="001775EC"/>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paragraph" w:styleId="Nagwek">
    <w:name w:val="header"/>
    <w:basedOn w:val="Normalny"/>
    <w:link w:val="NagwekZnak"/>
    <w:uiPriority w:val="99"/>
    <w:unhideWhenUsed/>
    <w:rsid w:val="006C34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3492"/>
  </w:style>
  <w:style w:type="paragraph" w:styleId="Stopka">
    <w:name w:val="footer"/>
    <w:basedOn w:val="Normalny"/>
    <w:link w:val="StopkaZnak"/>
    <w:uiPriority w:val="99"/>
    <w:unhideWhenUsed/>
    <w:rsid w:val="006C34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3492"/>
  </w:style>
  <w:style w:type="character" w:styleId="Odwoaniedokomentarza">
    <w:name w:val="annotation reference"/>
    <w:basedOn w:val="Domylnaczcionkaakapitu"/>
    <w:uiPriority w:val="99"/>
    <w:unhideWhenUsed/>
    <w:rsid w:val="00193B5C"/>
    <w:rPr>
      <w:sz w:val="16"/>
      <w:szCs w:val="16"/>
    </w:rPr>
  </w:style>
  <w:style w:type="paragraph" w:styleId="Tematkomentarza">
    <w:name w:val="annotation subject"/>
    <w:basedOn w:val="Tekstkomentarza"/>
    <w:next w:val="Tekstkomentarza"/>
    <w:link w:val="TematkomentarzaZnak"/>
    <w:uiPriority w:val="99"/>
    <w:semiHidden/>
    <w:unhideWhenUsed/>
    <w:rsid w:val="00193B5C"/>
    <w:pPr>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193B5C"/>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193B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B5C"/>
    <w:rPr>
      <w:rFonts w:ascii="Segoe UI" w:hAnsi="Segoe UI" w:cs="Segoe UI"/>
      <w:sz w:val="18"/>
      <w:szCs w:val="18"/>
    </w:rPr>
  </w:style>
  <w:style w:type="paragraph" w:customStyle="1" w:styleId="P68B1DB1-Normlny56">
    <w:name w:val="P68B1DB1-Normlny56"/>
    <w:basedOn w:val="Normalny"/>
    <w:rsid w:val="003044A2"/>
    <w:rPr>
      <w:rFonts w:ascii="Times New Roman" w:eastAsia="MS Mincho" w:hAnsi="Times New Roman" w:cs="Times New Roman"/>
      <w:kern w:val="1"/>
      <w:sz w:val="24"/>
      <w:szCs w:val="20"/>
      <w:lang w:val="pl" w:eastAsia="pl-PL"/>
    </w:rPr>
  </w:style>
  <w:style w:type="paragraph" w:customStyle="1" w:styleId="ZARTzmartartykuempunktem">
    <w:name w:val="Z/ART(§) – zm. art. (§) artykułem (punktem)"/>
    <w:basedOn w:val="Normalny"/>
    <w:uiPriority w:val="30"/>
    <w:qFormat/>
    <w:rsid w:val="00E755D6"/>
    <w:pPr>
      <w:suppressAutoHyphens/>
      <w:autoSpaceDE w:val="0"/>
      <w:autoSpaceDN w:val="0"/>
      <w:adjustRightInd w:val="0"/>
      <w:spacing w:after="0" w:line="360" w:lineRule="auto"/>
      <w:ind w:left="510" w:firstLine="510"/>
      <w:jc w:val="both"/>
    </w:pPr>
    <w:rPr>
      <w:rFonts w:ascii="Times" w:eastAsiaTheme="minorEastAsia" w:hAnsi="Times" w:cs="Arial"/>
      <w:sz w:val="24"/>
      <w:szCs w:val="20"/>
      <w:lang w:eastAsia="pl-PL"/>
    </w:rPr>
  </w:style>
  <w:style w:type="paragraph" w:customStyle="1" w:styleId="ZLITzmlitartykuempunktem">
    <w:name w:val="Z/LIT – zm. lit. artykułem (punktem)"/>
    <w:basedOn w:val="Normalny"/>
    <w:qFormat/>
    <w:rsid w:val="00E755D6"/>
    <w:pPr>
      <w:spacing w:after="0" w:line="360" w:lineRule="auto"/>
      <w:ind w:left="986" w:hanging="476"/>
      <w:jc w:val="both"/>
    </w:pPr>
    <w:rPr>
      <w:rFonts w:ascii="Times" w:eastAsiaTheme="minorEastAsia" w:hAnsi="Times" w:cs="Arial"/>
      <w:bCs/>
      <w:sz w:val="24"/>
      <w:szCs w:val="20"/>
      <w:lang w:eastAsia="pl-PL"/>
    </w:rPr>
  </w:style>
  <w:style w:type="paragraph" w:customStyle="1" w:styleId="ZTIRwPKTzmtirwpktartykuempunktem">
    <w:name w:val="Z/TIR_w_PKT – zm. tir. w pkt artykułem (punktem)"/>
    <w:basedOn w:val="Normalny"/>
    <w:uiPriority w:val="33"/>
    <w:qFormat/>
    <w:rsid w:val="00A36AD4"/>
    <w:pPr>
      <w:spacing w:after="0" w:line="360" w:lineRule="auto"/>
      <w:ind w:left="1894" w:hanging="397"/>
      <w:jc w:val="both"/>
    </w:pPr>
    <w:rPr>
      <w:rFonts w:ascii="Times" w:eastAsiaTheme="minorEastAsia" w:hAnsi="Times" w:cs="Arial"/>
      <w:bCs/>
      <w:sz w:val="24"/>
      <w:szCs w:val="20"/>
      <w:lang w:eastAsia="pl-PL"/>
    </w:rPr>
  </w:style>
  <w:style w:type="paragraph" w:customStyle="1" w:styleId="ZPKTzmpktartykuempunktem">
    <w:name w:val="Z/PKT – zm. pkt artykułem (punktem)"/>
    <w:basedOn w:val="PKTpunkt"/>
    <w:uiPriority w:val="31"/>
    <w:qFormat/>
    <w:rsid w:val="00A36AD4"/>
    <w:pPr>
      <w:ind w:left="1020"/>
    </w:pPr>
  </w:style>
  <w:style w:type="paragraph" w:customStyle="1" w:styleId="PKTpunkt">
    <w:name w:val="PKT – punkt"/>
    <w:uiPriority w:val="13"/>
    <w:qFormat/>
    <w:rsid w:val="00A36AD4"/>
    <w:pPr>
      <w:spacing w:after="0" w:line="360" w:lineRule="auto"/>
      <w:ind w:left="510" w:hanging="510"/>
      <w:jc w:val="both"/>
    </w:pPr>
    <w:rPr>
      <w:rFonts w:ascii="Times" w:eastAsiaTheme="minorEastAsia" w:hAnsi="Times" w:cs="Arial"/>
      <w:bCs/>
      <w:sz w:val="24"/>
      <w:szCs w:val="20"/>
      <w:lang w:eastAsia="pl-PL"/>
    </w:rPr>
  </w:style>
  <w:style w:type="paragraph" w:customStyle="1" w:styleId="ZUSTzmustartykuempunktem">
    <w:name w:val="Z/UST(§) – zm. ust. (§) artykułem (punktem)"/>
    <w:basedOn w:val="ZARTzmartartykuempunktem"/>
    <w:uiPriority w:val="30"/>
    <w:qFormat/>
    <w:rsid w:val="00A36AD4"/>
  </w:style>
  <w:style w:type="paragraph" w:styleId="Poprawka">
    <w:name w:val="Revision"/>
    <w:hidden/>
    <w:uiPriority w:val="99"/>
    <w:semiHidden/>
    <w:rsid w:val="00865BFE"/>
    <w:pPr>
      <w:spacing w:after="0" w:line="240" w:lineRule="auto"/>
    </w:pPr>
  </w:style>
  <w:style w:type="paragraph" w:customStyle="1" w:styleId="ARTartustawynprozporzdzenia">
    <w:name w:val="ART(§) – art. ustawy (§ np. rozporządzenia)"/>
    <w:uiPriority w:val="11"/>
    <w:qFormat/>
    <w:rsid w:val="00F038C4"/>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character" w:styleId="UyteHipercze">
    <w:name w:val="FollowedHyperlink"/>
    <w:basedOn w:val="Domylnaczcionkaakapitu"/>
    <w:uiPriority w:val="99"/>
    <w:semiHidden/>
    <w:unhideWhenUsed/>
    <w:rsid w:val="0080239F"/>
    <w:rPr>
      <w:color w:val="954F72" w:themeColor="followedHyperlink"/>
      <w:u w:val="single"/>
    </w:rPr>
  </w:style>
  <w:style w:type="character" w:customStyle="1" w:styleId="Nagwek1Znak">
    <w:name w:val="Nagłówek 1 Znak"/>
    <w:basedOn w:val="Domylnaczcionkaakapitu"/>
    <w:link w:val="Nagwek1"/>
    <w:uiPriority w:val="9"/>
    <w:rsid w:val="00A74D24"/>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9"/>
    <w:rsid w:val="00F62650"/>
    <w:rPr>
      <w:rFonts w:asciiTheme="majorHAnsi" w:eastAsiaTheme="majorEastAsia" w:hAnsiTheme="majorHAnsi" w:cstheme="majorBidi"/>
      <w:color w:val="2E74B5" w:themeColor="accent1" w:themeShade="BF"/>
      <w:sz w:val="26"/>
      <w:szCs w:val="26"/>
    </w:rPr>
  </w:style>
  <w:style w:type="character" w:customStyle="1" w:styleId="Nagwek4Znak">
    <w:name w:val="Nagłówek 4 Znak"/>
    <w:basedOn w:val="Domylnaczcionkaakapitu"/>
    <w:link w:val="Nagwek4"/>
    <w:uiPriority w:val="9"/>
    <w:semiHidden/>
    <w:rsid w:val="00F62650"/>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F62650"/>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F62650"/>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F62650"/>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F62650"/>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F62650"/>
    <w:rPr>
      <w:rFonts w:asciiTheme="majorHAnsi" w:eastAsiaTheme="majorEastAsia" w:hAnsiTheme="majorHAnsi" w:cstheme="majorBidi"/>
      <w:i/>
      <w:iCs/>
      <w:color w:val="272727" w:themeColor="text1" w:themeTint="D8"/>
      <w:sz w:val="21"/>
      <w:szCs w:val="21"/>
    </w:rPr>
  </w:style>
  <w:style w:type="character" w:customStyle="1" w:styleId="Ppogrubienie">
    <w:name w:val="_P_ – pogrubienie"/>
    <w:basedOn w:val="Domylnaczcionkaakapitu"/>
    <w:uiPriority w:val="1"/>
    <w:qFormat/>
    <w:rsid w:val="002C09C3"/>
    <w:rPr>
      <w:b/>
    </w:rPr>
  </w:style>
  <w:style w:type="character" w:customStyle="1" w:styleId="Kkursywa">
    <w:name w:val="_K_ – kursywa"/>
    <w:basedOn w:val="Domylnaczcionkaakapitu"/>
    <w:uiPriority w:val="1"/>
    <w:qFormat/>
    <w:rsid w:val="002C09C3"/>
    <w:rPr>
      <w:i/>
    </w:rPr>
  </w:style>
  <w:style w:type="character" w:customStyle="1" w:styleId="ui-provider">
    <w:name w:val="ui-provider"/>
    <w:basedOn w:val="Domylnaczcionkaakapitu"/>
    <w:rsid w:val="003403FE"/>
  </w:style>
  <w:style w:type="paragraph" w:customStyle="1" w:styleId="ODNONIKtreodnonika">
    <w:name w:val="ODNOŚNIK – treść odnośnika"/>
    <w:uiPriority w:val="19"/>
    <w:qFormat/>
    <w:rsid w:val="00687F6B"/>
    <w:pPr>
      <w:spacing w:after="0" w:line="240" w:lineRule="auto"/>
      <w:ind w:left="284" w:hanging="284"/>
      <w:jc w:val="both"/>
    </w:pPr>
    <w:rPr>
      <w:rFonts w:ascii="Times New Roman" w:eastAsiaTheme="minorEastAsia" w:hAnsi="Times New Roman" w:cs="Arial"/>
      <w:sz w:val="20"/>
      <w:szCs w:val="20"/>
      <w:lang w:eastAsia="pl-PL"/>
    </w:rPr>
  </w:style>
  <w:style w:type="character" w:customStyle="1" w:styleId="IGindeksgrny">
    <w:name w:val="_IG_ – indeks górny"/>
    <w:basedOn w:val="Domylnaczcionkaakapitu"/>
    <w:uiPriority w:val="2"/>
    <w:qFormat/>
    <w:rsid w:val="00687F6B"/>
    <w:rPr>
      <w:b w:val="0"/>
      <w:i w:val="0"/>
      <w:vanish w:val="0"/>
      <w:spacing w:val="0"/>
      <w:vertAlign w:val="superscript"/>
    </w:rPr>
  </w:style>
  <w:style w:type="paragraph" w:styleId="Tekstprzypisukocowego">
    <w:name w:val="endnote text"/>
    <w:basedOn w:val="Normalny"/>
    <w:link w:val="TekstprzypisukocowegoZnak"/>
    <w:uiPriority w:val="99"/>
    <w:semiHidden/>
    <w:unhideWhenUsed/>
    <w:rsid w:val="007528D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528D2"/>
    <w:rPr>
      <w:sz w:val="20"/>
      <w:szCs w:val="20"/>
    </w:rPr>
  </w:style>
  <w:style w:type="character" w:styleId="Odwoanieprzypisukocowego">
    <w:name w:val="endnote reference"/>
    <w:basedOn w:val="Domylnaczcionkaakapitu"/>
    <w:uiPriority w:val="99"/>
    <w:semiHidden/>
    <w:unhideWhenUsed/>
    <w:rsid w:val="007528D2"/>
    <w:rPr>
      <w:vertAlign w:val="superscript"/>
    </w:rPr>
  </w:style>
  <w:style w:type="paragraph" w:customStyle="1" w:styleId="SrodtytulpismaMF">
    <w:name w:val="Srodtytul pisma MF"/>
    <w:basedOn w:val="Normalny"/>
    <w:link w:val="SrodtytulpismaMFZnak"/>
    <w:qFormat/>
    <w:rsid w:val="00FD37FC"/>
    <w:pPr>
      <w:spacing w:before="240" w:after="0" w:line="300" w:lineRule="exact"/>
      <w:contextualSpacing/>
      <w:jc w:val="both"/>
    </w:pPr>
    <w:rPr>
      <w:rFonts w:ascii="Lato" w:hAnsi="Lato"/>
      <w:b/>
      <w:sz w:val="26"/>
    </w:rPr>
  </w:style>
  <w:style w:type="character" w:customStyle="1" w:styleId="SrodtytulpismaMFZnak">
    <w:name w:val="Srodtytul pisma MF Znak"/>
    <w:link w:val="SrodtytulpismaMF"/>
    <w:rsid w:val="00FD37FC"/>
    <w:rPr>
      <w:rFonts w:ascii="Lato" w:hAnsi="Lato"/>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63108">
      <w:bodyDiv w:val="1"/>
      <w:marLeft w:val="0"/>
      <w:marRight w:val="0"/>
      <w:marTop w:val="0"/>
      <w:marBottom w:val="0"/>
      <w:divBdr>
        <w:top w:val="none" w:sz="0" w:space="0" w:color="auto"/>
        <w:left w:val="none" w:sz="0" w:space="0" w:color="auto"/>
        <w:bottom w:val="none" w:sz="0" w:space="0" w:color="auto"/>
        <w:right w:val="none" w:sz="0" w:space="0" w:color="auto"/>
      </w:divBdr>
    </w:div>
    <w:div w:id="228418315">
      <w:bodyDiv w:val="1"/>
      <w:marLeft w:val="0"/>
      <w:marRight w:val="0"/>
      <w:marTop w:val="0"/>
      <w:marBottom w:val="0"/>
      <w:divBdr>
        <w:top w:val="none" w:sz="0" w:space="0" w:color="auto"/>
        <w:left w:val="none" w:sz="0" w:space="0" w:color="auto"/>
        <w:bottom w:val="none" w:sz="0" w:space="0" w:color="auto"/>
        <w:right w:val="none" w:sz="0" w:space="0" w:color="auto"/>
      </w:divBdr>
    </w:div>
    <w:div w:id="591475598">
      <w:bodyDiv w:val="1"/>
      <w:marLeft w:val="0"/>
      <w:marRight w:val="0"/>
      <w:marTop w:val="0"/>
      <w:marBottom w:val="0"/>
      <w:divBdr>
        <w:top w:val="none" w:sz="0" w:space="0" w:color="auto"/>
        <w:left w:val="none" w:sz="0" w:space="0" w:color="auto"/>
        <w:bottom w:val="none" w:sz="0" w:space="0" w:color="auto"/>
        <w:right w:val="none" w:sz="0" w:space="0" w:color="auto"/>
      </w:divBdr>
    </w:div>
    <w:div w:id="725109288">
      <w:bodyDiv w:val="1"/>
      <w:marLeft w:val="0"/>
      <w:marRight w:val="0"/>
      <w:marTop w:val="0"/>
      <w:marBottom w:val="0"/>
      <w:divBdr>
        <w:top w:val="none" w:sz="0" w:space="0" w:color="auto"/>
        <w:left w:val="none" w:sz="0" w:space="0" w:color="auto"/>
        <w:bottom w:val="none" w:sz="0" w:space="0" w:color="auto"/>
        <w:right w:val="none" w:sz="0" w:space="0" w:color="auto"/>
      </w:divBdr>
    </w:div>
    <w:div w:id="1094857447">
      <w:bodyDiv w:val="1"/>
      <w:marLeft w:val="0"/>
      <w:marRight w:val="0"/>
      <w:marTop w:val="0"/>
      <w:marBottom w:val="0"/>
      <w:divBdr>
        <w:top w:val="none" w:sz="0" w:space="0" w:color="auto"/>
        <w:left w:val="none" w:sz="0" w:space="0" w:color="auto"/>
        <w:bottom w:val="none" w:sz="0" w:space="0" w:color="auto"/>
        <w:right w:val="none" w:sz="0" w:space="0" w:color="auto"/>
      </w:divBdr>
    </w:div>
    <w:div w:id="1144737432">
      <w:bodyDiv w:val="1"/>
      <w:marLeft w:val="0"/>
      <w:marRight w:val="0"/>
      <w:marTop w:val="0"/>
      <w:marBottom w:val="0"/>
      <w:divBdr>
        <w:top w:val="none" w:sz="0" w:space="0" w:color="auto"/>
        <w:left w:val="none" w:sz="0" w:space="0" w:color="auto"/>
        <w:bottom w:val="none" w:sz="0" w:space="0" w:color="auto"/>
        <w:right w:val="none" w:sz="0" w:space="0" w:color="auto"/>
      </w:divBdr>
    </w:div>
    <w:div w:id="1155729032">
      <w:bodyDiv w:val="1"/>
      <w:marLeft w:val="0"/>
      <w:marRight w:val="0"/>
      <w:marTop w:val="0"/>
      <w:marBottom w:val="0"/>
      <w:divBdr>
        <w:top w:val="none" w:sz="0" w:space="0" w:color="auto"/>
        <w:left w:val="none" w:sz="0" w:space="0" w:color="auto"/>
        <w:bottom w:val="none" w:sz="0" w:space="0" w:color="auto"/>
        <w:right w:val="none" w:sz="0" w:space="0" w:color="auto"/>
      </w:divBdr>
    </w:div>
    <w:div w:id="1984843278">
      <w:bodyDiv w:val="1"/>
      <w:marLeft w:val="0"/>
      <w:marRight w:val="0"/>
      <w:marTop w:val="0"/>
      <w:marBottom w:val="0"/>
      <w:divBdr>
        <w:top w:val="none" w:sz="0" w:space="0" w:color="auto"/>
        <w:left w:val="none" w:sz="0" w:space="0" w:color="auto"/>
        <w:bottom w:val="none" w:sz="0" w:space="0" w:color="auto"/>
        <w:right w:val="none" w:sz="0" w:space="0" w:color="auto"/>
      </w:divBdr>
    </w:div>
    <w:div w:id="2021621102">
      <w:bodyDiv w:val="1"/>
      <w:marLeft w:val="0"/>
      <w:marRight w:val="0"/>
      <w:marTop w:val="0"/>
      <w:marBottom w:val="0"/>
      <w:divBdr>
        <w:top w:val="none" w:sz="0" w:space="0" w:color="auto"/>
        <w:left w:val="none" w:sz="0" w:space="0" w:color="auto"/>
        <w:bottom w:val="none" w:sz="0" w:space="0" w:color="auto"/>
        <w:right w:val="none" w:sz="0" w:space="0" w:color="auto"/>
      </w:divBdr>
    </w:div>
    <w:div w:id="2070764136">
      <w:bodyDiv w:val="1"/>
      <w:marLeft w:val="0"/>
      <w:marRight w:val="0"/>
      <w:marTop w:val="0"/>
      <w:marBottom w:val="0"/>
      <w:divBdr>
        <w:top w:val="none" w:sz="0" w:space="0" w:color="auto"/>
        <w:left w:val="none" w:sz="0" w:space="0" w:color="auto"/>
        <w:bottom w:val="none" w:sz="0" w:space="0" w:color="auto"/>
        <w:right w:val="none" w:sz="0" w:space="0" w:color="auto"/>
      </w:divBdr>
    </w:div>
    <w:div w:id="208864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oecd.org/tax/automatic-exchange/crs-implementation-and-assistance/residence-citizenship-by-investment/" TargetMode="External"/><Relationship Id="rId2" Type="http://schemas.openxmlformats.org/officeDocument/2006/relationships/hyperlink" Target="https://www.oecd.org/tax/transparency/documents/MAAC-toolkit_en.pdf" TargetMode="External"/><Relationship Id="rId1" Type="http://schemas.openxmlformats.org/officeDocument/2006/relationships/hyperlink" Target="https://www.oecd-ilibrary.org/taxation/peer-review-of-the-automatic-exchange-of-financial-account-information-2020_bd2e1eef-en" TargetMode="External"/><Relationship Id="rId4" Type="http://schemas.openxmlformats.org/officeDocument/2006/relationships/hyperlink" Target="https://sejm.gov.pl/Sejm8.nsf/druk.xsp?nr=320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21942581B7A194D9A78FE60FBE7319B" ma:contentTypeVersion="2" ma:contentTypeDescription="Utwórz nowy dokument." ma:contentTypeScope="" ma:versionID="bffafb75af97cd960ff0316491eaf00c">
  <xsd:schema xmlns:xsd="http://www.w3.org/2001/XMLSchema" xmlns:xs="http://www.w3.org/2001/XMLSchema" xmlns:p="http://schemas.microsoft.com/office/2006/metadata/properties" xmlns:ns2="d97432ee-d591-4880-933f-8a3b52f87fbf" targetNamespace="http://schemas.microsoft.com/office/2006/metadata/properties" ma:root="true" ma:fieldsID="b57f6d6cf64c6ffc1c9c2ad4b0350684" ns2:_="">
    <xsd:import namespace="d97432ee-d591-4880-933f-8a3b52f87f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432ee-d591-4880-933f-8a3b52f87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5D614-CEF9-437D-A03E-7DDD531C8FA0}">
  <ds:schemaRefs>
    <ds:schemaRef ds:uri="http://schemas.microsoft.com/sharepoint/v3/contenttype/forms"/>
  </ds:schemaRefs>
</ds:datastoreItem>
</file>

<file path=customXml/itemProps2.xml><?xml version="1.0" encoding="utf-8"?>
<ds:datastoreItem xmlns:ds="http://schemas.openxmlformats.org/officeDocument/2006/customXml" ds:itemID="{3D525BA8-DD6D-48D5-8988-2D609A539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432ee-d591-4880-933f-8a3b52f87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7B4A73-A81C-4475-9E4A-1789456003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4EF51B-3D87-427B-9A1C-5E9FD647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17371</Words>
  <Characters>104231</Characters>
  <Application>Microsoft Office Word</Application>
  <DocSecurity>0</DocSecurity>
  <Lines>868</Lines>
  <Paragraphs>242</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121360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Kuśmierz Łukasz</dc:creator>
  <cp:keywords/>
  <dc:description/>
  <cp:lastModifiedBy>Pracownik</cp:lastModifiedBy>
  <cp:revision>59</cp:revision>
  <dcterms:created xsi:type="dcterms:W3CDTF">2024-04-11T09:07:00Z</dcterms:created>
  <dcterms:modified xsi:type="dcterms:W3CDTF">2024-04-15T10:38:00Z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0x010100521942581B7A194D9A78FE60FBE7319B</vt:lpwstr>
  </property>
  <property fmtid="{D5CDD505-2E9C-101B-9397-08002B2CF9AE}" pid="3" name="MFCATEGORY">
    <vt:lpwstr>InformacjePrzeznaczoneWylacznieDoUzytkuWewnetrznego</vt:lpwstr>
  </property>
  <property fmtid="{D5CDD505-2E9C-101B-9397-08002B2CF9AE}" pid="4" name="MFClassifiedBy">
    <vt:lpwstr>UxC4dwLulzfINJ8nQH+xvX5LNGipWa4BRSZhPgxsCvkCVOVAoyGS1SQ3av9x8oM03ETqHkr4o3GdHn5XM+9Q4Q==</vt:lpwstr>
  </property>
  <property fmtid="{D5CDD505-2E9C-101B-9397-08002B2CF9AE}" pid="5" name="MFClassificationDate">
    <vt:lpwstr>2022-06-19T21:42:02.5831369+02:00</vt:lpwstr>
  </property>
  <property fmtid="{D5CDD505-2E9C-101B-9397-08002B2CF9AE}" pid="6" name="MFClassifiedBySID">
    <vt:lpwstr>UxC4dwLulzfINJ8nQH+xvX5LNGipWa4BRSZhPgxsCvm42mrIC/DSDv0ggS+FjUN/2v1BBotkLlY5aAiEhoi6uVcPY+nRIZsBkTarx9I6aQYbnuKpK48NoyAf1JDAwJoM</vt:lpwstr>
  </property>
  <property fmtid="{D5CDD505-2E9C-101B-9397-08002B2CF9AE}" pid="7" name="MFGRNItemId">
    <vt:lpwstr>GRN-4ac31dc9-3fd6-48cb-8448-dee7f6ca4deb</vt:lpwstr>
  </property>
  <property fmtid="{D5CDD505-2E9C-101B-9397-08002B2CF9AE}" pid="8" name="MFHash">
    <vt:lpwstr>RoQ6l05JBt2rFnZ9JT34NIC//jiITAamG1/ipN0KSeQ=</vt:lpwstr>
  </property>
  <property fmtid="{D5CDD505-2E9C-101B-9397-08002B2CF9AE}" pid="9" name="MFVisualMarkingsSettings">
    <vt:lpwstr>HeaderAlignment=1;FooterAlignment=1</vt:lpwstr>
  </property>
  <property fmtid="{D5CDD505-2E9C-101B-9397-08002B2CF9AE}" pid="10" name="DLPManualFileClassification">
    <vt:lpwstr>{5fdfc941-3fcf-4a5b-87be-4848800d39d0}</vt:lpwstr>
  </property>
  <property fmtid="{D5CDD505-2E9C-101B-9397-08002B2CF9AE}" pid="11" name="MFRefresh">
    <vt:lpwstr>False</vt:lpwstr>
  </property>
</Properties>
</file>