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29651A" w14:textId="77777777" w:rsidR="00073A9B" w:rsidRPr="00096039" w:rsidRDefault="00073A9B" w:rsidP="00073A9B">
      <w:pPr>
        <w:widowControl/>
        <w:spacing w:after="240"/>
        <w:jc w:val="center"/>
        <w:rPr>
          <w:b/>
        </w:rPr>
      </w:pPr>
      <w:r w:rsidRPr="00096039">
        <w:rPr>
          <w:rStyle w:val="Ppogrubienie"/>
          <w:b w:val="0"/>
        </w:rPr>
        <w:t>UZASADNIENIE</w:t>
      </w:r>
    </w:p>
    <w:p w14:paraId="2E187C6D" w14:textId="1F75CBE4" w:rsidR="00073A9B" w:rsidRDefault="00073A9B" w:rsidP="00F35CC4">
      <w:pPr>
        <w:widowControl/>
        <w:spacing w:before="120" w:after="120"/>
        <w:jc w:val="both"/>
      </w:pPr>
      <w:r>
        <w:t xml:space="preserve">Projekt ustawy o zmianie ustawy o podatku akcyzowym </w:t>
      </w:r>
      <w:r w:rsidR="00E12B6E" w:rsidRPr="00060D39">
        <w:t>oraz ustawy o świadczeniach opieki zdrowotnej finansowanych ze środków publicznych</w:t>
      </w:r>
      <w:r w:rsidR="00E12B6E" w:rsidRPr="00E12B6E">
        <w:t xml:space="preserve"> </w:t>
      </w:r>
      <w:r>
        <w:t xml:space="preserve">zawiera regulacje nowelizujące ustawę z dnia 6 grudnia 2008 r. o podatku akcyzowym (Dz. U. z 2026 r. poz. 412, z późn. zm. – zwaną dalej </w:t>
      </w:r>
      <w:bookmarkStart w:id="0" w:name="_Hlk206509113"/>
      <w:r>
        <w:t>„u.p.a.”</w:t>
      </w:r>
      <w:r w:rsidR="006C7FDC">
        <w:t>) oraz ustaw</w:t>
      </w:r>
      <w:r w:rsidR="009D1791">
        <w:t>y</w:t>
      </w:r>
      <w:r w:rsidR="006C7FDC">
        <w:t xml:space="preserve"> </w:t>
      </w:r>
      <w:r w:rsidR="009D1791">
        <w:t>z dnia 27 sierpnia 2004 r.</w:t>
      </w:r>
      <w:r w:rsidR="001A0291">
        <w:t xml:space="preserve"> </w:t>
      </w:r>
      <w:r w:rsidR="006C7FDC" w:rsidRPr="006C7FDC">
        <w:t xml:space="preserve">o świadczeniach opieki zdrowotnej finansowanych ze środków publicznych (Dz. U. z 2025 r. poz. 1461, </w:t>
      </w:r>
      <w:r w:rsidR="00E911BC">
        <w:t>z późn. zm.</w:t>
      </w:r>
      <w:r w:rsidR="006C7FDC" w:rsidRPr="006C7FDC">
        <w:t>)</w:t>
      </w:r>
      <w:r>
        <w:t>.</w:t>
      </w:r>
      <w:r w:rsidR="003E19FC">
        <w:t xml:space="preserve"> </w:t>
      </w:r>
    </w:p>
    <w:bookmarkEnd w:id="0"/>
    <w:p w14:paraId="7C6A1D50" w14:textId="697CC8DD" w:rsidR="00073A9B" w:rsidRDefault="00073A9B" w:rsidP="00F35CC4">
      <w:pPr>
        <w:widowControl/>
        <w:spacing w:before="120" w:after="120"/>
        <w:jc w:val="both"/>
      </w:pPr>
      <w:r>
        <w:t>Projekt zakłada od dnia 1 stycznia 2027 r. aktualizację tzw. akcyzowej mapy drogowej w zakresie stawek akcyzy na napoje alkoholowe na ten rok</w:t>
      </w:r>
      <w:r w:rsidR="007A3C26">
        <w:t>,</w:t>
      </w:r>
      <w:r w:rsidR="00E12B6E">
        <w:t xml:space="preserve"> </w:t>
      </w:r>
      <w:r w:rsidR="00E167A5" w:rsidRPr="00060D39">
        <w:t>odpowiadając na problem nadmiernej i rosnącej dostępności cenowej napojów alkoholowych oraz związanych z tym kosztów społecznych i zdrowotnych.</w:t>
      </w:r>
      <w:r>
        <w:t xml:space="preserve"> </w:t>
      </w:r>
    </w:p>
    <w:p w14:paraId="511C9FC4" w14:textId="67840910" w:rsidR="00073A9B" w:rsidRPr="00073A9B" w:rsidRDefault="00073A9B" w:rsidP="00F35CC4">
      <w:pPr>
        <w:widowControl/>
        <w:spacing w:before="120" w:after="120"/>
        <w:jc w:val="both"/>
      </w:pPr>
      <w:r>
        <w:t>Akcyzowa mapa drogowa została wprowadzona w 2022 r</w:t>
      </w:r>
      <w:r w:rsidR="00054785">
        <w:t>.</w:t>
      </w:r>
      <w:r>
        <w:t xml:space="preserve"> i zakładała podwyżkę stawek na napoje alkoholowe o 10</w:t>
      </w:r>
      <w:r w:rsidR="00CB6713">
        <w:t> </w:t>
      </w:r>
      <w:r>
        <w:t>% w pierwszym roku jej obowiązywania i po 5</w:t>
      </w:r>
      <w:r w:rsidR="00CB6713">
        <w:t> </w:t>
      </w:r>
      <w:r>
        <w:t xml:space="preserve">% rocznie w kolejnych latach aż do 2027 roku. U podstaw tak określonego tempa wzrostu stawek akcyzy legło założenie konieczności przeciwdziałania wzrostowi dostępności ekonomicznej tych wyrobów. Niedopuszczenie do niekontrolowanego zwiększania tego parametru pozwala bowiem ograniczać negatywne skutki społeczne wynikłe z nadużywania alkoholu oraz zachować stabilną relację finansowania tych kosztów wpływami fiskalnymi generowanymi na skutek ich konsumpcji. </w:t>
      </w:r>
    </w:p>
    <w:p w14:paraId="5229F346" w14:textId="0FEFFA12" w:rsidR="00073A9B" w:rsidRPr="00073A9B" w:rsidRDefault="00073A9B" w:rsidP="00F35CC4">
      <w:pPr>
        <w:widowControl/>
        <w:spacing w:before="120" w:after="120"/>
        <w:jc w:val="both"/>
      </w:pPr>
      <w:r w:rsidRPr="00073A9B">
        <w:t>Polska znalazła się na drugim miejscu w UE pod względem zgonów związanych z nadużywaniem alkoholu. W 2022 r</w:t>
      </w:r>
      <w:r w:rsidR="00E911BC">
        <w:t>.</w:t>
      </w:r>
      <w:r w:rsidRPr="00073A9B">
        <w:t xml:space="preserve"> odnotowano 9,34 zgony na 100 tys. mieszkańców, co plasuje nas za Słowenią (15,69) i przed Chorwacją (7,72) oraz Danią (7,49)</w:t>
      </w:r>
      <w:r w:rsidRPr="00A37B10">
        <w:rPr>
          <w:vertAlign w:val="superscript"/>
        </w:rPr>
        <w:footnoteReference w:id="1"/>
      </w:r>
      <w:r w:rsidR="00A37B10">
        <w:t>.</w:t>
      </w:r>
      <w:r w:rsidRPr="00073A9B">
        <w:t xml:space="preserve"> Są to zgony, którym można zapobiec.</w:t>
      </w:r>
      <w:r>
        <w:t xml:space="preserve"> </w:t>
      </w:r>
    </w:p>
    <w:p w14:paraId="34E62B4E" w14:textId="441514B7" w:rsidR="00073A9B" w:rsidRPr="00073A9B" w:rsidRDefault="00073A9B" w:rsidP="00F35CC4">
      <w:pPr>
        <w:widowControl/>
        <w:spacing w:before="120" w:after="120"/>
        <w:jc w:val="both"/>
      </w:pPr>
      <w:r w:rsidRPr="00073A9B">
        <w:t>W 2010 roku Światowa Organizacja Zdrowia (WHO) przyjęła światową strategię działań na rzecz ograniczenia szkodliwego spożywania alkoholu. Ministrowie zdrowia krajów członkowskich, w tym przedstawiciele polskiego Ministerstwa Zdrowia, jednogłośnie zaakceptowali tę strategię na światowym szczycie zdrowia. WHO rekomenduje trzy optymalne i najbardziej efektywne strategie</w:t>
      </w:r>
      <w:r w:rsidR="00374D54">
        <w:t xml:space="preserve">, w tym m.in. </w:t>
      </w:r>
      <w:r w:rsidRPr="00073A9B">
        <w:t>ograniczenie dostępności ekonomicznej (poprzez podatki i politykę cenową),</w:t>
      </w:r>
    </w:p>
    <w:p w14:paraId="43F682FD" w14:textId="41358FF8" w:rsidR="00073A9B" w:rsidRDefault="0010429B" w:rsidP="00F35CC4">
      <w:pPr>
        <w:widowControl/>
        <w:spacing w:before="120" w:after="120"/>
        <w:jc w:val="both"/>
      </w:pPr>
      <w:r>
        <w:t>T</w:t>
      </w:r>
      <w:r w:rsidR="00073A9B" w:rsidRPr="00073A9B">
        <w:t xml:space="preserve">empo wzrostu cen alkoholu nie nadążało za wzrostem średniej płacy oraz płacy minimalnej. Choć szybki wzrost płacy minimalnej, a tym samym zmniejszenie nierówności ekonomicznych </w:t>
      </w:r>
      <w:r w:rsidR="00073A9B" w:rsidRPr="00073A9B">
        <w:lastRenderedPageBreak/>
        <w:t>są korzystne, to brak proporcjonalnego wzrostu cen alkoholu doprowadził do zwiększenia jego dostępności.</w:t>
      </w:r>
      <w:r w:rsidR="00073A9B">
        <w:t xml:space="preserve"> </w:t>
      </w:r>
    </w:p>
    <w:p w14:paraId="630C0B16" w14:textId="5E4CDD49" w:rsidR="00073A9B" w:rsidRDefault="00073A9B" w:rsidP="00F35CC4">
      <w:pPr>
        <w:widowControl/>
        <w:spacing w:before="120" w:after="120"/>
        <w:jc w:val="both"/>
      </w:pPr>
      <w:r w:rsidRPr="00073A9B">
        <w:t xml:space="preserve">Realny spadek siły nabywczej pieniądza jest najbardziej odczuwalny w kategorii żywności i energii, gdzie skumulowany wzrost cen w tym okresie przekroczył w wielu przypadkach </w:t>
      </w:r>
      <w:r w:rsidR="00CB6713">
        <w:br/>
      </w:r>
      <w:r w:rsidRPr="00073A9B">
        <w:t>50</w:t>
      </w:r>
      <w:r w:rsidR="00CB6713">
        <w:t>–</w:t>
      </w:r>
      <w:r w:rsidRPr="00073A9B">
        <w:t>60</w:t>
      </w:r>
      <w:r w:rsidR="00CB6713">
        <w:t> </w:t>
      </w:r>
      <w:r w:rsidRPr="00073A9B">
        <w:t>%. Wraz ze wzrostem średniego wynagrodzenia, wg danych GUS, za miesięczną wypłatę można kupić coraz większą ilość napojów alkoholowych. Przykładowo za przeciętne miesięczne wynagrodzenie w 2020 r. można było kupić 201 butelek wódki (0,5 l, 40</w:t>
      </w:r>
      <w:r w:rsidR="00CB6713">
        <w:t> </w:t>
      </w:r>
      <w:r w:rsidRPr="00073A9B">
        <w:t>%), a w 2025 r. już 252 takich butelek.</w:t>
      </w:r>
    </w:p>
    <w:tbl>
      <w:tblPr>
        <w:tblW w:w="9520" w:type="dxa"/>
        <w:tblCellMar>
          <w:left w:w="70" w:type="dxa"/>
          <w:right w:w="70" w:type="dxa"/>
        </w:tblCellMar>
        <w:tblLook w:val="04A0" w:firstRow="1" w:lastRow="0" w:firstColumn="1" w:lastColumn="0" w:noHBand="0" w:noVBand="1"/>
      </w:tblPr>
      <w:tblGrid>
        <w:gridCol w:w="3940"/>
        <w:gridCol w:w="1140"/>
        <w:gridCol w:w="1200"/>
        <w:gridCol w:w="1080"/>
        <w:gridCol w:w="1120"/>
        <w:gridCol w:w="1040"/>
      </w:tblGrid>
      <w:tr w:rsidR="00073A9B" w14:paraId="7E207A8A" w14:textId="77777777" w:rsidTr="00073A9B">
        <w:trPr>
          <w:trHeight w:val="330"/>
        </w:trPr>
        <w:tc>
          <w:tcPr>
            <w:tcW w:w="3940" w:type="dxa"/>
            <w:tcBorders>
              <w:top w:val="single" w:sz="8" w:space="0" w:color="auto"/>
              <w:left w:val="single" w:sz="8" w:space="0" w:color="auto"/>
              <w:bottom w:val="single" w:sz="8" w:space="0" w:color="auto"/>
              <w:right w:val="single" w:sz="8" w:space="0" w:color="auto"/>
            </w:tcBorders>
            <w:noWrap/>
            <w:vAlign w:val="bottom"/>
            <w:hideMark/>
          </w:tcPr>
          <w:p w14:paraId="60122966" w14:textId="7078AF96" w:rsidR="00073A9B" w:rsidRDefault="00E911BC">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W</w:t>
            </w:r>
            <w:r w:rsidR="00073A9B">
              <w:rPr>
                <w:rFonts w:eastAsia="Times New Roman" w:cs="Times New Roman"/>
                <w:b/>
                <w:bCs/>
                <w:color w:val="000000"/>
                <w:szCs w:val="24"/>
                <w:lang w:eastAsia="en-US"/>
              </w:rPr>
              <w:t>yrób</w:t>
            </w:r>
          </w:p>
        </w:tc>
        <w:tc>
          <w:tcPr>
            <w:tcW w:w="1140" w:type="dxa"/>
            <w:tcBorders>
              <w:top w:val="single" w:sz="8" w:space="0" w:color="auto"/>
              <w:left w:val="nil"/>
              <w:bottom w:val="single" w:sz="8" w:space="0" w:color="auto"/>
              <w:right w:val="single" w:sz="4" w:space="0" w:color="auto"/>
            </w:tcBorders>
            <w:noWrap/>
            <w:vAlign w:val="bottom"/>
            <w:hideMark/>
          </w:tcPr>
          <w:p w14:paraId="33CB292A" w14:textId="77777777" w:rsidR="00073A9B" w:rsidRDefault="00073A9B">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2021</w:t>
            </w:r>
          </w:p>
        </w:tc>
        <w:tc>
          <w:tcPr>
            <w:tcW w:w="1200" w:type="dxa"/>
            <w:tcBorders>
              <w:top w:val="single" w:sz="8" w:space="0" w:color="auto"/>
              <w:left w:val="nil"/>
              <w:bottom w:val="single" w:sz="8" w:space="0" w:color="auto"/>
              <w:right w:val="single" w:sz="4" w:space="0" w:color="auto"/>
            </w:tcBorders>
            <w:noWrap/>
            <w:vAlign w:val="bottom"/>
            <w:hideMark/>
          </w:tcPr>
          <w:p w14:paraId="13F6F472" w14:textId="77777777" w:rsidR="00073A9B" w:rsidRDefault="00073A9B">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2022</w:t>
            </w:r>
          </w:p>
        </w:tc>
        <w:tc>
          <w:tcPr>
            <w:tcW w:w="1080" w:type="dxa"/>
            <w:tcBorders>
              <w:top w:val="single" w:sz="8" w:space="0" w:color="auto"/>
              <w:left w:val="nil"/>
              <w:bottom w:val="single" w:sz="8" w:space="0" w:color="auto"/>
              <w:right w:val="single" w:sz="4" w:space="0" w:color="auto"/>
            </w:tcBorders>
            <w:noWrap/>
            <w:vAlign w:val="bottom"/>
            <w:hideMark/>
          </w:tcPr>
          <w:p w14:paraId="040C7822" w14:textId="77777777" w:rsidR="00073A9B" w:rsidRDefault="00073A9B">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2023</w:t>
            </w:r>
          </w:p>
        </w:tc>
        <w:tc>
          <w:tcPr>
            <w:tcW w:w="1120" w:type="dxa"/>
            <w:tcBorders>
              <w:top w:val="single" w:sz="8" w:space="0" w:color="auto"/>
              <w:left w:val="nil"/>
              <w:bottom w:val="single" w:sz="8" w:space="0" w:color="auto"/>
              <w:right w:val="single" w:sz="4" w:space="0" w:color="auto"/>
            </w:tcBorders>
            <w:noWrap/>
            <w:vAlign w:val="bottom"/>
            <w:hideMark/>
          </w:tcPr>
          <w:p w14:paraId="6D696519" w14:textId="77777777" w:rsidR="00073A9B" w:rsidRDefault="00073A9B">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2024</w:t>
            </w:r>
          </w:p>
        </w:tc>
        <w:tc>
          <w:tcPr>
            <w:tcW w:w="1040" w:type="dxa"/>
            <w:tcBorders>
              <w:top w:val="single" w:sz="8" w:space="0" w:color="auto"/>
              <w:left w:val="nil"/>
              <w:bottom w:val="single" w:sz="8" w:space="0" w:color="auto"/>
              <w:right w:val="single" w:sz="8" w:space="0" w:color="auto"/>
            </w:tcBorders>
            <w:noWrap/>
            <w:vAlign w:val="bottom"/>
            <w:hideMark/>
          </w:tcPr>
          <w:p w14:paraId="7F586B7C" w14:textId="77777777" w:rsidR="00073A9B" w:rsidRDefault="00073A9B">
            <w:pPr>
              <w:widowControl/>
              <w:autoSpaceDE/>
              <w:adjustRightInd/>
              <w:spacing w:line="240" w:lineRule="auto"/>
              <w:jc w:val="center"/>
              <w:rPr>
                <w:rFonts w:eastAsia="Times New Roman" w:cs="Times New Roman"/>
                <w:b/>
                <w:bCs/>
                <w:color w:val="000000"/>
                <w:szCs w:val="24"/>
                <w:lang w:eastAsia="en-US"/>
              </w:rPr>
            </w:pPr>
            <w:r>
              <w:rPr>
                <w:rFonts w:eastAsia="Times New Roman" w:cs="Times New Roman"/>
                <w:b/>
                <w:bCs/>
                <w:color w:val="000000"/>
                <w:szCs w:val="24"/>
                <w:lang w:eastAsia="en-US"/>
              </w:rPr>
              <w:t>2025</w:t>
            </w:r>
          </w:p>
        </w:tc>
      </w:tr>
      <w:tr w:rsidR="00073A9B" w14:paraId="6FFB216C" w14:textId="77777777" w:rsidTr="00073A9B">
        <w:trPr>
          <w:trHeight w:val="315"/>
        </w:trPr>
        <w:tc>
          <w:tcPr>
            <w:tcW w:w="3940" w:type="dxa"/>
            <w:tcBorders>
              <w:top w:val="nil"/>
              <w:left w:val="single" w:sz="8" w:space="0" w:color="auto"/>
              <w:bottom w:val="single" w:sz="4" w:space="0" w:color="auto"/>
              <w:right w:val="single" w:sz="8" w:space="0" w:color="auto"/>
            </w:tcBorders>
            <w:noWrap/>
            <w:vAlign w:val="bottom"/>
            <w:hideMark/>
          </w:tcPr>
          <w:p w14:paraId="3F0A0222" w14:textId="3B06DE5E"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wódka czysta 40</w:t>
            </w:r>
            <w:r w:rsidR="00CB6713">
              <w:rPr>
                <w:rFonts w:eastAsia="Times New Roman" w:cs="Times New Roman"/>
                <w:color w:val="000000"/>
                <w:szCs w:val="24"/>
                <w:lang w:eastAsia="en-US"/>
              </w:rPr>
              <w:t> </w:t>
            </w:r>
            <w:r>
              <w:rPr>
                <w:rFonts w:eastAsia="Times New Roman" w:cs="Times New Roman"/>
                <w:color w:val="000000"/>
                <w:szCs w:val="24"/>
                <w:lang w:eastAsia="en-US"/>
              </w:rPr>
              <w:t>% 0,5</w:t>
            </w:r>
            <w:r w:rsidR="00CB6713">
              <w:rPr>
                <w:rFonts w:eastAsia="Times New Roman" w:cs="Times New Roman"/>
                <w:color w:val="000000"/>
                <w:szCs w:val="24"/>
                <w:lang w:eastAsia="en-US"/>
              </w:rPr>
              <w:t xml:space="preserve"> </w:t>
            </w:r>
            <w:r>
              <w:rPr>
                <w:rFonts w:eastAsia="Times New Roman" w:cs="Times New Roman"/>
                <w:color w:val="000000"/>
                <w:szCs w:val="24"/>
                <w:lang w:eastAsia="en-US"/>
              </w:rPr>
              <w:t>l</w:t>
            </w:r>
          </w:p>
        </w:tc>
        <w:tc>
          <w:tcPr>
            <w:tcW w:w="1140" w:type="dxa"/>
            <w:tcBorders>
              <w:top w:val="nil"/>
              <w:left w:val="nil"/>
              <w:bottom w:val="single" w:sz="4" w:space="0" w:color="auto"/>
              <w:right w:val="single" w:sz="4" w:space="0" w:color="auto"/>
            </w:tcBorders>
            <w:noWrap/>
            <w:vAlign w:val="bottom"/>
            <w:hideMark/>
          </w:tcPr>
          <w:p w14:paraId="7E00B1E2"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216</w:t>
            </w:r>
          </w:p>
        </w:tc>
        <w:tc>
          <w:tcPr>
            <w:tcW w:w="1200" w:type="dxa"/>
            <w:tcBorders>
              <w:top w:val="nil"/>
              <w:left w:val="nil"/>
              <w:bottom w:val="single" w:sz="4" w:space="0" w:color="auto"/>
              <w:right w:val="single" w:sz="4" w:space="0" w:color="auto"/>
            </w:tcBorders>
            <w:noWrap/>
            <w:vAlign w:val="bottom"/>
            <w:hideMark/>
          </w:tcPr>
          <w:p w14:paraId="7BB51BA4"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219</w:t>
            </w:r>
          </w:p>
        </w:tc>
        <w:tc>
          <w:tcPr>
            <w:tcW w:w="1080" w:type="dxa"/>
            <w:tcBorders>
              <w:top w:val="nil"/>
              <w:left w:val="nil"/>
              <w:bottom w:val="single" w:sz="4" w:space="0" w:color="auto"/>
              <w:right w:val="single" w:sz="4" w:space="0" w:color="auto"/>
            </w:tcBorders>
            <w:noWrap/>
            <w:vAlign w:val="bottom"/>
            <w:hideMark/>
          </w:tcPr>
          <w:p w14:paraId="6DF25C2F"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221</w:t>
            </w:r>
          </w:p>
        </w:tc>
        <w:tc>
          <w:tcPr>
            <w:tcW w:w="1120" w:type="dxa"/>
            <w:tcBorders>
              <w:top w:val="nil"/>
              <w:left w:val="nil"/>
              <w:bottom w:val="single" w:sz="4" w:space="0" w:color="auto"/>
              <w:right w:val="single" w:sz="4" w:space="0" w:color="auto"/>
            </w:tcBorders>
            <w:noWrap/>
            <w:vAlign w:val="bottom"/>
            <w:hideMark/>
          </w:tcPr>
          <w:p w14:paraId="05C76FCA"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238</w:t>
            </w:r>
          </w:p>
        </w:tc>
        <w:tc>
          <w:tcPr>
            <w:tcW w:w="1040" w:type="dxa"/>
            <w:tcBorders>
              <w:top w:val="nil"/>
              <w:left w:val="nil"/>
              <w:bottom w:val="single" w:sz="4" w:space="0" w:color="auto"/>
              <w:right w:val="single" w:sz="8" w:space="0" w:color="auto"/>
            </w:tcBorders>
            <w:noWrap/>
            <w:vAlign w:val="bottom"/>
            <w:hideMark/>
          </w:tcPr>
          <w:p w14:paraId="4F183D79"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252</w:t>
            </w:r>
          </w:p>
        </w:tc>
      </w:tr>
      <w:tr w:rsidR="00073A9B" w14:paraId="328FC340" w14:textId="77777777" w:rsidTr="00073A9B">
        <w:trPr>
          <w:trHeight w:val="315"/>
        </w:trPr>
        <w:tc>
          <w:tcPr>
            <w:tcW w:w="3940" w:type="dxa"/>
            <w:tcBorders>
              <w:top w:val="nil"/>
              <w:left w:val="single" w:sz="8" w:space="0" w:color="auto"/>
              <w:bottom w:val="single" w:sz="4" w:space="0" w:color="auto"/>
              <w:right w:val="single" w:sz="8" w:space="0" w:color="auto"/>
            </w:tcBorders>
            <w:noWrap/>
            <w:vAlign w:val="bottom"/>
            <w:hideMark/>
          </w:tcPr>
          <w:p w14:paraId="103E1D9B" w14:textId="0B5DD978"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piwo jasne pełne 0,5</w:t>
            </w:r>
            <w:r w:rsidR="00CB6713">
              <w:rPr>
                <w:rFonts w:eastAsia="Times New Roman" w:cs="Times New Roman"/>
                <w:color w:val="000000"/>
                <w:szCs w:val="24"/>
                <w:lang w:eastAsia="en-US"/>
              </w:rPr>
              <w:t xml:space="preserve"> </w:t>
            </w:r>
            <w:r>
              <w:rPr>
                <w:rFonts w:eastAsia="Times New Roman" w:cs="Times New Roman"/>
                <w:color w:val="000000"/>
                <w:szCs w:val="24"/>
                <w:lang w:eastAsia="en-US"/>
              </w:rPr>
              <w:t>l</w:t>
            </w:r>
          </w:p>
        </w:tc>
        <w:tc>
          <w:tcPr>
            <w:tcW w:w="1140" w:type="dxa"/>
            <w:tcBorders>
              <w:top w:val="nil"/>
              <w:left w:val="nil"/>
              <w:bottom w:val="single" w:sz="4" w:space="0" w:color="auto"/>
              <w:right w:val="single" w:sz="4" w:space="0" w:color="auto"/>
            </w:tcBorders>
            <w:noWrap/>
            <w:vAlign w:val="bottom"/>
            <w:hideMark/>
          </w:tcPr>
          <w:p w14:paraId="3A02700B"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1798</w:t>
            </w:r>
          </w:p>
        </w:tc>
        <w:tc>
          <w:tcPr>
            <w:tcW w:w="1200" w:type="dxa"/>
            <w:tcBorders>
              <w:top w:val="nil"/>
              <w:left w:val="nil"/>
              <w:bottom w:val="single" w:sz="4" w:space="0" w:color="auto"/>
              <w:right w:val="single" w:sz="4" w:space="0" w:color="auto"/>
            </w:tcBorders>
            <w:noWrap/>
            <w:vAlign w:val="bottom"/>
            <w:hideMark/>
          </w:tcPr>
          <w:p w14:paraId="0A911A56"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1889</w:t>
            </w:r>
          </w:p>
        </w:tc>
        <w:tc>
          <w:tcPr>
            <w:tcW w:w="1080" w:type="dxa"/>
            <w:tcBorders>
              <w:top w:val="nil"/>
              <w:left w:val="nil"/>
              <w:bottom w:val="single" w:sz="4" w:space="0" w:color="auto"/>
              <w:right w:val="single" w:sz="4" w:space="0" w:color="auto"/>
            </w:tcBorders>
            <w:noWrap/>
            <w:vAlign w:val="bottom"/>
            <w:hideMark/>
          </w:tcPr>
          <w:p w14:paraId="7BABFB87"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1863</w:t>
            </w:r>
          </w:p>
        </w:tc>
        <w:tc>
          <w:tcPr>
            <w:tcW w:w="1120" w:type="dxa"/>
            <w:tcBorders>
              <w:top w:val="nil"/>
              <w:left w:val="nil"/>
              <w:bottom w:val="single" w:sz="4" w:space="0" w:color="auto"/>
              <w:right w:val="single" w:sz="4" w:space="0" w:color="auto"/>
            </w:tcBorders>
            <w:noWrap/>
            <w:vAlign w:val="bottom"/>
            <w:hideMark/>
          </w:tcPr>
          <w:p w14:paraId="0FDD6348"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2103</w:t>
            </w:r>
          </w:p>
        </w:tc>
        <w:tc>
          <w:tcPr>
            <w:tcW w:w="1040" w:type="dxa"/>
            <w:tcBorders>
              <w:top w:val="nil"/>
              <w:left w:val="nil"/>
              <w:bottom w:val="single" w:sz="4" w:space="0" w:color="auto"/>
              <w:right w:val="single" w:sz="8" w:space="0" w:color="auto"/>
            </w:tcBorders>
            <w:noWrap/>
            <w:vAlign w:val="bottom"/>
            <w:hideMark/>
          </w:tcPr>
          <w:p w14:paraId="3B3670BD"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2172</w:t>
            </w:r>
          </w:p>
        </w:tc>
      </w:tr>
      <w:tr w:rsidR="00073A9B" w14:paraId="552620D2" w14:textId="77777777" w:rsidTr="00073A9B">
        <w:trPr>
          <w:trHeight w:val="330"/>
        </w:trPr>
        <w:tc>
          <w:tcPr>
            <w:tcW w:w="3940" w:type="dxa"/>
            <w:tcBorders>
              <w:top w:val="nil"/>
              <w:left w:val="single" w:sz="8" w:space="0" w:color="auto"/>
              <w:bottom w:val="single" w:sz="8" w:space="0" w:color="auto"/>
              <w:right w:val="single" w:sz="8" w:space="0" w:color="auto"/>
            </w:tcBorders>
            <w:noWrap/>
            <w:vAlign w:val="bottom"/>
            <w:hideMark/>
          </w:tcPr>
          <w:p w14:paraId="504237C1" w14:textId="1D5958B3"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wino białe gronowe 0.75</w:t>
            </w:r>
            <w:r w:rsidR="00CB6713">
              <w:rPr>
                <w:rFonts w:eastAsia="Times New Roman" w:cs="Times New Roman"/>
                <w:color w:val="000000"/>
                <w:szCs w:val="24"/>
                <w:lang w:eastAsia="en-US"/>
              </w:rPr>
              <w:t xml:space="preserve"> </w:t>
            </w:r>
            <w:r>
              <w:rPr>
                <w:rFonts w:eastAsia="Times New Roman" w:cs="Times New Roman"/>
                <w:color w:val="000000"/>
                <w:szCs w:val="24"/>
                <w:lang w:eastAsia="en-US"/>
              </w:rPr>
              <w:t>l</w:t>
            </w:r>
          </w:p>
        </w:tc>
        <w:tc>
          <w:tcPr>
            <w:tcW w:w="1140" w:type="dxa"/>
            <w:tcBorders>
              <w:top w:val="nil"/>
              <w:left w:val="nil"/>
              <w:bottom w:val="single" w:sz="8" w:space="0" w:color="auto"/>
              <w:right w:val="single" w:sz="4" w:space="0" w:color="auto"/>
            </w:tcBorders>
            <w:noWrap/>
            <w:vAlign w:val="bottom"/>
            <w:hideMark/>
          </w:tcPr>
          <w:p w14:paraId="1761C839"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256</w:t>
            </w:r>
          </w:p>
        </w:tc>
        <w:tc>
          <w:tcPr>
            <w:tcW w:w="1200" w:type="dxa"/>
            <w:tcBorders>
              <w:top w:val="nil"/>
              <w:left w:val="nil"/>
              <w:bottom w:val="single" w:sz="8" w:space="0" w:color="auto"/>
              <w:right w:val="single" w:sz="4" w:space="0" w:color="auto"/>
            </w:tcBorders>
            <w:noWrap/>
            <w:vAlign w:val="bottom"/>
            <w:hideMark/>
          </w:tcPr>
          <w:p w14:paraId="1D4AF5C5"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269</w:t>
            </w:r>
          </w:p>
        </w:tc>
        <w:tc>
          <w:tcPr>
            <w:tcW w:w="1080" w:type="dxa"/>
            <w:tcBorders>
              <w:top w:val="nil"/>
              <w:left w:val="nil"/>
              <w:bottom w:val="single" w:sz="8" w:space="0" w:color="auto"/>
              <w:right w:val="single" w:sz="4" w:space="0" w:color="auto"/>
            </w:tcBorders>
            <w:noWrap/>
            <w:vAlign w:val="bottom"/>
            <w:hideMark/>
          </w:tcPr>
          <w:p w14:paraId="5FC34FD8"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279</w:t>
            </w:r>
          </w:p>
        </w:tc>
        <w:tc>
          <w:tcPr>
            <w:tcW w:w="1120" w:type="dxa"/>
            <w:tcBorders>
              <w:top w:val="nil"/>
              <w:left w:val="nil"/>
              <w:bottom w:val="single" w:sz="8" w:space="0" w:color="auto"/>
              <w:right w:val="single" w:sz="4" w:space="0" w:color="auto"/>
            </w:tcBorders>
            <w:noWrap/>
            <w:vAlign w:val="bottom"/>
            <w:hideMark/>
          </w:tcPr>
          <w:p w14:paraId="62DB0408"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313</w:t>
            </w:r>
          </w:p>
        </w:tc>
        <w:tc>
          <w:tcPr>
            <w:tcW w:w="1040" w:type="dxa"/>
            <w:tcBorders>
              <w:top w:val="nil"/>
              <w:left w:val="nil"/>
              <w:bottom w:val="single" w:sz="8" w:space="0" w:color="auto"/>
              <w:right w:val="single" w:sz="8" w:space="0" w:color="auto"/>
            </w:tcBorders>
            <w:noWrap/>
            <w:vAlign w:val="bottom"/>
            <w:hideMark/>
          </w:tcPr>
          <w:p w14:paraId="07369CB3" w14:textId="77777777" w:rsidR="00073A9B" w:rsidRDefault="00073A9B">
            <w:pPr>
              <w:widowControl/>
              <w:autoSpaceDE/>
              <w:adjustRightInd/>
              <w:spacing w:line="240" w:lineRule="auto"/>
              <w:jc w:val="center"/>
              <w:rPr>
                <w:rFonts w:eastAsia="Times New Roman" w:cs="Times New Roman"/>
                <w:color w:val="000000"/>
                <w:szCs w:val="24"/>
                <w:lang w:eastAsia="en-US"/>
              </w:rPr>
            </w:pPr>
            <w:r>
              <w:rPr>
                <w:rFonts w:eastAsia="Times New Roman" w:cs="Times New Roman"/>
                <w:color w:val="000000"/>
                <w:szCs w:val="24"/>
                <w:lang w:eastAsia="en-US"/>
              </w:rPr>
              <w:t>339</w:t>
            </w:r>
          </w:p>
        </w:tc>
      </w:tr>
    </w:tbl>
    <w:p w14:paraId="32C5EF0F" w14:textId="6288FE0B" w:rsidR="00073A9B" w:rsidRDefault="00073A9B" w:rsidP="00073A9B">
      <w:pPr>
        <w:widowControl/>
        <w:jc w:val="both"/>
        <w:rPr>
          <w:rFonts w:cs="Times New Roman"/>
          <w:sz w:val="18"/>
          <w:szCs w:val="18"/>
        </w:rPr>
      </w:pPr>
      <w:r>
        <w:rPr>
          <w:rFonts w:cs="Times New Roman"/>
          <w:sz w:val="18"/>
          <w:szCs w:val="18"/>
        </w:rPr>
        <w:t>Wg danych GUS</w:t>
      </w:r>
      <w:r w:rsidR="00CB6713">
        <w:rPr>
          <w:rFonts w:cs="Times New Roman"/>
          <w:sz w:val="18"/>
          <w:szCs w:val="18"/>
        </w:rPr>
        <w:t>.</w:t>
      </w:r>
    </w:p>
    <w:p w14:paraId="6E70D2F6" w14:textId="1417E48E" w:rsidR="00073A9B" w:rsidRPr="00073A9B" w:rsidRDefault="00073A9B" w:rsidP="00F35CC4">
      <w:pPr>
        <w:widowControl/>
        <w:spacing w:before="120" w:after="120"/>
        <w:jc w:val="both"/>
      </w:pPr>
      <w:r w:rsidRPr="00073A9B">
        <w:t>W debacie publicznej fakt wzrostu dostępności ekonomicznej napojów alkoholowych jest powszechnie dostrzegany i krytykowany. W odniesieniu do cen żywności i napojów bezalkoholowych, płacy minimalnej, przeciętnego wynagrodzenia i poziomu cen towarów i usług obserwowany negatywny trend z roku na rok pogłębia się.</w:t>
      </w:r>
    </w:p>
    <w:p w14:paraId="795A1043" w14:textId="159AEF68" w:rsidR="00073A9B" w:rsidRDefault="00073A9B" w:rsidP="00073A9B">
      <w:pPr>
        <w:widowControl/>
        <w:jc w:val="both"/>
        <w:rPr>
          <w:rFonts w:cs="Times New Roman"/>
        </w:rPr>
      </w:pPr>
      <w:r>
        <w:rPr>
          <w:noProof/>
        </w:rPr>
        <w:drawing>
          <wp:inline distT="0" distB="0" distL="0" distR="0" wp14:anchorId="27D32B1B" wp14:editId="031FEBAD">
            <wp:extent cx="6305550" cy="3629025"/>
            <wp:effectExtent l="0" t="0" r="0" b="9525"/>
            <wp:docPr id="2" name="Wykres 2">
              <a:extLst xmlns:a="http://schemas.openxmlformats.org/drawingml/2006/main">
                <a:ext uri="{FF2B5EF4-FFF2-40B4-BE49-F238E27FC236}">
                  <a16:creationId xmlns:a16="http://schemas.microsoft.com/office/drawing/2014/main" id="{AD56A03B-46E7-4A82-B2A4-791F3A70FA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F2EE5EF" w14:textId="77777777" w:rsidR="00073A9B" w:rsidRDefault="00073A9B" w:rsidP="00073A9B">
      <w:pPr>
        <w:widowControl/>
        <w:jc w:val="both"/>
        <w:rPr>
          <w:rFonts w:cs="Times New Roman"/>
        </w:rPr>
      </w:pPr>
    </w:p>
    <w:p w14:paraId="1537C497" w14:textId="5C55F90F" w:rsidR="00073A9B" w:rsidRPr="00073A9B" w:rsidRDefault="00073A9B" w:rsidP="00F35CC4">
      <w:pPr>
        <w:widowControl/>
        <w:spacing w:before="120" w:after="120"/>
        <w:jc w:val="both"/>
      </w:pPr>
      <w:r>
        <w:rPr>
          <w:rFonts w:cs="Times New Roman"/>
        </w:rPr>
        <w:lastRenderedPageBreak/>
        <w:t xml:space="preserve">Polityka akcyzowa państwa jest ważną częścią polityki fiskalnej, ale jednocześnie stanowi narzędzie regulujące poziom konsumpcji używek mających negatywny wpływ na zdrowie społeczeństwa. Pośrednio ma ona przełożenie na możliwość kontrolowania szkód zdrowotnych ponoszonych przez </w:t>
      </w:r>
      <w:r w:rsidRPr="00073A9B">
        <w:t>społeczeństwo oraz wielkości nakładów na ich leczenie i działalność profilaktyczną.</w:t>
      </w:r>
      <w:r>
        <w:t xml:space="preserve"> Dodatkowo, w</w:t>
      </w:r>
      <w:r w:rsidRPr="00073A9B">
        <w:t>yższa cena zaporowa ogranicza inicjację alkoholową wśród osób młodych, co jest kluczowym celem Narodowego Programu</w:t>
      </w:r>
      <w:r w:rsidR="00BA3399">
        <w:t xml:space="preserve"> </w:t>
      </w:r>
      <w:r w:rsidR="00A27476">
        <w:t>Zdrowia</w:t>
      </w:r>
      <w:r w:rsidRPr="00073A9B">
        <w:t>.</w:t>
      </w:r>
    </w:p>
    <w:p w14:paraId="177D8244" w14:textId="65B8462F" w:rsidR="00073A9B" w:rsidRPr="00073A9B" w:rsidRDefault="00073A9B" w:rsidP="00F35CC4">
      <w:pPr>
        <w:widowControl/>
        <w:spacing w:before="120" w:after="120"/>
        <w:jc w:val="both"/>
      </w:pPr>
      <w:r w:rsidRPr="00073A9B">
        <w:t>W przypadku akcyzy brak jest mechanizmu automatycznego dostosowania obciążenia podatkowego do zmieniających się realiów otoczenia gospodarczego, tak jak w przypadku innych podatków (np. podatku dochodowego czy VAT), których wysokość określa się jako procentowy udział w cenie czy osiągniętym dochodzie, co za tym idzie</w:t>
      </w:r>
      <w:r w:rsidR="00CB6713">
        <w:t>,</w:t>
      </w:r>
      <w:r w:rsidRPr="00073A9B">
        <w:t xml:space="preserve"> wpływy z tych danin podlegają z natury rzeczy samoistnej waloryzacji.</w:t>
      </w:r>
    </w:p>
    <w:p w14:paraId="44FB2107" w14:textId="77777777" w:rsidR="00073A9B" w:rsidRDefault="00073A9B" w:rsidP="00F35CC4">
      <w:pPr>
        <w:widowControl/>
        <w:spacing w:before="120" w:after="120"/>
        <w:jc w:val="both"/>
        <w:rPr>
          <w:rFonts w:cs="Times New Roman"/>
        </w:rPr>
      </w:pPr>
      <w:r w:rsidRPr="00073A9B">
        <w:t>Z tego względu wysokość stawek podatku akcyzowego na napoje alkoholowe przyjęta w momencie projektowania założeń mapy drogowej nie odzwierciedla</w:t>
      </w:r>
      <w:r>
        <w:rPr>
          <w:rFonts w:cs="Times New Roman"/>
        </w:rPr>
        <w:t xml:space="preserve"> zmian, które nastąpiły po tym czasie, a które nie mogły być przewidziane ze względu na ich nadzwyczajny i nieoczekiwany charakter.</w:t>
      </w:r>
    </w:p>
    <w:p w14:paraId="712ED777" w14:textId="77777777" w:rsidR="00073A9B" w:rsidRDefault="00073A9B" w:rsidP="00F35CC4">
      <w:pPr>
        <w:widowControl/>
        <w:spacing w:before="120" w:after="120"/>
        <w:jc w:val="both"/>
        <w:rPr>
          <w:rFonts w:cs="Times New Roman"/>
        </w:rPr>
      </w:pPr>
      <w:r>
        <w:rPr>
          <w:rFonts w:cs="Times New Roman"/>
        </w:rPr>
        <w:t xml:space="preserve">Wymagana jest zatem waloryzacja stawek akcyzy. </w:t>
      </w:r>
    </w:p>
    <w:p w14:paraId="757D14DF" w14:textId="71D87C25" w:rsidR="00CA506B" w:rsidRPr="00420B46" w:rsidRDefault="00073A9B" w:rsidP="00F35CC4">
      <w:pPr>
        <w:spacing w:before="120" w:after="120"/>
        <w:jc w:val="both"/>
      </w:pPr>
      <w:r>
        <w:rPr>
          <w:rFonts w:cs="Times New Roman"/>
        </w:rPr>
        <w:t xml:space="preserve">Projekt przewiduje podwyżkę stawek akcyzy </w:t>
      </w:r>
      <w:r w:rsidR="00CA506B">
        <w:rPr>
          <w:rFonts w:cs="Times New Roman"/>
        </w:rPr>
        <w:t>w 2027 r</w:t>
      </w:r>
      <w:r w:rsidR="00E911BC">
        <w:rPr>
          <w:rFonts w:cs="Times New Roman"/>
        </w:rPr>
        <w:t>.</w:t>
      </w:r>
      <w:r w:rsidR="00CA506B">
        <w:rPr>
          <w:rFonts w:cs="Times New Roman"/>
        </w:rPr>
        <w:t xml:space="preserve"> </w:t>
      </w:r>
      <w:r>
        <w:rPr>
          <w:rFonts w:cs="Times New Roman"/>
        </w:rPr>
        <w:t>na alkohol etylowy, piwo, wino, napoje fermentowane i wyroby pośrednie</w:t>
      </w:r>
      <w:r w:rsidR="003635AD">
        <w:rPr>
          <w:rFonts w:cs="Times New Roman"/>
        </w:rPr>
        <w:t>.</w:t>
      </w:r>
    </w:p>
    <w:p w14:paraId="2D0CECD6" w14:textId="45D217C7" w:rsidR="00073A9B" w:rsidRDefault="00073A9B" w:rsidP="00F35CC4">
      <w:pPr>
        <w:widowControl/>
        <w:spacing w:before="120" w:after="120"/>
        <w:jc w:val="both"/>
        <w:rPr>
          <w:rFonts w:cs="Times New Roman"/>
        </w:rPr>
      </w:pPr>
      <w:r>
        <w:rPr>
          <w:rFonts w:cs="Times New Roman"/>
        </w:rPr>
        <w:t>Skumulowana inflacja w latach 2022</w:t>
      </w:r>
      <w:r w:rsidR="00CB6713">
        <w:rPr>
          <w:rFonts w:cs="Times New Roman"/>
        </w:rPr>
        <w:t>–</w:t>
      </w:r>
      <w:r>
        <w:rPr>
          <w:rFonts w:cs="Times New Roman"/>
        </w:rPr>
        <w:t>2026 wyniosła 43</w:t>
      </w:r>
      <w:r w:rsidR="00CB6713">
        <w:rPr>
          <w:rFonts w:cs="Times New Roman"/>
        </w:rPr>
        <w:t> </w:t>
      </w:r>
      <w:r>
        <w:rPr>
          <w:rFonts w:cs="Times New Roman"/>
        </w:rPr>
        <w:t>%. Znacznie wyprzedziła więc skumulowane tempo wzrostu stawek akcyzy na alkohol, które zgodnie z obowiązującą map</w:t>
      </w:r>
      <w:r w:rsidR="00EE5CDB">
        <w:rPr>
          <w:rFonts w:cs="Times New Roman"/>
        </w:rPr>
        <w:t>ą</w:t>
      </w:r>
      <w:r>
        <w:rPr>
          <w:rFonts w:cs="Times New Roman"/>
        </w:rPr>
        <w:t xml:space="preserve"> drogową w tym okresie wynieść miało 33</w:t>
      </w:r>
      <w:r w:rsidR="00CB6713">
        <w:rPr>
          <w:rFonts w:cs="Times New Roman"/>
        </w:rPr>
        <w:t> </w:t>
      </w:r>
      <w:r>
        <w:rPr>
          <w:rFonts w:cs="Times New Roman"/>
        </w:rPr>
        <w:t>%. Planowana podwyżka stawek akcyzy pozwoli więc zniwelować powstałą różnicę.</w:t>
      </w:r>
    </w:p>
    <w:p w14:paraId="63E6AA47" w14:textId="5322753E" w:rsidR="00073A9B" w:rsidRDefault="00073A9B" w:rsidP="00F35CC4">
      <w:pPr>
        <w:widowControl/>
        <w:spacing w:before="120" w:after="120"/>
        <w:jc w:val="both"/>
        <w:rPr>
          <w:rFonts w:cs="Times New Roman"/>
        </w:rPr>
      </w:pPr>
      <w:r>
        <w:rPr>
          <w:rFonts w:cs="Times New Roman"/>
        </w:rPr>
        <w:t>Aktualizacja stawek akcyzy w obowiązującej do 2027 r</w:t>
      </w:r>
      <w:r w:rsidR="00E911BC">
        <w:rPr>
          <w:rFonts w:cs="Times New Roman"/>
        </w:rPr>
        <w:t>.</w:t>
      </w:r>
      <w:r>
        <w:rPr>
          <w:rFonts w:cs="Times New Roman"/>
        </w:rPr>
        <w:t xml:space="preserve"> akcyzowej mapie drogowej nie narusza zasady zaufania do państwa i do stanowionego przezeń prawa. Dotychczas obowiązujące stawki akcyzy były skalkulowane w oparciu o całkowicie inne parametry makroekonomiczne, które nie mogły, w okresie kiedy tworzono obowiązujące regulacje (2021 r</w:t>
      </w:r>
      <w:r w:rsidR="00E911BC">
        <w:rPr>
          <w:rFonts w:cs="Times New Roman"/>
        </w:rPr>
        <w:t>.</w:t>
      </w:r>
      <w:r>
        <w:rPr>
          <w:rFonts w:cs="Times New Roman"/>
        </w:rPr>
        <w:t>), uwzględniać wzrostu inflacji spowodowanego wybuchem wojny na Ukrainie</w:t>
      </w:r>
      <w:r w:rsidR="00AD222B">
        <w:rPr>
          <w:rFonts w:cs="Times New Roman"/>
        </w:rPr>
        <w:t xml:space="preserve"> czy</w:t>
      </w:r>
      <w:r>
        <w:rPr>
          <w:rFonts w:cs="Times New Roman"/>
        </w:rPr>
        <w:t xml:space="preserve"> realizacją polityki przeciwdziałania skutkom COVID-19. Wpływ tych działań na inflację w okresie obowiązywania mapy drogowej na używki jest istotny. W ślad natomiast za inflacją wzrosły wynagrodzenia. Brak automatycznej indeksacji stawek akcyzy zgodnie z tempem zjawisk rynkowych doprowadził do sytuacji, że napoje alkoholowe stały się relatywnie tańsze w stosunku do zarobków konsumentów niż prognozowane założenia. </w:t>
      </w:r>
    </w:p>
    <w:p w14:paraId="231F4C26" w14:textId="77777777" w:rsidR="00073A9B" w:rsidRDefault="00073A9B" w:rsidP="00F35CC4">
      <w:pPr>
        <w:widowControl/>
        <w:spacing w:before="120" w:after="120"/>
        <w:jc w:val="both"/>
        <w:rPr>
          <w:rFonts w:cs="Times New Roman"/>
        </w:rPr>
      </w:pPr>
      <w:r>
        <w:rPr>
          <w:rFonts w:cs="Times New Roman"/>
        </w:rPr>
        <w:lastRenderedPageBreak/>
        <w:t>Zasada zaufania do państwa i do stanowionego przezeń prawa nie powinna być traktowana w sposób „sztywny”, nieuwzględniający nagłych, nieprzewidzianych zdarzeń rynkowych, które zmieniają w sposób zdecydowany uzgodnione z branżą, w tym wypadku branżą napojów alkoholowych, zaplanowane podwyżkami akcyzy cele. Bowiem akcyzowa mapa drogowa w swoich założeniach miała na celu ograniczenie dostępności cenowej ww. wyrobów. Wzrost inflacji i idący za nią wzrost wynagrodzeń zdezaktualizował dotychczasową akcyzową mapę drogową przy obecnie obowiązujących niezmienionych stawkach akcyzy. Dlatego konieczna stała się aktualizacja obowiązujących stawek akcyzy w oparciu o nowe, skorygowane parametry makroekonomiczne.</w:t>
      </w:r>
    </w:p>
    <w:p w14:paraId="02B905EE" w14:textId="42FEDE2C" w:rsidR="00073A9B" w:rsidRDefault="00073A9B" w:rsidP="00F35CC4">
      <w:pPr>
        <w:widowControl/>
        <w:spacing w:before="120" w:after="120"/>
        <w:jc w:val="both"/>
        <w:rPr>
          <w:rFonts w:cs="Times New Roman"/>
        </w:rPr>
      </w:pPr>
      <w:r w:rsidRPr="00073A9B">
        <w:rPr>
          <w:rFonts w:cs="Times New Roman"/>
        </w:rPr>
        <w:t>U</w:t>
      </w:r>
      <w:r w:rsidR="00AD222B">
        <w:rPr>
          <w:rFonts w:cs="Times New Roman"/>
        </w:rPr>
        <w:t>chwalona przez Sejm RP ustawa</w:t>
      </w:r>
      <w:r w:rsidRPr="00073A9B">
        <w:rPr>
          <w:rFonts w:cs="Times New Roman"/>
        </w:rPr>
        <w:t xml:space="preserve"> z dnia 7 listopada 2025 r. o zmianie ustawy o podatku akcyzowym</w:t>
      </w:r>
      <w:r w:rsidR="00AD222B">
        <w:rPr>
          <w:rFonts w:cs="Times New Roman"/>
        </w:rPr>
        <w:t>, przewidywała</w:t>
      </w:r>
      <w:r w:rsidRPr="00073A9B">
        <w:rPr>
          <w:rFonts w:cs="Times New Roman"/>
        </w:rPr>
        <w:t xml:space="preserve"> waloryzację stawek na napoje alkoholowe o 15</w:t>
      </w:r>
      <w:r w:rsidR="00CB6713">
        <w:rPr>
          <w:rFonts w:cs="Times New Roman"/>
        </w:rPr>
        <w:t> </w:t>
      </w:r>
      <w:r w:rsidRPr="00073A9B">
        <w:rPr>
          <w:rFonts w:cs="Times New Roman"/>
        </w:rPr>
        <w:t>% w roku 2026 i o 10 % w kolejnym roku. Ustawa ta nie została jednak</w:t>
      </w:r>
      <w:r>
        <w:rPr>
          <w:rFonts w:cs="Times New Roman"/>
        </w:rPr>
        <w:t xml:space="preserve"> podpisana przez Prezydenta RP. Stawki zaproponowane w </w:t>
      </w:r>
      <w:r w:rsidR="00EA6324">
        <w:rPr>
          <w:rFonts w:cs="Times New Roman"/>
        </w:rPr>
        <w:t xml:space="preserve">niniejszym </w:t>
      </w:r>
      <w:r>
        <w:rPr>
          <w:rFonts w:cs="Times New Roman"/>
        </w:rPr>
        <w:t xml:space="preserve">projekcie zostały przyjęte </w:t>
      </w:r>
      <w:r w:rsidR="003635AD">
        <w:rPr>
          <w:rFonts w:cs="Times New Roman"/>
        </w:rPr>
        <w:t xml:space="preserve">w wysokości odpowiadającej </w:t>
      </w:r>
      <w:r w:rsidR="003635AD">
        <w:t>stawkom podatku akcyzowego określony</w:t>
      </w:r>
      <w:r w:rsidR="00060D39">
        <w:t>m</w:t>
      </w:r>
      <w:r w:rsidR="003635AD">
        <w:t xml:space="preserve"> na 2027 rok w uchwalonej 7 listopada 202</w:t>
      </w:r>
      <w:r w:rsidR="00060D39">
        <w:t>5</w:t>
      </w:r>
      <w:r w:rsidR="003635AD">
        <w:t xml:space="preserve"> r. ustawie o zmianie ustawy o podatku akcyzowym</w:t>
      </w:r>
      <w:r>
        <w:rPr>
          <w:rFonts w:cs="Times New Roman"/>
        </w:rPr>
        <w:t>, która została zawetowana.</w:t>
      </w:r>
      <w:r w:rsidR="003635AD">
        <w:rPr>
          <w:rFonts w:cs="Times New Roman"/>
        </w:rPr>
        <w:t xml:space="preserve"> </w:t>
      </w:r>
    </w:p>
    <w:p w14:paraId="52B30EF7" w14:textId="7F6D3433" w:rsidR="008A63EC" w:rsidRDefault="008A63EC" w:rsidP="00F35CC4">
      <w:pPr>
        <w:widowControl/>
        <w:spacing w:before="120" w:after="120"/>
        <w:jc w:val="both"/>
        <w:rPr>
          <w:rFonts w:cs="Times New Roman"/>
        </w:rPr>
      </w:pPr>
      <w:r w:rsidRPr="008A63EC">
        <w:rPr>
          <w:rFonts w:cs="Times New Roman"/>
        </w:rPr>
        <w:t xml:space="preserve">Spożywanie alkoholu jest szkodliwe dla zdrowia, ale także generuje ogromne negatywne skutki w wymiarze społecznym i gospodarczym. Złożoność tego problemu wymaga zestawu uzupełniających się działań, które będą służyć stworzeniu środowiska wspierającego ograniczenie szkód związanych z piciem alkoholu. </w:t>
      </w:r>
      <w:r w:rsidR="00D210A3">
        <w:rPr>
          <w:rFonts w:cs="Times New Roman"/>
        </w:rPr>
        <w:t>Niniejszy projekt, poza wyżej wskazanymi działaniami prewencyjnymi w wymiarze ekonomicznym ma wpływ na zdrowie publiczne również poprzez działania naprawcze</w:t>
      </w:r>
      <w:r w:rsidR="006100DE">
        <w:rPr>
          <w:rFonts w:cs="Times New Roman"/>
        </w:rPr>
        <w:t>,</w:t>
      </w:r>
      <w:r w:rsidR="00D210A3">
        <w:rPr>
          <w:rFonts w:cs="Times New Roman"/>
        </w:rPr>
        <w:t xml:space="preserve"> </w:t>
      </w:r>
      <w:r w:rsidR="00EE5CDB">
        <w:rPr>
          <w:rFonts w:cs="Times New Roman"/>
        </w:rPr>
        <w:t xml:space="preserve">tj. </w:t>
      </w:r>
      <w:r w:rsidR="00D210A3">
        <w:rPr>
          <w:rFonts w:cs="Times New Roman"/>
        </w:rPr>
        <w:t xml:space="preserve">bezpośrednie zasilenie systemu leczenia dzięki </w:t>
      </w:r>
      <w:r w:rsidR="00D210A3" w:rsidRPr="00D210A3">
        <w:rPr>
          <w:rFonts w:cs="Times New Roman"/>
        </w:rPr>
        <w:t>zwiększeni</w:t>
      </w:r>
      <w:r w:rsidR="00D210A3">
        <w:rPr>
          <w:rFonts w:cs="Times New Roman"/>
        </w:rPr>
        <w:t>u</w:t>
      </w:r>
      <w:r w:rsidR="00D210A3" w:rsidRPr="00D210A3">
        <w:rPr>
          <w:rFonts w:cs="Times New Roman"/>
        </w:rPr>
        <w:t xml:space="preserve"> dotacji podmiotowej dla Narodowego Funduszu Zdrowia o środki odpowiadające nadwyżce sumy wpływów z podatku akcyzowego od niektórych napojów alkoholowych</w:t>
      </w:r>
      <w:r w:rsidR="00D210A3">
        <w:rPr>
          <w:rFonts w:cs="Times New Roman"/>
        </w:rPr>
        <w:t>.</w:t>
      </w:r>
    </w:p>
    <w:p w14:paraId="0F2530D0" w14:textId="77777777" w:rsidR="00073A9B" w:rsidRDefault="00073A9B" w:rsidP="00F35CC4">
      <w:pPr>
        <w:widowControl/>
        <w:spacing w:before="240" w:after="120"/>
        <w:jc w:val="both"/>
        <w:rPr>
          <w:rStyle w:val="Ppogrubienie"/>
        </w:rPr>
      </w:pPr>
      <w:r>
        <w:rPr>
          <w:rStyle w:val="Ppogrubienie"/>
          <w:rFonts w:cs="Times New Roman"/>
        </w:rPr>
        <w:t>Szczegółowy zakres proponowanych zmian obejmuje</w:t>
      </w:r>
    </w:p>
    <w:p w14:paraId="20CE5BA1" w14:textId="0786DD5D" w:rsidR="00073A9B" w:rsidRPr="00073A9B" w:rsidRDefault="00073A9B" w:rsidP="00F35CC4">
      <w:pPr>
        <w:widowControl/>
        <w:spacing w:before="120" w:after="120"/>
        <w:jc w:val="both"/>
        <w:rPr>
          <w:bCs/>
        </w:rPr>
      </w:pPr>
      <w:r w:rsidRPr="00073A9B">
        <w:rPr>
          <w:bCs/>
        </w:rPr>
        <w:t>Dostępność alkoholu w Polsce jest zbyt duża, stąd wprowadzona w 2022</w:t>
      </w:r>
      <w:r>
        <w:rPr>
          <w:bCs/>
        </w:rPr>
        <w:t xml:space="preserve"> </w:t>
      </w:r>
      <w:r w:rsidRPr="00073A9B">
        <w:rPr>
          <w:bCs/>
        </w:rPr>
        <w:t>r. akcyzowa mapa drogowa wymaga aktualizacji. Podwyższenie stawek akcyzy na wszystkie napoje alkoholowe ma na celu przede wszystkim ograniczenie spożycia tych napojów, a w konsekwencji redukcję negatywnych skutków społecznych, wiążących się z</w:t>
      </w:r>
      <w:r w:rsidR="008A63EC">
        <w:rPr>
          <w:bCs/>
        </w:rPr>
        <w:t>e spożywaniem</w:t>
      </w:r>
      <w:r w:rsidRPr="00073A9B">
        <w:rPr>
          <w:bCs/>
        </w:rPr>
        <w:t xml:space="preserve"> alkoholu.</w:t>
      </w:r>
    </w:p>
    <w:p w14:paraId="1A30E77B" w14:textId="77777777" w:rsidR="002C5ED7" w:rsidRDefault="002C5ED7" w:rsidP="002C5ED7">
      <w:pPr>
        <w:widowControl/>
        <w:spacing w:before="120" w:after="120"/>
        <w:jc w:val="both"/>
        <w:rPr>
          <w:bCs/>
        </w:rPr>
      </w:pPr>
    </w:p>
    <w:p w14:paraId="279E0595" w14:textId="38F49625" w:rsidR="00073A9B" w:rsidRPr="00073A9B" w:rsidRDefault="00073A9B" w:rsidP="00F35CC4">
      <w:pPr>
        <w:widowControl/>
        <w:spacing w:before="120" w:after="120"/>
        <w:jc w:val="both"/>
        <w:rPr>
          <w:rFonts w:cs="Times New Roman"/>
          <w:bCs/>
        </w:rPr>
      </w:pPr>
      <w:r w:rsidRPr="00073A9B">
        <w:rPr>
          <w:bCs/>
        </w:rPr>
        <w:t>Projekt przewiduje aktualizację obecnej akcyzowej mapy drogowej poprzez podwyżkę stawek akcyzy na:</w:t>
      </w:r>
    </w:p>
    <w:p w14:paraId="7448F3A7" w14:textId="77777777" w:rsidR="00073A9B" w:rsidRDefault="00073A9B" w:rsidP="00073A9B">
      <w:pPr>
        <w:widowControl/>
        <w:ind w:left="426" w:hanging="426"/>
        <w:jc w:val="both"/>
        <w:rPr>
          <w:rFonts w:cs="Times New Roman"/>
        </w:rPr>
      </w:pPr>
      <w:r>
        <w:rPr>
          <w:rFonts w:cs="Times New Roman"/>
        </w:rPr>
        <w:lastRenderedPageBreak/>
        <w:t>1)</w:t>
      </w:r>
      <w:r>
        <w:rPr>
          <w:rFonts w:cs="Times New Roman"/>
        </w:rPr>
        <w:tab/>
        <w:t xml:space="preserve">alkohol etylowy: </w:t>
      </w:r>
    </w:p>
    <w:p w14:paraId="2DB8354C" w14:textId="7EEC56DE" w:rsidR="00073A9B" w:rsidRDefault="00073A9B" w:rsidP="00073A9B">
      <w:pPr>
        <w:pStyle w:val="LITlitera"/>
        <w:ind w:left="851" w:hanging="341"/>
        <w:rPr>
          <w:rStyle w:val="Ppogrubienie"/>
          <w:rFonts w:ascii="Times New Roman" w:hAnsi="Times New Roman"/>
          <w:b w:val="0"/>
          <w:bCs w:val="0"/>
        </w:rPr>
      </w:pPr>
      <w:r>
        <w:rPr>
          <w:rFonts w:ascii="Times New Roman" w:hAnsi="Times New Roman" w:cs="Times New Roman"/>
        </w:rPr>
        <w:t>–</w:t>
      </w:r>
      <w:r>
        <w:rPr>
          <w:rFonts w:ascii="Times New Roman" w:hAnsi="Times New Roman" w:cs="Times New Roman"/>
        </w:rPr>
        <w:tab/>
      </w:r>
      <w:r w:rsidR="008A63EC">
        <w:rPr>
          <w:rFonts w:ascii="Times New Roman" w:hAnsi="Times New Roman" w:cs="Times New Roman"/>
        </w:rPr>
        <w:t xml:space="preserve">w </w:t>
      </w:r>
      <w:r w:rsidRPr="00073A9B">
        <w:rPr>
          <w:rStyle w:val="Ppogrubienie"/>
          <w:rFonts w:ascii="Times New Roman" w:hAnsi="Times New Roman" w:cs="Times New Roman"/>
          <w:b w:val="0"/>
          <w:bCs w:val="0"/>
        </w:rPr>
        <w:t>2027 r. z 8811,00 zł/hl 100</w:t>
      </w:r>
      <w:r w:rsidR="006100DE">
        <w:rPr>
          <w:rStyle w:val="Ppogrubienie"/>
          <w:rFonts w:ascii="Times New Roman" w:hAnsi="Times New Roman" w:cs="Times New Roman"/>
          <w:b w:val="0"/>
          <w:bCs w:val="0"/>
        </w:rPr>
        <w:t> </w:t>
      </w:r>
      <w:r w:rsidRPr="00073A9B">
        <w:rPr>
          <w:rStyle w:val="Ppogrubienie"/>
          <w:rFonts w:ascii="Times New Roman" w:hAnsi="Times New Roman" w:cs="Times New Roman"/>
          <w:b w:val="0"/>
          <w:bCs w:val="0"/>
        </w:rPr>
        <w:t>% vol. do 10</w:t>
      </w:r>
      <w:r w:rsidR="006100DE">
        <w:rPr>
          <w:rStyle w:val="Ppogrubienie"/>
          <w:rFonts w:ascii="Times New Roman" w:hAnsi="Times New Roman" w:cs="Times New Roman"/>
          <w:b w:val="0"/>
          <w:bCs w:val="0"/>
        </w:rPr>
        <w:t> </w:t>
      </w:r>
      <w:r>
        <w:rPr>
          <w:rStyle w:val="Ppogrubienie"/>
          <w:rFonts w:ascii="Times New Roman" w:hAnsi="Times New Roman" w:cs="Times New Roman"/>
          <w:b w:val="0"/>
          <w:bCs w:val="0"/>
        </w:rPr>
        <w:t>109</w:t>
      </w:r>
      <w:r w:rsidRPr="00073A9B">
        <w:rPr>
          <w:rStyle w:val="Ppogrubienie"/>
          <w:rFonts w:ascii="Times New Roman" w:hAnsi="Times New Roman" w:cs="Times New Roman"/>
          <w:b w:val="0"/>
          <w:bCs w:val="0"/>
        </w:rPr>
        <w:t>,00 zł/hl 100</w:t>
      </w:r>
      <w:r w:rsidR="006100DE">
        <w:rPr>
          <w:rStyle w:val="Ppogrubienie"/>
          <w:rFonts w:ascii="Times New Roman" w:hAnsi="Times New Roman" w:cs="Times New Roman"/>
          <w:b w:val="0"/>
          <w:bCs w:val="0"/>
        </w:rPr>
        <w:t> </w:t>
      </w:r>
      <w:r w:rsidRPr="00073A9B">
        <w:rPr>
          <w:rStyle w:val="Ppogrubienie"/>
          <w:rFonts w:ascii="Times New Roman" w:hAnsi="Times New Roman" w:cs="Times New Roman"/>
          <w:b w:val="0"/>
          <w:bCs w:val="0"/>
        </w:rPr>
        <w:t>% vol.,</w:t>
      </w:r>
    </w:p>
    <w:p w14:paraId="0EE1602E" w14:textId="77777777" w:rsidR="00073A9B" w:rsidRDefault="00073A9B" w:rsidP="00073A9B">
      <w:pPr>
        <w:widowControl/>
        <w:ind w:left="426" w:hanging="426"/>
        <w:jc w:val="both"/>
      </w:pPr>
      <w:r>
        <w:rPr>
          <w:rFonts w:cs="Times New Roman"/>
        </w:rPr>
        <w:t>2)</w:t>
      </w:r>
      <w:r>
        <w:rPr>
          <w:rFonts w:cs="Times New Roman"/>
        </w:rPr>
        <w:tab/>
        <w:t>piwo:</w:t>
      </w:r>
    </w:p>
    <w:p w14:paraId="773387B2" w14:textId="4D7DA665" w:rsidR="00073A9B" w:rsidRDefault="00073A9B" w:rsidP="00073A9B">
      <w:pPr>
        <w:pStyle w:val="LITlitera"/>
        <w:ind w:left="851" w:hanging="341"/>
        <w:rPr>
          <w:rFonts w:ascii="Times New Roman" w:hAnsi="Times New Roman" w:cs="Times New Roman"/>
        </w:rPr>
      </w:pPr>
      <w:bookmarkStart w:id="1" w:name="_Hlk227315484"/>
      <w:r>
        <w:rPr>
          <w:rFonts w:ascii="Times New Roman" w:hAnsi="Times New Roman" w:cs="Times New Roman"/>
        </w:rPr>
        <w:t>–</w:t>
      </w:r>
      <w:r>
        <w:rPr>
          <w:rFonts w:ascii="Times New Roman" w:hAnsi="Times New Roman" w:cs="Times New Roman"/>
        </w:rPr>
        <w:tab/>
      </w:r>
      <w:r w:rsidR="008A63EC">
        <w:rPr>
          <w:rFonts w:ascii="Times New Roman" w:hAnsi="Times New Roman" w:cs="Times New Roman"/>
        </w:rPr>
        <w:t xml:space="preserve">w </w:t>
      </w:r>
      <w:r>
        <w:rPr>
          <w:rFonts w:ascii="Times New Roman" w:hAnsi="Times New Roman" w:cs="Times New Roman"/>
        </w:rPr>
        <w:t>2027 r. z 12,04 zł/ hl st. Plato do 13,82 zł/ hl st. Plato,</w:t>
      </w:r>
    </w:p>
    <w:bookmarkEnd w:id="1"/>
    <w:p w14:paraId="0EE9A058" w14:textId="77777777" w:rsidR="00073A9B" w:rsidRDefault="00073A9B" w:rsidP="00073A9B">
      <w:pPr>
        <w:widowControl/>
        <w:ind w:left="426" w:hanging="426"/>
        <w:jc w:val="both"/>
        <w:rPr>
          <w:rFonts w:cs="Times New Roman"/>
        </w:rPr>
      </w:pPr>
      <w:r>
        <w:rPr>
          <w:rFonts w:cs="Times New Roman"/>
        </w:rPr>
        <w:t>3)</w:t>
      </w:r>
      <w:r>
        <w:rPr>
          <w:rFonts w:cs="Times New Roman"/>
        </w:rPr>
        <w:tab/>
        <w:t>wyroby winiarskie, w tym:</w:t>
      </w:r>
    </w:p>
    <w:p w14:paraId="33B8FA01" w14:textId="77777777" w:rsidR="00073A9B" w:rsidRDefault="00073A9B" w:rsidP="00073A9B">
      <w:pPr>
        <w:pStyle w:val="LITlitera"/>
        <w:rPr>
          <w:rFonts w:ascii="Times New Roman" w:hAnsi="Times New Roman" w:cs="Times New Roman"/>
        </w:rPr>
      </w:pPr>
      <w:r>
        <w:rPr>
          <w:rFonts w:ascii="Times New Roman" w:hAnsi="Times New Roman" w:cs="Times New Roman"/>
        </w:rPr>
        <w:t>a)</w:t>
      </w:r>
      <w:r>
        <w:rPr>
          <w:rFonts w:ascii="Times New Roman" w:hAnsi="Times New Roman" w:cs="Times New Roman"/>
        </w:rPr>
        <w:tab/>
        <w:t>wino i napoje fermentowane:</w:t>
      </w:r>
    </w:p>
    <w:p w14:paraId="5A5BCE61" w14:textId="55C385AE" w:rsidR="00073A9B" w:rsidRDefault="00073A9B" w:rsidP="00073A9B">
      <w:pPr>
        <w:pStyle w:val="TIRtiret"/>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8A63EC">
        <w:rPr>
          <w:rFonts w:ascii="Times New Roman" w:hAnsi="Times New Roman" w:cs="Times New Roman"/>
        </w:rPr>
        <w:t xml:space="preserve">w </w:t>
      </w:r>
      <w:r>
        <w:rPr>
          <w:rFonts w:ascii="Times New Roman" w:hAnsi="Times New Roman" w:cs="Times New Roman"/>
        </w:rPr>
        <w:t>2027 r. z 245,00 zł/hl do 280,83 zł/hl,</w:t>
      </w:r>
    </w:p>
    <w:p w14:paraId="0F094D29" w14:textId="1E20963B" w:rsidR="00073A9B" w:rsidRDefault="00073A9B" w:rsidP="00073A9B">
      <w:pPr>
        <w:pStyle w:val="LITlitera"/>
        <w:rPr>
          <w:rFonts w:ascii="Times New Roman" w:hAnsi="Times New Roman" w:cs="Times New Roman"/>
        </w:rPr>
      </w:pPr>
      <w:r>
        <w:rPr>
          <w:rFonts w:ascii="Times New Roman" w:hAnsi="Times New Roman" w:cs="Times New Roman"/>
        </w:rPr>
        <w:t>b)</w:t>
      </w:r>
      <w:r>
        <w:rPr>
          <w:rFonts w:ascii="Times New Roman" w:hAnsi="Times New Roman" w:cs="Times New Roman"/>
        </w:rPr>
        <w:tab/>
        <w:t>cydr i perry o mocy do 5</w:t>
      </w:r>
      <w:r w:rsidR="006100DE">
        <w:rPr>
          <w:rFonts w:ascii="Times New Roman" w:hAnsi="Times New Roman" w:cs="Times New Roman"/>
        </w:rPr>
        <w:t> </w:t>
      </w:r>
      <w:r>
        <w:rPr>
          <w:rFonts w:ascii="Times New Roman" w:hAnsi="Times New Roman" w:cs="Times New Roman"/>
        </w:rPr>
        <w:t>% obj.:</w:t>
      </w:r>
    </w:p>
    <w:p w14:paraId="72E1E346" w14:textId="3CB8362E" w:rsidR="00073A9B" w:rsidRDefault="00073A9B" w:rsidP="00073A9B">
      <w:pPr>
        <w:pStyle w:val="TIRtiret"/>
        <w:rPr>
          <w:rFonts w:ascii="Times New Roman" w:hAnsi="Times New Roman" w:cs="Times New Roman"/>
        </w:rPr>
      </w:pPr>
      <w:bookmarkStart w:id="2" w:name="_Hlk206509580"/>
      <w:r>
        <w:rPr>
          <w:rFonts w:ascii="Times New Roman" w:hAnsi="Times New Roman" w:cs="Times New Roman"/>
        </w:rPr>
        <w:t>–</w:t>
      </w:r>
      <w:r>
        <w:rPr>
          <w:rFonts w:ascii="Times New Roman" w:hAnsi="Times New Roman" w:cs="Times New Roman"/>
        </w:rPr>
        <w:tab/>
      </w:r>
      <w:bookmarkEnd w:id="2"/>
      <w:r w:rsidR="008A63EC">
        <w:rPr>
          <w:rFonts w:ascii="Times New Roman" w:hAnsi="Times New Roman" w:cs="Times New Roman"/>
        </w:rPr>
        <w:t xml:space="preserve">w </w:t>
      </w:r>
      <w:r>
        <w:rPr>
          <w:rFonts w:ascii="Times New Roman" w:hAnsi="Times New Roman" w:cs="Times New Roman"/>
        </w:rPr>
        <w:t>2027 r. z 97,00 zł/hl do 1</w:t>
      </w:r>
      <w:r w:rsidR="00B740B2">
        <w:rPr>
          <w:rFonts w:ascii="Times New Roman" w:hAnsi="Times New Roman" w:cs="Times New Roman"/>
        </w:rPr>
        <w:t>22</w:t>
      </w:r>
      <w:r>
        <w:rPr>
          <w:rFonts w:ascii="Times New Roman" w:hAnsi="Times New Roman" w:cs="Times New Roman"/>
        </w:rPr>
        <w:t>,</w:t>
      </w:r>
      <w:r w:rsidR="00B740B2">
        <w:rPr>
          <w:rFonts w:ascii="Times New Roman" w:hAnsi="Times New Roman" w:cs="Times New Roman"/>
        </w:rPr>
        <w:t>71</w:t>
      </w:r>
      <w:r>
        <w:rPr>
          <w:rFonts w:ascii="Times New Roman" w:hAnsi="Times New Roman" w:cs="Times New Roman"/>
        </w:rPr>
        <w:t xml:space="preserve"> zł/hl,</w:t>
      </w:r>
    </w:p>
    <w:p w14:paraId="5ED8FC46" w14:textId="77777777" w:rsidR="00073A9B" w:rsidRDefault="00073A9B" w:rsidP="00073A9B">
      <w:pPr>
        <w:pStyle w:val="LITlitera"/>
        <w:rPr>
          <w:rFonts w:ascii="Times New Roman" w:hAnsi="Times New Roman" w:cs="Times New Roman"/>
        </w:rPr>
      </w:pPr>
      <w:r>
        <w:rPr>
          <w:rFonts w:ascii="Times New Roman" w:hAnsi="Times New Roman" w:cs="Times New Roman"/>
        </w:rPr>
        <w:t>c)</w:t>
      </w:r>
      <w:r>
        <w:rPr>
          <w:rFonts w:ascii="Times New Roman" w:hAnsi="Times New Roman" w:cs="Times New Roman"/>
        </w:rPr>
        <w:tab/>
        <w:t>wyroby pośrednie:</w:t>
      </w:r>
    </w:p>
    <w:p w14:paraId="4552EF68" w14:textId="18F1AEEA" w:rsidR="00073A9B" w:rsidRDefault="00073A9B" w:rsidP="00073A9B">
      <w:pPr>
        <w:pStyle w:val="TIRtiret"/>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008A63EC">
        <w:rPr>
          <w:rFonts w:ascii="Times New Roman" w:hAnsi="Times New Roman" w:cs="Times New Roman"/>
        </w:rPr>
        <w:t xml:space="preserve">w </w:t>
      </w:r>
      <w:r>
        <w:rPr>
          <w:rFonts w:ascii="Times New Roman" w:hAnsi="Times New Roman" w:cs="Times New Roman"/>
        </w:rPr>
        <w:t>2027 r. z 490,00 zł/hl do 5</w:t>
      </w:r>
      <w:r w:rsidR="00B740B2">
        <w:rPr>
          <w:rFonts w:ascii="Times New Roman" w:hAnsi="Times New Roman" w:cs="Times New Roman"/>
        </w:rPr>
        <w:t>62</w:t>
      </w:r>
      <w:r>
        <w:rPr>
          <w:rFonts w:ascii="Times New Roman" w:hAnsi="Times New Roman" w:cs="Times New Roman"/>
        </w:rPr>
        <w:t>,9</w:t>
      </w:r>
      <w:r w:rsidR="00B740B2">
        <w:rPr>
          <w:rFonts w:ascii="Times New Roman" w:hAnsi="Times New Roman" w:cs="Times New Roman"/>
        </w:rPr>
        <w:t>3</w:t>
      </w:r>
      <w:r>
        <w:rPr>
          <w:rFonts w:ascii="Times New Roman" w:hAnsi="Times New Roman" w:cs="Times New Roman"/>
        </w:rPr>
        <w:t xml:space="preserve"> zł/hl,</w:t>
      </w:r>
    </w:p>
    <w:p w14:paraId="19B74ACA" w14:textId="77777777" w:rsidR="00073A9B" w:rsidRDefault="00073A9B" w:rsidP="00073A9B">
      <w:pPr>
        <w:widowControl/>
        <w:spacing w:before="120"/>
        <w:jc w:val="both"/>
        <w:rPr>
          <w:rFonts w:cs="Times New Roman"/>
        </w:rPr>
      </w:pPr>
      <w:r>
        <w:rPr>
          <w:rFonts w:cs="Times New Roman"/>
        </w:rPr>
        <w:t>Wzrost stawek podatku akcyzowego będzie oznaczać wzrost cen napojów alkoholowych. W przypadku przeniesienia przez podmioty obciążeń fiskalnych w zakresie podatku akcyzowego na konsumentów prawdopodobny jest następujący wzrost cen ww. wyrobów, a mianowicie:</w:t>
      </w:r>
    </w:p>
    <w:tbl>
      <w:tblPr>
        <w:tblW w:w="6560" w:type="dxa"/>
        <w:tblCellMar>
          <w:left w:w="70" w:type="dxa"/>
          <w:right w:w="70" w:type="dxa"/>
        </w:tblCellMar>
        <w:tblLook w:val="04A0" w:firstRow="1" w:lastRow="0" w:firstColumn="1" w:lastColumn="0" w:noHBand="0" w:noVBand="1"/>
      </w:tblPr>
      <w:tblGrid>
        <w:gridCol w:w="2258"/>
        <w:gridCol w:w="1390"/>
        <w:gridCol w:w="1252"/>
        <w:gridCol w:w="1660"/>
      </w:tblGrid>
      <w:tr w:rsidR="00B740B2" w:rsidRPr="00B740B2" w14:paraId="74EC0F2E" w14:textId="77777777" w:rsidTr="00A32059">
        <w:trPr>
          <w:trHeight w:val="345"/>
        </w:trPr>
        <w:tc>
          <w:tcPr>
            <w:tcW w:w="6560" w:type="dxa"/>
            <w:gridSpan w:val="4"/>
            <w:tcBorders>
              <w:top w:val="single" w:sz="4" w:space="0" w:color="auto"/>
              <w:left w:val="single" w:sz="4" w:space="0" w:color="auto"/>
              <w:bottom w:val="single" w:sz="4" w:space="0" w:color="auto"/>
              <w:right w:val="single" w:sz="4" w:space="0" w:color="auto"/>
            </w:tcBorders>
            <w:noWrap/>
            <w:vAlign w:val="bottom"/>
            <w:hideMark/>
          </w:tcPr>
          <w:p w14:paraId="378142CA" w14:textId="4E573BB1"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Prognozowana cena po wzroście akcyzy o 20</w:t>
            </w:r>
            <w:r w:rsidR="006100DE">
              <w:rPr>
                <w:rFonts w:eastAsia="Times New Roman" w:cs="Times New Roman"/>
                <w:color w:val="000000"/>
                <w:sz w:val="22"/>
                <w:szCs w:val="22"/>
              </w:rPr>
              <w:t> </w:t>
            </w:r>
            <w:r w:rsidRPr="00B740B2">
              <w:rPr>
                <w:rFonts w:eastAsia="Times New Roman" w:cs="Times New Roman"/>
                <w:color w:val="000000"/>
                <w:sz w:val="22"/>
                <w:szCs w:val="22"/>
              </w:rPr>
              <w:t>%</w:t>
            </w:r>
          </w:p>
        </w:tc>
      </w:tr>
      <w:tr w:rsidR="00B740B2" w:rsidRPr="00B740B2" w14:paraId="36AA19CA" w14:textId="77777777" w:rsidTr="00A32059">
        <w:trPr>
          <w:trHeight w:val="300"/>
        </w:trPr>
        <w:tc>
          <w:tcPr>
            <w:tcW w:w="2258" w:type="dxa"/>
            <w:vMerge w:val="restart"/>
            <w:tcBorders>
              <w:top w:val="nil"/>
              <w:left w:val="single" w:sz="4" w:space="0" w:color="auto"/>
              <w:bottom w:val="single" w:sz="4" w:space="0" w:color="000000"/>
              <w:right w:val="single" w:sz="4" w:space="0" w:color="auto"/>
            </w:tcBorders>
            <w:noWrap/>
            <w:vAlign w:val="bottom"/>
            <w:hideMark/>
          </w:tcPr>
          <w:p w14:paraId="1F0F42B6" w14:textId="0C4BAA67" w:rsidR="00B740B2" w:rsidRPr="00B740B2" w:rsidRDefault="00DF49F5"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W</w:t>
            </w:r>
            <w:r w:rsidR="00B740B2" w:rsidRPr="00B740B2">
              <w:rPr>
                <w:rFonts w:eastAsia="Times New Roman" w:cs="Times New Roman"/>
                <w:color w:val="000000"/>
                <w:sz w:val="22"/>
                <w:szCs w:val="22"/>
              </w:rPr>
              <w:t>yrób</w:t>
            </w:r>
          </w:p>
        </w:tc>
        <w:tc>
          <w:tcPr>
            <w:tcW w:w="2642" w:type="dxa"/>
            <w:gridSpan w:val="2"/>
            <w:tcBorders>
              <w:top w:val="single" w:sz="4" w:space="0" w:color="auto"/>
              <w:left w:val="nil"/>
              <w:bottom w:val="single" w:sz="4" w:space="0" w:color="auto"/>
              <w:right w:val="single" w:sz="4" w:space="0" w:color="auto"/>
            </w:tcBorders>
            <w:noWrap/>
            <w:vAlign w:val="bottom"/>
            <w:hideMark/>
          </w:tcPr>
          <w:p w14:paraId="277F0248"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 xml:space="preserve">cena w zł </w:t>
            </w:r>
          </w:p>
        </w:tc>
        <w:tc>
          <w:tcPr>
            <w:tcW w:w="1660" w:type="dxa"/>
            <w:vMerge w:val="restart"/>
            <w:tcBorders>
              <w:top w:val="nil"/>
              <w:left w:val="single" w:sz="4" w:space="0" w:color="auto"/>
              <w:bottom w:val="single" w:sz="4" w:space="0" w:color="000000"/>
              <w:right w:val="single" w:sz="4" w:space="0" w:color="auto"/>
            </w:tcBorders>
            <w:noWrap/>
            <w:vAlign w:val="bottom"/>
            <w:hideMark/>
          </w:tcPr>
          <w:p w14:paraId="4E87468B"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zmiana ceny w %</w:t>
            </w:r>
          </w:p>
        </w:tc>
      </w:tr>
      <w:tr w:rsidR="00B740B2" w:rsidRPr="00B740B2" w14:paraId="608675CD" w14:textId="77777777" w:rsidTr="00A32059">
        <w:trPr>
          <w:trHeight w:val="300"/>
        </w:trPr>
        <w:tc>
          <w:tcPr>
            <w:tcW w:w="2258" w:type="dxa"/>
            <w:vMerge/>
            <w:tcBorders>
              <w:top w:val="nil"/>
              <w:left w:val="single" w:sz="4" w:space="0" w:color="auto"/>
              <w:bottom w:val="single" w:sz="4" w:space="0" w:color="000000"/>
              <w:right w:val="single" w:sz="4" w:space="0" w:color="auto"/>
            </w:tcBorders>
            <w:vAlign w:val="center"/>
            <w:hideMark/>
          </w:tcPr>
          <w:p w14:paraId="36AC2550" w14:textId="77777777" w:rsidR="00B740B2" w:rsidRPr="00B740B2" w:rsidRDefault="00B740B2" w:rsidP="00B740B2">
            <w:pPr>
              <w:widowControl/>
              <w:autoSpaceDE/>
              <w:autoSpaceDN/>
              <w:adjustRightInd/>
              <w:spacing w:line="240" w:lineRule="auto"/>
              <w:rPr>
                <w:rFonts w:eastAsia="Times New Roman" w:cs="Times New Roman"/>
                <w:color w:val="000000"/>
                <w:sz w:val="22"/>
                <w:szCs w:val="22"/>
              </w:rPr>
            </w:pPr>
          </w:p>
        </w:tc>
        <w:tc>
          <w:tcPr>
            <w:tcW w:w="1390" w:type="dxa"/>
            <w:tcBorders>
              <w:top w:val="nil"/>
              <w:left w:val="nil"/>
              <w:bottom w:val="single" w:sz="4" w:space="0" w:color="auto"/>
              <w:right w:val="single" w:sz="4" w:space="0" w:color="auto"/>
            </w:tcBorders>
            <w:noWrap/>
            <w:vAlign w:val="bottom"/>
            <w:hideMark/>
          </w:tcPr>
          <w:p w14:paraId="05203A1E"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przed podwyżką</w:t>
            </w:r>
          </w:p>
        </w:tc>
        <w:tc>
          <w:tcPr>
            <w:tcW w:w="1252" w:type="dxa"/>
            <w:tcBorders>
              <w:top w:val="nil"/>
              <w:left w:val="nil"/>
              <w:bottom w:val="single" w:sz="4" w:space="0" w:color="auto"/>
              <w:right w:val="single" w:sz="4" w:space="0" w:color="auto"/>
            </w:tcBorders>
            <w:noWrap/>
            <w:vAlign w:val="bottom"/>
            <w:hideMark/>
          </w:tcPr>
          <w:p w14:paraId="40625263"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po podwyżce</w:t>
            </w:r>
          </w:p>
        </w:tc>
        <w:tc>
          <w:tcPr>
            <w:tcW w:w="1660" w:type="dxa"/>
            <w:vMerge/>
            <w:tcBorders>
              <w:top w:val="nil"/>
              <w:left w:val="single" w:sz="4" w:space="0" w:color="auto"/>
              <w:bottom w:val="single" w:sz="4" w:space="0" w:color="000000"/>
              <w:right w:val="single" w:sz="4" w:space="0" w:color="auto"/>
            </w:tcBorders>
            <w:vAlign w:val="center"/>
            <w:hideMark/>
          </w:tcPr>
          <w:p w14:paraId="16FF705E" w14:textId="77777777" w:rsidR="00B740B2" w:rsidRPr="00B740B2" w:rsidRDefault="00B740B2" w:rsidP="00B740B2">
            <w:pPr>
              <w:widowControl/>
              <w:autoSpaceDE/>
              <w:autoSpaceDN/>
              <w:adjustRightInd/>
              <w:spacing w:line="240" w:lineRule="auto"/>
              <w:rPr>
                <w:rFonts w:eastAsia="Times New Roman" w:cs="Times New Roman"/>
                <w:color w:val="000000"/>
                <w:sz w:val="22"/>
                <w:szCs w:val="22"/>
              </w:rPr>
            </w:pPr>
          </w:p>
        </w:tc>
      </w:tr>
      <w:tr w:rsidR="00B740B2" w:rsidRPr="00B740B2" w14:paraId="598CB9E6" w14:textId="77777777" w:rsidTr="00A32059">
        <w:trPr>
          <w:trHeight w:val="300"/>
        </w:trPr>
        <w:tc>
          <w:tcPr>
            <w:tcW w:w="2258" w:type="dxa"/>
            <w:tcBorders>
              <w:top w:val="nil"/>
              <w:left w:val="single" w:sz="4" w:space="0" w:color="auto"/>
              <w:bottom w:val="single" w:sz="4" w:space="0" w:color="auto"/>
              <w:right w:val="single" w:sz="4" w:space="0" w:color="auto"/>
            </w:tcBorders>
            <w:noWrap/>
            <w:vAlign w:val="bottom"/>
            <w:hideMark/>
          </w:tcPr>
          <w:p w14:paraId="21622765" w14:textId="2C018880"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wódka 0,5 l 40</w:t>
            </w:r>
            <w:r w:rsidR="006100DE">
              <w:rPr>
                <w:rFonts w:eastAsia="Times New Roman" w:cs="Times New Roman"/>
                <w:color w:val="000000"/>
                <w:sz w:val="22"/>
                <w:szCs w:val="22"/>
              </w:rPr>
              <w:t> </w:t>
            </w:r>
            <w:r w:rsidRPr="00B740B2">
              <w:rPr>
                <w:rFonts w:eastAsia="Times New Roman" w:cs="Times New Roman"/>
                <w:color w:val="000000"/>
                <w:sz w:val="22"/>
                <w:szCs w:val="22"/>
              </w:rPr>
              <w:t>%</w:t>
            </w:r>
          </w:p>
        </w:tc>
        <w:tc>
          <w:tcPr>
            <w:tcW w:w="1390" w:type="dxa"/>
            <w:tcBorders>
              <w:top w:val="nil"/>
              <w:left w:val="nil"/>
              <w:bottom w:val="single" w:sz="4" w:space="0" w:color="auto"/>
              <w:right w:val="single" w:sz="4" w:space="0" w:color="auto"/>
            </w:tcBorders>
            <w:noWrap/>
            <w:vAlign w:val="bottom"/>
            <w:hideMark/>
          </w:tcPr>
          <w:p w14:paraId="4D8E1313"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35,35</w:t>
            </w:r>
          </w:p>
        </w:tc>
        <w:tc>
          <w:tcPr>
            <w:tcW w:w="1252" w:type="dxa"/>
            <w:tcBorders>
              <w:top w:val="nil"/>
              <w:left w:val="nil"/>
              <w:bottom w:val="single" w:sz="4" w:space="0" w:color="auto"/>
              <w:right w:val="single" w:sz="4" w:space="0" w:color="auto"/>
            </w:tcBorders>
            <w:noWrap/>
            <w:vAlign w:val="bottom"/>
            <w:hideMark/>
          </w:tcPr>
          <w:p w14:paraId="5E7EA162"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39,58</w:t>
            </w:r>
          </w:p>
        </w:tc>
        <w:tc>
          <w:tcPr>
            <w:tcW w:w="1660" w:type="dxa"/>
            <w:tcBorders>
              <w:top w:val="nil"/>
              <w:left w:val="nil"/>
              <w:bottom w:val="single" w:sz="4" w:space="0" w:color="auto"/>
              <w:right w:val="single" w:sz="4" w:space="0" w:color="auto"/>
            </w:tcBorders>
            <w:noWrap/>
            <w:vAlign w:val="bottom"/>
            <w:hideMark/>
          </w:tcPr>
          <w:p w14:paraId="3B021281"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11,96</w:t>
            </w:r>
          </w:p>
        </w:tc>
      </w:tr>
      <w:tr w:rsidR="00B740B2" w:rsidRPr="00B740B2" w14:paraId="61035226" w14:textId="77777777" w:rsidTr="00A32059">
        <w:trPr>
          <w:trHeight w:val="300"/>
        </w:trPr>
        <w:tc>
          <w:tcPr>
            <w:tcW w:w="2258" w:type="dxa"/>
            <w:tcBorders>
              <w:top w:val="nil"/>
              <w:left w:val="single" w:sz="4" w:space="0" w:color="auto"/>
              <w:bottom w:val="single" w:sz="4" w:space="0" w:color="auto"/>
              <w:right w:val="single" w:sz="4" w:space="0" w:color="auto"/>
            </w:tcBorders>
            <w:noWrap/>
            <w:vAlign w:val="bottom"/>
            <w:hideMark/>
          </w:tcPr>
          <w:p w14:paraId="06C4A0FF"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piwo 12,5 stopni Plato</w:t>
            </w:r>
          </w:p>
        </w:tc>
        <w:tc>
          <w:tcPr>
            <w:tcW w:w="1390" w:type="dxa"/>
            <w:tcBorders>
              <w:top w:val="nil"/>
              <w:left w:val="nil"/>
              <w:bottom w:val="single" w:sz="4" w:space="0" w:color="auto"/>
              <w:right w:val="single" w:sz="4" w:space="0" w:color="auto"/>
            </w:tcBorders>
            <w:noWrap/>
            <w:vAlign w:val="bottom"/>
            <w:hideMark/>
          </w:tcPr>
          <w:p w14:paraId="40611474"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4,1</w:t>
            </w:r>
          </w:p>
        </w:tc>
        <w:tc>
          <w:tcPr>
            <w:tcW w:w="1252" w:type="dxa"/>
            <w:tcBorders>
              <w:top w:val="nil"/>
              <w:left w:val="nil"/>
              <w:bottom w:val="single" w:sz="4" w:space="0" w:color="auto"/>
              <w:right w:val="single" w:sz="4" w:space="0" w:color="auto"/>
            </w:tcBorders>
            <w:noWrap/>
            <w:vAlign w:val="bottom"/>
            <w:hideMark/>
          </w:tcPr>
          <w:p w14:paraId="675A7A5C"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4,28</w:t>
            </w:r>
          </w:p>
        </w:tc>
        <w:tc>
          <w:tcPr>
            <w:tcW w:w="1660" w:type="dxa"/>
            <w:tcBorders>
              <w:top w:val="nil"/>
              <w:left w:val="nil"/>
              <w:bottom w:val="single" w:sz="4" w:space="0" w:color="auto"/>
              <w:right w:val="single" w:sz="4" w:space="0" w:color="auto"/>
            </w:tcBorders>
            <w:noWrap/>
            <w:vAlign w:val="bottom"/>
            <w:hideMark/>
          </w:tcPr>
          <w:p w14:paraId="1514FB8F"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4,41</w:t>
            </w:r>
          </w:p>
        </w:tc>
      </w:tr>
      <w:tr w:rsidR="00B740B2" w:rsidRPr="00B740B2" w14:paraId="74C658A1" w14:textId="77777777" w:rsidTr="00A32059">
        <w:trPr>
          <w:trHeight w:val="300"/>
        </w:trPr>
        <w:tc>
          <w:tcPr>
            <w:tcW w:w="2258" w:type="dxa"/>
            <w:tcBorders>
              <w:top w:val="nil"/>
              <w:left w:val="single" w:sz="4" w:space="0" w:color="auto"/>
              <w:bottom w:val="single" w:sz="4" w:space="0" w:color="auto"/>
              <w:right w:val="single" w:sz="4" w:space="0" w:color="auto"/>
            </w:tcBorders>
            <w:noWrap/>
            <w:vAlign w:val="bottom"/>
            <w:hideMark/>
          </w:tcPr>
          <w:p w14:paraId="5773544B"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wino 0,75 l</w:t>
            </w:r>
          </w:p>
        </w:tc>
        <w:tc>
          <w:tcPr>
            <w:tcW w:w="1390" w:type="dxa"/>
            <w:tcBorders>
              <w:top w:val="nil"/>
              <w:left w:val="nil"/>
              <w:bottom w:val="single" w:sz="4" w:space="0" w:color="auto"/>
              <w:right w:val="single" w:sz="4" w:space="0" w:color="auto"/>
            </w:tcBorders>
            <w:noWrap/>
            <w:vAlign w:val="bottom"/>
            <w:hideMark/>
          </w:tcPr>
          <w:p w14:paraId="7E75AEF0"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26,3</w:t>
            </w:r>
          </w:p>
        </w:tc>
        <w:tc>
          <w:tcPr>
            <w:tcW w:w="1252" w:type="dxa"/>
            <w:tcBorders>
              <w:top w:val="nil"/>
              <w:left w:val="nil"/>
              <w:bottom w:val="single" w:sz="4" w:space="0" w:color="auto"/>
              <w:right w:val="single" w:sz="4" w:space="0" w:color="auto"/>
            </w:tcBorders>
            <w:noWrap/>
            <w:vAlign w:val="bottom"/>
            <w:hideMark/>
          </w:tcPr>
          <w:p w14:paraId="03C52A66"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26,74</w:t>
            </w:r>
          </w:p>
        </w:tc>
        <w:tc>
          <w:tcPr>
            <w:tcW w:w="1660" w:type="dxa"/>
            <w:tcBorders>
              <w:top w:val="nil"/>
              <w:left w:val="nil"/>
              <w:bottom w:val="single" w:sz="4" w:space="0" w:color="auto"/>
              <w:right w:val="single" w:sz="4" w:space="0" w:color="auto"/>
            </w:tcBorders>
            <w:noWrap/>
            <w:vAlign w:val="bottom"/>
            <w:hideMark/>
          </w:tcPr>
          <w:p w14:paraId="3DF82C40"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1,68</w:t>
            </w:r>
          </w:p>
        </w:tc>
      </w:tr>
      <w:tr w:rsidR="00B740B2" w:rsidRPr="00B740B2" w14:paraId="6A5337EE" w14:textId="77777777" w:rsidTr="00A32059">
        <w:trPr>
          <w:trHeight w:val="300"/>
        </w:trPr>
        <w:tc>
          <w:tcPr>
            <w:tcW w:w="2258" w:type="dxa"/>
            <w:tcBorders>
              <w:top w:val="nil"/>
              <w:left w:val="single" w:sz="4" w:space="0" w:color="auto"/>
              <w:bottom w:val="single" w:sz="4" w:space="0" w:color="auto"/>
              <w:right w:val="single" w:sz="4" w:space="0" w:color="auto"/>
            </w:tcBorders>
            <w:noWrap/>
            <w:vAlign w:val="bottom"/>
            <w:hideMark/>
          </w:tcPr>
          <w:p w14:paraId="78432055" w14:textId="77777777" w:rsidR="00B740B2" w:rsidRPr="00B740B2" w:rsidRDefault="00B740B2" w:rsidP="00B740B2">
            <w:pPr>
              <w:widowControl/>
              <w:autoSpaceDE/>
              <w:autoSpaceDN/>
              <w:adjustRightInd/>
              <w:spacing w:line="240" w:lineRule="auto"/>
              <w:jc w:val="center"/>
              <w:rPr>
                <w:rFonts w:eastAsia="Times New Roman" w:cs="Times New Roman"/>
                <w:color w:val="000000"/>
                <w:sz w:val="22"/>
                <w:szCs w:val="22"/>
              </w:rPr>
            </w:pPr>
            <w:r w:rsidRPr="00B740B2">
              <w:rPr>
                <w:rFonts w:eastAsia="Times New Roman" w:cs="Times New Roman"/>
                <w:color w:val="000000"/>
                <w:sz w:val="22"/>
                <w:szCs w:val="22"/>
              </w:rPr>
              <w:t>Porto 0,75 l</w:t>
            </w:r>
          </w:p>
        </w:tc>
        <w:tc>
          <w:tcPr>
            <w:tcW w:w="1390" w:type="dxa"/>
            <w:tcBorders>
              <w:top w:val="nil"/>
              <w:left w:val="nil"/>
              <w:bottom w:val="single" w:sz="4" w:space="0" w:color="auto"/>
              <w:right w:val="single" w:sz="4" w:space="0" w:color="auto"/>
            </w:tcBorders>
            <w:noWrap/>
            <w:vAlign w:val="bottom"/>
            <w:hideMark/>
          </w:tcPr>
          <w:p w14:paraId="423C42DB" w14:textId="5039CD19" w:rsidR="00B740B2" w:rsidRPr="00B740B2" w:rsidRDefault="00561F08" w:rsidP="00B740B2">
            <w:pPr>
              <w:widowControl/>
              <w:autoSpaceDE/>
              <w:autoSpaceDN/>
              <w:adjustRightInd/>
              <w:spacing w:line="240" w:lineRule="auto"/>
              <w:jc w:val="center"/>
              <w:rPr>
                <w:rFonts w:eastAsia="Times New Roman" w:cs="Times New Roman"/>
                <w:color w:val="000000"/>
                <w:sz w:val="22"/>
                <w:szCs w:val="22"/>
              </w:rPr>
            </w:pPr>
            <w:r>
              <w:rPr>
                <w:rFonts w:eastAsia="Times New Roman" w:cs="Times New Roman"/>
                <w:color w:val="000000"/>
                <w:sz w:val="22"/>
                <w:szCs w:val="22"/>
              </w:rPr>
              <w:t>30</w:t>
            </w:r>
          </w:p>
        </w:tc>
        <w:tc>
          <w:tcPr>
            <w:tcW w:w="1252" w:type="dxa"/>
            <w:tcBorders>
              <w:top w:val="nil"/>
              <w:left w:val="nil"/>
              <w:bottom w:val="single" w:sz="4" w:space="0" w:color="auto"/>
              <w:right w:val="single" w:sz="4" w:space="0" w:color="auto"/>
            </w:tcBorders>
            <w:noWrap/>
            <w:vAlign w:val="bottom"/>
            <w:hideMark/>
          </w:tcPr>
          <w:p w14:paraId="1CDDADA4" w14:textId="33652DCF" w:rsidR="00B740B2" w:rsidRPr="003635AD" w:rsidRDefault="00561F08" w:rsidP="00B740B2">
            <w:pPr>
              <w:widowControl/>
              <w:autoSpaceDE/>
              <w:autoSpaceDN/>
              <w:adjustRightInd/>
              <w:spacing w:line="240" w:lineRule="auto"/>
              <w:jc w:val="center"/>
              <w:rPr>
                <w:rFonts w:eastAsia="Times New Roman" w:cs="Times New Roman"/>
                <w:color w:val="000000"/>
                <w:sz w:val="22"/>
                <w:szCs w:val="22"/>
                <w:highlight w:val="yellow"/>
              </w:rPr>
            </w:pPr>
            <w:r w:rsidRPr="00561F08">
              <w:rPr>
                <w:rFonts w:eastAsia="Times New Roman" w:cs="Times New Roman"/>
                <w:color w:val="000000"/>
                <w:sz w:val="22"/>
                <w:szCs w:val="22"/>
              </w:rPr>
              <w:t>30</w:t>
            </w:r>
            <w:r w:rsidR="00B740B2" w:rsidRPr="00561F08">
              <w:rPr>
                <w:rFonts w:eastAsia="Times New Roman" w:cs="Times New Roman"/>
                <w:color w:val="000000"/>
                <w:sz w:val="22"/>
                <w:szCs w:val="22"/>
              </w:rPr>
              <w:t>,88</w:t>
            </w:r>
          </w:p>
        </w:tc>
        <w:tc>
          <w:tcPr>
            <w:tcW w:w="1660" w:type="dxa"/>
            <w:tcBorders>
              <w:top w:val="nil"/>
              <w:left w:val="nil"/>
              <w:bottom w:val="single" w:sz="4" w:space="0" w:color="auto"/>
              <w:right w:val="single" w:sz="4" w:space="0" w:color="auto"/>
            </w:tcBorders>
            <w:noWrap/>
            <w:vAlign w:val="bottom"/>
            <w:hideMark/>
          </w:tcPr>
          <w:p w14:paraId="7F5B3D7F" w14:textId="3C8CA164" w:rsidR="00B740B2" w:rsidRPr="00B740B2" w:rsidRDefault="00561F08" w:rsidP="00B740B2">
            <w:pPr>
              <w:widowControl/>
              <w:autoSpaceDE/>
              <w:autoSpaceDN/>
              <w:adjustRightInd/>
              <w:spacing w:line="240" w:lineRule="auto"/>
              <w:jc w:val="center"/>
              <w:rPr>
                <w:rFonts w:eastAsia="Times New Roman" w:cs="Times New Roman"/>
                <w:color w:val="000000"/>
                <w:sz w:val="22"/>
                <w:szCs w:val="22"/>
              </w:rPr>
            </w:pPr>
            <w:r>
              <w:rPr>
                <w:rFonts w:eastAsia="Times New Roman" w:cs="Times New Roman"/>
                <w:color w:val="000000"/>
                <w:sz w:val="22"/>
                <w:szCs w:val="22"/>
              </w:rPr>
              <w:t>2</w:t>
            </w:r>
            <w:r w:rsidR="00B740B2" w:rsidRPr="00B740B2">
              <w:rPr>
                <w:rFonts w:eastAsia="Times New Roman" w:cs="Times New Roman"/>
                <w:color w:val="000000"/>
                <w:sz w:val="22"/>
                <w:szCs w:val="22"/>
              </w:rPr>
              <w:t>,</w:t>
            </w:r>
            <w:r>
              <w:rPr>
                <w:rFonts w:eastAsia="Times New Roman" w:cs="Times New Roman"/>
                <w:color w:val="000000"/>
                <w:sz w:val="22"/>
                <w:szCs w:val="22"/>
              </w:rPr>
              <w:t>95</w:t>
            </w:r>
          </w:p>
        </w:tc>
      </w:tr>
    </w:tbl>
    <w:p w14:paraId="73935EDB" w14:textId="241A87CB" w:rsidR="00073A9B" w:rsidRDefault="00073A9B" w:rsidP="00073A9B">
      <w:pPr>
        <w:widowControl/>
        <w:jc w:val="both"/>
        <w:rPr>
          <w:rStyle w:val="Ppogrubienie"/>
          <w:b w:val="0"/>
          <w:sz w:val="20"/>
        </w:rPr>
      </w:pPr>
      <w:r>
        <w:rPr>
          <w:rFonts w:cs="Times New Roman"/>
          <w:sz w:val="20"/>
        </w:rPr>
        <w:t>Wg obliczeń własnych MF</w:t>
      </w:r>
      <w:r w:rsidR="008A63EC">
        <w:rPr>
          <w:rFonts w:cs="Times New Roman"/>
          <w:sz w:val="20"/>
        </w:rPr>
        <w:t xml:space="preserve"> dot. cen z maja 2026</w:t>
      </w:r>
      <w:r w:rsidR="006100DE">
        <w:rPr>
          <w:rFonts w:cs="Times New Roman"/>
          <w:sz w:val="20"/>
        </w:rPr>
        <w:t xml:space="preserve"> </w:t>
      </w:r>
      <w:r w:rsidR="008A63EC">
        <w:rPr>
          <w:rFonts w:cs="Times New Roman"/>
          <w:sz w:val="20"/>
        </w:rPr>
        <w:t>r.</w:t>
      </w:r>
    </w:p>
    <w:p w14:paraId="74D8C69E" w14:textId="77777777" w:rsidR="00073A9B" w:rsidRDefault="00073A9B" w:rsidP="00073A9B">
      <w:pPr>
        <w:widowControl/>
        <w:jc w:val="both"/>
        <w:rPr>
          <w:color w:val="000000" w:themeColor="text1"/>
        </w:rPr>
      </w:pPr>
      <w:r>
        <w:rPr>
          <w:color w:val="000000" w:themeColor="text1"/>
        </w:rPr>
        <w:t>Przepisy art. 1 pkt 1–5 dotyczą zmian w art. 93 ust. 4, art. 94 ust. 4, art. 95 ust. 4, art. 96 ust. 4, art. 97 ust. 4 u.p.a. w zakresie wysokości stawek podatku akcyzowego na napoje alkoholowe, tj. alkohol etylowy, piwo, napoje fermentowane i wyroby pośrednie, jakie będą obowiązywać w 2027 r.</w:t>
      </w:r>
    </w:p>
    <w:p w14:paraId="61B49160" w14:textId="159CED7B" w:rsidR="00374D54" w:rsidRDefault="002142BC" w:rsidP="002142BC">
      <w:pPr>
        <w:widowControl/>
        <w:spacing w:before="240"/>
        <w:jc w:val="both"/>
        <w:rPr>
          <w:rStyle w:val="Ppogrubienie"/>
          <w:b w:val="0"/>
          <w:bCs/>
        </w:rPr>
      </w:pPr>
      <w:r w:rsidRPr="002142BC">
        <w:rPr>
          <w:rStyle w:val="Ppogrubienie"/>
          <w:b w:val="0"/>
          <w:bCs/>
        </w:rPr>
        <w:t>Projekt zakłada</w:t>
      </w:r>
      <w:r w:rsidR="008A63EC">
        <w:rPr>
          <w:rStyle w:val="Ppogrubienie"/>
          <w:b w:val="0"/>
          <w:bCs/>
        </w:rPr>
        <w:t xml:space="preserve"> ponadto</w:t>
      </w:r>
      <w:r w:rsidRPr="002142BC">
        <w:rPr>
          <w:rStyle w:val="Ppogrubienie"/>
          <w:b w:val="0"/>
          <w:bCs/>
        </w:rPr>
        <w:t xml:space="preserve"> zwiększenie dotacji podmiotowej dla Narodowego Funduszu Zdrowia o środki odpowiadające nadwyżce sumy wpływów z podatku akcyzowego od niektórych napojów alkoholowych.</w:t>
      </w:r>
      <w:r w:rsidR="00D210A3">
        <w:rPr>
          <w:rStyle w:val="Ppogrubienie"/>
          <w:b w:val="0"/>
          <w:bCs/>
        </w:rPr>
        <w:t xml:space="preserve"> </w:t>
      </w:r>
      <w:r w:rsidR="00E911BC">
        <w:rPr>
          <w:rStyle w:val="Ppogrubienie"/>
          <w:b w:val="0"/>
          <w:bCs/>
        </w:rPr>
        <w:t>Wysokość</w:t>
      </w:r>
      <w:r w:rsidRPr="002142BC">
        <w:rPr>
          <w:rStyle w:val="Ppogrubienie"/>
          <w:b w:val="0"/>
          <w:bCs/>
        </w:rPr>
        <w:t xml:space="preserve"> zwiększenia dotacji podmiotowej nie jest wliczana do wysokości środków finansowych przeznaczonych na finansowanie ochrony zdrowia, o których mowa w art. 131</w:t>
      </w:r>
      <w:r w:rsidR="001E10B5">
        <w:rPr>
          <w:rStyle w:val="Ppogrubienie"/>
          <w:b w:val="0"/>
          <w:bCs/>
        </w:rPr>
        <w:t>c</w:t>
      </w:r>
      <w:r w:rsidRPr="002142BC">
        <w:rPr>
          <w:rStyle w:val="Ppogrubienie"/>
          <w:b w:val="0"/>
          <w:bCs/>
        </w:rPr>
        <w:t xml:space="preserve"> </w:t>
      </w:r>
      <w:r w:rsidR="004E607A">
        <w:rPr>
          <w:rStyle w:val="Ppogrubienie"/>
          <w:b w:val="0"/>
          <w:bCs/>
        </w:rPr>
        <w:t xml:space="preserve">ust. 1 </w:t>
      </w:r>
      <w:r w:rsidRPr="002142BC">
        <w:rPr>
          <w:rStyle w:val="Ppogrubienie"/>
          <w:b w:val="0"/>
          <w:bCs/>
        </w:rPr>
        <w:t xml:space="preserve">ustawy </w:t>
      </w:r>
      <w:r w:rsidR="007C15A7" w:rsidRPr="007C15A7">
        <w:rPr>
          <w:bCs/>
        </w:rPr>
        <w:t xml:space="preserve">z dnia 27 sierpnia 2004 r. </w:t>
      </w:r>
      <w:r w:rsidRPr="002142BC">
        <w:rPr>
          <w:rStyle w:val="Ppogrubienie"/>
          <w:b w:val="0"/>
          <w:bCs/>
        </w:rPr>
        <w:t>o</w:t>
      </w:r>
      <w:r>
        <w:rPr>
          <w:rStyle w:val="Ppogrubienie"/>
          <w:b w:val="0"/>
          <w:bCs/>
        </w:rPr>
        <w:t> </w:t>
      </w:r>
      <w:r w:rsidRPr="002142BC">
        <w:rPr>
          <w:rStyle w:val="Ppogrubienie"/>
          <w:b w:val="0"/>
          <w:bCs/>
        </w:rPr>
        <w:t>świadczeniach opieki zdrowotnej finansowanych ze środków publicznych.</w:t>
      </w:r>
      <w:r w:rsidR="008A63EC">
        <w:rPr>
          <w:rStyle w:val="Ppogrubienie"/>
          <w:b w:val="0"/>
          <w:bCs/>
        </w:rPr>
        <w:t xml:space="preserve"> Przepisy art. 2 pkt 1 </w:t>
      </w:r>
      <w:r w:rsidR="00FB357C">
        <w:rPr>
          <w:rStyle w:val="Ppogrubienie"/>
          <w:b w:val="0"/>
          <w:bCs/>
        </w:rPr>
        <w:t>dotyczą p</w:t>
      </w:r>
      <w:r w:rsidR="008A63EC">
        <w:rPr>
          <w:rStyle w:val="Ppogrubienie"/>
          <w:b w:val="0"/>
          <w:bCs/>
        </w:rPr>
        <w:t>owyższ</w:t>
      </w:r>
      <w:r w:rsidR="00FB357C">
        <w:rPr>
          <w:rStyle w:val="Ppogrubienie"/>
          <w:b w:val="0"/>
          <w:bCs/>
        </w:rPr>
        <w:t xml:space="preserve">ego </w:t>
      </w:r>
      <w:r w:rsidR="008A63EC">
        <w:rPr>
          <w:rStyle w:val="Ppogrubienie"/>
          <w:b w:val="0"/>
          <w:bCs/>
        </w:rPr>
        <w:t xml:space="preserve">zwiększenia dotacji podmiotowej </w:t>
      </w:r>
      <w:r w:rsidR="00FB357C">
        <w:rPr>
          <w:rStyle w:val="Ppogrubienie"/>
          <w:b w:val="0"/>
          <w:bCs/>
        </w:rPr>
        <w:t>na rzecz Narodowego Funduszu Zdrowia.</w:t>
      </w:r>
    </w:p>
    <w:p w14:paraId="06DA6E64" w14:textId="2DD37096" w:rsidR="00BA3399" w:rsidRPr="00374D54" w:rsidRDefault="00BA3399" w:rsidP="004367E9">
      <w:pPr>
        <w:widowControl/>
        <w:spacing w:before="240"/>
        <w:jc w:val="both"/>
        <w:rPr>
          <w:rStyle w:val="Ppogrubienie"/>
          <w:b w:val="0"/>
          <w:bCs/>
        </w:rPr>
      </w:pPr>
      <w:r w:rsidRPr="00BA3399">
        <w:rPr>
          <w:rStyle w:val="Ppogrubienie"/>
          <w:b w:val="0"/>
          <w:bCs/>
        </w:rPr>
        <w:lastRenderedPageBreak/>
        <w:t>Zwiększenie dotacji podmiotowej dla Narodowego Funduszu Zdrowia w oparciu o uzyskane dodatkowe wpływy z akcyzy odnosi się do roku 2026</w:t>
      </w:r>
      <w:r w:rsidR="00767A36">
        <w:rPr>
          <w:rStyle w:val="Ppogrubienie"/>
          <w:b w:val="0"/>
          <w:bCs/>
        </w:rPr>
        <w:t>,</w:t>
      </w:r>
      <w:r w:rsidRPr="00BA3399">
        <w:rPr>
          <w:rStyle w:val="Ppogrubienie"/>
          <w:b w:val="0"/>
          <w:bCs/>
        </w:rPr>
        <w:t xml:space="preserve"> bowiem będzie on ostatnim rokiem, w którym obowiązują dotychczasowe stawki akcyzy. Dane co do wysokości tego zwiększenia za pierwszy rok obowiązywania ustawy będą dostępne w roku 2028 i z uwagi na proces planowania budżetowego, po raz pierwszy będą mogły być zastosowane przy planowaniu zwiększenia dotacji w roku 2029. Z uwagi na fakt, że na etapie planowania dotacji w roku 2027 i 2028 nie będzie znana wysokość zwiększenia wpływów, wysokość zwiększenia dotacji zostanie ustalona na mocy art. 4 projektowanej ustawy </w:t>
      </w:r>
      <w:r w:rsidR="00554D8B">
        <w:rPr>
          <w:rStyle w:val="Ppogrubienie"/>
          <w:b w:val="0"/>
          <w:bCs/>
        </w:rPr>
        <w:t xml:space="preserve">na </w:t>
      </w:r>
      <w:r w:rsidRPr="00BA3399">
        <w:rPr>
          <w:rStyle w:val="Ppogrubienie"/>
          <w:b w:val="0"/>
          <w:bCs/>
        </w:rPr>
        <w:t>1,4 mld zł równą szacowanemu, na dzień projektowania przepisów, zwiększeniu wpływów uzyskanych w związku z podwyższeniem stawek akcyzy już w pierwszym roku obowiązywania regulacji.</w:t>
      </w:r>
    </w:p>
    <w:p w14:paraId="3B489CCD" w14:textId="6739FE18" w:rsidR="00073A9B" w:rsidRDefault="00073A9B" w:rsidP="00F35CC4">
      <w:pPr>
        <w:widowControl/>
        <w:spacing w:before="240" w:after="120"/>
        <w:jc w:val="both"/>
        <w:rPr>
          <w:rStyle w:val="Ppogrubienie"/>
        </w:rPr>
      </w:pPr>
      <w:r>
        <w:rPr>
          <w:rStyle w:val="Ppogrubienie"/>
        </w:rPr>
        <w:t>Wejście w życie proponowanych zmian</w:t>
      </w:r>
    </w:p>
    <w:p w14:paraId="6BB4329F" w14:textId="59C88256" w:rsidR="00073A9B" w:rsidRDefault="00073A9B" w:rsidP="001A4FF5">
      <w:pPr>
        <w:widowControl/>
        <w:spacing w:before="120" w:after="120"/>
        <w:jc w:val="both"/>
      </w:pPr>
      <w:r>
        <w:t xml:space="preserve">Zmiany zawarte w projekcie ustawy powinny wejść w życie w dniu 1 stycznia 2027 r. </w:t>
      </w:r>
      <w:r w:rsidR="00F35CC4" w:rsidRPr="00F35CC4">
        <w:t xml:space="preserve"> Wskazany termin wynika z charakteru planowanych zmian i konieczności ich niezwłocznego wprowadzenia, aby mogły one znaleźć zastosowanie już od początku przyszłego roku kalendarzowego.</w:t>
      </w:r>
    </w:p>
    <w:p w14:paraId="7B053921" w14:textId="4DD4DE99" w:rsidR="00F95200" w:rsidRDefault="00CA5796" w:rsidP="00073A9B">
      <w:pPr>
        <w:widowControl/>
        <w:jc w:val="both"/>
      </w:pPr>
      <w:r>
        <w:t>W 2027 r. i 2028 r. dotacj</w:t>
      </w:r>
      <w:r w:rsidR="002C017C">
        <w:t>a</w:t>
      </w:r>
      <w:r>
        <w:t xml:space="preserve"> </w:t>
      </w:r>
      <w:r w:rsidR="00286311">
        <w:t>przekazan</w:t>
      </w:r>
      <w:r w:rsidR="002C017C">
        <w:t>a</w:t>
      </w:r>
      <w:r w:rsidR="00286311">
        <w:t xml:space="preserve"> </w:t>
      </w:r>
      <w:r>
        <w:t xml:space="preserve">dla NFZ </w:t>
      </w:r>
      <w:r w:rsidR="002C017C">
        <w:t xml:space="preserve">podlegać będzie zwiększeniu o </w:t>
      </w:r>
      <w:r>
        <w:t xml:space="preserve">1 400 mln zł w każdym roku. </w:t>
      </w:r>
      <w:r w:rsidR="00F95200" w:rsidRPr="00FB357C">
        <w:t>Pierwsze przekazanie środków do NFZ</w:t>
      </w:r>
      <w:r w:rsidR="00A27501">
        <w:t>,</w:t>
      </w:r>
      <w:r w:rsidR="00F95200" w:rsidRPr="00FB357C">
        <w:t xml:space="preserve"> </w:t>
      </w:r>
      <w:r w:rsidR="00A27501" w:rsidRPr="00A27501">
        <w:t xml:space="preserve">na podstawie nadwyżki sumy wpływów z podatku akcyzowego od </w:t>
      </w:r>
      <w:r w:rsidR="00A27501">
        <w:t>wskazanych</w:t>
      </w:r>
      <w:r w:rsidR="00A27501" w:rsidRPr="00A27501">
        <w:t xml:space="preserve"> napojów alkoholowych uzyskanej w roku budżetowym 2027 względem roku 2026</w:t>
      </w:r>
      <w:r w:rsidR="00A27501">
        <w:t>,</w:t>
      </w:r>
      <w:r w:rsidR="00A27501" w:rsidRPr="00A27501">
        <w:t xml:space="preserve"> </w:t>
      </w:r>
      <w:r w:rsidR="00A27501" w:rsidRPr="00FB357C">
        <w:t>nastąpi w 2029 r.</w:t>
      </w:r>
      <w:r w:rsidR="00A27501" w:rsidRPr="00A27501">
        <w:t xml:space="preserve"> </w:t>
      </w:r>
    </w:p>
    <w:p w14:paraId="7B06E8E8" w14:textId="088FF9E7" w:rsidR="00073A9B" w:rsidRDefault="00073A9B" w:rsidP="00F35CC4">
      <w:pPr>
        <w:widowControl/>
        <w:spacing w:before="120" w:after="120"/>
        <w:jc w:val="both"/>
        <w:rPr>
          <w:rFonts w:eastAsiaTheme="minorHAnsi" w:cs="Calibri"/>
          <w:sz w:val="22"/>
        </w:rPr>
      </w:pPr>
      <w:r>
        <w:t>Projekt ustawy umożliwi przeciwdziałanie narastającym zjawiskom społecznym związanym z</w:t>
      </w:r>
      <w:r w:rsidR="00FB357C">
        <w:t>e</w:t>
      </w:r>
      <w:r>
        <w:t xml:space="preserve"> </w:t>
      </w:r>
      <w:r w:rsidR="00FB357C">
        <w:t>spożywaniem</w:t>
      </w:r>
      <w:r>
        <w:t xml:space="preserve"> alkoholu oraz wynikającym z tego negatywnym skutkom zdrowotnym, społecznym i ekonomicznym, które mają istotny wpływ na funkcjonowanie państwa i dobro obywateli.</w:t>
      </w:r>
    </w:p>
    <w:p w14:paraId="532202E4" w14:textId="77777777" w:rsidR="00073A9B" w:rsidRDefault="00073A9B" w:rsidP="00F35CC4">
      <w:pPr>
        <w:widowControl/>
        <w:spacing w:before="120" w:after="120"/>
        <w:jc w:val="both"/>
        <w:rPr>
          <w:szCs w:val="24"/>
        </w:rPr>
      </w:pPr>
      <w:r>
        <w:rPr>
          <w:szCs w:val="24"/>
        </w:rPr>
        <w:t>Ponadto, w związku ze zwiększającymi się potrzebami w zakresie finansowania bezpieczeństwa i obronności państwa, konieczne jest zapewnienie stabilności finansów publicznych.</w:t>
      </w:r>
    </w:p>
    <w:p w14:paraId="5AD5D359" w14:textId="3BD6DCE3" w:rsidR="00073A9B" w:rsidRDefault="00073A9B" w:rsidP="00F35CC4">
      <w:pPr>
        <w:widowControl/>
        <w:spacing w:before="120" w:after="120"/>
        <w:jc w:val="both"/>
        <w:rPr>
          <w:rFonts w:eastAsiaTheme="minorHAnsi" w:cs="Calibri"/>
          <w:szCs w:val="24"/>
        </w:rPr>
      </w:pPr>
      <w:r>
        <w:rPr>
          <w:rFonts w:eastAsiaTheme="minorHAnsi" w:cs="Calibri"/>
          <w:szCs w:val="24"/>
        </w:rPr>
        <w:t>Proponowana nowelizacja jest niezbędna dla zachowania dyscypliny budżetowej w dobie niepewności geopolitycznej oraz stanowi realizację prozdrowotnej polityki państwa, zmierzającej do ograniczenia nadmiernej konsumpcji wyrobów alkoholowych poprzez mechanizm cenowy</w:t>
      </w:r>
      <w:r w:rsidR="00E911BC">
        <w:rPr>
          <w:rFonts w:eastAsiaTheme="minorHAnsi" w:cs="Calibri"/>
          <w:szCs w:val="24"/>
        </w:rPr>
        <w:t>,</w:t>
      </w:r>
      <w:r w:rsidR="00FB357C">
        <w:rPr>
          <w:rFonts w:eastAsiaTheme="minorHAnsi" w:cs="Calibri"/>
          <w:szCs w:val="24"/>
        </w:rPr>
        <w:t xml:space="preserve"> jak również oddziaływ</w:t>
      </w:r>
      <w:r w:rsidR="00CC1881">
        <w:rPr>
          <w:rFonts w:eastAsiaTheme="minorHAnsi" w:cs="Calibri"/>
          <w:szCs w:val="24"/>
        </w:rPr>
        <w:t>anie</w:t>
      </w:r>
      <w:r w:rsidR="00FB357C" w:rsidRPr="00FB357C">
        <w:rPr>
          <w:rFonts w:eastAsiaTheme="minorHAnsi" w:cs="Calibri"/>
          <w:szCs w:val="24"/>
        </w:rPr>
        <w:t xml:space="preserve"> naprawcz</w:t>
      </w:r>
      <w:r w:rsidR="00CC1881">
        <w:rPr>
          <w:rFonts w:eastAsiaTheme="minorHAnsi" w:cs="Calibri"/>
          <w:szCs w:val="24"/>
        </w:rPr>
        <w:t>e</w:t>
      </w:r>
      <w:r w:rsidR="00FB357C" w:rsidRPr="00FB357C">
        <w:rPr>
          <w:rFonts w:eastAsiaTheme="minorHAnsi" w:cs="Calibri"/>
          <w:szCs w:val="24"/>
        </w:rPr>
        <w:t xml:space="preserve"> (poprzez bezpośrednie zasilenie systemu leczenia</w:t>
      </w:r>
      <w:r w:rsidR="00FB357C">
        <w:rPr>
          <w:rFonts w:eastAsiaTheme="minorHAnsi" w:cs="Calibri"/>
          <w:szCs w:val="24"/>
        </w:rPr>
        <w:t>)</w:t>
      </w:r>
      <w:r>
        <w:rPr>
          <w:rFonts w:eastAsiaTheme="minorHAnsi" w:cs="Calibri"/>
          <w:szCs w:val="24"/>
        </w:rPr>
        <w:t>.</w:t>
      </w:r>
    </w:p>
    <w:p w14:paraId="3568AC7E" w14:textId="1B911736" w:rsidR="00AC175A" w:rsidRDefault="00AC175A" w:rsidP="008B6A32">
      <w:pPr>
        <w:jc w:val="both"/>
        <w:rPr>
          <w:rFonts w:eastAsiaTheme="minorHAnsi" w:cs="Calibri"/>
          <w:sz w:val="22"/>
        </w:rPr>
      </w:pPr>
      <w:r>
        <w:lastRenderedPageBreak/>
        <w:t xml:space="preserve">Należy przy tym zauważyć, że sama zmiana wysokości stawek akcyzy na napoje alkoholowe jest zmianą, która nie będzie wymagała od przedsiębiorców podejmowania nowych, określonych czynności w ramach posiadanych już zezwoleń – takich jak np. rozszerzenie zezwolenia akcyzowego o nowe wyroby akcyzowe. Jedynym skutkiem w tym zakresie, w przypadku konieczności aktualizacji kwoty zabezpieczenia akcyzowego, będzie formalna zmiana zezwolenia w części, w jakiej odnosi się do informacji o złożonym przez podmiot zabezpieczeniu akcyzowym. </w:t>
      </w:r>
      <w:r w:rsidR="00F60C8B" w:rsidRPr="00F60C8B">
        <w:t xml:space="preserve">Tym samym proponowana zmiana nie </w:t>
      </w:r>
      <w:r w:rsidR="00F60C8B">
        <w:t xml:space="preserve">wywiera </w:t>
      </w:r>
      <w:r w:rsidR="00F60C8B" w:rsidRPr="00F60C8B">
        <w:t>wpływu na zasady wykonywania działalności gospodarczej przez podatników podatku akcyzowego.</w:t>
      </w:r>
    </w:p>
    <w:p w14:paraId="5819D419" w14:textId="77777777" w:rsidR="00073A9B" w:rsidRDefault="00073A9B" w:rsidP="00F35CC4">
      <w:pPr>
        <w:keepNext/>
        <w:widowControl/>
        <w:spacing w:before="240" w:after="120"/>
        <w:jc w:val="both"/>
        <w:rPr>
          <w:rStyle w:val="Ppogrubienie"/>
        </w:rPr>
      </w:pPr>
      <w:r>
        <w:rPr>
          <w:rStyle w:val="Ppogrubienie"/>
        </w:rPr>
        <w:t>Wpływ projektowanej regulacji na działalność mikroprzedsiębiorców, małych i średnich przedsiębiorstw</w:t>
      </w:r>
    </w:p>
    <w:p w14:paraId="3967B269" w14:textId="43609751" w:rsidR="00FB357C" w:rsidRDefault="00F6179D" w:rsidP="00F35CC4">
      <w:pPr>
        <w:widowControl/>
        <w:spacing w:before="120" w:after="120"/>
        <w:jc w:val="both"/>
      </w:pPr>
      <w:r>
        <w:t>Należy liczyć się ze zwiększeniem obciążeń</w:t>
      </w:r>
      <w:r w:rsidR="00FB357C">
        <w:t xml:space="preserve"> </w:t>
      </w:r>
      <w:r>
        <w:t xml:space="preserve">dla </w:t>
      </w:r>
      <w:r w:rsidR="00FB357C">
        <w:t>mikroprzedsiębiorców, małych i średnich przedsiębiorstw</w:t>
      </w:r>
      <w:r>
        <w:t>. Zwiększenie obciążeń nastąpi z uwagi na wzrost stawki akcyzy na napoje alkoholowe.</w:t>
      </w:r>
      <w:r w:rsidR="00FB357C">
        <w:t xml:space="preserve"> </w:t>
      </w:r>
      <w:r>
        <w:t>K</w:t>
      </w:r>
      <w:r w:rsidR="00FB357C" w:rsidRPr="00FB357C">
        <w:t>onsekwencje wyższej stawki podatku akcyzowego zostaną przeniesione na ostatecznych nabywców tych wyrobów. Wyższe ceny tych wyrobów mogą jednak wpłynąć docelowo na obniżenie konsumpcji</w:t>
      </w:r>
      <w:r w:rsidR="00FB357C">
        <w:t>,</w:t>
      </w:r>
      <w:r w:rsidR="00FB357C" w:rsidRPr="00FB357C">
        <w:t xml:space="preserve"> a w konsekwencji niższe wolumeny sprzedaży tych wyrobów.</w:t>
      </w:r>
    </w:p>
    <w:p w14:paraId="528704E7" w14:textId="42B51EB4" w:rsidR="00073A9B" w:rsidRDefault="00073A9B" w:rsidP="00F35CC4">
      <w:pPr>
        <w:widowControl/>
        <w:spacing w:before="120" w:after="120"/>
        <w:jc w:val="both"/>
      </w:pPr>
      <w:r>
        <w:t>Projekt ustawy nie jest sprzeczny z prawem Unii Europejskiej.</w:t>
      </w:r>
    </w:p>
    <w:p w14:paraId="20D3F726" w14:textId="77777777" w:rsidR="00073A9B" w:rsidRDefault="00073A9B" w:rsidP="00F35CC4">
      <w:pPr>
        <w:widowControl/>
        <w:spacing w:before="120" w:after="120"/>
        <w:jc w:val="both"/>
      </w:pPr>
      <w:r>
        <w:t>Projekt ustawy nie zawiera przepisów technicznych w rozumieniu przepisów rozporządzenia Rady Ministrów z dnia 23 grudnia 2002 r. w sprawie sposobu funkcjonowania krajowego systemu notyfikacji norm i aktów prawnych (Dz. U. poz. 2039, z późn. zm.), w związku z czym nie będzie podlegał notyfikacji technicznej.</w:t>
      </w:r>
    </w:p>
    <w:p w14:paraId="7EBD2F7D" w14:textId="77777777" w:rsidR="00073A9B" w:rsidRDefault="00073A9B" w:rsidP="00F35CC4">
      <w:pPr>
        <w:widowControl/>
        <w:spacing w:before="120" w:after="120"/>
        <w:jc w:val="both"/>
      </w:pPr>
      <w:r>
        <w:t xml:space="preserve">Projekt ustawy nie podlega przedstawieniu właściwym organom i instytucjom Unii Europejskiej, w tym Europejskiemu Bankowi Centralnemu. </w:t>
      </w:r>
    </w:p>
    <w:p w14:paraId="049B6330" w14:textId="7A6C81B9" w:rsidR="00737A9C" w:rsidRPr="00073A9B" w:rsidRDefault="00073A9B" w:rsidP="00DF49F5">
      <w:pPr>
        <w:widowControl/>
        <w:spacing w:before="120" w:after="120"/>
        <w:jc w:val="both"/>
      </w:pPr>
      <w:r>
        <w:t>Zgodnie z art. 5 ustawy z dnia 7 lipca 2005 r. o działalności lobbingowej w procesie stanowienia prawa (Dz. U. z 202</w:t>
      </w:r>
      <w:r w:rsidR="004A2BA4">
        <w:t>6</w:t>
      </w:r>
      <w:r>
        <w:t xml:space="preserve"> r. poz. </w:t>
      </w:r>
      <w:r w:rsidR="004A2BA4">
        <w:t>93</w:t>
      </w:r>
      <w:r>
        <w:t>6) w związku z § 52 ust. 1 uchwały nr 190 Rady Ministrów z dnia 29 października 2013 r. – Regulamin pracy Rady Ministrów (M.P. z 2026 r. poz. 404), projekt ustawy z chwilą przekazania go do uzgodnień z członkami Rady Ministrów oraz konsultacji publicznych i opiniowania został udostępniony w Biuletynie Informacji Publicznej na stronie podmiotowej Rządowego Centrum Legislacji, w serwisie Rządowy Proces Legislacyjny.</w:t>
      </w:r>
    </w:p>
    <w:sectPr w:rsidR="00737A9C" w:rsidRPr="00073A9B" w:rsidSect="00EB1D7F">
      <w:footerReference w:type="defaul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D120F" w14:textId="77777777" w:rsidR="00C7118D" w:rsidRDefault="00C7118D" w:rsidP="00360BB1">
      <w:pPr>
        <w:spacing w:line="240" w:lineRule="auto"/>
      </w:pPr>
      <w:r>
        <w:separator/>
      </w:r>
    </w:p>
  </w:endnote>
  <w:endnote w:type="continuationSeparator" w:id="0">
    <w:p w14:paraId="0AEB7050" w14:textId="77777777" w:rsidR="00C7118D" w:rsidRDefault="00C7118D" w:rsidP="00360B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072517"/>
      <w:docPartObj>
        <w:docPartGallery w:val="Page Numbers (Bottom of Page)"/>
        <w:docPartUnique/>
      </w:docPartObj>
    </w:sdtPr>
    <w:sdtEndPr/>
    <w:sdtContent>
      <w:p w14:paraId="20AF617F" w14:textId="1C56ADCA" w:rsidR="00EB1D7F" w:rsidRDefault="00EB1D7F" w:rsidP="00EB1D7F">
        <w:pPr>
          <w:pStyle w:val="Stopk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6513A" w14:textId="77777777" w:rsidR="00C7118D" w:rsidRDefault="00C7118D" w:rsidP="00360BB1">
      <w:pPr>
        <w:spacing w:line="240" w:lineRule="auto"/>
      </w:pPr>
      <w:r>
        <w:separator/>
      </w:r>
    </w:p>
  </w:footnote>
  <w:footnote w:type="continuationSeparator" w:id="0">
    <w:p w14:paraId="2B3F9AAF" w14:textId="77777777" w:rsidR="00C7118D" w:rsidRDefault="00C7118D" w:rsidP="00360BB1">
      <w:pPr>
        <w:spacing w:line="240" w:lineRule="auto"/>
      </w:pPr>
      <w:r>
        <w:continuationSeparator/>
      </w:r>
    </w:p>
  </w:footnote>
  <w:footnote w:id="1">
    <w:p w14:paraId="68B60548" w14:textId="77777777" w:rsidR="00073A9B" w:rsidRDefault="00073A9B" w:rsidP="00073A9B">
      <w:pPr>
        <w:pStyle w:val="Tekstprzypisudolnego"/>
      </w:pPr>
      <w:r>
        <w:rPr>
          <w:rStyle w:val="Odwoanieprzypisudolnego"/>
        </w:rPr>
        <w:footnoteRef/>
      </w:r>
      <w:r>
        <w:t xml:space="preserve"> https://politykazdrowotna.com/artykul/eurostat-polska-z-niepokojacymi-n1518634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CF3E4E"/>
    <w:multiLevelType w:val="hybridMultilevel"/>
    <w:tmpl w:val="D6680936"/>
    <w:lvl w:ilvl="0" w:tplc="04150001">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 w15:restartNumberingAfterBreak="0">
    <w:nsid w:val="64BA782E"/>
    <w:multiLevelType w:val="hybridMultilevel"/>
    <w:tmpl w:val="BD5283B4"/>
    <w:lvl w:ilvl="0" w:tplc="3BE2CA3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04977826">
    <w:abstractNumId w:val="0"/>
  </w:num>
  <w:num w:numId="2" w16cid:durableId="18931531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BB1"/>
    <w:rsid w:val="000027EE"/>
    <w:rsid w:val="00016CD9"/>
    <w:rsid w:val="00021885"/>
    <w:rsid w:val="000237BA"/>
    <w:rsid w:val="000343F9"/>
    <w:rsid w:val="000404F9"/>
    <w:rsid w:val="000457EF"/>
    <w:rsid w:val="00054785"/>
    <w:rsid w:val="0006034B"/>
    <w:rsid w:val="00060A5F"/>
    <w:rsid w:val="00060D39"/>
    <w:rsid w:val="00073A9B"/>
    <w:rsid w:val="00077642"/>
    <w:rsid w:val="00091DCE"/>
    <w:rsid w:val="00096039"/>
    <w:rsid w:val="000A0437"/>
    <w:rsid w:val="000B1287"/>
    <w:rsid w:val="000C5F21"/>
    <w:rsid w:val="000D0015"/>
    <w:rsid w:val="000F3251"/>
    <w:rsid w:val="000F6DC6"/>
    <w:rsid w:val="000F7ECF"/>
    <w:rsid w:val="0010429B"/>
    <w:rsid w:val="0012178D"/>
    <w:rsid w:val="00123E47"/>
    <w:rsid w:val="00135E86"/>
    <w:rsid w:val="001423BD"/>
    <w:rsid w:val="00146345"/>
    <w:rsid w:val="001546F1"/>
    <w:rsid w:val="00164015"/>
    <w:rsid w:val="00165CFF"/>
    <w:rsid w:val="00166DCF"/>
    <w:rsid w:val="00177250"/>
    <w:rsid w:val="00186DE0"/>
    <w:rsid w:val="001935BA"/>
    <w:rsid w:val="00195193"/>
    <w:rsid w:val="001A0291"/>
    <w:rsid w:val="001A4FF5"/>
    <w:rsid w:val="001B4AED"/>
    <w:rsid w:val="001B6A83"/>
    <w:rsid w:val="001D7B78"/>
    <w:rsid w:val="001E10B5"/>
    <w:rsid w:val="001E190F"/>
    <w:rsid w:val="001F214A"/>
    <w:rsid w:val="001F5FA2"/>
    <w:rsid w:val="0020699D"/>
    <w:rsid w:val="00206DD2"/>
    <w:rsid w:val="002142BC"/>
    <w:rsid w:val="002207F8"/>
    <w:rsid w:val="00233EC4"/>
    <w:rsid w:val="002364A0"/>
    <w:rsid w:val="00244B6D"/>
    <w:rsid w:val="00253BF3"/>
    <w:rsid w:val="00263DFF"/>
    <w:rsid w:val="002672DC"/>
    <w:rsid w:val="00285072"/>
    <w:rsid w:val="00286311"/>
    <w:rsid w:val="00296460"/>
    <w:rsid w:val="002B5070"/>
    <w:rsid w:val="002C0085"/>
    <w:rsid w:val="002C017C"/>
    <w:rsid w:val="002C01A0"/>
    <w:rsid w:val="002C4693"/>
    <w:rsid w:val="002C5ED7"/>
    <w:rsid w:val="002C6104"/>
    <w:rsid w:val="002C6E01"/>
    <w:rsid w:val="002D4735"/>
    <w:rsid w:val="002D5E0B"/>
    <w:rsid w:val="002E425E"/>
    <w:rsid w:val="002F6A60"/>
    <w:rsid w:val="002F6F47"/>
    <w:rsid w:val="00320B0B"/>
    <w:rsid w:val="00321D51"/>
    <w:rsid w:val="003322A9"/>
    <w:rsid w:val="003404EF"/>
    <w:rsid w:val="0034637A"/>
    <w:rsid w:val="00350B74"/>
    <w:rsid w:val="00353898"/>
    <w:rsid w:val="00360BB1"/>
    <w:rsid w:val="00362EBD"/>
    <w:rsid w:val="003635AD"/>
    <w:rsid w:val="00374D54"/>
    <w:rsid w:val="00377F4F"/>
    <w:rsid w:val="00381805"/>
    <w:rsid w:val="003955F6"/>
    <w:rsid w:val="0039682B"/>
    <w:rsid w:val="003C387D"/>
    <w:rsid w:val="003D773A"/>
    <w:rsid w:val="003D77B7"/>
    <w:rsid w:val="003D7CAB"/>
    <w:rsid w:val="003E19FC"/>
    <w:rsid w:val="00400615"/>
    <w:rsid w:val="00404710"/>
    <w:rsid w:val="00411105"/>
    <w:rsid w:val="00412160"/>
    <w:rsid w:val="0043137B"/>
    <w:rsid w:val="00433304"/>
    <w:rsid w:val="0043601A"/>
    <w:rsid w:val="004367E9"/>
    <w:rsid w:val="00443D13"/>
    <w:rsid w:val="004506FD"/>
    <w:rsid w:val="00451A8B"/>
    <w:rsid w:val="00451F10"/>
    <w:rsid w:val="004748C8"/>
    <w:rsid w:val="00475B54"/>
    <w:rsid w:val="00480E09"/>
    <w:rsid w:val="00481819"/>
    <w:rsid w:val="00482E19"/>
    <w:rsid w:val="004862CD"/>
    <w:rsid w:val="004876FA"/>
    <w:rsid w:val="00487C7F"/>
    <w:rsid w:val="004A2BA4"/>
    <w:rsid w:val="004B5042"/>
    <w:rsid w:val="004C0BF0"/>
    <w:rsid w:val="004C1553"/>
    <w:rsid w:val="004C4773"/>
    <w:rsid w:val="004C56B3"/>
    <w:rsid w:val="004E04B5"/>
    <w:rsid w:val="004E5DE1"/>
    <w:rsid w:val="004E607A"/>
    <w:rsid w:val="004F1F6B"/>
    <w:rsid w:val="00504001"/>
    <w:rsid w:val="00514482"/>
    <w:rsid w:val="00516879"/>
    <w:rsid w:val="0053598E"/>
    <w:rsid w:val="00537DC7"/>
    <w:rsid w:val="005424CF"/>
    <w:rsid w:val="00554D8B"/>
    <w:rsid w:val="00561F08"/>
    <w:rsid w:val="005660B0"/>
    <w:rsid w:val="00566A4A"/>
    <w:rsid w:val="00573510"/>
    <w:rsid w:val="0057524E"/>
    <w:rsid w:val="0058061F"/>
    <w:rsid w:val="005F68ED"/>
    <w:rsid w:val="005F7D25"/>
    <w:rsid w:val="006100DE"/>
    <w:rsid w:val="00611321"/>
    <w:rsid w:val="00647481"/>
    <w:rsid w:val="006842D1"/>
    <w:rsid w:val="00685BBC"/>
    <w:rsid w:val="006A332D"/>
    <w:rsid w:val="006C7FDC"/>
    <w:rsid w:val="007037DB"/>
    <w:rsid w:val="00714369"/>
    <w:rsid w:val="00722108"/>
    <w:rsid w:val="00725FA0"/>
    <w:rsid w:val="00737A9C"/>
    <w:rsid w:val="0075377C"/>
    <w:rsid w:val="0076493B"/>
    <w:rsid w:val="00767A36"/>
    <w:rsid w:val="0077403E"/>
    <w:rsid w:val="0078015F"/>
    <w:rsid w:val="007815F5"/>
    <w:rsid w:val="00797F1C"/>
    <w:rsid w:val="007A3C26"/>
    <w:rsid w:val="007A583D"/>
    <w:rsid w:val="007C15A7"/>
    <w:rsid w:val="007E1BCA"/>
    <w:rsid w:val="007F3DB4"/>
    <w:rsid w:val="008010A4"/>
    <w:rsid w:val="00803EB8"/>
    <w:rsid w:val="00806C10"/>
    <w:rsid w:val="00810610"/>
    <w:rsid w:val="0082756C"/>
    <w:rsid w:val="00844ED3"/>
    <w:rsid w:val="00852705"/>
    <w:rsid w:val="008606CA"/>
    <w:rsid w:val="00867F79"/>
    <w:rsid w:val="00872B8B"/>
    <w:rsid w:val="00877A69"/>
    <w:rsid w:val="00893EDF"/>
    <w:rsid w:val="008A63EC"/>
    <w:rsid w:val="008A6805"/>
    <w:rsid w:val="008B6A32"/>
    <w:rsid w:val="008E0FCE"/>
    <w:rsid w:val="008E21E5"/>
    <w:rsid w:val="009000E8"/>
    <w:rsid w:val="00902F4F"/>
    <w:rsid w:val="00903B7F"/>
    <w:rsid w:val="00905229"/>
    <w:rsid w:val="00906754"/>
    <w:rsid w:val="00910D64"/>
    <w:rsid w:val="00922C6C"/>
    <w:rsid w:val="0094610A"/>
    <w:rsid w:val="009530E7"/>
    <w:rsid w:val="009764A7"/>
    <w:rsid w:val="00985F1A"/>
    <w:rsid w:val="009A0652"/>
    <w:rsid w:val="009B1D13"/>
    <w:rsid w:val="009B5905"/>
    <w:rsid w:val="009B6ABD"/>
    <w:rsid w:val="009C3A27"/>
    <w:rsid w:val="009C6407"/>
    <w:rsid w:val="009D1791"/>
    <w:rsid w:val="00A03C6B"/>
    <w:rsid w:val="00A07BEC"/>
    <w:rsid w:val="00A27476"/>
    <w:rsid w:val="00A27501"/>
    <w:rsid w:val="00A32059"/>
    <w:rsid w:val="00A37B10"/>
    <w:rsid w:val="00A4042D"/>
    <w:rsid w:val="00A448BF"/>
    <w:rsid w:val="00A558B0"/>
    <w:rsid w:val="00A71160"/>
    <w:rsid w:val="00A87BE4"/>
    <w:rsid w:val="00AA2044"/>
    <w:rsid w:val="00AA490D"/>
    <w:rsid w:val="00AB081A"/>
    <w:rsid w:val="00AC0B0F"/>
    <w:rsid w:val="00AC175A"/>
    <w:rsid w:val="00AD222B"/>
    <w:rsid w:val="00AF5C29"/>
    <w:rsid w:val="00B271AC"/>
    <w:rsid w:val="00B37987"/>
    <w:rsid w:val="00B4003A"/>
    <w:rsid w:val="00B57927"/>
    <w:rsid w:val="00B665C6"/>
    <w:rsid w:val="00B740B2"/>
    <w:rsid w:val="00B7579A"/>
    <w:rsid w:val="00B80D52"/>
    <w:rsid w:val="00B84FAA"/>
    <w:rsid w:val="00BA3399"/>
    <w:rsid w:val="00BB65B1"/>
    <w:rsid w:val="00BE09BC"/>
    <w:rsid w:val="00BF0D7E"/>
    <w:rsid w:val="00BF6BC2"/>
    <w:rsid w:val="00C12F54"/>
    <w:rsid w:val="00C53051"/>
    <w:rsid w:val="00C610A8"/>
    <w:rsid w:val="00C7118D"/>
    <w:rsid w:val="00C723DE"/>
    <w:rsid w:val="00C757EE"/>
    <w:rsid w:val="00C75E60"/>
    <w:rsid w:val="00C85340"/>
    <w:rsid w:val="00C911A9"/>
    <w:rsid w:val="00CA506B"/>
    <w:rsid w:val="00CA5796"/>
    <w:rsid w:val="00CB6713"/>
    <w:rsid w:val="00CC0ECD"/>
    <w:rsid w:val="00CC1808"/>
    <w:rsid w:val="00CC1881"/>
    <w:rsid w:val="00CC225E"/>
    <w:rsid w:val="00CD08A6"/>
    <w:rsid w:val="00CE200C"/>
    <w:rsid w:val="00CF1C8D"/>
    <w:rsid w:val="00D0475D"/>
    <w:rsid w:val="00D13534"/>
    <w:rsid w:val="00D13BA4"/>
    <w:rsid w:val="00D210A3"/>
    <w:rsid w:val="00D253C2"/>
    <w:rsid w:val="00D278B5"/>
    <w:rsid w:val="00D31431"/>
    <w:rsid w:val="00D43950"/>
    <w:rsid w:val="00D44345"/>
    <w:rsid w:val="00D55437"/>
    <w:rsid w:val="00D65951"/>
    <w:rsid w:val="00D74706"/>
    <w:rsid w:val="00D76C95"/>
    <w:rsid w:val="00D873DF"/>
    <w:rsid w:val="00DA6764"/>
    <w:rsid w:val="00DB737D"/>
    <w:rsid w:val="00DC1392"/>
    <w:rsid w:val="00DC2550"/>
    <w:rsid w:val="00DC6580"/>
    <w:rsid w:val="00DD2F1E"/>
    <w:rsid w:val="00DE710A"/>
    <w:rsid w:val="00DF0B1A"/>
    <w:rsid w:val="00DF49F5"/>
    <w:rsid w:val="00E06D56"/>
    <w:rsid w:val="00E12B6E"/>
    <w:rsid w:val="00E167A5"/>
    <w:rsid w:val="00E41A9F"/>
    <w:rsid w:val="00E432FB"/>
    <w:rsid w:val="00E56BA3"/>
    <w:rsid w:val="00E6606B"/>
    <w:rsid w:val="00E7151E"/>
    <w:rsid w:val="00E911BC"/>
    <w:rsid w:val="00EA042A"/>
    <w:rsid w:val="00EA6324"/>
    <w:rsid w:val="00EA7CDC"/>
    <w:rsid w:val="00EB1D7F"/>
    <w:rsid w:val="00EC4BB9"/>
    <w:rsid w:val="00ED0034"/>
    <w:rsid w:val="00ED5900"/>
    <w:rsid w:val="00ED7528"/>
    <w:rsid w:val="00EE5CDB"/>
    <w:rsid w:val="00EF38CF"/>
    <w:rsid w:val="00EF4452"/>
    <w:rsid w:val="00F018AA"/>
    <w:rsid w:val="00F3304A"/>
    <w:rsid w:val="00F35CC4"/>
    <w:rsid w:val="00F40F5A"/>
    <w:rsid w:val="00F4318B"/>
    <w:rsid w:val="00F43E7C"/>
    <w:rsid w:val="00F50461"/>
    <w:rsid w:val="00F53882"/>
    <w:rsid w:val="00F60C8B"/>
    <w:rsid w:val="00F60E6F"/>
    <w:rsid w:val="00F6179D"/>
    <w:rsid w:val="00F6274B"/>
    <w:rsid w:val="00F702F4"/>
    <w:rsid w:val="00F83D9D"/>
    <w:rsid w:val="00F87669"/>
    <w:rsid w:val="00F95200"/>
    <w:rsid w:val="00F97233"/>
    <w:rsid w:val="00FB357C"/>
    <w:rsid w:val="00FD4E30"/>
    <w:rsid w:val="00FD5E08"/>
    <w:rsid w:val="00FE3EF1"/>
    <w:rsid w:val="00FE464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3CDC"/>
  <w15:chartTrackingRefBased/>
  <w15:docId w15:val="{01078686-65A6-4977-91E2-253206141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60BB1"/>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60BB1"/>
    <w:rPr>
      <w:color w:val="0563C1" w:themeColor="hyperlink"/>
      <w:u w:val="single"/>
    </w:rPr>
  </w:style>
  <w:style w:type="paragraph" w:customStyle="1" w:styleId="LITlitera">
    <w:name w:val="LIT – litera"/>
    <w:basedOn w:val="Normalny"/>
    <w:uiPriority w:val="14"/>
    <w:qFormat/>
    <w:rsid w:val="00360BB1"/>
    <w:pPr>
      <w:widowControl/>
      <w:autoSpaceDE/>
      <w:autoSpaceDN/>
      <w:adjustRightInd/>
      <w:ind w:left="986" w:hanging="476"/>
      <w:jc w:val="both"/>
    </w:pPr>
    <w:rPr>
      <w:rFonts w:ascii="Times" w:hAnsi="Times"/>
      <w:bCs/>
    </w:rPr>
  </w:style>
  <w:style w:type="paragraph" w:customStyle="1" w:styleId="TIRtiret">
    <w:name w:val="TIR – tiret"/>
    <w:basedOn w:val="LITlitera"/>
    <w:uiPriority w:val="15"/>
    <w:qFormat/>
    <w:rsid w:val="00360BB1"/>
    <w:pPr>
      <w:ind w:left="1384" w:hanging="397"/>
    </w:pPr>
  </w:style>
  <w:style w:type="character" w:customStyle="1" w:styleId="Ppogrubienie">
    <w:name w:val="_P_ – pogrubienie"/>
    <w:basedOn w:val="Domylnaczcionkaakapitu"/>
    <w:uiPriority w:val="1"/>
    <w:qFormat/>
    <w:rsid w:val="00360BB1"/>
    <w:rPr>
      <w:b/>
      <w:bCs w:val="0"/>
    </w:rPr>
  </w:style>
  <w:style w:type="paragraph" w:styleId="Akapitzlist">
    <w:name w:val="List Paragraph"/>
    <w:basedOn w:val="Normalny"/>
    <w:uiPriority w:val="34"/>
    <w:qFormat/>
    <w:rsid w:val="00ED7528"/>
    <w:pPr>
      <w:ind w:left="720"/>
      <w:contextualSpacing/>
    </w:pPr>
  </w:style>
  <w:style w:type="paragraph" w:styleId="Poprawka">
    <w:name w:val="Revision"/>
    <w:hidden/>
    <w:uiPriority w:val="99"/>
    <w:semiHidden/>
    <w:rsid w:val="00EB1D7F"/>
    <w:pPr>
      <w:spacing w:after="0" w:line="240" w:lineRule="auto"/>
    </w:pPr>
    <w:rPr>
      <w:rFonts w:ascii="Times New Roman" w:eastAsiaTheme="minorEastAsia" w:hAnsi="Times New Roman" w:cs="Arial"/>
      <w:sz w:val="24"/>
      <w:szCs w:val="20"/>
      <w:lang w:eastAsia="pl-PL"/>
    </w:rPr>
  </w:style>
  <w:style w:type="paragraph" w:styleId="Nagwek">
    <w:name w:val="header"/>
    <w:basedOn w:val="Normalny"/>
    <w:link w:val="NagwekZnak"/>
    <w:uiPriority w:val="99"/>
    <w:unhideWhenUsed/>
    <w:rsid w:val="00EB1D7F"/>
    <w:pPr>
      <w:tabs>
        <w:tab w:val="center" w:pos="4536"/>
        <w:tab w:val="right" w:pos="9072"/>
      </w:tabs>
      <w:spacing w:line="240" w:lineRule="auto"/>
    </w:pPr>
  </w:style>
  <w:style w:type="character" w:customStyle="1" w:styleId="NagwekZnak">
    <w:name w:val="Nagłówek Znak"/>
    <w:basedOn w:val="Domylnaczcionkaakapitu"/>
    <w:link w:val="Nagwek"/>
    <w:uiPriority w:val="99"/>
    <w:rsid w:val="00EB1D7F"/>
    <w:rPr>
      <w:rFonts w:ascii="Times New Roman" w:eastAsiaTheme="minorEastAsia" w:hAnsi="Times New Roman" w:cs="Arial"/>
      <w:sz w:val="24"/>
      <w:szCs w:val="20"/>
      <w:lang w:eastAsia="pl-PL"/>
    </w:rPr>
  </w:style>
  <w:style w:type="paragraph" w:styleId="Stopka">
    <w:name w:val="footer"/>
    <w:basedOn w:val="Normalny"/>
    <w:link w:val="StopkaZnak"/>
    <w:uiPriority w:val="99"/>
    <w:unhideWhenUsed/>
    <w:rsid w:val="00EB1D7F"/>
    <w:pPr>
      <w:tabs>
        <w:tab w:val="center" w:pos="4536"/>
        <w:tab w:val="right" w:pos="9072"/>
      </w:tabs>
      <w:spacing w:line="240" w:lineRule="auto"/>
    </w:pPr>
  </w:style>
  <w:style w:type="character" w:customStyle="1" w:styleId="StopkaZnak">
    <w:name w:val="Stopka Znak"/>
    <w:basedOn w:val="Domylnaczcionkaakapitu"/>
    <w:link w:val="Stopka"/>
    <w:uiPriority w:val="99"/>
    <w:rsid w:val="00EB1D7F"/>
    <w:rPr>
      <w:rFonts w:ascii="Times New Roman" w:eastAsiaTheme="minorEastAsia" w:hAnsi="Times New Roman" w:cs="Arial"/>
      <w:sz w:val="24"/>
      <w:szCs w:val="20"/>
      <w:lang w:eastAsia="pl-PL"/>
    </w:rPr>
  </w:style>
  <w:style w:type="paragraph" w:styleId="Tekstdymka">
    <w:name w:val="Balloon Text"/>
    <w:basedOn w:val="Normalny"/>
    <w:link w:val="TekstdymkaZnak"/>
    <w:uiPriority w:val="99"/>
    <w:semiHidden/>
    <w:unhideWhenUsed/>
    <w:rsid w:val="00475B5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75B54"/>
    <w:rPr>
      <w:rFonts w:ascii="Segoe UI" w:eastAsiaTheme="minorEastAsia" w:hAnsi="Segoe UI" w:cs="Segoe UI"/>
      <w:sz w:val="18"/>
      <w:szCs w:val="18"/>
      <w:lang w:eastAsia="pl-PL"/>
    </w:rPr>
  </w:style>
  <w:style w:type="paragraph" w:customStyle="1" w:styleId="dataaktudatauchwalenialubwydaniaaktu">
    <w:name w:val="dataaktudatauchwalenialubwydaniaaktu"/>
    <w:basedOn w:val="Normalny"/>
    <w:rsid w:val="00C610A8"/>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tytuaktuprzedmiotregulacjiustawylubrozporzdzenia">
    <w:name w:val="tytuaktuprzedmiotregulacjiustawylubrozporzdzenia"/>
    <w:basedOn w:val="Normalny"/>
    <w:rsid w:val="00C610A8"/>
    <w:pPr>
      <w:widowControl/>
      <w:autoSpaceDE/>
      <w:autoSpaceDN/>
      <w:adjustRightInd/>
      <w:spacing w:before="100" w:beforeAutospacing="1" w:after="100" w:afterAutospacing="1" w:line="240" w:lineRule="auto"/>
    </w:pPr>
    <w:rPr>
      <w:rFonts w:eastAsia="Times New Roman" w:cs="Times New Roman"/>
      <w:szCs w:val="24"/>
    </w:rPr>
  </w:style>
  <w:style w:type="character" w:styleId="Nierozpoznanawzmianka">
    <w:name w:val="Unresolved Mention"/>
    <w:basedOn w:val="Domylnaczcionkaakapitu"/>
    <w:uiPriority w:val="99"/>
    <w:semiHidden/>
    <w:unhideWhenUsed/>
    <w:rsid w:val="002364A0"/>
    <w:rPr>
      <w:color w:val="605E5C"/>
      <w:shd w:val="clear" w:color="auto" w:fill="E1DFDD"/>
    </w:rPr>
  </w:style>
  <w:style w:type="paragraph" w:styleId="Tekstprzypisudolnego">
    <w:name w:val="footnote text"/>
    <w:basedOn w:val="Normalny"/>
    <w:link w:val="TekstprzypisudolnegoZnak"/>
    <w:uiPriority w:val="99"/>
    <w:semiHidden/>
    <w:unhideWhenUsed/>
    <w:rsid w:val="00073A9B"/>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073A9B"/>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073A9B"/>
    <w:rPr>
      <w:vertAlign w:val="superscript"/>
    </w:rPr>
  </w:style>
  <w:style w:type="character" w:styleId="Odwoaniedokomentarza">
    <w:name w:val="annotation reference"/>
    <w:basedOn w:val="Domylnaczcionkaakapitu"/>
    <w:uiPriority w:val="99"/>
    <w:semiHidden/>
    <w:unhideWhenUsed/>
    <w:rsid w:val="003635AD"/>
    <w:rPr>
      <w:sz w:val="16"/>
      <w:szCs w:val="16"/>
    </w:rPr>
  </w:style>
  <w:style w:type="paragraph" w:styleId="Tekstkomentarza">
    <w:name w:val="annotation text"/>
    <w:basedOn w:val="Normalny"/>
    <w:link w:val="TekstkomentarzaZnak"/>
    <w:uiPriority w:val="99"/>
    <w:semiHidden/>
    <w:unhideWhenUsed/>
    <w:rsid w:val="003635AD"/>
    <w:pPr>
      <w:spacing w:line="240" w:lineRule="auto"/>
    </w:pPr>
    <w:rPr>
      <w:sz w:val="20"/>
    </w:rPr>
  </w:style>
  <w:style w:type="character" w:customStyle="1" w:styleId="TekstkomentarzaZnak">
    <w:name w:val="Tekst komentarza Znak"/>
    <w:basedOn w:val="Domylnaczcionkaakapitu"/>
    <w:link w:val="Tekstkomentarza"/>
    <w:uiPriority w:val="99"/>
    <w:semiHidden/>
    <w:rsid w:val="003635AD"/>
    <w:rPr>
      <w:rFonts w:ascii="Times New Roman" w:eastAsiaTheme="minorEastAsia" w:hAnsi="Times New Roman" w:cs="Arial"/>
      <w:sz w:val="20"/>
      <w:szCs w:val="20"/>
      <w:lang w:eastAsia="pl-PL"/>
    </w:rPr>
  </w:style>
  <w:style w:type="paragraph" w:styleId="Tematkomentarza">
    <w:name w:val="annotation subject"/>
    <w:basedOn w:val="Tekstkomentarza"/>
    <w:next w:val="Tekstkomentarza"/>
    <w:link w:val="TematkomentarzaZnak"/>
    <w:uiPriority w:val="99"/>
    <w:semiHidden/>
    <w:unhideWhenUsed/>
    <w:rsid w:val="003635AD"/>
    <w:rPr>
      <w:b/>
      <w:bCs/>
    </w:rPr>
  </w:style>
  <w:style w:type="character" w:customStyle="1" w:styleId="TematkomentarzaZnak">
    <w:name w:val="Temat komentarza Znak"/>
    <w:basedOn w:val="TekstkomentarzaZnak"/>
    <w:link w:val="Tematkomentarza"/>
    <w:uiPriority w:val="99"/>
    <w:semiHidden/>
    <w:rsid w:val="003635AD"/>
    <w:rPr>
      <w:rFonts w:ascii="Times New Roman" w:eastAsiaTheme="minorEastAsia" w:hAnsi="Times New Roman" w:cs="Arial"/>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29073">
      <w:bodyDiv w:val="1"/>
      <w:marLeft w:val="0"/>
      <w:marRight w:val="0"/>
      <w:marTop w:val="0"/>
      <w:marBottom w:val="0"/>
      <w:divBdr>
        <w:top w:val="none" w:sz="0" w:space="0" w:color="auto"/>
        <w:left w:val="none" w:sz="0" w:space="0" w:color="auto"/>
        <w:bottom w:val="none" w:sz="0" w:space="0" w:color="auto"/>
        <w:right w:val="none" w:sz="0" w:space="0" w:color="auto"/>
      </w:divBdr>
    </w:div>
    <w:div w:id="221405053">
      <w:bodyDiv w:val="1"/>
      <w:marLeft w:val="0"/>
      <w:marRight w:val="0"/>
      <w:marTop w:val="0"/>
      <w:marBottom w:val="0"/>
      <w:divBdr>
        <w:top w:val="none" w:sz="0" w:space="0" w:color="auto"/>
        <w:left w:val="none" w:sz="0" w:space="0" w:color="auto"/>
        <w:bottom w:val="none" w:sz="0" w:space="0" w:color="auto"/>
        <w:right w:val="none" w:sz="0" w:space="0" w:color="auto"/>
      </w:divBdr>
    </w:div>
    <w:div w:id="838038736">
      <w:bodyDiv w:val="1"/>
      <w:marLeft w:val="0"/>
      <w:marRight w:val="0"/>
      <w:marTop w:val="0"/>
      <w:marBottom w:val="0"/>
      <w:divBdr>
        <w:top w:val="none" w:sz="0" w:space="0" w:color="auto"/>
        <w:left w:val="none" w:sz="0" w:space="0" w:color="auto"/>
        <w:bottom w:val="none" w:sz="0" w:space="0" w:color="auto"/>
        <w:right w:val="none" w:sz="0" w:space="0" w:color="auto"/>
      </w:divBdr>
    </w:div>
    <w:div w:id="850491237">
      <w:bodyDiv w:val="1"/>
      <w:marLeft w:val="0"/>
      <w:marRight w:val="0"/>
      <w:marTop w:val="0"/>
      <w:marBottom w:val="0"/>
      <w:divBdr>
        <w:top w:val="none" w:sz="0" w:space="0" w:color="auto"/>
        <w:left w:val="none" w:sz="0" w:space="0" w:color="auto"/>
        <w:bottom w:val="none" w:sz="0" w:space="0" w:color="auto"/>
        <w:right w:val="none" w:sz="0" w:space="0" w:color="auto"/>
      </w:divBdr>
    </w:div>
    <w:div w:id="926620275">
      <w:bodyDiv w:val="1"/>
      <w:marLeft w:val="0"/>
      <w:marRight w:val="0"/>
      <w:marTop w:val="0"/>
      <w:marBottom w:val="0"/>
      <w:divBdr>
        <w:top w:val="none" w:sz="0" w:space="0" w:color="auto"/>
        <w:left w:val="none" w:sz="0" w:space="0" w:color="auto"/>
        <w:bottom w:val="none" w:sz="0" w:space="0" w:color="auto"/>
        <w:right w:val="none" w:sz="0" w:space="0" w:color="auto"/>
      </w:divBdr>
    </w:div>
    <w:div w:id="1202743264">
      <w:bodyDiv w:val="1"/>
      <w:marLeft w:val="0"/>
      <w:marRight w:val="0"/>
      <w:marTop w:val="0"/>
      <w:marBottom w:val="0"/>
      <w:divBdr>
        <w:top w:val="none" w:sz="0" w:space="0" w:color="auto"/>
        <w:left w:val="none" w:sz="0" w:space="0" w:color="auto"/>
        <w:bottom w:val="none" w:sz="0" w:space="0" w:color="auto"/>
        <w:right w:val="none" w:sz="0" w:space="0" w:color="auto"/>
      </w:divBdr>
    </w:div>
    <w:div w:id="1343893557">
      <w:bodyDiv w:val="1"/>
      <w:marLeft w:val="0"/>
      <w:marRight w:val="0"/>
      <w:marTop w:val="0"/>
      <w:marBottom w:val="0"/>
      <w:divBdr>
        <w:top w:val="none" w:sz="0" w:space="0" w:color="auto"/>
        <w:left w:val="none" w:sz="0" w:space="0" w:color="auto"/>
        <w:bottom w:val="none" w:sz="0" w:space="0" w:color="auto"/>
        <w:right w:val="none" w:sz="0" w:space="0" w:color="auto"/>
      </w:divBdr>
    </w:div>
    <w:div w:id="1424566512">
      <w:bodyDiv w:val="1"/>
      <w:marLeft w:val="0"/>
      <w:marRight w:val="0"/>
      <w:marTop w:val="0"/>
      <w:marBottom w:val="0"/>
      <w:divBdr>
        <w:top w:val="none" w:sz="0" w:space="0" w:color="auto"/>
        <w:left w:val="none" w:sz="0" w:space="0" w:color="auto"/>
        <w:bottom w:val="none" w:sz="0" w:space="0" w:color="auto"/>
        <w:right w:val="none" w:sz="0" w:space="0" w:color="auto"/>
      </w:divBdr>
    </w:div>
    <w:div w:id="1688215924">
      <w:bodyDiv w:val="1"/>
      <w:marLeft w:val="0"/>
      <w:marRight w:val="0"/>
      <w:marTop w:val="0"/>
      <w:marBottom w:val="0"/>
      <w:divBdr>
        <w:top w:val="none" w:sz="0" w:space="0" w:color="auto"/>
        <w:left w:val="none" w:sz="0" w:space="0" w:color="auto"/>
        <w:bottom w:val="none" w:sz="0" w:space="0" w:color="auto"/>
        <w:right w:val="none" w:sz="0" w:space="0" w:color="auto"/>
      </w:divBdr>
    </w:div>
    <w:div w:id="1706514701">
      <w:bodyDiv w:val="1"/>
      <w:marLeft w:val="0"/>
      <w:marRight w:val="0"/>
      <w:marTop w:val="0"/>
      <w:marBottom w:val="0"/>
      <w:divBdr>
        <w:top w:val="none" w:sz="0" w:space="0" w:color="auto"/>
        <w:left w:val="none" w:sz="0" w:space="0" w:color="auto"/>
        <w:bottom w:val="none" w:sz="0" w:space="0" w:color="auto"/>
        <w:right w:val="none" w:sz="0" w:space="0" w:color="auto"/>
      </w:divBdr>
    </w:div>
    <w:div w:id="1779063881">
      <w:bodyDiv w:val="1"/>
      <w:marLeft w:val="0"/>
      <w:marRight w:val="0"/>
      <w:marTop w:val="0"/>
      <w:marBottom w:val="0"/>
      <w:divBdr>
        <w:top w:val="none" w:sz="0" w:space="0" w:color="auto"/>
        <w:left w:val="none" w:sz="0" w:space="0" w:color="auto"/>
        <w:bottom w:val="none" w:sz="0" w:space="0" w:color="auto"/>
        <w:right w:val="none" w:sz="0" w:space="0" w:color="auto"/>
      </w:divBdr>
    </w:div>
    <w:div w:id="1822186849">
      <w:bodyDiv w:val="1"/>
      <w:marLeft w:val="0"/>
      <w:marRight w:val="0"/>
      <w:marTop w:val="0"/>
      <w:marBottom w:val="0"/>
      <w:divBdr>
        <w:top w:val="none" w:sz="0" w:space="0" w:color="auto"/>
        <w:left w:val="none" w:sz="0" w:space="0" w:color="auto"/>
        <w:bottom w:val="none" w:sz="0" w:space="0" w:color="auto"/>
        <w:right w:val="none" w:sz="0" w:space="0" w:color="auto"/>
      </w:divBdr>
    </w:div>
    <w:div w:id="1983655684">
      <w:bodyDiv w:val="1"/>
      <w:marLeft w:val="0"/>
      <w:marRight w:val="0"/>
      <w:marTop w:val="0"/>
      <w:marBottom w:val="0"/>
      <w:divBdr>
        <w:top w:val="none" w:sz="0" w:space="0" w:color="auto"/>
        <w:left w:val="none" w:sz="0" w:space="0" w:color="auto"/>
        <w:bottom w:val="none" w:sz="0" w:space="0" w:color="auto"/>
        <w:right w:val="none" w:sz="0" w:space="0" w:color="auto"/>
      </w:divBdr>
    </w:div>
    <w:div w:id="211551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a:latin typeface="Times New Roman" panose="02020603050405020304" pitchFamily="18" charset="0"/>
                <a:cs typeface="Times New Roman" panose="02020603050405020304" pitchFamily="18" charset="0"/>
              </a:rPr>
              <a:t>Ceny żywności</a:t>
            </a:r>
            <a:r>
              <a:rPr lang="pl-PL" baseline="0">
                <a:latin typeface="Times New Roman" panose="02020603050405020304" pitchFamily="18" charset="0"/>
                <a:cs typeface="Times New Roman" panose="02020603050405020304" pitchFamily="18" charset="0"/>
              </a:rPr>
              <a:t> i</a:t>
            </a:r>
            <a:r>
              <a:rPr lang="pl-PL">
                <a:latin typeface="Times New Roman" panose="02020603050405020304" pitchFamily="18" charset="0"/>
                <a:cs typeface="Times New Roman" panose="02020603050405020304" pitchFamily="18" charset="0"/>
              </a:rPr>
              <a:t> alkoholu na tle wynagrodzeń</a:t>
            </a:r>
            <a:endParaRPr lang="pl-PL" sz="1400" b="0" i="0" u="none" strike="noStrike" baseline="0">
              <a:effectLst/>
              <a:latin typeface="Times New Roman" panose="02020603050405020304" pitchFamily="18" charset="0"/>
              <a:cs typeface="Times New Roman" panose="02020603050405020304" pitchFamily="18" charset="0"/>
            </a:endParaRPr>
          </a:p>
          <a:p>
            <a:pPr>
              <a:defRPr>
                <a:latin typeface="Times New Roman" panose="02020603050405020304" pitchFamily="18" charset="0"/>
                <a:cs typeface="Times New Roman" panose="02020603050405020304" pitchFamily="18" charset="0"/>
              </a:defRPr>
            </a:pPr>
            <a:r>
              <a:rPr lang="pl-PL" sz="1400" b="0" i="0" u="none" strike="noStrike" baseline="0">
                <a:effectLst/>
                <a:latin typeface="Times New Roman" panose="02020603050405020304" pitchFamily="18" charset="0"/>
                <a:cs typeface="Times New Roman" panose="02020603050405020304" pitchFamily="18" charset="0"/>
              </a:rPr>
              <a:t>2020 = 100 proc.</a:t>
            </a:r>
            <a:endParaRPr lang="pl-P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autoTitleDeleted val="0"/>
    <c:plotArea>
      <c:layout>
        <c:manualLayout>
          <c:layoutTarget val="inner"/>
          <c:xMode val="edge"/>
          <c:yMode val="edge"/>
          <c:x val="5.9091605118203015E-2"/>
          <c:y val="0.12078976058266376"/>
          <c:w val="0.70042251567869085"/>
          <c:h val="0.76718520426572412"/>
        </c:manualLayout>
      </c:layout>
      <c:lineChart>
        <c:grouping val="standard"/>
        <c:varyColors val="0"/>
        <c:ser>
          <c:idx val="0"/>
          <c:order val="0"/>
          <c:tx>
            <c:strRef>
              <c:f>'dane do wykresu'!$A$15</c:f>
              <c:strCache>
                <c:ptCount val="1"/>
                <c:pt idx="0">
                  <c:v>płaca minimalna kwota 2600 - 100 procent</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'dane do wykresu'!$B$14:$H$14</c:f>
              <c:numCache>
                <c:formatCode>General</c:formatCode>
                <c:ptCount val="7"/>
                <c:pt idx="0">
                  <c:v>2020</c:v>
                </c:pt>
                <c:pt idx="1">
                  <c:v>2021</c:v>
                </c:pt>
                <c:pt idx="2">
                  <c:v>2022</c:v>
                </c:pt>
                <c:pt idx="3">
                  <c:v>2023</c:v>
                </c:pt>
                <c:pt idx="4">
                  <c:v>2024</c:v>
                </c:pt>
                <c:pt idx="5">
                  <c:v>2025</c:v>
                </c:pt>
                <c:pt idx="6">
                  <c:v>2026</c:v>
                </c:pt>
              </c:numCache>
            </c:numRef>
          </c:cat>
          <c:val>
            <c:numRef>
              <c:f>'dane do wykresu'!$B$15:$H$15</c:f>
              <c:numCache>
                <c:formatCode>0.00</c:formatCode>
                <c:ptCount val="7"/>
                <c:pt idx="0">
                  <c:v>100</c:v>
                </c:pt>
                <c:pt idx="1">
                  <c:v>107.69230769230801</c:v>
                </c:pt>
                <c:pt idx="2">
                  <c:v>115.769230769231</c:v>
                </c:pt>
                <c:pt idx="3">
                  <c:v>134.230769230769</c:v>
                </c:pt>
                <c:pt idx="4">
                  <c:v>163.15384615384599</c:v>
                </c:pt>
                <c:pt idx="5">
                  <c:v>179.461538461538</c:v>
                </c:pt>
                <c:pt idx="6">
                  <c:v>184.84615384615401</c:v>
                </c:pt>
              </c:numCache>
            </c:numRef>
          </c:val>
          <c:smooth val="0"/>
          <c:extLst>
            <c:ext xmlns:c16="http://schemas.microsoft.com/office/drawing/2014/chart" uri="{C3380CC4-5D6E-409C-BE32-E72D297353CC}">
              <c16:uniqueId val="{00000000-05BB-4C32-9FBA-9DF711E1BB39}"/>
            </c:ext>
          </c:extLst>
        </c:ser>
        <c:ser>
          <c:idx val="1"/>
          <c:order val="1"/>
          <c:tx>
            <c:strRef>
              <c:f>'dane do wykresu'!$A$16</c:f>
              <c:strCache>
                <c:ptCount val="1"/>
                <c:pt idx="0">
                  <c:v>przeciętne wynagrodzenie w gospodarce narodowej 5167,47</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'dane do wykresu'!$B$14:$H$14</c:f>
              <c:numCache>
                <c:formatCode>General</c:formatCode>
                <c:ptCount val="7"/>
                <c:pt idx="0">
                  <c:v>2020</c:v>
                </c:pt>
                <c:pt idx="1">
                  <c:v>2021</c:v>
                </c:pt>
                <c:pt idx="2">
                  <c:v>2022</c:v>
                </c:pt>
                <c:pt idx="3">
                  <c:v>2023</c:v>
                </c:pt>
                <c:pt idx="4">
                  <c:v>2024</c:v>
                </c:pt>
                <c:pt idx="5">
                  <c:v>2025</c:v>
                </c:pt>
                <c:pt idx="6">
                  <c:v>2026</c:v>
                </c:pt>
              </c:numCache>
            </c:numRef>
          </c:cat>
          <c:val>
            <c:numRef>
              <c:f>'dane do wykresu'!$B$16:$H$16</c:f>
              <c:numCache>
                <c:formatCode>0.00</c:formatCode>
                <c:ptCount val="7"/>
                <c:pt idx="0">
                  <c:v>100</c:v>
                </c:pt>
                <c:pt idx="1">
                  <c:v>109.580316866861</c:v>
                </c:pt>
                <c:pt idx="2">
                  <c:v>122.809614763124</c:v>
                </c:pt>
                <c:pt idx="3">
                  <c:v>138.47163118508701</c:v>
                </c:pt>
                <c:pt idx="4">
                  <c:v>158.331253011629</c:v>
                </c:pt>
                <c:pt idx="5">
                  <c:v>172.30017784331599</c:v>
                </c:pt>
                <c:pt idx="6">
                  <c:v>179.54995384588599</c:v>
                </c:pt>
              </c:numCache>
            </c:numRef>
          </c:val>
          <c:smooth val="0"/>
          <c:extLst>
            <c:ext xmlns:c16="http://schemas.microsoft.com/office/drawing/2014/chart" uri="{C3380CC4-5D6E-409C-BE32-E72D297353CC}">
              <c16:uniqueId val="{00000001-05BB-4C32-9FBA-9DF711E1BB39}"/>
            </c:ext>
          </c:extLst>
        </c:ser>
        <c:ser>
          <c:idx val="3"/>
          <c:order val="2"/>
          <c:tx>
            <c:strRef>
              <c:f>'dane do wykresu'!$A$17</c:f>
              <c:strCache>
                <c:ptCount val="1"/>
                <c:pt idx="0">
                  <c:v>ceny żywności i napojów bezalkoholowych (wskaźnik cen narastająco)</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'dane do wykresu'!$B$14:$H$14</c:f>
              <c:numCache>
                <c:formatCode>General</c:formatCode>
                <c:ptCount val="7"/>
                <c:pt idx="0">
                  <c:v>2020</c:v>
                </c:pt>
                <c:pt idx="1">
                  <c:v>2021</c:v>
                </c:pt>
                <c:pt idx="2">
                  <c:v>2022</c:v>
                </c:pt>
                <c:pt idx="3">
                  <c:v>2023</c:v>
                </c:pt>
                <c:pt idx="4">
                  <c:v>2024</c:v>
                </c:pt>
                <c:pt idx="5">
                  <c:v>2025</c:v>
                </c:pt>
                <c:pt idx="6">
                  <c:v>2026</c:v>
                </c:pt>
              </c:numCache>
            </c:numRef>
          </c:cat>
          <c:val>
            <c:numRef>
              <c:f>'dane do wykresu'!$B$17:$H$17</c:f>
              <c:numCache>
                <c:formatCode>General</c:formatCode>
                <c:ptCount val="7"/>
                <c:pt idx="0">
                  <c:v>100</c:v>
                </c:pt>
                <c:pt idx="1">
                  <c:v>103.2</c:v>
                </c:pt>
                <c:pt idx="2">
                  <c:v>119.09280000000001</c:v>
                </c:pt>
                <c:pt idx="3">
                  <c:v>137.07581279999999</c:v>
                </c:pt>
                <c:pt idx="4">
                  <c:v>141.59931462239999</c:v>
                </c:pt>
                <c:pt idx="5">
                  <c:v>148.25448240965278</c:v>
                </c:pt>
                <c:pt idx="6">
                  <c:v>151.6643355050748</c:v>
                </c:pt>
              </c:numCache>
            </c:numRef>
          </c:val>
          <c:smooth val="0"/>
          <c:extLst>
            <c:ext xmlns:c16="http://schemas.microsoft.com/office/drawing/2014/chart" uri="{C3380CC4-5D6E-409C-BE32-E72D297353CC}">
              <c16:uniqueId val="{00000002-05BB-4C32-9FBA-9DF711E1BB39}"/>
            </c:ext>
          </c:extLst>
        </c:ser>
        <c:ser>
          <c:idx val="4"/>
          <c:order val="3"/>
          <c:tx>
            <c:strRef>
              <c:f>'dane do wykresu'!$A$18</c:f>
              <c:strCache>
                <c:ptCount val="1"/>
                <c:pt idx="0">
                  <c:v>poziom cen towarów i usług konsumpcyjnych</c:v>
                </c:pt>
              </c:strCache>
            </c:strRef>
          </c:tx>
          <c:spPr>
            <a:ln w="28575" cap="rnd">
              <a:solidFill>
                <a:schemeClr val="accent5"/>
              </a:solidFill>
              <a:round/>
            </a:ln>
            <a:effectLst/>
          </c:spPr>
          <c:marker>
            <c:symbol val="circle"/>
            <c:size val="5"/>
            <c:spPr>
              <a:solidFill>
                <a:schemeClr val="accent5"/>
              </a:solidFill>
              <a:ln w="9525">
                <a:solidFill>
                  <a:schemeClr val="accent5"/>
                </a:solidFill>
              </a:ln>
              <a:effectLst/>
            </c:spPr>
          </c:marker>
          <c:cat>
            <c:numRef>
              <c:f>'dane do wykresu'!$B$14:$H$14</c:f>
              <c:numCache>
                <c:formatCode>General</c:formatCode>
                <c:ptCount val="7"/>
                <c:pt idx="0">
                  <c:v>2020</c:v>
                </c:pt>
                <c:pt idx="1">
                  <c:v>2021</c:v>
                </c:pt>
                <c:pt idx="2">
                  <c:v>2022</c:v>
                </c:pt>
                <c:pt idx="3">
                  <c:v>2023</c:v>
                </c:pt>
                <c:pt idx="4">
                  <c:v>2024</c:v>
                </c:pt>
                <c:pt idx="5">
                  <c:v>2025</c:v>
                </c:pt>
                <c:pt idx="6">
                  <c:v>2026</c:v>
                </c:pt>
              </c:numCache>
            </c:numRef>
          </c:cat>
          <c:val>
            <c:numRef>
              <c:f>'dane do wykresu'!$B$18:$H$18</c:f>
              <c:numCache>
                <c:formatCode>0.00</c:formatCode>
                <c:ptCount val="7"/>
                <c:pt idx="0">
                  <c:v>100</c:v>
                </c:pt>
                <c:pt idx="1">
                  <c:v>105.1</c:v>
                </c:pt>
                <c:pt idx="2">
                  <c:v>120.23440000000001</c:v>
                </c:pt>
                <c:pt idx="3">
                  <c:v>133.94112160000003</c:v>
                </c:pt>
                <c:pt idx="4">
                  <c:v>138.76300197760003</c:v>
                </c:pt>
                <c:pt idx="5">
                  <c:v>143.75847004879361</c:v>
                </c:pt>
                <c:pt idx="6" formatCode="General">
                  <c:v>147.20867332996465</c:v>
                </c:pt>
              </c:numCache>
            </c:numRef>
          </c:val>
          <c:smooth val="0"/>
          <c:extLst>
            <c:ext xmlns:c16="http://schemas.microsoft.com/office/drawing/2014/chart" uri="{C3380CC4-5D6E-409C-BE32-E72D297353CC}">
              <c16:uniqueId val="{00000003-05BB-4C32-9FBA-9DF711E1BB39}"/>
            </c:ext>
          </c:extLst>
        </c:ser>
        <c:ser>
          <c:idx val="2"/>
          <c:order val="4"/>
          <c:tx>
            <c:strRef>
              <c:f>'dane do wykresu'!$A$20</c:f>
              <c:strCache>
                <c:ptCount val="1"/>
                <c:pt idx="0">
                  <c:v>ceny napojów alkoholowych (wskaźnik cen narastająco)</c:v>
                </c:pt>
              </c:strCache>
            </c:strRef>
          </c:tx>
          <c:spPr>
            <a:ln w="28575" cap="rnd">
              <a:solidFill>
                <a:srgbClr val="FF33CC"/>
              </a:solidFill>
              <a:round/>
            </a:ln>
            <a:effectLst/>
          </c:spPr>
          <c:marker>
            <c:symbol val="circle"/>
            <c:size val="5"/>
            <c:spPr>
              <a:solidFill>
                <a:schemeClr val="accent3"/>
              </a:solidFill>
              <a:ln w="9525">
                <a:solidFill>
                  <a:srgbClr val="FF33CC"/>
                </a:solidFill>
              </a:ln>
              <a:effectLst/>
            </c:spPr>
          </c:marker>
          <c:val>
            <c:numRef>
              <c:f>'dane do wykresu'!$B$20:$H$20</c:f>
              <c:numCache>
                <c:formatCode>General</c:formatCode>
                <c:ptCount val="7"/>
                <c:pt idx="0">
                  <c:v>100</c:v>
                </c:pt>
                <c:pt idx="1">
                  <c:v>102.1</c:v>
                </c:pt>
                <c:pt idx="2">
                  <c:v>109.65540000000001</c:v>
                </c:pt>
                <c:pt idx="3">
                  <c:v>121.82714940000001</c:v>
                </c:pt>
                <c:pt idx="4">
                  <c:v>127.67485257120001</c:v>
                </c:pt>
                <c:pt idx="5">
                  <c:v>135.84604313575682</c:v>
                </c:pt>
                <c:pt idx="6">
                  <c:v>145.08357406898827</c:v>
                </c:pt>
              </c:numCache>
            </c:numRef>
          </c:val>
          <c:smooth val="0"/>
          <c:extLst>
            <c:ext xmlns:c16="http://schemas.microsoft.com/office/drawing/2014/chart" uri="{C3380CC4-5D6E-409C-BE32-E72D297353CC}">
              <c16:uniqueId val="{00000004-05BB-4C32-9FBA-9DF711E1BB39}"/>
            </c:ext>
          </c:extLst>
        </c:ser>
        <c:dLbls>
          <c:showLegendKey val="0"/>
          <c:showVal val="0"/>
          <c:showCatName val="0"/>
          <c:showSerName val="0"/>
          <c:showPercent val="0"/>
          <c:showBubbleSize val="0"/>
        </c:dLbls>
        <c:marker val="1"/>
        <c:smooth val="0"/>
        <c:axId val="1103470112"/>
        <c:axId val="1103468032"/>
      </c:lineChart>
      <c:catAx>
        <c:axId val="1103470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pl-PL" sz="1000">
                    <a:latin typeface="Times New Roman" panose="02020603050405020304" pitchFamily="18" charset="0"/>
                    <a:cs typeface="Times New Roman" panose="02020603050405020304" pitchFamily="18" charset="0"/>
                  </a:rPr>
                  <a:t>Na</a:t>
                </a:r>
                <a:r>
                  <a:rPr lang="pl-PL" sz="1000" baseline="0">
                    <a:latin typeface="Times New Roman" panose="02020603050405020304" pitchFamily="18" charset="0"/>
                    <a:cs typeface="Times New Roman" panose="02020603050405020304" pitchFamily="18" charset="0"/>
                  </a:rPr>
                  <a:t> podstawie danych GUS (stan na 12.05.2026)</a:t>
                </a:r>
                <a:endParaRPr lang="pl-PL" sz="1000">
                  <a:latin typeface="Times New Roman" panose="02020603050405020304" pitchFamily="18" charset="0"/>
                  <a:cs typeface="Times New Roman" panose="02020603050405020304" pitchFamily="18" charset="0"/>
                </a:endParaRPr>
              </a:p>
            </c:rich>
          </c:tx>
          <c:layout>
            <c:manualLayout>
              <c:xMode val="edge"/>
              <c:yMode val="edge"/>
              <c:x val="1.2072730890010864E-2"/>
              <c:y val="0.9523952598520973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1103468032"/>
        <c:crosses val="autoZero"/>
        <c:auto val="1"/>
        <c:lblAlgn val="ctr"/>
        <c:lblOffset val="100"/>
        <c:noMultiLvlLbl val="0"/>
      </c:catAx>
      <c:valAx>
        <c:axId val="1103468032"/>
        <c:scaling>
          <c:orientation val="minMax"/>
          <c:min val="10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crossAx val="1103470112"/>
        <c:crosses val="autoZero"/>
        <c:crossBetween val="between"/>
      </c:valAx>
      <c:spPr>
        <a:noFill/>
        <a:ln>
          <a:noFill/>
        </a:ln>
        <a:effectLst/>
      </c:spPr>
    </c:plotArea>
    <c:legend>
      <c:legendPos val="tr"/>
      <c:layout>
        <c:manualLayout>
          <c:xMode val="edge"/>
          <c:yMode val="edge"/>
          <c:x val="0.79493217457406862"/>
          <c:y val="1.3408560150453636E-2"/>
          <c:w val="0.197170490674967"/>
          <c:h val="0.9865914398495463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pl-PL"/>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F92FBC-BF33-4361-8885-1B85CB847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2065</Words>
  <Characters>12392</Characters>
  <Application>Microsoft Office Word</Application>
  <DocSecurity>4</DocSecurity>
  <Lines>103</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Gocel Norbert</dc:creator>
  <cp:keywords/>
  <dc:description/>
  <cp:lastModifiedBy>Binkowska Joanna</cp:lastModifiedBy>
  <cp:revision>2</cp:revision>
  <cp:lastPrinted>2026-05-08T12:47:00Z</cp:lastPrinted>
  <dcterms:created xsi:type="dcterms:W3CDTF">2026-09-24T07:26:00Z</dcterms:created>
  <dcterms:modified xsi:type="dcterms:W3CDTF">2026-09-24T07:26:00Z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UxC4dwLulzfINJ8nQH+xvX5LNGipWa4BRSZhPgxsCvniasJnyq6h2qVNgmjciQ67gpjAc1JPQZGyM9f6IMRzXQ==</vt:lpwstr>
  </property>
  <property fmtid="{D5CDD505-2E9C-101B-9397-08002B2CF9AE}" pid="4" name="MFClassificationDate">
    <vt:lpwstr>2025-08-26T13:08:41.6863478+02:00</vt:lpwstr>
  </property>
  <property fmtid="{D5CDD505-2E9C-101B-9397-08002B2CF9AE}" pid="5" name="MFClassifiedBySID">
    <vt:lpwstr>UxC4dwLulzfINJ8nQH+xvX5LNGipWa4BRSZhPgxsCvm42mrIC/DSDv0ggS+FjUN/2v1BBotkLlY5aAiEhoi6ufjJmLeUEhrPY/SXSP/m1zcHJmfsmSI/PfOpxri1bfqZ</vt:lpwstr>
  </property>
  <property fmtid="{D5CDD505-2E9C-101B-9397-08002B2CF9AE}" pid="6" name="MFGRNItemId">
    <vt:lpwstr>GRN-db67d5a6-eada-46d0-a323-aee021e3a41f</vt:lpwstr>
  </property>
  <property fmtid="{D5CDD505-2E9C-101B-9397-08002B2CF9AE}" pid="7" name="MFHash">
    <vt:lpwstr>13zJmVRIswavUYPuYYrMe3Nzh7eDaMHunSpxgB6ypZM=</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