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99AB2" w14:textId="51CFFE68" w:rsidR="000E36EA" w:rsidRPr="0081594C" w:rsidRDefault="003257C7" w:rsidP="0027548A">
      <w:pPr>
        <w:spacing w:before="120" w:line="360" w:lineRule="auto"/>
        <w:jc w:val="center"/>
        <w:rPr>
          <w:rFonts w:ascii="Times New Roman" w:hAnsi="Times New Roman" w:cs="Times New Roman"/>
          <w:bCs/>
          <w:sz w:val="24"/>
          <w:szCs w:val="24"/>
        </w:rPr>
      </w:pPr>
      <w:r w:rsidRPr="0081594C">
        <w:rPr>
          <w:rFonts w:ascii="Times New Roman" w:hAnsi="Times New Roman" w:cs="Times New Roman"/>
          <w:bCs/>
          <w:sz w:val="24"/>
          <w:szCs w:val="24"/>
        </w:rPr>
        <w:t>UZASADNIENIE</w:t>
      </w:r>
    </w:p>
    <w:p w14:paraId="0A80F5E0" w14:textId="335FB58C" w:rsidR="006C7766" w:rsidRPr="001210F7" w:rsidRDefault="00790526" w:rsidP="0027548A">
      <w:pPr>
        <w:numPr>
          <w:ilvl w:val="0"/>
          <w:numId w:val="6"/>
        </w:numPr>
        <w:spacing w:before="360" w:after="240" w:line="360" w:lineRule="auto"/>
        <w:ind w:left="714" w:hanging="357"/>
        <w:jc w:val="both"/>
        <w:rPr>
          <w:rFonts w:ascii="Times New Roman" w:eastAsia="Calibri" w:hAnsi="Times New Roman" w:cs="Times New Roman"/>
          <w:b/>
          <w:iCs/>
          <w:color w:val="0070C0"/>
          <w:sz w:val="24"/>
          <w:szCs w:val="24"/>
        </w:rPr>
      </w:pPr>
      <w:r>
        <w:rPr>
          <w:rFonts w:ascii="Times New Roman" w:eastAsia="Calibri" w:hAnsi="Times New Roman" w:cs="Times New Roman"/>
          <w:b/>
          <w:iCs/>
          <w:color w:val="0070C0"/>
          <w:sz w:val="24"/>
          <w:szCs w:val="24"/>
        </w:rPr>
        <w:t>Cel</w:t>
      </w:r>
      <w:r w:rsidR="00D318F6">
        <w:rPr>
          <w:rFonts w:ascii="Times New Roman" w:eastAsia="Calibri" w:hAnsi="Times New Roman" w:cs="Times New Roman"/>
          <w:b/>
          <w:iCs/>
          <w:color w:val="0070C0"/>
          <w:sz w:val="24"/>
          <w:szCs w:val="24"/>
        </w:rPr>
        <w:t xml:space="preserve"> i </w:t>
      </w:r>
      <w:r>
        <w:rPr>
          <w:rFonts w:ascii="Times New Roman" w:eastAsia="Calibri" w:hAnsi="Times New Roman" w:cs="Times New Roman"/>
          <w:b/>
          <w:iCs/>
          <w:color w:val="0070C0"/>
          <w:sz w:val="24"/>
          <w:szCs w:val="24"/>
        </w:rPr>
        <w:t>zakres projektowanej regulacji.</w:t>
      </w:r>
    </w:p>
    <w:p w14:paraId="20753213" w14:textId="4B9F0718" w:rsidR="00A50398" w:rsidRPr="001B71EF" w:rsidRDefault="00E8133C">
      <w:pPr>
        <w:spacing w:before="120" w:after="120" w:line="360" w:lineRule="auto"/>
        <w:jc w:val="both"/>
        <w:rPr>
          <w:rFonts w:ascii="Times New Roman" w:hAnsi="Times New Roman" w:cs="Times New Roman"/>
          <w:sz w:val="24"/>
          <w:szCs w:val="24"/>
        </w:rPr>
      </w:pPr>
      <w:r w:rsidRPr="001210F7">
        <w:rPr>
          <w:rFonts w:ascii="Times New Roman" w:eastAsia="Calibri" w:hAnsi="Times New Roman" w:cs="Times New Roman"/>
          <w:bCs/>
          <w:iCs/>
          <w:sz w:val="24"/>
          <w:szCs w:val="24"/>
        </w:rPr>
        <w:t xml:space="preserve">Przedkładany projekt ustawy </w:t>
      </w:r>
      <w:r w:rsidR="00A50398">
        <w:rPr>
          <w:rFonts w:ascii="Times New Roman" w:hAnsi="Times New Roman" w:cs="Times New Roman"/>
          <w:sz w:val="24"/>
          <w:szCs w:val="24"/>
        </w:rPr>
        <w:t xml:space="preserve">zawiera </w:t>
      </w:r>
      <w:r w:rsidR="00790526">
        <w:rPr>
          <w:rFonts w:ascii="Times New Roman" w:hAnsi="Times New Roman" w:cs="Times New Roman"/>
          <w:sz w:val="24"/>
          <w:szCs w:val="24"/>
        </w:rPr>
        <w:t>zmiany</w:t>
      </w:r>
      <w:r w:rsidR="00481F21">
        <w:rPr>
          <w:rFonts w:ascii="Times New Roman" w:hAnsi="Times New Roman" w:cs="Times New Roman"/>
          <w:sz w:val="24"/>
          <w:szCs w:val="24"/>
        </w:rPr>
        <w:t xml:space="preserve"> </w:t>
      </w:r>
      <w:r w:rsidR="00790526">
        <w:rPr>
          <w:rFonts w:ascii="Times New Roman" w:hAnsi="Times New Roman" w:cs="Times New Roman"/>
          <w:sz w:val="24"/>
          <w:szCs w:val="24"/>
        </w:rPr>
        <w:t>dostosowujące treść przepisów podatkowych, w tym zwolnień podatkowych, do istniejących realiów życia społeczno-gospodarczego</w:t>
      </w:r>
      <w:r w:rsidR="00481F21">
        <w:rPr>
          <w:rFonts w:ascii="Times New Roman" w:hAnsi="Times New Roman" w:cs="Times New Roman"/>
          <w:sz w:val="24"/>
          <w:szCs w:val="24"/>
        </w:rPr>
        <w:t>. Ponadto projekt zawiera</w:t>
      </w:r>
      <w:r w:rsidR="00790526">
        <w:rPr>
          <w:rFonts w:ascii="Times New Roman" w:hAnsi="Times New Roman" w:cs="Times New Roman"/>
          <w:sz w:val="24"/>
          <w:szCs w:val="24"/>
        </w:rPr>
        <w:t xml:space="preserve"> zmiany precyzujące regulacje budzące wątpliwości interpretacyjne, jak i inne</w:t>
      </w:r>
      <w:r w:rsidR="00806CDB">
        <w:rPr>
          <w:rFonts w:ascii="Times New Roman" w:hAnsi="Times New Roman" w:cs="Times New Roman"/>
          <w:sz w:val="24"/>
          <w:szCs w:val="24"/>
        </w:rPr>
        <w:t>,</w:t>
      </w:r>
      <w:r w:rsidR="00790526">
        <w:rPr>
          <w:rFonts w:ascii="Times New Roman" w:hAnsi="Times New Roman" w:cs="Times New Roman"/>
          <w:sz w:val="24"/>
          <w:szCs w:val="24"/>
        </w:rPr>
        <w:t xml:space="preserve"> korzystne dla podatników</w:t>
      </w:r>
      <w:r w:rsidR="00806CDB">
        <w:rPr>
          <w:rFonts w:ascii="Times New Roman" w:hAnsi="Times New Roman" w:cs="Times New Roman"/>
          <w:sz w:val="24"/>
          <w:szCs w:val="24"/>
        </w:rPr>
        <w:t xml:space="preserve"> rozwiązania, których potrzeba wprowadzenia wynika ze zdiagnozowanych problemów praktyki stosowania regulacji z zakresu podatków dochodowych.</w:t>
      </w:r>
      <w:r w:rsidR="00EF12E7">
        <w:rPr>
          <w:rFonts w:ascii="Times New Roman" w:hAnsi="Times New Roman" w:cs="Times New Roman"/>
          <w:sz w:val="24"/>
          <w:szCs w:val="24"/>
        </w:rPr>
        <w:t xml:space="preserve"> Dodatkowo projekt zawiera również zmiany, będące</w:t>
      </w:r>
      <w:r w:rsidR="0001333F">
        <w:rPr>
          <w:rFonts w:ascii="Times New Roman" w:hAnsi="Times New Roman" w:cs="Times New Roman"/>
          <w:sz w:val="24"/>
          <w:szCs w:val="24"/>
        </w:rPr>
        <w:t xml:space="preserve"> </w:t>
      </w:r>
      <w:r w:rsidR="00EF12E7" w:rsidRPr="00EF12E7">
        <w:rPr>
          <w:rFonts w:ascii="Times New Roman" w:hAnsi="Times New Roman" w:cs="Times New Roman"/>
          <w:sz w:val="24"/>
          <w:szCs w:val="24"/>
        </w:rPr>
        <w:t>odpowied</w:t>
      </w:r>
      <w:r w:rsidR="00EF12E7">
        <w:rPr>
          <w:rFonts w:ascii="Times New Roman" w:hAnsi="Times New Roman" w:cs="Times New Roman"/>
          <w:sz w:val="24"/>
          <w:szCs w:val="24"/>
        </w:rPr>
        <w:t>zią</w:t>
      </w:r>
      <w:r w:rsidR="00EF12E7" w:rsidRPr="00EF12E7">
        <w:rPr>
          <w:rFonts w:ascii="Times New Roman" w:hAnsi="Times New Roman" w:cs="Times New Roman"/>
          <w:sz w:val="24"/>
          <w:szCs w:val="24"/>
        </w:rPr>
        <w:t xml:space="preserve"> na bieżące potrzeby w zakresie uszczelnienia systemu podatkowego.</w:t>
      </w:r>
    </w:p>
    <w:p w14:paraId="10654A0D" w14:textId="6974CD80" w:rsidR="006C7766" w:rsidRPr="001210F7" w:rsidRDefault="006C7766" w:rsidP="004C172B">
      <w:pPr>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Projekt ustawy wprowadza zmiany w:</w:t>
      </w:r>
    </w:p>
    <w:p w14:paraId="18D686A1" w14:textId="41C77420" w:rsidR="006C7766" w:rsidRPr="001210F7" w:rsidRDefault="00C84C49" w:rsidP="0027548A">
      <w:pPr>
        <w:numPr>
          <w:ilvl w:val="0"/>
          <w:numId w:val="50"/>
        </w:numPr>
        <w:spacing w:after="120" w:line="360" w:lineRule="auto"/>
        <w:ind w:left="777" w:hanging="357"/>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ustawie z dnia 26 lipca 1991 r. o podatku dochodowym od osób fizycznych (</w:t>
      </w:r>
      <w:r w:rsidR="00944850" w:rsidRPr="00944850">
        <w:rPr>
          <w:rFonts w:ascii="Times New Roman" w:eastAsia="Calibri" w:hAnsi="Times New Roman" w:cs="Times New Roman"/>
          <w:bCs/>
          <w:iCs/>
          <w:sz w:val="24"/>
          <w:szCs w:val="24"/>
        </w:rPr>
        <w:t xml:space="preserve">Dz. U. z 2026 r. poz. 592, </w:t>
      </w:r>
      <w:r w:rsidR="00E552DB">
        <w:rPr>
          <w:rFonts w:ascii="Times New Roman" w:eastAsia="Calibri" w:hAnsi="Times New Roman" w:cs="Times New Roman"/>
          <w:bCs/>
          <w:iCs/>
          <w:sz w:val="24"/>
          <w:szCs w:val="24"/>
        </w:rPr>
        <w:t>z późn. zm.</w:t>
      </w:r>
      <w:r w:rsidR="00944850" w:rsidRPr="00944850">
        <w:rPr>
          <w:rFonts w:ascii="Times New Roman" w:eastAsia="Calibri" w:hAnsi="Times New Roman" w:cs="Times New Roman"/>
          <w:bCs/>
          <w:iCs/>
          <w:sz w:val="24"/>
          <w:szCs w:val="24"/>
        </w:rPr>
        <w:t>)</w:t>
      </w:r>
      <w:r w:rsidR="00F346E5">
        <w:rPr>
          <w:rFonts w:ascii="Times New Roman" w:eastAsia="Calibri" w:hAnsi="Times New Roman" w:cs="Times New Roman"/>
          <w:bCs/>
          <w:iCs/>
          <w:sz w:val="24"/>
          <w:szCs w:val="24"/>
        </w:rPr>
        <w:t xml:space="preserve">, </w:t>
      </w:r>
      <w:r w:rsidR="006C7766" w:rsidRPr="001210F7">
        <w:rPr>
          <w:rFonts w:ascii="Times New Roman" w:eastAsia="Calibri" w:hAnsi="Times New Roman" w:cs="Times New Roman"/>
          <w:bCs/>
          <w:iCs/>
          <w:sz w:val="24"/>
          <w:szCs w:val="24"/>
        </w:rPr>
        <w:t>zwanej dalej „</w:t>
      </w:r>
      <w:r w:rsidR="006C7766" w:rsidRPr="006C45C7">
        <w:rPr>
          <w:rFonts w:ascii="Times New Roman" w:eastAsia="Calibri" w:hAnsi="Times New Roman" w:cs="Times New Roman"/>
          <w:b/>
          <w:iCs/>
          <w:sz w:val="24"/>
          <w:szCs w:val="24"/>
        </w:rPr>
        <w:t xml:space="preserve">ustawą </w:t>
      </w:r>
      <w:r w:rsidR="00C666C8">
        <w:rPr>
          <w:rFonts w:ascii="Times New Roman" w:eastAsia="Calibri" w:hAnsi="Times New Roman" w:cs="Times New Roman"/>
          <w:b/>
          <w:iCs/>
          <w:sz w:val="24"/>
          <w:szCs w:val="24"/>
        </w:rPr>
        <w:t xml:space="preserve">o </w:t>
      </w:r>
      <w:r w:rsidR="006C7766" w:rsidRPr="006C45C7">
        <w:rPr>
          <w:rFonts w:ascii="Times New Roman" w:eastAsia="Calibri" w:hAnsi="Times New Roman" w:cs="Times New Roman"/>
          <w:b/>
          <w:iCs/>
          <w:sz w:val="24"/>
          <w:szCs w:val="24"/>
        </w:rPr>
        <w:t>PIT</w:t>
      </w:r>
      <w:r w:rsidR="006C7766" w:rsidRPr="001210F7">
        <w:rPr>
          <w:rFonts w:ascii="Times New Roman" w:eastAsia="Calibri" w:hAnsi="Times New Roman" w:cs="Times New Roman"/>
          <w:bCs/>
          <w:iCs/>
          <w:sz w:val="24"/>
          <w:szCs w:val="24"/>
        </w:rPr>
        <w:t>”,</w:t>
      </w:r>
    </w:p>
    <w:p w14:paraId="53E6639A" w14:textId="77777777" w:rsidR="003A0962" w:rsidRDefault="00EA2529" w:rsidP="0027548A">
      <w:pPr>
        <w:numPr>
          <w:ilvl w:val="0"/>
          <w:numId w:val="50"/>
        </w:numPr>
        <w:spacing w:before="120" w:after="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ustawie z dnia 15 lutego 1992 r. o podatku dochodowym od osób prawnych (</w:t>
      </w:r>
      <w:r w:rsidR="00944850" w:rsidRPr="00944850">
        <w:rPr>
          <w:rFonts w:ascii="Times New Roman" w:eastAsia="Calibri" w:hAnsi="Times New Roman" w:cs="Times New Roman"/>
          <w:bCs/>
          <w:iCs/>
          <w:sz w:val="24"/>
          <w:szCs w:val="24"/>
        </w:rPr>
        <w:t>Dz. U. z 2026 r. poz. 554</w:t>
      </w:r>
      <w:r w:rsidR="0086554B">
        <w:rPr>
          <w:rFonts w:ascii="Times New Roman" w:eastAsia="Calibri" w:hAnsi="Times New Roman" w:cs="Times New Roman"/>
          <w:bCs/>
          <w:iCs/>
          <w:sz w:val="24"/>
          <w:szCs w:val="24"/>
        </w:rPr>
        <w:t xml:space="preserve">, </w:t>
      </w:r>
      <w:r w:rsidR="00E552DB">
        <w:rPr>
          <w:rFonts w:ascii="Times New Roman" w:eastAsia="Calibri" w:hAnsi="Times New Roman" w:cs="Times New Roman"/>
          <w:bCs/>
          <w:iCs/>
          <w:sz w:val="24"/>
          <w:szCs w:val="24"/>
        </w:rPr>
        <w:t>z późn. zm.</w:t>
      </w:r>
      <w:r w:rsidR="00F346E5" w:rsidRPr="00F346E5">
        <w:rPr>
          <w:rFonts w:ascii="Times New Roman" w:eastAsia="Calibri" w:hAnsi="Times New Roman" w:cs="Times New Roman"/>
          <w:bCs/>
          <w:iCs/>
          <w:sz w:val="24"/>
          <w:szCs w:val="24"/>
        </w:rPr>
        <w:t>)</w:t>
      </w:r>
      <w:r w:rsidR="00F346E5">
        <w:rPr>
          <w:rFonts w:ascii="Times New Roman" w:eastAsia="Calibri" w:hAnsi="Times New Roman" w:cs="Times New Roman"/>
          <w:bCs/>
          <w:iCs/>
          <w:sz w:val="24"/>
          <w:szCs w:val="24"/>
        </w:rPr>
        <w:t xml:space="preserve">, </w:t>
      </w:r>
      <w:r w:rsidR="006C7766" w:rsidRPr="001210F7">
        <w:rPr>
          <w:rFonts w:ascii="Times New Roman" w:eastAsia="Calibri" w:hAnsi="Times New Roman" w:cs="Times New Roman"/>
          <w:bCs/>
          <w:iCs/>
          <w:sz w:val="24"/>
          <w:szCs w:val="24"/>
        </w:rPr>
        <w:t>zwanej dalej „</w:t>
      </w:r>
      <w:r w:rsidR="006C7766" w:rsidRPr="006C45C7">
        <w:rPr>
          <w:rFonts w:ascii="Times New Roman" w:eastAsia="Calibri" w:hAnsi="Times New Roman" w:cs="Times New Roman"/>
          <w:b/>
          <w:iCs/>
          <w:sz w:val="24"/>
          <w:szCs w:val="24"/>
        </w:rPr>
        <w:t xml:space="preserve">ustawą </w:t>
      </w:r>
      <w:r w:rsidR="00C666C8">
        <w:rPr>
          <w:rFonts w:ascii="Times New Roman" w:eastAsia="Calibri" w:hAnsi="Times New Roman" w:cs="Times New Roman"/>
          <w:b/>
          <w:iCs/>
          <w:sz w:val="24"/>
          <w:szCs w:val="24"/>
        </w:rPr>
        <w:t xml:space="preserve">o </w:t>
      </w:r>
      <w:r w:rsidR="006C7766" w:rsidRPr="006C45C7">
        <w:rPr>
          <w:rFonts w:ascii="Times New Roman" w:eastAsia="Calibri" w:hAnsi="Times New Roman" w:cs="Times New Roman"/>
          <w:b/>
          <w:iCs/>
          <w:sz w:val="24"/>
          <w:szCs w:val="24"/>
        </w:rPr>
        <w:t>CIT</w:t>
      </w:r>
      <w:r w:rsidR="00433563" w:rsidRPr="001210F7">
        <w:rPr>
          <w:rFonts w:ascii="Times New Roman" w:eastAsia="Calibri" w:hAnsi="Times New Roman" w:cs="Times New Roman"/>
          <w:bCs/>
          <w:iCs/>
          <w:sz w:val="24"/>
          <w:szCs w:val="24"/>
        </w:rPr>
        <w:t>”</w:t>
      </w:r>
      <w:r w:rsidR="003A0962">
        <w:rPr>
          <w:rFonts w:ascii="Times New Roman" w:eastAsia="Calibri" w:hAnsi="Times New Roman" w:cs="Times New Roman"/>
          <w:bCs/>
          <w:iCs/>
          <w:sz w:val="24"/>
          <w:szCs w:val="24"/>
        </w:rPr>
        <w:t>,</w:t>
      </w:r>
    </w:p>
    <w:p w14:paraId="78F780E9" w14:textId="6DB6D9EB" w:rsidR="006C7766" w:rsidRPr="003A0962" w:rsidRDefault="003A0962" w:rsidP="003A0962">
      <w:pPr>
        <w:pStyle w:val="Akapitzlist"/>
        <w:numPr>
          <w:ilvl w:val="0"/>
          <w:numId w:val="50"/>
        </w:numPr>
        <w:spacing w:before="120" w:after="120" w:line="360" w:lineRule="auto"/>
        <w:jc w:val="both"/>
        <w:rPr>
          <w:rFonts w:ascii="Times New Roman" w:eastAsia="Calibri" w:hAnsi="Times New Roman" w:cs="Times New Roman"/>
          <w:bCs/>
          <w:iCs/>
          <w:sz w:val="24"/>
          <w:szCs w:val="24"/>
        </w:rPr>
      </w:pPr>
      <w:r w:rsidRPr="003A0962">
        <w:rPr>
          <w:rFonts w:ascii="Times New Roman" w:eastAsia="Calibri" w:hAnsi="Times New Roman" w:cs="Times New Roman"/>
          <w:bCs/>
          <w:iCs/>
          <w:sz w:val="24"/>
          <w:szCs w:val="24"/>
        </w:rPr>
        <w:t xml:space="preserve">ustawie z dnia 20 listopada 1998 r. o zryczałtowanym podatku dochodowym od niektórych przychodów osiąganych przez osoby fizyczne (Dz. U. z </w:t>
      </w:r>
      <w:r>
        <w:rPr>
          <w:rFonts w:ascii="Times New Roman" w:eastAsia="Calibri" w:hAnsi="Times New Roman" w:cs="Times New Roman"/>
          <w:bCs/>
          <w:iCs/>
          <w:sz w:val="24"/>
          <w:szCs w:val="24"/>
        </w:rPr>
        <w:t>2025</w:t>
      </w:r>
      <w:r w:rsidRPr="003A0962">
        <w:rPr>
          <w:rFonts w:ascii="Times New Roman" w:eastAsia="Calibri" w:hAnsi="Times New Roman" w:cs="Times New Roman"/>
          <w:bCs/>
          <w:iCs/>
          <w:sz w:val="24"/>
          <w:szCs w:val="24"/>
        </w:rPr>
        <w:t xml:space="preserve"> r. poz. 843), zwanej dalej „</w:t>
      </w:r>
      <w:r w:rsidRPr="00D435CA">
        <w:rPr>
          <w:rFonts w:ascii="Times New Roman" w:eastAsia="Calibri" w:hAnsi="Times New Roman" w:cs="Times New Roman"/>
          <w:b/>
          <w:iCs/>
          <w:sz w:val="24"/>
          <w:szCs w:val="24"/>
        </w:rPr>
        <w:t>ustawą o ryczałcie</w:t>
      </w:r>
      <w:r w:rsidRPr="003A0962">
        <w:rPr>
          <w:rFonts w:ascii="Times New Roman" w:eastAsia="Calibri" w:hAnsi="Times New Roman" w:cs="Times New Roman"/>
          <w:bCs/>
          <w:iCs/>
          <w:sz w:val="24"/>
          <w:szCs w:val="24"/>
        </w:rPr>
        <w:t>”.</w:t>
      </w:r>
    </w:p>
    <w:p w14:paraId="08F8A177" w14:textId="1289D67A" w:rsidR="00DA1D4C" w:rsidRPr="00DA1D4C" w:rsidRDefault="004E2890" w:rsidP="004C172B">
      <w:pPr>
        <w:spacing w:before="120" w:line="360" w:lineRule="auto"/>
        <w:jc w:val="both"/>
        <w:rPr>
          <w:rFonts w:ascii="Times New Roman" w:eastAsia="Calibri" w:hAnsi="Times New Roman" w:cs="Times New Roman"/>
          <w:bCs/>
          <w:iCs/>
          <w:sz w:val="24"/>
          <w:szCs w:val="24"/>
        </w:rPr>
      </w:pPr>
      <w:r w:rsidRPr="00DA1D4C">
        <w:rPr>
          <w:rFonts w:ascii="Times New Roman" w:hAnsi="Times New Roman" w:cs="Times New Roman"/>
          <w:sz w:val="24"/>
          <w:szCs w:val="24"/>
        </w:rPr>
        <w:t xml:space="preserve">Do zmian </w:t>
      </w:r>
      <w:r w:rsidRPr="0027548A">
        <w:rPr>
          <w:rFonts w:ascii="Times New Roman" w:hAnsi="Times New Roman" w:cs="Times New Roman"/>
          <w:sz w:val="24"/>
          <w:szCs w:val="24"/>
          <w:u w:val="single"/>
        </w:rPr>
        <w:t xml:space="preserve">o charakterze </w:t>
      </w:r>
      <w:r w:rsidR="00DA1D4C" w:rsidRPr="0027548A">
        <w:rPr>
          <w:rFonts w:ascii="Times New Roman" w:hAnsi="Times New Roman" w:cs="Times New Roman"/>
          <w:sz w:val="24"/>
          <w:szCs w:val="24"/>
          <w:u w:val="single"/>
        </w:rPr>
        <w:t>precyz</w:t>
      </w:r>
      <w:r w:rsidR="000201C0">
        <w:rPr>
          <w:rFonts w:ascii="Times New Roman" w:hAnsi="Times New Roman" w:cs="Times New Roman"/>
          <w:sz w:val="24"/>
          <w:szCs w:val="24"/>
          <w:u w:val="single"/>
        </w:rPr>
        <w:t>u</w:t>
      </w:r>
      <w:r w:rsidR="00DA1D4C" w:rsidRPr="0027548A">
        <w:rPr>
          <w:rFonts w:ascii="Times New Roman" w:hAnsi="Times New Roman" w:cs="Times New Roman"/>
          <w:sz w:val="24"/>
          <w:szCs w:val="24"/>
          <w:u w:val="single"/>
        </w:rPr>
        <w:t>jącym</w:t>
      </w:r>
      <w:r w:rsidR="00DA1D4C" w:rsidRPr="0027548A">
        <w:rPr>
          <w:rFonts w:ascii="Times New Roman" w:hAnsi="Times New Roman" w:cs="Times New Roman"/>
          <w:sz w:val="24"/>
          <w:szCs w:val="24"/>
        </w:rPr>
        <w:t xml:space="preserve"> istniejące regulacje </w:t>
      </w:r>
      <w:r w:rsidR="000E7E3D">
        <w:rPr>
          <w:rFonts w:ascii="Times New Roman" w:hAnsi="Times New Roman" w:cs="Times New Roman"/>
          <w:sz w:val="24"/>
          <w:szCs w:val="24"/>
        </w:rPr>
        <w:t xml:space="preserve">oraz zmian </w:t>
      </w:r>
      <w:r w:rsidR="000E7E3D" w:rsidRPr="0027548A">
        <w:rPr>
          <w:rFonts w:ascii="Times New Roman" w:hAnsi="Times New Roman" w:cs="Times New Roman"/>
          <w:sz w:val="24"/>
          <w:szCs w:val="24"/>
          <w:u w:val="single"/>
        </w:rPr>
        <w:t>o charakterze</w:t>
      </w:r>
      <w:r w:rsidR="000E7E3D">
        <w:rPr>
          <w:rFonts w:ascii="Times New Roman" w:hAnsi="Times New Roman" w:cs="Times New Roman"/>
          <w:sz w:val="24"/>
          <w:szCs w:val="24"/>
        </w:rPr>
        <w:t xml:space="preserve"> </w:t>
      </w:r>
      <w:r w:rsidR="000E7E3D" w:rsidRPr="0027548A">
        <w:rPr>
          <w:rFonts w:ascii="Times New Roman" w:hAnsi="Times New Roman" w:cs="Times New Roman"/>
          <w:sz w:val="24"/>
          <w:szCs w:val="24"/>
          <w:u w:val="single"/>
        </w:rPr>
        <w:t>porządkowy</w:t>
      </w:r>
      <w:r w:rsidR="000E7E3D">
        <w:rPr>
          <w:rFonts w:ascii="Times New Roman" w:hAnsi="Times New Roman" w:cs="Times New Roman"/>
          <w:sz w:val="24"/>
          <w:szCs w:val="24"/>
          <w:u w:val="single"/>
        </w:rPr>
        <w:t>m</w:t>
      </w:r>
      <w:r w:rsidR="000E7E3D">
        <w:rPr>
          <w:rFonts w:ascii="Times New Roman" w:hAnsi="Times New Roman" w:cs="Times New Roman"/>
          <w:sz w:val="24"/>
          <w:szCs w:val="24"/>
        </w:rPr>
        <w:t xml:space="preserve"> </w:t>
      </w:r>
      <w:r w:rsidR="00DA1D4C" w:rsidRPr="0027548A">
        <w:rPr>
          <w:rFonts w:ascii="Times New Roman" w:hAnsi="Times New Roman" w:cs="Times New Roman"/>
          <w:sz w:val="24"/>
          <w:szCs w:val="24"/>
        </w:rPr>
        <w:t>należą zmiany dotyczące:</w:t>
      </w:r>
    </w:p>
    <w:p w14:paraId="1499ECA6" w14:textId="3327DC8D" w:rsidR="006766DA" w:rsidRPr="00934733" w:rsidRDefault="0088634F" w:rsidP="0081594C">
      <w:pPr>
        <w:pStyle w:val="Akapitzlist"/>
        <w:numPr>
          <w:ilvl w:val="0"/>
          <w:numId w:val="60"/>
        </w:numPr>
        <w:spacing w:after="120" w:line="360" w:lineRule="auto"/>
        <w:ind w:left="851"/>
        <w:jc w:val="both"/>
        <w:rPr>
          <w:rFonts w:ascii="Times New Roman" w:hAnsi="Times New Roman" w:cs="Times New Roman"/>
          <w:sz w:val="24"/>
          <w:szCs w:val="24"/>
        </w:rPr>
      </w:pPr>
      <w:bookmarkStart w:id="0" w:name="_Hlk169158816"/>
      <w:r w:rsidRPr="006766DA">
        <w:rPr>
          <w:rFonts w:ascii="Times New Roman" w:eastAsia="Calibri" w:hAnsi="Times New Roman" w:cs="Times New Roman"/>
          <w:bCs/>
          <w:iCs/>
          <w:sz w:val="24"/>
          <w:szCs w:val="24"/>
        </w:rPr>
        <w:t xml:space="preserve">mechanizmu </w:t>
      </w:r>
      <w:r w:rsidR="00DA1D4C" w:rsidRPr="006766DA">
        <w:rPr>
          <w:rFonts w:ascii="Times New Roman" w:eastAsia="Calibri" w:hAnsi="Times New Roman" w:cs="Times New Roman"/>
          <w:bCs/>
          <w:iCs/>
          <w:sz w:val="24"/>
          <w:szCs w:val="24"/>
        </w:rPr>
        <w:t xml:space="preserve">tzw. </w:t>
      </w:r>
      <w:r w:rsidRPr="006766DA">
        <w:rPr>
          <w:rFonts w:ascii="Times New Roman" w:eastAsia="Calibri" w:hAnsi="Times New Roman" w:cs="Times New Roman"/>
          <w:bCs/>
          <w:iCs/>
          <w:sz w:val="24"/>
          <w:szCs w:val="24"/>
        </w:rPr>
        <w:t>bezpiecznej przystani</w:t>
      </w:r>
      <w:r w:rsidR="00DA1D4C" w:rsidRPr="006766DA">
        <w:rPr>
          <w:rFonts w:ascii="Times New Roman" w:eastAsia="Calibri" w:hAnsi="Times New Roman" w:cs="Times New Roman"/>
          <w:bCs/>
          <w:iCs/>
          <w:sz w:val="24"/>
          <w:szCs w:val="24"/>
        </w:rPr>
        <w:t xml:space="preserve"> dla transakcji pożyczkowych</w:t>
      </w:r>
      <w:r w:rsidR="00505803">
        <w:rPr>
          <w:rFonts w:ascii="Times New Roman" w:eastAsia="Calibri" w:hAnsi="Times New Roman" w:cs="Times New Roman"/>
          <w:bCs/>
          <w:iCs/>
          <w:sz w:val="24"/>
          <w:szCs w:val="24"/>
        </w:rPr>
        <w:t xml:space="preserve"> </w:t>
      </w:r>
      <w:r w:rsidR="00505803" w:rsidRPr="00505803">
        <w:rPr>
          <w:rFonts w:ascii="Times New Roman" w:eastAsia="Calibri" w:hAnsi="Times New Roman" w:cs="Times New Roman"/>
          <w:bCs/>
          <w:iCs/>
          <w:sz w:val="24"/>
          <w:szCs w:val="24"/>
        </w:rPr>
        <w:t>(odpowiednio kredytów lub emisji obligacji)</w:t>
      </w:r>
      <w:r w:rsidR="00505803">
        <w:rPr>
          <w:rFonts w:ascii="Times New Roman" w:eastAsia="Calibri" w:hAnsi="Times New Roman" w:cs="Times New Roman"/>
          <w:bCs/>
          <w:iCs/>
          <w:sz w:val="24"/>
          <w:szCs w:val="24"/>
        </w:rPr>
        <w:t xml:space="preserve"> </w:t>
      </w:r>
      <w:r w:rsidR="00DA1D4C" w:rsidRPr="006766DA">
        <w:rPr>
          <w:rFonts w:ascii="Times New Roman" w:eastAsia="Calibri" w:hAnsi="Times New Roman" w:cs="Times New Roman"/>
          <w:bCs/>
          <w:iCs/>
          <w:sz w:val="24"/>
          <w:szCs w:val="24"/>
        </w:rPr>
        <w:t>funkcjonujące</w:t>
      </w:r>
      <w:r w:rsidR="00F75C53" w:rsidRPr="006766DA">
        <w:rPr>
          <w:rFonts w:ascii="Times New Roman" w:eastAsia="Calibri" w:hAnsi="Times New Roman" w:cs="Times New Roman"/>
          <w:bCs/>
          <w:iCs/>
          <w:sz w:val="24"/>
          <w:szCs w:val="24"/>
        </w:rPr>
        <w:t>go</w:t>
      </w:r>
      <w:r w:rsidR="00DA1D4C" w:rsidRPr="006766DA">
        <w:rPr>
          <w:rFonts w:ascii="Times New Roman" w:eastAsia="Calibri" w:hAnsi="Times New Roman" w:cs="Times New Roman"/>
          <w:bCs/>
          <w:iCs/>
          <w:sz w:val="24"/>
          <w:szCs w:val="24"/>
        </w:rPr>
        <w:t xml:space="preserve"> na gruncie przepisów o cenach transferowych (zmiany w ustawie </w:t>
      </w:r>
      <w:r w:rsidR="00C14E7D">
        <w:rPr>
          <w:rFonts w:ascii="Times New Roman" w:eastAsia="Calibri" w:hAnsi="Times New Roman" w:cs="Times New Roman"/>
          <w:bCs/>
          <w:iCs/>
          <w:sz w:val="24"/>
          <w:szCs w:val="24"/>
        </w:rPr>
        <w:t xml:space="preserve">o </w:t>
      </w:r>
      <w:r w:rsidR="00DA1D4C" w:rsidRPr="006766DA">
        <w:rPr>
          <w:rFonts w:ascii="Times New Roman" w:eastAsia="Calibri" w:hAnsi="Times New Roman" w:cs="Times New Roman"/>
          <w:bCs/>
          <w:iCs/>
          <w:sz w:val="24"/>
          <w:szCs w:val="24"/>
        </w:rPr>
        <w:t>PIT i ustawie o CIT),</w:t>
      </w:r>
      <w:bookmarkEnd w:id="0"/>
    </w:p>
    <w:p w14:paraId="20C1DB6F" w14:textId="3B0AF85A" w:rsidR="00F75C53" w:rsidRPr="0027548A" w:rsidRDefault="00505803" w:rsidP="0027548A">
      <w:pPr>
        <w:pStyle w:val="Akapitzlist"/>
        <w:numPr>
          <w:ilvl w:val="0"/>
          <w:numId w:val="60"/>
        </w:numPr>
        <w:spacing w:before="120" w:after="120" w:line="360" w:lineRule="auto"/>
        <w:ind w:left="851"/>
        <w:jc w:val="both"/>
        <w:rPr>
          <w:rFonts w:ascii="Times New Roman" w:hAnsi="Times New Roman" w:cs="Times New Roman"/>
          <w:sz w:val="24"/>
          <w:szCs w:val="24"/>
        </w:rPr>
      </w:pPr>
      <w:r>
        <w:rPr>
          <w:rFonts w:ascii="Times New Roman" w:hAnsi="Times New Roman" w:cs="Times New Roman"/>
          <w:sz w:val="24"/>
          <w:szCs w:val="24"/>
        </w:rPr>
        <w:t>d</w:t>
      </w:r>
      <w:r w:rsidR="00865EB6">
        <w:rPr>
          <w:rFonts w:ascii="Times New Roman" w:hAnsi="Times New Roman" w:cs="Times New Roman"/>
          <w:sz w:val="24"/>
          <w:szCs w:val="24"/>
        </w:rPr>
        <w:t xml:space="preserve">oprecyzowania sposobu obliczania podstawy </w:t>
      </w:r>
      <w:r w:rsidR="00F75C53" w:rsidRPr="0027548A">
        <w:rPr>
          <w:rFonts w:ascii="Times New Roman" w:hAnsi="Times New Roman" w:cs="Times New Roman"/>
          <w:sz w:val="24"/>
          <w:szCs w:val="24"/>
        </w:rPr>
        <w:t>daniny solidarnościowej</w:t>
      </w:r>
      <w:r w:rsidR="00433563">
        <w:rPr>
          <w:rFonts w:ascii="Times New Roman" w:hAnsi="Times New Roman" w:cs="Times New Roman"/>
          <w:sz w:val="24"/>
          <w:szCs w:val="24"/>
        </w:rPr>
        <w:t xml:space="preserve"> w zakresie możliwości</w:t>
      </w:r>
      <w:r w:rsidR="00F75C53" w:rsidRPr="0027548A">
        <w:rPr>
          <w:rFonts w:ascii="Times New Roman" w:hAnsi="Times New Roman" w:cs="Times New Roman"/>
          <w:sz w:val="24"/>
          <w:szCs w:val="24"/>
        </w:rPr>
        <w:t xml:space="preserve"> </w:t>
      </w:r>
      <w:r w:rsidR="00433563">
        <w:rPr>
          <w:rFonts w:ascii="Times New Roman" w:hAnsi="Times New Roman" w:cs="Times New Roman"/>
          <w:sz w:val="24"/>
          <w:szCs w:val="24"/>
        </w:rPr>
        <w:t>odliczania</w:t>
      </w:r>
      <w:r w:rsidR="00433563" w:rsidRPr="0027548A">
        <w:rPr>
          <w:rFonts w:ascii="Times New Roman" w:hAnsi="Times New Roman" w:cs="Times New Roman"/>
          <w:sz w:val="24"/>
          <w:szCs w:val="24"/>
        </w:rPr>
        <w:t xml:space="preserve"> </w:t>
      </w:r>
      <w:r w:rsidR="00F75C53" w:rsidRPr="0027548A">
        <w:rPr>
          <w:rFonts w:ascii="Times New Roman" w:hAnsi="Times New Roman" w:cs="Times New Roman"/>
          <w:sz w:val="24"/>
          <w:szCs w:val="24"/>
        </w:rPr>
        <w:t>w niej straty z lat ubiegłych</w:t>
      </w:r>
      <w:r w:rsidR="00433563">
        <w:rPr>
          <w:rFonts w:ascii="Times New Roman" w:hAnsi="Times New Roman" w:cs="Times New Roman"/>
          <w:sz w:val="24"/>
          <w:szCs w:val="24"/>
        </w:rPr>
        <w:t xml:space="preserve"> oraz braku innych odliczeń</w:t>
      </w:r>
      <w:r w:rsidR="00F75C53" w:rsidRPr="0027548A">
        <w:rPr>
          <w:rFonts w:ascii="Times New Roman" w:hAnsi="Times New Roman" w:cs="Times New Roman"/>
          <w:sz w:val="24"/>
          <w:szCs w:val="24"/>
        </w:rPr>
        <w:t xml:space="preserve"> (zmiana w</w:t>
      </w:r>
      <w:r w:rsidR="00D65082" w:rsidRPr="0027548A">
        <w:rPr>
          <w:rFonts w:ascii="Times New Roman" w:hAnsi="Times New Roman" w:cs="Times New Roman"/>
          <w:sz w:val="24"/>
          <w:szCs w:val="24"/>
        </w:rPr>
        <w:t> </w:t>
      </w:r>
      <w:r w:rsidR="00F75C53" w:rsidRPr="0027548A">
        <w:rPr>
          <w:rFonts w:ascii="Times New Roman" w:hAnsi="Times New Roman" w:cs="Times New Roman"/>
          <w:sz w:val="24"/>
          <w:szCs w:val="24"/>
        </w:rPr>
        <w:t>ustawie o PIT),</w:t>
      </w:r>
    </w:p>
    <w:p w14:paraId="494F5E34" w14:textId="4DDA1B52" w:rsidR="00216BBD" w:rsidRPr="000161CA" w:rsidRDefault="008F0D14" w:rsidP="0027548A">
      <w:pPr>
        <w:pStyle w:val="Akapitzlist"/>
        <w:numPr>
          <w:ilvl w:val="0"/>
          <w:numId w:val="60"/>
        </w:numPr>
        <w:spacing w:before="120" w:after="120" w:line="360" w:lineRule="auto"/>
        <w:ind w:left="851"/>
        <w:jc w:val="both"/>
        <w:rPr>
          <w:rFonts w:ascii="Times New Roman" w:eastAsia="Calibri" w:hAnsi="Times New Roman" w:cs="Times New Roman"/>
          <w:bCs/>
          <w:iCs/>
          <w:sz w:val="24"/>
          <w:szCs w:val="24"/>
        </w:rPr>
      </w:pPr>
      <w:bookmarkStart w:id="1" w:name="_Hlk221647560"/>
      <w:r w:rsidRPr="008F0D14">
        <w:rPr>
          <w:rFonts w:ascii="Times New Roman" w:eastAsia="Calibri" w:hAnsi="Times New Roman" w:cs="Times New Roman"/>
          <w:bCs/>
          <w:iCs/>
          <w:sz w:val="24"/>
          <w:szCs w:val="24"/>
        </w:rPr>
        <w:t>rozstrzygnięci</w:t>
      </w:r>
      <w:r>
        <w:rPr>
          <w:rFonts w:ascii="Times New Roman" w:eastAsia="Calibri" w:hAnsi="Times New Roman" w:cs="Times New Roman"/>
          <w:bCs/>
          <w:iCs/>
          <w:sz w:val="24"/>
          <w:szCs w:val="24"/>
        </w:rPr>
        <w:t>a</w:t>
      </w:r>
      <w:r w:rsidRPr="0027548A">
        <w:rPr>
          <w:rFonts w:ascii="Times New Roman" w:eastAsia="Calibri" w:hAnsi="Times New Roman" w:cs="Times New Roman"/>
          <w:bCs/>
          <w:iCs/>
          <w:sz w:val="24"/>
          <w:szCs w:val="24"/>
        </w:rPr>
        <w:t xml:space="preserve"> wątpliwości związanych z ustaleniem momentu powstania przychodów z tytułu waloryzacji środków na tzw. rachunkach uśpionych oraz ich klasyfikacji do określonego źródła przychodów </w:t>
      </w:r>
      <w:bookmarkEnd w:id="1"/>
      <w:r w:rsidR="000161CA" w:rsidRPr="008F0D14">
        <w:rPr>
          <w:rFonts w:ascii="Times New Roman" w:eastAsia="Calibri" w:hAnsi="Times New Roman" w:cs="Times New Roman"/>
          <w:bCs/>
          <w:iCs/>
          <w:sz w:val="24"/>
          <w:szCs w:val="24"/>
        </w:rPr>
        <w:t>(zmiana</w:t>
      </w:r>
      <w:r w:rsidR="000161CA">
        <w:rPr>
          <w:rFonts w:ascii="Times New Roman" w:eastAsia="Calibri" w:hAnsi="Times New Roman" w:cs="Times New Roman"/>
          <w:bCs/>
          <w:iCs/>
          <w:sz w:val="24"/>
          <w:szCs w:val="24"/>
        </w:rPr>
        <w:t xml:space="preserve"> w ustawie o PIT)</w:t>
      </w:r>
      <w:r w:rsidR="00216BBD" w:rsidRPr="000161CA">
        <w:rPr>
          <w:rFonts w:ascii="Times New Roman" w:eastAsia="Calibri" w:hAnsi="Times New Roman" w:cs="Times New Roman"/>
          <w:bCs/>
          <w:iCs/>
          <w:sz w:val="24"/>
          <w:szCs w:val="24"/>
        </w:rPr>
        <w:t>,</w:t>
      </w:r>
    </w:p>
    <w:p w14:paraId="10E7C2EC" w14:textId="43E50DE6" w:rsidR="000E7E3D" w:rsidRPr="000E7E3D" w:rsidRDefault="00216BBD" w:rsidP="00AB3513">
      <w:pPr>
        <w:pStyle w:val="Akapitzlist"/>
        <w:numPr>
          <w:ilvl w:val="0"/>
          <w:numId w:val="60"/>
        </w:numPr>
        <w:spacing w:before="120" w:after="120" w:line="360" w:lineRule="auto"/>
        <w:ind w:left="851"/>
        <w:jc w:val="both"/>
        <w:rPr>
          <w:rFonts w:ascii="Times New Roman" w:eastAsia="Calibri" w:hAnsi="Times New Roman" w:cs="Times New Roman"/>
          <w:bCs/>
          <w:iCs/>
          <w:sz w:val="24"/>
          <w:szCs w:val="24"/>
        </w:rPr>
      </w:pPr>
      <w:r w:rsidRPr="000161CA">
        <w:rPr>
          <w:rFonts w:ascii="Times New Roman" w:eastAsia="Calibri" w:hAnsi="Times New Roman" w:cs="Times New Roman"/>
          <w:bCs/>
          <w:iCs/>
          <w:sz w:val="24"/>
          <w:szCs w:val="24"/>
        </w:rPr>
        <w:t xml:space="preserve">określenia skutków podatkowych związanych ze zbyciem obligacji Skarbu Państwa przekazanych na powiększenie funduszu statutowego banku państwowego (zmiana w </w:t>
      </w:r>
      <w:r w:rsidRPr="000E7E3D">
        <w:rPr>
          <w:rFonts w:ascii="Times New Roman" w:eastAsia="Calibri" w:hAnsi="Times New Roman" w:cs="Times New Roman"/>
          <w:bCs/>
          <w:iCs/>
          <w:sz w:val="24"/>
          <w:szCs w:val="24"/>
        </w:rPr>
        <w:t>ustawie o CIT)</w:t>
      </w:r>
      <w:r w:rsidR="00255E09">
        <w:rPr>
          <w:rFonts w:ascii="Times New Roman" w:eastAsia="Calibri" w:hAnsi="Times New Roman" w:cs="Times New Roman"/>
          <w:bCs/>
          <w:iCs/>
          <w:sz w:val="24"/>
          <w:szCs w:val="24"/>
        </w:rPr>
        <w:t>,</w:t>
      </w:r>
    </w:p>
    <w:p w14:paraId="79F2DBE3" w14:textId="77777777" w:rsidR="00A0121A" w:rsidRDefault="000E7E3D" w:rsidP="0027548A">
      <w:pPr>
        <w:pStyle w:val="Akapitzlist"/>
        <w:numPr>
          <w:ilvl w:val="0"/>
          <w:numId w:val="60"/>
        </w:numPr>
        <w:spacing w:before="120" w:after="120" w:line="360" w:lineRule="auto"/>
        <w:ind w:left="851"/>
        <w:jc w:val="both"/>
        <w:rPr>
          <w:rFonts w:ascii="Times New Roman" w:eastAsia="Calibri" w:hAnsi="Times New Roman" w:cs="Times New Roman"/>
          <w:bCs/>
          <w:iCs/>
          <w:sz w:val="24"/>
          <w:szCs w:val="24"/>
        </w:rPr>
      </w:pPr>
      <w:r w:rsidRPr="0027548A">
        <w:rPr>
          <w:rFonts w:ascii="Times New Roman" w:eastAsia="Calibri" w:hAnsi="Times New Roman" w:cs="Times New Roman"/>
          <w:bCs/>
          <w:iCs/>
          <w:sz w:val="24"/>
          <w:szCs w:val="24"/>
        </w:rPr>
        <w:lastRenderedPageBreak/>
        <w:t>zwolnienia z opodatkowania przychodów z wykupu przez emitenta obligacji, od których są należne świadczenia okresowe</w:t>
      </w:r>
      <w:r w:rsidR="00B87A14">
        <w:rPr>
          <w:rFonts w:ascii="Times New Roman" w:eastAsia="Calibri" w:hAnsi="Times New Roman" w:cs="Times New Roman"/>
          <w:bCs/>
          <w:iCs/>
          <w:sz w:val="24"/>
          <w:szCs w:val="24"/>
        </w:rPr>
        <w:t xml:space="preserve"> (zmiana w ustawie o PIT)</w:t>
      </w:r>
      <w:r w:rsidR="00A0121A">
        <w:rPr>
          <w:rFonts w:ascii="Times New Roman" w:eastAsia="Calibri" w:hAnsi="Times New Roman" w:cs="Times New Roman"/>
          <w:bCs/>
          <w:iCs/>
          <w:sz w:val="24"/>
          <w:szCs w:val="24"/>
        </w:rPr>
        <w:t>,</w:t>
      </w:r>
    </w:p>
    <w:p w14:paraId="15FA8C3D" w14:textId="0D971E4B" w:rsidR="00A0121A" w:rsidRDefault="00A0121A" w:rsidP="00A0121A">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wyłączenia z </w:t>
      </w:r>
      <w:r w:rsidRPr="00AD5897">
        <w:rPr>
          <w:rFonts w:ascii="Times New Roman" w:eastAsia="Calibri" w:hAnsi="Times New Roman" w:cs="Times New Roman"/>
          <w:bCs/>
          <w:iCs/>
          <w:sz w:val="24"/>
          <w:szCs w:val="24"/>
        </w:rPr>
        <w:t>koszt</w:t>
      </w:r>
      <w:r>
        <w:rPr>
          <w:rFonts w:ascii="Times New Roman" w:eastAsia="Calibri" w:hAnsi="Times New Roman" w:cs="Times New Roman"/>
          <w:bCs/>
          <w:iCs/>
          <w:sz w:val="24"/>
          <w:szCs w:val="24"/>
        </w:rPr>
        <w:t>ów</w:t>
      </w:r>
      <w:r w:rsidRPr="00AD5897">
        <w:rPr>
          <w:rFonts w:ascii="Times New Roman" w:eastAsia="Calibri" w:hAnsi="Times New Roman" w:cs="Times New Roman"/>
          <w:bCs/>
          <w:iCs/>
          <w:sz w:val="24"/>
          <w:szCs w:val="24"/>
        </w:rPr>
        <w:t xml:space="preserve"> uzyskania przychodów środków finansowania dłużnego od kredytów refinansowych, </w:t>
      </w:r>
      <w:r>
        <w:rPr>
          <w:rFonts w:ascii="Times New Roman" w:eastAsia="Calibri" w:hAnsi="Times New Roman" w:cs="Times New Roman"/>
          <w:bCs/>
          <w:iCs/>
          <w:sz w:val="24"/>
          <w:szCs w:val="24"/>
        </w:rPr>
        <w:t>konsolidacyjnych oraz innych zobowiązań o podobnym charakterze (zmiana w ustawie o CIT) oraz</w:t>
      </w:r>
    </w:p>
    <w:p w14:paraId="7EC5224D" w14:textId="504222E0" w:rsidR="00216BBD" w:rsidRDefault="008314DF" w:rsidP="008314DF">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sidRPr="008314DF">
        <w:rPr>
          <w:rFonts w:ascii="Times New Roman" w:eastAsia="Calibri" w:hAnsi="Times New Roman" w:cs="Times New Roman"/>
          <w:bCs/>
          <w:iCs/>
          <w:sz w:val="24"/>
          <w:szCs w:val="24"/>
        </w:rPr>
        <w:t>opodatkowania ryczałtem od dochodów</w:t>
      </w:r>
      <w:r w:rsidRPr="008314DF">
        <w:t xml:space="preserve"> </w:t>
      </w:r>
      <w:r w:rsidRPr="008314DF">
        <w:rPr>
          <w:rFonts w:ascii="Times New Roman" w:eastAsia="Calibri" w:hAnsi="Times New Roman" w:cs="Times New Roman"/>
          <w:bCs/>
          <w:iCs/>
          <w:sz w:val="24"/>
          <w:szCs w:val="24"/>
        </w:rPr>
        <w:t>spółek (tzw. estońskim CIT)</w:t>
      </w:r>
      <w:r>
        <w:rPr>
          <w:rFonts w:ascii="Times New Roman" w:eastAsia="Calibri" w:hAnsi="Times New Roman" w:cs="Times New Roman"/>
          <w:bCs/>
          <w:iCs/>
          <w:sz w:val="24"/>
          <w:szCs w:val="24"/>
        </w:rPr>
        <w:t xml:space="preserve"> </w:t>
      </w:r>
      <w:r w:rsidRPr="008314DF">
        <w:rPr>
          <w:rFonts w:ascii="Times New Roman" w:eastAsia="Calibri" w:hAnsi="Times New Roman" w:cs="Times New Roman"/>
          <w:bCs/>
          <w:iCs/>
          <w:sz w:val="24"/>
          <w:szCs w:val="24"/>
        </w:rPr>
        <w:t>w zakresie doprecyzowania definicji ukrytych zysków</w:t>
      </w:r>
      <w:r w:rsidR="00E107DA">
        <w:rPr>
          <w:rFonts w:ascii="Times New Roman" w:eastAsia="Calibri" w:hAnsi="Times New Roman" w:cs="Times New Roman"/>
          <w:bCs/>
          <w:iCs/>
          <w:sz w:val="24"/>
          <w:szCs w:val="24"/>
        </w:rPr>
        <w:t>.</w:t>
      </w:r>
    </w:p>
    <w:p w14:paraId="7E36CCEC" w14:textId="7180132B" w:rsidR="00276119" w:rsidRDefault="00EF12E7" w:rsidP="0081594C">
      <w:pPr>
        <w:spacing w:before="120" w:line="360" w:lineRule="auto"/>
        <w:jc w:val="both"/>
        <w:rPr>
          <w:rFonts w:ascii="Times New Roman" w:eastAsia="Calibri" w:hAnsi="Times New Roman" w:cs="Times New Roman"/>
          <w:bCs/>
          <w:iCs/>
          <w:sz w:val="24"/>
          <w:szCs w:val="24"/>
        </w:rPr>
      </w:pPr>
      <w:r w:rsidRPr="00EF12E7">
        <w:rPr>
          <w:rFonts w:ascii="Times New Roman" w:eastAsia="Calibri" w:hAnsi="Times New Roman" w:cs="Times New Roman"/>
          <w:bCs/>
          <w:iCs/>
          <w:sz w:val="24"/>
          <w:szCs w:val="24"/>
        </w:rPr>
        <w:t xml:space="preserve">Do zmian </w:t>
      </w:r>
      <w:r w:rsidRPr="00A34EE1">
        <w:rPr>
          <w:rFonts w:ascii="Times New Roman" w:eastAsia="Calibri" w:hAnsi="Times New Roman" w:cs="Times New Roman"/>
          <w:bCs/>
          <w:iCs/>
          <w:sz w:val="24"/>
          <w:szCs w:val="24"/>
          <w:u w:val="single"/>
        </w:rPr>
        <w:t>o charakterze uszczelniającym</w:t>
      </w:r>
      <w:r w:rsidRPr="00EF12E7">
        <w:rPr>
          <w:rFonts w:ascii="Times New Roman" w:eastAsia="Calibri" w:hAnsi="Times New Roman" w:cs="Times New Roman"/>
          <w:bCs/>
          <w:iCs/>
          <w:sz w:val="24"/>
          <w:szCs w:val="24"/>
        </w:rPr>
        <w:t xml:space="preserve"> należy zaliczyć regulacje dotyczące:</w:t>
      </w:r>
    </w:p>
    <w:p w14:paraId="39D7FF60" w14:textId="77777777" w:rsidR="00EF12E7" w:rsidRPr="0027548A" w:rsidRDefault="00EF12E7" w:rsidP="0081594C">
      <w:pPr>
        <w:pStyle w:val="Akapitzlist"/>
        <w:numPr>
          <w:ilvl w:val="0"/>
          <w:numId w:val="60"/>
        </w:numPr>
        <w:spacing w:after="120" w:line="360" w:lineRule="auto"/>
        <w:ind w:left="851"/>
        <w:jc w:val="both"/>
        <w:rPr>
          <w:rFonts w:ascii="Times New Roman" w:hAnsi="Times New Roman" w:cs="Times New Roman"/>
          <w:sz w:val="24"/>
          <w:szCs w:val="24"/>
        </w:rPr>
      </w:pPr>
      <w:r w:rsidRPr="006946D4">
        <w:rPr>
          <w:rFonts w:ascii="Times New Roman" w:eastAsia="Calibri" w:hAnsi="Times New Roman" w:cs="Times New Roman"/>
          <w:bCs/>
          <w:iCs/>
          <w:sz w:val="24"/>
          <w:szCs w:val="24"/>
        </w:rPr>
        <w:t>doprecyzowani</w:t>
      </w:r>
      <w:r>
        <w:rPr>
          <w:rFonts w:ascii="Times New Roman" w:eastAsia="Calibri" w:hAnsi="Times New Roman" w:cs="Times New Roman"/>
          <w:bCs/>
          <w:iCs/>
          <w:sz w:val="24"/>
          <w:szCs w:val="24"/>
        </w:rPr>
        <w:t>a</w:t>
      </w:r>
      <w:r w:rsidRPr="006946D4">
        <w:rPr>
          <w:rFonts w:ascii="Times New Roman" w:eastAsia="Calibri" w:hAnsi="Times New Roman" w:cs="Times New Roman"/>
          <w:bCs/>
          <w:iCs/>
          <w:sz w:val="24"/>
          <w:szCs w:val="24"/>
        </w:rPr>
        <w:t xml:space="preserve"> regulacji określającej skutki podatkowe </w:t>
      </w:r>
      <w:r w:rsidRPr="006946D4">
        <w:rPr>
          <w:rFonts w:ascii="Times New Roman" w:eastAsia="Calibri" w:hAnsi="Times New Roman" w:cs="Times New Roman"/>
          <w:bCs/>
          <w:i/>
          <w:iCs/>
          <w:sz w:val="24"/>
          <w:szCs w:val="24"/>
        </w:rPr>
        <w:t xml:space="preserve">datio in solutum </w:t>
      </w:r>
      <w:r w:rsidRPr="006946D4">
        <w:rPr>
          <w:rFonts w:ascii="Times New Roman" w:eastAsia="Calibri" w:hAnsi="Times New Roman" w:cs="Times New Roman"/>
          <w:bCs/>
          <w:iCs/>
          <w:sz w:val="24"/>
          <w:szCs w:val="24"/>
        </w:rPr>
        <w:t>(zmiana w ustawie o PIT),</w:t>
      </w:r>
    </w:p>
    <w:p w14:paraId="08B886E2" w14:textId="77777777" w:rsidR="00EF12E7" w:rsidRPr="00AF227E" w:rsidRDefault="00EF12E7" w:rsidP="00EF12E7">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Pr>
          <w:rFonts w:ascii="Times New Roman" w:hAnsi="Times New Roman" w:cs="Times New Roman"/>
          <w:sz w:val="24"/>
          <w:szCs w:val="24"/>
        </w:rPr>
        <w:t xml:space="preserve">określenia </w:t>
      </w:r>
      <w:r w:rsidRPr="0027548A">
        <w:rPr>
          <w:rFonts w:ascii="Times New Roman" w:hAnsi="Times New Roman" w:cs="Times New Roman"/>
          <w:sz w:val="24"/>
          <w:szCs w:val="24"/>
        </w:rPr>
        <w:t xml:space="preserve">wysokości kosztów uzyskania przychodów w przypadku odpłatnego zbycia udziałów (akcji) spółki będącej podatnikiem CIT powstałej z przekształcenia innej spółki będącej takim podatnikiem (zmiany w ustawie o PIT i ustawie o CIT), </w:t>
      </w:r>
    </w:p>
    <w:p w14:paraId="2A1B3BAF" w14:textId="33EF8D5F" w:rsidR="00EF12E7" w:rsidRPr="0033234C" w:rsidRDefault="00EF12E7" w:rsidP="00EF12E7">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u</w:t>
      </w:r>
      <w:r w:rsidRPr="00255E09">
        <w:rPr>
          <w:rFonts w:ascii="Times New Roman" w:eastAsia="Calibri" w:hAnsi="Times New Roman" w:cs="Times New Roman"/>
          <w:bCs/>
          <w:iCs/>
          <w:sz w:val="24"/>
          <w:szCs w:val="24"/>
        </w:rPr>
        <w:t>regulowani</w:t>
      </w:r>
      <w:r>
        <w:rPr>
          <w:rFonts w:ascii="Times New Roman" w:eastAsia="Calibri" w:hAnsi="Times New Roman" w:cs="Times New Roman"/>
          <w:bCs/>
          <w:iCs/>
          <w:sz w:val="24"/>
          <w:szCs w:val="24"/>
        </w:rPr>
        <w:t>a</w:t>
      </w:r>
      <w:r w:rsidRPr="00255E09">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(doprecyzowania) </w:t>
      </w:r>
      <w:r w:rsidRPr="00255E09">
        <w:rPr>
          <w:rFonts w:ascii="Times New Roman" w:eastAsia="Calibri" w:hAnsi="Times New Roman" w:cs="Times New Roman"/>
          <w:bCs/>
          <w:iCs/>
          <w:sz w:val="24"/>
          <w:szCs w:val="24"/>
        </w:rPr>
        <w:t>zasad ustalania dochodu z umorzenia udziałów (akcji) lub ze zmniejszenia ich wartości w przypadku, gdy nie dochodzi do faktycznego unicestwienia istniejących udziałów (akcji)</w:t>
      </w:r>
      <w:r>
        <w:rPr>
          <w:rFonts w:ascii="Times New Roman" w:eastAsia="Calibri" w:hAnsi="Times New Roman" w:cs="Times New Roman"/>
          <w:bCs/>
          <w:iCs/>
          <w:sz w:val="24"/>
          <w:szCs w:val="24"/>
        </w:rPr>
        <w:t xml:space="preserve"> (zmiana w ustawie o PIT i ustawie o CIT),</w:t>
      </w:r>
      <w:r w:rsidRPr="00276119">
        <w:rPr>
          <w:rFonts w:ascii="Times New Roman" w:hAnsi="Times New Roman" w:cs="Times New Roman"/>
          <w:sz w:val="24"/>
          <w:szCs w:val="24"/>
        </w:rPr>
        <w:t xml:space="preserve"> </w:t>
      </w:r>
    </w:p>
    <w:p w14:paraId="71CD6929" w14:textId="5F6233A5" w:rsidR="00EF12E7" w:rsidRPr="00934733" w:rsidRDefault="00EF12E7" w:rsidP="00EF12E7">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sidRPr="00AF313A">
        <w:rPr>
          <w:rFonts w:ascii="Times New Roman" w:hAnsi="Times New Roman" w:cs="Times New Roman"/>
          <w:sz w:val="24"/>
          <w:szCs w:val="24"/>
        </w:rPr>
        <w:t>wyłączeni</w:t>
      </w:r>
      <w:r>
        <w:rPr>
          <w:rFonts w:ascii="Times New Roman" w:hAnsi="Times New Roman" w:cs="Times New Roman"/>
          <w:sz w:val="24"/>
          <w:szCs w:val="24"/>
        </w:rPr>
        <w:t>a</w:t>
      </w:r>
      <w:r w:rsidRPr="00AF313A">
        <w:rPr>
          <w:rFonts w:ascii="Times New Roman" w:hAnsi="Times New Roman" w:cs="Times New Roman"/>
          <w:sz w:val="24"/>
          <w:szCs w:val="24"/>
        </w:rPr>
        <w:t xml:space="preserve"> </w:t>
      </w:r>
      <w:r w:rsidRPr="00B16CFA">
        <w:rPr>
          <w:rFonts w:ascii="Times New Roman" w:eastAsia="Calibri" w:hAnsi="Times New Roman" w:cs="Times New Roman"/>
          <w:bCs/>
          <w:iCs/>
          <w:sz w:val="24"/>
          <w:szCs w:val="24"/>
        </w:rPr>
        <w:t>możliwości amortyzacji wartości firmy powstającej</w:t>
      </w:r>
      <w:r w:rsidRPr="00AF313A">
        <w:rPr>
          <w:rFonts w:ascii="Times New Roman" w:hAnsi="Times New Roman" w:cs="Times New Roman"/>
          <w:sz w:val="24"/>
          <w:szCs w:val="24"/>
        </w:rPr>
        <w:t xml:space="preserve"> </w:t>
      </w:r>
      <w:r w:rsidRPr="00B16CFA">
        <w:rPr>
          <w:rFonts w:ascii="Times New Roman" w:eastAsia="Calibri" w:hAnsi="Times New Roman" w:cs="Times New Roman"/>
          <w:bCs/>
          <w:iCs/>
          <w:sz w:val="24"/>
          <w:szCs w:val="24"/>
        </w:rPr>
        <w:t>na skutek przyjęcia</w:t>
      </w:r>
      <w:r>
        <w:rPr>
          <w:rFonts w:ascii="Times New Roman" w:eastAsia="Calibri" w:hAnsi="Times New Roman" w:cs="Times New Roman"/>
          <w:bCs/>
          <w:iCs/>
          <w:sz w:val="24"/>
          <w:szCs w:val="24"/>
        </w:rPr>
        <w:t xml:space="preserve"> przedsiębiorstwa lub jego zorganizowanej części (ZCP) </w:t>
      </w:r>
      <w:r w:rsidRPr="00B16CFA">
        <w:rPr>
          <w:rFonts w:ascii="Times New Roman" w:eastAsia="Calibri" w:hAnsi="Times New Roman" w:cs="Times New Roman"/>
          <w:bCs/>
          <w:iCs/>
          <w:sz w:val="24"/>
          <w:szCs w:val="24"/>
        </w:rPr>
        <w:t>do odpłatnego korzystania</w:t>
      </w:r>
      <w:r>
        <w:rPr>
          <w:rFonts w:ascii="Times New Roman" w:eastAsia="Calibri" w:hAnsi="Times New Roman" w:cs="Times New Roman"/>
          <w:bCs/>
          <w:iCs/>
          <w:sz w:val="24"/>
          <w:szCs w:val="24"/>
        </w:rPr>
        <w:t xml:space="preserve"> w ramach leasingu finansowego (</w:t>
      </w:r>
      <w:r>
        <w:rPr>
          <w:rFonts w:ascii="Times New Roman" w:hAnsi="Times New Roman" w:cs="Times New Roman"/>
          <w:sz w:val="24"/>
          <w:szCs w:val="24"/>
        </w:rPr>
        <w:t>zmiany w ustawie o PIT i ustawie o CIT),</w:t>
      </w:r>
    </w:p>
    <w:p w14:paraId="55642FC2" w14:textId="0C1E2B48" w:rsidR="00EF12E7" w:rsidRPr="00934733" w:rsidRDefault="00EF12E7" w:rsidP="00EF12E7">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ograniczenia wstecznej zmiany stawek amortyzacyjnych (</w:t>
      </w:r>
      <w:r>
        <w:rPr>
          <w:rFonts w:ascii="Times New Roman" w:hAnsi="Times New Roman" w:cs="Times New Roman"/>
          <w:sz w:val="24"/>
          <w:szCs w:val="24"/>
        </w:rPr>
        <w:t>zmiany w ustawie o PIT i ustawie o CIT),</w:t>
      </w:r>
    </w:p>
    <w:p w14:paraId="6807A0DC" w14:textId="77777777" w:rsidR="003A0962" w:rsidRDefault="00EF12E7" w:rsidP="00EF12E7">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sidRPr="00B16CFA">
        <w:rPr>
          <w:rFonts w:ascii="Times New Roman" w:eastAsia="Calibri" w:hAnsi="Times New Roman" w:cs="Times New Roman"/>
          <w:bCs/>
          <w:iCs/>
          <w:sz w:val="24"/>
          <w:szCs w:val="24"/>
        </w:rPr>
        <w:t>podatku od przerzuconych dochodów</w:t>
      </w:r>
      <w:r>
        <w:rPr>
          <w:rFonts w:ascii="Times New Roman" w:eastAsia="Calibri" w:hAnsi="Times New Roman" w:cs="Times New Roman"/>
          <w:bCs/>
          <w:iCs/>
          <w:sz w:val="24"/>
          <w:szCs w:val="24"/>
        </w:rPr>
        <w:t xml:space="preserve"> (zmiana w ustawie o CIT)</w:t>
      </w:r>
      <w:r w:rsidR="003A0962">
        <w:rPr>
          <w:rFonts w:ascii="Times New Roman" w:eastAsia="Calibri" w:hAnsi="Times New Roman" w:cs="Times New Roman"/>
          <w:bCs/>
          <w:iCs/>
          <w:sz w:val="24"/>
          <w:szCs w:val="24"/>
        </w:rPr>
        <w:t>,</w:t>
      </w:r>
    </w:p>
    <w:p w14:paraId="7568FD1A" w14:textId="58817211" w:rsidR="003A0962" w:rsidRDefault="003A0962" w:rsidP="00EF12E7">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sidRPr="003A0962">
        <w:rPr>
          <w:rFonts w:ascii="Times New Roman" w:eastAsia="Calibri" w:hAnsi="Times New Roman" w:cs="Times New Roman"/>
          <w:bCs/>
          <w:iCs/>
          <w:sz w:val="24"/>
          <w:szCs w:val="24"/>
        </w:rPr>
        <w:t>daniny solidarnościowej w zakresie objęcia nią dochodów z tzw. IP Box</w:t>
      </w:r>
      <w:r w:rsidR="00B152C9">
        <w:rPr>
          <w:rFonts w:ascii="Times New Roman" w:eastAsia="Calibri" w:hAnsi="Times New Roman" w:cs="Times New Roman"/>
          <w:bCs/>
          <w:iCs/>
          <w:sz w:val="24"/>
          <w:szCs w:val="24"/>
        </w:rPr>
        <w:t>,</w:t>
      </w:r>
    </w:p>
    <w:p w14:paraId="7C80B353" w14:textId="0A511CC7" w:rsidR="003A0962" w:rsidRPr="003A0962" w:rsidRDefault="003A0962" w:rsidP="003A0962">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opodatkowani</w:t>
      </w:r>
      <w:r w:rsidR="00254E76">
        <w:rPr>
          <w:rFonts w:ascii="Times New Roman" w:eastAsia="Calibri" w:hAnsi="Times New Roman" w:cs="Times New Roman"/>
          <w:bCs/>
          <w:iCs/>
          <w:sz w:val="24"/>
          <w:szCs w:val="24"/>
        </w:rPr>
        <w:t>a</w:t>
      </w:r>
      <w:r>
        <w:rPr>
          <w:rFonts w:ascii="Times New Roman" w:eastAsia="Calibri" w:hAnsi="Times New Roman" w:cs="Times New Roman"/>
          <w:bCs/>
          <w:iCs/>
          <w:sz w:val="24"/>
          <w:szCs w:val="24"/>
        </w:rPr>
        <w:t xml:space="preserve"> stawką 17</w:t>
      </w:r>
      <w:r w:rsidR="00B152C9">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 </w:t>
      </w:r>
      <w:r w:rsidRPr="003A0962">
        <w:rPr>
          <w:rFonts w:ascii="Times New Roman" w:eastAsia="Calibri" w:hAnsi="Times New Roman" w:cs="Times New Roman"/>
          <w:bCs/>
          <w:iCs/>
          <w:sz w:val="24"/>
          <w:szCs w:val="24"/>
        </w:rPr>
        <w:t xml:space="preserve">przychodów z tytułu umów najmu, dzierżawy własności intelektualnej i podobnych praw (z wyłączeniem prac chronionych prawem autorskim) zawartych z podmiotem powiązanym z podatnikiem opłacającym ryczałt od przychodów ewidencjonowanych </w:t>
      </w:r>
      <w:bookmarkStart w:id="2" w:name="_Hlk221790220"/>
      <w:r w:rsidRPr="003A0962">
        <w:rPr>
          <w:rFonts w:ascii="Times New Roman" w:eastAsia="Calibri" w:hAnsi="Times New Roman" w:cs="Times New Roman"/>
          <w:bCs/>
          <w:iCs/>
          <w:sz w:val="24"/>
          <w:szCs w:val="24"/>
        </w:rPr>
        <w:t>(zmiana w ustawie o ryczałcie)</w:t>
      </w:r>
      <w:bookmarkEnd w:id="2"/>
      <w:r w:rsidRPr="003A0962">
        <w:rPr>
          <w:rFonts w:ascii="Times New Roman" w:eastAsia="Calibri" w:hAnsi="Times New Roman" w:cs="Times New Roman"/>
          <w:bCs/>
          <w:iCs/>
          <w:sz w:val="24"/>
          <w:szCs w:val="24"/>
        </w:rPr>
        <w:t>,</w:t>
      </w:r>
    </w:p>
    <w:p w14:paraId="596C5AD8" w14:textId="5D5A5AD0" w:rsidR="00EF12E7" w:rsidRPr="00934733" w:rsidRDefault="003A0962" w:rsidP="003A0962">
      <w:pPr>
        <w:pStyle w:val="Akapitzlist"/>
        <w:numPr>
          <w:ilvl w:val="0"/>
          <w:numId w:val="52"/>
        </w:numPr>
        <w:spacing w:before="120" w:after="120" w:line="360" w:lineRule="auto"/>
        <w:ind w:left="851"/>
        <w:jc w:val="both"/>
        <w:rPr>
          <w:rFonts w:ascii="Times New Roman" w:eastAsia="Calibri" w:hAnsi="Times New Roman" w:cs="Times New Roman"/>
          <w:bCs/>
          <w:iCs/>
          <w:sz w:val="24"/>
          <w:szCs w:val="24"/>
        </w:rPr>
      </w:pPr>
      <w:r w:rsidRPr="003A0962">
        <w:rPr>
          <w:rFonts w:ascii="Times New Roman" w:eastAsia="Calibri" w:hAnsi="Times New Roman" w:cs="Times New Roman"/>
          <w:bCs/>
          <w:iCs/>
          <w:sz w:val="24"/>
          <w:szCs w:val="24"/>
        </w:rPr>
        <w:t>opodatkowania stawką 15</w:t>
      </w:r>
      <w:r w:rsidR="00B152C9">
        <w:rPr>
          <w:rFonts w:ascii="Times New Roman" w:eastAsia="Calibri" w:hAnsi="Times New Roman" w:cs="Times New Roman"/>
          <w:bCs/>
          <w:iCs/>
          <w:sz w:val="24"/>
          <w:szCs w:val="24"/>
        </w:rPr>
        <w:t xml:space="preserve"> </w:t>
      </w:r>
      <w:r w:rsidRPr="003A0962">
        <w:rPr>
          <w:rFonts w:ascii="Times New Roman" w:eastAsia="Calibri" w:hAnsi="Times New Roman" w:cs="Times New Roman"/>
          <w:bCs/>
          <w:iCs/>
          <w:sz w:val="24"/>
          <w:szCs w:val="24"/>
        </w:rPr>
        <w:t>% przychodów z najmu powyżej 100 tys. zł (prywatnego, jak i w ramach działalności gospodarczej) świadczonego na rzecz podmiotów powiązanych (zmiana w ustawie o ryczałcie</w:t>
      </w:r>
      <w:r w:rsidR="004E1D7B">
        <w:rPr>
          <w:rFonts w:ascii="Times New Roman" w:eastAsia="Calibri" w:hAnsi="Times New Roman" w:cs="Times New Roman"/>
          <w:bCs/>
          <w:iCs/>
          <w:sz w:val="24"/>
          <w:szCs w:val="24"/>
        </w:rPr>
        <w:t>)</w:t>
      </w:r>
      <w:r>
        <w:rPr>
          <w:rFonts w:ascii="Times New Roman" w:eastAsia="Calibri" w:hAnsi="Times New Roman" w:cs="Times New Roman"/>
          <w:bCs/>
          <w:iCs/>
          <w:sz w:val="24"/>
          <w:szCs w:val="24"/>
        </w:rPr>
        <w:t>.</w:t>
      </w:r>
    </w:p>
    <w:p w14:paraId="6AE505F3" w14:textId="659FB7FE" w:rsidR="00C55E12" w:rsidRDefault="00C55E12" w:rsidP="004C172B">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Oprócz ww. </w:t>
      </w:r>
      <w:r w:rsidR="00A65770">
        <w:rPr>
          <w:rFonts w:ascii="Times New Roman" w:eastAsia="Calibri" w:hAnsi="Times New Roman" w:cs="Times New Roman"/>
          <w:bCs/>
          <w:iCs/>
          <w:sz w:val="24"/>
          <w:szCs w:val="24"/>
        </w:rPr>
        <w:t>regulacji</w:t>
      </w:r>
      <w:r>
        <w:rPr>
          <w:rFonts w:ascii="Times New Roman" w:eastAsia="Calibri" w:hAnsi="Times New Roman" w:cs="Times New Roman"/>
          <w:bCs/>
          <w:iCs/>
          <w:sz w:val="24"/>
          <w:szCs w:val="24"/>
        </w:rPr>
        <w:t xml:space="preserve"> projekt zawiera również </w:t>
      </w:r>
      <w:r w:rsidR="00A65770">
        <w:rPr>
          <w:rFonts w:ascii="Times New Roman" w:eastAsia="Calibri" w:hAnsi="Times New Roman" w:cs="Times New Roman"/>
          <w:bCs/>
          <w:iCs/>
          <w:sz w:val="24"/>
          <w:szCs w:val="24"/>
        </w:rPr>
        <w:t>zmiany polegające na</w:t>
      </w:r>
      <w:r>
        <w:rPr>
          <w:rFonts w:ascii="Times New Roman" w:eastAsia="Calibri" w:hAnsi="Times New Roman" w:cs="Times New Roman"/>
          <w:bCs/>
          <w:iCs/>
          <w:sz w:val="24"/>
          <w:szCs w:val="24"/>
        </w:rPr>
        <w:t>:</w:t>
      </w:r>
    </w:p>
    <w:p w14:paraId="646C6FAE" w14:textId="29A740F1" w:rsidR="001A3146" w:rsidRPr="00D26479" w:rsidRDefault="00A65770" w:rsidP="00D26479">
      <w:pPr>
        <w:pStyle w:val="Akapitzlist"/>
        <w:numPr>
          <w:ilvl w:val="0"/>
          <w:numId w:val="61"/>
        </w:numPr>
        <w:spacing w:after="120" w:line="360" w:lineRule="auto"/>
        <w:ind w:left="851"/>
        <w:jc w:val="both"/>
        <w:rPr>
          <w:rFonts w:ascii="Times New Roman" w:eastAsia="Calibri" w:hAnsi="Times New Roman" w:cs="Times New Roman"/>
          <w:bCs/>
          <w:iCs/>
          <w:sz w:val="24"/>
          <w:szCs w:val="24"/>
        </w:rPr>
      </w:pPr>
      <w:r w:rsidRPr="0027548A">
        <w:rPr>
          <w:rFonts w:ascii="Times New Roman" w:eastAsia="Calibri" w:hAnsi="Times New Roman" w:cs="Times New Roman"/>
          <w:bCs/>
          <w:iCs/>
          <w:sz w:val="24"/>
          <w:szCs w:val="24"/>
        </w:rPr>
        <w:lastRenderedPageBreak/>
        <w:t xml:space="preserve">wyłączeniu z zakresu </w:t>
      </w:r>
      <w:r w:rsidRPr="00A65770">
        <w:rPr>
          <w:rFonts w:ascii="Times New Roman" w:eastAsia="Calibri" w:hAnsi="Times New Roman" w:cs="Times New Roman"/>
          <w:bCs/>
          <w:iCs/>
          <w:sz w:val="24"/>
          <w:szCs w:val="24"/>
        </w:rPr>
        <w:t>ustawy</w:t>
      </w:r>
      <w:r w:rsidRPr="0027548A">
        <w:rPr>
          <w:rFonts w:ascii="Times New Roman" w:eastAsia="Calibri" w:hAnsi="Times New Roman" w:cs="Times New Roman"/>
          <w:bCs/>
          <w:iCs/>
          <w:sz w:val="24"/>
          <w:szCs w:val="24"/>
        </w:rPr>
        <w:t xml:space="preserve"> o PIT świadczeń na zaspokojenie potrzeb rodziny </w:t>
      </w:r>
      <w:r w:rsidRPr="00A65770">
        <w:rPr>
          <w:rFonts w:ascii="Times New Roman" w:eastAsia="Calibri" w:hAnsi="Times New Roman" w:cs="Times New Roman"/>
          <w:bCs/>
          <w:iCs/>
          <w:sz w:val="24"/>
          <w:szCs w:val="24"/>
        </w:rPr>
        <w:t>niezależnie</w:t>
      </w:r>
      <w:r w:rsidRPr="0027548A">
        <w:rPr>
          <w:rFonts w:ascii="Times New Roman" w:eastAsia="Calibri" w:hAnsi="Times New Roman" w:cs="Times New Roman"/>
          <w:bCs/>
          <w:iCs/>
          <w:sz w:val="24"/>
          <w:szCs w:val="24"/>
        </w:rPr>
        <w:t xml:space="preserve"> od istniejącego mi</w:t>
      </w:r>
      <w:r w:rsidR="00F124EB">
        <w:rPr>
          <w:rFonts w:ascii="Times New Roman" w:eastAsia="Calibri" w:hAnsi="Times New Roman" w:cs="Times New Roman"/>
          <w:bCs/>
          <w:iCs/>
          <w:sz w:val="24"/>
          <w:szCs w:val="24"/>
        </w:rPr>
        <w:t>ę</w:t>
      </w:r>
      <w:r w:rsidRPr="0027548A">
        <w:rPr>
          <w:rFonts w:ascii="Times New Roman" w:eastAsia="Calibri" w:hAnsi="Times New Roman" w:cs="Times New Roman"/>
          <w:bCs/>
          <w:iCs/>
          <w:sz w:val="24"/>
          <w:szCs w:val="24"/>
        </w:rPr>
        <w:t>dzy małżonkami ustroju małżeńskiego</w:t>
      </w:r>
      <w:r>
        <w:rPr>
          <w:rFonts w:ascii="Times New Roman" w:eastAsia="Calibri" w:hAnsi="Times New Roman" w:cs="Times New Roman"/>
          <w:bCs/>
          <w:iCs/>
          <w:sz w:val="24"/>
          <w:szCs w:val="24"/>
        </w:rPr>
        <w:t xml:space="preserve"> (zmiana w</w:t>
      </w:r>
      <w:r w:rsidR="00AB3513">
        <w:rPr>
          <w:rFonts w:ascii="Times New Roman" w:eastAsia="Calibri" w:hAnsi="Times New Roman" w:cs="Times New Roman"/>
          <w:bCs/>
          <w:iCs/>
          <w:sz w:val="24"/>
          <w:szCs w:val="24"/>
        </w:rPr>
        <w:t> </w:t>
      </w:r>
      <w:r>
        <w:rPr>
          <w:rFonts w:ascii="Times New Roman" w:eastAsia="Calibri" w:hAnsi="Times New Roman" w:cs="Times New Roman"/>
          <w:bCs/>
          <w:iCs/>
          <w:sz w:val="24"/>
          <w:szCs w:val="24"/>
        </w:rPr>
        <w:t>ustawie o P</w:t>
      </w:r>
      <w:r w:rsidR="00AB3513">
        <w:rPr>
          <w:rFonts w:ascii="Times New Roman" w:eastAsia="Calibri" w:hAnsi="Times New Roman" w:cs="Times New Roman"/>
          <w:bCs/>
          <w:iCs/>
          <w:sz w:val="24"/>
          <w:szCs w:val="24"/>
        </w:rPr>
        <w:t>I</w:t>
      </w:r>
      <w:r>
        <w:rPr>
          <w:rFonts w:ascii="Times New Roman" w:eastAsia="Calibri" w:hAnsi="Times New Roman" w:cs="Times New Roman"/>
          <w:bCs/>
          <w:iCs/>
          <w:sz w:val="24"/>
          <w:szCs w:val="24"/>
        </w:rPr>
        <w:t>T)</w:t>
      </w:r>
      <w:r w:rsidRPr="0027548A">
        <w:rPr>
          <w:rFonts w:ascii="Times New Roman" w:eastAsia="Calibri" w:hAnsi="Times New Roman" w:cs="Times New Roman"/>
          <w:bCs/>
          <w:iCs/>
          <w:sz w:val="24"/>
          <w:szCs w:val="24"/>
        </w:rPr>
        <w:t>,</w:t>
      </w:r>
    </w:p>
    <w:p w14:paraId="725610BC" w14:textId="09E9343E" w:rsidR="00616F14" w:rsidRDefault="00AB3513" w:rsidP="0027548A">
      <w:pPr>
        <w:pStyle w:val="Akapitzlist"/>
        <w:numPr>
          <w:ilvl w:val="0"/>
          <w:numId w:val="61"/>
        </w:numPr>
        <w:spacing w:after="120" w:line="360" w:lineRule="auto"/>
        <w:ind w:left="85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poszerzeniu zakresu</w:t>
      </w:r>
      <w:r w:rsidR="00616F14">
        <w:rPr>
          <w:rFonts w:ascii="Times New Roman" w:eastAsia="Calibri" w:hAnsi="Times New Roman" w:cs="Times New Roman"/>
          <w:bCs/>
          <w:iCs/>
          <w:sz w:val="24"/>
          <w:szCs w:val="24"/>
        </w:rPr>
        <w:t xml:space="preserve"> zwolnienia przedmiotowego dla organizacji pozarządowych </w:t>
      </w:r>
      <w:r>
        <w:rPr>
          <w:rFonts w:ascii="Times New Roman" w:eastAsia="Calibri" w:hAnsi="Times New Roman" w:cs="Times New Roman"/>
          <w:bCs/>
          <w:iCs/>
          <w:sz w:val="24"/>
          <w:szCs w:val="24"/>
        </w:rPr>
        <w:t>(</w:t>
      </w:r>
      <w:r w:rsidR="00616F14">
        <w:rPr>
          <w:rFonts w:ascii="Times New Roman" w:eastAsia="Calibri" w:hAnsi="Times New Roman" w:cs="Times New Roman"/>
          <w:bCs/>
          <w:iCs/>
          <w:sz w:val="24"/>
          <w:szCs w:val="24"/>
        </w:rPr>
        <w:t>NGO</w:t>
      </w:r>
      <w:r>
        <w:rPr>
          <w:rFonts w:ascii="Times New Roman" w:eastAsia="Calibri" w:hAnsi="Times New Roman" w:cs="Times New Roman"/>
          <w:bCs/>
          <w:iCs/>
          <w:sz w:val="24"/>
          <w:szCs w:val="24"/>
        </w:rPr>
        <w:t>)</w:t>
      </w:r>
      <w:r w:rsidR="00616F14">
        <w:rPr>
          <w:rFonts w:ascii="Times New Roman" w:eastAsia="Calibri" w:hAnsi="Times New Roman" w:cs="Times New Roman"/>
          <w:bCs/>
          <w:iCs/>
          <w:sz w:val="24"/>
          <w:szCs w:val="24"/>
        </w:rPr>
        <w:t xml:space="preserve"> (zmiana w ustawie o CIT),</w:t>
      </w:r>
    </w:p>
    <w:p w14:paraId="600FE12C" w14:textId="2CBF417F" w:rsidR="00481F21" w:rsidRDefault="00AB3513" w:rsidP="007C66F3">
      <w:pPr>
        <w:pStyle w:val="Akapitzlist"/>
        <w:numPr>
          <w:ilvl w:val="0"/>
          <w:numId w:val="61"/>
        </w:numPr>
        <w:spacing w:after="120" w:line="360" w:lineRule="auto"/>
        <w:ind w:left="851"/>
        <w:jc w:val="both"/>
        <w:rPr>
          <w:rFonts w:ascii="Times New Roman" w:eastAsia="Calibri" w:hAnsi="Times New Roman" w:cs="Times New Roman"/>
          <w:bCs/>
          <w:iCs/>
          <w:sz w:val="24"/>
          <w:szCs w:val="24"/>
        </w:rPr>
      </w:pPr>
      <w:bookmarkStart w:id="3" w:name="_Hlk221706821"/>
      <w:r>
        <w:rPr>
          <w:rFonts w:ascii="Times New Roman" w:eastAsia="Calibri" w:hAnsi="Times New Roman" w:cs="Times New Roman"/>
          <w:bCs/>
          <w:iCs/>
          <w:sz w:val="24"/>
          <w:szCs w:val="24"/>
        </w:rPr>
        <w:t xml:space="preserve">modyfikacji sposobu ustalania poziomu emisyjności </w:t>
      </w:r>
      <w:r w:rsidRPr="007802DF">
        <w:rPr>
          <w:rFonts w:ascii="Times New Roman" w:eastAsia="Calibri" w:hAnsi="Times New Roman" w:cs="Times New Roman"/>
          <w:bCs/>
          <w:iCs/>
          <w:sz w:val="24"/>
          <w:szCs w:val="24"/>
        </w:rPr>
        <w:t>CO</w:t>
      </w:r>
      <w:r w:rsidRPr="007802DF">
        <w:rPr>
          <w:rFonts w:ascii="Times New Roman" w:eastAsia="Calibri" w:hAnsi="Times New Roman" w:cs="Times New Roman"/>
          <w:bCs/>
          <w:iCs/>
          <w:sz w:val="24"/>
          <w:szCs w:val="24"/>
          <w:vertAlign w:val="subscript"/>
        </w:rPr>
        <w:t>2</w:t>
      </w:r>
      <w:r>
        <w:rPr>
          <w:rFonts w:ascii="Times New Roman" w:eastAsia="Calibri" w:hAnsi="Times New Roman" w:cs="Times New Roman"/>
          <w:bCs/>
          <w:iCs/>
          <w:sz w:val="24"/>
          <w:szCs w:val="24"/>
        </w:rPr>
        <w:t xml:space="preserve"> silnika</w:t>
      </w:r>
      <w:r w:rsidR="00207F5B">
        <w:rPr>
          <w:rFonts w:ascii="Times New Roman" w:eastAsia="Calibri" w:hAnsi="Times New Roman" w:cs="Times New Roman"/>
          <w:bCs/>
          <w:iCs/>
          <w:sz w:val="24"/>
          <w:szCs w:val="24"/>
        </w:rPr>
        <w:t xml:space="preserve"> spalinowego</w:t>
      </w:r>
      <w:r>
        <w:rPr>
          <w:rFonts w:ascii="Times New Roman" w:eastAsia="Calibri" w:hAnsi="Times New Roman" w:cs="Times New Roman"/>
          <w:bCs/>
          <w:iCs/>
          <w:sz w:val="24"/>
          <w:szCs w:val="24"/>
        </w:rPr>
        <w:t xml:space="preserve"> dla potrzeb określenia limitu o</w:t>
      </w:r>
      <w:r w:rsidRPr="00CB29C1">
        <w:rPr>
          <w:rFonts w:ascii="Times New Roman" w:eastAsia="Calibri" w:hAnsi="Times New Roman" w:cs="Times New Roman"/>
          <w:bCs/>
          <w:iCs/>
          <w:sz w:val="24"/>
          <w:szCs w:val="24"/>
        </w:rPr>
        <w:t>dpisów z tytułu zużycia samochodu osobowego</w:t>
      </w:r>
      <w:r w:rsidR="00481F21">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jakie mogą być zaliczone do kosztów uzyskania przychodów (zmiany w ustawie o PIT i ustawie o CIT), </w:t>
      </w:r>
    </w:p>
    <w:p w14:paraId="4763355E" w14:textId="43FEC6B2" w:rsidR="00A3530E" w:rsidRPr="00793CFC" w:rsidRDefault="00A3530E" w:rsidP="00793CFC">
      <w:pPr>
        <w:pStyle w:val="Akapitzlist"/>
        <w:numPr>
          <w:ilvl w:val="0"/>
          <w:numId w:val="61"/>
        </w:numPr>
        <w:spacing w:after="120" w:line="360" w:lineRule="auto"/>
        <w:ind w:left="851"/>
        <w:jc w:val="both"/>
        <w:rPr>
          <w:rFonts w:ascii="Times New Roman" w:eastAsia="Calibri" w:hAnsi="Times New Roman" w:cs="Times New Roman"/>
          <w:bCs/>
          <w:iCs/>
          <w:sz w:val="24"/>
          <w:szCs w:val="24"/>
        </w:rPr>
      </w:pPr>
      <w:r w:rsidRPr="00793CFC">
        <w:rPr>
          <w:rFonts w:ascii="Times New Roman" w:eastAsia="Calibri" w:hAnsi="Times New Roman" w:cs="Times New Roman"/>
          <w:bCs/>
          <w:iCs/>
          <w:sz w:val="24"/>
          <w:szCs w:val="24"/>
        </w:rPr>
        <w:t>zmianie w przepisach o ryczałcie od dochodów spółek (tzw. estońskim CIT) w zakresie momentu rozpoznania dystrybucji rozdysponowanego dochodu z tytułu zysku netto</w:t>
      </w:r>
      <w:r w:rsidRPr="00793CFC" w:rsidDel="00A3530E">
        <w:rPr>
          <w:rFonts w:ascii="Times New Roman" w:eastAsia="Calibri" w:hAnsi="Times New Roman" w:cs="Times New Roman"/>
          <w:bCs/>
          <w:iCs/>
          <w:sz w:val="24"/>
          <w:szCs w:val="24"/>
        </w:rPr>
        <w:t xml:space="preserve"> </w:t>
      </w:r>
      <w:r w:rsidRPr="00793CFC">
        <w:rPr>
          <w:rFonts w:ascii="Times New Roman" w:eastAsia="Calibri" w:hAnsi="Times New Roman" w:cs="Times New Roman"/>
          <w:bCs/>
          <w:iCs/>
          <w:sz w:val="24"/>
          <w:szCs w:val="24"/>
        </w:rPr>
        <w:t>oraz odpowiednie zmiany w podatku PIT,</w:t>
      </w:r>
    </w:p>
    <w:p w14:paraId="352062E8" w14:textId="36E68CFA" w:rsidR="00A3530E" w:rsidRDefault="00A3530E" w:rsidP="007C66F3">
      <w:pPr>
        <w:pStyle w:val="Akapitzlist"/>
        <w:numPr>
          <w:ilvl w:val="0"/>
          <w:numId w:val="61"/>
        </w:numPr>
        <w:spacing w:after="120" w:line="360" w:lineRule="auto"/>
        <w:ind w:left="85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w</w:t>
      </w:r>
      <w:r w:rsidRPr="00A3530E">
        <w:rPr>
          <w:rFonts w:ascii="Times New Roman" w:eastAsia="Calibri" w:hAnsi="Times New Roman" w:cs="Times New Roman"/>
          <w:bCs/>
          <w:iCs/>
          <w:sz w:val="24"/>
          <w:szCs w:val="24"/>
        </w:rPr>
        <w:t>prowadzeni</w:t>
      </w:r>
      <w:r>
        <w:rPr>
          <w:rFonts w:ascii="Times New Roman" w:eastAsia="Calibri" w:hAnsi="Times New Roman" w:cs="Times New Roman"/>
          <w:bCs/>
          <w:iCs/>
          <w:sz w:val="24"/>
          <w:szCs w:val="24"/>
        </w:rPr>
        <w:t>u</w:t>
      </w:r>
      <w:r w:rsidRPr="00A3530E">
        <w:rPr>
          <w:rFonts w:ascii="Times New Roman" w:eastAsia="Calibri" w:hAnsi="Times New Roman" w:cs="Times New Roman"/>
          <w:bCs/>
          <w:iCs/>
          <w:sz w:val="24"/>
          <w:szCs w:val="24"/>
        </w:rPr>
        <w:t xml:space="preserve"> w ryczałcie od dochodów spółek definicji wydatków niezwiązanych z działalnością gospodarczą</w:t>
      </w:r>
      <w:r>
        <w:rPr>
          <w:rFonts w:ascii="Times New Roman" w:eastAsia="Calibri" w:hAnsi="Times New Roman" w:cs="Times New Roman"/>
          <w:bCs/>
          <w:iCs/>
          <w:sz w:val="24"/>
          <w:szCs w:val="24"/>
        </w:rPr>
        <w:t xml:space="preserve"> (zmiana w ustawie</w:t>
      </w:r>
      <w:r w:rsidR="00481F21">
        <w:rPr>
          <w:rFonts w:ascii="Times New Roman" w:eastAsia="Calibri" w:hAnsi="Times New Roman" w:cs="Times New Roman"/>
          <w:bCs/>
          <w:iCs/>
          <w:sz w:val="24"/>
          <w:szCs w:val="24"/>
        </w:rPr>
        <w:t xml:space="preserve"> o</w:t>
      </w:r>
      <w:r>
        <w:rPr>
          <w:rFonts w:ascii="Times New Roman" w:eastAsia="Calibri" w:hAnsi="Times New Roman" w:cs="Times New Roman"/>
          <w:bCs/>
          <w:iCs/>
          <w:sz w:val="24"/>
          <w:szCs w:val="24"/>
        </w:rPr>
        <w:t xml:space="preserve"> CIT),</w:t>
      </w:r>
    </w:p>
    <w:p w14:paraId="3A02092C" w14:textId="4C763771" w:rsidR="00A3530E" w:rsidRPr="009549D2" w:rsidRDefault="00A3530E" w:rsidP="009549D2">
      <w:pPr>
        <w:pStyle w:val="Akapitzlist"/>
        <w:numPr>
          <w:ilvl w:val="0"/>
          <w:numId w:val="61"/>
        </w:numPr>
        <w:spacing w:after="120" w:line="360" w:lineRule="auto"/>
        <w:ind w:left="851"/>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liberalizacji warunku zatrudnienia w </w:t>
      </w:r>
      <w:r w:rsidRPr="00A3530E">
        <w:rPr>
          <w:rFonts w:ascii="Times New Roman" w:eastAsia="Calibri" w:hAnsi="Times New Roman" w:cs="Times New Roman"/>
          <w:bCs/>
          <w:iCs/>
          <w:sz w:val="24"/>
          <w:szCs w:val="24"/>
        </w:rPr>
        <w:t>ryczałcie od dochodów spółek</w:t>
      </w:r>
      <w:r w:rsidR="00481F21">
        <w:rPr>
          <w:rFonts w:ascii="Times New Roman" w:eastAsia="Calibri" w:hAnsi="Times New Roman" w:cs="Times New Roman"/>
          <w:bCs/>
          <w:iCs/>
          <w:sz w:val="24"/>
          <w:szCs w:val="24"/>
        </w:rPr>
        <w:t xml:space="preserve"> (zmiana w ustawie o CIT)</w:t>
      </w:r>
      <w:r w:rsidR="009549D2">
        <w:rPr>
          <w:rFonts w:ascii="Times New Roman" w:eastAsia="Calibri" w:hAnsi="Times New Roman" w:cs="Times New Roman"/>
          <w:bCs/>
          <w:iCs/>
          <w:sz w:val="24"/>
          <w:szCs w:val="24"/>
        </w:rPr>
        <w:t>,</w:t>
      </w:r>
    </w:p>
    <w:bookmarkEnd w:id="3"/>
    <w:p w14:paraId="52409DC8" w14:textId="02525040" w:rsidR="00616F14" w:rsidRDefault="00616F14" w:rsidP="0027548A">
      <w:pPr>
        <w:pStyle w:val="Akapitzlist"/>
        <w:numPr>
          <w:ilvl w:val="0"/>
          <w:numId w:val="61"/>
        </w:numPr>
        <w:spacing w:after="120" w:line="360" w:lineRule="auto"/>
        <w:ind w:left="851"/>
        <w:jc w:val="both"/>
        <w:rPr>
          <w:rFonts w:ascii="Times New Roman" w:eastAsia="Calibri" w:hAnsi="Times New Roman" w:cs="Times New Roman"/>
          <w:bCs/>
          <w:iCs/>
          <w:sz w:val="24"/>
          <w:szCs w:val="24"/>
        </w:rPr>
      </w:pPr>
      <w:r w:rsidRPr="002C5F9C">
        <w:rPr>
          <w:rFonts w:ascii="Times New Roman" w:eastAsia="Calibri" w:hAnsi="Times New Roman" w:cs="Times New Roman"/>
          <w:bCs/>
          <w:iCs/>
          <w:sz w:val="24"/>
          <w:szCs w:val="24"/>
        </w:rPr>
        <w:t>likwidacji możliwości wyboru opodatkowania ryczałtem od dochodów spółek (tj. tzw. estońskim CIT) w trakcie trwającego roku podatkoweg</w:t>
      </w:r>
      <w:r>
        <w:rPr>
          <w:rFonts w:ascii="Times New Roman" w:eastAsia="Calibri" w:hAnsi="Times New Roman" w:cs="Times New Roman"/>
          <w:bCs/>
          <w:iCs/>
          <w:sz w:val="24"/>
          <w:szCs w:val="24"/>
        </w:rPr>
        <w:t>o</w:t>
      </w:r>
      <w:r w:rsidR="00AB3513">
        <w:rPr>
          <w:rFonts w:ascii="Times New Roman" w:eastAsia="Calibri" w:hAnsi="Times New Roman" w:cs="Times New Roman"/>
          <w:bCs/>
          <w:iCs/>
          <w:sz w:val="24"/>
          <w:szCs w:val="24"/>
        </w:rPr>
        <w:t xml:space="preserve"> (zmiana w ustawie o CIT)</w:t>
      </w:r>
      <w:r>
        <w:rPr>
          <w:rFonts w:ascii="Times New Roman" w:eastAsia="Calibri" w:hAnsi="Times New Roman" w:cs="Times New Roman"/>
          <w:bCs/>
          <w:iCs/>
          <w:sz w:val="24"/>
          <w:szCs w:val="24"/>
        </w:rPr>
        <w:t xml:space="preserve">, </w:t>
      </w:r>
    </w:p>
    <w:p w14:paraId="460C021B" w14:textId="4DB1B76E" w:rsidR="00481F21" w:rsidRDefault="001E6BE9" w:rsidP="004D2A44">
      <w:pPr>
        <w:pStyle w:val="Akapitzlist"/>
        <w:numPr>
          <w:ilvl w:val="0"/>
          <w:numId w:val="61"/>
        </w:numPr>
        <w:spacing w:after="240" w:line="360" w:lineRule="auto"/>
        <w:ind w:left="850" w:hanging="357"/>
        <w:contextualSpacing w:val="0"/>
        <w:jc w:val="both"/>
        <w:rPr>
          <w:rFonts w:ascii="Times New Roman" w:eastAsia="Calibri" w:hAnsi="Times New Roman" w:cs="Times New Roman"/>
          <w:bCs/>
          <w:iCs/>
          <w:sz w:val="24"/>
          <w:szCs w:val="24"/>
        </w:rPr>
      </w:pPr>
      <w:r w:rsidRPr="00481F21">
        <w:rPr>
          <w:rFonts w:ascii="Times New Roman" w:eastAsia="Calibri" w:hAnsi="Times New Roman" w:cs="Times New Roman"/>
          <w:bCs/>
          <w:iCs/>
          <w:sz w:val="24"/>
          <w:szCs w:val="24"/>
        </w:rPr>
        <w:t>wprowadzeniu szczególnej regulacji umożliwiającej uznanie, dla celów stosowania art. 28j ust. 5 ustawy o CIT, że warunek sporządzenia sprawozdania finansowego zgodnie z przepisami o rachunkowości został spełniony również w przypadku jego sporządzenia po terminie albo uprzedniego braku jego sporządzenia, pod warunkiem uzupełnienia braków formalnych w terminie określonym w ustawie</w:t>
      </w:r>
      <w:r w:rsidR="00481F21">
        <w:rPr>
          <w:rFonts w:ascii="Times New Roman" w:eastAsia="Calibri" w:hAnsi="Times New Roman" w:cs="Times New Roman"/>
          <w:bCs/>
          <w:iCs/>
          <w:sz w:val="24"/>
          <w:szCs w:val="24"/>
        </w:rPr>
        <w:t xml:space="preserve"> (zmiana w ustawie o CIT)</w:t>
      </w:r>
      <w:r w:rsidR="0086554B">
        <w:rPr>
          <w:rFonts w:ascii="Times New Roman" w:eastAsia="Calibri" w:hAnsi="Times New Roman" w:cs="Times New Roman"/>
          <w:bCs/>
          <w:iCs/>
          <w:sz w:val="24"/>
          <w:szCs w:val="24"/>
        </w:rPr>
        <w:t>.</w:t>
      </w:r>
    </w:p>
    <w:p w14:paraId="141E0A88" w14:textId="1A1DFCB9" w:rsidR="00AC1654" w:rsidRPr="00481F21" w:rsidRDefault="000E36EA">
      <w:pPr>
        <w:pStyle w:val="Akapitzlist"/>
        <w:numPr>
          <w:ilvl w:val="0"/>
          <w:numId w:val="6"/>
        </w:numPr>
        <w:spacing w:before="360" w:after="240" w:line="360" w:lineRule="auto"/>
        <w:ind w:left="714" w:hanging="357"/>
        <w:contextualSpacing w:val="0"/>
        <w:jc w:val="both"/>
        <w:rPr>
          <w:rFonts w:ascii="Times New Roman" w:eastAsia="Calibri" w:hAnsi="Times New Roman" w:cs="Times New Roman"/>
          <w:b/>
          <w:iCs/>
          <w:color w:val="0070C0"/>
          <w:sz w:val="24"/>
          <w:szCs w:val="24"/>
        </w:rPr>
      </w:pPr>
      <w:r w:rsidRPr="00481F21">
        <w:rPr>
          <w:rFonts w:ascii="Times New Roman" w:eastAsia="Calibri" w:hAnsi="Times New Roman" w:cs="Times New Roman"/>
          <w:b/>
          <w:iCs/>
          <w:color w:val="0070C0"/>
          <w:sz w:val="24"/>
          <w:szCs w:val="24"/>
        </w:rPr>
        <w:t>O</w:t>
      </w:r>
      <w:r w:rsidR="006C7766" w:rsidRPr="00481F21">
        <w:rPr>
          <w:rFonts w:ascii="Times New Roman" w:eastAsia="Calibri" w:hAnsi="Times New Roman" w:cs="Times New Roman"/>
          <w:b/>
          <w:iCs/>
          <w:color w:val="0070C0"/>
          <w:sz w:val="24"/>
          <w:szCs w:val="24"/>
        </w:rPr>
        <w:t xml:space="preserve">mówienie </w:t>
      </w:r>
      <w:r w:rsidRPr="00481F21">
        <w:rPr>
          <w:rFonts w:ascii="Times New Roman" w:eastAsia="Calibri" w:hAnsi="Times New Roman" w:cs="Times New Roman"/>
          <w:b/>
          <w:iCs/>
          <w:color w:val="0070C0"/>
          <w:sz w:val="24"/>
          <w:szCs w:val="24"/>
        </w:rPr>
        <w:t xml:space="preserve">poszczególnych </w:t>
      </w:r>
      <w:r w:rsidR="006C7766" w:rsidRPr="00481F21">
        <w:rPr>
          <w:rFonts w:ascii="Times New Roman" w:eastAsia="Calibri" w:hAnsi="Times New Roman" w:cs="Times New Roman"/>
          <w:b/>
          <w:iCs/>
          <w:color w:val="0070C0"/>
          <w:sz w:val="24"/>
          <w:szCs w:val="24"/>
        </w:rPr>
        <w:t>zmian</w:t>
      </w:r>
      <w:r w:rsidR="00CB29C1" w:rsidRPr="00481F21">
        <w:rPr>
          <w:rFonts w:ascii="Times New Roman" w:eastAsia="Calibri" w:hAnsi="Times New Roman" w:cs="Times New Roman"/>
          <w:b/>
          <w:iCs/>
          <w:color w:val="0070C0"/>
          <w:sz w:val="24"/>
          <w:szCs w:val="24"/>
        </w:rPr>
        <w:t xml:space="preserve"> (w</w:t>
      </w:r>
      <w:r w:rsidR="00FC2BC6" w:rsidRPr="00481F21">
        <w:rPr>
          <w:rFonts w:ascii="Times New Roman" w:eastAsia="Calibri" w:hAnsi="Times New Roman" w:cs="Times New Roman"/>
          <w:b/>
          <w:iCs/>
          <w:color w:val="0070C0"/>
          <w:sz w:val="24"/>
          <w:szCs w:val="24"/>
        </w:rPr>
        <w:t>edłu</w:t>
      </w:r>
      <w:r w:rsidR="00CB29C1" w:rsidRPr="00481F21">
        <w:rPr>
          <w:rFonts w:ascii="Times New Roman" w:eastAsia="Calibri" w:hAnsi="Times New Roman" w:cs="Times New Roman"/>
          <w:b/>
          <w:iCs/>
          <w:color w:val="0070C0"/>
          <w:sz w:val="24"/>
          <w:szCs w:val="24"/>
        </w:rPr>
        <w:t>g kolejności ich występowania w</w:t>
      </w:r>
      <w:r w:rsidR="00FC2BC6" w:rsidRPr="00481F21">
        <w:rPr>
          <w:rFonts w:ascii="Times New Roman" w:eastAsia="Calibri" w:hAnsi="Times New Roman" w:cs="Times New Roman"/>
          <w:b/>
          <w:iCs/>
          <w:color w:val="0070C0"/>
          <w:sz w:val="24"/>
          <w:szCs w:val="24"/>
        </w:rPr>
        <w:t> </w:t>
      </w:r>
      <w:r w:rsidR="00CB29C1" w:rsidRPr="00481F21">
        <w:rPr>
          <w:rFonts w:ascii="Times New Roman" w:eastAsia="Calibri" w:hAnsi="Times New Roman" w:cs="Times New Roman"/>
          <w:b/>
          <w:iCs/>
          <w:color w:val="0070C0"/>
          <w:sz w:val="24"/>
          <w:szCs w:val="24"/>
        </w:rPr>
        <w:t xml:space="preserve">projekcie ustawy). </w:t>
      </w:r>
    </w:p>
    <w:p w14:paraId="2B7948BF" w14:textId="54CACBF6" w:rsidR="007F4199" w:rsidRPr="0027548A" w:rsidRDefault="00FC2BC6" w:rsidP="0027548A">
      <w:pPr>
        <w:spacing w:before="240" w:after="120" w:line="360" w:lineRule="auto"/>
        <w:jc w:val="both"/>
        <w:rPr>
          <w:rFonts w:ascii="Times New Roman" w:eastAsia="Calibri" w:hAnsi="Times New Roman" w:cs="Times New Roman"/>
          <w:bCs/>
          <w:iCs/>
          <w:sz w:val="24"/>
          <w:szCs w:val="24"/>
        </w:rPr>
      </w:pPr>
      <w:bookmarkStart w:id="4" w:name="_Hlk207115844"/>
      <w:r>
        <w:rPr>
          <w:rFonts w:ascii="Times New Roman" w:eastAsia="Calibri" w:hAnsi="Times New Roman" w:cs="Times New Roman"/>
          <w:b/>
          <w:iCs/>
          <w:sz w:val="24"/>
          <w:szCs w:val="24"/>
        </w:rPr>
        <w:t xml:space="preserve">1) </w:t>
      </w:r>
      <w:r w:rsidR="00291D2E">
        <w:rPr>
          <w:rFonts w:ascii="Times New Roman" w:eastAsia="Calibri" w:hAnsi="Times New Roman" w:cs="Times New Roman"/>
          <w:b/>
          <w:iCs/>
          <w:sz w:val="24"/>
          <w:szCs w:val="24"/>
        </w:rPr>
        <w:t>W</w:t>
      </w:r>
      <w:r>
        <w:rPr>
          <w:rFonts w:ascii="Times New Roman" w:eastAsia="Calibri" w:hAnsi="Times New Roman" w:cs="Times New Roman"/>
          <w:b/>
          <w:iCs/>
          <w:sz w:val="24"/>
          <w:szCs w:val="24"/>
        </w:rPr>
        <w:t>yłączenie z zakresu ustawy o PIT</w:t>
      </w:r>
      <w:r w:rsidR="007F4199" w:rsidRPr="007F4199">
        <w:rPr>
          <w:rFonts w:ascii="Times New Roman" w:eastAsia="Calibri" w:hAnsi="Times New Roman" w:cs="Times New Roman"/>
          <w:b/>
          <w:iCs/>
          <w:sz w:val="24"/>
          <w:szCs w:val="24"/>
        </w:rPr>
        <w:t xml:space="preserve"> świadczeń na zaspokojenie potrzeb rodziny</w:t>
      </w:r>
      <w:r w:rsidR="00EA0D93">
        <w:rPr>
          <w:rFonts w:ascii="Times New Roman" w:eastAsia="Calibri" w:hAnsi="Times New Roman" w:cs="Times New Roman"/>
          <w:b/>
          <w:iCs/>
          <w:sz w:val="24"/>
          <w:szCs w:val="24"/>
        </w:rPr>
        <w:t>,</w:t>
      </w:r>
      <w:r>
        <w:rPr>
          <w:rFonts w:ascii="Times New Roman" w:eastAsia="Calibri" w:hAnsi="Times New Roman" w:cs="Times New Roman"/>
          <w:b/>
          <w:iCs/>
          <w:sz w:val="24"/>
          <w:szCs w:val="24"/>
        </w:rPr>
        <w:t xml:space="preserve"> w przypadku gdy </w:t>
      </w:r>
      <w:r w:rsidR="00E8042C">
        <w:rPr>
          <w:rFonts w:ascii="Times New Roman" w:eastAsia="Calibri" w:hAnsi="Times New Roman" w:cs="Times New Roman"/>
          <w:b/>
          <w:iCs/>
          <w:sz w:val="24"/>
          <w:szCs w:val="24"/>
        </w:rPr>
        <w:t>małżonkowie nie są objęci ustrojem wspólności</w:t>
      </w:r>
      <w:r w:rsidR="00201E7E">
        <w:rPr>
          <w:rFonts w:ascii="Times New Roman" w:eastAsia="Calibri" w:hAnsi="Times New Roman" w:cs="Times New Roman"/>
          <w:b/>
          <w:iCs/>
          <w:sz w:val="24"/>
          <w:szCs w:val="24"/>
        </w:rPr>
        <w:t xml:space="preserve"> majątkowej</w:t>
      </w:r>
      <w:r w:rsidR="007F4199" w:rsidRPr="007F4199">
        <w:rPr>
          <w:rFonts w:ascii="Times New Roman" w:eastAsia="Calibri" w:hAnsi="Times New Roman" w:cs="Times New Roman"/>
          <w:b/>
          <w:iCs/>
          <w:sz w:val="24"/>
          <w:szCs w:val="24"/>
        </w:rPr>
        <w:t xml:space="preserve"> </w:t>
      </w:r>
      <w:r w:rsidR="00F50C70" w:rsidRPr="0027548A">
        <w:rPr>
          <w:rFonts w:ascii="Times New Roman" w:eastAsia="Calibri" w:hAnsi="Times New Roman" w:cs="Times New Roman"/>
          <w:bCs/>
          <w:iCs/>
          <w:sz w:val="24"/>
          <w:szCs w:val="24"/>
        </w:rPr>
        <w:t>(</w:t>
      </w:r>
      <w:r w:rsidR="00F50C70" w:rsidRPr="00BC3FA7">
        <w:rPr>
          <w:rFonts w:ascii="Times New Roman" w:eastAsia="Calibri" w:hAnsi="Times New Roman" w:cs="Times New Roman"/>
          <w:bCs/>
          <w:iCs/>
          <w:sz w:val="24"/>
          <w:szCs w:val="24"/>
        </w:rPr>
        <w:t>zmieniany art. 2 ust. 1 pkt 7 ustawy o PIT</w:t>
      </w:r>
      <w:r w:rsidR="00F50C70">
        <w:rPr>
          <w:rFonts w:ascii="Times New Roman" w:eastAsia="Calibri" w:hAnsi="Times New Roman" w:cs="Times New Roman"/>
          <w:bCs/>
          <w:iCs/>
          <w:sz w:val="24"/>
          <w:szCs w:val="24"/>
        </w:rPr>
        <w:t>)</w:t>
      </w:r>
      <w:r w:rsidR="00F50C70" w:rsidRPr="00F50C70">
        <w:rPr>
          <w:rFonts w:ascii="Times New Roman" w:eastAsia="Calibri" w:hAnsi="Times New Roman" w:cs="Times New Roman"/>
          <w:bCs/>
          <w:iCs/>
          <w:sz w:val="24"/>
          <w:szCs w:val="24"/>
        </w:rPr>
        <w:t xml:space="preserve"> </w:t>
      </w:r>
      <w:r w:rsidRPr="0027548A">
        <w:rPr>
          <w:rFonts w:ascii="Times New Roman" w:eastAsia="Calibri" w:hAnsi="Times New Roman" w:cs="Times New Roman"/>
          <w:bCs/>
          <w:iCs/>
          <w:sz w:val="24"/>
          <w:szCs w:val="24"/>
        </w:rPr>
        <w:t xml:space="preserve">– </w:t>
      </w:r>
      <w:r w:rsidR="00F50C70" w:rsidRPr="00165BA7">
        <w:rPr>
          <w:rFonts w:ascii="Times New Roman" w:eastAsia="Calibri" w:hAnsi="Times New Roman" w:cs="Times New Roman"/>
          <w:b/>
          <w:iCs/>
          <w:sz w:val="24"/>
          <w:szCs w:val="24"/>
        </w:rPr>
        <w:t xml:space="preserve">art. 1 </w:t>
      </w:r>
      <w:r w:rsidR="00F50C70" w:rsidRPr="00A36D60">
        <w:rPr>
          <w:rFonts w:ascii="Times New Roman" w:eastAsia="Calibri" w:hAnsi="Times New Roman" w:cs="Times New Roman"/>
          <w:b/>
          <w:iCs/>
          <w:sz w:val="24"/>
          <w:szCs w:val="24"/>
        </w:rPr>
        <w:t>pkt 1 projektu</w:t>
      </w:r>
    </w:p>
    <w:p w14:paraId="2C86287C" w14:textId="6B17B6BB" w:rsidR="00EC4F1A" w:rsidRPr="00EC4F1A" w:rsidRDefault="00EC4F1A" w:rsidP="004C172B">
      <w:pPr>
        <w:spacing w:before="120" w:after="120" w:line="360" w:lineRule="auto"/>
        <w:jc w:val="both"/>
        <w:rPr>
          <w:rFonts w:ascii="Times New Roman" w:eastAsia="Calibri" w:hAnsi="Times New Roman" w:cs="Times New Roman"/>
          <w:bCs/>
          <w:iCs/>
          <w:sz w:val="24"/>
          <w:szCs w:val="24"/>
        </w:rPr>
      </w:pPr>
      <w:r w:rsidRPr="00EC4F1A">
        <w:rPr>
          <w:rFonts w:ascii="Times New Roman" w:eastAsia="Calibri" w:hAnsi="Times New Roman" w:cs="Times New Roman"/>
          <w:bCs/>
          <w:iCs/>
          <w:sz w:val="24"/>
          <w:szCs w:val="24"/>
        </w:rPr>
        <w:lastRenderedPageBreak/>
        <w:t>Zgodnie z art. 27 ustawy z dnia 25 lutego 1964 r. – Kodeks rodzinny i opiekuńczy</w:t>
      </w:r>
      <w:r w:rsidR="00E05D1C">
        <w:rPr>
          <w:rStyle w:val="Odwoanieprzypisudolnego"/>
          <w:rFonts w:ascii="Times New Roman" w:eastAsia="Calibri" w:hAnsi="Times New Roman" w:cs="Times New Roman"/>
          <w:bCs/>
          <w:iCs/>
          <w:sz w:val="24"/>
          <w:szCs w:val="24"/>
        </w:rPr>
        <w:footnoteReference w:id="1"/>
      </w:r>
      <w:r w:rsidR="00CC39A0">
        <w:rPr>
          <w:rFonts w:ascii="Times New Roman" w:eastAsia="Calibri" w:hAnsi="Times New Roman" w:cs="Times New Roman"/>
          <w:bCs/>
          <w:iCs/>
          <w:sz w:val="24"/>
          <w:szCs w:val="24"/>
        </w:rPr>
        <w:t xml:space="preserve"> (</w:t>
      </w:r>
      <w:r w:rsidR="00054ECA">
        <w:rPr>
          <w:rFonts w:ascii="Times New Roman" w:eastAsia="Calibri" w:hAnsi="Times New Roman" w:cs="Times New Roman"/>
          <w:bCs/>
          <w:iCs/>
          <w:sz w:val="24"/>
          <w:szCs w:val="24"/>
        </w:rPr>
        <w:t xml:space="preserve">zwanej </w:t>
      </w:r>
      <w:r w:rsidR="00CC39A0">
        <w:rPr>
          <w:rFonts w:ascii="Times New Roman" w:eastAsia="Calibri" w:hAnsi="Times New Roman" w:cs="Times New Roman"/>
          <w:bCs/>
          <w:iCs/>
          <w:sz w:val="24"/>
          <w:szCs w:val="24"/>
        </w:rPr>
        <w:t xml:space="preserve">dalej: </w:t>
      </w:r>
      <w:r w:rsidR="00054ECA">
        <w:rPr>
          <w:rFonts w:ascii="Times New Roman" w:eastAsia="Calibri" w:hAnsi="Times New Roman" w:cs="Times New Roman"/>
          <w:bCs/>
          <w:iCs/>
          <w:sz w:val="24"/>
          <w:szCs w:val="24"/>
        </w:rPr>
        <w:t>„</w:t>
      </w:r>
      <w:r w:rsidR="00CC39A0" w:rsidRPr="0027548A">
        <w:rPr>
          <w:rFonts w:ascii="Times New Roman" w:eastAsia="Calibri" w:hAnsi="Times New Roman" w:cs="Times New Roman"/>
          <w:b/>
          <w:iCs/>
          <w:sz w:val="24"/>
          <w:szCs w:val="24"/>
        </w:rPr>
        <w:t>KRiO</w:t>
      </w:r>
      <w:r w:rsidR="00054ECA">
        <w:rPr>
          <w:rFonts w:ascii="Times New Roman" w:eastAsia="Calibri" w:hAnsi="Times New Roman" w:cs="Times New Roman"/>
          <w:b/>
          <w:iCs/>
          <w:sz w:val="24"/>
          <w:szCs w:val="24"/>
        </w:rPr>
        <w:t>”</w:t>
      </w:r>
      <w:r w:rsidR="00CC39A0">
        <w:rPr>
          <w:rFonts w:ascii="Times New Roman" w:eastAsia="Calibri" w:hAnsi="Times New Roman" w:cs="Times New Roman"/>
          <w:bCs/>
          <w:iCs/>
          <w:sz w:val="24"/>
          <w:szCs w:val="24"/>
        </w:rPr>
        <w:t>)</w:t>
      </w:r>
      <w:r w:rsidRPr="00EC4F1A">
        <w:rPr>
          <w:rFonts w:ascii="Times New Roman" w:eastAsia="Calibri" w:hAnsi="Times New Roman" w:cs="Times New Roman"/>
          <w:bCs/>
          <w:iCs/>
          <w:sz w:val="24"/>
          <w:szCs w:val="24"/>
        </w:rPr>
        <w:t xml:space="preserve"> oboje małżonkowie są obowiązani, każdy według swych sił oraz swych możliwości zarobkowych i</w:t>
      </w:r>
      <w:r w:rsidR="00165BA7">
        <w:rPr>
          <w:rFonts w:ascii="Times New Roman" w:eastAsia="Calibri" w:hAnsi="Times New Roman" w:cs="Times New Roman"/>
          <w:bCs/>
          <w:iCs/>
          <w:sz w:val="24"/>
          <w:szCs w:val="24"/>
        </w:rPr>
        <w:t> </w:t>
      </w:r>
      <w:r w:rsidRPr="00EC4F1A">
        <w:rPr>
          <w:rFonts w:ascii="Times New Roman" w:eastAsia="Calibri" w:hAnsi="Times New Roman" w:cs="Times New Roman"/>
          <w:bCs/>
          <w:iCs/>
          <w:sz w:val="24"/>
          <w:szCs w:val="24"/>
        </w:rPr>
        <w:t>majątkowych, przyczyniać się do zaspokajania potrzeb rodziny, którą przez swój związek założyli. Zadośćuczynienie temu obowiązkowi może polegać także, w całości lub w części, na osobistym zaangażowaniu w wychowani</w:t>
      </w:r>
      <w:r w:rsidR="00427557">
        <w:rPr>
          <w:rFonts w:ascii="Times New Roman" w:eastAsia="Calibri" w:hAnsi="Times New Roman" w:cs="Times New Roman"/>
          <w:bCs/>
          <w:iCs/>
          <w:sz w:val="24"/>
          <w:szCs w:val="24"/>
        </w:rPr>
        <w:t>e</w:t>
      </w:r>
      <w:r w:rsidRPr="00EC4F1A">
        <w:rPr>
          <w:rFonts w:ascii="Times New Roman" w:eastAsia="Calibri" w:hAnsi="Times New Roman" w:cs="Times New Roman"/>
          <w:bCs/>
          <w:iCs/>
          <w:sz w:val="24"/>
          <w:szCs w:val="24"/>
        </w:rPr>
        <w:t xml:space="preserve"> dzieci i na pracy we wspólnym gospodarstwie domowym. </w:t>
      </w:r>
    </w:p>
    <w:p w14:paraId="15CFAAB5" w14:textId="07CA12E8" w:rsidR="00A013B9" w:rsidRDefault="00EC4F1A" w:rsidP="004C172B">
      <w:pPr>
        <w:spacing w:before="120" w:after="120" w:line="360" w:lineRule="auto"/>
        <w:jc w:val="both"/>
        <w:rPr>
          <w:rFonts w:ascii="Times New Roman" w:eastAsia="Calibri" w:hAnsi="Times New Roman" w:cs="Times New Roman"/>
          <w:bCs/>
          <w:iCs/>
          <w:sz w:val="24"/>
          <w:szCs w:val="24"/>
        </w:rPr>
      </w:pPr>
      <w:r w:rsidRPr="00EC4F1A">
        <w:rPr>
          <w:rFonts w:ascii="Times New Roman" w:eastAsia="Calibri" w:hAnsi="Times New Roman" w:cs="Times New Roman"/>
          <w:bCs/>
          <w:iCs/>
          <w:sz w:val="24"/>
          <w:szCs w:val="24"/>
        </w:rPr>
        <w:t xml:space="preserve">W obecnym stanie prawnym, </w:t>
      </w:r>
      <w:r w:rsidR="005A4CA2">
        <w:rPr>
          <w:rFonts w:ascii="Times New Roman" w:eastAsia="Calibri" w:hAnsi="Times New Roman" w:cs="Times New Roman"/>
          <w:bCs/>
          <w:iCs/>
          <w:sz w:val="24"/>
          <w:szCs w:val="24"/>
        </w:rPr>
        <w:t>zgodnie z art. 2 ust. 1 pkt 7 ustawy o PIT</w:t>
      </w:r>
      <w:r w:rsidR="007358C1">
        <w:rPr>
          <w:rFonts w:ascii="Times New Roman" w:eastAsia="Calibri" w:hAnsi="Times New Roman" w:cs="Times New Roman"/>
          <w:bCs/>
          <w:iCs/>
          <w:sz w:val="24"/>
          <w:szCs w:val="24"/>
        </w:rPr>
        <w:t>,</w:t>
      </w:r>
      <w:r w:rsidR="005A4CA2">
        <w:rPr>
          <w:rFonts w:ascii="Times New Roman" w:eastAsia="Calibri" w:hAnsi="Times New Roman" w:cs="Times New Roman"/>
          <w:bCs/>
          <w:iCs/>
          <w:sz w:val="24"/>
          <w:szCs w:val="24"/>
        </w:rPr>
        <w:t xml:space="preserve"> </w:t>
      </w:r>
      <w:r w:rsidRPr="00EC4F1A">
        <w:rPr>
          <w:rFonts w:ascii="Times New Roman" w:eastAsia="Calibri" w:hAnsi="Times New Roman" w:cs="Times New Roman"/>
          <w:bCs/>
          <w:iCs/>
          <w:sz w:val="24"/>
          <w:szCs w:val="24"/>
        </w:rPr>
        <w:t xml:space="preserve">świadczenia na zaspokojenie potrzeb rodziny, o których mowa w art. 27 </w:t>
      </w:r>
      <w:r w:rsidR="00CC39A0">
        <w:rPr>
          <w:rFonts w:ascii="Times New Roman" w:eastAsia="Calibri" w:hAnsi="Times New Roman" w:cs="Times New Roman"/>
          <w:bCs/>
          <w:iCs/>
          <w:sz w:val="24"/>
          <w:szCs w:val="24"/>
        </w:rPr>
        <w:t>KRiO</w:t>
      </w:r>
      <w:r w:rsidR="00F124EB">
        <w:rPr>
          <w:rFonts w:ascii="Times New Roman" w:eastAsia="Calibri" w:hAnsi="Times New Roman" w:cs="Times New Roman"/>
          <w:bCs/>
          <w:iCs/>
          <w:sz w:val="24"/>
          <w:szCs w:val="24"/>
        </w:rPr>
        <w:t>,</w:t>
      </w:r>
      <w:r w:rsidR="005A4CA2" w:rsidRPr="005A4CA2">
        <w:rPr>
          <w:rFonts w:ascii="Times New Roman" w:eastAsia="Calibri" w:hAnsi="Times New Roman" w:cs="Times New Roman"/>
          <w:bCs/>
          <w:iCs/>
          <w:sz w:val="24"/>
          <w:szCs w:val="24"/>
        </w:rPr>
        <w:t xml:space="preserve"> </w:t>
      </w:r>
      <w:r w:rsidR="005A4CA2" w:rsidRPr="00EC4F1A">
        <w:rPr>
          <w:rFonts w:ascii="Times New Roman" w:eastAsia="Calibri" w:hAnsi="Times New Roman" w:cs="Times New Roman"/>
          <w:bCs/>
          <w:iCs/>
          <w:sz w:val="24"/>
          <w:szCs w:val="24"/>
        </w:rPr>
        <w:t xml:space="preserve">są wyłączone spod przepisów ustawy </w:t>
      </w:r>
      <w:r w:rsidR="005A4CA2">
        <w:rPr>
          <w:rFonts w:ascii="Times New Roman" w:eastAsia="Calibri" w:hAnsi="Times New Roman" w:cs="Times New Roman"/>
          <w:bCs/>
          <w:iCs/>
          <w:sz w:val="24"/>
          <w:szCs w:val="24"/>
        </w:rPr>
        <w:t xml:space="preserve">o </w:t>
      </w:r>
      <w:r w:rsidR="005A4CA2" w:rsidRPr="00EC4F1A">
        <w:rPr>
          <w:rFonts w:ascii="Times New Roman" w:eastAsia="Calibri" w:hAnsi="Times New Roman" w:cs="Times New Roman"/>
          <w:bCs/>
          <w:iCs/>
          <w:sz w:val="24"/>
          <w:szCs w:val="24"/>
        </w:rPr>
        <w:t>PIT</w:t>
      </w:r>
      <w:r w:rsidRPr="00EC4F1A">
        <w:rPr>
          <w:rFonts w:ascii="Times New Roman" w:eastAsia="Calibri" w:hAnsi="Times New Roman" w:cs="Times New Roman"/>
          <w:bCs/>
          <w:iCs/>
          <w:sz w:val="24"/>
          <w:szCs w:val="24"/>
        </w:rPr>
        <w:t>,</w:t>
      </w:r>
      <w:r w:rsidR="005A4CA2">
        <w:rPr>
          <w:rFonts w:ascii="Times New Roman" w:eastAsia="Calibri" w:hAnsi="Times New Roman" w:cs="Times New Roman"/>
          <w:bCs/>
          <w:iCs/>
          <w:sz w:val="24"/>
          <w:szCs w:val="24"/>
        </w:rPr>
        <w:t xml:space="preserve"> o ile małżonkowie</w:t>
      </w:r>
      <w:r w:rsidRPr="00EC4F1A">
        <w:rPr>
          <w:rFonts w:ascii="Times New Roman" w:eastAsia="Calibri" w:hAnsi="Times New Roman" w:cs="Times New Roman"/>
          <w:bCs/>
          <w:iCs/>
          <w:sz w:val="24"/>
          <w:szCs w:val="24"/>
        </w:rPr>
        <w:t xml:space="preserve"> obję</w:t>
      </w:r>
      <w:r w:rsidR="005A4CA2">
        <w:rPr>
          <w:rFonts w:ascii="Times New Roman" w:eastAsia="Calibri" w:hAnsi="Times New Roman" w:cs="Times New Roman"/>
          <w:bCs/>
          <w:iCs/>
          <w:sz w:val="24"/>
          <w:szCs w:val="24"/>
        </w:rPr>
        <w:t>ci</w:t>
      </w:r>
      <w:r w:rsidRPr="00EC4F1A">
        <w:rPr>
          <w:rFonts w:ascii="Times New Roman" w:eastAsia="Calibri" w:hAnsi="Times New Roman" w:cs="Times New Roman"/>
          <w:bCs/>
          <w:iCs/>
          <w:sz w:val="24"/>
          <w:szCs w:val="24"/>
        </w:rPr>
        <w:t xml:space="preserve"> </w:t>
      </w:r>
      <w:r w:rsidR="005A4CA2">
        <w:rPr>
          <w:rFonts w:ascii="Times New Roman" w:eastAsia="Calibri" w:hAnsi="Times New Roman" w:cs="Times New Roman"/>
          <w:bCs/>
          <w:iCs/>
          <w:sz w:val="24"/>
          <w:szCs w:val="24"/>
        </w:rPr>
        <w:t xml:space="preserve">są ustrojem </w:t>
      </w:r>
      <w:r w:rsidRPr="00EC4F1A">
        <w:rPr>
          <w:rFonts w:ascii="Times New Roman" w:eastAsia="Calibri" w:hAnsi="Times New Roman" w:cs="Times New Roman"/>
          <w:bCs/>
          <w:iCs/>
          <w:sz w:val="24"/>
          <w:szCs w:val="24"/>
        </w:rPr>
        <w:t>wspólności majątkow</w:t>
      </w:r>
      <w:r w:rsidR="005A4CA2">
        <w:rPr>
          <w:rFonts w:ascii="Times New Roman" w:eastAsia="Calibri" w:hAnsi="Times New Roman" w:cs="Times New Roman"/>
          <w:bCs/>
          <w:iCs/>
          <w:sz w:val="24"/>
          <w:szCs w:val="24"/>
        </w:rPr>
        <w:t>ej (małżeńskiej)</w:t>
      </w:r>
      <w:r w:rsidRPr="00EC4F1A">
        <w:rPr>
          <w:rFonts w:ascii="Times New Roman" w:eastAsia="Calibri" w:hAnsi="Times New Roman" w:cs="Times New Roman"/>
          <w:bCs/>
          <w:iCs/>
          <w:sz w:val="24"/>
          <w:szCs w:val="24"/>
        </w:rPr>
        <w:t xml:space="preserve">. </w:t>
      </w:r>
      <w:r w:rsidR="00201E7E" w:rsidRPr="0027548A">
        <w:rPr>
          <w:rFonts w:ascii="Times New Roman" w:eastAsia="Calibri" w:hAnsi="Times New Roman" w:cs="Times New Roman"/>
          <w:bCs/>
          <w:i/>
          <w:sz w:val="24"/>
          <w:szCs w:val="24"/>
        </w:rPr>
        <w:t>A contrario</w:t>
      </w:r>
      <w:r w:rsidR="00201E7E">
        <w:rPr>
          <w:rFonts w:ascii="Times New Roman" w:eastAsia="Calibri" w:hAnsi="Times New Roman" w:cs="Times New Roman"/>
          <w:bCs/>
          <w:iCs/>
          <w:sz w:val="24"/>
          <w:szCs w:val="24"/>
        </w:rPr>
        <w:t xml:space="preserve"> wyłączenie to nie obejmuje swoim zakresem ustrojów małżeńskich przewidujących</w:t>
      </w:r>
      <w:r w:rsidR="005A4CA2">
        <w:rPr>
          <w:rFonts w:ascii="Times New Roman" w:eastAsia="Calibri" w:hAnsi="Times New Roman" w:cs="Times New Roman"/>
          <w:bCs/>
          <w:iCs/>
          <w:sz w:val="24"/>
          <w:szCs w:val="24"/>
        </w:rPr>
        <w:t xml:space="preserve"> rozdzielność majątkową. </w:t>
      </w:r>
      <w:r w:rsidR="00E04A55">
        <w:rPr>
          <w:rFonts w:ascii="Times New Roman" w:eastAsia="Calibri" w:hAnsi="Times New Roman" w:cs="Times New Roman"/>
          <w:bCs/>
          <w:iCs/>
          <w:sz w:val="24"/>
          <w:szCs w:val="24"/>
        </w:rPr>
        <w:t xml:space="preserve">Może ponadto powstać wątpliwość, czy </w:t>
      </w:r>
      <w:r w:rsidR="005A4CA2">
        <w:rPr>
          <w:rFonts w:ascii="Times New Roman" w:eastAsia="Calibri" w:hAnsi="Times New Roman" w:cs="Times New Roman"/>
          <w:bCs/>
          <w:iCs/>
          <w:sz w:val="24"/>
          <w:szCs w:val="24"/>
        </w:rPr>
        <w:t xml:space="preserve">wyłączenie to dotyczy każdej formy wspólności majątkowej </w:t>
      </w:r>
      <w:r w:rsidR="00E04A55">
        <w:rPr>
          <w:rFonts w:ascii="Times New Roman" w:eastAsia="Calibri" w:hAnsi="Times New Roman" w:cs="Times New Roman"/>
          <w:bCs/>
          <w:iCs/>
          <w:sz w:val="24"/>
          <w:szCs w:val="24"/>
        </w:rPr>
        <w:t>między małżonkami</w:t>
      </w:r>
      <w:r w:rsidR="007358C1">
        <w:rPr>
          <w:rFonts w:ascii="Times New Roman" w:eastAsia="Calibri" w:hAnsi="Times New Roman" w:cs="Times New Roman"/>
          <w:bCs/>
          <w:iCs/>
          <w:sz w:val="24"/>
          <w:szCs w:val="24"/>
        </w:rPr>
        <w:t>,</w:t>
      </w:r>
      <w:r w:rsidR="005A4CA2">
        <w:rPr>
          <w:rFonts w:ascii="Times New Roman" w:eastAsia="Calibri" w:hAnsi="Times New Roman" w:cs="Times New Roman"/>
          <w:bCs/>
          <w:iCs/>
          <w:sz w:val="24"/>
          <w:szCs w:val="24"/>
        </w:rPr>
        <w:t xml:space="preserve"> tj. także jej umownego ograniczenia</w:t>
      </w:r>
      <w:r w:rsidR="005A4CA2">
        <w:rPr>
          <w:rStyle w:val="Odwoanieprzypisudolnego"/>
          <w:rFonts w:ascii="Times New Roman" w:eastAsia="Calibri" w:hAnsi="Times New Roman" w:cs="Times New Roman"/>
          <w:bCs/>
          <w:iCs/>
          <w:sz w:val="24"/>
          <w:szCs w:val="24"/>
        </w:rPr>
        <w:footnoteReference w:id="2"/>
      </w:r>
      <w:r w:rsidR="005A4CA2">
        <w:rPr>
          <w:rFonts w:ascii="Times New Roman" w:eastAsia="Calibri" w:hAnsi="Times New Roman" w:cs="Times New Roman"/>
          <w:bCs/>
          <w:iCs/>
          <w:sz w:val="24"/>
          <w:szCs w:val="24"/>
        </w:rPr>
        <w:t xml:space="preserve"> (lecz nie całkowitego wyłączenia)</w:t>
      </w:r>
      <w:r w:rsidR="00E04A55">
        <w:rPr>
          <w:rFonts w:ascii="Times New Roman" w:eastAsia="Calibri" w:hAnsi="Times New Roman" w:cs="Times New Roman"/>
          <w:bCs/>
          <w:iCs/>
          <w:sz w:val="24"/>
          <w:szCs w:val="24"/>
        </w:rPr>
        <w:t>, czy tylko wspólności ustawowej.</w:t>
      </w:r>
      <w:r w:rsidR="008F269E">
        <w:rPr>
          <w:rFonts w:ascii="Times New Roman" w:eastAsia="Calibri" w:hAnsi="Times New Roman" w:cs="Times New Roman"/>
          <w:bCs/>
          <w:iCs/>
          <w:sz w:val="24"/>
          <w:szCs w:val="24"/>
        </w:rPr>
        <w:t xml:space="preserve"> </w:t>
      </w:r>
    </w:p>
    <w:p w14:paraId="76FF48D3" w14:textId="6206D8AF" w:rsidR="00EC4F1A" w:rsidRDefault="00A013B9" w:rsidP="004C172B">
      <w:pPr>
        <w:spacing w:before="120" w:after="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Tym samym</w:t>
      </w:r>
      <w:r w:rsidR="00E04A55">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na gruncie aktualnego stanu prawnego</w:t>
      </w:r>
      <w:r w:rsidR="00E04A55">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w:t>
      </w:r>
      <w:r w:rsidR="00EC4F1A" w:rsidRPr="00EC4F1A">
        <w:rPr>
          <w:rFonts w:ascii="Times New Roman" w:eastAsia="Calibri" w:hAnsi="Times New Roman" w:cs="Times New Roman"/>
          <w:bCs/>
          <w:iCs/>
          <w:sz w:val="24"/>
          <w:szCs w:val="24"/>
        </w:rPr>
        <w:t>świadcze</w:t>
      </w:r>
      <w:r w:rsidR="00E04A55">
        <w:rPr>
          <w:rFonts w:ascii="Times New Roman" w:eastAsia="Calibri" w:hAnsi="Times New Roman" w:cs="Times New Roman"/>
          <w:bCs/>
          <w:iCs/>
          <w:sz w:val="24"/>
          <w:szCs w:val="24"/>
        </w:rPr>
        <w:t>nia</w:t>
      </w:r>
      <w:r w:rsidR="00EC4F1A" w:rsidRPr="00EC4F1A">
        <w:rPr>
          <w:rFonts w:ascii="Times New Roman" w:eastAsia="Calibri" w:hAnsi="Times New Roman" w:cs="Times New Roman"/>
          <w:bCs/>
          <w:iCs/>
          <w:sz w:val="24"/>
          <w:szCs w:val="24"/>
        </w:rPr>
        <w:t xml:space="preserve"> na zaspokojenie potrzeb rodziny otrzymywan</w:t>
      </w:r>
      <w:r w:rsidR="00E04A55">
        <w:rPr>
          <w:rFonts w:ascii="Times New Roman" w:eastAsia="Calibri" w:hAnsi="Times New Roman" w:cs="Times New Roman"/>
          <w:bCs/>
          <w:iCs/>
          <w:sz w:val="24"/>
          <w:szCs w:val="24"/>
        </w:rPr>
        <w:t>e</w:t>
      </w:r>
      <w:r w:rsidR="00EC4F1A" w:rsidRPr="00EC4F1A">
        <w:rPr>
          <w:rFonts w:ascii="Times New Roman" w:eastAsia="Calibri" w:hAnsi="Times New Roman" w:cs="Times New Roman"/>
          <w:bCs/>
          <w:iCs/>
          <w:sz w:val="24"/>
          <w:szCs w:val="24"/>
        </w:rPr>
        <w:t xml:space="preserve"> w sytuacji, gdy między małżonkami </w:t>
      </w:r>
      <w:r w:rsidR="00E04A55">
        <w:rPr>
          <w:rFonts w:ascii="Times New Roman" w:eastAsia="Calibri" w:hAnsi="Times New Roman" w:cs="Times New Roman"/>
          <w:bCs/>
          <w:iCs/>
          <w:sz w:val="24"/>
          <w:szCs w:val="24"/>
        </w:rPr>
        <w:t xml:space="preserve">nie </w:t>
      </w:r>
      <w:r w:rsidR="00EC4F1A" w:rsidRPr="00EC4F1A">
        <w:rPr>
          <w:rFonts w:ascii="Times New Roman" w:eastAsia="Calibri" w:hAnsi="Times New Roman" w:cs="Times New Roman"/>
          <w:bCs/>
          <w:iCs/>
          <w:sz w:val="24"/>
          <w:szCs w:val="24"/>
        </w:rPr>
        <w:t xml:space="preserve">istnieje </w:t>
      </w:r>
      <w:r w:rsidR="00E04A55">
        <w:rPr>
          <w:rFonts w:ascii="Times New Roman" w:eastAsia="Calibri" w:hAnsi="Times New Roman" w:cs="Times New Roman"/>
          <w:bCs/>
          <w:iCs/>
          <w:sz w:val="24"/>
          <w:szCs w:val="24"/>
        </w:rPr>
        <w:t>wspólność majątkowa małżeńska</w:t>
      </w:r>
      <w:r w:rsidR="007358C1">
        <w:rPr>
          <w:rFonts w:ascii="Times New Roman" w:eastAsia="Calibri" w:hAnsi="Times New Roman" w:cs="Times New Roman"/>
          <w:bCs/>
          <w:iCs/>
          <w:sz w:val="24"/>
          <w:szCs w:val="24"/>
        </w:rPr>
        <w:t>,</w:t>
      </w:r>
      <w:r w:rsidR="00E04A55">
        <w:rPr>
          <w:rFonts w:ascii="Times New Roman" w:eastAsia="Calibri" w:hAnsi="Times New Roman" w:cs="Times New Roman"/>
          <w:bCs/>
          <w:iCs/>
          <w:sz w:val="24"/>
          <w:szCs w:val="24"/>
        </w:rPr>
        <w:t xml:space="preserve"> </w:t>
      </w:r>
      <w:r w:rsidR="00EC4F1A" w:rsidRPr="00EC4F1A">
        <w:rPr>
          <w:rFonts w:ascii="Times New Roman" w:eastAsia="Calibri" w:hAnsi="Times New Roman" w:cs="Times New Roman"/>
          <w:bCs/>
          <w:iCs/>
          <w:sz w:val="24"/>
          <w:szCs w:val="24"/>
        </w:rPr>
        <w:t xml:space="preserve">stanowią przychód w rozumieniu ustawy </w:t>
      </w:r>
      <w:r w:rsidR="00E04A55">
        <w:rPr>
          <w:rFonts w:ascii="Times New Roman" w:eastAsia="Calibri" w:hAnsi="Times New Roman" w:cs="Times New Roman"/>
          <w:bCs/>
          <w:iCs/>
          <w:sz w:val="24"/>
          <w:szCs w:val="24"/>
        </w:rPr>
        <w:t xml:space="preserve">o </w:t>
      </w:r>
      <w:r w:rsidR="00EC4F1A" w:rsidRPr="00EC4F1A">
        <w:rPr>
          <w:rFonts w:ascii="Times New Roman" w:eastAsia="Calibri" w:hAnsi="Times New Roman" w:cs="Times New Roman"/>
          <w:bCs/>
          <w:iCs/>
          <w:sz w:val="24"/>
          <w:szCs w:val="24"/>
        </w:rPr>
        <w:t xml:space="preserve">PIT, który </w:t>
      </w:r>
      <w:r w:rsidR="00E04A55">
        <w:rPr>
          <w:rFonts w:ascii="Times New Roman" w:eastAsia="Calibri" w:hAnsi="Times New Roman" w:cs="Times New Roman"/>
          <w:bCs/>
          <w:iCs/>
          <w:sz w:val="24"/>
          <w:szCs w:val="24"/>
        </w:rPr>
        <w:t xml:space="preserve">ewentualnie </w:t>
      </w:r>
      <w:r w:rsidR="00EC4F1A" w:rsidRPr="00EC4F1A">
        <w:rPr>
          <w:rFonts w:ascii="Times New Roman" w:eastAsia="Calibri" w:hAnsi="Times New Roman" w:cs="Times New Roman"/>
          <w:bCs/>
          <w:iCs/>
          <w:sz w:val="24"/>
          <w:szCs w:val="24"/>
        </w:rPr>
        <w:t xml:space="preserve">korzysta ze zwolnienia na podstawie art. 21 ust. 1 pkt 125 ustawy </w:t>
      </w:r>
      <w:r w:rsidR="00E04A55">
        <w:rPr>
          <w:rFonts w:ascii="Times New Roman" w:eastAsia="Calibri" w:hAnsi="Times New Roman" w:cs="Times New Roman"/>
          <w:bCs/>
          <w:iCs/>
          <w:sz w:val="24"/>
          <w:szCs w:val="24"/>
        </w:rPr>
        <w:t xml:space="preserve">o </w:t>
      </w:r>
      <w:r w:rsidR="00EC4F1A" w:rsidRPr="00EC4F1A">
        <w:rPr>
          <w:rFonts w:ascii="Times New Roman" w:eastAsia="Calibri" w:hAnsi="Times New Roman" w:cs="Times New Roman"/>
          <w:bCs/>
          <w:iCs/>
          <w:sz w:val="24"/>
          <w:szCs w:val="24"/>
        </w:rPr>
        <w:t>PIT</w:t>
      </w:r>
      <w:r w:rsidR="00E04A55">
        <w:rPr>
          <w:rFonts w:ascii="Times New Roman" w:eastAsia="Calibri" w:hAnsi="Times New Roman" w:cs="Times New Roman"/>
          <w:bCs/>
          <w:iCs/>
          <w:sz w:val="24"/>
          <w:szCs w:val="24"/>
        </w:rPr>
        <w:t xml:space="preserve"> </w:t>
      </w:r>
      <w:r w:rsidR="00CC39A0">
        <w:rPr>
          <w:rFonts w:ascii="Times New Roman" w:eastAsia="Calibri" w:hAnsi="Times New Roman" w:cs="Times New Roman"/>
          <w:bCs/>
          <w:iCs/>
          <w:sz w:val="24"/>
          <w:szCs w:val="24"/>
        </w:rPr>
        <w:t>(</w:t>
      </w:r>
      <w:r w:rsidR="00EC4F1A" w:rsidRPr="00EC4F1A">
        <w:rPr>
          <w:rFonts w:ascii="Times New Roman" w:eastAsia="Calibri" w:hAnsi="Times New Roman" w:cs="Times New Roman"/>
          <w:bCs/>
          <w:iCs/>
          <w:sz w:val="24"/>
          <w:szCs w:val="24"/>
        </w:rPr>
        <w:t>o ile spełnione</w:t>
      </w:r>
      <w:r w:rsidR="00CC39A0">
        <w:rPr>
          <w:rFonts w:ascii="Times New Roman" w:eastAsia="Calibri" w:hAnsi="Times New Roman" w:cs="Times New Roman"/>
          <w:bCs/>
          <w:iCs/>
          <w:sz w:val="24"/>
          <w:szCs w:val="24"/>
        </w:rPr>
        <w:t xml:space="preserve"> są warunki w nim określone). </w:t>
      </w:r>
      <w:r w:rsidR="00EC4F1A" w:rsidRPr="00EC4F1A">
        <w:rPr>
          <w:rFonts w:ascii="Times New Roman" w:eastAsia="Calibri" w:hAnsi="Times New Roman" w:cs="Times New Roman"/>
          <w:bCs/>
          <w:iCs/>
          <w:sz w:val="24"/>
          <w:szCs w:val="24"/>
        </w:rPr>
        <w:t>Przepis ten stanowi, że wolna od podatku dochodowego jest wartość świadczeń w naturze i innych nieodpłatnych świadczeń, obliczona zgodnie z art. 11 ust. 2–2b, otrzymanych od osób zaliczonych do I i II grupy podatkowej w rozumieniu przepisów o</w:t>
      </w:r>
      <w:r w:rsidR="00CC39A0">
        <w:rPr>
          <w:rFonts w:ascii="Times New Roman" w:eastAsia="Calibri" w:hAnsi="Times New Roman" w:cs="Times New Roman"/>
          <w:bCs/>
          <w:iCs/>
          <w:sz w:val="24"/>
          <w:szCs w:val="24"/>
        </w:rPr>
        <w:t> </w:t>
      </w:r>
      <w:r w:rsidR="00EC4F1A" w:rsidRPr="00EC4F1A">
        <w:rPr>
          <w:rFonts w:ascii="Times New Roman" w:eastAsia="Calibri" w:hAnsi="Times New Roman" w:cs="Times New Roman"/>
          <w:bCs/>
          <w:iCs/>
          <w:sz w:val="24"/>
          <w:szCs w:val="24"/>
        </w:rPr>
        <w:t>podatku od spadków i darowizn.</w:t>
      </w:r>
      <w:r w:rsidR="004C63C2">
        <w:rPr>
          <w:rFonts w:ascii="Times New Roman" w:eastAsia="Calibri" w:hAnsi="Times New Roman" w:cs="Times New Roman"/>
          <w:bCs/>
          <w:iCs/>
          <w:sz w:val="24"/>
          <w:szCs w:val="24"/>
        </w:rPr>
        <w:t xml:space="preserve"> Przepis ten jest jednak interpretowany w ten sposób, iż nie obejmuje on świadczeń pieniężnych. </w:t>
      </w:r>
    </w:p>
    <w:p w14:paraId="24047A55" w14:textId="51FC439C" w:rsidR="00CC39A0" w:rsidRPr="00EC4F1A" w:rsidRDefault="00CC39A0" w:rsidP="004C172B">
      <w:pPr>
        <w:spacing w:before="120" w:after="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Opisany stan prawny w zakresie traktowania na gruncie podatkowym świadczeń na zaspokojenie potrzeb rodziny nie przystaje do ich istoty wynikającej z przepisów KRiO. Jak </w:t>
      </w:r>
      <w:r w:rsidR="0023248E">
        <w:rPr>
          <w:rFonts w:ascii="Times New Roman" w:eastAsia="Calibri" w:hAnsi="Times New Roman" w:cs="Times New Roman"/>
          <w:bCs/>
          <w:iCs/>
          <w:sz w:val="24"/>
          <w:szCs w:val="24"/>
        </w:rPr>
        <w:t xml:space="preserve">bowiem </w:t>
      </w:r>
      <w:r>
        <w:rPr>
          <w:rFonts w:ascii="Times New Roman" w:eastAsia="Calibri" w:hAnsi="Times New Roman" w:cs="Times New Roman"/>
          <w:bCs/>
          <w:iCs/>
          <w:sz w:val="24"/>
          <w:szCs w:val="24"/>
        </w:rPr>
        <w:t>wskazano</w:t>
      </w:r>
      <w:r w:rsidR="007358C1">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obowiązek ich dokonywania jest niezależny od obowiązującego małżonków ustroju majątkowego. </w:t>
      </w:r>
    </w:p>
    <w:p w14:paraId="05374C7B" w14:textId="4215805F" w:rsidR="002B3A0D" w:rsidRPr="001210F7" w:rsidRDefault="00EC4F1A" w:rsidP="004C172B">
      <w:pPr>
        <w:spacing w:before="120" w:line="360" w:lineRule="auto"/>
        <w:jc w:val="both"/>
        <w:rPr>
          <w:rFonts w:ascii="Times New Roman" w:eastAsia="Calibri" w:hAnsi="Times New Roman" w:cs="Times New Roman"/>
          <w:bCs/>
          <w:iCs/>
          <w:sz w:val="24"/>
          <w:szCs w:val="24"/>
        </w:rPr>
      </w:pPr>
      <w:r w:rsidRPr="00EC4F1A">
        <w:rPr>
          <w:rFonts w:ascii="Times New Roman" w:eastAsia="Calibri" w:hAnsi="Times New Roman" w:cs="Times New Roman"/>
          <w:bCs/>
          <w:iCs/>
          <w:sz w:val="24"/>
          <w:szCs w:val="24"/>
        </w:rPr>
        <w:t xml:space="preserve">Zmiana w art. 2 ust. 1 pkt 7 ustawy </w:t>
      </w:r>
      <w:r w:rsidR="00BA665A">
        <w:rPr>
          <w:rFonts w:ascii="Times New Roman" w:eastAsia="Calibri" w:hAnsi="Times New Roman" w:cs="Times New Roman"/>
          <w:bCs/>
          <w:iCs/>
          <w:sz w:val="24"/>
          <w:szCs w:val="24"/>
        </w:rPr>
        <w:t xml:space="preserve">o </w:t>
      </w:r>
      <w:r w:rsidRPr="00EC4F1A">
        <w:rPr>
          <w:rFonts w:ascii="Times New Roman" w:eastAsia="Calibri" w:hAnsi="Times New Roman" w:cs="Times New Roman"/>
          <w:bCs/>
          <w:iCs/>
          <w:sz w:val="24"/>
          <w:szCs w:val="24"/>
        </w:rPr>
        <w:t>PIT ma na celu ujednolicenie zasad dotyczących świadczeń na zaspokojenie potrzeb rodziny, bez względu na rodzaj ustroju majątkowego istniejącego między małżonkami.</w:t>
      </w:r>
      <w:r w:rsidR="00A3491E">
        <w:rPr>
          <w:rFonts w:ascii="Times New Roman" w:eastAsia="Calibri" w:hAnsi="Times New Roman" w:cs="Times New Roman"/>
          <w:bCs/>
          <w:iCs/>
          <w:sz w:val="24"/>
          <w:szCs w:val="24"/>
        </w:rPr>
        <w:t xml:space="preserve"> </w:t>
      </w:r>
      <w:r w:rsidRPr="00EC4F1A">
        <w:rPr>
          <w:rFonts w:ascii="Times New Roman" w:eastAsia="Calibri" w:hAnsi="Times New Roman" w:cs="Times New Roman"/>
          <w:bCs/>
          <w:iCs/>
          <w:sz w:val="24"/>
          <w:szCs w:val="24"/>
        </w:rPr>
        <w:t>Po</w:t>
      </w:r>
      <w:r w:rsidR="00A3491E">
        <w:rPr>
          <w:rFonts w:ascii="Times New Roman" w:eastAsia="Calibri" w:hAnsi="Times New Roman" w:cs="Times New Roman"/>
          <w:bCs/>
          <w:iCs/>
          <w:sz w:val="24"/>
          <w:szCs w:val="24"/>
        </w:rPr>
        <w:t xml:space="preserve"> tej</w:t>
      </w:r>
      <w:r w:rsidRPr="00EC4F1A">
        <w:rPr>
          <w:rFonts w:ascii="Times New Roman" w:eastAsia="Calibri" w:hAnsi="Times New Roman" w:cs="Times New Roman"/>
          <w:bCs/>
          <w:iCs/>
          <w:sz w:val="24"/>
          <w:szCs w:val="24"/>
        </w:rPr>
        <w:t xml:space="preserve"> zmianie z zakresu przedmiotowego ustawy</w:t>
      </w:r>
      <w:r w:rsidR="00BA665A">
        <w:rPr>
          <w:rFonts w:ascii="Times New Roman" w:eastAsia="Calibri" w:hAnsi="Times New Roman" w:cs="Times New Roman"/>
          <w:bCs/>
          <w:iCs/>
          <w:sz w:val="24"/>
          <w:szCs w:val="24"/>
        </w:rPr>
        <w:t xml:space="preserve"> o</w:t>
      </w:r>
      <w:r w:rsidRPr="00EC4F1A">
        <w:rPr>
          <w:rFonts w:ascii="Times New Roman" w:eastAsia="Calibri" w:hAnsi="Times New Roman" w:cs="Times New Roman"/>
          <w:bCs/>
          <w:iCs/>
          <w:sz w:val="24"/>
          <w:szCs w:val="24"/>
        </w:rPr>
        <w:t xml:space="preserve"> PIT </w:t>
      </w:r>
      <w:r w:rsidRPr="00EC4F1A">
        <w:rPr>
          <w:rFonts w:ascii="Times New Roman" w:eastAsia="Calibri" w:hAnsi="Times New Roman" w:cs="Times New Roman"/>
          <w:bCs/>
          <w:iCs/>
          <w:sz w:val="24"/>
          <w:szCs w:val="24"/>
        </w:rPr>
        <w:lastRenderedPageBreak/>
        <w:t>wyłączone będą nie tylko świadczenia na zaspokojenie potrzeb rodziny objęte wspólnością majątkową małżeńską, ale także świadczenia na zaspokojenie potrzeb rodziny pochodzące z</w:t>
      </w:r>
      <w:r w:rsidR="00A3491E">
        <w:rPr>
          <w:rFonts w:ascii="Times New Roman" w:eastAsia="Calibri" w:hAnsi="Times New Roman" w:cs="Times New Roman"/>
          <w:bCs/>
          <w:iCs/>
          <w:sz w:val="24"/>
          <w:szCs w:val="24"/>
        </w:rPr>
        <w:t> </w:t>
      </w:r>
      <w:r w:rsidRPr="00EC4F1A">
        <w:rPr>
          <w:rFonts w:ascii="Times New Roman" w:eastAsia="Calibri" w:hAnsi="Times New Roman" w:cs="Times New Roman"/>
          <w:bCs/>
          <w:iCs/>
          <w:sz w:val="24"/>
          <w:szCs w:val="24"/>
        </w:rPr>
        <w:t xml:space="preserve">odrębnego majątku małżonków. Oznacza to, że przepisom ustawy </w:t>
      </w:r>
      <w:r w:rsidR="00BA665A">
        <w:rPr>
          <w:rFonts w:ascii="Times New Roman" w:eastAsia="Calibri" w:hAnsi="Times New Roman" w:cs="Times New Roman"/>
          <w:bCs/>
          <w:iCs/>
          <w:sz w:val="24"/>
          <w:szCs w:val="24"/>
        </w:rPr>
        <w:t xml:space="preserve">o </w:t>
      </w:r>
      <w:r w:rsidRPr="00EC4F1A">
        <w:rPr>
          <w:rFonts w:ascii="Times New Roman" w:eastAsia="Calibri" w:hAnsi="Times New Roman" w:cs="Times New Roman"/>
          <w:bCs/>
          <w:iCs/>
          <w:sz w:val="24"/>
          <w:szCs w:val="24"/>
        </w:rPr>
        <w:t xml:space="preserve">PIT nie będą również podlegały świadczenia na zaspokojenie potrzeb rodziny przekazane/otrzymane po orzeczeniu separacji, </w:t>
      </w:r>
      <w:r w:rsidR="00A3491E">
        <w:rPr>
          <w:rFonts w:ascii="Times New Roman" w:eastAsia="Calibri" w:hAnsi="Times New Roman" w:cs="Times New Roman"/>
          <w:bCs/>
          <w:iCs/>
          <w:sz w:val="24"/>
          <w:szCs w:val="24"/>
        </w:rPr>
        <w:t>gdyż</w:t>
      </w:r>
      <w:r w:rsidRPr="00EC4F1A">
        <w:rPr>
          <w:rFonts w:ascii="Times New Roman" w:eastAsia="Calibri" w:hAnsi="Times New Roman" w:cs="Times New Roman"/>
          <w:bCs/>
          <w:iCs/>
          <w:sz w:val="24"/>
          <w:szCs w:val="24"/>
        </w:rPr>
        <w:t xml:space="preserve"> orzeczenie separacji </w:t>
      </w:r>
      <w:r w:rsidR="00A3491E">
        <w:rPr>
          <w:rFonts w:ascii="Times New Roman" w:eastAsia="Calibri" w:hAnsi="Times New Roman" w:cs="Times New Roman"/>
          <w:bCs/>
          <w:iCs/>
          <w:sz w:val="24"/>
          <w:szCs w:val="24"/>
        </w:rPr>
        <w:t xml:space="preserve">skutkuje </w:t>
      </w:r>
      <w:r w:rsidRPr="00EC4F1A">
        <w:rPr>
          <w:rFonts w:ascii="Times New Roman" w:eastAsia="Calibri" w:hAnsi="Times New Roman" w:cs="Times New Roman"/>
          <w:bCs/>
          <w:iCs/>
          <w:sz w:val="24"/>
          <w:szCs w:val="24"/>
        </w:rPr>
        <w:t>powstanie</w:t>
      </w:r>
      <w:r w:rsidR="00A3491E">
        <w:rPr>
          <w:rFonts w:ascii="Times New Roman" w:eastAsia="Calibri" w:hAnsi="Times New Roman" w:cs="Times New Roman"/>
          <w:bCs/>
          <w:iCs/>
          <w:sz w:val="24"/>
          <w:szCs w:val="24"/>
        </w:rPr>
        <w:t>m</w:t>
      </w:r>
      <w:r w:rsidRPr="00EC4F1A">
        <w:rPr>
          <w:rFonts w:ascii="Times New Roman" w:eastAsia="Calibri" w:hAnsi="Times New Roman" w:cs="Times New Roman"/>
          <w:bCs/>
          <w:iCs/>
          <w:sz w:val="24"/>
          <w:szCs w:val="24"/>
        </w:rPr>
        <w:t xml:space="preserve"> między małżonkami rozdzielności majątkowej</w:t>
      </w:r>
      <w:r w:rsidR="00A3491E">
        <w:rPr>
          <w:rFonts w:ascii="Times New Roman" w:eastAsia="Calibri" w:hAnsi="Times New Roman" w:cs="Times New Roman"/>
          <w:bCs/>
          <w:iCs/>
          <w:sz w:val="24"/>
          <w:szCs w:val="24"/>
        </w:rPr>
        <w:t xml:space="preserve"> (art.</w:t>
      </w:r>
      <w:r w:rsidR="003F6751">
        <w:rPr>
          <w:rFonts w:ascii="Times New Roman" w:eastAsia="Calibri" w:hAnsi="Times New Roman" w:cs="Times New Roman"/>
          <w:bCs/>
          <w:iCs/>
          <w:sz w:val="24"/>
          <w:szCs w:val="24"/>
        </w:rPr>
        <w:t xml:space="preserve"> </w:t>
      </w:r>
      <w:r w:rsidR="00A3491E">
        <w:rPr>
          <w:rFonts w:ascii="Times New Roman" w:eastAsia="Calibri" w:hAnsi="Times New Roman" w:cs="Times New Roman"/>
          <w:bCs/>
          <w:iCs/>
          <w:sz w:val="24"/>
          <w:szCs w:val="24"/>
        </w:rPr>
        <w:t>54 § 1 KRiO)</w:t>
      </w:r>
      <w:r w:rsidRPr="00EC4F1A">
        <w:rPr>
          <w:rFonts w:ascii="Times New Roman" w:eastAsia="Calibri" w:hAnsi="Times New Roman" w:cs="Times New Roman"/>
          <w:bCs/>
          <w:iCs/>
          <w:sz w:val="24"/>
          <w:szCs w:val="24"/>
        </w:rPr>
        <w:t>.</w:t>
      </w:r>
      <w:r w:rsidR="0086554B">
        <w:rPr>
          <w:rFonts w:ascii="Times New Roman" w:eastAsia="Calibri" w:hAnsi="Times New Roman" w:cs="Times New Roman"/>
          <w:bCs/>
          <w:iCs/>
          <w:sz w:val="24"/>
          <w:szCs w:val="24"/>
        </w:rPr>
        <w:t xml:space="preserve"> </w:t>
      </w:r>
    </w:p>
    <w:p w14:paraId="4AC4D828" w14:textId="3D90B59B" w:rsidR="00995429" w:rsidRDefault="00995429" w:rsidP="00995429">
      <w:pPr>
        <w:spacing w:before="120" w:line="36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2</w:t>
      </w:r>
      <w:r w:rsidR="004657D2">
        <w:rPr>
          <w:rFonts w:ascii="Times New Roman" w:eastAsia="Calibri" w:hAnsi="Times New Roman" w:cs="Times New Roman"/>
          <w:b/>
          <w:iCs/>
          <w:sz w:val="24"/>
          <w:szCs w:val="24"/>
        </w:rPr>
        <w:t>) Rozstrzygni</w:t>
      </w:r>
      <w:r w:rsidR="00B87A14">
        <w:rPr>
          <w:rFonts w:ascii="Times New Roman" w:eastAsia="Calibri" w:hAnsi="Times New Roman" w:cs="Times New Roman"/>
          <w:b/>
          <w:iCs/>
          <w:sz w:val="24"/>
          <w:szCs w:val="24"/>
        </w:rPr>
        <w:t>ę</w:t>
      </w:r>
      <w:r w:rsidR="004657D2">
        <w:rPr>
          <w:rFonts w:ascii="Times New Roman" w:eastAsia="Calibri" w:hAnsi="Times New Roman" w:cs="Times New Roman"/>
          <w:b/>
          <w:iCs/>
          <w:sz w:val="24"/>
          <w:szCs w:val="24"/>
        </w:rPr>
        <w:t xml:space="preserve">cie wątpliwości związanych z </w:t>
      </w:r>
      <w:r w:rsidR="00735C7C">
        <w:rPr>
          <w:rFonts w:ascii="Times New Roman" w:eastAsia="Calibri" w:hAnsi="Times New Roman" w:cs="Times New Roman"/>
          <w:b/>
          <w:iCs/>
          <w:sz w:val="24"/>
          <w:szCs w:val="24"/>
        </w:rPr>
        <w:t xml:space="preserve">ustaleniem </w:t>
      </w:r>
      <w:r w:rsidR="008F0D14">
        <w:rPr>
          <w:rFonts w:ascii="Times New Roman" w:eastAsia="Calibri" w:hAnsi="Times New Roman" w:cs="Times New Roman"/>
          <w:b/>
          <w:iCs/>
          <w:sz w:val="24"/>
          <w:szCs w:val="24"/>
        </w:rPr>
        <w:t>moment</w:t>
      </w:r>
      <w:r w:rsidR="00735C7C">
        <w:rPr>
          <w:rFonts w:ascii="Times New Roman" w:eastAsia="Calibri" w:hAnsi="Times New Roman" w:cs="Times New Roman"/>
          <w:b/>
          <w:iCs/>
          <w:sz w:val="24"/>
          <w:szCs w:val="24"/>
        </w:rPr>
        <w:t>u</w:t>
      </w:r>
      <w:r w:rsidR="008F0D14">
        <w:rPr>
          <w:rFonts w:ascii="Times New Roman" w:eastAsia="Calibri" w:hAnsi="Times New Roman" w:cs="Times New Roman"/>
          <w:b/>
          <w:iCs/>
          <w:sz w:val="24"/>
          <w:szCs w:val="24"/>
        </w:rPr>
        <w:t xml:space="preserve"> powstania przychodów z tytułu </w:t>
      </w:r>
      <w:r w:rsidR="004657D2" w:rsidRPr="004657D2">
        <w:rPr>
          <w:rFonts w:ascii="Times New Roman" w:eastAsia="Calibri" w:hAnsi="Times New Roman" w:cs="Times New Roman"/>
          <w:b/>
          <w:bCs/>
          <w:iCs/>
          <w:sz w:val="24"/>
          <w:szCs w:val="24"/>
        </w:rPr>
        <w:t xml:space="preserve">waloryzacji środków na tzw. </w:t>
      </w:r>
      <w:r w:rsidR="007E71CC">
        <w:rPr>
          <w:rFonts w:ascii="Times New Roman" w:eastAsia="Calibri" w:hAnsi="Times New Roman" w:cs="Times New Roman"/>
          <w:b/>
          <w:bCs/>
          <w:iCs/>
          <w:sz w:val="24"/>
          <w:szCs w:val="24"/>
        </w:rPr>
        <w:t>„</w:t>
      </w:r>
      <w:r w:rsidR="004657D2" w:rsidRPr="004657D2">
        <w:rPr>
          <w:rFonts w:ascii="Times New Roman" w:eastAsia="Calibri" w:hAnsi="Times New Roman" w:cs="Times New Roman"/>
          <w:b/>
          <w:bCs/>
          <w:iCs/>
          <w:sz w:val="24"/>
          <w:szCs w:val="24"/>
        </w:rPr>
        <w:t>rachunkach uśpionych</w:t>
      </w:r>
      <w:r w:rsidR="007E71CC">
        <w:rPr>
          <w:rFonts w:ascii="Times New Roman" w:eastAsia="Calibri" w:hAnsi="Times New Roman" w:cs="Times New Roman"/>
          <w:b/>
          <w:bCs/>
          <w:iCs/>
          <w:sz w:val="24"/>
          <w:szCs w:val="24"/>
        </w:rPr>
        <w:t>”</w:t>
      </w:r>
      <w:r w:rsidR="004657D2">
        <w:rPr>
          <w:rFonts w:ascii="Times New Roman" w:eastAsia="Calibri" w:hAnsi="Times New Roman" w:cs="Times New Roman"/>
          <w:b/>
          <w:bCs/>
          <w:iCs/>
          <w:sz w:val="24"/>
          <w:szCs w:val="24"/>
        </w:rPr>
        <w:t xml:space="preserve"> </w:t>
      </w:r>
      <w:r w:rsidR="008F0D14">
        <w:rPr>
          <w:rFonts w:ascii="Times New Roman" w:eastAsia="Calibri" w:hAnsi="Times New Roman" w:cs="Times New Roman"/>
          <w:b/>
          <w:bCs/>
          <w:iCs/>
          <w:sz w:val="24"/>
          <w:szCs w:val="24"/>
        </w:rPr>
        <w:t xml:space="preserve">oraz ich </w:t>
      </w:r>
      <w:r w:rsidR="008F0D14">
        <w:rPr>
          <w:rFonts w:ascii="Times New Roman" w:eastAsia="Calibri" w:hAnsi="Times New Roman" w:cs="Times New Roman"/>
          <w:b/>
          <w:iCs/>
          <w:sz w:val="24"/>
          <w:szCs w:val="24"/>
        </w:rPr>
        <w:t xml:space="preserve">klasyfikacji </w:t>
      </w:r>
      <w:r w:rsidR="008F0D14" w:rsidRPr="004657D2">
        <w:rPr>
          <w:rFonts w:ascii="Times New Roman" w:eastAsia="Calibri" w:hAnsi="Times New Roman" w:cs="Times New Roman"/>
          <w:b/>
          <w:bCs/>
          <w:iCs/>
          <w:sz w:val="24"/>
          <w:szCs w:val="24"/>
        </w:rPr>
        <w:t xml:space="preserve">do określonego źródła przychodów </w:t>
      </w:r>
      <w:r w:rsidR="004657D2">
        <w:rPr>
          <w:rFonts w:ascii="Times New Roman" w:eastAsia="Calibri" w:hAnsi="Times New Roman" w:cs="Times New Roman"/>
          <w:b/>
          <w:bCs/>
          <w:iCs/>
          <w:sz w:val="24"/>
          <w:szCs w:val="24"/>
        </w:rPr>
        <w:t xml:space="preserve">poprzez jednoznaczne przesądzenie, iż </w:t>
      </w:r>
      <w:r w:rsidR="00E91F0F">
        <w:rPr>
          <w:rFonts w:ascii="Times New Roman" w:eastAsia="Calibri" w:hAnsi="Times New Roman" w:cs="Times New Roman"/>
          <w:b/>
          <w:bCs/>
          <w:iCs/>
          <w:sz w:val="24"/>
          <w:szCs w:val="24"/>
        </w:rPr>
        <w:t xml:space="preserve">przychody te </w:t>
      </w:r>
      <w:r w:rsidR="00735C7C">
        <w:rPr>
          <w:rFonts w:ascii="Times New Roman" w:eastAsia="Calibri" w:hAnsi="Times New Roman" w:cs="Times New Roman"/>
          <w:b/>
          <w:bCs/>
          <w:iCs/>
          <w:sz w:val="24"/>
          <w:szCs w:val="24"/>
        </w:rPr>
        <w:t xml:space="preserve">będą powstawały w dacie dokonania waloryzacji i będą klasyfikowane do źródła kapitały pieniężne </w:t>
      </w:r>
      <w:r w:rsidR="004657D2" w:rsidRPr="0027548A">
        <w:rPr>
          <w:rFonts w:ascii="Times New Roman" w:eastAsia="Calibri" w:hAnsi="Times New Roman" w:cs="Times New Roman"/>
          <w:bCs/>
          <w:iCs/>
          <w:sz w:val="24"/>
          <w:szCs w:val="24"/>
        </w:rPr>
        <w:t>(zmien</w:t>
      </w:r>
      <w:r w:rsidR="00735C7C">
        <w:rPr>
          <w:rFonts w:ascii="Times New Roman" w:eastAsia="Calibri" w:hAnsi="Times New Roman" w:cs="Times New Roman"/>
          <w:bCs/>
          <w:iCs/>
          <w:sz w:val="24"/>
          <w:szCs w:val="24"/>
        </w:rPr>
        <w:t xml:space="preserve">iany </w:t>
      </w:r>
      <w:r w:rsidR="005B27D3" w:rsidRPr="0027548A">
        <w:rPr>
          <w:rFonts w:ascii="Times New Roman" w:eastAsia="Calibri" w:hAnsi="Times New Roman" w:cs="Times New Roman"/>
          <w:bCs/>
          <w:iCs/>
          <w:sz w:val="24"/>
          <w:szCs w:val="24"/>
        </w:rPr>
        <w:t>art. 11 ust. 1</w:t>
      </w:r>
      <w:r w:rsidR="00624687">
        <w:rPr>
          <w:rFonts w:ascii="Times New Roman" w:eastAsia="Calibri" w:hAnsi="Times New Roman" w:cs="Times New Roman"/>
          <w:bCs/>
          <w:iCs/>
          <w:sz w:val="24"/>
          <w:szCs w:val="24"/>
        </w:rPr>
        <w:t>,</w:t>
      </w:r>
      <w:r w:rsidR="005B27D3" w:rsidRPr="0027548A">
        <w:rPr>
          <w:rFonts w:ascii="Times New Roman" w:eastAsia="Calibri" w:hAnsi="Times New Roman" w:cs="Times New Roman"/>
          <w:bCs/>
          <w:iCs/>
          <w:sz w:val="24"/>
          <w:szCs w:val="24"/>
        </w:rPr>
        <w:t xml:space="preserve"> art. 17 ust. 1 pkt 2</w:t>
      </w:r>
      <w:r w:rsidR="00624687">
        <w:rPr>
          <w:rFonts w:ascii="Times New Roman" w:eastAsia="Calibri" w:hAnsi="Times New Roman" w:cs="Times New Roman"/>
          <w:bCs/>
          <w:iCs/>
          <w:sz w:val="24"/>
          <w:szCs w:val="24"/>
        </w:rPr>
        <w:t xml:space="preserve"> i art. 30a ust. 1 pkt 3</w:t>
      </w:r>
      <w:r w:rsidR="005B27D3" w:rsidRPr="0027548A">
        <w:rPr>
          <w:rFonts w:ascii="Times New Roman" w:eastAsia="Calibri" w:hAnsi="Times New Roman" w:cs="Times New Roman"/>
          <w:bCs/>
          <w:iCs/>
          <w:sz w:val="24"/>
          <w:szCs w:val="24"/>
        </w:rPr>
        <w:t xml:space="preserve"> </w:t>
      </w:r>
      <w:r w:rsidR="004657D2" w:rsidRPr="0027548A">
        <w:rPr>
          <w:rFonts w:ascii="Times New Roman" w:eastAsia="Calibri" w:hAnsi="Times New Roman" w:cs="Times New Roman"/>
          <w:bCs/>
          <w:iCs/>
          <w:sz w:val="24"/>
          <w:szCs w:val="24"/>
        </w:rPr>
        <w:t xml:space="preserve">oraz dodawany art. 17 </w:t>
      </w:r>
      <w:r w:rsidR="005B27D3" w:rsidRPr="0027548A">
        <w:rPr>
          <w:rFonts w:ascii="Times New Roman" w:eastAsia="Calibri" w:hAnsi="Times New Roman" w:cs="Times New Roman"/>
          <w:bCs/>
          <w:iCs/>
          <w:sz w:val="24"/>
          <w:szCs w:val="24"/>
        </w:rPr>
        <w:t>ust. 1j ustawy</w:t>
      </w:r>
      <w:r w:rsidR="004657D2" w:rsidRPr="0027548A">
        <w:rPr>
          <w:rFonts w:ascii="Times New Roman" w:eastAsia="Calibri" w:hAnsi="Times New Roman" w:cs="Times New Roman"/>
          <w:bCs/>
          <w:iCs/>
          <w:sz w:val="24"/>
          <w:szCs w:val="24"/>
        </w:rPr>
        <w:t xml:space="preserve"> o</w:t>
      </w:r>
      <w:r w:rsidR="005B27D3" w:rsidRPr="0027548A">
        <w:rPr>
          <w:rFonts w:ascii="Times New Roman" w:eastAsia="Calibri" w:hAnsi="Times New Roman" w:cs="Times New Roman"/>
          <w:bCs/>
          <w:iCs/>
          <w:sz w:val="24"/>
          <w:szCs w:val="24"/>
        </w:rPr>
        <w:t xml:space="preserve"> PIT</w:t>
      </w:r>
      <w:r w:rsidR="004657D2" w:rsidRPr="0027548A">
        <w:rPr>
          <w:rFonts w:ascii="Times New Roman" w:eastAsia="Calibri" w:hAnsi="Times New Roman" w:cs="Times New Roman"/>
          <w:bCs/>
          <w:iCs/>
          <w:sz w:val="24"/>
          <w:szCs w:val="24"/>
        </w:rPr>
        <w:t>)</w:t>
      </w:r>
      <w:r w:rsidR="004657D2">
        <w:rPr>
          <w:rFonts w:ascii="Times New Roman" w:eastAsia="Calibri" w:hAnsi="Times New Roman" w:cs="Times New Roman"/>
          <w:b/>
          <w:iCs/>
          <w:sz w:val="24"/>
          <w:szCs w:val="24"/>
        </w:rPr>
        <w:t xml:space="preserve"> </w:t>
      </w:r>
      <w:r w:rsidR="004657D2" w:rsidRPr="00793CFC">
        <w:rPr>
          <w:rFonts w:ascii="Times New Roman" w:eastAsia="Calibri" w:hAnsi="Times New Roman" w:cs="Times New Roman"/>
          <w:bCs/>
          <w:iCs/>
          <w:sz w:val="24"/>
          <w:szCs w:val="24"/>
        </w:rPr>
        <w:t>–</w:t>
      </w:r>
      <w:r w:rsidR="008F269E">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art. 1 pkt 2</w:t>
      </w:r>
      <w:r w:rsidR="00A45FB5">
        <w:rPr>
          <w:rFonts w:ascii="Times New Roman" w:eastAsia="Calibri" w:hAnsi="Times New Roman" w:cs="Times New Roman"/>
          <w:b/>
          <w:iCs/>
          <w:sz w:val="24"/>
          <w:szCs w:val="24"/>
        </w:rPr>
        <w:t>,</w:t>
      </w:r>
      <w:r>
        <w:rPr>
          <w:rFonts w:ascii="Times New Roman" w:eastAsia="Calibri" w:hAnsi="Times New Roman" w:cs="Times New Roman"/>
          <w:b/>
          <w:iCs/>
          <w:sz w:val="24"/>
          <w:szCs w:val="24"/>
        </w:rPr>
        <w:t xml:space="preserve"> pkt 3</w:t>
      </w:r>
      <w:r w:rsidR="00A45FB5">
        <w:rPr>
          <w:rFonts w:ascii="Times New Roman" w:eastAsia="Calibri" w:hAnsi="Times New Roman" w:cs="Times New Roman"/>
          <w:b/>
          <w:iCs/>
          <w:sz w:val="24"/>
          <w:szCs w:val="24"/>
        </w:rPr>
        <w:t xml:space="preserve"> lit. a tiret</w:t>
      </w:r>
      <w:r w:rsidR="0092538A">
        <w:rPr>
          <w:rFonts w:ascii="Times New Roman" w:eastAsia="Calibri" w:hAnsi="Times New Roman" w:cs="Times New Roman"/>
          <w:b/>
          <w:iCs/>
          <w:sz w:val="24"/>
          <w:szCs w:val="24"/>
        </w:rPr>
        <w:t xml:space="preserve"> </w:t>
      </w:r>
      <w:r w:rsidR="00A45FB5">
        <w:rPr>
          <w:rFonts w:ascii="Times New Roman" w:eastAsia="Calibri" w:hAnsi="Times New Roman" w:cs="Times New Roman"/>
          <w:b/>
          <w:iCs/>
          <w:sz w:val="24"/>
          <w:szCs w:val="24"/>
        </w:rPr>
        <w:t>pierwsze, lit. b oraz</w:t>
      </w:r>
      <w:r w:rsidR="0092538A">
        <w:rPr>
          <w:rFonts w:ascii="Times New Roman" w:eastAsia="Calibri" w:hAnsi="Times New Roman" w:cs="Times New Roman"/>
          <w:b/>
          <w:iCs/>
          <w:sz w:val="24"/>
          <w:szCs w:val="24"/>
        </w:rPr>
        <w:t xml:space="preserve"> </w:t>
      </w:r>
      <w:r w:rsidR="00A45FB5">
        <w:rPr>
          <w:rFonts w:ascii="Times New Roman" w:eastAsia="Calibri" w:hAnsi="Times New Roman" w:cs="Times New Roman"/>
          <w:b/>
          <w:iCs/>
          <w:sz w:val="24"/>
          <w:szCs w:val="24"/>
        </w:rPr>
        <w:t xml:space="preserve">pkt 13 lit. a </w:t>
      </w:r>
      <w:r>
        <w:rPr>
          <w:rFonts w:ascii="Times New Roman" w:eastAsia="Calibri" w:hAnsi="Times New Roman" w:cs="Times New Roman"/>
          <w:b/>
          <w:iCs/>
          <w:sz w:val="24"/>
          <w:szCs w:val="24"/>
        </w:rPr>
        <w:t xml:space="preserve">projektu </w:t>
      </w:r>
    </w:p>
    <w:p w14:paraId="00A4DFD8" w14:textId="176D3DDC" w:rsidR="00A71ADD" w:rsidRDefault="005B27D3" w:rsidP="00A71ADD">
      <w:pPr>
        <w:spacing w:before="120" w:line="360" w:lineRule="auto"/>
        <w:jc w:val="both"/>
        <w:rPr>
          <w:rFonts w:ascii="Times New Roman" w:hAnsi="Times New Roman" w:cs="Times New Roman"/>
          <w:sz w:val="24"/>
          <w:szCs w:val="24"/>
        </w:rPr>
      </w:pPr>
      <w:r w:rsidRPr="00852ECF">
        <w:rPr>
          <w:rFonts w:ascii="Times New Roman" w:hAnsi="Times New Roman" w:cs="Times New Roman"/>
          <w:sz w:val="24"/>
          <w:szCs w:val="24"/>
        </w:rPr>
        <w:t>Zmiana ma charakter precyz</w:t>
      </w:r>
      <w:r w:rsidR="00E91F0F">
        <w:rPr>
          <w:rFonts w:ascii="Times New Roman" w:hAnsi="Times New Roman" w:cs="Times New Roman"/>
          <w:sz w:val="24"/>
          <w:szCs w:val="24"/>
        </w:rPr>
        <w:t>ujący</w:t>
      </w:r>
      <w:r w:rsidRPr="00852ECF">
        <w:rPr>
          <w:rFonts w:ascii="Times New Roman" w:hAnsi="Times New Roman" w:cs="Times New Roman"/>
          <w:sz w:val="24"/>
          <w:szCs w:val="24"/>
        </w:rPr>
        <w:t>. Podstawą zmiany są wątpliwości</w:t>
      </w:r>
      <w:r w:rsidR="00BB4878">
        <w:rPr>
          <w:rFonts w:ascii="Times New Roman" w:hAnsi="Times New Roman" w:cs="Times New Roman"/>
          <w:sz w:val="24"/>
          <w:szCs w:val="24"/>
        </w:rPr>
        <w:t xml:space="preserve"> </w:t>
      </w:r>
      <w:r w:rsidR="00BB4878" w:rsidRPr="00E14F17">
        <w:rPr>
          <w:rFonts w:ascii="Times New Roman" w:hAnsi="Times New Roman" w:cs="Times New Roman"/>
          <w:sz w:val="24"/>
          <w:szCs w:val="24"/>
        </w:rPr>
        <w:t xml:space="preserve">dotyczące zasad opodatkowania </w:t>
      </w:r>
      <w:r w:rsidR="00E14F17">
        <w:rPr>
          <w:rFonts w:ascii="Times New Roman" w:hAnsi="Times New Roman" w:cs="Times New Roman"/>
          <w:sz w:val="24"/>
          <w:szCs w:val="24"/>
        </w:rPr>
        <w:t>PIT</w:t>
      </w:r>
      <w:r w:rsidR="00BB4878" w:rsidRPr="00E14F17">
        <w:rPr>
          <w:rFonts w:ascii="Times New Roman" w:hAnsi="Times New Roman" w:cs="Times New Roman"/>
          <w:sz w:val="24"/>
          <w:szCs w:val="24"/>
        </w:rPr>
        <w:t>,</w:t>
      </w:r>
      <w:r w:rsidRPr="00BB4878">
        <w:rPr>
          <w:rFonts w:ascii="Times New Roman" w:hAnsi="Times New Roman" w:cs="Times New Roman"/>
          <w:sz w:val="24"/>
          <w:szCs w:val="24"/>
        </w:rPr>
        <w:t xml:space="preserve"> </w:t>
      </w:r>
      <w:r w:rsidRPr="00852ECF">
        <w:rPr>
          <w:rFonts w:ascii="Times New Roman" w:hAnsi="Times New Roman" w:cs="Times New Roman"/>
          <w:sz w:val="24"/>
          <w:szCs w:val="24"/>
        </w:rPr>
        <w:t>związane z</w:t>
      </w:r>
      <w:r w:rsidR="004657D2">
        <w:rPr>
          <w:rFonts w:ascii="Times New Roman" w:hAnsi="Times New Roman" w:cs="Times New Roman"/>
          <w:sz w:val="24"/>
          <w:szCs w:val="24"/>
        </w:rPr>
        <w:t> </w:t>
      </w:r>
      <w:r w:rsidRPr="00852ECF">
        <w:rPr>
          <w:rFonts w:ascii="Times New Roman" w:hAnsi="Times New Roman" w:cs="Times New Roman"/>
          <w:sz w:val="24"/>
          <w:szCs w:val="24"/>
        </w:rPr>
        <w:t>wprowadzoną</w:t>
      </w:r>
      <w:r>
        <w:rPr>
          <w:rFonts w:ascii="Times New Roman" w:hAnsi="Times New Roman" w:cs="Times New Roman"/>
          <w:sz w:val="24"/>
          <w:szCs w:val="24"/>
        </w:rPr>
        <w:t xml:space="preserve"> </w:t>
      </w:r>
      <w:r w:rsidRPr="00FC49FB">
        <w:rPr>
          <w:rFonts w:ascii="Times New Roman" w:hAnsi="Times New Roman" w:cs="Times New Roman"/>
          <w:sz w:val="24"/>
          <w:szCs w:val="24"/>
        </w:rPr>
        <w:t xml:space="preserve">przepisami </w:t>
      </w:r>
      <w:r w:rsidR="00C72327">
        <w:rPr>
          <w:rFonts w:ascii="Times New Roman" w:hAnsi="Times New Roman" w:cs="Times New Roman"/>
          <w:sz w:val="24"/>
          <w:szCs w:val="24"/>
        </w:rPr>
        <w:t>ustawy z dnia 29 sierpnia 1997 r. – P</w:t>
      </w:r>
      <w:r w:rsidRPr="00FC49FB">
        <w:rPr>
          <w:rFonts w:ascii="Times New Roman" w:hAnsi="Times New Roman" w:cs="Times New Roman"/>
          <w:sz w:val="24"/>
          <w:szCs w:val="24"/>
        </w:rPr>
        <w:t>raw</w:t>
      </w:r>
      <w:r w:rsidR="00C72327">
        <w:rPr>
          <w:rFonts w:ascii="Times New Roman" w:hAnsi="Times New Roman" w:cs="Times New Roman"/>
          <w:sz w:val="24"/>
          <w:szCs w:val="24"/>
        </w:rPr>
        <w:t>o</w:t>
      </w:r>
      <w:r w:rsidRPr="00FC49FB">
        <w:rPr>
          <w:rFonts w:ascii="Times New Roman" w:hAnsi="Times New Roman" w:cs="Times New Roman"/>
          <w:sz w:val="24"/>
          <w:szCs w:val="24"/>
        </w:rPr>
        <w:t xml:space="preserve"> bankowe</w:t>
      </w:r>
      <w:r w:rsidR="00C72327">
        <w:rPr>
          <w:rStyle w:val="Odwoanieprzypisudolnego"/>
          <w:rFonts w:ascii="Times New Roman" w:hAnsi="Times New Roman" w:cs="Times New Roman"/>
          <w:sz w:val="24"/>
          <w:szCs w:val="24"/>
        </w:rPr>
        <w:footnoteReference w:id="3"/>
      </w:r>
      <w:r w:rsidRPr="00FC49FB">
        <w:rPr>
          <w:rFonts w:ascii="Times New Roman" w:hAnsi="Times New Roman" w:cs="Times New Roman"/>
          <w:sz w:val="24"/>
          <w:szCs w:val="24"/>
        </w:rPr>
        <w:t xml:space="preserve"> </w:t>
      </w:r>
      <w:r w:rsidR="00A71ADD">
        <w:rPr>
          <w:rFonts w:ascii="Times New Roman" w:hAnsi="Times New Roman" w:cs="Times New Roman"/>
          <w:sz w:val="24"/>
          <w:szCs w:val="24"/>
        </w:rPr>
        <w:t>(</w:t>
      </w:r>
      <w:r w:rsidR="00E14F17">
        <w:rPr>
          <w:rFonts w:ascii="Times New Roman" w:hAnsi="Times New Roman" w:cs="Times New Roman"/>
          <w:sz w:val="24"/>
          <w:szCs w:val="24"/>
        </w:rPr>
        <w:t xml:space="preserve">zwanej </w:t>
      </w:r>
      <w:r w:rsidR="00A71ADD">
        <w:rPr>
          <w:rFonts w:ascii="Times New Roman" w:hAnsi="Times New Roman" w:cs="Times New Roman"/>
          <w:sz w:val="24"/>
          <w:szCs w:val="24"/>
        </w:rPr>
        <w:t>dalej „</w:t>
      </w:r>
      <w:r w:rsidR="00A71ADD" w:rsidRPr="0057486F">
        <w:rPr>
          <w:rFonts w:ascii="Times New Roman" w:hAnsi="Times New Roman" w:cs="Times New Roman"/>
          <w:b/>
          <w:bCs/>
          <w:sz w:val="24"/>
          <w:szCs w:val="24"/>
        </w:rPr>
        <w:t>Prawo bankowe</w:t>
      </w:r>
      <w:r w:rsidR="00A71ADD">
        <w:rPr>
          <w:rFonts w:ascii="Times New Roman" w:hAnsi="Times New Roman" w:cs="Times New Roman"/>
          <w:sz w:val="24"/>
          <w:szCs w:val="24"/>
        </w:rPr>
        <w:t xml:space="preserve">”) </w:t>
      </w:r>
      <w:r w:rsidRPr="00FC49FB">
        <w:rPr>
          <w:rFonts w:ascii="Times New Roman" w:hAnsi="Times New Roman" w:cs="Times New Roman"/>
          <w:sz w:val="24"/>
          <w:szCs w:val="24"/>
        </w:rPr>
        <w:t xml:space="preserve">i ustawy </w:t>
      </w:r>
      <w:r w:rsidR="00C72327">
        <w:rPr>
          <w:rFonts w:ascii="Times New Roman" w:hAnsi="Times New Roman" w:cs="Times New Roman"/>
          <w:sz w:val="24"/>
          <w:szCs w:val="24"/>
        </w:rPr>
        <w:t xml:space="preserve">z dnia 5 listopada 2009 r. </w:t>
      </w:r>
      <w:r w:rsidRPr="00FC49FB">
        <w:rPr>
          <w:rFonts w:ascii="Times New Roman" w:hAnsi="Times New Roman" w:cs="Times New Roman"/>
          <w:sz w:val="24"/>
          <w:szCs w:val="24"/>
        </w:rPr>
        <w:t xml:space="preserve">o </w:t>
      </w:r>
      <w:r w:rsidR="00C72327">
        <w:rPr>
          <w:rFonts w:ascii="Times New Roman" w:hAnsi="Times New Roman" w:cs="Times New Roman"/>
          <w:sz w:val="24"/>
          <w:szCs w:val="24"/>
        </w:rPr>
        <w:t>spółdzielczych kasach oszczędnościowo-kredytowych</w:t>
      </w:r>
      <w:r w:rsidR="00C72327">
        <w:rPr>
          <w:rStyle w:val="Odwoanieprzypisudolnego"/>
          <w:rFonts w:ascii="Times New Roman" w:hAnsi="Times New Roman" w:cs="Times New Roman"/>
          <w:sz w:val="24"/>
          <w:szCs w:val="24"/>
        </w:rPr>
        <w:footnoteReference w:id="4"/>
      </w:r>
      <w:r w:rsidR="00A71ADD">
        <w:rPr>
          <w:rFonts w:ascii="Times New Roman" w:hAnsi="Times New Roman" w:cs="Times New Roman"/>
          <w:sz w:val="24"/>
          <w:szCs w:val="24"/>
        </w:rPr>
        <w:t xml:space="preserve"> (</w:t>
      </w:r>
      <w:r w:rsidR="00E14F17">
        <w:rPr>
          <w:rFonts w:ascii="Times New Roman" w:hAnsi="Times New Roman" w:cs="Times New Roman"/>
          <w:sz w:val="24"/>
          <w:szCs w:val="24"/>
        </w:rPr>
        <w:t xml:space="preserve">zwanej </w:t>
      </w:r>
      <w:r w:rsidR="00A71ADD">
        <w:rPr>
          <w:rFonts w:ascii="Times New Roman" w:hAnsi="Times New Roman" w:cs="Times New Roman"/>
          <w:sz w:val="24"/>
          <w:szCs w:val="24"/>
        </w:rPr>
        <w:t>dalej „</w:t>
      </w:r>
      <w:r w:rsidR="00A71ADD" w:rsidRPr="0057486F">
        <w:rPr>
          <w:rFonts w:ascii="Times New Roman" w:hAnsi="Times New Roman" w:cs="Times New Roman"/>
          <w:b/>
          <w:bCs/>
          <w:sz w:val="24"/>
          <w:szCs w:val="24"/>
        </w:rPr>
        <w:t>ustawa o SKOK</w:t>
      </w:r>
      <w:r w:rsidR="00A71ADD">
        <w:rPr>
          <w:rFonts w:ascii="Times New Roman" w:hAnsi="Times New Roman" w:cs="Times New Roman"/>
          <w:sz w:val="24"/>
          <w:szCs w:val="24"/>
        </w:rPr>
        <w:t>”)</w:t>
      </w:r>
      <w:r w:rsidR="00C72327">
        <w:rPr>
          <w:rFonts w:ascii="Times New Roman" w:hAnsi="Times New Roman" w:cs="Times New Roman"/>
          <w:sz w:val="24"/>
          <w:szCs w:val="24"/>
        </w:rPr>
        <w:t xml:space="preserve">, </w:t>
      </w:r>
      <w:r w:rsidRPr="00852ECF">
        <w:rPr>
          <w:rFonts w:ascii="Times New Roman" w:hAnsi="Times New Roman" w:cs="Times New Roman"/>
          <w:sz w:val="24"/>
          <w:szCs w:val="24"/>
        </w:rPr>
        <w:t>zasadą waloryzacji środków znajdujących się na tzw. „rachunku uśpionym”</w:t>
      </w:r>
      <w:r w:rsidR="00E14F17">
        <w:rPr>
          <w:rFonts w:ascii="Times New Roman" w:hAnsi="Times New Roman" w:cs="Times New Roman"/>
          <w:sz w:val="24"/>
          <w:szCs w:val="24"/>
        </w:rPr>
        <w:t>,</w:t>
      </w:r>
      <w:r w:rsidR="00E91F0F">
        <w:rPr>
          <w:rFonts w:ascii="Times New Roman" w:hAnsi="Times New Roman" w:cs="Times New Roman"/>
          <w:sz w:val="24"/>
          <w:szCs w:val="24"/>
        </w:rPr>
        <w:t xml:space="preserve"> tj. rachunku, na </w:t>
      </w:r>
      <w:r w:rsidRPr="00852ECF">
        <w:rPr>
          <w:rFonts w:ascii="Times New Roman" w:hAnsi="Times New Roman" w:cs="Times New Roman"/>
          <w:sz w:val="24"/>
          <w:szCs w:val="24"/>
        </w:rPr>
        <w:t>którego</w:t>
      </w:r>
      <w:r w:rsidR="00E91F0F">
        <w:rPr>
          <w:rFonts w:ascii="Times New Roman" w:hAnsi="Times New Roman" w:cs="Times New Roman"/>
          <w:sz w:val="24"/>
          <w:szCs w:val="24"/>
        </w:rPr>
        <w:t xml:space="preserve"> prowadzenie</w:t>
      </w:r>
      <w:r w:rsidRPr="00852ECF">
        <w:rPr>
          <w:rFonts w:ascii="Times New Roman" w:hAnsi="Times New Roman" w:cs="Times New Roman"/>
          <w:sz w:val="24"/>
          <w:szCs w:val="24"/>
        </w:rPr>
        <w:t xml:space="preserve"> umowa wygasła wskutek niewykazania przez posiadacza żadnej aktywności w odniesieniu do takiego rachunku w okresie 10 lat (niezłożenie przez posiadacza jakiejkolwiek dyspozycji dotyczącej </w:t>
      </w:r>
      <w:r w:rsidR="00E91F0F">
        <w:rPr>
          <w:rFonts w:ascii="Times New Roman" w:hAnsi="Times New Roman" w:cs="Times New Roman"/>
          <w:sz w:val="24"/>
          <w:szCs w:val="24"/>
        </w:rPr>
        <w:t xml:space="preserve">takiego </w:t>
      </w:r>
      <w:r w:rsidRPr="00852ECF">
        <w:rPr>
          <w:rFonts w:ascii="Times New Roman" w:hAnsi="Times New Roman" w:cs="Times New Roman"/>
          <w:sz w:val="24"/>
          <w:szCs w:val="24"/>
        </w:rPr>
        <w:t xml:space="preserve">rachunku). </w:t>
      </w:r>
      <w:r w:rsidR="00A71ADD" w:rsidRPr="00E14F17">
        <w:rPr>
          <w:rFonts w:ascii="Times New Roman" w:hAnsi="Times New Roman" w:cs="Times New Roman"/>
          <w:sz w:val="24"/>
          <w:szCs w:val="24"/>
        </w:rPr>
        <w:t>Zgodnie z obowiązującymi od 1 lipca 2016 r.</w:t>
      </w:r>
      <w:r w:rsidR="00A71ADD" w:rsidRPr="00E14F17">
        <w:rPr>
          <w:rStyle w:val="Odwoanieprzypisudolnego"/>
          <w:rFonts w:ascii="Times New Roman" w:hAnsi="Times New Roman" w:cs="Times New Roman"/>
          <w:sz w:val="24"/>
          <w:szCs w:val="24"/>
        </w:rPr>
        <w:footnoteReference w:id="5"/>
      </w:r>
      <w:r w:rsidR="00A71ADD" w:rsidRPr="00E14F17">
        <w:rPr>
          <w:rFonts w:ascii="Times New Roman" w:hAnsi="Times New Roman" w:cs="Times New Roman"/>
          <w:sz w:val="24"/>
          <w:szCs w:val="24"/>
        </w:rPr>
        <w:t xml:space="preserve"> przepisami Prawa bankowego</w:t>
      </w:r>
      <w:r w:rsidR="00A71ADD" w:rsidRPr="00E14F17">
        <w:rPr>
          <w:rStyle w:val="Odwoanieprzypisudolnego"/>
          <w:rFonts w:ascii="Times New Roman" w:hAnsi="Times New Roman" w:cs="Times New Roman"/>
          <w:sz w:val="24"/>
          <w:szCs w:val="24"/>
        </w:rPr>
        <w:t xml:space="preserve"> </w:t>
      </w:r>
      <w:r w:rsidR="00A71ADD" w:rsidRPr="00E14F17">
        <w:rPr>
          <w:rFonts w:ascii="Times New Roman" w:hAnsi="Times New Roman" w:cs="Times New Roman"/>
          <w:sz w:val="24"/>
          <w:szCs w:val="24"/>
        </w:rPr>
        <w:t>i ustawy o SKOK</w:t>
      </w:r>
      <w:r w:rsidR="008F269E">
        <w:rPr>
          <w:rFonts w:ascii="Times New Roman" w:hAnsi="Times New Roman" w:cs="Times New Roman"/>
          <w:sz w:val="24"/>
          <w:szCs w:val="24"/>
        </w:rPr>
        <w:t xml:space="preserve"> </w:t>
      </w:r>
      <w:r w:rsidR="00A71ADD" w:rsidRPr="00E14F17">
        <w:rPr>
          <w:rFonts w:ascii="Times New Roman" w:hAnsi="Times New Roman" w:cs="Times New Roman"/>
          <w:sz w:val="24"/>
          <w:szCs w:val="24"/>
        </w:rPr>
        <w:t>–</w:t>
      </w:r>
      <w:r w:rsidR="008F269E">
        <w:rPr>
          <w:rFonts w:ascii="Times New Roman" w:hAnsi="Times New Roman" w:cs="Times New Roman"/>
          <w:sz w:val="24"/>
          <w:szCs w:val="24"/>
        </w:rPr>
        <w:t xml:space="preserve"> </w:t>
      </w:r>
      <w:r w:rsidR="00A71ADD" w:rsidRPr="00E14F17">
        <w:rPr>
          <w:rFonts w:ascii="Times New Roman" w:hAnsi="Times New Roman" w:cs="Times New Roman"/>
          <w:sz w:val="24"/>
          <w:szCs w:val="24"/>
        </w:rPr>
        <w:t>gdy umowa rachunku bankowego (niezawarta w związku z prowadzeniem działalności gospodarczej) lub imiennego rachunku członka SKOK została zawarta na czas oznaczony nie dłuższy niż 10 lat i jest ona odnawialna, to odnawianie takie (przedłużanie) może następować bez złożenia dyspozycji przez posiadacza rachunku, tylko jeżeli na skutek odnowienia umowa ta wiązałaby nie dłużej niż 10 lat. W</w:t>
      </w:r>
      <w:r w:rsidR="00634818">
        <w:rPr>
          <w:rFonts w:ascii="Times New Roman" w:hAnsi="Times New Roman" w:cs="Times New Roman"/>
          <w:sz w:val="24"/>
          <w:szCs w:val="24"/>
        </w:rPr>
        <w:t> </w:t>
      </w:r>
      <w:r w:rsidR="00A71ADD" w:rsidRPr="00E14F17">
        <w:rPr>
          <w:rFonts w:ascii="Times New Roman" w:hAnsi="Times New Roman" w:cs="Times New Roman"/>
          <w:sz w:val="24"/>
          <w:szCs w:val="24"/>
        </w:rPr>
        <w:t>przypadku braku takiej dyspozycji umowa rachunku wygasa z mocy prawa. Z kolei</w:t>
      </w:r>
      <w:r w:rsidR="00E14F17">
        <w:rPr>
          <w:rFonts w:ascii="Times New Roman" w:hAnsi="Times New Roman" w:cs="Times New Roman"/>
          <w:sz w:val="24"/>
          <w:szCs w:val="24"/>
        </w:rPr>
        <w:t>,</w:t>
      </w:r>
      <w:r w:rsidR="00A71ADD" w:rsidRPr="00E14F17">
        <w:rPr>
          <w:rFonts w:ascii="Times New Roman" w:hAnsi="Times New Roman" w:cs="Times New Roman"/>
          <w:sz w:val="24"/>
          <w:szCs w:val="24"/>
        </w:rPr>
        <w:t xml:space="preserve"> jeżeli umowa rachunku jest zawarta na czas oznaczony dłuższy niż 10 lat, przedłużenie jej może </w:t>
      </w:r>
      <w:r w:rsidR="00A71ADD" w:rsidRPr="00E14F17">
        <w:rPr>
          <w:rFonts w:ascii="Times New Roman" w:hAnsi="Times New Roman" w:cs="Times New Roman"/>
          <w:sz w:val="24"/>
          <w:szCs w:val="24"/>
        </w:rPr>
        <w:lastRenderedPageBreak/>
        <w:t xml:space="preserve">nastąpić tylko przez wydanie dyspozycji przez oszczędzającego. W przypadku braku takiej dyspozycji umowa rachunku wygasa z mocy prawa. </w:t>
      </w:r>
    </w:p>
    <w:p w14:paraId="2512E616" w14:textId="54EAF238" w:rsidR="00A71ADD" w:rsidRPr="00E14F17" w:rsidRDefault="00A71ADD" w:rsidP="00E14F17">
      <w:pPr>
        <w:spacing w:before="120" w:line="360" w:lineRule="auto"/>
        <w:jc w:val="both"/>
        <w:rPr>
          <w:rFonts w:ascii="Times New Roman" w:hAnsi="Times New Roman" w:cs="Times New Roman"/>
          <w:sz w:val="24"/>
          <w:szCs w:val="24"/>
        </w:rPr>
      </w:pPr>
      <w:r w:rsidRPr="00E14F17">
        <w:rPr>
          <w:rFonts w:ascii="Times New Roman" w:hAnsi="Times New Roman" w:cs="Times New Roman"/>
          <w:sz w:val="24"/>
          <w:szCs w:val="24"/>
        </w:rPr>
        <w:t xml:space="preserve">Waloryzacją objęte są środki na rachunkach, których umowy zostały zawarte od 1 lipca 2016 r. W konsekwencji waloryzacja środków pieniężnych znajdujących się na tych rachunkach będzie następowała począwszy od 1 lipca 2026 r. </w:t>
      </w:r>
    </w:p>
    <w:p w14:paraId="6F6649BB" w14:textId="48973F72" w:rsidR="005B27D3" w:rsidRPr="007418DB" w:rsidRDefault="005B27D3" w:rsidP="004C172B">
      <w:pPr>
        <w:spacing w:before="120" w:line="360" w:lineRule="auto"/>
        <w:jc w:val="both"/>
        <w:rPr>
          <w:rFonts w:ascii="Times New Roman" w:hAnsi="Times New Roman" w:cs="Times New Roman"/>
          <w:sz w:val="24"/>
          <w:szCs w:val="24"/>
        </w:rPr>
      </w:pPr>
      <w:r w:rsidRPr="007418DB">
        <w:rPr>
          <w:rFonts w:ascii="Times New Roman" w:hAnsi="Times New Roman" w:cs="Times New Roman"/>
          <w:sz w:val="24"/>
          <w:szCs w:val="24"/>
        </w:rPr>
        <w:t>Zgodnie z art. 59a ust. 5 Praw</w:t>
      </w:r>
      <w:r w:rsidR="00A71ADD">
        <w:rPr>
          <w:rFonts w:ascii="Times New Roman" w:hAnsi="Times New Roman" w:cs="Times New Roman"/>
          <w:sz w:val="24"/>
          <w:szCs w:val="24"/>
        </w:rPr>
        <w:t>a</w:t>
      </w:r>
      <w:r w:rsidRPr="007418DB">
        <w:rPr>
          <w:rFonts w:ascii="Times New Roman" w:hAnsi="Times New Roman" w:cs="Times New Roman"/>
          <w:sz w:val="24"/>
          <w:szCs w:val="24"/>
        </w:rPr>
        <w:t xml:space="preserve"> bankowe</w:t>
      </w:r>
      <w:r w:rsidR="00A71ADD">
        <w:rPr>
          <w:rFonts w:ascii="Times New Roman" w:hAnsi="Times New Roman" w:cs="Times New Roman"/>
          <w:sz w:val="24"/>
          <w:szCs w:val="24"/>
        </w:rPr>
        <w:t>go</w:t>
      </w:r>
      <w:r w:rsidRPr="007418DB">
        <w:rPr>
          <w:rFonts w:ascii="Times New Roman" w:hAnsi="Times New Roman" w:cs="Times New Roman"/>
          <w:sz w:val="24"/>
          <w:szCs w:val="24"/>
        </w:rPr>
        <w:t xml:space="preserve"> </w:t>
      </w:r>
      <w:r w:rsidR="00FC49FB">
        <w:rPr>
          <w:rFonts w:ascii="Times New Roman" w:hAnsi="Times New Roman" w:cs="Times New Roman"/>
          <w:sz w:val="24"/>
          <w:szCs w:val="24"/>
        </w:rPr>
        <w:t>oraz</w:t>
      </w:r>
      <w:r w:rsidRPr="007418DB">
        <w:rPr>
          <w:rFonts w:ascii="Times New Roman" w:hAnsi="Times New Roman" w:cs="Times New Roman"/>
          <w:sz w:val="24"/>
          <w:szCs w:val="24"/>
        </w:rPr>
        <w:t xml:space="preserve"> art. 13a ust. 5 ustawy o </w:t>
      </w:r>
      <w:r w:rsidR="00A71ADD">
        <w:rPr>
          <w:rFonts w:ascii="Times New Roman" w:hAnsi="Times New Roman" w:cs="Times New Roman"/>
          <w:sz w:val="24"/>
          <w:szCs w:val="24"/>
        </w:rPr>
        <w:t xml:space="preserve">SKOK </w:t>
      </w:r>
      <w:r w:rsidRPr="007418DB">
        <w:rPr>
          <w:rFonts w:ascii="Times New Roman" w:hAnsi="Times New Roman" w:cs="Times New Roman"/>
          <w:sz w:val="24"/>
          <w:szCs w:val="24"/>
        </w:rPr>
        <w:t xml:space="preserve">od dnia wygaśnięcia umowy </w:t>
      </w:r>
      <w:r w:rsidR="00BB4878">
        <w:rPr>
          <w:rFonts w:ascii="Times New Roman" w:hAnsi="Times New Roman" w:cs="Times New Roman"/>
          <w:sz w:val="24"/>
          <w:szCs w:val="24"/>
        </w:rPr>
        <w:t>odpowiednio rachunku bankowego lub imiennego rachunku członka SKOK (</w:t>
      </w:r>
      <w:r w:rsidR="00E3457D">
        <w:rPr>
          <w:rFonts w:ascii="Times New Roman" w:hAnsi="Times New Roman" w:cs="Times New Roman"/>
          <w:sz w:val="24"/>
          <w:szCs w:val="24"/>
        </w:rPr>
        <w:t xml:space="preserve">zwane </w:t>
      </w:r>
      <w:r w:rsidR="00BB4878">
        <w:rPr>
          <w:rFonts w:ascii="Times New Roman" w:hAnsi="Times New Roman" w:cs="Times New Roman"/>
          <w:sz w:val="24"/>
          <w:szCs w:val="24"/>
        </w:rPr>
        <w:t xml:space="preserve">dalej </w:t>
      </w:r>
      <w:r w:rsidR="00E3457D">
        <w:rPr>
          <w:rFonts w:ascii="Times New Roman" w:hAnsi="Times New Roman" w:cs="Times New Roman"/>
          <w:sz w:val="24"/>
          <w:szCs w:val="24"/>
        </w:rPr>
        <w:t>„</w:t>
      </w:r>
      <w:r w:rsidR="00BB4878" w:rsidRPr="0057486F">
        <w:rPr>
          <w:rFonts w:ascii="Times New Roman" w:hAnsi="Times New Roman" w:cs="Times New Roman"/>
          <w:b/>
          <w:bCs/>
          <w:sz w:val="24"/>
          <w:szCs w:val="24"/>
        </w:rPr>
        <w:t>rachunki</w:t>
      </w:r>
      <w:r w:rsidR="00E3457D">
        <w:rPr>
          <w:rFonts w:ascii="Times New Roman" w:hAnsi="Times New Roman" w:cs="Times New Roman"/>
          <w:sz w:val="24"/>
          <w:szCs w:val="24"/>
        </w:rPr>
        <w:t>”</w:t>
      </w:r>
      <w:r w:rsidR="00BB4878">
        <w:rPr>
          <w:rFonts w:ascii="Times New Roman" w:hAnsi="Times New Roman" w:cs="Times New Roman"/>
          <w:sz w:val="24"/>
          <w:szCs w:val="24"/>
        </w:rPr>
        <w:t xml:space="preserve">) </w:t>
      </w:r>
      <w:r w:rsidRPr="007418DB">
        <w:rPr>
          <w:rFonts w:ascii="Times New Roman" w:hAnsi="Times New Roman" w:cs="Times New Roman"/>
          <w:sz w:val="24"/>
          <w:szCs w:val="24"/>
        </w:rPr>
        <w:t>do dnia wypłaty środków pieniężnych osobie posiadającej do nich tytuł prawny środki te podlegają waloryzacji o prognozowany w</w:t>
      </w:r>
      <w:r w:rsidR="00FC49FB">
        <w:rPr>
          <w:rFonts w:ascii="Times New Roman" w:hAnsi="Times New Roman" w:cs="Times New Roman"/>
          <w:sz w:val="24"/>
          <w:szCs w:val="24"/>
        </w:rPr>
        <w:t> </w:t>
      </w:r>
      <w:r w:rsidRPr="007418DB">
        <w:rPr>
          <w:rFonts w:ascii="Times New Roman" w:hAnsi="Times New Roman" w:cs="Times New Roman"/>
          <w:sz w:val="24"/>
          <w:szCs w:val="24"/>
        </w:rPr>
        <w:t xml:space="preserve">ustawie budżetowej na dany rok średnioroczny wskaźnik cen towarów i usług konsumpcyjnych ogółem. Waloryzacji </w:t>
      </w:r>
      <w:r w:rsidR="00FC49FB">
        <w:rPr>
          <w:rFonts w:ascii="Times New Roman" w:hAnsi="Times New Roman" w:cs="Times New Roman"/>
          <w:sz w:val="24"/>
          <w:szCs w:val="24"/>
        </w:rPr>
        <w:t xml:space="preserve">tej </w:t>
      </w:r>
      <w:r w:rsidRPr="007418DB">
        <w:rPr>
          <w:rFonts w:ascii="Times New Roman" w:hAnsi="Times New Roman" w:cs="Times New Roman"/>
          <w:sz w:val="24"/>
          <w:szCs w:val="24"/>
        </w:rPr>
        <w:t xml:space="preserve">dokonuje się na ostatni dzień roku kalendarzowego. </w:t>
      </w:r>
    </w:p>
    <w:p w14:paraId="43969AC4" w14:textId="685F7729" w:rsidR="00BB4878" w:rsidRPr="0082555A" w:rsidRDefault="00FC49FB" w:rsidP="00E3457D">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Wskazane na wstępie w</w:t>
      </w:r>
      <w:r w:rsidR="005B27D3" w:rsidRPr="007418DB">
        <w:rPr>
          <w:rFonts w:ascii="Times New Roman" w:hAnsi="Times New Roman" w:cs="Times New Roman"/>
          <w:sz w:val="24"/>
          <w:szCs w:val="24"/>
        </w:rPr>
        <w:t xml:space="preserve">ątpliwości powstały z uwagi na to, że przepis ustawy o </w:t>
      </w:r>
      <w:r>
        <w:rPr>
          <w:rFonts w:ascii="Times New Roman" w:hAnsi="Times New Roman" w:cs="Times New Roman"/>
          <w:sz w:val="24"/>
          <w:szCs w:val="24"/>
        </w:rPr>
        <w:t>PIT</w:t>
      </w:r>
      <w:r w:rsidR="005B27D3" w:rsidRPr="007418DB">
        <w:rPr>
          <w:rFonts w:ascii="Times New Roman" w:hAnsi="Times New Roman" w:cs="Times New Roman"/>
          <w:sz w:val="24"/>
          <w:szCs w:val="24"/>
        </w:rPr>
        <w:t xml:space="preserve">, określający rodzaje przychodów zaliczanych do źródła </w:t>
      </w:r>
      <w:r w:rsidR="00BB4878">
        <w:rPr>
          <w:rFonts w:ascii="Times New Roman" w:hAnsi="Times New Roman" w:cs="Times New Roman"/>
          <w:sz w:val="24"/>
          <w:szCs w:val="24"/>
        </w:rPr>
        <w:t>„</w:t>
      </w:r>
      <w:r w:rsidR="005B27D3" w:rsidRPr="007418DB">
        <w:rPr>
          <w:rFonts w:ascii="Times New Roman" w:hAnsi="Times New Roman" w:cs="Times New Roman"/>
          <w:sz w:val="24"/>
          <w:szCs w:val="24"/>
        </w:rPr>
        <w:t>kapitały pieniężne</w:t>
      </w:r>
      <w:r w:rsidR="00BB4878">
        <w:rPr>
          <w:rFonts w:ascii="Times New Roman" w:hAnsi="Times New Roman" w:cs="Times New Roman"/>
          <w:sz w:val="24"/>
          <w:szCs w:val="24"/>
        </w:rPr>
        <w:t>”</w:t>
      </w:r>
      <w:r w:rsidR="005B27D3" w:rsidRPr="007418DB">
        <w:rPr>
          <w:rFonts w:ascii="Times New Roman" w:hAnsi="Times New Roman" w:cs="Times New Roman"/>
          <w:sz w:val="24"/>
          <w:szCs w:val="24"/>
        </w:rPr>
        <w:t xml:space="preserve"> (art. 17 ust. 1 pkt 2 ustawy </w:t>
      </w:r>
      <w:r w:rsidR="00C14E7D">
        <w:rPr>
          <w:rFonts w:ascii="Times New Roman" w:hAnsi="Times New Roman" w:cs="Times New Roman"/>
          <w:sz w:val="24"/>
          <w:szCs w:val="24"/>
        </w:rPr>
        <w:t xml:space="preserve">o </w:t>
      </w:r>
      <w:r w:rsidR="005B27D3" w:rsidRPr="007418DB">
        <w:rPr>
          <w:rFonts w:ascii="Times New Roman" w:hAnsi="Times New Roman" w:cs="Times New Roman"/>
          <w:sz w:val="24"/>
          <w:szCs w:val="24"/>
        </w:rPr>
        <w:t>PIT)</w:t>
      </w:r>
      <w:r w:rsidR="00716085">
        <w:rPr>
          <w:rFonts w:ascii="Times New Roman" w:hAnsi="Times New Roman" w:cs="Times New Roman"/>
          <w:sz w:val="24"/>
          <w:szCs w:val="24"/>
        </w:rPr>
        <w:t>,</w:t>
      </w:r>
      <w:r w:rsidR="005B27D3" w:rsidRPr="007418DB">
        <w:rPr>
          <w:rFonts w:ascii="Times New Roman" w:hAnsi="Times New Roman" w:cs="Times New Roman"/>
          <w:sz w:val="24"/>
          <w:szCs w:val="24"/>
        </w:rPr>
        <w:t xml:space="preserve"> wskazuje tylko </w:t>
      </w:r>
      <w:r>
        <w:rPr>
          <w:rFonts w:ascii="Times New Roman" w:hAnsi="Times New Roman" w:cs="Times New Roman"/>
          <w:sz w:val="24"/>
          <w:szCs w:val="24"/>
        </w:rPr>
        <w:t xml:space="preserve">na </w:t>
      </w:r>
      <w:r w:rsidR="005B27D3" w:rsidRPr="007418DB">
        <w:rPr>
          <w:rFonts w:ascii="Times New Roman" w:hAnsi="Times New Roman" w:cs="Times New Roman"/>
          <w:sz w:val="24"/>
          <w:szCs w:val="24"/>
        </w:rPr>
        <w:t>„</w:t>
      </w:r>
      <w:r w:rsidR="005B27D3" w:rsidRPr="0027548A">
        <w:rPr>
          <w:rFonts w:ascii="Times New Roman" w:hAnsi="Times New Roman" w:cs="Times New Roman"/>
          <w:i/>
          <w:iCs/>
          <w:sz w:val="24"/>
          <w:szCs w:val="24"/>
        </w:rPr>
        <w:t>odsetki od wkładów oszczędnościowych i środków na rachunkach bankowych lub w innych formach oszczędzania, przechowywania lub inwestowania</w:t>
      </w:r>
      <w:r w:rsidR="005B27D3" w:rsidRPr="007418DB">
        <w:rPr>
          <w:rFonts w:ascii="Times New Roman" w:hAnsi="Times New Roman" w:cs="Times New Roman"/>
          <w:sz w:val="24"/>
          <w:szCs w:val="24"/>
        </w:rPr>
        <w:t xml:space="preserve">”. </w:t>
      </w:r>
      <w:r w:rsidR="00BB4878" w:rsidRPr="00E3457D">
        <w:rPr>
          <w:rFonts w:ascii="Times New Roman" w:hAnsi="Times New Roman" w:cs="Times New Roman"/>
          <w:sz w:val="24"/>
          <w:szCs w:val="24"/>
        </w:rPr>
        <w:t xml:space="preserve">Z literalnego brzmienia tego przepisu zatem nie wynika, żeby do tego źródła zaliczały się również inne niż odsetki przychody od wkładów oszczędnościowych i środków na rachunkach. </w:t>
      </w:r>
    </w:p>
    <w:p w14:paraId="3FE821F6" w14:textId="0D4F94D6" w:rsidR="00F0745C" w:rsidRPr="007418DB" w:rsidRDefault="005B27D3" w:rsidP="004C172B">
      <w:pPr>
        <w:spacing w:before="120" w:line="360" w:lineRule="auto"/>
        <w:jc w:val="both"/>
        <w:rPr>
          <w:rFonts w:ascii="Times New Roman" w:hAnsi="Times New Roman" w:cs="Times New Roman"/>
          <w:sz w:val="24"/>
          <w:szCs w:val="24"/>
        </w:rPr>
      </w:pPr>
      <w:r w:rsidRPr="007418DB">
        <w:rPr>
          <w:rFonts w:ascii="Times New Roman" w:hAnsi="Times New Roman" w:cs="Times New Roman"/>
          <w:sz w:val="24"/>
          <w:szCs w:val="24"/>
        </w:rPr>
        <w:t>Z kolei powiązany z tym rodzajem przychodów przepis określa zasadę poboru zryczałtowanego podatku „</w:t>
      </w:r>
      <w:r w:rsidRPr="0027548A">
        <w:rPr>
          <w:rFonts w:ascii="Times New Roman" w:hAnsi="Times New Roman" w:cs="Times New Roman"/>
          <w:i/>
          <w:iCs/>
          <w:sz w:val="24"/>
          <w:szCs w:val="24"/>
        </w:rPr>
        <w:t>z odsetek lub innych przychodów od środków pieniężnych zgromadzonych na rachunku podatnika lub w innych formach oszczędzania, przechowywania lub inwestowania, prowadzony</w:t>
      </w:r>
      <w:r w:rsidR="00261C64">
        <w:rPr>
          <w:rFonts w:ascii="Times New Roman" w:hAnsi="Times New Roman" w:cs="Times New Roman"/>
          <w:i/>
          <w:iCs/>
          <w:sz w:val="24"/>
          <w:szCs w:val="24"/>
        </w:rPr>
        <w:t>ch</w:t>
      </w:r>
      <w:r w:rsidRPr="0027548A">
        <w:rPr>
          <w:rFonts w:ascii="Times New Roman" w:hAnsi="Times New Roman" w:cs="Times New Roman"/>
          <w:i/>
          <w:iCs/>
          <w:sz w:val="24"/>
          <w:szCs w:val="24"/>
        </w:rPr>
        <w:t xml:space="preserve"> przez podmiot uprawniony na podstawie odrębnych przepisów</w:t>
      </w:r>
      <w:r w:rsidRPr="007418DB">
        <w:rPr>
          <w:rFonts w:ascii="Times New Roman" w:hAnsi="Times New Roman" w:cs="Times New Roman"/>
          <w:sz w:val="24"/>
          <w:szCs w:val="24"/>
        </w:rPr>
        <w:t xml:space="preserve">” (art. 30a ust. 1 pkt 3 ustawy </w:t>
      </w:r>
      <w:r w:rsidR="00C14E7D">
        <w:rPr>
          <w:rFonts w:ascii="Times New Roman" w:hAnsi="Times New Roman" w:cs="Times New Roman"/>
          <w:sz w:val="24"/>
          <w:szCs w:val="24"/>
        </w:rPr>
        <w:t xml:space="preserve">o </w:t>
      </w:r>
      <w:r w:rsidRPr="007418DB">
        <w:rPr>
          <w:rFonts w:ascii="Times New Roman" w:hAnsi="Times New Roman" w:cs="Times New Roman"/>
          <w:sz w:val="24"/>
          <w:szCs w:val="24"/>
        </w:rPr>
        <w:t xml:space="preserve">PIT). W związku z </w:t>
      </w:r>
      <w:r w:rsidR="00735C7C">
        <w:rPr>
          <w:rFonts w:ascii="Times New Roman" w:hAnsi="Times New Roman" w:cs="Times New Roman"/>
          <w:sz w:val="24"/>
          <w:szCs w:val="24"/>
        </w:rPr>
        <w:t xml:space="preserve">potencjalnymi </w:t>
      </w:r>
      <w:r w:rsidRPr="007418DB">
        <w:rPr>
          <w:rFonts w:ascii="Times New Roman" w:hAnsi="Times New Roman" w:cs="Times New Roman"/>
          <w:sz w:val="24"/>
          <w:szCs w:val="24"/>
        </w:rPr>
        <w:t>problemami w kwalifikacji przychodów z</w:t>
      </w:r>
      <w:r w:rsidR="00735C7C">
        <w:rPr>
          <w:rFonts w:ascii="Times New Roman" w:hAnsi="Times New Roman" w:cs="Times New Roman"/>
          <w:sz w:val="24"/>
          <w:szCs w:val="24"/>
        </w:rPr>
        <w:t> </w:t>
      </w:r>
      <w:r w:rsidRPr="007418DB">
        <w:rPr>
          <w:rFonts w:ascii="Times New Roman" w:hAnsi="Times New Roman" w:cs="Times New Roman"/>
          <w:sz w:val="24"/>
          <w:szCs w:val="24"/>
        </w:rPr>
        <w:t>waloryzacji środków na tzw. „rachunkach uśpionych” do określonego źródła</w:t>
      </w:r>
      <w:r w:rsidR="00735C7C">
        <w:rPr>
          <w:rFonts w:ascii="Times New Roman" w:hAnsi="Times New Roman" w:cs="Times New Roman"/>
          <w:sz w:val="24"/>
          <w:szCs w:val="24"/>
        </w:rPr>
        <w:t xml:space="preserve"> </w:t>
      </w:r>
      <w:r w:rsidRPr="007418DB">
        <w:rPr>
          <w:rFonts w:ascii="Times New Roman" w:hAnsi="Times New Roman" w:cs="Times New Roman"/>
          <w:sz w:val="24"/>
          <w:szCs w:val="24"/>
        </w:rPr>
        <w:t>oraz określenia zasad ich opodatkowania</w:t>
      </w:r>
      <w:r w:rsidR="00735C7C">
        <w:rPr>
          <w:rFonts w:ascii="Times New Roman" w:hAnsi="Times New Roman" w:cs="Times New Roman"/>
          <w:sz w:val="24"/>
          <w:szCs w:val="24"/>
        </w:rPr>
        <w:t xml:space="preserve"> projekt przesądza o ich zaliczeniu do</w:t>
      </w:r>
      <w:r w:rsidRPr="007418DB">
        <w:rPr>
          <w:rFonts w:ascii="Times New Roman" w:hAnsi="Times New Roman" w:cs="Times New Roman"/>
          <w:sz w:val="24"/>
          <w:szCs w:val="24"/>
        </w:rPr>
        <w:t xml:space="preserve"> źródła „kapitały pieniężne”. </w:t>
      </w:r>
      <w:r>
        <w:rPr>
          <w:rFonts w:ascii="Times New Roman" w:hAnsi="Times New Roman" w:cs="Times New Roman"/>
          <w:sz w:val="24"/>
          <w:szCs w:val="24"/>
        </w:rPr>
        <w:t>Doprecyzowanie takie realizuje zamiar objęcia źródłem „kapitały pieniężne” wszelkich przychodów uzyskanych w związku z gromadzeniem środków pieniężny</w:t>
      </w:r>
      <w:r w:rsidR="00E3457D">
        <w:rPr>
          <w:rFonts w:ascii="Times New Roman" w:hAnsi="Times New Roman" w:cs="Times New Roman"/>
          <w:sz w:val="24"/>
          <w:szCs w:val="24"/>
        </w:rPr>
        <w:t>ch w celu</w:t>
      </w:r>
      <w:r>
        <w:rPr>
          <w:rFonts w:ascii="Times New Roman" w:hAnsi="Times New Roman" w:cs="Times New Roman"/>
          <w:sz w:val="24"/>
          <w:szCs w:val="24"/>
        </w:rPr>
        <w:t xml:space="preserve"> oszczędzania i pozwala uniknąć wątpliwości interpretacyjnych. </w:t>
      </w:r>
    </w:p>
    <w:p w14:paraId="180C9BC4" w14:textId="0E1FFC51" w:rsidR="00D34D65" w:rsidRDefault="005B27D3" w:rsidP="004C172B">
      <w:pPr>
        <w:spacing w:before="120" w:line="360" w:lineRule="auto"/>
        <w:jc w:val="both"/>
        <w:rPr>
          <w:rFonts w:ascii="Times New Roman" w:hAnsi="Times New Roman" w:cs="Times New Roman"/>
          <w:sz w:val="24"/>
          <w:szCs w:val="24"/>
        </w:rPr>
      </w:pPr>
      <w:r w:rsidRPr="007418DB">
        <w:rPr>
          <w:rFonts w:ascii="Times New Roman" w:hAnsi="Times New Roman" w:cs="Times New Roman"/>
          <w:sz w:val="24"/>
          <w:szCs w:val="24"/>
        </w:rPr>
        <w:t xml:space="preserve">Ponadto wprowadzony został przepis </w:t>
      </w:r>
      <w:r w:rsidR="00F0745C">
        <w:rPr>
          <w:rFonts w:ascii="Times New Roman" w:hAnsi="Times New Roman" w:cs="Times New Roman"/>
          <w:sz w:val="24"/>
          <w:szCs w:val="24"/>
        </w:rPr>
        <w:t>jednoznacznie</w:t>
      </w:r>
      <w:r w:rsidRPr="007418DB">
        <w:rPr>
          <w:rFonts w:ascii="Times New Roman" w:hAnsi="Times New Roman" w:cs="Times New Roman"/>
          <w:sz w:val="24"/>
          <w:szCs w:val="24"/>
        </w:rPr>
        <w:t xml:space="preserve"> </w:t>
      </w:r>
      <w:r w:rsidR="00F0745C">
        <w:rPr>
          <w:rFonts w:ascii="Times New Roman" w:hAnsi="Times New Roman" w:cs="Times New Roman"/>
          <w:sz w:val="24"/>
          <w:szCs w:val="24"/>
        </w:rPr>
        <w:t>wskazujący</w:t>
      </w:r>
      <w:r w:rsidRPr="007418DB">
        <w:rPr>
          <w:rFonts w:ascii="Times New Roman" w:hAnsi="Times New Roman" w:cs="Times New Roman"/>
          <w:sz w:val="24"/>
          <w:szCs w:val="24"/>
        </w:rPr>
        <w:t>, że w przypadku waloryzacji środków będących na rachunkach, które wygasły</w:t>
      </w:r>
      <w:r>
        <w:rPr>
          <w:rFonts w:ascii="Times New Roman" w:hAnsi="Times New Roman" w:cs="Times New Roman"/>
          <w:sz w:val="24"/>
          <w:szCs w:val="24"/>
        </w:rPr>
        <w:t>,</w:t>
      </w:r>
      <w:r w:rsidRPr="007418DB">
        <w:rPr>
          <w:rFonts w:ascii="Times New Roman" w:hAnsi="Times New Roman" w:cs="Times New Roman"/>
          <w:sz w:val="24"/>
          <w:szCs w:val="24"/>
        </w:rPr>
        <w:t xml:space="preserve"> przychód powstaje w momencie </w:t>
      </w:r>
      <w:r w:rsidR="00624687">
        <w:rPr>
          <w:rFonts w:ascii="Times New Roman" w:hAnsi="Times New Roman" w:cs="Times New Roman"/>
          <w:sz w:val="24"/>
          <w:szCs w:val="24"/>
        </w:rPr>
        <w:t>dopisania</w:t>
      </w:r>
      <w:r w:rsidR="008F269E">
        <w:rPr>
          <w:rFonts w:ascii="Times New Roman" w:hAnsi="Times New Roman" w:cs="Times New Roman"/>
          <w:sz w:val="24"/>
          <w:szCs w:val="24"/>
        </w:rPr>
        <w:t xml:space="preserve"> </w:t>
      </w:r>
      <w:r w:rsidRPr="007418DB">
        <w:rPr>
          <w:rFonts w:ascii="Times New Roman" w:hAnsi="Times New Roman" w:cs="Times New Roman"/>
          <w:sz w:val="24"/>
          <w:szCs w:val="24"/>
        </w:rPr>
        <w:t>kwoty waloryzacji</w:t>
      </w:r>
      <w:r w:rsidR="00624687">
        <w:rPr>
          <w:rFonts w:ascii="Times New Roman" w:hAnsi="Times New Roman" w:cs="Times New Roman"/>
          <w:sz w:val="24"/>
          <w:szCs w:val="24"/>
        </w:rPr>
        <w:t xml:space="preserve"> do rachunków, czyli powiększenia środków znajdujących się na nich </w:t>
      </w:r>
      <w:r>
        <w:rPr>
          <w:rFonts w:ascii="Times New Roman" w:hAnsi="Times New Roman" w:cs="Times New Roman"/>
          <w:sz w:val="24"/>
          <w:szCs w:val="24"/>
        </w:rPr>
        <w:t>(dodany ust. 1j</w:t>
      </w:r>
      <w:r w:rsidRPr="000D56C8">
        <w:rPr>
          <w:rFonts w:ascii="Times New Roman" w:hAnsi="Times New Roman" w:cs="Times New Roman"/>
          <w:sz w:val="24"/>
          <w:szCs w:val="24"/>
        </w:rPr>
        <w:t xml:space="preserve"> w art. 17</w:t>
      </w:r>
      <w:r>
        <w:rPr>
          <w:rFonts w:ascii="Times New Roman" w:hAnsi="Times New Roman" w:cs="Times New Roman"/>
          <w:sz w:val="24"/>
          <w:szCs w:val="24"/>
        </w:rPr>
        <w:t xml:space="preserve"> ustawy </w:t>
      </w:r>
      <w:r w:rsidR="00C14E7D">
        <w:rPr>
          <w:rFonts w:ascii="Times New Roman" w:hAnsi="Times New Roman" w:cs="Times New Roman"/>
          <w:sz w:val="24"/>
          <w:szCs w:val="24"/>
        </w:rPr>
        <w:t xml:space="preserve">o </w:t>
      </w:r>
      <w:r>
        <w:rPr>
          <w:rFonts w:ascii="Times New Roman" w:hAnsi="Times New Roman" w:cs="Times New Roman"/>
          <w:sz w:val="24"/>
          <w:szCs w:val="24"/>
        </w:rPr>
        <w:t>PIT)</w:t>
      </w:r>
      <w:r w:rsidRPr="007418DB">
        <w:rPr>
          <w:rFonts w:ascii="Times New Roman" w:hAnsi="Times New Roman" w:cs="Times New Roman"/>
          <w:sz w:val="24"/>
          <w:szCs w:val="24"/>
        </w:rPr>
        <w:t xml:space="preserve">. W związku z tym została </w:t>
      </w:r>
      <w:r w:rsidR="00F0745C" w:rsidRPr="007418DB">
        <w:rPr>
          <w:rFonts w:ascii="Times New Roman" w:hAnsi="Times New Roman" w:cs="Times New Roman"/>
          <w:sz w:val="24"/>
          <w:szCs w:val="24"/>
        </w:rPr>
        <w:t xml:space="preserve">wprowadzona </w:t>
      </w:r>
      <w:r w:rsidRPr="007418DB">
        <w:rPr>
          <w:rFonts w:ascii="Times New Roman" w:hAnsi="Times New Roman" w:cs="Times New Roman"/>
          <w:sz w:val="24"/>
          <w:szCs w:val="24"/>
        </w:rPr>
        <w:t xml:space="preserve">zmiana </w:t>
      </w:r>
      <w:r w:rsidR="00F0745C">
        <w:rPr>
          <w:rFonts w:ascii="Times New Roman" w:hAnsi="Times New Roman" w:cs="Times New Roman"/>
          <w:sz w:val="24"/>
          <w:szCs w:val="24"/>
        </w:rPr>
        <w:lastRenderedPageBreak/>
        <w:t xml:space="preserve">dostosowawcza </w:t>
      </w:r>
      <w:r w:rsidRPr="007418DB">
        <w:rPr>
          <w:rFonts w:ascii="Times New Roman" w:hAnsi="Times New Roman" w:cs="Times New Roman"/>
          <w:sz w:val="24"/>
          <w:szCs w:val="24"/>
        </w:rPr>
        <w:t xml:space="preserve">w art. 11 ust. 1 ustawy </w:t>
      </w:r>
      <w:r w:rsidR="00C14E7D">
        <w:rPr>
          <w:rFonts w:ascii="Times New Roman" w:hAnsi="Times New Roman" w:cs="Times New Roman"/>
          <w:sz w:val="24"/>
          <w:szCs w:val="24"/>
        </w:rPr>
        <w:t xml:space="preserve">o </w:t>
      </w:r>
      <w:r w:rsidRPr="007418DB">
        <w:rPr>
          <w:rFonts w:ascii="Times New Roman" w:hAnsi="Times New Roman" w:cs="Times New Roman"/>
          <w:sz w:val="24"/>
          <w:szCs w:val="24"/>
        </w:rPr>
        <w:t>PIT, wyłączająca kasowe powstawanie takiego przychodu do opodatkowania.</w:t>
      </w:r>
    </w:p>
    <w:p w14:paraId="63F799D8" w14:textId="63A90B2D" w:rsidR="00261C64" w:rsidRDefault="00261C64" w:rsidP="004C172B">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 xml:space="preserve">W celu uniknięcia </w:t>
      </w:r>
      <w:r w:rsidR="00F713B6">
        <w:rPr>
          <w:rFonts w:ascii="Times New Roman" w:hAnsi="Times New Roman" w:cs="Times New Roman"/>
          <w:sz w:val="24"/>
          <w:szCs w:val="24"/>
        </w:rPr>
        <w:t xml:space="preserve">ewentualnych </w:t>
      </w:r>
      <w:r>
        <w:rPr>
          <w:rFonts w:ascii="Times New Roman" w:hAnsi="Times New Roman" w:cs="Times New Roman"/>
          <w:sz w:val="24"/>
          <w:szCs w:val="24"/>
        </w:rPr>
        <w:t>możliwych wątpliwości interpretacyjnych została dokonan</w:t>
      </w:r>
      <w:r w:rsidR="00F713B6">
        <w:rPr>
          <w:rFonts w:ascii="Times New Roman" w:hAnsi="Times New Roman" w:cs="Times New Roman"/>
          <w:sz w:val="24"/>
          <w:szCs w:val="24"/>
        </w:rPr>
        <w:t>a</w:t>
      </w:r>
      <w:r>
        <w:rPr>
          <w:rFonts w:ascii="Times New Roman" w:hAnsi="Times New Roman" w:cs="Times New Roman"/>
          <w:sz w:val="24"/>
          <w:szCs w:val="24"/>
        </w:rPr>
        <w:t xml:space="preserve"> zmian</w:t>
      </w:r>
      <w:r w:rsidR="00F713B6">
        <w:rPr>
          <w:rFonts w:ascii="Times New Roman" w:hAnsi="Times New Roman" w:cs="Times New Roman"/>
          <w:sz w:val="24"/>
          <w:szCs w:val="24"/>
        </w:rPr>
        <w:t>a</w:t>
      </w:r>
      <w:r>
        <w:rPr>
          <w:rFonts w:ascii="Times New Roman" w:hAnsi="Times New Roman" w:cs="Times New Roman"/>
          <w:sz w:val="24"/>
          <w:szCs w:val="24"/>
        </w:rPr>
        <w:t xml:space="preserve"> w art. 30a ust. 1 pkt 3</w:t>
      </w:r>
      <w:r w:rsidR="00E3457D">
        <w:rPr>
          <w:rFonts w:ascii="Times New Roman" w:hAnsi="Times New Roman" w:cs="Times New Roman"/>
          <w:sz w:val="24"/>
          <w:szCs w:val="24"/>
        </w:rPr>
        <w:t xml:space="preserve"> ustawy o PIT</w:t>
      </w:r>
      <w:r>
        <w:rPr>
          <w:rFonts w:ascii="Times New Roman" w:hAnsi="Times New Roman" w:cs="Times New Roman"/>
          <w:sz w:val="24"/>
          <w:szCs w:val="24"/>
        </w:rPr>
        <w:t>, jasno wskazuj</w:t>
      </w:r>
      <w:r w:rsidR="00F713B6">
        <w:rPr>
          <w:rFonts w:ascii="Times New Roman" w:hAnsi="Times New Roman" w:cs="Times New Roman"/>
          <w:sz w:val="24"/>
          <w:szCs w:val="24"/>
        </w:rPr>
        <w:t>ą</w:t>
      </w:r>
      <w:r>
        <w:rPr>
          <w:rFonts w:ascii="Times New Roman" w:hAnsi="Times New Roman" w:cs="Times New Roman"/>
          <w:sz w:val="24"/>
          <w:szCs w:val="24"/>
        </w:rPr>
        <w:t xml:space="preserve">ca, że przepis ten </w:t>
      </w:r>
      <w:r w:rsidR="00F713B6">
        <w:rPr>
          <w:rFonts w:ascii="Times New Roman" w:hAnsi="Times New Roman" w:cs="Times New Roman"/>
          <w:sz w:val="24"/>
          <w:szCs w:val="24"/>
        </w:rPr>
        <w:t xml:space="preserve">– </w:t>
      </w:r>
      <w:r>
        <w:rPr>
          <w:rFonts w:ascii="Times New Roman" w:hAnsi="Times New Roman" w:cs="Times New Roman"/>
          <w:sz w:val="24"/>
          <w:szCs w:val="24"/>
        </w:rPr>
        <w:t>okre</w:t>
      </w:r>
      <w:r w:rsidR="00F713B6">
        <w:rPr>
          <w:rFonts w:ascii="Times New Roman" w:hAnsi="Times New Roman" w:cs="Times New Roman"/>
          <w:sz w:val="24"/>
          <w:szCs w:val="24"/>
        </w:rPr>
        <w:t>ś</w:t>
      </w:r>
      <w:r>
        <w:rPr>
          <w:rFonts w:ascii="Times New Roman" w:hAnsi="Times New Roman" w:cs="Times New Roman"/>
          <w:sz w:val="24"/>
          <w:szCs w:val="24"/>
        </w:rPr>
        <w:t>laj</w:t>
      </w:r>
      <w:r w:rsidR="00F713B6">
        <w:rPr>
          <w:rFonts w:ascii="Times New Roman" w:hAnsi="Times New Roman" w:cs="Times New Roman"/>
          <w:sz w:val="24"/>
          <w:szCs w:val="24"/>
        </w:rPr>
        <w:t>ą</w:t>
      </w:r>
      <w:r>
        <w:rPr>
          <w:rFonts w:ascii="Times New Roman" w:hAnsi="Times New Roman" w:cs="Times New Roman"/>
          <w:sz w:val="24"/>
          <w:szCs w:val="24"/>
        </w:rPr>
        <w:t>cy opodatkowanie przychodów zryczałtowanym podatkiem dochodowym</w:t>
      </w:r>
      <w:r w:rsidR="00E3457D">
        <w:rPr>
          <w:rFonts w:ascii="Times New Roman" w:hAnsi="Times New Roman" w:cs="Times New Roman"/>
          <w:sz w:val="24"/>
          <w:szCs w:val="24"/>
        </w:rPr>
        <w:t xml:space="preserve"> </w:t>
      </w:r>
      <w:r w:rsidR="00E3457D" w:rsidRPr="00E3457D">
        <w:rPr>
          <w:rFonts w:ascii="Times New Roman" w:hAnsi="Times New Roman" w:cs="Times New Roman"/>
          <w:sz w:val="24"/>
          <w:szCs w:val="24"/>
        </w:rPr>
        <w:t>–</w:t>
      </w:r>
      <w:r>
        <w:rPr>
          <w:rFonts w:ascii="Times New Roman" w:hAnsi="Times New Roman" w:cs="Times New Roman"/>
          <w:sz w:val="24"/>
          <w:szCs w:val="24"/>
        </w:rPr>
        <w:t xml:space="preserve"> do</w:t>
      </w:r>
      <w:r w:rsidR="00F713B6">
        <w:rPr>
          <w:rFonts w:ascii="Times New Roman" w:hAnsi="Times New Roman" w:cs="Times New Roman"/>
          <w:sz w:val="24"/>
          <w:szCs w:val="24"/>
        </w:rPr>
        <w:t>t</w:t>
      </w:r>
      <w:r>
        <w:rPr>
          <w:rFonts w:ascii="Times New Roman" w:hAnsi="Times New Roman" w:cs="Times New Roman"/>
          <w:sz w:val="24"/>
          <w:szCs w:val="24"/>
        </w:rPr>
        <w:t>y</w:t>
      </w:r>
      <w:r w:rsidR="00F713B6">
        <w:rPr>
          <w:rFonts w:ascii="Times New Roman" w:hAnsi="Times New Roman" w:cs="Times New Roman"/>
          <w:sz w:val="24"/>
          <w:szCs w:val="24"/>
        </w:rPr>
        <w:t>cz</w:t>
      </w:r>
      <w:r>
        <w:rPr>
          <w:rFonts w:ascii="Times New Roman" w:hAnsi="Times New Roman" w:cs="Times New Roman"/>
          <w:sz w:val="24"/>
          <w:szCs w:val="24"/>
        </w:rPr>
        <w:t xml:space="preserve">y również przychodów z waloryzacji </w:t>
      </w:r>
      <w:r w:rsidR="00F713B6">
        <w:rPr>
          <w:rFonts w:ascii="Times New Roman" w:hAnsi="Times New Roman" w:cs="Times New Roman"/>
          <w:sz w:val="24"/>
          <w:szCs w:val="24"/>
        </w:rPr>
        <w:t>ś</w:t>
      </w:r>
      <w:r>
        <w:rPr>
          <w:rFonts w:ascii="Times New Roman" w:hAnsi="Times New Roman" w:cs="Times New Roman"/>
          <w:sz w:val="24"/>
          <w:szCs w:val="24"/>
        </w:rPr>
        <w:t>rodków pienię</w:t>
      </w:r>
      <w:r w:rsidR="00F713B6">
        <w:rPr>
          <w:rFonts w:ascii="Times New Roman" w:hAnsi="Times New Roman" w:cs="Times New Roman"/>
          <w:sz w:val="24"/>
          <w:szCs w:val="24"/>
        </w:rPr>
        <w:t>ż</w:t>
      </w:r>
      <w:r>
        <w:rPr>
          <w:rFonts w:ascii="Times New Roman" w:hAnsi="Times New Roman" w:cs="Times New Roman"/>
          <w:sz w:val="24"/>
          <w:szCs w:val="24"/>
        </w:rPr>
        <w:t>nych</w:t>
      </w:r>
      <w:r w:rsidR="00F713B6">
        <w:rPr>
          <w:rFonts w:ascii="Times New Roman" w:hAnsi="Times New Roman" w:cs="Times New Roman"/>
          <w:sz w:val="24"/>
          <w:szCs w:val="24"/>
        </w:rPr>
        <w:t xml:space="preserve"> </w:t>
      </w:r>
      <w:r>
        <w:rPr>
          <w:rFonts w:ascii="Times New Roman" w:hAnsi="Times New Roman" w:cs="Times New Roman"/>
          <w:sz w:val="24"/>
          <w:szCs w:val="24"/>
        </w:rPr>
        <w:t>zgromadzonych na rachunkach</w:t>
      </w:r>
      <w:r w:rsidR="00E3457D">
        <w:rPr>
          <w:rFonts w:ascii="Times New Roman" w:hAnsi="Times New Roman" w:cs="Times New Roman"/>
          <w:sz w:val="24"/>
          <w:szCs w:val="24"/>
        </w:rPr>
        <w:t>.</w:t>
      </w:r>
    </w:p>
    <w:p w14:paraId="1D022DF2" w14:textId="7C1F5736" w:rsidR="0031434A" w:rsidRDefault="0031434A" w:rsidP="0031434A">
      <w:pPr>
        <w:pStyle w:val="ARTartustawynprozporzdzenia"/>
        <w:ind w:firstLine="0"/>
        <w:rPr>
          <w:rFonts w:ascii="Times New Roman" w:hAnsi="Times New Roman" w:cs="Times New Roman"/>
          <w:szCs w:val="24"/>
        </w:rPr>
      </w:pPr>
      <w:r>
        <w:rPr>
          <w:rFonts w:ascii="Times New Roman" w:eastAsia="Times New Roman" w:hAnsi="Times New Roman" w:cs="Times New Roman"/>
          <w:bCs/>
          <w:szCs w:val="24"/>
        </w:rPr>
        <w:t>Jednocześnie zauważyć należy, że</w:t>
      </w:r>
      <w:r w:rsidR="001E170E">
        <w:rPr>
          <w:rFonts w:ascii="Times New Roman" w:eastAsia="Times New Roman" w:hAnsi="Times New Roman" w:cs="Times New Roman"/>
          <w:bCs/>
          <w:szCs w:val="24"/>
        </w:rPr>
        <w:t>,</w:t>
      </w:r>
      <w:r>
        <w:rPr>
          <w:rFonts w:ascii="Times New Roman" w:eastAsia="Times New Roman" w:hAnsi="Times New Roman" w:cs="Times New Roman"/>
          <w:bCs/>
          <w:szCs w:val="24"/>
        </w:rPr>
        <w:t xml:space="preserve"> w</w:t>
      </w:r>
      <w:r w:rsidRPr="00CE7FFC">
        <w:rPr>
          <w:rFonts w:ascii="Times New Roman" w:eastAsia="Times New Roman" w:hAnsi="Times New Roman" w:cs="Times New Roman"/>
          <w:bCs/>
          <w:szCs w:val="24"/>
        </w:rPr>
        <w:t xml:space="preserve"> związku z sygnałami płynącymi ze strony instytucji finansowych co do niejednoznaczności przepisów prawa podatkowego w zakresie kwalifikacji przychodów z tytułu takiej waloryzacji </w:t>
      </w:r>
      <w:r>
        <w:rPr>
          <w:rFonts w:ascii="Times New Roman" w:eastAsia="Times New Roman" w:hAnsi="Times New Roman" w:cs="Times New Roman"/>
          <w:bCs/>
          <w:szCs w:val="24"/>
        </w:rPr>
        <w:t xml:space="preserve">środków pieniężnych </w:t>
      </w:r>
      <w:r w:rsidRPr="00CE7FFC">
        <w:rPr>
          <w:rFonts w:ascii="Times New Roman" w:eastAsia="Times New Roman" w:hAnsi="Times New Roman" w:cs="Times New Roman"/>
          <w:bCs/>
          <w:szCs w:val="24"/>
        </w:rPr>
        <w:t>do źródła przychodów, mającej wpływ na zasadę ich opodatkowania, w tym momentu powstania przychodu, 19 czerwca 2026</w:t>
      </w:r>
      <w:r>
        <w:rPr>
          <w:rFonts w:ascii="Times New Roman" w:eastAsia="Times New Roman" w:hAnsi="Times New Roman" w:cs="Times New Roman"/>
          <w:bCs/>
          <w:szCs w:val="24"/>
        </w:rPr>
        <w:t> </w:t>
      </w:r>
      <w:r w:rsidRPr="00CE7FFC">
        <w:rPr>
          <w:rFonts w:ascii="Times New Roman" w:eastAsia="Times New Roman" w:hAnsi="Times New Roman" w:cs="Times New Roman"/>
          <w:bCs/>
          <w:szCs w:val="24"/>
        </w:rPr>
        <w:t>r.</w:t>
      </w:r>
      <w:r w:rsidR="001E170E">
        <w:rPr>
          <w:rFonts w:ascii="Times New Roman" w:eastAsia="Times New Roman" w:hAnsi="Times New Roman" w:cs="Times New Roman"/>
          <w:bCs/>
          <w:szCs w:val="24"/>
        </w:rPr>
        <w:t xml:space="preserve"> </w:t>
      </w:r>
      <w:r>
        <w:rPr>
          <w:rFonts w:ascii="Times New Roman" w:eastAsia="Times New Roman" w:hAnsi="Times New Roman" w:cs="Times New Roman"/>
          <w:bCs/>
          <w:szCs w:val="24"/>
        </w:rPr>
        <w:t>–</w:t>
      </w:r>
      <w:r w:rsidRPr="00CE7FFC">
        <w:rPr>
          <w:rFonts w:ascii="Times New Roman" w:eastAsia="Times New Roman" w:hAnsi="Times New Roman" w:cs="Times New Roman"/>
          <w:bCs/>
          <w:szCs w:val="24"/>
        </w:rPr>
        <w:t xml:space="preserve"> a więc przed terminem, w którym z tego tytułu przychody mogły powstawać</w:t>
      </w:r>
      <w:r>
        <w:rPr>
          <w:rFonts w:ascii="Times New Roman" w:eastAsia="Times New Roman" w:hAnsi="Times New Roman" w:cs="Times New Roman"/>
          <w:bCs/>
          <w:szCs w:val="24"/>
        </w:rPr>
        <w:t xml:space="preserve"> –</w:t>
      </w:r>
      <w:r w:rsidRPr="00CE7FFC">
        <w:rPr>
          <w:rFonts w:ascii="Times New Roman" w:eastAsia="Times New Roman" w:hAnsi="Times New Roman" w:cs="Times New Roman"/>
          <w:bCs/>
          <w:szCs w:val="24"/>
        </w:rPr>
        <w:t xml:space="preserve"> Minister Finansów wydał objaśnienia podatkowe. W objaśnieniach tych została dokonana interpretacja celowościowa art. 10 ust. 1 pkt 7 w powiązaniu z art. 30a ust. 1 pkt 3 ustawy</w:t>
      </w:r>
      <w:r>
        <w:rPr>
          <w:rFonts w:ascii="Times New Roman" w:eastAsia="Times New Roman" w:hAnsi="Times New Roman" w:cs="Times New Roman"/>
          <w:bCs/>
          <w:szCs w:val="24"/>
        </w:rPr>
        <w:t xml:space="preserve"> o</w:t>
      </w:r>
      <w:r w:rsidRPr="00CE7FFC">
        <w:rPr>
          <w:rFonts w:ascii="Times New Roman" w:eastAsia="Times New Roman" w:hAnsi="Times New Roman" w:cs="Times New Roman"/>
          <w:bCs/>
          <w:szCs w:val="24"/>
        </w:rPr>
        <w:t xml:space="preserve"> PIT. Na podstawie dokonanej interpretacji wskazane zostało, że przychody z waloryzacji środków</w:t>
      </w:r>
      <w:r>
        <w:rPr>
          <w:rFonts w:ascii="Times New Roman" w:eastAsia="Times New Roman" w:hAnsi="Times New Roman" w:cs="Times New Roman"/>
          <w:bCs/>
          <w:szCs w:val="24"/>
        </w:rPr>
        <w:t xml:space="preserve"> pieniężnych</w:t>
      </w:r>
      <w:r w:rsidRPr="00CE7FFC">
        <w:rPr>
          <w:rFonts w:ascii="Times New Roman" w:eastAsia="Times New Roman" w:hAnsi="Times New Roman" w:cs="Times New Roman"/>
          <w:bCs/>
          <w:szCs w:val="24"/>
        </w:rPr>
        <w:t xml:space="preserve"> na „rachunkach uśpionych” należy zaliczać do źr</w:t>
      </w:r>
      <w:r>
        <w:rPr>
          <w:rFonts w:ascii="Times New Roman" w:eastAsia="Times New Roman" w:hAnsi="Times New Roman" w:cs="Times New Roman"/>
          <w:bCs/>
          <w:szCs w:val="24"/>
        </w:rPr>
        <w:t>ó</w:t>
      </w:r>
      <w:r w:rsidRPr="00CE7FFC">
        <w:rPr>
          <w:rFonts w:ascii="Times New Roman" w:eastAsia="Times New Roman" w:hAnsi="Times New Roman" w:cs="Times New Roman"/>
          <w:bCs/>
          <w:szCs w:val="24"/>
        </w:rPr>
        <w:t>dła z kapitałów pieniężnych i podlegają</w:t>
      </w:r>
      <w:r>
        <w:rPr>
          <w:rFonts w:ascii="Times New Roman" w:eastAsia="Times New Roman" w:hAnsi="Times New Roman" w:cs="Times New Roman"/>
          <w:bCs/>
          <w:szCs w:val="24"/>
        </w:rPr>
        <w:t xml:space="preserve"> one</w:t>
      </w:r>
      <w:r w:rsidRPr="00CE7FFC">
        <w:rPr>
          <w:rFonts w:ascii="Times New Roman" w:eastAsia="Times New Roman" w:hAnsi="Times New Roman" w:cs="Times New Roman"/>
          <w:bCs/>
          <w:szCs w:val="24"/>
        </w:rPr>
        <w:t xml:space="preserve"> opodatkowaniu 19</w:t>
      </w:r>
      <w:r w:rsidR="00B152C9">
        <w:rPr>
          <w:rFonts w:ascii="Times New Roman" w:eastAsia="Times New Roman" w:hAnsi="Times New Roman" w:cs="Times New Roman"/>
          <w:bCs/>
          <w:szCs w:val="24"/>
        </w:rPr>
        <w:t xml:space="preserve"> </w:t>
      </w:r>
      <w:r w:rsidRPr="00CE7FFC">
        <w:rPr>
          <w:rFonts w:ascii="Times New Roman" w:eastAsia="Times New Roman" w:hAnsi="Times New Roman" w:cs="Times New Roman"/>
          <w:bCs/>
          <w:szCs w:val="24"/>
        </w:rPr>
        <w:t>% zryczałtowanym podatkiem dochodowym, na zasadach określonych w art. 30a ust. 1 pkt 3</w:t>
      </w:r>
      <w:r>
        <w:rPr>
          <w:rFonts w:ascii="Times New Roman" w:eastAsia="Times New Roman" w:hAnsi="Times New Roman" w:cs="Times New Roman"/>
          <w:bCs/>
          <w:szCs w:val="24"/>
        </w:rPr>
        <w:t xml:space="preserve"> ustawy o PIT</w:t>
      </w:r>
      <w:r w:rsidRPr="00CE7FFC">
        <w:rPr>
          <w:rFonts w:ascii="Times New Roman" w:eastAsia="Times New Roman" w:hAnsi="Times New Roman" w:cs="Times New Roman"/>
          <w:bCs/>
          <w:szCs w:val="24"/>
        </w:rPr>
        <w:t>, a przychód powstaje w momencie</w:t>
      </w:r>
      <w:r>
        <w:rPr>
          <w:rFonts w:ascii="Times New Roman" w:eastAsia="Times New Roman" w:hAnsi="Times New Roman" w:cs="Times New Roman"/>
          <w:bCs/>
          <w:szCs w:val="24"/>
        </w:rPr>
        <w:t xml:space="preserve"> </w:t>
      </w:r>
      <w:r w:rsidRPr="002C524E">
        <w:rPr>
          <w:rFonts w:ascii="Times New Roman" w:hAnsi="Times New Roman" w:cs="Times New Roman"/>
          <w:szCs w:val="24"/>
        </w:rPr>
        <w:t>„dopisania” środków z waloryzacji do rachunku w banku lub rachunku w SKOK (w dacie waloryzacji), czyli powiększenia stanu środków pieniężnych na rachunku o kwotę</w:t>
      </w:r>
      <w:r>
        <w:rPr>
          <w:rFonts w:ascii="Times New Roman" w:hAnsi="Times New Roman" w:cs="Times New Roman"/>
          <w:szCs w:val="24"/>
        </w:rPr>
        <w:t xml:space="preserve"> </w:t>
      </w:r>
      <w:r w:rsidRPr="002C524E">
        <w:rPr>
          <w:rFonts w:ascii="Times New Roman" w:hAnsi="Times New Roman" w:cs="Times New Roman"/>
          <w:szCs w:val="24"/>
        </w:rPr>
        <w:t>waloryzacji</w:t>
      </w:r>
      <w:r>
        <w:rPr>
          <w:rFonts w:ascii="Times New Roman" w:hAnsi="Times New Roman" w:cs="Times New Roman"/>
          <w:szCs w:val="24"/>
        </w:rPr>
        <w:t>.</w:t>
      </w:r>
      <w:r w:rsidR="008F269E">
        <w:rPr>
          <w:rFonts w:ascii="Times New Roman" w:hAnsi="Times New Roman" w:cs="Times New Roman"/>
          <w:szCs w:val="24"/>
        </w:rPr>
        <w:t xml:space="preserve"> </w:t>
      </w:r>
    </w:p>
    <w:p w14:paraId="77A965E4" w14:textId="10EE3874" w:rsidR="0031434A" w:rsidRPr="00CE7FFC" w:rsidRDefault="0031434A" w:rsidP="0031434A">
      <w:pPr>
        <w:pStyle w:val="ARTartustawynprozporzdzenia"/>
        <w:ind w:firstLine="0"/>
        <w:rPr>
          <w:rFonts w:ascii="Times New Roman" w:eastAsia="Times New Roman" w:hAnsi="Times New Roman" w:cs="Times New Roman"/>
          <w:bCs/>
          <w:szCs w:val="24"/>
        </w:rPr>
      </w:pPr>
      <w:r>
        <w:rPr>
          <w:rFonts w:ascii="Times New Roman" w:hAnsi="Times New Roman" w:cs="Times New Roman"/>
          <w:szCs w:val="24"/>
        </w:rPr>
        <w:t xml:space="preserve">Wobec takiego stanu prawnego i faktycznego zmiany wprowadzające normy zbieżne z zasadami opodatkowania przychodów z waloryzacji środków pieniężnych, zgromadzonych na rachunkach bankowych, wskazanymi do stosowania w objaśnieniach podatkowych, nie wprowadzają </w:t>
      </w:r>
      <w:r w:rsidRPr="002C524E">
        <w:rPr>
          <w:rFonts w:ascii="Times New Roman" w:hAnsi="Times New Roman" w:cs="Times New Roman"/>
          <w:i/>
          <w:iCs/>
          <w:szCs w:val="24"/>
        </w:rPr>
        <w:t>de facto</w:t>
      </w:r>
      <w:r>
        <w:rPr>
          <w:rFonts w:ascii="Times New Roman" w:hAnsi="Times New Roman" w:cs="Times New Roman"/>
          <w:szCs w:val="24"/>
        </w:rPr>
        <w:t xml:space="preserve"> zmian w zasadach opodatkowania takich przychodów, a tylko porządkują stan prawny – zasady dotyczące opodatkowania takich przychodów będą wynikały wprost z przepisów ustawy podatkowej.</w:t>
      </w:r>
      <w:r w:rsidR="008F269E">
        <w:rPr>
          <w:rFonts w:ascii="Times New Roman" w:hAnsi="Times New Roman" w:cs="Times New Roman"/>
          <w:szCs w:val="24"/>
        </w:rPr>
        <w:t xml:space="preserve"> </w:t>
      </w:r>
    </w:p>
    <w:p w14:paraId="44A79866" w14:textId="4DDEF772" w:rsidR="006641E3" w:rsidRDefault="00995429" w:rsidP="0027548A">
      <w:pPr>
        <w:spacing w:before="240" w:after="120" w:line="36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3</w:t>
      </w:r>
      <w:r w:rsidR="00663E26">
        <w:rPr>
          <w:rFonts w:ascii="Times New Roman" w:eastAsia="Calibri" w:hAnsi="Times New Roman" w:cs="Times New Roman"/>
          <w:b/>
          <w:iCs/>
          <w:sz w:val="24"/>
          <w:szCs w:val="24"/>
        </w:rPr>
        <w:t xml:space="preserve">) </w:t>
      </w:r>
      <w:r w:rsidR="006641E3" w:rsidRPr="0027548A">
        <w:rPr>
          <w:rFonts w:ascii="Times New Roman" w:eastAsia="Calibri" w:hAnsi="Times New Roman" w:cs="Times New Roman"/>
          <w:b/>
          <w:iCs/>
          <w:sz w:val="24"/>
          <w:szCs w:val="24"/>
        </w:rPr>
        <w:t xml:space="preserve">Zmiany </w:t>
      </w:r>
      <w:r w:rsidR="00663E26">
        <w:rPr>
          <w:rFonts w:ascii="Times New Roman" w:eastAsia="Calibri" w:hAnsi="Times New Roman" w:cs="Times New Roman"/>
          <w:b/>
          <w:iCs/>
          <w:sz w:val="24"/>
          <w:szCs w:val="24"/>
        </w:rPr>
        <w:t>o charakterze językowym (terminologia) i porządkowym</w:t>
      </w:r>
      <w:r w:rsidR="00FF12BE">
        <w:rPr>
          <w:rFonts w:ascii="Times New Roman" w:eastAsia="Calibri" w:hAnsi="Times New Roman" w:cs="Times New Roman"/>
          <w:b/>
          <w:iCs/>
          <w:sz w:val="24"/>
          <w:szCs w:val="24"/>
        </w:rPr>
        <w:t>, w szczególności</w:t>
      </w:r>
      <w:r w:rsidR="008F269E">
        <w:rPr>
          <w:rFonts w:ascii="Times New Roman" w:eastAsia="Calibri" w:hAnsi="Times New Roman" w:cs="Times New Roman"/>
          <w:b/>
          <w:iCs/>
          <w:sz w:val="24"/>
          <w:szCs w:val="24"/>
        </w:rPr>
        <w:t xml:space="preserve"> </w:t>
      </w:r>
      <w:r w:rsidR="00663E26">
        <w:rPr>
          <w:rFonts w:ascii="Times New Roman" w:eastAsia="Calibri" w:hAnsi="Times New Roman" w:cs="Times New Roman"/>
          <w:b/>
          <w:iCs/>
          <w:sz w:val="24"/>
          <w:szCs w:val="24"/>
        </w:rPr>
        <w:t xml:space="preserve">zawarte w </w:t>
      </w:r>
      <w:r w:rsidR="00352599">
        <w:rPr>
          <w:rFonts w:ascii="Times New Roman" w:eastAsia="Calibri" w:hAnsi="Times New Roman" w:cs="Times New Roman"/>
          <w:b/>
          <w:iCs/>
          <w:sz w:val="24"/>
          <w:szCs w:val="24"/>
        </w:rPr>
        <w:t>przepisach</w:t>
      </w:r>
      <w:r w:rsidR="00663E26">
        <w:rPr>
          <w:rFonts w:ascii="Times New Roman" w:eastAsia="Calibri" w:hAnsi="Times New Roman" w:cs="Times New Roman"/>
          <w:b/>
          <w:iCs/>
          <w:sz w:val="24"/>
          <w:szCs w:val="24"/>
        </w:rPr>
        <w:t xml:space="preserve"> regulujących</w:t>
      </w:r>
      <w:r w:rsidR="006641E3">
        <w:rPr>
          <w:rFonts w:ascii="Times New Roman" w:eastAsia="Calibri" w:hAnsi="Times New Roman" w:cs="Times New Roman"/>
          <w:b/>
          <w:iCs/>
          <w:sz w:val="24"/>
          <w:szCs w:val="24"/>
        </w:rPr>
        <w:t xml:space="preserve"> zwolnienia z opodatkowania przychodów z wykupu przez emitenta obligacji, od których s</w:t>
      </w:r>
      <w:r w:rsidR="00663E26">
        <w:rPr>
          <w:rFonts w:ascii="Times New Roman" w:eastAsia="Calibri" w:hAnsi="Times New Roman" w:cs="Times New Roman"/>
          <w:b/>
          <w:iCs/>
          <w:sz w:val="24"/>
          <w:szCs w:val="24"/>
        </w:rPr>
        <w:t>ą</w:t>
      </w:r>
      <w:r w:rsidR="006641E3">
        <w:rPr>
          <w:rFonts w:ascii="Times New Roman" w:eastAsia="Calibri" w:hAnsi="Times New Roman" w:cs="Times New Roman"/>
          <w:b/>
          <w:iCs/>
          <w:sz w:val="24"/>
          <w:szCs w:val="24"/>
        </w:rPr>
        <w:t xml:space="preserve"> należne </w:t>
      </w:r>
      <w:r w:rsidR="00663E26">
        <w:rPr>
          <w:rFonts w:ascii="Times New Roman" w:eastAsia="Calibri" w:hAnsi="Times New Roman" w:cs="Times New Roman"/>
          <w:b/>
          <w:iCs/>
          <w:sz w:val="24"/>
          <w:szCs w:val="24"/>
        </w:rPr>
        <w:t>świadczenia</w:t>
      </w:r>
      <w:r w:rsidR="006641E3">
        <w:rPr>
          <w:rFonts w:ascii="Times New Roman" w:eastAsia="Calibri" w:hAnsi="Times New Roman" w:cs="Times New Roman"/>
          <w:b/>
          <w:iCs/>
          <w:sz w:val="24"/>
          <w:szCs w:val="24"/>
        </w:rPr>
        <w:t xml:space="preserve"> okresowe </w:t>
      </w:r>
      <w:r w:rsidR="00663E26" w:rsidRPr="0027548A">
        <w:rPr>
          <w:rFonts w:ascii="Times New Roman" w:eastAsia="Calibri" w:hAnsi="Times New Roman" w:cs="Times New Roman"/>
          <w:bCs/>
          <w:iCs/>
          <w:sz w:val="24"/>
          <w:szCs w:val="24"/>
        </w:rPr>
        <w:t xml:space="preserve">(zmieniane </w:t>
      </w:r>
      <w:r w:rsidR="006641E3" w:rsidRPr="0027548A">
        <w:rPr>
          <w:rFonts w:ascii="Times New Roman" w:eastAsia="Calibri" w:hAnsi="Times New Roman" w:cs="Times New Roman"/>
          <w:bCs/>
          <w:iCs/>
          <w:sz w:val="24"/>
          <w:szCs w:val="24"/>
        </w:rPr>
        <w:t xml:space="preserve">art. 17 ust. 1 pkt </w:t>
      </w:r>
      <w:r w:rsidR="00663E26" w:rsidRPr="0027548A">
        <w:rPr>
          <w:rFonts w:ascii="Times New Roman" w:eastAsia="Calibri" w:hAnsi="Times New Roman" w:cs="Times New Roman"/>
          <w:bCs/>
          <w:iCs/>
          <w:sz w:val="24"/>
          <w:szCs w:val="24"/>
        </w:rPr>
        <w:t xml:space="preserve">3a i 4 lit. </w:t>
      </w:r>
      <w:r w:rsidR="006641E3" w:rsidRPr="0027548A">
        <w:rPr>
          <w:rFonts w:ascii="Times New Roman" w:eastAsia="Calibri" w:hAnsi="Times New Roman" w:cs="Times New Roman"/>
          <w:bCs/>
          <w:iCs/>
          <w:sz w:val="24"/>
          <w:szCs w:val="24"/>
        </w:rPr>
        <w:t>a, art. 21 ust. 1 pkt 130, 130b</w:t>
      </w:r>
      <w:r w:rsidR="00B152C9">
        <w:rPr>
          <w:rFonts w:ascii="Times New Roman" w:eastAsia="Calibri" w:hAnsi="Times New Roman" w:cs="Times New Roman"/>
          <w:bCs/>
          <w:iCs/>
          <w:sz w:val="24"/>
          <w:szCs w:val="24"/>
        </w:rPr>
        <w:t>–</w:t>
      </w:r>
      <w:r w:rsidR="006641E3" w:rsidRPr="0027548A">
        <w:rPr>
          <w:rFonts w:ascii="Times New Roman" w:eastAsia="Calibri" w:hAnsi="Times New Roman" w:cs="Times New Roman"/>
          <w:bCs/>
          <w:iCs/>
          <w:sz w:val="24"/>
          <w:szCs w:val="24"/>
        </w:rPr>
        <w:t xml:space="preserve">130d, art. 41 ust. 24 i 24b, oraz art. 52a ust. 1 pkt 1 i ust. 4 ustawy </w:t>
      </w:r>
      <w:r w:rsidR="00A06311" w:rsidRPr="0027548A">
        <w:rPr>
          <w:rFonts w:ascii="Times New Roman" w:eastAsia="Calibri" w:hAnsi="Times New Roman" w:cs="Times New Roman"/>
          <w:bCs/>
          <w:iCs/>
          <w:sz w:val="24"/>
          <w:szCs w:val="24"/>
        </w:rPr>
        <w:t xml:space="preserve">o </w:t>
      </w:r>
      <w:r w:rsidR="006641E3" w:rsidRPr="0027548A">
        <w:rPr>
          <w:rFonts w:ascii="Times New Roman" w:eastAsia="Calibri" w:hAnsi="Times New Roman" w:cs="Times New Roman"/>
          <w:bCs/>
          <w:iCs/>
          <w:sz w:val="24"/>
          <w:szCs w:val="24"/>
        </w:rPr>
        <w:t>PIT</w:t>
      </w:r>
      <w:r w:rsidR="00A06311" w:rsidRPr="0027548A">
        <w:rPr>
          <w:rFonts w:ascii="Times New Roman" w:eastAsia="Calibri" w:hAnsi="Times New Roman" w:cs="Times New Roman"/>
          <w:bCs/>
          <w:iCs/>
          <w:sz w:val="24"/>
          <w:szCs w:val="24"/>
        </w:rPr>
        <w:t>)</w:t>
      </w:r>
      <w:r w:rsidR="00663E26" w:rsidRPr="0027548A">
        <w:rPr>
          <w:rFonts w:ascii="Times New Roman" w:eastAsia="Calibri" w:hAnsi="Times New Roman" w:cs="Times New Roman"/>
          <w:bCs/>
          <w:iCs/>
          <w:sz w:val="24"/>
          <w:szCs w:val="24"/>
        </w:rPr>
        <w:t xml:space="preserve"> </w:t>
      </w:r>
      <w:r w:rsidR="00663E26" w:rsidRPr="00793CFC">
        <w:rPr>
          <w:rFonts w:ascii="Times New Roman" w:eastAsia="Calibri" w:hAnsi="Times New Roman" w:cs="Times New Roman"/>
          <w:bCs/>
          <w:iCs/>
          <w:sz w:val="24"/>
          <w:szCs w:val="24"/>
        </w:rPr>
        <w:t>–</w:t>
      </w:r>
      <w:r w:rsidR="00663E26">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 xml:space="preserve">art. 1 pkt </w:t>
      </w:r>
      <w:r w:rsidR="008A6D88">
        <w:rPr>
          <w:rFonts w:ascii="Times New Roman" w:eastAsia="Calibri" w:hAnsi="Times New Roman" w:cs="Times New Roman"/>
          <w:b/>
          <w:iCs/>
          <w:sz w:val="24"/>
          <w:szCs w:val="24"/>
        </w:rPr>
        <w:t>3 lit. a tiret drugi</w:t>
      </w:r>
      <w:r w:rsidR="00405140">
        <w:rPr>
          <w:rFonts w:ascii="Times New Roman" w:eastAsia="Calibri" w:hAnsi="Times New Roman" w:cs="Times New Roman"/>
          <w:b/>
          <w:iCs/>
          <w:sz w:val="24"/>
          <w:szCs w:val="24"/>
        </w:rPr>
        <w:t>e</w:t>
      </w:r>
      <w:r w:rsidR="008A6D88">
        <w:rPr>
          <w:rFonts w:ascii="Times New Roman" w:eastAsia="Calibri" w:hAnsi="Times New Roman" w:cs="Times New Roman"/>
          <w:b/>
          <w:iCs/>
          <w:sz w:val="24"/>
          <w:szCs w:val="24"/>
        </w:rPr>
        <w:t xml:space="preserve">, pkt </w:t>
      </w:r>
      <w:r w:rsidR="00A45FB5">
        <w:rPr>
          <w:rFonts w:ascii="Times New Roman" w:eastAsia="Calibri" w:hAnsi="Times New Roman" w:cs="Times New Roman"/>
          <w:b/>
          <w:iCs/>
          <w:sz w:val="24"/>
          <w:szCs w:val="24"/>
        </w:rPr>
        <w:t>5</w:t>
      </w:r>
      <w:r>
        <w:rPr>
          <w:rFonts w:ascii="Times New Roman" w:eastAsia="Calibri" w:hAnsi="Times New Roman" w:cs="Times New Roman"/>
          <w:b/>
          <w:iCs/>
          <w:sz w:val="24"/>
          <w:szCs w:val="24"/>
        </w:rPr>
        <w:t xml:space="preserve">, </w:t>
      </w:r>
      <w:r w:rsidR="00A45FB5">
        <w:rPr>
          <w:rFonts w:ascii="Times New Roman" w:eastAsia="Calibri" w:hAnsi="Times New Roman" w:cs="Times New Roman"/>
          <w:b/>
          <w:iCs/>
          <w:sz w:val="24"/>
          <w:szCs w:val="24"/>
        </w:rPr>
        <w:t>15 oraz 16</w:t>
      </w:r>
      <w:r w:rsidR="0086554B">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projektu</w:t>
      </w:r>
      <w:r w:rsidR="008F269E">
        <w:rPr>
          <w:rFonts w:ascii="Times New Roman" w:eastAsia="Calibri" w:hAnsi="Times New Roman" w:cs="Times New Roman"/>
          <w:b/>
          <w:iCs/>
          <w:sz w:val="24"/>
          <w:szCs w:val="24"/>
        </w:rPr>
        <w:t xml:space="preserve"> </w:t>
      </w:r>
    </w:p>
    <w:p w14:paraId="4CE784D5" w14:textId="7DC7B929" w:rsidR="006641E3" w:rsidRPr="005E020D" w:rsidRDefault="00587B5D" w:rsidP="004C172B">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Wskazane z</w:t>
      </w:r>
      <w:r w:rsidR="006641E3" w:rsidRPr="005E020D">
        <w:rPr>
          <w:rFonts w:ascii="Times New Roman" w:eastAsia="Calibri" w:hAnsi="Times New Roman" w:cs="Times New Roman"/>
          <w:bCs/>
          <w:iCs/>
          <w:sz w:val="24"/>
          <w:szCs w:val="24"/>
        </w:rPr>
        <w:t xml:space="preserve">miany </w:t>
      </w:r>
      <w:r w:rsidR="006641E3">
        <w:rPr>
          <w:rFonts w:ascii="Times New Roman" w:eastAsia="Calibri" w:hAnsi="Times New Roman" w:cs="Times New Roman"/>
          <w:bCs/>
          <w:iCs/>
          <w:sz w:val="24"/>
          <w:szCs w:val="24"/>
        </w:rPr>
        <w:t xml:space="preserve">mają </w:t>
      </w:r>
      <w:r w:rsidR="006641E3" w:rsidRPr="005E020D">
        <w:rPr>
          <w:rFonts w:ascii="Times New Roman" w:eastAsia="Calibri" w:hAnsi="Times New Roman" w:cs="Times New Roman"/>
          <w:bCs/>
          <w:iCs/>
          <w:sz w:val="24"/>
          <w:szCs w:val="24"/>
        </w:rPr>
        <w:t>charakter porządkowy, wynikając</w:t>
      </w:r>
      <w:r w:rsidR="006641E3">
        <w:rPr>
          <w:rFonts w:ascii="Times New Roman" w:eastAsia="Calibri" w:hAnsi="Times New Roman" w:cs="Times New Roman"/>
          <w:bCs/>
          <w:iCs/>
          <w:sz w:val="24"/>
          <w:szCs w:val="24"/>
        </w:rPr>
        <w:t>y</w:t>
      </w:r>
      <w:r w:rsidR="006641E3" w:rsidRPr="005E020D">
        <w:rPr>
          <w:rFonts w:ascii="Times New Roman" w:eastAsia="Calibri" w:hAnsi="Times New Roman" w:cs="Times New Roman"/>
          <w:bCs/>
          <w:iCs/>
          <w:sz w:val="24"/>
          <w:szCs w:val="24"/>
        </w:rPr>
        <w:t xml:space="preserve"> z faktu, że od 1 stycznia 2024 r. wprowadzone zostały zmiany w zasadach ustalania przychodów do opodatkowania</w:t>
      </w:r>
      <w:r>
        <w:rPr>
          <w:rFonts w:ascii="Times New Roman" w:eastAsia="Calibri" w:hAnsi="Times New Roman" w:cs="Times New Roman"/>
          <w:bCs/>
          <w:iCs/>
          <w:sz w:val="24"/>
          <w:szCs w:val="24"/>
        </w:rPr>
        <w:t xml:space="preserve"> </w:t>
      </w:r>
      <w:r w:rsidR="006641E3" w:rsidRPr="005E020D">
        <w:rPr>
          <w:rFonts w:ascii="Times New Roman" w:eastAsia="Calibri" w:hAnsi="Times New Roman" w:cs="Times New Roman"/>
          <w:bCs/>
          <w:iCs/>
          <w:sz w:val="24"/>
          <w:szCs w:val="24"/>
        </w:rPr>
        <w:t>z</w:t>
      </w:r>
      <w:r>
        <w:rPr>
          <w:rFonts w:ascii="Times New Roman" w:eastAsia="Calibri" w:hAnsi="Times New Roman" w:cs="Times New Roman"/>
          <w:bCs/>
          <w:iCs/>
          <w:sz w:val="24"/>
          <w:szCs w:val="24"/>
        </w:rPr>
        <w:t> </w:t>
      </w:r>
      <w:r w:rsidR="006641E3" w:rsidRPr="005E020D">
        <w:rPr>
          <w:rFonts w:ascii="Times New Roman" w:eastAsia="Calibri" w:hAnsi="Times New Roman" w:cs="Times New Roman"/>
          <w:bCs/>
          <w:iCs/>
          <w:sz w:val="24"/>
          <w:szCs w:val="24"/>
        </w:rPr>
        <w:t>obligacji,</w:t>
      </w:r>
      <w:r>
        <w:rPr>
          <w:rFonts w:ascii="Times New Roman" w:eastAsia="Calibri" w:hAnsi="Times New Roman" w:cs="Times New Roman"/>
          <w:bCs/>
          <w:iCs/>
          <w:sz w:val="24"/>
          <w:szCs w:val="24"/>
        </w:rPr>
        <w:t xml:space="preserve"> </w:t>
      </w:r>
      <w:r w:rsidR="006641E3" w:rsidRPr="005E020D">
        <w:rPr>
          <w:rFonts w:ascii="Times New Roman" w:eastAsia="Calibri" w:hAnsi="Times New Roman" w:cs="Times New Roman"/>
          <w:bCs/>
          <w:iCs/>
          <w:sz w:val="24"/>
          <w:szCs w:val="24"/>
        </w:rPr>
        <w:lastRenderedPageBreak/>
        <w:t>poprzez dodanie</w:t>
      </w:r>
      <w:r w:rsidR="006641E3">
        <w:rPr>
          <w:rFonts w:ascii="Times New Roman" w:eastAsia="Calibri" w:hAnsi="Times New Roman" w:cs="Times New Roman"/>
          <w:bCs/>
          <w:iCs/>
          <w:sz w:val="24"/>
          <w:szCs w:val="24"/>
        </w:rPr>
        <w:t xml:space="preserve"> –</w:t>
      </w:r>
      <w:r w:rsidR="006641E3" w:rsidRPr="005E020D">
        <w:rPr>
          <w:rFonts w:ascii="Times New Roman" w:eastAsia="Calibri" w:hAnsi="Times New Roman" w:cs="Times New Roman"/>
          <w:bCs/>
          <w:iCs/>
          <w:sz w:val="24"/>
          <w:szCs w:val="24"/>
        </w:rPr>
        <w:t xml:space="preserve"> poza istniejącymi odsetkami i dyskontem</w:t>
      </w:r>
      <w:r w:rsidR="006641E3">
        <w:rPr>
          <w:rFonts w:ascii="Times New Roman" w:eastAsia="Calibri" w:hAnsi="Times New Roman" w:cs="Times New Roman"/>
          <w:bCs/>
          <w:iCs/>
          <w:sz w:val="24"/>
          <w:szCs w:val="24"/>
        </w:rPr>
        <w:t xml:space="preserve"> –</w:t>
      </w:r>
      <w:r w:rsidR="006641E3" w:rsidRPr="005E020D">
        <w:rPr>
          <w:rFonts w:ascii="Times New Roman" w:eastAsia="Calibri" w:hAnsi="Times New Roman" w:cs="Times New Roman"/>
          <w:bCs/>
          <w:iCs/>
          <w:sz w:val="24"/>
          <w:szCs w:val="24"/>
        </w:rPr>
        <w:t xml:space="preserve"> osobnej kategorii przychodów (wskazanej w art. 17 ust. 1 pkt 3a ustawy </w:t>
      </w:r>
      <w:r w:rsidR="00C14E7D">
        <w:rPr>
          <w:rFonts w:ascii="Times New Roman" w:eastAsia="Calibri" w:hAnsi="Times New Roman" w:cs="Times New Roman"/>
          <w:bCs/>
          <w:iCs/>
          <w:sz w:val="24"/>
          <w:szCs w:val="24"/>
        </w:rPr>
        <w:t xml:space="preserve">o </w:t>
      </w:r>
      <w:r w:rsidR="006641E3" w:rsidRPr="005E020D">
        <w:rPr>
          <w:rFonts w:ascii="Times New Roman" w:eastAsia="Calibri" w:hAnsi="Times New Roman" w:cs="Times New Roman"/>
          <w:bCs/>
          <w:iCs/>
          <w:sz w:val="24"/>
          <w:szCs w:val="24"/>
        </w:rPr>
        <w:t>PIT)</w:t>
      </w:r>
      <w:r w:rsidR="006641E3">
        <w:rPr>
          <w:rFonts w:ascii="Times New Roman" w:eastAsia="Calibri" w:hAnsi="Times New Roman" w:cs="Times New Roman"/>
          <w:bCs/>
          <w:iCs/>
          <w:sz w:val="24"/>
          <w:szCs w:val="24"/>
        </w:rPr>
        <w:t xml:space="preserve">, tj. </w:t>
      </w:r>
      <w:r w:rsidR="006641E3" w:rsidRPr="005E020D">
        <w:rPr>
          <w:rFonts w:ascii="Times New Roman" w:eastAsia="Calibri" w:hAnsi="Times New Roman" w:cs="Times New Roman"/>
          <w:bCs/>
          <w:iCs/>
          <w:sz w:val="24"/>
          <w:szCs w:val="24"/>
        </w:rPr>
        <w:t>przychodów z wykupu przez emitenta obligacji, od których są należne świadczenia okresowe.</w:t>
      </w:r>
      <w:r w:rsidR="008F269E">
        <w:rPr>
          <w:rFonts w:ascii="Times New Roman" w:eastAsia="Calibri" w:hAnsi="Times New Roman" w:cs="Times New Roman"/>
          <w:bCs/>
          <w:iCs/>
          <w:sz w:val="24"/>
          <w:szCs w:val="24"/>
        </w:rPr>
        <w:t xml:space="preserve"> </w:t>
      </w:r>
    </w:p>
    <w:p w14:paraId="68DFB877" w14:textId="0CC542A6" w:rsidR="006641E3" w:rsidRPr="005E020D" w:rsidRDefault="006641E3" w:rsidP="004C172B">
      <w:pPr>
        <w:spacing w:before="120" w:line="360" w:lineRule="auto"/>
        <w:jc w:val="both"/>
        <w:rPr>
          <w:rFonts w:ascii="Times New Roman" w:eastAsia="Calibri" w:hAnsi="Times New Roman" w:cs="Times New Roman"/>
          <w:bCs/>
          <w:iCs/>
          <w:sz w:val="24"/>
          <w:szCs w:val="24"/>
        </w:rPr>
      </w:pPr>
      <w:r w:rsidRPr="005E020D">
        <w:rPr>
          <w:rFonts w:ascii="Times New Roman" w:eastAsia="Calibri" w:hAnsi="Times New Roman" w:cs="Times New Roman"/>
          <w:bCs/>
          <w:iCs/>
          <w:sz w:val="24"/>
          <w:szCs w:val="24"/>
        </w:rPr>
        <w:t>Wprowadzenie tego rodzaju przychodów z obligacji tylko dla celów podatkowych miało na celu zrównanie w zasadach opodatkowania przychodów z obligacji nabytych na rynku pierwotnym oraz wtórnym. Nie było celem ograniczenie istniejących zwolnień z opodatkowania przychodów z obligacji, ani ograniczenie istniejących zwolnień z</w:t>
      </w:r>
      <w:r w:rsidR="00587B5D">
        <w:rPr>
          <w:rFonts w:ascii="Times New Roman" w:eastAsia="Calibri" w:hAnsi="Times New Roman" w:cs="Times New Roman"/>
          <w:bCs/>
          <w:iCs/>
          <w:sz w:val="24"/>
          <w:szCs w:val="24"/>
        </w:rPr>
        <w:t> </w:t>
      </w:r>
      <w:r w:rsidRPr="005E020D">
        <w:rPr>
          <w:rFonts w:ascii="Times New Roman" w:eastAsia="Calibri" w:hAnsi="Times New Roman" w:cs="Times New Roman"/>
          <w:bCs/>
          <w:iCs/>
          <w:sz w:val="24"/>
          <w:szCs w:val="24"/>
        </w:rPr>
        <w:t>obowiązków poboru podatku od przychodów z obligacji przez płatników.</w:t>
      </w:r>
    </w:p>
    <w:p w14:paraId="69B4AC4E" w14:textId="393422DF" w:rsidR="006641E3" w:rsidRDefault="006641E3" w:rsidP="004C172B">
      <w:pPr>
        <w:spacing w:before="120" w:line="360" w:lineRule="auto"/>
        <w:jc w:val="both"/>
        <w:rPr>
          <w:rFonts w:ascii="Times New Roman" w:eastAsia="Calibri" w:hAnsi="Times New Roman" w:cs="Times New Roman"/>
          <w:bCs/>
          <w:iCs/>
          <w:sz w:val="24"/>
          <w:szCs w:val="24"/>
        </w:rPr>
      </w:pPr>
      <w:r w:rsidRPr="005E020D">
        <w:rPr>
          <w:rFonts w:ascii="Times New Roman" w:eastAsia="Calibri" w:hAnsi="Times New Roman" w:cs="Times New Roman"/>
          <w:bCs/>
          <w:iCs/>
          <w:sz w:val="24"/>
          <w:szCs w:val="24"/>
        </w:rPr>
        <w:t>Jednak zgodnie z obowiązującymi przepisami zwolnione z opodatkowania są odsetki i</w:t>
      </w:r>
      <w:r w:rsidR="00587B5D">
        <w:rPr>
          <w:rFonts w:ascii="Times New Roman" w:eastAsia="Calibri" w:hAnsi="Times New Roman" w:cs="Times New Roman"/>
          <w:bCs/>
          <w:iCs/>
          <w:sz w:val="24"/>
          <w:szCs w:val="24"/>
        </w:rPr>
        <w:t> </w:t>
      </w:r>
      <w:r w:rsidRPr="005E020D">
        <w:rPr>
          <w:rFonts w:ascii="Times New Roman" w:eastAsia="Calibri" w:hAnsi="Times New Roman" w:cs="Times New Roman"/>
          <w:bCs/>
          <w:iCs/>
          <w:sz w:val="24"/>
          <w:szCs w:val="24"/>
        </w:rPr>
        <w:t>dyskonto od niektórych rodzajów obligacji (głównie emitowanych na rynki zagraniczne i</w:t>
      </w:r>
      <w:r w:rsidR="00587B5D">
        <w:rPr>
          <w:rFonts w:ascii="Times New Roman" w:eastAsia="Calibri" w:hAnsi="Times New Roman" w:cs="Times New Roman"/>
          <w:bCs/>
          <w:iCs/>
          <w:sz w:val="24"/>
          <w:szCs w:val="24"/>
        </w:rPr>
        <w:t> </w:t>
      </w:r>
      <w:r w:rsidRPr="005E020D">
        <w:rPr>
          <w:rFonts w:ascii="Times New Roman" w:eastAsia="Calibri" w:hAnsi="Times New Roman" w:cs="Times New Roman"/>
          <w:bCs/>
          <w:iCs/>
          <w:sz w:val="24"/>
          <w:szCs w:val="24"/>
        </w:rPr>
        <w:t xml:space="preserve">wypłacane osobom niemającym na terytorium Polski miejsca zamieszkania), jak również tylko od przychodów z odsetek i dyskonta od obligacji płatnik nie ma obowiązków poboru podatku. </w:t>
      </w:r>
    </w:p>
    <w:p w14:paraId="202A9EDA" w14:textId="7217578C" w:rsidR="00F771D2" w:rsidRPr="005E020D" w:rsidRDefault="00F771D2" w:rsidP="004C172B">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Dotychczas nie stwierdzono przypadków interpretacji przepisów dotyczących zwolnienia przychodów z obligacji emitowanych na rynki zagraniczne, które</w:t>
      </w:r>
      <w:r w:rsidR="005A26E1">
        <w:rPr>
          <w:rFonts w:ascii="Times New Roman" w:eastAsia="Calibri" w:hAnsi="Times New Roman" w:cs="Times New Roman"/>
          <w:bCs/>
          <w:iCs/>
          <w:sz w:val="24"/>
          <w:szCs w:val="24"/>
        </w:rPr>
        <w:t xml:space="preserve"> </w:t>
      </w:r>
      <w:r w:rsidR="00FE6006">
        <w:rPr>
          <w:rFonts w:ascii="Times New Roman" w:eastAsia="Calibri" w:hAnsi="Times New Roman" w:cs="Times New Roman"/>
          <w:bCs/>
          <w:iCs/>
          <w:sz w:val="24"/>
          <w:szCs w:val="24"/>
        </w:rPr>
        <w:t>nie dopuszczałyby</w:t>
      </w:r>
      <w:r w:rsidR="00B418BD">
        <w:rPr>
          <w:rFonts w:ascii="Times New Roman" w:eastAsia="Calibri" w:hAnsi="Times New Roman" w:cs="Times New Roman"/>
          <w:bCs/>
          <w:iCs/>
          <w:sz w:val="24"/>
          <w:szCs w:val="24"/>
        </w:rPr>
        <w:t xml:space="preserve"> stosowa</w:t>
      </w:r>
      <w:r w:rsidR="00FE6006">
        <w:rPr>
          <w:rFonts w:ascii="Times New Roman" w:eastAsia="Calibri" w:hAnsi="Times New Roman" w:cs="Times New Roman"/>
          <w:bCs/>
          <w:iCs/>
          <w:sz w:val="24"/>
          <w:szCs w:val="24"/>
        </w:rPr>
        <w:t>nia</w:t>
      </w:r>
      <w:r>
        <w:rPr>
          <w:rFonts w:ascii="Times New Roman" w:eastAsia="Calibri" w:hAnsi="Times New Roman" w:cs="Times New Roman"/>
          <w:bCs/>
          <w:iCs/>
          <w:sz w:val="24"/>
          <w:szCs w:val="24"/>
        </w:rPr>
        <w:t xml:space="preserve"> takiego zwolnienia dla podatników i płatników od </w:t>
      </w:r>
      <w:r w:rsidRPr="005E020D">
        <w:rPr>
          <w:rFonts w:ascii="Times New Roman" w:eastAsia="Calibri" w:hAnsi="Times New Roman" w:cs="Times New Roman"/>
          <w:bCs/>
          <w:iCs/>
          <w:sz w:val="24"/>
          <w:szCs w:val="24"/>
        </w:rPr>
        <w:t>przychodów z wykupu przez emitenta obligacji, od których są należne świadczenia okresowe</w:t>
      </w:r>
      <w:r w:rsidR="00B418BD">
        <w:rPr>
          <w:rFonts w:ascii="Times New Roman" w:eastAsia="Calibri" w:hAnsi="Times New Roman" w:cs="Times New Roman"/>
          <w:bCs/>
          <w:iCs/>
          <w:sz w:val="24"/>
          <w:szCs w:val="24"/>
        </w:rPr>
        <w:t>, na analogicznych zasadach jak przychody z odsetek i dyskonta od takich obligacji</w:t>
      </w:r>
      <w:r w:rsidRPr="005E020D">
        <w:rPr>
          <w:rFonts w:ascii="Times New Roman" w:eastAsia="Calibri" w:hAnsi="Times New Roman" w:cs="Times New Roman"/>
          <w:bCs/>
          <w:iCs/>
          <w:sz w:val="24"/>
          <w:szCs w:val="24"/>
        </w:rPr>
        <w:t>.</w:t>
      </w:r>
      <w:r w:rsidR="008F269E">
        <w:rPr>
          <w:rFonts w:ascii="Times New Roman" w:eastAsia="Calibri" w:hAnsi="Times New Roman" w:cs="Times New Roman"/>
          <w:bCs/>
          <w:iCs/>
          <w:sz w:val="24"/>
          <w:szCs w:val="24"/>
        </w:rPr>
        <w:t xml:space="preserve"> </w:t>
      </w:r>
    </w:p>
    <w:p w14:paraId="53432EEF" w14:textId="0486873B" w:rsidR="006641E3" w:rsidRDefault="006641E3" w:rsidP="004C172B">
      <w:pPr>
        <w:spacing w:before="120" w:line="360" w:lineRule="auto"/>
        <w:jc w:val="both"/>
        <w:rPr>
          <w:rFonts w:ascii="Times New Roman" w:eastAsia="Calibri" w:hAnsi="Times New Roman" w:cs="Times New Roman"/>
          <w:bCs/>
          <w:iCs/>
          <w:sz w:val="24"/>
          <w:szCs w:val="24"/>
        </w:rPr>
      </w:pPr>
      <w:r w:rsidRPr="005E020D">
        <w:rPr>
          <w:rFonts w:ascii="Times New Roman" w:eastAsia="Calibri" w:hAnsi="Times New Roman" w:cs="Times New Roman"/>
          <w:bCs/>
          <w:iCs/>
          <w:sz w:val="24"/>
          <w:szCs w:val="24"/>
        </w:rPr>
        <w:t xml:space="preserve">Dla porządku prawnego, w określonym w art. 21 ust. 1 pkt 130, 130b–130d oraz art. 52a ust. 1 pkt 1 i ust. 4 ustawy </w:t>
      </w:r>
      <w:r w:rsidR="00C14E7D">
        <w:rPr>
          <w:rFonts w:ascii="Times New Roman" w:eastAsia="Calibri" w:hAnsi="Times New Roman" w:cs="Times New Roman"/>
          <w:bCs/>
          <w:iCs/>
          <w:sz w:val="24"/>
          <w:szCs w:val="24"/>
        </w:rPr>
        <w:t xml:space="preserve">o </w:t>
      </w:r>
      <w:r w:rsidRPr="005E020D">
        <w:rPr>
          <w:rFonts w:ascii="Times New Roman" w:eastAsia="Calibri" w:hAnsi="Times New Roman" w:cs="Times New Roman"/>
          <w:bCs/>
          <w:iCs/>
          <w:sz w:val="24"/>
          <w:szCs w:val="24"/>
        </w:rPr>
        <w:t>PIT</w:t>
      </w:r>
      <w:r w:rsidRPr="005E020D" w:rsidDel="009446DA">
        <w:rPr>
          <w:rFonts w:ascii="Times New Roman" w:eastAsia="Calibri" w:hAnsi="Times New Roman" w:cs="Times New Roman"/>
          <w:b/>
          <w:iCs/>
          <w:sz w:val="24"/>
          <w:szCs w:val="24"/>
        </w:rPr>
        <w:t xml:space="preserve"> </w:t>
      </w:r>
      <w:r w:rsidRPr="005E020D">
        <w:rPr>
          <w:rFonts w:ascii="Times New Roman" w:eastAsia="Calibri" w:hAnsi="Times New Roman" w:cs="Times New Roman"/>
          <w:bCs/>
          <w:iCs/>
          <w:sz w:val="24"/>
          <w:szCs w:val="24"/>
        </w:rPr>
        <w:t xml:space="preserve">katalogu zwolnień przychodów z obligacji, </w:t>
      </w:r>
      <w:r>
        <w:rPr>
          <w:rFonts w:ascii="Times New Roman" w:eastAsia="Calibri" w:hAnsi="Times New Roman" w:cs="Times New Roman"/>
          <w:bCs/>
          <w:iCs/>
          <w:sz w:val="24"/>
          <w:szCs w:val="24"/>
        </w:rPr>
        <w:t xml:space="preserve">w projekcie </w:t>
      </w:r>
      <w:r w:rsidRPr="005E020D">
        <w:rPr>
          <w:rFonts w:ascii="Times New Roman" w:eastAsia="Calibri" w:hAnsi="Times New Roman" w:cs="Times New Roman"/>
          <w:bCs/>
          <w:iCs/>
          <w:sz w:val="24"/>
          <w:szCs w:val="24"/>
        </w:rPr>
        <w:t xml:space="preserve">została dokonana zmiana wskazująca obok odsetek i dyskonta (o których mowa w art. 17 ust. 1 pkt 3 ustawy </w:t>
      </w:r>
      <w:r w:rsidR="00C14E7D">
        <w:rPr>
          <w:rFonts w:ascii="Times New Roman" w:eastAsia="Calibri" w:hAnsi="Times New Roman" w:cs="Times New Roman"/>
          <w:bCs/>
          <w:iCs/>
          <w:sz w:val="24"/>
          <w:szCs w:val="24"/>
        </w:rPr>
        <w:t xml:space="preserve">o </w:t>
      </w:r>
      <w:r w:rsidRPr="005E020D">
        <w:rPr>
          <w:rFonts w:ascii="Times New Roman" w:eastAsia="Calibri" w:hAnsi="Times New Roman" w:cs="Times New Roman"/>
          <w:bCs/>
          <w:iCs/>
          <w:sz w:val="24"/>
          <w:szCs w:val="24"/>
        </w:rPr>
        <w:t xml:space="preserve">PIT) </w:t>
      </w:r>
      <w:r>
        <w:rPr>
          <w:rFonts w:ascii="Times New Roman" w:eastAsia="Calibri" w:hAnsi="Times New Roman" w:cs="Times New Roman"/>
          <w:bCs/>
          <w:iCs/>
          <w:sz w:val="24"/>
          <w:szCs w:val="24"/>
        </w:rPr>
        <w:t>również</w:t>
      </w:r>
      <w:r w:rsidRPr="005E020D">
        <w:rPr>
          <w:rFonts w:ascii="Times New Roman" w:eastAsia="Calibri" w:hAnsi="Times New Roman" w:cs="Times New Roman"/>
          <w:bCs/>
          <w:iCs/>
          <w:sz w:val="24"/>
          <w:szCs w:val="24"/>
        </w:rPr>
        <w:t xml:space="preserve"> przychody z wykupu przez emitenta obligacji (o których mowa w art. 17 ust. 1 pkt 3a ustawy </w:t>
      </w:r>
      <w:r w:rsidR="00C14E7D">
        <w:rPr>
          <w:rFonts w:ascii="Times New Roman" w:eastAsia="Calibri" w:hAnsi="Times New Roman" w:cs="Times New Roman"/>
          <w:bCs/>
          <w:iCs/>
          <w:sz w:val="24"/>
          <w:szCs w:val="24"/>
        </w:rPr>
        <w:t xml:space="preserve">o </w:t>
      </w:r>
      <w:r w:rsidRPr="005E020D">
        <w:rPr>
          <w:rFonts w:ascii="Times New Roman" w:eastAsia="Calibri" w:hAnsi="Times New Roman" w:cs="Times New Roman"/>
          <w:bCs/>
          <w:iCs/>
          <w:sz w:val="24"/>
          <w:szCs w:val="24"/>
        </w:rPr>
        <w:t xml:space="preserve">PIT), a także w art. 41 ust. 24 i 24b ustawy </w:t>
      </w:r>
      <w:r w:rsidR="00C14E7D">
        <w:rPr>
          <w:rFonts w:ascii="Times New Roman" w:eastAsia="Calibri" w:hAnsi="Times New Roman" w:cs="Times New Roman"/>
          <w:bCs/>
          <w:iCs/>
          <w:sz w:val="24"/>
          <w:szCs w:val="24"/>
        </w:rPr>
        <w:t xml:space="preserve">o </w:t>
      </w:r>
      <w:r w:rsidRPr="005E020D">
        <w:rPr>
          <w:rFonts w:ascii="Times New Roman" w:eastAsia="Calibri" w:hAnsi="Times New Roman" w:cs="Times New Roman"/>
          <w:bCs/>
          <w:iCs/>
          <w:sz w:val="24"/>
          <w:szCs w:val="24"/>
        </w:rPr>
        <w:t>PIT uzupełnione zostały przychody z obligacji, z których płatnik nie ma obowiązku poboru podatku obok odsetek i dyskonta, o przychody z wykupu przez emitenta obligacji, od których są należne świadczenia okresowe.</w:t>
      </w:r>
      <w:r w:rsidR="008F269E">
        <w:rPr>
          <w:rFonts w:ascii="Times New Roman" w:eastAsia="Calibri" w:hAnsi="Times New Roman" w:cs="Times New Roman"/>
          <w:bCs/>
          <w:iCs/>
          <w:sz w:val="24"/>
          <w:szCs w:val="24"/>
        </w:rPr>
        <w:t xml:space="preserve"> </w:t>
      </w:r>
    </w:p>
    <w:p w14:paraId="682F80C8" w14:textId="37FE8F2B" w:rsidR="00E2781E" w:rsidRPr="005E020D" w:rsidRDefault="00E2781E" w:rsidP="004C172B">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Zmiana taka jest korzystna dla adresatów norm (podatników i płatników), ponieważ usuwa możliwe wątpliwości prawne co do stosowania zwolnień podatkowych w przypadku osiągnięcia przychodów </w:t>
      </w:r>
      <w:r w:rsidRPr="005E020D">
        <w:rPr>
          <w:rFonts w:ascii="Times New Roman" w:eastAsia="Calibri" w:hAnsi="Times New Roman" w:cs="Times New Roman"/>
          <w:bCs/>
          <w:iCs/>
          <w:sz w:val="24"/>
          <w:szCs w:val="24"/>
        </w:rPr>
        <w:t>z wykupu przez emitenta obligacji, od których są należne świadczenia okresowe.</w:t>
      </w:r>
      <w:r w:rsidR="008F269E">
        <w:rPr>
          <w:rFonts w:ascii="Times New Roman" w:eastAsia="Calibri" w:hAnsi="Times New Roman" w:cs="Times New Roman"/>
          <w:bCs/>
          <w:iCs/>
          <w:sz w:val="24"/>
          <w:szCs w:val="24"/>
        </w:rPr>
        <w:t xml:space="preserve"> </w:t>
      </w:r>
    </w:p>
    <w:p w14:paraId="513149A3" w14:textId="14D6385D" w:rsidR="006641E3" w:rsidRDefault="006641E3" w:rsidP="004C172B">
      <w:pPr>
        <w:spacing w:before="120" w:line="360" w:lineRule="auto"/>
        <w:jc w:val="both"/>
        <w:rPr>
          <w:rFonts w:ascii="Times New Roman" w:eastAsia="Calibri" w:hAnsi="Times New Roman" w:cs="Times New Roman"/>
          <w:bCs/>
          <w:iCs/>
          <w:sz w:val="24"/>
          <w:szCs w:val="24"/>
        </w:rPr>
      </w:pPr>
      <w:r w:rsidRPr="005E020D">
        <w:rPr>
          <w:rFonts w:ascii="Times New Roman" w:eastAsia="Calibri" w:hAnsi="Times New Roman" w:cs="Times New Roman"/>
          <w:bCs/>
          <w:iCs/>
          <w:sz w:val="24"/>
          <w:szCs w:val="24"/>
        </w:rPr>
        <w:lastRenderedPageBreak/>
        <w:t xml:space="preserve">Poprawiona została także redakcja przepisu określającego przychody zaliczane do źródła „kapitały pieniężne” poprzez wskazanie, że zalicza się do nich </w:t>
      </w:r>
      <w:r w:rsidR="00E2781E">
        <w:rPr>
          <w:rFonts w:ascii="Times New Roman" w:eastAsia="Calibri" w:hAnsi="Times New Roman" w:cs="Times New Roman"/>
          <w:bCs/>
          <w:iCs/>
          <w:sz w:val="24"/>
          <w:szCs w:val="24"/>
        </w:rPr>
        <w:t>„</w:t>
      </w:r>
      <w:r w:rsidRPr="005E020D">
        <w:rPr>
          <w:rFonts w:ascii="Times New Roman" w:eastAsia="Calibri" w:hAnsi="Times New Roman" w:cs="Times New Roman"/>
          <w:bCs/>
          <w:iCs/>
          <w:sz w:val="24"/>
          <w:szCs w:val="24"/>
        </w:rPr>
        <w:t>przychody z wykupu obligacji</w:t>
      </w:r>
      <w:r w:rsidR="00E2781E">
        <w:rPr>
          <w:rFonts w:ascii="Times New Roman" w:eastAsia="Calibri" w:hAnsi="Times New Roman" w:cs="Times New Roman"/>
          <w:bCs/>
          <w:iCs/>
          <w:sz w:val="24"/>
          <w:szCs w:val="24"/>
        </w:rPr>
        <w:t>”</w:t>
      </w:r>
      <w:r w:rsidRPr="005E020D">
        <w:rPr>
          <w:rFonts w:ascii="Times New Roman" w:eastAsia="Calibri" w:hAnsi="Times New Roman" w:cs="Times New Roman"/>
          <w:bCs/>
          <w:iCs/>
          <w:sz w:val="24"/>
          <w:szCs w:val="24"/>
        </w:rPr>
        <w:t xml:space="preserve">, a nie </w:t>
      </w:r>
      <w:r w:rsidR="00E2781E">
        <w:rPr>
          <w:rFonts w:ascii="Times New Roman" w:eastAsia="Calibri" w:hAnsi="Times New Roman" w:cs="Times New Roman"/>
          <w:bCs/>
          <w:iCs/>
          <w:sz w:val="24"/>
          <w:szCs w:val="24"/>
        </w:rPr>
        <w:t>„</w:t>
      </w:r>
      <w:r w:rsidRPr="005E020D">
        <w:rPr>
          <w:rFonts w:ascii="Times New Roman" w:eastAsia="Calibri" w:hAnsi="Times New Roman" w:cs="Times New Roman"/>
          <w:bCs/>
          <w:iCs/>
          <w:sz w:val="24"/>
          <w:szCs w:val="24"/>
        </w:rPr>
        <w:t>wykup obligacji</w:t>
      </w:r>
      <w:r w:rsidR="00E2781E">
        <w:rPr>
          <w:rFonts w:ascii="Times New Roman" w:eastAsia="Calibri" w:hAnsi="Times New Roman" w:cs="Times New Roman"/>
          <w:bCs/>
          <w:iCs/>
          <w:sz w:val="24"/>
          <w:szCs w:val="24"/>
        </w:rPr>
        <w:t>”</w:t>
      </w:r>
      <w:r w:rsidRPr="005E020D">
        <w:rPr>
          <w:rFonts w:ascii="Times New Roman" w:eastAsia="Calibri" w:hAnsi="Times New Roman" w:cs="Times New Roman"/>
          <w:bCs/>
          <w:iCs/>
          <w:sz w:val="24"/>
          <w:szCs w:val="24"/>
        </w:rPr>
        <w:t xml:space="preserve"> (art. 17 ust. 1 pkt 3a ustawy </w:t>
      </w:r>
      <w:r w:rsidR="00C14E7D">
        <w:rPr>
          <w:rFonts w:ascii="Times New Roman" w:eastAsia="Calibri" w:hAnsi="Times New Roman" w:cs="Times New Roman"/>
          <w:bCs/>
          <w:iCs/>
          <w:sz w:val="24"/>
          <w:szCs w:val="24"/>
        </w:rPr>
        <w:t xml:space="preserve">o </w:t>
      </w:r>
      <w:r w:rsidRPr="005E020D">
        <w:rPr>
          <w:rFonts w:ascii="Times New Roman" w:eastAsia="Calibri" w:hAnsi="Times New Roman" w:cs="Times New Roman"/>
          <w:bCs/>
          <w:iCs/>
          <w:sz w:val="24"/>
          <w:szCs w:val="24"/>
        </w:rPr>
        <w:t>PIT).</w:t>
      </w:r>
    </w:p>
    <w:p w14:paraId="340724EF" w14:textId="312547F1" w:rsidR="00E962A1" w:rsidRPr="00A63085" w:rsidRDefault="00CE0A24" w:rsidP="00E962A1">
      <w:pPr>
        <w:spacing w:before="240" w:after="120" w:line="360" w:lineRule="auto"/>
        <w:jc w:val="both"/>
        <w:rPr>
          <w:rFonts w:ascii="Times New Roman" w:eastAsia="Calibri" w:hAnsi="Times New Roman" w:cs="Times New Roman"/>
          <w:b/>
          <w:iCs/>
          <w:sz w:val="24"/>
          <w:szCs w:val="24"/>
        </w:rPr>
      </w:pPr>
      <w:bookmarkStart w:id="5" w:name="_Hlk207285234"/>
      <w:r>
        <w:rPr>
          <w:rFonts w:ascii="Times New Roman" w:eastAsia="Calibri" w:hAnsi="Times New Roman" w:cs="Times New Roman"/>
          <w:b/>
          <w:iCs/>
          <w:sz w:val="24"/>
          <w:szCs w:val="24"/>
        </w:rPr>
        <w:t>4</w:t>
      </w:r>
      <w:r w:rsidR="00E962A1">
        <w:rPr>
          <w:rFonts w:ascii="Times New Roman" w:eastAsia="Calibri" w:hAnsi="Times New Roman" w:cs="Times New Roman"/>
          <w:b/>
          <w:iCs/>
          <w:sz w:val="24"/>
          <w:szCs w:val="24"/>
        </w:rPr>
        <w:t xml:space="preserve">) </w:t>
      </w:r>
      <w:r w:rsidR="00E962A1" w:rsidRPr="00A63085">
        <w:rPr>
          <w:rFonts w:ascii="Times New Roman" w:eastAsia="Calibri" w:hAnsi="Times New Roman" w:cs="Times New Roman"/>
          <w:b/>
          <w:iCs/>
          <w:sz w:val="24"/>
          <w:szCs w:val="24"/>
        </w:rPr>
        <w:t>Zmiana zasad ustalania kosztów uzyskania przychodów w przypadku odpłatnego zbycia udziałów (akcji) spółki powstałej z przekształcenia innej spółki</w:t>
      </w:r>
      <w:r w:rsidR="00E962A1" w:rsidRPr="0027548A">
        <w:rPr>
          <w:rFonts w:ascii="Times New Roman" w:eastAsia="Calibri" w:hAnsi="Times New Roman" w:cs="Times New Roman"/>
          <w:bCs/>
          <w:iCs/>
          <w:sz w:val="24"/>
          <w:szCs w:val="24"/>
        </w:rPr>
        <w:t xml:space="preserve"> (dodawane art. 22 ust. 1ta i 1tb ustawy o PIT oraz art. 15 ust. 1xe i 1xf ustawy o CIT)</w:t>
      </w:r>
      <w:r w:rsidR="00E962A1">
        <w:rPr>
          <w:rFonts w:ascii="Times New Roman" w:eastAsia="Calibri" w:hAnsi="Times New Roman" w:cs="Times New Roman"/>
          <w:b/>
          <w:iCs/>
          <w:sz w:val="24"/>
          <w:szCs w:val="24"/>
        </w:rPr>
        <w:t xml:space="preserve"> – art. 1 pkt </w:t>
      </w:r>
      <w:r w:rsidR="00A45FB5">
        <w:rPr>
          <w:rFonts w:ascii="Times New Roman" w:eastAsia="Calibri" w:hAnsi="Times New Roman" w:cs="Times New Roman"/>
          <w:b/>
          <w:iCs/>
          <w:sz w:val="24"/>
          <w:szCs w:val="24"/>
        </w:rPr>
        <w:t>6</w:t>
      </w:r>
      <w:r w:rsidR="00E962A1">
        <w:rPr>
          <w:rFonts w:ascii="Times New Roman" w:eastAsia="Calibri" w:hAnsi="Times New Roman" w:cs="Times New Roman"/>
          <w:b/>
          <w:iCs/>
          <w:sz w:val="24"/>
          <w:szCs w:val="24"/>
        </w:rPr>
        <w:t xml:space="preserve"> oraz art. 2 pkt </w:t>
      </w:r>
      <w:r>
        <w:rPr>
          <w:rFonts w:ascii="Times New Roman" w:eastAsia="Calibri" w:hAnsi="Times New Roman" w:cs="Times New Roman"/>
          <w:b/>
          <w:iCs/>
          <w:sz w:val="24"/>
          <w:szCs w:val="24"/>
        </w:rPr>
        <w:t>4</w:t>
      </w:r>
      <w:r w:rsidR="00E962A1">
        <w:rPr>
          <w:rFonts w:ascii="Times New Roman" w:eastAsia="Calibri" w:hAnsi="Times New Roman" w:cs="Times New Roman"/>
          <w:b/>
          <w:iCs/>
          <w:sz w:val="24"/>
          <w:szCs w:val="24"/>
        </w:rPr>
        <w:t xml:space="preserve"> projektu</w:t>
      </w:r>
    </w:p>
    <w:p w14:paraId="1120BC6B" w14:textId="3BC728F5" w:rsidR="00E962A1" w:rsidRPr="00A63085" w:rsidRDefault="00E962A1" w:rsidP="00E962A1">
      <w:pPr>
        <w:spacing w:before="120" w:line="360" w:lineRule="auto"/>
        <w:jc w:val="both"/>
        <w:rPr>
          <w:rFonts w:ascii="Times New Roman" w:eastAsia="Calibri" w:hAnsi="Times New Roman" w:cs="Times New Roman"/>
          <w:bCs/>
          <w:iCs/>
          <w:sz w:val="24"/>
          <w:szCs w:val="24"/>
        </w:rPr>
      </w:pPr>
      <w:r w:rsidRPr="00A63085">
        <w:rPr>
          <w:rFonts w:ascii="Times New Roman" w:eastAsia="Calibri" w:hAnsi="Times New Roman" w:cs="Times New Roman"/>
          <w:bCs/>
          <w:iCs/>
          <w:sz w:val="24"/>
          <w:szCs w:val="24"/>
        </w:rPr>
        <w:t xml:space="preserve">Obecnie </w:t>
      </w:r>
      <w:r>
        <w:rPr>
          <w:rFonts w:ascii="Times New Roman" w:eastAsia="Calibri" w:hAnsi="Times New Roman" w:cs="Times New Roman"/>
          <w:bCs/>
          <w:iCs/>
          <w:sz w:val="24"/>
          <w:szCs w:val="24"/>
        </w:rPr>
        <w:t xml:space="preserve">w </w:t>
      </w:r>
      <w:r w:rsidRPr="00A63085">
        <w:rPr>
          <w:rFonts w:ascii="Times New Roman" w:eastAsia="Calibri" w:hAnsi="Times New Roman" w:cs="Times New Roman"/>
          <w:bCs/>
          <w:iCs/>
          <w:sz w:val="24"/>
          <w:szCs w:val="24"/>
        </w:rPr>
        <w:t xml:space="preserve">art. 22 ust. 1t ustawy </w:t>
      </w:r>
      <w:r>
        <w:rPr>
          <w:rFonts w:ascii="Times New Roman" w:eastAsia="Calibri" w:hAnsi="Times New Roman" w:cs="Times New Roman"/>
          <w:bCs/>
          <w:iCs/>
          <w:sz w:val="24"/>
          <w:szCs w:val="24"/>
        </w:rPr>
        <w:t xml:space="preserve">o </w:t>
      </w:r>
      <w:r w:rsidRPr="00A63085">
        <w:rPr>
          <w:rFonts w:ascii="Times New Roman" w:eastAsia="Calibri" w:hAnsi="Times New Roman" w:cs="Times New Roman"/>
          <w:bCs/>
          <w:iCs/>
          <w:sz w:val="24"/>
          <w:szCs w:val="24"/>
        </w:rPr>
        <w:t xml:space="preserve">PIT </w:t>
      </w:r>
      <w:r>
        <w:rPr>
          <w:rFonts w:ascii="Times New Roman" w:eastAsia="Calibri" w:hAnsi="Times New Roman" w:cs="Times New Roman"/>
          <w:bCs/>
          <w:iCs/>
          <w:sz w:val="24"/>
          <w:szCs w:val="24"/>
        </w:rPr>
        <w:t xml:space="preserve">(oraz art. 15 ust. 1xd ustawy o CIT) zostały </w:t>
      </w:r>
      <w:r w:rsidRPr="00A63085">
        <w:rPr>
          <w:rFonts w:ascii="Times New Roman" w:eastAsia="Calibri" w:hAnsi="Times New Roman" w:cs="Times New Roman"/>
          <w:bCs/>
          <w:iCs/>
          <w:sz w:val="24"/>
          <w:szCs w:val="24"/>
        </w:rPr>
        <w:t>określ</w:t>
      </w:r>
      <w:r>
        <w:rPr>
          <w:rFonts w:ascii="Times New Roman" w:eastAsia="Calibri" w:hAnsi="Times New Roman" w:cs="Times New Roman"/>
          <w:bCs/>
          <w:iCs/>
          <w:sz w:val="24"/>
          <w:szCs w:val="24"/>
        </w:rPr>
        <w:t>one</w:t>
      </w:r>
      <w:r w:rsidRPr="00A63085">
        <w:rPr>
          <w:rFonts w:ascii="Times New Roman" w:eastAsia="Calibri" w:hAnsi="Times New Roman" w:cs="Times New Roman"/>
          <w:bCs/>
          <w:iCs/>
          <w:sz w:val="24"/>
          <w:szCs w:val="24"/>
        </w:rPr>
        <w:t xml:space="preserve"> zasady ustalania kosztów uzyskania przychodów z odpłatnego zbycia udziałów (akcji) spółki powstałej z przekształcenia spółki niebędącej osobą prawną, </w:t>
      </w:r>
      <w:r>
        <w:rPr>
          <w:rFonts w:ascii="Times New Roman" w:eastAsia="Calibri" w:hAnsi="Times New Roman" w:cs="Times New Roman"/>
          <w:bCs/>
          <w:iCs/>
          <w:sz w:val="24"/>
          <w:szCs w:val="24"/>
        </w:rPr>
        <w:t xml:space="preserve">które </w:t>
      </w:r>
      <w:r w:rsidRPr="00A63085">
        <w:rPr>
          <w:rFonts w:ascii="Times New Roman" w:eastAsia="Calibri" w:hAnsi="Times New Roman" w:cs="Times New Roman"/>
          <w:bCs/>
          <w:iCs/>
          <w:sz w:val="24"/>
          <w:szCs w:val="24"/>
        </w:rPr>
        <w:t>wskazują, że w takim przypadku przyjmuje się koszt historyczny, a więc wydatki na nabycie prawa do udziałów spółki przekształcanej.</w:t>
      </w:r>
    </w:p>
    <w:p w14:paraId="2FE91550" w14:textId="257AFEE7" w:rsidR="00E962A1" w:rsidRPr="00A63085" w:rsidRDefault="00E962A1" w:rsidP="00E962A1">
      <w:pPr>
        <w:spacing w:before="120" w:line="360" w:lineRule="auto"/>
        <w:jc w:val="both"/>
        <w:rPr>
          <w:rFonts w:ascii="Times New Roman" w:eastAsia="Calibri" w:hAnsi="Times New Roman" w:cs="Times New Roman"/>
          <w:bCs/>
          <w:iCs/>
          <w:sz w:val="24"/>
          <w:szCs w:val="24"/>
        </w:rPr>
      </w:pPr>
      <w:r w:rsidRPr="00A63085">
        <w:rPr>
          <w:rFonts w:ascii="Times New Roman" w:eastAsia="Calibri" w:hAnsi="Times New Roman" w:cs="Times New Roman"/>
          <w:bCs/>
          <w:iCs/>
          <w:sz w:val="24"/>
          <w:szCs w:val="24"/>
        </w:rPr>
        <w:t xml:space="preserve">Przepis ten nie reguluje przypadku odpłatnego zbycia udziałów (akcji) spółki powstałej z przekształcenia innej spółki. W ocenie organów podatkowych w przypadku odpłatnego zbycia udziałów (akcji) spółki przekształconej kosztem uzyskania przychodów powinny być wydatki na nabycie lub objęcie udziałów lub akcji spółki przekształcanej, czyli tzw. koszt historyczny. Stanowiska tego nie podzielają sądy administracyjne. Zgodnie z linią orzeczniczą sądów administracyjnych w przypadku odpłatnego zbycia takich udziałów kosztem nie jest koszt historyczny, lecz wartość bilansowa majątku spółki przekształcanej na moment przekształcenia. </w:t>
      </w:r>
      <w:r>
        <w:rPr>
          <w:rFonts w:ascii="Times New Roman" w:eastAsia="Calibri" w:hAnsi="Times New Roman" w:cs="Times New Roman"/>
          <w:bCs/>
          <w:iCs/>
          <w:sz w:val="24"/>
          <w:szCs w:val="24"/>
        </w:rPr>
        <w:t xml:space="preserve">Taka wykładnia omawianych przepisów prowadzi do tzw. </w:t>
      </w:r>
      <w:r w:rsidRPr="0027548A">
        <w:rPr>
          <w:rFonts w:ascii="Times New Roman" w:eastAsia="Calibri" w:hAnsi="Times New Roman" w:cs="Times New Roman"/>
          <w:bCs/>
          <w:i/>
          <w:sz w:val="24"/>
          <w:szCs w:val="24"/>
        </w:rPr>
        <w:t>step-up</w:t>
      </w:r>
      <w:r>
        <w:rPr>
          <w:rFonts w:ascii="Times New Roman" w:eastAsia="Calibri" w:hAnsi="Times New Roman" w:cs="Times New Roman"/>
          <w:bCs/>
          <w:i/>
          <w:sz w:val="24"/>
          <w:szCs w:val="24"/>
        </w:rPr>
        <w:t>’</w:t>
      </w:r>
      <w:r w:rsidRPr="0027548A">
        <w:rPr>
          <w:rFonts w:ascii="Times New Roman" w:eastAsia="Calibri" w:hAnsi="Times New Roman" w:cs="Times New Roman"/>
          <w:bCs/>
          <w:i/>
          <w:sz w:val="24"/>
          <w:szCs w:val="24"/>
        </w:rPr>
        <w:t>u</w:t>
      </w:r>
      <w:r>
        <w:rPr>
          <w:rFonts w:ascii="Times New Roman" w:eastAsia="Calibri" w:hAnsi="Times New Roman" w:cs="Times New Roman"/>
          <w:bCs/>
          <w:iCs/>
          <w:sz w:val="24"/>
          <w:szCs w:val="24"/>
        </w:rPr>
        <w:t xml:space="preserve">, czyli (niezasadnego) przeszacowania wartości podatkowej aktywów do ich wartości rynkowej – umożliwiając tym samym podatnikom ukosztowienie kwot, które nie znajdują odzwierciedlenia w faktycznie poniesionych wydatkach (co narusza ogólną zasadę podatku dochodowego wynikającą z art. 22 ustawy o PIT oraz art. 15 ustawy o CIT i prowadzi do zaniżenia wykazywanych dochodów). </w:t>
      </w:r>
    </w:p>
    <w:p w14:paraId="1BE359A2" w14:textId="7A91B9B5" w:rsidR="00E962A1" w:rsidRPr="00A63085" w:rsidRDefault="00E962A1" w:rsidP="00E962A1">
      <w:pPr>
        <w:spacing w:before="120" w:line="360" w:lineRule="auto"/>
        <w:jc w:val="both"/>
        <w:rPr>
          <w:rFonts w:ascii="Times New Roman" w:eastAsia="Calibri" w:hAnsi="Times New Roman" w:cs="Times New Roman"/>
          <w:bCs/>
          <w:iCs/>
          <w:sz w:val="24"/>
          <w:szCs w:val="24"/>
        </w:rPr>
      </w:pPr>
      <w:r w:rsidRPr="00A63085">
        <w:rPr>
          <w:rFonts w:ascii="Times New Roman" w:eastAsia="Calibri" w:hAnsi="Times New Roman" w:cs="Times New Roman"/>
          <w:bCs/>
          <w:iCs/>
          <w:sz w:val="24"/>
          <w:szCs w:val="24"/>
        </w:rPr>
        <w:t xml:space="preserve">W związku z </w:t>
      </w:r>
      <w:r>
        <w:rPr>
          <w:rFonts w:ascii="Times New Roman" w:eastAsia="Calibri" w:hAnsi="Times New Roman" w:cs="Times New Roman"/>
          <w:bCs/>
          <w:iCs/>
          <w:sz w:val="24"/>
          <w:szCs w:val="24"/>
        </w:rPr>
        <w:t>powyższym konieczne</w:t>
      </w:r>
      <w:r w:rsidRPr="00A63085">
        <w:rPr>
          <w:rFonts w:ascii="Times New Roman" w:eastAsia="Calibri" w:hAnsi="Times New Roman" w:cs="Times New Roman"/>
          <w:bCs/>
          <w:iCs/>
          <w:sz w:val="24"/>
          <w:szCs w:val="24"/>
        </w:rPr>
        <w:t xml:space="preserve"> stało się wprowadzenie regulacji wprost wskazującej, że w przypadku odpłatnego zbycia udziałów (akcji) spółki powstałej z przekształcenia innej spółki kosztem uzyskania przychodu dla celów podatkowych są wydatki na nabycie</w:t>
      </w:r>
      <w:r>
        <w:rPr>
          <w:rFonts w:ascii="Times New Roman" w:eastAsia="Calibri" w:hAnsi="Times New Roman" w:cs="Times New Roman"/>
          <w:bCs/>
          <w:iCs/>
          <w:sz w:val="24"/>
          <w:szCs w:val="24"/>
        </w:rPr>
        <w:t xml:space="preserve"> lub</w:t>
      </w:r>
      <w:r w:rsidRPr="00A63085">
        <w:rPr>
          <w:rFonts w:ascii="Times New Roman" w:eastAsia="Calibri" w:hAnsi="Times New Roman" w:cs="Times New Roman"/>
          <w:bCs/>
          <w:iCs/>
          <w:sz w:val="24"/>
          <w:szCs w:val="24"/>
        </w:rPr>
        <w:t xml:space="preserve"> objęcie udziałów (akcji) spółki przekształcanej. </w:t>
      </w:r>
    </w:p>
    <w:p w14:paraId="793CFEC8" w14:textId="53ECFCA8" w:rsidR="00E962A1" w:rsidRDefault="00E962A1" w:rsidP="004C172B">
      <w:pPr>
        <w:spacing w:before="120" w:line="360" w:lineRule="auto"/>
        <w:jc w:val="both"/>
        <w:rPr>
          <w:rFonts w:ascii="Times New Roman" w:eastAsia="Calibri" w:hAnsi="Times New Roman" w:cs="Times New Roman"/>
          <w:bCs/>
          <w:iCs/>
          <w:sz w:val="24"/>
          <w:szCs w:val="24"/>
        </w:rPr>
      </w:pPr>
      <w:r w:rsidRPr="00A63085">
        <w:rPr>
          <w:rFonts w:ascii="Times New Roman" w:eastAsia="Calibri" w:hAnsi="Times New Roman" w:cs="Times New Roman"/>
          <w:bCs/>
          <w:iCs/>
          <w:sz w:val="24"/>
          <w:szCs w:val="24"/>
        </w:rPr>
        <w:t>W tym celu w art. 22</w:t>
      </w:r>
      <w:r>
        <w:rPr>
          <w:rFonts w:ascii="Times New Roman" w:eastAsia="Calibri" w:hAnsi="Times New Roman" w:cs="Times New Roman"/>
          <w:bCs/>
          <w:iCs/>
          <w:sz w:val="24"/>
          <w:szCs w:val="24"/>
        </w:rPr>
        <w:t xml:space="preserve"> ustawy o PIT</w:t>
      </w:r>
      <w:r w:rsidRPr="00A63085">
        <w:rPr>
          <w:rFonts w:ascii="Times New Roman" w:eastAsia="Calibri" w:hAnsi="Times New Roman" w:cs="Times New Roman"/>
          <w:bCs/>
          <w:iCs/>
          <w:sz w:val="24"/>
          <w:szCs w:val="24"/>
        </w:rPr>
        <w:t xml:space="preserve"> zostaje dodany ust. 1ta</w:t>
      </w:r>
      <w:r>
        <w:rPr>
          <w:rFonts w:ascii="Times New Roman" w:eastAsia="Calibri" w:hAnsi="Times New Roman" w:cs="Times New Roman"/>
          <w:bCs/>
          <w:iCs/>
          <w:sz w:val="24"/>
          <w:szCs w:val="24"/>
        </w:rPr>
        <w:t xml:space="preserve"> (i analogicznie w art. 15 ustawy o CIT zostaje dodany ust. 1xe)</w:t>
      </w:r>
      <w:r w:rsidRPr="00A63085">
        <w:rPr>
          <w:rFonts w:ascii="Times New Roman" w:eastAsia="Calibri" w:hAnsi="Times New Roman" w:cs="Times New Roman"/>
          <w:bCs/>
          <w:iCs/>
          <w:sz w:val="24"/>
          <w:szCs w:val="24"/>
        </w:rPr>
        <w:t>, zgodnie z którym</w:t>
      </w:r>
      <w:r>
        <w:rPr>
          <w:rFonts w:ascii="Times New Roman" w:eastAsia="Calibri" w:hAnsi="Times New Roman" w:cs="Times New Roman"/>
          <w:bCs/>
          <w:iCs/>
          <w:sz w:val="24"/>
          <w:szCs w:val="24"/>
        </w:rPr>
        <w:t>,</w:t>
      </w:r>
      <w:r w:rsidRPr="00A63085">
        <w:rPr>
          <w:rFonts w:ascii="Times New Roman" w:eastAsia="Calibri" w:hAnsi="Times New Roman" w:cs="Times New Roman"/>
          <w:bCs/>
          <w:iCs/>
          <w:sz w:val="24"/>
          <w:szCs w:val="24"/>
        </w:rPr>
        <w:t xml:space="preserve"> w przypadku odpłatnego zbycia udziałów (akcji) w spółce powstałej z przekształcenia innej spółki kosztem uzyskania przychodów będą </w:t>
      </w:r>
      <w:r w:rsidRPr="00A63085">
        <w:rPr>
          <w:rFonts w:ascii="Times New Roman" w:eastAsia="Calibri" w:hAnsi="Times New Roman" w:cs="Times New Roman"/>
          <w:bCs/>
          <w:iCs/>
          <w:sz w:val="24"/>
          <w:szCs w:val="24"/>
        </w:rPr>
        <w:lastRenderedPageBreak/>
        <w:t>wydatki na nabycie lub objęcie prawa do udziałów w spółce przekształcanej</w:t>
      </w:r>
      <w:r>
        <w:rPr>
          <w:rFonts w:ascii="Times New Roman" w:eastAsia="Calibri" w:hAnsi="Times New Roman" w:cs="Times New Roman"/>
          <w:bCs/>
          <w:iCs/>
          <w:sz w:val="24"/>
          <w:szCs w:val="24"/>
        </w:rPr>
        <w:t>,</w:t>
      </w:r>
      <w:r w:rsidRPr="00A63085">
        <w:rPr>
          <w:rFonts w:ascii="Times New Roman" w:eastAsia="Calibri" w:hAnsi="Times New Roman" w:cs="Times New Roman"/>
          <w:bCs/>
          <w:iCs/>
          <w:sz w:val="24"/>
          <w:szCs w:val="24"/>
        </w:rPr>
        <w:t xml:space="preserve"> ustalone na </w:t>
      </w:r>
      <w:r w:rsidRPr="00AE734B">
        <w:rPr>
          <w:rFonts w:ascii="Times New Roman" w:eastAsia="Calibri" w:hAnsi="Times New Roman" w:cs="Times New Roman"/>
          <w:bCs/>
          <w:iCs/>
          <w:sz w:val="24"/>
          <w:szCs w:val="24"/>
        </w:rPr>
        <w:t xml:space="preserve">podstawie </w:t>
      </w:r>
      <w:r w:rsidRPr="00AE734B">
        <w:rPr>
          <w:rFonts w:ascii="Times New Roman" w:hAnsi="Times New Roman" w:cs="Times New Roman"/>
          <w:sz w:val="24"/>
          <w:szCs w:val="24"/>
        </w:rPr>
        <w:t>ust. 1f</w:t>
      </w:r>
      <w:r>
        <w:rPr>
          <w:rFonts w:ascii="Times New Roman" w:hAnsi="Times New Roman" w:cs="Times New Roman"/>
          <w:sz w:val="24"/>
          <w:szCs w:val="24"/>
        </w:rPr>
        <w:t>–</w:t>
      </w:r>
      <w:r w:rsidRPr="00AE734B">
        <w:rPr>
          <w:rFonts w:ascii="Times New Roman" w:hAnsi="Times New Roman" w:cs="Times New Roman"/>
          <w:sz w:val="24"/>
          <w:szCs w:val="24"/>
        </w:rPr>
        <w:t>1gc, 1ł, 1t, art. 23 ust. 1 pkt 38 albo 38c</w:t>
      </w:r>
      <w:r w:rsidRPr="00AE734B">
        <w:rPr>
          <w:rFonts w:ascii="Times New Roman" w:eastAsia="Calibri" w:hAnsi="Times New Roman" w:cs="Times New Roman"/>
          <w:bCs/>
          <w:iCs/>
          <w:sz w:val="24"/>
          <w:szCs w:val="24"/>
        </w:rPr>
        <w:t xml:space="preserve"> ustawy </w:t>
      </w:r>
      <w:r>
        <w:rPr>
          <w:rFonts w:ascii="Times New Roman" w:eastAsia="Calibri" w:hAnsi="Times New Roman" w:cs="Times New Roman"/>
          <w:bCs/>
          <w:iCs/>
          <w:sz w:val="24"/>
          <w:szCs w:val="24"/>
        </w:rPr>
        <w:t xml:space="preserve">o </w:t>
      </w:r>
      <w:r w:rsidRPr="00AE734B">
        <w:rPr>
          <w:rFonts w:ascii="Times New Roman" w:eastAsia="Calibri" w:hAnsi="Times New Roman" w:cs="Times New Roman"/>
          <w:bCs/>
          <w:iCs/>
          <w:sz w:val="24"/>
          <w:szCs w:val="24"/>
        </w:rPr>
        <w:t>PIT</w:t>
      </w:r>
      <w:r>
        <w:rPr>
          <w:rFonts w:ascii="Times New Roman" w:eastAsia="Calibri" w:hAnsi="Times New Roman" w:cs="Times New Roman"/>
          <w:bCs/>
          <w:iCs/>
          <w:sz w:val="24"/>
          <w:szCs w:val="24"/>
        </w:rPr>
        <w:t xml:space="preserve"> (i analogicznie art. </w:t>
      </w:r>
      <w:r w:rsidRPr="008D7EDA">
        <w:rPr>
          <w:rFonts w:ascii="Times New Roman" w:eastAsia="Calibri" w:hAnsi="Times New Roman" w:cs="Times New Roman"/>
          <w:bCs/>
          <w:iCs/>
          <w:sz w:val="24"/>
          <w:szCs w:val="24"/>
        </w:rPr>
        <w:t>15 ust. 1j, ust. 1k lub art. 16 ust. 1 pkt 8</w:t>
      </w:r>
      <w:r>
        <w:rPr>
          <w:rFonts w:ascii="Times New Roman" w:eastAsia="Calibri" w:hAnsi="Times New Roman" w:cs="Times New Roman"/>
          <w:bCs/>
          <w:iCs/>
          <w:sz w:val="24"/>
          <w:szCs w:val="24"/>
        </w:rPr>
        <w:t xml:space="preserve"> ustawy o CIT). Ustęp 1t</w:t>
      </w:r>
      <w:r w:rsidR="00C53B07">
        <w:rPr>
          <w:rFonts w:ascii="Times New Roman" w:eastAsia="Calibri" w:hAnsi="Times New Roman" w:cs="Times New Roman"/>
          <w:bCs/>
          <w:iCs/>
          <w:sz w:val="24"/>
          <w:szCs w:val="24"/>
        </w:rPr>
        <w:t>b w</w:t>
      </w:r>
      <w:r>
        <w:rPr>
          <w:rFonts w:ascii="Times New Roman" w:eastAsia="Calibri" w:hAnsi="Times New Roman" w:cs="Times New Roman"/>
          <w:bCs/>
          <w:iCs/>
          <w:sz w:val="24"/>
          <w:szCs w:val="24"/>
        </w:rPr>
        <w:t xml:space="preserve"> art. 22 ustawy o PIT i ust. 1xf </w:t>
      </w:r>
      <w:r w:rsidR="00C53B07">
        <w:rPr>
          <w:rFonts w:ascii="Times New Roman" w:eastAsia="Calibri" w:hAnsi="Times New Roman" w:cs="Times New Roman"/>
          <w:bCs/>
          <w:iCs/>
          <w:sz w:val="24"/>
          <w:szCs w:val="24"/>
        </w:rPr>
        <w:t xml:space="preserve">w </w:t>
      </w:r>
      <w:r>
        <w:rPr>
          <w:rFonts w:ascii="Times New Roman" w:eastAsia="Calibri" w:hAnsi="Times New Roman" w:cs="Times New Roman"/>
          <w:bCs/>
          <w:iCs/>
          <w:sz w:val="24"/>
          <w:szCs w:val="24"/>
        </w:rPr>
        <w:t xml:space="preserve">art. 15 ustawy o CIT rozszerza stosowanie zasady określonej w ust. 1ta (1xe) również </w:t>
      </w:r>
      <w:r w:rsidR="00C53B07">
        <w:rPr>
          <w:rFonts w:ascii="Times New Roman" w:eastAsia="Calibri" w:hAnsi="Times New Roman" w:cs="Times New Roman"/>
          <w:bCs/>
          <w:iCs/>
          <w:sz w:val="24"/>
          <w:szCs w:val="24"/>
        </w:rPr>
        <w:t xml:space="preserve">na przypadki, </w:t>
      </w:r>
      <w:r>
        <w:rPr>
          <w:rFonts w:ascii="Times New Roman" w:eastAsia="Calibri" w:hAnsi="Times New Roman" w:cs="Times New Roman"/>
          <w:bCs/>
          <w:iCs/>
          <w:sz w:val="24"/>
          <w:szCs w:val="24"/>
        </w:rPr>
        <w:t xml:space="preserve">gdy przedmiotem odpłatnego zbycia są udziały (akcje) spółki, która powstała w wyniku kolejnych przekształceń. </w:t>
      </w:r>
      <w:bookmarkEnd w:id="5"/>
    </w:p>
    <w:p w14:paraId="17D8A6AD" w14:textId="45A5A7DA" w:rsidR="003304B6" w:rsidRDefault="003304B6" w:rsidP="004C172B">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Zmieniane przepisy dotyczą dochodów z odpłatnego zbycia udziałów (akcji) spółki, a więc koszty uzyskania przychodów są określane dopiero w momencie dokonania ich odpłatnego zbycia. Podatnik nie nabywa prawa do uznania kosztów uzyskania przychodów z </w:t>
      </w:r>
      <w:r w:rsidR="00F6718C">
        <w:rPr>
          <w:rFonts w:ascii="Times New Roman" w:eastAsia="Calibri" w:hAnsi="Times New Roman" w:cs="Times New Roman"/>
          <w:bCs/>
          <w:iCs/>
          <w:sz w:val="24"/>
          <w:szCs w:val="24"/>
        </w:rPr>
        <w:t>odpłatnego zbycia udziałów (akcji) przed momentem ich odpłatnego zbycia. Zmieniane</w:t>
      </w:r>
      <w:r>
        <w:rPr>
          <w:rFonts w:ascii="Times New Roman" w:eastAsia="Calibri" w:hAnsi="Times New Roman" w:cs="Times New Roman"/>
          <w:bCs/>
          <w:iCs/>
          <w:sz w:val="24"/>
          <w:szCs w:val="24"/>
        </w:rPr>
        <w:t xml:space="preserve"> przepisy dotyczą tylko dochodów z odpłatnego zbycia udziałów (akcji) spółki powstałej z przekształcenia innej spółki, uzyskanych od dnia wejści</w:t>
      </w:r>
      <w:r w:rsidR="00636446">
        <w:rPr>
          <w:rFonts w:ascii="Times New Roman" w:eastAsia="Calibri" w:hAnsi="Times New Roman" w:cs="Times New Roman"/>
          <w:bCs/>
          <w:iCs/>
          <w:sz w:val="24"/>
          <w:szCs w:val="24"/>
        </w:rPr>
        <w:t>a</w:t>
      </w:r>
      <w:r>
        <w:rPr>
          <w:rFonts w:ascii="Times New Roman" w:eastAsia="Calibri" w:hAnsi="Times New Roman" w:cs="Times New Roman"/>
          <w:bCs/>
          <w:iCs/>
          <w:sz w:val="24"/>
          <w:szCs w:val="24"/>
        </w:rPr>
        <w:t xml:space="preserve"> w życie niniejszej ustawy</w:t>
      </w:r>
      <w:r w:rsidR="00636446">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i w związku z tym dotycz</w:t>
      </w:r>
      <w:r w:rsidR="00636446">
        <w:rPr>
          <w:rFonts w:ascii="Times New Roman" w:eastAsia="Calibri" w:hAnsi="Times New Roman" w:cs="Times New Roman"/>
          <w:bCs/>
          <w:iCs/>
          <w:sz w:val="24"/>
          <w:szCs w:val="24"/>
        </w:rPr>
        <w:t>ą</w:t>
      </w:r>
      <w:r>
        <w:rPr>
          <w:rFonts w:ascii="Times New Roman" w:eastAsia="Calibri" w:hAnsi="Times New Roman" w:cs="Times New Roman"/>
          <w:bCs/>
          <w:iCs/>
          <w:sz w:val="24"/>
          <w:szCs w:val="24"/>
        </w:rPr>
        <w:t xml:space="preserve"> kosztów uzyskania przychodów powstałych na ten moment. </w:t>
      </w:r>
      <w:r w:rsidR="00F6718C">
        <w:rPr>
          <w:rFonts w:ascii="Times New Roman" w:eastAsia="Calibri" w:hAnsi="Times New Roman" w:cs="Times New Roman"/>
          <w:bCs/>
          <w:iCs/>
          <w:sz w:val="24"/>
          <w:szCs w:val="24"/>
        </w:rPr>
        <w:t>Nie zachodzi zatem konieczność</w:t>
      </w:r>
      <w:r w:rsidR="008F269E">
        <w:rPr>
          <w:rFonts w:ascii="Times New Roman" w:eastAsia="Calibri" w:hAnsi="Times New Roman" w:cs="Times New Roman"/>
          <w:bCs/>
          <w:iCs/>
          <w:sz w:val="24"/>
          <w:szCs w:val="24"/>
        </w:rPr>
        <w:t xml:space="preserve"> </w:t>
      </w:r>
      <w:r w:rsidR="00F6718C">
        <w:rPr>
          <w:rFonts w:ascii="Times New Roman" w:eastAsia="Calibri" w:hAnsi="Times New Roman" w:cs="Times New Roman"/>
          <w:bCs/>
          <w:iCs/>
          <w:sz w:val="24"/>
          <w:szCs w:val="24"/>
        </w:rPr>
        <w:t>szczególnych regulacji, które zachowywałyby prawa nabyte podatników w związku z wprowadzeniem takiej zmiany, dlatego projekt nie zawiera przepisów przejściowych w tym zakresie.</w:t>
      </w:r>
    </w:p>
    <w:p w14:paraId="602A7BAB" w14:textId="414A04F0" w:rsidR="006946D4" w:rsidRPr="001210F7" w:rsidRDefault="00CE0A24" w:rsidP="006946D4">
      <w:pPr>
        <w:spacing w:before="240" w:after="120" w:line="36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5</w:t>
      </w:r>
      <w:r w:rsidR="006946D4">
        <w:rPr>
          <w:rFonts w:ascii="Times New Roman" w:eastAsia="Calibri" w:hAnsi="Times New Roman" w:cs="Times New Roman"/>
          <w:b/>
          <w:iCs/>
          <w:sz w:val="24"/>
          <w:szCs w:val="24"/>
        </w:rPr>
        <w:t xml:space="preserve">) Doprecyzowanie przepisu określającego </w:t>
      </w:r>
      <w:r w:rsidR="006946D4" w:rsidRPr="001210F7">
        <w:rPr>
          <w:rFonts w:ascii="Times New Roman" w:eastAsia="Calibri" w:hAnsi="Times New Roman" w:cs="Times New Roman"/>
          <w:b/>
          <w:iCs/>
          <w:sz w:val="24"/>
          <w:szCs w:val="24"/>
        </w:rPr>
        <w:t>skutk</w:t>
      </w:r>
      <w:r w:rsidR="006946D4">
        <w:rPr>
          <w:rFonts w:ascii="Times New Roman" w:eastAsia="Calibri" w:hAnsi="Times New Roman" w:cs="Times New Roman"/>
          <w:b/>
          <w:iCs/>
          <w:sz w:val="24"/>
          <w:szCs w:val="24"/>
        </w:rPr>
        <w:t>i</w:t>
      </w:r>
      <w:r w:rsidR="006946D4" w:rsidRPr="001210F7">
        <w:rPr>
          <w:rFonts w:ascii="Times New Roman" w:eastAsia="Calibri" w:hAnsi="Times New Roman" w:cs="Times New Roman"/>
          <w:b/>
          <w:iCs/>
          <w:sz w:val="24"/>
          <w:szCs w:val="24"/>
        </w:rPr>
        <w:t xml:space="preserve"> podatkow</w:t>
      </w:r>
      <w:r w:rsidR="006946D4">
        <w:rPr>
          <w:rFonts w:ascii="Times New Roman" w:eastAsia="Calibri" w:hAnsi="Times New Roman" w:cs="Times New Roman"/>
          <w:b/>
          <w:iCs/>
          <w:sz w:val="24"/>
          <w:szCs w:val="24"/>
        </w:rPr>
        <w:t>e</w:t>
      </w:r>
      <w:r w:rsidR="006946D4" w:rsidRPr="001210F7">
        <w:rPr>
          <w:rFonts w:ascii="Times New Roman" w:eastAsia="Calibri" w:hAnsi="Times New Roman" w:cs="Times New Roman"/>
          <w:b/>
          <w:iCs/>
          <w:sz w:val="24"/>
          <w:szCs w:val="24"/>
        </w:rPr>
        <w:t xml:space="preserve"> </w:t>
      </w:r>
      <w:r w:rsidR="006946D4" w:rsidRPr="00A63085">
        <w:rPr>
          <w:rFonts w:ascii="Times New Roman" w:eastAsia="Calibri" w:hAnsi="Times New Roman" w:cs="Times New Roman"/>
          <w:b/>
          <w:i/>
          <w:sz w:val="24"/>
          <w:szCs w:val="24"/>
        </w:rPr>
        <w:t>datio in solutum</w:t>
      </w:r>
      <w:r w:rsidR="006946D4" w:rsidRPr="001210F7">
        <w:rPr>
          <w:rFonts w:ascii="Times New Roman" w:eastAsia="Calibri" w:hAnsi="Times New Roman" w:cs="Times New Roman"/>
          <w:b/>
          <w:iCs/>
          <w:sz w:val="24"/>
          <w:szCs w:val="24"/>
        </w:rPr>
        <w:t xml:space="preserve"> </w:t>
      </w:r>
      <w:r w:rsidR="006946D4" w:rsidRPr="0027548A">
        <w:rPr>
          <w:rFonts w:ascii="Times New Roman" w:eastAsia="Calibri" w:hAnsi="Times New Roman" w:cs="Times New Roman"/>
          <w:bCs/>
          <w:iCs/>
          <w:sz w:val="24"/>
          <w:szCs w:val="24"/>
        </w:rPr>
        <w:t xml:space="preserve">(dodawany art. 19 ust. 2a ustawy </w:t>
      </w:r>
      <w:r w:rsidR="006946D4">
        <w:rPr>
          <w:rFonts w:ascii="Times New Roman" w:eastAsia="Calibri" w:hAnsi="Times New Roman" w:cs="Times New Roman"/>
          <w:bCs/>
          <w:iCs/>
          <w:sz w:val="24"/>
          <w:szCs w:val="24"/>
        </w:rPr>
        <w:t xml:space="preserve">o </w:t>
      </w:r>
      <w:r w:rsidR="006946D4" w:rsidRPr="0027548A">
        <w:rPr>
          <w:rFonts w:ascii="Times New Roman" w:eastAsia="Calibri" w:hAnsi="Times New Roman" w:cs="Times New Roman"/>
          <w:bCs/>
          <w:iCs/>
          <w:sz w:val="24"/>
          <w:szCs w:val="24"/>
        </w:rPr>
        <w:t xml:space="preserve">PIT) </w:t>
      </w:r>
      <w:r w:rsidR="006946D4">
        <w:rPr>
          <w:rFonts w:ascii="Times New Roman" w:eastAsia="Calibri" w:hAnsi="Times New Roman" w:cs="Times New Roman"/>
          <w:b/>
          <w:iCs/>
          <w:sz w:val="24"/>
          <w:szCs w:val="24"/>
        </w:rPr>
        <w:t xml:space="preserve">– art. 1 pkt </w:t>
      </w:r>
      <w:r w:rsidR="004438CC">
        <w:rPr>
          <w:rFonts w:ascii="Times New Roman" w:eastAsia="Calibri" w:hAnsi="Times New Roman" w:cs="Times New Roman"/>
          <w:b/>
          <w:iCs/>
          <w:sz w:val="24"/>
          <w:szCs w:val="24"/>
        </w:rPr>
        <w:t>4</w:t>
      </w:r>
      <w:r w:rsidR="006946D4">
        <w:rPr>
          <w:rFonts w:ascii="Times New Roman" w:eastAsia="Calibri" w:hAnsi="Times New Roman" w:cs="Times New Roman"/>
          <w:b/>
          <w:iCs/>
          <w:sz w:val="24"/>
          <w:szCs w:val="24"/>
        </w:rPr>
        <w:t xml:space="preserve"> projektu </w:t>
      </w:r>
    </w:p>
    <w:p w14:paraId="58D743A2" w14:textId="7F252278" w:rsidR="006946D4" w:rsidRPr="001210F7" w:rsidRDefault="006946D4" w:rsidP="006946D4">
      <w:pPr>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Proponowana zmiana dotyczy skutków prawnopodatkowych przeniesienia prawa własności nieruchomości, praw majątkowych lub innych rzeczy w zamian za zwolnienie z</w:t>
      </w:r>
      <w:r w:rsidR="008F269E">
        <w:rPr>
          <w:rFonts w:ascii="Times New Roman" w:eastAsia="Calibri" w:hAnsi="Times New Roman" w:cs="Times New Roman"/>
          <w:bCs/>
          <w:iCs/>
          <w:sz w:val="24"/>
          <w:szCs w:val="24"/>
        </w:rPr>
        <w:t xml:space="preserve"> </w:t>
      </w:r>
      <w:r w:rsidRPr="001210F7">
        <w:rPr>
          <w:rFonts w:ascii="Times New Roman" w:eastAsia="Calibri" w:hAnsi="Times New Roman" w:cs="Times New Roman"/>
          <w:bCs/>
          <w:iCs/>
          <w:sz w:val="24"/>
          <w:szCs w:val="24"/>
        </w:rPr>
        <w:t>długu, czyli wykonania świadczenia rzeczowego w zamian za przyrzeczone świadczenie pieniężne (</w:t>
      </w:r>
      <w:r w:rsidRPr="00A63085">
        <w:rPr>
          <w:rFonts w:ascii="Times New Roman" w:eastAsia="Calibri" w:hAnsi="Times New Roman" w:cs="Times New Roman"/>
          <w:bCs/>
          <w:i/>
          <w:sz w:val="24"/>
          <w:szCs w:val="24"/>
        </w:rPr>
        <w:t>datio in solutum</w:t>
      </w:r>
      <w:r w:rsidRPr="001210F7">
        <w:rPr>
          <w:rFonts w:ascii="Times New Roman" w:eastAsia="Calibri" w:hAnsi="Times New Roman" w:cs="Times New Roman"/>
          <w:bCs/>
          <w:iCs/>
          <w:sz w:val="24"/>
          <w:szCs w:val="24"/>
        </w:rPr>
        <w:t xml:space="preserve">). </w:t>
      </w:r>
      <w:r w:rsidRPr="003327DC">
        <w:rPr>
          <w:rFonts w:ascii="Times New Roman" w:eastAsia="Calibri" w:hAnsi="Times New Roman" w:cs="Times New Roman"/>
          <w:bCs/>
          <w:iCs/>
          <w:sz w:val="24"/>
          <w:szCs w:val="24"/>
        </w:rPr>
        <w:t>Wykonanie innego świadczenia zamiast pierwotnego (</w:t>
      </w:r>
      <w:r w:rsidRPr="00201CF1">
        <w:rPr>
          <w:rFonts w:ascii="Times New Roman" w:eastAsia="Calibri" w:hAnsi="Times New Roman" w:cs="Times New Roman"/>
          <w:bCs/>
          <w:i/>
          <w:sz w:val="24"/>
          <w:szCs w:val="24"/>
        </w:rPr>
        <w:t>datio in solutum</w:t>
      </w:r>
      <w:r w:rsidRPr="003327DC">
        <w:rPr>
          <w:rFonts w:ascii="Times New Roman" w:eastAsia="Calibri" w:hAnsi="Times New Roman" w:cs="Times New Roman"/>
          <w:bCs/>
          <w:iCs/>
          <w:sz w:val="24"/>
          <w:szCs w:val="24"/>
        </w:rPr>
        <w:t>) to instytucja prawa cywilnego (art. 453 k.c.), która umożliwia dłużnikowi wygaśnięcie zobowiązania poprzez spełnienie innego świadczenia niż pierwotnie umówione, za zgodą wierzyciela. Zobowiązanie wygasa z chwilą wykonania nowego świadczenia, co często ma miejsce przy przeniesieniu własności rzeczy w miejsce zapłaty.</w:t>
      </w:r>
    </w:p>
    <w:p w14:paraId="554A88FF" w14:textId="12372DDD" w:rsidR="006946D4" w:rsidRPr="001210F7" w:rsidRDefault="006946D4" w:rsidP="006946D4">
      <w:pPr>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Przedmiotowy problem wzbudza liczne wątpliwości interpretacyjne</w:t>
      </w:r>
      <w:r>
        <w:rPr>
          <w:rFonts w:ascii="Times New Roman" w:eastAsia="Calibri" w:hAnsi="Times New Roman" w:cs="Times New Roman"/>
          <w:bCs/>
          <w:iCs/>
          <w:sz w:val="24"/>
          <w:szCs w:val="24"/>
        </w:rPr>
        <w:t xml:space="preserve">, które znalazły swój wyraz w orzecznictwie </w:t>
      </w:r>
      <w:r w:rsidRPr="001210F7">
        <w:rPr>
          <w:rFonts w:ascii="Times New Roman" w:eastAsia="Calibri" w:hAnsi="Times New Roman" w:cs="Times New Roman"/>
          <w:bCs/>
          <w:iCs/>
          <w:sz w:val="24"/>
          <w:szCs w:val="24"/>
        </w:rPr>
        <w:t xml:space="preserve">sądów administracyjnych. </w:t>
      </w:r>
      <w:r>
        <w:rPr>
          <w:rFonts w:ascii="Times New Roman" w:eastAsia="Calibri" w:hAnsi="Times New Roman" w:cs="Times New Roman"/>
          <w:bCs/>
          <w:iCs/>
          <w:sz w:val="24"/>
          <w:szCs w:val="24"/>
        </w:rPr>
        <w:t xml:space="preserve">NSA </w:t>
      </w:r>
      <w:r w:rsidRPr="001210F7">
        <w:rPr>
          <w:rFonts w:ascii="Times New Roman" w:eastAsia="Calibri" w:hAnsi="Times New Roman" w:cs="Times New Roman"/>
          <w:bCs/>
          <w:iCs/>
          <w:sz w:val="24"/>
          <w:szCs w:val="24"/>
        </w:rPr>
        <w:t>w wielu orzeczeniach prezentuje pogląd, iż przeniesienie własności nieruchomości w takich warunkach (</w:t>
      </w:r>
      <w:r w:rsidRPr="00A63085">
        <w:rPr>
          <w:rFonts w:ascii="Times New Roman" w:eastAsia="Calibri" w:hAnsi="Times New Roman" w:cs="Times New Roman"/>
          <w:bCs/>
          <w:i/>
          <w:sz w:val="24"/>
          <w:szCs w:val="24"/>
        </w:rPr>
        <w:t>datio in solutum</w:t>
      </w:r>
      <w:r w:rsidRPr="001210F7">
        <w:rPr>
          <w:rFonts w:ascii="Times New Roman" w:eastAsia="Calibri" w:hAnsi="Times New Roman" w:cs="Times New Roman"/>
          <w:bCs/>
          <w:iCs/>
          <w:sz w:val="24"/>
          <w:szCs w:val="24"/>
        </w:rPr>
        <w:t xml:space="preserve">) nie stanowi jej odpłatnego zbycia w rozumieniu art. 10 ust. 1 pkt 8 lit. a ustawy </w:t>
      </w:r>
      <w:r>
        <w:rPr>
          <w:rFonts w:ascii="Times New Roman" w:eastAsia="Calibri" w:hAnsi="Times New Roman" w:cs="Times New Roman"/>
          <w:bCs/>
          <w:iCs/>
          <w:sz w:val="24"/>
          <w:szCs w:val="24"/>
        </w:rPr>
        <w:t xml:space="preserve">o </w:t>
      </w:r>
      <w:r w:rsidRPr="001210F7">
        <w:rPr>
          <w:rFonts w:ascii="Times New Roman" w:eastAsia="Calibri" w:hAnsi="Times New Roman" w:cs="Times New Roman"/>
          <w:bCs/>
          <w:iCs/>
          <w:sz w:val="24"/>
          <w:szCs w:val="24"/>
        </w:rPr>
        <w:t xml:space="preserve">PIT, ponieważ przenoszący własność nie uzyskuje żadnego przysporzenia w rozumieniu art. 9 ust. 1 i ust. 2 ustawy </w:t>
      </w:r>
      <w:r>
        <w:rPr>
          <w:rFonts w:ascii="Times New Roman" w:eastAsia="Calibri" w:hAnsi="Times New Roman" w:cs="Times New Roman"/>
          <w:bCs/>
          <w:iCs/>
          <w:sz w:val="24"/>
          <w:szCs w:val="24"/>
        </w:rPr>
        <w:t xml:space="preserve">o </w:t>
      </w:r>
      <w:r w:rsidRPr="001210F7">
        <w:rPr>
          <w:rFonts w:ascii="Times New Roman" w:eastAsia="Calibri" w:hAnsi="Times New Roman" w:cs="Times New Roman"/>
          <w:bCs/>
          <w:iCs/>
          <w:sz w:val="24"/>
          <w:szCs w:val="24"/>
        </w:rPr>
        <w:t>PIT, t</w:t>
      </w:r>
      <w:r>
        <w:rPr>
          <w:rFonts w:ascii="Times New Roman" w:eastAsia="Calibri" w:hAnsi="Times New Roman" w:cs="Times New Roman"/>
          <w:bCs/>
          <w:iCs/>
          <w:sz w:val="24"/>
          <w:szCs w:val="24"/>
        </w:rPr>
        <w:t>j.</w:t>
      </w:r>
      <w:r w:rsidRPr="001210F7">
        <w:rPr>
          <w:rFonts w:ascii="Times New Roman" w:eastAsia="Calibri" w:hAnsi="Times New Roman" w:cs="Times New Roman"/>
          <w:bCs/>
          <w:iCs/>
          <w:sz w:val="24"/>
          <w:szCs w:val="24"/>
        </w:rPr>
        <w:t xml:space="preserve"> nie uzyskuje przyrostu majątku powiększającego jego aktywa.</w:t>
      </w:r>
      <w:r>
        <w:rPr>
          <w:rFonts w:ascii="Times New Roman" w:eastAsia="Calibri" w:hAnsi="Times New Roman" w:cs="Times New Roman"/>
          <w:bCs/>
          <w:iCs/>
          <w:sz w:val="24"/>
          <w:szCs w:val="24"/>
        </w:rPr>
        <w:t xml:space="preserve"> Z poglądem tym nie sposób </w:t>
      </w:r>
      <w:r>
        <w:rPr>
          <w:rFonts w:ascii="Times New Roman" w:eastAsia="Calibri" w:hAnsi="Times New Roman" w:cs="Times New Roman"/>
          <w:bCs/>
          <w:iCs/>
          <w:sz w:val="24"/>
          <w:szCs w:val="24"/>
        </w:rPr>
        <w:lastRenderedPageBreak/>
        <w:t>się zgodzić, gdyż podważa on istotę podstawowych elementów konstrukcyjnych podatku dochodowego, takich jak przychód i dochód podatkowy oraz nie uwzględnia zasady nominalizmu,</w:t>
      </w:r>
      <w:r w:rsidRPr="004E5E1D">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na której opiera się system podatku dochodowego</w:t>
      </w:r>
      <w:r>
        <w:rPr>
          <w:rStyle w:val="Odwoanieprzypisudolnego"/>
          <w:rFonts w:ascii="Times New Roman" w:eastAsia="Calibri" w:hAnsi="Times New Roman" w:cs="Times New Roman"/>
          <w:bCs/>
          <w:iCs/>
          <w:sz w:val="24"/>
          <w:szCs w:val="24"/>
        </w:rPr>
        <w:footnoteReference w:id="6"/>
      </w:r>
      <w:r>
        <w:rPr>
          <w:rFonts w:ascii="Times New Roman" w:eastAsia="Calibri" w:hAnsi="Times New Roman" w:cs="Times New Roman"/>
          <w:bCs/>
          <w:iCs/>
          <w:sz w:val="24"/>
          <w:szCs w:val="24"/>
        </w:rPr>
        <w:t xml:space="preserve">. </w:t>
      </w:r>
    </w:p>
    <w:p w14:paraId="2776951A" w14:textId="2A6C0ACF" w:rsidR="006946D4" w:rsidRPr="001210F7" w:rsidRDefault="006946D4" w:rsidP="006946D4">
      <w:pPr>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 xml:space="preserve">Odmienny pogląd wyrażono z kolei w orzeczeniu NSA z dnia 16.05.2019 r. (II FSK 3330/18), gdzie wskazano, iż przeniesienie własności lokalu w ramach </w:t>
      </w:r>
      <w:r w:rsidRPr="00A63085">
        <w:rPr>
          <w:rFonts w:ascii="Times New Roman" w:eastAsia="Calibri" w:hAnsi="Times New Roman" w:cs="Times New Roman"/>
          <w:bCs/>
          <w:i/>
          <w:sz w:val="24"/>
          <w:szCs w:val="24"/>
        </w:rPr>
        <w:t>datio in solutum</w:t>
      </w:r>
      <w:r w:rsidRPr="001210F7">
        <w:rPr>
          <w:rFonts w:ascii="Times New Roman" w:eastAsia="Calibri" w:hAnsi="Times New Roman" w:cs="Times New Roman"/>
          <w:bCs/>
          <w:iCs/>
          <w:sz w:val="24"/>
          <w:szCs w:val="24"/>
        </w:rPr>
        <w:t xml:space="preserve"> (świadczenia zastępczego w celu zwolnienia się z zobowiązania) jest w istocie odpłatnym zbyciem, o którym mowa w art. 10 ust. 1 pkt 8 lit. a ustawy </w:t>
      </w:r>
      <w:r>
        <w:rPr>
          <w:rFonts w:ascii="Times New Roman" w:eastAsia="Calibri" w:hAnsi="Times New Roman" w:cs="Times New Roman"/>
          <w:bCs/>
          <w:iCs/>
          <w:sz w:val="24"/>
          <w:szCs w:val="24"/>
        </w:rPr>
        <w:t xml:space="preserve">o </w:t>
      </w:r>
      <w:r w:rsidRPr="001210F7">
        <w:rPr>
          <w:rFonts w:ascii="Times New Roman" w:eastAsia="Calibri" w:hAnsi="Times New Roman" w:cs="Times New Roman"/>
          <w:bCs/>
          <w:iCs/>
          <w:sz w:val="24"/>
          <w:szCs w:val="24"/>
        </w:rPr>
        <w:t xml:space="preserve">PIT. Według </w:t>
      </w:r>
      <w:r>
        <w:rPr>
          <w:rFonts w:ascii="Times New Roman" w:eastAsia="Calibri" w:hAnsi="Times New Roman" w:cs="Times New Roman"/>
          <w:bCs/>
          <w:iCs/>
          <w:sz w:val="24"/>
          <w:szCs w:val="24"/>
        </w:rPr>
        <w:t>NSA</w:t>
      </w:r>
      <w:r w:rsidRPr="001210F7">
        <w:rPr>
          <w:rFonts w:ascii="Times New Roman" w:eastAsia="Calibri" w:hAnsi="Times New Roman" w:cs="Times New Roman"/>
          <w:bCs/>
          <w:iCs/>
          <w:sz w:val="24"/>
          <w:szCs w:val="24"/>
        </w:rPr>
        <w:t xml:space="preserve"> odpłatność/płatność nie musi mieć charakteru pieniężnego w postaci konkretnego przepływu gotówkowego. Może oznaczać także uzyskanie świadczenia wzajemnego w postaci zapłaty w</w:t>
      </w:r>
      <w:r>
        <w:rPr>
          <w:rFonts w:ascii="Times New Roman" w:eastAsia="Calibri" w:hAnsi="Times New Roman" w:cs="Times New Roman"/>
          <w:bCs/>
          <w:iCs/>
          <w:sz w:val="24"/>
          <w:szCs w:val="24"/>
        </w:rPr>
        <w:t> </w:t>
      </w:r>
      <w:r w:rsidRPr="001210F7">
        <w:rPr>
          <w:rFonts w:ascii="Times New Roman" w:eastAsia="Calibri" w:hAnsi="Times New Roman" w:cs="Times New Roman"/>
          <w:bCs/>
          <w:iCs/>
          <w:sz w:val="24"/>
          <w:szCs w:val="24"/>
        </w:rPr>
        <w:t xml:space="preserve">naturze (otrzymanie w zamian innych rzeczy lub praw). W opinii </w:t>
      </w:r>
      <w:r>
        <w:rPr>
          <w:rFonts w:ascii="Times New Roman" w:eastAsia="Calibri" w:hAnsi="Times New Roman" w:cs="Times New Roman"/>
          <w:bCs/>
          <w:iCs/>
          <w:sz w:val="24"/>
          <w:szCs w:val="24"/>
        </w:rPr>
        <w:t>NSA</w:t>
      </w:r>
      <w:r w:rsidRPr="001210F7">
        <w:rPr>
          <w:rFonts w:ascii="Times New Roman" w:eastAsia="Calibri" w:hAnsi="Times New Roman" w:cs="Times New Roman"/>
          <w:bCs/>
          <w:iCs/>
          <w:sz w:val="24"/>
          <w:szCs w:val="24"/>
        </w:rPr>
        <w:t xml:space="preserve"> płatnością może być więc zwolnienie z długu czy potrącenie wzajemnych wymagalnych wierzytelności (zmniejszenie pasywów zbywcy).</w:t>
      </w:r>
    </w:p>
    <w:p w14:paraId="0B42C098" w14:textId="0DE75EF3" w:rsidR="006946D4" w:rsidRDefault="006946D4" w:rsidP="006946D4">
      <w:pPr>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 xml:space="preserve">W celu </w:t>
      </w:r>
      <w:r>
        <w:rPr>
          <w:rFonts w:ascii="Times New Roman" w:eastAsia="Calibri" w:hAnsi="Times New Roman" w:cs="Times New Roman"/>
          <w:bCs/>
          <w:iCs/>
          <w:sz w:val="24"/>
          <w:szCs w:val="24"/>
        </w:rPr>
        <w:t>wyeliminowania wskazanej nieprawidłowej linii interpretacyjnej NSA proponuje się</w:t>
      </w:r>
      <w:r w:rsidRPr="001210F7">
        <w:rPr>
          <w:rFonts w:ascii="Times New Roman" w:eastAsia="Calibri" w:hAnsi="Times New Roman" w:cs="Times New Roman"/>
          <w:bCs/>
          <w:iCs/>
          <w:sz w:val="24"/>
          <w:szCs w:val="24"/>
        </w:rPr>
        <w:t xml:space="preserve"> jednoznaczne wskaza</w:t>
      </w:r>
      <w:r>
        <w:rPr>
          <w:rFonts w:ascii="Times New Roman" w:eastAsia="Calibri" w:hAnsi="Times New Roman" w:cs="Times New Roman"/>
          <w:bCs/>
          <w:iCs/>
          <w:sz w:val="24"/>
          <w:szCs w:val="24"/>
        </w:rPr>
        <w:t>nie</w:t>
      </w:r>
      <w:r w:rsidRPr="001210F7">
        <w:rPr>
          <w:rFonts w:ascii="Times New Roman" w:eastAsia="Calibri" w:hAnsi="Times New Roman" w:cs="Times New Roman"/>
          <w:bCs/>
          <w:iCs/>
          <w:sz w:val="24"/>
          <w:szCs w:val="24"/>
        </w:rPr>
        <w:t>, iż przychodem z odpłatnego zbycia nieruchomości lub praw majątkowych oraz innych rzeczy, o których mowa w art. 10 ust. 1 pkt 8,</w:t>
      </w:r>
      <w:r>
        <w:rPr>
          <w:rFonts w:ascii="Times New Roman" w:eastAsia="Calibri" w:hAnsi="Times New Roman" w:cs="Times New Roman"/>
          <w:bCs/>
          <w:iCs/>
          <w:sz w:val="24"/>
          <w:szCs w:val="24"/>
        </w:rPr>
        <w:t xml:space="preserve"> celem zwolnienia się podatnika z długu w ramach </w:t>
      </w:r>
      <w:r w:rsidRPr="005220EA">
        <w:rPr>
          <w:rFonts w:ascii="Times New Roman" w:eastAsia="Calibri" w:hAnsi="Times New Roman" w:cs="Times New Roman"/>
          <w:bCs/>
          <w:i/>
          <w:sz w:val="24"/>
          <w:szCs w:val="24"/>
        </w:rPr>
        <w:t>datio in solutum</w:t>
      </w:r>
      <w:r w:rsidRPr="001210F7">
        <w:rPr>
          <w:rFonts w:ascii="Times New Roman" w:eastAsia="Calibri" w:hAnsi="Times New Roman" w:cs="Times New Roman"/>
          <w:bCs/>
          <w:iCs/>
          <w:sz w:val="24"/>
          <w:szCs w:val="24"/>
        </w:rPr>
        <w:t xml:space="preserve"> jest</w:t>
      </w:r>
      <w:r>
        <w:rPr>
          <w:rFonts w:ascii="Times New Roman" w:eastAsia="Calibri" w:hAnsi="Times New Roman" w:cs="Times New Roman"/>
          <w:bCs/>
          <w:iCs/>
          <w:sz w:val="24"/>
          <w:szCs w:val="24"/>
        </w:rPr>
        <w:t>, co do zasady,</w:t>
      </w:r>
      <w:r w:rsidRPr="001210F7">
        <w:rPr>
          <w:rFonts w:ascii="Times New Roman" w:eastAsia="Calibri" w:hAnsi="Times New Roman" w:cs="Times New Roman"/>
          <w:bCs/>
          <w:iCs/>
          <w:sz w:val="24"/>
          <w:szCs w:val="24"/>
        </w:rPr>
        <w:t xml:space="preserve"> wysokość zobowiązania uregulowanego w</w:t>
      </w:r>
      <w:r>
        <w:rPr>
          <w:rFonts w:ascii="Times New Roman" w:eastAsia="Calibri" w:hAnsi="Times New Roman" w:cs="Times New Roman"/>
          <w:bCs/>
          <w:iCs/>
          <w:sz w:val="24"/>
          <w:szCs w:val="24"/>
        </w:rPr>
        <w:t> </w:t>
      </w:r>
      <w:r w:rsidRPr="001210F7">
        <w:rPr>
          <w:rFonts w:ascii="Times New Roman" w:eastAsia="Calibri" w:hAnsi="Times New Roman" w:cs="Times New Roman"/>
          <w:bCs/>
          <w:iCs/>
          <w:sz w:val="24"/>
          <w:szCs w:val="24"/>
        </w:rPr>
        <w:t>następstwie takiego odpłatnego zbycia</w:t>
      </w:r>
      <w:r>
        <w:rPr>
          <w:rFonts w:ascii="Times New Roman" w:eastAsia="Calibri" w:hAnsi="Times New Roman" w:cs="Times New Roman"/>
          <w:bCs/>
          <w:iCs/>
          <w:sz w:val="24"/>
          <w:szCs w:val="24"/>
        </w:rPr>
        <w:t xml:space="preserve"> nieruchomości, innych rzeczy</w:t>
      </w:r>
      <w:r w:rsidRPr="00B94AB2">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lub praw (chyba że wartość rynkowa tych przenoszonych rzeczy lub praw jest wyższa od wartości regulowanego nimi zobowiązania – w takim przypadku przychód z tego tytułu określa się w wysokości wartości rynkowej tej rzeczy lub praw)</w:t>
      </w:r>
      <w:r w:rsidRPr="001210F7">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w:t>
      </w:r>
    </w:p>
    <w:p w14:paraId="1AE338E6" w14:textId="77777777" w:rsidR="006946D4" w:rsidRPr="00201B5A" w:rsidRDefault="006946D4" w:rsidP="006946D4">
      <w:pPr>
        <w:spacing w:before="120" w:line="360" w:lineRule="auto"/>
        <w:jc w:val="both"/>
        <w:rPr>
          <w:rFonts w:ascii="Times New Roman" w:eastAsia="Calibri" w:hAnsi="Times New Roman" w:cs="Times New Roman"/>
          <w:bCs/>
          <w:iCs/>
          <w:sz w:val="24"/>
          <w:szCs w:val="24"/>
        </w:rPr>
      </w:pPr>
      <w:r w:rsidRPr="00201B5A">
        <w:rPr>
          <w:rFonts w:ascii="Times New Roman" w:hAnsi="Times New Roman" w:cs="Times New Roman"/>
          <w:sz w:val="24"/>
          <w:szCs w:val="24"/>
        </w:rPr>
        <w:t>Projektowany art. 19 ust. 2a ustawy</w:t>
      </w:r>
      <w:r>
        <w:rPr>
          <w:rFonts w:ascii="Times New Roman" w:hAnsi="Times New Roman" w:cs="Times New Roman"/>
          <w:sz w:val="24"/>
          <w:szCs w:val="24"/>
        </w:rPr>
        <w:t xml:space="preserve"> o</w:t>
      </w:r>
      <w:r w:rsidRPr="00201B5A">
        <w:rPr>
          <w:rFonts w:ascii="Times New Roman" w:hAnsi="Times New Roman" w:cs="Times New Roman"/>
          <w:sz w:val="24"/>
          <w:szCs w:val="24"/>
        </w:rPr>
        <w:t xml:space="preserve"> PIT jest wzorowany na przepisach funkcjonujących w</w:t>
      </w:r>
      <w:r>
        <w:rPr>
          <w:rFonts w:ascii="Times New Roman" w:hAnsi="Times New Roman" w:cs="Times New Roman"/>
          <w:sz w:val="24"/>
          <w:szCs w:val="24"/>
        </w:rPr>
        <w:t> </w:t>
      </w:r>
      <w:r w:rsidRPr="00201B5A">
        <w:rPr>
          <w:rFonts w:ascii="Times New Roman" w:hAnsi="Times New Roman" w:cs="Times New Roman"/>
          <w:sz w:val="24"/>
          <w:szCs w:val="24"/>
        </w:rPr>
        <w:t>ustawach</w:t>
      </w:r>
      <w:r>
        <w:rPr>
          <w:rFonts w:ascii="Times New Roman" w:hAnsi="Times New Roman" w:cs="Times New Roman"/>
          <w:sz w:val="24"/>
          <w:szCs w:val="24"/>
        </w:rPr>
        <w:t xml:space="preserve"> o</w:t>
      </w:r>
      <w:r w:rsidRPr="00201B5A">
        <w:rPr>
          <w:rFonts w:ascii="Times New Roman" w:hAnsi="Times New Roman" w:cs="Times New Roman"/>
          <w:sz w:val="24"/>
          <w:szCs w:val="24"/>
        </w:rPr>
        <w:t xml:space="preserve"> PIT i CIT od 2015 r., tj. na art. 14 ust. 2e ustawy</w:t>
      </w:r>
      <w:r>
        <w:rPr>
          <w:rFonts w:ascii="Times New Roman" w:hAnsi="Times New Roman" w:cs="Times New Roman"/>
          <w:sz w:val="24"/>
          <w:szCs w:val="24"/>
        </w:rPr>
        <w:t xml:space="preserve"> o</w:t>
      </w:r>
      <w:r w:rsidRPr="00201B5A">
        <w:rPr>
          <w:rFonts w:ascii="Times New Roman" w:hAnsi="Times New Roman" w:cs="Times New Roman"/>
          <w:sz w:val="24"/>
          <w:szCs w:val="24"/>
        </w:rPr>
        <w:t xml:space="preserve"> PIT oraz art. 14a ust. 1 ustawy</w:t>
      </w:r>
      <w:r>
        <w:rPr>
          <w:rFonts w:ascii="Times New Roman" w:hAnsi="Times New Roman" w:cs="Times New Roman"/>
          <w:sz w:val="24"/>
          <w:szCs w:val="24"/>
        </w:rPr>
        <w:t xml:space="preserve"> o</w:t>
      </w:r>
      <w:r w:rsidRPr="00201B5A">
        <w:rPr>
          <w:rFonts w:ascii="Times New Roman" w:hAnsi="Times New Roman" w:cs="Times New Roman"/>
          <w:sz w:val="24"/>
          <w:szCs w:val="24"/>
        </w:rPr>
        <w:t xml:space="preserve"> CIT.</w:t>
      </w:r>
    </w:p>
    <w:p w14:paraId="1A0A9371" w14:textId="77777777" w:rsidR="006946D4" w:rsidRPr="00201B5A" w:rsidRDefault="006946D4" w:rsidP="006946D4">
      <w:pPr>
        <w:spacing w:before="120" w:line="360" w:lineRule="auto"/>
        <w:jc w:val="both"/>
        <w:rPr>
          <w:rFonts w:ascii="Times New Roman" w:hAnsi="Times New Roman" w:cs="Times New Roman"/>
          <w:sz w:val="24"/>
          <w:szCs w:val="24"/>
        </w:rPr>
      </w:pPr>
      <w:r w:rsidRPr="00201B5A">
        <w:rPr>
          <w:rFonts w:ascii="Times New Roman" w:hAnsi="Times New Roman" w:cs="Times New Roman"/>
          <w:sz w:val="24"/>
          <w:szCs w:val="24"/>
        </w:rPr>
        <w:t>Dodawany ust. 2a w art. 19 ustawy</w:t>
      </w:r>
      <w:r>
        <w:rPr>
          <w:rFonts w:ascii="Times New Roman" w:hAnsi="Times New Roman" w:cs="Times New Roman"/>
          <w:sz w:val="24"/>
          <w:szCs w:val="24"/>
        </w:rPr>
        <w:t xml:space="preserve"> o</w:t>
      </w:r>
      <w:r w:rsidRPr="00201B5A">
        <w:rPr>
          <w:rFonts w:ascii="Times New Roman" w:hAnsi="Times New Roman" w:cs="Times New Roman"/>
          <w:sz w:val="24"/>
          <w:szCs w:val="24"/>
        </w:rPr>
        <w:t xml:space="preserve"> PIT, analogicznie jak powołane wyżej przepisy</w:t>
      </w:r>
      <w:r>
        <w:rPr>
          <w:rFonts w:ascii="Times New Roman" w:hAnsi="Times New Roman" w:cs="Times New Roman"/>
          <w:sz w:val="24"/>
          <w:szCs w:val="24"/>
        </w:rPr>
        <w:t xml:space="preserve"> ustaw o </w:t>
      </w:r>
      <w:r w:rsidRPr="00201B5A">
        <w:rPr>
          <w:rFonts w:ascii="Times New Roman" w:hAnsi="Times New Roman" w:cs="Times New Roman"/>
          <w:sz w:val="24"/>
          <w:szCs w:val="24"/>
        </w:rPr>
        <w:t>PIT i CIT, jest przepisem szczególnym w stosunku do normy wynikającej z art. 19 ustawy</w:t>
      </w:r>
      <w:r>
        <w:rPr>
          <w:rFonts w:ascii="Times New Roman" w:hAnsi="Times New Roman" w:cs="Times New Roman"/>
          <w:sz w:val="24"/>
          <w:szCs w:val="24"/>
        </w:rPr>
        <w:t xml:space="preserve"> o </w:t>
      </w:r>
      <w:r w:rsidRPr="00201B5A">
        <w:rPr>
          <w:rFonts w:ascii="Times New Roman" w:hAnsi="Times New Roman" w:cs="Times New Roman"/>
          <w:sz w:val="24"/>
          <w:szCs w:val="24"/>
        </w:rPr>
        <w:t>PIT, która pozwala przyjąć wysokość przychodu w wartości rynkowej zbywanej nieruchomości, zarówno w przypadku, gdy jest ona wyższa, jak i niższa, od ceny wynikającej z umowy.</w:t>
      </w:r>
    </w:p>
    <w:p w14:paraId="22C71F42" w14:textId="242D0B7A" w:rsidR="006946D4" w:rsidRPr="00201B5A" w:rsidRDefault="006946D4" w:rsidP="006946D4">
      <w:pPr>
        <w:spacing w:before="120" w:line="360" w:lineRule="auto"/>
        <w:jc w:val="both"/>
        <w:rPr>
          <w:rFonts w:ascii="Times New Roman" w:hAnsi="Times New Roman" w:cs="Times New Roman"/>
          <w:sz w:val="24"/>
          <w:szCs w:val="24"/>
        </w:rPr>
      </w:pPr>
      <w:r w:rsidRPr="00201B5A">
        <w:rPr>
          <w:rFonts w:ascii="Times New Roman" w:hAnsi="Times New Roman" w:cs="Times New Roman"/>
          <w:sz w:val="24"/>
          <w:szCs w:val="24"/>
        </w:rPr>
        <w:lastRenderedPageBreak/>
        <w:t xml:space="preserve">Projektowany przepis wprost stanowi, że przychodem z odpłatnego zbycia jest wartość uregulowanego zobowiązania, a wyjątkowo </w:t>
      </w:r>
      <w:r w:rsidR="00B152C9">
        <w:rPr>
          <w:rFonts w:ascii="Times New Roman" w:hAnsi="Times New Roman" w:cs="Times New Roman"/>
          <w:sz w:val="24"/>
          <w:szCs w:val="24"/>
        </w:rPr>
        <w:t>–</w:t>
      </w:r>
      <w:r>
        <w:rPr>
          <w:rFonts w:ascii="Times New Roman" w:hAnsi="Times New Roman" w:cs="Times New Roman"/>
          <w:sz w:val="24"/>
          <w:szCs w:val="24"/>
        </w:rPr>
        <w:t xml:space="preserve"> </w:t>
      </w:r>
      <w:r w:rsidRPr="00201B5A">
        <w:rPr>
          <w:rFonts w:ascii="Times New Roman" w:hAnsi="Times New Roman" w:cs="Times New Roman"/>
          <w:sz w:val="24"/>
          <w:szCs w:val="24"/>
        </w:rPr>
        <w:t>wartość rynkowa zbywanej nieruchomości, ale tylko wtedy, gdy jest ona wyższa od wartości zobowiązania. Zatem w sytuacji, gdy wartość rynkowa zbywanych rzeczy lub praw w zamian za zwolnienie się z długu jest niższa niż wysokość tego długu, przychód określany jest w wysokości uregulowanego zobowiązania.</w:t>
      </w:r>
    </w:p>
    <w:p w14:paraId="5A0CA29A" w14:textId="52A4C000" w:rsidR="00DA7584" w:rsidRPr="00DA7584" w:rsidRDefault="00CE0A24" w:rsidP="00DA7584">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
          <w:bCs/>
          <w:iCs/>
          <w:sz w:val="24"/>
          <w:szCs w:val="24"/>
        </w:rPr>
        <w:t>6</w:t>
      </w:r>
      <w:r w:rsidR="00DA7584" w:rsidRPr="00DA7584">
        <w:rPr>
          <w:rFonts w:ascii="Times New Roman" w:eastAsia="Calibri" w:hAnsi="Times New Roman" w:cs="Times New Roman"/>
          <w:b/>
          <w:bCs/>
          <w:iCs/>
          <w:sz w:val="24"/>
          <w:szCs w:val="24"/>
        </w:rPr>
        <w:t xml:space="preserve">) Wprowadzenie zakazu zmiany stawek amortyzacyjnych po upływie terminu złożenia zeznania </w:t>
      </w:r>
      <w:r w:rsidR="00DA7584" w:rsidRPr="00DA7584">
        <w:rPr>
          <w:rFonts w:ascii="Times New Roman" w:eastAsia="Calibri" w:hAnsi="Times New Roman" w:cs="Times New Roman"/>
          <w:bCs/>
          <w:iCs/>
          <w:sz w:val="24"/>
          <w:szCs w:val="24"/>
        </w:rPr>
        <w:t xml:space="preserve">(art. 22i ust. 9 ustawy o PIT oraz art. 16i ust. 9 ustawy o CIT) </w:t>
      </w:r>
      <w:r w:rsidR="00B152C9">
        <w:rPr>
          <w:rFonts w:ascii="Times New Roman" w:eastAsia="Calibri" w:hAnsi="Times New Roman" w:cs="Times New Roman"/>
          <w:bCs/>
          <w:iCs/>
          <w:sz w:val="24"/>
          <w:szCs w:val="24"/>
        </w:rPr>
        <w:t>–</w:t>
      </w:r>
      <w:r w:rsidR="00DA7584" w:rsidRPr="00DA7584">
        <w:rPr>
          <w:rFonts w:ascii="Times New Roman" w:eastAsia="Calibri" w:hAnsi="Times New Roman" w:cs="Times New Roman"/>
          <w:b/>
          <w:bCs/>
          <w:iCs/>
          <w:sz w:val="24"/>
          <w:szCs w:val="24"/>
        </w:rPr>
        <w:t xml:space="preserve"> </w:t>
      </w:r>
      <w:bookmarkStart w:id="6" w:name="_Hlk221794928"/>
      <w:r w:rsidR="00DA7584" w:rsidRPr="00DA7584">
        <w:rPr>
          <w:rFonts w:ascii="Times New Roman" w:eastAsia="Calibri" w:hAnsi="Times New Roman" w:cs="Times New Roman"/>
          <w:b/>
          <w:bCs/>
          <w:iCs/>
          <w:sz w:val="24"/>
          <w:szCs w:val="24"/>
        </w:rPr>
        <w:t xml:space="preserve">art. 1 pkt </w:t>
      </w:r>
      <w:r w:rsidR="00E514D9" w:rsidRPr="00E514D9">
        <w:rPr>
          <w:rFonts w:ascii="Times New Roman" w:eastAsia="Calibri" w:hAnsi="Times New Roman" w:cs="Times New Roman"/>
          <w:b/>
          <w:bCs/>
          <w:iCs/>
          <w:sz w:val="24"/>
          <w:szCs w:val="24"/>
        </w:rPr>
        <w:t>9</w:t>
      </w:r>
      <w:r w:rsidR="00DA7584" w:rsidRPr="00DA7584">
        <w:rPr>
          <w:rFonts w:ascii="Times New Roman" w:eastAsia="Calibri" w:hAnsi="Times New Roman" w:cs="Times New Roman"/>
          <w:b/>
          <w:bCs/>
          <w:iCs/>
          <w:sz w:val="24"/>
          <w:szCs w:val="24"/>
        </w:rPr>
        <w:t xml:space="preserve"> oraz art. 2 </w:t>
      </w:r>
      <w:r w:rsidR="00DA7584" w:rsidRPr="00E514D9">
        <w:rPr>
          <w:rFonts w:ascii="Times New Roman" w:eastAsia="Calibri" w:hAnsi="Times New Roman" w:cs="Times New Roman"/>
          <w:b/>
          <w:bCs/>
          <w:iCs/>
          <w:sz w:val="24"/>
          <w:szCs w:val="24"/>
        </w:rPr>
        <w:t xml:space="preserve">pkt </w:t>
      </w:r>
      <w:r w:rsidR="00E514D9" w:rsidRPr="00E514D9">
        <w:rPr>
          <w:rFonts w:ascii="Times New Roman" w:eastAsia="Calibri" w:hAnsi="Times New Roman" w:cs="Times New Roman"/>
          <w:b/>
          <w:bCs/>
          <w:iCs/>
          <w:sz w:val="24"/>
          <w:szCs w:val="24"/>
        </w:rPr>
        <w:t>8</w:t>
      </w:r>
      <w:r w:rsidR="00DA7584" w:rsidRPr="00DA7584">
        <w:rPr>
          <w:rFonts w:ascii="Times New Roman" w:eastAsia="Calibri" w:hAnsi="Times New Roman" w:cs="Times New Roman"/>
          <w:b/>
          <w:bCs/>
          <w:iCs/>
          <w:sz w:val="24"/>
          <w:szCs w:val="24"/>
        </w:rPr>
        <w:t xml:space="preserve"> projektu </w:t>
      </w:r>
      <w:r w:rsidR="00B152C9">
        <w:rPr>
          <w:rFonts w:ascii="Times New Roman" w:eastAsia="Calibri" w:hAnsi="Times New Roman" w:cs="Times New Roman"/>
          <w:b/>
          <w:bCs/>
          <w:iCs/>
          <w:sz w:val="24"/>
          <w:szCs w:val="24"/>
        </w:rPr>
        <w:t>–</w:t>
      </w:r>
      <w:r w:rsidR="00DA7584" w:rsidRPr="00DA7584">
        <w:rPr>
          <w:rFonts w:ascii="Times New Roman" w:eastAsia="Calibri" w:hAnsi="Times New Roman" w:cs="Times New Roman"/>
          <w:b/>
          <w:bCs/>
          <w:iCs/>
          <w:sz w:val="24"/>
          <w:szCs w:val="24"/>
        </w:rPr>
        <w:t xml:space="preserve"> </w:t>
      </w:r>
      <w:bookmarkEnd w:id="6"/>
      <w:r w:rsidR="00DA7584" w:rsidRPr="00DA7584">
        <w:rPr>
          <w:rFonts w:ascii="Times New Roman" w:eastAsia="Calibri" w:hAnsi="Times New Roman" w:cs="Times New Roman"/>
          <w:bCs/>
          <w:iCs/>
          <w:sz w:val="24"/>
          <w:szCs w:val="24"/>
        </w:rPr>
        <w:t xml:space="preserve">oraz </w:t>
      </w:r>
      <w:r w:rsidR="00DA7584" w:rsidRPr="00DA7584">
        <w:rPr>
          <w:rFonts w:ascii="Times New Roman" w:eastAsia="Calibri" w:hAnsi="Times New Roman" w:cs="Times New Roman"/>
          <w:b/>
          <w:bCs/>
          <w:iCs/>
          <w:sz w:val="24"/>
          <w:szCs w:val="24"/>
        </w:rPr>
        <w:t xml:space="preserve">zmiany dostosowawcze w art. 22h ust. 3 ustawy o PIT i art. 16h ust. 3 ustawy o CIT </w:t>
      </w:r>
      <w:r w:rsidR="00B152C9">
        <w:rPr>
          <w:rFonts w:ascii="Times New Roman" w:eastAsia="Calibri" w:hAnsi="Times New Roman" w:cs="Times New Roman"/>
          <w:b/>
          <w:bCs/>
          <w:iCs/>
          <w:sz w:val="24"/>
          <w:szCs w:val="24"/>
        </w:rPr>
        <w:t>–</w:t>
      </w:r>
      <w:r w:rsidR="00DA7584" w:rsidRPr="00DA7584">
        <w:rPr>
          <w:rFonts w:ascii="Times New Roman" w:eastAsia="Calibri" w:hAnsi="Times New Roman" w:cs="Times New Roman"/>
          <w:b/>
          <w:bCs/>
          <w:iCs/>
          <w:sz w:val="24"/>
          <w:szCs w:val="24"/>
        </w:rPr>
        <w:t xml:space="preserve"> art. 1 pkt </w:t>
      </w:r>
      <w:r w:rsidR="00E514D9" w:rsidRPr="00E514D9">
        <w:rPr>
          <w:rFonts w:ascii="Times New Roman" w:eastAsia="Calibri" w:hAnsi="Times New Roman" w:cs="Times New Roman"/>
          <w:b/>
          <w:bCs/>
          <w:iCs/>
          <w:sz w:val="24"/>
          <w:szCs w:val="24"/>
        </w:rPr>
        <w:t>8</w:t>
      </w:r>
      <w:r w:rsidR="00DA7584" w:rsidRPr="00DA7584">
        <w:rPr>
          <w:rFonts w:ascii="Times New Roman" w:eastAsia="Calibri" w:hAnsi="Times New Roman" w:cs="Times New Roman"/>
          <w:b/>
          <w:bCs/>
          <w:iCs/>
          <w:sz w:val="24"/>
          <w:szCs w:val="24"/>
        </w:rPr>
        <w:t xml:space="preserve"> oraz art. 2 </w:t>
      </w:r>
      <w:r w:rsidR="00DA7584" w:rsidRPr="00E514D9">
        <w:rPr>
          <w:rFonts w:ascii="Times New Roman" w:eastAsia="Calibri" w:hAnsi="Times New Roman" w:cs="Times New Roman"/>
          <w:b/>
          <w:bCs/>
          <w:iCs/>
          <w:sz w:val="24"/>
          <w:szCs w:val="24"/>
        </w:rPr>
        <w:t xml:space="preserve">pkt </w:t>
      </w:r>
      <w:r w:rsidR="00E514D9" w:rsidRPr="00E514D9">
        <w:rPr>
          <w:rFonts w:ascii="Times New Roman" w:eastAsia="Calibri" w:hAnsi="Times New Roman" w:cs="Times New Roman"/>
          <w:b/>
          <w:bCs/>
          <w:iCs/>
          <w:sz w:val="24"/>
          <w:szCs w:val="24"/>
        </w:rPr>
        <w:t>7</w:t>
      </w:r>
      <w:r w:rsidR="00DA7584" w:rsidRPr="00E514D9">
        <w:rPr>
          <w:rFonts w:ascii="Times New Roman" w:eastAsia="Calibri" w:hAnsi="Times New Roman" w:cs="Times New Roman"/>
          <w:b/>
          <w:bCs/>
          <w:iCs/>
          <w:sz w:val="24"/>
          <w:szCs w:val="24"/>
        </w:rPr>
        <w:t xml:space="preserve"> projektu</w:t>
      </w:r>
      <w:r w:rsidR="00DA7584" w:rsidRPr="00DA7584">
        <w:rPr>
          <w:rFonts w:ascii="Times New Roman" w:eastAsia="Calibri" w:hAnsi="Times New Roman" w:cs="Times New Roman"/>
          <w:b/>
          <w:bCs/>
          <w:iCs/>
          <w:sz w:val="24"/>
          <w:szCs w:val="24"/>
        </w:rPr>
        <w:t xml:space="preserve"> </w:t>
      </w:r>
    </w:p>
    <w:p w14:paraId="31C6E54F" w14:textId="77777777" w:rsidR="00DA7584" w:rsidRPr="00DA7584" w:rsidRDefault="00DA7584" w:rsidP="00DA7584">
      <w:pPr>
        <w:spacing w:before="120" w:line="360" w:lineRule="auto"/>
        <w:jc w:val="both"/>
        <w:rPr>
          <w:rFonts w:ascii="Times New Roman" w:eastAsia="Calibri" w:hAnsi="Times New Roman" w:cs="Times New Roman"/>
          <w:bCs/>
          <w:iCs/>
          <w:sz w:val="24"/>
          <w:szCs w:val="24"/>
        </w:rPr>
      </w:pPr>
      <w:r w:rsidRPr="00DA7584">
        <w:rPr>
          <w:rFonts w:ascii="Times New Roman" w:eastAsia="Calibri" w:hAnsi="Times New Roman" w:cs="Times New Roman"/>
          <w:bCs/>
          <w:iCs/>
          <w:sz w:val="24"/>
          <w:szCs w:val="24"/>
        </w:rPr>
        <w:t>Dodanie ust. 9 w art. 22i ustawy o PIT oraz ust. 9 w art. 16i ustawy o CIT zmierza do jednoznacznego określenia terminu, w którym podatnik może zdecydować o podwyższeniu lub obniżeniu stawek amortyzacyjnych w danym roku podatkowym. Ustalenie, że wyboru tego można dokonać nie później niż do upływu terminu na złożenie zeznania za ten rok podatkowy, zapewnia większą przejrzystość i przewidywalność stosowania przepisów zarówno dla podatników, jak i organów podatkowych.</w:t>
      </w:r>
    </w:p>
    <w:p w14:paraId="3657C8BD" w14:textId="1E228805" w:rsidR="00DA7584" w:rsidRPr="00DA7584" w:rsidRDefault="00DA7584" w:rsidP="00DA7584">
      <w:pPr>
        <w:spacing w:before="120" w:line="360" w:lineRule="auto"/>
        <w:jc w:val="both"/>
        <w:rPr>
          <w:rFonts w:ascii="Times New Roman" w:eastAsia="Calibri" w:hAnsi="Times New Roman" w:cs="Times New Roman"/>
          <w:bCs/>
          <w:iCs/>
          <w:sz w:val="24"/>
          <w:szCs w:val="24"/>
        </w:rPr>
      </w:pPr>
      <w:r w:rsidRPr="00DA7584">
        <w:rPr>
          <w:rFonts w:ascii="Times New Roman" w:eastAsia="Calibri" w:hAnsi="Times New Roman" w:cs="Times New Roman"/>
          <w:bCs/>
          <w:iCs/>
          <w:sz w:val="24"/>
          <w:szCs w:val="24"/>
        </w:rPr>
        <w:t>Jednocześnie zmiana ta ma na celu przeciwdziałanie schematowi optymalizacyjnemu polegającemu na dowolnym, wstecznym kształtowaniu stawek amortyzacyjnych dla środków trwałych, w odniesieniu do okresów podatkowych już zakończonych, choć jeszcze nieprzedawnionych. Zmiana ta przyczyni się do wyeliminowania praktyki</w:t>
      </w:r>
      <w:r w:rsidR="008F269E">
        <w:rPr>
          <w:rFonts w:ascii="Times New Roman" w:eastAsia="Calibri" w:hAnsi="Times New Roman" w:cs="Times New Roman"/>
          <w:bCs/>
          <w:iCs/>
          <w:sz w:val="24"/>
          <w:szCs w:val="24"/>
        </w:rPr>
        <w:t xml:space="preserve"> </w:t>
      </w:r>
      <w:r w:rsidRPr="00DA7584">
        <w:rPr>
          <w:rFonts w:ascii="Times New Roman" w:eastAsia="Calibri" w:hAnsi="Times New Roman" w:cs="Times New Roman"/>
          <w:bCs/>
          <w:iCs/>
          <w:sz w:val="24"/>
          <w:szCs w:val="24"/>
        </w:rPr>
        <w:t xml:space="preserve">polegającej na retroaktywnej zmianie stawki amortyzacji – zarówno poprzez jej podwyższenie, jak i obniżenie – nie wynikającej z błędu podatnika ani z konieczności skorygowania omyłki w pierwotnym rozliczeniu. Podatnicy niejednokrotnie wykorzystują ten mechanizm w celach optymalizacyjnych, traktując możliwość zmiany stawki amortyzacyjnej wstecznie jako narzędzie służące osiągnięciu doraźnych korzyści podatkowych poprzez dowolną zmianę wysokości kosztów amortyzacji </w:t>
      </w:r>
      <w:r w:rsidRPr="00DA7584">
        <w:rPr>
          <w:rFonts w:ascii="Times New Roman" w:eastAsia="Calibri" w:hAnsi="Times New Roman" w:cs="Times New Roman"/>
          <w:bCs/>
          <w:i/>
          <w:iCs/>
          <w:sz w:val="24"/>
          <w:szCs w:val="24"/>
        </w:rPr>
        <w:t>ex post</w:t>
      </w:r>
      <w:r w:rsidRPr="00DA7584">
        <w:rPr>
          <w:rFonts w:ascii="Times New Roman" w:eastAsia="Calibri" w:hAnsi="Times New Roman" w:cs="Times New Roman"/>
          <w:bCs/>
          <w:iCs/>
          <w:sz w:val="24"/>
          <w:szCs w:val="24"/>
        </w:rPr>
        <w:t>.</w:t>
      </w:r>
    </w:p>
    <w:p w14:paraId="60BCC79C" w14:textId="77777777" w:rsidR="00DA7584" w:rsidRPr="00DA7584" w:rsidRDefault="00DA7584" w:rsidP="00DA7584">
      <w:pPr>
        <w:spacing w:before="120" w:line="360" w:lineRule="auto"/>
        <w:jc w:val="both"/>
        <w:rPr>
          <w:rFonts w:ascii="Times New Roman" w:eastAsia="Calibri" w:hAnsi="Times New Roman" w:cs="Times New Roman"/>
          <w:bCs/>
          <w:iCs/>
          <w:sz w:val="24"/>
          <w:szCs w:val="24"/>
        </w:rPr>
      </w:pPr>
      <w:r w:rsidRPr="00DA7584">
        <w:rPr>
          <w:rFonts w:ascii="Times New Roman" w:eastAsia="Calibri" w:hAnsi="Times New Roman" w:cs="Times New Roman"/>
          <w:bCs/>
          <w:iCs/>
          <w:sz w:val="24"/>
          <w:szCs w:val="24"/>
        </w:rPr>
        <w:t>Wprowadzenie jednoznacznego, granicznego terminu na zmianę stawki amortyzacyjnej jednoznacznie określa moment podjęcia przez podatnika stosownej decyzji, nakładając konieczność dokonania wyboru w odniesieniu do konkretnego roku podatkowego, zapobiega nadużyciom polegającym na manipulowaniu kosztami już po zamknięciu roku, wzmacnia pewność rozliczeń podatkowych, ogranicza możliwość stosowania nieuzasadnionych optymalizacji, zwiększa przejrzystość zasad amortyzacji, ułatwiając kontrolę przestrzegania przepisów.</w:t>
      </w:r>
    </w:p>
    <w:p w14:paraId="45429A6A" w14:textId="52AA76B7" w:rsidR="00DA7584" w:rsidRDefault="00DA7584" w:rsidP="00DA7584">
      <w:pPr>
        <w:spacing w:before="120" w:line="360" w:lineRule="auto"/>
        <w:jc w:val="both"/>
        <w:rPr>
          <w:rFonts w:ascii="Times New Roman" w:eastAsia="Calibri" w:hAnsi="Times New Roman" w:cs="Times New Roman"/>
          <w:bCs/>
          <w:iCs/>
          <w:sz w:val="24"/>
          <w:szCs w:val="24"/>
        </w:rPr>
      </w:pPr>
      <w:r w:rsidRPr="00DA7584">
        <w:rPr>
          <w:rFonts w:ascii="Times New Roman" w:eastAsia="Calibri" w:hAnsi="Times New Roman" w:cs="Times New Roman"/>
          <w:bCs/>
          <w:iCs/>
          <w:sz w:val="24"/>
          <w:szCs w:val="24"/>
        </w:rPr>
        <w:lastRenderedPageBreak/>
        <w:t>Wprowadzana regulacja nie ogranicza swobody podatników w wyborze stawki amortyzacyjnej – nadal mogą oni ją podwyższać lub obniżać w ramach dotychczasowych przepisów – lecz jednoznacznie doprecyzowuje moment, w którym taka decyzja może zostać podjęta. Dzięki temu zmiana zachowuje równowagę pomiędzy elastycznością po stronie podatników a potrzebą ochrony systemu podatkowego przed działaniami opartymi przede wszystkim na chęci skorzystania z możliwości modyfikacji zobowiązań podatkowych za wcześniejsze lata podatkowe (w tym ich obniżenia).</w:t>
      </w:r>
    </w:p>
    <w:p w14:paraId="1DBC0051" w14:textId="2DC8DE71" w:rsidR="004063B1" w:rsidRDefault="008514E3" w:rsidP="004C172B">
      <w:pPr>
        <w:spacing w:before="120" w:line="360" w:lineRule="auto"/>
        <w:jc w:val="both"/>
        <w:rPr>
          <w:rFonts w:ascii="Times New Roman" w:eastAsia="Calibri" w:hAnsi="Times New Roman" w:cs="Times New Roman"/>
          <w:bCs/>
          <w:iCs/>
          <w:sz w:val="24"/>
          <w:szCs w:val="24"/>
        </w:rPr>
      </w:pPr>
      <w:r w:rsidRPr="008514E3">
        <w:rPr>
          <w:rFonts w:ascii="Times New Roman" w:eastAsia="Calibri" w:hAnsi="Times New Roman" w:cs="Times New Roman"/>
          <w:bCs/>
          <w:iCs/>
          <w:sz w:val="24"/>
          <w:szCs w:val="24"/>
        </w:rPr>
        <w:t>Należy wskazać, że wprowadzane ograniczenie w zakresie podwyższenia lub obniżenia stawek amortyzacyjnych dla środków trwałych będzie dotyczyć odpisów amortyzacyjnych dokonanych wyłącznie od 1 stycznia 2027 r., nie zaś odpisów dokonanych przed 1 stycznia 2027 r. Dla przykładu, przedmiotowe ograniczenie nie znajdzie zastosowania w przypadku skorygowania w 2028 r. przez podatnika wysokości odpisów amortyzacyjnych dokonanych w 2026 r. Z kolei wprowadzane ograniczenie znajdzie zastosowanie w przypadku odpisów amortyzacyjnych, dokonywanych od 1 stycznia 2027 r.</w:t>
      </w:r>
    </w:p>
    <w:p w14:paraId="6D3FD81F" w14:textId="5D90F962" w:rsidR="00CE6E35" w:rsidRDefault="00DA7584" w:rsidP="004C172B">
      <w:pPr>
        <w:spacing w:before="120" w:line="360" w:lineRule="auto"/>
        <w:jc w:val="both"/>
        <w:rPr>
          <w:rFonts w:ascii="Times New Roman" w:eastAsia="Calibri" w:hAnsi="Times New Roman" w:cs="Times New Roman"/>
          <w:bCs/>
          <w:iCs/>
          <w:sz w:val="24"/>
          <w:szCs w:val="24"/>
        </w:rPr>
      </w:pPr>
      <w:r w:rsidRPr="00DA7584">
        <w:rPr>
          <w:rFonts w:ascii="Times New Roman" w:eastAsia="Calibri" w:hAnsi="Times New Roman" w:cs="Times New Roman"/>
          <w:bCs/>
          <w:iCs/>
          <w:sz w:val="24"/>
          <w:szCs w:val="24"/>
        </w:rPr>
        <w:t>W związku z dodaniem nowych ust. 9 w art. 22i ustawy o PIT oraz art. 16i ustawy o CIT konieczne jest również dokonanie zmian dostosowujących w art. 22h ust. 3 ustawy o PIT i art. 16h ust. 3 ustawy o CIT. Przepisy te zawierają odesłania do katalogu jednostek redakcyjnych w art. 22i i art. 16i określających zasady obliczania amortyzacji.</w:t>
      </w:r>
    </w:p>
    <w:p w14:paraId="799463A3" w14:textId="34096968" w:rsidR="00276119" w:rsidRPr="00E514D9" w:rsidRDefault="00CE0A24" w:rsidP="00276119">
      <w:pPr>
        <w:spacing w:before="120" w:line="360" w:lineRule="auto"/>
        <w:jc w:val="both"/>
        <w:rPr>
          <w:rFonts w:ascii="Times New Roman" w:eastAsia="Calibri" w:hAnsi="Times New Roman" w:cs="Times New Roman"/>
          <w:b/>
          <w:iCs/>
          <w:sz w:val="24"/>
          <w:szCs w:val="24"/>
        </w:rPr>
      </w:pPr>
      <w:r w:rsidRPr="00E514D9">
        <w:rPr>
          <w:rFonts w:ascii="Times New Roman" w:eastAsia="Calibri" w:hAnsi="Times New Roman" w:cs="Times New Roman"/>
          <w:b/>
          <w:iCs/>
          <w:sz w:val="24"/>
          <w:szCs w:val="24"/>
        </w:rPr>
        <w:t>7</w:t>
      </w:r>
      <w:r w:rsidR="00276119" w:rsidRPr="00E514D9">
        <w:rPr>
          <w:rFonts w:ascii="Times New Roman" w:eastAsia="Calibri" w:hAnsi="Times New Roman" w:cs="Times New Roman"/>
          <w:b/>
          <w:iCs/>
          <w:sz w:val="24"/>
          <w:szCs w:val="24"/>
        </w:rPr>
        <w:t>)</w:t>
      </w:r>
      <w:r w:rsidR="00276119" w:rsidRPr="00276119">
        <w:rPr>
          <w:rFonts w:ascii="Times New Roman" w:eastAsia="Calibri" w:hAnsi="Times New Roman" w:cs="Times New Roman"/>
          <w:bCs/>
          <w:iCs/>
          <w:sz w:val="24"/>
          <w:szCs w:val="24"/>
        </w:rPr>
        <w:t xml:space="preserve"> </w:t>
      </w:r>
      <w:r w:rsidR="00276119" w:rsidRPr="00E514D9">
        <w:rPr>
          <w:rFonts w:ascii="Times New Roman" w:eastAsia="Calibri" w:hAnsi="Times New Roman" w:cs="Times New Roman"/>
          <w:b/>
          <w:iCs/>
          <w:sz w:val="24"/>
          <w:szCs w:val="24"/>
        </w:rPr>
        <w:t xml:space="preserve">Wyłączenie możliwości amortyzacji wartości firmy powstającej wskutek przyjęcia przedsiębiorstwa lub jego zorganizowanej części do odpłatnego korzystania </w:t>
      </w:r>
      <w:r w:rsidR="00276119" w:rsidRPr="004063B1">
        <w:rPr>
          <w:rFonts w:ascii="Times New Roman" w:eastAsia="Calibri" w:hAnsi="Times New Roman" w:cs="Times New Roman"/>
          <w:bCs/>
          <w:iCs/>
          <w:sz w:val="24"/>
          <w:szCs w:val="24"/>
        </w:rPr>
        <w:t>(zmiana treści art. 22b ust. 2 pkt 1</w:t>
      </w:r>
      <w:r w:rsidR="00E514D9" w:rsidRPr="004063B1">
        <w:rPr>
          <w:rFonts w:ascii="Times New Roman" w:eastAsia="Calibri" w:hAnsi="Times New Roman" w:cs="Times New Roman"/>
          <w:bCs/>
          <w:iCs/>
          <w:sz w:val="24"/>
          <w:szCs w:val="24"/>
        </w:rPr>
        <w:t xml:space="preserve"> ustawy o PIT</w:t>
      </w:r>
      <w:r w:rsidR="00276119" w:rsidRPr="004063B1">
        <w:rPr>
          <w:rFonts w:ascii="Times New Roman" w:eastAsia="Calibri" w:hAnsi="Times New Roman" w:cs="Times New Roman"/>
          <w:bCs/>
          <w:iCs/>
          <w:sz w:val="24"/>
          <w:szCs w:val="24"/>
        </w:rPr>
        <w:t xml:space="preserve"> oraz uchylenie w art. 16b ust. 2 pkt 2 ustawy o CIT)</w:t>
      </w:r>
      <w:r w:rsidR="00276119" w:rsidRPr="00E514D9">
        <w:rPr>
          <w:rFonts w:ascii="Times New Roman" w:eastAsia="Calibri" w:hAnsi="Times New Roman" w:cs="Times New Roman"/>
          <w:b/>
          <w:iCs/>
          <w:sz w:val="24"/>
          <w:szCs w:val="24"/>
        </w:rPr>
        <w:t xml:space="preserve"> – art. 1 pkt </w:t>
      </w:r>
      <w:r>
        <w:rPr>
          <w:rFonts w:ascii="Times New Roman" w:eastAsia="Calibri" w:hAnsi="Times New Roman" w:cs="Times New Roman"/>
          <w:b/>
          <w:iCs/>
          <w:sz w:val="24"/>
          <w:szCs w:val="24"/>
        </w:rPr>
        <w:t>7</w:t>
      </w:r>
      <w:r w:rsidR="00276119" w:rsidRPr="00E514D9">
        <w:rPr>
          <w:rFonts w:ascii="Times New Roman" w:eastAsia="Calibri" w:hAnsi="Times New Roman" w:cs="Times New Roman"/>
          <w:b/>
          <w:iCs/>
          <w:sz w:val="24"/>
          <w:szCs w:val="24"/>
        </w:rPr>
        <w:t xml:space="preserve"> oraz art. 2 pkt</w:t>
      </w:r>
      <w:r>
        <w:rPr>
          <w:rFonts w:ascii="Times New Roman" w:eastAsia="Calibri" w:hAnsi="Times New Roman" w:cs="Times New Roman"/>
          <w:b/>
          <w:iCs/>
          <w:sz w:val="24"/>
          <w:szCs w:val="24"/>
        </w:rPr>
        <w:t xml:space="preserve"> 6</w:t>
      </w:r>
      <w:r w:rsidR="00276119" w:rsidRPr="00E514D9">
        <w:rPr>
          <w:rFonts w:ascii="Times New Roman" w:eastAsia="Calibri" w:hAnsi="Times New Roman" w:cs="Times New Roman"/>
          <w:b/>
          <w:iCs/>
          <w:sz w:val="24"/>
          <w:szCs w:val="24"/>
        </w:rPr>
        <w:t xml:space="preserve"> projektu</w:t>
      </w:r>
    </w:p>
    <w:p w14:paraId="4CBF54C2" w14:textId="0497ADAE" w:rsidR="00276119" w:rsidRPr="00276119" w:rsidRDefault="00276119" w:rsidP="00276119">
      <w:pPr>
        <w:spacing w:before="120" w:line="360" w:lineRule="auto"/>
        <w:jc w:val="both"/>
        <w:rPr>
          <w:rFonts w:ascii="Times New Roman" w:eastAsia="Calibri" w:hAnsi="Times New Roman" w:cs="Times New Roman"/>
          <w:bCs/>
          <w:iCs/>
          <w:sz w:val="24"/>
          <w:szCs w:val="24"/>
        </w:rPr>
      </w:pPr>
      <w:r w:rsidRPr="00276119">
        <w:rPr>
          <w:rFonts w:ascii="Times New Roman" w:eastAsia="Calibri" w:hAnsi="Times New Roman" w:cs="Times New Roman"/>
          <w:bCs/>
          <w:iCs/>
          <w:sz w:val="24"/>
          <w:szCs w:val="24"/>
        </w:rPr>
        <w:t>Proponowana zmiana zakłada uchylenie lit. b w art. 22b ust. 2 pkt 1</w:t>
      </w:r>
      <w:r w:rsidR="00E514D9">
        <w:rPr>
          <w:rFonts w:ascii="Times New Roman" w:eastAsia="Calibri" w:hAnsi="Times New Roman" w:cs="Times New Roman"/>
          <w:bCs/>
          <w:iCs/>
          <w:sz w:val="24"/>
          <w:szCs w:val="24"/>
        </w:rPr>
        <w:t xml:space="preserve"> ustawy o PIT</w:t>
      </w:r>
      <w:r w:rsidRPr="00276119">
        <w:rPr>
          <w:rFonts w:ascii="Times New Roman" w:eastAsia="Calibri" w:hAnsi="Times New Roman" w:cs="Times New Roman"/>
          <w:bCs/>
          <w:iCs/>
          <w:sz w:val="24"/>
          <w:szCs w:val="24"/>
        </w:rPr>
        <w:t xml:space="preserve"> oraz analogicznie lit. b w art. 16b ust. 2 pkt 2 ustawy o CIT. </w:t>
      </w:r>
    </w:p>
    <w:p w14:paraId="632369B8" w14:textId="0E0A587D" w:rsidR="00276119" w:rsidRPr="00276119" w:rsidRDefault="00276119" w:rsidP="00276119">
      <w:pPr>
        <w:spacing w:before="120" w:line="360" w:lineRule="auto"/>
        <w:jc w:val="both"/>
        <w:rPr>
          <w:rFonts w:ascii="Times New Roman" w:eastAsia="Calibri" w:hAnsi="Times New Roman" w:cs="Times New Roman"/>
          <w:bCs/>
          <w:iCs/>
          <w:sz w:val="24"/>
          <w:szCs w:val="24"/>
        </w:rPr>
      </w:pPr>
      <w:r w:rsidRPr="00276119">
        <w:rPr>
          <w:rFonts w:ascii="Times New Roman" w:eastAsia="Calibri" w:hAnsi="Times New Roman" w:cs="Times New Roman"/>
          <w:bCs/>
          <w:iCs/>
          <w:sz w:val="24"/>
          <w:szCs w:val="24"/>
        </w:rPr>
        <w:t xml:space="preserve">Wartość firmy jest kategorią ekonomiczną wyrażającą tę część wartości przedsiębiorstwa, która nie wynika bezpośrednio z wyceny jego składników majątkowych. Powstaje więc ona jako różnica dwóch wartości </w:t>
      </w:r>
      <w:r w:rsidR="00B152C9">
        <w:rPr>
          <w:rFonts w:ascii="Times New Roman" w:eastAsia="Calibri" w:hAnsi="Times New Roman" w:cs="Times New Roman"/>
          <w:bCs/>
          <w:iCs/>
          <w:sz w:val="24"/>
          <w:szCs w:val="24"/>
        </w:rPr>
        <w:t>–</w:t>
      </w:r>
      <w:r w:rsidRPr="00276119">
        <w:rPr>
          <w:rFonts w:ascii="Times New Roman" w:eastAsia="Calibri" w:hAnsi="Times New Roman" w:cs="Times New Roman"/>
          <w:bCs/>
          <w:iCs/>
          <w:sz w:val="24"/>
          <w:szCs w:val="24"/>
        </w:rPr>
        <w:t xml:space="preserve"> ceny nabycia oraz wartości składników majątkowych tworzących przedsiębiorstwo. Wyrazem tego jest treść przepisów ustaw o podatkach dochodowych, które definiują wartość firmy jako dodatnią różnicę między ceną nabycia przedsiębiorstwa lub jego zorganizowanej części, albo nominalną wartością wydanych akcji lub udziałów w zamian za wkład niepieniężny, a wartością rynkową składników majątkowych wchodzących w skład kupionego, przyjętego do odpłatnego korzystania albo wniesionego do spółki przedsiębiorstwa </w:t>
      </w:r>
      <w:r w:rsidRPr="00276119">
        <w:rPr>
          <w:rFonts w:ascii="Times New Roman" w:eastAsia="Calibri" w:hAnsi="Times New Roman" w:cs="Times New Roman"/>
          <w:bCs/>
          <w:iCs/>
          <w:sz w:val="24"/>
          <w:szCs w:val="24"/>
        </w:rPr>
        <w:lastRenderedPageBreak/>
        <w:t>lub jego zorganizowanej części, odpowiednio z dnia kupna, przyjęcia do odpłatnego korzystania albo wniesienia do spółki. W ujęciu podatkowym tak zdefiniowania wartość firmy zaliczana jest do wartości niematerialnych i prawnych.</w:t>
      </w:r>
    </w:p>
    <w:p w14:paraId="609BB07A" w14:textId="73C24494" w:rsidR="00276119" w:rsidRPr="00276119" w:rsidRDefault="00276119" w:rsidP="00276119">
      <w:pPr>
        <w:spacing w:before="120" w:line="360" w:lineRule="auto"/>
        <w:jc w:val="both"/>
        <w:rPr>
          <w:rFonts w:ascii="Times New Roman" w:eastAsia="Calibri" w:hAnsi="Times New Roman" w:cs="Times New Roman"/>
          <w:bCs/>
          <w:iCs/>
          <w:sz w:val="24"/>
          <w:szCs w:val="24"/>
        </w:rPr>
      </w:pPr>
      <w:r w:rsidRPr="00276119">
        <w:rPr>
          <w:rFonts w:ascii="Times New Roman" w:eastAsia="Calibri" w:hAnsi="Times New Roman" w:cs="Times New Roman"/>
          <w:bCs/>
          <w:iCs/>
          <w:sz w:val="24"/>
          <w:szCs w:val="24"/>
        </w:rPr>
        <w:t>Jednakże nie każda transakcja bądź forma nabycia przedsiębiorstwa, względnie zorganizowanej części przedsiębiorstwa (ZCP), jest zdarzeniem kreującym wartość firmy, która podlega amortyzacji podatkowej. W obecnym stanie prawnym wartość firmy stanowi podstawę do dokonywania odpisów amortyzacyjnych generujących koszt uzyskania przychodów, jeśli objęcie przedsiębiorstwa nastąpiło w drodze:</w:t>
      </w:r>
      <w:r w:rsidR="008F269E">
        <w:rPr>
          <w:rFonts w:ascii="Times New Roman" w:eastAsia="Calibri" w:hAnsi="Times New Roman" w:cs="Times New Roman"/>
          <w:bCs/>
          <w:iCs/>
          <w:sz w:val="24"/>
          <w:szCs w:val="24"/>
        </w:rPr>
        <w:t xml:space="preserve"> </w:t>
      </w:r>
    </w:p>
    <w:p w14:paraId="4FCE2318" w14:textId="37A055CA" w:rsidR="00276119" w:rsidRPr="00E514D9" w:rsidRDefault="00276119" w:rsidP="0081594C">
      <w:pPr>
        <w:pStyle w:val="Akapitzlist"/>
        <w:numPr>
          <w:ilvl w:val="0"/>
          <w:numId w:val="84"/>
        </w:numPr>
        <w:spacing w:line="360" w:lineRule="auto"/>
        <w:jc w:val="both"/>
        <w:rPr>
          <w:rFonts w:ascii="Times New Roman" w:eastAsia="Calibri" w:hAnsi="Times New Roman" w:cs="Times New Roman"/>
          <w:bCs/>
          <w:iCs/>
          <w:sz w:val="24"/>
          <w:szCs w:val="24"/>
        </w:rPr>
      </w:pPr>
      <w:r w:rsidRPr="00E514D9">
        <w:rPr>
          <w:rFonts w:ascii="Times New Roman" w:eastAsia="Calibri" w:hAnsi="Times New Roman" w:cs="Times New Roman"/>
          <w:bCs/>
          <w:iCs/>
          <w:sz w:val="24"/>
          <w:szCs w:val="24"/>
        </w:rPr>
        <w:t>kupna,</w:t>
      </w:r>
    </w:p>
    <w:p w14:paraId="32252357" w14:textId="565983C0" w:rsidR="00276119" w:rsidRPr="00E514D9" w:rsidRDefault="00276119" w:rsidP="00E514D9">
      <w:pPr>
        <w:pStyle w:val="Akapitzlist"/>
        <w:numPr>
          <w:ilvl w:val="0"/>
          <w:numId w:val="84"/>
        </w:numPr>
        <w:spacing w:before="120" w:line="360" w:lineRule="auto"/>
        <w:jc w:val="both"/>
        <w:rPr>
          <w:rFonts w:ascii="Times New Roman" w:eastAsia="Calibri" w:hAnsi="Times New Roman" w:cs="Times New Roman"/>
          <w:bCs/>
          <w:iCs/>
          <w:sz w:val="24"/>
          <w:szCs w:val="24"/>
        </w:rPr>
      </w:pPr>
      <w:r w:rsidRPr="00E514D9">
        <w:rPr>
          <w:rFonts w:ascii="Times New Roman" w:eastAsia="Calibri" w:hAnsi="Times New Roman" w:cs="Times New Roman"/>
          <w:bCs/>
          <w:iCs/>
          <w:sz w:val="24"/>
          <w:szCs w:val="24"/>
        </w:rPr>
        <w:t xml:space="preserve">przyjęcia do odpłatnego korzystania, a odpisów amortyzacyjnych, zgodnie z przepisami rozdziału 4a ustawy o CIT, dokonuje korzystający, </w:t>
      </w:r>
    </w:p>
    <w:p w14:paraId="55C98F5B" w14:textId="467EE928" w:rsidR="00276119" w:rsidRPr="00E514D9" w:rsidRDefault="00276119" w:rsidP="00E514D9">
      <w:pPr>
        <w:pStyle w:val="Akapitzlist"/>
        <w:numPr>
          <w:ilvl w:val="0"/>
          <w:numId w:val="84"/>
        </w:numPr>
        <w:spacing w:before="120" w:line="360" w:lineRule="auto"/>
        <w:jc w:val="both"/>
        <w:rPr>
          <w:rFonts w:ascii="Times New Roman" w:eastAsia="Calibri" w:hAnsi="Times New Roman" w:cs="Times New Roman"/>
          <w:bCs/>
          <w:iCs/>
          <w:sz w:val="24"/>
          <w:szCs w:val="24"/>
        </w:rPr>
      </w:pPr>
      <w:r w:rsidRPr="00E514D9">
        <w:rPr>
          <w:rFonts w:ascii="Times New Roman" w:eastAsia="Calibri" w:hAnsi="Times New Roman" w:cs="Times New Roman"/>
          <w:bCs/>
          <w:iCs/>
          <w:sz w:val="24"/>
          <w:szCs w:val="24"/>
        </w:rPr>
        <w:t>wniesienia do spółki na podstawie przepisów o komercjalizacji i prywatyzacji.</w:t>
      </w:r>
    </w:p>
    <w:p w14:paraId="308D6C3A" w14:textId="77777777" w:rsidR="00276119" w:rsidRPr="00276119" w:rsidRDefault="00276119" w:rsidP="00276119">
      <w:pPr>
        <w:spacing w:before="120" w:line="360" w:lineRule="auto"/>
        <w:jc w:val="both"/>
        <w:rPr>
          <w:rFonts w:ascii="Times New Roman" w:eastAsia="Calibri" w:hAnsi="Times New Roman" w:cs="Times New Roman"/>
          <w:bCs/>
          <w:iCs/>
          <w:sz w:val="24"/>
          <w:szCs w:val="24"/>
        </w:rPr>
      </w:pPr>
      <w:r w:rsidRPr="00276119">
        <w:rPr>
          <w:rFonts w:ascii="Times New Roman" w:eastAsia="Calibri" w:hAnsi="Times New Roman" w:cs="Times New Roman"/>
          <w:bCs/>
          <w:iCs/>
          <w:sz w:val="24"/>
          <w:szCs w:val="24"/>
        </w:rPr>
        <w:t xml:space="preserve">Proponowane rozwiązanie zneutralizuje działania optymalizacyjne, podejmowane w głównej mierze ze względu na korzyść podatkową płynącą z faktu, że przekazanie przedsiębiorstwa w ramach leasingu finansowego może generować wartość firmy. Okoliczność ta zostaje wykorzystana przez niektórych podatników do podejmowania działań, które nie są zdeterminowane przez interes ekonomiczny. W efekcie dochodzi do sytuacji, w których o zawarciu określonej czynności prawnej nie decyduje racjonalność gospodarcza, lecz faktycznym katalizatorem działań podmiotów gospodarczych pozostaje kształt przepisów podatkowych i ukierunkowana na optymalizację ich wykładnia. </w:t>
      </w:r>
    </w:p>
    <w:p w14:paraId="3C7DC290" w14:textId="3A1B0796" w:rsidR="00276119" w:rsidRPr="00276119" w:rsidRDefault="00276119" w:rsidP="00276119">
      <w:pPr>
        <w:spacing w:before="120" w:line="360" w:lineRule="auto"/>
        <w:jc w:val="both"/>
        <w:rPr>
          <w:rFonts w:ascii="Times New Roman" w:eastAsia="Calibri" w:hAnsi="Times New Roman" w:cs="Times New Roman"/>
          <w:bCs/>
          <w:iCs/>
          <w:sz w:val="24"/>
          <w:szCs w:val="24"/>
        </w:rPr>
      </w:pPr>
      <w:r w:rsidRPr="00276119">
        <w:rPr>
          <w:rFonts w:ascii="Times New Roman" w:eastAsia="Calibri" w:hAnsi="Times New Roman" w:cs="Times New Roman"/>
          <w:bCs/>
          <w:iCs/>
          <w:sz w:val="24"/>
          <w:szCs w:val="24"/>
        </w:rPr>
        <w:t>Przedstawione czynniki doprowadziły do praktyki obniżenia kosztów prowadzenia działalności, noszącej znamiona techniki optymalizacyjnej. W szczególności przyjmuje ona postać schematu, w którym jedna ze spółek (spółka A) dokonuje przekazania innemu podmiotowi (spółce B) przedsiębiorstwa lub zorganizowanej części przedsiębiorstw w drodze aportu. Na skutek dokonanej transakcji ujawniana jest wartość firmy. Wycena aportu wnoszonego przez spółkę A jest dokonywana w wartości znacznie przewyższającej wartość jej aktywów netto (wartość składników majątkowych). Należy bowiem zwrócić uwagę, iż wartość firmy, nawet jeśli jej ustalenie dokonuje się przy udziale rzeczoznawczy, zawsze pozostaje wartością szacunkową. Niejednokrotnie wartość firmy znacznie przewyższa wartość wszystkich innych składników majątkowych danej transakcji.</w:t>
      </w:r>
    </w:p>
    <w:p w14:paraId="3F9DF1D1" w14:textId="77777777" w:rsidR="00276119" w:rsidRPr="00276119" w:rsidRDefault="00276119" w:rsidP="00276119">
      <w:pPr>
        <w:spacing w:before="120" w:line="360" w:lineRule="auto"/>
        <w:jc w:val="both"/>
        <w:rPr>
          <w:rFonts w:ascii="Times New Roman" w:eastAsia="Calibri" w:hAnsi="Times New Roman" w:cs="Times New Roman"/>
          <w:bCs/>
          <w:iCs/>
          <w:sz w:val="24"/>
          <w:szCs w:val="24"/>
        </w:rPr>
      </w:pPr>
      <w:r w:rsidRPr="00276119">
        <w:rPr>
          <w:rFonts w:ascii="Times New Roman" w:eastAsia="Calibri" w:hAnsi="Times New Roman" w:cs="Times New Roman"/>
          <w:bCs/>
          <w:iCs/>
          <w:sz w:val="24"/>
          <w:szCs w:val="24"/>
        </w:rPr>
        <w:t xml:space="preserve">Wartość firmy powstająca na skutek aportu nie podlega amortyzacji, gdyż aport jest neutralny podatkowo. Jest to konsekwencja systemowego założenia o konieczności odroczenia </w:t>
      </w:r>
      <w:r w:rsidRPr="00276119">
        <w:rPr>
          <w:rFonts w:ascii="Times New Roman" w:eastAsia="Calibri" w:hAnsi="Times New Roman" w:cs="Times New Roman"/>
          <w:bCs/>
          <w:iCs/>
          <w:sz w:val="24"/>
          <w:szCs w:val="24"/>
        </w:rPr>
        <w:lastRenderedPageBreak/>
        <w:t>opodatkowania w odniesieniu do tego typu transakcji w celu zniwelowania barier dla transformacji oraz tworzenia przedsiębiorstw. Następnie jednak, wnoszone uprzednio w drodze aportu środki majątkowe, tworzące przedsiębiorstwo/zorganizowaną część przedsiębiorstwa, przekazywane są przez spółkę B w ramach umowy leasingu kolejnemu podmiotowi (spółce C), często będącemu podmiotem powiązanym ze spółkami A i B. Na skutek zawartej umowy spółka C dokonuje spłat rat leasingowych, które w ramach części kapitałowej obejmują rozpoznaną przez spółkę B wartość firmy. Ujawniona powtórnie wartość firmy poprzez odpis amortyzacyjny pomniejsza dochód do opodatkowania u korzystającego. Powstający w ten sposób koszt podatkowy dla korzystającego nie znajduje odzwierciedlenia po stronie przychodowej z perspektywy finansującego. Taki stan rzeczy powoduje wypaczenie podatkowego ujęcia leasingu, która to instytucja została przez ustawodawcę ukształtowana w ten sposób, aby rozliczenia podatkowe dokonywane przez finansującego (leasingodawcę) odzwierciedlały równoległe rozliczenia dokonywane odpowiednio przez korzystającego (leasingobiorcę). W następstwie dokonywania odpisów amortyzacyjnych od wartości firmy rozpoznanej po raz kolejny na skutek zawarcia umowy leasingu finansowego przedsiębiorstwa (zorganizowanej części przedsiębiorstwa), leasingobiorca może skutecznie uniknąć opodatkowania, redukując na wiele lat dochody z działalności operacyjnej.</w:t>
      </w:r>
    </w:p>
    <w:p w14:paraId="2952C129" w14:textId="7E71F816" w:rsidR="00276119" w:rsidRPr="00276119" w:rsidRDefault="00276119" w:rsidP="00276119">
      <w:pPr>
        <w:spacing w:before="120" w:line="360" w:lineRule="auto"/>
        <w:jc w:val="both"/>
        <w:rPr>
          <w:rFonts w:ascii="Times New Roman" w:eastAsia="Calibri" w:hAnsi="Times New Roman" w:cs="Times New Roman"/>
          <w:bCs/>
          <w:iCs/>
          <w:sz w:val="24"/>
          <w:szCs w:val="24"/>
        </w:rPr>
      </w:pPr>
      <w:r w:rsidRPr="00276119">
        <w:rPr>
          <w:rFonts w:ascii="Times New Roman" w:eastAsia="Calibri" w:hAnsi="Times New Roman" w:cs="Times New Roman"/>
          <w:bCs/>
          <w:iCs/>
          <w:sz w:val="24"/>
          <w:szCs w:val="24"/>
        </w:rPr>
        <w:t xml:space="preserve">Należy zaznaczyć, że umożliwienie ukosztowienia, poprzez odpisy, wartości firmy powstałej w związku z oddaniem przedsiębiorstw lub ZCP do korzystania w ramach leasingu (finansowego) skutkuje tym, że podatkowe rozliczenie tej transakcji jest korzystniejsze niż w przypadku sprzedaży przedsiębiorstwa/ZCP. W tym drugim przypadku odpisy amortyzacyjne od wartości firmy (jak i inne odpisy od pozostałych ŚT/WNiP wchodzących w skład nabytego przedsiębiorstwa/ZCP </w:t>
      </w:r>
      <w:r w:rsidR="00B152C9">
        <w:rPr>
          <w:rFonts w:ascii="Times New Roman" w:eastAsia="Calibri" w:hAnsi="Times New Roman" w:cs="Times New Roman"/>
          <w:bCs/>
          <w:iCs/>
          <w:sz w:val="24"/>
          <w:szCs w:val="24"/>
        </w:rPr>
        <w:t>–</w:t>
      </w:r>
      <w:r w:rsidRPr="00276119">
        <w:rPr>
          <w:rFonts w:ascii="Times New Roman" w:eastAsia="Calibri" w:hAnsi="Times New Roman" w:cs="Times New Roman"/>
          <w:bCs/>
          <w:iCs/>
          <w:sz w:val="24"/>
          <w:szCs w:val="24"/>
        </w:rPr>
        <w:t xml:space="preserve"> stanowiąc cenę jego nabycia </w:t>
      </w:r>
      <w:r w:rsidR="00B152C9">
        <w:rPr>
          <w:rFonts w:ascii="Times New Roman" w:eastAsia="Calibri" w:hAnsi="Times New Roman" w:cs="Times New Roman"/>
          <w:bCs/>
          <w:iCs/>
          <w:sz w:val="24"/>
          <w:szCs w:val="24"/>
        </w:rPr>
        <w:t>–</w:t>
      </w:r>
      <w:r w:rsidRPr="00276119">
        <w:rPr>
          <w:rFonts w:ascii="Times New Roman" w:eastAsia="Calibri" w:hAnsi="Times New Roman" w:cs="Times New Roman"/>
          <w:bCs/>
          <w:iCs/>
          <w:sz w:val="24"/>
          <w:szCs w:val="24"/>
        </w:rPr>
        <w:t xml:space="preserve"> odpowiadają drugostronnie przychodowi wykazywanemu przez zbywcę).</w:t>
      </w:r>
    </w:p>
    <w:p w14:paraId="4F8980DA" w14:textId="75476431" w:rsidR="00276119" w:rsidRPr="006641E3" w:rsidRDefault="00276119" w:rsidP="00276119">
      <w:pPr>
        <w:spacing w:before="120" w:line="360" w:lineRule="auto"/>
        <w:jc w:val="both"/>
        <w:rPr>
          <w:rFonts w:ascii="Times New Roman" w:eastAsia="Calibri" w:hAnsi="Times New Roman" w:cs="Times New Roman"/>
          <w:bCs/>
          <w:iCs/>
          <w:sz w:val="24"/>
          <w:szCs w:val="24"/>
        </w:rPr>
      </w:pPr>
      <w:r w:rsidRPr="00276119">
        <w:rPr>
          <w:rFonts w:ascii="Times New Roman" w:eastAsia="Calibri" w:hAnsi="Times New Roman" w:cs="Times New Roman"/>
          <w:bCs/>
          <w:iCs/>
          <w:sz w:val="24"/>
          <w:szCs w:val="24"/>
        </w:rPr>
        <w:t xml:space="preserve">Ponadto należy zaznaczyć, iż w związku z uchyleniem </w:t>
      </w:r>
      <w:bookmarkStart w:id="7" w:name="_Hlk238224587"/>
      <w:r w:rsidRPr="00276119">
        <w:rPr>
          <w:rFonts w:ascii="Times New Roman" w:eastAsia="Calibri" w:hAnsi="Times New Roman" w:cs="Times New Roman"/>
          <w:bCs/>
          <w:iCs/>
          <w:sz w:val="24"/>
          <w:szCs w:val="24"/>
        </w:rPr>
        <w:t>lit. b w art. 22b ust. 2 pkt 1</w:t>
      </w:r>
      <w:r w:rsidR="00DB776D">
        <w:rPr>
          <w:rFonts w:ascii="Times New Roman" w:eastAsia="Calibri" w:hAnsi="Times New Roman" w:cs="Times New Roman"/>
          <w:bCs/>
          <w:iCs/>
          <w:sz w:val="24"/>
          <w:szCs w:val="24"/>
        </w:rPr>
        <w:t xml:space="preserve"> ustawy o PI</w:t>
      </w:r>
      <w:r w:rsidR="00BD5A39">
        <w:rPr>
          <w:rFonts w:ascii="Times New Roman" w:eastAsia="Calibri" w:hAnsi="Times New Roman" w:cs="Times New Roman"/>
          <w:bCs/>
          <w:iCs/>
          <w:sz w:val="24"/>
          <w:szCs w:val="24"/>
        </w:rPr>
        <w:t>T</w:t>
      </w:r>
      <w:r w:rsidRPr="00276119">
        <w:rPr>
          <w:rFonts w:ascii="Times New Roman" w:eastAsia="Calibri" w:hAnsi="Times New Roman" w:cs="Times New Roman"/>
          <w:bCs/>
          <w:iCs/>
          <w:sz w:val="24"/>
          <w:szCs w:val="24"/>
        </w:rPr>
        <w:t xml:space="preserve"> oraz analogicznie lit. b w art. 16b ust. 2 pkt 2 ustawy o CIT </w:t>
      </w:r>
      <w:bookmarkEnd w:id="7"/>
      <w:r w:rsidRPr="00276119">
        <w:rPr>
          <w:rFonts w:ascii="Times New Roman" w:eastAsia="Calibri" w:hAnsi="Times New Roman" w:cs="Times New Roman"/>
          <w:bCs/>
          <w:iCs/>
          <w:sz w:val="24"/>
          <w:szCs w:val="24"/>
        </w:rPr>
        <w:t>nie przewiduje się ustanowienia przepisów przejściowych. Wprowadzenie takich regulacji skutkowałoby utrzymaniem możliwości amortyzacji wartości firmy powstałej na skutek przekazania przedsiębiorstwa do odpłatnego korzystania na zasadach odpowiadających leasingowi finansowemu, co w praktyce oznaczałoby dalsze funkcjonowanie mechanizmu wykorzystywanego w działaniach o charakterze optymalizacyjnym. Zachowanie obecnego stanu rzeczy, nawet w limitowanym okresie czasowy</w:t>
      </w:r>
      <w:r w:rsidR="00E1547A">
        <w:rPr>
          <w:rFonts w:ascii="Times New Roman" w:eastAsia="Calibri" w:hAnsi="Times New Roman" w:cs="Times New Roman"/>
          <w:bCs/>
          <w:iCs/>
          <w:sz w:val="24"/>
          <w:szCs w:val="24"/>
        </w:rPr>
        <w:t>m</w:t>
      </w:r>
      <w:r w:rsidRPr="00276119">
        <w:rPr>
          <w:rFonts w:ascii="Times New Roman" w:eastAsia="Calibri" w:hAnsi="Times New Roman" w:cs="Times New Roman"/>
          <w:bCs/>
          <w:iCs/>
          <w:sz w:val="24"/>
          <w:szCs w:val="24"/>
        </w:rPr>
        <w:t xml:space="preserve">, prowadziłoby do faktycznej akceptacji przez ustawodawcę praktyk godzących w stan finansów publicznych. Byłoby to działanie sprzeczne z obowiązkami </w:t>
      </w:r>
      <w:r w:rsidRPr="00276119">
        <w:rPr>
          <w:rFonts w:ascii="Times New Roman" w:eastAsia="Calibri" w:hAnsi="Times New Roman" w:cs="Times New Roman"/>
          <w:bCs/>
          <w:iCs/>
          <w:sz w:val="24"/>
          <w:szCs w:val="24"/>
        </w:rPr>
        <w:lastRenderedPageBreak/>
        <w:t>wynikającymi dla ustawodawcy z mających konstytucyjne umocowanie zasad powszechności i równości opodatkowania. Wprowadzenie rozwiązań przejściowych wiązałoby się również z uszczerbkiem w szeroko rozumianym interesie publicznym. Z powyższych względów uznano, że uchylenie</w:t>
      </w:r>
      <w:r w:rsidR="00F2209C" w:rsidRPr="00F2209C">
        <w:t xml:space="preserve"> </w:t>
      </w:r>
      <w:r w:rsidR="00F2209C" w:rsidRPr="00F2209C">
        <w:rPr>
          <w:rFonts w:ascii="Times New Roman" w:eastAsia="Calibri" w:hAnsi="Times New Roman" w:cs="Times New Roman"/>
          <w:bCs/>
          <w:iCs/>
          <w:sz w:val="24"/>
          <w:szCs w:val="24"/>
        </w:rPr>
        <w:t>lit. b w art. 22b ust. 2 pkt 1 ustawy o PIT oraz analogicznie lit. b w art. 16b ust. 2 pkt 2 ustawy o CIT</w:t>
      </w:r>
      <w:r w:rsidR="00A3143F">
        <w:rPr>
          <w:rFonts w:ascii="Times New Roman" w:eastAsia="Calibri" w:hAnsi="Times New Roman" w:cs="Times New Roman"/>
          <w:bCs/>
          <w:iCs/>
          <w:sz w:val="24"/>
          <w:szCs w:val="24"/>
        </w:rPr>
        <w:t xml:space="preserve"> </w:t>
      </w:r>
      <w:r w:rsidRPr="00276119">
        <w:rPr>
          <w:rFonts w:ascii="Times New Roman" w:eastAsia="Calibri" w:hAnsi="Times New Roman" w:cs="Times New Roman"/>
          <w:bCs/>
          <w:iCs/>
          <w:sz w:val="24"/>
          <w:szCs w:val="24"/>
        </w:rPr>
        <w:t>musi nastąpić bez okresu przejściowego, a nowe zasady należy stosować do wszystkich stanów faktycznych istniejących po wejściu w życie projektowanego aktu prawnego.</w:t>
      </w:r>
    </w:p>
    <w:bookmarkEnd w:id="4"/>
    <w:p w14:paraId="61DCEE1E" w14:textId="0415407C" w:rsidR="00DA1AC2" w:rsidRDefault="00CE0A24" w:rsidP="00E251BA">
      <w:pPr>
        <w:spacing w:before="120" w:line="360" w:lineRule="auto"/>
        <w:jc w:val="both"/>
        <w:rPr>
          <w:rFonts w:ascii="Times New Roman" w:eastAsia="Calibri" w:hAnsi="Times New Roman" w:cs="Times New Roman"/>
          <w:b/>
          <w:bCs/>
          <w:iCs/>
          <w:sz w:val="24"/>
          <w:szCs w:val="24"/>
        </w:rPr>
      </w:pPr>
      <w:r>
        <w:rPr>
          <w:rFonts w:ascii="Times New Roman" w:eastAsia="Calibri" w:hAnsi="Times New Roman" w:cs="Times New Roman"/>
          <w:b/>
          <w:bCs/>
          <w:iCs/>
          <w:sz w:val="24"/>
          <w:szCs w:val="24"/>
        </w:rPr>
        <w:t>8</w:t>
      </w:r>
      <w:r w:rsidR="00DA1AC2" w:rsidRPr="00DA1AC2">
        <w:rPr>
          <w:rFonts w:ascii="Times New Roman" w:eastAsia="Calibri" w:hAnsi="Times New Roman" w:cs="Times New Roman"/>
          <w:b/>
          <w:bCs/>
          <w:iCs/>
          <w:sz w:val="24"/>
          <w:szCs w:val="24"/>
        </w:rPr>
        <w:t>) Modyfikacj</w:t>
      </w:r>
      <w:r w:rsidR="00487E3F">
        <w:rPr>
          <w:rFonts w:ascii="Times New Roman" w:eastAsia="Calibri" w:hAnsi="Times New Roman" w:cs="Times New Roman"/>
          <w:b/>
          <w:bCs/>
          <w:iCs/>
          <w:sz w:val="24"/>
          <w:szCs w:val="24"/>
        </w:rPr>
        <w:t xml:space="preserve">a </w:t>
      </w:r>
      <w:r w:rsidR="00DA1AC2" w:rsidRPr="00DA1AC2">
        <w:rPr>
          <w:rFonts w:ascii="Times New Roman" w:eastAsia="Calibri" w:hAnsi="Times New Roman" w:cs="Times New Roman"/>
          <w:b/>
          <w:bCs/>
          <w:iCs/>
          <w:sz w:val="24"/>
          <w:szCs w:val="24"/>
        </w:rPr>
        <w:t xml:space="preserve">sposobu ustalania poziomu emisyjności </w:t>
      </w:r>
      <w:r w:rsidR="00691D2D" w:rsidRPr="00691D2D">
        <w:rPr>
          <w:rFonts w:ascii="Times New Roman" w:eastAsia="Calibri" w:hAnsi="Times New Roman" w:cs="Times New Roman"/>
          <w:b/>
          <w:bCs/>
          <w:iCs/>
          <w:sz w:val="24"/>
          <w:szCs w:val="24"/>
        </w:rPr>
        <w:t>CO</w:t>
      </w:r>
      <w:r w:rsidR="00691D2D" w:rsidRPr="00691D2D">
        <w:rPr>
          <w:rFonts w:ascii="Times New Roman" w:eastAsia="Calibri" w:hAnsi="Times New Roman" w:cs="Times New Roman"/>
          <w:b/>
          <w:bCs/>
          <w:iCs/>
          <w:sz w:val="24"/>
          <w:szCs w:val="24"/>
          <w:vertAlign w:val="subscript"/>
        </w:rPr>
        <w:t>2</w:t>
      </w:r>
      <w:r w:rsidR="00DA1AC2" w:rsidRPr="00DA1AC2">
        <w:rPr>
          <w:rFonts w:ascii="Times New Roman" w:eastAsia="Calibri" w:hAnsi="Times New Roman" w:cs="Times New Roman"/>
          <w:b/>
          <w:bCs/>
          <w:iCs/>
          <w:sz w:val="24"/>
          <w:szCs w:val="24"/>
        </w:rPr>
        <w:t xml:space="preserve"> silnika dla potrzeb określenia limitu odpisów z tytułu zużycia samochodu osobowego zaliczanych do kosztów uzyskania przychodów poprzez odejście od centralnej ewidencji pojazdów jako wyłącznego źródła dowodowego w tym zakresie </w:t>
      </w:r>
      <w:r w:rsidR="00DA1AC2" w:rsidRPr="00DA1AC2">
        <w:rPr>
          <w:rFonts w:ascii="Times New Roman" w:eastAsia="Calibri" w:hAnsi="Times New Roman" w:cs="Times New Roman"/>
          <w:iCs/>
          <w:sz w:val="24"/>
          <w:szCs w:val="24"/>
        </w:rPr>
        <w:t>(zmieniany art. 23 ust. 1 pkt 4 lit. b i c ustawy o PIT</w:t>
      </w:r>
      <w:r w:rsidR="00A8132E">
        <w:rPr>
          <w:rFonts w:ascii="Times New Roman" w:eastAsia="Calibri" w:hAnsi="Times New Roman" w:cs="Times New Roman"/>
          <w:iCs/>
          <w:sz w:val="24"/>
          <w:szCs w:val="24"/>
        </w:rPr>
        <w:t>, zmieni</w:t>
      </w:r>
      <w:r w:rsidR="0051300E">
        <w:rPr>
          <w:rFonts w:ascii="Times New Roman" w:eastAsia="Calibri" w:hAnsi="Times New Roman" w:cs="Times New Roman"/>
          <w:iCs/>
          <w:sz w:val="24"/>
          <w:szCs w:val="24"/>
        </w:rPr>
        <w:t>a</w:t>
      </w:r>
      <w:r w:rsidR="00A8132E">
        <w:rPr>
          <w:rFonts w:ascii="Times New Roman" w:eastAsia="Calibri" w:hAnsi="Times New Roman" w:cs="Times New Roman"/>
          <w:iCs/>
          <w:sz w:val="24"/>
          <w:szCs w:val="24"/>
        </w:rPr>
        <w:t>ny</w:t>
      </w:r>
      <w:r w:rsidR="00DA1AC2" w:rsidRPr="00DA1AC2">
        <w:rPr>
          <w:rFonts w:ascii="Times New Roman" w:eastAsia="Calibri" w:hAnsi="Times New Roman" w:cs="Times New Roman"/>
          <w:iCs/>
          <w:sz w:val="24"/>
          <w:szCs w:val="24"/>
        </w:rPr>
        <w:t xml:space="preserve"> art. 16 ust. 1 pkt 4 lit. b i c ustawy </w:t>
      </w:r>
      <w:r w:rsidR="00EC5A04">
        <w:rPr>
          <w:rFonts w:ascii="Times New Roman" w:eastAsia="Calibri" w:hAnsi="Times New Roman" w:cs="Times New Roman"/>
          <w:iCs/>
          <w:sz w:val="24"/>
          <w:szCs w:val="24"/>
        </w:rPr>
        <w:t>o</w:t>
      </w:r>
      <w:r w:rsidR="00DA1AC2" w:rsidRPr="00DA1AC2">
        <w:rPr>
          <w:rFonts w:ascii="Times New Roman" w:eastAsia="Calibri" w:hAnsi="Times New Roman" w:cs="Times New Roman"/>
          <w:iCs/>
          <w:sz w:val="24"/>
          <w:szCs w:val="24"/>
        </w:rPr>
        <w:t xml:space="preserve"> CIT) – </w:t>
      </w:r>
      <w:r w:rsidR="00DA1AC2" w:rsidRPr="0027548A">
        <w:rPr>
          <w:rFonts w:ascii="Times New Roman" w:eastAsia="Calibri" w:hAnsi="Times New Roman" w:cs="Times New Roman"/>
          <w:b/>
          <w:bCs/>
          <w:iCs/>
          <w:sz w:val="24"/>
          <w:szCs w:val="24"/>
        </w:rPr>
        <w:t xml:space="preserve">art. 1 pkt </w:t>
      </w:r>
      <w:r w:rsidR="00224ECC">
        <w:rPr>
          <w:rFonts w:ascii="Times New Roman" w:eastAsia="Calibri" w:hAnsi="Times New Roman" w:cs="Times New Roman"/>
          <w:b/>
          <w:bCs/>
          <w:iCs/>
          <w:sz w:val="24"/>
          <w:szCs w:val="24"/>
        </w:rPr>
        <w:t>10</w:t>
      </w:r>
      <w:r w:rsidR="00224ECC" w:rsidRPr="0027548A">
        <w:rPr>
          <w:rFonts w:ascii="Times New Roman" w:eastAsia="Calibri" w:hAnsi="Times New Roman" w:cs="Times New Roman"/>
          <w:b/>
          <w:bCs/>
          <w:iCs/>
          <w:sz w:val="24"/>
          <w:szCs w:val="24"/>
        </w:rPr>
        <w:t xml:space="preserve"> </w:t>
      </w:r>
      <w:r w:rsidR="00DA1AC2" w:rsidRPr="0027548A">
        <w:rPr>
          <w:rFonts w:ascii="Times New Roman" w:eastAsia="Calibri" w:hAnsi="Times New Roman" w:cs="Times New Roman"/>
          <w:b/>
          <w:bCs/>
          <w:iCs/>
          <w:sz w:val="24"/>
          <w:szCs w:val="24"/>
        </w:rPr>
        <w:t xml:space="preserve">oraz art. 2 pkt </w:t>
      </w:r>
      <w:r w:rsidR="00E744D4">
        <w:rPr>
          <w:rFonts w:ascii="Times New Roman" w:eastAsia="Calibri" w:hAnsi="Times New Roman" w:cs="Times New Roman"/>
          <w:b/>
          <w:bCs/>
          <w:iCs/>
          <w:sz w:val="24"/>
          <w:szCs w:val="24"/>
        </w:rPr>
        <w:t>5</w:t>
      </w:r>
      <w:r w:rsidR="00E514D9">
        <w:rPr>
          <w:rFonts w:ascii="Times New Roman" w:eastAsia="Calibri" w:hAnsi="Times New Roman" w:cs="Times New Roman"/>
          <w:b/>
          <w:bCs/>
          <w:iCs/>
          <w:sz w:val="24"/>
          <w:szCs w:val="24"/>
        </w:rPr>
        <w:t xml:space="preserve"> lit. a</w:t>
      </w:r>
      <w:r w:rsidR="00E744D4" w:rsidRPr="0027548A">
        <w:rPr>
          <w:rFonts w:ascii="Times New Roman" w:eastAsia="Calibri" w:hAnsi="Times New Roman" w:cs="Times New Roman"/>
          <w:b/>
          <w:bCs/>
          <w:iCs/>
          <w:sz w:val="24"/>
          <w:szCs w:val="24"/>
        </w:rPr>
        <w:t xml:space="preserve"> </w:t>
      </w:r>
      <w:r w:rsidR="00DA1AC2" w:rsidRPr="0027548A">
        <w:rPr>
          <w:rFonts w:ascii="Times New Roman" w:eastAsia="Calibri" w:hAnsi="Times New Roman" w:cs="Times New Roman"/>
          <w:b/>
          <w:bCs/>
          <w:iCs/>
          <w:sz w:val="24"/>
          <w:szCs w:val="24"/>
        </w:rPr>
        <w:t>projektu</w:t>
      </w:r>
    </w:p>
    <w:p w14:paraId="5AEC09E0" w14:textId="74E50AF1" w:rsidR="003C130F" w:rsidRPr="00D70CD8" w:rsidRDefault="003C130F" w:rsidP="004C172B">
      <w:pPr>
        <w:spacing w:before="120" w:line="360" w:lineRule="auto"/>
        <w:jc w:val="both"/>
        <w:rPr>
          <w:rFonts w:ascii="Times New Roman" w:eastAsia="Calibri" w:hAnsi="Times New Roman" w:cs="Times New Roman"/>
          <w:iCs/>
          <w:sz w:val="24"/>
          <w:szCs w:val="24"/>
        </w:rPr>
      </w:pPr>
      <w:r w:rsidRPr="00D70CD8">
        <w:rPr>
          <w:rFonts w:ascii="Times New Roman" w:eastAsia="Calibri" w:hAnsi="Times New Roman" w:cs="Times New Roman"/>
          <w:iCs/>
          <w:sz w:val="24"/>
          <w:szCs w:val="24"/>
        </w:rPr>
        <w:t xml:space="preserve">Ustawa z dnia 2 grudnia 2021 r. </w:t>
      </w:r>
      <w:r w:rsidRPr="0088579C">
        <w:rPr>
          <w:rFonts w:ascii="Times New Roman" w:eastAsia="Calibri" w:hAnsi="Times New Roman" w:cs="Times New Roman"/>
          <w:sz w:val="24"/>
          <w:szCs w:val="24"/>
        </w:rPr>
        <w:t>o zmianie ustawy o elektromobilności i paliwach alternatywnych oraz niektórych innych ustaw</w:t>
      </w:r>
      <w:r w:rsidR="0051300E">
        <w:rPr>
          <w:rStyle w:val="Odwoanieprzypisudolnego"/>
          <w:rFonts w:ascii="Times New Roman" w:eastAsia="Calibri" w:hAnsi="Times New Roman" w:cs="Times New Roman"/>
          <w:sz w:val="24"/>
          <w:szCs w:val="24"/>
        </w:rPr>
        <w:footnoteReference w:id="7"/>
      </w:r>
      <w:r w:rsidR="009A6782">
        <w:rPr>
          <w:rFonts w:ascii="Times New Roman" w:eastAsia="Calibri" w:hAnsi="Times New Roman" w:cs="Times New Roman"/>
          <w:iCs/>
          <w:sz w:val="24"/>
          <w:szCs w:val="24"/>
          <w:vertAlign w:val="superscript"/>
        </w:rPr>
        <w:t xml:space="preserve"> </w:t>
      </w:r>
      <w:r w:rsidRPr="00D70CD8">
        <w:rPr>
          <w:rFonts w:ascii="Times New Roman" w:eastAsia="Calibri" w:hAnsi="Times New Roman" w:cs="Times New Roman"/>
          <w:iCs/>
          <w:sz w:val="24"/>
          <w:szCs w:val="24"/>
        </w:rPr>
        <w:t>wprowadziła zmiany</w:t>
      </w:r>
      <w:r>
        <w:rPr>
          <w:rFonts w:ascii="Times New Roman" w:eastAsia="Calibri" w:hAnsi="Times New Roman" w:cs="Times New Roman"/>
          <w:iCs/>
          <w:sz w:val="24"/>
          <w:szCs w:val="24"/>
        </w:rPr>
        <w:t xml:space="preserve"> w ustawie o PIT oraz ustawie o CIT,</w:t>
      </w:r>
      <w:r w:rsidRPr="00D70CD8">
        <w:rPr>
          <w:rFonts w:ascii="Times New Roman" w:eastAsia="Calibri" w:hAnsi="Times New Roman" w:cs="Times New Roman"/>
          <w:iCs/>
          <w:sz w:val="24"/>
          <w:szCs w:val="24"/>
        </w:rPr>
        <w:t xml:space="preserve"> w zakresie limitu wydatków na samochód osobowy zaliczanych do kosztów podatkowych poprzez odpisy amortyzacyjne, które weszły w życie z dniem 1 stycznia 2026 r. </w:t>
      </w:r>
    </w:p>
    <w:p w14:paraId="2C43B190" w14:textId="72EF5CA9" w:rsidR="003C130F" w:rsidRDefault="003C130F" w:rsidP="004C172B">
      <w:pPr>
        <w:spacing w:before="120" w:line="360" w:lineRule="auto"/>
        <w:jc w:val="both"/>
        <w:rPr>
          <w:rFonts w:ascii="Times New Roman" w:eastAsia="Calibri" w:hAnsi="Times New Roman" w:cs="Times New Roman"/>
          <w:iCs/>
          <w:sz w:val="24"/>
          <w:szCs w:val="24"/>
        </w:rPr>
      </w:pPr>
      <w:r w:rsidRPr="00D70CD8">
        <w:rPr>
          <w:rFonts w:ascii="Times New Roman" w:eastAsia="Calibri" w:hAnsi="Times New Roman" w:cs="Times New Roman"/>
          <w:iCs/>
          <w:sz w:val="24"/>
          <w:szCs w:val="24"/>
        </w:rPr>
        <w:t>Zgodnie ze znowelizowanymi przepisami limit wysokości odpisów amortyzacyjnych jest uzależniony od wielkości emisji przez samochód osobowy dwutlenku węgla (</w:t>
      </w:r>
      <w:bookmarkStart w:id="8" w:name="_Hlk224558184"/>
      <w:r w:rsidRPr="00D70CD8">
        <w:rPr>
          <w:rFonts w:ascii="Times New Roman" w:eastAsia="Calibri" w:hAnsi="Times New Roman" w:cs="Times New Roman"/>
          <w:iCs/>
          <w:sz w:val="24"/>
          <w:szCs w:val="24"/>
        </w:rPr>
        <w:t>CO</w:t>
      </w:r>
      <w:r w:rsidRPr="00D70CD8">
        <w:rPr>
          <w:rFonts w:ascii="Times New Roman" w:eastAsia="Calibri" w:hAnsi="Times New Roman" w:cs="Times New Roman"/>
          <w:iCs/>
          <w:sz w:val="24"/>
          <w:szCs w:val="24"/>
          <w:vertAlign w:val="subscript"/>
        </w:rPr>
        <w:t>2</w:t>
      </w:r>
      <w:bookmarkEnd w:id="8"/>
      <w:r w:rsidRPr="00D70CD8">
        <w:rPr>
          <w:rFonts w:ascii="Times New Roman" w:eastAsia="Calibri" w:hAnsi="Times New Roman" w:cs="Times New Roman"/>
          <w:iCs/>
          <w:sz w:val="24"/>
          <w:szCs w:val="24"/>
        </w:rPr>
        <w:t>). Limit 150 000 zł znajduje zastosowanie do odpisów amortyzacyjnych, jeżeli emisja CO</w:t>
      </w:r>
      <w:r w:rsidRPr="00D70CD8">
        <w:rPr>
          <w:rFonts w:ascii="Times New Roman" w:eastAsia="Calibri" w:hAnsi="Times New Roman" w:cs="Times New Roman"/>
          <w:iCs/>
          <w:sz w:val="24"/>
          <w:szCs w:val="24"/>
          <w:vertAlign w:val="subscript"/>
        </w:rPr>
        <w:t>2</w:t>
      </w:r>
      <w:r w:rsidRPr="00D70CD8">
        <w:rPr>
          <w:rFonts w:ascii="Times New Roman" w:eastAsia="Calibri" w:hAnsi="Times New Roman" w:cs="Times New Roman"/>
          <w:iCs/>
          <w:sz w:val="24"/>
          <w:szCs w:val="24"/>
        </w:rPr>
        <w:t xml:space="preserve"> silnika spalinowego samochodu osobowego wynosi mniej niż 50g na kilometr. Jeżeli emisja CO</w:t>
      </w:r>
      <w:r w:rsidRPr="00D70CD8">
        <w:rPr>
          <w:rFonts w:ascii="Times New Roman" w:eastAsia="Calibri" w:hAnsi="Times New Roman" w:cs="Times New Roman"/>
          <w:iCs/>
          <w:sz w:val="24"/>
          <w:szCs w:val="24"/>
          <w:vertAlign w:val="subscript"/>
        </w:rPr>
        <w:t>2</w:t>
      </w:r>
      <w:r w:rsidRPr="00D70CD8">
        <w:rPr>
          <w:rFonts w:ascii="Times New Roman" w:eastAsia="Calibri" w:hAnsi="Times New Roman" w:cs="Times New Roman"/>
          <w:iCs/>
          <w:sz w:val="24"/>
          <w:szCs w:val="24"/>
        </w:rPr>
        <w:t xml:space="preserve"> silnika spalinowego samochodu osobowego jest równa lub wyższa niż 50g na kilometr, limit odpisów amortyzacyjnych wynosi 100 000 zł (art. 23 ust. 1 pkt 4 ustawy o PIT, art. 16 ust. 1 pkt 4 ustawy o CIT).</w:t>
      </w:r>
      <w:r w:rsidR="008F269E">
        <w:rPr>
          <w:rFonts w:ascii="Times New Roman" w:eastAsia="Calibri" w:hAnsi="Times New Roman" w:cs="Times New Roman"/>
          <w:iCs/>
          <w:sz w:val="24"/>
          <w:szCs w:val="24"/>
        </w:rPr>
        <w:t xml:space="preserve"> </w:t>
      </w:r>
      <w:r w:rsidRPr="00D70CD8">
        <w:rPr>
          <w:rFonts w:ascii="Times New Roman" w:eastAsia="Calibri" w:hAnsi="Times New Roman" w:cs="Times New Roman"/>
          <w:iCs/>
          <w:sz w:val="24"/>
          <w:szCs w:val="24"/>
        </w:rPr>
        <w:t xml:space="preserve">Zgodnie z </w:t>
      </w:r>
      <w:r>
        <w:rPr>
          <w:rFonts w:ascii="Times New Roman" w:eastAsia="Calibri" w:hAnsi="Times New Roman" w:cs="Times New Roman"/>
          <w:iCs/>
          <w:sz w:val="24"/>
          <w:szCs w:val="24"/>
        </w:rPr>
        <w:t>omawianymi</w:t>
      </w:r>
      <w:r w:rsidRPr="00D70CD8">
        <w:rPr>
          <w:rFonts w:ascii="Times New Roman" w:eastAsia="Calibri" w:hAnsi="Times New Roman" w:cs="Times New Roman"/>
          <w:iCs/>
          <w:sz w:val="24"/>
          <w:szCs w:val="24"/>
        </w:rPr>
        <w:t xml:space="preserve"> przepisami poziom emisji </w:t>
      </w:r>
      <w:r w:rsidR="00691D2D" w:rsidRPr="00691D2D">
        <w:rPr>
          <w:rFonts w:ascii="Times New Roman" w:eastAsia="Calibri" w:hAnsi="Times New Roman" w:cs="Times New Roman"/>
          <w:iCs/>
          <w:sz w:val="24"/>
          <w:szCs w:val="24"/>
        </w:rPr>
        <w:t>CO</w:t>
      </w:r>
      <w:r w:rsidR="00691D2D" w:rsidRPr="00691D2D">
        <w:rPr>
          <w:rFonts w:ascii="Times New Roman" w:eastAsia="Calibri" w:hAnsi="Times New Roman" w:cs="Times New Roman"/>
          <w:iCs/>
          <w:sz w:val="24"/>
          <w:szCs w:val="24"/>
          <w:vertAlign w:val="subscript"/>
        </w:rPr>
        <w:t>2</w:t>
      </w:r>
      <w:r w:rsidRPr="00D70CD8">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ustala się (wyłącznie) </w:t>
      </w:r>
      <w:r w:rsidRPr="00D70CD8">
        <w:rPr>
          <w:rFonts w:ascii="Times New Roman" w:eastAsia="Calibri" w:hAnsi="Times New Roman" w:cs="Times New Roman"/>
          <w:iCs/>
          <w:sz w:val="24"/>
          <w:szCs w:val="24"/>
        </w:rPr>
        <w:t xml:space="preserve">na podstawie danych zawartych w </w:t>
      </w:r>
      <w:r>
        <w:rPr>
          <w:rFonts w:ascii="Times New Roman" w:eastAsia="Calibri" w:hAnsi="Times New Roman" w:cs="Times New Roman"/>
          <w:iCs/>
          <w:sz w:val="24"/>
          <w:szCs w:val="24"/>
        </w:rPr>
        <w:t xml:space="preserve">centralnej ewidencji pojazdów. W tym kierunku wydawane są już pierwsze interpretacje indywidualne dyrektora Krajowej Informacji Skarbowej. </w:t>
      </w:r>
    </w:p>
    <w:p w14:paraId="3BFFBD53" w14:textId="63C2BE9F" w:rsidR="003C130F" w:rsidRDefault="003C130F" w:rsidP="004C172B">
      <w:pPr>
        <w:spacing w:before="120" w:line="36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Do Ministerstwa Finansów dotarły informacje, iż dane w CEPiK w tym zakresie mogą nie odpowiadać rzeczywistości. Problem ten opisywany jest również w prasie</w:t>
      </w:r>
      <w:r>
        <w:rPr>
          <w:rStyle w:val="Odwoanieprzypisudolnego"/>
          <w:rFonts w:ascii="Times New Roman" w:eastAsia="Calibri" w:hAnsi="Times New Roman" w:cs="Times New Roman"/>
          <w:iCs/>
          <w:sz w:val="24"/>
          <w:szCs w:val="24"/>
        </w:rPr>
        <w:footnoteReference w:id="8"/>
      </w:r>
      <w:r>
        <w:rPr>
          <w:rFonts w:ascii="Times New Roman" w:eastAsia="Calibri" w:hAnsi="Times New Roman" w:cs="Times New Roman"/>
          <w:iCs/>
          <w:sz w:val="24"/>
          <w:szCs w:val="24"/>
        </w:rPr>
        <w:t xml:space="preserve">. Co prawda istnieje możliwość zmiany błędnych (nieprawidłowych) wpisów w CEPiK, jednak jest to proces sformalizowany. Dodatkowo w takim przypadku może powstać wątpliwość, jaką wartość tej </w:t>
      </w:r>
      <w:r>
        <w:rPr>
          <w:rFonts w:ascii="Times New Roman" w:eastAsia="Calibri" w:hAnsi="Times New Roman" w:cs="Times New Roman"/>
          <w:iCs/>
          <w:sz w:val="24"/>
          <w:szCs w:val="24"/>
        </w:rPr>
        <w:lastRenderedPageBreak/>
        <w:t xml:space="preserve">emisji finalnie przyjąć dla celów podatkowych i czy należy przyjąć jedną wartość w odniesieniu do całego okresu amortyzacji samochodu osobowego, czy też stosować różne wartości do okresów przed i po korekcie w CEPiK. </w:t>
      </w:r>
    </w:p>
    <w:p w14:paraId="5D0EF517" w14:textId="47CA502A" w:rsidR="003C130F" w:rsidRDefault="003C130F" w:rsidP="00D16E97">
      <w:pPr>
        <w:spacing w:before="120" w:after="120" w:line="36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Co prawda oparcie się organów podatkowy</w:t>
      </w:r>
      <w:r w:rsidR="00C11F31">
        <w:rPr>
          <w:rFonts w:ascii="Times New Roman" w:eastAsia="Calibri" w:hAnsi="Times New Roman" w:cs="Times New Roman"/>
          <w:iCs/>
          <w:sz w:val="24"/>
          <w:szCs w:val="24"/>
        </w:rPr>
        <w:t>ch</w:t>
      </w:r>
      <w:r>
        <w:rPr>
          <w:rFonts w:ascii="Times New Roman" w:eastAsia="Calibri" w:hAnsi="Times New Roman" w:cs="Times New Roman"/>
          <w:iCs/>
          <w:sz w:val="24"/>
          <w:szCs w:val="24"/>
        </w:rPr>
        <w:t xml:space="preserve"> w omawianym zakresie na bazie CEPiK jest zrozumiałe w świetle tego, że baza jest dedykowanym rejestrem </w:t>
      </w:r>
      <w:r w:rsidRPr="00320792">
        <w:rPr>
          <w:rFonts w:ascii="Times New Roman" w:eastAsia="Calibri" w:hAnsi="Times New Roman" w:cs="Times New Roman"/>
          <w:iCs/>
          <w:sz w:val="24"/>
          <w:szCs w:val="24"/>
        </w:rPr>
        <w:t>państwow</w:t>
      </w:r>
      <w:r>
        <w:rPr>
          <w:rFonts w:ascii="Times New Roman" w:eastAsia="Calibri" w:hAnsi="Times New Roman" w:cs="Times New Roman"/>
          <w:iCs/>
          <w:sz w:val="24"/>
          <w:szCs w:val="24"/>
        </w:rPr>
        <w:t>ym do gromadzenia danych o pojazdach i kierowcach,</w:t>
      </w:r>
      <w:r w:rsidRPr="00320792">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a </w:t>
      </w:r>
      <w:r w:rsidRPr="00320792">
        <w:rPr>
          <w:rFonts w:ascii="Times New Roman" w:eastAsia="Calibri" w:hAnsi="Times New Roman" w:cs="Times New Roman"/>
          <w:iCs/>
          <w:sz w:val="24"/>
          <w:szCs w:val="24"/>
        </w:rPr>
        <w:t xml:space="preserve">dane w </w:t>
      </w:r>
      <w:r>
        <w:rPr>
          <w:rFonts w:ascii="Times New Roman" w:eastAsia="Calibri" w:hAnsi="Times New Roman" w:cs="Times New Roman"/>
          <w:iCs/>
          <w:sz w:val="24"/>
          <w:szCs w:val="24"/>
        </w:rPr>
        <w:t>niej</w:t>
      </w:r>
      <w:r w:rsidRPr="00320792">
        <w:rPr>
          <w:rFonts w:ascii="Times New Roman" w:eastAsia="Calibri" w:hAnsi="Times New Roman" w:cs="Times New Roman"/>
          <w:iCs/>
          <w:sz w:val="24"/>
          <w:szCs w:val="24"/>
        </w:rPr>
        <w:t xml:space="preserve"> zgromadzone korzystają z domniemania prawdziwości</w:t>
      </w:r>
      <w:r>
        <w:rPr>
          <w:rFonts w:ascii="Times New Roman" w:eastAsia="Calibri" w:hAnsi="Times New Roman" w:cs="Times New Roman"/>
          <w:iCs/>
          <w:sz w:val="24"/>
          <w:szCs w:val="24"/>
        </w:rPr>
        <w:t xml:space="preserve">. Jak </w:t>
      </w:r>
      <w:r w:rsidR="00C11F31">
        <w:rPr>
          <w:rFonts w:ascii="Times New Roman" w:eastAsia="Calibri" w:hAnsi="Times New Roman" w:cs="Times New Roman"/>
          <w:iCs/>
          <w:sz w:val="24"/>
          <w:szCs w:val="24"/>
        </w:rPr>
        <w:t xml:space="preserve">jednak </w:t>
      </w:r>
      <w:r>
        <w:rPr>
          <w:rFonts w:ascii="Times New Roman" w:eastAsia="Calibri" w:hAnsi="Times New Roman" w:cs="Times New Roman"/>
          <w:iCs/>
          <w:sz w:val="24"/>
          <w:szCs w:val="24"/>
        </w:rPr>
        <w:t>wynika ze zgłaszanych postulatów</w:t>
      </w:r>
      <w:r w:rsidR="00543943">
        <w:rPr>
          <w:rFonts w:ascii="Times New Roman" w:eastAsia="Calibri" w:hAnsi="Times New Roman" w:cs="Times New Roman"/>
          <w:iCs/>
          <w:sz w:val="24"/>
          <w:szCs w:val="24"/>
        </w:rPr>
        <w:t>,</w:t>
      </w:r>
      <w:r>
        <w:rPr>
          <w:rFonts w:ascii="Times New Roman" w:eastAsia="Calibri" w:hAnsi="Times New Roman" w:cs="Times New Roman"/>
          <w:iCs/>
          <w:sz w:val="24"/>
          <w:szCs w:val="24"/>
        </w:rPr>
        <w:t xml:space="preserve"> takie ukształtowanie obowiązującej od 1 stycznia 2026 r. regulacji podatkowej może prowadzić do ustaleń niezgodnych z rzeczowością. Pojawia się zatem pytanie, czy korzyść</w:t>
      </w:r>
      <w:r w:rsidR="00543943">
        <w:rPr>
          <w:rFonts w:ascii="Times New Roman" w:eastAsia="Calibri" w:hAnsi="Times New Roman" w:cs="Times New Roman"/>
          <w:iCs/>
          <w:sz w:val="24"/>
          <w:szCs w:val="24"/>
        </w:rPr>
        <w:t>,</w:t>
      </w:r>
      <w:r>
        <w:rPr>
          <w:rFonts w:ascii="Times New Roman" w:eastAsia="Calibri" w:hAnsi="Times New Roman" w:cs="Times New Roman"/>
          <w:iCs/>
          <w:sz w:val="24"/>
          <w:szCs w:val="24"/>
        </w:rPr>
        <w:t xml:space="preserve"> jaką jest pewność prawna (oparcie się wyłącznie na danych z CEPiK)</w:t>
      </w:r>
      <w:r w:rsidR="00543943">
        <w:rPr>
          <w:rFonts w:ascii="Times New Roman" w:eastAsia="Calibri" w:hAnsi="Times New Roman" w:cs="Times New Roman"/>
          <w:iCs/>
          <w:sz w:val="24"/>
          <w:szCs w:val="24"/>
        </w:rPr>
        <w:t>,</w:t>
      </w:r>
      <w:r>
        <w:rPr>
          <w:rFonts w:ascii="Times New Roman" w:eastAsia="Calibri" w:hAnsi="Times New Roman" w:cs="Times New Roman"/>
          <w:iCs/>
          <w:sz w:val="24"/>
          <w:szCs w:val="24"/>
        </w:rPr>
        <w:t xml:space="preserve"> powinna przeważać w tym zakresie nad potrzebą ustalenia rzeczywistego stanu faktycznego i czy taki stan nie narusza zasady prawdy materialnej wyrażonej w art. 122 Ordynacji podatkowej. </w:t>
      </w:r>
    </w:p>
    <w:p w14:paraId="006BCC66" w14:textId="377242BC" w:rsidR="005F79C3" w:rsidRPr="005F79C3" w:rsidRDefault="003C130F" w:rsidP="005F79C3">
      <w:pPr>
        <w:pStyle w:val="TekstpismaMF"/>
        <w:spacing w:before="0" w:after="120" w:line="360" w:lineRule="auto"/>
        <w:contextualSpacing w:val="0"/>
        <w:jc w:val="both"/>
        <w:rPr>
          <w:rFonts w:ascii="Times New Roman" w:hAnsi="Times New Roman" w:cs="Times New Roman"/>
          <w:sz w:val="24"/>
          <w:szCs w:val="24"/>
        </w:rPr>
      </w:pPr>
      <w:r w:rsidRPr="005F79C3">
        <w:rPr>
          <w:rFonts w:ascii="Times New Roman" w:eastAsia="Calibri" w:hAnsi="Times New Roman" w:cs="Times New Roman"/>
          <w:iCs/>
          <w:sz w:val="24"/>
          <w:szCs w:val="24"/>
        </w:rPr>
        <w:t>Uznając te wątpliwości za uzasadnione</w:t>
      </w:r>
      <w:r w:rsidR="0051300E">
        <w:rPr>
          <w:rFonts w:ascii="Times New Roman" w:eastAsia="Calibri" w:hAnsi="Times New Roman" w:cs="Times New Roman"/>
          <w:iCs/>
          <w:sz w:val="24"/>
          <w:szCs w:val="24"/>
        </w:rPr>
        <w:t>,</w:t>
      </w:r>
      <w:r w:rsidRPr="005F79C3">
        <w:rPr>
          <w:rFonts w:ascii="Times New Roman" w:eastAsia="Calibri" w:hAnsi="Times New Roman" w:cs="Times New Roman"/>
          <w:iCs/>
          <w:sz w:val="24"/>
          <w:szCs w:val="24"/>
        </w:rPr>
        <w:t xml:space="preserve"> projekt odstępuje od CEPiK jako wyłącznego źródła informacji o emisyjności </w:t>
      </w:r>
      <w:r w:rsidR="00691D2D" w:rsidRPr="005F79C3">
        <w:rPr>
          <w:rFonts w:ascii="Times New Roman" w:eastAsia="Calibri" w:hAnsi="Times New Roman" w:cs="Times New Roman"/>
          <w:iCs/>
          <w:sz w:val="24"/>
          <w:szCs w:val="24"/>
        </w:rPr>
        <w:t>CO</w:t>
      </w:r>
      <w:r w:rsidR="00691D2D" w:rsidRPr="005F79C3">
        <w:rPr>
          <w:rFonts w:ascii="Times New Roman" w:eastAsia="Calibri" w:hAnsi="Times New Roman" w:cs="Times New Roman"/>
          <w:iCs/>
          <w:sz w:val="24"/>
          <w:szCs w:val="24"/>
          <w:vertAlign w:val="subscript"/>
        </w:rPr>
        <w:t>2</w:t>
      </w:r>
      <w:r w:rsidRPr="005F79C3">
        <w:rPr>
          <w:rFonts w:ascii="Times New Roman" w:eastAsia="Calibri" w:hAnsi="Times New Roman" w:cs="Times New Roman"/>
          <w:iCs/>
          <w:sz w:val="24"/>
          <w:szCs w:val="24"/>
        </w:rPr>
        <w:t xml:space="preserve"> pojazdu, dopuszczając </w:t>
      </w:r>
      <w:r w:rsidR="00D967E9" w:rsidRPr="005F79C3">
        <w:rPr>
          <w:rFonts w:ascii="Times New Roman" w:eastAsia="Calibri" w:hAnsi="Times New Roman" w:cs="Times New Roman"/>
          <w:iCs/>
          <w:sz w:val="24"/>
          <w:szCs w:val="24"/>
        </w:rPr>
        <w:t>inne dowody wskazujące na</w:t>
      </w:r>
      <w:r w:rsidR="00BF2549">
        <w:rPr>
          <w:rFonts w:ascii="Times New Roman" w:eastAsia="Calibri" w:hAnsi="Times New Roman" w:cs="Times New Roman"/>
          <w:iCs/>
          <w:sz w:val="24"/>
          <w:szCs w:val="24"/>
        </w:rPr>
        <w:t xml:space="preserve"> </w:t>
      </w:r>
      <w:r w:rsidRPr="005F79C3">
        <w:rPr>
          <w:rFonts w:ascii="Times New Roman" w:eastAsia="Calibri" w:hAnsi="Times New Roman" w:cs="Times New Roman"/>
          <w:iCs/>
          <w:sz w:val="24"/>
          <w:szCs w:val="24"/>
        </w:rPr>
        <w:t xml:space="preserve">poziom emisji. </w:t>
      </w:r>
      <w:r w:rsidR="00D967E9" w:rsidRPr="005F79C3">
        <w:rPr>
          <w:rFonts w:ascii="Times New Roman" w:eastAsia="Calibri" w:hAnsi="Times New Roman" w:cs="Times New Roman"/>
          <w:iCs/>
          <w:sz w:val="24"/>
          <w:szCs w:val="24"/>
        </w:rPr>
        <w:t>Projekt zakłada, że wyższy limit, czyli 150 000 zł</w:t>
      </w:r>
      <w:r w:rsidR="0051300E">
        <w:rPr>
          <w:rFonts w:ascii="Times New Roman" w:eastAsia="Calibri" w:hAnsi="Times New Roman" w:cs="Times New Roman"/>
          <w:iCs/>
          <w:sz w:val="24"/>
          <w:szCs w:val="24"/>
        </w:rPr>
        <w:t>,</w:t>
      </w:r>
      <w:r w:rsidR="00D967E9" w:rsidRPr="005F79C3">
        <w:rPr>
          <w:rFonts w:ascii="Times New Roman" w:eastAsia="Calibri" w:hAnsi="Times New Roman" w:cs="Times New Roman"/>
          <w:iCs/>
          <w:sz w:val="24"/>
          <w:szCs w:val="24"/>
        </w:rPr>
        <w:t xml:space="preserve"> będzie miał zastosowanie w</w:t>
      </w:r>
      <w:r w:rsidR="00D16E97">
        <w:rPr>
          <w:rFonts w:ascii="Times New Roman" w:eastAsia="Calibri" w:hAnsi="Times New Roman" w:cs="Times New Roman"/>
          <w:iCs/>
          <w:sz w:val="24"/>
          <w:szCs w:val="24"/>
        </w:rPr>
        <w:t> </w:t>
      </w:r>
      <w:r w:rsidR="00D967E9" w:rsidRPr="005F79C3">
        <w:rPr>
          <w:rFonts w:ascii="Times New Roman" w:eastAsia="Calibri" w:hAnsi="Times New Roman" w:cs="Times New Roman"/>
          <w:iCs/>
          <w:sz w:val="24"/>
          <w:szCs w:val="24"/>
        </w:rPr>
        <w:t>przypadku samochodów osobowych</w:t>
      </w:r>
      <w:r w:rsidR="00BF2549">
        <w:rPr>
          <w:rFonts w:ascii="Times New Roman" w:eastAsia="Calibri" w:hAnsi="Times New Roman" w:cs="Times New Roman"/>
          <w:iCs/>
          <w:sz w:val="24"/>
          <w:szCs w:val="24"/>
        </w:rPr>
        <w:t>,</w:t>
      </w:r>
      <w:r w:rsidR="00D967E9" w:rsidRPr="005F79C3">
        <w:rPr>
          <w:rFonts w:ascii="Times New Roman" w:eastAsia="Calibri" w:hAnsi="Times New Roman" w:cs="Times New Roman"/>
          <w:iCs/>
          <w:sz w:val="24"/>
          <w:szCs w:val="24"/>
        </w:rPr>
        <w:t xml:space="preserve"> jeżeli przynajmniej z jednego z dowodów będzie wynikało, że poziom ten </w:t>
      </w:r>
      <w:r w:rsidR="00D967E9" w:rsidRPr="005F79C3">
        <w:rPr>
          <w:rFonts w:ascii="Times New Roman" w:eastAsia="Times New Roman" w:hAnsi="Times New Roman" w:cs="Times New Roman"/>
          <w:bCs/>
          <w:sz w:val="24"/>
          <w:szCs w:val="24"/>
          <w:lang w:eastAsia="pl-PL"/>
        </w:rPr>
        <w:t>wynosi mniej niż 50 g na kilometr</w:t>
      </w:r>
      <w:r w:rsidR="005F79C3" w:rsidRPr="005F79C3">
        <w:rPr>
          <w:rFonts w:ascii="Times New Roman" w:eastAsia="Calibri" w:hAnsi="Times New Roman" w:cs="Times New Roman"/>
          <w:iCs/>
          <w:sz w:val="24"/>
          <w:szCs w:val="24"/>
        </w:rPr>
        <w:t>. Dowodem tym będzie</w:t>
      </w:r>
      <w:r w:rsidR="003369E4">
        <w:rPr>
          <w:rFonts w:ascii="Times New Roman" w:eastAsia="Calibri" w:hAnsi="Times New Roman" w:cs="Times New Roman"/>
          <w:iCs/>
          <w:sz w:val="24"/>
          <w:szCs w:val="24"/>
        </w:rPr>
        <w:t xml:space="preserve"> m.in.</w:t>
      </w:r>
      <w:r w:rsidR="005F79C3" w:rsidRPr="005F79C3">
        <w:rPr>
          <w:rFonts w:ascii="Times New Roman" w:eastAsia="Calibri" w:hAnsi="Times New Roman" w:cs="Times New Roman"/>
          <w:iCs/>
          <w:sz w:val="24"/>
          <w:szCs w:val="24"/>
        </w:rPr>
        <w:t xml:space="preserve"> CEPiK</w:t>
      </w:r>
      <w:r w:rsidR="003369E4">
        <w:rPr>
          <w:rFonts w:ascii="Times New Roman" w:eastAsia="Calibri" w:hAnsi="Times New Roman" w:cs="Times New Roman"/>
          <w:iCs/>
          <w:sz w:val="24"/>
          <w:szCs w:val="24"/>
        </w:rPr>
        <w:t>,</w:t>
      </w:r>
      <w:r w:rsidR="005F79C3" w:rsidRPr="005F79C3">
        <w:rPr>
          <w:rFonts w:ascii="Times New Roman" w:eastAsia="Calibri" w:hAnsi="Times New Roman" w:cs="Times New Roman"/>
          <w:iCs/>
          <w:sz w:val="24"/>
          <w:szCs w:val="24"/>
        </w:rPr>
        <w:t xml:space="preserve"> </w:t>
      </w:r>
      <w:r w:rsidR="005F79C3" w:rsidRPr="005F79C3">
        <w:rPr>
          <w:rFonts w:ascii="Times New Roman" w:eastAsia="Times New Roman" w:hAnsi="Times New Roman" w:cs="Times New Roman"/>
          <w:bCs/>
          <w:sz w:val="24"/>
          <w:szCs w:val="24"/>
          <w:lang w:eastAsia="pl-PL"/>
        </w:rPr>
        <w:t>świadectwo zgodności (CoC)</w:t>
      </w:r>
      <w:r w:rsidR="003369E4">
        <w:rPr>
          <w:rFonts w:ascii="Times New Roman" w:eastAsia="Times New Roman" w:hAnsi="Times New Roman" w:cs="Times New Roman"/>
          <w:bCs/>
          <w:sz w:val="24"/>
          <w:szCs w:val="24"/>
          <w:lang w:eastAsia="pl-PL"/>
        </w:rPr>
        <w:t xml:space="preserve">, </w:t>
      </w:r>
      <w:r w:rsidR="005F79C3" w:rsidRPr="005F79C3">
        <w:rPr>
          <w:rFonts w:ascii="Times New Roman" w:eastAsia="Times New Roman" w:hAnsi="Times New Roman" w:cs="Times New Roman"/>
          <w:bCs/>
          <w:sz w:val="24"/>
          <w:szCs w:val="24"/>
          <w:lang w:eastAsia="pl-PL"/>
        </w:rPr>
        <w:t xml:space="preserve">inny dokument </w:t>
      </w:r>
      <w:r w:rsidR="00E852FC">
        <w:rPr>
          <w:rFonts w:ascii="Times New Roman" w:eastAsia="Times New Roman" w:hAnsi="Times New Roman" w:cs="Times New Roman"/>
          <w:bCs/>
          <w:sz w:val="24"/>
          <w:szCs w:val="24"/>
          <w:lang w:eastAsia="pl-PL"/>
        </w:rPr>
        <w:t xml:space="preserve">wydany albo </w:t>
      </w:r>
      <w:r w:rsidR="005F79C3" w:rsidRPr="005F79C3">
        <w:rPr>
          <w:rFonts w:ascii="Times New Roman" w:eastAsia="Times New Roman" w:hAnsi="Times New Roman" w:cs="Times New Roman"/>
          <w:bCs/>
          <w:sz w:val="24"/>
          <w:szCs w:val="24"/>
          <w:lang w:eastAsia="pl-PL"/>
        </w:rPr>
        <w:t>uznany przez Dyrektora Transportowego Dozoru Technicznego na zasadach określonych w ustawie o systemach homologacji pojazdów oraz ich wyposażenia. Tym samym będzie wystarczające</w:t>
      </w:r>
      <w:r w:rsidR="005F79C3" w:rsidRPr="005F79C3">
        <w:rPr>
          <w:rFonts w:ascii="Times New Roman" w:hAnsi="Times New Roman" w:cs="Times New Roman"/>
          <w:sz w:val="24"/>
          <w:szCs w:val="24"/>
        </w:rPr>
        <w:t>, że przynajmniej jeden z wymienionych dowodów wskaże na niską emisję, by stosować wyższy limit. Przepisy podatkowe nie będą tym samym rozstrzygały, który dowód jest „ważniejszy”</w:t>
      </w:r>
      <w:r w:rsidR="0051300E">
        <w:rPr>
          <w:rFonts w:ascii="Times New Roman" w:hAnsi="Times New Roman" w:cs="Times New Roman"/>
          <w:sz w:val="24"/>
          <w:szCs w:val="24"/>
        </w:rPr>
        <w:t>,</w:t>
      </w:r>
      <w:r w:rsidR="00BF2549">
        <w:rPr>
          <w:rFonts w:ascii="Times New Roman" w:hAnsi="Times New Roman" w:cs="Times New Roman"/>
          <w:sz w:val="24"/>
          <w:szCs w:val="24"/>
        </w:rPr>
        <w:t xml:space="preserve"> w razie gdyby wskazywały na różny poziom w odniesieniu do tego samego pojazdu.</w:t>
      </w:r>
    </w:p>
    <w:p w14:paraId="412C713E" w14:textId="3576FA38" w:rsidR="003C130F" w:rsidRPr="00D70CD8" w:rsidRDefault="003C130F" w:rsidP="004C172B">
      <w:pPr>
        <w:spacing w:before="120" w:line="36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W projekcie przewiduje się, że zmienione przepisy wejdą w życie </w:t>
      </w:r>
      <w:r w:rsidRPr="00B40248">
        <w:rPr>
          <w:rFonts w:ascii="Times New Roman" w:eastAsia="Calibri" w:hAnsi="Times New Roman" w:cs="Times New Roman"/>
          <w:iCs/>
          <w:sz w:val="24"/>
          <w:szCs w:val="24"/>
        </w:rPr>
        <w:t>z dniem ogłoszenia</w:t>
      </w:r>
      <w:r>
        <w:rPr>
          <w:rFonts w:ascii="Times New Roman" w:eastAsia="Calibri" w:hAnsi="Times New Roman" w:cs="Times New Roman"/>
          <w:iCs/>
          <w:sz w:val="24"/>
          <w:szCs w:val="24"/>
        </w:rPr>
        <w:t xml:space="preserve"> ustawy i</w:t>
      </w:r>
      <w:r w:rsidR="00D16E97">
        <w:rPr>
          <w:rFonts w:ascii="Times New Roman" w:eastAsia="Calibri" w:hAnsi="Times New Roman" w:cs="Times New Roman"/>
          <w:iCs/>
          <w:sz w:val="24"/>
          <w:szCs w:val="24"/>
        </w:rPr>
        <w:t> </w:t>
      </w:r>
      <w:r>
        <w:rPr>
          <w:rFonts w:ascii="Times New Roman" w:eastAsia="Calibri" w:hAnsi="Times New Roman" w:cs="Times New Roman"/>
          <w:iCs/>
          <w:sz w:val="24"/>
          <w:szCs w:val="24"/>
        </w:rPr>
        <w:t xml:space="preserve">będą miały zastosowanie do dochodów (przychodów) </w:t>
      </w:r>
      <w:r w:rsidRPr="00B40248">
        <w:rPr>
          <w:rFonts w:ascii="Times New Roman" w:eastAsia="Calibri" w:hAnsi="Times New Roman" w:cs="Times New Roman"/>
          <w:iCs/>
          <w:sz w:val="24"/>
          <w:szCs w:val="24"/>
        </w:rPr>
        <w:t>uzyskanych od dnia 1 stycznia 2026 r</w:t>
      </w:r>
      <w:r>
        <w:rPr>
          <w:rFonts w:ascii="Times New Roman" w:eastAsia="Calibri" w:hAnsi="Times New Roman" w:cs="Times New Roman"/>
          <w:iCs/>
          <w:sz w:val="24"/>
          <w:szCs w:val="24"/>
        </w:rPr>
        <w:t>. Wsteczne działanie tej regulacji jest dopuszczalne z uwagi na to, że jest ona korzystna dla podatników, a ponadto jest uzasadnione potrzebą wyeliminowania wskazanych powyżej potencjalnych wątpliwości interpretacyjnych.</w:t>
      </w:r>
      <w:r w:rsidR="008F269E">
        <w:rPr>
          <w:rFonts w:ascii="Times New Roman" w:eastAsia="Calibri" w:hAnsi="Times New Roman" w:cs="Times New Roman"/>
          <w:iCs/>
          <w:sz w:val="24"/>
          <w:szCs w:val="24"/>
        </w:rPr>
        <w:t xml:space="preserve"> </w:t>
      </w:r>
    </w:p>
    <w:p w14:paraId="32BCA770" w14:textId="3069FA9B" w:rsidR="00585B2F" w:rsidRPr="0027548A" w:rsidRDefault="00CE0A24" w:rsidP="0027548A">
      <w:pPr>
        <w:spacing w:before="240" w:after="120" w:line="360" w:lineRule="auto"/>
        <w:jc w:val="both"/>
        <w:rPr>
          <w:rFonts w:ascii="Times New Roman" w:eastAsia="Calibri" w:hAnsi="Times New Roman" w:cs="Times New Roman"/>
          <w:bCs/>
          <w:iCs/>
          <w:sz w:val="24"/>
          <w:szCs w:val="24"/>
        </w:rPr>
      </w:pPr>
      <w:r>
        <w:rPr>
          <w:rFonts w:ascii="Times New Roman" w:eastAsia="Calibri" w:hAnsi="Times New Roman" w:cs="Times New Roman"/>
          <w:b/>
          <w:bCs/>
          <w:iCs/>
          <w:sz w:val="24"/>
          <w:szCs w:val="24"/>
        </w:rPr>
        <w:t>9</w:t>
      </w:r>
      <w:r w:rsidR="005E40FB">
        <w:rPr>
          <w:rFonts w:ascii="Times New Roman" w:eastAsia="Calibri" w:hAnsi="Times New Roman" w:cs="Times New Roman"/>
          <w:b/>
          <w:bCs/>
          <w:iCs/>
          <w:sz w:val="24"/>
          <w:szCs w:val="24"/>
        </w:rPr>
        <w:t xml:space="preserve">) </w:t>
      </w:r>
      <w:r w:rsidR="00585B2F" w:rsidRPr="001210F7">
        <w:rPr>
          <w:rFonts w:ascii="Times New Roman" w:eastAsia="Calibri" w:hAnsi="Times New Roman" w:cs="Times New Roman"/>
          <w:b/>
          <w:bCs/>
          <w:iCs/>
          <w:sz w:val="24"/>
          <w:szCs w:val="24"/>
        </w:rPr>
        <w:t>Doprecyzowanie mechanizmu bezpiecznej przystani</w:t>
      </w:r>
      <w:r w:rsidR="006D2855">
        <w:rPr>
          <w:rFonts w:ascii="Times New Roman" w:eastAsia="Calibri" w:hAnsi="Times New Roman" w:cs="Times New Roman"/>
          <w:b/>
          <w:bCs/>
          <w:iCs/>
          <w:sz w:val="24"/>
          <w:szCs w:val="24"/>
        </w:rPr>
        <w:t xml:space="preserve"> w transakcjach pożyczkowych</w:t>
      </w:r>
      <w:r w:rsidR="008F269E">
        <w:rPr>
          <w:rFonts w:ascii="Times New Roman" w:eastAsia="Calibri" w:hAnsi="Times New Roman" w:cs="Times New Roman"/>
          <w:b/>
          <w:bCs/>
          <w:iCs/>
          <w:sz w:val="24"/>
          <w:szCs w:val="24"/>
        </w:rPr>
        <w:t xml:space="preserve"> </w:t>
      </w:r>
      <w:r w:rsidR="006D2855" w:rsidRPr="0027548A">
        <w:rPr>
          <w:rFonts w:ascii="Times New Roman" w:eastAsia="Calibri" w:hAnsi="Times New Roman" w:cs="Times New Roman"/>
          <w:iCs/>
          <w:sz w:val="24"/>
          <w:szCs w:val="24"/>
        </w:rPr>
        <w:t xml:space="preserve">(zmieniany </w:t>
      </w:r>
      <w:r w:rsidR="00585B2F" w:rsidRPr="0027548A">
        <w:rPr>
          <w:rFonts w:ascii="Times New Roman" w:eastAsia="Calibri" w:hAnsi="Times New Roman" w:cs="Times New Roman"/>
          <w:iCs/>
          <w:sz w:val="24"/>
          <w:szCs w:val="24"/>
        </w:rPr>
        <w:t>art. 23s ust. 1 pkt 1 ustawy</w:t>
      </w:r>
      <w:r w:rsidR="0065061C">
        <w:rPr>
          <w:rFonts w:ascii="Times New Roman" w:eastAsia="Calibri" w:hAnsi="Times New Roman" w:cs="Times New Roman"/>
          <w:iCs/>
          <w:sz w:val="24"/>
          <w:szCs w:val="24"/>
        </w:rPr>
        <w:t xml:space="preserve"> o</w:t>
      </w:r>
      <w:r w:rsidR="00585B2F" w:rsidRPr="0027548A">
        <w:rPr>
          <w:rFonts w:ascii="Times New Roman" w:eastAsia="Calibri" w:hAnsi="Times New Roman" w:cs="Times New Roman"/>
          <w:iCs/>
          <w:sz w:val="24"/>
          <w:szCs w:val="24"/>
        </w:rPr>
        <w:t xml:space="preserve"> PIT</w:t>
      </w:r>
      <w:r w:rsidR="00BE4536" w:rsidRPr="006D2855">
        <w:t xml:space="preserve"> </w:t>
      </w:r>
      <w:r w:rsidR="00BE4536" w:rsidRPr="0027548A">
        <w:rPr>
          <w:rFonts w:ascii="Times New Roman" w:eastAsia="Calibri" w:hAnsi="Times New Roman" w:cs="Times New Roman"/>
          <w:iCs/>
          <w:sz w:val="24"/>
          <w:szCs w:val="24"/>
        </w:rPr>
        <w:t xml:space="preserve">i </w:t>
      </w:r>
      <w:r w:rsidR="008605FA" w:rsidRPr="0027548A">
        <w:rPr>
          <w:rFonts w:ascii="Times New Roman" w:eastAsia="Calibri" w:hAnsi="Times New Roman" w:cs="Times New Roman"/>
          <w:iCs/>
          <w:sz w:val="24"/>
          <w:szCs w:val="24"/>
        </w:rPr>
        <w:t xml:space="preserve">art. 11g ust. 1 </w:t>
      </w:r>
      <w:r w:rsidR="00BE4536" w:rsidRPr="0027548A">
        <w:rPr>
          <w:rFonts w:ascii="Times New Roman" w:eastAsia="Calibri" w:hAnsi="Times New Roman" w:cs="Times New Roman"/>
          <w:iCs/>
          <w:sz w:val="24"/>
          <w:szCs w:val="24"/>
        </w:rPr>
        <w:t>ustawy</w:t>
      </w:r>
      <w:r w:rsidR="0065061C">
        <w:rPr>
          <w:rFonts w:ascii="Times New Roman" w:eastAsia="Calibri" w:hAnsi="Times New Roman" w:cs="Times New Roman"/>
          <w:iCs/>
          <w:sz w:val="24"/>
          <w:szCs w:val="24"/>
        </w:rPr>
        <w:t xml:space="preserve"> o</w:t>
      </w:r>
      <w:r w:rsidR="00BE4536" w:rsidRPr="0027548A">
        <w:rPr>
          <w:rFonts w:ascii="Times New Roman" w:eastAsia="Calibri" w:hAnsi="Times New Roman" w:cs="Times New Roman"/>
          <w:iCs/>
          <w:sz w:val="24"/>
          <w:szCs w:val="24"/>
        </w:rPr>
        <w:t xml:space="preserve"> CIT</w:t>
      </w:r>
      <w:r w:rsidR="006D2855" w:rsidRPr="0027548A">
        <w:rPr>
          <w:rFonts w:ascii="Times New Roman" w:eastAsia="Calibri" w:hAnsi="Times New Roman" w:cs="Times New Roman"/>
          <w:iCs/>
          <w:sz w:val="24"/>
          <w:szCs w:val="24"/>
        </w:rPr>
        <w:t>)</w:t>
      </w:r>
      <w:r w:rsidR="006D2855">
        <w:rPr>
          <w:rFonts w:ascii="Times New Roman" w:eastAsia="Calibri" w:hAnsi="Times New Roman" w:cs="Times New Roman"/>
          <w:b/>
          <w:bCs/>
          <w:iCs/>
          <w:sz w:val="24"/>
          <w:szCs w:val="24"/>
        </w:rPr>
        <w:t xml:space="preserve"> – art. 1 pkt </w:t>
      </w:r>
      <w:r w:rsidR="00E514D9">
        <w:rPr>
          <w:rFonts w:ascii="Times New Roman" w:eastAsia="Calibri" w:hAnsi="Times New Roman" w:cs="Times New Roman"/>
          <w:b/>
          <w:bCs/>
          <w:iCs/>
          <w:sz w:val="24"/>
          <w:szCs w:val="24"/>
        </w:rPr>
        <w:t>11</w:t>
      </w:r>
      <w:r w:rsidR="006D2855">
        <w:rPr>
          <w:rFonts w:ascii="Times New Roman" w:eastAsia="Calibri" w:hAnsi="Times New Roman" w:cs="Times New Roman"/>
          <w:b/>
          <w:bCs/>
          <w:iCs/>
          <w:sz w:val="24"/>
          <w:szCs w:val="24"/>
        </w:rPr>
        <w:t xml:space="preserve"> oraz art. 2 pkt </w:t>
      </w:r>
      <w:r w:rsidR="00E514D9" w:rsidRPr="00E514D9">
        <w:rPr>
          <w:rFonts w:ascii="Times New Roman" w:eastAsia="Calibri" w:hAnsi="Times New Roman" w:cs="Times New Roman"/>
          <w:b/>
          <w:bCs/>
          <w:iCs/>
          <w:sz w:val="24"/>
          <w:szCs w:val="24"/>
        </w:rPr>
        <w:t>2</w:t>
      </w:r>
      <w:r w:rsidR="00E514D9">
        <w:rPr>
          <w:rFonts w:ascii="Times New Roman" w:eastAsia="Calibri" w:hAnsi="Times New Roman" w:cs="Times New Roman"/>
          <w:b/>
          <w:bCs/>
          <w:iCs/>
          <w:sz w:val="24"/>
          <w:szCs w:val="24"/>
        </w:rPr>
        <w:t xml:space="preserve"> </w:t>
      </w:r>
      <w:r w:rsidR="006D2855">
        <w:rPr>
          <w:rFonts w:ascii="Times New Roman" w:eastAsia="Calibri" w:hAnsi="Times New Roman" w:cs="Times New Roman"/>
          <w:b/>
          <w:bCs/>
          <w:iCs/>
          <w:sz w:val="24"/>
          <w:szCs w:val="24"/>
        </w:rPr>
        <w:t xml:space="preserve">projektu </w:t>
      </w:r>
    </w:p>
    <w:p w14:paraId="71C84E28" w14:textId="6CBFD1FD" w:rsidR="00E609DD" w:rsidRDefault="00585B2F" w:rsidP="004C172B">
      <w:pPr>
        <w:spacing w:before="120" w:line="360" w:lineRule="auto"/>
        <w:jc w:val="both"/>
      </w:pPr>
      <w:r w:rsidRPr="001210F7">
        <w:rPr>
          <w:rFonts w:ascii="Times New Roman" w:eastAsia="Calibri" w:hAnsi="Times New Roman" w:cs="Times New Roman"/>
          <w:bCs/>
          <w:iCs/>
          <w:sz w:val="24"/>
          <w:szCs w:val="24"/>
        </w:rPr>
        <w:lastRenderedPageBreak/>
        <w:t xml:space="preserve">Zmiana polega na doprecyzowaniu, że mechanizm bezpiecznej przystani dla transakcji pożyczkowych </w:t>
      </w:r>
      <w:r w:rsidR="00EE4692" w:rsidRPr="00EE4692">
        <w:rPr>
          <w:rFonts w:ascii="Times New Roman" w:eastAsia="Calibri" w:hAnsi="Times New Roman" w:cs="Times New Roman"/>
          <w:bCs/>
          <w:iCs/>
          <w:sz w:val="24"/>
          <w:szCs w:val="24"/>
        </w:rPr>
        <w:t>(odpowiednio</w:t>
      </w:r>
      <w:r w:rsidR="008F269E">
        <w:rPr>
          <w:rFonts w:ascii="Times New Roman" w:eastAsia="Calibri" w:hAnsi="Times New Roman" w:cs="Times New Roman"/>
          <w:bCs/>
          <w:iCs/>
          <w:sz w:val="24"/>
          <w:szCs w:val="24"/>
        </w:rPr>
        <w:t xml:space="preserve"> </w:t>
      </w:r>
      <w:r w:rsidR="00EE4692" w:rsidRPr="00EE4692">
        <w:rPr>
          <w:rFonts w:ascii="Times New Roman" w:eastAsia="Calibri" w:hAnsi="Times New Roman" w:cs="Times New Roman"/>
          <w:bCs/>
          <w:iCs/>
          <w:sz w:val="24"/>
          <w:szCs w:val="24"/>
        </w:rPr>
        <w:t xml:space="preserve">kredytów lub emisji obligacji) </w:t>
      </w:r>
      <w:r w:rsidRPr="001210F7">
        <w:rPr>
          <w:rFonts w:ascii="Times New Roman" w:eastAsia="Calibri" w:hAnsi="Times New Roman" w:cs="Times New Roman"/>
          <w:bCs/>
          <w:iCs/>
          <w:sz w:val="24"/>
          <w:szCs w:val="24"/>
        </w:rPr>
        <w:t>obejmuje wyłącznie pożyczki z oprocentowaniem zmiennym (tj. stopa bazowa + marża). Mechanizm weryfikacji rynkowości warunków tego oprocentowania zakłada zastosowanie stopy bazowej i marży zgodnej z aktualnym (na dzień zawarcia umowy) obwieszczeniem ministra właściwego ds. finansów publicznych. Dostosowywanie się tak określonych warunków oprocentowania do warunków rynkowych jest zapewnione przez zastosowanie w mechanizmie oprocentowania zmiennego stopy bazowej – niejako automatycznie reagującej na zmianę warunków rynkowych. Dodatkowo zostanie wprowadzona określona minimalna częstotliwość aktualizacji oprocentowania. Przyczyni się to do ograniczenia możliwości niewłaściwego stosowania mechanizmu bezpiecznej przystani.</w:t>
      </w:r>
      <w:r w:rsidR="00BE4536" w:rsidRPr="00BE4536">
        <w:t xml:space="preserve"> </w:t>
      </w:r>
    </w:p>
    <w:p w14:paraId="02F3962D" w14:textId="6AEED15B" w:rsidR="00E962A1" w:rsidRPr="0048161E" w:rsidRDefault="00E962A1" w:rsidP="00E962A1">
      <w:pPr>
        <w:spacing w:before="240" w:after="120" w:line="36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1</w:t>
      </w:r>
      <w:r w:rsidR="00AC7DD0">
        <w:rPr>
          <w:rFonts w:ascii="Times New Roman" w:eastAsia="Calibri" w:hAnsi="Times New Roman" w:cs="Times New Roman"/>
          <w:b/>
          <w:iCs/>
          <w:sz w:val="24"/>
          <w:szCs w:val="24"/>
        </w:rPr>
        <w:t>0</w:t>
      </w:r>
      <w:r>
        <w:rPr>
          <w:rFonts w:ascii="Times New Roman" w:eastAsia="Calibri" w:hAnsi="Times New Roman" w:cs="Times New Roman"/>
          <w:b/>
          <w:iCs/>
          <w:sz w:val="24"/>
          <w:szCs w:val="24"/>
        </w:rPr>
        <w:t xml:space="preserve">) </w:t>
      </w:r>
      <w:bookmarkStart w:id="9" w:name="_Hlk221708681"/>
      <w:r>
        <w:rPr>
          <w:rFonts w:ascii="Times New Roman" w:eastAsia="Calibri" w:hAnsi="Times New Roman" w:cs="Times New Roman"/>
          <w:b/>
          <w:iCs/>
          <w:sz w:val="24"/>
          <w:szCs w:val="24"/>
        </w:rPr>
        <w:t>Uregulowanie</w:t>
      </w:r>
      <w:r w:rsidRPr="0048161E">
        <w:rPr>
          <w:rFonts w:ascii="Times New Roman" w:eastAsia="Calibri" w:hAnsi="Times New Roman" w:cs="Times New Roman"/>
          <w:b/>
          <w:iCs/>
          <w:sz w:val="24"/>
          <w:szCs w:val="24"/>
        </w:rPr>
        <w:t xml:space="preserve"> zasad ustalania dochodu z umorzenia udziałów (akcji) lub ze zmniejszenia ich</w:t>
      </w:r>
      <w:r>
        <w:rPr>
          <w:rFonts w:ascii="Times New Roman" w:eastAsia="Calibri" w:hAnsi="Times New Roman" w:cs="Times New Roman"/>
          <w:b/>
          <w:iCs/>
          <w:sz w:val="24"/>
          <w:szCs w:val="24"/>
        </w:rPr>
        <w:t> </w:t>
      </w:r>
      <w:r w:rsidRPr="0048161E">
        <w:rPr>
          <w:rFonts w:ascii="Times New Roman" w:eastAsia="Calibri" w:hAnsi="Times New Roman" w:cs="Times New Roman"/>
          <w:b/>
          <w:iCs/>
          <w:sz w:val="24"/>
          <w:szCs w:val="24"/>
        </w:rPr>
        <w:t>wartości</w:t>
      </w:r>
      <w:r>
        <w:rPr>
          <w:rFonts w:ascii="Times New Roman" w:eastAsia="Calibri" w:hAnsi="Times New Roman" w:cs="Times New Roman"/>
          <w:b/>
          <w:iCs/>
          <w:sz w:val="24"/>
          <w:szCs w:val="24"/>
        </w:rPr>
        <w:t xml:space="preserve"> w przypadku, gdy nie dochodzi do faktycznego unicestwienia istniejących udziałów (akcji ) </w:t>
      </w:r>
      <w:bookmarkEnd w:id="9"/>
      <w:r w:rsidRPr="0027548A">
        <w:rPr>
          <w:rFonts w:ascii="Times New Roman" w:eastAsia="Calibri" w:hAnsi="Times New Roman" w:cs="Times New Roman"/>
          <w:bCs/>
          <w:iCs/>
          <w:sz w:val="24"/>
          <w:szCs w:val="24"/>
        </w:rPr>
        <w:t>(zmieniane art. 24 ust. 5d i 5e ustawy o PIT oraz art. 12 ust. 4aa i 4ab ustawy o CIT)</w:t>
      </w:r>
      <w:r>
        <w:rPr>
          <w:rFonts w:ascii="Times New Roman" w:eastAsia="Calibri" w:hAnsi="Times New Roman" w:cs="Times New Roman"/>
          <w:b/>
          <w:iCs/>
          <w:sz w:val="24"/>
          <w:szCs w:val="24"/>
        </w:rPr>
        <w:t xml:space="preserve"> – art. 1 pkt</w:t>
      </w:r>
      <w:r w:rsidR="00E514D9">
        <w:rPr>
          <w:rFonts w:ascii="Times New Roman" w:eastAsia="Calibri" w:hAnsi="Times New Roman" w:cs="Times New Roman"/>
          <w:b/>
          <w:iCs/>
          <w:sz w:val="24"/>
          <w:szCs w:val="24"/>
        </w:rPr>
        <w:t xml:space="preserve"> </w:t>
      </w:r>
      <w:r w:rsidR="003028CF">
        <w:rPr>
          <w:rFonts w:ascii="Times New Roman" w:eastAsia="Calibri" w:hAnsi="Times New Roman" w:cs="Times New Roman"/>
          <w:b/>
          <w:iCs/>
          <w:sz w:val="24"/>
          <w:szCs w:val="24"/>
        </w:rPr>
        <w:t>12</w:t>
      </w:r>
      <w:r>
        <w:rPr>
          <w:rFonts w:ascii="Times New Roman" w:eastAsia="Calibri" w:hAnsi="Times New Roman" w:cs="Times New Roman"/>
          <w:b/>
          <w:iCs/>
          <w:sz w:val="24"/>
          <w:szCs w:val="24"/>
        </w:rPr>
        <w:t xml:space="preserve"> oraz art. 2 </w:t>
      </w:r>
      <w:r w:rsidR="00AC7DD0">
        <w:rPr>
          <w:rFonts w:ascii="Times New Roman" w:eastAsia="Calibri" w:hAnsi="Times New Roman" w:cs="Times New Roman"/>
          <w:b/>
          <w:iCs/>
          <w:sz w:val="24"/>
          <w:szCs w:val="24"/>
        </w:rPr>
        <w:t>pkt 3</w:t>
      </w:r>
      <w:r w:rsidR="00E514D9">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 xml:space="preserve">projektu </w:t>
      </w:r>
    </w:p>
    <w:p w14:paraId="55D4F78A" w14:textId="79C70A31" w:rsidR="00E962A1" w:rsidRPr="0048161E" w:rsidRDefault="00E962A1" w:rsidP="00E962A1">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Proponowana z</w:t>
      </w:r>
      <w:r w:rsidRPr="0048161E">
        <w:rPr>
          <w:rFonts w:ascii="Times New Roman" w:eastAsia="Calibri" w:hAnsi="Times New Roman" w:cs="Times New Roman"/>
          <w:bCs/>
          <w:iCs/>
          <w:sz w:val="24"/>
          <w:szCs w:val="24"/>
        </w:rPr>
        <w:t xml:space="preserve">miana stanowi doprecyzowanie skutków podatkowych, jakie powstają dla wspólnika spółki będącej podatnikiem </w:t>
      </w:r>
      <w:r>
        <w:rPr>
          <w:rFonts w:ascii="Times New Roman" w:eastAsia="Calibri" w:hAnsi="Times New Roman" w:cs="Times New Roman"/>
          <w:bCs/>
          <w:iCs/>
          <w:sz w:val="24"/>
          <w:szCs w:val="24"/>
        </w:rPr>
        <w:t>CIT</w:t>
      </w:r>
      <w:r w:rsidRPr="0048161E">
        <w:rPr>
          <w:rFonts w:ascii="Times New Roman" w:eastAsia="Calibri" w:hAnsi="Times New Roman" w:cs="Times New Roman"/>
          <w:bCs/>
          <w:iCs/>
          <w:sz w:val="24"/>
          <w:szCs w:val="24"/>
        </w:rPr>
        <w:t xml:space="preserve"> w związku ze zmniejszeniem przysługującego mu udziału w kapitale zakładowym na skutek obniżenia wartości nominalnej posiadanych udziałów bądź akcji, bez ich prawnego unicestwienia. </w:t>
      </w:r>
      <w:r>
        <w:rPr>
          <w:rFonts w:ascii="Times New Roman" w:eastAsia="Calibri" w:hAnsi="Times New Roman" w:cs="Times New Roman"/>
          <w:bCs/>
          <w:iCs/>
          <w:sz w:val="24"/>
          <w:szCs w:val="24"/>
        </w:rPr>
        <w:t xml:space="preserve">Chodzi o proces, w którym dochodzi do </w:t>
      </w:r>
      <w:r w:rsidRPr="0048161E">
        <w:rPr>
          <w:rFonts w:ascii="Times New Roman" w:eastAsia="Calibri" w:hAnsi="Times New Roman" w:cs="Times New Roman"/>
          <w:bCs/>
          <w:iCs/>
          <w:sz w:val="24"/>
          <w:szCs w:val="24"/>
        </w:rPr>
        <w:t>zachowani</w:t>
      </w:r>
      <w:r>
        <w:rPr>
          <w:rFonts w:ascii="Times New Roman" w:eastAsia="Calibri" w:hAnsi="Times New Roman" w:cs="Times New Roman"/>
          <w:bCs/>
          <w:iCs/>
          <w:sz w:val="24"/>
          <w:szCs w:val="24"/>
        </w:rPr>
        <w:t>a</w:t>
      </w:r>
      <w:r w:rsidRPr="0048161E">
        <w:rPr>
          <w:rFonts w:ascii="Times New Roman" w:eastAsia="Calibri" w:hAnsi="Times New Roman" w:cs="Times New Roman"/>
          <w:bCs/>
          <w:iCs/>
          <w:sz w:val="24"/>
          <w:szCs w:val="24"/>
        </w:rPr>
        <w:t xml:space="preserve"> dotychczasowej liczby udziałów (akcji), natomiast zmniejszeniu ulega całkowita wartość nominalna udziału kapitałowego danego wspólnika, co jest równoznaczne z</w:t>
      </w:r>
      <w:r>
        <w:rPr>
          <w:rFonts w:ascii="Times New Roman" w:eastAsia="Calibri" w:hAnsi="Times New Roman" w:cs="Times New Roman"/>
          <w:bCs/>
          <w:iCs/>
          <w:sz w:val="24"/>
          <w:szCs w:val="24"/>
        </w:rPr>
        <w:t> </w:t>
      </w:r>
      <w:r w:rsidRPr="0048161E">
        <w:rPr>
          <w:rFonts w:ascii="Times New Roman" w:eastAsia="Calibri" w:hAnsi="Times New Roman" w:cs="Times New Roman"/>
          <w:bCs/>
          <w:iCs/>
          <w:sz w:val="24"/>
          <w:szCs w:val="24"/>
        </w:rPr>
        <w:t>likwidacją pewnego wolumenu wartości udziału w drodze jego częściowego umorzenia. W</w:t>
      </w:r>
      <w:r>
        <w:rPr>
          <w:rFonts w:ascii="Times New Roman" w:eastAsia="Calibri" w:hAnsi="Times New Roman" w:cs="Times New Roman"/>
          <w:bCs/>
          <w:iCs/>
          <w:sz w:val="24"/>
          <w:szCs w:val="24"/>
        </w:rPr>
        <w:t> </w:t>
      </w:r>
      <w:r w:rsidRPr="0048161E">
        <w:rPr>
          <w:rFonts w:ascii="Times New Roman" w:eastAsia="Calibri" w:hAnsi="Times New Roman" w:cs="Times New Roman"/>
          <w:bCs/>
          <w:iCs/>
          <w:sz w:val="24"/>
          <w:szCs w:val="24"/>
        </w:rPr>
        <w:t>przypadku gdy obniżenie wartości nominalnej udziałów lub akcji następuj</w:t>
      </w:r>
      <w:r>
        <w:rPr>
          <w:rFonts w:ascii="Times New Roman" w:eastAsia="Calibri" w:hAnsi="Times New Roman" w:cs="Times New Roman"/>
          <w:bCs/>
          <w:iCs/>
          <w:sz w:val="24"/>
          <w:szCs w:val="24"/>
        </w:rPr>
        <w:t>e</w:t>
      </w:r>
      <w:r w:rsidRPr="0048161E">
        <w:rPr>
          <w:rFonts w:ascii="Times New Roman" w:eastAsia="Calibri" w:hAnsi="Times New Roman" w:cs="Times New Roman"/>
          <w:bCs/>
          <w:iCs/>
          <w:sz w:val="24"/>
          <w:szCs w:val="24"/>
        </w:rPr>
        <w:t xml:space="preserve"> za wynagrodzeniem wypłacanym wspólnikowi</w:t>
      </w:r>
      <w:r>
        <w:rPr>
          <w:rFonts w:ascii="Times New Roman" w:eastAsia="Calibri" w:hAnsi="Times New Roman" w:cs="Times New Roman"/>
          <w:bCs/>
          <w:iCs/>
          <w:sz w:val="24"/>
          <w:szCs w:val="24"/>
        </w:rPr>
        <w:t>,</w:t>
      </w:r>
      <w:r w:rsidRPr="0048161E">
        <w:rPr>
          <w:rFonts w:ascii="Times New Roman" w:eastAsia="Calibri" w:hAnsi="Times New Roman" w:cs="Times New Roman"/>
          <w:bCs/>
          <w:iCs/>
          <w:sz w:val="24"/>
          <w:szCs w:val="24"/>
        </w:rPr>
        <w:t xml:space="preserve"> podatnik jest obowiązany do</w:t>
      </w:r>
      <w:r>
        <w:rPr>
          <w:rFonts w:ascii="Times New Roman" w:eastAsia="Calibri" w:hAnsi="Times New Roman" w:cs="Times New Roman"/>
          <w:bCs/>
          <w:iCs/>
          <w:sz w:val="24"/>
          <w:szCs w:val="24"/>
        </w:rPr>
        <w:t> </w:t>
      </w:r>
      <w:r w:rsidRPr="0048161E">
        <w:rPr>
          <w:rFonts w:ascii="Times New Roman" w:eastAsia="Calibri" w:hAnsi="Times New Roman" w:cs="Times New Roman"/>
          <w:bCs/>
          <w:iCs/>
          <w:sz w:val="24"/>
          <w:szCs w:val="24"/>
        </w:rPr>
        <w:t xml:space="preserve">rozpoznania z tego tytułu przychodu. W dotychczasowym stanie prawnym brak </w:t>
      </w:r>
      <w:r>
        <w:rPr>
          <w:rFonts w:ascii="Times New Roman" w:eastAsia="Calibri" w:hAnsi="Times New Roman" w:cs="Times New Roman"/>
          <w:bCs/>
          <w:iCs/>
          <w:sz w:val="24"/>
          <w:szCs w:val="24"/>
        </w:rPr>
        <w:t xml:space="preserve">jest jednak </w:t>
      </w:r>
      <w:r w:rsidRPr="0048161E">
        <w:rPr>
          <w:rFonts w:ascii="Times New Roman" w:eastAsia="Calibri" w:hAnsi="Times New Roman" w:cs="Times New Roman"/>
          <w:bCs/>
          <w:iCs/>
          <w:sz w:val="24"/>
          <w:szCs w:val="24"/>
        </w:rPr>
        <w:t xml:space="preserve">regulacji </w:t>
      </w:r>
      <w:r w:rsidRPr="00E12925">
        <w:rPr>
          <w:rFonts w:ascii="Times New Roman" w:eastAsia="Calibri" w:hAnsi="Times New Roman" w:cs="Times New Roman"/>
          <w:bCs/>
          <w:i/>
          <w:sz w:val="24"/>
          <w:szCs w:val="24"/>
        </w:rPr>
        <w:t>expressis verbis</w:t>
      </w:r>
      <w:r w:rsidRPr="0048161E">
        <w:rPr>
          <w:rFonts w:ascii="Times New Roman" w:eastAsia="Calibri" w:hAnsi="Times New Roman" w:cs="Times New Roman"/>
          <w:bCs/>
          <w:iCs/>
          <w:sz w:val="24"/>
          <w:szCs w:val="24"/>
        </w:rPr>
        <w:t xml:space="preserve"> określającej</w:t>
      </w:r>
      <w:r>
        <w:rPr>
          <w:rFonts w:ascii="Times New Roman" w:eastAsia="Calibri" w:hAnsi="Times New Roman" w:cs="Times New Roman"/>
          <w:bCs/>
          <w:iCs/>
          <w:sz w:val="24"/>
          <w:szCs w:val="24"/>
        </w:rPr>
        <w:t>,</w:t>
      </w:r>
      <w:r w:rsidRPr="0048161E">
        <w:rPr>
          <w:rFonts w:ascii="Times New Roman" w:eastAsia="Calibri" w:hAnsi="Times New Roman" w:cs="Times New Roman"/>
          <w:bCs/>
          <w:iCs/>
          <w:sz w:val="24"/>
          <w:szCs w:val="24"/>
        </w:rPr>
        <w:t xml:space="preserve"> w</w:t>
      </w:r>
      <w:r>
        <w:rPr>
          <w:rFonts w:ascii="Times New Roman" w:eastAsia="Calibri" w:hAnsi="Times New Roman" w:cs="Times New Roman"/>
          <w:bCs/>
          <w:iCs/>
          <w:sz w:val="24"/>
          <w:szCs w:val="24"/>
        </w:rPr>
        <w:t> </w:t>
      </w:r>
      <w:r w:rsidRPr="0048161E">
        <w:rPr>
          <w:rFonts w:ascii="Times New Roman" w:eastAsia="Calibri" w:hAnsi="Times New Roman" w:cs="Times New Roman"/>
          <w:bCs/>
          <w:iCs/>
          <w:sz w:val="24"/>
          <w:szCs w:val="24"/>
        </w:rPr>
        <w:t>jaki sposób należy rozpoznać koszty, w przypadku gdy umorzeniu nie ulega całość udziału lub akcji, lecz cześć takich praw udziałowych</w:t>
      </w:r>
      <w:r>
        <w:rPr>
          <w:rFonts w:ascii="Times New Roman" w:eastAsia="Calibri" w:hAnsi="Times New Roman" w:cs="Times New Roman"/>
          <w:bCs/>
          <w:iCs/>
          <w:sz w:val="24"/>
          <w:szCs w:val="24"/>
        </w:rPr>
        <w:t xml:space="preserve"> </w:t>
      </w:r>
      <w:r w:rsidRPr="0054398A">
        <w:rPr>
          <w:rFonts w:ascii="Times New Roman" w:eastAsia="Calibri" w:hAnsi="Times New Roman" w:cs="Times New Roman"/>
          <w:bCs/>
          <w:iCs/>
          <w:sz w:val="24"/>
          <w:szCs w:val="24"/>
        </w:rPr>
        <w:t>(tj. następuje zmniejszenie ich wartości nominalnej).</w:t>
      </w:r>
      <w:r w:rsidRPr="0048161E">
        <w:rPr>
          <w:rFonts w:ascii="Times New Roman" w:eastAsia="Calibri" w:hAnsi="Times New Roman" w:cs="Times New Roman"/>
          <w:bCs/>
          <w:iCs/>
          <w:sz w:val="24"/>
          <w:szCs w:val="24"/>
        </w:rPr>
        <w:t xml:space="preserve"> </w:t>
      </w:r>
    </w:p>
    <w:p w14:paraId="66295601" w14:textId="7D9C9959" w:rsidR="00E962A1" w:rsidRDefault="00E962A1" w:rsidP="00E962A1">
      <w:pPr>
        <w:spacing w:before="120" w:line="360" w:lineRule="auto"/>
        <w:jc w:val="both"/>
        <w:rPr>
          <w:rFonts w:ascii="Times New Roman" w:eastAsia="Calibri" w:hAnsi="Times New Roman" w:cs="Times New Roman"/>
          <w:bCs/>
          <w:iCs/>
          <w:sz w:val="24"/>
          <w:szCs w:val="24"/>
        </w:rPr>
      </w:pPr>
      <w:r w:rsidRPr="0048161E">
        <w:rPr>
          <w:rFonts w:ascii="Times New Roman" w:eastAsia="Calibri" w:hAnsi="Times New Roman" w:cs="Times New Roman"/>
          <w:bCs/>
          <w:iCs/>
          <w:sz w:val="24"/>
          <w:szCs w:val="24"/>
        </w:rPr>
        <w:t xml:space="preserve">Na mocy projektowanej regulacji przychód uzyskany w związku </w:t>
      </w:r>
      <w:r>
        <w:rPr>
          <w:rFonts w:ascii="Times New Roman" w:eastAsia="Calibri" w:hAnsi="Times New Roman" w:cs="Times New Roman"/>
          <w:bCs/>
          <w:iCs/>
          <w:sz w:val="24"/>
          <w:szCs w:val="24"/>
        </w:rPr>
        <w:t xml:space="preserve">ze </w:t>
      </w:r>
      <w:r w:rsidRPr="0048161E">
        <w:rPr>
          <w:rFonts w:ascii="Times New Roman" w:eastAsia="Calibri" w:hAnsi="Times New Roman" w:cs="Times New Roman"/>
          <w:bCs/>
          <w:iCs/>
          <w:sz w:val="24"/>
          <w:szCs w:val="24"/>
        </w:rPr>
        <w:t xml:space="preserve">zmniejszeniem wartości nominalnej udziałów lub akcji zostanie pomniejszony o odpowiednią </w:t>
      </w:r>
      <w:r>
        <w:rPr>
          <w:rFonts w:ascii="Times New Roman" w:eastAsia="Calibri" w:hAnsi="Times New Roman" w:cs="Times New Roman"/>
          <w:bCs/>
          <w:iCs/>
          <w:sz w:val="24"/>
          <w:szCs w:val="24"/>
        </w:rPr>
        <w:t xml:space="preserve">(proporcjonalną) </w:t>
      </w:r>
      <w:r w:rsidRPr="0048161E">
        <w:rPr>
          <w:rFonts w:ascii="Times New Roman" w:eastAsia="Calibri" w:hAnsi="Times New Roman" w:cs="Times New Roman"/>
          <w:bCs/>
          <w:iCs/>
          <w:sz w:val="24"/>
          <w:szCs w:val="24"/>
        </w:rPr>
        <w:t>część kosztów ich</w:t>
      </w:r>
      <w:r>
        <w:rPr>
          <w:rFonts w:ascii="Times New Roman" w:eastAsia="Calibri" w:hAnsi="Times New Roman" w:cs="Times New Roman"/>
          <w:bCs/>
          <w:iCs/>
          <w:sz w:val="24"/>
          <w:szCs w:val="24"/>
        </w:rPr>
        <w:t> </w:t>
      </w:r>
      <w:r w:rsidRPr="0048161E">
        <w:rPr>
          <w:rFonts w:ascii="Times New Roman" w:eastAsia="Calibri" w:hAnsi="Times New Roman" w:cs="Times New Roman"/>
          <w:bCs/>
          <w:iCs/>
          <w:sz w:val="24"/>
          <w:szCs w:val="24"/>
        </w:rPr>
        <w:t>nabycia lub objęcia. Część kosztów pomniejszających przychód ustala się poprzez pomniejszenie wartości wydatków na nabycie udziałów lub akcji o kwotę wynikającą z proporcji</w:t>
      </w:r>
      <w:r>
        <w:rPr>
          <w:rFonts w:ascii="Times New Roman" w:eastAsia="Calibri" w:hAnsi="Times New Roman" w:cs="Times New Roman"/>
          <w:bCs/>
          <w:iCs/>
          <w:sz w:val="24"/>
          <w:szCs w:val="24"/>
        </w:rPr>
        <w:t>,</w:t>
      </w:r>
      <w:r w:rsidRPr="0048161E">
        <w:rPr>
          <w:rFonts w:ascii="Times New Roman" w:eastAsia="Calibri" w:hAnsi="Times New Roman" w:cs="Times New Roman"/>
          <w:bCs/>
          <w:iCs/>
          <w:sz w:val="24"/>
          <w:szCs w:val="24"/>
        </w:rPr>
        <w:t xml:space="preserve"> w jakiej pozostaje zmniejszona wartość nominalna udziału lub akcji</w:t>
      </w:r>
      <w:r>
        <w:rPr>
          <w:rFonts w:ascii="Times New Roman" w:eastAsia="Calibri" w:hAnsi="Times New Roman" w:cs="Times New Roman"/>
          <w:bCs/>
          <w:iCs/>
          <w:sz w:val="24"/>
          <w:szCs w:val="24"/>
        </w:rPr>
        <w:t>,</w:t>
      </w:r>
      <w:r w:rsidRPr="0048161E">
        <w:rPr>
          <w:rFonts w:ascii="Times New Roman" w:eastAsia="Calibri" w:hAnsi="Times New Roman" w:cs="Times New Roman"/>
          <w:bCs/>
          <w:iCs/>
          <w:sz w:val="24"/>
          <w:szCs w:val="24"/>
        </w:rPr>
        <w:t xml:space="preserve"> do pierwotnej </w:t>
      </w:r>
      <w:r w:rsidRPr="0048161E">
        <w:rPr>
          <w:rFonts w:ascii="Times New Roman" w:eastAsia="Calibri" w:hAnsi="Times New Roman" w:cs="Times New Roman"/>
          <w:bCs/>
          <w:iCs/>
          <w:sz w:val="24"/>
          <w:szCs w:val="24"/>
        </w:rPr>
        <w:lastRenderedPageBreak/>
        <w:t>ich wartości. Przy czym</w:t>
      </w:r>
      <w:r>
        <w:rPr>
          <w:rFonts w:ascii="Times New Roman" w:eastAsia="Calibri" w:hAnsi="Times New Roman" w:cs="Times New Roman"/>
          <w:bCs/>
          <w:iCs/>
          <w:sz w:val="24"/>
          <w:szCs w:val="24"/>
        </w:rPr>
        <w:t>,</w:t>
      </w:r>
      <w:r w:rsidRPr="0048161E">
        <w:rPr>
          <w:rFonts w:ascii="Times New Roman" w:eastAsia="Calibri" w:hAnsi="Times New Roman" w:cs="Times New Roman"/>
          <w:bCs/>
          <w:iCs/>
          <w:sz w:val="24"/>
          <w:szCs w:val="24"/>
        </w:rPr>
        <w:t xml:space="preserve"> jeżeli wynagrodzenie z tytułu zmniejszenia wartości nominalnej udziałów (akcji) nie zostało w całości wypłacone</w:t>
      </w:r>
      <w:r>
        <w:rPr>
          <w:rFonts w:ascii="Times New Roman" w:eastAsia="Calibri" w:hAnsi="Times New Roman" w:cs="Times New Roman"/>
          <w:bCs/>
          <w:iCs/>
          <w:sz w:val="24"/>
          <w:szCs w:val="24"/>
        </w:rPr>
        <w:t>,</w:t>
      </w:r>
      <w:r w:rsidRPr="0048161E">
        <w:rPr>
          <w:rFonts w:ascii="Times New Roman" w:eastAsia="Calibri" w:hAnsi="Times New Roman" w:cs="Times New Roman"/>
          <w:bCs/>
          <w:iCs/>
          <w:sz w:val="24"/>
          <w:szCs w:val="24"/>
        </w:rPr>
        <w:t xml:space="preserve"> koszty te </w:t>
      </w:r>
      <w:r>
        <w:rPr>
          <w:rFonts w:ascii="Times New Roman" w:eastAsia="Calibri" w:hAnsi="Times New Roman" w:cs="Times New Roman"/>
          <w:bCs/>
          <w:iCs/>
          <w:sz w:val="24"/>
          <w:szCs w:val="24"/>
        </w:rPr>
        <w:t xml:space="preserve">będzie się </w:t>
      </w:r>
      <w:r w:rsidRPr="0048161E">
        <w:rPr>
          <w:rFonts w:ascii="Times New Roman" w:eastAsia="Calibri" w:hAnsi="Times New Roman" w:cs="Times New Roman"/>
          <w:bCs/>
          <w:iCs/>
          <w:sz w:val="24"/>
          <w:szCs w:val="24"/>
        </w:rPr>
        <w:t>ustala</w:t>
      </w:r>
      <w:r>
        <w:rPr>
          <w:rFonts w:ascii="Times New Roman" w:eastAsia="Calibri" w:hAnsi="Times New Roman" w:cs="Times New Roman"/>
          <w:bCs/>
          <w:iCs/>
          <w:sz w:val="24"/>
          <w:szCs w:val="24"/>
        </w:rPr>
        <w:t>ć</w:t>
      </w:r>
      <w:r w:rsidRPr="0048161E">
        <w:rPr>
          <w:rFonts w:ascii="Times New Roman" w:eastAsia="Calibri" w:hAnsi="Times New Roman" w:cs="Times New Roman"/>
          <w:bCs/>
          <w:iCs/>
          <w:sz w:val="24"/>
          <w:szCs w:val="24"/>
        </w:rPr>
        <w:t xml:space="preserve"> proporcjonalnie do</w:t>
      </w:r>
      <w:r>
        <w:rPr>
          <w:rFonts w:ascii="Times New Roman" w:eastAsia="Calibri" w:hAnsi="Times New Roman" w:cs="Times New Roman"/>
          <w:bCs/>
          <w:iCs/>
          <w:sz w:val="24"/>
          <w:szCs w:val="24"/>
        </w:rPr>
        <w:t> </w:t>
      </w:r>
      <w:r w:rsidRPr="0048161E">
        <w:rPr>
          <w:rFonts w:ascii="Times New Roman" w:eastAsia="Calibri" w:hAnsi="Times New Roman" w:cs="Times New Roman"/>
          <w:bCs/>
          <w:iCs/>
          <w:sz w:val="24"/>
          <w:szCs w:val="24"/>
        </w:rPr>
        <w:t>wysokości faktycznie uzyskanego wynagrodzenia z tytułu tego zmniejszenia. Z kolei pozostała część kosztów nabycia lub objęcia udziałów lub akcji w spółce, której kapitał zakładowy jest pomniejszany, a więc nieodpowiadającą wynagrodzeniu wypłaconemu w</w:t>
      </w:r>
      <w:r>
        <w:rPr>
          <w:rFonts w:ascii="Times New Roman" w:eastAsia="Calibri" w:hAnsi="Times New Roman" w:cs="Times New Roman"/>
          <w:bCs/>
          <w:iCs/>
          <w:sz w:val="24"/>
          <w:szCs w:val="24"/>
        </w:rPr>
        <w:t> </w:t>
      </w:r>
      <w:r w:rsidRPr="0048161E">
        <w:rPr>
          <w:rFonts w:ascii="Times New Roman" w:eastAsia="Calibri" w:hAnsi="Times New Roman" w:cs="Times New Roman"/>
          <w:bCs/>
          <w:iCs/>
          <w:sz w:val="24"/>
          <w:szCs w:val="24"/>
        </w:rPr>
        <w:t>wyniku częściowego umorzenia kapitału zakładowego</w:t>
      </w:r>
      <w:r>
        <w:rPr>
          <w:rFonts w:ascii="Times New Roman" w:eastAsia="Calibri" w:hAnsi="Times New Roman" w:cs="Times New Roman"/>
          <w:bCs/>
          <w:iCs/>
          <w:sz w:val="24"/>
          <w:szCs w:val="24"/>
        </w:rPr>
        <w:t>,</w:t>
      </w:r>
      <w:r w:rsidRPr="0048161E">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będzie</w:t>
      </w:r>
      <w:r w:rsidRPr="0048161E">
        <w:rPr>
          <w:rFonts w:ascii="Times New Roman" w:eastAsia="Calibri" w:hAnsi="Times New Roman" w:cs="Times New Roman"/>
          <w:bCs/>
          <w:iCs/>
          <w:sz w:val="24"/>
          <w:szCs w:val="24"/>
        </w:rPr>
        <w:t xml:space="preserve"> kwalifikowana jako wydatki na nabycie tych udziałów (akcji), która będzie stanowiła koszt podatkowy w przypadku odpłatnego zbycia, umorzenia lub zmniejszenia wartości takich udziałów (akcji). </w:t>
      </w:r>
    </w:p>
    <w:p w14:paraId="56E251CB" w14:textId="7BB3F08D" w:rsidR="005F335C" w:rsidRDefault="005F335C" w:rsidP="00E962A1">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Analogiczne zasady określania dochodu zostały wprowadzone w przypadku zmniejszenia udziału kapitałowego wspólnika w spółce osobowej będącej podatnikiem CIT oraz wystąpienia wspólnika z takiej spółki bez umarzania udziałów (akcji) – art. 24 ust. 5e ustawy o PIT i art. 12 ust. 4ab ustawy o CIT.</w:t>
      </w:r>
    </w:p>
    <w:p w14:paraId="45F64C92" w14:textId="18278E84" w:rsidR="00F1062B" w:rsidRPr="0048161E" w:rsidRDefault="00F1062B" w:rsidP="00E962A1">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Zmieniane przepisy dotyczą zasad </w:t>
      </w:r>
      <w:r w:rsidR="00B152C9">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nieokreślonych wystarczająco w obowiązujących przepisach </w:t>
      </w:r>
      <w:r w:rsidR="00B152C9">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obliczania dochodu z umorzenia udziałów (akcji) w spółce kapitałowej z odpłatnego zbycia udziałów (akcji) lub ze zmniejszenia ich wartości</w:t>
      </w:r>
      <w:r w:rsidR="00BC4FCA">
        <w:rPr>
          <w:rFonts w:ascii="Times New Roman" w:eastAsia="Calibri" w:hAnsi="Times New Roman" w:cs="Times New Roman"/>
          <w:bCs/>
          <w:iCs/>
          <w:sz w:val="24"/>
          <w:szCs w:val="24"/>
        </w:rPr>
        <w:t xml:space="preserve"> oraz </w:t>
      </w:r>
      <w:r>
        <w:rPr>
          <w:rFonts w:ascii="Times New Roman" w:eastAsia="Calibri" w:hAnsi="Times New Roman" w:cs="Times New Roman"/>
          <w:bCs/>
          <w:iCs/>
          <w:sz w:val="24"/>
          <w:szCs w:val="24"/>
        </w:rPr>
        <w:t>dochodów ze zmniejszenia udziału kapitałowego w spółce innej niż kapitałowa, będącej podatnikiem podatku CIT</w:t>
      </w:r>
      <w:r w:rsidR="00F90FF0">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oraz dochodu z wystąpienia wspólnika z takiej spółki. Nie zachodzi zatem konieczność</w:t>
      </w:r>
      <w:r w:rsidR="0017487E">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szczególnych regulacji, które zachowywałyby prawa nabyte podatników w związku z wprowadzeniem takiej zmiany, dlatego projekt nie zawiera przepisów przejściowych w tym zakresie.</w:t>
      </w:r>
    </w:p>
    <w:p w14:paraId="54CBB0A7" w14:textId="6EF23E80" w:rsidR="00C14041" w:rsidRPr="001210F7" w:rsidRDefault="00AC7DD0" w:rsidP="0027548A">
      <w:pPr>
        <w:spacing w:before="240" w:after="120" w:line="36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11</w:t>
      </w:r>
      <w:r w:rsidR="00072E50">
        <w:rPr>
          <w:rFonts w:ascii="Times New Roman" w:eastAsia="Calibri" w:hAnsi="Times New Roman" w:cs="Times New Roman"/>
          <w:b/>
          <w:iCs/>
          <w:sz w:val="24"/>
          <w:szCs w:val="24"/>
        </w:rPr>
        <w:t xml:space="preserve">) </w:t>
      </w:r>
      <w:r w:rsidR="00A60D47">
        <w:rPr>
          <w:rFonts w:ascii="Times New Roman" w:eastAsia="Calibri" w:hAnsi="Times New Roman" w:cs="Times New Roman"/>
          <w:b/>
          <w:iCs/>
          <w:sz w:val="24"/>
          <w:szCs w:val="24"/>
        </w:rPr>
        <w:t>Doprecyzowanie sposobu ustalenia po</w:t>
      </w:r>
      <w:r w:rsidR="007442C2">
        <w:rPr>
          <w:rFonts w:ascii="Times New Roman" w:eastAsia="Calibri" w:hAnsi="Times New Roman" w:cs="Times New Roman"/>
          <w:b/>
          <w:iCs/>
          <w:sz w:val="24"/>
          <w:szCs w:val="24"/>
        </w:rPr>
        <w:t>d</w:t>
      </w:r>
      <w:r w:rsidR="00A60D47">
        <w:rPr>
          <w:rFonts w:ascii="Times New Roman" w:eastAsia="Calibri" w:hAnsi="Times New Roman" w:cs="Times New Roman"/>
          <w:b/>
          <w:iCs/>
          <w:sz w:val="24"/>
          <w:szCs w:val="24"/>
        </w:rPr>
        <w:t>stawy obliczenia</w:t>
      </w:r>
      <w:r w:rsidR="00C14041" w:rsidRPr="001210F7">
        <w:rPr>
          <w:rFonts w:ascii="Times New Roman" w:eastAsia="Calibri" w:hAnsi="Times New Roman" w:cs="Times New Roman"/>
          <w:b/>
          <w:iCs/>
          <w:sz w:val="24"/>
          <w:szCs w:val="24"/>
        </w:rPr>
        <w:t xml:space="preserve"> daniny solidarnościowej</w:t>
      </w:r>
      <w:r w:rsidR="00433563">
        <w:rPr>
          <w:rFonts w:ascii="Times New Roman" w:eastAsia="Calibri" w:hAnsi="Times New Roman" w:cs="Times New Roman"/>
          <w:b/>
          <w:iCs/>
          <w:sz w:val="24"/>
          <w:szCs w:val="24"/>
        </w:rPr>
        <w:t xml:space="preserve"> </w:t>
      </w:r>
      <w:r w:rsidR="003A0962" w:rsidRPr="003A0962">
        <w:rPr>
          <w:rFonts w:ascii="Times New Roman" w:eastAsia="Calibri" w:hAnsi="Times New Roman" w:cs="Times New Roman"/>
          <w:b/>
          <w:iCs/>
          <w:sz w:val="24"/>
          <w:szCs w:val="24"/>
        </w:rPr>
        <w:t xml:space="preserve">oraz poszerzenie jej zakresu </w:t>
      </w:r>
      <w:r w:rsidR="004E1D7B">
        <w:rPr>
          <w:rFonts w:ascii="Times New Roman" w:eastAsia="Calibri" w:hAnsi="Times New Roman" w:cs="Times New Roman"/>
          <w:b/>
          <w:iCs/>
          <w:sz w:val="24"/>
          <w:szCs w:val="24"/>
        </w:rPr>
        <w:t>o</w:t>
      </w:r>
      <w:r w:rsidR="003A0962" w:rsidRPr="003A0962">
        <w:rPr>
          <w:rFonts w:ascii="Times New Roman" w:eastAsia="Calibri" w:hAnsi="Times New Roman" w:cs="Times New Roman"/>
          <w:b/>
          <w:iCs/>
          <w:sz w:val="24"/>
          <w:szCs w:val="24"/>
        </w:rPr>
        <w:t xml:space="preserve"> dochody z IP B</w:t>
      </w:r>
      <w:r w:rsidR="004E1D7B">
        <w:rPr>
          <w:rFonts w:ascii="Times New Roman" w:eastAsia="Calibri" w:hAnsi="Times New Roman" w:cs="Times New Roman"/>
          <w:b/>
          <w:iCs/>
          <w:sz w:val="24"/>
          <w:szCs w:val="24"/>
        </w:rPr>
        <w:t>ox</w:t>
      </w:r>
      <w:r w:rsidR="003A0962" w:rsidRPr="003A0962">
        <w:rPr>
          <w:rFonts w:ascii="Times New Roman" w:eastAsia="Calibri" w:hAnsi="Times New Roman" w:cs="Times New Roman"/>
          <w:b/>
          <w:bCs/>
          <w:iCs/>
          <w:sz w:val="24"/>
          <w:szCs w:val="24"/>
        </w:rPr>
        <w:t xml:space="preserve"> </w:t>
      </w:r>
      <w:r w:rsidR="004E2C5A" w:rsidRPr="0027548A">
        <w:rPr>
          <w:rFonts w:ascii="Times New Roman" w:eastAsia="Calibri" w:hAnsi="Times New Roman" w:cs="Times New Roman"/>
          <w:bCs/>
          <w:iCs/>
          <w:sz w:val="24"/>
          <w:szCs w:val="24"/>
        </w:rPr>
        <w:t xml:space="preserve">(zmieniany </w:t>
      </w:r>
      <w:r w:rsidR="00C14041" w:rsidRPr="0027548A">
        <w:rPr>
          <w:rFonts w:ascii="Times New Roman" w:eastAsia="Calibri" w:hAnsi="Times New Roman" w:cs="Times New Roman"/>
          <w:bCs/>
          <w:iCs/>
          <w:sz w:val="24"/>
          <w:szCs w:val="24"/>
        </w:rPr>
        <w:t xml:space="preserve">art. 30h </w:t>
      </w:r>
      <w:r w:rsidR="004E2C5A" w:rsidRPr="0027548A">
        <w:rPr>
          <w:rFonts w:ascii="Times New Roman" w:eastAsia="Calibri" w:hAnsi="Times New Roman" w:cs="Times New Roman"/>
          <w:bCs/>
          <w:iCs/>
          <w:sz w:val="24"/>
          <w:szCs w:val="24"/>
        </w:rPr>
        <w:t>ust. 2</w:t>
      </w:r>
      <w:r w:rsidR="00FE38C5">
        <w:rPr>
          <w:rFonts w:ascii="Times New Roman" w:eastAsia="Calibri" w:hAnsi="Times New Roman" w:cs="Times New Roman"/>
          <w:bCs/>
          <w:iCs/>
          <w:sz w:val="24"/>
          <w:szCs w:val="24"/>
        </w:rPr>
        <w:t xml:space="preserve"> i dodawany ust. 2a</w:t>
      </w:r>
      <w:r w:rsidR="004E2C5A" w:rsidRPr="0027548A">
        <w:rPr>
          <w:rFonts w:ascii="Times New Roman" w:eastAsia="Calibri" w:hAnsi="Times New Roman" w:cs="Times New Roman"/>
          <w:bCs/>
          <w:iCs/>
          <w:sz w:val="24"/>
          <w:szCs w:val="24"/>
        </w:rPr>
        <w:t xml:space="preserve"> </w:t>
      </w:r>
      <w:r w:rsidR="00C14041" w:rsidRPr="0027548A">
        <w:rPr>
          <w:rFonts w:ascii="Times New Roman" w:eastAsia="Calibri" w:hAnsi="Times New Roman" w:cs="Times New Roman"/>
          <w:bCs/>
          <w:iCs/>
          <w:sz w:val="24"/>
          <w:szCs w:val="24"/>
        </w:rPr>
        <w:t xml:space="preserve">ustawy </w:t>
      </w:r>
      <w:r w:rsidR="003754FA">
        <w:rPr>
          <w:rFonts w:ascii="Times New Roman" w:eastAsia="Calibri" w:hAnsi="Times New Roman" w:cs="Times New Roman"/>
          <w:bCs/>
          <w:iCs/>
          <w:sz w:val="24"/>
          <w:szCs w:val="24"/>
        </w:rPr>
        <w:t xml:space="preserve">o </w:t>
      </w:r>
      <w:r w:rsidR="00C14041" w:rsidRPr="0027548A">
        <w:rPr>
          <w:rFonts w:ascii="Times New Roman" w:eastAsia="Calibri" w:hAnsi="Times New Roman" w:cs="Times New Roman"/>
          <w:bCs/>
          <w:iCs/>
          <w:sz w:val="24"/>
          <w:szCs w:val="24"/>
        </w:rPr>
        <w:t>PIT</w:t>
      </w:r>
      <w:r w:rsidR="004E2C5A" w:rsidRPr="0027548A">
        <w:rPr>
          <w:rFonts w:ascii="Times New Roman" w:eastAsia="Calibri" w:hAnsi="Times New Roman" w:cs="Times New Roman"/>
          <w:bCs/>
          <w:iCs/>
          <w:sz w:val="24"/>
          <w:szCs w:val="24"/>
        </w:rPr>
        <w:t>)</w:t>
      </w:r>
      <w:r w:rsidR="004E2C5A">
        <w:rPr>
          <w:rFonts w:ascii="Times New Roman" w:eastAsia="Calibri" w:hAnsi="Times New Roman" w:cs="Times New Roman"/>
          <w:b/>
          <w:iCs/>
          <w:sz w:val="24"/>
          <w:szCs w:val="24"/>
        </w:rPr>
        <w:t xml:space="preserve"> </w:t>
      </w:r>
      <w:r w:rsidR="004E2C5A" w:rsidRPr="00793CFC">
        <w:rPr>
          <w:rFonts w:ascii="Times New Roman" w:eastAsia="Calibri" w:hAnsi="Times New Roman" w:cs="Times New Roman"/>
          <w:bCs/>
          <w:iCs/>
          <w:sz w:val="24"/>
          <w:szCs w:val="24"/>
        </w:rPr>
        <w:t>–</w:t>
      </w:r>
      <w:r w:rsidR="004E2C5A">
        <w:rPr>
          <w:rFonts w:ascii="Times New Roman" w:eastAsia="Calibri" w:hAnsi="Times New Roman" w:cs="Times New Roman"/>
          <w:b/>
          <w:iCs/>
          <w:sz w:val="24"/>
          <w:szCs w:val="24"/>
        </w:rPr>
        <w:t xml:space="preserve"> art. 1 pkt </w:t>
      </w:r>
      <w:r w:rsidR="001D0591">
        <w:rPr>
          <w:rFonts w:ascii="Times New Roman" w:eastAsia="Calibri" w:hAnsi="Times New Roman" w:cs="Times New Roman"/>
          <w:b/>
          <w:iCs/>
          <w:sz w:val="24"/>
          <w:szCs w:val="24"/>
        </w:rPr>
        <w:t>14</w:t>
      </w:r>
      <w:r w:rsidR="00821D11">
        <w:rPr>
          <w:rFonts w:ascii="Times New Roman" w:eastAsia="Calibri" w:hAnsi="Times New Roman" w:cs="Times New Roman"/>
          <w:b/>
          <w:iCs/>
          <w:sz w:val="24"/>
          <w:szCs w:val="24"/>
        </w:rPr>
        <w:t xml:space="preserve"> </w:t>
      </w:r>
      <w:r w:rsidR="004E2C5A">
        <w:rPr>
          <w:rFonts w:ascii="Times New Roman" w:eastAsia="Calibri" w:hAnsi="Times New Roman" w:cs="Times New Roman"/>
          <w:b/>
          <w:iCs/>
          <w:sz w:val="24"/>
          <w:szCs w:val="24"/>
        </w:rPr>
        <w:t>projektu</w:t>
      </w:r>
    </w:p>
    <w:p w14:paraId="2544CA84" w14:textId="40932091" w:rsidR="00C14041" w:rsidRPr="001210F7" w:rsidRDefault="00C14041" w:rsidP="0081594C">
      <w:pPr>
        <w:tabs>
          <w:tab w:val="left" w:pos="5670"/>
        </w:tabs>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Obecnie podstawę obliczenia daniny solidarnościowej stanowi nadwyżka ponad kwotę 1 000 000 zł sumy dochodów – podlegających opodatkowaniu na zasadach określonych w art. 27 ust. 1, 9 i 9a (skala podatkowa), art. 30b (jednolita 19</w:t>
      </w:r>
      <w:r w:rsidR="00B152C9">
        <w:rPr>
          <w:rFonts w:ascii="Times New Roman" w:eastAsia="Calibri" w:hAnsi="Times New Roman" w:cs="Times New Roman"/>
          <w:bCs/>
          <w:iCs/>
          <w:sz w:val="24"/>
          <w:szCs w:val="24"/>
        </w:rPr>
        <w:t xml:space="preserve"> </w:t>
      </w:r>
      <w:r w:rsidRPr="001210F7">
        <w:rPr>
          <w:rFonts w:ascii="Times New Roman" w:eastAsia="Calibri" w:hAnsi="Times New Roman" w:cs="Times New Roman"/>
          <w:bCs/>
          <w:iCs/>
          <w:sz w:val="24"/>
          <w:szCs w:val="24"/>
        </w:rPr>
        <w:t>% stawka podatku od zysków kapitałowych), art. 30c (jednolita 19</w:t>
      </w:r>
      <w:r w:rsidR="00B152C9">
        <w:rPr>
          <w:rFonts w:ascii="Times New Roman" w:eastAsia="Calibri" w:hAnsi="Times New Roman" w:cs="Times New Roman"/>
          <w:bCs/>
          <w:iCs/>
          <w:sz w:val="24"/>
          <w:szCs w:val="24"/>
        </w:rPr>
        <w:t xml:space="preserve"> </w:t>
      </w:r>
      <w:r w:rsidRPr="001210F7">
        <w:rPr>
          <w:rFonts w:ascii="Times New Roman" w:eastAsia="Calibri" w:hAnsi="Times New Roman" w:cs="Times New Roman"/>
          <w:bCs/>
          <w:iCs/>
          <w:sz w:val="24"/>
          <w:szCs w:val="24"/>
        </w:rPr>
        <w:t xml:space="preserve">% stawka podatku m.in. od dochodów z działalności gospodarczej) oraz art. 30f ustawy </w:t>
      </w:r>
      <w:r w:rsidR="00A8132E">
        <w:rPr>
          <w:rFonts w:ascii="Times New Roman" w:eastAsia="Calibri" w:hAnsi="Times New Roman" w:cs="Times New Roman"/>
          <w:bCs/>
          <w:iCs/>
          <w:sz w:val="24"/>
          <w:szCs w:val="24"/>
        </w:rPr>
        <w:t xml:space="preserve">o </w:t>
      </w:r>
      <w:r w:rsidRPr="001210F7">
        <w:rPr>
          <w:rFonts w:ascii="Times New Roman" w:eastAsia="Calibri" w:hAnsi="Times New Roman" w:cs="Times New Roman"/>
          <w:bCs/>
          <w:iCs/>
          <w:sz w:val="24"/>
          <w:szCs w:val="24"/>
        </w:rPr>
        <w:t>PIT (19</w:t>
      </w:r>
      <w:r w:rsidR="00B152C9">
        <w:rPr>
          <w:rFonts w:ascii="Times New Roman" w:eastAsia="Calibri" w:hAnsi="Times New Roman" w:cs="Times New Roman"/>
          <w:bCs/>
          <w:iCs/>
          <w:sz w:val="24"/>
          <w:szCs w:val="24"/>
        </w:rPr>
        <w:t xml:space="preserve"> </w:t>
      </w:r>
      <w:r w:rsidRPr="001210F7">
        <w:rPr>
          <w:rFonts w:ascii="Times New Roman" w:eastAsia="Calibri" w:hAnsi="Times New Roman" w:cs="Times New Roman"/>
          <w:bCs/>
          <w:iCs/>
          <w:sz w:val="24"/>
          <w:szCs w:val="24"/>
        </w:rPr>
        <w:t xml:space="preserve">% stawka podatku od dochodów zagranicznej spółki kontrolowanej) – pomniejszonych o możliwe do odliczenia od tych dochodów składki na ubezpieczenia społeczne, o których mowa w art. 26 ust. 1 pkt 2 i 2a ustawy </w:t>
      </w:r>
      <w:r w:rsidR="00A8132E">
        <w:rPr>
          <w:rFonts w:ascii="Times New Roman" w:eastAsia="Calibri" w:hAnsi="Times New Roman" w:cs="Times New Roman"/>
          <w:bCs/>
          <w:iCs/>
          <w:sz w:val="24"/>
          <w:szCs w:val="24"/>
        </w:rPr>
        <w:t xml:space="preserve">o </w:t>
      </w:r>
      <w:r w:rsidRPr="001210F7">
        <w:rPr>
          <w:rFonts w:ascii="Times New Roman" w:eastAsia="Calibri" w:hAnsi="Times New Roman" w:cs="Times New Roman"/>
          <w:bCs/>
          <w:iCs/>
          <w:sz w:val="24"/>
          <w:szCs w:val="24"/>
        </w:rPr>
        <w:t>PIT,</w:t>
      </w:r>
      <w:r w:rsidR="008F269E">
        <w:rPr>
          <w:rFonts w:ascii="Times New Roman" w:eastAsia="Calibri" w:hAnsi="Times New Roman" w:cs="Times New Roman"/>
          <w:bCs/>
          <w:iCs/>
          <w:sz w:val="24"/>
          <w:szCs w:val="24"/>
        </w:rPr>
        <w:t xml:space="preserve"> </w:t>
      </w:r>
      <w:r w:rsidRPr="001210F7">
        <w:rPr>
          <w:rFonts w:ascii="Times New Roman" w:eastAsia="Calibri" w:hAnsi="Times New Roman" w:cs="Times New Roman"/>
          <w:bCs/>
          <w:iCs/>
          <w:sz w:val="24"/>
          <w:szCs w:val="24"/>
        </w:rPr>
        <w:t>składki, o których mowa w art. 30c ust. 2 pkt 2</w:t>
      </w:r>
      <w:r w:rsidR="00596E1E">
        <w:rPr>
          <w:rFonts w:ascii="Times New Roman" w:eastAsia="Calibri" w:hAnsi="Times New Roman" w:cs="Times New Roman"/>
          <w:bCs/>
          <w:iCs/>
          <w:sz w:val="24"/>
          <w:szCs w:val="24"/>
        </w:rPr>
        <w:t>,</w:t>
      </w:r>
      <w:r w:rsidRPr="001210F7">
        <w:rPr>
          <w:rFonts w:ascii="Times New Roman" w:eastAsia="Calibri" w:hAnsi="Times New Roman" w:cs="Times New Roman"/>
          <w:bCs/>
          <w:iCs/>
          <w:sz w:val="24"/>
          <w:szCs w:val="24"/>
        </w:rPr>
        <w:t xml:space="preserve"> oraz o kwoty wymienione w art. 30f ust. 5 ustawy </w:t>
      </w:r>
      <w:r w:rsidR="00A8132E">
        <w:rPr>
          <w:rFonts w:ascii="Times New Roman" w:eastAsia="Calibri" w:hAnsi="Times New Roman" w:cs="Times New Roman"/>
          <w:bCs/>
          <w:iCs/>
          <w:sz w:val="24"/>
          <w:szCs w:val="24"/>
        </w:rPr>
        <w:t xml:space="preserve">o </w:t>
      </w:r>
      <w:r w:rsidRPr="001210F7">
        <w:rPr>
          <w:rFonts w:ascii="Times New Roman" w:eastAsia="Calibri" w:hAnsi="Times New Roman" w:cs="Times New Roman"/>
          <w:bCs/>
          <w:iCs/>
          <w:sz w:val="24"/>
          <w:szCs w:val="24"/>
        </w:rPr>
        <w:t>PIT.</w:t>
      </w:r>
    </w:p>
    <w:p w14:paraId="5B19E73E" w14:textId="0F4B1556" w:rsidR="00C14041" w:rsidRPr="001210F7" w:rsidRDefault="00C14041" w:rsidP="004C172B">
      <w:pPr>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lastRenderedPageBreak/>
        <w:t>Na przestrzeni lat pojawiły się liczne wątpliwości interpretacyjne w zakresie rozumienia pojęcia „</w:t>
      </w:r>
      <w:r w:rsidRPr="0027548A">
        <w:rPr>
          <w:rFonts w:ascii="Times New Roman" w:eastAsia="Calibri" w:hAnsi="Times New Roman" w:cs="Times New Roman"/>
          <w:bCs/>
          <w:i/>
          <w:sz w:val="24"/>
          <w:szCs w:val="24"/>
        </w:rPr>
        <w:t>dochód podlegający opodatkowaniu</w:t>
      </w:r>
      <w:r w:rsidRPr="001210F7">
        <w:rPr>
          <w:rFonts w:ascii="Times New Roman" w:eastAsia="Calibri" w:hAnsi="Times New Roman" w:cs="Times New Roman"/>
          <w:bCs/>
          <w:iCs/>
          <w:sz w:val="24"/>
          <w:szCs w:val="24"/>
        </w:rPr>
        <w:t>” użytego w tych przepisach. Wątpliwości te dotyczyły możliwości obliczania dochodu będącego podstawą obliczenia daniny solidarnościowej z uwzględnieniem straty z lat ubiegłych oraz innych przysługujących podatnikowi przy obliczaniu podatku PIT odliczeń lub pomniejszeń.</w:t>
      </w:r>
    </w:p>
    <w:p w14:paraId="0BC925B2" w14:textId="16E22576" w:rsidR="00C14041" w:rsidRPr="001210F7" w:rsidRDefault="00C14041" w:rsidP="004C172B">
      <w:pPr>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 xml:space="preserve">Proponowane zmiany mają na celu rozstrzygnięcie tych wątpliwości poprzez jednoznaczne wskazanie, iż podatnik może dochody stanowiące podstawę obliczenia daniny solidarnościowej pomniejszyć o straty z lat ubiegłych. </w:t>
      </w:r>
    </w:p>
    <w:p w14:paraId="3EB7CDEB" w14:textId="02CB8366" w:rsidR="00C14041" w:rsidRPr="001210F7" w:rsidRDefault="00C14041" w:rsidP="00E251BA">
      <w:pPr>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Straty te będą mogły pomniejszyć dochody uzyskane z tego samego źródła przychodów, z którego dochody stanowią podstawę obliczenia daniny solidarnościowej.</w:t>
      </w:r>
    </w:p>
    <w:p w14:paraId="6E553F02" w14:textId="42A1A3DA" w:rsidR="006F108C" w:rsidRDefault="00D11F64" w:rsidP="00035739">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Jednocześnie projektowana regulacja jednoznacznie przesądza, że</w:t>
      </w:r>
      <w:r w:rsidR="00C14041" w:rsidRPr="001210F7">
        <w:rPr>
          <w:rFonts w:ascii="Times New Roman" w:eastAsia="Calibri" w:hAnsi="Times New Roman" w:cs="Times New Roman"/>
          <w:bCs/>
          <w:iCs/>
          <w:sz w:val="24"/>
          <w:szCs w:val="24"/>
        </w:rPr>
        <w:t xml:space="preserve"> podatnik dochodów tych nie może pomniejszyć o inne przysługujące osobom fizycznym, przy opodatkowaniu podatkiem dochodowym, odliczenia lub pomniejszenia.</w:t>
      </w:r>
    </w:p>
    <w:p w14:paraId="4E17A9AD" w14:textId="251F1B82" w:rsidR="00B23BF6" w:rsidRDefault="00B23BF6" w:rsidP="00035739">
      <w:pPr>
        <w:spacing w:before="120" w:line="360" w:lineRule="auto"/>
        <w:jc w:val="both"/>
        <w:rPr>
          <w:rFonts w:ascii="Times New Roman" w:eastAsia="Calibri" w:hAnsi="Times New Roman" w:cs="Times New Roman"/>
          <w:bCs/>
          <w:iCs/>
          <w:sz w:val="24"/>
          <w:szCs w:val="24"/>
        </w:rPr>
      </w:pPr>
      <w:r w:rsidRPr="00B23BF6">
        <w:rPr>
          <w:rFonts w:ascii="Times New Roman" w:eastAsia="Calibri" w:hAnsi="Times New Roman" w:cs="Times New Roman"/>
          <w:bCs/>
          <w:iCs/>
          <w:sz w:val="24"/>
          <w:szCs w:val="24"/>
        </w:rPr>
        <w:t>Projektowany przepis zakłada ponadto poszerzenie podstawy obliczenia daniny solidarnościowej o kwalifikowane dochody, o których mowa w art. 30ca ust. 3 ustawy o PIT (tzw. IP Box).</w:t>
      </w:r>
    </w:p>
    <w:p w14:paraId="69680E83" w14:textId="1EB32ED9" w:rsidR="00411C44" w:rsidRPr="0027548A" w:rsidRDefault="00AC7DD0" w:rsidP="0027548A">
      <w:pPr>
        <w:pStyle w:val="PKTpunkt"/>
        <w:spacing w:before="240" w:after="120"/>
        <w:ind w:left="0" w:firstLine="0"/>
        <w:rPr>
          <w:b/>
        </w:rPr>
      </w:pPr>
      <w:r>
        <w:rPr>
          <w:b/>
        </w:rPr>
        <w:t>12</w:t>
      </w:r>
      <w:r w:rsidR="0081189A">
        <w:rPr>
          <w:b/>
        </w:rPr>
        <w:t xml:space="preserve">) </w:t>
      </w:r>
      <w:r w:rsidR="00411C44" w:rsidRPr="0027548A">
        <w:rPr>
          <w:b/>
        </w:rPr>
        <w:t>Likwidacja możliwości zmiany formy opodatkowania na ryczałt od dochodów spółek</w:t>
      </w:r>
      <w:r w:rsidR="00411C44">
        <w:rPr>
          <w:b/>
        </w:rPr>
        <w:t xml:space="preserve"> </w:t>
      </w:r>
      <w:r w:rsidR="00411C44" w:rsidRPr="0027548A">
        <w:rPr>
          <w:b/>
        </w:rPr>
        <w:t xml:space="preserve">przed upływem przyjętego przez podatnika roku podatkowego </w:t>
      </w:r>
      <w:r w:rsidR="008F0756" w:rsidRPr="0027548A">
        <w:rPr>
          <w:bCs w:val="0"/>
        </w:rPr>
        <w:t xml:space="preserve">(uchylany </w:t>
      </w:r>
      <w:r w:rsidR="00411C44" w:rsidRPr="008F0756">
        <w:rPr>
          <w:bCs w:val="0"/>
        </w:rPr>
        <w:t xml:space="preserve">art. 8 ust. 6a, </w:t>
      </w:r>
      <w:r w:rsidR="001A5FEC">
        <w:rPr>
          <w:bCs w:val="0"/>
        </w:rPr>
        <w:t>uchylany</w:t>
      </w:r>
      <w:r w:rsidR="008F0756" w:rsidRPr="0027548A">
        <w:rPr>
          <w:bCs w:val="0"/>
        </w:rPr>
        <w:t xml:space="preserve"> </w:t>
      </w:r>
      <w:r w:rsidR="00411C44" w:rsidRPr="008F0756">
        <w:rPr>
          <w:bCs w:val="0"/>
        </w:rPr>
        <w:t>art.</w:t>
      </w:r>
      <w:r w:rsidR="00411C44" w:rsidRPr="0027548A">
        <w:rPr>
          <w:bCs w:val="0"/>
        </w:rPr>
        <w:t xml:space="preserve"> </w:t>
      </w:r>
      <w:r w:rsidR="00411C44" w:rsidRPr="008F0756">
        <w:rPr>
          <w:bCs w:val="0"/>
        </w:rPr>
        <w:t>28e</w:t>
      </w:r>
      <w:r w:rsidR="001A5FEC">
        <w:rPr>
          <w:bCs w:val="0"/>
        </w:rPr>
        <w:t xml:space="preserve"> ust. 2</w:t>
      </w:r>
      <w:r w:rsidR="008F0756" w:rsidRPr="0027548A">
        <w:rPr>
          <w:bCs w:val="0"/>
        </w:rPr>
        <w:t xml:space="preserve"> i uchylany</w:t>
      </w:r>
      <w:r w:rsidR="00411C44" w:rsidRPr="008F0756">
        <w:rPr>
          <w:bCs w:val="0"/>
        </w:rPr>
        <w:t xml:space="preserve"> </w:t>
      </w:r>
      <w:r w:rsidR="00411C44" w:rsidRPr="0027548A">
        <w:rPr>
          <w:bCs w:val="0"/>
        </w:rPr>
        <w:t xml:space="preserve">art. </w:t>
      </w:r>
      <w:r w:rsidR="00411C44" w:rsidRPr="008F0756">
        <w:rPr>
          <w:bCs w:val="0"/>
        </w:rPr>
        <w:t xml:space="preserve">28j ust. 5 ustawy </w:t>
      </w:r>
      <w:r w:rsidR="00575C99">
        <w:rPr>
          <w:bCs w:val="0"/>
        </w:rPr>
        <w:t xml:space="preserve">o </w:t>
      </w:r>
      <w:r w:rsidR="00411C44" w:rsidRPr="008F0756">
        <w:rPr>
          <w:bCs w:val="0"/>
        </w:rPr>
        <w:t>CIT</w:t>
      </w:r>
      <w:r w:rsidR="008F0756" w:rsidRPr="0027548A">
        <w:rPr>
          <w:bCs w:val="0"/>
        </w:rPr>
        <w:t xml:space="preserve">) </w:t>
      </w:r>
      <w:r w:rsidR="008F0756" w:rsidRPr="00793CFC">
        <w:rPr>
          <w:bCs w:val="0"/>
        </w:rPr>
        <w:t>–</w:t>
      </w:r>
      <w:r w:rsidR="008F0756">
        <w:rPr>
          <w:b/>
        </w:rPr>
        <w:t xml:space="preserve"> art. 2 pkt </w:t>
      </w:r>
      <w:r w:rsidR="001A5FEC">
        <w:rPr>
          <w:b/>
        </w:rPr>
        <w:t>1</w:t>
      </w:r>
      <w:r w:rsidR="008F0756">
        <w:rPr>
          <w:b/>
        </w:rPr>
        <w:t xml:space="preserve">, </w:t>
      </w:r>
      <w:r w:rsidR="000C26B1" w:rsidRPr="000C26B1">
        <w:rPr>
          <w:b/>
        </w:rPr>
        <w:t>13</w:t>
      </w:r>
      <w:r w:rsidR="008F0756">
        <w:rPr>
          <w:b/>
        </w:rPr>
        <w:t xml:space="preserve"> i </w:t>
      </w:r>
      <w:r w:rsidR="001A5FEC">
        <w:rPr>
          <w:b/>
        </w:rPr>
        <w:t>1</w:t>
      </w:r>
      <w:r w:rsidR="000C26B1">
        <w:rPr>
          <w:b/>
        </w:rPr>
        <w:t>5</w:t>
      </w:r>
      <w:r w:rsidR="008F0756">
        <w:rPr>
          <w:b/>
        </w:rPr>
        <w:t xml:space="preserve"> lit. b projektu </w:t>
      </w:r>
    </w:p>
    <w:p w14:paraId="5CEEE241" w14:textId="3AC5588B" w:rsidR="00BC6A6A" w:rsidRPr="0027548A" w:rsidRDefault="00411C44" w:rsidP="004C172B">
      <w:pPr>
        <w:pStyle w:val="PKTpunkt"/>
        <w:ind w:left="0" w:firstLine="0"/>
        <w:rPr>
          <w:rFonts w:ascii="Times New Roman" w:hAnsi="Times New Roman" w:cs="Times New Roman"/>
          <w:bCs w:val="0"/>
        </w:rPr>
      </w:pPr>
      <w:r w:rsidRPr="00411C44">
        <w:rPr>
          <w:bCs w:val="0"/>
        </w:rPr>
        <w:t xml:space="preserve">Możliwość zmiany formy opodatkowania na ryczałt od dochodów spółek </w:t>
      </w:r>
      <w:r>
        <w:rPr>
          <w:bCs w:val="0"/>
        </w:rPr>
        <w:t xml:space="preserve">przed upływem przyjętego przez podatnika roku podatkowego </w:t>
      </w:r>
      <w:r w:rsidRPr="00411C44">
        <w:rPr>
          <w:bCs w:val="0"/>
        </w:rPr>
        <w:t>wprowadzono na mocy ustawy z dnia 29 października 2021 r. o zmianie ustawy o podatku dochodowym od osób fizycznych, ustawy o podatku dochodowym od osób prawnych oraz niektórych innych ustaw</w:t>
      </w:r>
      <w:r w:rsidR="00D7363F">
        <w:rPr>
          <w:rStyle w:val="Odwoanieprzypisudolnego"/>
          <w:bCs w:val="0"/>
        </w:rPr>
        <w:footnoteReference w:id="9"/>
      </w:r>
      <w:r w:rsidRPr="00411C44">
        <w:rPr>
          <w:bCs w:val="0"/>
        </w:rPr>
        <w:t xml:space="preserve"> wraz z szeregiem innych zmian liberalizujących zasady opodatkowania tzw. estońskim CIT. Wprowadzenie możliwości zmiany formy opodatkowania w trakcie roku podatkowego miało na celu jak najszybsze umożliwienie skorzystani</w:t>
      </w:r>
      <w:r>
        <w:rPr>
          <w:bCs w:val="0"/>
        </w:rPr>
        <w:t>a</w:t>
      </w:r>
      <w:r w:rsidRPr="00411C44">
        <w:rPr>
          <w:bCs w:val="0"/>
        </w:rPr>
        <w:t xml:space="preserve"> z opodatkowania ryczałtem od dochodów spółek </w:t>
      </w:r>
      <w:r w:rsidR="00BC79D3">
        <w:rPr>
          <w:bCs w:val="0"/>
        </w:rPr>
        <w:t>„</w:t>
      </w:r>
      <w:r w:rsidRPr="00411C44">
        <w:rPr>
          <w:bCs w:val="0"/>
        </w:rPr>
        <w:t>w</w:t>
      </w:r>
      <w:r w:rsidR="00D7363F">
        <w:rPr>
          <w:bCs w:val="0"/>
        </w:rPr>
        <w:t> </w:t>
      </w:r>
      <w:r w:rsidRPr="00411C44">
        <w:rPr>
          <w:bCs w:val="0"/>
        </w:rPr>
        <w:t>nowym wydaniu</w:t>
      </w:r>
      <w:r w:rsidR="00BC79D3">
        <w:rPr>
          <w:bCs w:val="0"/>
        </w:rPr>
        <w:t>”</w:t>
      </w:r>
      <w:r w:rsidRPr="00411C44">
        <w:rPr>
          <w:bCs w:val="0"/>
        </w:rPr>
        <w:t xml:space="preserve"> jak najszerszej grupie podatników spełniających określone ustawowo warunki. Na przestrzeni lat przepis ten jednak generował wiele wątpliwości interpretacyjnych, o czym świadczy m.in. interpretacja ogólna nr DD8.8203.1.2023 Ministra Finansów z dnia 25 </w:t>
      </w:r>
      <w:r w:rsidRPr="00411C44">
        <w:rPr>
          <w:bCs w:val="0"/>
        </w:rPr>
        <w:lastRenderedPageBreak/>
        <w:t xml:space="preserve">stycznia 2024 r. w sprawie składania zawiadomienia o wyborze opodatkowania ryczałtem od dochodów spółek przed upływem przyjętego przez podatnika roku podatkowego, a także sporów, o czym z kolei świadczy treść projektowanego art. </w:t>
      </w:r>
      <w:r w:rsidR="009520E9">
        <w:rPr>
          <w:bCs w:val="0"/>
        </w:rPr>
        <w:t>10</w:t>
      </w:r>
      <w:r>
        <w:rPr>
          <w:bCs w:val="0"/>
        </w:rPr>
        <w:t xml:space="preserve"> ustawy</w:t>
      </w:r>
      <w:r w:rsidR="00575C99">
        <w:rPr>
          <w:bCs w:val="0"/>
        </w:rPr>
        <w:t xml:space="preserve"> </w:t>
      </w:r>
      <w:r>
        <w:rPr>
          <w:bCs w:val="0"/>
        </w:rPr>
        <w:t xml:space="preserve">wraz z przytoczonym w tym zakresie uzasadnieniem. Jednocześnie </w:t>
      </w:r>
      <w:r w:rsidR="00D7363F">
        <w:rPr>
          <w:bCs w:val="0"/>
        </w:rPr>
        <w:t>według stanu na</w:t>
      </w:r>
      <w:r>
        <w:rPr>
          <w:bCs w:val="0"/>
        </w:rPr>
        <w:t xml:space="preserve"> październik 2025</w:t>
      </w:r>
      <w:r w:rsidR="00D7363F">
        <w:rPr>
          <w:bCs w:val="0"/>
        </w:rPr>
        <w:t> </w:t>
      </w:r>
      <w:r>
        <w:rPr>
          <w:bCs w:val="0"/>
        </w:rPr>
        <w:t xml:space="preserve">r. z ryczałtu od dochodów spółek korzystało </w:t>
      </w:r>
      <w:r w:rsidR="00D7363F">
        <w:rPr>
          <w:bCs w:val="0"/>
        </w:rPr>
        <w:t xml:space="preserve">już </w:t>
      </w:r>
      <w:r>
        <w:rPr>
          <w:bCs w:val="0"/>
        </w:rPr>
        <w:t>22 454 podatników (</w:t>
      </w:r>
      <w:r w:rsidR="00BC79D3">
        <w:rPr>
          <w:bCs w:val="0"/>
        </w:rPr>
        <w:t xml:space="preserve">w porównaniu do </w:t>
      </w:r>
      <w:r>
        <w:rPr>
          <w:bCs w:val="0"/>
        </w:rPr>
        <w:t>515 podatników na koniec 2021 r.)</w:t>
      </w:r>
      <w:r w:rsidR="00D7363F">
        <w:rPr>
          <w:bCs w:val="0"/>
        </w:rPr>
        <w:t>. Co istotne, d</w:t>
      </w:r>
      <w:r>
        <w:rPr>
          <w:bCs w:val="0"/>
        </w:rPr>
        <w:t xml:space="preserve">ynamika wzrostu liczby podatników korzystających </w:t>
      </w:r>
      <w:r w:rsidR="00BC79D3">
        <w:rPr>
          <w:bCs w:val="0"/>
        </w:rPr>
        <w:t xml:space="preserve">z </w:t>
      </w:r>
      <w:r>
        <w:rPr>
          <w:bCs w:val="0"/>
        </w:rPr>
        <w:t>tej formy opodatkowania istotnie zmalała. Mając powyższe na uwadze</w:t>
      </w:r>
      <w:r w:rsidR="00EA0D93">
        <w:rPr>
          <w:bCs w:val="0"/>
        </w:rPr>
        <w:t>,</w:t>
      </w:r>
      <w:r>
        <w:rPr>
          <w:bCs w:val="0"/>
        </w:rPr>
        <w:t xml:space="preserve"> należy uznać, </w:t>
      </w:r>
      <w:r w:rsidRPr="0027548A">
        <w:rPr>
          <w:rFonts w:ascii="Times New Roman" w:hAnsi="Times New Roman" w:cs="Times New Roman"/>
        </w:rPr>
        <w:t>że cel</w:t>
      </w:r>
      <w:r w:rsidR="00EA0D93">
        <w:rPr>
          <w:rFonts w:ascii="Times New Roman" w:hAnsi="Times New Roman" w:cs="Times New Roman"/>
        </w:rPr>
        <w:t>,</w:t>
      </w:r>
      <w:r w:rsidRPr="0027548A">
        <w:rPr>
          <w:rFonts w:ascii="Times New Roman" w:hAnsi="Times New Roman" w:cs="Times New Roman"/>
        </w:rPr>
        <w:t xml:space="preserve"> dla którego niniejsza możliwość była wprowadzona</w:t>
      </w:r>
      <w:r w:rsidR="00EA0D93">
        <w:rPr>
          <w:rFonts w:ascii="Times New Roman" w:hAnsi="Times New Roman" w:cs="Times New Roman"/>
        </w:rPr>
        <w:t>,</w:t>
      </w:r>
      <w:r w:rsidRPr="0027548A">
        <w:rPr>
          <w:rFonts w:ascii="Times New Roman" w:hAnsi="Times New Roman" w:cs="Times New Roman"/>
        </w:rPr>
        <w:t xml:space="preserve"> został </w:t>
      </w:r>
      <w:r w:rsidR="00D7363F" w:rsidRPr="0027548A">
        <w:rPr>
          <w:rFonts w:ascii="Times New Roman" w:hAnsi="Times New Roman" w:cs="Times New Roman"/>
        </w:rPr>
        <w:t>zrealizowany</w:t>
      </w:r>
      <w:r w:rsidRPr="0027548A">
        <w:rPr>
          <w:rFonts w:ascii="Times New Roman" w:hAnsi="Times New Roman" w:cs="Times New Roman"/>
        </w:rPr>
        <w:t xml:space="preserve"> i brak jest uzasadnienia dla utrzymywania w obrocie prawnym </w:t>
      </w:r>
      <w:r w:rsidR="00D7363F" w:rsidRPr="0027548A">
        <w:rPr>
          <w:rFonts w:ascii="Times New Roman" w:hAnsi="Times New Roman" w:cs="Times New Roman"/>
        </w:rPr>
        <w:t xml:space="preserve">omawianej regulacji </w:t>
      </w:r>
      <w:bookmarkStart w:id="10" w:name="_Hlk231220568"/>
      <w:r w:rsidR="00D7363F" w:rsidRPr="0027548A">
        <w:rPr>
          <w:rFonts w:ascii="Times New Roman" w:hAnsi="Times New Roman" w:cs="Times New Roman"/>
        </w:rPr>
        <w:t>–</w:t>
      </w:r>
      <w:bookmarkEnd w:id="10"/>
      <w:r w:rsidR="00D7363F" w:rsidRPr="0027548A">
        <w:rPr>
          <w:rFonts w:ascii="Times New Roman" w:hAnsi="Times New Roman" w:cs="Times New Roman"/>
        </w:rPr>
        <w:t xml:space="preserve"> jak wskazano </w:t>
      </w:r>
      <w:r w:rsidR="006F108C" w:rsidRPr="006F108C">
        <w:rPr>
          <w:rFonts w:ascii="Times New Roman" w:hAnsi="Times New Roman" w:cs="Times New Roman"/>
        </w:rPr>
        <w:t>–</w:t>
      </w:r>
      <w:r w:rsidR="00D7363F" w:rsidRPr="0027548A">
        <w:rPr>
          <w:rFonts w:ascii="Times New Roman" w:hAnsi="Times New Roman" w:cs="Times New Roman"/>
        </w:rPr>
        <w:t xml:space="preserve"> </w:t>
      </w:r>
      <w:r w:rsidRPr="0027548A">
        <w:rPr>
          <w:rFonts w:ascii="Times New Roman" w:hAnsi="Times New Roman" w:cs="Times New Roman"/>
        </w:rPr>
        <w:t>generującej liczne wątpliwości interpretacyjne i</w:t>
      </w:r>
      <w:r w:rsidR="00D7363F" w:rsidRPr="0027548A">
        <w:rPr>
          <w:rFonts w:ascii="Times New Roman" w:hAnsi="Times New Roman" w:cs="Times New Roman"/>
        </w:rPr>
        <w:t> </w:t>
      </w:r>
      <w:r w:rsidRPr="0027548A">
        <w:rPr>
          <w:rFonts w:ascii="Times New Roman" w:hAnsi="Times New Roman" w:cs="Times New Roman"/>
        </w:rPr>
        <w:t>spory podatkowe. W projekcie proponuje się zatem likwidację możliwości zmiany formy opodatkowania na ryczałt od dochodów spółek przed upływem przyjętego przez podatnika roku podatkowego.</w:t>
      </w:r>
    </w:p>
    <w:p w14:paraId="3C1DDFB2" w14:textId="5064E37D" w:rsidR="00AF28CA" w:rsidRDefault="00AC7DD0" w:rsidP="00AF28CA">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
          <w:iCs/>
          <w:sz w:val="24"/>
          <w:szCs w:val="24"/>
        </w:rPr>
        <w:t>13</w:t>
      </w:r>
      <w:r w:rsidR="00AF28CA">
        <w:rPr>
          <w:rFonts w:ascii="Times New Roman" w:eastAsia="Calibri" w:hAnsi="Times New Roman" w:cs="Times New Roman"/>
          <w:b/>
          <w:iCs/>
          <w:sz w:val="24"/>
          <w:szCs w:val="24"/>
        </w:rPr>
        <w:t>) Wyeliminowanie wątpliwości względem możliwości uwzględnienia w kosztach uzyskania przychodów środków finansowania dłużnego</w:t>
      </w:r>
      <w:r w:rsidR="00AD5897">
        <w:rPr>
          <w:rFonts w:ascii="Times New Roman" w:eastAsia="Calibri" w:hAnsi="Times New Roman" w:cs="Times New Roman"/>
          <w:b/>
          <w:iCs/>
          <w:sz w:val="24"/>
          <w:szCs w:val="24"/>
        </w:rPr>
        <w:t xml:space="preserve"> od kredytów refinansowych</w:t>
      </w:r>
      <w:r w:rsidR="00BD05A8">
        <w:rPr>
          <w:rFonts w:ascii="Times New Roman" w:eastAsia="Calibri" w:hAnsi="Times New Roman" w:cs="Times New Roman"/>
          <w:b/>
          <w:iCs/>
          <w:sz w:val="24"/>
          <w:szCs w:val="24"/>
        </w:rPr>
        <w:t>,</w:t>
      </w:r>
      <w:r w:rsidR="00AF28CA">
        <w:rPr>
          <w:rFonts w:ascii="Times New Roman" w:eastAsia="Calibri" w:hAnsi="Times New Roman" w:cs="Times New Roman"/>
          <w:b/>
          <w:iCs/>
          <w:sz w:val="24"/>
          <w:szCs w:val="24"/>
        </w:rPr>
        <w:t xml:space="preserve"> niestanowiących kosztów podatkowych</w:t>
      </w:r>
      <w:r w:rsidR="006F108C">
        <w:rPr>
          <w:rFonts w:ascii="Times New Roman" w:eastAsia="Calibri" w:hAnsi="Times New Roman" w:cs="Times New Roman"/>
          <w:b/>
          <w:iCs/>
          <w:sz w:val="24"/>
          <w:szCs w:val="24"/>
        </w:rPr>
        <w:t>,</w:t>
      </w:r>
      <w:r w:rsidR="00AF28CA">
        <w:rPr>
          <w:rFonts w:ascii="Times New Roman" w:eastAsia="Calibri" w:hAnsi="Times New Roman" w:cs="Times New Roman"/>
          <w:b/>
          <w:iCs/>
          <w:sz w:val="24"/>
          <w:szCs w:val="24"/>
        </w:rPr>
        <w:t xml:space="preserve"> </w:t>
      </w:r>
      <w:r w:rsidR="00BD05A8">
        <w:rPr>
          <w:rFonts w:ascii="Times New Roman" w:eastAsia="Calibri" w:hAnsi="Times New Roman" w:cs="Times New Roman"/>
          <w:b/>
          <w:iCs/>
          <w:sz w:val="24"/>
          <w:szCs w:val="24"/>
        </w:rPr>
        <w:t xml:space="preserve">zgodnie z treścią </w:t>
      </w:r>
      <w:r w:rsidR="00AF28CA">
        <w:rPr>
          <w:rFonts w:ascii="Times New Roman" w:eastAsia="Calibri" w:hAnsi="Times New Roman" w:cs="Times New Roman"/>
          <w:b/>
          <w:iCs/>
          <w:sz w:val="24"/>
          <w:szCs w:val="24"/>
        </w:rPr>
        <w:t xml:space="preserve">art. 16 ust. 1 pkt 13e i 13f </w:t>
      </w:r>
      <w:r w:rsidR="00BD05A8">
        <w:rPr>
          <w:rFonts w:ascii="Times New Roman" w:eastAsia="Calibri" w:hAnsi="Times New Roman" w:cs="Times New Roman"/>
          <w:b/>
          <w:iCs/>
          <w:sz w:val="24"/>
          <w:szCs w:val="24"/>
        </w:rPr>
        <w:t xml:space="preserve">ustawy o CIT </w:t>
      </w:r>
      <w:r w:rsidR="00AF28CA" w:rsidRPr="000169AD">
        <w:rPr>
          <w:rFonts w:ascii="Times New Roman" w:eastAsia="Calibri" w:hAnsi="Times New Roman" w:cs="Times New Roman"/>
          <w:bCs/>
          <w:iCs/>
          <w:sz w:val="24"/>
          <w:szCs w:val="24"/>
        </w:rPr>
        <w:t>(</w:t>
      </w:r>
      <w:r w:rsidR="00353C7B" w:rsidRPr="000169AD">
        <w:rPr>
          <w:rFonts w:ascii="Times New Roman" w:eastAsia="Calibri" w:hAnsi="Times New Roman" w:cs="Times New Roman"/>
          <w:bCs/>
          <w:iCs/>
          <w:sz w:val="24"/>
          <w:szCs w:val="24"/>
        </w:rPr>
        <w:t>doda</w:t>
      </w:r>
      <w:r w:rsidR="00934A0D">
        <w:rPr>
          <w:rFonts w:ascii="Times New Roman" w:eastAsia="Calibri" w:hAnsi="Times New Roman" w:cs="Times New Roman"/>
          <w:bCs/>
          <w:iCs/>
          <w:sz w:val="24"/>
          <w:szCs w:val="24"/>
        </w:rPr>
        <w:t xml:space="preserve">ny </w:t>
      </w:r>
      <w:r w:rsidR="00934A0D" w:rsidRPr="00934A0D">
        <w:rPr>
          <w:rFonts w:ascii="Times New Roman" w:eastAsia="Calibri" w:hAnsi="Times New Roman" w:cs="Times New Roman"/>
          <w:bCs/>
          <w:iCs/>
          <w:sz w:val="24"/>
          <w:szCs w:val="24"/>
        </w:rPr>
        <w:t>ust. 1d i 1e</w:t>
      </w:r>
      <w:r w:rsidR="00353C7B" w:rsidRPr="000169AD">
        <w:rPr>
          <w:rFonts w:ascii="Times New Roman" w:eastAsia="Calibri" w:hAnsi="Times New Roman" w:cs="Times New Roman"/>
          <w:bCs/>
          <w:iCs/>
          <w:sz w:val="24"/>
          <w:szCs w:val="24"/>
        </w:rPr>
        <w:t xml:space="preserve"> </w:t>
      </w:r>
      <w:r w:rsidR="00AF28CA" w:rsidRPr="000169AD">
        <w:rPr>
          <w:rFonts w:ascii="Times New Roman" w:eastAsia="Calibri" w:hAnsi="Times New Roman" w:cs="Times New Roman"/>
          <w:bCs/>
          <w:iCs/>
          <w:sz w:val="24"/>
          <w:szCs w:val="24"/>
        </w:rPr>
        <w:t xml:space="preserve">w art. 16 </w:t>
      </w:r>
      <w:r w:rsidR="006B1AB5">
        <w:rPr>
          <w:rFonts w:ascii="Times New Roman" w:eastAsia="Calibri" w:hAnsi="Times New Roman" w:cs="Times New Roman"/>
          <w:bCs/>
          <w:iCs/>
          <w:sz w:val="24"/>
          <w:szCs w:val="24"/>
        </w:rPr>
        <w:t>ustawy o CIT</w:t>
      </w:r>
      <w:r w:rsidR="00AF28CA" w:rsidRPr="000169AD">
        <w:rPr>
          <w:rFonts w:ascii="Times New Roman" w:eastAsia="Calibri" w:hAnsi="Times New Roman" w:cs="Times New Roman"/>
          <w:bCs/>
          <w:iCs/>
          <w:sz w:val="24"/>
          <w:szCs w:val="24"/>
        </w:rPr>
        <w:t>)</w:t>
      </w:r>
      <w:r w:rsidR="00AF28CA">
        <w:rPr>
          <w:rFonts w:ascii="Times New Roman" w:eastAsia="Calibri" w:hAnsi="Times New Roman" w:cs="Times New Roman"/>
          <w:bCs/>
          <w:iCs/>
          <w:sz w:val="24"/>
          <w:szCs w:val="24"/>
        </w:rPr>
        <w:t xml:space="preserve"> – </w:t>
      </w:r>
      <w:r w:rsidR="00AF28CA" w:rsidRPr="006F108C">
        <w:rPr>
          <w:rFonts w:ascii="Times New Roman" w:eastAsia="Calibri" w:hAnsi="Times New Roman" w:cs="Times New Roman"/>
          <w:b/>
          <w:iCs/>
          <w:sz w:val="24"/>
          <w:szCs w:val="24"/>
        </w:rPr>
        <w:t xml:space="preserve">art. 2 pkt </w:t>
      </w:r>
      <w:r w:rsidR="008D3B3A">
        <w:rPr>
          <w:rFonts w:ascii="Times New Roman" w:eastAsia="Calibri" w:hAnsi="Times New Roman" w:cs="Times New Roman"/>
          <w:b/>
          <w:iCs/>
          <w:sz w:val="24"/>
          <w:szCs w:val="24"/>
        </w:rPr>
        <w:t>3</w:t>
      </w:r>
      <w:r w:rsidR="008D3B3A" w:rsidRPr="006F108C">
        <w:rPr>
          <w:rFonts w:ascii="Times New Roman" w:eastAsia="Calibri" w:hAnsi="Times New Roman" w:cs="Times New Roman"/>
          <w:b/>
          <w:iCs/>
          <w:sz w:val="24"/>
          <w:szCs w:val="24"/>
        </w:rPr>
        <w:t xml:space="preserve"> </w:t>
      </w:r>
      <w:r w:rsidR="00AF28CA" w:rsidRPr="006F108C">
        <w:rPr>
          <w:rFonts w:ascii="Times New Roman" w:eastAsia="Calibri" w:hAnsi="Times New Roman" w:cs="Times New Roman"/>
          <w:b/>
          <w:iCs/>
          <w:sz w:val="24"/>
          <w:szCs w:val="24"/>
        </w:rPr>
        <w:t>lit. b projektu</w:t>
      </w:r>
    </w:p>
    <w:p w14:paraId="611B8CF3" w14:textId="3B9BF766" w:rsidR="00AF28CA" w:rsidRPr="00B36F86" w:rsidRDefault="00AF28CA" w:rsidP="00AF28CA">
      <w:pPr>
        <w:spacing w:before="120" w:line="360" w:lineRule="auto"/>
        <w:jc w:val="both"/>
        <w:rPr>
          <w:rFonts w:ascii="Times New Roman" w:eastAsia="Calibri" w:hAnsi="Times New Roman" w:cs="Times New Roman"/>
          <w:bCs/>
          <w:iCs/>
          <w:sz w:val="24"/>
          <w:szCs w:val="24"/>
        </w:rPr>
      </w:pPr>
      <w:r w:rsidRPr="00B36F86">
        <w:rPr>
          <w:rFonts w:ascii="Times New Roman" w:eastAsia="Calibri" w:hAnsi="Times New Roman" w:cs="Times New Roman"/>
          <w:bCs/>
          <w:iCs/>
          <w:sz w:val="24"/>
          <w:szCs w:val="24"/>
        </w:rPr>
        <w:t xml:space="preserve">Projektowana regulacja ma na celu </w:t>
      </w:r>
      <w:r w:rsidR="004E1C5D">
        <w:rPr>
          <w:rFonts w:ascii="Times New Roman" w:eastAsia="Calibri" w:hAnsi="Times New Roman" w:cs="Times New Roman"/>
          <w:bCs/>
          <w:iCs/>
          <w:sz w:val="24"/>
          <w:szCs w:val="24"/>
        </w:rPr>
        <w:t>wyeliminowanie wątpliwości względem zakresu zastosowania</w:t>
      </w:r>
      <w:r w:rsidR="004E1C5D" w:rsidRPr="00B36F86">
        <w:rPr>
          <w:rFonts w:ascii="Times New Roman" w:eastAsia="Calibri" w:hAnsi="Times New Roman" w:cs="Times New Roman"/>
          <w:bCs/>
          <w:iCs/>
          <w:sz w:val="24"/>
          <w:szCs w:val="24"/>
        </w:rPr>
        <w:t xml:space="preserve"> </w:t>
      </w:r>
      <w:r w:rsidRPr="00B36F86">
        <w:rPr>
          <w:rFonts w:ascii="Times New Roman" w:eastAsia="Calibri" w:hAnsi="Times New Roman" w:cs="Times New Roman"/>
          <w:bCs/>
          <w:iCs/>
          <w:sz w:val="24"/>
          <w:szCs w:val="24"/>
        </w:rPr>
        <w:t xml:space="preserve">przepisów art. 16 ust. 1 pkt 13e oraz 13f ustawy o CIT. Przepisy te, wprowadzone odpowiednio w 2018 i 2022 roku, miały na celu zwalczanie praktyk optymalizacji podatkowej z wykorzystaniem mechanizmu </w:t>
      </w:r>
      <w:r w:rsidRPr="00F830F4">
        <w:rPr>
          <w:rFonts w:ascii="Times New Roman" w:eastAsia="Calibri" w:hAnsi="Times New Roman" w:cs="Times New Roman"/>
          <w:bCs/>
          <w:i/>
          <w:sz w:val="24"/>
          <w:szCs w:val="24"/>
        </w:rPr>
        <w:t>debt push-down</w:t>
      </w:r>
      <w:r w:rsidRPr="00B36F86">
        <w:rPr>
          <w:rFonts w:ascii="Times New Roman" w:eastAsia="Calibri" w:hAnsi="Times New Roman" w:cs="Times New Roman"/>
          <w:bCs/>
          <w:iCs/>
          <w:sz w:val="24"/>
          <w:szCs w:val="24"/>
        </w:rPr>
        <w:t xml:space="preserve"> oraz generowania zadłużenia w relacjach z podmiotami powiązanymi, w celu sfinansowana transakcji kapitałowych. Sednem tych konstrukcji było osiągniecie korzyści podatkowych z wykorzystaniem zjawiska przerzucania długu. </w:t>
      </w:r>
    </w:p>
    <w:p w14:paraId="78FB2595" w14:textId="67552082" w:rsidR="00AF28CA" w:rsidRPr="00B36F86" w:rsidRDefault="00AF28CA" w:rsidP="00AF28CA">
      <w:pPr>
        <w:spacing w:before="120" w:line="360" w:lineRule="auto"/>
        <w:jc w:val="both"/>
        <w:rPr>
          <w:rFonts w:ascii="Times New Roman" w:eastAsia="Calibri" w:hAnsi="Times New Roman" w:cs="Times New Roman"/>
          <w:bCs/>
          <w:iCs/>
          <w:sz w:val="24"/>
          <w:szCs w:val="24"/>
        </w:rPr>
      </w:pPr>
      <w:r w:rsidRPr="00B36F86">
        <w:rPr>
          <w:rFonts w:ascii="Times New Roman" w:eastAsia="Calibri" w:hAnsi="Times New Roman" w:cs="Times New Roman"/>
          <w:bCs/>
          <w:iCs/>
          <w:sz w:val="24"/>
          <w:szCs w:val="24"/>
        </w:rPr>
        <w:t xml:space="preserve">Mechanizm </w:t>
      </w:r>
      <w:r w:rsidRPr="00F830F4">
        <w:rPr>
          <w:rFonts w:ascii="Times New Roman" w:eastAsia="Calibri" w:hAnsi="Times New Roman" w:cs="Times New Roman"/>
          <w:bCs/>
          <w:i/>
          <w:sz w:val="24"/>
          <w:szCs w:val="24"/>
        </w:rPr>
        <w:t>debt push-down</w:t>
      </w:r>
      <w:r w:rsidRPr="00B36F86">
        <w:rPr>
          <w:rFonts w:ascii="Times New Roman" w:eastAsia="Calibri" w:hAnsi="Times New Roman" w:cs="Times New Roman"/>
          <w:bCs/>
          <w:iCs/>
          <w:sz w:val="24"/>
          <w:szCs w:val="24"/>
        </w:rPr>
        <w:t xml:space="preserve"> stanowił szeroko wykorzystywaną przed 2018 r</w:t>
      </w:r>
      <w:r w:rsidR="00F830F4">
        <w:rPr>
          <w:rFonts w:ascii="Times New Roman" w:eastAsia="Calibri" w:hAnsi="Times New Roman" w:cs="Times New Roman"/>
          <w:bCs/>
          <w:iCs/>
          <w:sz w:val="24"/>
          <w:szCs w:val="24"/>
        </w:rPr>
        <w:t xml:space="preserve">. </w:t>
      </w:r>
      <w:r w:rsidRPr="00B36F86">
        <w:rPr>
          <w:rFonts w:ascii="Times New Roman" w:eastAsia="Calibri" w:hAnsi="Times New Roman" w:cs="Times New Roman"/>
          <w:bCs/>
          <w:iCs/>
          <w:sz w:val="24"/>
          <w:szCs w:val="24"/>
        </w:rPr>
        <w:t>strategię fina</w:t>
      </w:r>
      <w:r w:rsidR="00F830F4">
        <w:rPr>
          <w:rFonts w:ascii="Times New Roman" w:eastAsia="Calibri" w:hAnsi="Times New Roman" w:cs="Times New Roman"/>
          <w:bCs/>
          <w:iCs/>
          <w:sz w:val="24"/>
          <w:szCs w:val="24"/>
        </w:rPr>
        <w:t>n</w:t>
      </w:r>
      <w:r w:rsidRPr="00B36F86">
        <w:rPr>
          <w:rFonts w:ascii="Times New Roman" w:eastAsia="Calibri" w:hAnsi="Times New Roman" w:cs="Times New Roman"/>
          <w:bCs/>
          <w:iCs/>
          <w:sz w:val="24"/>
          <w:szCs w:val="24"/>
        </w:rPr>
        <w:t>sowania transakcji restrukturyzacyjnych realizowaną najczęściej poprzez założenie spółki celowej, która pozyskiwała finansowanie w postaci pożyczki lub kredytu w celu nabycia udziałów lub akcji w innym podmiocie. Zakupiony z wykorzystaniem kapitału dłużnego podmiot był następnie przejmowany w drodze jednej z czynności restrukturyzacyjnych przez spółkę celową. Czynnikiem stanowiącym o atrakcyjności takiej konstrukcji była możliwość obniżenia dochodów generowanych w ramach działalności podmiotu nabywanego o odsetki (bądź ekwiwalentne koszty) od długu zaciągniętego na jego zakup. W rezultacie</w:t>
      </w:r>
      <w:r w:rsidR="00F830F4">
        <w:rPr>
          <w:rFonts w:ascii="Times New Roman" w:eastAsia="Calibri" w:hAnsi="Times New Roman" w:cs="Times New Roman"/>
          <w:bCs/>
          <w:iCs/>
          <w:sz w:val="24"/>
          <w:szCs w:val="24"/>
        </w:rPr>
        <w:t xml:space="preserve"> </w:t>
      </w:r>
      <w:r w:rsidRPr="00B36F86">
        <w:rPr>
          <w:rFonts w:ascii="Times New Roman" w:eastAsia="Calibri" w:hAnsi="Times New Roman" w:cs="Times New Roman"/>
          <w:bCs/>
          <w:iCs/>
          <w:sz w:val="24"/>
          <w:szCs w:val="24"/>
        </w:rPr>
        <w:t xml:space="preserve">ciężar finansowy inwestycji kapitałowej w poprzednim stanie prawnym mógł być przesunięty na </w:t>
      </w:r>
      <w:r w:rsidRPr="00B36F86">
        <w:rPr>
          <w:rFonts w:ascii="Times New Roman" w:eastAsia="Calibri" w:hAnsi="Times New Roman" w:cs="Times New Roman"/>
          <w:bCs/>
          <w:iCs/>
          <w:sz w:val="24"/>
          <w:szCs w:val="24"/>
        </w:rPr>
        <w:lastRenderedPageBreak/>
        <w:t>poziom przejętego przedsiębiorstwa, tj. koszt zakupu jednostki finansowany był w</w:t>
      </w:r>
      <w:r w:rsidR="00CA41D5">
        <w:rPr>
          <w:rFonts w:ascii="Times New Roman" w:eastAsia="Calibri" w:hAnsi="Times New Roman" w:cs="Times New Roman"/>
          <w:bCs/>
          <w:iCs/>
          <w:sz w:val="24"/>
          <w:szCs w:val="24"/>
        </w:rPr>
        <w:t> </w:t>
      </w:r>
      <w:r w:rsidRPr="00B36F86">
        <w:rPr>
          <w:rFonts w:ascii="Times New Roman" w:eastAsia="Calibri" w:hAnsi="Times New Roman" w:cs="Times New Roman"/>
          <w:bCs/>
          <w:iCs/>
          <w:sz w:val="24"/>
          <w:szCs w:val="24"/>
        </w:rPr>
        <w:t xml:space="preserve">rzeczywistości z wypracowanych przez to przedsiębiorstwo środków. </w:t>
      </w:r>
    </w:p>
    <w:p w14:paraId="55DDC721" w14:textId="2F6865AA" w:rsidR="00AF28CA" w:rsidRPr="00B36F86" w:rsidRDefault="00AF28CA" w:rsidP="00AF28CA">
      <w:pPr>
        <w:spacing w:before="120" w:line="360" w:lineRule="auto"/>
        <w:jc w:val="both"/>
        <w:rPr>
          <w:rFonts w:ascii="Times New Roman" w:eastAsia="Calibri" w:hAnsi="Times New Roman" w:cs="Times New Roman"/>
          <w:bCs/>
          <w:iCs/>
          <w:sz w:val="24"/>
          <w:szCs w:val="24"/>
        </w:rPr>
      </w:pPr>
      <w:r w:rsidRPr="00B36F86">
        <w:rPr>
          <w:rFonts w:ascii="Times New Roman" w:eastAsia="Calibri" w:hAnsi="Times New Roman" w:cs="Times New Roman"/>
          <w:bCs/>
          <w:iCs/>
          <w:sz w:val="24"/>
          <w:szCs w:val="24"/>
        </w:rPr>
        <w:t xml:space="preserve">Komplementarną regulacją, względem opisanego wyżej art. 16 ust. 1 pkt 13e, jest przepis art. 16 ust. 1 pkt 13f ustawy </w:t>
      </w:r>
      <w:r w:rsidR="00F830F4">
        <w:rPr>
          <w:rFonts w:ascii="Times New Roman" w:eastAsia="Calibri" w:hAnsi="Times New Roman" w:cs="Times New Roman"/>
          <w:bCs/>
          <w:iCs/>
          <w:sz w:val="24"/>
          <w:szCs w:val="24"/>
        </w:rPr>
        <w:t xml:space="preserve">o </w:t>
      </w:r>
      <w:r w:rsidRPr="00B36F86">
        <w:rPr>
          <w:rFonts w:ascii="Times New Roman" w:eastAsia="Calibri" w:hAnsi="Times New Roman" w:cs="Times New Roman"/>
          <w:bCs/>
          <w:iCs/>
          <w:sz w:val="24"/>
          <w:szCs w:val="24"/>
        </w:rPr>
        <w:t>CIT. Przepis ten przeciwdziała nadmiernemu zadłużaniu spółek w</w:t>
      </w:r>
      <w:r w:rsidR="00CA41D5">
        <w:rPr>
          <w:rFonts w:ascii="Times New Roman" w:eastAsia="Calibri" w:hAnsi="Times New Roman" w:cs="Times New Roman"/>
          <w:bCs/>
          <w:iCs/>
          <w:sz w:val="24"/>
          <w:szCs w:val="24"/>
        </w:rPr>
        <w:t> </w:t>
      </w:r>
      <w:r w:rsidRPr="00B36F86">
        <w:rPr>
          <w:rFonts w:ascii="Times New Roman" w:eastAsia="Calibri" w:hAnsi="Times New Roman" w:cs="Times New Roman"/>
          <w:bCs/>
          <w:iCs/>
          <w:sz w:val="24"/>
          <w:szCs w:val="24"/>
        </w:rPr>
        <w:t>ramach grup kapitałowych z wykorzystaniem mechanizmu konwersji finansowania dłużnego w finansowanie własne.</w:t>
      </w:r>
    </w:p>
    <w:p w14:paraId="382D1C86" w14:textId="0F99C7F6" w:rsidR="00AF28CA" w:rsidRPr="00B36F86" w:rsidRDefault="00AF28CA" w:rsidP="00AF28CA">
      <w:pPr>
        <w:spacing w:before="120" w:line="360" w:lineRule="auto"/>
        <w:jc w:val="both"/>
        <w:rPr>
          <w:rFonts w:ascii="Times New Roman" w:eastAsia="Calibri" w:hAnsi="Times New Roman" w:cs="Times New Roman"/>
          <w:bCs/>
          <w:iCs/>
          <w:sz w:val="24"/>
          <w:szCs w:val="24"/>
        </w:rPr>
      </w:pPr>
      <w:r w:rsidRPr="00B36F86">
        <w:rPr>
          <w:rFonts w:ascii="Times New Roman" w:eastAsia="Calibri" w:hAnsi="Times New Roman" w:cs="Times New Roman"/>
          <w:bCs/>
          <w:iCs/>
          <w:sz w:val="24"/>
          <w:szCs w:val="24"/>
        </w:rPr>
        <w:t>Potrzeba wprowadzenia projektowanej regulacji wynika z kształtującej się w orzecznictwie sadów administracyjnych praktyki stosowania art. 16 ust. 1 pkt 13e ustawy</w:t>
      </w:r>
      <w:r w:rsidR="00EB0B6A">
        <w:rPr>
          <w:rFonts w:ascii="Times New Roman" w:eastAsia="Calibri" w:hAnsi="Times New Roman" w:cs="Times New Roman"/>
          <w:bCs/>
          <w:iCs/>
          <w:sz w:val="24"/>
          <w:szCs w:val="24"/>
        </w:rPr>
        <w:t xml:space="preserve"> o</w:t>
      </w:r>
      <w:r w:rsidRPr="00B36F86">
        <w:rPr>
          <w:rFonts w:ascii="Times New Roman" w:eastAsia="Calibri" w:hAnsi="Times New Roman" w:cs="Times New Roman"/>
          <w:bCs/>
          <w:iCs/>
          <w:sz w:val="24"/>
          <w:szCs w:val="24"/>
        </w:rPr>
        <w:t xml:space="preserve"> CIT w odniesieniu do kredytów refinansowych. Wyrazem tego jest wyrok z 17 lipca 2025 r., sygn. II FSK 1239/24, w którym N</w:t>
      </w:r>
      <w:r w:rsidR="006F108C">
        <w:rPr>
          <w:rFonts w:ascii="Times New Roman" w:eastAsia="Calibri" w:hAnsi="Times New Roman" w:cs="Times New Roman"/>
          <w:bCs/>
          <w:iCs/>
          <w:sz w:val="24"/>
          <w:szCs w:val="24"/>
        </w:rPr>
        <w:t>SA</w:t>
      </w:r>
      <w:r w:rsidRPr="00B36F86">
        <w:rPr>
          <w:rFonts w:ascii="Times New Roman" w:eastAsia="Calibri" w:hAnsi="Times New Roman" w:cs="Times New Roman"/>
          <w:bCs/>
          <w:iCs/>
          <w:sz w:val="24"/>
          <w:szCs w:val="24"/>
        </w:rPr>
        <w:t xml:space="preserve"> stwierdził, iż przepis art. 16 ust. 1 pkt 13e ustawy</w:t>
      </w:r>
      <w:r w:rsidR="00EB0B6A">
        <w:rPr>
          <w:rFonts w:ascii="Times New Roman" w:eastAsia="Calibri" w:hAnsi="Times New Roman" w:cs="Times New Roman"/>
          <w:bCs/>
          <w:iCs/>
          <w:sz w:val="24"/>
          <w:szCs w:val="24"/>
        </w:rPr>
        <w:t xml:space="preserve"> o</w:t>
      </w:r>
      <w:r w:rsidRPr="00B36F86">
        <w:rPr>
          <w:rFonts w:ascii="Times New Roman" w:eastAsia="Calibri" w:hAnsi="Times New Roman" w:cs="Times New Roman"/>
          <w:bCs/>
          <w:iCs/>
          <w:sz w:val="24"/>
          <w:szCs w:val="24"/>
        </w:rPr>
        <w:t xml:space="preserve"> CIT nie znajduje zastosowania wobec kosztów finansowania dłużnego</w:t>
      </w:r>
      <w:r w:rsidR="00EB0B6A">
        <w:rPr>
          <w:rFonts w:ascii="Times New Roman" w:eastAsia="Calibri" w:hAnsi="Times New Roman" w:cs="Times New Roman"/>
          <w:bCs/>
          <w:iCs/>
          <w:sz w:val="24"/>
          <w:szCs w:val="24"/>
        </w:rPr>
        <w:t>,</w:t>
      </w:r>
      <w:r w:rsidRPr="00B36F86">
        <w:rPr>
          <w:rFonts w:ascii="Times New Roman" w:eastAsia="Calibri" w:hAnsi="Times New Roman" w:cs="Times New Roman"/>
          <w:bCs/>
          <w:iCs/>
          <w:sz w:val="24"/>
          <w:szCs w:val="24"/>
        </w:rPr>
        <w:t xml:space="preserve"> wynikających z zobowiązań zaciągniętych w celu nabycia udziałów lub akcji, jeśli zobowiązanie to zostało zastąpione kredytem refinansowym. U podstaw takich rozstrzygnięć leży założenie, że zobowiązanie zaciągnięte na spłatę wcześniejszych długów posiada odrębny cel gospodarczy i nie może być utożsamiane z finansowaniem zaciągniętym bezpośrednio na nabycie udziałów lub akcji. Tym samym, zdaniem sądów, do tego rodzaju kredytu nie znajduje zastosowanie art. 16 ust. 1 pkt 13e ustawy</w:t>
      </w:r>
      <w:r w:rsidR="00EB0B6A">
        <w:rPr>
          <w:rFonts w:ascii="Times New Roman" w:eastAsia="Calibri" w:hAnsi="Times New Roman" w:cs="Times New Roman"/>
          <w:bCs/>
          <w:iCs/>
          <w:sz w:val="24"/>
          <w:szCs w:val="24"/>
        </w:rPr>
        <w:t xml:space="preserve"> o</w:t>
      </w:r>
      <w:r w:rsidRPr="00B36F86">
        <w:rPr>
          <w:rFonts w:ascii="Times New Roman" w:eastAsia="Calibri" w:hAnsi="Times New Roman" w:cs="Times New Roman"/>
          <w:bCs/>
          <w:iCs/>
          <w:sz w:val="24"/>
          <w:szCs w:val="24"/>
        </w:rPr>
        <w:t xml:space="preserve"> CIT, ponieważ regulacja ta wyłącza z kosztów uzyskania przychodów jedynie finansowanie przeznaczone na nabycie praw do spółki. Poza ukształtowaną w praktyce orzeczniczej hipotezą analizowanej regulacji znajdują się natomiast koszty obsługi długu od kredytu refinansowanego, który został zaciągnięty w miejsce pierwotnego zobowiązania służącego sfinansowaniu transakcji kapitałowych.</w:t>
      </w:r>
    </w:p>
    <w:p w14:paraId="35AC0ADC" w14:textId="47CD0028" w:rsidR="00AF28CA" w:rsidRPr="00B36F86" w:rsidRDefault="00AF28CA" w:rsidP="00AF28CA">
      <w:pPr>
        <w:spacing w:before="120" w:line="360" w:lineRule="auto"/>
        <w:jc w:val="both"/>
        <w:rPr>
          <w:rFonts w:ascii="Times New Roman" w:eastAsia="Calibri" w:hAnsi="Times New Roman" w:cs="Times New Roman"/>
          <w:bCs/>
          <w:iCs/>
          <w:sz w:val="24"/>
          <w:szCs w:val="24"/>
        </w:rPr>
      </w:pPr>
      <w:r w:rsidRPr="00B36F86">
        <w:rPr>
          <w:rFonts w:ascii="Times New Roman" w:eastAsia="Calibri" w:hAnsi="Times New Roman" w:cs="Times New Roman"/>
          <w:bCs/>
          <w:iCs/>
          <w:sz w:val="24"/>
          <w:szCs w:val="24"/>
        </w:rPr>
        <w:t>Prezentowana w orzecznictwie wykładnia rodzi jednak istotne problemy o charakterze systemowy</w:t>
      </w:r>
      <w:r w:rsidR="00EB0B6A">
        <w:rPr>
          <w:rFonts w:ascii="Times New Roman" w:eastAsia="Calibri" w:hAnsi="Times New Roman" w:cs="Times New Roman"/>
          <w:bCs/>
          <w:iCs/>
          <w:sz w:val="24"/>
          <w:szCs w:val="24"/>
        </w:rPr>
        <w:t>m</w:t>
      </w:r>
      <w:r w:rsidRPr="00B36F86">
        <w:rPr>
          <w:rFonts w:ascii="Times New Roman" w:eastAsia="Calibri" w:hAnsi="Times New Roman" w:cs="Times New Roman"/>
          <w:bCs/>
          <w:iCs/>
          <w:sz w:val="24"/>
          <w:szCs w:val="24"/>
        </w:rPr>
        <w:t xml:space="preserve">. Kluczowe znaczenie ma fakt, że omówiona wyżej interpretacja art. 16 ust. 1 pkt </w:t>
      </w:r>
      <w:bookmarkStart w:id="11" w:name="_Hlk231221127"/>
      <w:r w:rsidR="006F108C" w:rsidRPr="006F108C">
        <w:rPr>
          <w:rFonts w:ascii="Times New Roman" w:eastAsia="Calibri" w:hAnsi="Times New Roman" w:cs="Times New Roman"/>
          <w:bCs/>
          <w:iCs/>
          <w:sz w:val="24"/>
          <w:szCs w:val="24"/>
        </w:rPr>
        <w:t>13e</w:t>
      </w:r>
      <w:r w:rsidR="00FB7B4A">
        <w:rPr>
          <w:rFonts w:ascii="Times New Roman" w:eastAsia="Calibri" w:hAnsi="Times New Roman" w:cs="Times New Roman"/>
          <w:bCs/>
          <w:iCs/>
          <w:sz w:val="24"/>
          <w:szCs w:val="24"/>
        </w:rPr>
        <w:t xml:space="preserve"> i </w:t>
      </w:r>
      <w:r w:rsidR="006F108C" w:rsidRPr="006F108C">
        <w:rPr>
          <w:rFonts w:ascii="Times New Roman" w:eastAsia="Calibri" w:hAnsi="Times New Roman" w:cs="Times New Roman"/>
          <w:bCs/>
          <w:iCs/>
          <w:sz w:val="24"/>
          <w:szCs w:val="24"/>
        </w:rPr>
        <w:t xml:space="preserve">13f </w:t>
      </w:r>
      <w:bookmarkEnd w:id="11"/>
      <w:r w:rsidRPr="00B36F86">
        <w:rPr>
          <w:rFonts w:ascii="Times New Roman" w:eastAsia="Calibri" w:hAnsi="Times New Roman" w:cs="Times New Roman"/>
          <w:bCs/>
          <w:iCs/>
          <w:sz w:val="24"/>
          <w:szCs w:val="24"/>
        </w:rPr>
        <w:t>ustawy</w:t>
      </w:r>
      <w:r w:rsidR="00EB0B6A">
        <w:rPr>
          <w:rFonts w:ascii="Times New Roman" w:eastAsia="Calibri" w:hAnsi="Times New Roman" w:cs="Times New Roman"/>
          <w:bCs/>
          <w:iCs/>
          <w:sz w:val="24"/>
          <w:szCs w:val="24"/>
        </w:rPr>
        <w:t xml:space="preserve"> o</w:t>
      </w:r>
      <w:r w:rsidRPr="00B36F86">
        <w:rPr>
          <w:rFonts w:ascii="Times New Roman" w:eastAsia="Calibri" w:hAnsi="Times New Roman" w:cs="Times New Roman"/>
          <w:bCs/>
          <w:iCs/>
          <w:sz w:val="24"/>
          <w:szCs w:val="24"/>
        </w:rPr>
        <w:t xml:space="preserve"> CIT wyłącza całkowicie skuteczność tych antyabuz</w:t>
      </w:r>
      <w:r w:rsidR="009A48A5">
        <w:rPr>
          <w:rFonts w:ascii="Times New Roman" w:eastAsia="Calibri" w:hAnsi="Times New Roman" w:cs="Times New Roman"/>
          <w:bCs/>
          <w:iCs/>
          <w:sz w:val="24"/>
          <w:szCs w:val="24"/>
        </w:rPr>
        <w:t>y</w:t>
      </w:r>
      <w:r w:rsidRPr="00B36F86">
        <w:rPr>
          <w:rFonts w:ascii="Times New Roman" w:eastAsia="Calibri" w:hAnsi="Times New Roman" w:cs="Times New Roman"/>
          <w:bCs/>
          <w:iCs/>
          <w:sz w:val="24"/>
          <w:szCs w:val="24"/>
        </w:rPr>
        <w:t xml:space="preserve">wnych regulacji względem kredytów refinansowych, mimo dalszego istnienia przesłanek uzasadniających w przeszłości wprowadzenie niniejszych przepisów. Należy zauważyć, iż dokonanie następczo konsolidacji zadłużenia lub refinansowania pierwotnego zobowiązania nie zmienia charakteru zdarzenia, w które zaangażowane są pozyskane środki dłużne. Cel ekonomiczny pozostaje tożsamy – kapitał ten w dalszym ciągu służy sfinansowaniu zmiany struktury właścicielskiej. Tym samym w sposób niezmienny istnieją przesłanki </w:t>
      </w:r>
      <w:r w:rsidR="00EB0B6A">
        <w:rPr>
          <w:rFonts w:ascii="Times New Roman" w:eastAsia="Calibri" w:hAnsi="Times New Roman" w:cs="Times New Roman"/>
          <w:bCs/>
          <w:iCs/>
          <w:sz w:val="24"/>
          <w:szCs w:val="24"/>
        </w:rPr>
        <w:t>do</w:t>
      </w:r>
      <w:r w:rsidRPr="00B36F86">
        <w:rPr>
          <w:rFonts w:ascii="Times New Roman" w:eastAsia="Calibri" w:hAnsi="Times New Roman" w:cs="Times New Roman"/>
          <w:bCs/>
          <w:iCs/>
          <w:sz w:val="24"/>
          <w:szCs w:val="24"/>
        </w:rPr>
        <w:t xml:space="preserve"> stosowani</w:t>
      </w:r>
      <w:r w:rsidR="00EB0B6A">
        <w:rPr>
          <w:rFonts w:ascii="Times New Roman" w:eastAsia="Calibri" w:hAnsi="Times New Roman" w:cs="Times New Roman"/>
          <w:bCs/>
          <w:iCs/>
          <w:sz w:val="24"/>
          <w:szCs w:val="24"/>
        </w:rPr>
        <w:t>a</w:t>
      </w:r>
      <w:r w:rsidRPr="00B36F86">
        <w:rPr>
          <w:rFonts w:ascii="Times New Roman" w:eastAsia="Calibri" w:hAnsi="Times New Roman" w:cs="Times New Roman"/>
          <w:bCs/>
          <w:iCs/>
          <w:sz w:val="24"/>
          <w:szCs w:val="24"/>
        </w:rPr>
        <w:t xml:space="preserve"> ograniczeń ustanowionych w ramach art. 16 ust. 1 pkt </w:t>
      </w:r>
      <w:r w:rsidR="00FB7B4A" w:rsidRPr="00FB7B4A">
        <w:rPr>
          <w:rFonts w:ascii="Times New Roman" w:eastAsia="Calibri" w:hAnsi="Times New Roman" w:cs="Times New Roman"/>
          <w:bCs/>
          <w:iCs/>
          <w:sz w:val="24"/>
          <w:szCs w:val="24"/>
        </w:rPr>
        <w:t xml:space="preserve">13e i 13f </w:t>
      </w:r>
      <w:r w:rsidRPr="00B36F86">
        <w:rPr>
          <w:rFonts w:ascii="Times New Roman" w:eastAsia="Calibri" w:hAnsi="Times New Roman" w:cs="Times New Roman"/>
          <w:bCs/>
          <w:iCs/>
          <w:sz w:val="24"/>
          <w:szCs w:val="24"/>
        </w:rPr>
        <w:t>ustawy</w:t>
      </w:r>
      <w:r w:rsidR="00EB0B6A">
        <w:rPr>
          <w:rFonts w:ascii="Times New Roman" w:eastAsia="Calibri" w:hAnsi="Times New Roman" w:cs="Times New Roman"/>
          <w:bCs/>
          <w:iCs/>
          <w:sz w:val="24"/>
          <w:szCs w:val="24"/>
        </w:rPr>
        <w:t xml:space="preserve"> o</w:t>
      </w:r>
      <w:r w:rsidRPr="00B36F86">
        <w:rPr>
          <w:rFonts w:ascii="Times New Roman" w:eastAsia="Calibri" w:hAnsi="Times New Roman" w:cs="Times New Roman"/>
          <w:bCs/>
          <w:iCs/>
          <w:sz w:val="24"/>
          <w:szCs w:val="24"/>
        </w:rPr>
        <w:t xml:space="preserve"> CIT również do kredytów refinansowych i innych zobowiązań o podobnym charakterze, jako służących tym samym celom co pierwotne zobowiązania. Wskazuje to na powinność wyłączenia kosztu tego typu następczych kredytów </w:t>
      </w:r>
      <w:r w:rsidRPr="00B36F86">
        <w:rPr>
          <w:rFonts w:ascii="Times New Roman" w:eastAsia="Calibri" w:hAnsi="Times New Roman" w:cs="Times New Roman"/>
          <w:bCs/>
          <w:iCs/>
          <w:sz w:val="24"/>
          <w:szCs w:val="24"/>
        </w:rPr>
        <w:lastRenderedPageBreak/>
        <w:t xml:space="preserve">z kosztów uzyskania przychodu w sposób analogiczny do długu pierwotnego. Wyłączenie zastosowania analizowanych przepisów w przypadku zastosowania kredytów refinansowych stawia również w uprzywilejowanej pozycji podatników, którzy korzystają z refinansowania zobowiązań zaciągniętych z myślą o nabyciu praw w innych podmiotach. Taki stan rzeczy wydaje się z kolei niemożliwy do zaakceptowania, biorąc pod uwagę implikacje płynące z mającej również umocowanie konstytucyjnej zasady sprawiedliwości podatkowej. </w:t>
      </w:r>
    </w:p>
    <w:p w14:paraId="0A6379F8" w14:textId="77777777" w:rsidR="00CA41D5" w:rsidRDefault="00AF28CA" w:rsidP="00CA41D5">
      <w:pPr>
        <w:spacing w:before="120" w:line="360" w:lineRule="auto"/>
        <w:jc w:val="both"/>
        <w:rPr>
          <w:rFonts w:ascii="Times New Roman" w:eastAsia="Calibri" w:hAnsi="Times New Roman" w:cs="Times New Roman"/>
          <w:bCs/>
          <w:iCs/>
          <w:sz w:val="24"/>
          <w:szCs w:val="24"/>
        </w:rPr>
      </w:pPr>
      <w:r w:rsidRPr="00B36F86">
        <w:rPr>
          <w:rFonts w:ascii="Times New Roman" w:eastAsia="Calibri" w:hAnsi="Times New Roman" w:cs="Times New Roman"/>
          <w:bCs/>
          <w:iCs/>
          <w:sz w:val="24"/>
          <w:szCs w:val="24"/>
        </w:rPr>
        <w:t>Odpowiedzią na zidentyfikowane mankamenty</w:t>
      </w:r>
      <w:r w:rsidR="00EB0B6A">
        <w:rPr>
          <w:rFonts w:ascii="Times New Roman" w:eastAsia="Calibri" w:hAnsi="Times New Roman" w:cs="Times New Roman"/>
          <w:bCs/>
          <w:iCs/>
          <w:sz w:val="24"/>
          <w:szCs w:val="24"/>
        </w:rPr>
        <w:t>,</w:t>
      </w:r>
      <w:r w:rsidRPr="00B36F86">
        <w:rPr>
          <w:rFonts w:ascii="Times New Roman" w:eastAsia="Calibri" w:hAnsi="Times New Roman" w:cs="Times New Roman"/>
          <w:bCs/>
          <w:iCs/>
          <w:sz w:val="24"/>
          <w:szCs w:val="24"/>
        </w:rPr>
        <w:t xml:space="preserve"> wynikające z przyjętego w orzecznictwie sposobu wykładni art. 16 ust. 1 pkt 13e ustawy</w:t>
      </w:r>
      <w:r w:rsidR="00EB0B6A">
        <w:rPr>
          <w:rFonts w:ascii="Times New Roman" w:eastAsia="Calibri" w:hAnsi="Times New Roman" w:cs="Times New Roman"/>
          <w:bCs/>
          <w:iCs/>
          <w:sz w:val="24"/>
          <w:szCs w:val="24"/>
        </w:rPr>
        <w:t xml:space="preserve"> o</w:t>
      </w:r>
      <w:r w:rsidRPr="00B36F86">
        <w:rPr>
          <w:rFonts w:ascii="Times New Roman" w:eastAsia="Calibri" w:hAnsi="Times New Roman" w:cs="Times New Roman"/>
          <w:bCs/>
          <w:iCs/>
          <w:sz w:val="24"/>
          <w:szCs w:val="24"/>
        </w:rPr>
        <w:t xml:space="preserve"> CIT w odniesieniu do kredytów refinansowych oraz innych zobowiązań zaciągniętych w podobnym celu</w:t>
      </w:r>
      <w:r w:rsidR="00EB0B6A">
        <w:rPr>
          <w:rFonts w:ascii="Times New Roman" w:eastAsia="Calibri" w:hAnsi="Times New Roman" w:cs="Times New Roman"/>
          <w:bCs/>
          <w:iCs/>
          <w:sz w:val="24"/>
          <w:szCs w:val="24"/>
        </w:rPr>
        <w:t>,</w:t>
      </w:r>
      <w:r w:rsidRPr="00B36F86">
        <w:rPr>
          <w:rFonts w:ascii="Times New Roman" w:eastAsia="Calibri" w:hAnsi="Times New Roman" w:cs="Times New Roman"/>
          <w:bCs/>
          <w:iCs/>
          <w:sz w:val="24"/>
          <w:szCs w:val="24"/>
        </w:rPr>
        <w:t xml:space="preserve"> jest projektowany art. 16 ust. 1d</w:t>
      </w:r>
      <w:r w:rsidR="00FB7B4A">
        <w:rPr>
          <w:rFonts w:ascii="Times New Roman" w:eastAsia="Calibri" w:hAnsi="Times New Roman" w:cs="Times New Roman"/>
          <w:bCs/>
          <w:iCs/>
          <w:sz w:val="24"/>
          <w:szCs w:val="24"/>
        </w:rPr>
        <w:t xml:space="preserve"> ustawy o CIT</w:t>
      </w:r>
      <w:r w:rsidRPr="00B36F86">
        <w:rPr>
          <w:rFonts w:ascii="Times New Roman" w:eastAsia="Calibri" w:hAnsi="Times New Roman" w:cs="Times New Roman"/>
          <w:bCs/>
          <w:iCs/>
          <w:sz w:val="24"/>
          <w:szCs w:val="24"/>
        </w:rPr>
        <w:t>. Przedmiotem tej regulacji jest rozszerzenie stosowania ograniczeń, o których mowa w art. 16 ust. 1 pkt 13e i 13f ustawy</w:t>
      </w:r>
      <w:r w:rsidR="00EB0B6A">
        <w:rPr>
          <w:rFonts w:ascii="Times New Roman" w:eastAsia="Calibri" w:hAnsi="Times New Roman" w:cs="Times New Roman"/>
          <w:bCs/>
          <w:iCs/>
          <w:sz w:val="24"/>
          <w:szCs w:val="24"/>
        </w:rPr>
        <w:t xml:space="preserve"> o</w:t>
      </w:r>
      <w:r w:rsidRPr="00B36F86">
        <w:rPr>
          <w:rFonts w:ascii="Times New Roman" w:eastAsia="Calibri" w:hAnsi="Times New Roman" w:cs="Times New Roman"/>
          <w:bCs/>
          <w:iCs/>
          <w:sz w:val="24"/>
          <w:szCs w:val="24"/>
        </w:rPr>
        <w:t xml:space="preserve"> CIT na wszystkie kolejne zobowiązania dłużne zaciągnięte na spłatę pierwotnego finansowania transakcji kapitałowych, niezależnie od ich formy (refinansowanie, konsolidacja, oraz inne rodzaj czynności prawnych o analogicznym charakterze)</w:t>
      </w:r>
      <w:r w:rsidR="00EB0B6A">
        <w:rPr>
          <w:rFonts w:ascii="Times New Roman" w:eastAsia="Calibri" w:hAnsi="Times New Roman" w:cs="Times New Roman"/>
          <w:bCs/>
          <w:iCs/>
          <w:sz w:val="24"/>
          <w:szCs w:val="24"/>
        </w:rPr>
        <w:t>.</w:t>
      </w:r>
    </w:p>
    <w:p w14:paraId="48388A49" w14:textId="7412BC09" w:rsidR="00AF28CA" w:rsidRPr="00CA41D5" w:rsidRDefault="00AF28CA" w:rsidP="00CA41D5">
      <w:pPr>
        <w:spacing w:before="120" w:line="360" w:lineRule="auto"/>
        <w:jc w:val="both"/>
        <w:rPr>
          <w:rFonts w:ascii="Times New Roman" w:eastAsia="Calibri" w:hAnsi="Times New Roman" w:cs="Times New Roman"/>
          <w:bCs/>
          <w:iCs/>
          <w:sz w:val="24"/>
          <w:szCs w:val="24"/>
        </w:rPr>
      </w:pPr>
      <w:r w:rsidRPr="00B36F86">
        <w:rPr>
          <w:rFonts w:ascii="Times New Roman" w:eastAsia="Calibri" w:hAnsi="Times New Roman" w:cs="Times New Roman"/>
          <w:bCs/>
          <w:iCs/>
          <w:sz w:val="24"/>
          <w:szCs w:val="24"/>
        </w:rPr>
        <w:t>Z kolei treścią dodawanego ust. 1e pkt 1 jest ustanowienie mechanizmu proporcjonalnego wyłączenia z kosztów finansowania dłużnego, gdy zobowiązanie, z którego wynikają koszty finansowania dłużnego podlegające wyłączeniu na podstawie art. 16 ust. 1 pkt 13e</w:t>
      </w:r>
      <w:r w:rsidR="00FB7B4A">
        <w:rPr>
          <w:rFonts w:ascii="Times New Roman" w:eastAsia="Calibri" w:hAnsi="Times New Roman" w:cs="Times New Roman"/>
          <w:bCs/>
          <w:iCs/>
          <w:sz w:val="24"/>
          <w:szCs w:val="24"/>
        </w:rPr>
        <w:t xml:space="preserve"> i </w:t>
      </w:r>
      <w:r w:rsidRPr="00B36F86">
        <w:rPr>
          <w:rFonts w:ascii="Times New Roman" w:eastAsia="Calibri" w:hAnsi="Times New Roman" w:cs="Times New Roman"/>
          <w:bCs/>
          <w:iCs/>
          <w:sz w:val="24"/>
          <w:szCs w:val="24"/>
        </w:rPr>
        <w:t>13f ustawy</w:t>
      </w:r>
      <w:r w:rsidR="00EB0B6A">
        <w:rPr>
          <w:rFonts w:ascii="Times New Roman" w:eastAsia="Calibri" w:hAnsi="Times New Roman" w:cs="Times New Roman"/>
          <w:bCs/>
          <w:iCs/>
          <w:sz w:val="24"/>
          <w:szCs w:val="24"/>
        </w:rPr>
        <w:t xml:space="preserve"> o</w:t>
      </w:r>
      <w:r w:rsidRPr="00B36F86">
        <w:rPr>
          <w:rFonts w:ascii="Times New Roman" w:eastAsia="Calibri" w:hAnsi="Times New Roman" w:cs="Times New Roman"/>
          <w:bCs/>
          <w:iCs/>
          <w:sz w:val="24"/>
          <w:szCs w:val="24"/>
        </w:rPr>
        <w:t xml:space="preserve"> CIT, nie zostało zaciągnięte wyłącznie w celach określonych w tych przepisach. Pkt 2 ust. 1e znajduje zastosowanie, gdy zobowiązanie zaciągnięte na cele, o których mowa w art. 16 ust. 1 pkt 13e i 13f ustawy</w:t>
      </w:r>
      <w:r w:rsidR="00EB0B6A">
        <w:rPr>
          <w:rFonts w:ascii="Times New Roman" w:eastAsia="Calibri" w:hAnsi="Times New Roman" w:cs="Times New Roman"/>
          <w:bCs/>
          <w:iCs/>
          <w:sz w:val="24"/>
          <w:szCs w:val="24"/>
        </w:rPr>
        <w:t xml:space="preserve"> o</w:t>
      </w:r>
      <w:r w:rsidRPr="00B36F86">
        <w:rPr>
          <w:rFonts w:ascii="Times New Roman" w:eastAsia="Calibri" w:hAnsi="Times New Roman" w:cs="Times New Roman"/>
          <w:bCs/>
          <w:iCs/>
          <w:sz w:val="24"/>
          <w:szCs w:val="24"/>
        </w:rPr>
        <w:t xml:space="preserve"> CIT, zostało następnie zastąpione kredytem refinansowym, konsolidacyjnym lub innym zobowiązaniem dłużnym zaciągnięty</w:t>
      </w:r>
      <w:r w:rsidR="00EB0B6A">
        <w:rPr>
          <w:rFonts w:ascii="Times New Roman" w:eastAsia="Calibri" w:hAnsi="Times New Roman" w:cs="Times New Roman"/>
          <w:bCs/>
          <w:iCs/>
          <w:sz w:val="24"/>
          <w:szCs w:val="24"/>
        </w:rPr>
        <w:t>m</w:t>
      </w:r>
      <w:r w:rsidRPr="00B36F86">
        <w:rPr>
          <w:rFonts w:ascii="Times New Roman" w:eastAsia="Calibri" w:hAnsi="Times New Roman" w:cs="Times New Roman"/>
          <w:bCs/>
          <w:iCs/>
          <w:sz w:val="24"/>
          <w:szCs w:val="24"/>
        </w:rPr>
        <w:t xml:space="preserve"> w związku ze spłatą pierwotnego finansowania dłużnego. Kończący projektowany mechanizm pkt 3 określa kwotę kosztów finasowania dłużnego niestanowiących kosztu uzyskania przychodów w sytuacjach wieloetapowego refinansowania zobowiązań dłużnych.</w:t>
      </w:r>
    </w:p>
    <w:p w14:paraId="5BC6FBEB" w14:textId="4E83882D" w:rsidR="00DC21BA" w:rsidRPr="00CF77FD" w:rsidRDefault="00AC7DD0" w:rsidP="0027548A">
      <w:pPr>
        <w:spacing w:before="240" w:after="120" w:line="360" w:lineRule="auto"/>
        <w:jc w:val="both"/>
        <w:rPr>
          <w:rFonts w:ascii="Times New Roman" w:eastAsia="Calibri" w:hAnsi="Times New Roman" w:cs="Times New Roman"/>
          <w:b/>
          <w:bCs/>
          <w:iCs/>
          <w:sz w:val="24"/>
          <w:szCs w:val="24"/>
        </w:rPr>
      </w:pPr>
      <w:r>
        <w:rPr>
          <w:rFonts w:ascii="Times New Roman" w:eastAsia="Calibri" w:hAnsi="Times New Roman" w:cs="Times New Roman"/>
          <w:b/>
          <w:bCs/>
          <w:iCs/>
          <w:sz w:val="24"/>
          <w:szCs w:val="24"/>
        </w:rPr>
        <w:t>14</w:t>
      </w:r>
      <w:r w:rsidR="00DC21BA">
        <w:rPr>
          <w:rFonts w:ascii="Times New Roman" w:eastAsia="Calibri" w:hAnsi="Times New Roman" w:cs="Times New Roman"/>
          <w:b/>
          <w:bCs/>
          <w:iCs/>
          <w:sz w:val="24"/>
          <w:szCs w:val="24"/>
        </w:rPr>
        <w:t xml:space="preserve">) </w:t>
      </w:r>
      <w:r w:rsidR="00DC21BA" w:rsidRPr="00CF77FD">
        <w:rPr>
          <w:rFonts w:ascii="Times New Roman" w:eastAsia="Calibri" w:hAnsi="Times New Roman" w:cs="Times New Roman"/>
          <w:b/>
          <w:bCs/>
          <w:iCs/>
          <w:sz w:val="24"/>
          <w:szCs w:val="24"/>
        </w:rPr>
        <w:t xml:space="preserve">Rozszerzenie zakresu zwolnienia dedykowanego dochodom przeznaczanym na </w:t>
      </w:r>
      <w:r w:rsidR="009E4F55" w:rsidRPr="009E4F55">
        <w:rPr>
          <w:rFonts w:ascii="Times New Roman" w:eastAsia="Calibri" w:hAnsi="Times New Roman" w:cs="Times New Roman"/>
          <w:b/>
          <w:bCs/>
          <w:iCs/>
          <w:sz w:val="24"/>
          <w:szCs w:val="24"/>
        </w:rPr>
        <w:t xml:space="preserve">działalność pożytku publicznego </w:t>
      </w:r>
      <w:r w:rsidR="00DC21BA" w:rsidRPr="0027548A">
        <w:rPr>
          <w:rFonts w:ascii="Times New Roman" w:eastAsia="Calibri" w:hAnsi="Times New Roman" w:cs="Times New Roman"/>
          <w:iCs/>
          <w:sz w:val="24"/>
          <w:szCs w:val="24"/>
        </w:rPr>
        <w:t>(</w:t>
      </w:r>
      <w:r w:rsidR="00013694">
        <w:rPr>
          <w:rFonts w:ascii="Times New Roman" w:eastAsia="Calibri" w:hAnsi="Times New Roman" w:cs="Times New Roman"/>
          <w:iCs/>
          <w:sz w:val="24"/>
          <w:szCs w:val="24"/>
        </w:rPr>
        <w:t>doda</w:t>
      </w:r>
      <w:r w:rsidR="00934A0D">
        <w:rPr>
          <w:rFonts w:ascii="Times New Roman" w:eastAsia="Calibri" w:hAnsi="Times New Roman" w:cs="Times New Roman"/>
          <w:iCs/>
          <w:sz w:val="24"/>
          <w:szCs w:val="24"/>
        </w:rPr>
        <w:t xml:space="preserve">ny </w:t>
      </w:r>
      <w:r w:rsidR="00934A0D" w:rsidRPr="00934A0D">
        <w:rPr>
          <w:rFonts w:ascii="Times New Roman" w:eastAsia="Calibri" w:hAnsi="Times New Roman" w:cs="Times New Roman"/>
          <w:iCs/>
          <w:sz w:val="24"/>
          <w:szCs w:val="24"/>
        </w:rPr>
        <w:t xml:space="preserve">pkt 6d </w:t>
      </w:r>
      <w:r w:rsidR="004063B1">
        <w:rPr>
          <w:rFonts w:ascii="Times New Roman" w:eastAsia="Calibri" w:hAnsi="Times New Roman" w:cs="Times New Roman"/>
          <w:iCs/>
          <w:sz w:val="24"/>
          <w:szCs w:val="24"/>
        </w:rPr>
        <w:t xml:space="preserve">w </w:t>
      </w:r>
      <w:r w:rsidR="00DC21BA" w:rsidRPr="0027548A">
        <w:rPr>
          <w:rFonts w:ascii="Times New Roman" w:eastAsia="Calibri" w:hAnsi="Times New Roman" w:cs="Times New Roman"/>
          <w:iCs/>
          <w:sz w:val="24"/>
          <w:szCs w:val="24"/>
        </w:rPr>
        <w:t xml:space="preserve">art. 17 ust. 1 ustawy o CIT) </w:t>
      </w:r>
      <w:r w:rsidR="00DC21BA" w:rsidRPr="00793CFC">
        <w:rPr>
          <w:rFonts w:ascii="Times New Roman" w:eastAsia="Calibri" w:hAnsi="Times New Roman" w:cs="Times New Roman"/>
          <w:iCs/>
          <w:sz w:val="24"/>
          <w:szCs w:val="24"/>
        </w:rPr>
        <w:t>–</w:t>
      </w:r>
      <w:r w:rsidR="00DC21BA">
        <w:rPr>
          <w:rFonts w:ascii="Times New Roman" w:eastAsia="Calibri" w:hAnsi="Times New Roman" w:cs="Times New Roman"/>
          <w:b/>
          <w:bCs/>
          <w:iCs/>
          <w:sz w:val="24"/>
          <w:szCs w:val="24"/>
        </w:rPr>
        <w:t xml:space="preserve"> art. 2 pkt </w:t>
      </w:r>
      <w:r w:rsidR="000C26B1" w:rsidRPr="000C26B1">
        <w:rPr>
          <w:rFonts w:ascii="Times New Roman" w:eastAsia="Calibri" w:hAnsi="Times New Roman" w:cs="Times New Roman"/>
          <w:b/>
          <w:bCs/>
          <w:iCs/>
          <w:sz w:val="24"/>
          <w:szCs w:val="24"/>
        </w:rPr>
        <w:t>9</w:t>
      </w:r>
      <w:r w:rsidR="00DC21BA">
        <w:rPr>
          <w:rFonts w:ascii="Times New Roman" w:eastAsia="Calibri" w:hAnsi="Times New Roman" w:cs="Times New Roman"/>
          <w:b/>
          <w:bCs/>
          <w:iCs/>
          <w:sz w:val="24"/>
          <w:szCs w:val="24"/>
        </w:rPr>
        <w:t xml:space="preserve"> lit. </w:t>
      </w:r>
      <w:r w:rsidR="009E4F55">
        <w:rPr>
          <w:rFonts w:ascii="Times New Roman" w:eastAsia="Calibri" w:hAnsi="Times New Roman" w:cs="Times New Roman"/>
          <w:b/>
          <w:bCs/>
          <w:iCs/>
          <w:sz w:val="24"/>
          <w:szCs w:val="24"/>
        </w:rPr>
        <w:t>b</w:t>
      </w:r>
      <w:r w:rsidR="00DC21BA">
        <w:rPr>
          <w:rFonts w:ascii="Times New Roman" w:eastAsia="Calibri" w:hAnsi="Times New Roman" w:cs="Times New Roman"/>
          <w:b/>
          <w:bCs/>
          <w:iCs/>
          <w:sz w:val="24"/>
          <w:szCs w:val="24"/>
        </w:rPr>
        <w:t xml:space="preserve"> projektu </w:t>
      </w:r>
    </w:p>
    <w:p w14:paraId="7BBB48BD" w14:textId="3BB0DA4A" w:rsidR="00DC21BA" w:rsidRPr="006004A4" w:rsidRDefault="00DC21BA" w:rsidP="004C172B">
      <w:pPr>
        <w:spacing w:before="120" w:line="360" w:lineRule="auto"/>
        <w:jc w:val="both"/>
        <w:rPr>
          <w:rFonts w:ascii="Times New Roman" w:eastAsia="Calibri" w:hAnsi="Times New Roman" w:cs="Times New Roman"/>
          <w:bCs/>
          <w:iCs/>
          <w:sz w:val="24"/>
          <w:szCs w:val="24"/>
        </w:rPr>
      </w:pPr>
      <w:r w:rsidRPr="006004A4">
        <w:rPr>
          <w:rFonts w:ascii="Times New Roman" w:eastAsia="Calibri" w:hAnsi="Times New Roman" w:cs="Times New Roman"/>
          <w:bCs/>
          <w:iCs/>
          <w:sz w:val="24"/>
          <w:szCs w:val="24"/>
        </w:rPr>
        <w:t xml:space="preserve">W obowiązującym stanie prawnym przepis art. 17 ust. 1 pkt 4 ustawy </w:t>
      </w:r>
      <w:r w:rsidR="00575C99">
        <w:rPr>
          <w:rFonts w:ascii="Times New Roman" w:eastAsia="Calibri" w:hAnsi="Times New Roman" w:cs="Times New Roman"/>
          <w:bCs/>
          <w:iCs/>
          <w:sz w:val="24"/>
          <w:szCs w:val="24"/>
        </w:rPr>
        <w:t xml:space="preserve">o </w:t>
      </w:r>
      <w:r w:rsidRPr="006004A4">
        <w:rPr>
          <w:rFonts w:ascii="Times New Roman" w:eastAsia="Calibri" w:hAnsi="Times New Roman" w:cs="Times New Roman"/>
          <w:bCs/>
          <w:iCs/>
          <w:sz w:val="24"/>
          <w:szCs w:val="24"/>
        </w:rPr>
        <w:t xml:space="preserve">CIT, z pewnymi ograniczeniami określonymi w szczególności w ustępach 1a–1c, pozwala na nieopodatkowanie dochodów podatników, których celem statutowym jest wyszczególniona przez ustawodawcę społecznie użyteczna działalność: naukowa, naukowo-techniczna, oświatowa, w tym również polegająca na kształceniu studentów, kulturalna, w zakresie kultury fizycznej i sportu, ochrony </w:t>
      </w:r>
      <w:r w:rsidRPr="006004A4">
        <w:rPr>
          <w:rFonts w:ascii="Times New Roman" w:eastAsia="Calibri" w:hAnsi="Times New Roman" w:cs="Times New Roman"/>
          <w:bCs/>
          <w:iCs/>
          <w:sz w:val="24"/>
          <w:szCs w:val="24"/>
        </w:rPr>
        <w:lastRenderedPageBreak/>
        <w:t>środowiska, wspierania inicjatyw społecznych na rzecz budowy dróg i sieci telekomunikacyjnej na wsi oraz zaopatrzenia wsi w wodę, dobroczynności, ochrony zdrowia i pomocy społecznej, rehabilitacji zawodowej i społecznej inwalidów oraz kultu religijnego – w części przeznaczonej na cele wyrażone w statucie.</w:t>
      </w:r>
    </w:p>
    <w:p w14:paraId="5AE27E88" w14:textId="240D09D9" w:rsidR="00DC21BA" w:rsidRPr="006004A4" w:rsidRDefault="00DC21BA" w:rsidP="004C172B">
      <w:pPr>
        <w:spacing w:before="120" w:line="360" w:lineRule="auto"/>
        <w:jc w:val="both"/>
        <w:rPr>
          <w:rFonts w:ascii="Times New Roman" w:eastAsia="Calibri" w:hAnsi="Times New Roman" w:cs="Times New Roman"/>
          <w:bCs/>
          <w:iCs/>
          <w:sz w:val="24"/>
          <w:szCs w:val="24"/>
        </w:rPr>
      </w:pPr>
      <w:r w:rsidRPr="006004A4">
        <w:rPr>
          <w:rFonts w:ascii="Times New Roman" w:eastAsia="Calibri" w:hAnsi="Times New Roman" w:cs="Times New Roman"/>
          <w:bCs/>
          <w:iCs/>
          <w:sz w:val="24"/>
          <w:szCs w:val="24"/>
        </w:rPr>
        <w:t>Wieloletnia praktyka stosowania tej regulacji ujawniła jednak potrzebę – zgłaszaną przez organizacje pozarządowe – urealnienia zakresu istniejącego zwolnienia</w:t>
      </w:r>
      <w:r w:rsidR="00B85920">
        <w:rPr>
          <w:rFonts w:ascii="Times New Roman" w:eastAsia="Calibri" w:hAnsi="Times New Roman" w:cs="Times New Roman"/>
          <w:bCs/>
          <w:iCs/>
          <w:sz w:val="24"/>
          <w:szCs w:val="24"/>
        </w:rPr>
        <w:t>.</w:t>
      </w:r>
      <w:r w:rsidRPr="006004A4">
        <w:rPr>
          <w:rFonts w:ascii="Times New Roman" w:eastAsia="Calibri" w:hAnsi="Times New Roman" w:cs="Times New Roman"/>
          <w:bCs/>
          <w:iCs/>
          <w:sz w:val="24"/>
          <w:szCs w:val="24"/>
        </w:rPr>
        <w:t xml:space="preserve"> Motywowana jest ona nieprzystającą do specyfiki takich organizacji konstrukcją systemu opodatkowania podatkiem CIT oraz katalogu zwolnień, co może skutkować niemożnością zakwalifikowania dochodów z działalności takich podmiotów pod obowiązujące w ustawie </w:t>
      </w:r>
      <w:r w:rsidR="00575C99">
        <w:rPr>
          <w:rFonts w:ascii="Times New Roman" w:eastAsia="Calibri" w:hAnsi="Times New Roman" w:cs="Times New Roman"/>
          <w:bCs/>
          <w:iCs/>
          <w:sz w:val="24"/>
          <w:szCs w:val="24"/>
        </w:rPr>
        <w:t xml:space="preserve">o </w:t>
      </w:r>
      <w:r w:rsidRPr="006004A4">
        <w:rPr>
          <w:rFonts w:ascii="Times New Roman" w:eastAsia="Calibri" w:hAnsi="Times New Roman" w:cs="Times New Roman"/>
          <w:bCs/>
          <w:iCs/>
          <w:sz w:val="24"/>
          <w:szCs w:val="24"/>
        </w:rPr>
        <w:t>CIT zwolnienia</w:t>
      </w:r>
      <w:r w:rsidR="00B85920">
        <w:rPr>
          <w:rFonts w:ascii="Times New Roman" w:eastAsia="Calibri" w:hAnsi="Times New Roman" w:cs="Times New Roman"/>
          <w:bCs/>
          <w:iCs/>
          <w:sz w:val="24"/>
          <w:szCs w:val="24"/>
        </w:rPr>
        <w:t>.</w:t>
      </w:r>
    </w:p>
    <w:p w14:paraId="15FD83F5" w14:textId="0DC4AAF2" w:rsidR="00DC5E41" w:rsidRDefault="00AD5C02" w:rsidP="00AD5C02">
      <w:pPr>
        <w:spacing w:before="120" w:line="360" w:lineRule="auto"/>
        <w:jc w:val="both"/>
        <w:rPr>
          <w:rFonts w:ascii="Times New Roman" w:eastAsia="Calibri" w:hAnsi="Times New Roman" w:cs="Times New Roman"/>
          <w:bCs/>
          <w:iCs/>
          <w:sz w:val="24"/>
          <w:szCs w:val="24"/>
        </w:rPr>
      </w:pPr>
      <w:bookmarkStart w:id="12" w:name="_Hlk238206742"/>
      <w:r w:rsidRPr="0074001A">
        <w:rPr>
          <w:rFonts w:ascii="Times New Roman" w:eastAsia="Calibri" w:hAnsi="Times New Roman" w:cs="Times New Roman"/>
          <w:bCs/>
          <w:iCs/>
          <w:sz w:val="24"/>
          <w:szCs w:val="24"/>
        </w:rPr>
        <w:t xml:space="preserve">Projektowana zmiana przewiduje </w:t>
      </w:r>
      <w:r>
        <w:rPr>
          <w:rFonts w:ascii="Times New Roman" w:eastAsia="Calibri" w:hAnsi="Times New Roman" w:cs="Times New Roman"/>
          <w:bCs/>
          <w:iCs/>
          <w:sz w:val="24"/>
          <w:szCs w:val="24"/>
        </w:rPr>
        <w:t xml:space="preserve">wprowadzenie </w:t>
      </w:r>
      <w:bookmarkStart w:id="13" w:name="_Hlk238207249"/>
      <w:r>
        <w:rPr>
          <w:rFonts w:ascii="Times New Roman" w:eastAsia="Calibri" w:hAnsi="Times New Roman" w:cs="Times New Roman"/>
          <w:bCs/>
          <w:iCs/>
          <w:sz w:val="24"/>
          <w:szCs w:val="24"/>
        </w:rPr>
        <w:t>zwolnienia przedmiotowego dla</w:t>
      </w:r>
      <w:r w:rsidRPr="0074001A">
        <w:t xml:space="preserve"> </w:t>
      </w:r>
      <w:r w:rsidRPr="0074001A">
        <w:rPr>
          <w:rFonts w:ascii="Times New Roman" w:eastAsia="Calibri" w:hAnsi="Times New Roman" w:cs="Times New Roman"/>
          <w:bCs/>
          <w:iCs/>
          <w:sz w:val="24"/>
          <w:szCs w:val="24"/>
        </w:rPr>
        <w:t xml:space="preserve">organizacji pozarządowych, o których mowa </w:t>
      </w:r>
      <w:bookmarkStart w:id="14" w:name="_Hlk238226023"/>
      <w:r w:rsidRPr="0074001A">
        <w:rPr>
          <w:rFonts w:ascii="Times New Roman" w:eastAsia="Calibri" w:hAnsi="Times New Roman" w:cs="Times New Roman"/>
          <w:bCs/>
          <w:iCs/>
          <w:sz w:val="24"/>
          <w:szCs w:val="24"/>
        </w:rPr>
        <w:t>w art. 3 ust. 2</w:t>
      </w:r>
      <w:r w:rsidR="008A63A6" w:rsidRPr="008A63A6">
        <w:t xml:space="preserve"> </w:t>
      </w:r>
      <w:r w:rsidR="008A63A6" w:rsidRPr="008A63A6">
        <w:rPr>
          <w:rFonts w:ascii="Times New Roman" w:eastAsia="Calibri" w:hAnsi="Times New Roman" w:cs="Times New Roman"/>
          <w:bCs/>
          <w:iCs/>
          <w:sz w:val="24"/>
          <w:szCs w:val="24"/>
        </w:rPr>
        <w:t>ustaw</w:t>
      </w:r>
      <w:r w:rsidR="008A63A6">
        <w:rPr>
          <w:rFonts w:ascii="Times New Roman" w:eastAsia="Calibri" w:hAnsi="Times New Roman" w:cs="Times New Roman"/>
          <w:bCs/>
          <w:iCs/>
          <w:sz w:val="24"/>
          <w:szCs w:val="24"/>
        </w:rPr>
        <w:t>y</w:t>
      </w:r>
      <w:r w:rsidR="008A63A6" w:rsidRPr="008A63A6">
        <w:rPr>
          <w:rFonts w:ascii="Times New Roman" w:eastAsia="Calibri" w:hAnsi="Times New Roman" w:cs="Times New Roman"/>
          <w:bCs/>
          <w:iCs/>
          <w:sz w:val="24"/>
          <w:szCs w:val="24"/>
        </w:rPr>
        <w:t xml:space="preserve"> z dnia 24 kwietnia 2003 r. o działalności pożytku publicznego i o wolontariacie</w:t>
      </w:r>
      <w:r w:rsidR="008A63A6">
        <w:rPr>
          <w:rStyle w:val="Odwoanieprzypisudolnego"/>
          <w:rFonts w:ascii="Times New Roman" w:eastAsia="Calibri" w:hAnsi="Times New Roman" w:cs="Times New Roman"/>
          <w:bCs/>
          <w:iCs/>
          <w:sz w:val="24"/>
          <w:szCs w:val="24"/>
        </w:rPr>
        <w:footnoteReference w:id="10"/>
      </w:r>
      <w:bookmarkEnd w:id="14"/>
      <w:r w:rsidRPr="0074001A">
        <w:rPr>
          <w:rFonts w:ascii="Times New Roman" w:eastAsia="Calibri" w:hAnsi="Times New Roman" w:cs="Times New Roman"/>
          <w:bCs/>
          <w:iCs/>
          <w:sz w:val="24"/>
          <w:szCs w:val="24"/>
        </w:rPr>
        <w:t>, w części</w:t>
      </w:r>
      <w:r>
        <w:rPr>
          <w:rFonts w:ascii="Times New Roman" w:eastAsia="Calibri" w:hAnsi="Times New Roman" w:cs="Times New Roman"/>
          <w:bCs/>
          <w:iCs/>
          <w:sz w:val="24"/>
          <w:szCs w:val="24"/>
        </w:rPr>
        <w:t xml:space="preserve"> </w:t>
      </w:r>
      <w:r w:rsidRPr="0074001A">
        <w:rPr>
          <w:rFonts w:ascii="Times New Roman" w:eastAsia="Calibri" w:hAnsi="Times New Roman" w:cs="Times New Roman"/>
          <w:bCs/>
          <w:iCs/>
          <w:sz w:val="24"/>
          <w:szCs w:val="24"/>
        </w:rPr>
        <w:t>przeznaczonej na działalność pożytku publicznego, o której mowa w tej ustawie, z</w:t>
      </w:r>
      <w:r>
        <w:rPr>
          <w:rFonts w:ascii="Times New Roman" w:eastAsia="Calibri" w:hAnsi="Times New Roman" w:cs="Times New Roman"/>
          <w:bCs/>
          <w:iCs/>
          <w:sz w:val="24"/>
          <w:szCs w:val="24"/>
        </w:rPr>
        <w:t xml:space="preserve"> </w:t>
      </w:r>
      <w:r w:rsidRPr="0074001A">
        <w:rPr>
          <w:rFonts w:ascii="Times New Roman" w:eastAsia="Calibri" w:hAnsi="Times New Roman" w:cs="Times New Roman"/>
          <w:bCs/>
          <w:iCs/>
          <w:sz w:val="24"/>
          <w:szCs w:val="24"/>
        </w:rPr>
        <w:t>wyłączeniem działalności gospodarczej</w:t>
      </w:r>
      <w:bookmarkEnd w:id="13"/>
      <w:r>
        <w:rPr>
          <w:rFonts w:ascii="Times New Roman" w:eastAsia="Calibri" w:hAnsi="Times New Roman" w:cs="Times New Roman"/>
          <w:bCs/>
          <w:iCs/>
          <w:sz w:val="24"/>
          <w:szCs w:val="24"/>
        </w:rPr>
        <w:t>.</w:t>
      </w:r>
      <w:bookmarkEnd w:id="12"/>
      <w:r w:rsidR="00DC5E41">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W świetle projektowanej zmiany </w:t>
      </w:r>
      <w:r w:rsidR="00DC5E41">
        <w:rPr>
          <w:rFonts w:ascii="Times New Roman" w:eastAsia="Calibri" w:hAnsi="Times New Roman" w:cs="Times New Roman"/>
          <w:bCs/>
          <w:iCs/>
          <w:sz w:val="24"/>
          <w:szCs w:val="24"/>
        </w:rPr>
        <w:t>dla celów zastosowania zwolnienia uwzględnieniu podlegać będzie również faktyczne prowadzenie działalności</w:t>
      </w:r>
      <w:r w:rsidR="00DC5E41" w:rsidRPr="00DC5E41">
        <w:t xml:space="preserve"> </w:t>
      </w:r>
      <w:r w:rsidR="00DC5E41" w:rsidRPr="00DC5E41">
        <w:rPr>
          <w:rFonts w:ascii="Times New Roman" w:eastAsia="Calibri" w:hAnsi="Times New Roman" w:cs="Times New Roman"/>
          <w:bCs/>
          <w:iCs/>
          <w:sz w:val="24"/>
          <w:szCs w:val="24"/>
        </w:rPr>
        <w:t>z zakresu pożytku publicznego</w:t>
      </w:r>
      <w:r w:rsidR="00DC5E41">
        <w:rPr>
          <w:rFonts w:ascii="Times New Roman" w:eastAsia="Calibri" w:hAnsi="Times New Roman" w:cs="Times New Roman"/>
          <w:bCs/>
          <w:iCs/>
          <w:sz w:val="24"/>
          <w:szCs w:val="24"/>
        </w:rPr>
        <w:t xml:space="preserve"> przez organizacje pozarządowe wskazane w</w:t>
      </w:r>
      <w:r w:rsidR="00DC5E41" w:rsidRPr="00DC5E41">
        <w:t xml:space="preserve"> </w:t>
      </w:r>
      <w:r w:rsidR="00DC5E41" w:rsidRPr="00DC5E41">
        <w:rPr>
          <w:rFonts w:ascii="Times New Roman" w:eastAsia="Calibri" w:hAnsi="Times New Roman" w:cs="Times New Roman"/>
          <w:bCs/>
          <w:iCs/>
          <w:sz w:val="24"/>
          <w:szCs w:val="24"/>
        </w:rPr>
        <w:t>art. 3 ust. 2 ustawy OPP</w:t>
      </w:r>
      <w:r w:rsidR="00DC5E41">
        <w:rPr>
          <w:rFonts w:ascii="Times New Roman" w:eastAsia="Calibri" w:hAnsi="Times New Roman" w:cs="Times New Roman"/>
          <w:bCs/>
          <w:iCs/>
          <w:sz w:val="24"/>
          <w:szCs w:val="24"/>
        </w:rPr>
        <w:t xml:space="preserve">, </w:t>
      </w:r>
      <w:r w:rsidR="00DE5940" w:rsidRPr="00DE5940">
        <w:rPr>
          <w:rFonts w:ascii="Times New Roman" w:eastAsia="Calibri" w:hAnsi="Times New Roman" w:cs="Times New Roman"/>
          <w:bCs/>
          <w:iCs/>
          <w:sz w:val="24"/>
          <w:szCs w:val="24"/>
        </w:rPr>
        <w:t xml:space="preserve">a nie tylko </w:t>
      </w:r>
      <w:r w:rsidR="00DE5940">
        <w:rPr>
          <w:rFonts w:ascii="Times New Roman" w:eastAsia="Calibri" w:hAnsi="Times New Roman" w:cs="Times New Roman"/>
          <w:bCs/>
          <w:iCs/>
          <w:sz w:val="24"/>
          <w:szCs w:val="24"/>
        </w:rPr>
        <w:t xml:space="preserve">ich </w:t>
      </w:r>
      <w:r w:rsidR="00DE5940" w:rsidRPr="00DE5940">
        <w:rPr>
          <w:rFonts w:ascii="Times New Roman" w:eastAsia="Calibri" w:hAnsi="Times New Roman" w:cs="Times New Roman"/>
          <w:bCs/>
          <w:iCs/>
          <w:sz w:val="24"/>
          <w:szCs w:val="24"/>
        </w:rPr>
        <w:t>zapisy statutowe</w:t>
      </w:r>
      <w:r w:rsidR="00DE5940">
        <w:rPr>
          <w:rFonts w:ascii="Times New Roman" w:eastAsia="Calibri" w:hAnsi="Times New Roman" w:cs="Times New Roman"/>
          <w:bCs/>
          <w:iCs/>
          <w:sz w:val="24"/>
          <w:szCs w:val="24"/>
        </w:rPr>
        <w:t>.</w:t>
      </w:r>
    </w:p>
    <w:p w14:paraId="5542ECE8" w14:textId="17BFFFE6" w:rsidR="001970CD" w:rsidRPr="00CC162D" w:rsidRDefault="00995429" w:rsidP="0027548A">
      <w:pPr>
        <w:spacing w:before="240" w:after="120" w:line="36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1</w:t>
      </w:r>
      <w:r w:rsidR="00AC7DD0">
        <w:rPr>
          <w:rFonts w:ascii="Times New Roman" w:eastAsia="Calibri" w:hAnsi="Times New Roman" w:cs="Times New Roman"/>
          <w:b/>
          <w:iCs/>
          <w:sz w:val="24"/>
          <w:szCs w:val="24"/>
        </w:rPr>
        <w:t>5</w:t>
      </w:r>
      <w:r w:rsidR="00A8763E">
        <w:rPr>
          <w:rFonts w:ascii="Times New Roman" w:eastAsia="Calibri" w:hAnsi="Times New Roman" w:cs="Times New Roman"/>
          <w:b/>
          <w:iCs/>
          <w:sz w:val="24"/>
          <w:szCs w:val="24"/>
        </w:rPr>
        <w:t xml:space="preserve">) </w:t>
      </w:r>
      <w:bookmarkStart w:id="15" w:name="_Hlk207204756"/>
      <w:r w:rsidR="00A8763E">
        <w:rPr>
          <w:rFonts w:ascii="Times New Roman" w:eastAsia="Calibri" w:hAnsi="Times New Roman" w:cs="Times New Roman"/>
          <w:b/>
          <w:iCs/>
          <w:sz w:val="24"/>
          <w:szCs w:val="24"/>
        </w:rPr>
        <w:t>Jednoznaczne wskazanie</w:t>
      </w:r>
      <w:r w:rsidR="001970CD" w:rsidRPr="00CC162D">
        <w:rPr>
          <w:rFonts w:ascii="Times New Roman" w:eastAsia="Calibri" w:hAnsi="Times New Roman" w:cs="Times New Roman"/>
          <w:b/>
          <w:iCs/>
          <w:sz w:val="24"/>
          <w:szCs w:val="24"/>
        </w:rPr>
        <w:t xml:space="preserve">, </w:t>
      </w:r>
      <w:r w:rsidR="00A8763E">
        <w:rPr>
          <w:rFonts w:ascii="Times New Roman" w:eastAsia="Calibri" w:hAnsi="Times New Roman" w:cs="Times New Roman"/>
          <w:b/>
          <w:iCs/>
          <w:sz w:val="24"/>
          <w:szCs w:val="24"/>
        </w:rPr>
        <w:t>że</w:t>
      </w:r>
      <w:r w:rsidR="001970CD" w:rsidRPr="00CC162D">
        <w:rPr>
          <w:rFonts w:ascii="Times New Roman" w:eastAsia="Calibri" w:hAnsi="Times New Roman" w:cs="Times New Roman"/>
          <w:b/>
          <w:iCs/>
          <w:sz w:val="24"/>
          <w:szCs w:val="24"/>
        </w:rPr>
        <w:t xml:space="preserve"> zbycie przez Bank Gospodarstwa Krajowego</w:t>
      </w:r>
      <w:r w:rsidR="00A8763E">
        <w:rPr>
          <w:rFonts w:ascii="Times New Roman" w:eastAsia="Calibri" w:hAnsi="Times New Roman" w:cs="Times New Roman"/>
          <w:b/>
          <w:iCs/>
          <w:sz w:val="24"/>
          <w:szCs w:val="24"/>
        </w:rPr>
        <w:t xml:space="preserve"> (BGK)</w:t>
      </w:r>
      <w:r w:rsidR="008F269E">
        <w:rPr>
          <w:rFonts w:ascii="Times New Roman" w:eastAsia="Calibri" w:hAnsi="Times New Roman" w:cs="Times New Roman"/>
          <w:b/>
          <w:iCs/>
          <w:sz w:val="24"/>
          <w:szCs w:val="24"/>
        </w:rPr>
        <w:t xml:space="preserve"> </w:t>
      </w:r>
      <w:r w:rsidR="001970CD" w:rsidRPr="00CC162D">
        <w:rPr>
          <w:rFonts w:ascii="Times New Roman" w:eastAsia="Calibri" w:hAnsi="Times New Roman" w:cs="Times New Roman"/>
          <w:b/>
          <w:iCs/>
          <w:sz w:val="24"/>
          <w:szCs w:val="24"/>
        </w:rPr>
        <w:t>obligacji skarbowych, przekazanych przez Ministra Finansów na powiększenie funduszu statutowego</w:t>
      </w:r>
      <w:r w:rsidR="001970CD">
        <w:rPr>
          <w:rFonts w:ascii="Times New Roman" w:eastAsia="Calibri" w:hAnsi="Times New Roman" w:cs="Times New Roman"/>
          <w:b/>
          <w:iCs/>
          <w:sz w:val="24"/>
          <w:szCs w:val="24"/>
        </w:rPr>
        <w:t>, albo ich wykup,</w:t>
      </w:r>
      <w:r w:rsidR="001970CD" w:rsidRPr="00CC162D">
        <w:rPr>
          <w:rFonts w:ascii="Times New Roman" w:eastAsia="Calibri" w:hAnsi="Times New Roman" w:cs="Times New Roman"/>
          <w:b/>
          <w:iCs/>
          <w:sz w:val="24"/>
          <w:szCs w:val="24"/>
        </w:rPr>
        <w:t xml:space="preserve"> nie wiąż</w:t>
      </w:r>
      <w:r w:rsidR="001970CD">
        <w:rPr>
          <w:rFonts w:ascii="Times New Roman" w:eastAsia="Calibri" w:hAnsi="Times New Roman" w:cs="Times New Roman"/>
          <w:b/>
          <w:iCs/>
          <w:sz w:val="24"/>
          <w:szCs w:val="24"/>
        </w:rPr>
        <w:t>ą</w:t>
      </w:r>
      <w:r w:rsidR="001970CD" w:rsidRPr="00CC162D">
        <w:rPr>
          <w:rFonts w:ascii="Times New Roman" w:eastAsia="Calibri" w:hAnsi="Times New Roman" w:cs="Times New Roman"/>
          <w:b/>
          <w:iCs/>
          <w:sz w:val="24"/>
          <w:szCs w:val="24"/>
        </w:rPr>
        <w:t xml:space="preserve"> się z wystąpieniem po stronie BGK skutków w </w:t>
      </w:r>
      <w:r w:rsidR="00FB7B4A">
        <w:rPr>
          <w:rFonts w:ascii="Times New Roman" w:eastAsia="Calibri" w:hAnsi="Times New Roman" w:cs="Times New Roman"/>
          <w:b/>
          <w:iCs/>
          <w:sz w:val="24"/>
          <w:szCs w:val="24"/>
        </w:rPr>
        <w:t>CIT</w:t>
      </w:r>
      <w:r w:rsidR="00A8763E" w:rsidRPr="00A8763E">
        <w:rPr>
          <w:rFonts w:ascii="Times New Roman" w:eastAsia="Calibri" w:hAnsi="Times New Roman" w:cs="Times New Roman"/>
          <w:b/>
          <w:iCs/>
          <w:sz w:val="24"/>
          <w:szCs w:val="24"/>
        </w:rPr>
        <w:t xml:space="preserve"> </w:t>
      </w:r>
      <w:r w:rsidR="00A8763E" w:rsidRPr="0027548A">
        <w:rPr>
          <w:rFonts w:ascii="Times New Roman" w:eastAsia="Calibri" w:hAnsi="Times New Roman" w:cs="Times New Roman"/>
          <w:bCs/>
          <w:iCs/>
          <w:sz w:val="24"/>
          <w:szCs w:val="24"/>
        </w:rPr>
        <w:t>(zmieniany art. 17 ust. 1 pkt 37 ustawy o CIT)</w:t>
      </w:r>
      <w:r w:rsidR="00A8763E">
        <w:rPr>
          <w:rFonts w:ascii="Times New Roman" w:eastAsia="Calibri" w:hAnsi="Times New Roman" w:cs="Times New Roman"/>
          <w:b/>
          <w:iCs/>
          <w:sz w:val="24"/>
          <w:szCs w:val="24"/>
        </w:rPr>
        <w:t xml:space="preserve"> </w:t>
      </w:r>
      <w:r w:rsidR="00A8763E" w:rsidRPr="00793CFC">
        <w:rPr>
          <w:rFonts w:ascii="Times New Roman" w:eastAsia="Calibri" w:hAnsi="Times New Roman" w:cs="Times New Roman"/>
          <w:bCs/>
          <w:iCs/>
          <w:sz w:val="24"/>
          <w:szCs w:val="24"/>
        </w:rPr>
        <w:t>–</w:t>
      </w:r>
      <w:r w:rsidR="00A8763E">
        <w:rPr>
          <w:rFonts w:ascii="Times New Roman" w:eastAsia="Calibri" w:hAnsi="Times New Roman" w:cs="Times New Roman"/>
          <w:b/>
          <w:iCs/>
          <w:sz w:val="24"/>
          <w:szCs w:val="24"/>
        </w:rPr>
        <w:t xml:space="preserve"> art. 2 pkt </w:t>
      </w:r>
      <w:r w:rsidR="000C26B1" w:rsidRPr="000C26B1">
        <w:rPr>
          <w:rFonts w:ascii="Times New Roman" w:eastAsia="Calibri" w:hAnsi="Times New Roman" w:cs="Times New Roman"/>
          <w:b/>
          <w:iCs/>
          <w:sz w:val="24"/>
          <w:szCs w:val="24"/>
        </w:rPr>
        <w:t>9</w:t>
      </w:r>
      <w:r w:rsidR="00A8763E">
        <w:rPr>
          <w:rFonts w:ascii="Times New Roman" w:eastAsia="Calibri" w:hAnsi="Times New Roman" w:cs="Times New Roman"/>
          <w:b/>
          <w:iCs/>
          <w:sz w:val="24"/>
          <w:szCs w:val="24"/>
        </w:rPr>
        <w:t xml:space="preserve"> lit. </w:t>
      </w:r>
      <w:r w:rsidR="00991523">
        <w:rPr>
          <w:rFonts w:ascii="Times New Roman" w:eastAsia="Calibri" w:hAnsi="Times New Roman" w:cs="Times New Roman"/>
          <w:b/>
          <w:iCs/>
          <w:sz w:val="24"/>
          <w:szCs w:val="24"/>
        </w:rPr>
        <w:t xml:space="preserve">a </w:t>
      </w:r>
      <w:r w:rsidR="00A8763E">
        <w:rPr>
          <w:rFonts w:ascii="Times New Roman" w:eastAsia="Calibri" w:hAnsi="Times New Roman" w:cs="Times New Roman"/>
          <w:b/>
          <w:iCs/>
          <w:sz w:val="24"/>
          <w:szCs w:val="24"/>
        </w:rPr>
        <w:t xml:space="preserve">projektu </w:t>
      </w:r>
    </w:p>
    <w:p w14:paraId="03876849" w14:textId="60A00C15" w:rsidR="001970CD" w:rsidRPr="001D7F8E" w:rsidRDefault="001970CD" w:rsidP="004C172B">
      <w:pPr>
        <w:spacing w:before="120" w:line="360" w:lineRule="auto"/>
        <w:jc w:val="both"/>
        <w:rPr>
          <w:rFonts w:ascii="Times New Roman" w:eastAsia="Calibri" w:hAnsi="Times New Roman" w:cs="Times New Roman"/>
          <w:bCs/>
          <w:iCs/>
          <w:sz w:val="24"/>
          <w:szCs w:val="24"/>
        </w:rPr>
      </w:pPr>
      <w:r w:rsidRPr="001D7F8E">
        <w:rPr>
          <w:rFonts w:ascii="Times New Roman" w:eastAsia="Calibri" w:hAnsi="Times New Roman" w:cs="Times New Roman"/>
          <w:bCs/>
          <w:iCs/>
          <w:sz w:val="24"/>
          <w:szCs w:val="24"/>
        </w:rPr>
        <w:t xml:space="preserve">Jedyny aktualnie funkcjonujący w Polsce bank państwowy </w:t>
      </w:r>
      <w:r>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 Bank Gospodarstwa Krajowego (</w:t>
      </w:r>
      <w:r w:rsidR="006755E6">
        <w:rPr>
          <w:rFonts w:ascii="Times New Roman" w:eastAsia="Calibri" w:hAnsi="Times New Roman" w:cs="Times New Roman"/>
          <w:bCs/>
          <w:iCs/>
          <w:sz w:val="24"/>
          <w:szCs w:val="24"/>
        </w:rPr>
        <w:t xml:space="preserve">zwany </w:t>
      </w:r>
      <w:r w:rsidRPr="001D7F8E">
        <w:rPr>
          <w:rFonts w:ascii="Times New Roman" w:eastAsia="Calibri" w:hAnsi="Times New Roman" w:cs="Times New Roman"/>
          <w:bCs/>
          <w:iCs/>
          <w:sz w:val="24"/>
          <w:szCs w:val="24"/>
        </w:rPr>
        <w:t>dalej „</w:t>
      </w:r>
      <w:r w:rsidRPr="0027548A">
        <w:rPr>
          <w:rFonts w:ascii="Times New Roman" w:eastAsia="Calibri" w:hAnsi="Times New Roman" w:cs="Times New Roman"/>
          <w:b/>
          <w:iCs/>
          <w:sz w:val="24"/>
          <w:szCs w:val="24"/>
        </w:rPr>
        <w:t>BGK</w:t>
      </w:r>
      <w:r w:rsidRPr="001D7F8E">
        <w:rPr>
          <w:rFonts w:ascii="Times New Roman" w:eastAsia="Calibri" w:hAnsi="Times New Roman" w:cs="Times New Roman"/>
          <w:bCs/>
          <w:iCs/>
          <w:sz w:val="24"/>
          <w:szCs w:val="24"/>
        </w:rPr>
        <w:t>”) działa na podstawie ustawy z dnia 14 marca 2003 r. o Banku Gospodarstwa Krajowego</w:t>
      </w:r>
      <w:r w:rsidR="00A8763E">
        <w:rPr>
          <w:rStyle w:val="Odwoanieprzypisudolnego"/>
          <w:rFonts w:ascii="Times New Roman" w:eastAsia="Calibri" w:hAnsi="Times New Roman" w:cs="Times New Roman"/>
          <w:bCs/>
          <w:iCs/>
          <w:sz w:val="24"/>
          <w:szCs w:val="24"/>
        </w:rPr>
        <w:footnoteReference w:id="11"/>
      </w:r>
      <w:r w:rsidR="00575C99">
        <w:rPr>
          <w:rFonts w:ascii="Times New Roman" w:eastAsia="Calibri" w:hAnsi="Times New Roman" w:cs="Times New Roman"/>
          <w:bCs/>
          <w:iCs/>
          <w:sz w:val="24"/>
          <w:szCs w:val="24"/>
        </w:rPr>
        <w:t xml:space="preserve"> (zwanej dalej </w:t>
      </w:r>
      <w:r w:rsidR="00575C99">
        <w:rPr>
          <w:rFonts w:ascii="Times New Roman" w:eastAsia="Calibri" w:hAnsi="Times New Roman" w:cs="Times New Roman"/>
          <w:b/>
          <w:iCs/>
          <w:sz w:val="24"/>
          <w:szCs w:val="24"/>
        </w:rPr>
        <w:t>„ustawą o BGK”</w:t>
      </w:r>
      <w:r w:rsidR="00575C99">
        <w:rPr>
          <w:rFonts w:ascii="Times New Roman" w:eastAsia="Calibri" w:hAnsi="Times New Roman" w:cs="Times New Roman"/>
          <w:bCs/>
          <w:iCs/>
          <w:sz w:val="24"/>
          <w:szCs w:val="24"/>
        </w:rPr>
        <w:t>)</w:t>
      </w:r>
      <w:r w:rsidR="00A8763E">
        <w:rPr>
          <w:rFonts w:ascii="Times New Roman" w:eastAsia="Calibri" w:hAnsi="Times New Roman" w:cs="Times New Roman"/>
          <w:bCs/>
          <w:iCs/>
          <w:sz w:val="24"/>
          <w:szCs w:val="24"/>
        </w:rPr>
        <w:t xml:space="preserve">. </w:t>
      </w:r>
      <w:r w:rsidRPr="001D7F8E">
        <w:rPr>
          <w:rFonts w:ascii="Times New Roman" w:eastAsia="Calibri" w:hAnsi="Times New Roman" w:cs="Times New Roman"/>
          <w:bCs/>
          <w:iCs/>
          <w:sz w:val="24"/>
          <w:szCs w:val="24"/>
        </w:rPr>
        <w:t>Ustawa ta określa zadania, zakres działalności oraz organizację BGK. Przepisy ustawy o BGK uzupełnia jego Statut, który został nadany rozporządzeniem Ministra Rozwoju z dnia 16 września 2016 r.</w:t>
      </w:r>
      <w:r w:rsidR="00113640">
        <w:rPr>
          <w:rStyle w:val="Odwoanieprzypisudolnego"/>
          <w:rFonts w:ascii="Times New Roman" w:eastAsia="Calibri" w:hAnsi="Times New Roman" w:cs="Times New Roman"/>
          <w:bCs/>
          <w:iCs/>
          <w:sz w:val="24"/>
          <w:szCs w:val="24"/>
        </w:rPr>
        <w:footnoteReference w:id="12"/>
      </w:r>
      <w:r w:rsidRPr="001D7F8E">
        <w:rPr>
          <w:rFonts w:ascii="Times New Roman" w:eastAsia="Calibri" w:hAnsi="Times New Roman" w:cs="Times New Roman"/>
          <w:bCs/>
          <w:iCs/>
          <w:sz w:val="24"/>
          <w:szCs w:val="24"/>
        </w:rPr>
        <w:t xml:space="preserve"> w ramach delegacji ustawowej wynikającej z art. 2 ust. 3 ustawy o BGK. </w:t>
      </w:r>
    </w:p>
    <w:p w14:paraId="7CB8707D" w14:textId="3BC8DDC4" w:rsidR="001970CD" w:rsidRPr="001D7F8E" w:rsidRDefault="001970CD" w:rsidP="004C172B">
      <w:pPr>
        <w:spacing w:before="120" w:line="360" w:lineRule="auto"/>
        <w:jc w:val="both"/>
        <w:rPr>
          <w:rFonts w:ascii="Times New Roman" w:eastAsia="Calibri" w:hAnsi="Times New Roman" w:cs="Times New Roman"/>
          <w:bCs/>
          <w:iCs/>
          <w:sz w:val="24"/>
          <w:szCs w:val="24"/>
        </w:rPr>
      </w:pPr>
      <w:r w:rsidRPr="001D7F8E">
        <w:rPr>
          <w:rFonts w:ascii="Times New Roman" w:eastAsia="Calibri" w:hAnsi="Times New Roman" w:cs="Times New Roman"/>
          <w:bCs/>
          <w:iCs/>
          <w:sz w:val="24"/>
          <w:szCs w:val="24"/>
        </w:rPr>
        <w:t xml:space="preserve">Zgodnie z par. 31 ust. 1 pkt 1 Statutu BGK fundusz statutowy tego banku tworzony jest m.in. z wnoszonych przez Skarb Państwa nieodpłatnie składników majątkowych, w tym z </w:t>
      </w:r>
      <w:r w:rsidRPr="001D7F8E">
        <w:rPr>
          <w:rFonts w:ascii="Times New Roman" w:eastAsia="Calibri" w:hAnsi="Times New Roman" w:cs="Times New Roman"/>
          <w:bCs/>
          <w:iCs/>
          <w:sz w:val="24"/>
          <w:szCs w:val="24"/>
        </w:rPr>
        <w:lastRenderedPageBreak/>
        <w:t>przekazanych przez Ministra Finansów skarbowych papierów wartościowych. Papiery te wnoszone są do BGK na podstawie listów emisyjnych wydawanych przez Ministra Finansów.</w:t>
      </w:r>
    </w:p>
    <w:p w14:paraId="4AC05F8C" w14:textId="7A3416C8" w:rsidR="001970CD" w:rsidRPr="001D7F8E" w:rsidRDefault="001970CD" w:rsidP="004C172B">
      <w:pPr>
        <w:spacing w:before="120" w:line="360" w:lineRule="auto"/>
        <w:jc w:val="both"/>
        <w:rPr>
          <w:rFonts w:ascii="Times New Roman" w:eastAsia="Calibri" w:hAnsi="Times New Roman" w:cs="Times New Roman"/>
          <w:bCs/>
          <w:iCs/>
          <w:sz w:val="24"/>
          <w:szCs w:val="24"/>
        </w:rPr>
      </w:pPr>
      <w:r w:rsidRPr="001D7F8E">
        <w:rPr>
          <w:rFonts w:ascii="Times New Roman" w:eastAsia="Calibri" w:hAnsi="Times New Roman" w:cs="Times New Roman"/>
          <w:bCs/>
          <w:iCs/>
          <w:sz w:val="24"/>
          <w:szCs w:val="24"/>
        </w:rPr>
        <w:t>Zgodnie z przepisami ustawy</w:t>
      </w:r>
      <w:r w:rsidR="009B4241">
        <w:rPr>
          <w:rFonts w:ascii="Times New Roman" w:eastAsia="Calibri" w:hAnsi="Times New Roman" w:cs="Times New Roman"/>
          <w:bCs/>
          <w:iCs/>
          <w:sz w:val="24"/>
          <w:szCs w:val="24"/>
        </w:rPr>
        <w:t xml:space="preserve"> o CIT,</w:t>
      </w:r>
      <w:r w:rsidRPr="001D7F8E">
        <w:rPr>
          <w:rFonts w:ascii="Times New Roman" w:eastAsia="Calibri" w:hAnsi="Times New Roman" w:cs="Times New Roman"/>
          <w:bCs/>
          <w:iCs/>
          <w:sz w:val="24"/>
          <w:szCs w:val="24"/>
        </w:rPr>
        <w:t xml:space="preserve"> BGK jest podatnikiem CIT</w:t>
      </w:r>
      <w:r w:rsidR="009B4241">
        <w:rPr>
          <w:rFonts w:ascii="Times New Roman" w:eastAsia="Calibri" w:hAnsi="Times New Roman" w:cs="Times New Roman"/>
          <w:bCs/>
          <w:iCs/>
          <w:sz w:val="24"/>
          <w:szCs w:val="24"/>
        </w:rPr>
        <w:t xml:space="preserve"> i</w:t>
      </w:r>
      <w:r w:rsidRPr="001D7F8E">
        <w:rPr>
          <w:rFonts w:ascii="Times New Roman" w:eastAsia="Calibri" w:hAnsi="Times New Roman" w:cs="Times New Roman"/>
          <w:bCs/>
          <w:iCs/>
          <w:sz w:val="24"/>
          <w:szCs w:val="24"/>
        </w:rPr>
        <w:t xml:space="preserve"> </w:t>
      </w:r>
      <w:r w:rsidR="009B4241">
        <w:rPr>
          <w:rFonts w:ascii="Times New Roman" w:eastAsia="Calibri" w:hAnsi="Times New Roman" w:cs="Times New Roman"/>
          <w:bCs/>
          <w:iCs/>
          <w:sz w:val="24"/>
          <w:szCs w:val="24"/>
        </w:rPr>
        <w:t>n</w:t>
      </w:r>
      <w:r w:rsidRPr="001D7F8E">
        <w:rPr>
          <w:rFonts w:ascii="Times New Roman" w:eastAsia="Calibri" w:hAnsi="Times New Roman" w:cs="Times New Roman"/>
          <w:bCs/>
          <w:iCs/>
          <w:sz w:val="24"/>
          <w:szCs w:val="24"/>
        </w:rPr>
        <w:t xml:space="preserve">ie korzysta ze zwolnienia od całości dochodów (zwolnienia podmiotowego). Zwolnieniu przedmiotowemu podlegają jednak niektóre dochody (przychody) BGK enumeratywnie wskazane w art. 12 ust. 4 pkt 4 i w art. 17 ust. 1 pkt 37, pkt 50b i pkt 51 ustawy </w:t>
      </w:r>
      <w:r w:rsidR="00575C99">
        <w:rPr>
          <w:rFonts w:ascii="Times New Roman" w:eastAsia="Calibri" w:hAnsi="Times New Roman" w:cs="Times New Roman"/>
          <w:bCs/>
          <w:iCs/>
          <w:sz w:val="24"/>
          <w:szCs w:val="24"/>
        </w:rPr>
        <w:t xml:space="preserve">o </w:t>
      </w:r>
      <w:r w:rsidRPr="001D7F8E">
        <w:rPr>
          <w:rFonts w:ascii="Times New Roman" w:eastAsia="Calibri" w:hAnsi="Times New Roman" w:cs="Times New Roman"/>
          <w:bCs/>
          <w:iCs/>
          <w:sz w:val="24"/>
          <w:szCs w:val="24"/>
        </w:rPr>
        <w:t>CIT.</w:t>
      </w:r>
    </w:p>
    <w:p w14:paraId="511E6CAD" w14:textId="0E636A63" w:rsidR="001970CD" w:rsidRPr="001D7F8E" w:rsidRDefault="001970CD" w:rsidP="004C172B">
      <w:pPr>
        <w:spacing w:before="120" w:line="360" w:lineRule="auto"/>
        <w:jc w:val="both"/>
        <w:rPr>
          <w:rFonts w:ascii="Times New Roman" w:eastAsia="Calibri" w:hAnsi="Times New Roman" w:cs="Times New Roman"/>
          <w:bCs/>
          <w:iCs/>
          <w:sz w:val="24"/>
          <w:szCs w:val="24"/>
        </w:rPr>
      </w:pPr>
      <w:r w:rsidRPr="001D7F8E">
        <w:rPr>
          <w:rFonts w:ascii="Times New Roman" w:eastAsia="Calibri" w:hAnsi="Times New Roman" w:cs="Times New Roman"/>
          <w:bCs/>
          <w:iCs/>
          <w:sz w:val="24"/>
          <w:szCs w:val="24"/>
        </w:rPr>
        <w:t>Wskazać jednak należy, iż żadne przepisy ustawy</w:t>
      </w:r>
      <w:r w:rsidR="00575C99">
        <w:rPr>
          <w:rFonts w:ascii="Times New Roman" w:eastAsia="Calibri" w:hAnsi="Times New Roman" w:cs="Times New Roman"/>
          <w:bCs/>
          <w:iCs/>
          <w:sz w:val="24"/>
          <w:szCs w:val="24"/>
        </w:rPr>
        <w:t xml:space="preserve"> o</w:t>
      </w:r>
      <w:r w:rsidRPr="001D7F8E">
        <w:rPr>
          <w:rFonts w:ascii="Times New Roman" w:eastAsia="Calibri" w:hAnsi="Times New Roman" w:cs="Times New Roman"/>
          <w:bCs/>
          <w:iCs/>
          <w:sz w:val="24"/>
          <w:szCs w:val="24"/>
        </w:rPr>
        <w:t xml:space="preserve"> CIT wprost nie odnoszą do podatkowych skutków</w:t>
      </w:r>
      <w:r w:rsidR="009B4241">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 jakie w banku państwowym wystąpią w związku z nieodpłatnym otrzymaniem od Ministra Finansów skarbowych papierów wartościowych</w:t>
      </w:r>
      <w:r w:rsidR="00D612DB">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 a następnie ich zbyciem. Biorąc jednak pod uwagę cel przekazania przez Ministra Finansów na rzecz BGK obligacji skarbowych</w:t>
      </w:r>
      <w:r>
        <w:rPr>
          <w:rFonts w:ascii="Times New Roman" w:eastAsia="Calibri" w:hAnsi="Times New Roman" w:cs="Times New Roman"/>
          <w:bCs/>
          <w:iCs/>
          <w:sz w:val="24"/>
          <w:szCs w:val="24"/>
        </w:rPr>
        <w:t>, należy uznać, iż</w:t>
      </w:r>
      <w:r w:rsidRPr="001D7F8E">
        <w:rPr>
          <w:rFonts w:ascii="Times New Roman" w:eastAsia="Calibri" w:hAnsi="Times New Roman" w:cs="Times New Roman"/>
          <w:bCs/>
          <w:iCs/>
          <w:sz w:val="24"/>
          <w:szCs w:val="24"/>
        </w:rPr>
        <w:t xml:space="preserve"> niewątpliwie intencją tą </w:t>
      </w:r>
      <w:r w:rsidR="00A8763E">
        <w:rPr>
          <w:rFonts w:ascii="Times New Roman" w:eastAsia="Calibri" w:hAnsi="Times New Roman" w:cs="Times New Roman"/>
          <w:bCs/>
          <w:iCs/>
          <w:sz w:val="24"/>
          <w:szCs w:val="24"/>
        </w:rPr>
        <w:t>jest</w:t>
      </w:r>
      <w:r w:rsidRPr="001D7F8E">
        <w:rPr>
          <w:rFonts w:ascii="Times New Roman" w:eastAsia="Calibri" w:hAnsi="Times New Roman" w:cs="Times New Roman"/>
          <w:bCs/>
          <w:iCs/>
          <w:sz w:val="24"/>
          <w:szCs w:val="24"/>
        </w:rPr>
        <w:t xml:space="preserve"> opodatkowanie podatkiem dochodowym ewentualnego „dochodu”</w:t>
      </w:r>
      <w:r w:rsidR="00D612DB">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 jaki – w świetle ogólnych przepisów ustawy</w:t>
      </w:r>
      <w:r w:rsidR="00575C99">
        <w:rPr>
          <w:rFonts w:ascii="Times New Roman" w:eastAsia="Calibri" w:hAnsi="Times New Roman" w:cs="Times New Roman"/>
          <w:bCs/>
          <w:iCs/>
          <w:sz w:val="24"/>
          <w:szCs w:val="24"/>
        </w:rPr>
        <w:t xml:space="preserve"> o</w:t>
      </w:r>
      <w:r w:rsidRPr="001D7F8E">
        <w:rPr>
          <w:rFonts w:ascii="Times New Roman" w:eastAsia="Calibri" w:hAnsi="Times New Roman" w:cs="Times New Roman"/>
          <w:bCs/>
          <w:iCs/>
          <w:sz w:val="24"/>
          <w:szCs w:val="24"/>
        </w:rPr>
        <w:t xml:space="preserve"> CIT – mógłby formalnie być wygenerowany operacją gospodarczą polegającą na </w:t>
      </w:r>
      <w:r>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zamianie” przez BGK takich obligacji skarbowych na środki pieniężne w drodze ich zbycia czy przedstawienia do wykupu. </w:t>
      </w:r>
    </w:p>
    <w:p w14:paraId="173C1B7E" w14:textId="35E52FD2" w:rsidR="001970CD" w:rsidRPr="001D7F8E" w:rsidRDefault="001970CD" w:rsidP="004C172B">
      <w:pPr>
        <w:spacing w:before="120" w:line="360" w:lineRule="auto"/>
        <w:jc w:val="both"/>
        <w:rPr>
          <w:rFonts w:ascii="Times New Roman" w:eastAsia="Calibri" w:hAnsi="Times New Roman" w:cs="Times New Roman"/>
          <w:bCs/>
          <w:iCs/>
          <w:sz w:val="24"/>
          <w:szCs w:val="24"/>
        </w:rPr>
      </w:pPr>
      <w:r w:rsidRPr="001D7F8E">
        <w:rPr>
          <w:rFonts w:ascii="Times New Roman" w:eastAsia="Calibri" w:hAnsi="Times New Roman" w:cs="Times New Roman"/>
          <w:bCs/>
          <w:iCs/>
          <w:sz w:val="24"/>
          <w:szCs w:val="24"/>
        </w:rPr>
        <w:t>Proponowana zmiana</w:t>
      </w:r>
      <w:r w:rsidR="009B4241">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 polegająca na </w:t>
      </w:r>
      <w:r>
        <w:rPr>
          <w:rFonts w:ascii="Times New Roman" w:eastAsia="Calibri" w:hAnsi="Times New Roman" w:cs="Times New Roman"/>
          <w:bCs/>
          <w:iCs/>
          <w:sz w:val="24"/>
          <w:szCs w:val="24"/>
        </w:rPr>
        <w:t>zmianie brzmienia p</w:t>
      </w:r>
      <w:r w:rsidR="009B4241">
        <w:rPr>
          <w:rFonts w:ascii="Times New Roman" w:eastAsia="Calibri" w:hAnsi="Times New Roman" w:cs="Times New Roman"/>
          <w:bCs/>
          <w:iCs/>
          <w:sz w:val="24"/>
          <w:szCs w:val="24"/>
        </w:rPr>
        <w:t>unktu</w:t>
      </w:r>
      <w:r>
        <w:rPr>
          <w:rFonts w:ascii="Times New Roman" w:eastAsia="Calibri" w:hAnsi="Times New Roman" w:cs="Times New Roman"/>
          <w:bCs/>
          <w:iCs/>
          <w:sz w:val="24"/>
          <w:szCs w:val="24"/>
        </w:rPr>
        <w:t xml:space="preserve"> 37 </w:t>
      </w:r>
      <w:r w:rsidRPr="001D7F8E">
        <w:rPr>
          <w:rFonts w:ascii="Times New Roman" w:eastAsia="Calibri" w:hAnsi="Times New Roman" w:cs="Times New Roman"/>
          <w:bCs/>
          <w:iCs/>
          <w:sz w:val="24"/>
          <w:szCs w:val="24"/>
        </w:rPr>
        <w:t xml:space="preserve">w art. 17 ust. 1 ustawy </w:t>
      </w:r>
      <w:r w:rsidR="00575C99">
        <w:rPr>
          <w:rFonts w:ascii="Times New Roman" w:eastAsia="Calibri" w:hAnsi="Times New Roman" w:cs="Times New Roman"/>
          <w:bCs/>
          <w:iCs/>
          <w:sz w:val="24"/>
          <w:szCs w:val="24"/>
        </w:rPr>
        <w:t xml:space="preserve">o </w:t>
      </w:r>
      <w:r w:rsidRPr="001D7F8E">
        <w:rPr>
          <w:rFonts w:ascii="Times New Roman" w:eastAsia="Calibri" w:hAnsi="Times New Roman" w:cs="Times New Roman"/>
          <w:bCs/>
          <w:iCs/>
          <w:sz w:val="24"/>
          <w:szCs w:val="24"/>
        </w:rPr>
        <w:t>CIT</w:t>
      </w:r>
      <w:r w:rsidR="009B4241">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 ma na celu wyeliminowanie po stronie banku państwowego ryzyka podatkowego w postaci ewentualnych skutków w </w:t>
      </w:r>
      <w:r w:rsidR="009B4241">
        <w:rPr>
          <w:rFonts w:ascii="Times New Roman" w:eastAsia="Calibri" w:hAnsi="Times New Roman" w:cs="Times New Roman"/>
          <w:bCs/>
          <w:iCs/>
          <w:sz w:val="24"/>
          <w:szCs w:val="24"/>
        </w:rPr>
        <w:t>CIT</w:t>
      </w:r>
      <w:r w:rsidRPr="001D7F8E">
        <w:rPr>
          <w:rFonts w:ascii="Times New Roman" w:eastAsia="Calibri" w:hAnsi="Times New Roman" w:cs="Times New Roman"/>
          <w:bCs/>
          <w:iCs/>
          <w:sz w:val="24"/>
          <w:szCs w:val="24"/>
        </w:rPr>
        <w:t xml:space="preserve">, w związku z uzyskaniem przez BGK od Ministra Finansów skarbowych papierów wartościowych, a następnie ich zbyciem bądź przedstawieniem do wykupu. Wskazać należy, iż w konsekwencji tej zmiany, uwzględniając treść art. 7 ust. 3 pkt 1 i 3 ustawy </w:t>
      </w:r>
      <w:r w:rsidR="00575C99">
        <w:rPr>
          <w:rFonts w:ascii="Times New Roman" w:eastAsia="Calibri" w:hAnsi="Times New Roman" w:cs="Times New Roman"/>
          <w:bCs/>
          <w:iCs/>
          <w:sz w:val="24"/>
          <w:szCs w:val="24"/>
        </w:rPr>
        <w:t xml:space="preserve">o </w:t>
      </w:r>
      <w:r w:rsidRPr="001D7F8E">
        <w:rPr>
          <w:rFonts w:ascii="Times New Roman" w:eastAsia="Calibri" w:hAnsi="Times New Roman" w:cs="Times New Roman"/>
          <w:bCs/>
          <w:iCs/>
          <w:sz w:val="24"/>
          <w:szCs w:val="24"/>
        </w:rPr>
        <w:t>CIT, otrzymanie przez BGK wskazanych skarbowych papierów wartościowych</w:t>
      </w:r>
      <w:r w:rsidR="00D612DB">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 a następnie ich zbycie (przedstawienie do wykupu) nie będzie po stronie banku rodziło żadnych skutków w podatku dochodowym.</w:t>
      </w:r>
    </w:p>
    <w:p w14:paraId="2BE238BE" w14:textId="23F07F6C" w:rsidR="00DC21BA" w:rsidRDefault="001970CD" w:rsidP="004C172B">
      <w:pPr>
        <w:spacing w:before="120" w:line="360" w:lineRule="auto"/>
        <w:jc w:val="both"/>
        <w:rPr>
          <w:rFonts w:ascii="Times New Roman" w:eastAsia="Calibri" w:hAnsi="Times New Roman" w:cs="Times New Roman"/>
          <w:bCs/>
          <w:iCs/>
          <w:sz w:val="24"/>
          <w:szCs w:val="24"/>
        </w:rPr>
      </w:pPr>
      <w:r w:rsidRPr="001D7F8E">
        <w:rPr>
          <w:rFonts w:ascii="Times New Roman" w:eastAsia="Calibri" w:hAnsi="Times New Roman" w:cs="Times New Roman"/>
          <w:bCs/>
          <w:iCs/>
          <w:sz w:val="24"/>
          <w:szCs w:val="24"/>
        </w:rPr>
        <w:t>Ponadto celem wyeliminowania wątpliwości interpretacyjnych związanych ze skutkami podatkowymi</w:t>
      </w:r>
      <w:r>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 jakie w przeszłości mogły</w:t>
      </w:r>
      <w:r>
        <w:rPr>
          <w:rFonts w:ascii="Times New Roman" w:eastAsia="Calibri" w:hAnsi="Times New Roman" w:cs="Times New Roman"/>
          <w:bCs/>
          <w:iCs/>
          <w:sz w:val="24"/>
          <w:szCs w:val="24"/>
        </w:rPr>
        <w:t xml:space="preserve"> być</w:t>
      </w:r>
      <w:r w:rsidRPr="001D7F8E">
        <w:rPr>
          <w:rFonts w:ascii="Times New Roman" w:eastAsia="Calibri" w:hAnsi="Times New Roman" w:cs="Times New Roman"/>
          <w:bCs/>
          <w:iCs/>
          <w:sz w:val="24"/>
          <w:szCs w:val="24"/>
        </w:rPr>
        <w:t xml:space="preserve"> następstwem zbywania przez BGK takich otrzymanych od Ministra Finansów na poczet funduszu statutowego BGK obligacji skarbowych</w:t>
      </w:r>
      <w:r>
        <w:rPr>
          <w:rFonts w:ascii="Times New Roman" w:eastAsia="Calibri" w:hAnsi="Times New Roman" w:cs="Times New Roman"/>
          <w:bCs/>
          <w:iCs/>
          <w:sz w:val="24"/>
          <w:szCs w:val="24"/>
        </w:rPr>
        <w:t>,</w:t>
      </w:r>
      <w:r w:rsidRPr="001D7F8E">
        <w:rPr>
          <w:rFonts w:ascii="Times New Roman" w:eastAsia="Calibri" w:hAnsi="Times New Roman" w:cs="Times New Roman"/>
          <w:bCs/>
          <w:iCs/>
          <w:sz w:val="24"/>
          <w:szCs w:val="24"/>
        </w:rPr>
        <w:t xml:space="preserve"> proponuje się w przepisach końcowych przepis, iż wskazane zwolnienie dotyczy</w:t>
      </w:r>
      <w:r w:rsidR="00676E18">
        <w:rPr>
          <w:rFonts w:ascii="Times New Roman" w:eastAsia="Calibri" w:hAnsi="Times New Roman" w:cs="Times New Roman"/>
          <w:bCs/>
          <w:iCs/>
          <w:sz w:val="24"/>
          <w:szCs w:val="24"/>
        </w:rPr>
        <w:t>ć</w:t>
      </w:r>
      <w:r w:rsidRPr="001D7F8E">
        <w:rPr>
          <w:rFonts w:ascii="Times New Roman" w:eastAsia="Calibri" w:hAnsi="Times New Roman" w:cs="Times New Roman"/>
          <w:bCs/>
          <w:iCs/>
          <w:sz w:val="24"/>
          <w:szCs w:val="24"/>
        </w:rPr>
        <w:t xml:space="preserve"> będzie także lat ubiegłych.</w:t>
      </w:r>
    </w:p>
    <w:p w14:paraId="6F70D5A3" w14:textId="5C551631" w:rsidR="007E6230" w:rsidRPr="00F079B3" w:rsidRDefault="00995429" w:rsidP="0027548A">
      <w:pPr>
        <w:spacing w:before="240" w:after="120" w:line="360" w:lineRule="auto"/>
        <w:jc w:val="both"/>
        <w:rPr>
          <w:rFonts w:ascii="Times New Roman" w:eastAsia="Calibri" w:hAnsi="Times New Roman" w:cs="Times New Roman"/>
          <w:b/>
          <w:iCs/>
          <w:sz w:val="24"/>
          <w:szCs w:val="24"/>
        </w:rPr>
      </w:pPr>
      <w:r>
        <w:rPr>
          <w:rFonts w:ascii="Times New Roman" w:eastAsia="Calibri" w:hAnsi="Times New Roman" w:cs="Times New Roman"/>
          <w:b/>
          <w:bCs/>
          <w:iCs/>
          <w:sz w:val="24"/>
          <w:szCs w:val="24"/>
        </w:rPr>
        <w:t>1</w:t>
      </w:r>
      <w:r w:rsidR="00AC7DD0">
        <w:rPr>
          <w:rFonts w:ascii="Times New Roman" w:eastAsia="Calibri" w:hAnsi="Times New Roman" w:cs="Times New Roman"/>
          <w:b/>
          <w:bCs/>
          <w:iCs/>
          <w:sz w:val="24"/>
          <w:szCs w:val="24"/>
        </w:rPr>
        <w:t>6</w:t>
      </w:r>
      <w:r w:rsidR="00853972">
        <w:rPr>
          <w:rFonts w:ascii="Times New Roman" w:eastAsia="Calibri" w:hAnsi="Times New Roman" w:cs="Times New Roman"/>
          <w:b/>
          <w:bCs/>
          <w:iCs/>
          <w:sz w:val="24"/>
          <w:szCs w:val="24"/>
        </w:rPr>
        <w:t xml:space="preserve">) </w:t>
      </w:r>
      <w:r w:rsidR="007E6230" w:rsidRPr="00F079B3">
        <w:rPr>
          <w:rFonts w:ascii="Times New Roman" w:eastAsia="Calibri" w:hAnsi="Times New Roman" w:cs="Times New Roman"/>
          <w:b/>
          <w:iCs/>
          <w:sz w:val="24"/>
          <w:szCs w:val="24"/>
        </w:rPr>
        <w:t xml:space="preserve">Zmiany w zakresie podatku od przerzuconych dochodów </w:t>
      </w:r>
      <w:r w:rsidR="00853972" w:rsidRPr="0027548A">
        <w:rPr>
          <w:rFonts w:ascii="Times New Roman" w:eastAsia="Calibri" w:hAnsi="Times New Roman" w:cs="Times New Roman"/>
          <w:bCs/>
          <w:iCs/>
          <w:sz w:val="24"/>
          <w:szCs w:val="24"/>
        </w:rPr>
        <w:t xml:space="preserve">(zmieniany </w:t>
      </w:r>
      <w:r w:rsidR="007E6230" w:rsidRPr="0027548A">
        <w:rPr>
          <w:rFonts w:ascii="Times New Roman" w:eastAsia="Calibri" w:hAnsi="Times New Roman" w:cs="Times New Roman"/>
          <w:bCs/>
          <w:iCs/>
          <w:sz w:val="24"/>
          <w:szCs w:val="24"/>
        </w:rPr>
        <w:t>art. 24aa</w:t>
      </w:r>
      <w:r w:rsidR="002D412C">
        <w:rPr>
          <w:rFonts w:ascii="Times New Roman" w:eastAsia="Calibri" w:hAnsi="Times New Roman" w:cs="Times New Roman"/>
          <w:bCs/>
          <w:iCs/>
          <w:sz w:val="24"/>
          <w:szCs w:val="24"/>
        </w:rPr>
        <w:t xml:space="preserve"> ust. 2</w:t>
      </w:r>
      <w:r w:rsidR="007E6230" w:rsidRPr="0027548A">
        <w:rPr>
          <w:rFonts w:ascii="Times New Roman" w:eastAsia="Calibri" w:hAnsi="Times New Roman" w:cs="Times New Roman"/>
          <w:bCs/>
          <w:iCs/>
          <w:sz w:val="24"/>
          <w:szCs w:val="24"/>
        </w:rPr>
        <w:t xml:space="preserve"> ustawy </w:t>
      </w:r>
      <w:r w:rsidR="00853972" w:rsidRPr="0027548A">
        <w:rPr>
          <w:rFonts w:ascii="Times New Roman" w:eastAsia="Calibri" w:hAnsi="Times New Roman" w:cs="Times New Roman"/>
          <w:bCs/>
          <w:iCs/>
          <w:sz w:val="24"/>
          <w:szCs w:val="24"/>
        </w:rPr>
        <w:t xml:space="preserve">o </w:t>
      </w:r>
      <w:r w:rsidR="007E6230" w:rsidRPr="0027548A">
        <w:rPr>
          <w:rFonts w:ascii="Times New Roman" w:eastAsia="Calibri" w:hAnsi="Times New Roman" w:cs="Times New Roman"/>
          <w:bCs/>
          <w:iCs/>
          <w:sz w:val="24"/>
          <w:szCs w:val="24"/>
        </w:rPr>
        <w:t>CIT</w:t>
      </w:r>
      <w:r w:rsidR="00853972" w:rsidRPr="0027548A">
        <w:rPr>
          <w:rFonts w:ascii="Times New Roman" w:eastAsia="Calibri" w:hAnsi="Times New Roman" w:cs="Times New Roman"/>
          <w:bCs/>
          <w:iCs/>
          <w:sz w:val="24"/>
          <w:szCs w:val="24"/>
        </w:rPr>
        <w:t xml:space="preserve">) </w:t>
      </w:r>
      <w:r w:rsidR="00853972" w:rsidRPr="00793CFC">
        <w:rPr>
          <w:rFonts w:ascii="Times New Roman" w:eastAsia="Calibri" w:hAnsi="Times New Roman" w:cs="Times New Roman"/>
          <w:bCs/>
          <w:iCs/>
          <w:sz w:val="24"/>
          <w:szCs w:val="24"/>
        </w:rPr>
        <w:t>–</w:t>
      </w:r>
      <w:r w:rsidR="00853972">
        <w:rPr>
          <w:rFonts w:ascii="Times New Roman" w:eastAsia="Calibri" w:hAnsi="Times New Roman" w:cs="Times New Roman"/>
          <w:b/>
          <w:iCs/>
          <w:sz w:val="24"/>
          <w:szCs w:val="24"/>
        </w:rPr>
        <w:t xml:space="preserve"> art. 2 pkt </w:t>
      </w:r>
      <w:r w:rsidR="000C26B1" w:rsidRPr="000C26B1">
        <w:rPr>
          <w:rFonts w:ascii="Times New Roman" w:eastAsia="Calibri" w:hAnsi="Times New Roman" w:cs="Times New Roman"/>
          <w:b/>
          <w:iCs/>
          <w:sz w:val="24"/>
          <w:szCs w:val="24"/>
        </w:rPr>
        <w:t>10</w:t>
      </w:r>
      <w:r w:rsidR="0034560F">
        <w:rPr>
          <w:rFonts w:ascii="Times New Roman" w:eastAsia="Calibri" w:hAnsi="Times New Roman" w:cs="Times New Roman"/>
          <w:b/>
          <w:iCs/>
          <w:sz w:val="24"/>
          <w:szCs w:val="24"/>
        </w:rPr>
        <w:t xml:space="preserve"> </w:t>
      </w:r>
      <w:r w:rsidR="00853972">
        <w:rPr>
          <w:rFonts w:ascii="Times New Roman" w:eastAsia="Calibri" w:hAnsi="Times New Roman" w:cs="Times New Roman"/>
          <w:b/>
          <w:iCs/>
          <w:sz w:val="24"/>
          <w:szCs w:val="24"/>
        </w:rPr>
        <w:t>projektu</w:t>
      </w:r>
      <w:r w:rsidR="008F269E">
        <w:rPr>
          <w:rFonts w:ascii="Times New Roman" w:eastAsia="Calibri" w:hAnsi="Times New Roman" w:cs="Times New Roman"/>
          <w:b/>
          <w:iCs/>
          <w:sz w:val="24"/>
          <w:szCs w:val="24"/>
        </w:rPr>
        <w:t xml:space="preserve"> </w:t>
      </w:r>
    </w:p>
    <w:p w14:paraId="56C0C56D" w14:textId="38E55B1D" w:rsidR="007E6230" w:rsidRPr="007E6230" w:rsidRDefault="007E6230" w:rsidP="004C172B">
      <w:pPr>
        <w:spacing w:before="120" w:line="360" w:lineRule="auto"/>
        <w:jc w:val="both"/>
        <w:rPr>
          <w:rFonts w:ascii="Times New Roman" w:eastAsia="Calibri" w:hAnsi="Times New Roman" w:cs="Times New Roman"/>
          <w:bCs/>
          <w:iCs/>
          <w:sz w:val="24"/>
          <w:szCs w:val="24"/>
        </w:rPr>
      </w:pPr>
      <w:r w:rsidRPr="007E6230">
        <w:rPr>
          <w:rFonts w:ascii="Times New Roman" w:eastAsia="Calibri" w:hAnsi="Times New Roman" w:cs="Times New Roman"/>
          <w:bCs/>
          <w:iCs/>
          <w:sz w:val="24"/>
          <w:szCs w:val="24"/>
        </w:rPr>
        <w:t xml:space="preserve">W konstrukcji podatku od przerzuconych dochodów przewiduje się </w:t>
      </w:r>
      <w:r w:rsidR="004D1FA1">
        <w:rPr>
          <w:rFonts w:ascii="Times New Roman" w:eastAsia="Calibri" w:hAnsi="Times New Roman" w:cs="Times New Roman"/>
          <w:bCs/>
          <w:iCs/>
          <w:sz w:val="24"/>
          <w:szCs w:val="24"/>
        </w:rPr>
        <w:t xml:space="preserve">modyfikację ust. 2 </w:t>
      </w:r>
      <w:bookmarkEnd w:id="15"/>
      <w:r w:rsidR="006C7493">
        <w:rPr>
          <w:rFonts w:ascii="Times New Roman" w:eastAsia="Calibri" w:hAnsi="Times New Roman" w:cs="Times New Roman"/>
          <w:bCs/>
          <w:iCs/>
          <w:sz w:val="24"/>
          <w:szCs w:val="24"/>
        </w:rPr>
        <w:t>(</w:t>
      </w:r>
      <w:r w:rsidRPr="007E6230">
        <w:rPr>
          <w:rFonts w:ascii="Times New Roman" w:eastAsia="Calibri" w:hAnsi="Times New Roman" w:cs="Times New Roman"/>
          <w:bCs/>
          <w:iCs/>
          <w:sz w:val="24"/>
          <w:szCs w:val="24"/>
        </w:rPr>
        <w:t>określając</w:t>
      </w:r>
      <w:r w:rsidR="004D1FA1">
        <w:rPr>
          <w:rFonts w:ascii="Times New Roman" w:eastAsia="Calibri" w:hAnsi="Times New Roman" w:cs="Times New Roman"/>
          <w:bCs/>
          <w:iCs/>
          <w:sz w:val="24"/>
          <w:szCs w:val="24"/>
        </w:rPr>
        <w:t>ego</w:t>
      </w:r>
      <w:r w:rsidRPr="007E6230">
        <w:rPr>
          <w:rFonts w:ascii="Times New Roman" w:eastAsia="Calibri" w:hAnsi="Times New Roman" w:cs="Times New Roman"/>
          <w:bCs/>
          <w:iCs/>
          <w:sz w:val="24"/>
          <w:szCs w:val="24"/>
        </w:rPr>
        <w:t xml:space="preserve"> przesłanki aktualizacji obowiązku podatkowego w ramach istniejącej od </w:t>
      </w:r>
      <w:r w:rsidRPr="007E6230">
        <w:rPr>
          <w:rFonts w:ascii="Times New Roman" w:eastAsia="Calibri" w:hAnsi="Times New Roman" w:cs="Times New Roman"/>
          <w:bCs/>
          <w:iCs/>
          <w:sz w:val="24"/>
          <w:szCs w:val="24"/>
        </w:rPr>
        <w:lastRenderedPageBreak/>
        <w:t>początku 2022 r. instytucji</w:t>
      </w:r>
      <w:r w:rsidR="006C7493">
        <w:rPr>
          <w:rFonts w:ascii="Times New Roman" w:eastAsia="Calibri" w:hAnsi="Times New Roman" w:cs="Times New Roman"/>
          <w:bCs/>
          <w:iCs/>
          <w:sz w:val="24"/>
          <w:szCs w:val="24"/>
        </w:rPr>
        <w:t>)</w:t>
      </w:r>
      <w:r w:rsidRPr="007E6230">
        <w:rPr>
          <w:rFonts w:ascii="Times New Roman" w:eastAsia="Calibri" w:hAnsi="Times New Roman" w:cs="Times New Roman"/>
          <w:bCs/>
          <w:iCs/>
          <w:sz w:val="24"/>
          <w:szCs w:val="24"/>
        </w:rPr>
        <w:t xml:space="preserve">, </w:t>
      </w:r>
      <w:r w:rsidR="004D1FA1">
        <w:rPr>
          <w:rFonts w:ascii="Times New Roman" w:eastAsia="Calibri" w:hAnsi="Times New Roman" w:cs="Times New Roman"/>
          <w:bCs/>
          <w:iCs/>
          <w:sz w:val="24"/>
          <w:szCs w:val="24"/>
        </w:rPr>
        <w:t xml:space="preserve">polegającą na </w:t>
      </w:r>
      <w:r w:rsidRPr="007E6230">
        <w:rPr>
          <w:rFonts w:ascii="Times New Roman" w:eastAsia="Calibri" w:hAnsi="Times New Roman" w:cs="Times New Roman"/>
          <w:bCs/>
          <w:iCs/>
          <w:sz w:val="24"/>
          <w:szCs w:val="24"/>
        </w:rPr>
        <w:t>wskaz</w:t>
      </w:r>
      <w:r w:rsidR="004D1FA1">
        <w:rPr>
          <w:rFonts w:ascii="Times New Roman" w:eastAsia="Calibri" w:hAnsi="Times New Roman" w:cs="Times New Roman"/>
          <w:bCs/>
          <w:iCs/>
          <w:sz w:val="24"/>
          <w:szCs w:val="24"/>
        </w:rPr>
        <w:t>aniu</w:t>
      </w:r>
      <w:r w:rsidRPr="007E6230">
        <w:rPr>
          <w:rFonts w:ascii="Times New Roman" w:eastAsia="Calibri" w:hAnsi="Times New Roman" w:cs="Times New Roman"/>
          <w:bCs/>
          <w:iCs/>
          <w:sz w:val="24"/>
          <w:szCs w:val="24"/>
        </w:rPr>
        <w:t>, iż koszty stanowiące przerzucone dochody</w:t>
      </w:r>
      <w:r w:rsidR="004D1FA1">
        <w:rPr>
          <w:rFonts w:ascii="Times New Roman" w:eastAsia="Calibri" w:hAnsi="Times New Roman" w:cs="Times New Roman"/>
          <w:bCs/>
          <w:iCs/>
          <w:sz w:val="24"/>
          <w:szCs w:val="24"/>
        </w:rPr>
        <w:t xml:space="preserve"> </w:t>
      </w:r>
      <w:r w:rsidRPr="007E6230">
        <w:rPr>
          <w:rFonts w:ascii="Times New Roman" w:eastAsia="Calibri" w:hAnsi="Times New Roman" w:cs="Times New Roman"/>
          <w:bCs/>
          <w:iCs/>
          <w:sz w:val="24"/>
          <w:szCs w:val="24"/>
        </w:rPr>
        <w:t>w przypadku podatkowych grup kapitałowych należy kalkulować na poziomie poszczególnych spółek. Jest to uzasadnione</w:t>
      </w:r>
      <w:r w:rsidR="00D612DB">
        <w:rPr>
          <w:rFonts w:ascii="Times New Roman" w:eastAsia="Calibri" w:hAnsi="Times New Roman" w:cs="Times New Roman"/>
          <w:bCs/>
          <w:iCs/>
          <w:sz w:val="24"/>
          <w:szCs w:val="24"/>
        </w:rPr>
        <w:t>,</w:t>
      </w:r>
      <w:r w:rsidRPr="007E6230">
        <w:rPr>
          <w:rFonts w:ascii="Times New Roman" w:eastAsia="Calibri" w:hAnsi="Times New Roman" w:cs="Times New Roman"/>
          <w:bCs/>
          <w:iCs/>
          <w:sz w:val="24"/>
          <w:szCs w:val="24"/>
        </w:rPr>
        <w:t xml:space="preserve"> biorąc pod uwagę, że to poszczególne spółki efektywnie ponoszą wydatki, które mogą rodzić powinność rozliczenia podatku z tego tytułu. Z kolei wysokość stanowiącego bezpieczną przystań limitu 3</w:t>
      </w:r>
      <w:r w:rsidR="00B152C9">
        <w:rPr>
          <w:rFonts w:ascii="Times New Roman" w:eastAsia="Calibri" w:hAnsi="Times New Roman" w:cs="Times New Roman"/>
          <w:bCs/>
          <w:iCs/>
          <w:sz w:val="24"/>
          <w:szCs w:val="24"/>
        </w:rPr>
        <w:t xml:space="preserve"> </w:t>
      </w:r>
      <w:r w:rsidRPr="007E6230">
        <w:rPr>
          <w:rFonts w:ascii="Times New Roman" w:eastAsia="Calibri" w:hAnsi="Times New Roman" w:cs="Times New Roman"/>
          <w:bCs/>
          <w:iCs/>
          <w:sz w:val="24"/>
          <w:szCs w:val="24"/>
        </w:rPr>
        <w:t xml:space="preserve">% należy oceniać na poziomie podatnika, tj. </w:t>
      </w:r>
      <w:r w:rsidR="00BA6F16">
        <w:rPr>
          <w:rFonts w:ascii="Times New Roman" w:eastAsia="Calibri" w:hAnsi="Times New Roman" w:cs="Times New Roman"/>
          <w:bCs/>
          <w:iCs/>
          <w:sz w:val="24"/>
          <w:szCs w:val="24"/>
        </w:rPr>
        <w:t>podatkowej grupy kapitałowej</w:t>
      </w:r>
      <w:r w:rsidRPr="007E6230">
        <w:rPr>
          <w:rFonts w:ascii="Times New Roman" w:eastAsia="Calibri" w:hAnsi="Times New Roman" w:cs="Times New Roman"/>
          <w:bCs/>
          <w:iCs/>
          <w:sz w:val="24"/>
          <w:szCs w:val="24"/>
        </w:rPr>
        <w:t>, ponieważ na potrzeby podatku dochodowego podatkowa grupa kapitałowa tworzy odrębną od tworzących ją jednostek strukturę, która posiada podmiotowość podatkową</w:t>
      </w:r>
      <w:r w:rsidR="006C7493">
        <w:rPr>
          <w:rFonts w:ascii="Times New Roman" w:eastAsia="Calibri" w:hAnsi="Times New Roman" w:cs="Times New Roman"/>
          <w:bCs/>
          <w:iCs/>
          <w:sz w:val="24"/>
          <w:szCs w:val="24"/>
        </w:rPr>
        <w:t xml:space="preserve"> (zmiana ujęta w lit. a pkt 1</w:t>
      </w:r>
      <w:r w:rsidR="00B1307F">
        <w:rPr>
          <w:rFonts w:ascii="Times New Roman" w:eastAsia="Calibri" w:hAnsi="Times New Roman" w:cs="Times New Roman"/>
          <w:bCs/>
          <w:iCs/>
          <w:sz w:val="24"/>
          <w:szCs w:val="24"/>
        </w:rPr>
        <w:t>0</w:t>
      </w:r>
      <w:r w:rsidR="006C7493">
        <w:rPr>
          <w:rFonts w:ascii="Times New Roman" w:eastAsia="Calibri" w:hAnsi="Times New Roman" w:cs="Times New Roman"/>
          <w:bCs/>
          <w:iCs/>
          <w:sz w:val="24"/>
          <w:szCs w:val="24"/>
        </w:rPr>
        <w:t>)</w:t>
      </w:r>
      <w:r w:rsidRPr="007E6230">
        <w:rPr>
          <w:rFonts w:ascii="Times New Roman" w:eastAsia="Calibri" w:hAnsi="Times New Roman" w:cs="Times New Roman"/>
          <w:bCs/>
          <w:iCs/>
          <w:sz w:val="24"/>
          <w:szCs w:val="24"/>
        </w:rPr>
        <w:t>.</w:t>
      </w:r>
    </w:p>
    <w:p w14:paraId="58094A0D" w14:textId="2E99979F" w:rsidR="00196E92" w:rsidRDefault="006B2D11" w:rsidP="004C172B">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Istotą</w:t>
      </w:r>
      <w:r w:rsidRPr="007E6230">
        <w:rPr>
          <w:rFonts w:ascii="Times New Roman" w:eastAsia="Calibri" w:hAnsi="Times New Roman" w:cs="Times New Roman"/>
          <w:bCs/>
          <w:iCs/>
          <w:sz w:val="24"/>
          <w:szCs w:val="24"/>
        </w:rPr>
        <w:t xml:space="preserve"> </w:t>
      </w:r>
      <w:r w:rsidR="00196E92">
        <w:rPr>
          <w:rFonts w:ascii="Times New Roman" w:eastAsia="Calibri" w:hAnsi="Times New Roman" w:cs="Times New Roman"/>
          <w:bCs/>
          <w:iCs/>
          <w:sz w:val="24"/>
          <w:szCs w:val="24"/>
        </w:rPr>
        <w:t>drugiej</w:t>
      </w:r>
      <w:r w:rsidR="007E6230" w:rsidRPr="007E6230">
        <w:rPr>
          <w:rFonts w:ascii="Times New Roman" w:eastAsia="Calibri" w:hAnsi="Times New Roman" w:cs="Times New Roman"/>
          <w:bCs/>
          <w:iCs/>
          <w:sz w:val="24"/>
          <w:szCs w:val="24"/>
        </w:rPr>
        <w:t xml:space="preserve"> z projektowanych zmian </w:t>
      </w:r>
      <w:r w:rsidR="006C7493">
        <w:rPr>
          <w:rFonts w:ascii="Times New Roman" w:eastAsia="Calibri" w:hAnsi="Times New Roman" w:cs="Times New Roman"/>
          <w:bCs/>
          <w:iCs/>
          <w:sz w:val="24"/>
          <w:szCs w:val="24"/>
        </w:rPr>
        <w:t>(pkt 1</w:t>
      </w:r>
      <w:r w:rsidR="00B1307F">
        <w:rPr>
          <w:rFonts w:ascii="Times New Roman" w:eastAsia="Calibri" w:hAnsi="Times New Roman" w:cs="Times New Roman"/>
          <w:bCs/>
          <w:iCs/>
          <w:sz w:val="24"/>
          <w:szCs w:val="24"/>
        </w:rPr>
        <w:t>0</w:t>
      </w:r>
      <w:r w:rsidR="006C7493">
        <w:rPr>
          <w:rFonts w:ascii="Times New Roman" w:eastAsia="Calibri" w:hAnsi="Times New Roman" w:cs="Times New Roman"/>
          <w:bCs/>
          <w:iCs/>
          <w:sz w:val="24"/>
          <w:szCs w:val="24"/>
        </w:rPr>
        <w:t xml:space="preserve"> lit. b) </w:t>
      </w:r>
      <w:r w:rsidR="007E6230" w:rsidRPr="007E6230">
        <w:rPr>
          <w:rFonts w:ascii="Times New Roman" w:eastAsia="Calibri" w:hAnsi="Times New Roman" w:cs="Times New Roman"/>
          <w:bCs/>
          <w:iCs/>
          <w:sz w:val="24"/>
          <w:szCs w:val="24"/>
        </w:rPr>
        <w:t xml:space="preserve">jest </w:t>
      </w:r>
      <w:r w:rsidR="002127DD">
        <w:rPr>
          <w:rFonts w:ascii="Times New Roman" w:eastAsia="Calibri" w:hAnsi="Times New Roman" w:cs="Times New Roman"/>
          <w:bCs/>
          <w:iCs/>
          <w:sz w:val="24"/>
          <w:szCs w:val="24"/>
        </w:rPr>
        <w:t xml:space="preserve">uchylenie </w:t>
      </w:r>
      <w:r w:rsidR="00507179">
        <w:rPr>
          <w:rFonts w:ascii="Times New Roman" w:eastAsia="Calibri" w:hAnsi="Times New Roman" w:cs="Times New Roman"/>
          <w:bCs/>
          <w:iCs/>
          <w:sz w:val="24"/>
          <w:szCs w:val="24"/>
        </w:rPr>
        <w:t>p</w:t>
      </w:r>
      <w:r w:rsidR="009B4241">
        <w:rPr>
          <w:rFonts w:ascii="Times New Roman" w:eastAsia="Calibri" w:hAnsi="Times New Roman" w:cs="Times New Roman"/>
          <w:bCs/>
          <w:iCs/>
          <w:sz w:val="24"/>
          <w:szCs w:val="24"/>
        </w:rPr>
        <w:t>unktu</w:t>
      </w:r>
      <w:r w:rsidR="00507179">
        <w:rPr>
          <w:rFonts w:ascii="Times New Roman" w:eastAsia="Calibri" w:hAnsi="Times New Roman" w:cs="Times New Roman"/>
          <w:bCs/>
          <w:iCs/>
          <w:sz w:val="24"/>
          <w:szCs w:val="24"/>
        </w:rPr>
        <w:t xml:space="preserve"> 2 </w:t>
      </w:r>
      <w:r w:rsidR="002127DD">
        <w:rPr>
          <w:rFonts w:ascii="Times New Roman" w:eastAsia="Calibri" w:hAnsi="Times New Roman" w:cs="Times New Roman"/>
          <w:bCs/>
          <w:iCs/>
          <w:sz w:val="24"/>
          <w:szCs w:val="24"/>
        </w:rPr>
        <w:t xml:space="preserve">w art. 24aa ust. 2 ustawy </w:t>
      </w:r>
      <w:r w:rsidR="00575C99">
        <w:rPr>
          <w:rFonts w:ascii="Times New Roman" w:eastAsia="Calibri" w:hAnsi="Times New Roman" w:cs="Times New Roman"/>
          <w:bCs/>
          <w:iCs/>
          <w:sz w:val="24"/>
          <w:szCs w:val="24"/>
        </w:rPr>
        <w:t xml:space="preserve">o </w:t>
      </w:r>
      <w:r w:rsidR="002127DD">
        <w:rPr>
          <w:rFonts w:ascii="Times New Roman" w:eastAsia="Calibri" w:hAnsi="Times New Roman" w:cs="Times New Roman"/>
          <w:bCs/>
          <w:iCs/>
          <w:sz w:val="24"/>
          <w:szCs w:val="24"/>
        </w:rPr>
        <w:t>CIT</w:t>
      </w:r>
      <w:r w:rsidR="00196E92">
        <w:rPr>
          <w:rFonts w:ascii="Times New Roman" w:eastAsia="Calibri" w:hAnsi="Times New Roman" w:cs="Times New Roman"/>
          <w:bCs/>
          <w:iCs/>
          <w:sz w:val="24"/>
          <w:szCs w:val="24"/>
        </w:rPr>
        <w:t xml:space="preserve">, </w:t>
      </w:r>
      <w:r w:rsidR="00507179">
        <w:rPr>
          <w:rFonts w:ascii="Times New Roman" w:eastAsia="Calibri" w:hAnsi="Times New Roman" w:cs="Times New Roman"/>
          <w:bCs/>
          <w:iCs/>
          <w:sz w:val="24"/>
          <w:szCs w:val="24"/>
        </w:rPr>
        <w:t xml:space="preserve">zgodnie z którym </w:t>
      </w:r>
      <w:r w:rsidR="00196E92" w:rsidRPr="00196E92">
        <w:rPr>
          <w:rFonts w:ascii="Times New Roman" w:eastAsia="Calibri" w:hAnsi="Times New Roman" w:cs="Times New Roman"/>
          <w:bCs/>
          <w:iCs/>
          <w:sz w:val="24"/>
          <w:szCs w:val="24"/>
        </w:rPr>
        <w:t>warunkiem opodatkowania na zasadzie przerzuconych dochodów jest, aby zagraniczny podmiot powiązany uzyskiwał z tytułu wskazanych w art. 24aa ust. 3</w:t>
      </w:r>
      <w:r w:rsidR="009B4241">
        <w:rPr>
          <w:rFonts w:ascii="Times New Roman" w:eastAsia="Calibri" w:hAnsi="Times New Roman" w:cs="Times New Roman"/>
          <w:bCs/>
          <w:iCs/>
          <w:sz w:val="24"/>
          <w:szCs w:val="24"/>
        </w:rPr>
        <w:t xml:space="preserve"> ustawy o</w:t>
      </w:r>
      <w:r w:rsidR="006C7493">
        <w:rPr>
          <w:rFonts w:ascii="Times New Roman" w:eastAsia="Calibri" w:hAnsi="Times New Roman" w:cs="Times New Roman"/>
          <w:bCs/>
          <w:iCs/>
          <w:sz w:val="24"/>
          <w:szCs w:val="24"/>
        </w:rPr>
        <w:t> </w:t>
      </w:r>
      <w:r w:rsidR="009B4241">
        <w:rPr>
          <w:rFonts w:ascii="Times New Roman" w:eastAsia="Calibri" w:hAnsi="Times New Roman" w:cs="Times New Roman"/>
          <w:bCs/>
          <w:iCs/>
          <w:sz w:val="24"/>
          <w:szCs w:val="24"/>
        </w:rPr>
        <w:t>CIT</w:t>
      </w:r>
      <w:r w:rsidR="00196E92" w:rsidRPr="00196E92">
        <w:rPr>
          <w:rFonts w:ascii="Times New Roman" w:eastAsia="Calibri" w:hAnsi="Times New Roman" w:cs="Times New Roman"/>
          <w:bCs/>
          <w:iCs/>
          <w:sz w:val="24"/>
          <w:szCs w:val="24"/>
        </w:rPr>
        <w:t xml:space="preserve"> płatności od podatnika i innych polskich spółek powiązanych z podatnikiem, co najmniej 50</w:t>
      </w:r>
      <w:r w:rsidR="00B152C9">
        <w:rPr>
          <w:rFonts w:ascii="Times New Roman" w:eastAsia="Calibri" w:hAnsi="Times New Roman" w:cs="Times New Roman"/>
          <w:bCs/>
          <w:iCs/>
          <w:sz w:val="24"/>
          <w:szCs w:val="24"/>
        </w:rPr>
        <w:t xml:space="preserve"> </w:t>
      </w:r>
      <w:r w:rsidR="00196E92" w:rsidRPr="00196E92">
        <w:rPr>
          <w:rFonts w:ascii="Times New Roman" w:eastAsia="Calibri" w:hAnsi="Times New Roman" w:cs="Times New Roman"/>
          <w:bCs/>
          <w:iCs/>
          <w:sz w:val="24"/>
          <w:szCs w:val="24"/>
        </w:rPr>
        <w:t>% przychodów</w:t>
      </w:r>
      <w:r w:rsidR="00BA6F16">
        <w:rPr>
          <w:rFonts w:ascii="Times New Roman" w:eastAsia="Calibri" w:hAnsi="Times New Roman" w:cs="Times New Roman"/>
          <w:bCs/>
          <w:iCs/>
          <w:sz w:val="24"/>
          <w:szCs w:val="24"/>
        </w:rPr>
        <w:t>,</w:t>
      </w:r>
      <w:r w:rsidR="00196E92" w:rsidRPr="00196E92">
        <w:rPr>
          <w:rFonts w:ascii="Times New Roman" w:eastAsia="Calibri" w:hAnsi="Times New Roman" w:cs="Times New Roman"/>
          <w:bCs/>
          <w:iCs/>
          <w:sz w:val="24"/>
          <w:szCs w:val="24"/>
        </w:rPr>
        <w:t xml:space="preserve"> określonych zgodnie z przepisami o podatku dochodowym lub przepisami o</w:t>
      </w:r>
      <w:r w:rsidR="006C7493">
        <w:rPr>
          <w:rFonts w:ascii="Times New Roman" w:eastAsia="Calibri" w:hAnsi="Times New Roman" w:cs="Times New Roman"/>
          <w:bCs/>
          <w:iCs/>
          <w:sz w:val="24"/>
          <w:szCs w:val="24"/>
        </w:rPr>
        <w:t> </w:t>
      </w:r>
      <w:r w:rsidR="00196E92" w:rsidRPr="00196E92">
        <w:rPr>
          <w:rFonts w:ascii="Times New Roman" w:eastAsia="Calibri" w:hAnsi="Times New Roman" w:cs="Times New Roman"/>
          <w:bCs/>
          <w:iCs/>
          <w:sz w:val="24"/>
          <w:szCs w:val="24"/>
        </w:rPr>
        <w:t>rachunkowości.</w:t>
      </w:r>
      <w:r w:rsidR="00507179">
        <w:rPr>
          <w:rFonts w:ascii="Times New Roman" w:eastAsia="Calibri" w:hAnsi="Times New Roman" w:cs="Times New Roman"/>
          <w:bCs/>
          <w:iCs/>
          <w:sz w:val="24"/>
          <w:szCs w:val="24"/>
        </w:rPr>
        <w:t xml:space="preserve"> Skutkiem uchylenia ww. warunku jest zmiana dostosowawcza w </w:t>
      </w:r>
      <w:r w:rsidR="00F74434">
        <w:rPr>
          <w:rFonts w:ascii="Times New Roman" w:eastAsia="Calibri" w:hAnsi="Times New Roman" w:cs="Times New Roman"/>
          <w:bCs/>
          <w:iCs/>
          <w:sz w:val="24"/>
          <w:szCs w:val="24"/>
        </w:rPr>
        <w:t>ust. 3 pkt 3 art. 24aa</w:t>
      </w:r>
      <w:r w:rsidR="009B4241">
        <w:rPr>
          <w:rFonts w:ascii="Times New Roman" w:eastAsia="Calibri" w:hAnsi="Times New Roman" w:cs="Times New Roman"/>
          <w:bCs/>
          <w:iCs/>
          <w:sz w:val="24"/>
          <w:szCs w:val="24"/>
        </w:rPr>
        <w:t xml:space="preserve"> ustawy o CIT</w:t>
      </w:r>
      <w:r w:rsidR="006C7493">
        <w:rPr>
          <w:rFonts w:ascii="Times New Roman" w:eastAsia="Calibri" w:hAnsi="Times New Roman" w:cs="Times New Roman"/>
          <w:bCs/>
          <w:iCs/>
          <w:sz w:val="24"/>
          <w:szCs w:val="24"/>
        </w:rPr>
        <w:t xml:space="preserve"> (pkt 1</w:t>
      </w:r>
      <w:r w:rsidR="00B1307F">
        <w:rPr>
          <w:rFonts w:ascii="Times New Roman" w:eastAsia="Calibri" w:hAnsi="Times New Roman" w:cs="Times New Roman"/>
          <w:bCs/>
          <w:iCs/>
          <w:sz w:val="24"/>
          <w:szCs w:val="24"/>
        </w:rPr>
        <w:t>0</w:t>
      </w:r>
      <w:r w:rsidR="006C7493">
        <w:rPr>
          <w:rFonts w:ascii="Times New Roman" w:eastAsia="Calibri" w:hAnsi="Times New Roman" w:cs="Times New Roman"/>
          <w:bCs/>
          <w:iCs/>
          <w:sz w:val="24"/>
          <w:szCs w:val="24"/>
        </w:rPr>
        <w:t xml:space="preserve"> lit. c )</w:t>
      </w:r>
      <w:r w:rsidR="009B4241">
        <w:rPr>
          <w:rFonts w:ascii="Times New Roman" w:eastAsia="Calibri" w:hAnsi="Times New Roman" w:cs="Times New Roman"/>
          <w:bCs/>
          <w:iCs/>
          <w:sz w:val="24"/>
          <w:szCs w:val="24"/>
        </w:rPr>
        <w:t>.</w:t>
      </w:r>
    </w:p>
    <w:p w14:paraId="15FBAECA" w14:textId="3F9F8416" w:rsidR="002127DD" w:rsidRPr="006163FB" w:rsidRDefault="006B2D11" w:rsidP="004C172B">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K</w:t>
      </w:r>
      <w:r w:rsidR="00507179">
        <w:rPr>
          <w:rFonts w:ascii="Times New Roman" w:eastAsia="Calibri" w:hAnsi="Times New Roman" w:cs="Times New Roman"/>
          <w:bCs/>
          <w:iCs/>
          <w:sz w:val="24"/>
          <w:szCs w:val="24"/>
        </w:rPr>
        <w:t>olejn</w:t>
      </w:r>
      <w:r>
        <w:rPr>
          <w:rFonts w:ascii="Times New Roman" w:eastAsia="Calibri" w:hAnsi="Times New Roman" w:cs="Times New Roman"/>
          <w:bCs/>
          <w:iCs/>
          <w:sz w:val="24"/>
          <w:szCs w:val="24"/>
        </w:rPr>
        <w:t xml:space="preserve">a zmiana </w:t>
      </w:r>
      <w:r w:rsidR="006C7493">
        <w:rPr>
          <w:rFonts w:ascii="Times New Roman" w:eastAsia="Calibri" w:hAnsi="Times New Roman" w:cs="Times New Roman"/>
          <w:bCs/>
          <w:iCs/>
          <w:sz w:val="24"/>
          <w:szCs w:val="24"/>
        </w:rPr>
        <w:t>(pkt 1</w:t>
      </w:r>
      <w:r w:rsidR="00B1307F">
        <w:rPr>
          <w:rFonts w:ascii="Times New Roman" w:eastAsia="Calibri" w:hAnsi="Times New Roman" w:cs="Times New Roman"/>
          <w:bCs/>
          <w:iCs/>
          <w:sz w:val="24"/>
          <w:szCs w:val="24"/>
        </w:rPr>
        <w:t>0</w:t>
      </w:r>
      <w:r w:rsidR="006C7493">
        <w:rPr>
          <w:rFonts w:ascii="Times New Roman" w:eastAsia="Calibri" w:hAnsi="Times New Roman" w:cs="Times New Roman"/>
          <w:bCs/>
          <w:iCs/>
          <w:sz w:val="24"/>
          <w:szCs w:val="24"/>
        </w:rPr>
        <w:t xml:space="preserve"> lit. d) </w:t>
      </w:r>
      <w:r>
        <w:rPr>
          <w:rFonts w:ascii="Times New Roman" w:eastAsia="Calibri" w:hAnsi="Times New Roman" w:cs="Times New Roman"/>
          <w:bCs/>
          <w:iCs/>
          <w:sz w:val="24"/>
          <w:szCs w:val="24"/>
        </w:rPr>
        <w:t>polega na</w:t>
      </w:r>
      <w:r w:rsidR="00507179">
        <w:rPr>
          <w:rFonts w:ascii="Times New Roman" w:eastAsia="Calibri" w:hAnsi="Times New Roman" w:cs="Times New Roman"/>
          <w:bCs/>
          <w:iCs/>
          <w:sz w:val="24"/>
          <w:szCs w:val="24"/>
        </w:rPr>
        <w:t xml:space="preserve"> </w:t>
      </w:r>
      <w:r w:rsidR="00196E92">
        <w:rPr>
          <w:rFonts w:ascii="Times New Roman" w:eastAsia="Calibri" w:hAnsi="Times New Roman" w:cs="Times New Roman"/>
          <w:bCs/>
          <w:iCs/>
          <w:sz w:val="24"/>
          <w:szCs w:val="24"/>
        </w:rPr>
        <w:t>modyfikacj</w:t>
      </w:r>
      <w:r>
        <w:rPr>
          <w:rFonts w:ascii="Times New Roman" w:eastAsia="Calibri" w:hAnsi="Times New Roman" w:cs="Times New Roman"/>
          <w:bCs/>
          <w:iCs/>
          <w:sz w:val="24"/>
          <w:szCs w:val="24"/>
        </w:rPr>
        <w:t>i</w:t>
      </w:r>
      <w:r w:rsidR="00196E92">
        <w:rPr>
          <w:rFonts w:ascii="Times New Roman" w:eastAsia="Calibri" w:hAnsi="Times New Roman" w:cs="Times New Roman"/>
          <w:bCs/>
          <w:iCs/>
          <w:sz w:val="24"/>
          <w:szCs w:val="24"/>
        </w:rPr>
        <w:t xml:space="preserve"> warunku określonego </w:t>
      </w:r>
      <w:r w:rsidR="00BA6F16">
        <w:rPr>
          <w:rFonts w:ascii="Times New Roman" w:eastAsia="Calibri" w:hAnsi="Times New Roman" w:cs="Times New Roman"/>
          <w:bCs/>
          <w:iCs/>
          <w:sz w:val="24"/>
          <w:szCs w:val="24"/>
        </w:rPr>
        <w:t xml:space="preserve">w </w:t>
      </w:r>
      <w:r w:rsidR="00196E92" w:rsidRPr="007E6230">
        <w:rPr>
          <w:rFonts w:ascii="Times New Roman" w:eastAsia="Calibri" w:hAnsi="Times New Roman" w:cs="Times New Roman"/>
          <w:bCs/>
          <w:iCs/>
          <w:sz w:val="24"/>
          <w:szCs w:val="24"/>
        </w:rPr>
        <w:t>art. 24aa ust. 2 pkt 4 ustawy</w:t>
      </w:r>
      <w:r w:rsidR="00575C99">
        <w:rPr>
          <w:rFonts w:ascii="Times New Roman" w:eastAsia="Calibri" w:hAnsi="Times New Roman" w:cs="Times New Roman"/>
          <w:bCs/>
          <w:iCs/>
          <w:sz w:val="24"/>
          <w:szCs w:val="24"/>
        </w:rPr>
        <w:t xml:space="preserve"> o</w:t>
      </w:r>
      <w:r w:rsidR="006C7493">
        <w:rPr>
          <w:rFonts w:ascii="Times New Roman" w:eastAsia="Calibri" w:hAnsi="Times New Roman" w:cs="Times New Roman"/>
          <w:bCs/>
          <w:iCs/>
          <w:sz w:val="24"/>
          <w:szCs w:val="24"/>
        </w:rPr>
        <w:t> </w:t>
      </w:r>
      <w:r w:rsidR="00196E92" w:rsidRPr="007E6230">
        <w:rPr>
          <w:rFonts w:ascii="Times New Roman" w:eastAsia="Calibri" w:hAnsi="Times New Roman" w:cs="Times New Roman"/>
          <w:bCs/>
          <w:iCs/>
          <w:sz w:val="24"/>
          <w:szCs w:val="24"/>
        </w:rPr>
        <w:t>CIT</w:t>
      </w:r>
      <w:r w:rsidR="00196E92">
        <w:rPr>
          <w:rFonts w:ascii="Times New Roman" w:eastAsia="Calibri" w:hAnsi="Times New Roman" w:cs="Times New Roman"/>
          <w:bCs/>
          <w:iCs/>
          <w:sz w:val="24"/>
          <w:szCs w:val="24"/>
        </w:rPr>
        <w:t xml:space="preserve">. </w:t>
      </w:r>
      <w:r w:rsidR="002127DD">
        <w:rPr>
          <w:rFonts w:ascii="Times New Roman" w:eastAsia="Calibri" w:hAnsi="Times New Roman" w:cs="Times New Roman"/>
          <w:bCs/>
          <w:iCs/>
          <w:sz w:val="24"/>
          <w:szCs w:val="24"/>
        </w:rPr>
        <w:t>N</w:t>
      </w:r>
      <w:r w:rsidR="002127DD" w:rsidRPr="002127DD">
        <w:rPr>
          <w:rFonts w:ascii="Times New Roman" w:eastAsia="Calibri" w:hAnsi="Times New Roman" w:cs="Times New Roman"/>
          <w:bCs/>
          <w:iCs/>
          <w:sz w:val="24"/>
          <w:szCs w:val="24"/>
        </w:rPr>
        <w:t>a potrzeby badania limitu 3</w:t>
      </w:r>
      <w:r w:rsidR="00B152C9">
        <w:rPr>
          <w:rFonts w:ascii="Times New Roman" w:eastAsia="Calibri" w:hAnsi="Times New Roman" w:cs="Times New Roman"/>
          <w:bCs/>
          <w:iCs/>
          <w:sz w:val="24"/>
          <w:szCs w:val="24"/>
        </w:rPr>
        <w:t xml:space="preserve"> </w:t>
      </w:r>
      <w:r w:rsidR="002127DD" w:rsidRPr="002127DD">
        <w:rPr>
          <w:rFonts w:ascii="Times New Roman" w:eastAsia="Calibri" w:hAnsi="Times New Roman" w:cs="Times New Roman"/>
          <w:bCs/>
          <w:iCs/>
          <w:sz w:val="24"/>
          <w:szCs w:val="24"/>
        </w:rPr>
        <w:t xml:space="preserve">% wydatków, będących przerzuconymi dochodami, </w:t>
      </w:r>
      <w:r w:rsidR="002127DD">
        <w:rPr>
          <w:rFonts w:ascii="Times New Roman" w:eastAsia="Calibri" w:hAnsi="Times New Roman" w:cs="Times New Roman"/>
          <w:bCs/>
          <w:iCs/>
          <w:sz w:val="24"/>
          <w:szCs w:val="24"/>
        </w:rPr>
        <w:t xml:space="preserve">podatnik </w:t>
      </w:r>
      <w:r w:rsidR="002127DD" w:rsidRPr="002127DD">
        <w:rPr>
          <w:rFonts w:ascii="Times New Roman" w:eastAsia="Calibri" w:hAnsi="Times New Roman" w:cs="Times New Roman"/>
          <w:bCs/>
          <w:iCs/>
          <w:sz w:val="24"/>
          <w:szCs w:val="24"/>
        </w:rPr>
        <w:t>uwzględni</w:t>
      </w:r>
      <w:r w:rsidR="002127DD">
        <w:rPr>
          <w:rFonts w:ascii="Times New Roman" w:eastAsia="Calibri" w:hAnsi="Times New Roman" w:cs="Times New Roman"/>
          <w:bCs/>
          <w:iCs/>
          <w:sz w:val="24"/>
          <w:szCs w:val="24"/>
        </w:rPr>
        <w:t xml:space="preserve"> zatem</w:t>
      </w:r>
      <w:r w:rsidR="002127DD" w:rsidRPr="002127DD">
        <w:rPr>
          <w:rFonts w:ascii="Times New Roman" w:eastAsia="Calibri" w:hAnsi="Times New Roman" w:cs="Times New Roman"/>
          <w:bCs/>
          <w:iCs/>
          <w:sz w:val="24"/>
          <w:szCs w:val="24"/>
        </w:rPr>
        <w:t xml:space="preserve"> również koszty rozliczane w roku podatkowym jako odpisy amortyzacyjne lub odpisy umorzeniowe od wartości początkowej środka trwałego lub wartości niematerialnej </w:t>
      </w:r>
      <w:r w:rsidR="002127DD" w:rsidRPr="006163FB">
        <w:rPr>
          <w:rFonts w:ascii="Times New Roman" w:eastAsia="Calibri" w:hAnsi="Times New Roman" w:cs="Times New Roman"/>
          <w:bCs/>
          <w:iCs/>
          <w:sz w:val="24"/>
          <w:szCs w:val="24"/>
        </w:rPr>
        <w:t>i prawnej.</w:t>
      </w:r>
    </w:p>
    <w:p w14:paraId="70DD24F0" w14:textId="768D3F7E" w:rsidR="00247C64" w:rsidRPr="006163FB" w:rsidRDefault="00995429" w:rsidP="006163FB">
      <w:pPr>
        <w:spacing w:before="120" w:line="36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1</w:t>
      </w:r>
      <w:r w:rsidR="00AC7DD0">
        <w:rPr>
          <w:rFonts w:ascii="Times New Roman" w:eastAsia="Calibri" w:hAnsi="Times New Roman" w:cs="Times New Roman"/>
          <w:b/>
          <w:iCs/>
          <w:sz w:val="24"/>
          <w:szCs w:val="24"/>
        </w:rPr>
        <w:t>7</w:t>
      </w:r>
      <w:r w:rsidR="00AF7D2C">
        <w:rPr>
          <w:rFonts w:ascii="Times New Roman" w:eastAsia="Calibri" w:hAnsi="Times New Roman" w:cs="Times New Roman"/>
          <w:b/>
          <w:iCs/>
          <w:sz w:val="24"/>
          <w:szCs w:val="24"/>
        </w:rPr>
        <w:t xml:space="preserve">) </w:t>
      </w:r>
      <w:r w:rsidR="00290C48">
        <w:rPr>
          <w:rFonts w:ascii="Times New Roman" w:eastAsia="Calibri" w:hAnsi="Times New Roman" w:cs="Times New Roman"/>
          <w:b/>
          <w:iCs/>
          <w:sz w:val="24"/>
          <w:szCs w:val="24"/>
        </w:rPr>
        <w:t>Rozszerzenie wy</w:t>
      </w:r>
      <w:r w:rsidR="00405140">
        <w:rPr>
          <w:rFonts w:ascii="Times New Roman" w:eastAsia="Calibri" w:hAnsi="Times New Roman" w:cs="Times New Roman"/>
          <w:b/>
          <w:iCs/>
          <w:sz w:val="24"/>
          <w:szCs w:val="24"/>
        </w:rPr>
        <w:t>ł</w:t>
      </w:r>
      <w:r w:rsidR="00290C48">
        <w:rPr>
          <w:rFonts w:ascii="Times New Roman" w:eastAsia="Calibri" w:hAnsi="Times New Roman" w:cs="Times New Roman"/>
          <w:b/>
          <w:iCs/>
          <w:sz w:val="24"/>
          <w:szCs w:val="24"/>
        </w:rPr>
        <w:t>ączeń</w:t>
      </w:r>
      <w:r w:rsidR="00BD0A33">
        <w:rPr>
          <w:rFonts w:ascii="Times New Roman" w:eastAsia="Calibri" w:hAnsi="Times New Roman" w:cs="Times New Roman"/>
          <w:b/>
          <w:iCs/>
          <w:sz w:val="24"/>
          <w:szCs w:val="24"/>
        </w:rPr>
        <w:t xml:space="preserve"> </w:t>
      </w:r>
      <w:r w:rsidR="00247C64" w:rsidRPr="006163FB">
        <w:rPr>
          <w:rFonts w:ascii="Times New Roman" w:eastAsia="Calibri" w:hAnsi="Times New Roman" w:cs="Times New Roman"/>
          <w:b/>
          <w:iCs/>
          <w:sz w:val="24"/>
          <w:szCs w:val="24"/>
        </w:rPr>
        <w:t>w</w:t>
      </w:r>
      <w:r w:rsidR="00AF7D2C">
        <w:rPr>
          <w:rFonts w:ascii="Times New Roman" w:eastAsia="Calibri" w:hAnsi="Times New Roman" w:cs="Times New Roman"/>
          <w:b/>
          <w:iCs/>
          <w:sz w:val="24"/>
          <w:szCs w:val="24"/>
        </w:rPr>
        <w:t xml:space="preserve"> krajowym </w:t>
      </w:r>
      <w:r w:rsidR="00247C64" w:rsidRPr="006163FB">
        <w:rPr>
          <w:rFonts w:ascii="Times New Roman" w:eastAsia="Calibri" w:hAnsi="Times New Roman" w:cs="Times New Roman"/>
          <w:b/>
          <w:iCs/>
          <w:sz w:val="24"/>
          <w:szCs w:val="24"/>
        </w:rPr>
        <w:t xml:space="preserve">minimalnym CIT </w:t>
      </w:r>
      <w:r w:rsidR="00AF7D2C" w:rsidRPr="0027548A">
        <w:rPr>
          <w:rFonts w:ascii="Times New Roman" w:eastAsia="Calibri" w:hAnsi="Times New Roman" w:cs="Times New Roman"/>
          <w:bCs/>
          <w:iCs/>
          <w:sz w:val="24"/>
          <w:szCs w:val="24"/>
        </w:rPr>
        <w:t>(zmienian</w:t>
      </w:r>
      <w:r w:rsidR="00934A0D">
        <w:rPr>
          <w:rFonts w:ascii="Times New Roman" w:eastAsia="Calibri" w:hAnsi="Times New Roman" w:cs="Times New Roman"/>
          <w:bCs/>
          <w:iCs/>
          <w:sz w:val="24"/>
          <w:szCs w:val="24"/>
        </w:rPr>
        <w:t>y</w:t>
      </w:r>
      <w:r w:rsidR="00AF7D2C" w:rsidRPr="0027548A">
        <w:rPr>
          <w:rFonts w:ascii="Times New Roman" w:eastAsia="Calibri" w:hAnsi="Times New Roman" w:cs="Times New Roman"/>
          <w:bCs/>
          <w:iCs/>
          <w:sz w:val="24"/>
          <w:szCs w:val="24"/>
        </w:rPr>
        <w:t xml:space="preserve"> </w:t>
      </w:r>
      <w:bookmarkStart w:id="16" w:name="_Hlk207203639"/>
      <w:r w:rsidR="00247C64" w:rsidRPr="0027548A">
        <w:rPr>
          <w:rFonts w:ascii="Times New Roman" w:eastAsia="Calibri" w:hAnsi="Times New Roman" w:cs="Times New Roman"/>
          <w:bCs/>
          <w:iCs/>
          <w:sz w:val="24"/>
          <w:szCs w:val="24"/>
        </w:rPr>
        <w:t>art. 24ca ust. 14 ustawy</w:t>
      </w:r>
      <w:r w:rsidR="00575C99">
        <w:rPr>
          <w:rFonts w:ascii="Times New Roman" w:eastAsia="Calibri" w:hAnsi="Times New Roman" w:cs="Times New Roman"/>
          <w:bCs/>
          <w:iCs/>
          <w:sz w:val="24"/>
          <w:szCs w:val="24"/>
        </w:rPr>
        <w:t xml:space="preserve"> o</w:t>
      </w:r>
      <w:r w:rsidR="00247C64" w:rsidRPr="0027548A">
        <w:rPr>
          <w:rFonts w:ascii="Times New Roman" w:eastAsia="Calibri" w:hAnsi="Times New Roman" w:cs="Times New Roman"/>
          <w:bCs/>
          <w:iCs/>
          <w:sz w:val="24"/>
          <w:szCs w:val="24"/>
        </w:rPr>
        <w:t xml:space="preserve"> CIT</w:t>
      </w:r>
      <w:bookmarkEnd w:id="16"/>
      <w:r w:rsidR="00AF7D2C" w:rsidRPr="0027548A">
        <w:rPr>
          <w:rFonts w:ascii="Times New Roman" w:eastAsia="Calibri" w:hAnsi="Times New Roman" w:cs="Times New Roman"/>
          <w:bCs/>
          <w:iCs/>
          <w:sz w:val="24"/>
          <w:szCs w:val="24"/>
        </w:rPr>
        <w:t xml:space="preserve">) </w:t>
      </w:r>
      <w:r w:rsidR="00AF7D2C" w:rsidRPr="00793CFC">
        <w:rPr>
          <w:rFonts w:ascii="Times New Roman" w:eastAsia="Calibri" w:hAnsi="Times New Roman" w:cs="Times New Roman"/>
          <w:bCs/>
          <w:iCs/>
          <w:sz w:val="24"/>
          <w:szCs w:val="24"/>
        </w:rPr>
        <w:t>–</w:t>
      </w:r>
      <w:r w:rsidR="00AF7D2C">
        <w:rPr>
          <w:rFonts w:ascii="Times New Roman" w:eastAsia="Calibri" w:hAnsi="Times New Roman" w:cs="Times New Roman"/>
          <w:b/>
          <w:iCs/>
          <w:sz w:val="24"/>
          <w:szCs w:val="24"/>
        </w:rPr>
        <w:t xml:space="preserve"> art. 2 pkt </w:t>
      </w:r>
      <w:r w:rsidR="006A54B5" w:rsidRPr="006A54B5">
        <w:rPr>
          <w:rFonts w:ascii="Times New Roman" w:eastAsia="Calibri" w:hAnsi="Times New Roman" w:cs="Times New Roman"/>
          <w:b/>
          <w:iCs/>
          <w:sz w:val="24"/>
          <w:szCs w:val="24"/>
        </w:rPr>
        <w:t>11</w:t>
      </w:r>
      <w:r w:rsidR="00AF7D2C">
        <w:rPr>
          <w:rFonts w:ascii="Times New Roman" w:eastAsia="Calibri" w:hAnsi="Times New Roman" w:cs="Times New Roman"/>
          <w:b/>
          <w:iCs/>
          <w:sz w:val="24"/>
          <w:szCs w:val="24"/>
        </w:rPr>
        <w:t xml:space="preserve"> projektu </w:t>
      </w:r>
    </w:p>
    <w:p w14:paraId="669B5000" w14:textId="51E547D1" w:rsidR="004556AF" w:rsidRPr="004556AF" w:rsidRDefault="00290C48" w:rsidP="004C172B">
      <w:pPr>
        <w:spacing w:before="120" w:line="360" w:lineRule="auto"/>
        <w:jc w:val="both"/>
        <w:rPr>
          <w:rFonts w:ascii="Times New Roman" w:hAnsi="Times New Roman" w:cs="Times New Roman"/>
          <w:sz w:val="24"/>
          <w:szCs w:val="24"/>
        </w:rPr>
      </w:pPr>
      <w:r>
        <w:rPr>
          <w:rFonts w:ascii="Times New Roman" w:hAnsi="Times New Roman" w:cs="Times New Roman"/>
          <w:sz w:val="24"/>
          <w:szCs w:val="24"/>
        </w:rPr>
        <w:t>P</w:t>
      </w:r>
      <w:r w:rsidR="004556AF" w:rsidRPr="004556AF">
        <w:rPr>
          <w:rFonts w:ascii="Times New Roman" w:hAnsi="Times New Roman" w:cs="Times New Roman"/>
          <w:sz w:val="24"/>
          <w:szCs w:val="24"/>
        </w:rPr>
        <w:t xml:space="preserve">rojektowane zmiany wprowadzają zwolnienie podmiotowe od </w:t>
      </w:r>
      <w:r w:rsidR="009B4241">
        <w:rPr>
          <w:rFonts w:ascii="Times New Roman" w:hAnsi="Times New Roman" w:cs="Times New Roman"/>
          <w:sz w:val="24"/>
          <w:szCs w:val="24"/>
        </w:rPr>
        <w:t xml:space="preserve">krajowego </w:t>
      </w:r>
      <w:r w:rsidR="004556AF" w:rsidRPr="004556AF">
        <w:rPr>
          <w:rFonts w:ascii="Times New Roman" w:hAnsi="Times New Roman" w:cs="Times New Roman"/>
          <w:sz w:val="24"/>
          <w:szCs w:val="24"/>
        </w:rPr>
        <w:t>minimalnego</w:t>
      </w:r>
      <w:r w:rsidR="009B4241">
        <w:rPr>
          <w:rFonts w:ascii="Times New Roman" w:hAnsi="Times New Roman" w:cs="Times New Roman"/>
          <w:sz w:val="24"/>
          <w:szCs w:val="24"/>
        </w:rPr>
        <w:t xml:space="preserve"> CIT</w:t>
      </w:r>
      <w:r w:rsidR="004556AF" w:rsidRPr="004556AF">
        <w:rPr>
          <w:rFonts w:ascii="Times New Roman" w:hAnsi="Times New Roman" w:cs="Times New Roman"/>
          <w:sz w:val="24"/>
          <w:szCs w:val="24"/>
        </w:rPr>
        <w:t xml:space="preserve"> dla przedsiębiorstw z sektora energetycznego i ciepłowniczego (analogiczne jak w przypadku przedsiębiorstw np. prowadzących działalność leczniczą). Na mocy proponowanych zmian opodatkowaniu</w:t>
      </w:r>
      <w:r w:rsidR="009B4241">
        <w:rPr>
          <w:rFonts w:ascii="Times New Roman" w:hAnsi="Times New Roman" w:cs="Times New Roman"/>
          <w:sz w:val="24"/>
          <w:szCs w:val="24"/>
        </w:rPr>
        <w:t xml:space="preserve"> krajowym</w:t>
      </w:r>
      <w:r w:rsidR="004556AF" w:rsidRPr="004556AF">
        <w:rPr>
          <w:rFonts w:ascii="Times New Roman" w:hAnsi="Times New Roman" w:cs="Times New Roman"/>
          <w:sz w:val="24"/>
          <w:szCs w:val="24"/>
        </w:rPr>
        <w:t xml:space="preserve"> minimalnym CIT nie będą podlegać podatnicy osiągający większość przychodów ze sprzedaży energii elektrycznej, ciepła lub gazu przewodowego.</w:t>
      </w:r>
    </w:p>
    <w:p w14:paraId="6F58F2FA" w14:textId="77777777" w:rsidR="004556AF" w:rsidRPr="004556AF" w:rsidRDefault="004556AF" w:rsidP="004C172B">
      <w:pPr>
        <w:spacing w:before="120" w:line="360" w:lineRule="auto"/>
        <w:jc w:val="both"/>
        <w:rPr>
          <w:rFonts w:ascii="Times New Roman" w:hAnsi="Times New Roman" w:cs="Times New Roman"/>
          <w:sz w:val="24"/>
          <w:szCs w:val="24"/>
        </w:rPr>
      </w:pPr>
      <w:r w:rsidRPr="004556AF">
        <w:rPr>
          <w:rFonts w:ascii="Times New Roman" w:hAnsi="Times New Roman" w:cs="Times New Roman"/>
          <w:sz w:val="24"/>
          <w:szCs w:val="24"/>
        </w:rPr>
        <w:t xml:space="preserve">Poziom rentowności podmiotów z sektora energetycznego jest w dużym stopniu uzależniony od czynników zewnętrznych, w tym przede wszystkim regulacyjnych. W ostatnich latach sektor ten boryka się z istotnymi trudnościami, które doprowadziły do pogorszenia rentowności działalności w segmencie sprzedaży energii (energii elektrycznej i ciepła) czy gazu do odbiorców końcowych. Sytuacja na rynkach gazu, energii i ciepła podlegała i podlega dużej </w:t>
      </w:r>
      <w:r w:rsidRPr="004556AF">
        <w:rPr>
          <w:rFonts w:ascii="Times New Roman" w:hAnsi="Times New Roman" w:cs="Times New Roman"/>
          <w:sz w:val="24"/>
          <w:szCs w:val="24"/>
        </w:rPr>
        <w:lastRenderedPageBreak/>
        <w:t>zmienności warunków. Programy osłonowe, wdrażane przez poszczególne państwa w celu minimalizowania skutków gwałtownej zmiany cen towarów, ograniczały lub całkowicie znosiły zasady działalności konkurencyjnej, wpływając na obniżenie poziomu przychodów przedsiębiorstw z branży energetycznej.</w:t>
      </w:r>
    </w:p>
    <w:p w14:paraId="682FA22E" w14:textId="353A61F5" w:rsidR="004556AF" w:rsidRDefault="004556AF" w:rsidP="004C172B">
      <w:pPr>
        <w:spacing w:before="120" w:line="360" w:lineRule="auto"/>
        <w:jc w:val="both"/>
        <w:rPr>
          <w:rFonts w:ascii="Times New Roman" w:hAnsi="Times New Roman" w:cs="Times New Roman"/>
          <w:sz w:val="24"/>
          <w:szCs w:val="24"/>
        </w:rPr>
      </w:pPr>
      <w:r w:rsidRPr="004556AF">
        <w:rPr>
          <w:rFonts w:ascii="Times New Roman" w:hAnsi="Times New Roman" w:cs="Times New Roman"/>
          <w:sz w:val="24"/>
          <w:szCs w:val="24"/>
        </w:rPr>
        <w:t xml:space="preserve">Należy podkreślić, że opodatkowanie </w:t>
      </w:r>
      <w:r w:rsidR="009B4241">
        <w:rPr>
          <w:rFonts w:ascii="Times New Roman" w:hAnsi="Times New Roman" w:cs="Times New Roman"/>
          <w:sz w:val="24"/>
          <w:szCs w:val="24"/>
        </w:rPr>
        <w:t xml:space="preserve">krajowym </w:t>
      </w:r>
      <w:r w:rsidRPr="004556AF">
        <w:rPr>
          <w:rFonts w:ascii="Times New Roman" w:hAnsi="Times New Roman" w:cs="Times New Roman"/>
          <w:sz w:val="24"/>
          <w:szCs w:val="24"/>
        </w:rPr>
        <w:t xml:space="preserve">minimalnym CIT mogłoby skutkować bezpośrednim, negatywnym przełożeniem na sytuację odbiorców końcowych. Koszty </w:t>
      </w:r>
      <w:r w:rsidR="009B4241">
        <w:rPr>
          <w:rFonts w:ascii="Times New Roman" w:hAnsi="Times New Roman" w:cs="Times New Roman"/>
          <w:sz w:val="24"/>
          <w:szCs w:val="24"/>
        </w:rPr>
        <w:t xml:space="preserve">krajowego </w:t>
      </w:r>
      <w:r w:rsidRPr="004556AF">
        <w:rPr>
          <w:rFonts w:ascii="Times New Roman" w:hAnsi="Times New Roman" w:cs="Times New Roman"/>
          <w:sz w:val="24"/>
          <w:szCs w:val="24"/>
        </w:rPr>
        <w:t>minimalnego CIT, nałożonego na dostawców (sprzedawców) energii elektrycznej, ciepła oraz gazu, mogą zostać odzwierciedlone w ich taryfach i cennikach, co mogłoby skutkować zwiększeniem cen energii, ciepła i gazu dla odbiorców końcowych, w tym gospodarstw domowych.</w:t>
      </w:r>
    </w:p>
    <w:p w14:paraId="13E67FE2" w14:textId="6401066C" w:rsidR="00D048A1" w:rsidRPr="00D048A1" w:rsidRDefault="00D048A1" w:rsidP="00D048A1">
      <w:pPr>
        <w:spacing w:before="120" w:line="360" w:lineRule="auto"/>
        <w:jc w:val="both"/>
        <w:rPr>
          <w:rFonts w:ascii="Times New Roman" w:hAnsi="Times New Roman" w:cs="Times New Roman"/>
          <w:sz w:val="24"/>
          <w:szCs w:val="24"/>
        </w:rPr>
      </w:pPr>
      <w:r w:rsidRPr="00D048A1">
        <w:rPr>
          <w:rFonts w:ascii="Times New Roman" w:hAnsi="Times New Roman" w:cs="Times New Roman"/>
          <w:sz w:val="24"/>
          <w:szCs w:val="24"/>
        </w:rPr>
        <w:t xml:space="preserve">Ponadto projektowane zmiany wprowadzają zwolnienie podmiotowe od </w:t>
      </w:r>
      <w:r w:rsidR="009B4241">
        <w:rPr>
          <w:rFonts w:ascii="Times New Roman" w:hAnsi="Times New Roman" w:cs="Times New Roman"/>
          <w:sz w:val="24"/>
          <w:szCs w:val="24"/>
        </w:rPr>
        <w:t xml:space="preserve">krajowego </w:t>
      </w:r>
      <w:r w:rsidRPr="00D048A1">
        <w:rPr>
          <w:rFonts w:ascii="Times New Roman" w:hAnsi="Times New Roman" w:cs="Times New Roman"/>
          <w:sz w:val="24"/>
          <w:szCs w:val="24"/>
        </w:rPr>
        <w:t>minimalneg</w:t>
      </w:r>
      <w:r w:rsidR="009B4241">
        <w:rPr>
          <w:rFonts w:ascii="Times New Roman" w:hAnsi="Times New Roman" w:cs="Times New Roman"/>
          <w:sz w:val="24"/>
          <w:szCs w:val="24"/>
        </w:rPr>
        <w:t>o CIT</w:t>
      </w:r>
      <w:r w:rsidRPr="00D048A1">
        <w:rPr>
          <w:rFonts w:ascii="Times New Roman" w:hAnsi="Times New Roman" w:cs="Times New Roman"/>
          <w:sz w:val="24"/>
          <w:szCs w:val="24"/>
        </w:rPr>
        <w:t xml:space="preserve"> również dla </w:t>
      </w:r>
      <w:bookmarkStart w:id="17" w:name="_Hlk230698626"/>
      <w:r w:rsidRPr="00D048A1">
        <w:rPr>
          <w:rFonts w:ascii="Times New Roman" w:hAnsi="Times New Roman" w:cs="Times New Roman"/>
          <w:sz w:val="24"/>
          <w:szCs w:val="24"/>
        </w:rPr>
        <w:t xml:space="preserve">przedsiębiorstw prowadzących </w:t>
      </w:r>
      <w:bookmarkStart w:id="18" w:name="_Hlk230698412"/>
      <w:r w:rsidRPr="00D048A1">
        <w:rPr>
          <w:rFonts w:ascii="Times New Roman" w:hAnsi="Times New Roman" w:cs="Times New Roman"/>
          <w:sz w:val="24"/>
          <w:szCs w:val="24"/>
        </w:rPr>
        <w:t xml:space="preserve">działalność w zakresie przetwórstwa węgla koksowego </w:t>
      </w:r>
      <w:r w:rsidR="009856B6">
        <w:rPr>
          <w:rFonts w:ascii="Times New Roman" w:hAnsi="Times New Roman" w:cs="Times New Roman"/>
          <w:sz w:val="24"/>
          <w:szCs w:val="24"/>
        </w:rPr>
        <w:t>lub</w:t>
      </w:r>
      <w:r w:rsidRPr="00D048A1">
        <w:rPr>
          <w:rFonts w:ascii="Times New Roman" w:hAnsi="Times New Roman" w:cs="Times New Roman"/>
          <w:sz w:val="24"/>
          <w:szCs w:val="24"/>
        </w:rPr>
        <w:t xml:space="preserve"> hutnictwa</w:t>
      </w:r>
      <w:bookmarkEnd w:id="17"/>
      <w:bookmarkEnd w:id="18"/>
      <w:r w:rsidRPr="00D048A1">
        <w:rPr>
          <w:rFonts w:ascii="Times New Roman" w:hAnsi="Times New Roman" w:cs="Times New Roman"/>
          <w:sz w:val="24"/>
          <w:szCs w:val="24"/>
        </w:rPr>
        <w:t xml:space="preserve">. Na skutek rozszerzenia katalogu podmiotów zwolnionych, opodatkowaniu </w:t>
      </w:r>
      <w:r w:rsidR="009B4241">
        <w:rPr>
          <w:rFonts w:ascii="Times New Roman" w:hAnsi="Times New Roman" w:cs="Times New Roman"/>
          <w:sz w:val="24"/>
          <w:szCs w:val="24"/>
        </w:rPr>
        <w:t xml:space="preserve">krajowym </w:t>
      </w:r>
      <w:r w:rsidRPr="00D048A1">
        <w:rPr>
          <w:rFonts w:ascii="Times New Roman" w:hAnsi="Times New Roman" w:cs="Times New Roman"/>
          <w:sz w:val="24"/>
          <w:szCs w:val="24"/>
        </w:rPr>
        <w:t xml:space="preserve">minimalnym CIT nie będą podlegać podatnicy osiągający większość przychodów z działalności w zakresie przetwórstwa węgla koksowego </w:t>
      </w:r>
      <w:r w:rsidR="009856B6">
        <w:rPr>
          <w:rFonts w:ascii="Times New Roman" w:hAnsi="Times New Roman" w:cs="Times New Roman"/>
          <w:sz w:val="24"/>
          <w:szCs w:val="24"/>
        </w:rPr>
        <w:t>lub</w:t>
      </w:r>
      <w:r w:rsidRPr="00D048A1">
        <w:rPr>
          <w:rFonts w:ascii="Times New Roman" w:hAnsi="Times New Roman" w:cs="Times New Roman"/>
          <w:sz w:val="24"/>
          <w:szCs w:val="24"/>
        </w:rPr>
        <w:t xml:space="preserve"> hutnictwa. </w:t>
      </w:r>
    </w:p>
    <w:p w14:paraId="21810394" w14:textId="166053D9" w:rsidR="00D048A1" w:rsidRDefault="00D048A1" w:rsidP="004C172B">
      <w:pPr>
        <w:spacing w:before="120" w:line="360" w:lineRule="auto"/>
        <w:jc w:val="both"/>
        <w:rPr>
          <w:rFonts w:ascii="Times New Roman" w:hAnsi="Times New Roman" w:cs="Times New Roman"/>
          <w:sz w:val="24"/>
          <w:szCs w:val="24"/>
        </w:rPr>
      </w:pPr>
      <w:r w:rsidRPr="00D048A1">
        <w:rPr>
          <w:rFonts w:ascii="Times New Roman" w:hAnsi="Times New Roman" w:cs="Times New Roman"/>
          <w:sz w:val="24"/>
          <w:szCs w:val="24"/>
        </w:rPr>
        <w:t xml:space="preserve">Specyfika działalności spółek związanych z działalnością w branżach hutniczej i koksowniczej powoduje wysoką wrażliwość wyników finansowych na czynniki zewnętrzne, takie jak sytuacja geopolityczna, koniunktura w przemyśle stalowym, wahania cen węgla i koksu oraz kursów walut. Zmienność tych czynników ma często charakter krótkookresowy, jednak istotnie wpływa na poziom rentowności w poszczególnych latach podatkowych. Zwolnienie od </w:t>
      </w:r>
      <w:r w:rsidR="009B4241">
        <w:rPr>
          <w:rFonts w:ascii="Times New Roman" w:hAnsi="Times New Roman" w:cs="Times New Roman"/>
          <w:sz w:val="24"/>
          <w:szCs w:val="24"/>
        </w:rPr>
        <w:t xml:space="preserve">krajowego </w:t>
      </w:r>
      <w:r w:rsidRPr="00D048A1">
        <w:rPr>
          <w:rFonts w:ascii="Times New Roman" w:hAnsi="Times New Roman" w:cs="Times New Roman"/>
          <w:sz w:val="24"/>
          <w:szCs w:val="24"/>
        </w:rPr>
        <w:t>minimalnego CIT podmiotów z branży koksowniczej jest również uzasadnione istotnym znaczeniem strategicznym tych sektorów dla gospodarki oraz bezpieczeństwa państwa. Dodatkowo należy podkreślić, że branża koksownicza obecnie mierzy się z głębokim kryzysem strukturalnym i rynkowym.</w:t>
      </w:r>
    </w:p>
    <w:p w14:paraId="3BF6A4C4" w14:textId="05188097" w:rsidR="005D51AC" w:rsidRPr="00A34EE1" w:rsidRDefault="005D51AC" w:rsidP="004C172B">
      <w:pPr>
        <w:spacing w:before="120" w:line="360" w:lineRule="auto"/>
        <w:jc w:val="both"/>
        <w:rPr>
          <w:rFonts w:ascii="Times New Roman" w:eastAsia="Calibri" w:hAnsi="Times New Roman" w:cs="Times New Roman"/>
          <w:iCs/>
          <w:sz w:val="24"/>
          <w:szCs w:val="24"/>
        </w:rPr>
      </w:pPr>
      <w:r w:rsidRPr="001277F2">
        <w:rPr>
          <w:rFonts w:ascii="Times New Roman" w:eastAsia="Calibri" w:hAnsi="Times New Roman" w:cs="Times New Roman"/>
          <w:iCs/>
          <w:sz w:val="24"/>
          <w:szCs w:val="24"/>
        </w:rPr>
        <w:t>W projekcie przewiduje się, że przepisy w zakresie</w:t>
      </w:r>
      <w:r w:rsidRPr="001277F2">
        <w:rPr>
          <w:rFonts w:eastAsia="Calibri"/>
        </w:rPr>
        <w:t xml:space="preserve"> </w:t>
      </w:r>
      <w:r w:rsidRPr="001277F2">
        <w:rPr>
          <w:rFonts w:ascii="Times New Roman" w:eastAsia="Calibri" w:hAnsi="Times New Roman" w:cs="Times New Roman"/>
          <w:iCs/>
          <w:sz w:val="24"/>
          <w:szCs w:val="24"/>
        </w:rPr>
        <w:t>zwolnienia podmiotowego od krajowego minimalnego CIT dla przedsiębiorstw prowadzących działalność w zakresie przetwórstwa węgla koksowego lub hutnictwa wejdą w życie z dniem ogłoszenia ustawy i będą miały zastosowanie do dochodów (przychodów)</w:t>
      </w:r>
      <w:r w:rsidR="001277F2" w:rsidRPr="001277F2">
        <w:t xml:space="preserve"> </w:t>
      </w:r>
      <w:r w:rsidR="001277F2" w:rsidRPr="001277F2">
        <w:rPr>
          <w:rFonts w:ascii="Times New Roman" w:eastAsia="Calibri" w:hAnsi="Times New Roman" w:cs="Times New Roman"/>
          <w:iCs/>
          <w:sz w:val="24"/>
          <w:szCs w:val="24"/>
        </w:rPr>
        <w:t xml:space="preserve">uzyskanych począwszy od roku podatkowego rozpoczynającego się po dniu 31 grudnia 2025 r. </w:t>
      </w:r>
      <w:r w:rsidRPr="001277F2">
        <w:rPr>
          <w:rFonts w:ascii="Times New Roman" w:eastAsia="Calibri" w:hAnsi="Times New Roman" w:cs="Times New Roman"/>
          <w:iCs/>
          <w:sz w:val="24"/>
          <w:szCs w:val="24"/>
        </w:rPr>
        <w:t>Wsteczne działanie tej regulacji jest dopuszczalne z uwagi na to, że jest ona korzystna dla podatników.</w:t>
      </w:r>
    </w:p>
    <w:p w14:paraId="29D70ED4" w14:textId="3EC85011" w:rsidR="00CC40C2" w:rsidRPr="0082555A" w:rsidRDefault="00995429" w:rsidP="00CC40C2">
      <w:pPr>
        <w:spacing w:before="120" w:line="360" w:lineRule="auto"/>
        <w:jc w:val="both"/>
        <w:rPr>
          <w:rFonts w:ascii="Times New Roman" w:hAnsi="Times New Roman" w:cs="Times New Roman"/>
          <w:b/>
          <w:bCs/>
          <w:sz w:val="24"/>
          <w:szCs w:val="24"/>
        </w:rPr>
      </w:pPr>
      <w:r>
        <w:rPr>
          <w:rFonts w:ascii="Times New Roman" w:hAnsi="Times New Roman" w:cs="Times New Roman"/>
          <w:b/>
          <w:bCs/>
          <w:sz w:val="24"/>
          <w:szCs w:val="24"/>
        </w:rPr>
        <w:t>1</w:t>
      </w:r>
      <w:r w:rsidR="00AC7DD0">
        <w:rPr>
          <w:rFonts w:ascii="Times New Roman" w:hAnsi="Times New Roman" w:cs="Times New Roman"/>
          <w:b/>
          <w:bCs/>
          <w:sz w:val="24"/>
          <w:szCs w:val="24"/>
        </w:rPr>
        <w:t>8</w:t>
      </w:r>
      <w:r w:rsidR="00CC40C2" w:rsidRPr="006765ED">
        <w:rPr>
          <w:rFonts w:ascii="Times New Roman" w:hAnsi="Times New Roman" w:cs="Times New Roman"/>
          <w:b/>
          <w:bCs/>
          <w:sz w:val="24"/>
          <w:szCs w:val="24"/>
        </w:rPr>
        <w:t xml:space="preserve">) Skorygowanie odesłania </w:t>
      </w:r>
      <w:r w:rsidR="00CC40C2" w:rsidRPr="0082555A">
        <w:rPr>
          <w:rFonts w:ascii="Times New Roman" w:hAnsi="Times New Roman" w:cs="Times New Roman"/>
          <w:b/>
          <w:bCs/>
          <w:sz w:val="24"/>
          <w:szCs w:val="24"/>
        </w:rPr>
        <w:t xml:space="preserve">w art. 27a ustawy o CIT – art. 2 pkt </w:t>
      </w:r>
      <w:r w:rsidR="006A54B5" w:rsidRPr="006A54B5">
        <w:rPr>
          <w:rFonts w:ascii="Times New Roman" w:hAnsi="Times New Roman" w:cs="Times New Roman"/>
          <w:b/>
          <w:bCs/>
          <w:sz w:val="24"/>
          <w:szCs w:val="24"/>
        </w:rPr>
        <w:t>12</w:t>
      </w:r>
      <w:r w:rsidR="00DC60AC" w:rsidRPr="0082555A">
        <w:rPr>
          <w:rFonts w:ascii="Times New Roman" w:hAnsi="Times New Roman" w:cs="Times New Roman"/>
          <w:b/>
          <w:bCs/>
          <w:sz w:val="24"/>
          <w:szCs w:val="24"/>
        </w:rPr>
        <w:t xml:space="preserve"> </w:t>
      </w:r>
      <w:r w:rsidR="00CC40C2" w:rsidRPr="0082555A">
        <w:rPr>
          <w:rFonts w:ascii="Times New Roman" w:hAnsi="Times New Roman" w:cs="Times New Roman"/>
          <w:b/>
          <w:bCs/>
          <w:sz w:val="24"/>
          <w:szCs w:val="24"/>
        </w:rPr>
        <w:t>projektu</w:t>
      </w:r>
    </w:p>
    <w:p w14:paraId="0FBABAB1" w14:textId="44A6EA08" w:rsidR="004730D1" w:rsidRDefault="00CC40C2" w:rsidP="0027548A">
      <w:pPr>
        <w:spacing w:before="240" w:after="120" w:line="360" w:lineRule="auto"/>
        <w:jc w:val="both"/>
        <w:rPr>
          <w:rFonts w:ascii="Times New Roman" w:hAnsi="Times New Roman" w:cs="Times New Roman"/>
          <w:sz w:val="24"/>
          <w:szCs w:val="24"/>
        </w:rPr>
      </w:pPr>
      <w:r w:rsidRPr="00CC40C2">
        <w:rPr>
          <w:rFonts w:ascii="Times New Roman" w:hAnsi="Times New Roman" w:cs="Times New Roman"/>
          <w:sz w:val="24"/>
          <w:szCs w:val="24"/>
        </w:rPr>
        <w:lastRenderedPageBreak/>
        <w:t>Zmiana ma charakter doprecyzowujący i polega na skorygowaniu odesłania w art. 27a ustawy o CIT do właściwego przepisu ustawy o PIT. Przepis ten określa warunki składania zeznania podatkowego w formie papierowej przez podatników osiągających wyłącznie dochody zwolnione z opodatkowania oraz nieobjętych określonymi obowiązkami sprawozdawczymi i</w:t>
      </w:r>
      <w:r w:rsidR="009555F6">
        <w:rPr>
          <w:rFonts w:ascii="Times New Roman" w:hAnsi="Times New Roman" w:cs="Times New Roman"/>
          <w:sz w:val="24"/>
          <w:szCs w:val="24"/>
        </w:rPr>
        <w:t> </w:t>
      </w:r>
      <w:r w:rsidRPr="00CC40C2">
        <w:rPr>
          <w:rFonts w:ascii="Times New Roman" w:hAnsi="Times New Roman" w:cs="Times New Roman"/>
          <w:sz w:val="24"/>
          <w:szCs w:val="24"/>
        </w:rPr>
        <w:t>informacyjnymi.</w:t>
      </w:r>
    </w:p>
    <w:p w14:paraId="22AB6A79" w14:textId="5FFD8DD6" w:rsidR="00AA030A" w:rsidRPr="006163FB" w:rsidRDefault="00995429" w:rsidP="0027548A">
      <w:pPr>
        <w:spacing w:before="240" w:after="12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1</w:t>
      </w:r>
      <w:r w:rsidR="00AC7DD0">
        <w:rPr>
          <w:rFonts w:ascii="Times New Roman" w:eastAsia="Times New Roman" w:hAnsi="Times New Roman" w:cs="Times New Roman"/>
          <w:b/>
          <w:sz w:val="24"/>
          <w:szCs w:val="24"/>
          <w:lang w:eastAsia="pl-PL"/>
        </w:rPr>
        <w:t>9</w:t>
      </w:r>
      <w:r w:rsidR="00F2376E">
        <w:rPr>
          <w:rFonts w:ascii="Times New Roman" w:eastAsia="Times New Roman" w:hAnsi="Times New Roman" w:cs="Times New Roman"/>
          <w:b/>
          <w:sz w:val="24"/>
          <w:szCs w:val="24"/>
          <w:lang w:eastAsia="pl-PL"/>
        </w:rPr>
        <w:t xml:space="preserve">) </w:t>
      </w:r>
      <w:r w:rsidR="00367AF7" w:rsidRPr="00367AF7">
        <w:rPr>
          <w:rFonts w:ascii="Times New Roman" w:eastAsia="Times New Roman" w:hAnsi="Times New Roman" w:cs="Times New Roman"/>
          <w:b/>
          <w:sz w:val="24"/>
          <w:szCs w:val="24"/>
          <w:lang w:eastAsia="pl-PL"/>
        </w:rPr>
        <w:t>Zmian</w:t>
      </w:r>
      <w:r w:rsidR="009D1880">
        <w:rPr>
          <w:rFonts w:ascii="Times New Roman" w:eastAsia="Times New Roman" w:hAnsi="Times New Roman" w:cs="Times New Roman"/>
          <w:b/>
          <w:sz w:val="24"/>
          <w:szCs w:val="24"/>
          <w:lang w:eastAsia="pl-PL"/>
        </w:rPr>
        <w:t>a</w:t>
      </w:r>
      <w:r w:rsidR="00367AF7" w:rsidRPr="00367AF7">
        <w:rPr>
          <w:rFonts w:ascii="Times New Roman" w:eastAsia="Times New Roman" w:hAnsi="Times New Roman" w:cs="Times New Roman"/>
          <w:b/>
          <w:sz w:val="24"/>
          <w:szCs w:val="24"/>
          <w:lang w:eastAsia="pl-PL"/>
        </w:rPr>
        <w:t xml:space="preserve"> </w:t>
      </w:r>
      <w:r w:rsidR="00F2376E" w:rsidRPr="00367AF7">
        <w:rPr>
          <w:rFonts w:ascii="Times New Roman" w:eastAsia="Times New Roman" w:hAnsi="Times New Roman" w:cs="Times New Roman"/>
          <w:b/>
          <w:sz w:val="24"/>
          <w:szCs w:val="24"/>
          <w:lang w:eastAsia="pl-PL"/>
        </w:rPr>
        <w:t xml:space="preserve">w </w:t>
      </w:r>
      <w:r w:rsidR="00F2376E">
        <w:rPr>
          <w:rFonts w:ascii="Times New Roman" w:eastAsia="Times New Roman" w:hAnsi="Times New Roman" w:cs="Times New Roman"/>
          <w:b/>
          <w:sz w:val="24"/>
          <w:szCs w:val="24"/>
          <w:lang w:eastAsia="pl-PL"/>
        </w:rPr>
        <w:t xml:space="preserve">przepisach o </w:t>
      </w:r>
      <w:r w:rsidR="00F2376E" w:rsidRPr="00367AF7">
        <w:rPr>
          <w:rFonts w:ascii="Times New Roman" w:eastAsia="Times New Roman" w:hAnsi="Times New Roman" w:cs="Times New Roman"/>
          <w:b/>
          <w:sz w:val="24"/>
          <w:szCs w:val="24"/>
          <w:lang w:eastAsia="pl-PL"/>
        </w:rPr>
        <w:t xml:space="preserve">ryczałcie od dochodów spółek </w:t>
      </w:r>
      <w:r w:rsidR="00F2376E">
        <w:rPr>
          <w:rFonts w:ascii="Times New Roman" w:eastAsia="Times New Roman" w:hAnsi="Times New Roman" w:cs="Times New Roman"/>
          <w:b/>
          <w:sz w:val="24"/>
          <w:szCs w:val="24"/>
          <w:lang w:eastAsia="pl-PL"/>
        </w:rPr>
        <w:t>(tzw. estońskim CIT) w zakresie</w:t>
      </w:r>
      <w:r w:rsidR="00367AF7" w:rsidRPr="00367AF7">
        <w:rPr>
          <w:rFonts w:ascii="Times New Roman" w:eastAsia="Times New Roman" w:hAnsi="Times New Roman" w:cs="Times New Roman"/>
          <w:b/>
          <w:sz w:val="24"/>
          <w:szCs w:val="24"/>
          <w:lang w:eastAsia="pl-PL"/>
        </w:rPr>
        <w:t xml:space="preserve"> </w:t>
      </w:r>
      <w:r w:rsidR="009D1880">
        <w:rPr>
          <w:rFonts w:ascii="Times New Roman" w:eastAsia="Times New Roman" w:hAnsi="Times New Roman" w:cs="Times New Roman"/>
          <w:b/>
          <w:sz w:val="24"/>
          <w:szCs w:val="24"/>
          <w:lang w:eastAsia="pl-PL"/>
        </w:rPr>
        <w:t xml:space="preserve">momentu rozpoznania dystrybucji </w:t>
      </w:r>
      <w:r w:rsidR="00367AF7" w:rsidRPr="00367AF7">
        <w:rPr>
          <w:rFonts w:ascii="Times New Roman" w:eastAsia="Times New Roman" w:hAnsi="Times New Roman" w:cs="Times New Roman"/>
          <w:b/>
          <w:sz w:val="24"/>
          <w:szCs w:val="24"/>
          <w:lang w:eastAsia="pl-PL"/>
        </w:rPr>
        <w:t xml:space="preserve">rozdysponowanego dochodu z tytułu zysku netto </w:t>
      </w:r>
      <w:r w:rsidR="00F2376E" w:rsidRPr="0027548A">
        <w:rPr>
          <w:rFonts w:ascii="Times New Roman" w:eastAsia="Times New Roman" w:hAnsi="Times New Roman" w:cs="Times New Roman"/>
          <w:bCs/>
          <w:sz w:val="24"/>
          <w:szCs w:val="24"/>
          <w:lang w:eastAsia="pl-PL"/>
        </w:rPr>
        <w:t>(</w:t>
      </w:r>
      <w:r w:rsidR="008A433E">
        <w:rPr>
          <w:rFonts w:ascii="Times New Roman" w:eastAsia="Times New Roman" w:hAnsi="Times New Roman" w:cs="Times New Roman"/>
          <w:bCs/>
          <w:sz w:val="24"/>
          <w:szCs w:val="24"/>
          <w:lang w:eastAsia="pl-PL"/>
        </w:rPr>
        <w:t>dodany art. 30a ust.</w:t>
      </w:r>
      <w:r w:rsidR="0050489F">
        <w:rPr>
          <w:rFonts w:ascii="Times New Roman" w:eastAsia="Times New Roman" w:hAnsi="Times New Roman" w:cs="Times New Roman"/>
          <w:bCs/>
          <w:sz w:val="24"/>
          <w:szCs w:val="24"/>
          <w:lang w:eastAsia="pl-PL"/>
        </w:rPr>
        <w:t xml:space="preserve"> 19a</w:t>
      </w:r>
      <w:r w:rsidR="008A433E">
        <w:rPr>
          <w:rFonts w:ascii="Times New Roman" w:eastAsia="Times New Roman" w:hAnsi="Times New Roman" w:cs="Times New Roman"/>
          <w:bCs/>
          <w:sz w:val="24"/>
          <w:szCs w:val="24"/>
          <w:lang w:eastAsia="pl-PL"/>
        </w:rPr>
        <w:t xml:space="preserve"> </w:t>
      </w:r>
      <w:r w:rsidR="0050489F">
        <w:rPr>
          <w:rFonts w:ascii="Times New Roman" w:eastAsia="Times New Roman" w:hAnsi="Times New Roman" w:cs="Times New Roman"/>
          <w:bCs/>
          <w:sz w:val="24"/>
          <w:szCs w:val="24"/>
          <w:lang w:eastAsia="pl-PL"/>
        </w:rPr>
        <w:t xml:space="preserve">ustawy o PIT i </w:t>
      </w:r>
      <w:r w:rsidR="00F2376E" w:rsidRPr="0027548A">
        <w:rPr>
          <w:rFonts w:ascii="Times New Roman" w:eastAsia="Times New Roman" w:hAnsi="Times New Roman" w:cs="Times New Roman"/>
          <w:bCs/>
          <w:sz w:val="24"/>
          <w:szCs w:val="24"/>
          <w:lang w:eastAsia="pl-PL"/>
        </w:rPr>
        <w:t xml:space="preserve">zmieniany </w:t>
      </w:r>
      <w:r w:rsidR="00AA030A" w:rsidRPr="0027548A">
        <w:rPr>
          <w:rFonts w:ascii="Times New Roman" w:eastAsia="Times New Roman" w:hAnsi="Times New Roman" w:cs="Times New Roman"/>
          <w:bCs/>
          <w:sz w:val="24"/>
          <w:szCs w:val="24"/>
          <w:lang w:eastAsia="pl-PL"/>
        </w:rPr>
        <w:t xml:space="preserve">art. 28h ust. 4 ustawy </w:t>
      </w:r>
      <w:r w:rsidR="00F2376E" w:rsidRPr="0027548A">
        <w:rPr>
          <w:rFonts w:ascii="Times New Roman" w:eastAsia="Times New Roman" w:hAnsi="Times New Roman" w:cs="Times New Roman"/>
          <w:bCs/>
          <w:sz w:val="24"/>
          <w:szCs w:val="24"/>
          <w:lang w:eastAsia="pl-PL"/>
        </w:rPr>
        <w:t xml:space="preserve">o </w:t>
      </w:r>
      <w:r w:rsidR="00AA030A" w:rsidRPr="0027548A">
        <w:rPr>
          <w:rFonts w:ascii="Times New Roman" w:eastAsia="Times New Roman" w:hAnsi="Times New Roman" w:cs="Times New Roman"/>
          <w:bCs/>
          <w:sz w:val="24"/>
          <w:szCs w:val="24"/>
          <w:lang w:eastAsia="pl-PL"/>
        </w:rPr>
        <w:t>CIT</w:t>
      </w:r>
      <w:r w:rsidR="00F2376E" w:rsidRPr="0027548A">
        <w:rPr>
          <w:rFonts w:ascii="Times New Roman" w:eastAsia="Times New Roman" w:hAnsi="Times New Roman" w:cs="Times New Roman"/>
          <w:bCs/>
          <w:sz w:val="24"/>
          <w:szCs w:val="24"/>
          <w:lang w:eastAsia="pl-PL"/>
        </w:rPr>
        <w:t>)</w:t>
      </w:r>
      <w:r w:rsidR="00F2376E">
        <w:rPr>
          <w:rFonts w:ascii="Times New Roman" w:eastAsia="Times New Roman" w:hAnsi="Times New Roman" w:cs="Times New Roman"/>
          <w:b/>
          <w:sz w:val="24"/>
          <w:szCs w:val="24"/>
          <w:lang w:eastAsia="pl-PL"/>
        </w:rPr>
        <w:t xml:space="preserve"> – </w:t>
      </w:r>
      <w:r w:rsidR="0050489F">
        <w:rPr>
          <w:rFonts w:ascii="Times New Roman" w:eastAsia="Times New Roman" w:hAnsi="Times New Roman" w:cs="Times New Roman"/>
          <w:b/>
          <w:sz w:val="24"/>
          <w:szCs w:val="24"/>
          <w:lang w:eastAsia="pl-PL"/>
        </w:rPr>
        <w:t xml:space="preserve">art. 1 pkt </w:t>
      </w:r>
      <w:r w:rsidR="006A54B5" w:rsidRPr="006A54B5">
        <w:rPr>
          <w:rFonts w:ascii="Times New Roman" w:eastAsia="Times New Roman" w:hAnsi="Times New Roman" w:cs="Times New Roman"/>
          <w:b/>
          <w:sz w:val="24"/>
          <w:szCs w:val="24"/>
          <w:lang w:eastAsia="pl-PL"/>
        </w:rPr>
        <w:t>13</w:t>
      </w:r>
      <w:r w:rsidR="006A54B5">
        <w:rPr>
          <w:rFonts w:ascii="Times New Roman" w:eastAsia="Times New Roman" w:hAnsi="Times New Roman" w:cs="Times New Roman"/>
          <w:b/>
          <w:sz w:val="24"/>
          <w:szCs w:val="24"/>
          <w:lang w:eastAsia="pl-PL"/>
        </w:rPr>
        <w:t xml:space="preserve"> </w:t>
      </w:r>
      <w:r w:rsidR="008A6D88">
        <w:rPr>
          <w:rFonts w:ascii="Times New Roman" w:eastAsia="Times New Roman" w:hAnsi="Times New Roman" w:cs="Times New Roman"/>
          <w:b/>
          <w:sz w:val="24"/>
          <w:szCs w:val="24"/>
          <w:lang w:eastAsia="pl-PL"/>
        </w:rPr>
        <w:t>lit. b</w:t>
      </w:r>
      <w:r w:rsidR="0050489F">
        <w:rPr>
          <w:rFonts w:ascii="Times New Roman" w:eastAsia="Times New Roman" w:hAnsi="Times New Roman" w:cs="Times New Roman"/>
          <w:b/>
          <w:sz w:val="24"/>
          <w:szCs w:val="24"/>
          <w:lang w:eastAsia="pl-PL"/>
        </w:rPr>
        <w:t xml:space="preserve"> i </w:t>
      </w:r>
      <w:r w:rsidR="00F2376E">
        <w:rPr>
          <w:rFonts w:ascii="Times New Roman" w:eastAsia="Times New Roman" w:hAnsi="Times New Roman" w:cs="Times New Roman"/>
          <w:b/>
          <w:sz w:val="24"/>
          <w:szCs w:val="24"/>
          <w:lang w:eastAsia="pl-PL"/>
        </w:rPr>
        <w:t xml:space="preserve">art. 2 pkt </w:t>
      </w:r>
      <w:r w:rsidR="006A54B5" w:rsidRPr="006A54B5">
        <w:rPr>
          <w:rFonts w:ascii="Times New Roman" w:eastAsia="Times New Roman" w:hAnsi="Times New Roman" w:cs="Times New Roman"/>
          <w:b/>
          <w:sz w:val="24"/>
          <w:szCs w:val="24"/>
          <w:lang w:eastAsia="pl-PL"/>
        </w:rPr>
        <w:t>14</w:t>
      </w:r>
      <w:r w:rsidR="00F2376E">
        <w:rPr>
          <w:rFonts w:ascii="Times New Roman" w:eastAsia="Times New Roman" w:hAnsi="Times New Roman" w:cs="Times New Roman"/>
          <w:b/>
          <w:sz w:val="24"/>
          <w:szCs w:val="24"/>
          <w:lang w:eastAsia="pl-PL"/>
        </w:rPr>
        <w:t xml:space="preserve"> projektu </w:t>
      </w:r>
    </w:p>
    <w:p w14:paraId="1DF417A3" w14:textId="77777777" w:rsidR="001B4FBD" w:rsidRPr="006163FB" w:rsidRDefault="001B4FBD" w:rsidP="004C172B">
      <w:pPr>
        <w:spacing w:before="120" w:line="360" w:lineRule="auto"/>
        <w:jc w:val="both"/>
        <w:rPr>
          <w:rFonts w:ascii="Times New Roman" w:eastAsia="Times New Roman" w:hAnsi="Times New Roman" w:cs="Times New Roman"/>
          <w:bCs/>
          <w:sz w:val="24"/>
          <w:szCs w:val="24"/>
          <w:lang w:eastAsia="pl-PL"/>
        </w:rPr>
      </w:pPr>
      <w:r w:rsidRPr="006163FB">
        <w:rPr>
          <w:rFonts w:ascii="Times New Roman" w:eastAsia="Times New Roman" w:hAnsi="Times New Roman" w:cs="Times New Roman"/>
          <w:bCs/>
          <w:sz w:val="24"/>
          <w:szCs w:val="24"/>
          <w:lang w:eastAsia="pl-PL"/>
        </w:rPr>
        <w:t>Po zakończeniu opodatkowania ryczałtem podatnicy są obowiązani do zapłaty ryczałtu od dochodu z tytułu zysku netto (sumy zysków netto osiągniętych w każdym roku podatkowym stosowania opodatkowania ryczałtem w części, w jakiej te zyski nie były zyskami podzielonymi lub nie zostały przeznaczone na pokrycie strat), co do zasady dopiero w momencie ich dystrybucji. W praktyce oznacza to, że moment opodatkowania zysków wypracowanych w okresie opodatkowania ryczałtem może być odroczony na bardzo długi czas. Dodatkowych problemów może przysporzyć domniemanie, zgodnie z którym „</w:t>
      </w:r>
      <w:r w:rsidRPr="0027548A">
        <w:rPr>
          <w:rFonts w:ascii="Times New Roman" w:eastAsia="Times New Roman" w:hAnsi="Times New Roman" w:cs="Times New Roman"/>
          <w:bCs/>
          <w:i/>
          <w:iCs/>
          <w:sz w:val="24"/>
          <w:szCs w:val="24"/>
          <w:lang w:eastAsia="pl-PL"/>
        </w:rPr>
        <w:t>w przypadku braku przeciwnego dowodu, przyjmuje się, że dochód z tytułu zysku netto, osiągnięty w okresie opodatkowania ryczałtem, jest rozdysponowany w ostatniej kolejności</w:t>
      </w:r>
      <w:r w:rsidRPr="006163FB">
        <w:rPr>
          <w:rFonts w:ascii="Times New Roman" w:eastAsia="Times New Roman" w:hAnsi="Times New Roman" w:cs="Times New Roman"/>
          <w:bCs/>
          <w:sz w:val="24"/>
          <w:szCs w:val="24"/>
          <w:lang w:eastAsia="pl-PL"/>
        </w:rPr>
        <w:t xml:space="preserve">”. </w:t>
      </w:r>
    </w:p>
    <w:p w14:paraId="18C1A657" w14:textId="4FD4A7CE" w:rsidR="001B4FBD" w:rsidRDefault="001B4FBD" w:rsidP="004C172B">
      <w:pPr>
        <w:spacing w:before="120" w:line="360" w:lineRule="auto"/>
        <w:jc w:val="both"/>
        <w:rPr>
          <w:rFonts w:ascii="Times New Roman" w:eastAsia="Times New Roman" w:hAnsi="Times New Roman" w:cs="Times New Roman"/>
          <w:bCs/>
          <w:sz w:val="24"/>
          <w:szCs w:val="24"/>
          <w:lang w:eastAsia="pl-PL"/>
        </w:rPr>
      </w:pPr>
      <w:r w:rsidRPr="006163FB">
        <w:rPr>
          <w:rFonts w:ascii="Times New Roman" w:eastAsia="Times New Roman" w:hAnsi="Times New Roman" w:cs="Times New Roman"/>
          <w:bCs/>
          <w:sz w:val="24"/>
          <w:szCs w:val="24"/>
          <w:lang w:eastAsia="pl-PL"/>
        </w:rPr>
        <w:t>Mając na uwadze potencjalne problemy z wyegzekwowaniem należnego ryczałtu od dochodu z tytułu zysku netto</w:t>
      </w:r>
      <w:r w:rsidR="001A39B8">
        <w:rPr>
          <w:rFonts w:ascii="Times New Roman" w:eastAsia="Times New Roman" w:hAnsi="Times New Roman" w:cs="Times New Roman"/>
          <w:bCs/>
          <w:sz w:val="24"/>
          <w:szCs w:val="24"/>
          <w:lang w:eastAsia="pl-PL"/>
        </w:rPr>
        <w:t>,</w:t>
      </w:r>
      <w:r w:rsidRPr="006163FB">
        <w:rPr>
          <w:rFonts w:ascii="Times New Roman" w:eastAsia="Times New Roman" w:hAnsi="Times New Roman" w:cs="Times New Roman"/>
          <w:bCs/>
          <w:sz w:val="24"/>
          <w:szCs w:val="24"/>
          <w:lang w:eastAsia="pl-PL"/>
        </w:rPr>
        <w:t xml:space="preserve"> proponuje się wprowadzenie zasady, że w przypadku dokonania wypłaty zysku lub jego dystrybucji w jakiejkolwiek formie przyjmuje się, że nastąpiła ona z dochodu z tytułu zysku netto, osiągniętego w okresie opodatkowania ryczałtem. Innymi słowy każde rozdysponowanie zysku</w:t>
      </w:r>
      <w:r>
        <w:rPr>
          <w:rFonts w:ascii="Times New Roman" w:eastAsia="Times New Roman" w:hAnsi="Times New Roman" w:cs="Times New Roman"/>
          <w:bCs/>
          <w:sz w:val="24"/>
          <w:szCs w:val="24"/>
          <w:lang w:eastAsia="pl-PL"/>
        </w:rPr>
        <w:t>,</w:t>
      </w:r>
      <w:r w:rsidRPr="006163FB">
        <w:rPr>
          <w:rFonts w:ascii="Times New Roman" w:eastAsia="Times New Roman" w:hAnsi="Times New Roman" w:cs="Times New Roman"/>
          <w:bCs/>
          <w:sz w:val="24"/>
          <w:szCs w:val="24"/>
          <w:lang w:eastAsia="pl-PL"/>
        </w:rPr>
        <w:t xml:space="preserve"> następujące po rezygnacji z opodatkowania ryczałtem od dochodów spółek lub utracie prawa do korzystania z tej formy opodatkowania</w:t>
      </w:r>
      <w:r>
        <w:rPr>
          <w:rFonts w:ascii="Times New Roman" w:eastAsia="Times New Roman" w:hAnsi="Times New Roman" w:cs="Times New Roman"/>
          <w:bCs/>
          <w:sz w:val="24"/>
          <w:szCs w:val="24"/>
          <w:lang w:eastAsia="pl-PL"/>
        </w:rPr>
        <w:t>,</w:t>
      </w:r>
      <w:r w:rsidRPr="006163FB">
        <w:rPr>
          <w:rFonts w:ascii="Times New Roman" w:eastAsia="Times New Roman" w:hAnsi="Times New Roman" w:cs="Times New Roman"/>
          <w:bCs/>
          <w:sz w:val="24"/>
          <w:szCs w:val="24"/>
          <w:lang w:eastAsia="pl-PL"/>
        </w:rPr>
        <w:t xml:space="preserve"> będzie wiązało się z koniecznością zapłaty ryczałtu od rozdysponowanego dochodu z tytułu zysku netto, niezależnie od tego</w:t>
      </w:r>
      <w:r>
        <w:rPr>
          <w:rFonts w:ascii="Times New Roman" w:eastAsia="Times New Roman" w:hAnsi="Times New Roman" w:cs="Times New Roman"/>
          <w:bCs/>
          <w:sz w:val="24"/>
          <w:szCs w:val="24"/>
          <w:lang w:eastAsia="pl-PL"/>
        </w:rPr>
        <w:t>,</w:t>
      </w:r>
      <w:r w:rsidRPr="006163FB">
        <w:rPr>
          <w:rFonts w:ascii="Times New Roman" w:eastAsia="Times New Roman" w:hAnsi="Times New Roman" w:cs="Times New Roman"/>
          <w:bCs/>
          <w:sz w:val="24"/>
          <w:szCs w:val="24"/>
          <w:lang w:eastAsia="pl-PL"/>
        </w:rPr>
        <w:t xml:space="preserve"> czy wypłacany lub dystrybuowany zysk faktycznie został osiągnięty w okresie opodatkowania ryczałtem od dochodów spółek.</w:t>
      </w:r>
      <w:r>
        <w:rPr>
          <w:rFonts w:ascii="Times New Roman" w:eastAsia="Times New Roman" w:hAnsi="Times New Roman" w:cs="Times New Roman"/>
          <w:bCs/>
          <w:sz w:val="24"/>
          <w:szCs w:val="24"/>
          <w:lang w:eastAsia="pl-PL"/>
        </w:rPr>
        <w:t xml:space="preserve"> </w:t>
      </w:r>
    </w:p>
    <w:p w14:paraId="383B867B" w14:textId="0998C530" w:rsidR="001B4FBD" w:rsidRDefault="001B4FBD" w:rsidP="004C172B">
      <w:pPr>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 powyższego domniemania wyłączono jednak sytuację, w której z uchwały o podziale wyniku finansowego netto wynika, że wypłacany zysk został wypracowany w latach poprzedzających pierwszy rok opodatkowania ryczałtem. Nie byłoby bowiem uzasadnione odbieranie podatnikom prawa do stosowania w odniesieniu do wypłacanego zysku rozwiązania wzorowanego na metodzie FIFO (</w:t>
      </w:r>
      <w:r w:rsidRPr="00575C99">
        <w:rPr>
          <w:rFonts w:ascii="Times New Roman" w:eastAsia="Times New Roman" w:hAnsi="Times New Roman" w:cs="Times New Roman"/>
          <w:bCs/>
          <w:i/>
          <w:iCs/>
          <w:sz w:val="24"/>
          <w:szCs w:val="24"/>
          <w:lang w:eastAsia="pl-PL"/>
        </w:rPr>
        <w:t>first in, first out</w:t>
      </w:r>
      <w:r>
        <w:rPr>
          <w:rFonts w:ascii="Times New Roman" w:eastAsia="Times New Roman" w:hAnsi="Times New Roman" w:cs="Times New Roman"/>
          <w:bCs/>
          <w:sz w:val="24"/>
          <w:szCs w:val="24"/>
          <w:lang w:eastAsia="pl-PL"/>
        </w:rPr>
        <w:t>)</w:t>
      </w:r>
      <w:r w:rsidR="004730D1">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tj. uznania, że wypłacany jest </w:t>
      </w:r>
      <w:r>
        <w:rPr>
          <w:rFonts w:ascii="Times New Roman" w:eastAsia="Times New Roman" w:hAnsi="Times New Roman" w:cs="Times New Roman"/>
          <w:bCs/>
          <w:sz w:val="24"/>
          <w:szCs w:val="24"/>
          <w:lang w:eastAsia="pl-PL"/>
        </w:rPr>
        <w:lastRenderedPageBreak/>
        <w:t>chronologicznie wcześniej uzyskany zysk. Takie wyłączenie jest spójne z obowiązkami ciążącymi na podatnikach ryczałtu od dochodów spółek, o których mowa w art. 7aa ust. 1 pkt 2 oraz ust. 7 ustawy o CIT.</w:t>
      </w:r>
    </w:p>
    <w:p w14:paraId="74EA1432" w14:textId="2C3674D6" w:rsidR="0050489F" w:rsidRPr="006163FB" w:rsidRDefault="0050489F" w:rsidP="004C172B">
      <w:pPr>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celu uniknięcia wątpliwości interpretacyjnych w zakresie stosowania odliczenia z art. 30a ust. 19 ustawy o PIT do podatku od przychodów otrzymanych przez wspólników, które wskutek domniemania zostały opodatkowane już estońskim CIT, w ustawie o PIT dodany został przepis (art. 30a ust. 19a)</w:t>
      </w:r>
      <w:r w:rsidR="003167A3">
        <w:rPr>
          <w:rFonts w:ascii="Times New Roman" w:eastAsia="Times New Roman" w:hAnsi="Times New Roman" w:cs="Times New Roman"/>
          <w:bCs/>
          <w:sz w:val="24"/>
          <w:szCs w:val="24"/>
          <w:lang w:eastAsia="pl-PL"/>
        </w:rPr>
        <w:t xml:space="preserve">, na mocy którego następuje </w:t>
      </w:r>
      <w:r>
        <w:rPr>
          <w:rFonts w:ascii="Times New Roman" w:eastAsia="Times New Roman" w:hAnsi="Times New Roman" w:cs="Times New Roman"/>
          <w:bCs/>
          <w:sz w:val="24"/>
          <w:szCs w:val="24"/>
          <w:lang w:eastAsia="pl-PL"/>
        </w:rPr>
        <w:t>wyłączenie możliwości stosowania takiego odliczenia, w przypadku gdy wypłacone świadczenia będą faktycznie pochodziły z podziału zysku w okresie, kiedy spółka była opodatkowana estońskim CIT</w:t>
      </w:r>
      <w:r w:rsidR="003167A3">
        <w:rPr>
          <w:rFonts w:ascii="Times New Roman" w:eastAsia="Times New Roman" w:hAnsi="Times New Roman" w:cs="Times New Roman"/>
          <w:bCs/>
          <w:sz w:val="24"/>
          <w:szCs w:val="24"/>
          <w:lang w:eastAsia="pl-PL"/>
        </w:rPr>
        <w:t>, a które dla celów podatku PIT były traktowane jak opodatkowane estońskim CIT i d</w:t>
      </w:r>
      <w:r w:rsidR="00E0352C">
        <w:rPr>
          <w:rFonts w:ascii="Times New Roman" w:eastAsia="Times New Roman" w:hAnsi="Times New Roman" w:cs="Times New Roman"/>
          <w:bCs/>
          <w:sz w:val="24"/>
          <w:szCs w:val="24"/>
          <w:lang w:eastAsia="pl-PL"/>
        </w:rPr>
        <w:t>l</w:t>
      </w:r>
      <w:r w:rsidR="003167A3">
        <w:rPr>
          <w:rFonts w:ascii="Times New Roman" w:eastAsia="Times New Roman" w:hAnsi="Times New Roman" w:cs="Times New Roman"/>
          <w:bCs/>
          <w:sz w:val="24"/>
          <w:szCs w:val="24"/>
          <w:lang w:eastAsia="pl-PL"/>
        </w:rPr>
        <w:t>a których miał zastosowanie art. 30a ust. 19 ustawy o PIT</w:t>
      </w:r>
      <w:r>
        <w:rPr>
          <w:rFonts w:ascii="Times New Roman" w:eastAsia="Times New Roman" w:hAnsi="Times New Roman" w:cs="Times New Roman"/>
          <w:bCs/>
          <w:sz w:val="24"/>
          <w:szCs w:val="24"/>
          <w:lang w:eastAsia="pl-PL"/>
        </w:rPr>
        <w:t>.</w:t>
      </w:r>
    </w:p>
    <w:p w14:paraId="304D46DD" w14:textId="6B0C6FDE" w:rsidR="006A54B5" w:rsidRDefault="00AC7DD0" w:rsidP="0027548A">
      <w:pPr>
        <w:spacing w:before="240" w:after="12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20</w:t>
      </w:r>
      <w:r w:rsidR="001B4FBD" w:rsidRPr="0027548A">
        <w:rPr>
          <w:rFonts w:ascii="Times New Roman" w:eastAsia="Times New Roman" w:hAnsi="Times New Roman" w:cs="Times New Roman"/>
          <w:b/>
          <w:sz w:val="24"/>
          <w:szCs w:val="24"/>
          <w:lang w:eastAsia="pl-PL"/>
        </w:rPr>
        <w:t xml:space="preserve">) </w:t>
      </w:r>
      <w:r w:rsidR="00143A82">
        <w:rPr>
          <w:rFonts w:ascii="Times New Roman" w:eastAsia="Times New Roman" w:hAnsi="Times New Roman" w:cs="Times New Roman"/>
          <w:b/>
          <w:sz w:val="24"/>
          <w:szCs w:val="24"/>
          <w:lang w:eastAsia="pl-PL"/>
        </w:rPr>
        <w:t>Liberalizacja warunku zatrudnienia w ryczałcie od dochodów spółek (</w:t>
      </w:r>
      <w:r w:rsidR="00143A82" w:rsidRPr="0027548A">
        <w:rPr>
          <w:rFonts w:ascii="Times New Roman" w:eastAsia="Times New Roman" w:hAnsi="Times New Roman" w:cs="Times New Roman"/>
          <w:bCs/>
          <w:sz w:val="24"/>
          <w:szCs w:val="24"/>
          <w:lang w:eastAsia="pl-PL"/>
        </w:rPr>
        <w:t>zmieniany art. 28j ust. 1 pkt 3 lit. b ustawy o CIT)</w:t>
      </w:r>
      <w:r w:rsidR="00143A82">
        <w:rPr>
          <w:rFonts w:ascii="Times New Roman" w:eastAsia="Times New Roman" w:hAnsi="Times New Roman" w:cs="Times New Roman"/>
          <w:b/>
          <w:sz w:val="24"/>
          <w:szCs w:val="24"/>
          <w:lang w:eastAsia="pl-PL"/>
        </w:rPr>
        <w:t xml:space="preserve"> </w:t>
      </w:r>
      <w:r w:rsidR="00143A82" w:rsidRPr="00793CFC">
        <w:rPr>
          <w:rFonts w:ascii="Times New Roman" w:eastAsia="Times New Roman" w:hAnsi="Times New Roman" w:cs="Times New Roman"/>
          <w:bCs/>
          <w:sz w:val="24"/>
          <w:szCs w:val="24"/>
          <w:lang w:eastAsia="pl-PL"/>
        </w:rPr>
        <w:t>–</w:t>
      </w:r>
      <w:r w:rsidR="00143A82">
        <w:rPr>
          <w:rFonts w:ascii="Times New Roman" w:eastAsia="Times New Roman" w:hAnsi="Times New Roman" w:cs="Times New Roman"/>
          <w:b/>
          <w:sz w:val="24"/>
          <w:szCs w:val="24"/>
          <w:lang w:eastAsia="pl-PL"/>
        </w:rPr>
        <w:t xml:space="preserve"> art. 2 pkt </w:t>
      </w:r>
      <w:r w:rsidR="006A54B5" w:rsidRPr="006A54B5">
        <w:rPr>
          <w:rFonts w:ascii="Times New Roman" w:eastAsia="Times New Roman" w:hAnsi="Times New Roman" w:cs="Times New Roman"/>
          <w:b/>
          <w:sz w:val="24"/>
          <w:szCs w:val="24"/>
          <w:lang w:eastAsia="pl-PL"/>
        </w:rPr>
        <w:t>15</w:t>
      </w:r>
      <w:r w:rsidR="006A54B5">
        <w:rPr>
          <w:rFonts w:ascii="Times New Roman" w:eastAsia="Times New Roman" w:hAnsi="Times New Roman" w:cs="Times New Roman"/>
          <w:b/>
          <w:sz w:val="24"/>
          <w:szCs w:val="24"/>
          <w:lang w:eastAsia="pl-PL"/>
        </w:rPr>
        <w:t xml:space="preserve"> lit. </w:t>
      </w:r>
      <w:r w:rsidR="006A54B5" w:rsidRPr="006A54B5">
        <w:rPr>
          <w:rFonts w:ascii="Times New Roman" w:eastAsia="Times New Roman" w:hAnsi="Times New Roman" w:cs="Times New Roman"/>
          <w:b/>
          <w:sz w:val="24"/>
          <w:szCs w:val="24"/>
          <w:lang w:eastAsia="pl-PL"/>
        </w:rPr>
        <w:t>a</w:t>
      </w:r>
    </w:p>
    <w:p w14:paraId="015E09EF" w14:textId="402CF7E7" w:rsidR="009659E3" w:rsidRDefault="009659E3" w:rsidP="004C172B">
      <w:pPr>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aktualnym stanie prawnym podatnicy mogą wypełnić warunek zatrudnienia</w:t>
      </w:r>
      <w:r w:rsidR="00E0352C">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jeśli zatrudniają co najmniej 3 osoby fizyczne niebędące wspólnikami spółki na podstawie umowy o pracę lub ponoszą miesięcznie wydatki związane z wypłatą wynagrodzeń wynikających z umowy innej niż umowa o pracę na rzecz co najmniej 3 osób fizycznych, jeżeli </w:t>
      </w:r>
      <w:r w:rsidRPr="00C872C3">
        <w:rPr>
          <w:rFonts w:ascii="Times New Roman" w:eastAsia="Times New Roman" w:hAnsi="Times New Roman" w:cs="Times New Roman"/>
          <w:bCs/>
          <w:sz w:val="24"/>
          <w:szCs w:val="24"/>
          <w:lang w:eastAsia="pl-PL"/>
        </w:rPr>
        <w:t>w związku z wypłatą tych wynagrodzeń podatnik jest płatnikiem podatku dochodowego od osób fizycznych lub płatnikiem składek określonych w ustawie z dnia 13 października 1998 r. o systemie ubezpieczeń społecznych lub ustawie z dnia 27 sierpnia 2004 r. o świadczeniach opieki zdrowotnej finansowanych ze środków publicznych</w:t>
      </w:r>
      <w:r>
        <w:rPr>
          <w:rFonts w:ascii="Times New Roman" w:eastAsia="Times New Roman" w:hAnsi="Times New Roman" w:cs="Times New Roman"/>
          <w:bCs/>
          <w:sz w:val="24"/>
          <w:szCs w:val="24"/>
          <w:lang w:eastAsia="pl-PL"/>
        </w:rPr>
        <w:t xml:space="preserve">. Aktualnie brzmienie omawianego warunku prowadzi do wniosku, że podatnik wypłacający wynagrodzenie dwóm osobom fizycznym na podstawie np. umowy zlecenia oraz jednej osobie fizycznej na podstawie umowy o pracę </w:t>
      </w:r>
      <w:r w:rsidR="00B152C9">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 łącznej wysokości przekraczającej trzykrotności przeciętnego miesięcznego wynagrodzenia w sektorze przedsiębiorstw nie spełniał warunku zatrudnienia określonego ani w art. 28j ust. 1 pkt 3 lit. a ani lit. b ustawy o CIT. </w:t>
      </w:r>
    </w:p>
    <w:p w14:paraId="64D50A76" w14:textId="32A5CCD1" w:rsidR="009659E3" w:rsidRDefault="00143A82" w:rsidP="004C172B">
      <w:pPr>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Propozycja zmiany art. 28j ust. 1 pkt 3 lit. b ustawy </w:t>
      </w:r>
      <w:r w:rsidR="00575C99">
        <w:rPr>
          <w:rFonts w:ascii="Times New Roman" w:eastAsia="Times New Roman" w:hAnsi="Times New Roman" w:cs="Times New Roman"/>
          <w:bCs/>
          <w:sz w:val="24"/>
          <w:szCs w:val="24"/>
          <w:lang w:eastAsia="pl-PL"/>
        </w:rPr>
        <w:t xml:space="preserve">o </w:t>
      </w:r>
      <w:r>
        <w:rPr>
          <w:rFonts w:ascii="Times New Roman" w:eastAsia="Times New Roman" w:hAnsi="Times New Roman" w:cs="Times New Roman"/>
          <w:bCs/>
          <w:sz w:val="24"/>
          <w:szCs w:val="24"/>
          <w:lang w:eastAsia="pl-PL"/>
        </w:rPr>
        <w:t xml:space="preserve">CIT polega na umożliwieniu wliczania do minimalnej wysokości wydatków związanych z wypłatą wynagrodzeń (trzykrotność przeciętnego miesięcznego wynagrodzenia w sektorze przedsiębiorstw) wydatków związanych z wypłatą wynagrodzeń na rzecz osób fizycznych zatrudnianych przez podatnika na podstawie umowy o pracę. Niniejsza propozycja stanowi realizację postulatów kierowanych do </w:t>
      </w:r>
      <w:r>
        <w:rPr>
          <w:rFonts w:ascii="Times New Roman" w:eastAsia="Times New Roman" w:hAnsi="Times New Roman" w:cs="Times New Roman"/>
          <w:bCs/>
          <w:sz w:val="24"/>
          <w:szCs w:val="24"/>
          <w:lang w:eastAsia="pl-PL"/>
        </w:rPr>
        <w:lastRenderedPageBreak/>
        <w:t xml:space="preserve">Ministerstwa Finansów. Wprowadzenie </w:t>
      </w:r>
      <w:r w:rsidR="009659E3">
        <w:rPr>
          <w:rFonts w:ascii="Times New Roman" w:eastAsia="Times New Roman" w:hAnsi="Times New Roman" w:cs="Times New Roman"/>
          <w:bCs/>
          <w:sz w:val="24"/>
          <w:szCs w:val="24"/>
          <w:lang w:eastAsia="pl-PL"/>
        </w:rPr>
        <w:t>omawianej</w:t>
      </w:r>
      <w:r>
        <w:rPr>
          <w:rFonts w:ascii="Times New Roman" w:eastAsia="Times New Roman" w:hAnsi="Times New Roman" w:cs="Times New Roman"/>
          <w:bCs/>
          <w:sz w:val="24"/>
          <w:szCs w:val="24"/>
          <w:lang w:eastAsia="pl-PL"/>
        </w:rPr>
        <w:t xml:space="preserve"> zmiany sprawi, że w wyżej opisanym </w:t>
      </w:r>
      <w:r w:rsidR="009659E3">
        <w:rPr>
          <w:rFonts w:ascii="Times New Roman" w:eastAsia="Times New Roman" w:hAnsi="Times New Roman" w:cs="Times New Roman"/>
          <w:bCs/>
          <w:sz w:val="24"/>
          <w:szCs w:val="24"/>
          <w:lang w:eastAsia="pl-PL"/>
        </w:rPr>
        <w:t>stanie faktycznym</w:t>
      </w:r>
      <w:r>
        <w:rPr>
          <w:rFonts w:ascii="Times New Roman" w:eastAsia="Times New Roman" w:hAnsi="Times New Roman" w:cs="Times New Roman"/>
          <w:bCs/>
          <w:sz w:val="24"/>
          <w:szCs w:val="24"/>
          <w:lang w:eastAsia="pl-PL"/>
        </w:rPr>
        <w:t xml:space="preserve"> podatnik </w:t>
      </w:r>
      <w:r w:rsidR="009659E3">
        <w:rPr>
          <w:rFonts w:ascii="Times New Roman" w:eastAsia="Times New Roman" w:hAnsi="Times New Roman" w:cs="Times New Roman"/>
          <w:bCs/>
          <w:sz w:val="24"/>
          <w:szCs w:val="24"/>
          <w:lang w:eastAsia="pl-PL"/>
        </w:rPr>
        <w:t>spełni ten warunek.</w:t>
      </w:r>
    </w:p>
    <w:p w14:paraId="51C643DC" w14:textId="1C2589D9" w:rsidR="008314DF" w:rsidRPr="006163FB" w:rsidRDefault="006A54B5" w:rsidP="008314DF">
      <w:pPr>
        <w:spacing w:before="240" w:after="120" w:line="360" w:lineRule="auto"/>
        <w:jc w:val="both"/>
        <w:rPr>
          <w:rFonts w:ascii="Times New Roman" w:eastAsia="Times New Roman" w:hAnsi="Times New Roman" w:cs="Times New Roman"/>
          <w:b/>
          <w:sz w:val="24"/>
          <w:szCs w:val="24"/>
          <w:lang w:eastAsia="pl-PL"/>
        </w:rPr>
      </w:pPr>
      <w:r w:rsidRPr="006A54B5">
        <w:rPr>
          <w:rFonts w:ascii="Times New Roman" w:eastAsia="Times New Roman" w:hAnsi="Times New Roman" w:cs="Times New Roman"/>
          <w:b/>
          <w:sz w:val="24"/>
          <w:szCs w:val="24"/>
          <w:lang w:eastAsia="pl-PL"/>
        </w:rPr>
        <w:t>21</w:t>
      </w:r>
      <w:r w:rsidR="008314DF" w:rsidRPr="006A54B5">
        <w:rPr>
          <w:rFonts w:ascii="Times New Roman" w:eastAsia="Times New Roman" w:hAnsi="Times New Roman" w:cs="Times New Roman"/>
          <w:b/>
          <w:sz w:val="24"/>
          <w:szCs w:val="24"/>
          <w:lang w:eastAsia="pl-PL"/>
        </w:rPr>
        <w:t>)</w:t>
      </w:r>
      <w:r w:rsidR="008314DF">
        <w:rPr>
          <w:rFonts w:ascii="Times New Roman" w:eastAsia="Times New Roman" w:hAnsi="Times New Roman" w:cs="Times New Roman"/>
          <w:b/>
          <w:sz w:val="24"/>
          <w:szCs w:val="24"/>
          <w:lang w:eastAsia="pl-PL"/>
        </w:rPr>
        <w:t xml:space="preserve"> </w:t>
      </w:r>
      <w:r w:rsidR="008314DF" w:rsidRPr="001B4FBD">
        <w:rPr>
          <w:rFonts w:ascii="Times New Roman" w:eastAsia="Times New Roman" w:hAnsi="Times New Roman" w:cs="Times New Roman"/>
          <w:b/>
          <w:sz w:val="24"/>
          <w:szCs w:val="24"/>
          <w:lang w:eastAsia="pl-PL"/>
        </w:rPr>
        <w:t>Doprecyzowanie</w:t>
      </w:r>
      <w:r w:rsidR="008314DF" w:rsidRPr="006163FB">
        <w:rPr>
          <w:rFonts w:ascii="Times New Roman" w:eastAsia="Times New Roman" w:hAnsi="Times New Roman" w:cs="Times New Roman"/>
          <w:b/>
          <w:sz w:val="24"/>
          <w:szCs w:val="24"/>
          <w:lang w:eastAsia="pl-PL"/>
        </w:rPr>
        <w:t xml:space="preserve"> definicji ukrytych zysków</w:t>
      </w:r>
      <w:r w:rsidR="008314DF">
        <w:rPr>
          <w:rFonts w:ascii="Times New Roman" w:eastAsia="Times New Roman" w:hAnsi="Times New Roman" w:cs="Times New Roman"/>
          <w:b/>
          <w:sz w:val="24"/>
          <w:szCs w:val="24"/>
          <w:lang w:eastAsia="pl-PL"/>
        </w:rPr>
        <w:t xml:space="preserve"> w ryczałcie od dochodów spółek</w:t>
      </w:r>
      <w:r w:rsidR="008314DF" w:rsidRPr="006163FB">
        <w:rPr>
          <w:rFonts w:ascii="Times New Roman" w:eastAsia="Times New Roman" w:hAnsi="Times New Roman" w:cs="Times New Roman"/>
          <w:b/>
          <w:sz w:val="24"/>
          <w:szCs w:val="24"/>
          <w:lang w:eastAsia="pl-PL"/>
        </w:rPr>
        <w:t xml:space="preserve"> </w:t>
      </w:r>
      <w:r w:rsidR="008314DF" w:rsidRPr="0027548A">
        <w:rPr>
          <w:rFonts w:ascii="Times New Roman" w:eastAsia="Times New Roman" w:hAnsi="Times New Roman" w:cs="Times New Roman"/>
          <w:bCs/>
          <w:sz w:val="24"/>
          <w:szCs w:val="24"/>
          <w:lang w:eastAsia="pl-PL"/>
        </w:rPr>
        <w:t>(zmieniany art. 28m ust. 3</w:t>
      </w:r>
      <w:r w:rsidR="00ED67E1">
        <w:rPr>
          <w:rFonts w:ascii="Times New Roman" w:eastAsia="Times New Roman" w:hAnsi="Times New Roman" w:cs="Times New Roman"/>
          <w:bCs/>
          <w:sz w:val="24"/>
          <w:szCs w:val="24"/>
          <w:lang w:eastAsia="pl-PL"/>
        </w:rPr>
        <w:t xml:space="preserve"> ustawy o CIT</w:t>
      </w:r>
      <w:r w:rsidR="008314DF" w:rsidRPr="0027548A">
        <w:rPr>
          <w:rFonts w:ascii="Times New Roman" w:eastAsia="Times New Roman" w:hAnsi="Times New Roman" w:cs="Times New Roman"/>
          <w:bCs/>
          <w:sz w:val="24"/>
          <w:szCs w:val="24"/>
          <w:lang w:eastAsia="pl-PL"/>
        </w:rPr>
        <w:t>)</w:t>
      </w:r>
      <w:r w:rsidR="008314DF">
        <w:rPr>
          <w:rFonts w:ascii="Times New Roman" w:eastAsia="Times New Roman" w:hAnsi="Times New Roman" w:cs="Times New Roman"/>
          <w:b/>
          <w:sz w:val="24"/>
          <w:szCs w:val="24"/>
          <w:lang w:eastAsia="pl-PL"/>
        </w:rPr>
        <w:t xml:space="preserve"> – art. 2 pkt </w:t>
      </w:r>
      <w:r w:rsidRPr="006A54B5">
        <w:rPr>
          <w:rFonts w:ascii="Times New Roman" w:eastAsia="Times New Roman" w:hAnsi="Times New Roman" w:cs="Times New Roman"/>
          <w:b/>
          <w:sz w:val="24"/>
          <w:szCs w:val="24"/>
          <w:lang w:eastAsia="pl-PL"/>
        </w:rPr>
        <w:t>16</w:t>
      </w:r>
      <w:r w:rsidR="008314DF">
        <w:rPr>
          <w:rFonts w:ascii="Times New Roman" w:eastAsia="Times New Roman" w:hAnsi="Times New Roman" w:cs="Times New Roman"/>
          <w:b/>
          <w:sz w:val="24"/>
          <w:szCs w:val="24"/>
          <w:lang w:eastAsia="pl-PL"/>
        </w:rPr>
        <w:t xml:space="preserve"> lit. a projektu </w:t>
      </w:r>
    </w:p>
    <w:p w14:paraId="3E2630EE" w14:textId="51E6ECA2" w:rsidR="008314DF" w:rsidRPr="00A360E1" w:rsidRDefault="008314DF" w:rsidP="008314DF">
      <w:pPr>
        <w:spacing w:before="120" w:line="360" w:lineRule="auto"/>
        <w:jc w:val="both"/>
        <w:rPr>
          <w:rFonts w:ascii="Times New Roman" w:eastAsia="Times New Roman" w:hAnsi="Times New Roman" w:cs="Times New Roman"/>
          <w:bCs/>
          <w:sz w:val="24"/>
          <w:szCs w:val="24"/>
          <w:lang w:eastAsia="pl-PL"/>
        </w:rPr>
      </w:pPr>
      <w:r w:rsidRPr="00A360E1">
        <w:rPr>
          <w:rFonts w:ascii="Times New Roman" w:eastAsia="Times New Roman" w:hAnsi="Times New Roman" w:cs="Times New Roman"/>
          <w:bCs/>
          <w:sz w:val="24"/>
          <w:szCs w:val="24"/>
          <w:lang w:eastAsia="pl-PL"/>
        </w:rPr>
        <w:t>Z uwagi na pojawiające się wątpliwości w zakresie prawidłowego określania dochodu z tytułu ukrytych zysków proponuje się doprecyzowanie definicji zawartej w art. 28m ust. 3 ustawy o</w:t>
      </w:r>
      <w:r w:rsidR="006A6244">
        <w:rPr>
          <w:rFonts w:ascii="Times New Roman" w:eastAsia="Times New Roman" w:hAnsi="Times New Roman" w:cs="Times New Roman"/>
          <w:bCs/>
          <w:sz w:val="24"/>
          <w:szCs w:val="24"/>
          <w:lang w:eastAsia="pl-PL"/>
        </w:rPr>
        <w:t> </w:t>
      </w:r>
      <w:r w:rsidRPr="00A360E1">
        <w:rPr>
          <w:rFonts w:ascii="Times New Roman" w:eastAsia="Times New Roman" w:hAnsi="Times New Roman" w:cs="Times New Roman"/>
          <w:bCs/>
          <w:sz w:val="24"/>
          <w:szCs w:val="24"/>
          <w:lang w:eastAsia="pl-PL"/>
        </w:rPr>
        <w:t>CIT.</w:t>
      </w:r>
    </w:p>
    <w:p w14:paraId="5A2FE46A" w14:textId="77777777" w:rsidR="008314DF" w:rsidRPr="00A360E1" w:rsidRDefault="008314DF" w:rsidP="008314DF">
      <w:pPr>
        <w:spacing w:before="120" w:line="360" w:lineRule="auto"/>
        <w:jc w:val="both"/>
        <w:rPr>
          <w:rFonts w:ascii="Times New Roman" w:eastAsia="Times New Roman" w:hAnsi="Times New Roman" w:cs="Times New Roman"/>
          <w:bCs/>
          <w:sz w:val="24"/>
          <w:szCs w:val="24"/>
          <w:lang w:eastAsia="pl-PL"/>
        </w:rPr>
      </w:pPr>
      <w:r w:rsidRPr="00A360E1">
        <w:rPr>
          <w:rFonts w:ascii="Times New Roman" w:eastAsia="Times New Roman" w:hAnsi="Times New Roman" w:cs="Times New Roman"/>
          <w:bCs/>
          <w:sz w:val="24"/>
          <w:szCs w:val="24"/>
          <w:lang w:eastAsia="pl-PL"/>
        </w:rPr>
        <w:t>Projektowana zmiana ma w pierwszej kolejności charakter doprecyzowujący i porządkujący. W obowiązującym stanie prawnym literalne brzmienie przepisów nie uzależnia powstania dochodu z tytułu ukrytych zysków od źródła finansowania świadczenia, w tym od momentu wypracowania zysku, z którego świadczenie to jest pokrywane. Stanowisko to było konsekwentnie prezentowane w praktyce stosowania prawa przez Ministra Finansów oraz organy Krajowej Administracji Skarbowej.</w:t>
      </w:r>
    </w:p>
    <w:p w14:paraId="7A5A9B0F" w14:textId="182F41AC" w:rsidR="008314DF" w:rsidRPr="00A360E1" w:rsidRDefault="008314DF" w:rsidP="008314DF">
      <w:pPr>
        <w:spacing w:before="120" w:line="360" w:lineRule="auto"/>
        <w:jc w:val="both"/>
        <w:rPr>
          <w:rFonts w:ascii="Times New Roman" w:eastAsia="Times New Roman" w:hAnsi="Times New Roman" w:cs="Times New Roman"/>
          <w:bCs/>
          <w:sz w:val="24"/>
          <w:szCs w:val="24"/>
          <w:lang w:eastAsia="pl-PL"/>
        </w:rPr>
      </w:pPr>
      <w:r w:rsidRPr="00A360E1">
        <w:rPr>
          <w:rFonts w:ascii="Times New Roman" w:eastAsia="Times New Roman" w:hAnsi="Times New Roman" w:cs="Times New Roman"/>
          <w:bCs/>
          <w:sz w:val="24"/>
          <w:szCs w:val="24"/>
          <w:lang w:eastAsia="pl-PL"/>
        </w:rPr>
        <w:t>Pomimo jednoznacznych wyników wykładni językowej w orzecznictwie sądów administracyjnych pojawiły się odmienne poglądy</w:t>
      </w:r>
      <w:r>
        <w:rPr>
          <w:rFonts w:ascii="Times New Roman" w:eastAsia="Times New Roman" w:hAnsi="Times New Roman" w:cs="Times New Roman"/>
          <w:bCs/>
          <w:sz w:val="24"/>
          <w:szCs w:val="24"/>
          <w:lang w:eastAsia="pl-PL"/>
        </w:rPr>
        <w:t xml:space="preserve"> powołujące się na (nieprawidłowo zinterpretowaną) </w:t>
      </w:r>
      <w:r w:rsidRPr="00A360E1">
        <w:rPr>
          <w:rFonts w:ascii="Times New Roman" w:eastAsia="Times New Roman" w:hAnsi="Times New Roman" w:cs="Times New Roman"/>
          <w:bCs/>
          <w:sz w:val="24"/>
          <w:szCs w:val="24"/>
          <w:lang w:eastAsia="pl-PL"/>
        </w:rPr>
        <w:t>wykładn</w:t>
      </w:r>
      <w:r>
        <w:rPr>
          <w:rFonts w:ascii="Times New Roman" w:eastAsia="Times New Roman" w:hAnsi="Times New Roman" w:cs="Times New Roman"/>
          <w:bCs/>
          <w:sz w:val="24"/>
          <w:szCs w:val="24"/>
          <w:lang w:eastAsia="pl-PL"/>
        </w:rPr>
        <w:t>ię</w:t>
      </w:r>
      <w:r w:rsidRPr="00A360E1">
        <w:rPr>
          <w:rFonts w:ascii="Times New Roman" w:eastAsia="Times New Roman" w:hAnsi="Times New Roman" w:cs="Times New Roman"/>
          <w:bCs/>
          <w:sz w:val="24"/>
          <w:szCs w:val="24"/>
          <w:lang w:eastAsia="pl-PL"/>
        </w:rPr>
        <w:t xml:space="preserve"> systemow</w:t>
      </w:r>
      <w:r>
        <w:rPr>
          <w:rFonts w:ascii="Times New Roman" w:eastAsia="Times New Roman" w:hAnsi="Times New Roman" w:cs="Times New Roman"/>
          <w:bCs/>
          <w:sz w:val="24"/>
          <w:szCs w:val="24"/>
          <w:lang w:eastAsia="pl-PL"/>
        </w:rPr>
        <w:t>ą</w:t>
      </w:r>
      <w:r w:rsidRPr="00A360E1">
        <w:rPr>
          <w:rFonts w:ascii="Times New Roman" w:eastAsia="Times New Roman" w:hAnsi="Times New Roman" w:cs="Times New Roman"/>
          <w:bCs/>
          <w:sz w:val="24"/>
          <w:szCs w:val="24"/>
          <w:lang w:eastAsia="pl-PL"/>
        </w:rPr>
        <w:t xml:space="preserve"> i</w:t>
      </w:r>
      <w:r>
        <w:rPr>
          <w:rFonts w:ascii="Times New Roman" w:eastAsia="Times New Roman" w:hAnsi="Times New Roman" w:cs="Times New Roman"/>
          <w:bCs/>
          <w:sz w:val="24"/>
          <w:szCs w:val="24"/>
          <w:lang w:eastAsia="pl-PL"/>
        </w:rPr>
        <w:t> </w:t>
      </w:r>
      <w:r w:rsidRPr="00A360E1">
        <w:rPr>
          <w:rFonts w:ascii="Times New Roman" w:eastAsia="Times New Roman" w:hAnsi="Times New Roman" w:cs="Times New Roman"/>
          <w:bCs/>
          <w:sz w:val="24"/>
          <w:szCs w:val="24"/>
          <w:lang w:eastAsia="pl-PL"/>
        </w:rPr>
        <w:t>celowościow</w:t>
      </w:r>
      <w:r>
        <w:rPr>
          <w:rFonts w:ascii="Times New Roman" w:eastAsia="Times New Roman" w:hAnsi="Times New Roman" w:cs="Times New Roman"/>
          <w:bCs/>
          <w:sz w:val="24"/>
          <w:szCs w:val="24"/>
          <w:lang w:eastAsia="pl-PL"/>
        </w:rPr>
        <w:t>ą</w:t>
      </w:r>
      <w:r w:rsidRPr="00A360E1">
        <w:rPr>
          <w:rFonts w:ascii="Times New Roman" w:eastAsia="Times New Roman" w:hAnsi="Times New Roman" w:cs="Times New Roman"/>
          <w:bCs/>
          <w:sz w:val="24"/>
          <w:szCs w:val="24"/>
          <w:lang w:eastAsia="pl-PL"/>
        </w:rPr>
        <w:t>, zgodnie z którymi opodatkowaniu jako ukryte zyski podlegają wyłącznie świadczenia finansowane z zysków wypracowanych w</w:t>
      </w:r>
      <w:r>
        <w:rPr>
          <w:rFonts w:ascii="Times New Roman" w:eastAsia="Times New Roman" w:hAnsi="Times New Roman" w:cs="Times New Roman"/>
          <w:bCs/>
          <w:sz w:val="24"/>
          <w:szCs w:val="24"/>
          <w:lang w:eastAsia="pl-PL"/>
        </w:rPr>
        <w:t> </w:t>
      </w:r>
      <w:r w:rsidRPr="00A360E1">
        <w:rPr>
          <w:rFonts w:ascii="Times New Roman" w:eastAsia="Times New Roman" w:hAnsi="Times New Roman" w:cs="Times New Roman"/>
          <w:bCs/>
          <w:sz w:val="24"/>
          <w:szCs w:val="24"/>
          <w:lang w:eastAsia="pl-PL"/>
        </w:rPr>
        <w:t>okresie opodatkowania ryczałtem. Stanowisko takie zostało wyrażone m.in. w wyroku WSA w Krakowie z dnia 8 sierpnia 2025 r., sygn. akt I SA/Kr 397/25, wyroku WSA w Łodzi z dnia 6 lutego 2025 r., sygn. akt I SA/Łd 805/24, oraz podzielone przez Naczelny Sąd Administracyjny w wyroku z dnia 16 stycznia 2026 r., sygn. akt II FSK 555/23.</w:t>
      </w:r>
    </w:p>
    <w:p w14:paraId="00FB8584" w14:textId="77777777" w:rsidR="008314DF" w:rsidRPr="00A360E1" w:rsidRDefault="008314DF" w:rsidP="008314DF">
      <w:pPr>
        <w:spacing w:before="120" w:line="360" w:lineRule="auto"/>
        <w:jc w:val="both"/>
        <w:rPr>
          <w:rFonts w:ascii="Times New Roman" w:eastAsia="Times New Roman" w:hAnsi="Times New Roman" w:cs="Times New Roman"/>
          <w:bCs/>
          <w:sz w:val="24"/>
          <w:szCs w:val="24"/>
          <w:lang w:eastAsia="pl-PL"/>
        </w:rPr>
      </w:pPr>
      <w:r w:rsidRPr="00A360E1">
        <w:rPr>
          <w:rFonts w:ascii="Times New Roman" w:eastAsia="Times New Roman" w:hAnsi="Times New Roman" w:cs="Times New Roman"/>
          <w:bCs/>
          <w:sz w:val="24"/>
          <w:szCs w:val="24"/>
          <w:lang w:eastAsia="pl-PL"/>
        </w:rPr>
        <w:t>W orzeczeniach tych przyjęto, że konstrukcja ryczałtu od dochodów spółek uzasadnia ograniczenie zakresu opodatkowania do zysków wypracowanych w okresie stosowania tej formy opodatkowania, w szczególności w celu uniknięcia podwójnego opodatkowania dochodów osiągniętych przed przejściem na</w:t>
      </w:r>
      <w:r>
        <w:rPr>
          <w:rFonts w:ascii="Times New Roman" w:eastAsia="Times New Roman" w:hAnsi="Times New Roman" w:cs="Times New Roman"/>
          <w:bCs/>
          <w:sz w:val="24"/>
          <w:szCs w:val="24"/>
          <w:lang w:eastAsia="pl-PL"/>
        </w:rPr>
        <w:t xml:space="preserve"> opodatkowanie</w:t>
      </w:r>
      <w:r w:rsidRPr="00A360E1">
        <w:rPr>
          <w:rFonts w:ascii="Times New Roman" w:eastAsia="Times New Roman" w:hAnsi="Times New Roman" w:cs="Times New Roman"/>
          <w:bCs/>
          <w:sz w:val="24"/>
          <w:szCs w:val="24"/>
          <w:lang w:eastAsia="pl-PL"/>
        </w:rPr>
        <w:t xml:space="preserve"> ryczałt</w:t>
      </w:r>
      <w:r>
        <w:rPr>
          <w:rFonts w:ascii="Times New Roman" w:eastAsia="Times New Roman" w:hAnsi="Times New Roman" w:cs="Times New Roman"/>
          <w:bCs/>
          <w:sz w:val="24"/>
          <w:szCs w:val="24"/>
          <w:lang w:eastAsia="pl-PL"/>
        </w:rPr>
        <w:t>em</w:t>
      </w:r>
      <w:r w:rsidRPr="00A360E1">
        <w:rPr>
          <w:rFonts w:ascii="Times New Roman" w:eastAsia="Times New Roman" w:hAnsi="Times New Roman" w:cs="Times New Roman"/>
          <w:bCs/>
          <w:sz w:val="24"/>
          <w:szCs w:val="24"/>
          <w:lang w:eastAsia="pl-PL"/>
        </w:rPr>
        <w:t>. W konsekwencji sądy dokonały wykładni przepisów prowadzącej do zawężenia zakresu pojęcia ukrytych zysków.</w:t>
      </w:r>
    </w:p>
    <w:p w14:paraId="16D63D60" w14:textId="0B650A73" w:rsidR="00CB557C" w:rsidRPr="008314DF" w:rsidRDefault="008314DF" w:rsidP="004C172B">
      <w:pPr>
        <w:spacing w:before="120" w:line="360" w:lineRule="auto"/>
        <w:jc w:val="both"/>
        <w:rPr>
          <w:rFonts w:ascii="Times New Roman" w:eastAsia="Times New Roman" w:hAnsi="Times New Roman" w:cs="Times New Roman"/>
          <w:bCs/>
          <w:sz w:val="24"/>
          <w:szCs w:val="24"/>
          <w:lang w:eastAsia="pl-PL"/>
        </w:rPr>
      </w:pPr>
      <w:r w:rsidRPr="00A360E1">
        <w:rPr>
          <w:rFonts w:ascii="Times New Roman" w:eastAsia="Times New Roman" w:hAnsi="Times New Roman" w:cs="Times New Roman"/>
          <w:bCs/>
          <w:sz w:val="24"/>
          <w:szCs w:val="24"/>
          <w:lang w:eastAsia="pl-PL"/>
        </w:rPr>
        <w:t>Projektowana zmiana ma na celu jednoznaczne potwierdzenie, że wskazana interpretacja nie znajduje oparcia w obowiązujących przepis</w:t>
      </w:r>
      <w:r>
        <w:rPr>
          <w:rFonts w:ascii="Times New Roman" w:eastAsia="Times New Roman" w:hAnsi="Times New Roman" w:cs="Times New Roman"/>
          <w:bCs/>
          <w:sz w:val="24"/>
          <w:szCs w:val="24"/>
          <w:lang w:eastAsia="pl-PL"/>
        </w:rPr>
        <w:t>ach</w:t>
      </w:r>
      <w:r w:rsidRPr="00A360E1">
        <w:rPr>
          <w:rFonts w:ascii="Times New Roman" w:eastAsia="Times New Roman" w:hAnsi="Times New Roman" w:cs="Times New Roman"/>
          <w:bCs/>
          <w:sz w:val="24"/>
          <w:szCs w:val="24"/>
          <w:lang w:eastAsia="pl-PL"/>
        </w:rPr>
        <w:t xml:space="preserve">. </w:t>
      </w:r>
      <w:r w:rsidR="006A6244">
        <w:rPr>
          <w:rFonts w:ascii="Times New Roman" w:eastAsia="Times New Roman" w:hAnsi="Times New Roman" w:cs="Times New Roman"/>
          <w:bCs/>
          <w:sz w:val="24"/>
          <w:szCs w:val="24"/>
          <w:lang w:eastAsia="pl-PL"/>
        </w:rPr>
        <w:t>D</w:t>
      </w:r>
      <w:r w:rsidRPr="00A360E1">
        <w:rPr>
          <w:rFonts w:ascii="Times New Roman" w:eastAsia="Times New Roman" w:hAnsi="Times New Roman" w:cs="Times New Roman"/>
          <w:bCs/>
          <w:sz w:val="24"/>
          <w:szCs w:val="24"/>
          <w:lang w:eastAsia="pl-PL"/>
        </w:rPr>
        <w:t xml:space="preserve">oprecyzowano wprost, że dla kwalifikacji świadczenia jako ukrytego zysku bez znaczenia pozostaje źródło jego finansowania, w tym również to, czy świadczenie jest pokrywane z zysków wypracowanych przed rozpoczęciem opodatkowania ryczałtem. Wprowadzenie tego doprecyzowania nie stanowi zmiany </w:t>
      </w:r>
      <w:r w:rsidRPr="00A360E1">
        <w:rPr>
          <w:rFonts w:ascii="Times New Roman" w:eastAsia="Times New Roman" w:hAnsi="Times New Roman" w:cs="Times New Roman"/>
          <w:bCs/>
          <w:sz w:val="24"/>
          <w:szCs w:val="24"/>
          <w:lang w:eastAsia="pl-PL"/>
        </w:rPr>
        <w:lastRenderedPageBreak/>
        <w:t>merytorycznej zakresu opodatkowania, lecz ma na celu usunięcie rozbieżności interpretacyjnych i zapewnienie jednolitego stosowania przepisów.</w:t>
      </w:r>
    </w:p>
    <w:p w14:paraId="5A29F357" w14:textId="672605B3" w:rsidR="00AA030A" w:rsidRPr="006163FB" w:rsidRDefault="006A54B5" w:rsidP="00A63085">
      <w:pPr>
        <w:spacing w:before="120" w:line="360" w:lineRule="auto"/>
        <w:jc w:val="both"/>
        <w:rPr>
          <w:rFonts w:ascii="Times New Roman" w:eastAsia="Times New Roman" w:hAnsi="Times New Roman" w:cs="Times New Roman"/>
          <w:b/>
          <w:sz w:val="24"/>
          <w:szCs w:val="24"/>
          <w:lang w:eastAsia="pl-PL"/>
        </w:rPr>
      </w:pPr>
      <w:r w:rsidRPr="006A54B5">
        <w:rPr>
          <w:rFonts w:ascii="Times New Roman" w:eastAsia="Times New Roman" w:hAnsi="Times New Roman" w:cs="Times New Roman"/>
          <w:b/>
          <w:sz w:val="24"/>
          <w:szCs w:val="24"/>
          <w:lang w:eastAsia="pl-PL"/>
        </w:rPr>
        <w:t>22</w:t>
      </w:r>
      <w:r w:rsidR="005341F8" w:rsidRPr="006A54B5">
        <w:rPr>
          <w:rFonts w:ascii="Times New Roman" w:eastAsia="Times New Roman" w:hAnsi="Times New Roman" w:cs="Times New Roman"/>
          <w:b/>
          <w:sz w:val="24"/>
          <w:szCs w:val="24"/>
          <w:lang w:eastAsia="pl-PL"/>
        </w:rPr>
        <w:t xml:space="preserve">) </w:t>
      </w:r>
      <w:r w:rsidR="00AA030A" w:rsidRPr="006A54B5">
        <w:rPr>
          <w:rFonts w:ascii="Times New Roman" w:eastAsia="Times New Roman" w:hAnsi="Times New Roman" w:cs="Times New Roman"/>
          <w:b/>
          <w:sz w:val="24"/>
          <w:szCs w:val="24"/>
          <w:lang w:eastAsia="pl-PL"/>
        </w:rPr>
        <w:t>Wprowadzenie</w:t>
      </w:r>
      <w:r w:rsidR="00AA030A" w:rsidRPr="006163FB">
        <w:rPr>
          <w:rFonts w:ascii="Times New Roman" w:eastAsia="Times New Roman" w:hAnsi="Times New Roman" w:cs="Times New Roman"/>
          <w:b/>
          <w:sz w:val="24"/>
          <w:szCs w:val="24"/>
          <w:lang w:eastAsia="pl-PL"/>
        </w:rPr>
        <w:t xml:space="preserve"> </w:t>
      </w:r>
      <w:r w:rsidR="005341F8">
        <w:rPr>
          <w:rFonts w:ascii="Times New Roman" w:eastAsia="Times New Roman" w:hAnsi="Times New Roman" w:cs="Times New Roman"/>
          <w:b/>
          <w:sz w:val="24"/>
          <w:szCs w:val="24"/>
          <w:lang w:eastAsia="pl-PL"/>
        </w:rPr>
        <w:t>w ryczałcie o</w:t>
      </w:r>
      <w:r w:rsidR="00676E18">
        <w:rPr>
          <w:rFonts w:ascii="Times New Roman" w:eastAsia="Times New Roman" w:hAnsi="Times New Roman" w:cs="Times New Roman"/>
          <w:b/>
          <w:sz w:val="24"/>
          <w:szCs w:val="24"/>
          <w:lang w:eastAsia="pl-PL"/>
        </w:rPr>
        <w:t>d</w:t>
      </w:r>
      <w:r w:rsidR="005341F8">
        <w:rPr>
          <w:rFonts w:ascii="Times New Roman" w:eastAsia="Times New Roman" w:hAnsi="Times New Roman" w:cs="Times New Roman"/>
          <w:b/>
          <w:sz w:val="24"/>
          <w:szCs w:val="24"/>
          <w:lang w:eastAsia="pl-PL"/>
        </w:rPr>
        <w:t xml:space="preserve"> dochodów spółek </w:t>
      </w:r>
      <w:r w:rsidR="00AA030A" w:rsidRPr="006163FB">
        <w:rPr>
          <w:rFonts w:ascii="Times New Roman" w:eastAsia="Times New Roman" w:hAnsi="Times New Roman" w:cs="Times New Roman"/>
          <w:b/>
          <w:sz w:val="24"/>
          <w:szCs w:val="24"/>
          <w:lang w:eastAsia="pl-PL"/>
        </w:rPr>
        <w:t>definicji wydatków niezwiązanych z</w:t>
      </w:r>
      <w:r w:rsidR="00720339">
        <w:rPr>
          <w:rFonts w:ascii="Times New Roman" w:eastAsia="Times New Roman" w:hAnsi="Times New Roman" w:cs="Times New Roman"/>
          <w:b/>
          <w:sz w:val="24"/>
          <w:szCs w:val="24"/>
          <w:lang w:eastAsia="pl-PL"/>
        </w:rPr>
        <w:t> </w:t>
      </w:r>
      <w:r w:rsidR="00AA030A" w:rsidRPr="006163FB">
        <w:rPr>
          <w:rFonts w:ascii="Times New Roman" w:eastAsia="Times New Roman" w:hAnsi="Times New Roman" w:cs="Times New Roman"/>
          <w:b/>
          <w:sz w:val="24"/>
          <w:szCs w:val="24"/>
          <w:lang w:eastAsia="pl-PL"/>
        </w:rPr>
        <w:t xml:space="preserve">działalnością gospodarczą </w:t>
      </w:r>
      <w:r w:rsidR="005341F8" w:rsidRPr="0027548A">
        <w:rPr>
          <w:rFonts w:ascii="Times New Roman" w:eastAsia="Times New Roman" w:hAnsi="Times New Roman" w:cs="Times New Roman"/>
          <w:bCs/>
          <w:sz w:val="24"/>
          <w:szCs w:val="24"/>
          <w:lang w:eastAsia="pl-PL"/>
        </w:rPr>
        <w:t xml:space="preserve">(dodawany </w:t>
      </w:r>
      <w:r w:rsidR="00AA030A" w:rsidRPr="0027548A">
        <w:rPr>
          <w:rFonts w:ascii="Times New Roman" w:eastAsia="Times New Roman" w:hAnsi="Times New Roman" w:cs="Times New Roman"/>
          <w:bCs/>
          <w:sz w:val="24"/>
          <w:szCs w:val="24"/>
          <w:lang w:eastAsia="pl-PL"/>
        </w:rPr>
        <w:t xml:space="preserve">art. 28m ust. 3a ustawy </w:t>
      </w:r>
      <w:r w:rsidR="005341F8" w:rsidRPr="0027548A">
        <w:rPr>
          <w:rFonts w:ascii="Times New Roman" w:eastAsia="Times New Roman" w:hAnsi="Times New Roman" w:cs="Times New Roman"/>
          <w:bCs/>
          <w:sz w:val="24"/>
          <w:szCs w:val="24"/>
          <w:lang w:eastAsia="pl-PL"/>
        </w:rPr>
        <w:t xml:space="preserve">o </w:t>
      </w:r>
      <w:r w:rsidR="00AA030A" w:rsidRPr="0027548A">
        <w:rPr>
          <w:rFonts w:ascii="Times New Roman" w:eastAsia="Times New Roman" w:hAnsi="Times New Roman" w:cs="Times New Roman"/>
          <w:bCs/>
          <w:sz w:val="24"/>
          <w:szCs w:val="24"/>
          <w:lang w:eastAsia="pl-PL"/>
        </w:rPr>
        <w:t>CIT</w:t>
      </w:r>
      <w:r w:rsidR="005341F8" w:rsidRPr="0027548A">
        <w:rPr>
          <w:rFonts w:ascii="Times New Roman" w:eastAsia="Times New Roman" w:hAnsi="Times New Roman" w:cs="Times New Roman"/>
          <w:bCs/>
          <w:sz w:val="24"/>
          <w:szCs w:val="24"/>
          <w:lang w:eastAsia="pl-PL"/>
        </w:rPr>
        <w:t>)</w:t>
      </w:r>
      <w:r w:rsidR="005341F8">
        <w:rPr>
          <w:rFonts w:ascii="Times New Roman" w:eastAsia="Times New Roman" w:hAnsi="Times New Roman" w:cs="Times New Roman"/>
          <w:b/>
          <w:sz w:val="24"/>
          <w:szCs w:val="24"/>
          <w:lang w:eastAsia="pl-PL"/>
        </w:rPr>
        <w:t xml:space="preserve"> </w:t>
      </w:r>
      <w:r w:rsidR="005341F8" w:rsidRPr="00793CFC">
        <w:rPr>
          <w:rFonts w:ascii="Times New Roman" w:eastAsia="Times New Roman" w:hAnsi="Times New Roman" w:cs="Times New Roman"/>
          <w:bCs/>
          <w:sz w:val="24"/>
          <w:szCs w:val="24"/>
          <w:lang w:eastAsia="pl-PL"/>
        </w:rPr>
        <w:t>–</w:t>
      </w:r>
      <w:r w:rsidR="005341F8">
        <w:rPr>
          <w:rFonts w:ascii="Times New Roman" w:eastAsia="Times New Roman" w:hAnsi="Times New Roman" w:cs="Times New Roman"/>
          <w:b/>
          <w:sz w:val="24"/>
          <w:szCs w:val="24"/>
          <w:lang w:eastAsia="pl-PL"/>
        </w:rPr>
        <w:t xml:space="preserve"> art. </w:t>
      </w:r>
      <w:r w:rsidR="005341F8" w:rsidRPr="006A54B5">
        <w:rPr>
          <w:rFonts w:ascii="Times New Roman" w:eastAsia="Times New Roman" w:hAnsi="Times New Roman" w:cs="Times New Roman"/>
          <w:b/>
          <w:sz w:val="24"/>
          <w:szCs w:val="24"/>
          <w:lang w:eastAsia="pl-PL"/>
        </w:rPr>
        <w:t xml:space="preserve">2 pkt </w:t>
      </w:r>
      <w:r w:rsidRPr="006A54B5">
        <w:rPr>
          <w:rFonts w:ascii="Times New Roman" w:eastAsia="Times New Roman" w:hAnsi="Times New Roman" w:cs="Times New Roman"/>
          <w:b/>
          <w:sz w:val="24"/>
          <w:szCs w:val="24"/>
          <w:lang w:eastAsia="pl-PL"/>
        </w:rPr>
        <w:t>16</w:t>
      </w:r>
      <w:r>
        <w:rPr>
          <w:rFonts w:ascii="Times New Roman" w:eastAsia="Times New Roman" w:hAnsi="Times New Roman" w:cs="Times New Roman"/>
          <w:b/>
          <w:sz w:val="24"/>
          <w:szCs w:val="24"/>
          <w:lang w:eastAsia="pl-PL"/>
        </w:rPr>
        <w:t xml:space="preserve"> </w:t>
      </w:r>
      <w:r w:rsidR="008314DF">
        <w:rPr>
          <w:rFonts w:ascii="Times New Roman" w:eastAsia="Times New Roman" w:hAnsi="Times New Roman" w:cs="Times New Roman"/>
          <w:b/>
          <w:sz w:val="24"/>
          <w:szCs w:val="24"/>
          <w:lang w:eastAsia="pl-PL"/>
        </w:rPr>
        <w:t>lit. b</w:t>
      </w:r>
      <w:r w:rsidR="005341F8">
        <w:rPr>
          <w:rFonts w:ascii="Times New Roman" w:eastAsia="Times New Roman" w:hAnsi="Times New Roman" w:cs="Times New Roman"/>
          <w:b/>
          <w:sz w:val="24"/>
          <w:szCs w:val="24"/>
          <w:lang w:eastAsia="pl-PL"/>
        </w:rPr>
        <w:t xml:space="preserve"> projektu </w:t>
      </w:r>
    </w:p>
    <w:p w14:paraId="16692654" w14:textId="67F71469" w:rsidR="00AA030A" w:rsidRPr="006163FB" w:rsidRDefault="00AA030A" w:rsidP="004C172B">
      <w:pPr>
        <w:spacing w:before="120" w:line="360" w:lineRule="auto"/>
        <w:jc w:val="both"/>
        <w:rPr>
          <w:rFonts w:ascii="Times New Roman" w:eastAsia="Times New Roman" w:hAnsi="Times New Roman" w:cs="Times New Roman"/>
          <w:bCs/>
          <w:sz w:val="24"/>
          <w:szCs w:val="24"/>
          <w:lang w:eastAsia="pl-PL"/>
        </w:rPr>
      </w:pPr>
      <w:r w:rsidRPr="006163FB">
        <w:rPr>
          <w:rFonts w:ascii="Times New Roman" w:eastAsia="Times New Roman" w:hAnsi="Times New Roman" w:cs="Times New Roman"/>
          <w:bCs/>
          <w:sz w:val="24"/>
          <w:szCs w:val="24"/>
          <w:lang w:eastAsia="pl-PL"/>
        </w:rPr>
        <w:t>Zgodnie z art. 28m ust. 1 pkt 3 ustawy</w:t>
      </w:r>
      <w:r w:rsidR="00575C99">
        <w:rPr>
          <w:rFonts w:ascii="Times New Roman" w:eastAsia="Times New Roman" w:hAnsi="Times New Roman" w:cs="Times New Roman"/>
          <w:bCs/>
          <w:sz w:val="24"/>
          <w:szCs w:val="24"/>
          <w:lang w:eastAsia="pl-PL"/>
        </w:rPr>
        <w:t xml:space="preserve"> o</w:t>
      </w:r>
      <w:r w:rsidRPr="006163FB">
        <w:rPr>
          <w:rFonts w:ascii="Times New Roman" w:eastAsia="Times New Roman" w:hAnsi="Times New Roman" w:cs="Times New Roman"/>
          <w:bCs/>
          <w:sz w:val="24"/>
          <w:szCs w:val="24"/>
          <w:lang w:eastAsia="pl-PL"/>
        </w:rPr>
        <w:t xml:space="preserve"> CIT wydatki niezwiązane z działalnością gospodarczą stanowią przedmiot opodatkowania ryczałtem od dochodów spółek i w myśl art. 28n ust. 1 pkt 2 ustawy</w:t>
      </w:r>
      <w:r w:rsidR="00575C99">
        <w:rPr>
          <w:rFonts w:ascii="Times New Roman" w:eastAsia="Times New Roman" w:hAnsi="Times New Roman" w:cs="Times New Roman"/>
          <w:bCs/>
          <w:sz w:val="24"/>
          <w:szCs w:val="24"/>
          <w:lang w:eastAsia="pl-PL"/>
        </w:rPr>
        <w:t xml:space="preserve"> o</w:t>
      </w:r>
      <w:r w:rsidRPr="006163FB">
        <w:rPr>
          <w:rFonts w:ascii="Times New Roman" w:eastAsia="Times New Roman" w:hAnsi="Times New Roman" w:cs="Times New Roman"/>
          <w:bCs/>
          <w:sz w:val="24"/>
          <w:szCs w:val="24"/>
          <w:lang w:eastAsia="pl-PL"/>
        </w:rPr>
        <w:t xml:space="preserve"> CIT wraz z dochodem z tytułu ukrytych zysków stanowią jedną z podstaw opodatkowania ryczałtem. Niemniej żaden przepis ustawy </w:t>
      </w:r>
      <w:r w:rsidR="00575C99">
        <w:rPr>
          <w:rFonts w:ascii="Times New Roman" w:eastAsia="Times New Roman" w:hAnsi="Times New Roman" w:cs="Times New Roman"/>
          <w:bCs/>
          <w:sz w:val="24"/>
          <w:szCs w:val="24"/>
          <w:lang w:eastAsia="pl-PL"/>
        </w:rPr>
        <w:t xml:space="preserve">o </w:t>
      </w:r>
      <w:r w:rsidRPr="006163FB">
        <w:rPr>
          <w:rFonts w:ascii="Times New Roman" w:eastAsia="Times New Roman" w:hAnsi="Times New Roman" w:cs="Times New Roman"/>
          <w:bCs/>
          <w:sz w:val="24"/>
          <w:szCs w:val="24"/>
          <w:lang w:eastAsia="pl-PL"/>
        </w:rPr>
        <w:t>CIT nie definiuje</w:t>
      </w:r>
      <w:r w:rsidR="0052515D">
        <w:rPr>
          <w:rFonts w:ascii="Times New Roman" w:eastAsia="Times New Roman" w:hAnsi="Times New Roman" w:cs="Times New Roman"/>
          <w:bCs/>
          <w:sz w:val="24"/>
          <w:szCs w:val="24"/>
          <w:lang w:eastAsia="pl-PL"/>
        </w:rPr>
        <w:t>,</w:t>
      </w:r>
      <w:r w:rsidRPr="006163FB">
        <w:rPr>
          <w:rFonts w:ascii="Times New Roman" w:eastAsia="Times New Roman" w:hAnsi="Times New Roman" w:cs="Times New Roman"/>
          <w:bCs/>
          <w:sz w:val="24"/>
          <w:szCs w:val="24"/>
          <w:lang w:eastAsia="pl-PL"/>
        </w:rPr>
        <w:t xml:space="preserve"> czym są wydatki niezwiązane z działalnością gospodarczą. Dopiero ustawą z dnia 7 października 2022</w:t>
      </w:r>
      <w:r w:rsidR="00E211F4">
        <w:rPr>
          <w:rFonts w:ascii="Times New Roman" w:eastAsia="Times New Roman" w:hAnsi="Times New Roman" w:cs="Times New Roman"/>
          <w:bCs/>
          <w:sz w:val="24"/>
          <w:szCs w:val="24"/>
          <w:lang w:eastAsia="pl-PL"/>
        </w:rPr>
        <w:t> </w:t>
      </w:r>
      <w:r w:rsidRPr="006163FB">
        <w:rPr>
          <w:rFonts w:ascii="Times New Roman" w:eastAsia="Times New Roman" w:hAnsi="Times New Roman" w:cs="Times New Roman"/>
          <w:bCs/>
          <w:sz w:val="24"/>
          <w:szCs w:val="24"/>
          <w:lang w:eastAsia="pl-PL"/>
        </w:rPr>
        <w:t>r.</w:t>
      </w:r>
      <w:r w:rsidR="00E211F4">
        <w:rPr>
          <w:rStyle w:val="Odwoanieprzypisudolnego"/>
          <w:rFonts w:ascii="Times New Roman" w:eastAsia="Times New Roman" w:hAnsi="Times New Roman" w:cs="Times New Roman"/>
          <w:bCs/>
          <w:sz w:val="24"/>
          <w:szCs w:val="24"/>
          <w:lang w:eastAsia="pl-PL"/>
        </w:rPr>
        <w:footnoteReference w:id="13"/>
      </w:r>
      <w:r w:rsidRPr="006163FB">
        <w:rPr>
          <w:rFonts w:ascii="Times New Roman" w:eastAsia="Times New Roman" w:hAnsi="Times New Roman" w:cs="Times New Roman"/>
          <w:bCs/>
          <w:sz w:val="24"/>
          <w:szCs w:val="24"/>
          <w:lang w:eastAsia="pl-PL"/>
        </w:rPr>
        <w:t xml:space="preserve"> do ustawy </w:t>
      </w:r>
      <w:r w:rsidR="00575C99">
        <w:rPr>
          <w:rFonts w:ascii="Times New Roman" w:eastAsia="Times New Roman" w:hAnsi="Times New Roman" w:cs="Times New Roman"/>
          <w:bCs/>
          <w:sz w:val="24"/>
          <w:szCs w:val="24"/>
          <w:lang w:eastAsia="pl-PL"/>
        </w:rPr>
        <w:t xml:space="preserve">o </w:t>
      </w:r>
      <w:r w:rsidRPr="006163FB">
        <w:rPr>
          <w:rFonts w:ascii="Times New Roman" w:eastAsia="Times New Roman" w:hAnsi="Times New Roman" w:cs="Times New Roman"/>
          <w:bCs/>
          <w:sz w:val="24"/>
          <w:szCs w:val="24"/>
          <w:lang w:eastAsia="pl-PL"/>
        </w:rPr>
        <w:t>CIT dodany został art. 28m ust. 4a, który definiuje wydatki niezwiązane z</w:t>
      </w:r>
      <w:r w:rsidR="009D1880">
        <w:rPr>
          <w:rFonts w:ascii="Times New Roman" w:eastAsia="Times New Roman" w:hAnsi="Times New Roman" w:cs="Times New Roman"/>
          <w:bCs/>
          <w:sz w:val="24"/>
          <w:szCs w:val="24"/>
          <w:lang w:eastAsia="pl-PL"/>
        </w:rPr>
        <w:t> </w:t>
      </w:r>
      <w:r w:rsidRPr="006163FB">
        <w:rPr>
          <w:rFonts w:ascii="Times New Roman" w:eastAsia="Times New Roman" w:hAnsi="Times New Roman" w:cs="Times New Roman"/>
          <w:bCs/>
          <w:sz w:val="24"/>
          <w:szCs w:val="24"/>
          <w:lang w:eastAsia="pl-PL"/>
        </w:rPr>
        <w:t>działalnością gospodarczą od strony negatywnej (tj. wskazuje</w:t>
      </w:r>
      <w:r w:rsidR="0052515D">
        <w:rPr>
          <w:rFonts w:ascii="Times New Roman" w:eastAsia="Times New Roman" w:hAnsi="Times New Roman" w:cs="Times New Roman"/>
          <w:bCs/>
          <w:sz w:val="24"/>
          <w:szCs w:val="24"/>
          <w:lang w:eastAsia="pl-PL"/>
        </w:rPr>
        <w:t>,</w:t>
      </w:r>
      <w:r w:rsidRPr="006163FB">
        <w:rPr>
          <w:rFonts w:ascii="Times New Roman" w:eastAsia="Times New Roman" w:hAnsi="Times New Roman" w:cs="Times New Roman"/>
          <w:bCs/>
          <w:sz w:val="24"/>
          <w:szCs w:val="24"/>
          <w:lang w:eastAsia="pl-PL"/>
        </w:rPr>
        <w:t xml:space="preserve"> co nie stanowi wydatków niezwiązanych z działalnością gospodarczą). Przepis ten wszedł w życie z dniem 1 stycznia 2023 r. </w:t>
      </w:r>
    </w:p>
    <w:p w14:paraId="5AF01033" w14:textId="0CD6F171" w:rsidR="00AA030A" w:rsidRPr="006163FB" w:rsidRDefault="00AA030A" w:rsidP="004C172B">
      <w:pPr>
        <w:spacing w:before="120" w:line="360" w:lineRule="auto"/>
        <w:jc w:val="both"/>
        <w:rPr>
          <w:rFonts w:ascii="Times New Roman" w:eastAsia="Times New Roman" w:hAnsi="Times New Roman" w:cs="Times New Roman"/>
          <w:bCs/>
          <w:sz w:val="24"/>
          <w:szCs w:val="24"/>
          <w:lang w:eastAsia="pl-PL"/>
        </w:rPr>
      </w:pPr>
      <w:r w:rsidRPr="006163FB">
        <w:rPr>
          <w:rFonts w:ascii="Times New Roman" w:eastAsia="Times New Roman" w:hAnsi="Times New Roman" w:cs="Times New Roman"/>
          <w:bCs/>
          <w:sz w:val="24"/>
          <w:szCs w:val="24"/>
          <w:lang w:eastAsia="pl-PL"/>
        </w:rPr>
        <w:t xml:space="preserve">Wydaje się jednak, że aktualna konstrukcja normatywna wydatków niezwiązanych z działalnością gospodarczą w niewystarczający sposób zabezpiecza interesy Skarbu Państwa. Brak definicji wydatków niezwiązanych z działalnością gospodarczą generuje również wiele wątpliwości po stronie podatników. Ponadto w wyroku z dnia 11 lipca 2023 r. (sygn. akt II FSK 93/23) </w:t>
      </w:r>
      <w:r w:rsidR="0052515D">
        <w:rPr>
          <w:rFonts w:ascii="Times New Roman" w:eastAsia="Times New Roman" w:hAnsi="Times New Roman" w:cs="Times New Roman"/>
          <w:bCs/>
          <w:sz w:val="24"/>
          <w:szCs w:val="24"/>
          <w:lang w:eastAsia="pl-PL"/>
        </w:rPr>
        <w:t>NSA</w:t>
      </w:r>
      <w:r w:rsidRPr="006163FB">
        <w:rPr>
          <w:rFonts w:ascii="Times New Roman" w:eastAsia="Times New Roman" w:hAnsi="Times New Roman" w:cs="Times New Roman"/>
          <w:bCs/>
          <w:sz w:val="24"/>
          <w:szCs w:val="24"/>
          <w:lang w:eastAsia="pl-PL"/>
        </w:rPr>
        <w:t xml:space="preserve"> w odniesieniu do stanu prawnego obowiązującego w 2022 r. stwierdził, że regulacja dotycząca wydatków niezwiązanych z działalnością gospodarczą „</w:t>
      </w:r>
      <w:r w:rsidRPr="0027548A">
        <w:rPr>
          <w:rFonts w:ascii="Times New Roman" w:eastAsia="Times New Roman" w:hAnsi="Times New Roman" w:cs="Times New Roman"/>
          <w:bCs/>
          <w:i/>
          <w:iCs/>
          <w:sz w:val="24"/>
          <w:szCs w:val="24"/>
          <w:lang w:eastAsia="pl-PL"/>
        </w:rPr>
        <w:t>nie spełnia konstytucyjnego wymogu określoności przedmiotu opodatkowania</w:t>
      </w:r>
      <w:r w:rsidRPr="006163FB">
        <w:rPr>
          <w:rFonts w:ascii="Times New Roman" w:eastAsia="Times New Roman" w:hAnsi="Times New Roman" w:cs="Times New Roman"/>
          <w:bCs/>
          <w:sz w:val="24"/>
          <w:szCs w:val="24"/>
          <w:lang w:eastAsia="pl-PL"/>
        </w:rPr>
        <w:t>”.</w:t>
      </w:r>
    </w:p>
    <w:p w14:paraId="46AA4A65" w14:textId="4F5B7F09" w:rsidR="00AA030A" w:rsidRPr="006163FB" w:rsidRDefault="00AA030A" w:rsidP="004C172B">
      <w:pPr>
        <w:spacing w:before="120" w:line="360" w:lineRule="auto"/>
        <w:jc w:val="both"/>
        <w:rPr>
          <w:rFonts w:ascii="Times New Roman" w:eastAsia="Times New Roman" w:hAnsi="Times New Roman" w:cs="Times New Roman"/>
          <w:bCs/>
          <w:sz w:val="24"/>
          <w:szCs w:val="24"/>
          <w:lang w:eastAsia="pl-PL"/>
        </w:rPr>
      </w:pPr>
      <w:r w:rsidRPr="006163FB">
        <w:rPr>
          <w:rFonts w:ascii="Times New Roman" w:eastAsia="Times New Roman" w:hAnsi="Times New Roman" w:cs="Times New Roman"/>
          <w:bCs/>
          <w:sz w:val="24"/>
          <w:szCs w:val="24"/>
          <w:lang w:eastAsia="pl-PL"/>
        </w:rPr>
        <w:t>Koncepcja wydatków niezwiązanych z działalnością gospodarczą przedstawiona w</w:t>
      </w:r>
      <w:r w:rsidR="009D1880">
        <w:rPr>
          <w:rFonts w:ascii="Times New Roman" w:eastAsia="Times New Roman" w:hAnsi="Times New Roman" w:cs="Times New Roman"/>
          <w:bCs/>
          <w:sz w:val="24"/>
          <w:szCs w:val="24"/>
          <w:lang w:eastAsia="pl-PL"/>
        </w:rPr>
        <w:t> </w:t>
      </w:r>
      <w:r w:rsidRPr="006163FB">
        <w:rPr>
          <w:rFonts w:ascii="Times New Roman" w:eastAsia="Times New Roman" w:hAnsi="Times New Roman" w:cs="Times New Roman"/>
          <w:bCs/>
          <w:sz w:val="24"/>
          <w:szCs w:val="24"/>
          <w:lang w:eastAsia="pl-PL"/>
        </w:rPr>
        <w:t>ramach niniejszej propozycji została opracowana w oparciu o ich rozumienie, które zostało zawarte w Przewodniku</w:t>
      </w:r>
      <w:r w:rsidR="004802A7">
        <w:rPr>
          <w:rFonts w:ascii="Times New Roman" w:eastAsia="Times New Roman" w:hAnsi="Times New Roman" w:cs="Times New Roman"/>
          <w:bCs/>
          <w:sz w:val="24"/>
          <w:szCs w:val="24"/>
          <w:lang w:eastAsia="pl-PL"/>
        </w:rPr>
        <w:t xml:space="preserve"> z dnia 23 grudnia 2021 r. do Ryczałtu od dochodów spółek</w:t>
      </w:r>
      <w:r w:rsidRPr="006163FB">
        <w:rPr>
          <w:rFonts w:ascii="Times New Roman" w:eastAsia="Times New Roman" w:hAnsi="Times New Roman" w:cs="Times New Roman"/>
          <w:bCs/>
          <w:sz w:val="24"/>
          <w:szCs w:val="24"/>
          <w:lang w:eastAsia="pl-PL"/>
        </w:rPr>
        <w:t xml:space="preserve">. Propozycja </w:t>
      </w:r>
      <w:r w:rsidR="009D1880">
        <w:rPr>
          <w:rFonts w:ascii="Times New Roman" w:eastAsia="Times New Roman" w:hAnsi="Times New Roman" w:cs="Times New Roman"/>
          <w:bCs/>
          <w:sz w:val="24"/>
          <w:szCs w:val="24"/>
          <w:lang w:eastAsia="pl-PL"/>
        </w:rPr>
        <w:t xml:space="preserve">omawianej </w:t>
      </w:r>
      <w:r w:rsidRPr="006163FB">
        <w:rPr>
          <w:rFonts w:ascii="Times New Roman" w:eastAsia="Times New Roman" w:hAnsi="Times New Roman" w:cs="Times New Roman"/>
          <w:bCs/>
          <w:sz w:val="24"/>
          <w:szCs w:val="24"/>
          <w:lang w:eastAsia="pl-PL"/>
        </w:rPr>
        <w:t xml:space="preserve">definicji została skonstruowana na podstawie dwóch elementów, tj. związku </w:t>
      </w:r>
      <w:r w:rsidR="00F15378">
        <w:rPr>
          <w:rFonts w:ascii="Times New Roman" w:eastAsia="Times New Roman" w:hAnsi="Times New Roman" w:cs="Times New Roman"/>
          <w:bCs/>
          <w:sz w:val="24"/>
          <w:szCs w:val="24"/>
          <w:lang w:eastAsia="pl-PL"/>
        </w:rPr>
        <w:t>wydatków</w:t>
      </w:r>
      <w:r w:rsidR="00F15378" w:rsidRPr="006163FB">
        <w:rPr>
          <w:rFonts w:ascii="Times New Roman" w:eastAsia="Times New Roman" w:hAnsi="Times New Roman" w:cs="Times New Roman"/>
          <w:bCs/>
          <w:sz w:val="24"/>
          <w:szCs w:val="24"/>
          <w:lang w:eastAsia="pl-PL"/>
        </w:rPr>
        <w:t xml:space="preserve"> </w:t>
      </w:r>
      <w:r w:rsidRPr="006163FB">
        <w:rPr>
          <w:rFonts w:ascii="Times New Roman" w:eastAsia="Times New Roman" w:hAnsi="Times New Roman" w:cs="Times New Roman"/>
          <w:bCs/>
          <w:sz w:val="24"/>
          <w:szCs w:val="24"/>
          <w:lang w:eastAsia="pl-PL"/>
        </w:rPr>
        <w:t>z przychodami oraz ich charakteru.</w:t>
      </w:r>
    </w:p>
    <w:p w14:paraId="0DF4E4AE" w14:textId="6C903782" w:rsidR="00AA030A" w:rsidRPr="006A54B5" w:rsidRDefault="00AA030A" w:rsidP="004C172B">
      <w:pPr>
        <w:spacing w:before="120" w:line="360" w:lineRule="auto"/>
        <w:jc w:val="both"/>
        <w:rPr>
          <w:rFonts w:ascii="Times New Roman" w:eastAsia="Times New Roman" w:hAnsi="Times New Roman" w:cs="Times New Roman"/>
          <w:bCs/>
          <w:sz w:val="24"/>
          <w:szCs w:val="24"/>
          <w:lang w:eastAsia="pl-PL"/>
        </w:rPr>
      </w:pPr>
      <w:r w:rsidRPr="006163FB">
        <w:rPr>
          <w:rFonts w:ascii="Times New Roman" w:eastAsia="Times New Roman" w:hAnsi="Times New Roman" w:cs="Times New Roman"/>
          <w:bCs/>
          <w:sz w:val="24"/>
          <w:szCs w:val="24"/>
          <w:lang w:eastAsia="pl-PL"/>
        </w:rPr>
        <w:t>Związek kosztów z uzyskiwanymi przez podatników przychodami, który został wyrażony w art. 15 ust. 1 ustawy</w:t>
      </w:r>
      <w:r w:rsidR="00575C99">
        <w:rPr>
          <w:rFonts w:ascii="Times New Roman" w:eastAsia="Times New Roman" w:hAnsi="Times New Roman" w:cs="Times New Roman"/>
          <w:bCs/>
          <w:sz w:val="24"/>
          <w:szCs w:val="24"/>
          <w:lang w:eastAsia="pl-PL"/>
        </w:rPr>
        <w:t xml:space="preserve"> o</w:t>
      </w:r>
      <w:r w:rsidRPr="006163FB">
        <w:rPr>
          <w:rFonts w:ascii="Times New Roman" w:eastAsia="Times New Roman" w:hAnsi="Times New Roman" w:cs="Times New Roman"/>
          <w:bCs/>
          <w:sz w:val="24"/>
          <w:szCs w:val="24"/>
          <w:lang w:eastAsia="pl-PL"/>
        </w:rPr>
        <w:t xml:space="preserve"> CIT oraz art. 22 ust. 1 ustawy </w:t>
      </w:r>
      <w:r w:rsidR="00A8132E">
        <w:rPr>
          <w:rFonts w:ascii="Times New Roman" w:eastAsia="Times New Roman" w:hAnsi="Times New Roman" w:cs="Times New Roman"/>
          <w:bCs/>
          <w:sz w:val="24"/>
          <w:szCs w:val="24"/>
          <w:lang w:eastAsia="pl-PL"/>
        </w:rPr>
        <w:t xml:space="preserve">o </w:t>
      </w:r>
      <w:r w:rsidRPr="006163FB">
        <w:rPr>
          <w:rFonts w:ascii="Times New Roman" w:eastAsia="Times New Roman" w:hAnsi="Times New Roman" w:cs="Times New Roman"/>
          <w:bCs/>
          <w:sz w:val="24"/>
          <w:szCs w:val="24"/>
          <w:lang w:eastAsia="pl-PL"/>
        </w:rPr>
        <w:t xml:space="preserve">PIT, jest rozwiązaniem funkcjonującym na gruncie podatków dochodowych od wielu lat, w stosunku do którego istnieje bogate orzecznictwo sądów administracyjnych. Oparcie definicji nowego przedmiotu opodatkowania na jednym z podstawowych elementów konstrukcyjnych podatku </w:t>
      </w:r>
      <w:r w:rsidRPr="006163FB">
        <w:rPr>
          <w:rFonts w:ascii="Times New Roman" w:eastAsia="Times New Roman" w:hAnsi="Times New Roman" w:cs="Times New Roman"/>
          <w:bCs/>
          <w:sz w:val="24"/>
          <w:szCs w:val="24"/>
          <w:lang w:eastAsia="pl-PL"/>
        </w:rPr>
        <w:lastRenderedPageBreak/>
        <w:t>dochodowego ma na celu minimalizację wątpliwości podatników co do jego zakresu pojęciowego. Jednocześnie wydaje się, że takie rozumienie wydatków niezwiązanych z działalnością gospodarczą jest uzasadnione ekonomicznie</w:t>
      </w:r>
      <w:r w:rsidR="0052515D">
        <w:rPr>
          <w:rFonts w:ascii="Times New Roman" w:eastAsia="Times New Roman" w:hAnsi="Times New Roman" w:cs="Times New Roman"/>
          <w:bCs/>
          <w:sz w:val="24"/>
          <w:szCs w:val="24"/>
          <w:lang w:eastAsia="pl-PL"/>
        </w:rPr>
        <w:t xml:space="preserve"> </w:t>
      </w:r>
      <w:r w:rsidRPr="006163FB">
        <w:rPr>
          <w:rFonts w:ascii="Times New Roman" w:eastAsia="Times New Roman" w:hAnsi="Times New Roman" w:cs="Times New Roman"/>
          <w:bCs/>
          <w:sz w:val="24"/>
          <w:szCs w:val="24"/>
          <w:lang w:eastAsia="pl-PL"/>
        </w:rPr>
        <w:t xml:space="preserve">oraz aksjologicznie. Istotą działalności gospodarczej jest jej zarobkowy charakter. W związku z powyższym wydatki, </w:t>
      </w:r>
      <w:r w:rsidRPr="006A54B5">
        <w:rPr>
          <w:rFonts w:ascii="Times New Roman" w:eastAsia="Times New Roman" w:hAnsi="Times New Roman" w:cs="Times New Roman"/>
          <w:bCs/>
          <w:sz w:val="24"/>
          <w:szCs w:val="24"/>
          <w:lang w:eastAsia="pl-PL"/>
        </w:rPr>
        <w:t>które nie są związane z osiągnięciem przychodów lub zabezpieczeniem albo zachowaniem źródła przychodów</w:t>
      </w:r>
      <w:r w:rsidR="0052515D" w:rsidRPr="006A54B5">
        <w:rPr>
          <w:rFonts w:ascii="Times New Roman" w:eastAsia="Times New Roman" w:hAnsi="Times New Roman" w:cs="Times New Roman"/>
          <w:bCs/>
          <w:sz w:val="24"/>
          <w:szCs w:val="24"/>
          <w:lang w:eastAsia="pl-PL"/>
        </w:rPr>
        <w:t>,</w:t>
      </w:r>
      <w:r w:rsidRPr="006A54B5">
        <w:rPr>
          <w:rFonts w:ascii="Times New Roman" w:eastAsia="Times New Roman" w:hAnsi="Times New Roman" w:cs="Times New Roman"/>
          <w:bCs/>
          <w:sz w:val="24"/>
          <w:szCs w:val="24"/>
          <w:lang w:eastAsia="pl-PL"/>
        </w:rPr>
        <w:t xml:space="preserve"> nie stanowią wydatków związanych z działalnością gospodarczą. </w:t>
      </w:r>
    </w:p>
    <w:p w14:paraId="653D2D5F" w14:textId="2EB64C95" w:rsidR="006A1247" w:rsidRDefault="00AA030A" w:rsidP="006A1247">
      <w:pPr>
        <w:spacing w:before="120" w:line="360" w:lineRule="auto"/>
        <w:jc w:val="both"/>
        <w:rPr>
          <w:rFonts w:ascii="Times New Roman" w:eastAsia="Times New Roman" w:hAnsi="Times New Roman" w:cs="Times New Roman"/>
          <w:sz w:val="24"/>
          <w:szCs w:val="24"/>
        </w:rPr>
      </w:pPr>
      <w:r w:rsidRPr="006A54B5">
        <w:rPr>
          <w:rFonts w:ascii="Times New Roman" w:eastAsia="Times New Roman" w:hAnsi="Times New Roman" w:cs="Times New Roman"/>
          <w:sz w:val="24"/>
          <w:szCs w:val="24"/>
        </w:rPr>
        <w:t>Drugim elementem definicji wydatków niezwiązanych z działalnością gospodarczą jest publicznoprawny oraz sankcyjny charakter. Pewne kategorie wydatków, pomimo ich związku z prowadzoną przez podatnika działalnością, ze względu na swój charakter, nie powinny pomniejszać podstawy opodatkowania. Do takich kategorii zaliczyć można np. kary, grzywny czy odsetki od nieterminowego uregulowania zobowiązania podatkowego.</w:t>
      </w:r>
    </w:p>
    <w:p w14:paraId="5A8B4570" w14:textId="40FF3FAE" w:rsidR="00B23BF6" w:rsidRDefault="00B23BF6" w:rsidP="00B23BF6">
      <w:pPr>
        <w:spacing w:before="240" w:after="120" w:line="360" w:lineRule="auto"/>
        <w:jc w:val="both"/>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23) </w:t>
      </w:r>
      <w:r w:rsidRPr="001210F7">
        <w:rPr>
          <w:rFonts w:ascii="Times New Roman" w:eastAsia="Calibri" w:hAnsi="Times New Roman" w:cs="Times New Roman"/>
          <w:b/>
          <w:iCs/>
          <w:sz w:val="24"/>
          <w:szCs w:val="24"/>
        </w:rPr>
        <w:t xml:space="preserve">Zmiany dotyczące opodatkowania ryczałtem od przychodów ewidencjonowanych </w:t>
      </w:r>
      <w:r w:rsidRPr="0027548A">
        <w:rPr>
          <w:rFonts w:ascii="Times New Roman" w:eastAsia="Calibri" w:hAnsi="Times New Roman" w:cs="Times New Roman"/>
          <w:bCs/>
          <w:iCs/>
          <w:sz w:val="24"/>
          <w:szCs w:val="24"/>
        </w:rPr>
        <w:t>(zmieniany</w:t>
      </w:r>
      <w:r>
        <w:rPr>
          <w:rFonts w:ascii="Times New Roman" w:eastAsia="Calibri" w:hAnsi="Times New Roman" w:cs="Times New Roman"/>
          <w:bCs/>
          <w:iCs/>
          <w:sz w:val="24"/>
          <w:szCs w:val="24"/>
        </w:rPr>
        <w:t xml:space="preserve"> art. 4</w:t>
      </w:r>
      <w:r w:rsidR="00254E76">
        <w:rPr>
          <w:rFonts w:ascii="Times New Roman" w:eastAsia="Calibri" w:hAnsi="Times New Roman" w:cs="Times New Roman"/>
          <w:bCs/>
          <w:iCs/>
          <w:sz w:val="24"/>
          <w:szCs w:val="24"/>
        </w:rPr>
        <w:t xml:space="preserve"> ust. 1, art. 11 ust. 17,</w:t>
      </w:r>
      <w:r w:rsidRPr="0027548A">
        <w:rPr>
          <w:rFonts w:ascii="Times New Roman" w:eastAsia="Calibri" w:hAnsi="Times New Roman" w:cs="Times New Roman"/>
          <w:bCs/>
          <w:iCs/>
          <w:sz w:val="24"/>
          <w:szCs w:val="24"/>
        </w:rPr>
        <w:t xml:space="preserve"> art. 12 ust. 1</w:t>
      </w:r>
      <w:r>
        <w:rPr>
          <w:rFonts w:ascii="Times New Roman" w:eastAsia="Calibri" w:hAnsi="Times New Roman" w:cs="Times New Roman"/>
          <w:bCs/>
          <w:iCs/>
          <w:sz w:val="24"/>
          <w:szCs w:val="24"/>
        </w:rPr>
        <w:t xml:space="preserve"> pkt 1</w:t>
      </w:r>
      <w:r w:rsidR="00D82970">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oraz</w:t>
      </w:r>
      <w:r w:rsidR="007E56A6">
        <w:rPr>
          <w:rFonts w:ascii="Times New Roman" w:eastAsia="Calibri" w:hAnsi="Times New Roman" w:cs="Times New Roman"/>
          <w:bCs/>
          <w:iCs/>
          <w:sz w:val="24"/>
          <w:szCs w:val="24"/>
        </w:rPr>
        <w:t xml:space="preserve"> ust. 3 pkt 4 </w:t>
      </w:r>
      <w:r w:rsidRPr="0027548A">
        <w:rPr>
          <w:rFonts w:ascii="Times New Roman" w:eastAsia="Calibri" w:hAnsi="Times New Roman" w:cs="Times New Roman"/>
          <w:bCs/>
          <w:iCs/>
          <w:sz w:val="24"/>
          <w:szCs w:val="24"/>
        </w:rPr>
        <w:t>ustawy o ryczałcie</w:t>
      </w:r>
      <w:r>
        <w:rPr>
          <w:rFonts w:ascii="Times New Roman" w:eastAsia="Calibri" w:hAnsi="Times New Roman" w:cs="Times New Roman"/>
          <w:b/>
          <w:iCs/>
          <w:sz w:val="24"/>
          <w:szCs w:val="24"/>
        </w:rPr>
        <w:t>) – art. 3 projektu</w:t>
      </w:r>
    </w:p>
    <w:p w14:paraId="2BF3B673" w14:textId="77777777" w:rsidR="00B23BF6" w:rsidRPr="008C4674" w:rsidRDefault="00B23BF6" w:rsidP="00B23BF6">
      <w:pPr>
        <w:spacing w:before="240" w:after="120" w:line="360" w:lineRule="auto"/>
        <w:jc w:val="both"/>
        <w:rPr>
          <w:rFonts w:ascii="Times New Roman" w:eastAsia="Calibri" w:hAnsi="Times New Roman" w:cs="Times New Roman"/>
          <w:bCs/>
          <w:iCs/>
          <w:sz w:val="24"/>
          <w:szCs w:val="24"/>
        </w:rPr>
      </w:pPr>
      <w:r w:rsidRPr="008C4674">
        <w:rPr>
          <w:rFonts w:ascii="Times New Roman" w:eastAsia="Calibri" w:hAnsi="Times New Roman" w:cs="Times New Roman"/>
          <w:bCs/>
          <w:iCs/>
          <w:sz w:val="24"/>
          <w:szCs w:val="24"/>
        </w:rPr>
        <w:t>Zmiany mają na celu przeciwdziałanie optymalizacji podatkowej z wykorzystaniem opodatkowania ryczałtem od przychodów ewidencjonowanych.</w:t>
      </w:r>
    </w:p>
    <w:p w14:paraId="3FAB2EAC" w14:textId="77777777" w:rsidR="00B23BF6" w:rsidRPr="001210F7" w:rsidRDefault="00B23BF6" w:rsidP="00B23BF6">
      <w:pPr>
        <w:spacing w:before="240" w:after="120" w:line="360" w:lineRule="auto"/>
        <w:jc w:val="both"/>
        <w:rPr>
          <w:rFonts w:ascii="Times New Roman" w:eastAsia="Calibri" w:hAnsi="Times New Roman" w:cs="Times New Roman"/>
          <w:b/>
          <w:iCs/>
          <w:sz w:val="24"/>
          <w:szCs w:val="24"/>
        </w:rPr>
      </w:pPr>
      <w:r w:rsidRPr="008C4674">
        <w:rPr>
          <w:rFonts w:ascii="Times New Roman" w:eastAsia="Calibri" w:hAnsi="Times New Roman" w:cs="Times New Roman"/>
          <w:bCs/>
          <w:iCs/>
          <w:sz w:val="24"/>
          <w:szCs w:val="24"/>
        </w:rPr>
        <w:t>Zmiany polegają na:</w:t>
      </w:r>
      <w:r>
        <w:rPr>
          <w:rFonts w:ascii="Times New Roman" w:eastAsia="Calibri" w:hAnsi="Times New Roman" w:cs="Times New Roman"/>
          <w:b/>
          <w:iCs/>
          <w:sz w:val="24"/>
          <w:szCs w:val="24"/>
        </w:rPr>
        <w:t xml:space="preserve"> </w:t>
      </w:r>
    </w:p>
    <w:p w14:paraId="252A4E9C" w14:textId="07A34A9F" w:rsidR="00B23BF6" w:rsidRPr="001210F7" w:rsidRDefault="00B23BF6" w:rsidP="00B23BF6">
      <w:pPr>
        <w:spacing w:before="120" w:line="360" w:lineRule="auto"/>
        <w:ind w:left="708"/>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a) </w:t>
      </w:r>
      <w:r w:rsidRPr="001210F7">
        <w:rPr>
          <w:rFonts w:ascii="Times New Roman" w:eastAsia="Calibri" w:hAnsi="Times New Roman" w:cs="Times New Roman"/>
          <w:bCs/>
          <w:iCs/>
          <w:sz w:val="24"/>
          <w:szCs w:val="24"/>
        </w:rPr>
        <w:t>poszerzeni</w:t>
      </w:r>
      <w:r>
        <w:rPr>
          <w:rFonts w:ascii="Times New Roman" w:eastAsia="Calibri" w:hAnsi="Times New Roman" w:cs="Times New Roman"/>
          <w:bCs/>
          <w:iCs/>
          <w:sz w:val="24"/>
          <w:szCs w:val="24"/>
        </w:rPr>
        <w:t>u</w:t>
      </w:r>
      <w:r w:rsidRPr="001210F7">
        <w:rPr>
          <w:rFonts w:ascii="Times New Roman" w:eastAsia="Calibri" w:hAnsi="Times New Roman" w:cs="Times New Roman"/>
          <w:bCs/>
          <w:iCs/>
          <w:sz w:val="24"/>
          <w:szCs w:val="24"/>
        </w:rPr>
        <w:t xml:space="preserve"> katalogu przychodów opodatkowanych 17</w:t>
      </w:r>
      <w:r w:rsidR="00B152C9">
        <w:rPr>
          <w:rFonts w:ascii="Times New Roman" w:eastAsia="Calibri" w:hAnsi="Times New Roman" w:cs="Times New Roman"/>
          <w:bCs/>
          <w:iCs/>
          <w:sz w:val="24"/>
          <w:szCs w:val="24"/>
        </w:rPr>
        <w:t xml:space="preserve"> </w:t>
      </w:r>
      <w:r w:rsidRPr="001210F7">
        <w:rPr>
          <w:rFonts w:ascii="Times New Roman" w:eastAsia="Calibri" w:hAnsi="Times New Roman" w:cs="Times New Roman"/>
          <w:bCs/>
          <w:iCs/>
          <w:sz w:val="24"/>
          <w:szCs w:val="24"/>
        </w:rPr>
        <w:t>% stawką ryczałtu od przychodów ewidencjonowanych</w:t>
      </w:r>
    </w:p>
    <w:p w14:paraId="63166D25" w14:textId="1B3ABBAC" w:rsidR="00B23BF6" w:rsidRPr="001210F7" w:rsidRDefault="00B23BF6" w:rsidP="00B23BF6">
      <w:pPr>
        <w:spacing w:before="120" w:line="360" w:lineRule="auto"/>
        <w:jc w:val="both"/>
        <w:rPr>
          <w:rFonts w:ascii="Times New Roman" w:eastAsia="Calibri" w:hAnsi="Times New Roman" w:cs="Times New Roman"/>
          <w:bCs/>
          <w:iCs/>
          <w:sz w:val="24"/>
          <w:szCs w:val="24"/>
        </w:rPr>
      </w:pPr>
      <w:r w:rsidRPr="001210F7">
        <w:rPr>
          <w:rFonts w:ascii="Times New Roman" w:eastAsia="Calibri" w:hAnsi="Times New Roman" w:cs="Times New Roman"/>
          <w:bCs/>
          <w:iCs/>
          <w:sz w:val="24"/>
          <w:szCs w:val="24"/>
        </w:rPr>
        <w:t>W obecnie obowiązującym stanie prawnym podatnicy</w:t>
      </w:r>
      <w:r>
        <w:rPr>
          <w:rFonts w:ascii="Times New Roman" w:eastAsia="Calibri" w:hAnsi="Times New Roman" w:cs="Times New Roman"/>
          <w:bCs/>
          <w:iCs/>
          <w:sz w:val="24"/>
          <w:szCs w:val="24"/>
        </w:rPr>
        <w:t>,</w:t>
      </w:r>
      <w:r w:rsidRPr="001210F7">
        <w:rPr>
          <w:rFonts w:ascii="Times New Roman" w:eastAsia="Calibri" w:hAnsi="Times New Roman" w:cs="Times New Roman"/>
          <w:bCs/>
          <w:iCs/>
          <w:sz w:val="24"/>
          <w:szCs w:val="24"/>
        </w:rPr>
        <w:t xml:space="preserve"> stosujący opodatkowanie ryczałtowe, stosunkowo często korzystają z mechanizmu optymalizacyjnego</w:t>
      </w:r>
      <w:r>
        <w:rPr>
          <w:rFonts w:ascii="Times New Roman" w:eastAsia="Calibri" w:hAnsi="Times New Roman" w:cs="Times New Roman"/>
          <w:bCs/>
          <w:iCs/>
          <w:sz w:val="24"/>
          <w:szCs w:val="24"/>
        </w:rPr>
        <w:t>,</w:t>
      </w:r>
      <w:r w:rsidRPr="001210F7">
        <w:rPr>
          <w:rFonts w:ascii="Times New Roman" w:eastAsia="Calibri" w:hAnsi="Times New Roman" w:cs="Times New Roman"/>
          <w:bCs/>
          <w:iCs/>
          <w:sz w:val="24"/>
          <w:szCs w:val="24"/>
        </w:rPr>
        <w:t xml:space="preserve"> polegającego na </w:t>
      </w:r>
      <w:r>
        <w:rPr>
          <w:rFonts w:ascii="Times New Roman" w:eastAsia="Calibri" w:hAnsi="Times New Roman" w:cs="Times New Roman"/>
          <w:bCs/>
          <w:iCs/>
          <w:sz w:val="24"/>
          <w:szCs w:val="24"/>
        </w:rPr>
        <w:t>zawieraniu umów</w:t>
      </w:r>
      <w:r w:rsidRPr="001210F7">
        <w:rPr>
          <w:rFonts w:ascii="Times New Roman" w:eastAsia="Calibri" w:hAnsi="Times New Roman" w:cs="Times New Roman"/>
          <w:bCs/>
          <w:iCs/>
          <w:sz w:val="24"/>
          <w:szCs w:val="24"/>
        </w:rPr>
        <w:t xml:space="preserve"> </w:t>
      </w:r>
      <w:r w:rsidRPr="00EB0A67">
        <w:rPr>
          <w:rFonts w:ascii="Times New Roman" w:eastAsia="Calibri" w:hAnsi="Times New Roman" w:cs="Times New Roman"/>
          <w:bCs/>
          <w:iCs/>
          <w:sz w:val="24"/>
          <w:szCs w:val="24"/>
        </w:rPr>
        <w:t xml:space="preserve">najmu, dzierżawy lub </w:t>
      </w:r>
      <w:r>
        <w:rPr>
          <w:rFonts w:ascii="Times New Roman" w:eastAsia="Calibri" w:hAnsi="Times New Roman" w:cs="Times New Roman"/>
          <w:bCs/>
          <w:iCs/>
          <w:sz w:val="24"/>
          <w:szCs w:val="24"/>
        </w:rPr>
        <w:t>umów</w:t>
      </w:r>
      <w:r w:rsidRPr="00EB0A67">
        <w:rPr>
          <w:rFonts w:ascii="Times New Roman" w:eastAsia="Calibri" w:hAnsi="Times New Roman" w:cs="Times New Roman"/>
          <w:bCs/>
          <w:iCs/>
          <w:sz w:val="24"/>
          <w:szCs w:val="24"/>
        </w:rPr>
        <w:t xml:space="preserve"> o podobnym charakterze własności intelektualnej i podobnych produktów z wyłączeniem prac chronionych prawem autorskim</w:t>
      </w:r>
      <w:r w:rsidRPr="001210F7">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z </w:t>
      </w:r>
      <w:r w:rsidRPr="001210F7">
        <w:rPr>
          <w:rFonts w:ascii="Times New Roman" w:eastAsia="Calibri" w:hAnsi="Times New Roman" w:cs="Times New Roman"/>
          <w:bCs/>
          <w:iCs/>
          <w:sz w:val="24"/>
          <w:szCs w:val="24"/>
        </w:rPr>
        <w:t>podmiot</w:t>
      </w:r>
      <w:r>
        <w:rPr>
          <w:rFonts w:ascii="Times New Roman" w:eastAsia="Calibri" w:hAnsi="Times New Roman" w:cs="Times New Roman"/>
          <w:bCs/>
          <w:iCs/>
          <w:sz w:val="24"/>
          <w:szCs w:val="24"/>
        </w:rPr>
        <w:t>em</w:t>
      </w:r>
      <w:r w:rsidRPr="001210F7">
        <w:rPr>
          <w:rFonts w:ascii="Times New Roman" w:eastAsia="Calibri" w:hAnsi="Times New Roman" w:cs="Times New Roman"/>
          <w:bCs/>
          <w:iCs/>
          <w:sz w:val="24"/>
          <w:szCs w:val="24"/>
        </w:rPr>
        <w:t xml:space="preserve"> powiązan</w:t>
      </w:r>
      <w:r>
        <w:rPr>
          <w:rFonts w:ascii="Times New Roman" w:eastAsia="Calibri" w:hAnsi="Times New Roman" w:cs="Times New Roman"/>
          <w:bCs/>
          <w:iCs/>
          <w:sz w:val="24"/>
          <w:szCs w:val="24"/>
        </w:rPr>
        <w:t>ym</w:t>
      </w:r>
      <w:r w:rsidRPr="001210F7">
        <w:rPr>
          <w:rFonts w:ascii="Times New Roman" w:eastAsia="Calibri" w:hAnsi="Times New Roman" w:cs="Times New Roman"/>
          <w:bCs/>
          <w:iCs/>
          <w:sz w:val="24"/>
          <w:szCs w:val="24"/>
        </w:rPr>
        <w:t xml:space="preserve">. </w:t>
      </w:r>
    </w:p>
    <w:p w14:paraId="6E66004D" w14:textId="73AE6CFC" w:rsidR="00B23BF6" w:rsidRPr="007802DF" w:rsidRDefault="00B23BF6" w:rsidP="00B23BF6">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W praktyce działania organów Krajowej Administracji Skarbowej i Ministerstwa Finansów zidentyfikowano liczne przykłady następującego ustrukturyzowania relacji miedzy przedsiębiorcą</w:t>
      </w:r>
      <w:r w:rsidR="00D82970">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opodatkowanym ryczałtem od przychodów ewidencjonowanych, a podmiotami z nim powiązanymi (lub nim samym). Mianowicie, chodzi o sytuacje, gdy w</w:t>
      </w:r>
      <w:r w:rsidRPr="007802DF">
        <w:rPr>
          <w:rFonts w:ascii="Times New Roman" w:eastAsia="Calibri" w:hAnsi="Times New Roman" w:cs="Times New Roman"/>
          <w:bCs/>
          <w:iCs/>
          <w:sz w:val="24"/>
          <w:szCs w:val="24"/>
        </w:rPr>
        <w:t>spólnik spółki z</w:t>
      </w:r>
      <w:r>
        <w:rPr>
          <w:rFonts w:ascii="Times New Roman" w:eastAsia="Calibri" w:hAnsi="Times New Roman" w:cs="Times New Roman"/>
          <w:bCs/>
          <w:iCs/>
          <w:sz w:val="24"/>
          <w:szCs w:val="24"/>
        </w:rPr>
        <w:t> </w:t>
      </w:r>
      <w:r w:rsidRPr="007802DF">
        <w:rPr>
          <w:rFonts w:ascii="Times New Roman" w:eastAsia="Calibri" w:hAnsi="Times New Roman" w:cs="Times New Roman"/>
          <w:bCs/>
          <w:iCs/>
          <w:sz w:val="24"/>
          <w:szCs w:val="24"/>
        </w:rPr>
        <w:t xml:space="preserve">o.o. jest właścicielem znaku towarowego, który jest znakiem słownym i jednocześnie „nazwą”, pod którą działa spółka. Wspólnik wydzierżawia go tej spółce. Koszty dzierżawy spółka zalicza do kosztów uzyskania przychodów, przez co obniża podstawę opodatkowania </w:t>
      </w:r>
      <w:r w:rsidRPr="007802DF">
        <w:rPr>
          <w:rFonts w:ascii="Times New Roman" w:eastAsia="Calibri" w:hAnsi="Times New Roman" w:cs="Times New Roman"/>
          <w:bCs/>
          <w:iCs/>
          <w:sz w:val="24"/>
          <w:szCs w:val="24"/>
        </w:rPr>
        <w:lastRenderedPageBreak/>
        <w:t>CIT. Jednocześnie wspólnik rozlicza otrzymane należności ryczałtem od przychodów ewidencjonowanych w ramach tzw. najmu prywatnego i płaci ryczałt według stawki 8,5</w:t>
      </w:r>
      <w:r w:rsidR="00B152C9">
        <w:rPr>
          <w:rFonts w:ascii="Times New Roman" w:eastAsia="Calibri" w:hAnsi="Times New Roman" w:cs="Times New Roman"/>
          <w:bCs/>
          <w:iCs/>
          <w:sz w:val="24"/>
          <w:szCs w:val="24"/>
        </w:rPr>
        <w:t xml:space="preserve"> </w:t>
      </w:r>
      <w:r w:rsidRPr="007802DF">
        <w:rPr>
          <w:rFonts w:ascii="Times New Roman" w:eastAsia="Calibri" w:hAnsi="Times New Roman" w:cs="Times New Roman"/>
          <w:bCs/>
          <w:iCs/>
          <w:sz w:val="24"/>
          <w:szCs w:val="24"/>
        </w:rPr>
        <w:t>% (12,5</w:t>
      </w:r>
      <w:r w:rsidR="00B152C9">
        <w:rPr>
          <w:rFonts w:ascii="Times New Roman" w:eastAsia="Calibri" w:hAnsi="Times New Roman" w:cs="Times New Roman"/>
          <w:bCs/>
          <w:iCs/>
          <w:sz w:val="24"/>
          <w:szCs w:val="24"/>
        </w:rPr>
        <w:t xml:space="preserve"> </w:t>
      </w:r>
      <w:r w:rsidRPr="007802DF">
        <w:rPr>
          <w:rFonts w:ascii="Times New Roman" w:eastAsia="Calibri" w:hAnsi="Times New Roman" w:cs="Times New Roman"/>
          <w:bCs/>
          <w:iCs/>
          <w:sz w:val="24"/>
          <w:szCs w:val="24"/>
        </w:rPr>
        <w:t>% od nadwyżki ponad 100 000 zł przychodu). Gdyby świadczenia te były wypłacane w postaci dywidendy, podatnik opodatkowałby je stawką 19</w:t>
      </w:r>
      <w:r w:rsidR="00B152C9">
        <w:rPr>
          <w:rFonts w:ascii="Times New Roman" w:eastAsia="Calibri" w:hAnsi="Times New Roman" w:cs="Times New Roman"/>
          <w:bCs/>
          <w:iCs/>
          <w:sz w:val="24"/>
          <w:szCs w:val="24"/>
        </w:rPr>
        <w:t xml:space="preserve"> </w:t>
      </w:r>
      <w:r w:rsidRPr="007802DF">
        <w:rPr>
          <w:rFonts w:ascii="Times New Roman" w:eastAsia="Calibri" w:hAnsi="Times New Roman" w:cs="Times New Roman"/>
          <w:bCs/>
          <w:iCs/>
          <w:sz w:val="24"/>
          <w:szCs w:val="24"/>
        </w:rPr>
        <w:t>%, która dodatkowo nie stanowiłaby dla spółki kosztu podatkowego — w rezultacie obie strony uzyskują korzyść podatkową poprzez zastąpienie dywidendy wynagrodzeniem za dzierżawę znaku towarowego.</w:t>
      </w:r>
    </w:p>
    <w:p w14:paraId="5A267E56" w14:textId="607C1833" w:rsidR="00B23BF6" w:rsidRDefault="00B23BF6" w:rsidP="00B23BF6">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W celu przeciwdziałania tej praktyce</w:t>
      </w:r>
      <w:r w:rsidR="00D82970">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w:t>
      </w:r>
      <w:r w:rsidRPr="001210F7">
        <w:rPr>
          <w:rFonts w:ascii="Times New Roman" w:eastAsia="Calibri" w:hAnsi="Times New Roman" w:cs="Times New Roman"/>
          <w:bCs/>
          <w:iCs/>
          <w:sz w:val="24"/>
          <w:szCs w:val="24"/>
        </w:rPr>
        <w:t>projekt zakłada opodatkowanie przychodów</w:t>
      </w:r>
      <w:r>
        <w:rPr>
          <w:rFonts w:ascii="Times New Roman" w:eastAsia="Calibri" w:hAnsi="Times New Roman" w:cs="Times New Roman"/>
          <w:bCs/>
          <w:iCs/>
          <w:sz w:val="24"/>
          <w:szCs w:val="24"/>
        </w:rPr>
        <w:t xml:space="preserve"> osiąganych</w:t>
      </w:r>
      <w:r w:rsidRPr="001210F7">
        <w:rPr>
          <w:rFonts w:ascii="Times New Roman" w:eastAsia="Calibri" w:hAnsi="Times New Roman" w:cs="Times New Roman"/>
          <w:bCs/>
          <w:iCs/>
          <w:sz w:val="24"/>
          <w:szCs w:val="24"/>
        </w:rPr>
        <w:t xml:space="preserve"> </w:t>
      </w:r>
      <w:r w:rsidRPr="00D35D39">
        <w:rPr>
          <w:rFonts w:ascii="Times New Roman" w:eastAsia="Calibri" w:hAnsi="Times New Roman" w:cs="Times New Roman"/>
          <w:bCs/>
          <w:iCs/>
          <w:sz w:val="24"/>
          <w:szCs w:val="24"/>
        </w:rPr>
        <w:t xml:space="preserve">z tytułu </w:t>
      </w:r>
      <w:r>
        <w:rPr>
          <w:rFonts w:ascii="Times New Roman" w:eastAsia="Calibri" w:hAnsi="Times New Roman" w:cs="Times New Roman"/>
          <w:bCs/>
          <w:iCs/>
          <w:sz w:val="24"/>
          <w:szCs w:val="24"/>
        </w:rPr>
        <w:t>umowy</w:t>
      </w:r>
      <w:r w:rsidRPr="00D35D39">
        <w:rPr>
          <w:rFonts w:ascii="Times New Roman" w:eastAsia="Calibri" w:hAnsi="Times New Roman" w:cs="Times New Roman"/>
          <w:bCs/>
          <w:iCs/>
          <w:sz w:val="24"/>
          <w:szCs w:val="24"/>
        </w:rPr>
        <w:t xml:space="preserve"> najmu, dzierżawy lub </w:t>
      </w:r>
      <w:r>
        <w:rPr>
          <w:rFonts w:ascii="Times New Roman" w:eastAsia="Calibri" w:hAnsi="Times New Roman" w:cs="Times New Roman"/>
          <w:bCs/>
          <w:iCs/>
          <w:sz w:val="24"/>
          <w:szCs w:val="24"/>
        </w:rPr>
        <w:t>umowy</w:t>
      </w:r>
      <w:r w:rsidRPr="00D35D39">
        <w:rPr>
          <w:rFonts w:ascii="Times New Roman" w:eastAsia="Calibri" w:hAnsi="Times New Roman" w:cs="Times New Roman"/>
          <w:bCs/>
          <w:iCs/>
          <w:sz w:val="24"/>
          <w:szCs w:val="24"/>
        </w:rPr>
        <w:t xml:space="preserve"> o podobnym charakterze własności intelektualnej i podobnych produktów z wyłączeniem prac chronionych prawem autorskim</w:t>
      </w:r>
      <w:r>
        <w:rPr>
          <w:rFonts w:ascii="Times New Roman" w:eastAsia="Calibri" w:hAnsi="Times New Roman" w:cs="Times New Roman"/>
          <w:bCs/>
          <w:iCs/>
          <w:sz w:val="24"/>
          <w:szCs w:val="24"/>
        </w:rPr>
        <w:t>, zawartej z podmiotem powiązanym, według</w:t>
      </w:r>
      <w:r w:rsidRPr="001210F7">
        <w:rPr>
          <w:rFonts w:ascii="Times New Roman" w:eastAsia="Calibri" w:hAnsi="Times New Roman" w:cs="Times New Roman"/>
          <w:bCs/>
          <w:iCs/>
          <w:sz w:val="24"/>
          <w:szCs w:val="24"/>
        </w:rPr>
        <w:t xml:space="preserve"> stawk</w:t>
      </w:r>
      <w:r>
        <w:rPr>
          <w:rFonts w:ascii="Times New Roman" w:eastAsia="Calibri" w:hAnsi="Times New Roman" w:cs="Times New Roman"/>
          <w:bCs/>
          <w:iCs/>
          <w:sz w:val="24"/>
          <w:szCs w:val="24"/>
        </w:rPr>
        <w:t>i</w:t>
      </w:r>
      <w:r w:rsidRPr="001210F7">
        <w:rPr>
          <w:rFonts w:ascii="Times New Roman" w:eastAsia="Calibri" w:hAnsi="Times New Roman" w:cs="Times New Roman"/>
          <w:bCs/>
          <w:iCs/>
          <w:sz w:val="24"/>
          <w:szCs w:val="24"/>
        </w:rPr>
        <w:t xml:space="preserve"> 17</w:t>
      </w:r>
      <w:r w:rsidR="00B152C9">
        <w:rPr>
          <w:rFonts w:ascii="Times New Roman" w:eastAsia="Calibri" w:hAnsi="Times New Roman" w:cs="Times New Roman"/>
          <w:bCs/>
          <w:iCs/>
          <w:sz w:val="24"/>
          <w:szCs w:val="24"/>
        </w:rPr>
        <w:t xml:space="preserve"> </w:t>
      </w:r>
      <w:r w:rsidRPr="001210F7">
        <w:rPr>
          <w:rFonts w:ascii="Times New Roman" w:eastAsia="Calibri" w:hAnsi="Times New Roman" w:cs="Times New Roman"/>
          <w:bCs/>
          <w:iCs/>
          <w:sz w:val="24"/>
          <w:szCs w:val="24"/>
        </w:rPr>
        <w:t xml:space="preserve">%. Podmiot powiązany to podmiot w rozumieniu art. 23m ust. 1 pkt 4 ustawy </w:t>
      </w:r>
      <w:r>
        <w:rPr>
          <w:rFonts w:ascii="Times New Roman" w:eastAsia="Calibri" w:hAnsi="Times New Roman" w:cs="Times New Roman"/>
          <w:bCs/>
          <w:iCs/>
          <w:sz w:val="24"/>
          <w:szCs w:val="24"/>
        </w:rPr>
        <w:t xml:space="preserve">o </w:t>
      </w:r>
      <w:r w:rsidRPr="001210F7">
        <w:rPr>
          <w:rFonts w:ascii="Times New Roman" w:eastAsia="Calibri" w:hAnsi="Times New Roman" w:cs="Times New Roman"/>
          <w:bCs/>
          <w:iCs/>
          <w:sz w:val="24"/>
          <w:szCs w:val="24"/>
        </w:rPr>
        <w:t>PIT (spółki osobowej i kapitałowej, w której są wspólnikami, członkami zarządu</w:t>
      </w:r>
      <w:r>
        <w:rPr>
          <w:rFonts w:ascii="Times New Roman" w:eastAsia="Calibri" w:hAnsi="Times New Roman" w:cs="Times New Roman"/>
          <w:bCs/>
          <w:iCs/>
          <w:sz w:val="24"/>
          <w:szCs w:val="24"/>
        </w:rPr>
        <w:t xml:space="preserve">, </w:t>
      </w:r>
      <w:r w:rsidRPr="001210F7">
        <w:rPr>
          <w:rFonts w:ascii="Times New Roman" w:eastAsia="Calibri" w:hAnsi="Times New Roman" w:cs="Times New Roman"/>
          <w:bCs/>
          <w:iCs/>
          <w:sz w:val="24"/>
          <w:szCs w:val="24"/>
        </w:rPr>
        <w:t xml:space="preserve">itp.). </w:t>
      </w:r>
    </w:p>
    <w:p w14:paraId="11C98688" w14:textId="0486BE13" w:rsidR="00B23BF6" w:rsidRDefault="00B23BF6" w:rsidP="00B23BF6">
      <w:pPr>
        <w:spacing w:before="120" w:line="360" w:lineRule="auto"/>
        <w:ind w:left="708"/>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b) </w:t>
      </w:r>
      <w:r w:rsidRPr="00532242">
        <w:rPr>
          <w:rFonts w:ascii="Times New Roman" w:eastAsia="Calibri" w:hAnsi="Times New Roman" w:cs="Times New Roman"/>
          <w:bCs/>
          <w:iCs/>
          <w:sz w:val="24"/>
          <w:szCs w:val="24"/>
        </w:rPr>
        <w:t>opodatkowani</w:t>
      </w:r>
      <w:r>
        <w:rPr>
          <w:rFonts w:ascii="Times New Roman" w:eastAsia="Calibri" w:hAnsi="Times New Roman" w:cs="Times New Roman"/>
          <w:bCs/>
          <w:iCs/>
          <w:sz w:val="24"/>
          <w:szCs w:val="24"/>
        </w:rPr>
        <w:t>u</w:t>
      </w:r>
      <w:r w:rsidRPr="00532242">
        <w:rPr>
          <w:rFonts w:ascii="Times New Roman" w:eastAsia="Calibri" w:hAnsi="Times New Roman" w:cs="Times New Roman"/>
          <w:bCs/>
          <w:iCs/>
          <w:sz w:val="24"/>
          <w:szCs w:val="24"/>
        </w:rPr>
        <w:t xml:space="preserve"> stawką 15</w:t>
      </w:r>
      <w:r w:rsidR="00B152C9">
        <w:rPr>
          <w:rFonts w:ascii="Times New Roman" w:eastAsia="Calibri" w:hAnsi="Times New Roman" w:cs="Times New Roman"/>
          <w:bCs/>
          <w:iCs/>
          <w:sz w:val="24"/>
          <w:szCs w:val="24"/>
        </w:rPr>
        <w:t xml:space="preserve"> </w:t>
      </w:r>
      <w:r w:rsidRPr="00532242">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ryczałtu </w:t>
      </w:r>
      <w:r w:rsidRPr="00532242">
        <w:rPr>
          <w:rFonts w:ascii="Times New Roman" w:eastAsia="Calibri" w:hAnsi="Times New Roman" w:cs="Times New Roman"/>
          <w:bCs/>
          <w:iCs/>
          <w:sz w:val="24"/>
          <w:szCs w:val="24"/>
        </w:rPr>
        <w:t>przychodów z najmu powyżej 100 tys. zł (prywatnego, jak i w ramach działalności gospodarczej) świadczonego na rzecz podmiotów powiązanych</w:t>
      </w:r>
    </w:p>
    <w:p w14:paraId="7B3AC859" w14:textId="0CC7067E" w:rsidR="00B23BF6" w:rsidRDefault="00B23BF6" w:rsidP="00B23BF6">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Podatnicy stosują w tym przypadku mechanizm optymalizacyjny</w:t>
      </w:r>
      <w:r w:rsidR="00D82970">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analogiczny jak w przypadku dzierżawy wartości niematerialnych i prawnych na rzecz podmiotów powiązanych z podatnikiem. </w:t>
      </w:r>
    </w:p>
    <w:p w14:paraId="19250056" w14:textId="32AB80F7" w:rsidR="00B23BF6" w:rsidRDefault="00B23BF6" w:rsidP="00B23BF6">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Z tego względu proponuje się opodatkowanie stawką 15</w:t>
      </w:r>
      <w:r w:rsidR="00B152C9">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przychodów od nadwyżki ponad kwotę 100 000 zł uzyskanych z tytułu szeroko rozumianego najmu (zarówno najmu świadczonego w ramach działalności gospodarczej, jak i najmu prywatnego)</w:t>
      </w:r>
      <w:r w:rsidR="00D82970">
        <w:rPr>
          <w:rFonts w:ascii="Times New Roman" w:eastAsia="Calibri" w:hAnsi="Times New Roman" w:cs="Times New Roman"/>
          <w:bCs/>
          <w:iCs/>
          <w:sz w:val="24"/>
          <w:szCs w:val="24"/>
        </w:rPr>
        <w:t>,</w:t>
      </w:r>
      <w:r>
        <w:rPr>
          <w:rFonts w:ascii="Times New Roman" w:eastAsia="Calibri" w:hAnsi="Times New Roman" w:cs="Times New Roman"/>
          <w:bCs/>
          <w:iCs/>
          <w:sz w:val="24"/>
          <w:szCs w:val="24"/>
        </w:rPr>
        <w:t xml:space="preserve"> w przypadku gdy usługi te będą świadczone na rzecz podmiotu powiązanego z podatnikiem.</w:t>
      </w:r>
    </w:p>
    <w:p w14:paraId="22A4B49E" w14:textId="4691FA1A" w:rsidR="00B23BF6" w:rsidRPr="006A54B5" w:rsidRDefault="00B23BF6" w:rsidP="00B23BF6">
      <w:pPr>
        <w:spacing w:before="12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Po zmianach stawka 8,5</w:t>
      </w:r>
      <w:r w:rsidR="00B152C9">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będzie miała zastosowanie do przychodów z najmu do kwoty 100 000 zł niezależnie od tego, czy przychody te będą uzyskiwane od podmiotu powiązanego czy też nie. Natomiast nadwyżka przychodów powyżej 100</w:t>
      </w:r>
      <w:r w:rsidR="008F269E">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000 zł będzie opodatkowana stawką 12,5</w:t>
      </w:r>
      <w:r w:rsidR="00B152C9">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albo stawką 15</w:t>
      </w:r>
      <w:r w:rsidR="00B152C9">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 </w:t>
      </w:r>
      <w:r w:rsidR="00B152C9">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w przypadku przychodów uzyskanych od podmiotu powiązanego.</w:t>
      </w:r>
    </w:p>
    <w:p w14:paraId="60450BC8" w14:textId="6EDF0355" w:rsidR="003A3237" w:rsidRPr="001210F7" w:rsidRDefault="003A3237" w:rsidP="0027548A">
      <w:pPr>
        <w:pStyle w:val="Akapitzlist"/>
        <w:numPr>
          <w:ilvl w:val="0"/>
          <w:numId w:val="2"/>
        </w:numPr>
        <w:shd w:val="clear" w:color="auto" w:fill="FFFFFF" w:themeFill="background1"/>
        <w:spacing w:before="360" w:after="240" w:line="360" w:lineRule="auto"/>
        <w:ind w:left="714" w:hanging="357"/>
        <w:contextualSpacing w:val="0"/>
        <w:jc w:val="both"/>
        <w:rPr>
          <w:rFonts w:ascii="Times New Roman" w:eastAsia="Times New Roman" w:hAnsi="Times New Roman" w:cs="Times New Roman"/>
          <w:b/>
          <w:color w:val="0070C0"/>
          <w:sz w:val="24"/>
          <w:szCs w:val="24"/>
          <w:lang w:eastAsia="pl-PL"/>
        </w:rPr>
      </w:pPr>
      <w:r w:rsidRPr="001210F7">
        <w:rPr>
          <w:rFonts w:ascii="Times New Roman" w:eastAsia="Times New Roman" w:hAnsi="Times New Roman" w:cs="Times New Roman"/>
          <w:b/>
          <w:color w:val="0070C0"/>
          <w:sz w:val="24"/>
          <w:szCs w:val="24"/>
          <w:lang w:eastAsia="pl-PL"/>
        </w:rPr>
        <w:t>Przepisy przejściowe</w:t>
      </w:r>
      <w:r w:rsidR="00745AEA">
        <w:rPr>
          <w:rFonts w:ascii="Times New Roman" w:eastAsia="Times New Roman" w:hAnsi="Times New Roman" w:cs="Times New Roman"/>
          <w:b/>
          <w:color w:val="0070C0"/>
          <w:sz w:val="24"/>
          <w:szCs w:val="24"/>
          <w:lang w:eastAsia="pl-PL"/>
        </w:rPr>
        <w:t xml:space="preserve"> i</w:t>
      </w:r>
      <w:r w:rsidRPr="001210F7">
        <w:rPr>
          <w:rFonts w:ascii="Times New Roman" w:eastAsia="Times New Roman" w:hAnsi="Times New Roman" w:cs="Times New Roman"/>
          <w:b/>
          <w:color w:val="0070C0"/>
          <w:sz w:val="24"/>
          <w:szCs w:val="24"/>
          <w:lang w:eastAsia="pl-PL"/>
        </w:rPr>
        <w:t xml:space="preserve"> końcowe</w:t>
      </w:r>
      <w:r w:rsidR="008209DD">
        <w:rPr>
          <w:rFonts w:ascii="Times New Roman" w:eastAsia="Times New Roman" w:hAnsi="Times New Roman" w:cs="Times New Roman"/>
          <w:b/>
          <w:color w:val="0070C0"/>
          <w:sz w:val="24"/>
          <w:szCs w:val="24"/>
          <w:lang w:eastAsia="pl-PL"/>
        </w:rPr>
        <w:t>.</w:t>
      </w:r>
    </w:p>
    <w:p w14:paraId="65D3BD72" w14:textId="77777777"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r w:rsidRPr="0033216D">
        <w:rPr>
          <w:rFonts w:ascii="Times New Roman" w:eastAsia="Times New Roman" w:hAnsi="Times New Roman" w:cs="Times New Roman"/>
          <w:bCs/>
          <w:sz w:val="24"/>
          <w:szCs w:val="24"/>
          <w:lang w:eastAsia="pl-PL"/>
        </w:rPr>
        <w:t>W projekcie ustawy przewiduje się również wprowadzenie odpowiednich przepisów przejściowych (art. 4–6 projektu).</w:t>
      </w:r>
    </w:p>
    <w:p w14:paraId="0717B4A8" w14:textId="69349A46"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r w:rsidRPr="0033216D">
        <w:rPr>
          <w:rFonts w:ascii="Times New Roman" w:eastAsia="Times New Roman" w:hAnsi="Times New Roman" w:cs="Times New Roman"/>
          <w:bCs/>
          <w:sz w:val="24"/>
          <w:szCs w:val="24"/>
          <w:lang w:eastAsia="pl-PL"/>
        </w:rPr>
        <w:lastRenderedPageBreak/>
        <w:t xml:space="preserve">W </w:t>
      </w:r>
      <w:r w:rsidRPr="0076012D">
        <w:rPr>
          <w:rFonts w:ascii="Times New Roman" w:eastAsia="Times New Roman" w:hAnsi="Times New Roman" w:cs="Times New Roman"/>
          <w:b/>
          <w:sz w:val="24"/>
          <w:szCs w:val="24"/>
          <w:lang w:eastAsia="pl-PL"/>
        </w:rPr>
        <w:t>art. 4 ust. 1</w:t>
      </w:r>
      <w:r w:rsidRPr="0033216D">
        <w:rPr>
          <w:rFonts w:ascii="Times New Roman" w:eastAsia="Times New Roman" w:hAnsi="Times New Roman" w:cs="Times New Roman"/>
          <w:bCs/>
          <w:sz w:val="24"/>
          <w:szCs w:val="24"/>
          <w:lang w:eastAsia="pl-PL"/>
        </w:rPr>
        <w:t xml:space="preserve"> wskazano, że przepisy ustawy o PIT i ustawy o ryczałcie, w brzmieniu nadanym projektem ustawy, mają zastosowanie do dochodów (przychodów) uzyskanych od dnia 1 stycznia 2027 r., z określonymi w punktach 1</w:t>
      </w:r>
      <w:r w:rsidR="00B152C9">
        <w:rPr>
          <w:rFonts w:ascii="Times New Roman" w:eastAsia="Times New Roman" w:hAnsi="Times New Roman" w:cs="Times New Roman"/>
          <w:bCs/>
          <w:sz w:val="24"/>
          <w:szCs w:val="24"/>
          <w:lang w:eastAsia="pl-PL"/>
        </w:rPr>
        <w:t>–</w:t>
      </w:r>
      <w:r w:rsidRPr="0033216D">
        <w:rPr>
          <w:rFonts w:ascii="Times New Roman" w:eastAsia="Times New Roman" w:hAnsi="Times New Roman" w:cs="Times New Roman"/>
          <w:bCs/>
          <w:sz w:val="24"/>
          <w:szCs w:val="24"/>
          <w:lang w:eastAsia="pl-PL"/>
        </w:rPr>
        <w:t>4 wyjątkami.</w:t>
      </w:r>
    </w:p>
    <w:p w14:paraId="337A3646" w14:textId="77777777"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r w:rsidRPr="0033216D">
        <w:rPr>
          <w:rFonts w:ascii="Times New Roman" w:eastAsia="Times New Roman" w:hAnsi="Times New Roman" w:cs="Times New Roman"/>
          <w:bCs/>
          <w:sz w:val="24"/>
          <w:szCs w:val="24"/>
          <w:lang w:eastAsia="pl-PL"/>
        </w:rPr>
        <w:t xml:space="preserve">W </w:t>
      </w:r>
      <w:r w:rsidRPr="0076012D">
        <w:rPr>
          <w:rFonts w:ascii="Times New Roman" w:eastAsia="Times New Roman" w:hAnsi="Times New Roman" w:cs="Times New Roman"/>
          <w:b/>
          <w:sz w:val="24"/>
          <w:szCs w:val="24"/>
          <w:lang w:eastAsia="pl-PL"/>
        </w:rPr>
        <w:t>punkcie 1</w:t>
      </w:r>
      <w:r w:rsidRPr="0033216D">
        <w:rPr>
          <w:rFonts w:ascii="Times New Roman" w:eastAsia="Times New Roman" w:hAnsi="Times New Roman" w:cs="Times New Roman"/>
          <w:bCs/>
          <w:sz w:val="24"/>
          <w:szCs w:val="24"/>
          <w:lang w:eastAsia="pl-PL"/>
        </w:rPr>
        <w:t xml:space="preserve"> wskazano na przepisy ustawy o PIT, które mają zastosowanie do przychodów (dochodów) uzyskanych od dnia 1 stycznia 2024 r. i są to przepisy dotyczące:</w:t>
      </w:r>
    </w:p>
    <w:p w14:paraId="7280D978" w14:textId="7BF627BD" w:rsidR="0033216D" w:rsidRPr="00EE61B3" w:rsidRDefault="0033216D" w:rsidP="00EE61B3">
      <w:pPr>
        <w:pStyle w:val="Akapitzlist"/>
        <w:numPr>
          <w:ilvl w:val="0"/>
          <w:numId w:val="85"/>
        </w:numPr>
        <w:spacing w:before="120" w:line="360" w:lineRule="auto"/>
        <w:jc w:val="both"/>
        <w:rPr>
          <w:rFonts w:ascii="Times New Roman" w:eastAsia="Times New Roman" w:hAnsi="Times New Roman" w:cs="Times New Roman"/>
          <w:bCs/>
          <w:sz w:val="24"/>
          <w:szCs w:val="24"/>
          <w:lang w:eastAsia="pl-PL"/>
        </w:rPr>
      </w:pPr>
      <w:r w:rsidRPr="00EE61B3">
        <w:rPr>
          <w:rFonts w:ascii="Times New Roman" w:eastAsia="Times New Roman" w:hAnsi="Times New Roman" w:cs="Times New Roman"/>
          <w:bCs/>
          <w:sz w:val="24"/>
          <w:szCs w:val="24"/>
          <w:lang w:eastAsia="pl-PL"/>
        </w:rPr>
        <w:t>zwolnienia z opodatkowania podatkiem PIT dochodów z wykupu przez emitenta obligacji, od których są wypłacane świadczenia okresowe (art. 17 ust. 1 pkt 3a, art. 21 ust. 1 pkt 130, 130b–130d oraz art. 52a ust. 1</w:t>
      </w:r>
      <w:r w:rsidR="003A71C1">
        <w:rPr>
          <w:rFonts w:ascii="Times New Roman" w:eastAsia="Times New Roman" w:hAnsi="Times New Roman" w:cs="Times New Roman"/>
          <w:bCs/>
          <w:sz w:val="24"/>
          <w:szCs w:val="24"/>
          <w:lang w:eastAsia="pl-PL"/>
        </w:rPr>
        <w:t xml:space="preserve"> pkt 1</w:t>
      </w:r>
      <w:r w:rsidRPr="00EE61B3">
        <w:rPr>
          <w:rFonts w:ascii="Times New Roman" w:eastAsia="Times New Roman" w:hAnsi="Times New Roman" w:cs="Times New Roman"/>
          <w:bCs/>
          <w:sz w:val="24"/>
          <w:szCs w:val="24"/>
          <w:lang w:eastAsia="pl-PL"/>
        </w:rPr>
        <w:t xml:space="preserve"> i ust. 4 ustawy o PIT), </w:t>
      </w:r>
    </w:p>
    <w:p w14:paraId="5423B9B8" w14:textId="77777777" w:rsidR="0033216D" w:rsidRPr="00EE61B3" w:rsidRDefault="0033216D" w:rsidP="00EE61B3">
      <w:pPr>
        <w:pStyle w:val="Akapitzlist"/>
        <w:numPr>
          <w:ilvl w:val="0"/>
          <w:numId w:val="85"/>
        </w:numPr>
        <w:spacing w:before="120" w:line="360" w:lineRule="auto"/>
        <w:jc w:val="both"/>
        <w:rPr>
          <w:rFonts w:ascii="Times New Roman" w:eastAsia="Times New Roman" w:hAnsi="Times New Roman" w:cs="Times New Roman"/>
          <w:bCs/>
          <w:sz w:val="24"/>
          <w:szCs w:val="24"/>
          <w:lang w:eastAsia="pl-PL"/>
        </w:rPr>
      </w:pPr>
      <w:r w:rsidRPr="00EE61B3">
        <w:rPr>
          <w:rFonts w:ascii="Times New Roman" w:eastAsia="Times New Roman" w:hAnsi="Times New Roman" w:cs="Times New Roman"/>
          <w:bCs/>
          <w:sz w:val="24"/>
          <w:szCs w:val="24"/>
          <w:lang w:eastAsia="pl-PL"/>
        </w:rPr>
        <w:t>zwolnienia z obowiązków poboru podatku przez płatnika, w przypadku wykupu przez emitenta obligacji (art. 41 ust. 24 i 24b ustawy o PIT).</w:t>
      </w:r>
    </w:p>
    <w:p w14:paraId="79989BAF" w14:textId="220F5FAD"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r w:rsidRPr="0033216D">
        <w:rPr>
          <w:rFonts w:ascii="Times New Roman" w:eastAsia="Times New Roman" w:hAnsi="Times New Roman" w:cs="Times New Roman"/>
          <w:bCs/>
          <w:sz w:val="24"/>
          <w:szCs w:val="24"/>
          <w:lang w:eastAsia="pl-PL"/>
        </w:rPr>
        <w:t>Przepis wskazujący wprost datę wsteczną obowiązywania ww. zmian od 1 stycznia 2024 r. ma na celu uniknięcie ewentualnych wątpliwości, które mogłyby powstać</w:t>
      </w:r>
      <w:r w:rsidR="00302B3F">
        <w:rPr>
          <w:rFonts w:ascii="Times New Roman" w:eastAsia="Times New Roman" w:hAnsi="Times New Roman" w:cs="Times New Roman"/>
          <w:bCs/>
          <w:sz w:val="24"/>
          <w:szCs w:val="24"/>
          <w:lang w:eastAsia="pl-PL"/>
        </w:rPr>
        <w:t>,</w:t>
      </w:r>
      <w:r w:rsidRPr="0033216D">
        <w:rPr>
          <w:rFonts w:ascii="Times New Roman" w:eastAsia="Times New Roman" w:hAnsi="Times New Roman" w:cs="Times New Roman"/>
          <w:bCs/>
          <w:sz w:val="24"/>
          <w:szCs w:val="24"/>
          <w:lang w:eastAsia="pl-PL"/>
        </w:rPr>
        <w:t xml:space="preserve"> gdyby tego przepisu nie było. Zmiany te polegają tylko na doprecyzowaniu brzmienia przepisów ustawy o PIT obowiązujących od 1 stycznia 2024 r. (nie ma sygnałów, żeby w praktyce dochody z wykupu przez emitenta obligacji, od których są należne świadczenia okresowe, nie korzystały ze zwolnień podatkowych na takich samych</w:t>
      </w:r>
      <w:r w:rsidR="008F269E">
        <w:rPr>
          <w:rFonts w:ascii="Times New Roman" w:eastAsia="Times New Roman" w:hAnsi="Times New Roman" w:cs="Times New Roman"/>
          <w:bCs/>
          <w:sz w:val="24"/>
          <w:szCs w:val="24"/>
          <w:lang w:eastAsia="pl-PL"/>
        </w:rPr>
        <w:t xml:space="preserve"> </w:t>
      </w:r>
      <w:r w:rsidRPr="0033216D">
        <w:rPr>
          <w:rFonts w:ascii="Times New Roman" w:eastAsia="Times New Roman" w:hAnsi="Times New Roman" w:cs="Times New Roman"/>
          <w:bCs/>
          <w:sz w:val="24"/>
          <w:szCs w:val="24"/>
          <w:lang w:eastAsia="pl-PL"/>
        </w:rPr>
        <w:t>zasadach</w:t>
      </w:r>
      <w:r w:rsidR="00302B3F">
        <w:rPr>
          <w:rFonts w:ascii="Times New Roman" w:eastAsia="Times New Roman" w:hAnsi="Times New Roman" w:cs="Times New Roman"/>
          <w:bCs/>
          <w:sz w:val="24"/>
          <w:szCs w:val="24"/>
          <w:lang w:eastAsia="pl-PL"/>
        </w:rPr>
        <w:t>,</w:t>
      </w:r>
      <w:r w:rsidRPr="0033216D">
        <w:rPr>
          <w:rFonts w:ascii="Times New Roman" w:eastAsia="Times New Roman" w:hAnsi="Times New Roman" w:cs="Times New Roman"/>
          <w:bCs/>
          <w:sz w:val="24"/>
          <w:szCs w:val="24"/>
          <w:lang w:eastAsia="pl-PL"/>
        </w:rPr>
        <w:t xml:space="preserve"> jak odsetki i dyskonto od takich obligacji), a zatem mają charakter wynikowy wobec norm wdrożonych ustawą z dnia 26 maja 2023 r. o zmianie ustawy o podatku od towarów i usług oraz niektórych innych ustaw, i powinny być uregulowane razem z tamtymi regulacjami. Zmieniane przepisy nie tworzą nowych norm prawnych, a więc są neutralne podatkowo.</w:t>
      </w:r>
    </w:p>
    <w:p w14:paraId="6E999297" w14:textId="77777777"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r w:rsidRPr="0033216D">
        <w:rPr>
          <w:rFonts w:ascii="Times New Roman" w:eastAsia="Times New Roman" w:hAnsi="Times New Roman" w:cs="Times New Roman"/>
          <w:bCs/>
          <w:sz w:val="24"/>
          <w:szCs w:val="24"/>
          <w:lang w:eastAsia="pl-PL"/>
        </w:rPr>
        <w:t xml:space="preserve">W </w:t>
      </w:r>
      <w:r w:rsidRPr="0076012D">
        <w:rPr>
          <w:rFonts w:ascii="Times New Roman" w:eastAsia="Times New Roman" w:hAnsi="Times New Roman" w:cs="Times New Roman"/>
          <w:b/>
          <w:sz w:val="24"/>
          <w:szCs w:val="24"/>
          <w:lang w:eastAsia="pl-PL"/>
        </w:rPr>
        <w:t>punkcie 2</w:t>
      </w:r>
      <w:r w:rsidRPr="0033216D">
        <w:rPr>
          <w:rFonts w:ascii="Times New Roman" w:eastAsia="Times New Roman" w:hAnsi="Times New Roman" w:cs="Times New Roman"/>
          <w:bCs/>
          <w:sz w:val="24"/>
          <w:szCs w:val="24"/>
          <w:lang w:eastAsia="pl-PL"/>
        </w:rPr>
        <w:t xml:space="preserve"> wskazano, że przepisy dot. ustalania poziomu emisyjności CO2 dla potrzeb określenia limitu odpisów z tytułu zużycia samochodu osobowego (art. 23 ust. 1 pkt 4 lit. b i c ustawy o PIT), w brzmieniu nadanym projektem ustawy, mają zastosowanie do dochodów (przychodów) uzyskanych od dnia 1 stycznia 2026 r.</w:t>
      </w:r>
    </w:p>
    <w:p w14:paraId="14999B2D" w14:textId="4CC033F1"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r w:rsidRPr="0033216D">
        <w:rPr>
          <w:rFonts w:ascii="Times New Roman" w:eastAsia="Times New Roman" w:hAnsi="Times New Roman" w:cs="Times New Roman"/>
          <w:bCs/>
          <w:sz w:val="24"/>
          <w:szCs w:val="24"/>
          <w:lang w:eastAsia="pl-PL"/>
        </w:rPr>
        <w:t xml:space="preserve">W </w:t>
      </w:r>
      <w:r w:rsidRPr="0076012D">
        <w:rPr>
          <w:rFonts w:ascii="Times New Roman" w:eastAsia="Times New Roman" w:hAnsi="Times New Roman" w:cs="Times New Roman"/>
          <w:b/>
          <w:sz w:val="24"/>
          <w:szCs w:val="24"/>
          <w:lang w:eastAsia="pl-PL"/>
        </w:rPr>
        <w:t>punkcie 3</w:t>
      </w:r>
      <w:r w:rsidRPr="0033216D">
        <w:rPr>
          <w:rFonts w:ascii="Times New Roman" w:eastAsia="Times New Roman" w:hAnsi="Times New Roman" w:cs="Times New Roman"/>
          <w:bCs/>
          <w:sz w:val="24"/>
          <w:szCs w:val="24"/>
          <w:lang w:eastAsia="pl-PL"/>
        </w:rPr>
        <w:t xml:space="preserve"> wskazano, że przepisy art. 23s ust. 1 pkt 1 ustawy o PIT, w brzmieniu nadanym projektem ustawy</w:t>
      </w:r>
      <w:r w:rsidR="0076012D">
        <w:rPr>
          <w:rFonts w:ascii="Times New Roman" w:eastAsia="Times New Roman" w:hAnsi="Times New Roman" w:cs="Times New Roman"/>
          <w:bCs/>
          <w:sz w:val="24"/>
          <w:szCs w:val="24"/>
          <w:lang w:eastAsia="pl-PL"/>
        </w:rPr>
        <w:t>,</w:t>
      </w:r>
      <w:r w:rsidRPr="0033216D">
        <w:rPr>
          <w:rFonts w:ascii="Times New Roman" w:eastAsia="Times New Roman" w:hAnsi="Times New Roman" w:cs="Times New Roman"/>
          <w:bCs/>
          <w:sz w:val="24"/>
          <w:szCs w:val="24"/>
          <w:lang w:eastAsia="pl-PL"/>
        </w:rPr>
        <w:t xml:space="preserve"> stosuje się w odniesieniu do transakcji kontrolowanych, dokonywanych w latach podatkowych, rozpoczynających się po dniu 31 grudnia 2026 r.</w:t>
      </w:r>
    </w:p>
    <w:p w14:paraId="63E2CB9C" w14:textId="2CA5B25C"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r w:rsidRPr="0033216D">
        <w:rPr>
          <w:rFonts w:ascii="Times New Roman" w:eastAsia="Times New Roman" w:hAnsi="Times New Roman" w:cs="Times New Roman"/>
          <w:bCs/>
          <w:sz w:val="24"/>
          <w:szCs w:val="24"/>
          <w:lang w:eastAsia="pl-PL"/>
        </w:rPr>
        <w:t xml:space="preserve">Z kolei w </w:t>
      </w:r>
      <w:r w:rsidRPr="0076012D">
        <w:rPr>
          <w:rFonts w:ascii="Times New Roman" w:eastAsia="Times New Roman" w:hAnsi="Times New Roman" w:cs="Times New Roman"/>
          <w:b/>
          <w:sz w:val="24"/>
          <w:szCs w:val="24"/>
          <w:lang w:eastAsia="pl-PL"/>
        </w:rPr>
        <w:t>punkcie 4</w:t>
      </w:r>
      <w:r w:rsidRPr="0033216D">
        <w:rPr>
          <w:rFonts w:ascii="Times New Roman" w:eastAsia="Times New Roman" w:hAnsi="Times New Roman" w:cs="Times New Roman"/>
          <w:bCs/>
          <w:sz w:val="24"/>
          <w:szCs w:val="24"/>
          <w:lang w:eastAsia="pl-PL"/>
        </w:rPr>
        <w:t xml:space="preserve"> określono, że przepis art. 30h ust. 2 pkt 4 (poszerzenie podstawy obliczania daniny solidarnościowej o dochody z IP Box) ustawy o PIT, w brzmieniu nadanym projektem ustawy, ma zastosowanie </w:t>
      </w:r>
      <w:r w:rsidR="00302B3F">
        <w:rPr>
          <w:rFonts w:ascii="Times New Roman" w:eastAsia="Times New Roman" w:hAnsi="Times New Roman" w:cs="Times New Roman"/>
          <w:bCs/>
          <w:sz w:val="24"/>
          <w:szCs w:val="24"/>
          <w:lang w:eastAsia="pl-PL"/>
        </w:rPr>
        <w:t>p</w:t>
      </w:r>
      <w:r w:rsidRPr="0033216D">
        <w:rPr>
          <w:rFonts w:ascii="Times New Roman" w:eastAsia="Times New Roman" w:hAnsi="Times New Roman" w:cs="Times New Roman"/>
          <w:bCs/>
          <w:sz w:val="24"/>
          <w:szCs w:val="24"/>
          <w:lang w:eastAsia="pl-PL"/>
        </w:rPr>
        <w:t>o raz pierwszy do daniny solidarnościowej, której termin zapłaty upływa z dniem 2 maja 2028 r.</w:t>
      </w:r>
    </w:p>
    <w:p w14:paraId="0EAA1DB4" w14:textId="6BB83E93"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r w:rsidRPr="0076012D">
        <w:rPr>
          <w:rFonts w:ascii="Times New Roman" w:eastAsia="Times New Roman" w:hAnsi="Times New Roman" w:cs="Times New Roman"/>
          <w:b/>
          <w:sz w:val="24"/>
          <w:szCs w:val="24"/>
          <w:lang w:eastAsia="pl-PL"/>
        </w:rPr>
        <w:lastRenderedPageBreak/>
        <w:t>Art. 4 ust. 2</w:t>
      </w:r>
      <w:r w:rsidRPr="0033216D">
        <w:rPr>
          <w:rFonts w:ascii="Times New Roman" w:eastAsia="Times New Roman" w:hAnsi="Times New Roman" w:cs="Times New Roman"/>
          <w:bCs/>
          <w:sz w:val="24"/>
          <w:szCs w:val="24"/>
          <w:lang w:eastAsia="pl-PL"/>
        </w:rPr>
        <w:t xml:space="preserve"> określa, że przepisy ustawy o CIT, w brzmieniu nadanym projektem ustawy, mają zastosowanie do dochodów (przychodów) uzyskanych </w:t>
      </w:r>
      <w:r w:rsidR="0063665E" w:rsidRPr="0063665E">
        <w:rPr>
          <w:rFonts w:ascii="Times New Roman" w:eastAsia="Times New Roman" w:hAnsi="Times New Roman" w:cs="Arial"/>
          <w:sz w:val="24"/>
          <w:szCs w:val="20"/>
          <w:lang w:eastAsia="pl-PL"/>
        </w:rPr>
        <w:t>po dniu 31 grudnia 2026 r.,</w:t>
      </w:r>
      <w:r w:rsidR="0063665E">
        <w:rPr>
          <w:rFonts w:ascii="Times New Roman" w:eastAsia="Times New Roman" w:hAnsi="Times New Roman" w:cs="Arial"/>
          <w:sz w:val="24"/>
          <w:szCs w:val="20"/>
          <w:lang w:eastAsia="pl-PL"/>
        </w:rPr>
        <w:t xml:space="preserve"> </w:t>
      </w:r>
      <w:r w:rsidRPr="0033216D">
        <w:rPr>
          <w:rFonts w:ascii="Times New Roman" w:eastAsia="Times New Roman" w:hAnsi="Times New Roman" w:cs="Times New Roman"/>
          <w:bCs/>
          <w:sz w:val="24"/>
          <w:szCs w:val="24"/>
          <w:lang w:eastAsia="pl-PL"/>
        </w:rPr>
        <w:t>z określonymi w punktach 1</w:t>
      </w:r>
      <w:r w:rsidR="00B152C9">
        <w:rPr>
          <w:rFonts w:ascii="Times New Roman" w:eastAsia="Times New Roman" w:hAnsi="Times New Roman" w:cs="Times New Roman"/>
          <w:bCs/>
          <w:sz w:val="24"/>
          <w:szCs w:val="24"/>
          <w:lang w:eastAsia="pl-PL"/>
        </w:rPr>
        <w:t>–</w:t>
      </w:r>
      <w:r w:rsidR="0063665E">
        <w:rPr>
          <w:rFonts w:ascii="Times New Roman" w:eastAsia="Times New Roman" w:hAnsi="Times New Roman" w:cs="Times New Roman"/>
          <w:bCs/>
          <w:sz w:val="24"/>
          <w:szCs w:val="24"/>
          <w:lang w:eastAsia="pl-PL"/>
        </w:rPr>
        <w:t>4</w:t>
      </w:r>
      <w:r w:rsidRPr="0033216D">
        <w:rPr>
          <w:rFonts w:ascii="Times New Roman" w:eastAsia="Times New Roman" w:hAnsi="Times New Roman" w:cs="Times New Roman"/>
          <w:bCs/>
          <w:sz w:val="24"/>
          <w:szCs w:val="24"/>
          <w:lang w:eastAsia="pl-PL"/>
        </w:rPr>
        <w:t xml:space="preserve"> wyjątkami.</w:t>
      </w:r>
    </w:p>
    <w:p w14:paraId="2F4249CC" w14:textId="04957A59"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bookmarkStart w:id="19" w:name="_Hlk239154380"/>
      <w:r w:rsidRPr="0033216D">
        <w:rPr>
          <w:rFonts w:ascii="Times New Roman" w:eastAsia="Times New Roman" w:hAnsi="Times New Roman" w:cs="Times New Roman"/>
          <w:bCs/>
          <w:sz w:val="24"/>
          <w:szCs w:val="24"/>
          <w:lang w:eastAsia="pl-PL"/>
        </w:rPr>
        <w:t xml:space="preserve">W </w:t>
      </w:r>
      <w:r w:rsidRPr="0076012D">
        <w:rPr>
          <w:rFonts w:ascii="Times New Roman" w:eastAsia="Times New Roman" w:hAnsi="Times New Roman" w:cs="Times New Roman"/>
          <w:b/>
          <w:sz w:val="24"/>
          <w:szCs w:val="24"/>
          <w:lang w:eastAsia="pl-PL"/>
        </w:rPr>
        <w:t>punkcie 1</w:t>
      </w:r>
      <w:r w:rsidRPr="0033216D">
        <w:rPr>
          <w:rFonts w:ascii="Times New Roman" w:eastAsia="Times New Roman" w:hAnsi="Times New Roman" w:cs="Times New Roman"/>
          <w:bCs/>
          <w:sz w:val="24"/>
          <w:szCs w:val="24"/>
          <w:lang w:eastAsia="pl-PL"/>
        </w:rPr>
        <w:t xml:space="preserve"> wskazano, że </w:t>
      </w:r>
      <w:bookmarkEnd w:id="19"/>
      <w:r w:rsidRPr="0033216D">
        <w:rPr>
          <w:rFonts w:ascii="Times New Roman" w:eastAsia="Times New Roman" w:hAnsi="Times New Roman" w:cs="Times New Roman"/>
          <w:bCs/>
          <w:sz w:val="24"/>
          <w:szCs w:val="24"/>
          <w:lang w:eastAsia="pl-PL"/>
        </w:rPr>
        <w:t>przepisy art. 11g ust. 1 pkt 1 ustawy o CIT, w brzmieniu nadanym projektem ustawy</w:t>
      </w:r>
      <w:r w:rsidR="0076012D">
        <w:rPr>
          <w:rFonts w:ascii="Times New Roman" w:eastAsia="Times New Roman" w:hAnsi="Times New Roman" w:cs="Times New Roman"/>
          <w:bCs/>
          <w:sz w:val="24"/>
          <w:szCs w:val="24"/>
          <w:lang w:eastAsia="pl-PL"/>
        </w:rPr>
        <w:t>,</w:t>
      </w:r>
      <w:r w:rsidRPr="0033216D">
        <w:rPr>
          <w:rFonts w:ascii="Times New Roman" w:eastAsia="Times New Roman" w:hAnsi="Times New Roman" w:cs="Times New Roman"/>
          <w:bCs/>
          <w:sz w:val="24"/>
          <w:szCs w:val="24"/>
          <w:lang w:eastAsia="pl-PL"/>
        </w:rPr>
        <w:t xml:space="preserve"> stosuje się w odniesieniu do transakcji kontrolowanych, dokonywanych w latach podatkowych, rozpoczynających się po dniu 31 grudnia 2026 r.</w:t>
      </w:r>
    </w:p>
    <w:p w14:paraId="7A537E3F" w14:textId="2AC6D073" w:rsidR="00D05BD3" w:rsidRDefault="0033216D" w:rsidP="0033216D">
      <w:pPr>
        <w:spacing w:before="120" w:line="360" w:lineRule="auto"/>
        <w:jc w:val="both"/>
        <w:rPr>
          <w:rFonts w:ascii="Times New Roman" w:eastAsia="Times New Roman" w:hAnsi="Times New Roman" w:cs="Times New Roman"/>
          <w:bCs/>
          <w:sz w:val="24"/>
          <w:szCs w:val="24"/>
          <w:lang w:eastAsia="pl-PL"/>
        </w:rPr>
      </w:pPr>
      <w:r w:rsidRPr="0076012D">
        <w:rPr>
          <w:rFonts w:ascii="Times New Roman" w:eastAsia="Times New Roman" w:hAnsi="Times New Roman" w:cs="Times New Roman"/>
          <w:b/>
          <w:sz w:val="24"/>
          <w:szCs w:val="24"/>
          <w:lang w:eastAsia="pl-PL"/>
        </w:rPr>
        <w:t>Punkt 2</w:t>
      </w:r>
      <w:r w:rsidRPr="0033216D">
        <w:rPr>
          <w:rFonts w:ascii="Times New Roman" w:eastAsia="Times New Roman" w:hAnsi="Times New Roman" w:cs="Times New Roman"/>
          <w:bCs/>
          <w:sz w:val="24"/>
          <w:szCs w:val="24"/>
          <w:lang w:eastAsia="pl-PL"/>
        </w:rPr>
        <w:t xml:space="preserve"> określa, że przepisy dot. ustalania poziomu emisyjności CO2 dla potrzeb określenia limitu odpisów z tytułu zużycia samochodu osobowego (art. 16 ust. 1 pkt 4 lit. b i c ustawy o CIT)</w:t>
      </w:r>
      <w:bookmarkStart w:id="20" w:name="_Hlk239154424"/>
      <w:r w:rsidRPr="0033216D">
        <w:rPr>
          <w:rFonts w:ascii="Times New Roman" w:eastAsia="Times New Roman" w:hAnsi="Times New Roman" w:cs="Times New Roman"/>
          <w:bCs/>
          <w:sz w:val="24"/>
          <w:szCs w:val="24"/>
          <w:lang w:eastAsia="pl-PL"/>
        </w:rPr>
        <w:t xml:space="preserve">, w brzmieniu nadanym projektem ustawy, </w:t>
      </w:r>
      <w:bookmarkEnd w:id="20"/>
      <w:r w:rsidRPr="0033216D">
        <w:rPr>
          <w:rFonts w:ascii="Times New Roman" w:eastAsia="Times New Roman" w:hAnsi="Times New Roman" w:cs="Times New Roman"/>
          <w:bCs/>
          <w:sz w:val="24"/>
          <w:szCs w:val="24"/>
          <w:lang w:eastAsia="pl-PL"/>
        </w:rPr>
        <w:t xml:space="preserve">mają zastosowanie do dochodów (przychodów) uzyskanych od dnia 1 stycznia 2026 r. </w:t>
      </w:r>
      <w:r w:rsidR="00CF44A4">
        <w:rPr>
          <w:rFonts w:ascii="Times New Roman" w:eastAsia="Times New Roman" w:hAnsi="Times New Roman" w:cs="Times New Roman"/>
          <w:bCs/>
          <w:sz w:val="24"/>
          <w:szCs w:val="24"/>
          <w:lang w:eastAsia="pl-PL"/>
        </w:rPr>
        <w:t xml:space="preserve">Przyjęta data 1 stycznia 2026 r. jest bezpośrednio powiązana z wejściem w życie zmienionych regulacji podatkowych dotyczących samochodów osobowych wynikających ze zmian wprowadzonych przez ustawę z dnia 2 grudnia 2021 r. </w:t>
      </w:r>
      <w:r w:rsidR="00CF44A4" w:rsidRPr="003B6AB3">
        <w:rPr>
          <w:rFonts w:ascii="Times New Roman" w:eastAsia="Times New Roman" w:hAnsi="Times New Roman" w:cs="Times New Roman"/>
          <w:bCs/>
          <w:sz w:val="24"/>
          <w:szCs w:val="24"/>
          <w:lang w:eastAsia="pl-PL"/>
        </w:rPr>
        <w:t>o zmianie ustawy o elektromobilności i paliwach alternatywnych oraz niektórych innych ustaw</w:t>
      </w:r>
      <w:r w:rsidR="00CF44A4">
        <w:rPr>
          <w:rFonts w:ascii="Times New Roman" w:eastAsia="Times New Roman" w:hAnsi="Times New Roman" w:cs="Times New Roman"/>
          <w:bCs/>
          <w:sz w:val="24"/>
          <w:szCs w:val="24"/>
          <w:lang w:eastAsia="pl-PL"/>
        </w:rPr>
        <w:t xml:space="preserve"> (Dz. U. z 2021 r. poz. 2269</w:t>
      </w:r>
      <w:r w:rsidR="00302B3F">
        <w:rPr>
          <w:rFonts w:ascii="Times New Roman" w:eastAsia="Times New Roman" w:hAnsi="Times New Roman" w:cs="Times New Roman"/>
          <w:bCs/>
          <w:sz w:val="24"/>
          <w:szCs w:val="24"/>
          <w:lang w:eastAsia="pl-PL"/>
        </w:rPr>
        <w:t xml:space="preserve">, </w:t>
      </w:r>
      <w:r w:rsidR="00CF44A4">
        <w:rPr>
          <w:rFonts w:ascii="Times New Roman" w:eastAsia="Times New Roman" w:hAnsi="Times New Roman" w:cs="Times New Roman"/>
          <w:bCs/>
          <w:sz w:val="24"/>
          <w:szCs w:val="24"/>
          <w:lang w:eastAsia="pl-PL"/>
        </w:rPr>
        <w:t>z późn. zm.).</w:t>
      </w:r>
    </w:p>
    <w:p w14:paraId="15FCAC57" w14:textId="1C212B86" w:rsidR="0063665E" w:rsidRPr="0033216D" w:rsidRDefault="0063665E" w:rsidP="0033216D">
      <w:pPr>
        <w:spacing w:before="120" w:line="360" w:lineRule="auto"/>
        <w:jc w:val="both"/>
        <w:rPr>
          <w:rFonts w:ascii="Times New Roman" w:eastAsia="Times New Roman" w:hAnsi="Times New Roman" w:cs="Times New Roman"/>
          <w:bCs/>
          <w:sz w:val="24"/>
          <w:szCs w:val="24"/>
          <w:lang w:eastAsia="pl-PL"/>
        </w:rPr>
      </w:pPr>
      <w:r w:rsidRPr="0063665E">
        <w:rPr>
          <w:rFonts w:ascii="Times New Roman" w:eastAsia="Times New Roman" w:hAnsi="Times New Roman" w:cs="Times New Roman"/>
          <w:bCs/>
          <w:sz w:val="24"/>
          <w:szCs w:val="24"/>
          <w:lang w:eastAsia="pl-PL"/>
        </w:rPr>
        <w:t xml:space="preserve">W </w:t>
      </w:r>
      <w:r w:rsidRPr="00626A51">
        <w:rPr>
          <w:rFonts w:ascii="Times New Roman" w:eastAsia="Times New Roman" w:hAnsi="Times New Roman" w:cs="Times New Roman"/>
          <w:b/>
          <w:sz w:val="24"/>
          <w:szCs w:val="24"/>
          <w:lang w:eastAsia="pl-PL"/>
        </w:rPr>
        <w:t>punkcie 3</w:t>
      </w:r>
      <w:r w:rsidRPr="0063665E">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określono</w:t>
      </w:r>
      <w:r w:rsidRPr="0063665E">
        <w:rPr>
          <w:rFonts w:ascii="Times New Roman" w:eastAsia="Times New Roman" w:hAnsi="Times New Roman" w:cs="Times New Roman"/>
          <w:bCs/>
          <w:sz w:val="24"/>
          <w:szCs w:val="24"/>
          <w:lang w:eastAsia="pl-PL"/>
        </w:rPr>
        <w:t>, że</w:t>
      </w:r>
      <w:r w:rsidRPr="0063665E">
        <w:t xml:space="preserve"> </w:t>
      </w:r>
      <w:r w:rsidRPr="0063665E">
        <w:rPr>
          <w:rFonts w:ascii="Times New Roman" w:eastAsia="Times New Roman" w:hAnsi="Times New Roman" w:cs="Times New Roman"/>
          <w:bCs/>
          <w:sz w:val="24"/>
          <w:szCs w:val="24"/>
          <w:lang w:eastAsia="pl-PL"/>
        </w:rPr>
        <w:t>przepisy w zakresie zwolnienia podmiotowego od krajowego minimalnego CIT dla przedsiębiorstw prowadzących działalność w zakresie przetwórstwa węgla koksowego lub hutnictwa (art. 24ca ust. 14 pkt 5 lit. f ustawy o CIT), w brzmieniu nadanym projektem ustawy,</w:t>
      </w:r>
      <w:r w:rsidR="00103A0E">
        <w:rPr>
          <w:rFonts w:ascii="Times New Roman" w:eastAsia="Times New Roman" w:hAnsi="Times New Roman" w:cs="Times New Roman"/>
          <w:bCs/>
          <w:sz w:val="24"/>
          <w:szCs w:val="24"/>
          <w:lang w:eastAsia="pl-PL"/>
        </w:rPr>
        <w:t xml:space="preserve"> </w:t>
      </w:r>
      <w:r w:rsidRPr="0063665E">
        <w:rPr>
          <w:rFonts w:ascii="Times New Roman" w:eastAsia="Times New Roman" w:hAnsi="Times New Roman" w:cs="Times New Roman"/>
          <w:bCs/>
          <w:sz w:val="24"/>
          <w:szCs w:val="24"/>
          <w:lang w:eastAsia="pl-PL"/>
        </w:rPr>
        <w:t xml:space="preserve">stosuje się do dochodów (przychodów) </w:t>
      </w:r>
      <w:bookmarkStart w:id="21" w:name="_Hlk239162917"/>
      <w:r w:rsidRPr="0063665E">
        <w:rPr>
          <w:rFonts w:ascii="Times New Roman" w:eastAsia="Times New Roman" w:hAnsi="Times New Roman" w:cs="Times New Roman"/>
          <w:bCs/>
          <w:sz w:val="24"/>
          <w:szCs w:val="24"/>
          <w:lang w:eastAsia="pl-PL"/>
        </w:rPr>
        <w:t>uzyskanych począwszy od roku podatkowego rozpoczynającego się po dniu 31 grudnia 2025 r.</w:t>
      </w:r>
      <w:bookmarkEnd w:id="21"/>
    </w:p>
    <w:p w14:paraId="6E61C518" w14:textId="664BB1E9" w:rsidR="0033216D" w:rsidRPr="0033216D" w:rsidRDefault="0033216D" w:rsidP="0033216D">
      <w:pPr>
        <w:spacing w:before="120" w:line="360" w:lineRule="auto"/>
        <w:jc w:val="both"/>
        <w:rPr>
          <w:rFonts w:ascii="Times New Roman" w:eastAsia="Times New Roman" w:hAnsi="Times New Roman" w:cs="Times New Roman"/>
          <w:bCs/>
          <w:sz w:val="24"/>
          <w:szCs w:val="24"/>
          <w:lang w:eastAsia="pl-PL"/>
        </w:rPr>
      </w:pPr>
      <w:r w:rsidRPr="00626A51">
        <w:rPr>
          <w:rFonts w:ascii="Times New Roman" w:eastAsia="Times New Roman" w:hAnsi="Times New Roman" w:cs="Times New Roman"/>
          <w:b/>
          <w:sz w:val="24"/>
          <w:szCs w:val="24"/>
          <w:lang w:eastAsia="pl-PL"/>
        </w:rPr>
        <w:t xml:space="preserve">Punkt </w:t>
      </w:r>
      <w:r w:rsidR="0063665E" w:rsidRPr="00626A51">
        <w:rPr>
          <w:rFonts w:ascii="Times New Roman" w:eastAsia="Times New Roman" w:hAnsi="Times New Roman" w:cs="Times New Roman"/>
          <w:b/>
          <w:sz w:val="24"/>
          <w:szCs w:val="24"/>
          <w:lang w:eastAsia="pl-PL"/>
        </w:rPr>
        <w:t>4</w:t>
      </w:r>
      <w:r w:rsidRPr="0033216D">
        <w:rPr>
          <w:rFonts w:ascii="Times New Roman" w:eastAsia="Times New Roman" w:hAnsi="Times New Roman" w:cs="Times New Roman"/>
          <w:bCs/>
          <w:sz w:val="24"/>
          <w:szCs w:val="24"/>
          <w:lang w:eastAsia="pl-PL"/>
        </w:rPr>
        <w:t xml:space="preserve"> realizuje opisane wcześniej założenie o doprecyzowaniu zwolnienia określonych dochodów BGK także w latach poprzedzających. Regulacja wprowadzana art. 2 pkt 9 lit. </w:t>
      </w:r>
      <w:r w:rsidR="008C31E1">
        <w:rPr>
          <w:rFonts w:ascii="Times New Roman" w:eastAsia="Times New Roman" w:hAnsi="Times New Roman" w:cs="Times New Roman"/>
          <w:bCs/>
          <w:sz w:val="24"/>
          <w:szCs w:val="24"/>
          <w:lang w:eastAsia="pl-PL"/>
        </w:rPr>
        <w:t>b</w:t>
      </w:r>
      <w:r w:rsidRPr="0033216D">
        <w:rPr>
          <w:rFonts w:ascii="Times New Roman" w:eastAsia="Times New Roman" w:hAnsi="Times New Roman" w:cs="Times New Roman"/>
          <w:bCs/>
          <w:sz w:val="24"/>
          <w:szCs w:val="24"/>
          <w:lang w:eastAsia="pl-PL"/>
        </w:rPr>
        <w:t xml:space="preserve"> projektu stanowi regulację doprecyzowującą, mającą na celu rozwianie pojawiających się wątpliwości. Jak wskazano, żadne przepisy ustawy o CIT wprost nie odnoszą do podatkowych skutków, jakie w banku państwowym wystąpią w związku z nieodpłatnym otrzymaniem od Ministra Finansów skarbowych papierów wartościowych, a następnie ich zbyciem. Dla wyeliminowania wątpliwości interpretacyjnych zdecydowano się na jednoznaczne rozstrzygnięcie poprzez wprowadzenie odpowiedniego zwolnienia, a w art. 4 ust. 2 punkt </w:t>
      </w:r>
      <w:r w:rsidR="008C31E1">
        <w:rPr>
          <w:rFonts w:ascii="Times New Roman" w:eastAsia="Times New Roman" w:hAnsi="Times New Roman" w:cs="Times New Roman"/>
          <w:bCs/>
          <w:sz w:val="24"/>
          <w:szCs w:val="24"/>
          <w:lang w:eastAsia="pl-PL"/>
        </w:rPr>
        <w:t>4</w:t>
      </w:r>
      <w:r w:rsidRPr="0033216D">
        <w:rPr>
          <w:rFonts w:ascii="Times New Roman" w:eastAsia="Times New Roman" w:hAnsi="Times New Roman" w:cs="Times New Roman"/>
          <w:bCs/>
          <w:sz w:val="24"/>
          <w:szCs w:val="24"/>
          <w:lang w:eastAsia="pl-PL"/>
        </w:rPr>
        <w:t xml:space="preserve"> zawarto przepis przejściowy, związanych ze skutkami podatkowymi, jakie w przeszłości mogły być następstwem zbywania przez BGK takich obligacji skarbowych otrzymanych od Ministra Finansów na poczet funduszu statutowego BGK.</w:t>
      </w:r>
    </w:p>
    <w:p w14:paraId="4DCC7166" w14:textId="5EA4D1A2" w:rsidR="00903B15" w:rsidRPr="00903B15" w:rsidRDefault="00D46B14" w:rsidP="00903B15">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D46B14">
        <w:rPr>
          <w:rFonts w:ascii="Times New Roman" w:eastAsia="Times New Roman" w:hAnsi="Times New Roman" w:cs="Times New Roman"/>
          <w:bCs/>
          <w:sz w:val="24"/>
          <w:szCs w:val="24"/>
          <w:lang w:eastAsia="pl-PL"/>
        </w:rPr>
        <w:lastRenderedPageBreak/>
        <w:t xml:space="preserve">Projektowany </w:t>
      </w:r>
      <w:r w:rsidRPr="001E6BE9">
        <w:rPr>
          <w:rFonts w:ascii="Times New Roman" w:eastAsia="Times New Roman" w:hAnsi="Times New Roman" w:cs="Times New Roman"/>
          <w:b/>
          <w:sz w:val="24"/>
          <w:szCs w:val="24"/>
          <w:lang w:eastAsia="pl-PL"/>
        </w:rPr>
        <w:t xml:space="preserve">art. </w:t>
      </w:r>
      <w:r w:rsidR="00572F59">
        <w:rPr>
          <w:rFonts w:ascii="Times New Roman" w:eastAsia="Times New Roman" w:hAnsi="Times New Roman" w:cs="Times New Roman"/>
          <w:b/>
          <w:sz w:val="24"/>
          <w:szCs w:val="24"/>
          <w:lang w:eastAsia="pl-PL"/>
        </w:rPr>
        <w:t>5</w:t>
      </w:r>
      <w:r w:rsidR="00572F59" w:rsidRPr="00D46B14">
        <w:rPr>
          <w:rFonts w:ascii="Times New Roman" w:eastAsia="Times New Roman" w:hAnsi="Times New Roman" w:cs="Times New Roman"/>
          <w:bCs/>
          <w:sz w:val="24"/>
          <w:szCs w:val="24"/>
          <w:lang w:eastAsia="pl-PL"/>
        </w:rPr>
        <w:t xml:space="preserve"> </w:t>
      </w:r>
      <w:r w:rsidRPr="00D46B14">
        <w:rPr>
          <w:rFonts w:ascii="Times New Roman" w:eastAsia="Times New Roman" w:hAnsi="Times New Roman" w:cs="Times New Roman"/>
          <w:bCs/>
          <w:sz w:val="24"/>
          <w:szCs w:val="24"/>
          <w:lang w:eastAsia="pl-PL"/>
        </w:rPr>
        <w:t>wprowadza</w:t>
      </w:r>
      <w:r w:rsidR="00903B15">
        <w:rPr>
          <w:rFonts w:ascii="Times New Roman" w:eastAsia="Times New Roman" w:hAnsi="Times New Roman" w:cs="Times New Roman"/>
          <w:bCs/>
          <w:sz w:val="24"/>
          <w:szCs w:val="24"/>
          <w:lang w:eastAsia="pl-PL"/>
        </w:rPr>
        <w:t xml:space="preserve"> </w:t>
      </w:r>
      <w:r w:rsidR="00903B15" w:rsidRPr="00903B15">
        <w:rPr>
          <w:rFonts w:ascii="Times New Roman" w:eastAsia="Times New Roman" w:hAnsi="Times New Roman" w:cs="Times New Roman"/>
          <w:bCs/>
          <w:sz w:val="24"/>
          <w:szCs w:val="24"/>
          <w:lang w:eastAsia="pl-PL"/>
        </w:rPr>
        <w:t>szczególną regulację o charakterze abolicyjnym, odnoszącą się do podatników, którzy dokonali wyboru opodatkowania ryczałtem od dochodów spółek na podstawie art. 28j ust. 5 ustawy o CIT.</w:t>
      </w:r>
    </w:p>
    <w:p w14:paraId="372732D1" w14:textId="16456E5D" w:rsidR="00903B15" w:rsidRPr="00903B15" w:rsidRDefault="00903B15" w:rsidP="00903B15">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903B15">
        <w:rPr>
          <w:rFonts w:ascii="Times New Roman" w:eastAsia="Times New Roman" w:hAnsi="Times New Roman" w:cs="Times New Roman"/>
          <w:bCs/>
          <w:sz w:val="24"/>
          <w:szCs w:val="24"/>
          <w:lang w:eastAsia="pl-PL"/>
        </w:rPr>
        <w:t>Zgodnie z art. 28j ust. 5 ustawy o CIT podatnik dokonujący wyboru opodatkowania ryczałtem w trakcie roku podatkowego zobowiązany jest m.in. do zamknięcia ksiąg rachunkowych na ostatni dzień miesiąca poprzedzającego pierwszy miesiąc opodatkowania ryczałtem oraz sporządzenia sprawozdania finansowego zgodnie z przepisami o rachunkowości.</w:t>
      </w:r>
    </w:p>
    <w:p w14:paraId="75D550D1" w14:textId="77777777" w:rsidR="00903B15" w:rsidRPr="00903B15" w:rsidRDefault="00903B15" w:rsidP="00903B15">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903B15">
        <w:rPr>
          <w:rFonts w:ascii="Times New Roman" w:eastAsia="Times New Roman" w:hAnsi="Times New Roman" w:cs="Times New Roman"/>
          <w:bCs/>
          <w:sz w:val="24"/>
          <w:szCs w:val="24"/>
          <w:lang w:eastAsia="pl-PL"/>
        </w:rPr>
        <w:t>Wykładnia tego przepisu, prezentowana konsekwentnie przez Ministra Finansów i organy Krajowej Administracji Skarbowej oraz znajdująca potwierdzenie w orzecznictwie sądów administracyjnych (por. wyrok NSA z dnia 4 marca 2026 r. sygn. akt II FSK 1258/25), prowadzi do wniosku, że warunek sporządzenia sprawozdania finansowego „zgodnie z przepisami o rachunkowości” obejmuje również dochowanie wszystkich wymogów formalnych przewidzianych w tych przepisach, w tym w szczególności jego sporządzenie i podpisanie przez wszystkie obowiązane osoby w ustawowych terminach. W konsekwencji brak sporządzenia sprawozdania finansowego albo jego sporządzenie z naruszeniem wymogów formalnych skutkuje uznaniem, że warunek ten nie został spełniony, co prowadzi do bezskuteczności wyboru opodatkowania ryczałtem od dochodów spółek.</w:t>
      </w:r>
    </w:p>
    <w:p w14:paraId="138A5A6A" w14:textId="037A4638" w:rsidR="00903B15" w:rsidRPr="00903B15" w:rsidRDefault="00903B15" w:rsidP="00903B15">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903B15">
        <w:rPr>
          <w:rFonts w:ascii="Times New Roman" w:eastAsia="Times New Roman" w:hAnsi="Times New Roman" w:cs="Times New Roman"/>
          <w:bCs/>
          <w:sz w:val="24"/>
          <w:szCs w:val="24"/>
          <w:lang w:eastAsia="pl-PL"/>
        </w:rPr>
        <w:t>W ocenie projektodawcy skutki wynikające z powyższej wykładni, mimo jej prawidłowości, mogą prowadzić w określonych przypadkach do nadmiernie dolegliwych konsekwencji podatkowych. Projektowane rozwiązanie pozostaje również w zgodzie z konstytucyjną zasadą zaufania obywatela do państwa i stanowionego przez nie prawa. Podatnicy</w:t>
      </w:r>
      <w:r w:rsidR="00302B3F">
        <w:rPr>
          <w:rFonts w:ascii="Times New Roman" w:eastAsia="Times New Roman" w:hAnsi="Times New Roman" w:cs="Times New Roman"/>
          <w:bCs/>
          <w:sz w:val="24"/>
          <w:szCs w:val="24"/>
          <w:lang w:eastAsia="pl-PL"/>
        </w:rPr>
        <w:t>,</w:t>
      </w:r>
      <w:r w:rsidRPr="00903B15">
        <w:rPr>
          <w:rFonts w:ascii="Times New Roman" w:eastAsia="Times New Roman" w:hAnsi="Times New Roman" w:cs="Times New Roman"/>
          <w:bCs/>
          <w:sz w:val="24"/>
          <w:szCs w:val="24"/>
          <w:lang w:eastAsia="pl-PL"/>
        </w:rPr>
        <w:t xml:space="preserve"> dokonując wyboru opodatkowania ryczałtem od dochodów spółek, działali w zaufaniu do stabilności i przewidywalności systemu prawa podatkowego oraz możliwości skorzystania z tej formy opodatkowania przy spełnieniu jej podstawowych przesłanek. W sytuacji, gdy uchybienia dotyczyły wyłącznie wymogów formalnych, które mogą zostać usunięte bez wpływu na materialne warunki stosowania tej formy opodatkowania, zasadne jest wprowadzenie rozwiązania umożliwiającego ograniczenie negatywnych skutków podatkowych, przy jednoczesnym zachowaniu znaczenia tych wymogów. Należy przy tym podkreślić, że wymogi formalne dotyczące sporządzenia sprawozdania finansowego, w tym obowiązek jego podpisania przez wszystkie zobowiązane osoby w ustawowych terminach, stanowią standardowy element regulacji wynikających z przepisów o rachunkowości i nie mogą być uznane za nadmierne.</w:t>
      </w:r>
    </w:p>
    <w:p w14:paraId="3DBB4AFB" w14:textId="38F46DE9" w:rsidR="00903B15" w:rsidRPr="00903B15" w:rsidRDefault="00903B15" w:rsidP="00903B15">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903B15">
        <w:rPr>
          <w:rFonts w:ascii="Times New Roman" w:eastAsia="Times New Roman" w:hAnsi="Times New Roman" w:cs="Times New Roman"/>
          <w:bCs/>
          <w:sz w:val="24"/>
          <w:szCs w:val="24"/>
          <w:lang w:eastAsia="pl-PL"/>
        </w:rPr>
        <w:lastRenderedPageBreak/>
        <w:t>Jednocześnie tak daleko idące skutki prawne mogą być niewspółmierne do charakteru uchybień, które nie wpływają na spełnienie materialnych przesłanek stosowania ryczałtu od dochodów spółek. W związku z powyższym projektowany przepis wprowadza szczególne rozwiązanie polegające na uznaniu warunku sporządzenia sprawozdania finansowego za spełniony również w przypadku jego sporządzenia po terminie albo uprzedniego braku jego sporządzenia, pod warunkiem uzupełnienia braków formalnych. W tym celu podatnik obowiązany jest do sporządzenia sprawozdania finansowego, w tym podpisania go przez wszystkie obowiązane osoby, zgodnie z przepisami o rachunkowości, oraz przekazania go, za pomocą środków komunikacji elektronicznej Szefowi Krajowej Administracji Skarbowej, nie później niż do dnia 31 stycznia 2027 r.</w:t>
      </w:r>
    </w:p>
    <w:p w14:paraId="55385B0B" w14:textId="3DB6930D" w:rsidR="00903B15" w:rsidRPr="00903B15" w:rsidRDefault="00903B15" w:rsidP="00903B15">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903B15">
        <w:rPr>
          <w:rFonts w:ascii="Times New Roman" w:eastAsia="Times New Roman" w:hAnsi="Times New Roman" w:cs="Times New Roman"/>
          <w:bCs/>
          <w:sz w:val="24"/>
          <w:szCs w:val="24"/>
          <w:lang w:eastAsia="pl-PL"/>
        </w:rPr>
        <w:t>Ukształtowanie regulacji w powyższy sposób podkreśla, że wymóg sporządzenia sprawozdania finansowego, w tym jego podpisania przez wszystkie obowiązane osoby, zgodnie z przepisami o rachunkowości, pozostaje istotnym elementem warunkującym możliwość stosowania ryczałtu od dochodów spółek, przy czym projektodawca dopuszcza możliwość jego spełnienia w terminie późniejszym.</w:t>
      </w:r>
    </w:p>
    <w:p w14:paraId="3414400D" w14:textId="42C4913B" w:rsidR="00903B15" w:rsidRDefault="00903B15" w:rsidP="00903B15">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903B15">
        <w:rPr>
          <w:rFonts w:ascii="Times New Roman" w:eastAsia="Times New Roman" w:hAnsi="Times New Roman" w:cs="Times New Roman"/>
          <w:bCs/>
          <w:sz w:val="24"/>
          <w:szCs w:val="24"/>
          <w:lang w:eastAsia="pl-PL"/>
        </w:rPr>
        <w:t xml:space="preserve">Projektowany przepis ma zastosowanie do podatników, którzy dokonali wyboru opodatkowania ryczałtem od dochodów spółek na podstawie art. 28j ust. 5 ustawy o CIT </w:t>
      </w:r>
      <w:r>
        <w:rPr>
          <w:rFonts w:ascii="Times New Roman" w:eastAsia="Times New Roman" w:hAnsi="Times New Roman" w:cs="Times New Roman"/>
          <w:bCs/>
          <w:sz w:val="24"/>
          <w:szCs w:val="24"/>
          <w:lang w:eastAsia="pl-PL"/>
        </w:rPr>
        <w:t>przed dniem wejścia w życie niniejszej ustawy</w:t>
      </w:r>
      <w:r w:rsidRPr="00903B15">
        <w:rPr>
          <w:rFonts w:ascii="Times New Roman" w:eastAsia="Times New Roman" w:hAnsi="Times New Roman" w:cs="Times New Roman"/>
          <w:bCs/>
          <w:sz w:val="24"/>
          <w:szCs w:val="24"/>
          <w:lang w:eastAsia="pl-PL"/>
        </w:rPr>
        <w:t>. Zakres ten odpowiada okresowi obowiązywania tego przepisu, który zostaje uchylony z dniem 1 stycznia 2027 r.</w:t>
      </w:r>
    </w:p>
    <w:p w14:paraId="2A39635C" w14:textId="0A0450CA" w:rsidR="00D46B14" w:rsidRPr="00D46B14" w:rsidRDefault="00903B15" w:rsidP="00903B15">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Ponadto przepis przewiduje </w:t>
      </w:r>
      <w:r w:rsidR="00D46B14" w:rsidRPr="00D46B14">
        <w:rPr>
          <w:rFonts w:ascii="Times New Roman" w:eastAsia="Times New Roman" w:hAnsi="Times New Roman" w:cs="Times New Roman"/>
          <w:bCs/>
          <w:sz w:val="24"/>
          <w:szCs w:val="24"/>
          <w:lang w:eastAsia="pl-PL"/>
        </w:rPr>
        <w:t>szczególne rozwiązania o charakterze przejściowym i</w:t>
      </w:r>
      <w:r w:rsidR="00722753">
        <w:rPr>
          <w:rFonts w:ascii="Times New Roman" w:eastAsia="Times New Roman" w:hAnsi="Times New Roman" w:cs="Times New Roman"/>
          <w:bCs/>
          <w:sz w:val="24"/>
          <w:szCs w:val="24"/>
          <w:lang w:eastAsia="pl-PL"/>
        </w:rPr>
        <w:t> </w:t>
      </w:r>
      <w:r w:rsidR="00D46B14" w:rsidRPr="00D46B14">
        <w:rPr>
          <w:rFonts w:ascii="Times New Roman" w:eastAsia="Times New Roman" w:hAnsi="Times New Roman" w:cs="Times New Roman"/>
          <w:bCs/>
          <w:sz w:val="24"/>
          <w:szCs w:val="24"/>
          <w:lang w:eastAsia="pl-PL"/>
        </w:rPr>
        <w:t>proceduralnym, umożliwiające podatnikom oraz organom Krajowej Administracji Skarbowej praktyczne zastosowanie regulacji również w odniesieniu do rozliczeń podatkowych dokonanych przed dniem wejścia w życie niniejszej ustawy.</w:t>
      </w:r>
    </w:p>
    <w:p w14:paraId="489D7F36" w14:textId="6AA00147" w:rsidR="00D46B14" w:rsidRPr="00D46B14" w:rsidRDefault="00D46B14" w:rsidP="00D46B14">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D46B14">
        <w:rPr>
          <w:rFonts w:ascii="Times New Roman" w:eastAsia="Times New Roman" w:hAnsi="Times New Roman" w:cs="Times New Roman"/>
          <w:bCs/>
          <w:sz w:val="24"/>
          <w:szCs w:val="24"/>
          <w:lang w:eastAsia="pl-PL"/>
        </w:rPr>
        <w:t>Przepis przewiduje w szczególności możliwość skorygowania rozliczeń podatkowych w sytuacji, gdy uprzedni</w:t>
      </w:r>
      <w:r w:rsidR="00526E04">
        <w:rPr>
          <w:rFonts w:ascii="Times New Roman" w:eastAsia="Times New Roman" w:hAnsi="Times New Roman" w:cs="Times New Roman"/>
          <w:bCs/>
          <w:sz w:val="24"/>
          <w:szCs w:val="24"/>
          <w:lang w:eastAsia="pl-PL"/>
        </w:rPr>
        <w:t>o</w:t>
      </w:r>
      <w:r w:rsidRPr="00D46B14">
        <w:rPr>
          <w:rFonts w:ascii="Times New Roman" w:eastAsia="Times New Roman" w:hAnsi="Times New Roman" w:cs="Times New Roman"/>
          <w:bCs/>
          <w:sz w:val="24"/>
          <w:szCs w:val="24"/>
          <w:lang w:eastAsia="pl-PL"/>
        </w:rPr>
        <w:t xml:space="preserve"> </w:t>
      </w:r>
      <w:r w:rsidR="00526E04">
        <w:rPr>
          <w:rFonts w:ascii="Times New Roman" w:eastAsia="Times New Roman" w:hAnsi="Times New Roman" w:cs="Times New Roman"/>
          <w:bCs/>
          <w:sz w:val="24"/>
          <w:szCs w:val="24"/>
          <w:lang w:eastAsia="pl-PL"/>
        </w:rPr>
        <w:t>złożona deklaracja</w:t>
      </w:r>
      <w:r w:rsidRPr="00D46B14">
        <w:rPr>
          <w:rFonts w:ascii="Times New Roman" w:eastAsia="Times New Roman" w:hAnsi="Times New Roman" w:cs="Times New Roman"/>
          <w:bCs/>
          <w:sz w:val="24"/>
          <w:szCs w:val="24"/>
          <w:lang w:eastAsia="pl-PL"/>
        </w:rPr>
        <w:t xml:space="preserve"> była następstwem zakwestionowania przez organy podatkowe prawa do stosowania ryczałtu od dochodów spółek z przyczyn o charakterze formalnym związanych ze sporządzeniem sprawozdania finansowego. Rozwiązanie to ma na celu umożliwienie podatnikom przywrócenia skutków podatkowych wynikających ze stosowania tej formy opodatkowania, po spełnieniu warunków określonych </w:t>
      </w:r>
      <w:r w:rsidR="00526E04">
        <w:rPr>
          <w:rFonts w:ascii="Times New Roman" w:eastAsia="Times New Roman" w:hAnsi="Times New Roman" w:cs="Times New Roman"/>
          <w:bCs/>
          <w:sz w:val="24"/>
          <w:szCs w:val="24"/>
          <w:lang w:eastAsia="pl-PL"/>
        </w:rPr>
        <w:t>w tym przepisie.</w:t>
      </w:r>
    </w:p>
    <w:p w14:paraId="1A83CBD0" w14:textId="422CAA5D" w:rsidR="00D46B14" w:rsidRDefault="00D46B14" w:rsidP="00D46B14">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bookmarkStart w:id="22" w:name="_Hlk240465066"/>
      <w:r w:rsidRPr="00D46B14">
        <w:rPr>
          <w:rFonts w:ascii="Times New Roman" w:eastAsia="Times New Roman" w:hAnsi="Times New Roman" w:cs="Times New Roman"/>
          <w:bCs/>
          <w:sz w:val="24"/>
          <w:szCs w:val="24"/>
          <w:lang w:eastAsia="pl-PL"/>
        </w:rPr>
        <w:t xml:space="preserve">W celu zapewnienia skuteczności powyższego mechanizmu projektowana regulacja przewiduje wyłączenie stosowania przepisów </w:t>
      </w:r>
      <w:r w:rsidR="00A102F3">
        <w:rPr>
          <w:rFonts w:ascii="Times New Roman" w:eastAsia="Times New Roman" w:hAnsi="Times New Roman" w:cs="Times New Roman"/>
          <w:bCs/>
          <w:sz w:val="24"/>
          <w:szCs w:val="24"/>
          <w:lang w:eastAsia="pl-PL"/>
        </w:rPr>
        <w:t xml:space="preserve">ustawy – Ordynacja podatkowa oraz ustawy o </w:t>
      </w:r>
      <w:r w:rsidR="00A102F3">
        <w:rPr>
          <w:rFonts w:ascii="Times New Roman" w:eastAsia="Times New Roman" w:hAnsi="Times New Roman" w:cs="Times New Roman"/>
          <w:bCs/>
          <w:sz w:val="24"/>
          <w:szCs w:val="24"/>
          <w:lang w:eastAsia="pl-PL"/>
        </w:rPr>
        <w:lastRenderedPageBreak/>
        <w:t>Krajowej Administracji Skarbowej</w:t>
      </w:r>
      <w:r w:rsidR="00A102F3" w:rsidRPr="00D46B14">
        <w:rPr>
          <w:rFonts w:ascii="Times New Roman" w:eastAsia="Times New Roman" w:hAnsi="Times New Roman" w:cs="Times New Roman"/>
          <w:bCs/>
          <w:sz w:val="24"/>
          <w:szCs w:val="24"/>
          <w:lang w:eastAsia="pl-PL"/>
        </w:rPr>
        <w:t xml:space="preserve"> </w:t>
      </w:r>
      <w:r w:rsidRPr="00D46B14">
        <w:rPr>
          <w:rFonts w:ascii="Times New Roman" w:eastAsia="Times New Roman" w:hAnsi="Times New Roman" w:cs="Times New Roman"/>
          <w:bCs/>
          <w:sz w:val="24"/>
          <w:szCs w:val="24"/>
          <w:lang w:eastAsia="pl-PL"/>
        </w:rPr>
        <w:t xml:space="preserve">ograniczających </w:t>
      </w:r>
      <w:r w:rsidR="00A102F3" w:rsidRPr="00A102F3">
        <w:rPr>
          <w:rFonts w:ascii="Times New Roman" w:eastAsia="Times New Roman" w:hAnsi="Times New Roman" w:cs="Times New Roman"/>
          <w:bCs/>
          <w:sz w:val="24"/>
          <w:szCs w:val="24"/>
          <w:lang w:eastAsia="pl-PL"/>
        </w:rPr>
        <w:t>prawo składania deklaracji po zakończeniu kontroli podatkowej lub kontroli celno-skarbowej</w:t>
      </w:r>
      <w:r w:rsidR="00A102F3">
        <w:rPr>
          <w:rFonts w:ascii="Times New Roman" w:eastAsia="Times New Roman" w:hAnsi="Times New Roman" w:cs="Times New Roman"/>
          <w:bCs/>
          <w:sz w:val="24"/>
          <w:szCs w:val="24"/>
          <w:lang w:eastAsia="pl-PL"/>
        </w:rPr>
        <w:t>.</w:t>
      </w:r>
      <w:r w:rsidRPr="00D46B14">
        <w:rPr>
          <w:rFonts w:ascii="Times New Roman" w:eastAsia="Times New Roman" w:hAnsi="Times New Roman" w:cs="Times New Roman"/>
          <w:bCs/>
          <w:sz w:val="24"/>
          <w:szCs w:val="24"/>
          <w:lang w:eastAsia="pl-PL"/>
        </w:rPr>
        <w:t xml:space="preserve"> </w:t>
      </w:r>
    </w:p>
    <w:p w14:paraId="5F03F337" w14:textId="74781662" w:rsidR="001E6BE9" w:rsidRDefault="001E6BE9" w:rsidP="00D46B14">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1E6BE9">
        <w:rPr>
          <w:rFonts w:ascii="Times New Roman" w:eastAsia="Times New Roman" w:hAnsi="Times New Roman" w:cs="Times New Roman"/>
          <w:bCs/>
          <w:sz w:val="24"/>
          <w:szCs w:val="24"/>
          <w:lang w:eastAsia="pl-PL"/>
        </w:rPr>
        <w:t xml:space="preserve">Należy przy tym podkreślić, że możliwość skorzystania z </w:t>
      </w:r>
      <w:r w:rsidR="00526E04">
        <w:rPr>
          <w:rFonts w:ascii="Times New Roman" w:eastAsia="Times New Roman" w:hAnsi="Times New Roman" w:cs="Times New Roman"/>
          <w:bCs/>
          <w:sz w:val="24"/>
          <w:szCs w:val="24"/>
          <w:lang w:eastAsia="pl-PL"/>
        </w:rPr>
        <w:t xml:space="preserve">projektowanej </w:t>
      </w:r>
      <w:r w:rsidRPr="001E6BE9">
        <w:rPr>
          <w:rFonts w:ascii="Times New Roman" w:eastAsia="Times New Roman" w:hAnsi="Times New Roman" w:cs="Times New Roman"/>
          <w:bCs/>
          <w:sz w:val="24"/>
          <w:szCs w:val="24"/>
          <w:lang w:eastAsia="pl-PL"/>
        </w:rPr>
        <w:t>regulacji</w:t>
      </w:r>
      <w:r w:rsidR="00526E04">
        <w:rPr>
          <w:rFonts w:ascii="Times New Roman" w:eastAsia="Times New Roman" w:hAnsi="Times New Roman" w:cs="Times New Roman"/>
          <w:bCs/>
          <w:sz w:val="24"/>
          <w:szCs w:val="24"/>
          <w:lang w:eastAsia="pl-PL"/>
        </w:rPr>
        <w:t xml:space="preserve"> </w:t>
      </w:r>
      <w:r w:rsidRPr="001E6BE9">
        <w:rPr>
          <w:rFonts w:ascii="Times New Roman" w:eastAsia="Times New Roman" w:hAnsi="Times New Roman" w:cs="Times New Roman"/>
          <w:bCs/>
          <w:sz w:val="24"/>
          <w:szCs w:val="24"/>
          <w:lang w:eastAsia="pl-PL"/>
        </w:rPr>
        <w:t>przysługuje również podatnikom, którzy samodzielnie dokonali korekty rozliczeń podatkowych, bez uprzedniej ingerencji organów podatkowych, o ile spełnione zostaną warunki określone w tym przepisie.</w:t>
      </w:r>
    </w:p>
    <w:p w14:paraId="59A78EAD" w14:textId="2458E4AF" w:rsidR="00027588" w:rsidRDefault="00027588" w:rsidP="00D46B14">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bookmarkStart w:id="23" w:name="_Hlk240465001"/>
      <w:r>
        <w:rPr>
          <w:rFonts w:ascii="Times New Roman" w:eastAsia="Times New Roman" w:hAnsi="Times New Roman" w:cs="Times New Roman"/>
          <w:bCs/>
          <w:sz w:val="24"/>
          <w:szCs w:val="24"/>
          <w:lang w:eastAsia="pl-PL"/>
        </w:rPr>
        <w:t>Jednocześnie w obu przypadkach ustawodawca celowo nie ogranicza w czasie prawa do złożenia korekty deklaracji podatkowych w związku z zastosowaniem projektowan</w:t>
      </w:r>
      <w:r w:rsidR="00AE3137">
        <w:rPr>
          <w:rFonts w:ascii="Times New Roman" w:eastAsia="Times New Roman" w:hAnsi="Times New Roman" w:cs="Times New Roman"/>
          <w:bCs/>
          <w:sz w:val="24"/>
          <w:szCs w:val="24"/>
          <w:lang w:eastAsia="pl-PL"/>
        </w:rPr>
        <w:t>ych przepisów abolicyjnych przez</w:t>
      </w:r>
      <w:r>
        <w:rPr>
          <w:rFonts w:ascii="Times New Roman" w:eastAsia="Times New Roman" w:hAnsi="Times New Roman" w:cs="Times New Roman"/>
          <w:bCs/>
          <w:sz w:val="24"/>
          <w:szCs w:val="24"/>
          <w:lang w:eastAsia="pl-PL"/>
        </w:rPr>
        <w:t xml:space="preserve"> podatnika</w:t>
      </w:r>
      <w:r w:rsidR="00F32325">
        <w:rPr>
          <w:rFonts w:ascii="Times New Roman" w:eastAsia="Times New Roman" w:hAnsi="Times New Roman" w:cs="Times New Roman"/>
          <w:bCs/>
          <w:sz w:val="24"/>
          <w:szCs w:val="24"/>
          <w:lang w:eastAsia="pl-PL"/>
        </w:rPr>
        <w:t xml:space="preserve">. W tym zakresie zastosowanie znajdą ogólne zasady wynikające z przepisów ustawy – Ordynacja podatkowa. </w:t>
      </w:r>
      <w:r>
        <w:rPr>
          <w:rFonts w:ascii="Times New Roman" w:eastAsia="Times New Roman" w:hAnsi="Times New Roman" w:cs="Times New Roman"/>
          <w:bCs/>
          <w:sz w:val="24"/>
          <w:szCs w:val="24"/>
          <w:lang w:eastAsia="pl-PL"/>
        </w:rPr>
        <w:t xml:space="preserve">Należy bowiem podkreślić, że jak najszybsze złożenie korekty deklaracji podatkowych leży w interesie podatnika, ponieważ umożliwia faktyczne zastosowanie </w:t>
      </w:r>
      <w:r w:rsidR="00AE3137">
        <w:rPr>
          <w:rFonts w:ascii="Times New Roman" w:eastAsia="Times New Roman" w:hAnsi="Times New Roman" w:cs="Times New Roman"/>
          <w:bCs/>
          <w:sz w:val="24"/>
          <w:szCs w:val="24"/>
          <w:lang w:eastAsia="pl-PL"/>
        </w:rPr>
        <w:t>projektowanych przepisów abolicyjnych</w:t>
      </w:r>
      <w:r>
        <w:rPr>
          <w:rFonts w:ascii="Times New Roman" w:eastAsia="Times New Roman" w:hAnsi="Times New Roman" w:cs="Times New Roman"/>
          <w:bCs/>
          <w:sz w:val="24"/>
          <w:szCs w:val="24"/>
          <w:lang w:eastAsia="pl-PL"/>
        </w:rPr>
        <w:t xml:space="preserve">. </w:t>
      </w:r>
    </w:p>
    <w:p w14:paraId="3DFF9FDE" w14:textId="142946DC" w:rsidR="00027588" w:rsidRPr="00D46B14" w:rsidRDefault="00027588" w:rsidP="00D46B14">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 perspektywy organów podatkowych najistotniejsze jest </w:t>
      </w:r>
      <w:r w:rsidRPr="00903B15">
        <w:rPr>
          <w:rFonts w:ascii="Times New Roman" w:eastAsia="Times New Roman" w:hAnsi="Times New Roman" w:cs="Times New Roman"/>
          <w:bCs/>
          <w:sz w:val="24"/>
          <w:szCs w:val="24"/>
          <w:lang w:eastAsia="pl-PL"/>
        </w:rPr>
        <w:t>sporządzeni</w:t>
      </w:r>
      <w:r>
        <w:rPr>
          <w:rFonts w:ascii="Times New Roman" w:eastAsia="Times New Roman" w:hAnsi="Times New Roman" w:cs="Times New Roman"/>
          <w:bCs/>
          <w:sz w:val="24"/>
          <w:szCs w:val="24"/>
          <w:lang w:eastAsia="pl-PL"/>
        </w:rPr>
        <w:t>e przez podatnika</w:t>
      </w:r>
      <w:r w:rsidRPr="00903B15">
        <w:rPr>
          <w:rFonts w:ascii="Times New Roman" w:eastAsia="Times New Roman" w:hAnsi="Times New Roman" w:cs="Times New Roman"/>
          <w:bCs/>
          <w:sz w:val="24"/>
          <w:szCs w:val="24"/>
          <w:lang w:eastAsia="pl-PL"/>
        </w:rPr>
        <w:t xml:space="preserve"> sprawozdania finansowego, w tym podpisani</w:t>
      </w:r>
      <w:r w:rsidR="00A102F3">
        <w:rPr>
          <w:rFonts w:ascii="Times New Roman" w:eastAsia="Times New Roman" w:hAnsi="Times New Roman" w:cs="Times New Roman"/>
          <w:bCs/>
          <w:sz w:val="24"/>
          <w:szCs w:val="24"/>
          <w:lang w:eastAsia="pl-PL"/>
        </w:rPr>
        <w:t>e</w:t>
      </w:r>
      <w:r w:rsidRPr="00903B15">
        <w:rPr>
          <w:rFonts w:ascii="Times New Roman" w:eastAsia="Times New Roman" w:hAnsi="Times New Roman" w:cs="Times New Roman"/>
          <w:bCs/>
          <w:sz w:val="24"/>
          <w:szCs w:val="24"/>
          <w:lang w:eastAsia="pl-PL"/>
        </w:rPr>
        <w:t xml:space="preserve"> go przez wszystkie obowiązane osoby, zgodnie z przepisami o rachunkowości, oraz przekazani</w:t>
      </w:r>
      <w:r>
        <w:rPr>
          <w:rFonts w:ascii="Times New Roman" w:eastAsia="Times New Roman" w:hAnsi="Times New Roman" w:cs="Times New Roman"/>
          <w:bCs/>
          <w:sz w:val="24"/>
          <w:szCs w:val="24"/>
          <w:lang w:eastAsia="pl-PL"/>
        </w:rPr>
        <w:t>e</w:t>
      </w:r>
      <w:r w:rsidRPr="00903B15">
        <w:rPr>
          <w:rFonts w:ascii="Times New Roman" w:eastAsia="Times New Roman" w:hAnsi="Times New Roman" w:cs="Times New Roman"/>
          <w:bCs/>
          <w:sz w:val="24"/>
          <w:szCs w:val="24"/>
          <w:lang w:eastAsia="pl-PL"/>
        </w:rPr>
        <w:t xml:space="preserve"> go, za pomocą środków komunikacji elektronicznej</w:t>
      </w:r>
      <w:r w:rsidR="003B3564">
        <w:rPr>
          <w:rFonts w:ascii="Times New Roman" w:eastAsia="Times New Roman" w:hAnsi="Times New Roman" w:cs="Times New Roman"/>
          <w:bCs/>
          <w:sz w:val="24"/>
          <w:szCs w:val="24"/>
          <w:lang w:eastAsia="pl-PL"/>
        </w:rPr>
        <w:t>,</w:t>
      </w:r>
      <w:r w:rsidRPr="00903B15">
        <w:rPr>
          <w:rFonts w:ascii="Times New Roman" w:eastAsia="Times New Roman" w:hAnsi="Times New Roman" w:cs="Times New Roman"/>
          <w:bCs/>
          <w:sz w:val="24"/>
          <w:szCs w:val="24"/>
          <w:lang w:eastAsia="pl-PL"/>
        </w:rPr>
        <w:t xml:space="preserve"> Szefowi Krajowej Administracji Skarbowej, nie później niż do dnia 31 stycznia 2027 r.</w:t>
      </w:r>
      <w:r>
        <w:rPr>
          <w:rFonts w:ascii="Times New Roman" w:eastAsia="Times New Roman" w:hAnsi="Times New Roman" w:cs="Times New Roman"/>
          <w:bCs/>
          <w:sz w:val="24"/>
          <w:szCs w:val="24"/>
          <w:lang w:eastAsia="pl-PL"/>
        </w:rPr>
        <w:t>, tj. spełnienie warunku umożliwiającego</w:t>
      </w:r>
      <w:r w:rsidR="0086254A">
        <w:rPr>
          <w:rFonts w:ascii="Times New Roman" w:eastAsia="Times New Roman" w:hAnsi="Times New Roman" w:cs="Times New Roman"/>
          <w:bCs/>
          <w:sz w:val="24"/>
          <w:szCs w:val="24"/>
          <w:lang w:eastAsia="pl-PL"/>
        </w:rPr>
        <w:t xml:space="preserve"> podatnik</w:t>
      </w:r>
      <w:r w:rsidR="00A102F3">
        <w:rPr>
          <w:rFonts w:ascii="Times New Roman" w:eastAsia="Times New Roman" w:hAnsi="Times New Roman" w:cs="Times New Roman"/>
          <w:bCs/>
          <w:sz w:val="24"/>
          <w:szCs w:val="24"/>
          <w:lang w:eastAsia="pl-PL"/>
        </w:rPr>
        <w:t>om</w:t>
      </w:r>
      <w:r>
        <w:rPr>
          <w:rFonts w:ascii="Times New Roman" w:eastAsia="Times New Roman" w:hAnsi="Times New Roman" w:cs="Times New Roman"/>
          <w:bCs/>
          <w:sz w:val="24"/>
          <w:szCs w:val="24"/>
          <w:lang w:eastAsia="pl-PL"/>
        </w:rPr>
        <w:t xml:space="preserve"> skorzystanie z projektowan</w:t>
      </w:r>
      <w:r w:rsidR="00AE3137">
        <w:rPr>
          <w:rFonts w:ascii="Times New Roman" w:eastAsia="Times New Roman" w:hAnsi="Times New Roman" w:cs="Times New Roman"/>
          <w:bCs/>
          <w:sz w:val="24"/>
          <w:szCs w:val="24"/>
          <w:lang w:eastAsia="pl-PL"/>
        </w:rPr>
        <w:t>ych przepisów abolicyjnych</w:t>
      </w:r>
      <w:r>
        <w:rPr>
          <w:rFonts w:ascii="Times New Roman" w:eastAsia="Times New Roman" w:hAnsi="Times New Roman" w:cs="Times New Roman"/>
          <w:bCs/>
          <w:sz w:val="24"/>
          <w:szCs w:val="24"/>
          <w:lang w:eastAsia="pl-PL"/>
        </w:rPr>
        <w:t>. Do powyższego zobowiązani są wszyscy podatnicy zainteresowani przepisami abolicyjnymi, w tym tacy, którzy nie dokonywali korekt deklaracji podatkowych uwzględniających w</w:t>
      </w:r>
      <w:r w:rsidR="00C11409">
        <w:rPr>
          <w:rFonts w:ascii="Times New Roman" w:eastAsia="Times New Roman" w:hAnsi="Times New Roman" w:cs="Times New Roman"/>
          <w:bCs/>
          <w:sz w:val="24"/>
          <w:szCs w:val="24"/>
          <w:lang w:eastAsia="pl-PL"/>
        </w:rPr>
        <w:t xml:space="preserve"> całości lub w części ustalenia lub wyniki </w:t>
      </w:r>
      <w:r>
        <w:rPr>
          <w:rFonts w:ascii="Times New Roman" w:eastAsia="Times New Roman" w:hAnsi="Times New Roman" w:cs="Times New Roman"/>
          <w:bCs/>
          <w:sz w:val="24"/>
          <w:szCs w:val="24"/>
          <w:lang w:eastAsia="pl-PL"/>
        </w:rPr>
        <w:t>przeprowadzon</w:t>
      </w:r>
      <w:r w:rsidR="00C11409">
        <w:rPr>
          <w:rFonts w:ascii="Times New Roman" w:eastAsia="Times New Roman" w:hAnsi="Times New Roman" w:cs="Times New Roman"/>
          <w:bCs/>
          <w:sz w:val="24"/>
          <w:szCs w:val="24"/>
          <w:lang w:eastAsia="pl-PL"/>
        </w:rPr>
        <w:t xml:space="preserve">ych kontroli </w:t>
      </w:r>
      <w:r>
        <w:rPr>
          <w:rFonts w:ascii="Times New Roman" w:eastAsia="Times New Roman" w:hAnsi="Times New Roman" w:cs="Times New Roman"/>
          <w:bCs/>
          <w:sz w:val="24"/>
          <w:szCs w:val="24"/>
          <w:lang w:eastAsia="pl-PL"/>
        </w:rPr>
        <w:t xml:space="preserve">w związku z uchybieniami formalnymi </w:t>
      </w:r>
      <w:r w:rsidR="00C11409">
        <w:rPr>
          <w:rFonts w:ascii="Times New Roman" w:eastAsia="Times New Roman" w:hAnsi="Times New Roman" w:cs="Times New Roman"/>
          <w:bCs/>
          <w:sz w:val="24"/>
          <w:szCs w:val="24"/>
          <w:lang w:eastAsia="pl-PL"/>
        </w:rPr>
        <w:t>związanymi ze sporządz</w:t>
      </w:r>
      <w:r w:rsidR="00F32325">
        <w:rPr>
          <w:rFonts w:ascii="Times New Roman" w:eastAsia="Times New Roman" w:hAnsi="Times New Roman" w:cs="Times New Roman"/>
          <w:bCs/>
          <w:sz w:val="24"/>
          <w:szCs w:val="24"/>
          <w:lang w:eastAsia="pl-PL"/>
        </w:rPr>
        <w:t>eniem</w:t>
      </w:r>
      <w:r w:rsidR="00C11409">
        <w:rPr>
          <w:rFonts w:ascii="Times New Roman" w:eastAsia="Times New Roman" w:hAnsi="Times New Roman" w:cs="Times New Roman"/>
          <w:bCs/>
          <w:sz w:val="24"/>
          <w:szCs w:val="24"/>
          <w:lang w:eastAsia="pl-PL"/>
        </w:rPr>
        <w:t xml:space="preserve"> sprawozdani</w:t>
      </w:r>
      <w:r w:rsidR="00F32325">
        <w:rPr>
          <w:rFonts w:ascii="Times New Roman" w:eastAsia="Times New Roman" w:hAnsi="Times New Roman" w:cs="Times New Roman"/>
          <w:bCs/>
          <w:sz w:val="24"/>
          <w:szCs w:val="24"/>
          <w:lang w:eastAsia="pl-PL"/>
        </w:rPr>
        <w:t>a</w:t>
      </w:r>
      <w:r w:rsidR="00C11409">
        <w:rPr>
          <w:rFonts w:ascii="Times New Roman" w:eastAsia="Times New Roman" w:hAnsi="Times New Roman" w:cs="Times New Roman"/>
          <w:bCs/>
          <w:sz w:val="24"/>
          <w:szCs w:val="24"/>
          <w:lang w:eastAsia="pl-PL"/>
        </w:rPr>
        <w:t xml:space="preserve"> finansow</w:t>
      </w:r>
      <w:r w:rsidR="00F32325">
        <w:rPr>
          <w:rFonts w:ascii="Times New Roman" w:eastAsia="Times New Roman" w:hAnsi="Times New Roman" w:cs="Times New Roman"/>
          <w:bCs/>
          <w:sz w:val="24"/>
          <w:szCs w:val="24"/>
          <w:lang w:eastAsia="pl-PL"/>
        </w:rPr>
        <w:t>ego</w:t>
      </w:r>
      <w:r w:rsidR="00C11409">
        <w:rPr>
          <w:rFonts w:ascii="Times New Roman" w:eastAsia="Times New Roman" w:hAnsi="Times New Roman" w:cs="Times New Roman"/>
          <w:bCs/>
          <w:sz w:val="24"/>
          <w:szCs w:val="24"/>
          <w:lang w:eastAsia="pl-PL"/>
        </w:rPr>
        <w:t xml:space="preserve"> oraz tacy, wobec których organy podatkowe nie prowadziły żadnych czynności i </w:t>
      </w:r>
      <w:r w:rsidR="00F32325">
        <w:rPr>
          <w:rFonts w:ascii="Times New Roman" w:eastAsia="Times New Roman" w:hAnsi="Times New Roman" w:cs="Times New Roman"/>
          <w:bCs/>
          <w:sz w:val="24"/>
          <w:szCs w:val="24"/>
          <w:lang w:eastAsia="pl-PL"/>
        </w:rPr>
        <w:t xml:space="preserve">w związku z powyższym </w:t>
      </w:r>
      <w:r w:rsidR="00C11409">
        <w:rPr>
          <w:rFonts w:ascii="Times New Roman" w:eastAsia="Times New Roman" w:hAnsi="Times New Roman" w:cs="Times New Roman"/>
          <w:bCs/>
          <w:sz w:val="24"/>
          <w:szCs w:val="24"/>
          <w:lang w:eastAsia="pl-PL"/>
        </w:rPr>
        <w:t>nie dokonywali</w:t>
      </w:r>
      <w:r w:rsidR="00F32325">
        <w:rPr>
          <w:rFonts w:ascii="Times New Roman" w:eastAsia="Times New Roman" w:hAnsi="Times New Roman" w:cs="Times New Roman"/>
          <w:bCs/>
          <w:sz w:val="24"/>
          <w:szCs w:val="24"/>
          <w:lang w:eastAsia="pl-PL"/>
        </w:rPr>
        <w:t xml:space="preserve"> oni</w:t>
      </w:r>
      <w:r w:rsidR="00C11409">
        <w:rPr>
          <w:rFonts w:ascii="Times New Roman" w:eastAsia="Times New Roman" w:hAnsi="Times New Roman" w:cs="Times New Roman"/>
          <w:bCs/>
          <w:sz w:val="24"/>
          <w:szCs w:val="24"/>
          <w:lang w:eastAsia="pl-PL"/>
        </w:rPr>
        <w:t xml:space="preserve"> żadnych korekt deklaracji podatkowych, pomimo występowania uchybień formalnych</w:t>
      </w:r>
      <w:r w:rsidR="00A102F3">
        <w:rPr>
          <w:rFonts w:ascii="Times New Roman" w:eastAsia="Times New Roman" w:hAnsi="Times New Roman" w:cs="Times New Roman"/>
          <w:bCs/>
          <w:sz w:val="24"/>
          <w:szCs w:val="24"/>
          <w:lang w:eastAsia="pl-PL"/>
        </w:rPr>
        <w:t xml:space="preserve"> związanych ze</w:t>
      </w:r>
      <w:r w:rsidR="00C11409">
        <w:rPr>
          <w:rFonts w:ascii="Times New Roman" w:eastAsia="Times New Roman" w:hAnsi="Times New Roman" w:cs="Times New Roman"/>
          <w:bCs/>
          <w:sz w:val="24"/>
          <w:szCs w:val="24"/>
          <w:lang w:eastAsia="pl-PL"/>
        </w:rPr>
        <w:t xml:space="preserve"> sporządz</w:t>
      </w:r>
      <w:r w:rsidR="00A102F3">
        <w:rPr>
          <w:rFonts w:ascii="Times New Roman" w:eastAsia="Times New Roman" w:hAnsi="Times New Roman" w:cs="Times New Roman"/>
          <w:bCs/>
          <w:sz w:val="24"/>
          <w:szCs w:val="24"/>
          <w:lang w:eastAsia="pl-PL"/>
        </w:rPr>
        <w:t>eniem</w:t>
      </w:r>
      <w:r w:rsidR="00C11409">
        <w:rPr>
          <w:rFonts w:ascii="Times New Roman" w:eastAsia="Times New Roman" w:hAnsi="Times New Roman" w:cs="Times New Roman"/>
          <w:bCs/>
          <w:sz w:val="24"/>
          <w:szCs w:val="24"/>
          <w:lang w:eastAsia="pl-PL"/>
        </w:rPr>
        <w:t xml:space="preserve"> przez nich sprawozdania finansow</w:t>
      </w:r>
      <w:r w:rsidR="00A102F3">
        <w:rPr>
          <w:rFonts w:ascii="Times New Roman" w:eastAsia="Times New Roman" w:hAnsi="Times New Roman" w:cs="Times New Roman"/>
          <w:bCs/>
          <w:sz w:val="24"/>
          <w:szCs w:val="24"/>
          <w:lang w:eastAsia="pl-PL"/>
        </w:rPr>
        <w:t>ego</w:t>
      </w:r>
      <w:r w:rsidR="00C11409">
        <w:rPr>
          <w:rFonts w:ascii="Times New Roman" w:eastAsia="Times New Roman" w:hAnsi="Times New Roman" w:cs="Times New Roman"/>
          <w:bCs/>
          <w:sz w:val="24"/>
          <w:szCs w:val="24"/>
          <w:lang w:eastAsia="pl-PL"/>
        </w:rPr>
        <w:t xml:space="preserve"> w związku ze zmianą formy opodatkowania na ryczałt od dochodów spółek przed upływem przyjętego przez nich roku podatkowego. Innymi słowy podatnicy, którzy nie przekażą za pomocą środków komunikacji elektronicznej Szefowi Krajowej Administracji Skarbowej do dnia 31 stycznia 2027 r. sprawozdania finansowego sporządzonego zgodnie z przepisami ustawy o rachunkowości, w tym podpisanego przez wszystkie obowiązane osoby,</w:t>
      </w:r>
      <w:r w:rsidR="0086254A">
        <w:rPr>
          <w:rFonts w:ascii="Times New Roman" w:eastAsia="Times New Roman" w:hAnsi="Times New Roman" w:cs="Times New Roman"/>
          <w:bCs/>
          <w:sz w:val="24"/>
          <w:szCs w:val="24"/>
          <w:lang w:eastAsia="pl-PL"/>
        </w:rPr>
        <w:t xml:space="preserve"> nie będą uprawnieni do zastosowania projektowan</w:t>
      </w:r>
      <w:r w:rsidR="00AE3137">
        <w:rPr>
          <w:rFonts w:ascii="Times New Roman" w:eastAsia="Times New Roman" w:hAnsi="Times New Roman" w:cs="Times New Roman"/>
          <w:bCs/>
          <w:sz w:val="24"/>
          <w:szCs w:val="24"/>
          <w:lang w:eastAsia="pl-PL"/>
        </w:rPr>
        <w:t>ych przepisów abolicyjnych</w:t>
      </w:r>
      <w:r w:rsidR="0086254A">
        <w:rPr>
          <w:rFonts w:ascii="Times New Roman" w:eastAsia="Times New Roman" w:hAnsi="Times New Roman" w:cs="Times New Roman"/>
          <w:bCs/>
          <w:sz w:val="24"/>
          <w:szCs w:val="24"/>
          <w:lang w:eastAsia="pl-PL"/>
        </w:rPr>
        <w:t xml:space="preserve">, niezależnie od tego, w jakiej sytuacji prawno-faktycznej znajdują się w momencie </w:t>
      </w:r>
      <w:r w:rsidR="00AE3137">
        <w:rPr>
          <w:rFonts w:ascii="Times New Roman" w:eastAsia="Times New Roman" w:hAnsi="Times New Roman" w:cs="Times New Roman"/>
          <w:bCs/>
          <w:sz w:val="24"/>
          <w:szCs w:val="24"/>
          <w:lang w:eastAsia="pl-PL"/>
        </w:rPr>
        <w:t xml:space="preserve">ich </w:t>
      </w:r>
      <w:r w:rsidR="0086254A">
        <w:rPr>
          <w:rFonts w:ascii="Times New Roman" w:eastAsia="Times New Roman" w:hAnsi="Times New Roman" w:cs="Times New Roman"/>
          <w:bCs/>
          <w:sz w:val="24"/>
          <w:szCs w:val="24"/>
          <w:lang w:eastAsia="pl-PL"/>
        </w:rPr>
        <w:t>wejścia w życie</w:t>
      </w:r>
      <w:bookmarkEnd w:id="22"/>
      <w:bookmarkEnd w:id="23"/>
      <w:r w:rsidR="00AE3137">
        <w:rPr>
          <w:rFonts w:ascii="Times New Roman" w:eastAsia="Times New Roman" w:hAnsi="Times New Roman" w:cs="Times New Roman"/>
          <w:bCs/>
          <w:sz w:val="24"/>
          <w:szCs w:val="24"/>
          <w:lang w:eastAsia="pl-PL"/>
        </w:rPr>
        <w:t>.</w:t>
      </w:r>
    </w:p>
    <w:p w14:paraId="14AA86AE" w14:textId="6D06DAE4" w:rsidR="00D46B14" w:rsidRPr="00D46B14" w:rsidRDefault="00D46B14" w:rsidP="00D46B14">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D46B14">
        <w:rPr>
          <w:rFonts w:ascii="Times New Roman" w:eastAsia="Times New Roman" w:hAnsi="Times New Roman" w:cs="Times New Roman"/>
          <w:bCs/>
          <w:sz w:val="24"/>
          <w:szCs w:val="24"/>
          <w:lang w:eastAsia="pl-PL"/>
        </w:rPr>
        <w:t xml:space="preserve">Ponadto projektowany przepis wprowadza szczególną podstawę umożliwiającą wznowienie postępowań podatkowych </w:t>
      </w:r>
      <w:r w:rsidR="00A40C8D">
        <w:rPr>
          <w:rFonts w:ascii="Times New Roman" w:eastAsia="Times New Roman" w:hAnsi="Times New Roman" w:cs="Times New Roman"/>
          <w:bCs/>
          <w:sz w:val="24"/>
          <w:szCs w:val="24"/>
          <w:lang w:eastAsia="pl-PL"/>
        </w:rPr>
        <w:t xml:space="preserve">w sprawach </w:t>
      </w:r>
      <w:r w:rsidRPr="00D46B14">
        <w:rPr>
          <w:rFonts w:ascii="Times New Roman" w:eastAsia="Times New Roman" w:hAnsi="Times New Roman" w:cs="Times New Roman"/>
          <w:bCs/>
          <w:sz w:val="24"/>
          <w:szCs w:val="24"/>
          <w:lang w:eastAsia="pl-PL"/>
        </w:rPr>
        <w:t xml:space="preserve">zakończonych wydaniem decyzji ostatecznych </w:t>
      </w:r>
      <w:r w:rsidRPr="00D46B14">
        <w:rPr>
          <w:rFonts w:ascii="Times New Roman" w:eastAsia="Times New Roman" w:hAnsi="Times New Roman" w:cs="Times New Roman"/>
          <w:bCs/>
          <w:sz w:val="24"/>
          <w:szCs w:val="24"/>
          <w:lang w:eastAsia="pl-PL"/>
        </w:rPr>
        <w:lastRenderedPageBreak/>
        <w:t>określających wysokość zobowiązania podatkowego</w:t>
      </w:r>
      <w:r w:rsidR="00A40C8D">
        <w:rPr>
          <w:rFonts w:ascii="Times New Roman" w:eastAsia="Times New Roman" w:hAnsi="Times New Roman" w:cs="Times New Roman"/>
          <w:bCs/>
          <w:sz w:val="24"/>
          <w:szCs w:val="24"/>
          <w:lang w:eastAsia="pl-PL"/>
        </w:rPr>
        <w:t xml:space="preserve">. Przepis ten stanowi </w:t>
      </w:r>
      <w:r w:rsidR="003A1346">
        <w:rPr>
          <w:rFonts w:ascii="Times New Roman" w:eastAsia="Times New Roman" w:hAnsi="Times New Roman" w:cs="Times New Roman"/>
          <w:bCs/>
          <w:sz w:val="24"/>
          <w:szCs w:val="24"/>
          <w:lang w:eastAsia="pl-PL"/>
        </w:rPr>
        <w:t>przesłankę wznowienia postępowania</w:t>
      </w:r>
      <w:r w:rsidR="00A40C8D">
        <w:rPr>
          <w:rFonts w:ascii="Times New Roman" w:eastAsia="Times New Roman" w:hAnsi="Times New Roman" w:cs="Times New Roman"/>
          <w:bCs/>
          <w:sz w:val="24"/>
          <w:szCs w:val="24"/>
          <w:lang w:eastAsia="pl-PL"/>
        </w:rPr>
        <w:t xml:space="preserve"> w tych sprawach</w:t>
      </w:r>
      <w:r w:rsidRPr="00D46B14">
        <w:rPr>
          <w:rFonts w:ascii="Times New Roman" w:eastAsia="Times New Roman" w:hAnsi="Times New Roman" w:cs="Times New Roman"/>
          <w:bCs/>
          <w:sz w:val="24"/>
          <w:szCs w:val="24"/>
          <w:lang w:eastAsia="pl-PL"/>
        </w:rPr>
        <w:t xml:space="preserve">. Wznowienie postępowania </w:t>
      </w:r>
      <w:r w:rsidR="00C35187">
        <w:rPr>
          <w:rFonts w:ascii="Times New Roman" w:eastAsia="Times New Roman" w:hAnsi="Times New Roman" w:cs="Times New Roman"/>
          <w:bCs/>
          <w:sz w:val="24"/>
          <w:szCs w:val="24"/>
          <w:lang w:eastAsia="pl-PL"/>
        </w:rPr>
        <w:t>będzie następowało poprzez odpowiednie stosowanie przepisów</w:t>
      </w:r>
      <w:r w:rsidRPr="00D46B14">
        <w:rPr>
          <w:rFonts w:ascii="Times New Roman" w:eastAsia="Times New Roman" w:hAnsi="Times New Roman" w:cs="Times New Roman"/>
          <w:bCs/>
          <w:sz w:val="24"/>
          <w:szCs w:val="24"/>
          <w:lang w:eastAsia="pl-PL"/>
        </w:rPr>
        <w:t xml:space="preserve"> ustawy – Ordynacja podatkowa</w:t>
      </w:r>
      <w:r w:rsidR="003A1346">
        <w:rPr>
          <w:rFonts w:ascii="Times New Roman" w:eastAsia="Times New Roman" w:hAnsi="Times New Roman" w:cs="Times New Roman"/>
          <w:bCs/>
          <w:sz w:val="24"/>
          <w:szCs w:val="24"/>
          <w:lang w:eastAsia="pl-PL"/>
        </w:rPr>
        <w:t xml:space="preserve"> </w:t>
      </w:r>
      <w:r w:rsidR="00A40C8D">
        <w:rPr>
          <w:rFonts w:ascii="Times New Roman" w:eastAsia="Times New Roman" w:hAnsi="Times New Roman" w:cs="Times New Roman"/>
          <w:bCs/>
          <w:sz w:val="24"/>
          <w:szCs w:val="24"/>
          <w:lang w:eastAsia="pl-PL"/>
        </w:rPr>
        <w:t>dotyczących</w:t>
      </w:r>
      <w:r w:rsidR="003A1346">
        <w:rPr>
          <w:rFonts w:ascii="Times New Roman" w:eastAsia="Times New Roman" w:hAnsi="Times New Roman" w:cs="Times New Roman"/>
          <w:bCs/>
          <w:sz w:val="24"/>
          <w:szCs w:val="24"/>
          <w:lang w:eastAsia="pl-PL"/>
        </w:rPr>
        <w:t xml:space="preserve"> wznowienia podstępowania</w:t>
      </w:r>
      <w:r w:rsidRPr="00D46B14">
        <w:rPr>
          <w:rFonts w:ascii="Times New Roman" w:eastAsia="Times New Roman" w:hAnsi="Times New Roman" w:cs="Times New Roman"/>
          <w:bCs/>
          <w:sz w:val="24"/>
          <w:szCs w:val="24"/>
          <w:lang w:eastAsia="pl-PL"/>
        </w:rPr>
        <w:t>, co pozwala na wykorzystanie znanych i utrwalonych mechanizmów proceduralnych, bez konieczności wprowadzania odrębnej, szczególnej procedury w tym zakresie.</w:t>
      </w:r>
      <w:r w:rsidR="003A1346">
        <w:rPr>
          <w:rFonts w:ascii="Times New Roman" w:eastAsia="Times New Roman" w:hAnsi="Times New Roman" w:cs="Times New Roman"/>
          <w:bCs/>
          <w:sz w:val="24"/>
          <w:szCs w:val="24"/>
          <w:lang w:eastAsia="pl-PL"/>
        </w:rPr>
        <w:t xml:space="preserve"> </w:t>
      </w:r>
    </w:p>
    <w:p w14:paraId="55E1EE09" w14:textId="53928E7E" w:rsidR="00D46B14" w:rsidRPr="00D46B14" w:rsidRDefault="00D46B14" w:rsidP="00D46B14">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D46B14">
        <w:rPr>
          <w:rFonts w:ascii="Times New Roman" w:eastAsia="Times New Roman" w:hAnsi="Times New Roman" w:cs="Times New Roman"/>
          <w:bCs/>
          <w:sz w:val="24"/>
          <w:szCs w:val="24"/>
          <w:lang w:eastAsia="pl-PL"/>
        </w:rPr>
        <w:t>Regulacja ta obejmuje zarówno podatników podatku dochodowego od osób prawnych, jak i</w:t>
      </w:r>
      <w:r w:rsidR="007017B8">
        <w:rPr>
          <w:rFonts w:ascii="Times New Roman" w:eastAsia="Times New Roman" w:hAnsi="Times New Roman" w:cs="Times New Roman"/>
          <w:bCs/>
          <w:sz w:val="24"/>
          <w:szCs w:val="24"/>
          <w:lang w:eastAsia="pl-PL"/>
        </w:rPr>
        <w:t> </w:t>
      </w:r>
      <w:r w:rsidRPr="00D46B14">
        <w:rPr>
          <w:rFonts w:ascii="Times New Roman" w:eastAsia="Times New Roman" w:hAnsi="Times New Roman" w:cs="Times New Roman"/>
          <w:bCs/>
          <w:sz w:val="24"/>
          <w:szCs w:val="24"/>
          <w:lang w:eastAsia="pl-PL"/>
        </w:rPr>
        <w:t>podatników podatku dochodowego od osób fizycznych. W odniesieniu do tej drugiej grupy uwzględniono również skutki stosowania ryczałtu od dochodów spółek po stronie wspólników, w szczególności w zakresie pomniejszenia podatku dochodowego od osób fizycznych o kwotę odpowiadającą części ryczałtu.</w:t>
      </w:r>
    </w:p>
    <w:p w14:paraId="5891E115" w14:textId="537936FB" w:rsidR="00D46B14" w:rsidRPr="00D46B14" w:rsidRDefault="00D46B14" w:rsidP="00D46B14">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D46B14">
        <w:rPr>
          <w:rFonts w:ascii="Times New Roman" w:eastAsia="Times New Roman" w:hAnsi="Times New Roman" w:cs="Times New Roman"/>
          <w:bCs/>
          <w:sz w:val="24"/>
          <w:szCs w:val="24"/>
          <w:lang w:eastAsia="pl-PL"/>
        </w:rPr>
        <w:t xml:space="preserve">Projektowany przepis rozstrzyga również, że ewentualna nadpłata powstała w wyniku </w:t>
      </w:r>
      <w:r w:rsidR="00526E04">
        <w:rPr>
          <w:rFonts w:ascii="Times New Roman" w:eastAsia="Times New Roman" w:hAnsi="Times New Roman" w:cs="Times New Roman"/>
          <w:bCs/>
          <w:sz w:val="24"/>
          <w:szCs w:val="24"/>
          <w:lang w:eastAsia="pl-PL"/>
        </w:rPr>
        <w:t xml:space="preserve">jego </w:t>
      </w:r>
      <w:r w:rsidRPr="00D46B14">
        <w:rPr>
          <w:rFonts w:ascii="Times New Roman" w:eastAsia="Times New Roman" w:hAnsi="Times New Roman" w:cs="Times New Roman"/>
          <w:bCs/>
          <w:sz w:val="24"/>
          <w:szCs w:val="24"/>
          <w:lang w:eastAsia="pl-PL"/>
        </w:rPr>
        <w:t xml:space="preserve">zastosowania podlega </w:t>
      </w:r>
      <w:r w:rsidR="00526E04">
        <w:rPr>
          <w:rFonts w:ascii="Times New Roman" w:eastAsia="Times New Roman" w:hAnsi="Times New Roman" w:cs="Times New Roman"/>
          <w:bCs/>
          <w:sz w:val="24"/>
          <w:szCs w:val="24"/>
          <w:lang w:eastAsia="pl-PL"/>
        </w:rPr>
        <w:t>zwrotowi w terminie 3 miesięcy od dnia złożenia korekty deklaracji podatkowej na podstawie ust. 2, zmiany lu</w:t>
      </w:r>
      <w:r w:rsidR="00EC7A03">
        <w:rPr>
          <w:rFonts w:ascii="Times New Roman" w:eastAsia="Times New Roman" w:hAnsi="Times New Roman" w:cs="Times New Roman"/>
          <w:bCs/>
          <w:sz w:val="24"/>
          <w:szCs w:val="24"/>
          <w:lang w:eastAsia="pl-PL"/>
        </w:rPr>
        <w:t>b</w:t>
      </w:r>
      <w:r w:rsidR="00526E04">
        <w:rPr>
          <w:rFonts w:ascii="Times New Roman" w:eastAsia="Times New Roman" w:hAnsi="Times New Roman" w:cs="Times New Roman"/>
          <w:bCs/>
          <w:sz w:val="24"/>
          <w:szCs w:val="24"/>
          <w:lang w:eastAsia="pl-PL"/>
        </w:rPr>
        <w:t xml:space="preserve"> uchylenia decyzji na podstawie ust. 3</w:t>
      </w:r>
      <w:r w:rsidRPr="00D46B14">
        <w:rPr>
          <w:rFonts w:ascii="Times New Roman" w:eastAsia="Times New Roman" w:hAnsi="Times New Roman" w:cs="Times New Roman"/>
          <w:bCs/>
          <w:sz w:val="24"/>
          <w:szCs w:val="24"/>
          <w:lang w:eastAsia="pl-PL"/>
        </w:rPr>
        <w:t>.</w:t>
      </w:r>
      <w:r w:rsidR="00526E04">
        <w:rPr>
          <w:rFonts w:ascii="Times New Roman" w:eastAsia="Times New Roman" w:hAnsi="Times New Roman" w:cs="Times New Roman"/>
          <w:bCs/>
          <w:sz w:val="24"/>
          <w:szCs w:val="24"/>
          <w:lang w:eastAsia="pl-PL"/>
        </w:rPr>
        <w:t xml:space="preserve"> Oprocentowanie takiej nadpłaty będzie przysługiwało wyłącznie od dnia upływu terminu do zwrotu nadpłaty</w:t>
      </w:r>
      <w:r w:rsidR="004F5E10">
        <w:rPr>
          <w:rFonts w:ascii="Times New Roman" w:eastAsia="Times New Roman" w:hAnsi="Times New Roman" w:cs="Times New Roman"/>
          <w:bCs/>
          <w:sz w:val="24"/>
          <w:szCs w:val="24"/>
          <w:lang w:eastAsia="pl-PL"/>
        </w:rPr>
        <w:t>, przy czym nie dotyczy to przypadków, gdy podatnik przyczynił się do opóźnienia w zwrocie nadpłaty</w:t>
      </w:r>
      <w:r w:rsidR="00526E04">
        <w:rPr>
          <w:rFonts w:ascii="Times New Roman" w:eastAsia="Times New Roman" w:hAnsi="Times New Roman" w:cs="Times New Roman"/>
          <w:bCs/>
          <w:sz w:val="24"/>
          <w:szCs w:val="24"/>
          <w:lang w:eastAsia="pl-PL"/>
        </w:rPr>
        <w:t>.</w:t>
      </w:r>
      <w:r w:rsidRPr="00D46B14">
        <w:rPr>
          <w:rFonts w:ascii="Times New Roman" w:eastAsia="Times New Roman" w:hAnsi="Times New Roman" w:cs="Times New Roman"/>
          <w:bCs/>
          <w:sz w:val="24"/>
          <w:szCs w:val="24"/>
          <w:lang w:eastAsia="pl-PL"/>
        </w:rPr>
        <w:t xml:space="preserve"> Rozwiązanie to wynika z</w:t>
      </w:r>
      <w:r w:rsidR="00722753">
        <w:rPr>
          <w:rFonts w:ascii="Times New Roman" w:eastAsia="Times New Roman" w:hAnsi="Times New Roman" w:cs="Times New Roman"/>
          <w:bCs/>
          <w:sz w:val="24"/>
          <w:szCs w:val="24"/>
          <w:lang w:eastAsia="pl-PL"/>
        </w:rPr>
        <w:t> </w:t>
      </w:r>
      <w:r w:rsidRPr="00D46B14">
        <w:rPr>
          <w:rFonts w:ascii="Times New Roman" w:eastAsia="Times New Roman" w:hAnsi="Times New Roman" w:cs="Times New Roman"/>
          <w:bCs/>
          <w:sz w:val="24"/>
          <w:szCs w:val="24"/>
          <w:lang w:eastAsia="pl-PL"/>
        </w:rPr>
        <w:t>faktu, że przyczyną powstania nadpłaty są uchybienia po stronie podatnika, których usunięcie zostało umożliwione na podstawie szczególnego przepisu o charakterze abolicyjnym.</w:t>
      </w:r>
      <w:r w:rsidR="00A40C8D">
        <w:rPr>
          <w:rFonts w:ascii="Times New Roman" w:eastAsia="Times New Roman" w:hAnsi="Times New Roman" w:cs="Times New Roman"/>
          <w:bCs/>
          <w:sz w:val="24"/>
          <w:szCs w:val="24"/>
          <w:lang w:eastAsia="pl-PL"/>
        </w:rPr>
        <w:t xml:space="preserve"> Wprowadzenie przepisów szczególnych dotyczących terminu zwrotu podatku (art. </w:t>
      </w:r>
      <w:r w:rsidR="00572F59">
        <w:rPr>
          <w:rFonts w:ascii="Times New Roman" w:eastAsia="Times New Roman" w:hAnsi="Times New Roman" w:cs="Times New Roman"/>
          <w:bCs/>
          <w:sz w:val="24"/>
          <w:szCs w:val="24"/>
          <w:lang w:eastAsia="pl-PL"/>
        </w:rPr>
        <w:t xml:space="preserve">5 </w:t>
      </w:r>
      <w:r w:rsidR="00A40C8D">
        <w:rPr>
          <w:rFonts w:ascii="Times New Roman" w:eastAsia="Times New Roman" w:hAnsi="Times New Roman" w:cs="Times New Roman"/>
          <w:bCs/>
          <w:sz w:val="24"/>
          <w:szCs w:val="24"/>
          <w:lang w:eastAsia="pl-PL"/>
        </w:rPr>
        <w:t xml:space="preserve">ust. 4) oraz prawa do oprocentowania (art. </w:t>
      </w:r>
      <w:r w:rsidR="00572F59">
        <w:rPr>
          <w:rFonts w:ascii="Times New Roman" w:eastAsia="Times New Roman" w:hAnsi="Times New Roman" w:cs="Times New Roman"/>
          <w:bCs/>
          <w:sz w:val="24"/>
          <w:szCs w:val="24"/>
          <w:lang w:eastAsia="pl-PL"/>
        </w:rPr>
        <w:t xml:space="preserve">5 </w:t>
      </w:r>
      <w:r w:rsidR="00A40C8D">
        <w:rPr>
          <w:rFonts w:ascii="Times New Roman" w:eastAsia="Times New Roman" w:hAnsi="Times New Roman" w:cs="Times New Roman"/>
          <w:bCs/>
          <w:sz w:val="24"/>
          <w:szCs w:val="24"/>
          <w:lang w:eastAsia="pl-PL"/>
        </w:rPr>
        <w:t>ust. 5) wywoła ten skutek, że przepisy Ordynacji podatkowej regulując</w:t>
      </w:r>
      <w:r w:rsidR="00FD6AE4">
        <w:rPr>
          <w:rFonts w:ascii="Times New Roman" w:eastAsia="Times New Roman" w:hAnsi="Times New Roman" w:cs="Times New Roman"/>
          <w:bCs/>
          <w:sz w:val="24"/>
          <w:szCs w:val="24"/>
          <w:lang w:eastAsia="pl-PL"/>
        </w:rPr>
        <w:t>e</w:t>
      </w:r>
      <w:r w:rsidR="00A40C8D">
        <w:rPr>
          <w:rFonts w:ascii="Times New Roman" w:eastAsia="Times New Roman" w:hAnsi="Times New Roman" w:cs="Times New Roman"/>
          <w:bCs/>
          <w:sz w:val="24"/>
          <w:szCs w:val="24"/>
          <w:lang w:eastAsia="pl-PL"/>
        </w:rPr>
        <w:t xml:space="preserve"> w sposób odmienny te zagadnienia nie znajdą zastosowania w sprawach zwrotu i oprocentowania nadpłaty powstałej w wyniku zastosowania przepisów abolicyjnych. W związku z tym brak będzie podstaw do stosowania przepisów ogólnych w tym zakresie</w:t>
      </w:r>
      <w:r w:rsidR="00ED6E2D">
        <w:rPr>
          <w:rFonts w:ascii="Times New Roman" w:eastAsia="Times New Roman" w:hAnsi="Times New Roman" w:cs="Times New Roman"/>
          <w:bCs/>
          <w:sz w:val="24"/>
          <w:szCs w:val="24"/>
          <w:lang w:eastAsia="pl-PL"/>
        </w:rPr>
        <w:t>,</w:t>
      </w:r>
      <w:r w:rsidR="008F269E">
        <w:rPr>
          <w:rFonts w:ascii="Times New Roman" w:eastAsia="Times New Roman" w:hAnsi="Times New Roman" w:cs="Times New Roman"/>
          <w:bCs/>
          <w:sz w:val="24"/>
          <w:szCs w:val="24"/>
          <w:lang w:eastAsia="pl-PL"/>
        </w:rPr>
        <w:t xml:space="preserve"> </w:t>
      </w:r>
      <w:r w:rsidR="00ED6E2D">
        <w:rPr>
          <w:rFonts w:ascii="Times New Roman" w:eastAsia="Times New Roman" w:hAnsi="Times New Roman" w:cs="Times New Roman"/>
          <w:bCs/>
          <w:sz w:val="24"/>
          <w:szCs w:val="24"/>
          <w:lang w:eastAsia="pl-PL"/>
        </w:rPr>
        <w:t>w szczególności art. 77 i art. 78 Ordynacji podatkowej</w:t>
      </w:r>
      <w:r w:rsidR="00A40C8D">
        <w:rPr>
          <w:rFonts w:ascii="Times New Roman" w:eastAsia="Times New Roman" w:hAnsi="Times New Roman" w:cs="Times New Roman"/>
          <w:bCs/>
          <w:sz w:val="24"/>
          <w:szCs w:val="24"/>
          <w:lang w:eastAsia="pl-PL"/>
        </w:rPr>
        <w:t xml:space="preserve">. Pozostaje to bez wpływu na stosowanie pozostałych przepisów Ordynacji podatkowej dotyczących nadpłaty w zakresie nieuregulowanym w sposób szczególny w </w:t>
      </w:r>
      <w:r w:rsidR="00ED6E2D">
        <w:rPr>
          <w:rFonts w:ascii="Times New Roman" w:eastAsia="Times New Roman" w:hAnsi="Times New Roman" w:cs="Times New Roman"/>
          <w:bCs/>
          <w:sz w:val="24"/>
          <w:szCs w:val="24"/>
          <w:lang w:eastAsia="pl-PL"/>
        </w:rPr>
        <w:t>przepisach abolicyjnych</w:t>
      </w:r>
      <w:r w:rsidR="00A40C8D">
        <w:rPr>
          <w:rFonts w:ascii="Times New Roman" w:eastAsia="Times New Roman" w:hAnsi="Times New Roman" w:cs="Times New Roman"/>
          <w:bCs/>
          <w:sz w:val="24"/>
          <w:szCs w:val="24"/>
          <w:lang w:eastAsia="pl-PL"/>
        </w:rPr>
        <w:t>, tj. w zakresie</w:t>
      </w:r>
      <w:r w:rsidR="00521D2C">
        <w:rPr>
          <w:rFonts w:ascii="Times New Roman" w:eastAsia="Times New Roman" w:hAnsi="Times New Roman" w:cs="Times New Roman"/>
          <w:bCs/>
          <w:sz w:val="24"/>
          <w:szCs w:val="24"/>
          <w:lang w:eastAsia="pl-PL"/>
        </w:rPr>
        <w:t>,</w:t>
      </w:r>
      <w:r w:rsidR="00A40C8D">
        <w:rPr>
          <w:rFonts w:ascii="Times New Roman" w:eastAsia="Times New Roman" w:hAnsi="Times New Roman" w:cs="Times New Roman"/>
          <w:bCs/>
          <w:sz w:val="24"/>
          <w:szCs w:val="24"/>
          <w:lang w:eastAsia="pl-PL"/>
        </w:rPr>
        <w:t xml:space="preserve"> w jakim dotyczą w szczególności zaliczania nadpłaty na poczet zaległości podatkowych, </w:t>
      </w:r>
      <w:r w:rsidR="00ED6E2D">
        <w:rPr>
          <w:rFonts w:ascii="Times New Roman" w:eastAsia="Times New Roman" w:hAnsi="Times New Roman" w:cs="Times New Roman"/>
          <w:bCs/>
          <w:sz w:val="24"/>
          <w:szCs w:val="24"/>
          <w:lang w:eastAsia="pl-PL"/>
        </w:rPr>
        <w:t xml:space="preserve">sposobu zwrotu nadpłaty czy wygaśnięcia prawa do </w:t>
      </w:r>
      <w:r w:rsidR="00EC7A03">
        <w:rPr>
          <w:rFonts w:ascii="Times New Roman" w:eastAsia="Times New Roman" w:hAnsi="Times New Roman" w:cs="Times New Roman"/>
          <w:bCs/>
          <w:sz w:val="24"/>
          <w:szCs w:val="24"/>
          <w:lang w:eastAsia="pl-PL"/>
        </w:rPr>
        <w:t>ubiegania się</w:t>
      </w:r>
      <w:r w:rsidR="00ED6E2D">
        <w:rPr>
          <w:rFonts w:ascii="Times New Roman" w:eastAsia="Times New Roman" w:hAnsi="Times New Roman" w:cs="Times New Roman"/>
          <w:bCs/>
          <w:sz w:val="24"/>
          <w:szCs w:val="24"/>
          <w:lang w:eastAsia="pl-PL"/>
        </w:rPr>
        <w:t xml:space="preserve"> o stwierdzenie nadpłaty. </w:t>
      </w:r>
    </w:p>
    <w:p w14:paraId="0E3C0117" w14:textId="5A33C879" w:rsidR="00C2241A" w:rsidRDefault="00D46B14" w:rsidP="00C2241A">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D46B14">
        <w:rPr>
          <w:rFonts w:ascii="Times New Roman" w:eastAsia="Times New Roman" w:hAnsi="Times New Roman" w:cs="Times New Roman"/>
          <w:bCs/>
          <w:sz w:val="24"/>
          <w:szCs w:val="24"/>
          <w:lang w:eastAsia="pl-PL"/>
        </w:rPr>
        <w:t>Całość regulacji ma charakter szczególny i przejściowy, a jej celem jest usunięcie negatywnych skutków podatkowych wynikających z zastosowania obowiązujących przepisów w ich dotychczasowej wykładni, przy jednoczesnym zachowaniu spójności systemu prawa podatkowego oraz zasad ogólnych procedury podatkowej.</w:t>
      </w:r>
    </w:p>
    <w:p w14:paraId="0ABB02CA" w14:textId="3372CC0A" w:rsidR="007017B8" w:rsidRDefault="00542F8D" w:rsidP="00392FE8">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FA3ABB">
        <w:rPr>
          <w:rFonts w:ascii="Times New Roman" w:eastAsia="Times New Roman" w:hAnsi="Times New Roman" w:cs="Times New Roman"/>
          <w:bCs/>
          <w:sz w:val="24"/>
          <w:szCs w:val="24"/>
          <w:lang w:eastAsia="pl-PL"/>
        </w:rPr>
        <w:lastRenderedPageBreak/>
        <w:t xml:space="preserve">Przepis </w:t>
      </w:r>
      <w:r w:rsidR="00730C40" w:rsidRPr="00FA3ABB">
        <w:rPr>
          <w:rFonts w:ascii="Times New Roman" w:eastAsia="Times New Roman" w:hAnsi="Times New Roman" w:cs="Times New Roman"/>
          <w:b/>
          <w:sz w:val="24"/>
          <w:szCs w:val="24"/>
          <w:lang w:eastAsia="pl-PL"/>
        </w:rPr>
        <w:t xml:space="preserve">art. </w:t>
      </w:r>
      <w:r w:rsidR="00572F59">
        <w:rPr>
          <w:rFonts w:ascii="Times New Roman" w:eastAsia="Times New Roman" w:hAnsi="Times New Roman" w:cs="Times New Roman"/>
          <w:b/>
          <w:sz w:val="24"/>
          <w:szCs w:val="24"/>
          <w:lang w:eastAsia="pl-PL"/>
        </w:rPr>
        <w:t>6</w:t>
      </w:r>
      <w:r w:rsidR="00572F59" w:rsidRPr="00FA3ABB">
        <w:rPr>
          <w:rFonts w:ascii="Times New Roman" w:eastAsia="Times New Roman" w:hAnsi="Times New Roman" w:cs="Times New Roman"/>
          <w:bCs/>
          <w:sz w:val="24"/>
          <w:szCs w:val="24"/>
          <w:lang w:eastAsia="pl-PL"/>
        </w:rPr>
        <w:t xml:space="preserve"> </w:t>
      </w:r>
      <w:r w:rsidR="00667E45" w:rsidRPr="00FA3ABB">
        <w:rPr>
          <w:rFonts w:ascii="Times New Roman" w:eastAsia="Times New Roman" w:hAnsi="Times New Roman" w:cs="Times New Roman"/>
          <w:bCs/>
          <w:sz w:val="24"/>
          <w:szCs w:val="24"/>
          <w:lang w:eastAsia="pl-PL"/>
        </w:rPr>
        <w:t>stanowi, że projektowana ustawa wejdzie w życie z dniem 1 stycznia 202</w:t>
      </w:r>
      <w:r w:rsidR="00155582" w:rsidRPr="00FA3ABB">
        <w:rPr>
          <w:rFonts w:ascii="Times New Roman" w:eastAsia="Times New Roman" w:hAnsi="Times New Roman" w:cs="Times New Roman"/>
          <w:bCs/>
          <w:sz w:val="24"/>
          <w:szCs w:val="24"/>
          <w:lang w:eastAsia="pl-PL"/>
        </w:rPr>
        <w:t>7</w:t>
      </w:r>
      <w:r w:rsidR="00667E45" w:rsidRPr="00FA3ABB">
        <w:rPr>
          <w:rFonts w:ascii="Times New Roman" w:eastAsia="Times New Roman" w:hAnsi="Times New Roman" w:cs="Times New Roman"/>
          <w:bCs/>
          <w:sz w:val="24"/>
          <w:szCs w:val="24"/>
          <w:lang w:eastAsia="pl-PL"/>
        </w:rPr>
        <w:t xml:space="preserve"> r.</w:t>
      </w:r>
      <w:r w:rsidR="00C2086B" w:rsidRPr="00FA3ABB">
        <w:rPr>
          <w:rFonts w:ascii="Times New Roman" w:hAnsi="Times New Roman" w:cs="Times New Roman"/>
          <w:sz w:val="24"/>
          <w:szCs w:val="24"/>
        </w:rPr>
        <w:t>, z</w:t>
      </w:r>
      <w:r w:rsidR="00722753">
        <w:rPr>
          <w:rFonts w:ascii="Times New Roman" w:hAnsi="Times New Roman" w:cs="Times New Roman"/>
          <w:sz w:val="24"/>
          <w:szCs w:val="24"/>
        </w:rPr>
        <w:t> </w:t>
      </w:r>
      <w:r w:rsidR="00C2086B" w:rsidRPr="00FA3ABB">
        <w:rPr>
          <w:rFonts w:ascii="Times New Roman" w:hAnsi="Times New Roman" w:cs="Times New Roman"/>
          <w:sz w:val="24"/>
          <w:szCs w:val="24"/>
        </w:rPr>
        <w:t xml:space="preserve">wyjątkiem przepisów dotyczących </w:t>
      </w:r>
      <w:r w:rsidR="00C2086B" w:rsidRPr="00FA3ABB">
        <w:rPr>
          <w:rFonts w:ascii="Times New Roman" w:eastAsia="Times New Roman" w:hAnsi="Times New Roman" w:cs="Times New Roman"/>
          <w:bCs/>
          <w:sz w:val="24"/>
          <w:szCs w:val="24"/>
          <w:lang w:eastAsia="pl-PL"/>
        </w:rPr>
        <w:t>zwolnienia z opodatkowania podatkiem PIT dochodów z</w:t>
      </w:r>
      <w:r w:rsidR="00722753">
        <w:rPr>
          <w:rFonts w:ascii="Times New Roman" w:eastAsia="Times New Roman" w:hAnsi="Times New Roman" w:cs="Times New Roman"/>
          <w:bCs/>
          <w:sz w:val="24"/>
          <w:szCs w:val="24"/>
          <w:lang w:eastAsia="pl-PL"/>
        </w:rPr>
        <w:t> </w:t>
      </w:r>
      <w:r w:rsidR="00C2086B" w:rsidRPr="00FA3ABB">
        <w:rPr>
          <w:rFonts w:ascii="Times New Roman" w:eastAsia="Times New Roman" w:hAnsi="Times New Roman" w:cs="Times New Roman"/>
          <w:bCs/>
          <w:sz w:val="24"/>
          <w:szCs w:val="24"/>
          <w:lang w:eastAsia="pl-PL"/>
        </w:rPr>
        <w:t>wykupu przez emitenta obligacji, od których są wypłacane świadczenia okresowe (art. 17 ust. 1 pkt 3a, art. 21 ust. 1 pkt 130, 130b–130d oraz art. 52a ust. 1</w:t>
      </w:r>
      <w:r w:rsidR="003A71C1">
        <w:rPr>
          <w:rFonts w:ascii="Times New Roman" w:eastAsia="Times New Roman" w:hAnsi="Times New Roman" w:cs="Times New Roman"/>
          <w:bCs/>
          <w:sz w:val="24"/>
          <w:szCs w:val="24"/>
          <w:lang w:eastAsia="pl-PL"/>
        </w:rPr>
        <w:t xml:space="preserve"> pkt 1</w:t>
      </w:r>
      <w:r w:rsidR="00C2086B" w:rsidRPr="00FA3ABB">
        <w:rPr>
          <w:rFonts w:ascii="Times New Roman" w:eastAsia="Times New Roman" w:hAnsi="Times New Roman" w:cs="Times New Roman"/>
          <w:bCs/>
          <w:sz w:val="24"/>
          <w:szCs w:val="24"/>
          <w:lang w:eastAsia="pl-PL"/>
        </w:rPr>
        <w:t xml:space="preserve"> i ust. 4 ustawy </w:t>
      </w:r>
      <w:r w:rsidR="00575C99">
        <w:rPr>
          <w:rFonts w:ascii="Times New Roman" w:eastAsia="Times New Roman" w:hAnsi="Times New Roman" w:cs="Times New Roman"/>
          <w:bCs/>
          <w:sz w:val="24"/>
          <w:szCs w:val="24"/>
          <w:lang w:eastAsia="pl-PL"/>
        </w:rPr>
        <w:t xml:space="preserve">o </w:t>
      </w:r>
      <w:r w:rsidR="00C2086B" w:rsidRPr="00FA3ABB">
        <w:rPr>
          <w:rFonts w:ascii="Times New Roman" w:eastAsia="Times New Roman" w:hAnsi="Times New Roman" w:cs="Times New Roman"/>
          <w:bCs/>
          <w:sz w:val="24"/>
          <w:szCs w:val="24"/>
          <w:lang w:eastAsia="pl-PL"/>
        </w:rPr>
        <w:t>PIT) oraz zwolnienia z obowiązków poboru podatku przez płatnika, w przypadku wykupu przez emitenta obligacji (ar</w:t>
      </w:r>
      <w:r w:rsidR="00EE7EFC" w:rsidRPr="00FA3ABB">
        <w:rPr>
          <w:rFonts w:ascii="Times New Roman" w:eastAsia="Times New Roman" w:hAnsi="Times New Roman" w:cs="Times New Roman"/>
          <w:bCs/>
          <w:sz w:val="24"/>
          <w:szCs w:val="24"/>
          <w:lang w:eastAsia="pl-PL"/>
        </w:rPr>
        <w:t>t</w:t>
      </w:r>
      <w:r w:rsidR="00C2086B" w:rsidRPr="00FA3ABB">
        <w:rPr>
          <w:rFonts w:ascii="Times New Roman" w:eastAsia="Times New Roman" w:hAnsi="Times New Roman" w:cs="Times New Roman"/>
          <w:bCs/>
          <w:sz w:val="24"/>
          <w:szCs w:val="24"/>
          <w:lang w:eastAsia="pl-PL"/>
        </w:rPr>
        <w:t>. 41 ust. 24 i 24b ustawy</w:t>
      </w:r>
      <w:r w:rsidR="00575C99">
        <w:rPr>
          <w:rFonts w:ascii="Times New Roman" w:eastAsia="Times New Roman" w:hAnsi="Times New Roman" w:cs="Times New Roman"/>
          <w:bCs/>
          <w:sz w:val="24"/>
          <w:szCs w:val="24"/>
          <w:lang w:eastAsia="pl-PL"/>
        </w:rPr>
        <w:t xml:space="preserve"> o</w:t>
      </w:r>
      <w:r w:rsidR="00C2086B" w:rsidRPr="00FA3ABB">
        <w:rPr>
          <w:rFonts w:ascii="Times New Roman" w:eastAsia="Times New Roman" w:hAnsi="Times New Roman" w:cs="Times New Roman"/>
          <w:bCs/>
          <w:sz w:val="24"/>
          <w:szCs w:val="24"/>
          <w:lang w:eastAsia="pl-PL"/>
        </w:rPr>
        <w:t xml:space="preserve"> PIT), które wchodzą</w:t>
      </w:r>
      <w:r w:rsidR="003D1623">
        <w:rPr>
          <w:rFonts w:ascii="Times New Roman" w:eastAsia="Times New Roman" w:hAnsi="Times New Roman" w:cs="Times New Roman"/>
          <w:bCs/>
          <w:sz w:val="24"/>
          <w:szCs w:val="24"/>
          <w:lang w:eastAsia="pl-PL"/>
        </w:rPr>
        <w:t xml:space="preserve"> w życie</w:t>
      </w:r>
      <w:r w:rsidR="00C2086B" w:rsidRPr="00FA3ABB">
        <w:rPr>
          <w:rFonts w:ascii="Times New Roman" w:eastAsia="Times New Roman" w:hAnsi="Times New Roman" w:cs="Times New Roman"/>
          <w:bCs/>
          <w:sz w:val="24"/>
          <w:szCs w:val="24"/>
          <w:lang w:eastAsia="pl-PL"/>
        </w:rPr>
        <w:t xml:space="preserve"> z dniem ogłoszenia z uwagi na to, że przepisy mają zastosowanie do dochodów uzyskanych od dnia 1 stycznia 2024</w:t>
      </w:r>
      <w:r w:rsidR="007017B8">
        <w:rPr>
          <w:rFonts w:ascii="Times New Roman" w:eastAsia="Times New Roman" w:hAnsi="Times New Roman" w:cs="Times New Roman"/>
          <w:bCs/>
          <w:sz w:val="24"/>
          <w:szCs w:val="24"/>
          <w:lang w:eastAsia="pl-PL"/>
        </w:rPr>
        <w:t> </w:t>
      </w:r>
      <w:r w:rsidR="00C2086B" w:rsidRPr="00FA3ABB">
        <w:rPr>
          <w:rFonts w:ascii="Times New Roman" w:eastAsia="Times New Roman" w:hAnsi="Times New Roman" w:cs="Times New Roman"/>
          <w:bCs/>
          <w:sz w:val="24"/>
          <w:szCs w:val="24"/>
          <w:lang w:eastAsia="pl-PL"/>
        </w:rPr>
        <w:t xml:space="preserve">r. </w:t>
      </w:r>
    </w:p>
    <w:p w14:paraId="33F9BE71" w14:textId="6C3F1E9C" w:rsidR="000932CF" w:rsidRDefault="00304F4D" w:rsidP="00392FE8">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Ponadto </w:t>
      </w:r>
      <w:r w:rsidRPr="00C2086B">
        <w:rPr>
          <w:rFonts w:ascii="Times New Roman" w:eastAsia="Times New Roman" w:hAnsi="Times New Roman" w:cs="Times New Roman"/>
          <w:bCs/>
          <w:sz w:val="24"/>
          <w:szCs w:val="24"/>
          <w:lang w:eastAsia="pl-PL"/>
        </w:rPr>
        <w:t xml:space="preserve">przepisy </w:t>
      </w:r>
      <w:r>
        <w:rPr>
          <w:rFonts w:ascii="Times New Roman" w:eastAsia="Times New Roman" w:hAnsi="Times New Roman" w:cs="Times New Roman"/>
          <w:bCs/>
          <w:sz w:val="24"/>
          <w:szCs w:val="24"/>
          <w:lang w:eastAsia="pl-PL"/>
        </w:rPr>
        <w:t>określające kwalifikację przychodów</w:t>
      </w:r>
      <w:r w:rsidR="00BD0A33">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z waloryzacji środków pieniężnych zgromadzonych na tzw. „rachunkach uśpionych” (bankowych i imiennych rachunkach członków SKOK) do źródła przychodów z kapitałów pieniężnych</w:t>
      </w:r>
      <w:r w:rsidR="003D1623">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oraz moment powstania przychodów z tego tytułu (art. 11 ust. 1, art. 17 ust. 1 pkt 2 i ust. 1j oraz art. 30a ust. 1 pkt 3),</w:t>
      </w:r>
      <w:r w:rsidR="00FC5772">
        <w:rPr>
          <w:rFonts w:ascii="Times New Roman" w:eastAsia="Times New Roman" w:hAnsi="Times New Roman" w:cs="Times New Roman"/>
          <w:bCs/>
          <w:sz w:val="24"/>
          <w:szCs w:val="24"/>
          <w:lang w:eastAsia="pl-PL"/>
        </w:rPr>
        <w:t xml:space="preserve"> również wchodzą w życie z dniem ogłoszenia</w:t>
      </w:r>
      <w:r>
        <w:rPr>
          <w:rFonts w:ascii="Times New Roman" w:eastAsia="Times New Roman" w:hAnsi="Times New Roman" w:cs="Times New Roman"/>
          <w:bCs/>
          <w:sz w:val="24"/>
          <w:szCs w:val="24"/>
          <w:lang w:eastAsia="pl-PL"/>
        </w:rPr>
        <w:t xml:space="preserve"> </w:t>
      </w:r>
      <w:r w:rsidR="001F72EC">
        <w:rPr>
          <w:rFonts w:ascii="Times New Roman" w:eastAsia="Times New Roman" w:hAnsi="Times New Roman" w:cs="Times New Roman"/>
          <w:bCs/>
          <w:sz w:val="24"/>
          <w:szCs w:val="24"/>
          <w:lang w:eastAsia="pl-PL"/>
        </w:rPr>
        <w:t>z uwagi na to, że</w:t>
      </w:r>
      <w:r w:rsidR="005963B2">
        <w:rPr>
          <w:rFonts w:ascii="Times New Roman" w:eastAsia="Times New Roman" w:hAnsi="Times New Roman" w:cs="Times New Roman"/>
          <w:bCs/>
          <w:sz w:val="24"/>
          <w:szCs w:val="24"/>
          <w:lang w:eastAsia="pl-PL"/>
        </w:rPr>
        <w:t xml:space="preserve"> przepisy</w:t>
      </w:r>
      <w:r w:rsidR="001F72EC">
        <w:rPr>
          <w:rFonts w:ascii="Times New Roman" w:eastAsia="Times New Roman" w:hAnsi="Times New Roman" w:cs="Times New Roman"/>
          <w:bCs/>
          <w:sz w:val="24"/>
          <w:szCs w:val="24"/>
          <w:lang w:eastAsia="pl-PL"/>
        </w:rPr>
        <w:t xml:space="preserve"> te </w:t>
      </w:r>
      <w:r>
        <w:rPr>
          <w:rFonts w:ascii="Times New Roman" w:eastAsia="Times New Roman" w:hAnsi="Times New Roman" w:cs="Times New Roman"/>
          <w:bCs/>
          <w:sz w:val="24"/>
          <w:szCs w:val="24"/>
          <w:lang w:eastAsia="pl-PL"/>
        </w:rPr>
        <w:t xml:space="preserve">będą </w:t>
      </w:r>
      <w:r w:rsidRPr="00C2086B">
        <w:rPr>
          <w:rFonts w:ascii="Times New Roman" w:eastAsia="Times New Roman" w:hAnsi="Times New Roman" w:cs="Times New Roman"/>
          <w:bCs/>
          <w:sz w:val="24"/>
          <w:szCs w:val="24"/>
          <w:lang w:eastAsia="pl-PL"/>
        </w:rPr>
        <w:t>m</w:t>
      </w:r>
      <w:r>
        <w:rPr>
          <w:rFonts w:ascii="Times New Roman" w:eastAsia="Times New Roman" w:hAnsi="Times New Roman" w:cs="Times New Roman"/>
          <w:bCs/>
          <w:sz w:val="24"/>
          <w:szCs w:val="24"/>
          <w:lang w:eastAsia="pl-PL"/>
        </w:rPr>
        <w:t>iał</w:t>
      </w:r>
      <w:r w:rsidR="001F72EC">
        <w:rPr>
          <w:rFonts w:ascii="Times New Roman" w:eastAsia="Times New Roman" w:hAnsi="Times New Roman" w:cs="Times New Roman"/>
          <w:bCs/>
          <w:sz w:val="24"/>
          <w:szCs w:val="24"/>
          <w:lang w:eastAsia="pl-PL"/>
        </w:rPr>
        <w:t>y</w:t>
      </w:r>
      <w:r w:rsidRPr="00C2086B">
        <w:rPr>
          <w:rFonts w:ascii="Times New Roman" w:eastAsia="Times New Roman" w:hAnsi="Times New Roman" w:cs="Times New Roman"/>
          <w:bCs/>
          <w:sz w:val="24"/>
          <w:szCs w:val="24"/>
          <w:lang w:eastAsia="pl-PL"/>
        </w:rPr>
        <w:t xml:space="preserve"> zastosowanie do </w:t>
      </w:r>
      <w:r>
        <w:rPr>
          <w:rFonts w:ascii="Times New Roman" w:eastAsia="Times New Roman" w:hAnsi="Times New Roman" w:cs="Times New Roman"/>
          <w:bCs/>
          <w:sz w:val="24"/>
          <w:szCs w:val="24"/>
          <w:lang w:eastAsia="pl-PL"/>
        </w:rPr>
        <w:t xml:space="preserve">takich </w:t>
      </w:r>
      <w:r w:rsidRPr="00C2086B">
        <w:rPr>
          <w:rFonts w:ascii="Times New Roman" w:eastAsia="Times New Roman" w:hAnsi="Times New Roman" w:cs="Times New Roman"/>
          <w:bCs/>
          <w:sz w:val="24"/>
          <w:szCs w:val="24"/>
          <w:lang w:eastAsia="pl-PL"/>
        </w:rPr>
        <w:t xml:space="preserve">przychodów uzyskanych od </w:t>
      </w:r>
      <w:r w:rsidRPr="00294502">
        <w:rPr>
          <w:rFonts w:ascii="Times New Roman" w:eastAsia="Times New Roman" w:hAnsi="Times New Roman" w:cs="Times New Roman"/>
          <w:bCs/>
          <w:sz w:val="24"/>
          <w:szCs w:val="24"/>
          <w:lang w:eastAsia="pl-PL"/>
        </w:rPr>
        <w:t>1 lipca 2026</w:t>
      </w:r>
      <w:r w:rsidR="001F72EC">
        <w:rPr>
          <w:rFonts w:ascii="Times New Roman" w:eastAsia="Times New Roman" w:hAnsi="Times New Roman" w:cs="Times New Roman"/>
          <w:bCs/>
          <w:sz w:val="24"/>
          <w:szCs w:val="24"/>
          <w:lang w:eastAsia="pl-PL"/>
        </w:rPr>
        <w:t> </w:t>
      </w:r>
      <w:r w:rsidRPr="00294502">
        <w:rPr>
          <w:rFonts w:ascii="Times New Roman" w:eastAsia="Times New Roman" w:hAnsi="Times New Roman" w:cs="Times New Roman"/>
          <w:bCs/>
          <w:sz w:val="24"/>
          <w:szCs w:val="24"/>
          <w:lang w:eastAsia="pl-PL"/>
        </w:rPr>
        <w:t xml:space="preserve">r. </w:t>
      </w:r>
    </w:p>
    <w:p w14:paraId="4EBA244A" w14:textId="77777777" w:rsidR="000932CF" w:rsidRDefault="00304F4D" w:rsidP="00392FE8">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w:t>
      </w:r>
      <w:r w:rsidR="00867BE2" w:rsidRPr="00FA3ABB">
        <w:rPr>
          <w:rFonts w:ascii="Times New Roman" w:eastAsia="Times New Roman" w:hAnsi="Times New Roman" w:cs="Times New Roman"/>
          <w:bCs/>
          <w:sz w:val="24"/>
          <w:szCs w:val="24"/>
          <w:lang w:eastAsia="pl-PL"/>
        </w:rPr>
        <w:t xml:space="preserve"> dniem ogłoszenia wejdą również w życie przepisy dot. </w:t>
      </w:r>
      <w:r w:rsidR="00867BE2" w:rsidRPr="00FA3ABB">
        <w:rPr>
          <w:rFonts w:ascii="Times New Roman" w:eastAsia="Times New Roman" w:hAnsi="Times New Roman" w:cs="Times New Roman"/>
          <w:iCs/>
          <w:sz w:val="24"/>
          <w:szCs w:val="24"/>
          <w:lang w:eastAsia="pl-PL"/>
        </w:rPr>
        <w:t xml:space="preserve">ustalania poziomu </w:t>
      </w:r>
      <w:r w:rsidR="00867BE2" w:rsidRPr="00FA3ABB">
        <w:rPr>
          <w:rFonts w:ascii="Times New Roman" w:eastAsia="Times New Roman" w:hAnsi="Times New Roman" w:cs="Times New Roman"/>
          <w:bCs/>
          <w:sz w:val="24"/>
          <w:szCs w:val="24"/>
          <w:lang w:eastAsia="pl-PL"/>
        </w:rPr>
        <w:t xml:space="preserve">emisyjności </w:t>
      </w:r>
      <w:r w:rsidR="00691D2D" w:rsidRPr="00691D2D">
        <w:rPr>
          <w:rFonts w:ascii="Times New Roman" w:eastAsia="Times New Roman" w:hAnsi="Times New Roman" w:cs="Times New Roman"/>
          <w:bCs/>
          <w:iCs/>
          <w:sz w:val="24"/>
          <w:szCs w:val="24"/>
          <w:lang w:eastAsia="pl-PL"/>
        </w:rPr>
        <w:t>CO</w:t>
      </w:r>
      <w:r w:rsidR="00691D2D" w:rsidRPr="00691D2D">
        <w:rPr>
          <w:rFonts w:ascii="Times New Roman" w:eastAsia="Times New Roman" w:hAnsi="Times New Roman" w:cs="Times New Roman"/>
          <w:bCs/>
          <w:iCs/>
          <w:sz w:val="24"/>
          <w:szCs w:val="24"/>
          <w:vertAlign w:val="subscript"/>
          <w:lang w:eastAsia="pl-PL"/>
        </w:rPr>
        <w:t>2</w:t>
      </w:r>
      <w:r w:rsidR="00867BE2" w:rsidRPr="00FA3ABB">
        <w:rPr>
          <w:rFonts w:ascii="Times New Roman" w:eastAsia="Times New Roman" w:hAnsi="Times New Roman" w:cs="Times New Roman"/>
          <w:bCs/>
          <w:sz w:val="24"/>
          <w:szCs w:val="24"/>
          <w:lang w:eastAsia="pl-PL"/>
        </w:rPr>
        <w:t xml:space="preserve"> dla potrzeb określenia limitu odpisów z tytułu zużycia samochodu osobowego (art. 23 ust. 1 pkt 4 lit. b i c ustawy o PIT oraz art. 16 ust. 1 pkt 4 lit. b i c ustawy o CIT).</w:t>
      </w:r>
      <w:r w:rsidR="00546A7F" w:rsidRPr="00546A7F">
        <w:rPr>
          <w:rFonts w:ascii="Times New Roman" w:eastAsia="Times New Roman" w:hAnsi="Times New Roman" w:cs="Times New Roman"/>
          <w:bCs/>
          <w:sz w:val="24"/>
          <w:szCs w:val="24"/>
          <w:lang w:eastAsia="pl-PL"/>
        </w:rPr>
        <w:t xml:space="preserve"> Potrzeba wcześniejszego wprowadzenia w życie tych przepisów podyktowana jest umożliwieniem implementacji rozwiązań korzystnych dla podatników, a także </w:t>
      </w:r>
      <w:r w:rsidR="00546A7F">
        <w:rPr>
          <w:rFonts w:ascii="Times New Roman" w:eastAsia="Times New Roman" w:hAnsi="Times New Roman" w:cs="Times New Roman"/>
          <w:bCs/>
          <w:sz w:val="24"/>
          <w:szCs w:val="24"/>
          <w:lang w:eastAsia="pl-PL"/>
        </w:rPr>
        <w:t xml:space="preserve">eliminacją </w:t>
      </w:r>
      <w:r w:rsidR="00546A7F" w:rsidRPr="00546A7F">
        <w:rPr>
          <w:rFonts w:ascii="Times New Roman" w:eastAsia="Times New Roman" w:hAnsi="Times New Roman" w:cs="Times New Roman"/>
          <w:bCs/>
          <w:sz w:val="24"/>
          <w:szCs w:val="24"/>
          <w:lang w:eastAsia="pl-PL"/>
        </w:rPr>
        <w:t>określonych potencjalnych wątpliwości interpretacyjnych.</w:t>
      </w:r>
      <w:r w:rsidR="001F72EC" w:rsidRPr="001F72EC">
        <w:rPr>
          <w:rFonts w:ascii="Times New Roman" w:eastAsia="Times New Roman" w:hAnsi="Times New Roman" w:cs="Times New Roman"/>
          <w:bCs/>
          <w:sz w:val="24"/>
          <w:szCs w:val="24"/>
          <w:lang w:eastAsia="pl-PL"/>
        </w:rPr>
        <w:t xml:space="preserve"> </w:t>
      </w:r>
    </w:p>
    <w:p w14:paraId="3732D030" w14:textId="4C86484C" w:rsidR="001F72EC" w:rsidRDefault="005D51AC" w:rsidP="00392FE8">
      <w:pPr>
        <w:shd w:val="clear" w:color="auto" w:fill="FFFFFF" w:themeFill="background1"/>
        <w:spacing w:before="120" w:line="360" w:lineRule="auto"/>
        <w:jc w:val="both"/>
        <w:rPr>
          <w:rFonts w:ascii="Times New Roman" w:eastAsia="Times New Roman" w:hAnsi="Times New Roman" w:cs="Times New Roman"/>
          <w:bCs/>
          <w:sz w:val="24"/>
          <w:szCs w:val="24"/>
          <w:lang w:eastAsia="pl-PL"/>
        </w:rPr>
      </w:pPr>
      <w:r w:rsidRPr="005D51AC">
        <w:rPr>
          <w:rFonts w:ascii="Times New Roman" w:eastAsia="Times New Roman" w:hAnsi="Times New Roman" w:cs="Times New Roman"/>
          <w:bCs/>
          <w:sz w:val="24"/>
          <w:szCs w:val="24"/>
          <w:lang w:eastAsia="pl-PL"/>
        </w:rPr>
        <w:t>Ponadto z dniem ogłoszenia wejdą także w życie przepisy w zakresie zwolnienia podmiotowego od krajowego minimalnego CIT dla przedsiębiorstw prowadzących działalność w zakresie przetwórstwa węgla koksowego lub hutnictwa</w:t>
      </w:r>
      <w:r>
        <w:rPr>
          <w:rFonts w:ascii="Times New Roman" w:eastAsia="Times New Roman" w:hAnsi="Times New Roman" w:cs="Times New Roman"/>
          <w:bCs/>
          <w:sz w:val="24"/>
          <w:szCs w:val="24"/>
          <w:lang w:eastAsia="pl-PL"/>
        </w:rPr>
        <w:t xml:space="preserve"> (</w:t>
      </w:r>
      <w:r w:rsidRPr="005D51AC">
        <w:rPr>
          <w:rFonts w:ascii="Times New Roman" w:eastAsia="Times New Roman" w:hAnsi="Times New Roman" w:cs="Times New Roman"/>
          <w:bCs/>
          <w:sz w:val="24"/>
          <w:szCs w:val="24"/>
          <w:lang w:eastAsia="pl-PL"/>
        </w:rPr>
        <w:t>art. 24ca</w:t>
      </w:r>
      <w:r>
        <w:rPr>
          <w:rFonts w:ascii="Times New Roman" w:eastAsia="Times New Roman" w:hAnsi="Times New Roman" w:cs="Times New Roman"/>
          <w:bCs/>
          <w:sz w:val="24"/>
          <w:szCs w:val="24"/>
          <w:lang w:eastAsia="pl-PL"/>
        </w:rPr>
        <w:t xml:space="preserve"> </w:t>
      </w:r>
      <w:r w:rsidRPr="005D51AC" w:rsidDel="00906F9C">
        <w:rPr>
          <w:rFonts w:ascii="Times New Roman" w:eastAsia="Times New Roman" w:hAnsi="Times New Roman" w:cs="Times New Roman"/>
          <w:bCs/>
          <w:sz w:val="24"/>
          <w:szCs w:val="24"/>
          <w:lang w:eastAsia="pl-PL"/>
        </w:rPr>
        <w:t>ust. 14</w:t>
      </w:r>
      <w:r>
        <w:rPr>
          <w:rFonts w:ascii="Times New Roman" w:eastAsia="Times New Roman" w:hAnsi="Times New Roman" w:cs="Times New Roman"/>
          <w:bCs/>
          <w:sz w:val="24"/>
          <w:szCs w:val="24"/>
          <w:lang w:eastAsia="pl-PL"/>
        </w:rPr>
        <w:t xml:space="preserve"> </w:t>
      </w:r>
      <w:r w:rsidRPr="005D51AC" w:rsidDel="00906F9C">
        <w:rPr>
          <w:rFonts w:ascii="Times New Roman" w:eastAsia="Times New Roman" w:hAnsi="Times New Roman" w:cs="Times New Roman"/>
          <w:bCs/>
          <w:sz w:val="24"/>
          <w:szCs w:val="24"/>
          <w:lang w:eastAsia="pl-PL"/>
        </w:rPr>
        <w:t>pkt 5</w:t>
      </w:r>
      <w:r>
        <w:rPr>
          <w:rFonts w:ascii="Times New Roman" w:eastAsia="Times New Roman" w:hAnsi="Times New Roman" w:cs="Times New Roman"/>
          <w:bCs/>
          <w:sz w:val="24"/>
          <w:szCs w:val="24"/>
          <w:lang w:eastAsia="pl-PL"/>
        </w:rPr>
        <w:t xml:space="preserve"> </w:t>
      </w:r>
      <w:r w:rsidRPr="005D51AC" w:rsidDel="00906F9C">
        <w:rPr>
          <w:rFonts w:ascii="Times New Roman" w:eastAsia="Times New Roman" w:hAnsi="Times New Roman" w:cs="Times New Roman"/>
          <w:bCs/>
          <w:sz w:val="24"/>
          <w:szCs w:val="24"/>
          <w:lang w:eastAsia="pl-PL"/>
        </w:rPr>
        <w:t>lit.</w:t>
      </w:r>
      <w:r>
        <w:rPr>
          <w:rFonts w:ascii="Times New Roman" w:eastAsia="Times New Roman" w:hAnsi="Times New Roman" w:cs="Times New Roman"/>
          <w:bCs/>
          <w:sz w:val="24"/>
          <w:szCs w:val="24"/>
          <w:lang w:eastAsia="pl-PL"/>
        </w:rPr>
        <w:t xml:space="preserve"> </w:t>
      </w:r>
      <w:r w:rsidRPr="005D51AC" w:rsidDel="00906F9C">
        <w:rPr>
          <w:rFonts w:ascii="Times New Roman" w:eastAsia="Times New Roman" w:hAnsi="Times New Roman" w:cs="Times New Roman"/>
          <w:bCs/>
          <w:sz w:val="24"/>
          <w:szCs w:val="24"/>
          <w:lang w:eastAsia="pl-PL"/>
        </w:rPr>
        <w:t>f</w:t>
      </w:r>
      <w:r w:rsidR="00DC38FA">
        <w:rPr>
          <w:rFonts w:ascii="Times New Roman" w:eastAsia="Times New Roman" w:hAnsi="Times New Roman" w:cs="Times New Roman"/>
          <w:bCs/>
          <w:sz w:val="24"/>
          <w:szCs w:val="24"/>
          <w:lang w:eastAsia="pl-PL"/>
        </w:rPr>
        <w:t xml:space="preserve"> ustawy o CIT)</w:t>
      </w:r>
      <w:r w:rsidRPr="005D51AC">
        <w:rPr>
          <w:rFonts w:ascii="Times New Roman" w:eastAsia="Times New Roman" w:hAnsi="Times New Roman" w:cs="Times New Roman"/>
          <w:bCs/>
          <w:sz w:val="24"/>
          <w:szCs w:val="24"/>
          <w:lang w:eastAsia="pl-PL"/>
        </w:rPr>
        <w:t>. Wcześniejsze wejście w życie przepisów wynika z potrzeby implementacji rozwiązań korzystnych dla podatników.</w:t>
      </w:r>
    </w:p>
    <w:p w14:paraId="52757D53" w14:textId="17E3168A" w:rsidR="00842FF7" w:rsidRPr="00FA3ABB" w:rsidRDefault="001F72EC" w:rsidP="00392FE8">
      <w:pPr>
        <w:shd w:val="clear" w:color="auto" w:fill="FFFFFF" w:themeFill="background1"/>
        <w:spacing w:before="120" w:line="360" w:lineRule="auto"/>
        <w:jc w:val="both"/>
        <w:rPr>
          <w:rFonts w:ascii="Times New Roman" w:eastAsia="Times New Roman" w:hAnsi="Times New Roman" w:cs="Times New Roman"/>
          <w:b/>
          <w:color w:val="0070C0"/>
          <w:sz w:val="24"/>
          <w:szCs w:val="24"/>
          <w:lang w:eastAsia="pl-PL"/>
        </w:rPr>
      </w:pPr>
      <w:r>
        <w:rPr>
          <w:rFonts w:ascii="Times New Roman" w:eastAsia="Times New Roman" w:hAnsi="Times New Roman" w:cs="Times New Roman"/>
          <w:bCs/>
          <w:sz w:val="24"/>
          <w:szCs w:val="24"/>
          <w:lang w:eastAsia="pl-PL"/>
        </w:rPr>
        <w:t xml:space="preserve">Ze względu na konieczność jak najszybszego obowiązywania tych norm, </w:t>
      </w:r>
      <w:r>
        <w:rPr>
          <w:rFonts w:ascii="Times New Roman" w:hAnsi="Times New Roman" w:cs="Times New Roman"/>
          <w:sz w:val="24"/>
          <w:szCs w:val="24"/>
        </w:rPr>
        <w:t>w</w:t>
      </w:r>
      <w:r w:rsidRPr="002B0BEB">
        <w:rPr>
          <w:rFonts w:ascii="Times New Roman" w:hAnsi="Times New Roman" w:cs="Times New Roman"/>
          <w:sz w:val="24"/>
          <w:szCs w:val="24"/>
        </w:rPr>
        <w:t xml:space="preserve">ażny interes państwa wymaga </w:t>
      </w:r>
      <w:r w:rsidR="006B3DE7">
        <w:rPr>
          <w:rFonts w:ascii="Times New Roman" w:hAnsi="Times New Roman" w:cs="Times New Roman"/>
          <w:sz w:val="24"/>
          <w:szCs w:val="24"/>
        </w:rPr>
        <w:t xml:space="preserve">ich </w:t>
      </w:r>
      <w:r w:rsidRPr="002B0BEB">
        <w:rPr>
          <w:rFonts w:ascii="Times New Roman" w:hAnsi="Times New Roman" w:cs="Times New Roman"/>
          <w:sz w:val="24"/>
          <w:szCs w:val="24"/>
        </w:rPr>
        <w:t xml:space="preserve">natychmiastowego wejścia w życie, a zasady demokratycznego państwa prawnego </w:t>
      </w:r>
      <w:r>
        <w:rPr>
          <w:rFonts w:ascii="Times New Roman" w:hAnsi="Times New Roman" w:cs="Times New Roman"/>
          <w:sz w:val="24"/>
          <w:szCs w:val="24"/>
        </w:rPr>
        <w:t>nie stoją temu na przeszkodzie.</w:t>
      </w:r>
    </w:p>
    <w:p w14:paraId="47D68374" w14:textId="20B7827C" w:rsidR="003D2B1F" w:rsidRPr="001210F7" w:rsidRDefault="00125674" w:rsidP="0027548A">
      <w:pPr>
        <w:pStyle w:val="Akapitzlist"/>
        <w:numPr>
          <w:ilvl w:val="0"/>
          <w:numId w:val="2"/>
        </w:numPr>
        <w:shd w:val="clear" w:color="auto" w:fill="FFFFFF" w:themeFill="background1"/>
        <w:spacing w:before="360" w:after="240" w:line="360" w:lineRule="auto"/>
        <w:ind w:left="714" w:hanging="357"/>
        <w:contextualSpacing w:val="0"/>
        <w:jc w:val="both"/>
        <w:rPr>
          <w:rFonts w:ascii="Times New Roman" w:eastAsia="Times New Roman" w:hAnsi="Times New Roman" w:cs="Times New Roman"/>
          <w:b/>
          <w:color w:val="0070C0"/>
          <w:sz w:val="24"/>
          <w:szCs w:val="24"/>
          <w:lang w:eastAsia="pl-PL"/>
        </w:rPr>
      </w:pPr>
      <w:r>
        <w:rPr>
          <w:rFonts w:ascii="Times New Roman" w:eastAsia="Times New Roman" w:hAnsi="Times New Roman" w:cs="Times New Roman"/>
          <w:b/>
          <w:color w:val="0070C0"/>
          <w:sz w:val="24"/>
          <w:szCs w:val="24"/>
          <w:lang w:eastAsia="pl-PL"/>
        </w:rPr>
        <w:t>I</w:t>
      </w:r>
      <w:r w:rsidR="003D2B1F" w:rsidRPr="001210F7">
        <w:rPr>
          <w:rFonts w:ascii="Times New Roman" w:eastAsia="Times New Roman" w:hAnsi="Times New Roman" w:cs="Times New Roman"/>
          <w:b/>
          <w:color w:val="0070C0"/>
          <w:sz w:val="24"/>
          <w:szCs w:val="24"/>
          <w:lang w:eastAsia="pl-PL"/>
        </w:rPr>
        <w:t>nformacje</w:t>
      </w:r>
      <w:r>
        <w:rPr>
          <w:rFonts w:ascii="Times New Roman" w:eastAsia="Times New Roman" w:hAnsi="Times New Roman" w:cs="Times New Roman"/>
          <w:b/>
          <w:color w:val="0070C0"/>
          <w:sz w:val="24"/>
          <w:szCs w:val="24"/>
          <w:lang w:eastAsia="pl-PL"/>
        </w:rPr>
        <w:t xml:space="preserve"> dodatkowe</w:t>
      </w:r>
      <w:r w:rsidR="008209DD">
        <w:rPr>
          <w:rFonts w:ascii="Times New Roman" w:eastAsia="Times New Roman" w:hAnsi="Times New Roman" w:cs="Times New Roman"/>
          <w:b/>
          <w:color w:val="0070C0"/>
          <w:sz w:val="24"/>
          <w:szCs w:val="24"/>
          <w:lang w:eastAsia="pl-PL"/>
        </w:rPr>
        <w:t>.</w:t>
      </w:r>
    </w:p>
    <w:p w14:paraId="0B7DE185" w14:textId="77777777" w:rsidR="003D2B1F" w:rsidRPr="001210F7" w:rsidRDefault="003D2B1F" w:rsidP="00E251BA">
      <w:pPr>
        <w:shd w:val="clear" w:color="auto" w:fill="FFFFFF" w:themeFill="background1"/>
        <w:spacing w:before="120" w:line="360" w:lineRule="auto"/>
        <w:jc w:val="both"/>
        <w:rPr>
          <w:rFonts w:ascii="Times New Roman" w:eastAsia="Times New Roman" w:hAnsi="Times New Roman" w:cs="Times New Roman"/>
          <w:sz w:val="24"/>
          <w:szCs w:val="24"/>
          <w:lang w:eastAsia="pl-PL"/>
        </w:rPr>
      </w:pPr>
      <w:r w:rsidRPr="001210F7">
        <w:rPr>
          <w:rFonts w:ascii="Times New Roman" w:eastAsia="Times New Roman" w:hAnsi="Times New Roman" w:cs="Times New Roman"/>
          <w:sz w:val="24"/>
          <w:szCs w:val="24"/>
          <w:lang w:eastAsia="pl-PL"/>
        </w:rPr>
        <w:t xml:space="preserve">Projekt ustawy jest zgodny z prawem Unii Europejskiej i nie podlega obowiązkowi przedstawienia właściwym instytucjom Unii Europejskiej, w tym Europejskiemu Bankowi </w:t>
      </w:r>
      <w:r w:rsidRPr="001210F7">
        <w:rPr>
          <w:rFonts w:ascii="Times New Roman" w:eastAsia="Times New Roman" w:hAnsi="Times New Roman" w:cs="Times New Roman"/>
          <w:sz w:val="24"/>
          <w:szCs w:val="24"/>
          <w:lang w:eastAsia="pl-PL"/>
        </w:rPr>
        <w:lastRenderedPageBreak/>
        <w:t xml:space="preserve">Centralnemu, w celu uzyskania opinii, dokonania powiadomienia, konsultacji albo uzgodnienia. </w:t>
      </w:r>
    </w:p>
    <w:p w14:paraId="77415FC3" w14:textId="77777777" w:rsidR="003D2B1F" w:rsidRPr="001210F7" w:rsidRDefault="003D2B1F" w:rsidP="00E251BA">
      <w:pPr>
        <w:shd w:val="clear" w:color="auto" w:fill="FFFFFF" w:themeFill="background1"/>
        <w:spacing w:before="120" w:line="360" w:lineRule="auto"/>
        <w:jc w:val="both"/>
        <w:rPr>
          <w:rFonts w:ascii="Times New Roman" w:eastAsia="Times New Roman" w:hAnsi="Times New Roman" w:cs="Times New Roman"/>
          <w:sz w:val="24"/>
          <w:szCs w:val="24"/>
          <w:lang w:eastAsia="pl-PL"/>
        </w:rPr>
      </w:pPr>
      <w:r w:rsidRPr="001210F7">
        <w:rPr>
          <w:rFonts w:ascii="Times New Roman" w:eastAsia="Times New Roman" w:hAnsi="Times New Roman" w:cs="Times New Roman"/>
          <w:sz w:val="24"/>
          <w:szCs w:val="24"/>
          <w:lang w:eastAsia="pl-PL"/>
        </w:rPr>
        <w:t xml:space="preserve">Projekt ustawy nie podlega procedurze notyfikacji aktów prawnych, określonej w przepisach rozporządzenia Rady Ministrów z dnia 23 grudnia 2002 r. w sprawie funkcjonowania krajowego systemu notyfikacji norm i aktów prawnych (Dz. U. poz. 2039, z późn. zm.). </w:t>
      </w:r>
    </w:p>
    <w:p w14:paraId="0AC2BAD9" w14:textId="737A392F" w:rsidR="006660EA" w:rsidRPr="001210F7" w:rsidRDefault="003D2B1F" w:rsidP="00E251BA">
      <w:pPr>
        <w:shd w:val="clear" w:color="auto" w:fill="FFFFFF" w:themeFill="background1"/>
        <w:spacing w:before="120" w:line="360" w:lineRule="auto"/>
        <w:jc w:val="both"/>
        <w:rPr>
          <w:rFonts w:ascii="Times New Roman" w:eastAsia="Calibri" w:hAnsi="Times New Roman" w:cs="Times New Roman"/>
          <w:bCs/>
          <w:iCs/>
          <w:sz w:val="24"/>
          <w:szCs w:val="24"/>
        </w:rPr>
      </w:pPr>
      <w:r w:rsidRPr="001210F7">
        <w:rPr>
          <w:rFonts w:ascii="Times New Roman" w:eastAsia="Times New Roman" w:hAnsi="Times New Roman" w:cs="Times New Roman"/>
          <w:sz w:val="24"/>
          <w:szCs w:val="24"/>
          <w:lang w:eastAsia="pl-PL"/>
        </w:rPr>
        <w:t>Projekt nie stwarza zagrożeń korupcyjnych.</w:t>
      </w:r>
    </w:p>
    <w:sectPr w:rsidR="006660EA" w:rsidRPr="001210F7" w:rsidSect="008F269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E6D75" w14:textId="77777777" w:rsidR="001F1D49" w:rsidRDefault="001F1D49" w:rsidP="00B511B4">
      <w:r>
        <w:separator/>
      </w:r>
    </w:p>
  </w:endnote>
  <w:endnote w:type="continuationSeparator" w:id="0">
    <w:p w14:paraId="202AF792" w14:textId="77777777" w:rsidR="001F1D49" w:rsidRDefault="001F1D49" w:rsidP="00B51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465224"/>
      <w:docPartObj>
        <w:docPartGallery w:val="Page Numbers (Bottom of Page)"/>
        <w:docPartUnique/>
      </w:docPartObj>
    </w:sdtPr>
    <w:sdtEndPr>
      <w:rPr>
        <w:rFonts w:ascii="Times New Roman" w:hAnsi="Times New Roman" w:cs="Times New Roman"/>
      </w:rPr>
    </w:sdtEndPr>
    <w:sdtContent>
      <w:p w14:paraId="06B7CA51" w14:textId="50CD378D" w:rsidR="001371B2" w:rsidRPr="00773A45" w:rsidRDefault="001371B2">
        <w:pPr>
          <w:pStyle w:val="Stopka"/>
          <w:jc w:val="center"/>
          <w:rPr>
            <w:rFonts w:ascii="Times New Roman" w:hAnsi="Times New Roman" w:cs="Times New Roman"/>
          </w:rPr>
        </w:pPr>
        <w:r w:rsidRPr="00773A45">
          <w:rPr>
            <w:rFonts w:ascii="Times New Roman" w:hAnsi="Times New Roman" w:cs="Times New Roman"/>
          </w:rPr>
          <w:fldChar w:fldCharType="begin"/>
        </w:r>
        <w:r w:rsidRPr="00773A45">
          <w:rPr>
            <w:rFonts w:ascii="Times New Roman" w:hAnsi="Times New Roman" w:cs="Times New Roman"/>
          </w:rPr>
          <w:instrText>PAGE   \* MERGEFORMAT</w:instrText>
        </w:r>
        <w:r w:rsidRPr="00773A45">
          <w:rPr>
            <w:rFonts w:ascii="Times New Roman" w:hAnsi="Times New Roman" w:cs="Times New Roman"/>
          </w:rPr>
          <w:fldChar w:fldCharType="separate"/>
        </w:r>
        <w:r w:rsidRPr="00773A45">
          <w:rPr>
            <w:rFonts w:ascii="Times New Roman" w:hAnsi="Times New Roman" w:cs="Times New Roman"/>
          </w:rPr>
          <w:t>2</w:t>
        </w:r>
        <w:r w:rsidRPr="00773A45">
          <w:rPr>
            <w:rFonts w:ascii="Times New Roman" w:hAnsi="Times New Roman" w:cs="Times New Roman"/>
          </w:rPr>
          <w:fldChar w:fldCharType="end"/>
        </w:r>
      </w:p>
    </w:sdtContent>
  </w:sdt>
  <w:p w14:paraId="2D7D75B8" w14:textId="77777777" w:rsidR="001371B2" w:rsidRDefault="001371B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863DB" w14:textId="77777777" w:rsidR="001F1D49" w:rsidRDefault="001F1D49" w:rsidP="00B511B4">
      <w:r>
        <w:separator/>
      </w:r>
    </w:p>
  </w:footnote>
  <w:footnote w:type="continuationSeparator" w:id="0">
    <w:p w14:paraId="70A5E40F" w14:textId="77777777" w:rsidR="001F1D49" w:rsidRDefault="001F1D49" w:rsidP="00B511B4">
      <w:r>
        <w:continuationSeparator/>
      </w:r>
    </w:p>
  </w:footnote>
  <w:footnote w:id="1">
    <w:p w14:paraId="7B4AEDDA" w14:textId="2C0E911A" w:rsidR="00E05D1C" w:rsidRPr="00C128C5" w:rsidRDefault="00E05D1C">
      <w:pPr>
        <w:pStyle w:val="Tekstprzypisudolnego"/>
        <w:rPr>
          <w:rFonts w:ascii="Times New Roman" w:hAnsi="Times New Roman"/>
        </w:rPr>
      </w:pPr>
      <w:r w:rsidRPr="00C128C5">
        <w:rPr>
          <w:rStyle w:val="Odwoanieprzypisudolnego"/>
          <w:rFonts w:ascii="Times New Roman" w:hAnsi="Times New Roman"/>
        </w:rPr>
        <w:footnoteRef/>
      </w:r>
      <w:r w:rsidRPr="00C128C5">
        <w:rPr>
          <w:rFonts w:ascii="Times New Roman" w:hAnsi="Times New Roman"/>
        </w:rPr>
        <w:t xml:space="preserve"> Dz.</w:t>
      </w:r>
      <w:r w:rsidR="00B152C9">
        <w:rPr>
          <w:rFonts w:ascii="Times New Roman" w:hAnsi="Times New Roman"/>
        </w:rPr>
        <w:t xml:space="preserve"> </w:t>
      </w:r>
      <w:r w:rsidRPr="00C128C5">
        <w:rPr>
          <w:rFonts w:ascii="Times New Roman" w:hAnsi="Times New Roman"/>
        </w:rPr>
        <w:t>U. z 2023 r. poz. 2809, z</w:t>
      </w:r>
      <w:r w:rsidR="00C128C5">
        <w:rPr>
          <w:rFonts w:ascii="Times New Roman" w:hAnsi="Times New Roman"/>
        </w:rPr>
        <w:t xml:space="preserve"> późn.</w:t>
      </w:r>
      <w:r w:rsidRPr="00C128C5">
        <w:rPr>
          <w:rFonts w:ascii="Times New Roman" w:hAnsi="Times New Roman"/>
        </w:rPr>
        <w:t xml:space="preserve"> zm.</w:t>
      </w:r>
    </w:p>
  </w:footnote>
  <w:footnote w:id="2">
    <w:p w14:paraId="6E3B78AB" w14:textId="5BEC14C9" w:rsidR="005A4CA2" w:rsidRPr="005A4CA2" w:rsidRDefault="005A4CA2" w:rsidP="0027548A">
      <w:pPr>
        <w:pStyle w:val="Tekstprzypisudolnego"/>
        <w:jc w:val="both"/>
      </w:pPr>
      <w:r w:rsidRPr="00C128C5">
        <w:rPr>
          <w:rStyle w:val="Odwoanieprzypisudolnego"/>
          <w:rFonts w:ascii="Times New Roman" w:hAnsi="Times New Roman"/>
        </w:rPr>
        <w:footnoteRef/>
      </w:r>
      <w:r w:rsidRPr="00C128C5">
        <w:rPr>
          <w:rFonts w:ascii="Times New Roman" w:hAnsi="Times New Roman"/>
        </w:rPr>
        <w:t xml:space="preserve"> Stosując wnioskowanie oparte na argumentacji z silniejszego na słabsze (</w:t>
      </w:r>
      <w:r w:rsidRPr="00C128C5">
        <w:rPr>
          <w:rStyle w:val="Uwydatnienie"/>
          <w:rFonts w:ascii="Times New Roman" w:hAnsi="Times New Roman"/>
          <w:color w:val="0A0A0A"/>
          <w:shd w:val="clear" w:color="auto" w:fill="FFFFFF"/>
        </w:rPr>
        <w:t xml:space="preserve">argumentum a </w:t>
      </w:r>
      <w:r w:rsidRPr="00C128C5">
        <w:rPr>
          <w:rStyle w:val="Uwydatnienie"/>
          <w:rFonts w:ascii="Times New Roman" w:hAnsi="Times New Roman"/>
          <w:color w:val="0A0A0A"/>
          <w:shd w:val="clear" w:color="auto" w:fill="FFFFFF"/>
        </w:rPr>
        <w:t>maiori ad minus)</w:t>
      </w:r>
      <w:r w:rsidR="00716085">
        <w:rPr>
          <w:rStyle w:val="Uwydatnienie"/>
          <w:rFonts w:ascii="Times New Roman" w:hAnsi="Times New Roman"/>
          <w:color w:val="0A0A0A"/>
          <w:shd w:val="clear" w:color="auto" w:fill="FFFFFF"/>
        </w:rPr>
        <w:t>,</w:t>
      </w:r>
      <w:r w:rsidRPr="00C128C5">
        <w:rPr>
          <w:rStyle w:val="Uwydatnienie"/>
          <w:rFonts w:ascii="Times New Roman" w:hAnsi="Times New Roman"/>
          <w:i w:val="0"/>
          <w:iCs w:val="0"/>
          <w:color w:val="0A0A0A"/>
          <w:shd w:val="clear" w:color="auto" w:fill="FFFFFF"/>
        </w:rPr>
        <w:t xml:space="preserve"> należy </w:t>
      </w:r>
      <w:r w:rsidR="00A013B9" w:rsidRPr="00C128C5">
        <w:rPr>
          <w:rStyle w:val="Uwydatnienie"/>
          <w:rFonts w:ascii="Times New Roman" w:hAnsi="Times New Roman"/>
          <w:i w:val="0"/>
          <w:iCs w:val="0"/>
          <w:color w:val="0A0A0A"/>
          <w:shd w:val="clear" w:color="auto" w:fill="FFFFFF"/>
        </w:rPr>
        <w:t>opowiedzieć się jednoznacznie za zastosowaniem opisanej regulacji do umownego rozszerzenia zakresu ustawowej wspólności majątkowej małżeńskiej</w:t>
      </w:r>
      <w:r w:rsidRPr="00C128C5">
        <w:rPr>
          <w:rFonts w:ascii="Times New Roman" w:hAnsi="Times New Roman"/>
          <w:color w:val="0A0A0A"/>
          <w:shd w:val="clear" w:color="auto" w:fill="FFFFFF"/>
        </w:rPr>
        <w:t>.</w:t>
      </w:r>
    </w:p>
  </w:footnote>
  <w:footnote w:id="3">
    <w:p w14:paraId="324EE953" w14:textId="72CBE4B3" w:rsidR="00C72327" w:rsidRPr="0082555A" w:rsidRDefault="00C72327">
      <w:pPr>
        <w:pStyle w:val="Tekstprzypisudolnego"/>
        <w:rPr>
          <w:rFonts w:ascii="Times New Roman" w:hAnsi="Times New Roman"/>
        </w:rPr>
      </w:pPr>
      <w:r>
        <w:rPr>
          <w:rStyle w:val="Odwoanieprzypisudolnego"/>
        </w:rPr>
        <w:footnoteRef/>
      </w:r>
      <w:r>
        <w:t xml:space="preserve"> </w:t>
      </w:r>
      <w:r w:rsidRPr="0082555A">
        <w:rPr>
          <w:rFonts w:ascii="Times New Roman" w:hAnsi="Times New Roman"/>
        </w:rPr>
        <w:t>Dz.</w:t>
      </w:r>
      <w:r w:rsidR="00B152C9">
        <w:rPr>
          <w:rFonts w:ascii="Times New Roman" w:hAnsi="Times New Roman"/>
        </w:rPr>
        <w:t xml:space="preserve"> </w:t>
      </w:r>
      <w:r w:rsidRPr="0082555A">
        <w:rPr>
          <w:rFonts w:ascii="Times New Roman" w:hAnsi="Times New Roman"/>
        </w:rPr>
        <w:t xml:space="preserve">U. z 2026 r. poz. 38, z </w:t>
      </w:r>
      <w:r w:rsidRPr="0082555A">
        <w:rPr>
          <w:rFonts w:ascii="Times New Roman" w:hAnsi="Times New Roman"/>
        </w:rPr>
        <w:t>późn. zm.</w:t>
      </w:r>
    </w:p>
  </w:footnote>
  <w:footnote w:id="4">
    <w:p w14:paraId="6D8CAA4E" w14:textId="071C60B4" w:rsidR="00C72327" w:rsidRPr="00E14F17" w:rsidRDefault="00C72327">
      <w:pPr>
        <w:pStyle w:val="Tekstprzypisudolnego"/>
        <w:rPr>
          <w:rFonts w:ascii="Times New Roman" w:hAnsi="Times New Roman"/>
        </w:rPr>
      </w:pPr>
      <w:r w:rsidRPr="00E14F17">
        <w:rPr>
          <w:rStyle w:val="Odwoanieprzypisudolnego"/>
          <w:rFonts w:ascii="Times New Roman" w:hAnsi="Times New Roman"/>
        </w:rPr>
        <w:footnoteRef/>
      </w:r>
      <w:r w:rsidRPr="00E14F17">
        <w:rPr>
          <w:rFonts w:ascii="Times New Roman" w:hAnsi="Times New Roman"/>
        </w:rPr>
        <w:t xml:space="preserve"> Dz. U. z 2026 r. poz. 595.</w:t>
      </w:r>
    </w:p>
  </w:footnote>
  <w:footnote w:id="5">
    <w:p w14:paraId="44FBA74C" w14:textId="77777777" w:rsidR="00A71ADD" w:rsidRPr="00E14F17" w:rsidRDefault="00A71ADD" w:rsidP="00A71ADD">
      <w:pPr>
        <w:pStyle w:val="Tekstprzypisudolnego"/>
        <w:ind w:left="142" w:hanging="142"/>
        <w:jc w:val="both"/>
        <w:rPr>
          <w:rFonts w:ascii="Times New Roman" w:hAnsi="Times New Roman"/>
        </w:rPr>
      </w:pPr>
      <w:r>
        <w:rPr>
          <w:rStyle w:val="Odwoanieprzypisudolnego"/>
        </w:rPr>
        <w:footnoteRef/>
      </w:r>
      <w:r>
        <w:t xml:space="preserve"> </w:t>
      </w:r>
      <w:r w:rsidRPr="00E14F17">
        <w:rPr>
          <w:rFonts w:ascii="Times New Roman" w:hAnsi="Times New Roman"/>
        </w:rPr>
        <w:t>Normy zostały wprowadzone ustawą z dnia 9 października 2015 r. o zmianie ustawy – Prawo bankowe oraz niektórych innych ustaw (Dz. U. poz. 1864).</w:t>
      </w:r>
    </w:p>
    <w:p w14:paraId="054DDBF0" w14:textId="77777777" w:rsidR="00A71ADD" w:rsidRDefault="00A71ADD" w:rsidP="00A71ADD">
      <w:pPr>
        <w:pStyle w:val="Tekstprzypisudolnego"/>
      </w:pPr>
    </w:p>
  </w:footnote>
  <w:footnote w:id="6">
    <w:p w14:paraId="4C06EC36" w14:textId="56906EBD" w:rsidR="006946D4" w:rsidRPr="0088579C" w:rsidRDefault="006946D4" w:rsidP="006946D4">
      <w:pPr>
        <w:pStyle w:val="Tekstprzypisudolnego"/>
        <w:keepLines/>
        <w:jc w:val="both"/>
        <w:rPr>
          <w:rFonts w:ascii="Times New Roman" w:hAnsi="Times New Roman"/>
        </w:rPr>
      </w:pPr>
      <w:r w:rsidRPr="0088579C">
        <w:rPr>
          <w:rStyle w:val="Odwoanieprzypisudolnego"/>
          <w:rFonts w:ascii="Times New Roman" w:hAnsi="Times New Roman"/>
        </w:rPr>
        <w:footnoteRef/>
      </w:r>
      <w:r w:rsidRPr="0088579C">
        <w:rPr>
          <w:rFonts w:ascii="Times New Roman" w:hAnsi="Times New Roman"/>
        </w:rPr>
        <w:t xml:space="preserve"> Zaprezentowana wykładnia nie dostrzega tego, że zbycie nieruchomości/rzeczy ruchomej w celu zwolnienia się z długu jest tożsame co do skutków ekonomicznych z sytuacją, w której podatnik najpierw sprzedaje tą rzecz osobie trzeciej, a następnie z uzyskanej ze sprzedaży kwoty reguluje swój dług z tytułu pożyczki (kredytu). Przy takiej kolejności działań podatnika nie powinno budzić żadnych wątpliwości, że doszło do opłatnego zbycia rzeczy, które powinno być rozpatrywane na gruncie podatku dochodowego, i to mimo że – przyjmując punkt widzenia NSA – podatnik również „nie uzyskuje przyrostu majątkowego”</w:t>
      </w:r>
      <w:r w:rsidR="00B152C9">
        <w:rPr>
          <w:rFonts w:ascii="Times New Roman" w:hAnsi="Times New Roman"/>
        </w:rPr>
        <w:t>,</w:t>
      </w:r>
      <w:r w:rsidRPr="0088579C">
        <w:rPr>
          <w:rFonts w:ascii="Times New Roman" w:hAnsi="Times New Roman"/>
        </w:rPr>
        <w:t xml:space="preserve"> gdyż „zamienia” aktywo o wartości rynkowej x na środki pieniężne o wartości x. Takie podejście ewidentnie stoi jednak w sprzeczności z istotą opodatkowania wzrostu wartości aktywa rzeczowego (dochodu) realizowanego w momencie jego odpłatnego zbycia.</w:t>
      </w:r>
    </w:p>
  </w:footnote>
  <w:footnote w:id="7">
    <w:p w14:paraId="416DDF22" w14:textId="5D70FE1A" w:rsidR="0051300E" w:rsidRPr="0082555A" w:rsidRDefault="0051300E">
      <w:pPr>
        <w:pStyle w:val="Tekstprzypisudolnego"/>
        <w:rPr>
          <w:rFonts w:ascii="Times New Roman" w:hAnsi="Times New Roman"/>
        </w:rPr>
      </w:pPr>
      <w:r w:rsidRPr="0082555A">
        <w:rPr>
          <w:rStyle w:val="Odwoanieprzypisudolnego"/>
          <w:rFonts w:ascii="Times New Roman" w:hAnsi="Times New Roman"/>
        </w:rPr>
        <w:footnoteRef/>
      </w:r>
      <w:r w:rsidRPr="0082555A">
        <w:rPr>
          <w:rFonts w:ascii="Times New Roman" w:hAnsi="Times New Roman"/>
        </w:rPr>
        <w:t xml:space="preserve"> Dz.</w:t>
      </w:r>
      <w:r w:rsidR="00F5745B">
        <w:rPr>
          <w:rFonts w:ascii="Times New Roman" w:hAnsi="Times New Roman"/>
        </w:rPr>
        <w:t xml:space="preserve"> </w:t>
      </w:r>
      <w:r w:rsidRPr="0082555A">
        <w:rPr>
          <w:rFonts w:ascii="Times New Roman" w:hAnsi="Times New Roman"/>
        </w:rPr>
        <w:t xml:space="preserve">U. z 2021 r. poz. 2269, z </w:t>
      </w:r>
      <w:r w:rsidRPr="0082555A">
        <w:rPr>
          <w:rFonts w:ascii="Times New Roman" w:hAnsi="Times New Roman"/>
        </w:rPr>
        <w:t xml:space="preserve">późn. zm. </w:t>
      </w:r>
    </w:p>
  </w:footnote>
  <w:footnote w:id="8">
    <w:p w14:paraId="6101303D" w14:textId="729F7511" w:rsidR="003C130F" w:rsidRDefault="003C130F" w:rsidP="003C5486">
      <w:pPr>
        <w:pStyle w:val="Tekstprzypisudolnego"/>
        <w:jc w:val="both"/>
      </w:pPr>
      <w:r>
        <w:rPr>
          <w:rStyle w:val="Odwoanieprzypisudolnego"/>
        </w:rPr>
        <w:footnoteRef/>
      </w:r>
      <w:r w:rsidR="009D146A" w:rsidRPr="00F5745B">
        <w:t>https://podatki.gazetaprawna.pl/cit/artykuly/10640558,nowe-limity-podatkowe-jak-auto-niskoemisyjne-staje-sie-wysokoemisyjne.html</w:t>
      </w:r>
      <w:r>
        <w:t xml:space="preserve"> </w:t>
      </w:r>
    </w:p>
  </w:footnote>
  <w:footnote w:id="9">
    <w:p w14:paraId="45B17241" w14:textId="25EA0199" w:rsidR="00D7363F" w:rsidRPr="00291A1D" w:rsidRDefault="00D7363F">
      <w:pPr>
        <w:pStyle w:val="Tekstprzypisudolnego"/>
        <w:rPr>
          <w:rFonts w:ascii="Times New Roman" w:hAnsi="Times New Roman"/>
        </w:rPr>
      </w:pPr>
      <w:r w:rsidRPr="00291A1D">
        <w:rPr>
          <w:rStyle w:val="Odwoanieprzypisudolnego"/>
          <w:rFonts w:ascii="Times New Roman" w:hAnsi="Times New Roman"/>
        </w:rPr>
        <w:footnoteRef/>
      </w:r>
      <w:r w:rsidRPr="00291A1D">
        <w:rPr>
          <w:rFonts w:ascii="Times New Roman" w:hAnsi="Times New Roman"/>
        </w:rPr>
        <w:t xml:space="preserve"> Dz. U. z 2021 r. poz. 2105, </w:t>
      </w:r>
      <w:r w:rsidRPr="00C128C5">
        <w:rPr>
          <w:rFonts w:ascii="Times New Roman" w:hAnsi="Times New Roman"/>
        </w:rPr>
        <w:t>z</w:t>
      </w:r>
      <w:r w:rsidR="00C128C5">
        <w:rPr>
          <w:rFonts w:ascii="Times New Roman" w:hAnsi="Times New Roman"/>
        </w:rPr>
        <w:t xml:space="preserve"> </w:t>
      </w:r>
      <w:r w:rsidR="00C128C5">
        <w:rPr>
          <w:rFonts w:ascii="Times New Roman" w:hAnsi="Times New Roman"/>
        </w:rPr>
        <w:t>późn.</w:t>
      </w:r>
      <w:r w:rsidRPr="00C128C5">
        <w:rPr>
          <w:rFonts w:ascii="Times New Roman" w:hAnsi="Times New Roman"/>
        </w:rPr>
        <w:t xml:space="preserve"> </w:t>
      </w:r>
      <w:r w:rsidRPr="00291A1D">
        <w:rPr>
          <w:rFonts w:ascii="Times New Roman" w:hAnsi="Times New Roman"/>
        </w:rPr>
        <w:t xml:space="preserve">zm. </w:t>
      </w:r>
    </w:p>
  </w:footnote>
  <w:footnote w:id="10">
    <w:p w14:paraId="4DA99F83" w14:textId="298EF959" w:rsidR="008A63A6" w:rsidRPr="00B1060C" w:rsidRDefault="008A63A6">
      <w:pPr>
        <w:pStyle w:val="Tekstprzypisudolnego"/>
        <w:rPr>
          <w:rFonts w:ascii="Times New Roman" w:hAnsi="Times New Roman"/>
          <w:b/>
          <w:bCs/>
        </w:rPr>
      </w:pPr>
      <w:r w:rsidRPr="00B1060C">
        <w:rPr>
          <w:rStyle w:val="Odwoanieprzypisudolnego"/>
          <w:rFonts w:ascii="Times New Roman" w:hAnsi="Times New Roman"/>
        </w:rPr>
        <w:footnoteRef/>
      </w:r>
      <w:r w:rsidRPr="00B1060C">
        <w:rPr>
          <w:rFonts w:ascii="Times New Roman" w:hAnsi="Times New Roman"/>
        </w:rPr>
        <w:t xml:space="preserve"> Dz. U. z 2025 r. poz. 1338, z </w:t>
      </w:r>
      <w:r w:rsidRPr="00B1060C">
        <w:rPr>
          <w:rFonts w:ascii="Times New Roman" w:hAnsi="Times New Roman"/>
        </w:rPr>
        <w:t xml:space="preserve">późn. zm. – dalej: </w:t>
      </w:r>
      <w:r w:rsidRPr="00B1060C">
        <w:rPr>
          <w:rFonts w:ascii="Times New Roman" w:hAnsi="Times New Roman"/>
          <w:b/>
          <w:bCs/>
        </w:rPr>
        <w:t>ustawa OPP</w:t>
      </w:r>
      <w:r w:rsidR="009A48A5" w:rsidRPr="0081594C">
        <w:rPr>
          <w:rFonts w:ascii="Times New Roman" w:hAnsi="Times New Roman"/>
        </w:rPr>
        <w:t>.</w:t>
      </w:r>
    </w:p>
  </w:footnote>
  <w:footnote w:id="11">
    <w:p w14:paraId="0FF28B1B" w14:textId="5AD7F8F2" w:rsidR="00A8763E" w:rsidRPr="00B1060C" w:rsidRDefault="00A8763E">
      <w:pPr>
        <w:pStyle w:val="Tekstprzypisudolnego"/>
        <w:rPr>
          <w:rFonts w:ascii="Times New Roman" w:hAnsi="Times New Roman"/>
        </w:rPr>
      </w:pPr>
      <w:r w:rsidRPr="00B1060C">
        <w:rPr>
          <w:rStyle w:val="Odwoanieprzypisudolnego"/>
          <w:rFonts w:ascii="Times New Roman" w:hAnsi="Times New Roman"/>
        </w:rPr>
        <w:footnoteRef/>
      </w:r>
      <w:r w:rsidRPr="00B1060C">
        <w:rPr>
          <w:rFonts w:ascii="Times New Roman" w:hAnsi="Times New Roman"/>
        </w:rPr>
        <w:t xml:space="preserve"> </w:t>
      </w:r>
      <w:r w:rsidRPr="00B1060C">
        <w:rPr>
          <w:rFonts w:ascii="Times New Roman" w:eastAsia="Calibri" w:hAnsi="Times New Roman"/>
          <w:bCs/>
          <w:iCs/>
        </w:rPr>
        <w:t>Dz.</w:t>
      </w:r>
      <w:r w:rsidR="00F5745B">
        <w:rPr>
          <w:rFonts w:ascii="Times New Roman" w:eastAsia="Calibri" w:hAnsi="Times New Roman"/>
          <w:bCs/>
          <w:iCs/>
        </w:rPr>
        <w:t xml:space="preserve"> </w:t>
      </w:r>
      <w:r w:rsidRPr="00B1060C">
        <w:rPr>
          <w:rFonts w:ascii="Times New Roman" w:eastAsia="Calibri" w:hAnsi="Times New Roman"/>
          <w:bCs/>
          <w:iCs/>
        </w:rPr>
        <w:t>U. z 2024 r. poz. 441</w:t>
      </w:r>
      <w:r w:rsidR="003B3564">
        <w:rPr>
          <w:rFonts w:ascii="Times New Roman" w:eastAsia="Calibri" w:hAnsi="Times New Roman"/>
          <w:bCs/>
          <w:iCs/>
        </w:rPr>
        <w:t>,</w:t>
      </w:r>
      <w:r w:rsidRPr="00B1060C">
        <w:rPr>
          <w:rFonts w:ascii="Times New Roman" w:eastAsia="Calibri" w:hAnsi="Times New Roman"/>
          <w:bCs/>
          <w:iCs/>
        </w:rPr>
        <w:t xml:space="preserve"> z </w:t>
      </w:r>
      <w:r w:rsidRPr="00B1060C">
        <w:rPr>
          <w:rFonts w:ascii="Times New Roman" w:eastAsia="Calibri" w:hAnsi="Times New Roman"/>
          <w:bCs/>
          <w:iCs/>
        </w:rPr>
        <w:t>póżn. zm.</w:t>
      </w:r>
    </w:p>
  </w:footnote>
  <w:footnote w:id="12">
    <w:p w14:paraId="25D6A3C5" w14:textId="20DFA302" w:rsidR="00113640" w:rsidRDefault="00113640">
      <w:pPr>
        <w:pStyle w:val="Tekstprzypisudolnego"/>
      </w:pPr>
      <w:r w:rsidRPr="00B1060C">
        <w:rPr>
          <w:rStyle w:val="Odwoanieprzypisudolnego"/>
          <w:rFonts w:ascii="Times New Roman" w:hAnsi="Times New Roman"/>
        </w:rPr>
        <w:footnoteRef/>
      </w:r>
      <w:r w:rsidRPr="00B1060C">
        <w:rPr>
          <w:rFonts w:ascii="Times New Roman" w:hAnsi="Times New Roman"/>
        </w:rPr>
        <w:t xml:space="preserve"> Dz. U. z 2022 r. poz. 1321</w:t>
      </w:r>
      <w:r w:rsidR="009A48A5">
        <w:rPr>
          <w:rFonts w:ascii="Times New Roman" w:hAnsi="Times New Roman"/>
        </w:rPr>
        <w:t>.</w:t>
      </w:r>
    </w:p>
  </w:footnote>
  <w:footnote w:id="13">
    <w:p w14:paraId="1092AEEA" w14:textId="20AC2032" w:rsidR="00E211F4" w:rsidRPr="00291A1D" w:rsidRDefault="00E211F4">
      <w:pPr>
        <w:pStyle w:val="Tekstprzypisudolnego"/>
        <w:rPr>
          <w:rFonts w:ascii="Times New Roman" w:hAnsi="Times New Roman"/>
        </w:rPr>
      </w:pPr>
      <w:r w:rsidRPr="00291A1D">
        <w:rPr>
          <w:rStyle w:val="Odwoanieprzypisudolnego"/>
          <w:rFonts w:ascii="Times New Roman" w:hAnsi="Times New Roman"/>
        </w:rPr>
        <w:footnoteRef/>
      </w:r>
      <w:r w:rsidRPr="00291A1D">
        <w:rPr>
          <w:rFonts w:ascii="Times New Roman" w:hAnsi="Times New Roman"/>
        </w:rPr>
        <w:t xml:space="preserve"> </w:t>
      </w:r>
      <w:r w:rsidRPr="00291A1D">
        <w:rPr>
          <w:rFonts w:ascii="Times New Roman" w:eastAsia="Times New Roman" w:hAnsi="Times New Roman"/>
          <w:bCs/>
          <w:lang w:eastAsia="pl-PL"/>
        </w:rPr>
        <w:t>Dz. U. z 2022 r. poz. 2180</w:t>
      </w:r>
      <w:r w:rsidR="00963825">
        <w:rPr>
          <w:rFonts w:ascii="Times New Roman" w:eastAsia="Times New Roman" w:hAnsi="Times New Roman"/>
          <w:bCs/>
          <w:lang w:eastAsia="pl-P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E0A"/>
    <w:multiLevelType w:val="hybridMultilevel"/>
    <w:tmpl w:val="BE3222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051A71"/>
    <w:multiLevelType w:val="hybridMultilevel"/>
    <w:tmpl w:val="BC9677CA"/>
    <w:lvl w:ilvl="0" w:tplc="DE12F1E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171629"/>
    <w:multiLevelType w:val="hybridMultilevel"/>
    <w:tmpl w:val="A3963E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2F0787"/>
    <w:multiLevelType w:val="hybridMultilevel"/>
    <w:tmpl w:val="EE0842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51124B"/>
    <w:multiLevelType w:val="hybridMultilevel"/>
    <w:tmpl w:val="01685F7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B7085C"/>
    <w:multiLevelType w:val="hybridMultilevel"/>
    <w:tmpl w:val="AE662E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EF57EB"/>
    <w:multiLevelType w:val="hybridMultilevel"/>
    <w:tmpl w:val="11DCABBA"/>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7" w15:restartNumberingAfterBreak="0">
    <w:nsid w:val="0AD6651F"/>
    <w:multiLevelType w:val="hybridMultilevel"/>
    <w:tmpl w:val="6BA65E36"/>
    <w:lvl w:ilvl="0" w:tplc="DE12F1E8">
      <w:start w:val="1"/>
      <w:numFmt w:val="bullet"/>
      <w:lvlText w:val="-"/>
      <w:lvlJc w:val="left"/>
      <w:pPr>
        <w:ind w:left="1077" w:hanging="360"/>
      </w:pPr>
      <w:rPr>
        <w:rFonts w:ascii="Courier New" w:hAnsi="Courier New"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 w15:restartNumberingAfterBreak="0">
    <w:nsid w:val="0BED3C61"/>
    <w:multiLevelType w:val="hybridMultilevel"/>
    <w:tmpl w:val="745672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C042C87"/>
    <w:multiLevelType w:val="hybridMultilevel"/>
    <w:tmpl w:val="DB7CB678"/>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DFC29DD"/>
    <w:multiLevelType w:val="hybridMultilevel"/>
    <w:tmpl w:val="7DCA2444"/>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E364F2D"/>
    <w:multiLevelType w:val="hybridMultilevel"/>
    <w:tmpl w:val="7E26F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4250EA0"/>
    <w:multiLevelType w:val="hybridMultilevel"/>
    <w:tmpl w:val="9C04C5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6060AAD"/>
    <w:multiLevelType w:val="hybridMultilevel"/>
    <w:tmpl w:val="92D2E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68C1AF0"/>
    <w:multiLevelType w:val="hybridMultilevel"/>
    <w:tmpl w:val="51C8C0DC"/>
    <w:lvl w:ilvl="0" w:tplc="04150011">
      <w:start w:val="1"/>
      <w:numFmt w:val="decimal"/>
      <w:lvlText w:val="%1)"/>
      <w:lvlJc w:val="left"/>
      <w:pPr>
        <w:ind w:left="720" w:hanging="360"/>
      </w:pPr>
    </w:lvl>
    <w:lvl w:ilvl="1" w:tplc="453686F8">
      <w:numFmt w:val="bullet"/>
      <w:lvlText w:val="•"/>
      <w:lvlJc w:val="left"/>
      <w:pPr>
        <w:ind w:left="1790" w:hanging="710"/>
      </w:pPr>
      <w:rPr>
        <w:rFonts w:ascii="Times New Roman" w:eastAsiaTheme="minorEastAsia"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853B81"/>
    <w:multiLevelType w:val="hybridMultilevel"/>
    <w:tmpl w:val="F844E64C"/>
    <w:lvl w:ilvl="0" w:tplc="04150011">
      <w:start w:val="1"/>
      <w:numFmt w:val="decimal"/>
      <w:lvlText w:val="%1)"/>
      <w:lvlJc w:val="left"/>
      <w:pPr>
        <w:ind w:left="720" w:hanging="360"/>
      </w:pPr>
    </w:lvl>
    <w:lvl w:ilvl="1" w:tplc="0415000B">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E560CCE"/>
    <w:multiLevelType w:val="hybridMultilevel"/>
    <w:tmpl w:val="C72C7512"/>
    <w:lvl w:ilvl="0" w:tplc="DE12F1E8">
      <w:start w:val="1"/>
      <w:numFmt w:val="bullet"/>
      <w:lvlText w:val="-"/>
      <w:lvlJc w:val="left"/>
      <w:pPr>
        <w:ind w:left="1428" w:hanging="360"/>
      </w:pPr>
      <w:rPr>
        <w:rFonts w:ascii="Courier New" w:hAnsi="Courier New"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7" w15:restartNumberingAfterBreak="0">
    <w:nsid w:val="1ECC1EB4"/>
    <w:multiLevelType w:val="hybridMultilevel"/>
    <w:tmpl w:val="3E48B7C6"/>
    <w:lvl w:ilvl="0" w:tplc="DE12F1E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C4337F"/>
    <w:multiLevelType w:val="hybridMultilevel"/>
    <w:tmpl w:val="9F5033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2803148"/>
    <w:multiLevelType w:val="hybridMultilevel"/>
    <w:tmpl w:val="A6B28C36"/>
    <w:lvl w:ilvl="0" w:tplc="87B0DD6E">
      <w:start w:val="1"/>
      <w:numFmt w:val="upperRoman"/>
      <w:lvlText w:val="%1."/>
      <w:lvlJc w:val="righ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3AE12E2"/>
    <w:multiLevelType w:val="hybridMultilevel"/>
    <w:tmpl w:val="1F70532E"/>
    <w:lvl w:ilvl="0" w:tplc="842AAB5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23D60D32"/>
    <w:multiLevelType w:val="hybridMultilevel"/>
    <w:tmpl w:val="C17E958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4075770"/>
    <w:multiLevelType w:val="hybridMultilevel"/>
    <w:tmpl w:val="41025574"/>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43E0800"/>
    <w:multiLevelType w:val="hybridMultilevel"/>
    <w:tmpl w:val="39C824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5D8163C"/>
    <w:multiLevelType w:val="hybridMultilevel"/>
    <w:tmpl w:val="ADCAB368"/>
    <w:lvl w:ilvl="0" w:tplc="DE12F1E8">
      <w:start w:val="1"/>
      <w:numFmt w:val="bullet"/>
      <w:lvlText w:val="-"/>
      <w:lvlJc w:val="left"/>
      <w:pPr>
        <w:ind w:left="1487" w:hanging="360"/>
      </w:pPr>
      <w:rPr>
        <w:rFonts w:ascii="Courier New" w:hAnsi="Courier New" w:hint="default"/>
      </w:rPr>
    </w:lvl>
    <w:lvl w:ilvl="1" w:tplc="04150003" w:tentative="1">
      <w:start w:val="1"/>
      <w:numFmt w:val="bullet"/>
      <w:lvlText w:val="o"/>
      <w:lvlJc w:val="left"/>
      <w:pPr>
        <w:ind w:left="2207" w:hanging="360"/>
      </w:pPr>
      <w:rPr>
        <w:rFonts w:ascii="Courier New" w:hAnsi="Courier New" w:cs="Courier New" w:hint="default"/>
      </w:rPr>
    </w:lvl>
    <w:lvl w:ilvl="2" w:tplc="04150005" w:tentative="1">
      <w:start w:val="1"/>
      <w:numFmt w:val="bullet"/>
      <w:lvlText w:val=""/>
      <w:lvlJc w:val="left"/>
      <w:pPr>
        <w:ind w:left="2927" w:hanging="360"/>
      </w:pPr>
      <w:rPr>
        <w:rFonts w:ascii="Wingdings" w:hAnsi="Wingdings" w:hint="default"/>
      </w:rPr>
    </w:lvl>
    <w:lvl w:ilvl="3" w:tplc="04150001" w:tentative="1">
      <w:start w:val="1"/>
      <w:numFmt w:val="bullet"/>
      <w:lvlText w:val=""/>
      <w:lvlJc w:val="left"/>
      <w:pPr>
        <w:ind w:left="3647" w:hanging="360"/>
      </w:pPr>
      <w:rPr>
        <w:rFonts w:ascii="Symbol" w:hAnsi="Symbol" w:hint="default"/>
      </w:rPr>
    </w:lvl>
    <w:lvl w:ilvl="4" w:tplc="04150003" w:tentative="1">
      <w:start w:val="1"/>
      <w:numFmt w:val="bullet"/>
      <w:lvlText w:val="o"/>
      <w:lvlJc w:val="left"/>
      <w:pPr>
        <w:ind w:left="4367" w:hanging="360"/>
      </w:pPr>
      <w:rPr>
        <w:rFonts w:ascii="Courier New" w:hAnsi="Courier New" w:cs="Courier New" w:hint="default"/>
      </w:rPr>
    </w:lvl>
    <w:lvl w:ilvl="5" w:tplc="04150005" w:tentative="1">
      <w:start w:val="1"/>
      <w:numFmt w:val="bullet"/>
      <w:lvlText w:val=""/>
      <w:lvlJc w:val="left"/>
      <w:pPr>
        <w:ind w:left="5087" w:hanging="360"/>
      </w:pPr>
      <w:rPr>
        <w:rFonts w:ascii="Wingdings" w:hAnsi="Wingdings" w:hint="default"/>
      </w:rPr>
    </w:lvl>
    <w:lvl w:ilvl="6" w:tplc="04150001" w:tentative="1">
      <w:start w:val="1"/>
      <w:numFmt w:val="bullet"/>
      <w:lvlText w:val=""/>
      <w:lvlJc w:val="left"/>
      <w:pPr>
        <w:ind w:left="5807" w:hanging="360"/>
      </w:pPr>
      <w:rPr>
        <w:rFonts w:ascii="Symbol" w:hAnsi="Symbol" w:hint="default"/>
      </w:rPr>
    </w:lvl>
    <w:lvl w:ilvl="7" w:tplc="04150003" w:tentative="1">
      <w:start w:val="1"/>
      <w:numFmt w:val="bullet"/>
      <w:lvlText w:val="o"/>
      <w:lvlJc w:val="left"/>
      <w:pPr>
        <w:ind w:left="6527" w:hanging="360"/>
      </w:pPr>
      <w:rPr>
        <w:rFonts w:ascii="Courier New" w:hAnsi="Courier New" w:cs="Courier New" w:hint="default"/>
      </w:rPr>
    </w:lvl>
    <w:lvl w:ilvl="8" w:tplc="04150005" w:tentative="1">
      <w:start w:val="1"/>
      <w:numFmt w:val="bullet"/>
      <w:lvlText w:val=""/>
      <w:lvlJc w:val="left"/>
      <w:pPr>
        <w:ind w:left="7247" w:hanging="360"/>
      </w:pPr>
      <w:rPr>
        <w:rFonts w:ascii="Wingdings" w:hAnsi="Wingdings" w:hint="default"/>
      </w:rPr>
    </w:lvl>
  </w:abstractNum>
  <w:abstractNum w:abstractNumId="25" w15:restartNumberingAfterBreak="0">
    <w:nsid w:val="28197D87"/>
    <w:multiLevelType w:val="hybridMultilevel"/>
    <w:tmpl w:val="FDCE947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86C6D22"/>
    <w:multiLevelType w:val="hybridMultilevel"/>
    <w:tmpl w:val="A6D26D8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BCA28B2"/>
    <w:multiLevelType w:val="hybridMultilevel"/>
    <w:tmpl w:val="F990C752"/>
    <w:lvl w:ilvl="0" w:tplc="B3AEA39E">
      <w:start w:val="2"/>
      <w:numFmt w:val="decimal"/>
      <w:lvlText w:val="%1."/>
      <w:lvlJc w:val="left"/>
      <w:pPr>
        <w:ind w:left="7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2D5B3326"/>
    <w:multiLevelType w:val="hybridMultilevel"/>
    <w:tmpl w:val="9E50EB26"/>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D8E566B"/>
    <w:multiLevelType w:val="hybridMultilevel"/>
    <w:tmpl w:val="264232E0"/>
    <w:lvl w:ilvl="0" w:tplc="DE12F1E8">
      <w:start w:val="1"/>
      <w:numFmt w:val="bullet"/>
      <w:lvlText w:val="-"/>
      <w:lvlJc w:val="left"/>
      <w:pPr>
        <w:ind w:left="1077" w:hanging="360"/>
      </w:pPr>
      <w:rPr>
        <w:rFonts w:ascii="Courier New" w:hAnsi="Courier New"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0" w15:restartNumberingAfterBreak="0">
    <w:nsid w:val="2E6B0709"/>
    <w:multiLevelType w:val="hybridMultilevel"/>
    <w:tmpl w:val="32E60ADA"/>
    <w:lvl w:ilvl="0" w:tplc="DE12F1E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1C21384"/>
    <w:multiLevelType w:val="hybridMultilevel"/>
    <w:tmpl w:val="4D16B7E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32A52761"/>
    <w:multiLevelType w:val="hybridMultilevel"/>
    <w:tmpl w:val="DBAAB5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5954135"/>
    <w:multiLevelType w:val="hybridMultilevel"/>
    <w:tmpl w:val="E304A7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6A930A3"/>
    <w:multiLevelType w:val="hybridMultilevel"/>
    <w:tmpl w:val="540A922A"/>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6AF271D"/>
    <w:multiLevelType w:val="hybridMultilevel"/>
    <w:tmpl w:val="2F96D8D0"/>
    <w:lvl w:ilvl="0" w:tplc="38E294AC">
      <w:start w:val="1"/>
      <w:numFmt w:val="decimal"/>
      <w:pStyle w:val="ListanumeracjaMF"/>
      <w:lvlText w:val="%1."/>
      <w:lvlJc w:val="left"/>
      <w:pPr>
        <w:ind w:left="720" w:hanging="360"/>
      </w:pPr>
    </w:lvl>
    <w:lvl w:ilvl="1" w:tplc="F3D24FE0" w:tentative="1">
      <w:start w:val="1"/>
      <w:numFmt w:val="lowerLetter"/>
      <w:lvlText w:val="%2."/>
      <w:lvlJc w:val="left"/>
      <w:pPr>
        <w:ind w:left="1440" w:hanging="360"/>
      </w:pPr>
    </w:lvl>
    <w:lvl w:ilvl="2" w:tplc="C730284C" w:tentative="1">
      <w:start w:val="1"/>
      <w:numFmt w:val="lowerRoman"/>
      <w:lvlText w:val="%3."/>
      <w:lvlJc w:val="right"/>
      <w:pPr>
        <w:ind w:left="2160" w:hanging="180"/>
      </w:pPr>
    </w:lvl>
    <w:lvl w:ilvl="3" w:tplc="419C6140" w:tentative="1">
      <w:start w:val="1"/>
      <w:numFmt w:val="decimal"/>
      <w:lvlText w:val="%4."/>
      <w:lvlJc w:val="left"/>
      <w:pPr>
        <w:ind w:left="2880" w:hanging="360"/>
      </w:pPr>
    </w:lvl>
    <w:lvl w:ilvl="4" w:tplc="5ECE8CF6" w:tentative="1">
      <w:start w:val="1"/>
      <w:numFmt w:val="lowerLetter"/>
      <w:lvlText w:val="%5."/>
      <w:lvlJc w:val="left"/>
      <w:pPr>
        <w:ind w:left="3600" w:hanging="360"/>
      </w:pPr>
    </w:lvl>
    <w:lvl w:ilvl="5" w:tplc="5000604C" w:tentative="1">
      <w:start w:val="1"/>
      <w:numFmt w:val="lowerRoman"/>
      <w:lvlText w:val="%6."/>
      <w:lvlJc w:val="right"/>
      <w:pPr>
        <w:ind w:left="4320" w:hanging="180"/>
      </w:pPr>
    </w:lvl>
    <w:lvl w:ilvl="6" w:tplc="BCDCFD94" w:tentative="1">
      <w:start w:val="1"/>
      <w:numFmt w:val="decimal"/>
      <w:lvlText w:val="%7."/>
      <w:lvlJc w:val="left"/>
      <w:pPr>
        <w:ind w:left="5040" w:hanging="360"/>
      </w:pPr>
    </w:lvl>
    <w:lvl w:ilvl="7" w:tplc="D1181A0A" w:tentative="1">
      <w:start w:val="1"/>
      <w:numFmt w:val="lowerLetter"/>
      <w:lvlText w:val="%8."/>
      <w:lvlJc w:val="left"/>
      <w:pPr>
        <w:ind w:left="5760" w:hanging="360"/>
      </w:pPr>
    </w:lvl>
    <w:lvl w:ilvl="8" w:tplc="630661F4" w:tentative="1">
      <w:start w:val="1"/>
      <w:numFmt w:val="lowerRoman"/>
      <w:lvlText w:val="%9."/>
      <w:lvlJc w:val="right"/>
      <w:pPr>
        <w:ind w:left="6480" w:hanging="180"/>
      </w:pPr>
    </w:lvl>
  </w:abstractNum>
  <w:abstractNum w:abstractNumId="36" w15:restartNumberingAfterBreak="0">
    <w:nsid w:val="38154216"/>
    <w:multiLevelType w:val="hybridMultilevel"/>
    <w:tmpl w:val="D2660EE4"/>
    <w:lvl w:ilvl="0" w:tplc="04150011">
      <w:start w:val="1"/>
      <w:numFmt w:val="decimal"/>
      <w:lvlText w:val="%1)"/>
      <w:lvlJc w:val="left"/>
      <w:pPr>
        <w:ind w:left="720" w:hanging="360"/>
      </w:pPr>
    </w:lvl>
    <w:lvl w:ilvl="1" w:tplc="C1A43FD8">
      <w:start w:val="250"/>
      <w:numFmt w:val="bullet"/>
      <w:lvlText w:val=""/>
      <w:lvlJc w:val="left"/>
      <w:pPr>
        <w:ind w:left="1440" w:hanging="360"/>
      </w:pPr>
      <w:rPr>
        <w:rFonts w:ascii="Symbol" w:eastAsia="Times New Roman"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0D75D1"/>
    <w:multiLevelType w:val="hybridMultilevel"/>
    <w:tmpl w:val="D0D0516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9BB6AE0"/>
    <w:multiLevelType w:val="hybridMultilevel"/>
    <w:tmpl w:val="E6D65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BE50287"/>
    <w:multiLevelType w:val="hybridMultilevel"/>
    <w:tmpl w:val="378AFC32"/>
    <w:lvl w:ilvl="0" w:tplc="04150019">
      <w:start w:val="1"/>
      <w:numFmt w:val="lowerLetter"/>
      <w:lvlText w:val="%1."/>
      <w:lvlJc w:val="left"/>
      <w:pPr>
        <w:ind w:left="780" w:hanging="360"/>
      </w:pPr>
    </w:lvl>
    <w:lvl w:ilvl="1" w:tplc="308CF976">
      <w:start w:val="1"/>
      <w:numFmt w:val="decimal"/>
      <w:lvlText w:val="%2)"/>
      <w:lvlJc w:val="left"/>
      <w:pPr>
        <w:ind w:left="1500" w:hanging="360"/>
      </w:pPr>
      <w:rPr>
        <w:rFonts w:hint="default"/>
      </w:r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0" w15:restartNumberingAfterBreak="0">
    <w:nsid w:val="3CAB278C"/>
    <w:multiLevelType w:val="hybridMultilevel"/>
    <w:tmpl w:val="C73A7F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EDD76A9"/>
    <w:multiLevelType w:val="hybridMultilevel"/>
    <w:tmpl w:val="E6ACDE4E"/>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903C9B"/>
    <w:multiLevelType w:val="hybridMultilevel"/>
    <w:tmpl w:val="D04687BC"/>
    <w:lvl w:ilvl="0" w:tplc="DE5C192E">
      <w:start w:val="1"/>
      <w:numFmt w:val="decimal"/>
      <w:lvlText w:val="%1)"/>
      <w:lvlJc w:val="left"/>
      <w:pPr>
        <w:ind w:left="72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03901FA"/>
    <w:multiLevelType w:val="hybridMultilevel"/>
    <w:tmpl w:val="ACACCBD8"/>
    <w:lvl w:ilvl="0" w:tplc="71B48F3C">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43D508DE"/>
    <w:multiLevelType w:val="hybridMultilevel"/>
    <w:tmpl w:val="983CB664"/>
    <w:lvl w:ilvl="0" w:tplc="76CE16B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5" w15:restartNumberingAfterBreak="0">
    <w:nsid w:val="45B56C35"/>
    <w:multiLevelType w:val="hybridMultilevel"/>
    <w:tmpl w:val="52085782"/>
    <w:lvl w:ilvl="0" w:tplc="04150017">
      <w:start w:val="1"/>
      <w:numFmt w:val="lowerLetter"/>
      <w:lvlText w:val="%1)"/>
      <w:lvlJc w:val="left"/>
      <w:pPr>
        <w:ind w:left="783" w:hanging="360"/>
      </w:pPr>
    </w:lvl>
    <w:lvl w:ilvl="1" w:tplc="B3FAFB1E">
      <w:start w:val="1"/>
      <w:numFmt w:val="decimal"/>
      <w:lvlText w:val="%2)"/>
      <w:lvlJc w:val="left"/>
      <w:pPr>
        <w:ind w:left="1503" w:hanging="360"/>
      </w:pPr>
      <w:rPr>
        <w:rFonts w:hint="default"/>
      </w:r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46" w15:restartNumberingAfterBreak="0">
    <w:nsid w:val="46834310"/>
    <w:multiLevelType w:val="hybridMultilevel"/>
    <w:tmpl w:val="4D22AA6A"/>
    <w:lvl w:ilvl="0" w:tplc="04150011">
      <w:start w:val="1"/>
      <w:numFmt w:val="decimal"/>
      <w:lvlText w:val="%1)"/>
      <w:lvlJc w:val="left"/>
      <w:pPr>
        <w:ind w:left="720" w:hanging="360"/>
      </w:pPr>
    </w:lvl>
    <w:lvl w:ilvl="1" w:tplc="C1A43FD8">
      <w:start w:val="250"/>
      <w:numFmt w:val="bullet"/>
      <w:lvlText w:val=""/>
      <w:lvlJc w:val="left"/>
      <w:pPr>
        <w:ind w:left="1440" w:hanging="360"/>
      </w:pPr>
      <w:rPr>
        <w:rFonts w:ascii="Symbol" w:eastAsia="Times New Roman"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6BD7628"/>
    <w:multiLevelType w:val="hybridMultilevel"/>
    <w:tmpl w:val="4F8863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8F35CF4"/>
    <w:multiLevelType w:val="hybridMultilevel"/>
    <w:tmpl w:val="C4C66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9091C06"/>
    <w:multiLevelType w:val="hybridMultilevel"/>
    <w:tmpl w:val="8D0EC05C"/>
    <w:lvl w:ilvl="0" w:tplc="DE12F1E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0" w15:restartNumberingAfterBreak="0">
    <w:nsid w:val="4A3F1220"/>
    <w:multiLevelType w:val="hybridMultilevel"/>
    <w:tmpl w:val="0142B2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B0A7D18"/>
    <w:multiLevelType w:val="hybridMultilevel"/>
    <w:tmpl w:val="9348AFDC"/>
    <w:lvl w:ilvl="0" w:tplc="04150011">
      <w:start w:val="1"/>
      <w:numFmt w:val="decimal"/>
      <w:lvlText w:val="%1)"/>
      <w:lvlJc w:val="left"/>
      <w:pPr>
        <w:ind w:left="720" w:hanging="360"/>
      </w:pPr>
    </w:lvl>
    <w:lvl w:ilvl="1" w:tplc="0415000D">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C0C231C"/>
    <w:multiLevelType w:val="hybridMultilevel"/>
    <w:tmpl w:val="745672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D631882"/>
    <w:multiLevelType w:val="hybridMultilevel"/>
    <w:tmpl w:val="F1A4C24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EE8551C"/>
    <w:multiLevelType w:val="hybridMultilevel"/>
    <w:tmpl w:val="D2F6B1D6"/>
    <w:lvl w:ilvl="0" w:tplc="04150001">
      <w:start w:val="1"/>
      <w:numFmt w:val="bullet"/>
      <w:lvlText w:val=""/>
      <w:lvlJc w:val="left"/>
      <w:pPr>
        <w:ind w:left="1198" w:hanging="360"/>
      </w:pPr>
      <w:rPr>
        <w:rFonts w:ascii="Symbol" w:hAnsi="Symbol" w:hint="default"/>
      </w:rPr>
    </w:lvl>
    <w:lvl w:ilvl="1" w:tplc="04150003" w:tentative="1">
      <w:start w:val="1"/>
      <w:numFmt w:val="bullet"/>
      <w:lvlText w:val="o"/>
      <w:lvlJc w:val="left"/>
      <w:pPr>
        <w:ind w:left="1918" w:hanging="360"/>
      </w:pPr>
      <w:rPr>
        <w:rFonts w:ascii="Courier New" w:hAnsi="Courier New" w:cs="Courier New" w:hint="default"/>
      </w:rPr>
    </w:lvl>
    <w:lvl w:ilvl="2" w:tplc="04150005" w:tentative="1">
      <w:start w:val="1"/>
      <w:numFmt w:val="bullet"/>
      <w:lvlText w:val=""/>
      <w:lvlJc w:val="left"/>
      <w:pPr>
        <w:ind w:left="2638" w:hanging="360"/>
      </w:pPr>
      <w:rPr>
        <w:rFonts w:ascii="Wingdings" w:hAnsi="Wingdings" w:hint="default"/>
      </w:rPr>
    </w:lvl>
    <w:lvl w:ilvl="3" w:tplc="04150001" w:tentative="1">
      <w:start w:val="1"/>
      <w:numFmt w:val="bullet"/>
      <w:lvlText w:val=""/>
      <w:lvlJc w:val="left"/>
      <w:pPr>
        <w:ind w:left="3358" w:hanging="360"/>
      </w:pPr>
      <w:rPr>
        <w:rFonts w:ascii="Symbol" w:hAnsi="Symbol" w:hint="default"/>
      </w:rPr>
    </w:lvl>
    <w:lvl w:ilvl="4" w:tplc="04150003" w:tentative="1">
      <w:start w:val="1"/>
      <w:numFmt w:val="bullet"/>
      <w:lvlText w:val="o"/>
      <w:lvlJc w:val="left"/>
      <w:pPr>
        <w:ind w:left="4078" w:hanging="360"/>
      </w:pPr>
      <w:rPr>
        <w:rFonts w:ascii="Courier New" w:hAnsi="Courier New" w:cs="Courier New" w:hint="default"/>
      </w:rPr>
    </w:lvl>
    <w:lvl w:ilvl="5" w:tplc="04150005" w:tentative="1">
      <w:start w:val="1"/>
      <w:numFmt w:val="bullet"/>
      <w:lvlText w:val=""/>
      <w:lvlJc w:val="left"/>
      <w:pPr>
        <w:ind w:left="4798" w:hanging="360"/>
      </w:pPr>
      <w:rPr>
        <w:rFonts w:ascii="Wingdings" w:hAnsi="Wingdings" w:hint="default"/>
      </w:rPr>
    </w:lvl>
    <w:lvl w:ilvl="6" w:tplc="04150001" w:tentative="1">
      <w:start w:val="1"/>
      <w:numFmt w:val="bullet"/>
      <w:lvlText w:val=""/>
      <w:lvlJc w:val="left"/>
      <w:pPr>
        <w:ind w:left="5518" w:hanging="360"/>
      </w:pPr>
      <w:rPr>
        <w:rFonts w:ascii="Symbol" w:hAnsi="Symbol" w:hint="default"/>
      </w:rPr>
    </w:lvl>
    <w:lvl w:ilvl="7" w:tplc="04150003" w:tentative="1">
      <w:start w:val="1"/>
      <w:numFmt w:val="bullet"/>
      <w:lvlText w:val="o"/>
      <w:lvlJc w:val="left"/>
      <w:pPr>
        <w:ind w:left="6238" w:hanging="360"/>
      </w:pPr>
      <w:rPr>
        <w:rFonts w:ascii="Courier New" w:hAnsi="Courier New" w:cs="Courier New" w:hint="default"/>
      </w:rPr>
    </w:lvl>
    <w:lvl w:ilvl="8" w:tplc="04150005" w:tentative="1">
      <w:start w:val="1"/>
      <w:numFmt w:val="bullet"/>
      <w:lvlText w:val=""/>
      <w:lvlJc w:val="left"/>
      <w:pPr>
        <w:ind w:left="6958" w:hanging="360"/>
      </w:pPr>
      <w:rPr>
        <w:rFonts w:ascii="Wingdings" w:hAnsi="Wingdings" w:hint="default"/>
      </w:rPr>
    </w:lvl>
  </w:abstractNum>
  <w:abstractNum w:abstractNumId="55" w15:restartNumberingAfterBreak="0">
    <w:nsid w:val="4FAE19B1"/>
    <w:multiLevelType w:val="hybridMultilevel"/>
    <w:tmpl w:val="67E2E562"/>
    <w:lvl w:ilvl="0" w:tplc="DE12F1E8">
      <w:start w:val="1"/>
      <w:numFmt w:val="bullet"/>
      <w:lvlText w:val="-"/>
      <w:lvlJc w:val="left"/>
      <w:pPr>
        <w:ind w:left="780" w:hanging="360"/>
      </w:pPr>
      <w:rPr>
        <w:rFonts w:ascii="Courier New" w:hAnsi="Courier New" w:hint="default"/>
      </w:rPr>
    </w:lvl>
    <w:lvl w:ilvl="1" w:tplc="308CF976">
      <w:start w:val="1"/>
      <w:numFmt w:val="decimal"/>
      <w:lvlText w:val="%2)"/>
      <w:lvlJc w:val="left"/>
      <w:pPr>
        <w:ind w:left="1500" w:hanging="360"/>
      </w:pPr>
      <w:rPr>
        <w:rFonts w:hint="default"/>
      </w:r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6" w15:restartNumberingAfterBreak="0">
    <w:nsid w:val="50436F67"/>
    <w:multiLevelType w:val="hybridMultilevel"/>
    <w:tmpl w:val="B70AB072"/>
    <w:lvl w:ilvl="0" w:tplc="842AAB5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7" w15:restartNumberingAfterBreak="0">
    <w:nsid w:val="51377BCF"/>
    <w:multiLevelType w:val="hybridMultilevel"/>
    <w:tmpl w:val="0CC09974"/>
    <w:lvl w:ilvl="0" w:tplc="DE12F1E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1560BC0"/>
    <w:multiLevelType w:val="hybridMultilevel"/>
    <w:tmpl w:val="D2C8BCBE"/>
    <w:lvl w:ilvl="0" w:tplc="DE12F1E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1E7557E"/>
    <w:multiLevelType w:val="hybridMultilevel"/>
    <w:tmpl w:val="06B217B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27062A0"/>
    <w:multiLevelType w:val="hybridMultilevel"/>
    <w:tmpl w:val="51D85D70"/>
    <w:lvl w:ilvl="0" w:tplc="0415000B">
      <w:start w:val="1"/>
      <w:numFmt w:val="bullet"/>
      <w:lvlText w:val=""/>
      <w:lvlJc w:val="left"/>
      <w:pPr>
        <w:ind w:left="771" w:hanging="360"/>
      </w:pPr>
      <w:rPr>
        <w:rFonts w:ascii="Wingdings" w:hAnsi="Wingdings" w:hint="default"/>
      </w:rPr>
    </w:lvl>
    <w:lvl w:ilvl="1" w:tplc="04150003" w:tentative="1">
      <w:start w:val="1"/>
      <w:numFmt w:val="bullet"/>
      <w:lvlText w:val="o"/>
      <w:lvlJc w:val="left"/>
      <w:pPr>
        <w:ind w:left="1491" w:hanging="360"/>
      </w:pPr>
      <w:rPr>
        <w:rFonts w:ascii="Courier New" w:hAnsi="Courier New" w:cs="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cs="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cs="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61" w15:restartNumberingAfterBreak="0">
    <w:nsid w:val="54C66DA6"/>
    <w:multiLevelType w:val="hybridMultilevel"/>
    <w:tmpl w:val="9FAC010C"/>
    <w:lvl w:ilvl="0" w:tplc="DE12F1E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8D23DF9"/>
    <w:multiLevelType w:val="hybridMultilevel"/>
    <w:tmpl w:val="64E65AFC"/>
    <w:lvl w:ilvl="0" w:tplc="DE12F1E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A09677A"/>
    <w:multiLevelType w:val="hybridMultilevel"/>
    <w:tmpl w:val="1F58DE9C"/>
    <w:lvl w:ilvl="0" w:tplc="DE12F1E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B8C6579"/>
    <w:multiLevelType w:val="hybridMultilevel"/>
    <w:tmpl w:val="4A3656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C376ED7"/>
    <w:multiLevelType w:val="hybridMultilevel"/>
    <w:tmpl w:val="1CDA1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CF72A38"/>
    <w:multiLevelType w:val="hybridMultilevel"/>
    <w:tmpl w:val="DE18B7D4"/>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D7B7827"/>
    <w:multiLevelType w:val="hybridMultilevel"/>
    <w:tmpl w:val="4D22AA6A"/>
    <w:lvl w:ilvl="0" w:tplc="04150011">
      <w:start w:val="1"/>
      <w:numFmt w:val="decimal"/>
      <w:lvlText w:val="%1)"/>
      <w:lvlJc w:val="left"/>
      <w:pPr>
        <w:ind w:left="720" w:hanging="360"/>
      </w:pPr>
    </w:lvl>
    <w:lvl w:ilvl="1" w:tplc="C1A43FD8">
      <w:start w:val="250"/>
      <w:numFmt w:val="bullet"/>
      <w:lvlText w:val=""/>
      <w:lvlJc w:val="left"/>
      <w:pPr>
        <w:ind w:left="1440" w:hanging="360"/>
      </w:pPr>
      <w:rPr>
        <w:rFonts w:ascii="Symbol" w:eastAsia="Times New Roman"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E5A7AE4"/>
    <w:multiLevelType w:val="hybridMultilevel"/>
    <w:tmpl w:val="BF2C6B28"/>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F2C7561"/>
    <w:multiLevelType w:val="hybridMultilevel"/>
    <w:tmpl w:val="A6185B4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2B20B74"/>
    <w:multiLevelType w:val="hybridMultilevel"/>
    <w:tmpl w:val="14A69B0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5677EF6"/>
    <w:multiLevelType w:val="hybridMultilevel"/>
    <w:tmpl w:val="0F06BB8E"/>
    <w:lvl w:ilvl="0" w:tplc="04150011">
      <w:start w:val="1"/>
      <w:numFmt w:val="decimal"/>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5924D86"/>
    <w:multiLevelType w:val="hybridMultilevel"/>
    <w:tmpl w:val="BD9A65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7F7297F"/>
    <w:multiLevelType w:val="hybridMultilevel"/>
    <w:tmpl w:val="D2660EE4"/>
    <w:lvl w:ilvl="0" w:tplc="04150011">
      <w:start w:val="1"/>
      <w:numFmt w:val="decimal"/>
      <w:lvlText w:val="%1)"/>
      <w:lvlJc w:val="left"/>
      <w:pPr>
        <w:ind w:left="720" w:hanging="360"/>
      </w:pPr>
    </w:lvl>
    <w:lvl w:ilvl="1" w:tplc="C1A43FD8">
      <w:start w:val="250"/>
      <w:numFmt w:val="bullet"/>
      <w:lvlText w:val=""/>
      <w:lvlJc w:val="left"/>
      <w:pPr>
        <w:ind w:left="1440" w:hanging="360"/>
      </w:pPr>
      <w:rPr>
        <w:rFonts w:ascii="Symbol" w:eastAsia="Times New Roman"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91400F3"/>
    <w:multiLevelType w:val="hybridMultilevel"/>
    <w:tmpl w:val="2DB8670C"/>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696464D3"/>
    <w:multiLevelType w:val="hybridMultilevel"/>
    <w:tmpl w:val="DF36B2CA"/>
    <w:lvl w:ilvl="0" w:tplc="76CE16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9716903"/>
    <w:multiLevelType w:val="hybridMultilevel"/>
    <w:tmpl w:val="B3B808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BE15FE1"/>
    <w:multiLevelType w:val="hybridMultilevel"/>
    <w:tmpl w:val="0032DF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E2970D9"/>
    <w:multiLevelType w:val="hybridMultilevel"/>
    <w:tmpl w:val="C242D190"/>
    <w:lvl w:ilvl="0" w:tplc="71B48F3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9" w15:restartNumberingAfterBreak="0">
    <w:nsid w:val="6F211865"/>
    <w:multiLevelType w:val="hybridMultilevel"/>
    <w:tmpl w:val="8556D83C"/>
    <w:lvl w:ilvl="0" w:tplc="0415000F">
      <w:start w:val="1"/>
      <w:numFmt w:val="decimal"/>
      <w:lvlText w:val="%1."/>
      <w:lvlJc w:val="left"/>
      <w:pPr>
        <w:ind w:left="780" w:hanging="360"/>
      </w:pPr>
    </w:lvl>
    <w:lvl w:ilvl="1" w:tplc="308CF976">
      <w:start w:val="1"/>
      <w:numFmt w:val="decimal"/>
      <w:lvlText w:val="%2)"/>
      <w:lvlJc w:val="left"/>
      <w:pPr>
        <w:ind w:left="1500" w:hanging="360"/>
      </w:pPr>
      <w:rPr>
        <w:rFonts w:hint="default"/>
      </w:r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0" w15:restartNumberingAfterBreak="0">
    <w:nsid w:val="7044288A"/>
    <w:multiLevelType w:val="hybridMultilevel"/>
    <w:tmpl w:val="F69C4F6E"/>
    <w:lvl w:ilvl="0" w:tplc="0415000B">
      <w:start w:val="1"/>
      <w:numFmt w:val="bullet"/>
      <w:lvlText w:val=""/>
      <w:lvlJc w:val="left"/>
      <w:pPr>
        <w:ind w:left="780" w:hanging="360"/>
      </w:pPr>
      <w:rPr>
        <w:rFonts w:ascii="Wingdings" w:hAnsi="Wingdings" w:hint="default"/>
      </w:rPr>
    </w:lvl>
    <w:lvl w:ilvl="1" w:tplc="308CF976">
      <w:start w:val="1"/>
      <w:numFmt w:val="decimal"/>
      <w:lvlText w:val="%2)"/>
      <w:lvlJc w:val="left"/>
      <w:pPr>
        <w:ind w:left="1500" w:hanging="360"/>
      </w:pPr>
      <w:rPr>
        <w:rFonts w:hint="default"/>
      </w:r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1" w15:restartNumberingAfterBreak="0">
    <w:nsid w:val="719A73CE"/>
    <w:multiLevelType w:val="hybridMultilevel"/>
    <w:tmpl w:val="13644CA4"/>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2" w15:restartNumberingAfterBreak="0">
    <w:nsid w:val="75813187"/>
    <w:multiLevelType w:val="hybridMultilevel"/>
    <w:tmpl w:val="9BDCAED6"/>
    <w:lvl w:ilvl="0" w:tplc="842AAB5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3" w15:restartNumberingAfterBreak="0">
    <w:nsid w:val="77D156EB"/>
    <w:multiLevelType w:val="hybridMultilevel"/>
    <w:tmpl w:val="906E5D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46896592">
    <w:abstractNumId w:val="35"/>
  </w:num>
  <w:num w:numId="2" w16cid:durableId="1296839454">
    <w:abstractNumId w:val="19"/>
  </w:num>
  <w:num w:numId="3" w16cid:durableId="2091655394">
    <w:abstractNumId w:val="38"/>
  </w:num>
  <w:num w:numId="4" w16cid:durableId="1470439059">
    <w:abstractNumId w:val="67"/>
  </w:num>
  <w:num w:numId="5" w16cid:durableId="1654946430">
    <w:abstractNumId w:val="45"/>
  </w:num>
  <w:num w:numId="6" w16cid:durableId="20993230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054110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93585656">
    <w:abstractNumId w:val="43"/>
  </w:num>
  <w:num w:numId="9" w16cid:durableId="1001815083">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1601122">
    <w:abstractNumId w:val="78"/>
  </w:num>
  <w:num w:numId="11" w16cid:durableId="847066603">
    <w:abstractNumId w:val="28"/>
  </w:num>
  <w:num w:numId="12" w16cid:durableId="112284941">
    <w:abstractNumId w:val="74"/>
  </w:num>
  <w:num w:numId="13" w16cid:durableId="552933173">
    <w:abstractNumId w:val="10"/>
  </w:num>
  <w:num w:numId="14" w16cid:durableId="1680232995">
    <w:abstractNumId w:val="56"/>
  </w:num>
  <w:num w:numId="15" w16cid:durableId="674579878">
    <w:abstractNumId w:val="20"/>
  </w:num>
  <w:num w:numId="16" w16cid:durableId="1593322893">
    <w:abstractNumId w:val="82"/>
  </w:num>
  <w:num w:numId="17" w16cid:durableId="1179849444">
    <w:abstractNumId w:val="9"/>
  </w:num>
  <w:num w:numId="18" w16cid:durableId="676076254">
    <w:abstractNumId w:val="68"/>
  </w:num>
  <w:num w:numId="19" w16cid:durableId="868955146">
    <w:abstractNumId w:val="22"/>
  </w:num>
  <w:num w:numId="20" w16cid:durableId="1495411824">
    <w:abstractNumId w:val="34"/>
  </w:num>
  <w:num w:numId="21" w16cid:durableId="963001144">
    <w:abstractNumId w:val="42"/>
  </w:num>
  <w:num w:numId="22" w16cid:durableId="1328288354">
    <w:abstractNumId w:val="36"/>
  </w:num>
  <w:num w:numId="23" w16cid:durableId="1460564333">
    <w:abstractNumId w:val="46"/>
  </w:num>
  <w:num w:numId="24" w16cid:durableId="587930534">
    <w:abstractNumId w:val="2"/>
  </w:num>
  <w:num w:numId="25" w16cid:durableId="805011344">
    <w:abstractNumId w:val="23"/>
  </w:num>
  <w:num w:numId="26" w16cid:durableId="1651012990">
    <w:abstractNumId w:val="76"/>
  </w:num>
  <w:num w:numId="27" w16cid:durableId="722948960">
    <w:abstractNumId w:val="47"/>
  </w:num>
  <w:num w:numId="28" w16cid:durableId="1723211355">
    <w:abstractNumId w:val="50"/>
  </w:num>
  <w:num w:numId="29" w16cid:durableId="1185290978">
    <w:abstractNumId w:val="65"/>
  </w:num>
  <w:num w:numId="30" w16cid:durableId="1798336765">
    <w:abstractNumId w:val="3"/>
  </w:num>
  <w:num w:numId="31" w16cid:durableId="1862161639">
    <w:abstractNumId w:val="4"/>
  </w:num>
  <w:num w:numId="32" w16cid:durableId="903103787">
    <w:abstractNumId w:val="73"/>
  </w:num>
  <w:num w:numId="33" w16cid:durableId="551769373">
    <w:abstractNumId w:val="60"/>
  </w:num>
  <w:num w:numId="34" w16cid:durableId="1165046301">
    <w:abstractNumId w:val="54"/>
  </w:num>
  <w:num w:numId="35" w16cid:durableId="746535240">
    <w:abstractNumId w:val="75"/>
  </w:num>
  <w:num w:numId="36" w16cid:durableId="505947140">
    <w:abstractNumId w:val="44"/>
  </w:num>
  <w:num w:numId="37" w16cid:durableId="2016614215">
    <w:abstractNumId w:val="37"/>
  </w:num>
  <w:num w:numId="38" w16cid:durableId="403842643">
    <w:abstractNumId w:val="33"/>
  </w:num>
  <w:num w:numId="39" w16cid:durableId="542136875">
    <w:abstractNumId w:val="72"/>
  </w:num>
  <w:num w:numId="40" w16cid:durableId="912856323">
    <w:abstractNumId w:val="5"/>
  </w:num>
  <w:num w:numId="41" w16cid:durableId="1845631312">
    <w:abstractNumId w:val="12"/>
  </w:num>
  <w:num w:numId="42" w16cid:durableId="2058317871">
    <w:abstractNumId w:val="40"/>
  </w:num>
  <w:num w:numId="43" w16cid:durableId="951714414">
    <w:abstractNumId w:val="14"/>
  </w:num>
  <w:num w:numId="44" w16cid:durableId="979113487">
    <w:abstractNumId w:val="0"/>
  </w:num>
  <w:num w:numId="45" w16cid:durableId="213855773">
    <w:abstractNumId w:val="6"/>
  </w:num>
  <w:num w:numId="46" w16cid:durableId="1842502444">
    <w:abstractNumId w:val="13"/>
  </w:num>
  <w:num w:numId="47" w16cid:durableId="995916577">
    <w:abstractNumId w:val="52"/>
  </w:num>
  <w:num w:numId="48" w16cid:durableId="760414339">
    <w:abstractNumId w:val="39"/>
  </w:num>
  <w:num w:numId="49" w16cid:durableId="1459908421">
    <w:abstractNumId w:val="80"/>
  </w:num>
  <w:num w:numId="50" w16cid:durableId="2142378434">
    <w:abstractNumId w:val="55"/>
  </w:num>
  <w:num w:numId="51" w16cid:durableId="1055658413">
    <w:abstractNumId w:val="81"/>
  </w:num>
  <w:num w:numId="52" w16cid:durableId="1713730110">
    <w:abstractNumId w:val="49"/>
  </w:num>
  <w:num w:numId="53" w16cid:durableId="1635020549">
    <w:abstractNumId w:val="62"/>
  </w:num>
  <w:num w:numId="54" w16cid:durableId="8875367">
    <w:abstractNumId w:val="1"/>
  </w:num>
  <w:num w:numId="55" w16cid:durableId="1719429955">
    <w:abstractNumId w:val="63"/>
  </w:num>
  <w:num w:numId="56" w16cid:durableId="798719618">
    <w:abstractNumId w:val="58"/>
  </w:num>
  <w:num w:numId="57" w16cid:durableId="224680850">
    <w:abstractNumId w:val="61"/>
  </w:num>
  <w:num w:numId="58" w16cid:durableId="401371321">
    <w:abstractNumId w:val="30"/>
  </w:num>
  <w:num w:numId="59" w16cid:durableId="895824483">
    <w:abstractNumId w:val="29"/>
  </w:num>
  <w:num w:numId="60" w16cid:durableId="1492720911">
    <w:abstractNumId w:val="57"/>
  </w:num>
  <w:num w:numId="61" w16cid:durableId="359087051">
    <w:abstractNumId w:val="7"/>
  </w:num>
  <w:num w:numId="62" w16cid:durableId="1802645737">
    <w:abstractNumId w:val="71"/>
  </w:num>
  <w:num w:numId="63" w16cid:durableId="664743572">
    <w:abstractNumId w:val="51"/>
  </w:num>
  <w:num w:numId="64" w16cid:durableId="1371150556">
    <w:abstractNumId w:val="15"/>
  </w:num>
  <w:num w:numId="65" w16cid:durableId="1650593337">
    <w:abstractNumId w:val="16"/>
  </w:num>
  <w:num w:numId="66" w16cid:durableId="1682775233">
    <w:abstractNumId w:val="66"/>
  </w:num>
  <w:num w:numId="67" w16cid:durableId="152451589">
    <w:abstractNumId w:val="59"/>
  </w:num>
  <w:num w:numId="68" w16cid:durableId="1724406660">
    <w:abstractNumId w:val="25"/>
  </w:num>
  <w:num w:numId="69" w16cid:durableId="1539852868">
    <w:abstractNumId w:val="26"/>
  </w:num>
  <w:num w:numId="70" w16cid:durableId="809245283">
    <w:abstractNumId w:val="70"/>
  </w:num>
  <w:num w:numId="71" w16cid:durableId="238101102">
    <w:abstractNumId w:val="69"/>
  </w:num>
  <w:num w:numId="72" w16cid:durableId="648897628">
    <w:abstractNumId w:val="32"/>
  </w:num>
  <w:num w:numId="73" w16cid:durableId="964041868">
    <w:abstractNumId w:val="11"/>
  </w:num>
  <w:num w:numId="74" w16cid:durableId="318075113">
    <w:abstractNumId w:val="53"/>
  </w:num>
  <w:num w:numId="75" w16cid:durableId="2029747969">
    <w:abstractNumId w:val="21"/>
  </w:num>
  <w:num w:numId="76" w16cid:durableId="7260751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81737891">
    <w:abstractNumId w:val="24"/>
  </w:num>
  <w:num w:numId="78" w16cid:durableId="678385732">
    <w:abstractNumId w:val="48"/>
  </w:num>
  <w:num w:numId="79" w16cid:durableId="2132018607">
    <w:abstractNumId w:val="64"/>
  </w:num>
  <w:num w:numId="80" w16cid:durableId="636229011">
    <w:abstractNumId w:val="83"/>
  </w:num>
  <w:num w:numId="81" w16cid:durableId="557088196">
    <w:abstractNumId w:val="8"/>
  </w:num>
  <w:num w:numId="82" w16cid:durableId="616572066">
    <w:abstractNumId w:val="18"/>
  </w:num>
  <w:num w:numId="83" w16cid:durableId="1928925295">
    <w:abstractNumId w:val="17"/>
  </w:num>
  <w:num w:numId="84" w16cid:durableId="588655249">
    <w:abstractNumId w:val="77"/>
  </w:num>
  <w:num w:numId="85" w16cid:durableId="1433894101">
    <w:abstractNumId w:val="4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EE8"/>
    <w:rsid w:val="0000199D"/>
    <w:rsid w:val="00002198"/>
    <w:rsid w:val="000022C1"/>
    <w:rsid w:val="00002B61"/>
    <w:rsid w:val="000037C8"/>
    <w:rsid w:val="00003A76"/>
    <w:rsid w:val="00003ADD"/>
    <w:rsid w:val="00004646"/>
    <w:rsid w:val="00004696"/>
    <w:rsid w:val="00004A60"/>
    <w:rsid w:val="00004D67"/>
    <w:rsid w:val="00004EE0"/>
    <w:rsid w:val="00005358"/>
    <w:rsid w:val="0000648A"/>
    <w:rsid w:val="00006DD6"/>
    <w:rsid w:val="0000786D"/>
    <w:rsid w:val="0000791A"/>
    <w:rsid w:val="00007F68"/>
    <w:rsid w:val="00010FBA"/>
    <w:rsid w:val="00011146"/>
    <w:rsid w:val="000124A8"/>
    <w:rsid w:val="000129D8"/>
    <w:rsid w:val="00012A78"/>
    <w:rsid w:val="00012F12"/>
    <w:rsid w:val="0001333F"/>
    <w:rsid w:val="00013694"/>
    <w:rsid w:val="0001373D"/>
    <w:rsid w:val="00013AD3"/>
    <w:rsid w:val="00015F2A"/>
    <w:rsid w:val="000160F7"/>
    <w:rsid w:val="000161CA"/>
    <w:rsid w:val="000166D9"/>
    <w:rsid w:val="00017613"/>
    <w:rsid w:val="00017BBA"/>
    <w:rsid w:val="000201C0"/>
    <w:rsid w:val="00021D2D"/>
    <w:rsid w:val="00021EE1"/>
    <w:rsid w:val="00025561"/>
    <w:rsid w:val="0002696D"/>
    <w:rsid w:val="00026A7A"/>
    <w:rsid w:val="00027588"/>
    <w:rsid w:val="0003093C"/>
    <w:rsid w:val="000314FD"/>
    <w:rsid w:val="000320AD"/>
    <w:rsid w:val="00032133"/>
    <w:rsid w:val="000337B3"/>
    <w:rsid w:val="000341F7"/>
    <w:rsid w:val="00035739"/>
    <w:rsid w:val="00036990"/>
    <w:rsid w:val="0003785B"/>
    <w:rsid w:val="00037C6D"/>
    <w:rsid w:val="00040075"/>
    <w:rsid w:val="0004251D"/>
    <w:rsid w:val="0004355F"/>
    <w:rsid w:val="00043D70"/>
    <w:rsid w:val="000440B9"/>
    <w:rsid w:val="00044448"/>
    <w:rsid w:val="0004524F"/>
    <w:rsid w:val="000456C1"/>
    <w:rsid w:val="000463D4"/>
    <w:rsid w:val="0004689C"/>
    <w:rsid w:val="00047B18"/>
    <w:rsid w:val="0005045A"/>
    <w:rsid w:val="000504C5"/>
    <w:rsid w:val="00050548"/>
    <w:rsid w:val="00050BED"/>
    <w:rsid w:val="0005104C"/>
    <w:rsid w:val="000510FC"/>
    <w:rsid w:val="00052D18"/>
    <w:rsid w:val="00052FDC"/>
    <w:rsid w:val="000535C1"/>
    <w:rsid w:val="00053AF7"/>
    <w:rsid w:val="00053C8D"/>
    <w:rsid w:val="00054138"/>
    <w:rsid w:val="00054216"/>
    <w:rsid w:val="00054225"/>
    <w:rsid w:val="000549BF"/>
    <w:rsid w:val="00054ECA"/>
    <w:rsid w:val="00055156"/>
    <w:rsid w:val="00056BF2"/>
    <w:rsid w:val="00057619"/>
    <w:rsid w:val="00057672"/>
    <w:rsid w:val="00057878"/>
    <w:rsid w:val="00060495"/>
    <w:rsid w:val="0006080E"/>
    <w:rsid w:val="000609FA"/>
    <w:rsid w:val="00061CC0"/>
    <w:rsid w:val="000646DE"/>
    <w:rsid w:val="000653EE"/>
    <w:rsid w:val="00065746"/>
    <w:rsid w:val="000659FB"/>
    <w:rsid w:val="000663C4"/>
    <w:rsid w:val="000665E5"/>
    <w:rsid w:val="0006663A"/>
    <w:rsid w:val="0006678B"/>
    <w:rsid w:val="00067983"/>
    <w:rsid w:val="000724DC"/>
    <w:rsid w:val="00072A67"/>
    <w:rsid w:val="00072AE4"/>
    <w:rsid w:val="00072E50"/>
    <w:rsid w:val="00073244"/>
    <w:rsid w:val="00074A30"/>
    <w:rsid w:val="00074DDE"/>
    <w:rsid w:val="00074E07"/>
    <w:rsid w:val="00074F4F"/>
    <w:rsid w:val="0008090D"/>
    <w:rsid w:val="00080C9B"/>
    <w:rsid w:val="00081774"/>
    <w:rsid w:val="000822EC"/>
    <w:rsid w:val="000824E4"/>
    <w:rsid w:val="0008256A"/>
    <w:rsid w:val="000828A0"/>
    <w:rsid w:val="00083771"/>
    <w:rsid w:val="00083A97"/>
    <w:rsid w:val="00084335"/>
    <w:rsid w:val="00084605"/>
    <w:rsid w:val="00084BBD"/>
    <w:rsid w:val="00085AAA"/>
    <w:rsid w:val="0008798A"/>
    <w:rsid w:val="00090B56"/>
    <w:rsid w:val="00091780"/>
    <w:rsid w:val="00092CED"/>
    <w:rsid w:val="0009322F"/>
    <w:rsid w:val="000932CF"/>
    <w:rsid w:val="00094A21"/>
    <w:rsid w:val="00094ECB"/>
    <w:rsid w:val="000952BF"/>
    <w:rsid w:val="00095E46"/>
    <w:rsid w:val="00096390"/>
    <w:rsid w:val="00096919"/>
    <w:rsid w:val="000A0C3E"/>
    <w:rsid w:val="000A0C59"/>
    <w:rsid w:val="000A1541"/>
    <w:rsid w:val="000A2467"/>
    <w:rsid w:val="000A2CAC"/>
    <w:rsid w:val="000A2F60"/>
    <w:rsid w:val="000A30F0"/>
    <w:rsid w:val="000A3194"/>
    <w:rsid w:val="000A41C1"/>
    <w:rsid w:val="000A573E"/>
    <w:rsid w:val="000B1E3B"/>
    <w:rsid w:val="000B4B62"/>
    <w:rsid w:val="000B4EB5"/>
    <w:rsid w:val="000B53CE"/>
    <w:rsid w:val="000B5C76"/>
    <w:rsid w:val="000B633C"/>
    <w:rsid w:val="000B6D0E"/>
    <w:rsid w:val="000C1E04"/>
    <w:rsid w:val="000C22AD"/>
    <w:rsid w:val="000C26B1"/>
    <w:rsid w:val="000C3CAE"/>
    <w:rsid w:val="000C3CF4"/>
    <w:rsid w:val="000C3FF7"/>
    <w:rsid w:val="000C4B0C"/>
    <w:rsid w:val="000C4EDB"/>
    <w:rsid w:val="000C7970"/>
    <w:rsid w:val="000D1760"/>
    <w:rsid w:val="000D345E"/>
    <w:rsid w:val="000D6940"/>
    <w:rsid w:val="000D69B9"/>
    <w:rsid w:val="000D729B"/>
    <w:rsid w:val="000D7483"/>
    <w:rsid w:val="000E0087"/>
    <w:rsid w:val="000E1845"/>
    <w:rsid w:val="000E2F5F"/>
    <w:rsid w:val="000E36EA"/>
    <w:rsid w:val="000E4408"/>
    <w:rsid w:val="000E440E"/>
    <w:rsid w:val="000E4B8D"/>
    <w:rsid w:val="000E6200"/>
    <w:rsid w:val="000E6797"/>
    <w:rsid w:val="000E7E3D"/>
    <w:rsid w:val="000F24A2"/>
    <w:rsid w:val="000F24A4"/>
    <w:rsid w:val="000F2681"/>
    <w:rsid w:val="000F2C2D"/>
    <w:rsid w:val="000F343C"/>
    <w:rsid w:val="000F3716"/>
    <w:rsid w:val="000F42E0"/>
    <w:rsid w:val="000F4D8C"/>
    <w:rsid w:val="000F52A3"/>
    <w:rsid w:val="000F7138"/>
    <w:rsid w:val="000F74F6"/>
    <w:rsid w:val="0010168C"/>
    <w:rsid w:val="0010249A"/>
    <w:rsid w:val="001025AE"/>
    <w:rsid w:val="00103371"/>
    <w:rsid w:val="00103A0E"/>
    <w:rsid w:val="00104C0C"/>
    <w:rsid w:val="00105F70"/>
    <w:rsid w:val="001075E1"/>
    <w:rsid w:val="00110683"/>
    <w:rsid w:val="001108E2"/>
    <w:rsid w:val="00110F34"/>
    <w:rsid w:val="00112D1B"/>
    <w:rsid w:val="00113640"/>
    <w:rsid w:val="001139CF"/>
    <w:rsid w:val="00114BD4"/>
    <w:rsid w:val="00114D15"/>
    <w:rsid w:val="00115418"/>
    <w:rsid w:val="001158A8"/>
    <w:rsid w:val="0011625F"/>
    <w:rsid w:val="00117654"/>
    <w:rsid w:val="00120106"/>
    <w:rsid w:val="001210F7"/>
    <w:rsid w:val="00122FE4"/>
    <w:rsid w:val="001235DF"/>
    <w:rsid w:val="00125321"/>
    <w:rsid w:val="0012541C"/>
    <w:rsid w:val="001255F3"/>
    <w:rsid w:val="00125674"/>
    <w:rsid w:val="001261A4"/>
    <w:rsid w:val="001269BF"/>
    <w:rsid w:val="00127777"/>
    <w:rsid w:val="001277F2"/>
    <w:rsid w:val="00130BA8"/>
    <w:rsid w:val="00130DB5"/>
    <w:rsid w:val="00133CE6"/>
    <w:rsid w:val="0013607E"/>
    <w:rsid w:val="0013618B"/>
    <w:rsid w:val="0013700C"/>
    <w:rsid w:val="001371B2"/>
    <w:rsid w:val="0013732A"/>
    <w:rsid w:val="001375E6"/>
    <w:rsid w:val="00137B14"/>
    <w:rsid w:val="00137BCE"/>
    <w:rsid w:val="00137DA7"/>
    <w:rsid w:val="00137E6B"/>
    <w:rsid w:val="001406DA"/>
    <w:rsid w:val="00140919"/>
    <w:rsid w:val="00141185"/>
    <w:rsid w:val="001411BE"/>
    <w:rsid w:val="001420C5"/>
    <w:rsid w:val="00142CFA"/>
    <w:rsid w:val="00143457"/>
    <w:rsid w:val="001437A4"/>
    <w:rsid w:val="00143A82"/>
    <w:rsid w:val="001442D8"/>
    <w:rsid w:val="001447B2"/>
    <w:rsid w:val="001461DE"/>
    <w:rsid w:val="00146217"/>
    <w:rsid w:val="00146A4D"/>
    <w:rsid w:val="00147601"/>
    <w:rsid w:val="001509BE"/>
    <w:rsid w:val="001519AF"/>
    <w:rsid w:val="00152676"/>
    <w:rsid w:val="00152903"/>
    <w:rsid w:val="00153871"/>
    <w:rsid w:val="00153B7D"/>
    <w:rsid w:val="00155582"/>
    <w:rsid w:val="0015606B"/>
    <w:rsid w:val="00156DDB"/>
    <w:rsid w:val="00157339"/>
    <w:rsid w:val="001573FC"/>
    <w:rsid w:val="00157A10"/>
    <w:rsid w:val="00160318"/>
    <w:rsid w:val="00160BC2"/>
    <w:rsid w:val="00160CAC"/>
    <w:rsid w:val="00161B23"/>
    <w:rsid w:val="001625EB"/>
    <w:rsid w:val="00163819"/>
    <w:rsid w:val="001639AB"/>
    <w:rsid w:val="00164285"/>
    <w:rsid w:val="00164943"/>
    <w:rsid w:val="00164E5E"/>
    <w:rsid w:val="00164FD5"/>
    <w:rsid w:val="00165BA7"/>
    <w:rsid w:val="00165CE2"/>
    <w:rsid w:val="001675D6"/>
    <w:rsid w:val="00167849"/>
    <w:rsid w:val="00167A14"/>
    <w:rsid w:val="00171437"/>
    <w:rsid w:val="001735B0"/>
    <w:rsid w:val="001736B3"/>
    <w:rsid w:val="00174293"/>
    <w:rsid w:val="001745FC"/>
    <w:rsid w:val="0017487E"/>
    <w:rsid w:val="001756FE"/>
    <w:rsid w:val="00175CBE"/>
    <w:rsid w:val="001800DF"/>
    <w:rsid w:val="00182FC1"/>
    <w:rsid w:val="00183611"/>
    <w:rsid w:val="00183B37"/>
    <w:rsid w:val="00183BC0"/>
    <w:rsid w:val="00184F63"/>
    <w:rsid w:val="00185C54"/>
    <w:rsid w:val="0019012B"/>
    <w:rsid w:val="0019032C"/>
    <w:rsid w:val="0019104F"/>
    <w:rsid w:val="00191599"/>
    <w:rsid w:val="00191BC6"/>
    <w:rsid w:val="00192B05"/>
    <w:rsid w:val="00192DF0"/>
    <w:rsid w:val="00193097"/>
    <w:rsid w:val="001941A7"/>
    <w:rsid w:val="00195EE8"/>
    <w:rsid w:val="001960D2"/>
    <w:rsid w:val="00196E92"/>
    <w:rsid w:val="001970CD"/>
    <w:rsid w:val="00197DA0"/>
    <w:rsid w:val="001A1E57"/>
    <w:rsid w:val="001A283C"/>
    <w:rsid w:val="001A3042"/>
    <w:rsid w:val="001A3146"/>
    <w:rsid w:val="001A39B8"/>
    <w:rsid w:val="001A3A07"/>
    <w:rsid w:val="001A3EF3"/>
    <w:rsid w:val="001A51F4"/>
    <w:rsid w:val="001A528C"/>
    <w:rsid w:val="001A5FEC"/>
    <w:rsid w:val="001A69D2"/>
    <w:rsid w:val="001A77EC"/>
    <w:rsid w:val="001A7AA5"/>
    <w:rsid w:val="001B1AA6"/>
    <w:rsid w:val="001B1FBC"/>
    <w:rsid w:val="001B4FBD"/>
    <w:rsid w:val="001B5028"/>
    <w:rsid w:val="001B5491"/>
    <w:rsid w:val="001B5614"/>
    <w:rsid w:val="001B59E6"/>
    <w:rsid w:val="001B5EA6"/>
    <w:rsid w:val="001B60EE"/>
    <w:rsid w:val="001B6CAC"/>
    <w:rsid w:val="001B71EF"/>
    <w:rsid w:val="001B7203"/>
    <w:rsid w:val="001B77BE"/>
    <w:rsid w:val="001C0D41"/>
    <w:rsid w:val="001C0FA1"/>
    <w:rsid w:val="001C11EF"/>
    <w:rsid w:val="001C1993"/>
    <w:rsid w:val="001C1A5E"/>
    <w:rsid w:val="001C20A7"/>
    <w:rsid w:val="001C28F0"/>
    <w:rsid w:val="001C391A"/>
    <w:rsid w:val="001C39FF"/>
    <w:rsid w:val="001C4587"/>
    <w:rsid w:val="001C4F44"/>
    <w:rsid w:val="001C53A5"/>
    <w:rsid w:val="001C7B4B"/>
    <w:rsid w:val="001D0591"/>
    <w:rsid w:val="001D19CF"/>
    <w:rsid w:val="001D1CAB"/>
    <w:rsid w:val="001D1E85"/>
    <w:rsid w:val="001D2C60"/>
    <w:rsid w:val="001D3702"/>
    <w:rsid w:val="001D380D"/>
    <w:rsid w:val="001D4504"/>
    <w:rsid w:val="001D5468"/>
    <w:rsid w:val="001D5AFA"/>
    <w:rsid w:val="001D60CA"/>
    <w:rsid w:val="001D7237"/>
    <w:rsid w:val="001E12E0"/>
    <w:rsid w:val="001E170E"/>
    <w:rsid w:val="001E17F9"/>
    <w:rsid w:val="001E1D2D"/>
    <w:rsid w:val="001E1E25"/>
    <w:rsid w:val="001E26B9"/>
    <w:rsid w:val="001E3221"/>
    <w:rsid w:val="001E3F5E"/>
    <w:rsid w:val="001E471E"/>
    <w:rsid w:val="001E5264"/>
    <w:rsid w:val="001E53B1"/>
    <w:rsid w:val="001E53B8"/>
    <w:rsid w:val="001E658B"/>
    <w:rsid w:val="001E6BE9"/>
    <w:rsid w:val="001E7858"/>
    <w:rsid w:val="001F01F7"/>
    <w:rsid w:val="001F0D62"/>
    <w:rsid w:val="001F1D49"/>
    <w:rsid w:val="001F209D"/>
    <w:rsid w:val="001F371F"/>
    <w:rsid w:val="001F3AFF"/>
    <w:rsid w:val="001F3C8B"/>
    <w:rsid w:val="001F43F6"/>
    <w:rsid w:val="001F5F77"/>
    <w:rsid w:val="001F72EC"/>
    <w:rsid w:val="001F7F2D"/>
    <w:rsid w:val="0020078E"/>
    <w:rsid w:val="00200E3A"/>
    <w:rsid w:val="002011A6"/>
    <w:rsid w:val="002017B9"/>
    <w:rsid w:val="00201B5A"/>
    <w:rsid w:val="00201CF1"/>
    <w:rsid w:val="00201E7E"/>
    <w:rsid w:val="00202374"/>
    <w:rsid w:val="00206621"/>
    <w:rsid w:val="00207147"/>
    <w:rsid w:val="00207654"/>
    <w:rsid w:val="00207A75"/>
    <w:rsid w:val="00207BE1"/>
    <w:rsid w:val="00207D61"/>
    <w:rsid w:val="00207F5B"/>
    <w:rsid w:val="00210E2F"/>
    <w:rsid w:val="00210ED9"/>
    <w:rsid w:val="00211361"/>
    <w:rsid w:val="00212467"/>
    <w:rsid w:val="002127DD"/>
    <w:rsid w:val="00212FDE"/>
    <w:rsid w:val="0021528C"/>
    <w:rsid w:val="0021640D"/>
    <w:rsid w:val="002169ED"/>
    <w:rsid w:val="00216BBD"/>
    <w:rsid w:val="00217444"/>
    <w:rsid w:val="00217597"/>
    <w:rsid w:val="00220B4B"/>
    <w:rsid w:val="00224895"/>
    <w:rsid w:val="00224ECC"/>
    <w:rsid w:val="002264D4"/>
    <w:rsid w:val="00226777"/>
    <w:rsid w:val="00230535"/>
    <w:rsid w:val="00230A37"/>
    <w:rsid w:val="0023248E"/>
    <w:rsid w:val="00234D97"/>
    <w:rsid w:val="00235F94"/>
    <w:rsid w:val="00236886"/>
    <w:rsid w:val="00237B61"/>
    <w:rsid w:val="00240AEF"/>
    <w:rsid w:val="00241675"/>
    <w:rsid w:val="00242021"/>
    <w:rsid w:val="002430F6"/>
    <w:rsid w:val="00244310"/>
    <w:rsid w:val="00244FE4"/>
    <w:rsid w:val="002454E4"/>
    <w:rsid w:val="00245607"/>
    <w:rsid w:val="00245728"/>
    <w:rsid w:val="00245AA1"/>
    <w:rsid w:val="00247C64"/>
    <w:rsid w:val="00252FE8"/>
    <w:rsid w:val="002536F1"/>
    <w:rsid w:val="00254E76"/>
    <w:rsid w:val="00255C46"/>
    <w:rsid w:val="00255E09"/>
    <w:rsid w:val="002569D1"/>
    <w:rsid w:val="00260626"/>
    <w:rsid w:val="00260C17"/>
    <w:rsid w:val="00261246"/>
    <w:rsid w:val="00261443"/>
    <w:rsid w:val="00261C64"/>
    <w:rsid w:val="00262DAC"/>
    <w:rsid w:val="00263268"/>
    <w:rsid w:val="00264380"/>
    <w:rsid w:val="002650DE"/>
    <w:rsid w:val="00265FDA"/>
    <w:rsid w:val="00266607"/>
    <w:rsid w:val="00267D33"/>
    <w:rsid w:val="00267DC8"/>
    <w:rsid w:val="002707D2"/>
    <w:rsid w:val="00270D34"/>
    <w:rsid w:val="00271787"/>
    <w:rsid w:val="0027334C"/>
    <w:rsid w:val="002733BB"/>
    <w:rsid w:val="00273DAA"/>
    <w:rsid w:val="00274639"/>
    <w:rsid w:val="00274B12"/>
    <w:rsid w:val="0027548A"/>
    <w:rsid w:val="00275F9C"/>
    <w:rsid w:val="00276119"/>
    <w:rsid w:val="002770A4"/>
    <w:rsid w:val="0027744D"/>
    <w:rsid w:val="002779B5"/>
    <w:rsid w:val="00280834"/>
    <w:rsid w:val="002810F8"/>
    <w:rsid w:val="00281109"/>
    <w:rsid w:val="00281147"/>
    <w:rsid w:val="002814B3"/>
    <w:rsid w:val="00281CA1"/>
    <w:rsid w:val="0028208A"/>
    <w:rsid w:val="00282A4B"/>
    <w:rsid w:val="002840BA"/>
    <w:rsid w:val="0028418A"/>
    <w:rsid w:val="00284413"/>
    <w:rsid w:val="00285CE6"/>
    <w:rsid w:val="00287D92"/>
    <w:rsid w:val="002906A8"/>
    <w:rsid w:val="00290C48"/>
    <w:rsid w:val="00291592"/>
    <w:rsid w:val="002916A9"/>
    <w:rsid w:val="00291A1D"/>
    <w:rsid w:val="00291C0F"/>
    <w:rsid w:val="00291CF2"/>
    <w:rsid w:val="00291D2E"/>
    <w:rsid w:val="00291D70"/>
    <w:rsid w:val="00293619"/>
    <w:rsid w:val="00293723"/>
    <w:rsid w:val="002944D7"/>
    <w:rsid w:val="00294502"/>
    <w:rsid w:val="002949FE"/>
    <w:rsid w:val="002951C8"/>
    <w:rsid w:val="00296F99"/>
    <w:rsid w:val="00297ED4"/>
    <w:rsid w:val="00297FEC"/>
    <w:rsid w:val="002A09E4"/>
    <w:rsid w:val="002A101C"/>
    <w:rsid w:val="002A200B"/>
    <w:rsid w:val="002A27AA"/>
    <w:rsid w:val="002A3235"/>
    <w:rsid w:val="002A3521"/>
    <w:rsid w:val="002A4282"/>
    <w:rsid w:val="002A52CE"/>
    <w:rsid w:val="002A779B"/>
    <w:rsid w:val="002A7CC9"/>
    <w:rsid w:val="002B11C7"/>
    <w:rsid w:val="002B38F1"/>
    <w:rsid w:val="002B3A0D"/>
    <w:rsid w:val="002B670B"/>
    <w:rsid w:val="002B6752"/>
    <w:rsid w:val="002B7696"/>
    <w:rsid w:val="002C065B"/>
    <w:rsid w:val="002C1B97"/>
    <w:rsid w:val="002C1BE5"/>
    <w:rsid w:val="002C25A9"/>
    <w:rsid w:val="002C477E"/>
    <w:rsid w:val="002C4A9A"/>
    <w:rsid w:val="002C4D0E"/>
    <w:rsid w:val="002C524E"/>
    <w:rsid w:val="002C5744"/>
    <w:rsid w:val="002C6101"/>
    <w:rsid w:val="002D0CF1"/>
    <w:rsid w:val="002D0FDC"/>
    <w:rsid w:val="002D1877"/>
    <w:rsid w:val="002D26E9"/>
    <w:rsid w:val="002D3A27"/>
    <w:rsid w:val="002D3D73"/>
    <w:rsid w:val="002D400D"/>
    <w:rsid w:val="002D412C"/>
    <w:rsid w:val="002D4AE8"/>
    <w:rsid w:val="002D4F8F"/>
    <w:rsid w:val="002D4FFC"/>
    <w:rsid w:val="002D56CB"/>
    <w:rsid w:val="002D5B4A"/>
    <w:rsid w:val="002D6622"/>
    <w:rsid w:val="002D68F1"/>
    <w:rsid w:val="002D6D78"/>
    <w:rsid w:val="002D7B0C"/>
    <w:rsid w:val="002E0D6E"/>
    <w:rsid w:val="002E25AD"/>
    <w:rsid w:val="002E2980"/>
    <w:rsid w:val="002E360B"/>
    <w:rsid w:val="002E4B38"/>
    <w:rsid w:val="002E55C2"/>
    <w:rsid w:val="002E5CC1"/>
    <w:rsid w:val="002E7256"/>
    <w:rsid w:val="002E7AA9"/>
    <w:rsid w:val="002E7EDD"/>
    <w:rsid w:val="002F122C"/>
    <w:rsid w:val="002F1304"/>
    <w:rsid w:val="002F17E2"/>
    <w:rsid w:val="002F1B36"/>
    <w:rsid w:val="002F35AC"/>
    <w:rsid w:val="002F3825"/>
    <w:rsid w:val="002F3849"/>
    <w:rsid w:val="002F42F9"/>
    <w:rsid w:val="002F76E6"/>
    <w:rsid w:val="002F7DD6"/>
    <w:rsid w:val="003005E7"/>
    <w:rsid w:val="003006D5"/>
    <w:rsid w:val="0030144F"/>
    <w:rsid w:val="003028CF"/>
    <w:rsid w:val="00302B3F"/>
    <w:rsid w:val="00302C9B"/>
    <w:rsid w:val="00304EC6"/>
    <w:rsid w:val="00304F4D"/>
    <w:rsid w:val="00305990"/>
    <w:rsid w:val="00305A9B"/>
    <w:rsid w:val="00306245"/>
    <w:rsid w:val="003065A3"/>
    <w:rsid w:val="00307EC1"/>
    <w:rsid w:val="00311CFF"/>
    <w:rsid w:val="00313604"/>
    <w:rsid w:val="00313942"/>
    <w:rsid w:val="0031419C"/>
    <w:rsid w:val="0031434A"/>
    <w:rsid w:val="0031467F"/>
    <w:rsid w:val="00314B38"/>
    <w:rsid w:val="00314E58"/>
    <w:rsid w:val="00315243"/>
    <w:rsid w:val="00315928"/>
    <w:rsid w:val="003167A3"/>
    <w:rsid w:val="00320A6C"/>
    <w:rsid w:val="00320EFE"/>
    <w:rsid w:val="0032263C"/>
    <w:rsid w:val="00322D85"/>
    <w:rsid w:val="003230AD"/>
    <w:rsid w:val="0032347E"/>
    <w:rsid w:val="00325164"/>
    <w:rsid w:val="00325785"/>
    <w:rsid w:val="003257C7"/>
    <w:rsid w:val="00325C67"/>
    <w:rsid w:val="0032670C"/>
    <w:rsid w:val="003304B6"/>
    <w:rsid w:val="003320C4"/>
    <w:rsid w:val="0033216D"/>
    <w:rsid w:val="003321C3"/>
    <w:rsid w:val="003324C5"/>
    <w:rsid w:val="003327DC"/>
    <w:rsid w:val="00332F25"/>
    <w:rsid w:val="00332F42"/>
    <w:rsid w:val="00334156"/>
    <w:rsid w:val="00334D70"/>
    <w:rsid w:val="00336190"/>
    <w:rsid w:val="003367C1"/>
    <w:rsid w:val="003369E4"/>
    <w:rsid w:val="00336F7F"/>
    <w:rsid w:val="0033703E"/>
    <w:rsid w:val="00337BD8"/>
    <w:rsid w:val="00337E57"/>
    <w:rsid w:val="003418C5"/>
    <w:rsid w:val="00343112"/>
    <w:rsid w:val="003440F4"/>
    <w:rsid w:val="0034560F"/>
    <w:rsid w:val="00345724"/>
    <w:rsid w:val="00345754"/>
    <w:rsid w:val="00346350"/>
    <w:rsid w:val="0034739B"/>
    <w:rsid w:val="00347504"/>
    <w:rsid w:val="00350187"/>
    <w:rsid w:val="00350E57"/>
    <w:rsid w:val="00351B56"/>
    <w:rsid w:val="00351C34"/>
    <w:rsid w:val="00352599"/>
    <w:rsid w:val="0035294C"/>
    <w:rsid w:val="003530CE"/>
    <w:rsid w:val="00353C7B"/>
    <w:rsid w:val="003543A0"/>
    <w:rsid w:val="00354468"/>
    <w:rsid w:val="00354694"/>
    <w:rsid w:val="00355A05"/>
    <w:rsid w:val="003565D1"/>
    <w:rsid w:val="00357337"/>
    <w:rsid w:val="00360AEB"/>
    <w:rsid w:val="00360C9B"/>
    <w:rsid w:val="00362C3F"/>
    <w:rsid w:val="00362EAD"/>
    <w:rsid w:val="0036378F"/>
    <w:rsid w:val="00363C60"/>
    <w:rsid w:val="00363FD5"/>
    <w:rsid w:val="00364447"/>
    <w:rsid w:val="00365270"/>
    <w:rsid w:val="0036548D"/>
    <w:rsid w:val="00365B52"/>
    <w:rsid w:val="00366400"/>
    <w:rsid w:val="00366B36"/>
    <w:rsid w:val="00366F99"/>
    <w:rsid w:val="00367AF7"/>
    <w:rsid w:val="00370273"/>
    <w:rsid w:val="00370825"/>
    <w:rsid w:val="00371F87"/>
    <w:rsid w:val="0037244F"/>
    <w:rsid w:val="00372D38"/>
    <w:rsid w:val="00373431"/>
    <w:rsid w:val="003740EA"/>
    <w:rsid w:val="00374E1F"/>
    <w:rsid w:val="00375096"/>
    <w:rsid w:val="003754FA"/>
    <w:rsid w:val="00375716"/>
    <w:rsid w:val="00375A27"/>
    <w:rsid w:val="003769E6"/>
    <w:rsid w:val="00376AC6"/>
    <w:rsid w:val="003771BF"/>
    <w:rsid w:val="00380BEC"/>
    <w:rsid w:val="0038168F"/>
    <w:rsid w:val="003817F7"/>
    <w:rsid w:val="00382049"/>
    <w:rsid w:val="0038260F"/>
    <w:rsid w:val="00382999"/>
    <w:rsid w:val="0038374A"/>
    <w:rsid w:val="00383C69"/>
    <w:rsid w:val="00383FB8"/>
    <w:rsid w:val="00384AE0"/>
    <w:rsid w:val="00385D3F"/>
    <w:rsid w:val="003868A2"/>
    <w:rsid w:val="003875E8"/>
    <w:rsid w:val="003878FF"/>
    <w:rsid w:val="003879AA"/>
    <w:rsid w:val="00387AD2"/>
    <w:rsid w:val="00392FE8"/>
    <w:rsid w:val="00393200"/>
    <w:rsid w:val="00394206"/>
    <w:rsid w:val="0039457D"/>
    <w:rsid w:val="00394F94"/>
    <w:rsid w:val="00395475"/>
    <w:rsid w:val="0039593F"/>
    <w:rsid w:val="00396B00"/>
    <w:rsid w:val="00396F87"/>
    <w:rsid w:val="00397862"/>
    <w:rsid w:val="003A01A3"/>
    <w:rsid w:val="003A0695"/>
    <w:rsid w:val="003A087E"/>
    <w:rsid w:val="003A0962"/>
    <w:rsid w:val="003A1346"/>
    <w:rsid w:val="003A1726"/>
    <w:rsid w:val="003A2FAD"/>
    <w:rsid w:val="003A3065"/>
    <w:rsid w:val="003A3237"/>
    <w:rsid w:val="003A4184"/>
    <w:rsid w:val="003A41C8"/>
    <w:rsid w:val="003A4A1F"/>
    <w:rsid w:val="003A507B"/>
    <w:rsid w:val="003A5265"/>
    <w:rsid w:val="003A54C2"/>
    <w:rsid w:val="003A68CC"/>
    <w:rsid w:val="003A6E05"/>
    <w:rsid w:val="003A71C1"/>
    <w:rsid w:val="003A7471"/>
    <w:rsid w:val="003B0044"/>
    <w:rsid w:val="003B043A"/>
    <w:rsid w:val="003B0A1C"/>
    <w:rsid w:val="003B0E7A"/>
    <w:rsid w:val="003B2BB5"/>
    <w:rsid w:val="003B321D"/>
    <w:rsid w:val="003B3564"/>
    <w:rsid w:val="003B4D9D"/>
    <w:rsid w:val="003B6893"/>
    <w:rsid w:val="003B789C"/>
    <w:rsid w:val="003C065C"/>
    <w:rsid w:val="003C130F"/>
    <w:rsid w:val="003C13A2"/>
    <w:rsid w:val="003C194E"/>
    <w:rsid w:val="003C1A8B"/>
    <w:rsid w:val="003C1C0F"/>
    <w:rsid w:val="003C1DC8"/>
    <w:rsid w:val="003C1F79"/>
    <w:rsid w:val="003C260E"/>
    <w:rsid w:val="003C43C2"/>
    <w:rsid w:val="003C5010"/>
    <w:rsid w:val="003C50E9"/>
    <w:rsid w:val="003C5486"/>
    <w:rsid w:val="003C5883"/>
    <w:rsid w:val="003C599F"/>
    <w:rsid w:val="003C5B50"/>
    <w:rsid w:val="003D0203"/>
    <w:rsid w:val="003D1623"/>
    <w:rsid w:val="003D1BFE"/>
    <w:rsid w:val="003D1FD2"/>
    <w:rsid w:val="003D2B1F"/>
    <w:rsid w:val="003D4394"/>
    <w:rsid w:val="003D601C"/>
    <w:rsid w:val="003D66CD"/>
    <w:rsid w:val="003D69CE"/>
    <w:rsid w:val="003D6D58"/>
    <w:rsid w:val="003D714A"/>
    <w:rsid w:val="003D719B"/>
    <w:rsid w:val="003D7BF6"/>
    <w:rsid w:val="003E1576"/>
    <w:rsid w:val="003E2A01"/>
    <w:rsid w:val="003E2C49"/>
    <w:rsid w:val="003E5B7D"/>
    <w:rsid w:val="003E6536"/>
    <w:rsid w:val="003E6817"/>
    <w:rsid w:val="003E72B5"/>
    <w:rsid w:val="003E73F6"/>
    <w:rsid w:val="003F009D"/>
    <w:rsid w:val="003F0C69"/>
    <w:rsid w:val="003F118E"/>
    <w:rsid w:val="003F1227"/>
    <w:rsid w:val="003F2722"/>
    <w:rsid w:val="003F2ECE"/>
    <w:rsid w:val="003F5393"/>
    <w:rsid w:val="003F6751"/>
    <w:rsid w:val="003F74E8"/>
    <w:rsid w:val="003F7BFC"/>
    <w:rsid w:val="003F7FEC"/>
    <w:rsid w:val="00400D70"/>
    <w:rsid w:val="00401E14"/>
    <w:rsid w:val="00402D95"/>
    <w:rsid w:val="00404AC4"/>
    <w:rsid w:val="00405140"/>
    <w:rsid w:val="0040544B"/>
    <w:rsid w:val="00405C34"/>
    <w:rsid w:val="004060D2"/>
    <w:rsid w:val="004063B1"/>
    <w:rsid w:val="00411C44"/>
    <w:rsid w:val="00412522"/>
    <w:rsid w:val="004125BE"/>
    <w:rsid w:val="00412684"/>
    <w:rsid w:val="00412921"/>
    <w:rsid w:val="00412CDC"/>
    <w:rsid w:val="004138BA"/>
    <w:rsid w:val="00413A18"/>
    <w:rsid w:val="00413DD5"/>
    <w:rsid w:val="00415647"/>
    <w:rsid w:val="00421F00"/>
    <w:rsid w:val="00423906"/>
    <w:rsid w:val="004240E7"/>
    <w:rsid w:val="004250DF"/>
    <w:rsid w:val="0042532E"/>
    <w:rsid w:val="00425A80"/>
    <w:rsid w:val="00426AE0"/>
    <w:rsid w:val="00427557"/>
    <w:rsid w:val="0043070A"/>
    <w:rsid w:val="00430BF3"/>
    <w:rsid w:val="00430EA7"/>
    <w:rsid w:val="00431ACB"/>
    <w:rsid w:val="00431C95"/>
    <w:rsid w:val="00432D8A"/>
    <w:rsid w:val="00433563"/>
    <w:rsid w:val="00433B40"/>
    <w:rsid w:val="00433DF2"/>
    <w:rsid w:val="00434878"/>
    <w:rsid w:val="0043493E"/>
    <w:rsid w:val="004351C0"/>
    <w:rsid w:val="00435577"/>
    <w:rsid w:val="00436554"/>
    <w:rsid w:val="00436A8B"/>
    <w:rsid w:val="0044100B"/>
    <w:rsid w:val="004418EB"/>
    <w:rsid w:val="00443584"/>
    <w:rsid w:val="004438CC"/>
    <w:rsid w:val="00443D92"/>
    <w:rsid w:val="0044443F"/>
    <w:rsid w:val="004446F0"/>
    <w:rsid w:val="00447391"/>
    <w:rsid w:val="0044740A"/>
    <w:rsid w:val="0044795D"/>
    <w:rsid w:val="0045189A"/>
    <w:rsid w:val="00452DDC"/>
    <w:rsid w:val="00453A2F"/>
    <w:rsid w:val="0045459F"/>
    <w:rsid w:val="004552DC"/>
    <w:rsid w:val="004556AF"/>
    <w:rsid w:val="004556B4"/>
    <w:rsid w:val="004560D0"/>
    <w:rsid w:val="004572E2"/>
    <w:rsid w:val="0046063F"/>
    <w:rsid w:val="004619B3"/>
    <w:rsid w:val="00462CFC"/>
    <w:rsid w:val="00462E6F"/>
    <w:rsid w:val="00463155"/>
    <w:rsid w:val="004640EA"/>
    <w:rsid w:val="0046413E"/>
    <w:rsid w:val="0046442B"/>
    <w:rsid w:val="004653B3"/>
    <w:rsid w:val="004657D2"/>
    <w:rsid w:val="00466F10"/>
    <w:rsid w:val="00467434"/>
    <w:rsid w:val="0046778C"/>
    <w:rsid w:val="0047112D"/>
    <w:rsid w:val="00471CE4"/>
    <w:rsid w:val="00472596"/>
    <w:rsid w:val="00472E1C"/>
    <w:rsid w:val="004730D1"/>
    <w:rsid w:val="00473B34"/>
    <w:rsid w:val="00474539"/>
    <w:rsid w:val="00475C79"/>
    <w:rsid w:val="00475D05"/>
    <w:rsid w:val="00475F34"/>
    <w:rsid w:val="00475F68"/>
    <w:rsid w:val="0047727A"/>
    <w:rsid w:val="00477D1D"/>
    <w:rsid w:val="004802A7"/>
    <w:rsid w:val="00480C50"/>
    <w:rsid w:val="0048161E"/>
    <w:rsid w:val="00481F21"/>
    <w:rsid w:val="004822F3"/>
    <w:rsid w:val="0048276E"/>
    <w:rsid w:val="00482DB5"/>
    <w:rsid w:val="00482F53"/>
    <w:rsid w:val="00483106"/>
    <w:rsid w:val="00483F76"/>
    <w:rsid w:val="00484649"/>
    <w:rsid w:val="0048553C"/>
    <w:rsid w:val="00485F45"/>
    <w:rsid w:val="00486CB2"/>
    <w:rsid w:val="00487E3F"/>
    <w:rsid w:val="00490160"/>
    <w:rsid w:val="004901D9"/>
    <w:rsid w:val="0049058E"/>
    <w:rsid w:val="00491C17"/>
    <w:rsid w:val="00492D07"/>
    <w:rsid w:val="00493216"/>
    <w:rsid w:val="00493B9B"/>
    <w:rsid w:val="004946B4"/>
    <w:rsid w:val="004958E7"/>
    <w:rsid w:val="00495F54"/>
    <w:rsid w:val="00496376"/>
    <w:rsid w:val="0049704E"/>
    <w:rsid w:val="0049743C"/>
    <w:rsid w:val="004978A2"/>
    <w:rsid w:val="004A0036"/>
    <w:rsid w:val="004A1D27"/>
    <w:rsid w:val="004A2977"/>
    <w:rsid w:val="004A2FB6"/>
    <w:rsid w:val="004A3378"/>
    <w:rsid w:val="004A3C3B"/>
    <w:rsid w:val="004A4147"/>
    <w:rsid w:val="004A500B"/>
    <w:rsid w:val="004A650B"/>
    <w:rsid w:val="004A6C4E"/>
    <w:rsid w:val="004B00EE"/>
    <w:rsid w:val="004B0DCD"/>
    <w:rsid w:val="004B0F92"/>
    <w:rsid w:val="004B14CF"/>
    <w:rsid w:val="004B1F03"/>
    <w:rsid w:val="004B32AA"/>
    <w:rsid w:val="004B4C6E"/>
    <w:rsid w:val="004B4C78"/>
    <w:rsid w:val="004B50BE"/>
    <w:rsid w:val="004B5890"/>
    <w:rsid w:val="004B6CC3"/>
    <w:rsid w:val="004B6FB1"/>
    <w:rsid w:val="004C041F"/>
    <w:rsid w:val="004C172B"/>
    <w:rsid w:val="004C1ED4"/>
    <w:rsid w:val="004C3463"/>
    <w:rsid w:val="004C4294"/>
    <w:rsid w:val="004C44E4"/>
    <w:rsid w:val="004C454D"/>
    <w:rsid w:val="004C47BB"/>
    <w:rsid w:val="004C5648"/>
    <w:rsid w:val="004C608F"/>
    <w:rsid w:val="004C60CF"/>
    <w:rsid w:val="004C63C2"/>
    <w:rsid w:val="004C6E3A"/>
    <w:rsid w:val="004C7A95"/>
    <w:rsid w:val="004C7AC4"/>
    <w:rsid w:val="004C7C9B"/>
    <w:rsid w:val="004D1FA1"/>
    <w:rsid w:val="004D2733"/>
    <w:rsid w:val="004D2C59"/>
    <w:rsid w:val="004D349E"/>
    <w:rsid w:val="004D56AD"/>
    <w:rsid w:val="004D5D40"/>
    <w:rsid w:val="004D6221"/>
    <w:rsid w:val="004D6568"/>
    <w:rsid w:val="004D779B"/>
    <w:rsid w:val="004E03C9"/>
    <w:rsid w:val="004E1186"/>
    <w:rsid w:val="004E1195"/>
    <w:rsid w:val="004E1C5D"/>
    <w:rsid w:val="004E1D7B"/>
    <w:rsid w:val="004E2890"/>
    <w:rsid w:val="004E2C5A"/>
    <w:rsid w:val="004E328F"/>
    <w:rsid w:val="004E3626"/>
    <w:rsid w:val="004E59C0"/>
    <w:rsid w:val="004E5E1D"/>
    <w:rsid w:val="004E5F78"/>
    <w:rsid w:val="004E68EA"/>
    <w:rsid w:val="004E6B6A"/>
    <w:rsid w:val="004E6BBB"/>
    <w:rsid w:val="004E6C6D"/>
    <w:rsid w:val="004E7184"/>
    <w:rsid w:val="004F052C"/>
    <w:rsid w:val="004F0E21"/>
    <w:rsid w:val="004F269C"/>
    <w:rsid w:val="004F349E"/>
    <w:rsid w:val="004F42ED"/>
    <w:rsid w:val="004F43EF"/>
    <w:rsid w:val="004F4CE7"/>
    <w:rsid w:val="004F5864"/>
    <w:rsid w:val="004F5C9B"/>
    <w:rsid w:val="004F5E10"/>
    <w:rsid w:val="004F6875"/>
    <w:rsid w:val="004F6B51"/>
    <w:rsid w:val="004F6B65"/>
    <w:rsid w:val="004F7198"/>
    <w:rsid w:val="0050026A"/>
    <w:rsid w:val="005012C7"/>
    <w:rsid w:val="00501C09"/>
    <w:rsid w:val="00502DA0"/>
    <w:rsid w:val="00502F96"/>
    <w:rsid w:val="0050316A"/>
    <w:rsid w:val="00503795"/>
    <w:rsid w:val="0050489F"/>
    <w:rsid w:val="00505803"/>
    <w:rsid w:val="005058F3"/>
    <w:rsid w:val="005062DC"/>
    <w:rsid w:val="00506E86"/>
    <w:rsid w:val="00507179"/>
    <w:rsid w:val="00510A25"/>
    <w:rsid w:val="00511A8A"/>
    <w:rsid w:val="0051300E"/>
    <w:rsid w:val="00515760"/>
    <w:rsid w:val="005175D5"/>
    <w:rsid w:val="0052033F"/>
    <w:rsid w:val="0052047F"/>
    <w:rsid w:val="00520491"/>
    <w:rsid w:val="00520492"/>
    <w:rsid w:val="00520D3B"/>
    <w:rsid w:val="0052108D"/>
    <w:rsid w:val="00521639"/>
    <w:rsid w:val="00521D2C"/>
    <w:rsid w:val="005220EA"/>
    <w:rsid w:val="005225B6"/>
    <w:rsid w:val="00524498"/>
    <w:rsid w:val="00524F82"/>
    <w:rsid w:val="0052515D"/>
    <w:rsid w:val="005251E2"/>
    <w:rsid w:val="00526E04"/>
    <w:rsid w:val="005277EB"/>
    <w:rsid w:val="005304B3"/>
    <w:rsid w:val="00530602"/>
    <w:rsid w:val="0053067C"/>
    <w:rsid w:val="005310CC"/>
    <w:rsid w:val="00531120"/>
    <w:rsid w:val="005313B5"/>
    <w:rsid w:val="00532242"/>
    <w:rsid w:val="00532252"/>
    <w:rsid w:val="005331F7"/>
    <w:rsid w:val="00533D2D"/>
    <w:rsid w:val="005341F8"/>
    <w:rsid w:val="00534BE9"/>
    <w:rsid w:val="00534EFF"/>
    <w:rsid w:val="005351BB"/>
    <w:rsid w:val="005353A7"/>
    <w:rsid w:val="00535724"/>
    <w:rsid w:val="005363AE"/>
    <w:rsid w:val="00536DD6"/>
    <w:rsid w:val="00540BD3"/>
    <w:rsid w:val="00540C33"/>
    <w:rsid w:val="00540D47"/>
    <w:rsid w:val="00540F39"/>
    <w:rsid w:val="00541197"/>
    <w:rsid w:val="005419AD"/>
    <w:rsid w:val="00541C78"/>
    <w:rsid w:val="00542F8D"/>
    <w:rsid w:val="0054312A"/>
    <w:rsid w:val="00543943"/>
    <w:rsid w:val="0054398A"/>
    <w:rsid w:val="005441EE"/>
    <w:rsid w:val="00545EF7"/>
    <w:rsid w:val="00546A7F"/>
    <w:rsid w:val="00546AE6"/>
    <w:rsid w:val="005475DD"/>
    <w:rsid w:val="00547F1E"/>
    <w:rsid w:val="00551AEC"/>
    <w:rsid w:val="00551BC0"/>
    <w:rsid w:val="00552226"/>
    <w:rsid w:val="00552967"/>
    <w:rsid w:val="00552A30"/>
    <w:rsid w:val="00553198"/>
    <w:rsid w:val="005538CB"/>
    <w:rsid w:val="00555D4D"/>
    <w:rsid w:val="00556435"/>
    <w:rsid w:val="00556563"/>
    <w:rsid w:val="00557DA8"/>
    <w:rsid w:val="00560C60"/>
    <w:rsid w:val="00560F90"/>
    <w:rsid w:val="005619F4"/>
    <w:rsid w:val="00562139"/>
    <w:rsid w:val="0056224D"/>
    <w:rsid w:val="00563537"/>
    <w:rsid w:val="00564601"/>
    <w:rsid w:val="005655D8"/>
    <w:rsid w:val="00566389"/>
    <w:rsid w:val="00566DE0"/>
    <w:rsid w:val="005676A1"/>
    <w:rsid w:val="00570264"/>
    <w:rsid w:val="00570F1F"/>
    <w:rsid w:val="005715E1"/>
    <w:rsid w:val="005720B7"/>
    <w:rsid w:val="005725F4"/>
    <w:rsid w:val="00572921"/>
    <w:rsid w:val="00572F59"/>
    <w:rsid w:val="0057341A"/>
    <w:rsid w:val="00573519"/>
    <w:rsid w:val="00573572"/>
    <w:rsid w:val="0057357C"/>
    <w:rsid w:val="005737E4"/>
    <w:rsid w:val="0057486F"/>
    <w:rsid w:val="00575C99"/>
    <w:rsid w:val="005764C5"/>
    <w:rsid w:val="005771CB"/>
    <w:rsid w:val="005772BF"/>
    <w:rsid w:val="00580553"/>
    <w:rsid w:val="005807BC"/>
    <w:rsid w:val="00580EBC"/>
    <w:rsid w:val="005815FE"/>
    <w:rsid w:val="00581A89"/>
    <w:rsid w:val="00581B50"/>
    <w:rsid w:val="00583269"/>
    <w:rsid w:val="00583374"/>
    <w:rsid w:val="00584E79"/>
    <w:rsid w:val="00585A3B"/>
    <w:rsid w:val="00585B2F"/>
    <w:rsid w:val="00585ED0"/>
    <w:rsid w:val="00586ABD"/>
    <w:rsid w:val="005870D7"/>
    <w:rsid w:val="00587B5D"/>
    <w:rsid w:val="00587B85"/>
    <w:rsid w:val="0059126A"/>
    <w:rsid w:val="00591B97"/>
    <w:rsid w:val="0059266D"/>
    <w:rsid w:val="00592DAF"/>
    <w:rsid w:val="00593259"/>
    <w:rsid w:val="00594458"/>
    <w:rsid w:val="005944FE"/>
    <w:rsid w:val="0059485A"/>
    <w:rsid w:val="00595929"/>
    <w:rsid w:val="00595C52"/>
    <w:rsid w:val="00595C97"/>
    <w:rsid w:val="00595F9A"/>
    <w:rsid w:val="005963B2"/>
    <w:rsid w:val="00596A92"/>
    <w:rsid w:val="00596ACB"/>
    <w:rsid w:val="00596E1E"/>
    <w:rsid w:val="005A0176"/>
    <w:rsid w:val="005A0414"/>
    <w:rsid w:val="005A04E8"/>
    <w:rsid w:val="005A0CCF"/>
    <w:rsid w:val="005A23E4"/>
    <w:rsid w:val="005A26E1"/>
    <w:rsid w:val="005A2725"/>
    <w:rsid w:val="005A3EA9"/>
    <w:rsid w:val="005A48CE"/>
    <w:rsid w:val="005A4CA2"/>
    <w:rsid w:val="005A4DC3"/>
    <w:rsid w:val="005A67CD"/>
    <w:rsid w:val="005A6E52"/>
    <w:rsid w:val="005A7DFD"/>
    <w:rsid w:val="005B04DF"/>
    <w:rsid w:val="005B1B21"/>
    <w:rsid w:val="005B27D3"/>
    <w:rsid w:val="005B3725"/>
    <w:rsid w:val="005B3D0F"/>
    <w:rsid w:val="005B3F25"/>
    <w:rsid w:val="005B481C"/>
    <w:rsid w:val="005B50F1"/>
    <w:rsid w:val="005B5691"/>
    <w:rsid w:val="005B5803"/>
    <w:rsid w:val="005B5C97"/>
    <w:rsid w:val="005B7451"/>
    <w:rsid w:val="005B78D2"/>
    <w:rsid w:val="005C020E"/>
    <w:rsid w:val="005C0AA4"/>
    <w:rsid w:val="005C107F"/>
    <w:rsid w:val="005C157E"/>
    <w:rsid w:val="005C2A94"/>
    <w:rsid w:val="005C3662"/>
    <w:rsid w:val="005C40CD"/>
    <w:rsid w:val="005C4250"/>
    <w:rsid w:val="005C4F15"/>
    <w:rsid w:val="005C5241"/>
    <w:rsid w:val="005C603E"/>
    <w:rsid w:val="005C79F2"/>
    <w:rsid w:val="005D019C"/>
    <w:rsid w:val="005D118A"/>
    <w:rsid w:val="005D3471"/>
    <w:rsid w:val="005D3BA3"/>
    <w:rsid w:val="005D486E"/>
    <w:rsid w:val="005D51AC"/>
    <w:rsid w:val="005D55D5"/>
    <w:rsid w:val="005D5A29"/>
    <w:rsid w:val="005D646D"/>
    <w:rsid w:val="005D64A4"/>
    <w:rsid w:val="005E0219"/>
    <w:rsid w:val="005E0375"/>
    <w:rsid w:val="005E060D"/>
    <w:rsid w:val="005E0910"/>
    <w:rsid w:val="005E196C"/>
    <w:rsid w:val="005E28CC"/>
    <w:rsid w:val="005E2BA7"/>
    <w:rsid w:val="005E2C54"/>
    <w:rsid w:val="005E3173"/>
    <w:rsid w:val="005E40BC"/>
    <w:rsid w:val="005E40FB"/>
    <w:rsid w:val="005E468A"/>
    <w:rsid w:val="005E511D"/>
    <w:rsid w:val="005E5FD5"/>
    <w:rsid w:val="005E66E7"/>
    <w:rsid w:val="005E68C9"/>
    <w:rsid w:val="005E6C3A"/>
    <w:rsid w:val="005E6C8D"/>
    <w:rsid w:val="005F16EC"/>
    <w:rsid w:val="005F1FC0"/>
    <w:rsid w:val="005F335C"/>
    <w:rsid w:val="005F4E4B"/>
    <w:rsid w:val="005F4ED0"/>
    <w:rsid w:val="005F5009"/>
    <w:rsid w:val="005F6CC4"/>
    <w:rsid w:val="005F79C3"/>
    <w:rsid w:val="006004A4"/>
    <w:rsid w:val="006007B2"/>
    <w:rsid w:val="00601215"/>
    <w:rsid w:val="0060169C"/>
    <w:rsid w:val="00601986"/>
    <w:rsid w:val="006023E2"/>
    <w:rsid w:val="006030A3"/>
    <w:rsid w:val="006041A7"/>
    <w:rsid w:val="006048C6"/>
    <w:rsid w:val="00604AB5"/>
    <w:rsid w:val="00604BE6"/>
    <w:rsid w:val="006060AB"/>
    <w:rsid w:val="00606EC8"/>
    <w:rsid w:val="0060761C"/>
    <w:rsid w:val="00607B65"/>
    <w:rsid w:val="0061114D"/>
    <w:rsid w:val="00611706"/>
    <w:rsid w:val="0061456C"/>
    <w:rsid w:val="00614F50"/>
    <w:rsid w:val="006163FB"/>
    <w:rsid w:val="00616717"/>
    <w:rsid w:val="00616F14"/>
    <w:rsid w:val="00620272"/>
    <w:rsid w:val="00620CCE"/>
    <w:rsid w:val="0062105A"/>
    <w:rsid w:val="006230F7"/>
    <w:rsid w:val="00623BDC"/>
    <w:rsid w:val="00623E10"/>
    <w:rsid w:val="00624687"/>
    <w:rsid w:val="0062582B"/>
    <w:rsid w:val="00625B4B"/>
    <w:rsid w:val="006266F5"/>
    <w:rsid w:val="00626A51"/>
    <w:rsid w:val="00626B87"/>
    <w:rsid w:val="00627051"/>
    <w:rsid w:val="00627C72"/>
    <w:rsid w:val="00630175"/>
    <w:rsid w:val="00630989"/>
    <w:rsid w:val="00631FCE"/>
    <w:rsid w:val="00634818"/>
    <w:rsid w:val="00635E37"/>
    <w:rsid w:val="00636338"/>
    <w:rsid w:val="00636446"/>
    <w:rsid w:val="0063665E"/>
    <w:rsid w:val="00636D4C"/>
    <w:rsid w:val="00636EE5"/>
    <w:rsid w:val="006407A1"/>
    <w:rsid w:val="0064080B"/>
    <w:rsid w:val="006424FF"/>
    <w:rsid w:val="00643672"/>
    <w:rsid w:val="00643845"/>
    <w:rsid w:val="00644E8C"/>
    <w:rsid w:val="00644F67"/>
    <w:rsid w:val="0064552D"/>
    <w:rsid w:val="00645556"/>
    <w:rsid w:val="0064597C"/>
    <w:rsid w:val="0065061C"/>
    <w:rsid w:val="00650A4F"/>
    <w:rsid w:val="00650D38"/>
    <w:rsid w:val="006524EA"/>
    <w:rsid w:val="0065470C"/>
    <w:rsid w:val="00656729"/>
    <w:rsid w:val="00657637"/>
    <w:rsid w:val="00657C8E"/>
    <w:rsid w:val="00660632"/>
    <w:rsid w:val="00660DA6"/>
    <w:rsid w:val="00661E8D"/>
    <w:rsid w:val="00663E26"/>
    <w:rsid w:val="00663E77"/>
    <w:rsid w:val="0066407B"/>
    <w:rsid w:val="006641E3"/>
    <w:rsid w:val="00664F48"/>
    <w:rsid w:val="00665519"/>
    <w:rsid w:val="0066570A"/>
    <w:rsid w:val="00665B8A"/>
    <w:rsid w:val="006660EA"/>
    <w:rsid w:val="00666F94"/>
    <w:rsid w:val="00667231"/>
    <w:rsid w:val="0066755E"/>
    <w:rsid w:val="00667618"/>
    <w:rsid w:val="0066776D"/>
    <w:rsid w:val="0066787C"/>
    <w:rsid w:val="00667B91"/>
    <w:rsid w:val="00667E45"/>
    <w:rsid w:val="00667E5D"/>
    <w:rsid w:val="00667F3B"/>
    <w:rsid w:val="00670AC8"/>
    <w:rsid w:val="00672700"/>
    <w:rsid w:val="00674F80"/>
    <w:rsid w:val="006755E6"/>
    <w:rsid w:val="00676150"/>
    <w:rsid w:val="006765ED"/>
    <w:rsid w:val="006766DA"/>
    <w:rsid w:val="006767BE"/>
    <w:rsid w:val="00676E18"/>
    <w:rsid w:val="00677EE3"/>
    <w:rsid w:val="006813D2"/>
    <w:rsid w:val="00681EBA"/>
    <w:rsid w:val="00681FA4"/>
    <w:rsid w:val="0068216B"/>
    <w:rsid w:val="006823AE"/>
    <w:rsid w:val="00683F3B"/>
    <w:rsid w:val="00684793"/>
    <w:rsid w:val="00684E73"/>
    <w:rsid w:val="00687C0B"/>
    <w:rsid w:val="00690548"/>
    <w:rsid w:val="0069134F"/>
    <w:rsid w:val="00691D2D"/>
    <w:rsid w:val="006925F6"/>
    <w:rsid w:val="00692AB1"/>
    <w:rsid w:val="00692C2F"/>
    <w:rsid w:val="0069430E"/>
    <w:rsid w:val="006946D4"/>
    <w:rsid w:val="00695845"/>
    <w:rsid w:val="00695D66"/>
    <w:rsid w:val="0069600B"/>
    <w:rsid w:val="00696197"/>
    <w:rsid w:val="006962C1"/>
    <w:rsid w:val="00697E8B"/>
    <w:rsid w:val="006A01E9"/>
    <w:rsid w:val="006A01F1"/>
    <w:rsid w:val="006A01F5"/>
    <w:rsid w:val="006A1247"/>
    <w:rsid w:val="006A1BA4"/>
    <w:rsid w:val="006A2200"/>
    <w:rsid w:val="006A35FA"/>
    <w:rsid w:val="006A3CF5"/>
    <w:rsid w:val="006A3E8E"/>
    <w:rsid w:val="006A4099"/>
    <w:rsid w:val="006A42E4"/>
    <w:rsid w:val="006A459A"/>
    <w:rsid w:val="006A49B4"/>
    <w:rsid w:val="006A54B5"/>
    <w:rsid w:val="006A6244"/>
    <w:rsid w:val="006A647D"/>
    <w:rsid w:val="006A67D0"/>
    <w:rsid w:val="006B1AB5"/>
    <w:rsid w:val="006B230D"/>
    <w:rsid w:val="006B2D11"/>
    <w:rsid w:val="006B3DE7"/>
    <w:rsid w:val="006B3E9F"/>
    <w:rsid w:val="006B4336"/>
    <w:rsid w:val="006B434B"/>
    <w:rsid w:val="006B7652"/>
    <w:rsid w:val="006B7C53"/>
    <w:rsid w:val="006B7E44"/>
    <w:rsid w:val="006C0D80"/>
    <w:rsid w:val="006C1174"/>
    <w:rsid w:val="006C138D"/>
    <w:rsid w:val="006C2B69"/>
    <w:rsid w:val="006C4304"/>
    <w:rsid w:val="006C45C7"/>
    <w:rsid w:val="006C57EA"/>
    <w:rsid w:val="006C5A73"/>
    <w:rsid w:val="006C6272"/>
    <w:rsid w:val="006C7248"/>
    <w:rsid w:val="006C7301"/>
    <w:rsid w:val="006C7493"/>
    <w:rsid w:val="006C7766"/>
    <w:rsid w:val="006D0DD3"/>
    <w:rsid w:val="006D0E6A"/>
    <w:rsid w:val="006D1351"/>
    <w:rsid w:val="006D1CB5"/>
    <w:rsid w:val="006D1FAC"/>
    <w:rsid w:val="006D2770"/>
    <w:rsid w:val="006D2855"/>
    <w:rsid w:val="006D37AE"/>
    <w:rsid w:val="006D3C0F"/>
    <w:rsid w:val="006D3CBB"/>
    <w:rsid w:val="006D4C6E"/>
    <w:rsid w:val="006D5583"/>
    <w:rsid w:val="006D5AF2"/>
    <w:rsid w:val="006D5F22"/>
    <w:rsid w:val="006D5F27"/>
    <w:rsid w:val="006D5F33"/>
    <w:rsid w:val="006D6ED7"/>
    <w:rsid w:val="006D7475"/>
    <w:rsid w:val="006D74D1"/>
    <w:rsid w:val="006D74E9"/>
    <w:rsid w:val="006D7754"/>
    <w:rsid w:val="006E0ACF"/>
    <w:rsid w:val="006E1124"/>
    <w:rsid w:val="006E1DBC"/>
    <w:rsid w:val="006E299F"/>
    <w:rsid w:val="006E2C46"/>
    <w:rsid w:val="006E3195"/>
    <w:rsid w:val="006E3BC3"/>
    <w:rsid w:val="006E4967"/>
    <w:rsid w:val="006E4AB4"/>
    <w:rsid w:val="006E4E1C"/>
    <w:rsid w:val="006E56AA"/>
    <w:rsid w:val="006E5A8E"/>
    <w:rsid w:val="006E6B31"/>
    <w:rsid w:val="006E6C2C"/>
    <w:rsid w:val="006E77C8"/>
    <w:rsid w:val="006E7C41"/>
    <w:rsid w:val="006E7E4B"/>
    <w:rsid w:val="006F0985"/>
    <w:rsid w:val="006F0BC7"/>
    <w:rsid w:val="006F0CC6"/>
    <w:rsid w:val="006F108C"/>
    <w:rsid w:val="006F1EBB"/>
    <w:rsid w:val="006F4851"/>
    <w:rsid w:val="006F4D5B"/>
    <w:rsid w:val="006F637A"/>
    <w:rsid w:val="006F6FF4"/>
    <w:rsid w:val="007017B8"/>
    <w:rsid w:val="0070243A"/>
    <w:rsid w:val="00704539"/>
    <w:rsid w:val="007064DB"/>
    <w:rsid w:val="00706539"/>
    <w:rsid w:val="00706711"/>
    <w:rsid w:val="00706909"/>
    <w:rsid w:val="00706F65"/>
    <w:rsid w:val="00707083"/>
    <w:rsid w:val="00710657"/>
    <w:rsid w:val="00711402"/>
    <w:rsid w:val="0071165D"/>
    <w:rsid w:val="0071221C"/>
    <w:rsid w:val="00712C2E"/>
    <w:rsid w:val="00713341"/>
    <w:rsid w:val="00713513"/>
    <w:rsid w:val="00713AF5"/>
    <w:rsid w:val="00713C42"/>
    <w:rsid w:val="00713E4F"/>
    <w:rsid w:val="0071416C"/>
    <w:rsid w:val="00715A70"/>
    <w:rsid w:val="00715E6E"/>
    <w:rsid w:val="00716085"/>
    <w:rsid w:val="00716F01"/>
    <w:rsid w:val="00720339"/>
    <w:rsid w:val="00721C87"/>
    <w:rsid w:val="00722753"/>
    <w:rsid w:val="00723CF5"/>
    <w:rsid w:val="00724136"/>
    <w:rsid w:val="00724AA0"/>
    <w:rsid w:val="00725650"/>
    <w:rsid w:val="0073023D"/>
    <w:rsid w:val="0073051E"/>
    <w:rsid w:val="00730C40"/>
    <w:rsid w:val="007311F5"/>
    <w:rsid w:val="00731F1F"/>
    <w:rsid w:val="007323A9"/>
    <w:rsid w:val="00732537"/>
    <w:rsid w:val="00732869"/>
    <w:rsid w:val="00733CD1"/>
    <w:rsid w:val="00734AD1"/>
    <w:rsid w:val="0073558E"/>
    <w:rsid w:val="007358C1"/>
    <w:rsid w:val="00735C7C"/>
    <w:rsid w:val="00736E37"/>
    <w:rsid w:val="00737C14"/>
    <w:rsid w:val="00737FCE"/>
    <w:rsid w:val="00740D9D"/>
    <w:rsid w:val="007415F5"/>
    <w:rsid w:val="007419E1"/>
    <w:rsid w:val="00742260"/>
    <w:rsid w:val="007442C2"/>
    <w:rsid w:val="0074539A"/>
    <w:rsid w:val="00745AEA"/>
    <w:rsid w:val="00746B1A"/>
    <w:rsid w:val="0075011F"/>
    <w:rsid w:val="00750363"/>
    <w:rsid w:val="00750DF2"/>
    <w:rsid w:val="00751466"/>
    <w:rsid w:val="0075232F"/>
    <w:rsid w:val="00753DF9"/>
    <w:rsid w:val="0075561D"/>
    <w:rsid w:val="007566F7"/>
    <w:rsid w:val="00756BB1"/>
    <w:rsid w:val="00757B38"/>
    <w:rsid w:val="0076012D"/>
    <w:rsid w:val="00761B0D"/>
    <w:rsid w:val="00761DE3"/>
    <w:rsid w:val="007622E0"/>
    <w:rsid w:val="00763A96"/>
    <w:rsid w:val="007640A4"/>
    <w:rsid w:val="0076433E"/>
    <w:rsid w:val="00764AC3"/>
    <w:rsid w:val="0076550D"/>
    <w:rsid w:val="0076585E"/>
    <w:rsid w:val="00770998"/>
    <w:rsid w:val="00770E1C"/>
    <w:rsid w:val="00771029"/>
    <w:rsid w:val="00771335"/>
    <w:rsid w:val="00771ADD"/>
    <w:rsid w:val="00771E37"/>
    <w:rsid w:val="007732E7"/>
    <w:rsid w:val="007734BE"/>
    <w:rsid w:val="0077382D"/>
    <w:rsid w:val="00773A45"/>
    <w:rsid w:val="00773D84"/>
    <w:rsid w:val="0077442D"/>
    <w:rsid w:val="00774AC1"/>
    <w:rsid w:val="0077540F"/>
    <w:rsid w:val="00775C27"/>
    <w:rsid w:val="007761A2"/>
    <w:rsid w:val="00777B9A"/>
    <w:rsid w:val="00777C47"/>
    <w:rsid w:val="007803C7"/>
    <w:rsid w:val="007803DB"/>
    <w:rsid w:val="00780925"/>
    <w:rsid w:val="00780A25"/>
    <w:rsid w:val="00780BCA"/>
    <w:rsid w:val="00780CC5"/>
    <w:rsid w:val="00780CE3"/>
    <w:rsid w:val="0078118F"/>
    <w:rsid w:val="00781BBD"/>
    <w:rsid w:val="0078212E"/>
    <w:rsid w:val="0078274B"/>
    <w:rsid w:val="00782779"/>
    <w:rsid w:val="00782FFC"/>
    <w:rsid w:val="0078381A"/>
    <w:rsid w:val="0078394F"/>
    <w:rsid w:val="00783E35"/>
    <w:rsid w:val="00785394"/>
    <w:rsid w:val="0078570F"/>
    <w:rsid w:val="00785947"/>
    <w:rsid w:val="0078635A"/>
    <w:rsid w:val="0078771E"/>
    <w:rsid w:val="00787F67"/>
    <w:rsid w:val="00790526"/>
    <w:rsid w:val="0079055C"/>
    <w:rsid w:val="00791091"/>
    <w:rsid w:val="00791CF2"/>
    <w:rsid w:val="00792309"/>
    <w:rsid w:val="0079281A"/>
    <w:rsid w:val="00792F74"/>
    <w:rsid w:val="00793CAC"/>
    <w:rsid w:val="00793CFC"/>
    <w:rsid w:val="00794D0A"/>
    <w:rsid w:val="0079542B"/>
    <w:rsid w:val="00795F56"/>
    <w:rsid w:val="00797EA3"/>
    <w:rsid w:val="007A0BA6"/>
    <w:rsid w:val="007A0BE9"/>
    <w:rsid w:val="007A2941"/>
    <w:rsid w:val="007A3BDE"/>
    <w:rsid w:val="007A7262"/>
    <w:rsid w:val="007A7431"/>
    <w:rsid w:val="007A7B75"/>
    <w:rsid w:val="007A7EDD"/>
    <w:rsid w:val="007A7FA4"/>
    <w:rsid w:val="007B0088"/>
    <w:rsid w:val="007B16D4"/>
    <w:rsid w:val="007B1BB1"/>
    <w:rsid w:val="007B23A2"/>
    <w:rsid w:val="007B3343"/>
    <w:rsid w:val="007B4174"/>
    <w:rsid w:val="007B5978"/>
    <w:rsid w:val="007B5B17"/>
    <w:rsid w:val="007B655A"/>
    <w:rsid w:val="007B72AF"/>
    <w:rsid w:val="007C1AF0"/>
    <w:rsid w:val="007C213E"/>
    <w:rsid w:val="007C2876"/>
    <w:rsid w:val="007C3EA2"/>
    <w:rsid w:val="007C3EA6"/>
    <w:rsid w:val="007C49E8"/>
    <w:rsid w:val="007C4E13"/>
    <w:rsid w:val="007C567A"/>
    <w:rsid w:val="007C5EA4"/>
    <w:rsid w:val="007C66F3"/>
    <w:rsid w:val="007C6FE0"/>
    <w:rsid w:val="007C7165"/>
    <w:rsid w:val="007C7461"/>
    <w:rsid w:val="007D1E34"/>
    <w:rsid w:val="007D2086"/>
    <w:rsid w:val="007D24F3"/>
    <w:rsid w:val="007D2608"/>
    <w:rsid w:val="007D29C9"/>
    <w:rsid w:val="007D40CD"/>
    <w:rsid w:val="007D44CA"/>
    <w:rsid w:val="007D463C"/>
    <w:rsid w:val="007D5418"/>
    <w:rsid w:val="007D6186"/>
    <w:rsid w:val="007D682D"/>
    <w:rsid w:val="007D6C01"/>
    <w:rsid w:val="007D6F05"/>
    <w:rsid w:val="007E001B"/>
    <w:rsid w:val="007E358D"/>
    <w:rsid w:val="007E3B01"/>
    <w:rsid w:val="007E46A8"/>
    <w:rsid w:val="007E56A6"/>
    <w:rsid w:val="007E6230"/>
    <w:rsid w:val="007E66F7"/>
    <w:rsid w:val="007E703D"/>
    <w:rsid w:val="007E71CC"/>
    <w:rsid w:val="007F0D0A"/>
    <w:rsid w:val="007F0DA5"/>
    <w:rsid w:val="007F0DC3"/>
    <w:rsid w:val="007F1329"/>
    <w:rsid w:val="007F1767"/>
    <w:rsid w:val="007F23C5"/>
    <w:rsid w:val="007F2850"/>
    <w:rsid w:val="007F29D4"/>
    <w:rsid w:val="007F4199"/>
    <w:rsid w:val="007F4A97"/>
    <w:rsid w:val="007F4C5D"/>
    <w:rsid w:val="007F4CFA"/>
    <w:rsid w:val="007F5305"/>
    <w:rsid w:val="007F5949"/>
    <w:rsid w:val="007F7F70"/>
    <w:rsid w:val="00800BB9"/>
    <w:rsid w:val="00800C62"/>
    <w:rsid w:val="008012FA"/>
    <w:rsid w:val="00802526"/>
    <w:rsid w:val="0080320A"/>
    <w:rsid w:val="0080395E"/>
    <w:rsid w:val="008039C3"/>
    <w:rsid w:val="00804028"/>
    <w:rsid w:val="008045B9"/>
    <w:rsid w:val="00804ECB"/>
    <w:rsid w:val="008055D7"/>
    <w:rsid w:val="008057C5"/>
    <w:rsid w:val="0080597D"/>
    <w:rsid w:val="00805EDC"/>
    <w:rsid w:val="0080609D"/>
    <w:rsid w:val="00806CDB"/>
    <w:rsid w:val="0081049F"/>
    <w:rsid w:val="0081189A"/>
    <w:rsid w:val="00811C09"/>
    <w:rsid w:val="008124F5"/>
    <w:rsid w:val="0081267A"/>
    <w:rsid w:val="0081271E"/>
    <w:rsid w:val="008132DB"/>
    <w:rsid w:val="008138FB"/>
    <w:rsid w:val="00813E7B"/>
    <w:rsid w:val="00814095"/>
    <w:rsid w:val="0081551B"/>
    <w:rsid w:val="0081594C"/>
    <w:rsid w:val="00815DE2"/>
    <w:rsid w:val="008165AC"/>
    <w:rsid w:val="00816641"/>
    <w:rsid w:val="00816699"/>
    <w:rsid w:val="0081699C"/>
    <w:rsid w:val="00816B41"/>
    <w:rsid w:val="00816E0C"/>
    <w:rsid w:val="00816E2C"/>
    <w:rsid w:val="008171CB"/>
    <w:rsid w:val="008202EE"/>
    <w:rsid w:val="00820674"/>
    <w:rsid w:val="00820870"/>
    <w:rsid w:val="008209DD"/>
    <w:rsid w:val="00820B14"/>
    <w:rsid w:val="00821AA7"/>
    <w:rsid w:val="00821CA3"/>
    <w:rsid w:val="00821D11"/>
    <w:rsid w:val="00824881"/>
    <w:rsid w:val="0082555A"/>
    <w:rsid w:val="00826FC5"/>
    <w:rsid w:val="00827502"/>
    <w:rsid w:val="00827A69"/>
    <w:rsid w:val="00827B65"/>
    <w:rsid w:val="00831001"/>
    <w:rsid w:val="008314DF"/>
    <w:rsid w:val="00832B0D"/>
    <w:rsid w:val="00832B47"/>
    <w:rsid w:val="0083575D"/>
    <w:rsid w:val="008364FB"/>
    <w:rsid w:val="0083660B"/>
    <w:rsid w:val="00837A8A"/>
    <w:rsid w:val="00840C26"/>
    <w:rsid w:val="00840E47"/>
    <w:rsid w:val="0084194B"/>
    <w:rsid w:val="00842985"/>
    <w:rsid w:val="00842AC8"/>
    <w:rsid w:val="00842BB0"/>
    <w:rsid w:val="00842FF7"/>
    <w:rsid w:val="00844E4A"/>
    <w:rsid w:val="00844F59"/>
    <w:rsid w:val="00845F2E"/>
    <w:rsid w:val="00846098"/>
    <w:rsid w:val="008460F3"/>
    <w:rsid w:val="0084728C"/>
    <w:rsid w:val="00847BAA"/>
    <w:rsid w:val="00847F3D"/>
    <w:rsid w:val="008503A4"/>
    <w:rsid w:val="00850C52"/>
    <w:rsid w:val="008514E3"/>
    <w:rsid w:val="00852C9E"/>
    <w:rsid w:val="008530C9"/>
    <w:rsid w:val="008533F1"/>
    <w:rsid w:val="008535FC"/>
    <w:rsid w:val="00853972"/>
    <w:rsid w:val="00853ECA"/>
    <w:rsid w:val="00853FB0"/>
    <w:rsid w:val="00854042"/>
    <w:rsid w:val="00854199"/>
    <w:rsid w:val="008556AB"/>
    <w:rsid w:val="008560A6"/>
    <w:rsid w:val="008563EC"/>
    <w:rsid w:val="008566B3"/>
    <w:rsid w:val="0085796D"/>
    <w:rsid w:val="00860348"/>
    <w:rsid w:val="008605FA"/>
    <w:rsid w:val="0086134A"/>
    <w:rsid w:val="00861D1A"/>
    <w:rsid w:val="00862071"/>
    <w:rsid w:val="0086254A"/>
    <w:rsid w:val="008627ED"/>
    <w:rsid w:val="00862E36"/>
    <w:rsid w:val="00862F17"/>
    <w:rsid w:val="008632D3"/>
    <w:rsid w:val="0086375D"/>
    <w:rsid w:val="0086427F"/>
    <w:rsid w:val="0086453C"/>
    <w:rsid w:val="0086554B"/>
    <w:rsid w:val="00865EB6"/>
    <w:rsid w:val="0086604D"/>
    <w:rsid w:val="00867BE2"/>
    <w:rsid w:val="008700D0"/>
    <w:rsid w:val="008706EB"/>
    <w:rsid w:val="008712E6"/>
    <w:rsid w:val="00871B76"/>
    <w:rsid w:val="00872D55"/>
    <w:rsid w:val="00873334"/>
    <w:rsid w:val="0087345B"/>
    <w:rsid w:val="00876DBA"/>
    <w:rsid w:val="0087713B"/>
    <w:rsid w:val="00877143"/>
    <w:rsid w:val="008800DF"/>
    <w:rsid w:val="00880E90"/>
    <w:rsid w:val="008811A8"/>
    <w:rsid w:val="00881350"/>
    <w:rsid w:val="0088150B"/>
    <w:rsid w:val="00881B8A"/>
    <w:rsid w:val="00883263"/>
    <w:rsid w:val="00884325"/>
    <w:rsid w:val="0088579C"/>
    <w:rsid w:val="00885AA4"/>
    <w:rsid w:val="0088634F"/>
    <w:rsid w:val="0088702B"/>
    <w:rsid w:val="00890506"/>
    <w:rsid w:val="00893762"/>
    <w:rsid w:val="00893DB5"/>
    <w:rsid w:val="00894354"/>
    <w:rsid w:val="008946FA"/>
    <w:rsid w:val="0089481E"/>
    <w:rsid w:val="00894C47"/>
    <w:rsid w:val="00894CA9"/>
    <w:rsid w:val="00894D1A"/>
    <w:rsid w:val="00895668"/>
    <w:rsid w:val="00895D5E"/>
    <w:rsid w:val="00895FD5"/>
    <w:rsid w:val="00896C5F"/>
    <w:rsid w:val="00897A7D"/>
    <w:rsid w:val="00897B3F"/>
    <w:rsid w:val="00897BE4"/>
    <w:rsid w:val="008A0CFE"/>
    <w:rsid w:val="008A2261"/>
    <w:rsid w:val="008A2DC7"/>
    <w:rsid w:val="008A39FC"/>
    <w:rsid w:val="008A41F4"/>
    <w:rsid w:val="008A41F7"/>
    <w:rsid w:val="008A433E"/>
    <w:rsid w:val="008A5EA1"/>
    <w:rsid w:val="008A60F9"/>
    <w:rsid w:val="008A63A6"/>
    <w:rsid w:val="008A6D88"/>
    <w:rsid w:val="008A72F5"/>
    <w:rsid w:val="008B04C5"/>
    <w:rsid w:val="008B075D"/>
    <w:rsid w:val="008B0DF3"/>
    <w:rsid w:val="008B11D5"/>
    <w:rsid w:val="008B15D3"/>
    <w:rsid w:val="008B1DC6"/>
    <w:rsid w:val="008B26C1"/>
    <w:rsid w:val="008B5AD3"/>
    <w:rsid w:val="008B6AD0"/>
    <w:rsid w:val="008B7407"/>
    <w:rsid w:val="008C05E7"/>
    <w:rsid w:val="008C0E51"/>
    <w:rsid w:val="008C2EDC"/>
    <w:rsid w:val="008C3051"/>
    <w:rsid w:val="008C31E1"/>
    <w:rsid w:val="008C3E92"/>
    <w:rsid w:val="008C3EE7"/>
    <w:rsid w:val="008C4674"/>
    <w:rsid w:val="008C4799"/>
    <w:rsid w:val="008C5413"/>
    <w:rsid w:val="008C5C02"/>
    <w:rsid w:val="008C5E4D"/>
    <w:rsid w:val="008C622C"/>
    <w:rsid w:val="008D02DB"/>
    <w:rsid w:val="008D1990"/>
    <w:rsid w:val="008D1FBE"/>
    <w:rsid w:val="008D3187"/>
    <w:rsid w:val="008D3B3A"/>
    <w:rsid w:val="008D4368"/>
    <w:rsid w:val="008D5050"/>
    <w:rsid w:val="008D6145"/>
    <w:rsid w:val="008D6D95"/>
    <w:rsid w:val="008D7EDA"/>
    <w:rsid w:val="008E03B5"/>
    <w:rsid w:val="008E31A2"/>
    <w:rsid w:val="008E4B2B"/>
    <w:rsid w:val="008E5164"/>
    <w:rsid w:val="008E53CC"/>
    <w:rsid w:val="008E6AA5"/>
    <w:rsid w:val="008E7D36"/>
    <w:rsid w:val="008E7E7D"/>
    <w:rsid w:val="008F0756"/>
    <w:rsid w:val="008F0D14"/>
    <w:rsid w:val="008F1514"/>
    <w:rsid w:val="008F269E"/>
    <w:rsid w:val="008F3C03"/>
    <w:rsid w:val="008F4111"/>
    <w:rsid w:val="008F5CA0"/>
    <w:rsid w:val="008F642B"/>
    <w:rsid w:val="008F6B90"/>
    <w:rsid w:val="008F6F44"/>
    <w:rsid w:val="008F750E"/>
    <w:rsid w:val="008F797C"/>
    <w:rsid w:val="008F7FD7"/>
    <w:rsid w:val="009013E0"/>
    <w:rsid w:val="0090153B"/>
    <w:rsid w:val="00902615"/>
    <w:rsid w:val="009035C3"/>
    <w:rsid w:val="00903B15"/>
    <w:rsid w:val="00903B50"/>
    <w:rsid w:val="00903E39"/>
    <w:rsid w:val="009043F3"/>
    <w:rsid w:val="00904A88"/>
    <w:rsid w:val="009056A2"/>
    <w:rsid w:val="00905EB3"/>
    <w:rsid w:val="009060D2"/>
    <w:rsid w:val="0090754E"/>
    <w:rsid w:val="00907D5D"/>
    <w:rsid w:val="009111DD"/>
    <w:rsid w:val="009131FF"/>
    <w:rsid w:val="00913D54"/>
    <w:rsid w:val="00915822"/>
    <w:rsid w:val="00916795"/>
    <w:rsid w:val="00916936"/>
    <w:rsid w:val="00917851"/>
    <w:rsid w:val="00917D4E"/>
    <w:rsid w:val="009210AD"/>
    <w:rsid w:val="0092204C"/>
    <w:rsid w:val="0092278B"/>
    <w:rsid w:val="00922D31"/>
    <w:rsid w:val="00923037"/>
    <w:rsid w:val="00924450"/>
    <w:rsid w:val="00925129"/>
    <w:rsid w:val="0092538A"/>
    <w:rsid w:val="00925647"/>
    <w:rsid w:val="00925851"/>
    <w:rsid w:val="00925A28"/>
    <w:rsid w:val="0092628E"/>
    <w:rsid w:val="009262AA"/>
    <w:rsid w:val="0092641E"/>
    <w:rsid w:val="0092665A"/>
    <w:rsid w:val="009270F5"/>
    <w:rsid w:val="0093086B"/>
    <w:rsid w:val="00931289"/>
    <w:rsid w:val="00931431"/>
    <w:rsid w:val="0093159E"/>
    <w:rsid w:val="00932B02"/>
    <w:rsid w:val="009346A1"/>
    <w:rsid w:val="00934733"/>
    <w:rsid w:val="00934A0D"/>
    <w:rsid w:val="00934DFD"/>
    <w:rsid w:val="009355D7"/>
    <w:rsid w:val="009358E7"/>
    <w:rsid w:val="00936250"/>
    <w:rsid w:val="009369F0"/>
    <w:rsid w:val="0093756C"/>
    <w:rsid w:val="00940338"/>
    <w:rsid w:val="00940698"/>
    <w:rsid w:val="0094080A"/>
    <w:rsid w:val="00940E06"/>
    <w:rsid w:val="00940F57"/>
    <w:rsid w:val="00941740"/>
    <w:rsid w:val="00941B7A"/>
    <w:rsid w:val="00941D13"/>
    <w:rsid w:val="00941D42"/>
    <w:rsid w:val="009420E5"/>
    <w:rsid w:val="00943506"/>
    <w:rsid w:val="00944596"/>
    <w:rsid w:val="009446DA"/>
    <w:rsid w:val="00944850"/>
    <w:rsid w:val="00944927"/>
    <w:rsid w:val="00944BEA"/>
    <w:rsid w:val="00945FA3"/>
    <w:rsid w:val="00947C8C"/>
    <w:rsid w:val="009505AF"/>
    <w:rsid w:val="00950874"/>
    <w:rsid w:val="00951971"/>
    <w:rsid w:val="00951C62"/>
    <w:rsid w:val="009520E9"/>
    <w:rsid w:val="009549D2"/>
    <w:rsid w:val="00954FDA"/>
    <w:rsid w:val="009555F6"/>
    <w:rsid w:val="00956E03"/>
    <w:rsid w:val="00957C4C"/>
    <w:rsid w:val="00960059"/>
    <w:rsid w:val="00960287"/>
    <w:rsid w:val="00960564"/>
    <w:rsid w:val="00960C2E"/>
    <w:rsid w:val="009616B9"/>
    <w:rsid w:val="0096171A"/>
    <w:rsid w:val="0096273B"/>
    <w:rsid w:val="00963266"/>
    <w:rsid w:val="00963825"/>
    <w:rsid w:val="0096467F"/>
    <w:rsid w:val="00965486"/>
    <w:rsid w:val="009659E3"/>
    <w:rsid w:val="00966108"/>
    <w:rsid w:val="0096677F"/>
    <w:rsid w:val="009677EA"/>
    <w:rsid w:val="00971198"/>
    <w:rsid w:val="0097140B"/>
    <w:rsid w:val="00972022"/>
    <w:rsid w:val="0097237E"/>
    <w:rsid w:val="009724EA"/>
    <w:rsid w:val="00973DD2"/>
    <w:rsid w:val="00974690"/>
    <w:rsid w:val="00974C6C"/>
    <w:rsid w:val="0097557B"/>
    <w:rsid w:val="00975BD8"/>
    <w:rsid w:val="00975C13"/>
    <w:rsid w:val="009770AD"/>
    <w:rsid w:val="009771F3"/>
    <w:rsid w:val="009773BB"/>
    <w:rsid w:val="00977713"/>
    <w:rsid w:val="009778FE"/>
    <w:rsid w:val="009804F9"/>
    <w:rsid w:val="00980844"/>
    <w:rsid w:val="00981BB3"/>
    <w:rsid w:val="00981CCB"/>
    <w:rsid w:val="0098279E"/>
    <w:rsid w:val="00983D10"/>
    <w:rsid w:val="00983D3A"/>
    <w:rsid w:val="00983ECC"/>
    <w:rsid w:val="00983F9B"/>
    <w:rsid w:val="0098454B"/>
    <w:rsid w:val="00985518"/>
    <w:rsid w:val="009856B6"/>
    <w:rsid w:val="00986064"/>
    <w:rsid w:val="00986632"/>
    <w:rsid w:val="00987883"/>
    <w:rsid w:val="00987D05"/>
    <w:rsid w:val="00990EDA"/>
    <w:rsid w:val="00991116"/>
    <w:rsid w:val="009914CF"/>
    <w:rsid w:val="00991523"/>
    <w:rsid w:val="009919AB"/>
    <w:rsid w:val="00992C22"/>
    <w:rsid w:val="00992D74"/>
    <w:rsid w:val="00993240"/>
    <w:rsid w:val="009935FE"/>
    <w:rsid w:val="00995429"/>
    <w:rsid w:val="009954D8"/>
    <w:rsid w:val="009956CB"/>
    <w:rsid w:val="009969FC"/>
    <w:rsid w:val="009A1BFA"/>
    <w:rsid w:val="009A2EB0"/>
    <w:rsid w:val="009A37F8"/>
    <w:rsid w:val="009A383D"/>
    <w:rsid w:val="009A48A5"/>
    <w:rsid w:val="009A5286"/>
    <w:rsid w:val="009A53A9"/>
    <w:rsid w:val="009A56D8"/>
    <w:rsid w:val="009A5CF0"/>
    <w:rsid w:val="009A5E6D"/>
    <w:rsid w:val="009A5E86"/>
    <w:rsid w:val="009A5E9D"/>
    <w:rsid w:val="009A6782"/>
    <w:rsid w:val="009A777E"/>
    <w:rsid w:val="009A7EBA"/>
    <w:rsid w:val="009B0CE2"/>
    <w:rsid w:val="009B15A6"/>
    <w:rsid w:val="009B1C47"/>
    <w:rsid w:val="009B1F24"/>
    <w:rsid w:val="009B35B2"/>
    <w:rsid w:val="009B4241"/>
    <w:rsid w:val="009B49B0"/>
    <w:rsid w:val="009B5AB1"/>
    <w:rsid w:val="009B63A4"/>
    <w:rsid w:val="009B6950"/>
    <w:rsid w:val="009B7F3B"/>
    <w:rsid w:val="009C1147"/>
    <w:rsid w:val="009C1242"/>
    <w:rsid w:val="009C2636"/>
    <w:rsid w:val="009C31D1"/>
    <w:rsid w:val="009C3963"/>
    <w:rsid w:val="009C42D0"/>
    <w:rsid w:val="009C4568"/>
    <w:rsid w:val="009C4A8C"/>
    <w:rsid w:val="009C506D"/>
    <w:rsid w:val="009C5C15"/>
    <w:rsid w:val="009C68C9"/>
    <w:rsid w:val="009C7184"/>
    <w:rsid w:val="009C7606"/>
    <w:rsid w:val="009C7E61"/>
    <w:rsid w:val="009D0520"/>
    <w:rsid w:val="009D0F3D"/>
    <w:rsid w:val="009D146A"/>
    <w:rsid w:val="009D1689"/>
    <w:rsid w:val="009D17ED"/>
    <w:rsid w:val="009D1880"/>
    <w:rsid w:val="009D1A57"/>
    <w:rsid w:val="009D1F0C"/>
    <w:rsid w:val="009D208D"/>
    <w:rsid w:val="009D562D"/>
    <w:rsid w:val="009D5AEA"/>
    <w:rsid w:val="009D667B"/>
    <w:rsid w:val="009D728B"/>
    <w:rsid w:val="009D7481"/>
    <w:rsid w:val="009D7846"/>
    <w:rsid w:val="009D7B0E"/>
    <w:rsid w:val="009E0A7C"/>
    <w:rsid w:val="009E0F3C"/>
    <w:rsid w:val="009E1A78"/>
    <w:rsid w:val="009E2347"/>
    <w:rsid w:val="009E2542"/>
    <w:rsid w:val="009E2C20"/>
    <w:rsid w:val="009E3519"/>
    <w:rsid w:val="009E3F77"/>
    <w:rsid w:val="009E4F55"/>
    <w:rsid w:val="009E6853"/>
    <w:rsid w:val="009E71EE"/>
    <w:rsid w:val="009E7C85"/>
    <w:rsid w:val="009F17A4"/>
    <w:rsid w:val="009F1CC5"/>
    <w:rsid w:val="009F256F"/>
    <w:rsid w:val="009F2E1B"/>
    <w:rsid w:val="009F60AB"/>
    <w:rsid w:val="00A00E9C"/>
    <w:rsid w:val="00A01032"/>
    <w:rsid w:val="00A0121A"/>
    <w:rsid w:val="00A013B9"/>
    <w:rsid w:val="00A03857"/>
    <w:rsid w:val="00A04573"/>
    <w:rsid w:val="00A04992"/>
    <w:rsid w:val="00A04F4D"/>
    <w:rsid w:val="00A0507A"/>
    <w:rsid w:val="00A06311"/>
    <w:rsid w:val="00A102F3"/>
    <w:rsid w:val="00A11A1B"/>
    <w:rsid w:val="00A126E5"/>
    <w:rsid w:val="00A12A2B"/>
    <w:rsid w:val="00A1482E"/>
    <w:rsid w:val="00A14F20"/>
    <w:rsid w:val="00A15787"/>
    <w:rsid w:val="00A15EF4"/>
    <w:rsid w:val="00A164C2"/>
    <w:rsid w:val="00A16EE2"/>
    <w:rsid w:val="00A17832"/>
    <w:rsid w:val="00A20074"/>
    <w:rsid w:val="00A2025E"/>
    <w:rsid w:val="00A20EDE"/>
    <w:rsid w:val="00A21D25"/>
    <w:rsid w:val="00A223D6"/>
    <w:rsid w:val="00A22C6F"/>
    <w:rsid w:val="00A23AF0"/>
    <w:rsid w:val="00A2433E"/>
    <w:rsid w:val="00A25927"/>
    <w:rsid w:val="00A30C76"/>
    <w:rsid w:val="00A3143F"/>
    <w:rsid w:val="00A31716"/>
    <w:rsid w:val="00A335C5"/>
    <w:rsid w:val="00A33A17"/>
    <w:rsid w:val="00A33D48"/>
    <w:rsid w:val="00A340D1"/>
    <w:rsid w:val="00A3491E"/>
    <w:rsid w:val="00A34EE1"/>
    <w:rsid w:val="00A3530E"/>
    <w:rsid w:val="00A35FA1"/>
    <w:rsid w:val="00A360E1"/>
    <w:rsid w:val="00A36D60"/>
    <w:rsid w:val="00A3763A"/>
    <w:rsid w:val="00A37E60"/>
    <w:rsid w:val="00A37ED3"/>
    <w:rsid w:val="00A40C8D"/>
    <w:rsid w:val="00A40E2F"/>
    <w:rsid w:val="00A411A2"/>
    <w:rsid w:val="00A414B6"/>
    <w:rsid w:val="00A41DF1"/>
    <w:rsid w:val="00A41FD8"/>
    <w:rsid w:val="00A4257D"/>
    <w:rsid w:val="00A43AB4"/>
    <w:rsid w:val="00A440FC"/>
    <w:rsid w:val="00A45FB5"/>
    <w:rsid w:val="00A50398"/>
    <w:rsid w:val="00A50A9E"/>
    <w:rsid w:val="00A51CE1"/>
    <w:rsid w:val="00A52699"/>
    <w:rsid w:val="00A526CC"/>
    <w:rsid w:val="00A52BC0"/>
    <w:rsid w:val="00A5374A"/>
    <w:rsid w:val="00A537C8"/>
    <w:rsid w:val="00A53BF7"/>
    <w:rsid w:val="00A54BF5"/>
    <w:rsid w:val="00A5558A"/>
    <w:rsid w:val="00A56140"/>
    <w:rsid w:val="00A56CA7"/>
    <w:rsid w:val="00A57E37"/>
    <w:rsid w:val="00A6006C"/>
    <w:rsid w:val="00A604DA"/>
    <w:rsid w:val="00A6053F"/>
    <w:rsid w:val="00A605A0"/>
    <w:rsid w:val="00A60D47"/>
    <w:rsid w:val="00A61509"/>
    <w:rsid w:val="00A6198A"/>
    <w:rsid w:val="00A61D9B"/>
    <w:rsid w:val="00A63019"/>
    <w:rsid w:val="00A63085"/>
    <w:rsid w:val="00A63571"/>
    <w:rsid w:val="00A639F6"/>
    <w:rsid w:val="00A641F8"/>
    <w:rsid w:val="00A650AB"/>
    <w:rsid w:val="00A65770"/>
    <w:rsid w:val="00A66146"/>
    <w:rsid w:val="00A66904"/>
    <w:rsid w:val="00A67C4D"/>
    <w:rsid w:val="00A71ADD"/>
    <w:rsid w:val="00A72B2F"/>
    <w:rsid w:val="00A73344"/>
    <w:rsid w:val="00A735E4"/>
    <w:rsid w:val="00A73968"/>
    <w:rsid w:val="00A73BAC"/>
    <w:rsid w:val="00A745E7"/>
    <w:rsid w:val="00A746FF"/>
    <w:rsid w:val="00A75A97"/>
    <w:rsid w:val="00A76591"/>
    <w:rsid w:val="00A77FAB"/>
    <w:rsid w:val="00A80198"/>
    <w:rsid w:val="00A80A40"/>
    <w:rsid w:val="00A8132E"/>
    <w:rsid w:val="00A8138F"/>
    <w:rsid w:val="00A819A8"/>
    <w:rsid w:val="00A82D38"/>
    <w:rsid w:val="00A83A47"/>
    <w:rsid w:val="00A85164"/>
    <w:rsid w:val="00A85C6A"/>
    <w:rsid w:val="00A860E0"/>
    <w:rsid w:val="00A867F1"/>
    <w:rsid w:val="00A86B51"/>
    <w:rsid w:val="00A8763E"/>
    <w:rsid w:val="00A917FF"/>
    <w:rsid w:val="00A91870"/>
    <w:rsid w:val="00A93453"/>
    <w:rsid w:val="00A95353"/>
    <w:rsid w:val="00A95B08"/>
    <w:rsid w:val="00A96FDC"/>
    <w:rsid w:val="00A9762A"/>
    <w:rsid w:val="00AA02D3"/>
    <w:rsid w:val="00AA030A"/>
    <w:rsid w:val="00AA1D4A"/>
    <w:rsid w:val="00AA230C"/>
    <w:rsid w:val="00AA2969"/>
    <w:rsid w:val="00AA2B0F"/>
    <w:rsid w:val="00AA3152"/>
    <w:rsid w:val="00AA3C90"/>
    <w:rsid w:val="00AA3E4C"/>
    <w:rsid w:val="00AA4454"/>
    <w:rsid w:val="00AA5A7B"/>
    <w:rsid w:val="00AA654D"/>
    <w:rsid w:val="00AA65BF"/>
    <w:rsid w:val="00AA76C5"/>
    <w:rsid w:val="00AA7968"/>
    <w:rsid w:val="00AB0049"/>
    <w:rsid w:val="00AB0AF6"/>
    <w:rsid w:val="00AB1E57"/>
    <w:rsid w:val="00AB3513"/>
    <w:rsid w:val="00AB552E"/>
    <w:rsid w:val="00AB5B83"/>
    <w:rsid w:val="00AB6C5E"/>
    <w:rsid w:val="00AB6C71"/>
    <w:rsid w:val="00AB71D5"/>
    <w:rsid w:val="00AC0DAC"/>
    <w:rsid w:val="00AC1654"/>
    <w:rsid w:val="00AC23C3"/>
    <w:rsid w:val="00AC2D7E"/>
    <w:rsid w:val="00AC332E"/>
    <w:rsid w:val="00AC445C"/>
    <w:rsid w:val="00AC44C3"/>
    <w:rsid w:val="00AC4A06"/>
    <w:rsid w:val="00AC5C88"/>
    <w:rsid w:val="00AC5D3E"/>
    <w:rsid w:val="00AC6573"/>
    <w:rsid w:val="00AC6A60"/>
    <w:rsid w:val="00AC7260"/>
    <w:rsid w:val="00AC7269"/>
    <w:rsid w:val="00AC7902"/>
    <w:rsid w:val="00AC7DD0"/>
    <w:rsid w:val="00AC7EB6"/>
    <w:rsid w:val="00AC7FED"/>
    <w:rsid w:val="00AD00B7"/>
    <w:rsid w:val="00AD2129"/>
    <w:rsid w:val="00AD2C26"/>
    <w:rsid w:val="00AD34A4"/>
    <w:rsid w:val="00AD3574"/>
    <w:rsid w:val="00AD3A65"/>
    <w:rsid w:val="00AD3EF1"/>
    <w:rsid w:val="00AD419A"/>
    <w:rsid w:val="00AD5897"/>
    <w:rsid w:val="00AD5C02"/>
    <w:rsid w:val="00AD5E27"/>
    <w:rsid w:val="00AD6182"/>
    <w:rsid w:val="00AD6245"/>
    <w:rsid w:val="00AD754D"/>
    <w:rsid w:val="00AD77B9"/>
    <w:rsid w:val="00AD7FB2"/>
    <w:rsid w:val="00AE0083"/>
    <w:rsid w:val="00AE21AB"/>
    <w:rsid w:val="00AE2525"/>
    <w:rsid w:val="00AE2E12"/>
    <w:rsid w:val="00AE3117"/>
    <w:rsid w:val="00AE3137"/>
    <w:rsid w:val="00AE6DAF"/>
    <w:rsid w:val="00AE734B"/>
    <w:rsid w:val="00AE766A"/>
    <w:rsid w:val="00AE7DEA"/>
    <w:rsid w:val="00AF205D"/>
    <w:rsid w:val="00AF227E"/>
    <w:rsid w:val="00AF2480"/>
    <w:rsid w:val="00AF28CA"/>
    <w:rsid w:val="00AF313A"/>
    <w:rsid w:val="00AF34F5"/>
    <w:rsid w:val="00AF35BF"/>
    <w:rsid w:val="00AF384E"/>
    <w:rsid w:val="00AF42E6"/>
    <w:rsid w:val="00AF436B"/>
    <w:rsid w:val="00AF72F4"/>
    <w:rsid w:val="00AF7830"/>
    <w:rsid w:val="00AF7D2C"/>
    <w:rsid w:val="00B000F5"/>
    <w:rsid w:val="00B0137E"/>
    <w:rsid w:val="00B0153D"/>
    <w:rsid w:val="00B0303B"/>
    <w:rsid w:val="00B03595"/>
    <w:rsid w:val="00B03B52"/>
    <w:rsid w:val="00B05452"/>
    <w:rsid w:val="00B054E0"/>
    <w:rsid w:val="00B068FF"/>
    <w:rsid w:val="00B10309"/>
    <w:rsid w:val="00B1060C"/>
    <w:rsid w:val="00B10871"/>
    <w:rsid w:val="00B10F49"/>
    <w:rsid w:val="00B12931"/>
    <w:rsid w:val="00B1307F"/>
    <w:rsid w:val="00B13A4C"/>
    <w:rsid w:val="00B13D13"/>
    <w:rsid w:val="00B13E3F"/>
    <w:rsid w:val="00B1407F"/>
    <w:rsid w:val="00B14F0B"/>
    <w:rsid w:val="00B152C9"/>
    <w:rsid w:val="00B15A8E"/>
    <w:rsid w:val="00B16476"/>
    <w:rsid w:val="00B1684B"/>
    <w:rsid w:val="00B16CFA"/>
    <w:rsid w:val="00B2284A"/>
    <w:rsid w:val="00B22BE9"/>
    <w:rsid w:val="00B2312B"/>
    <w:rsid w:val="00B23627"/>
    <w:rsid w:val="00B23BF6"/>
    <w:rsid w:val="00B24DFE"/>
    <w:rsid w:val="00B25F74"/>
    <w:rsid w:val="00B26F9E"/>
    <w:rsid w:val="00B275DD"/>
    <w:rsid w:val="00B27C3D"/>
    <w:rsid w:val="00B3193E"/>
    <w:rsid w:val="00B31CAC"/>
    <w:rsid w:val="00B320CA"/>
    <w:rsid w:val="00B32271"/>
    <w:rsid w:val="00B33040"/>
    <w:rsid w:val="00B3424C"/>
    <w:rsid w:val="00B35071"/>
    <w:rsid w:val="00B35B97"/>
    <w:rsid w:val="00B367C5"/>
    <w:rsid w:val="00B367F2"/>
    <w:rsid w:val="00B3719B"/>
    <w:rsid w:val="00B37DF7"/>
    <w:rsid w:val="00B37ECE"/>
    <w:rsid w:val="00B40248"/>
    <w:rsid w:val="00B418BD"/>
    <w:rsid w:val="00B423A7"/>
    <w:rsid w:val="00B42973"/>
    <w:rsid w:val="00B450C4"/>
    <w:rsid w:val="00B4529C"/>
    <w:rsid w:val="00B45EF5"/>
    <w:rsid w:val="00B4677B"/>
    <w:rsid w:val="00B47657"/>
    <w:rsid w:val="00B511B4"/>
    <w:rsid w:val="00B542E8"/>
    <w:rsid w:val="00B565DE"/>
    <w:rsid w:val="00B572A1"/>
    <w:rsid w:val="00B576F9"/>
    <w:rsid w:val="00B601F4"/>
    <w:rsid w:val="00B6133A"/>
    <w:rsid w:val="00B61CBD"/>
    <w:rsid w:val="00B61FC7"/>
    <w:rsid w:val="00B62256"/>
    <w:rsid w:val="00B63B21"/>
    <w:rsid w:val="00B64638"/>
    <w:rsid w:val="00B65AB6"/>
    <w:rsid w:val="00B66050"/>
    <w:rsid w:val="00B668B7"/>
    <w:rsid w:val="00B67C74"/>
    <w:rsid w:val="00B700B7"/>
    <w:rsid w:val="00B7129E"/>
    <w:rsid w:val="00B7137F"/>
    <w:rsid w:val="00B72AB0"/>
    <w:rsid w:val="00B73EBE"/>
    <w:rsid w:val="00B7494F"/>
    <w:rsid w:val="00B75C8D"/>
    <w:rsid w:val="00B76419"/>
    <w:rsid w:val="00B76ABA"/>
    <w:rsid w:val="00B7768A"/>
    <w:rsid w:val="00B77E5F"/>
    <w:rsid w:val="00B801AD"/>
    <w:rsid w:val="00B80346"/>
    <w:rsid w:val="00B80A5C"/>
    <w:rsid w:val="00B81133"/>
    <w:rsid w:val="00B81D21"/>
    <w:rsid w:val="00B83092"/>
    <w:rsid w:val="00B83843"/>
    <w:rsid w:val="00B83952"/>
    <w:rsid w:val="00B83B45"/>
    <w:rsid w:val="00B8494A"/>
    <w:rsid w:val="00B85305"/>
    <w:rsid w:val="00B853C8"/>
    <w:rsid w:val="00B85920"/>
    <w:rsid w:val="00B86382"/>
    <w:rsid w:val="00B8730A"/>
    <w:rsid w:val="00B87696"/>
    <w:rsid w:val="00B87A14"/>
    <w:rsid w:val="00B87FC4"/>
    <w:rsid w:val="00B901E8"/>
    <w:rsid w:val="00B9043D"/>
    <w:rsid w:val="00B9103E"/>
    <w:rsid w:val="00B918F3"/>
    <w:rsid w:val="00B920E1"/>
    <w:rsid w:val="00B923C2"/>
    <w:rsid w:val="00B92FF9"/>
    <w:rsid w:val="00B93FCD"/>
    <w:rsid w:val="00B94AB2"/>
    <w:rsid w:val="00B94D8F"/>
    <w:rsid w:val="00B955FD"/>
    <w:rsid w:val="00B959FE"/>
    <w:rsid w:val="00B9626E"/>
    <w:rsid w:val="00B96C8D"/>
    <w:rsid w:val="00B9793D"/>
    <w:rsid w:val="00B97F23"/>
    <w:rsid w:val="00BA21D9"/>
    <w:rsid w:val="00BA2C5B"/>
    <w:rsid w:val="00BA33E6"/>
    <w:rsid w:val="00BA39C3"/>
    <w:rsid w:val="00BA3F63"/>
    <w:rsid w:val="00BA4B2F"/>
    <w:rsid w:val="00BA4C7A"/>
    <w:rsid w:val="00BA6312"/>
    <w:rsid w:val="00BA665A"/>
    <w:rsid w:val="00BA6BD6"/>
    <w:rsid w:val="00BA6F16"/>
    <w:rsid w:val="00BA75D5"/>
    <w:rsid w:val="00BB09A4"/>
    <w:rsid w:val="00BB126E"/>
    <w:rsid w:val="00BB14D7"/>
    <w:rsid w:val="00BB1AF8"/>
    <w:rsid w:val="00BB23D9"/>
    <w:rsid w:val="00BB3C3E"/>
    <w:rsid w:val="00BB3D25"/>
    <w:rsid w:val="00BB41E4"/>
    <w:rsid w:val="00BB4878"/>
    <w:rsid w:val="00BB5A0E"/>
    <w:rsid w:val="00BB78E7"/>
    <w:rsid w:val="00BB7FE1"/>
    <w:rsid w:val="00BC00C8"/>
    <w:rsid w:val="00BC04A5"/>
    <w:rsid w:val="00BC0AC7"/>
    <w:rsid w:val="00BC11C1"/>
    <w:rsid w:val="00BC124C"/>
    <w:rsid w:val="00BC2B56"/>
    <w:rsid w:val="00BC35E5"/>
    <w:rsid w:val="00BC4FCA"/>
    <w:rsid w:val="00BC64A9"/>
    <w:rsid w:val="00BC6A6A"/>
    <w:rsid w:val="00BC6BEB"/>
    <w:rsid w:val="00BC795B"/>
    <w:rsid w:val="00BC79D3"/>
    <w:rsid w:val="00BD0066"/>
    <w:rsid w:val="00BD01E5"/>
    <w:rsid w:val="00BD05A8"/>
    <w:rsid w:val="00BD0A33"/>
    <w:rsid w:val="00BD1F61"/>
    <w:rsid w:val="00BD293C"/>
    <w:rsid w:val="00BD2F53"/>
    <w:rsid w:val="00BD2F56"/>
    <w:rsid w:val="00BD4BFB"/>
    <w:rsid w:val="00BD5282"/>
    <w:rsid w:val="00BD57D1"/>
    <w:rsid w:val="00BD5A18"/>
    <w:rsid w:val="00BD5A39"/>
    <w:rsid w:val="00BD5BD9"/>
    <w:rsid w:val="00BD6CA0"/>
    <w:rsid w:val="00BD6D23"/>
    <w:rsid w:val="00BE0BE6"/>
    <w:rsid w:val="00BE18B9"/>
    <w:rsid w:val="00BE2050"/>
    <w:rsid w:val="00BE217D"/>
    <w:rsid w:val="00BE4536"/>
    <w:rsid w:val="00BE6106"/>
    <w:rsid w:val="00BE756B"/>
    <w:rsid w:val="00BF0226"/>
    <w:rsid w:val="00BF0734"/>
    <w:rsid w:val="00BF0A86"/>
    <w:rsid w:val="00BF0C36"/>
    <w:rsid w:val="00BF1478"/>
    <w:rsid w:val="00BF16EA"/>
    <w:rsid w:val="00BF2224"/>
    <w:rsid w:val="00BF2549"/>
    <w:rsid w:val="00BF28E9"/>
    <w:rsid w:val="00BF3307"/>
    <w:rsid w:val="00BF3A2D"/>
    <w:rsid w:val="00BF4CF9"/>
    <w:rsid w:val="00BF5D89"/>
    <w:rsid w:val="00BF5E13"/>
    <w:rsid w:val="00BF691A"/>
    <w:rsid w:val="00BF6A19"/>
    <w:rsid w:val="00BF72DE"/>
    <w:rsid w:val="00BF783A"/>
    <w:rsid w:val="00C0039E"/>
    <w:rsid w:val="00C003F1"/>
    <w:rsid w:val="00C00F27"/>
    <w:rsid w:val="00C0168C"/>
    <w:rsid w:val="00C01A0A"/>
    <w:rsid w:val="00C03053"/>
    <w:rsid w:val="00C030FF"/>
    <w:rsid w:val="00C0316A"/>
    <w:rsid w:val="00C04822"/>
    <w:rsid w:val="00C04B94"/>
    <w:rsid w:val="00C054D2"/>
    <w:rsid w:val="00C058C0"/>
    <w:rsid w:val="00C06889"/>
    <w:rsid w:val="00C06CBB"/>
    <w:rsid w:val="00C079CD"/>
    <w:rsid w:val="00C07A2C"/>
    <w:rsid w:val="00C104C5"/>
    <w:rsid w:val="00C1080B"/>
    <w:rsid w:val="00C10CFC"/>
    <w:rsid w:val="00C110D9"/>
    <w:rsid w:val="00C11409"/>
    <w:rsid w:val="00C11804"/>
    <w:rsid w:val="00C11F31"/>
    <w:rsid w:val="00C128C5"/>
    <w:rsid w:val="00C13450"/>
    <w:rsid w:val="00C13A5D"/>
    <w:rsid w:val="00C13DF8"/>
    <w:rsid w:val="00C14041"/>
    <w:rsid w:val="00C14238"/>
    <w:rsid w:val="00C14267"/>
    <w:rsid w:val="00C14E7D"/>
    <w:rsid w:val="00C1511C"/>
    <w:rsid w:val="00C1613A"/>
    <w:rsid w:val="00C16F7E"/>
    <w:rsid w:val="00C178AA"/>
    <w:rsid w:val="00C17D00"/>
    <w:rsid w:val="00C20199"/>
    <w:rsid w:val="00C2086B"/>
    <w:rsid w:val="00C20932"/>
    <w:rsid w:val="00C20C52"/>
    <w:rsid w:val="00C218ED"/>
    <w:rsid w:val="00C2241A"/>
    <w:rsid w:val="00C24ECB"/>
    <w:rsid w:val="00C258DB"/>
    <w:rsid w:val="00C25C36"/>
    <w:rsid w:val="00C26AAC"/>
    <w:rsid w:val="00C26D6D"/>
    <w:rsid w:val="00C27C94"/>
    <w:rsid w:val="00C31037"/>
    <w:rsid w:val="00C31747"/>
    <w:rsid w:val="00C31AC1"/>
    <w:rsid w:val="00C321CA"/>
    <w:rsid w:val="00C3312A"/>
    <w:rsid w:val="00C34D1A"/>
    <w:rsid w:val="00C35187"/>
    <w:rsid w:val="00C37051"/>
    <w:rsid w:val="00C3795D"/>
    <w:rsid w:val="00C40E0A"/>
    <w:rsid w:val="00C40E4D"/>
    <w:rsid w:val="00C43463"/>
    <w:rsid w:val="00C443FF"/>
    <w:rsid w:val="00C45C3F"/>
    <w:rsid w:val="00C46DDD"/>
    <w:rsid w:val="00C4771F"/>
    <w:rsid w:val="00C47BAA"/>
    <w:rsid w:val="00C47C7E"/>
    <w:rsid w:val="00C5095F"/>
    <w:rsid w:val="00C53B07"/>
    <w:rsid w:val="00C54453"/>
    <w:rsid w:val="00C544A7"/>
    <w:rsid w:val="00C547DE"/>
    <w:rsid w:val="00C54C1A"/>
    <w:rsid w:val="00C55E12"/>
    <w:rsid w:val="00C56D31"/>
    <w:rsid w:val="00C60D76"/>
    <w:rsid w:val="00C62007"/>
    <w:rsid w:val="00C62093"/>
    <w:rsid w:val="00C6478E"/>
    <w:rsid w:val="00C648F6"/>
    <w:rsid w:val="00C64A8D"/>
    <w:rsid w:val="00C6573C"/>
    <w:rsid w:val="00C666C8"/>
    <w:rsid w:val="00C67C85"/>
    <w:rsid w:val="00C7188E"/>
    <w:rsid w:val="00C72327"/>
    <w:rsid w:val="00C74710"/>
    <w:rsid w:val="00C75EE3"/>
    <w:rsid w:val="00C762CA"/>
    <w:rsid w:val="00C764E2"/>
    <w:rsid w:val="00C822F2"/>
    <w:rsid w:val="00C8246F"/>
    <w:rsid w:val="00C828A2"/>
    <w:rsid w:val="00C82DDC"/>
    <w:rsid w:val="00C84C49"/>
    <w:rsid w:val="00C85026"/>
    <w:rsid w:val="00C862F8"/>
    <w:rsid w:val="00C863A2"/>
    <w:rsid w:val="00C86827"/>
    <w:rsid w:val="00C872E4"/>
    <w:rsid w:val="00C873AA"/>
    <w:rsid w:val="00C87FAD"/>
    <w:rsid w:val="00C90F57"/>
    <w:rsid w:val="00C910AF"/>
    <w:rsid w:val="00C9218A"/>
    <w:rsid w:val="00C92725"/>
    <w:rsid w:val="00C93207"/>
    <w:rsid w:val="00C940B9"/>
    <w:rsid w:val="00C94128"/>
    <w:rsid w:val="00C95A73"/>
    <w:rsid w:val="00C95A7A"/>
    <w:rsid w:val="00C96E67"/>
    <w:rsid w:val="00C975D8"/>
    <w:rsid w:val="00C97B8F"/>
    <w:rsid w:val="00CA0B3A"/>
    <w:rsid w:val="00CA10D1"/>
    <w:rsid w:val="00CA163E"/>
    <w:rsid w:val="00CA1D4E"/>
    <w:rsid w:val="00CA28BE"/>
    <w:rsid w:val="00CA41D5"/>
    <w:rsid w:val="00CA4426"/>
    <w:rsid w:val="00CA447F"/>
    <w:rsid w:val="00CA45AB"/>
    <w:rsid w:val="00CA4BFE"/>
    <w:rsid w:val="00CA5C4E"/>
    <w:rsid w:val="00CA7855"/>
    <w:rsid w:val="00CB2416"/>
    <w:rsid w:val="00CB29C1"/>
    <w:rsid w:val="00CB4758"/>
    <w:rsid w:val="00CB557C"/>
    <w:rsid w:val="00CB6023"/>
    <w:rsid w:val="00CB61BF"/>
    <w:rsid w:val="00CC00D9"/>
    <w:rsid w:val="00CC0A18"/>
    <w:rsid w:val="00CC0CA4"/>
    <w:rsid w:val="00CC0D53"/>
    <w:rsid w:val="00CC2345"/>
    <w:rsid w:val="00CC26C8"/>
    <w:rsid w:val="00CC2D18"/>
    <w:rsid w:val="00CC36D4"/>
    <w:rsid w:val="00CC39A0"/>
    <w:rsid w:val="00CC3FC0"/>
    <w:rsid w:val="00CC40C2"/>
    <w:rsid w:val="00CC5076"/>
    <w:rsid w:val="00CC5096"/>
    <w:rsid w:val="00CC685D"/>
    <w:rsid w:val="00CC6CAD"/>
    <w:rsid w:val="00CC72FA"/>
    <w:rsid w:val="00CC750E"/>
    <w:rsid w:val="00CD00AE"/>
    <w:rsid w:val="00CD10A3"/>
    <w:rsid w:val="00CD124F"/>
    <w:rsid w:val="00CD1CE2"/>
    <w:rsid w:val="00CD2AC4"/>
    <w:rsid w:val="00CD2CB4"/>
    <w:rsid w:val="00CD310B"/>
    <w:rsid w:val="00CD3694"/>
    <w:rsid w:val="00CD402C"/>
    <w:rsid w:val="00CD4494"/>
    <w:rsid w:val="00CD49ED"/>
    <w:rsid w:val="00CD54A7"/>
    <w:rsid w:val="00CD5AB5"/>
    <w:rsid w:val="00CD5EC3"/>
    <w:rsid w:val="00CD5FAB"/>
    <w:rsid w:val="00CD6512"/>
    <w:rsid w:val="00CD711B"/>
    <w:rsid w:val="00CD7D87"/>
    <w:rsid w:val="00CE06D3"/>
    <w:rsid w:val="00CE0A24"/>
    <w:rsid w:val="00CE10F9"/>
    <w:rsid w:val="00CE1420"/>
    <w:rsid w:val="00CE299B"/>
    <w:rsid w:val="00CE32A6"/>
    <w:rsid w:val="00CE3DE1"/>
    <w:rsid w:val="00CE474B"/>
    <w:rsid w:val="00CE659D"/>
    <w:rsid w:val="00CE6E35"/>
    <w:rsid w:val="00CE7EA1"/>
    <w:rsid w:val="00CE7FFC"/>
    <w:rsid w:val="00CF1611"/>
    <w:rsid w:val="00CF24DA"/>
    <w:rsid w:val="00CF2BCA"/>
    <w:rsid w:val="00CF3FFA"/>
    <w:rsid w:val="00CF4328"/>
    <w:rsid w:val="00CF44A4"/>
    <w:rsid w:val="00CF607B"/>
    <w:rsid w:val="00CF612B"/>
    <w:rsid w:val="00CF6A15"/>
    <w:rsid w:val="00CF77FD"/>
    <w:rsid w:val="00CF7AE3"/>
    <w:rsid w:val="00D000EA"/>
    <w:rsid w:val="00D00445"/>
    <w:rsid w:val="00D005C7"/>
    <w:rsid w:val="00D00B43"/>
    <w:rsid w:val="00D016A8"/>
    <w:rsid w:val="00D031C6"/>
    <w:rsid w:val="00D048A1"/>
    <w:rsid w:val="00D04EDB"/>
    <w:rsid w:val="00D04EDC"/>
    <w:rsid w:val="00D0511D"/>
    <w:rsid w:val="00D056DF"/>
    <w:rsid w:val="00D058C7"/>
    <w:rsid w:val="00D05BD3"/>
    <w:rsid w:val="00D06135"/>
    <w:rsid w:val="00D06906"/>
    <w:rsid w:val="00D07013"/>
    <w:rsid w:val="00D07CCB"/>
    <w:rsid w:val="00D11328"/>
    <w:rsid w:val="00D11BD4"/>
    <w:rsid w:val="00D11F64"/>
    <w:rsid w:val="00D12020"/>
    <w:rsid w:val="00D12074"/>
    <w:rsid w:val="00D1271F"/>
    <w:rsid w:val="00D127B7"/>
    <w:rsid w:val="00D139F7"/>
    <w:rsid w:val="00D13EB5"/>
    <w:rsid w:val="00D14436"/>
    <w:rsid w:val="00D16B71"/>
    <w:rsid w:val="00D16E97"/>
    <w:rsid w:val="00D17AEF"/>
    <w:rsid w:val="00D20132"/>
    <w:rsid w:val="00D20150"/>
    <w:rsid w:val="00D21521"/>
    <w:rsid w:val="00D217F9"/>
    <w:rsid w:val="00D22CB8"/>
    <w:rsid w:val="00D23631"/>
    <w:rsid w:val="00D23A5D"/>
    <w:rsid w:val="00D23F91"/>
    <w:rsid w:val="00D25C5D"/>
    <w:rsid w:val="00D25E51"/>
    <w:rsid w:val="00D26479"/>
    <w:rsid w:val="00D27A06"/>
    <w:rsid w:val="00D27FAC"/>
    <w:rsid w:val="00D309B9"/>
    <w:rsid w:val="00D314C4"/>
    <w:rsid w:val="00D318F6"/>
    <w:rsid w:val="00D3262D"/>
    <w:rsid w:val="00D3411C"/>
    <w:rsid w:val="00D34D65"/>
    <w:rsid w:val="00D355D5"/>
    <w:rsid w:val="00D35D39"/>
    <w:rsid w:val="00D36087"/>
    <w:rsid w:val="00D36DE9"/>
    <w:rsid w:val="00D36FC0"/>
    <w:rsid w:val="00D4197C"/>
    <w:rsid w:val="00D435CA"/>
    <w:rsid w:val="00D43723"/>
    <w:rsid w:val="00D4395F"/>
    <w:rsid w:val="00D44633"/>
    <w:rsid w:val="00D44B69"/>
    <w:rsid w:val="00D459ED"/>
    <w:rsid w:val="00D45BA6"/>
    <w:rsid w:val="00D460F2"/>
    <w:rsid w:val="00D46B14"/>
    <w:rsid w:val="00D47BBE"/>
    <w:rsid w:val="00D5038D"/>
    <w:rsid w:val="00D509F6"/>
    <w:rsid w:val="00D50CDB"/>
    <w:rsid w:val="00D51071"/>
    <w:rsid w:val="00D52CCF"/>
    <w:rsid w:val="00D54B13"/>
    <w:rsid w:val="00D54B81"/>
    <w:rsid w:val="00D54C56"/>
    <w:rsid w:val="00D56666"/>
    <w:rsid w:val="00D572A9"/>
    <w:rsid w:val="00D57935"/>
    <w:rsid w:val="00D60934"/>
    <w:rsid w:val="00D60B28"/>
    <w:rsid w:val="00D60CF3"/>
    <w:rsid w:val="00D61163"/>
    <w:rsid w:val="00D612DB"/>
    <w:rsid w:val="00D61921"/>
    <w:rsid w:val="00D61D0D"/>
    <w:rsid w:val="00D61D5C"/>
    <w:rsid w:val="00D622CC"/>
    <w:rsid w:val="00D6274A"/>
    <w:rsid w:val="00D6294C"/>
    <w:rsid w:val="00D632ED"/>
    <w:rsid w:val="00D644BC"/>
    <w:rsid w:val="00D649B5"/>
    <w:rsid w:val="00D64B4B"/>
    <w:rsid w:val="00D65082"/>
    <w:rsid w:val="00D658F5"/>
    <w:rsid w:val="00D6656D"/>
    <w:rsid w:val="00D671DE"/>
    <w:rsid w:val="00D6798F"/>
    <w:rsid w:val="00D67E9D"/>
    <w:rsid w:val="00D70492"/>
    <w:rsid w:val="00D70B5A"/>
    <w:rsid w:val="00D70CD8"/>
    <w:rsid w:val="00D73232"/>
    <w:rsid w:val="00D7363F"/>
    <w:rsid w:val="00D7545F"/>
    <w:rsid w:val="00D7799E"/>
    <w:rsid w:val="00D80773"/>
    <w:rsid w:val="00D808DA"/>
    <w:rsid w:val="00D80904"/>
    <w:rsid w:val="00D80EC6"/>
    <w:rsid w:val="00D80F39"/>
    <w:rsid w:val="00D81356"/>
    <w:rsid w:val="00D815FA"/>
    <w:rsid w:val="00D81853"/>
    <w:rsid w:val="00D81BB7"/>
    <w:rsid w:val="00D81DD2"/>
    <w:rsid w:val="00D8211C"/>
    <w:rsid w:val="00D82970"/>
    <w:rsid w:val="00D83745"/>
    <w:rsid w:val="00D85549"/>
    <w:rsid w:val="00D85B10"/>
    <w:rsid w:val="00D86198"/>
    <w:rsid w:val="00D86BEF"/>
    <w:rsid w:val="00D87471"/>
    <w:rsid w:val="00D87960"/>
    <w:rsid w:val="00D9076B"/>
    <w:rsid w:val="00D9187D"/>
    <w:rsid w:val="00D933A4"/>
    <w:rsid w:val="00D935EB"/>
    <w:rsid w:val="00D93A72"/>
    <w:rsid w:val="00D93A94"/>
    <w:rsid w:val="00D93B1C"/>
    <w:rsid w:val="00D93F5A"/>
    <w:rsid w:val="00D94AFD"/>
    <w:rsid w:val="00D954C3"/>
    <w:rsid w:val="00D958FA"/>
    <w:rsid w:val="00D95AFE"/>
    <w:rsid w:val="00D967E9"/>
    <w:rsid w:val="00D97658"/>
    <w:rsid w:val="00DA01C1"/>
    <w:rsid w:val="00DA1151"/>
    <w:rsid w:val="00DA1448"/>
    <w:rsid w:val="00DA1AC2"/>
    <w:rsid w:val="00DA1D4C"/>
    <w:rsid w:val="00DA1D8E"/>
    <w:rsid w:val="00DA1EA9"/>
    <w:rsid w:val="00DA23AF"/>
    <w:rsid w:val="00DA2C7A"/>
    <w:rsid w:val="00DA3693"/>
    <w:rsid w:val="00DA4ED8"/>
    <w:rsid w:val="00DA5D24"/>
    <w:rsid w:val="00DA613E"/>
    <w:rsid w:val="00DA6240"/>
    <w:rsid w:val="00DA7584"/>
    <w:rsid w:val="00DB042E"/>
    <w:rsid w:val="00DB1A72"/>
    <w:rsid w:val="00DB2578"/>
    <w:rsid w:val="00DB2797"/>
    <w:rsid w:val="00DB2CE0"/>
    <w:rsid w:val="00DB3024"/>
    <w:rsid w:val="00DB3A68"/>
    <w:rsid w:val="00DB4038"/>
    <w:rsid w:val="00DB6776"/>
    <w:rsid w:val="00DB6BD5"/>
    <w:rsid w:val="00DB776D"/>
    <w:rsid w:val="00DB784D"/>
    <w:rsid w:val="00DB7A09"/>
    <w:rsid w:val="00DB7C08"/>
    <w:rsid w:val="00DB7E8D"/>
    <w:rsid w:val="00DC0441"/>
    <w:rsid w:val="00DC0A62"/>
    <w:rsid w:val="00DC0EE3"/>
    <w:rsid w:val="00DC1086"/>
    <w:rsid w:val="00DC21BA"/>
    <w:rsid w:val="00DC299C"/>
    <w:rsid w:val="00DC34C6"/>
    <w:rsid w:val="00DC38FA"/>
    <w:rsid w:val="00DC5DB9"/>
    <w:rsid w:val="00DC5E41"/>
    <w:rsid w:val="00DC5EE3"/>
    <w:rsid w:val="00DC60AC"/>
    <w:rsid w:val="00DC65E5"/>
    <w:rsid w:val="00DC6765"/>
    <w:rsid w:val="00DC706B"/>
    <w:rsid w:val="00DC73E4"/>
    <w:rsid w:val="00DC7B92"/>
    <w:rsid w:val="00DD02F0"/>
    <w:rsid w:val="00DD1611"/>
    <w:rsid w:val="00DD1FE7"/>
    <w:rsid w:val="00DD22F1"/>
    <w:rsid w:val="00DD249F"/>
    <w:rsid w:val="00DD4C92"/>
    <w:rsid w:val="00DD5832"/>
    <w:rsid w:val="00DD5F02"/>
    <w:rsid w:val="00DD7B70"/>
    <w:rsid w:val="00DE0ADE"/>
    <w:rsid w:val="00DE0F75"/>
    <w:rsid w:val="00DE1204"/>
    <w:rsid w:val="00DE1DB6"/>
    <w:rsid w:val="00DE2AB1"/>
    <w:rsid w:val="00DE5940"/>
    <w:rsid w:val="00DE5F69"/>
    <w:rsid w:val="00DE62E1"/>
    <w:rsid w:val="00DE6B21"/>
    <w:rsid w:val="00DE7BC5"/>
    <w:rsid w:val="00DF085C"/>
    <w:rsid w:val="00DF08DD"/>
    <w:rsid w:val="00DF1A8C"/>
    <w:rsid w:val="00DF1B88"/>
    <w:rsid w:val="00DF24EC"/>
    <w:rsid w:val="00DF2AA1"/>
    <w:rsid w:val="00DF2F55"/>
    <w:rsid w:val="00DF2FFD"/>
    <w:rsid w:val="00DF3821"/>
    <w:rsid w:val="00DF4027"/>
    <w:rsid w:val="00DF4155"/>
    <w:rsid w:val="00DF4891"/>
    <w:rsid w:val="00DF5681"/>
    <w:rsid w:val="00DF575A"/>
    <w:rsid w:val="00DF7366"/>
    <w:rsid w:val="00DF75E1"/>
    <w:rsid w:val="00E0039A"/>
    <w:rsid w:val="00E0051C"/>
    <w:rsid w:val="00E0059C"/>
    <w:rsid w:val="00E01A72"/>
    <w:rsid w:val="00E01AAA"/>
    <w:rsid w:val="00E02C89"/>
    <w:rsid w:val="00E033DA"/>
    <w:rsid w:val="00E0352C"/>
    <w:rsid w:val="00E0387C"/>
    <w:rsid w:val="00E03C5D"/>
    <w:rsid w:val="00E048AA"/>
    <w:rsid w:val="00E04A55"/>
    <w:rsid w:val="00E04C6D"/>
    <w:rsid w:val="00E05971"/>
    <w:rsid w:val="00E05D1C"/>
    <w:rsid w:val="00E06944"/>
    <w:rsid w:val="00E106BA"/>
    <w:rsid w:val="00E107DA"/>
    <w:rsid w:val="00E12925"/>
    <w:rsid w:val="00E13003"/>
    <w:rsid w:val="00E142AC"/>
    <w:rsid w:val="00E14690"/>
    <w:rsid w:val="00E14947"/>
    <w:rsid w:val="00E14AA9"/>
    <w:rsid w:val="00E14DAA"/>
    <w:rsid w:val="00E14F17"/>
    <w:rsid w:val="00E1547A"/>
    <w:rsid w:val="00E15C37"/>
    <w:rsid w:val="00E1603F"/>
    <w:rsid w:val="00E1639A"/>
    <w:rsid w:val="00E165E3"/>
    <w:rsid w:val="00E1740B"/>
    <w:rsid w:val="00E2003E"/>
    <w:rsid w:val="00E20944"/>
    <w:rsid w:val="00E20EB2"/>
    <w:rsid w:val="00E211F4"/>
    <w:rsid w:val="00E2149F"/>
    <w:rsid w:val="00E22C09"/>
    <w:rsid w:val="00E248DF"/>
    <w:rsid w:val="00E251BA"/>
    <w:rsid w:val="00E25A62"/>
    <w:rsid w:val="00E25C50"/>
    <w:rsid w:val="00E25EC4"/>
    <w:rsid w:val="00E264A8"/>
    <w:rsid w:val="00E2735D"/>
    <w:rsid w:val="00E2781E"/>
    <w:rsid w:val="00E30049"/>
    <w:rsid w:val="00E30604"/>
    <w:rsid w:val="00E306DD"/>
    <w:rsid w:val="00E315DB"/>
    <w:rsid w:val="00E3351F"/>
    <w:rsid w:val="00E3457D"/>
    <w:rsid w:val="00E34D70"/>
    <w:rsid w:val="00E36FFD"/>
    <w:rsid w:val="00E37AD3"/>
    <w:rsid w:val="00E4098F"/>
    <w:rsid w:val="00E41B7C"/>
    <w:rsid w:val="00E4268F"/>
    <w:rsid w:val="00E42AC2"/>
    <w:rsid w:val="00E42C50"/>
    <w:rsid w:val="00E44676"/>
    <w:rsid w:val="00E45AEA"/>
    <w:rsid w:val="00E502CB"/>
    <w:rsid w:val="00E503C0"/>
    <w:rsid w:val="00E50AFA"/>
    <w:rsid w:val="00E514D9"/>
    <w:rsid w:val="00E51BF0"/>
    <w:rsid w:val="00E52646"/>
    <w:rsid w:val="00E529B5"/>
    <w:rsid w:val="00E52B5A"/>
    <w:rsid w:val="00E53967"/>
    <w:rsid w:val="00E53C83"/>
    <w:rsid w:val="00E53F7F"/>
    <w:rsid w:val="00E54B98"/>
    <w:rsid w:val="00E552DB"/>
    <w:rsid w:val="00E56032"/>
    <w:rsid w:val="00E561D6"/>
    <w:rsid w:val="00E56711"/>
    <w:rsid w:val="00E57122"/>
    <w:rsid w:val="00E5742E"/>
    <w:rsid w:val="00E57729"/>
    <w:rsid w:val="00E6017E"/>
    <w:rsid w:val="00E609DD"/>
    <w:rsid w:val="00E611AF"/>
    <w:rsid w:val="00E61CFB"/>
    <w:rsid w:val="00E61D05"/>
    <w:rsid w:val="00E626CB"/>
    <w:rsid w:val="00E63105"/>
    <w:rsid w:val="00E655EC"/>
    <w:rsid w:val="00E6582F"/>
    <w:rsid w:val="00E662AD"/>
    <w:rsid w:val="00E67A0C"/>
    <w:rsid w:val="00E67EAF"/>
    <w:rsid w:val="00E7041C"/>
    <w:rsid w:val="00E710BC"/>
    <w:rsid w:val="00E71F1C"/>
    <w:rsid w:val="00E72DB8"/>
    <w:rsid w:val="00E730B7"/>
    <w:rsid w:val="00E73568"/>
    <w:rsid w:val="00E73D24"/>
    <w:rsid w:val="00E744D4"/>
    <w:rsid w:val="00E75057"/>
    <w:rsid w:val="00E7562D"/>
    <w:rsid w:val="00E75D16"/>
    <w:rsid w:val="00E7713B"/>
    <w:rsid w:val="00E8042C"/>
    <w:rsid w:val="00E80436"/>
    <w:rsid w:val="00E80FAA"/>
    <w:rsid w:val="00E8133C"/>
    <w:rsid w:val="00E816AA"/>
    <w:rsid w:val="00E817D3"/>
    <w:rsid w:val="00E81CE5"/>
    <w:rsid w:val="00E838F8"/>
    <w:rsid w:val="00E8396A"/>
    <w:rsid w:val="00E83E7F"/>
    <w:rsid w:val="00E83FEF"/>
    <w:rsid w:val="00E8413C"/>
    <w:rsid w:val="00E84865"/>
    <w:rsid w:val="00E84B4C"/>
    <w:rsid w:val="00E852FC"/>
    <w:rsid w:val="00E86086"/>
    <w:rsid w:val="00E86485"/>
    <w:rsid w:val="00E86583"/>
    <w:rsid w:val="00E86E52"/>
    <w:rsid w:val="00E86F45"/>
    <w:rsid w:val="00E86F7A"/>
    <w:rsid w:val="00E8726B"/>
    <w:rsid w:val="00E87A5C"/>
    <w:rsid w:val="00E902C2"/>
    <w:rsid w:val="00E90AC3"/>
    <w:rsid w:val="00E90C18"/>
    <w:rsid w:val="00E90C1F"/>
    <w:rsid w:val="00E91042"/>
    <w:rsid w:val="00E91DB4"/>
    <w:rsid w:val="00E91F0F"/>
    <w:rsid w:val="00E92077"/>
    <w:rsid w:val="00E924B9"/>
    <w:rsid w:val="00E92F4F"/>
    <w:rsid w:val="00E932FF"/>
    <w:rsid w:val="00E93E2B"/>
    <w:rsid w:val="00E945D9"/>
    <w:rsid w:val="00E948E1"/>
    <w:rsid w:val="00E9492E"/>
    <w:rsid w:val="00E951F1"/>
    <w:rsid w:val="00E962A1"/>
    <w:rsid w:val="00E96411"/>
    <w:rsid w:val="00E9687F"/>
    <w:rsid w:val="00EA02B7"/>
    <w:rsid w:val="00EA0D93"/>
    <w:rsid w:val="00EA0E72"/>
    <w:rsid w:val="00EA0F5E"/>
    <w:rsid w:val="00EA10E2"/>
    <w:rsid w:val="00EA19A3"/>
    <w:rsid w:val="00EA2383"/>
    <w:rsid w:val="00EA2529"/>
    <w:rsid w:val="00EA280D"/>
    <w:rsid w:val="00EA6C00"/>
    <w:rsid w:val="00EA75FF"/>
    <w:rsid w:val="00EA7889"/>
    <w:rsid w:val="00EA7AB8"/>
    <w:rsid w:val="00EA7B04"/>
    <w:rsid w:val="00EB0A67"/>
    <w:rsid w:val="00EB0B6A"/>
    <w:rsid w:val="00EB0CF6"/>
    <w:rsid w:val="00EB1C19"/>
    <w:rsid w:val="00EB27D2"/>
    <w:rsid w:val="00EB2C6F"/>
    <w:rsid w:val="00EB2F03"/>
    <w:rsid w:val="00EB42E4"/>
    <w:rsid w:val="00EB6DFF"/>
    <w:rsid w:val="00EC05CB"/>
    <w:rsid w:val="00EC088A"/>
    <w:rsid w:val="00EC270E"/>
    <w:rsid w:val="00EC281B"/>
    <w:rsid w:val="00EC28F7"/>
    <w:rsid w:val="00EC3764"/>
    <w:rsid w:val="00EC3BB8"/>
    <w:rsid w:val="00EC4409"/>
    <w:rsid w:val="00EC4B83"/>
    <w:rsid w:val="00EC4B95"/>
    <w:rsid w:val="00EC4BF0"/>
    <w:rsid w:val="00EC4F1A"/>
    <w:rsid w:val="00EC5A04"/>
    <w:rsid w:val="00EC7A03"/>
    <w:rsid w:val="00EC7DD1"/>
    <w:rsid w:val="00EC7FA9"/>
    <w:rsid w:val="00ED12B1"/>
    <w:rsid w:val="00ED1741"/>
    <w:rsid w:val="00ED1CA4"/>
    <w:rsid w:val="00ED2081"/>
    <w:rsid w:val="00ED2314"/>
    <w:rsid w:val="00ED2663"/>
    <w:rsid w:val="00ED4E7A"/>
    <w:rsid w:val="00ED50DF"/>
    <w:rsid w:val="00ED5755"/>
    <w:rsid w:val="00ED5A7E"/>
    <w:rsid w:val="00ED67E1"/>
    <w:rsid w:val="00ED6AAE"/>
    <w:rsid w:val="00ED6E2D"/>
    <w:rsid w:val="00ED6ECA"/>
    <w:rsid w:val="00ED73A7"/>
    <w:rsid w:val="00ED79D7"/>
    <w:rsid w:val="00EE0E3E"/>
    <w:rsid w:val="00EE1DA6"/>
    <w:rsid w:val="00EE2BED"/>
    <w:rsid w:val="00EE2DF7"/>
    <w:rsid w:val="00EE4692"/>
    <w:rsid w:val="00EE61B3"/>
    <w:rsid w:val="00EE6D6F"/>
    <w:rsid w:val="00EE71D0"/>
    <w:rsid w:val="00EE7EFC"/>
    <w:rsid w:val="00EF0713"/>
    <w:rsid w:val="00EF0DD3"/>
    <w:rsid w:val="00EF0F18"/>
    <w:rsid w:val="00EF12E7"/>
    <w:rsid w:val="00EF2AEE"/>
    <w:rsid w:val="00EF2E79"/>
    <w:rsid w:val="00EF2E8D"/>
    <w:rsid w:val="00EF30FF"/>
    <w:rsid w:val="00EF3FCA"/>
    <w:rsid w:val="00EF72B0"/>
    <w:rsid w:val="00EF7792"/>
    <w:rsid w:val="00F00520"/>
    <w:rsid w:val="00F01C68"/>
    <w:rsid w:val="00F03FB9"/>
    <w:rsid w:val="00F04034"/>
    <w:rsid w:val="00F0423D"/>
    <w:rsid w:val="00F04447"/>
    <w:rsid w:val="00F062D5"/>
    <w:rsid w:val="00F06782"/>
    <w:rsid w:val="00F0745C"/>
    <w:rsid w:val="00F079B3"/>
    <w:rsid w:val="00F1062B"/>
    <w:rsid w:val="00F1090E"/>
    <w:rsid w:val="00F10D05"/>
    <w:rsid w:val="00F12103"/>
    <w:rsid w:val="00F124EB"/>
    <w:rsid w:val="00F127E5"/>
    <w:rsid w:val="00F129AD"/>
    <w:rsid w:val="00F12A37"/>
    <w:rsid w:val="00F12CD4"/>
    <w:rsid w:val="00F137F4"/>
    <w:rsid w:val="00F13E6A"/>
    <w:rsid w:val="00F14357"/>
    <w:rsid w:val="00F143A5"/>
    <w:rsid w:val="00F14E69"/>
    <w:rsid w:val="00F1517F"/>
    <w:rsid w:val="00F15378"/>
    <w:rsid w:val="00F15670"/>
    <w:rsid w:val="00F1699A"/>
    <w:rsid w:val="00F16B43"/>
    <w:rsid w:val="00F1751A"/>
    <w:rsid w:val="00F20006"/>
    <w:rsid w:val="00F2004D"/>
    <w:rsid w:val="00F21414"/>
    <w:rsid w:val="00F2209C"/>
    <w:rsid w:val="00F222BF"/>
    <w:rsid w:val="00F22940"/>
    <w:rsid w:val="00F23106"/>
    <w:rsid w:val="00F23311"/>
    <w:rsid w:val="00F2376E"/>
    <w:rsid w:val="00F24367"/>
    <w:rsid w:val="00F257A2"/>
    <w:rsid w:val="00F26550"/>
    <w:rsid w:val="00F27998"/>
    <w:rsid w:val="00F279A2"/>
    <w:rsid w:val="00F306AE"/>
    <w:rsid w:val="00F315D6"/>
    <w:rsid w:val="00F32325"/>
    <w:rsid w:val="00F32503"/>
    <w:rsid w:val="00F343B7"/>
    <w:rsid w:val="00F343E1"/>
    <w:rsid w:val="00F346E5"/>
    <w:rsid w:val="00F349F6"/>
    <w:rsid w:val="00F34FB8"/>
    <w:rsid w:val="00F35E35"/>
    <w:rsid w:val="00F367C3"/>
    <w:rsid w:val="00F36F6F"/>
    <w:rsid w:val="00F379FB"/>
    <w:rsid w:val="00F40185"/>
    <w:rsid w:val="00F40A1A"/>
    <w:rsid w:val="00F41053"/>
    <w:rsid w:val="00F428F3"/>
    <w:rsid w:val="00F42A1D"/>
    <w:rsid w:val="00F45219"/>
    <w:rsid w:val="00F4591D"/>
    <w:rsid w:val="00F46721"/>
    <w:rsid w:val="00F46EE8"/>
    <w:rsid w:val="00F4722B"/>
    <w:rsid w:val="00F50C70"/>
    <w:rsid w:val="00F519D6"/>
    <w:rsid w:val="00F52237"/>
    <w:rsid w:val="00F52543"/>
    <w:rsid w:val="00F52E65"/>
    <w:rsid w:val="00F5302F"/>
    <w:rsid w:val="00F53CFE"/>
    <w:rsid w:val="00F53FC3"/>
    <w:rsid w:val="00F542FD"/>
    <w:rsid w:val="00F54D28"/>
    <w:rsid w:val="00F5507A"/>
    <w:rsid w:val="00F5580B"/>
    <w:rsid w:val="00F56511"/>
    <w:rsid w:val="00F57167"/>
    <w:rsid w:val="00F5745B"/>
    <w:rsid w:val="00F57D26"/>
    <w:rsid w:val="00F601F5"/>
    <w:rsid w:val="00F60483"/>
    <w:rsid w:val="00F606DC"/>
    <w:rsid w:val="00F61B3D"/>
    <w:rsid w:val="00F61B88"/>
    <w:rsid w:val="00F62579"/>
    <w:rsid w:val="00F62B19"/>
    <w:rsid w:val="00F62F2D"/>
    <w:rsid w:val="00F63E37"/>
    <w:rsid w:val="00F64684"/>
    <w:rsid w:val="00F654A6"/>
    <w:rsid w:val="00F66208"/>
    <w:rsid w:val="00F6718C"/>
    <w:rsid w:val="00F70A18"/>
    <w:rsid w:val="00F710D1"/>
    <w:rsid w:val="00F712F7"/>
    <w:rsid w:val="00F713B6"/>
    <w:rsid w:val="00F714B9"/>
    <w:rsid w:val="00F71E15"/>
    <w:rsid w:val="00F720EF"/>
    <w:rsid w:val="00F726FC"/>
    <w:rsid w:val="00F72D11"/>
    <w:rsid w:val="00F72E9C"/>
    <w:rsid w:val="00F73CAF"/>
    <w:rsid w:val="00F740ED"/>
    <w:rsid w:val="00F74434"/>
    <w:rsid w:val="00F74A71"/>
    <w:rsid w:val="00F74C60"/>
    <w:rsid w:val="00F75C53"/>
    <w:rsid w:val="00F771D2"/>
    <w:rsid w:val="00F77564"/>
    <w:rsid w:val="00F778FA"/>
    <w:rsid w:val="00F77F6C"/>
    <w:rsid w:val="00F80FCC"/>
    <w:rsid w:val="00F81621"/>
    <w:rsid w:val="00F82578"/>
    <w:rsid w:val="00F82FBA"/>
    <w:rsid w:val="00F830F4"/>
    <w:rsid w:val="00F8372D"/>
    <w:rsid w:val="00F8493E"/>
    <w:rsid w:val="00F84FD4"/>
    <w:rsid w:val="00F8539C"/>
    <w:rsid w:val="00F85B9A"/>
    <w:rsid w:val="00F85FE7"/>
    <w:rsid w:val="00F870BC"/>
    <w:rsid w:val="00F87C9F"/>
    <w:rsid w:val="00F905C3"/>
    <w:rsid w:val="00F90886"/>
    <w:rsid w:val="00F90D50"/>
    <w:rsid w:val="00F90FF0"/>
    <w:rsid w:val="00F92468"/>
    <w:rsid w:val="00F92BFA"/>
    <w:rsid w:val="00F92CF2"/>
    <w:rsid w:val="00F93925"/>
    <w:rsid w:val="00F96102"/>
    <w:rsid w:val="00F978A3"/>
    <w:rsid w:val="00FA06E4"/>
    <w:rsid w:val="00FA07D6"/>
    <w:rsid w:val="00FA0D6B"/>
    <w:rsid w:val="00FA131D"/>
    <w:rsid w:val="00FA1B8C"/>
    <w:rsid w:val="00FA24B8"/>
    <w:rsid w:val="00FA26F4"/>
    <w:rsid w:val="00FA2ECD"/>
    <w:rsid w:val="00FA3ABB"/>
    <w:rsid w:val="00FA5742"/>
    <w:rsid w:val="00FA6CEC"/>
    <w:rsid w:val="00FA7595"/>
    <w:rsid w:val="00FB0166"/>
    <w:rsid w:val="00FB04BD"/>
    <w:rsid w:val="00FB0F85"/>
    <w:rsid w:val="00FB21DB"/>
    <w:rsid w:val="00FB2F4F"/>
    <w:rsid w:val="00FB2FD4"/>
    <w:rsid w:val="00FB34A4"/>
    <w:rsid w:val="00FB3520"/>
    <w:rsid w:val="00FB5848"/>
    <w:rsid w:val="00FB5A27"/>
    <w:rsid w:val="00FB5E55"/>
    <w:rsid w:val="00FB6FCB"/>
    <w:rsid w:val="00FB7B4A"/>
    <w:rsid w:val="00FB7E83"/>
    <w:rsid w:val="00FC0622"/>
    <w:rsid w:val="00FC0DB8"/>
    <w:rsid w:val="00FC2BC6"/>
    <w:rsid w:val="00FC2F0D"/>
    <w:rsid w:val="00FC3444"/>
    <w:rsid w:val="00FC3980"/>
    <w:rsid w:val="00FC49FB"/>
    <w:rsid w:val="00FC4C0A"/>
    <w:rsid w:val="00FC5772"/>
    <w:rsid w:val="00FC64DA"/>
    <w:rsid w:val="00FC7048"/>
    <w:rsid w:val="00FC7165"/>
    <w:rsid w:val="00FD14AB"/>
    <w:rsid w:val="00FD3C6B"/>
    <w:rsid w:val="00FD42A9"/>
    <w:rsid w:val="00FD4549"/>
    <w:rsid w:val="00FD4E70"/>
    <w:rsid w:val="00FD5C2F"/>
    <w:rsid w:val="00FD6AE4"/>
    <w:rsid w:val="00FD7327"/>
    <w:rsid w:val="00FD7806"/>
    <w:rsid w:val="00FD7F62"/>
    <w:rsid w:val="00FE1189"/>
    <w:rsid w:val="00FE1AD7"/>
    <w:rsid w:val="00FE1B92"/>
    <w:rsid w:val="00FE20C4"/>
    <w:rsid w:val="00FE34AD"/>
    <w:rsid w:val="00FE35DC"/>
    <w:rsid w:val="00FE38C5"/>
    <w:rsid w:val="00FE5558"/>
    <w:rsid w:val="00FE5A80"/>
    <w:rsid w:val="00FE6006"/>
    <w:rsid w:val="00FE68A2"/>
    <w:rsid w:val="00FE6DF4"/>
    <w:rsid w:val="00FE7E99"/>
    <w:rsid w:val="00FE7EC2"/>
    <w:rsid w:val="00FF12BE"/>
    <w:rsid w:val="00FF1BA5"/>
    <w:rsid w:val="00FF2D63"/>
    <w:rsid w:val="00FF40E1"/>
    <w:rsid w:val="00FF425E"/>
    <w:rsid w:val="00FF4428"/>
    <w:rsid w:val="00FF46BF"/>
    <w:rsid w:val="00FF5064"/>
    <w:rsid w:val="00FF56FE"/>
    <w:rsid w:val="00FF6EA9"/>
    <w:rsid w:val="00FF725D"/>
    <w:rsid w:val="00FF77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570CB"/>
  <w15:docId w15:val="{8877B161-FAF6-45EE-8F00-4C3481F69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4F4D"/>
    <w:pPr>
      <w:spacing w:after="0" w:line="240" w:lineRule="auto"/>
    </w:pPr>
    <w:rPr>
      <w:rFonts w:ascii="Calibri" w:hAnsi="Calibri" w:cs="Calibri"/>
    </w:rPr>
  </w:style>
  <w:style w:type="paragraph" w:styleId="Nagwek1">
    <w:name w:val="heading 1"/>
    <w:basedOn w:val="Normalny"/>
    <w:next w:val="Normalny"/>
    <w:link w:val="Nagwek1Znak"/>
    <w:uiPriority w:val="9"/>
    <w:qFormat/>
    <w:rsid w:val="001F371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
    <w:qFormat/>
    <w:rsid w:val="00EA19A3"/>
    <w:pPr>
      <w:spacing w:before="100" w:beforeAutospacing="1" w:after="100" w:afterAutospacing="1"/>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62105A"/>
    <w:pPr>
      <w:spacing w:after="200" w:line="276" w:lineRule="auto"/>
      <w:ind w:left="720"/>
      <w:contextualSpacing/>
    </w:pPr>
    <w:rPr>
      <w:rFonts w:asciiTheme="minorHAnsi" w:hAnsiTheme="minorHAnsi" w:cstheme="minorBidi"/>
    </w:rPr>
  </w:style>
  <w:style w:type="paragraph" w:styleId="Tekstdymka">
    <w:name w:val="Balloon Text"/>
    <w:basedOn w:val="Normalny"/>
    <w:link w:val="TekstdymkaZnak"/>
    <w:uiPriority w:val="99"/>
    <w:semiHidden/>
    <w:unhideWhenUsed/>
    <w:rsid w:val="00A04F4D"/>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4F4D"/>
    <w:rPr>
      <w:rFonts w:ascii="Segoe UI" w:hAnsi="Segoe UI" w:cs="Segoe UI"/>
      <w:sz w:val="18"/>
      <w:szCs w:val="18"/>
    </w:rPr>
  </w:style>
  <w:style w:type="paragraph" w:styleId="HTML-wstpniesformatowany">
    <w:name w:val="HTML Preformatted"/>
    <w:basedOn w:val="Normalny"/>
    <w:link w:val="HTML-wstpniesformatowanyZnak"/>
    <w:uiPriority w:val="99"/>
    <w:semiHidden/>
    <w:unhideWhenUsed/>
    <w:rsid w:val="002E4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E4B38"/>
    <w:rPr>
      <w:rFonts w:ascii="Courier New" w:eastAsia="Times New Roman" w:hAnsi="Courier New" w:cs="Courier New"/>
      <w:sz w:val="20"/>
      <w:szCs w:val="20"/>
      <w:lang w:eastAsia="pl-PL"/>
    </w:rPr>
  </w:style>
  <w:style w:type="paragraph" w:styleId="Zwykytekst">
    <w:name w:val="Plain Text"/>
    <w:basedOn w:val="Normalny"/>
    <w:link w:val="ZwykytekstZnak"/>
    <w:uiPriority w:val="99"/>
    <w:semiHidden/>
    <w:unhideWhenUsed/>
    <w:rsid w:val="000E1845"/>
    <w:rPr>
      <w:rFonts w:ascii="Times New Roman" w:eastAsia="SimSun" w:hAnsi="Times New Roman" w:cs="Times New Roman"/>
      <w:sz w:val="28"/>
      <w:szCs w:val="28"/>
    </w:rPr>
  </w:style>
  <w:style w:type="character" w:customStyle="1" w:styleId="ZwykytekstZnak">
    <w:name w:val="Zwykły tekst Znak"/>
    <w:basedOn w:val="Domylnaczcionkaakapitu"/>
    <w:link w:val="Zwykytekst"/>
    <w:uiPriority w:val="99"/>
    <w:semiHidden/>
    <w:rsid w:val="000E1845"/>
    <w:rPr>
      <w:rFonts w:ascii="Times New Roman" w:eastAsia="SimSun" w:hAnsi="Times New Roman" w:cs="Times New Roman"/>
      <w:sz w:val="28"/>
      <w:szCs w:val="28"/>
    </w:rPr>
  </w:style>
  <w:style w:type="character" w:styleId="Odwoaniedokomentarza">
    <w:name w:val="annotation reference"/>
    <w:basedOn w:val="Domylnaczcionkaakapitu"/>
    <w:uiPriority w:val="99"/>
    <w:semiHidden/>
    <w:unhideWhenUsed/>
    <w:rsid w:val="008F5CA0"/>
    <w:rPr>
      <w:sz w:val="16"/>
      <w:szCs w:val="16"/>
    </w:rPr>
  </w:style>
  <w:style w:type="paragraph" w:styleId="Tekstkomentarza">
    <w:name w:val="annotation text"/>
    <w:basedOn w:val="Normalny"/>
    <w:link w:val="TekstkomentarzaZnak"/>
    <w:uiPriority w:val="99"/>
    <w:unhideWhenUsed/>
    <w:rsid w:val="008F5CA0"/>
    <w:rPr>
      <w:sz w:val="20"/>
      <w:szCs w:val="20"/>
    </w:rPr>
  </w:style>
  <w:style w:type="character" w:customStyle="1" w:styleId="TekstkomentarzaZnak">
    <w:name w:val="Tekst komentarza Znak"/>
    <w:basedOn w:val="Domylnaczcionkaakapitu"/>
    <w:link w:val="Tekstkomentarza"/>
    <w:uiPriority w:val="99"/>
    <w:rsid w:val="008F5CA0"/>
    <w:rPr>
      <w:sz w:val="20"/>
      <w:szCs w:val="20"/>
    </w:rPr>
  </w:style>
  <w:style w:type="paragraph" w:styleId="Tematkomentarza">
    <w:name w:val="annotation subject"/>
    <w:basedOn w:val="Tekstkomentarza"/>
    <w:next w:val="Tekstkomentarza"/>
    <w:link w:val="TematkomentarzaZnak"/>
    <w:uiPriority w:val="99"/>
    <w:semiHidden/>
    <w:unhideWhenUsed/>
    <w:rsid w:val="008F5CA0"/>
    <w:rPr>
      <w:b/>
      <w:bCs/>
    </w:rPr>
  </w:style>
  <w:style w:type="character" w:customStyle="1" w:styleId="TematkomentarzaZnak">
    <w:name w:val="Temat komentarza Znak"/>
    <w:basedOn w:val="TekstkomentarzaZnak"/>
    <w:link w:val="Tematkomentarza"/>
    <w:uiPriority w:val="99"/>
    <w:semiHidden/>
    <w:rsid w:val="008F5CA0"/>
    <w:rPr>
      <w:b/>
      <w:bCs/>
      <w:sz w:val="20"/>
      <w:szCs w:val="20"/>
    </w:rPr>
  </w:style>
  <w:style w:type="paragraph" w:styleId="Tekstprzypisudolnego">
    <w:name w:val="footnote text"/>
    <w:basedOn w:val="Normalny"/>
    <w:link w:val="TekstprzypisudolnegoZnak"/>
    <w:uiPriority w:val="99"/>
    <w:rsid w:val="00B511B4"/>
    <w:rPr>
      <w:rFonts w:ascii="Cambria" w:eastAsia="Cambria" w:hAnsi="Cambria" w:cs="Times New Roman"/>
      <w:sz w:val="20"/>
      <w:szCs w:val="20"/>
    </w:rPr>
  </w:style>
  <w:style w:type="character" w:customStyle="1" w:styleId="TekstprzypisudolnegoZnak">
    <w:name w:val="Tekst przypisu dolnego Znak"/>
    <w:basedOn w:val="Domylnaczcionkaakapitu"/>
    <w:link w:val="Tekstprzypisudolnego"/>
    <w:uiPriority w:val="99"/>
    <w:rsid w:val="00B511B4"/>
    <w:rPr>
      <w:rFonts w:ascii="Cambria" w:eastAsia="Cambria" w:hAnsi="Cambria" w:cs="Times New Roman"/>
      <w:sz w:val="20"/>
      <w:szCs w:val="20"/>
    </w:rPr>
  </w:style>
  <w:style w:type="character" w:styleId="Odwoanieprzypisudolnego">
    <w:name w:val="footnote reference"/>
    <w:aliases w:val="przypisy dolne,Footnote Reference Number,Footnote reference number,Footnote symbol,note TESI,SUPERS,EN Footnote Reference,Appel note de bas de p,Nota,Footnote Reference/,BVI fnr,Footnote Reference Superscript"/>
    <w:uiPriority w:val="99"/>
    <w:semiHidden/>
    <w:rsid w:val="00B511B4"/>
    <w:rPr>
      <w:vertAlign w:val="superscript"/>
    </w:rPr>
  </w:style>
  <w:style w:type="paragraph" w:customStyle="1" w:styleId="Default">
    <w:name w:val="Default"/>
    <w:rsid w:val="000C4EDB"/>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415647"/>
    <w:rPr>
      <w:sz w:val="20"/>
      <w:szCs w:val="20"/>
    </w:rPr>
  </w:style>
  <w:style w:type="character" w:customStyle="1" w:styleId="TekstprzypisukocowegoZnak">
    <w:name w:val="Tekst przypisu końcowego Znak"/>
    <w:basedOn w:val="Domylnaczcionkaakapitu"/>
    <w:link w:val="Tekstprzypisukocowego"/>
    <w:uiPriority w:val="99"/>
    <w:semiHidden/>
    <w:rsid w:val="00415647"/>
    <w:rPr>
      <w:rFonts w:ascii="Calibri" w:hAnsi="Calibri" w:cs="Calibri"/>
      <w:sz w:val="20"/>
      <w:szCs w:val="20"/>
    </w:rPr>
  </w:style>
  <w:style w:type="character" w:styleId="Odwoanieprzypisukocowego">
    <w:name w:val="endnote reference"/>
    <w:basedOn w:val="Domylnaczcionkaakapitu"/>
    <w:uiPriority w:val="99"/>
    <w:semiHidden/>
    <w:unhideWhenUsed/>
    <w:rsid w:val="00415647"/>
    <w:rPr>
      <w:vertAlign w:val="superscript"/>
    </w:rPr>
  </w:style>
  <w:style w:type="paragraph" w:styleId="NormalnyWeb">
    <w:name w:val="Normal (Web)"/>
    <w:basedOn w:val="Normalny"/>
    <w:uiPriority w:val="99"/>
    <w:semiHidden/>
    <w:unhideWhenUsed/>
    <w:rsid w:val="006C7248"/>
    <w:pPr>
      <w:spacing w:before="100" w:beforeAutospacing="1" w:after="100" w:afterAutospacing="1"/>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rsid w:val="00EA19A3"/>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EA19A3"/>
    <w:rPr>
      <w:b/>
      <w:bCs/>
    </w:rPr>
  </w:style>
  <w:style w:type="paragraph" w:styleId="Tekstpodstawowy">
    <w:name w:val="Body Text"/>
    <w:basedOn w:val="Normalny"/>
    <w:link w:val="TekstpodstawowyZnak"/>
    <w:uiPriority w:val="99"/>
    <w:rsid w:val="00DB6BD5"/>
    <w:pPr>
      <w:spacing w:after="120"/>
    </w:pPr>
    <w:rPr>
      <w:rFonts w:ascii="Cambria" w:eastAsia="Cambria" w:hAnsi="Cambria" w:cs="Times New Roman"/>
      <w:sz w:val="24"/>
      <w:szCs w:val="24"/>
    </w:rPr>
  </w:style>
  <w:style w:type="character" w:customStyle="1" w:styleId="TekstpodstawowyZnak">
    <w:name w:val="Tekst podstawowy Znak"/>
    <w:basedOn w:val="Domylnaczcionkaakapitu"/>
    <w:link w:val="Tekstpodstawowy"/>
    <w:uiPriority w:val="99"/>
    <w:rsid w:val="00DB6BD5"/>
    <w:rPr>
      <w:rFonts w:ascii="Cambria" w:eastAsia="Cambria" w:hAnsi="Cambria" w:cs="Times New Roman"/>
      <w:sz w:val="24"/>
      <w:szCs w:val="24"/>
    </w:rPr>
  </w:style>
  <w:style w:type="paragraph" w:styleId="Nagwek">
    <w:name w:val="header"/>
    <w:basedOn w:val="Normalny"/>
    <w:link w:val="NagwekZnak"/>
    <w:uiPriority w:val="99"/>
    <w:unhideWhenUsed/>
    <w:rsid w:val="001371B2"/>
    <w:pPr>
      <w:tabs>
        <w:tab w:val="center" w:pos="4536"/>
        <w:tab w:val="right" w:pos="9072"/>
      </w:tabs>
    </w:pPr>
  </w:style>
  <w:style w:type="character" w:customStyle="1" w:styleId="NagwekZnak">
    <w:name w:val="Nagłówek Znak"/>
    <w:basedOn w:val="Domylnaczcionkaakapitu"/>
    <w:link w:val="Nagwek"/>
    <w:uiPriority w:val="99"/>
    <w:rsid w:val="001371B2"/>
    <w:rPr>
      <w:rFonts w:ascii="Calibri" w:hAnsi="Calibri" w:cs="Calibri"/>
    </w:rPr>
  </w:style>
  <w:style w:type="paragraph" w:styleId="Stopka">
    <w:name w:val="footer"/>
    <w:basedOn w:val="Normalny"/>
    <w:link w:val="StopkaZnak"/>
    <w:uiPriority w:val="99"/>
    <w:unhideWhenUsed/>
    <w:rsid w:val="001371B2"/>
    <w:pPr>
      <w:tabs>
        <w:tab w:val="center" w:pos="4536"/>
        <w:tab w:val="right" w:pos="9072"/>
      </w:tabs>
    </w:pPr>
  </w:style>
  <w:style w:type="character" w:customStyle="1" w:styleId="StopkaZnak">
    <w:name w:val="Stopka Znak"/>
    <w:basedOn w:val="Domylnaczcionkaakapitu"/>
    <w:link w:val="Stopka"/>
    <w:uiPriority w:val="99"/>
    <w:rsid w:val="001371B2"/>
    <w:rPr>
      <w:rFonts w:ascii="Calibri" w:hAnsi="Calibri" w:cs="Calibri"/>
    </w:rPr>
  </w:style>
  <w:style w:type="paragraph" w:customStyle="1" w:styleId="USTustnpkodeksu">
    <w:name w:val="UST(§) – ust. (§ np. kodeksu)"/>
    <w:basedOn w:val="Normalny"/>
    <w:uiPriority w:val="12"/>
    <w:qFormat/>
    <w:rsid w:val="00B22BE9"/>
    <w:pPr>
      <w:suppressAutoHyphens/>
      <w:autoSpaceDE w:val="0"/>
      <w:autoSpaceDN w:val="0"/>
      <w:adjustRightInd w:val="0"/>
      <w:spacing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B22BE9"/>
    <w:pPr>
      <w:spacing w:after="0" w:line="360" w:lineRule="auto"/>
      <w:ind w:left="510" w:hanging="510"/>
      <w:jc w:val="both"/>
    </w:pPr>
    <w:rPr>
      <w:rFonts w:ascii="Times" w:eastAsiaTheme="minorEastAsia" w:hAnsi="Times" w:cs="Arial"/>
      <w:bCs/>
      <w:sz w:val="24"/>
      <w:szCs w:val="20"/>
      <w:lang w:eastAsia="pl-PL"/>
    </w:rPr>
  </w:style>
  <w:style w:type="character" w:customStyle="1" w:styleId="PKpogrubieniekursywa">
    <w:name w:val="_P_K_ – pogrubienie kursywa"/>
    <w:basedOn w:val="Domylnaczcionkaakapitu"/>
    <w:uiPriority w:val="1"/>
    <w:qFormat/>
    <w:rsid w:val="00B22BE9"/>
    <w:rPr>
      <w:b/>
      <w:i/>
    </w:rPr>
  </w:style>
  <w:style w:type="paragraph" w:customStyle="1" w:styleId="LITlitera">
    <w:name w:val="LIT – litera"/>
    <w:basedOn w:val="PKTpunkt"/>
    <w:uiPriority w:val="14"/>
    <w:qFormat/>
    <w:rsid w:val="0059126A"/>
    <w:pPr>
      <w:ind w:left="986" w:hanging="476"/>
    </w:pPr>
  </w:style>
  <w:style w:type="character" w:styleId="Hipercze">
    <w:name w:val="Hyperlink"/>
    <w:basedOn w:val="Domylnaczcionkaakapitu"/>
    <w:uiPriority w:val="99"/>
    <w:unhideWhenUsed/>
    <w:rsid w:val="0088702B"/>
    <w:rPr>
      <w:color w:val="0000FF"/>
      <w:u w:val="single"/>
    </w:rPr>
  </w:style>
  <w:style w:type="paragraph" w:customStyle="1" w:styleId="TekstpismaMF">
    <w:name w:val="Tekst pisma MF"/>
    <w:qFormat/>
    <w:rsid w:val="00F27998"/>
    <w:pPr>
      <w:spacing w:before="240" w:after="0" w:line="260" w:lineRule="exact"/>
      <w:contextualSpacing/>
    </w:pPr>
    <w:rPr>
      <w:rFonts w:ascii="Lato" w:hAnsi="Lato"/>
    </w:rPr>
  </w:style>
  <w:style w:type="paragraph" w:customStyle="1" w:styleId="ListanumeracjaMF">
    <w:name w:val="Lista numeracja MF"/>
    <w:link w:val="ListanumeracjaMFZnak"/>
    <w:qFormat/>
    <w:rsid w:val="00F27998"/>
    <w:pPr>
      <w:numPr>
        <w:numId w:val="1"/>
      </w:numPr>
      <w:spacing w:before="60" w:after="0" w:line="260" w:lineRule="exact"/>
      <w:ind w:left="284" w:hanging="284"/>
    </w:pPr>
    <w:rPr>
      <w:rFonts w:ascii="Lato" w:eastAsia="Lato" w:hAnsi="Lato"/>
      <w:lang w:eastAsia="pl-PL"/>
    </w:rPr>
  </w:style>
  <w:style w:type="character" w:customStyle="1" w:styleId="ListanumeracjaMFZnak">
    <w:name w:val="Lista numeracja MF Znak"/>
    <w:basedOn w:val="Domylnaczcionkaakapitu"/>
    <w:link w:val="ListanumeracjaMF"/>
    <w:rsid w:val="00F27998"/>
    <w:rPr>
      <w:rFonts w:ascii="Lato" w:eastAsia="Lato" w:hAnsi="Lato"/>
      <w:lang w:eastAsia="pl-PL"/>
    </w:rPr>
  </w:style>
  <w:style w:type="character" w:customStyle="1" w:styleId="AkapitzlistZnak">
    <w:name w:val="Akapit z listą Znak"/>
    <w:link w:val="Akapitzlist"/>
    <w:uiPriority w:val="34"/>
    <w:rsid w:val="00FC0622"/>
  </w:style>
  <w:style w:type="paragraph" w:customStyle="1" w:styleId="ZARTzmartartykuempunktem">
    <w:name w:val="Z/ART(§) – zm. art. (§) artykułem (punktem)"/>
    <w:basedOn w:val="Normalny"/>
    <w:uiPriority w:val="30"/>
    <w:qFormat/>
    <w:rsid w:val="00443D92"/>
    <w:pPr>
      <w:suppressAutoHyphens/>
      <w:autoSpaceDE w:val="0"/>
      <w:autoSpaceDN w:val="0"/>
      <w:adjustRightInd w:val="0"/>
      <w:spacing w:line="360" w:lineRule="auto"/>
      <w:ind w:left="510" w:firstLine="510"/>
      <w:jc w:val="both"/>
    </w:pPr>
    <w:rPr>
      <w:rFonts w:ascii="Times" w:eastAsiaTheme="minorEastAsia" w:hAnsi="Times" w:cs="Arial"/>
      <w:sz w:val="24"/>
      <w:szCs w:val="20"/>
      <w:lang w:eastAsia="pl-PL"/>
    </w:rPr>
  </w:style>
  <w:style w:type="paragraph" w:customStyle="1" w:styleId="ZUSTzmustartykuempunktem">
    <w:name w:val="Z/UST(§) – zm. ust. (§) artykułem (punktem)"/>
    <w:basedOn w:val="ZARTzmartartykuempunktem"/>
    <w:uiPriority w:val="30"/>
    <w:qFormat/>
    <w:rsid w:val="001E471E"/>
  </w:style>
  <w:style w:type="paragraph" w:customStyle="1" w:styleId="ZCZWSPPKTzmczciwsppktartykuempunktem">
    <w:name w:val="Z/CZ_WSP_PKT – zm. części wsp. pkt artykułem (punktem)"/>
    <w:basedOn w:val="Normalny"/>
    <w:next w:val="ZARTzmartartykuempunktem"/>
    <w:uiPriority w:val="34"/>
    <w:qFormat/>
    <w:rsid w:val="00270D34"/>
    <w:pPr>
      <w:spacing w:line="360" w:lineRule="auto"/>
      <w:ind w:left="510"/>
      <w:jc w:val="both"/>
    </w:pPr>
    <w:rPr>
      <w:rFonts w:ascii="Times" w:eastAsiaTheme="minorEastAsia" w:hAnsi="Times" w:cs="Arial"/>
      <w:bCs/>
      <w:sz w:val="24"/>
      <w:szCs w:val="20"/>
      <w:lang w:eastAsia="pl-PL"/>
    </w:rPr>
  </w:style>
  <w:style w:type="character" w:customStyle="1" w:styleId="Kkursywa">
    <w:name w:val="_K_ – kursywa"/>
    <w:basedOn w:val="Domylnaczcionkaakapitu"/>
    <w:uiPriority w:val="1"/>
    <w:qFormat/>
    <w:rsid w:val="001D7237"/>
    <w:rPr>
      <w:i/>
    </w:rPr>
  </w:style>
  <w:style w:type="paragraph" w:customStyle="1" w:styleId="ZPKTzmpktartykuempunktem">
    <w:name w:val="Z/PKT – zm. pkt artykułem (punktem)"/>
    <w:basedOn w:val="PKTpunkt"/>
    <w:uiPriority w:val="31"/>
    <w:qFormat/>
    <w:rsid w:val="00244310"/>
    <w:pPr>
      <w:ind w:left="1020"/>
    </w:pPr>
  </w:style>
  <w:style w:type="paragraph" w:customStyle="1" w:styleId="ARTartustawynprozporzdzenia">
    <w:name w:val="ART(§) – art. ustawy (§ np. rozporządzenia)"/>
    <w:uiPriority w:val="11"/>
    <w:qFormat/>
    <w:rsid w:val="00473B3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473B34"/>
    <w:rPr>
      <w:b/>
    </w:rPr>
  </w:style>
  <w:style w:type="paragraph" w:customStyle="1" w:styleId="CytatMF">
    <w:name w:val="Cytat MF"/>
    <w:basedOn w:val="TekstpismaMF"/>
    <w:qFormat/>
    <w:rsid w:val="005C3662"/>
    <w:pPr>
      <w:pBdr>
        <w:left w:val="single" w:sz="8" w:space="8" w:color="000000"/>
      </w:pBdr>
      <w:spacing w:before="40" w:line="240" w:lineRule="exact"/>
      <w:ind w:left="510"/>
    </w:pPr>
    <w:rPr>
      <w:sz w:val="20"/>
    </w:rPr>
  </w:style>
  <w:style w:type="character" w:styleId="Nierozpoznanawzmianka">
    <w:name w:val="Unresolved Mention"/>
    <w:basedOn w:val="Domylnaczcionkaakapitu"/>
    <w:uiPriority w:val="99"/>
    <w:semiHidden/>
    <w:unhideWhenUsed/>
    <w:rsid w:val="00AA2969"/>
    <w:rPr>
      <w:color w:val="605E5C"/>
      <w:shd w:val="clear" w:color="auto" w:fill="E1DFDD"/>
    </w:rPr>
  </w:style>
  <w:style w:type="character" w:customStyle="1" w:styleId="Nagwek1Znak">
    <w:name w:val="Nagłówek 1 Znak"/>
    <w:basedOn w:val="Domylnaczcionkaakapitu"/>
    <w:link w:val="Nagwek1"/>
    <w:uiPriority w:val="9"/>
    <w:rsid w:val="001F371F"/>
    <w:rPr>
      <w:rFonts w:asciiTheme="majorHAnsi" w:eastAsiaTheme="majorEastAsia" w:hAnsiTheme="majorHAnsi" w:cstheme="majorBidi"/>
      <w:color w:val="2E74B5" w:themeColor="accent1" w:themeShade="BF"/>
      <w:sz w:val="32"/>
      <w:szCs w:val="32"/>
    </w:rPr>
  </w:style>
  <w:style w:type="paragraph" w:customStyle="1" w:styleId="ZLITUSTzmustliter">
    <w:name w:val="Z_LIT/UST(§) – zm. ust. (§) literą"/>
    <w:basedOn w:val="Normalny"/>
    <w:uiPriority w:val="46"/>
    <w:qFormat/>
    <w:rsid w:val="00584E79"/>
    <w:pPr>
      <w:suppressAutoHyphens/>
      <w:autoSpaceDE w:val="0"/>
      <w:autoSpaceDN w:val="0"/>
      <w:adjustRightInd w:val="0"/>
      <w:spacing w:line="360" w:lineRule="auto"/>
      <w:ind w:left="987" w:firstLine="510"/>
      <w:jc w:val="both"/>
    </w:pPr>
    <w:rPr>
      <w:rFonts w:ascii="Times" w:eastAsiaTheme="minorEastAsia" w:hAnsi="Times" w:cs="Arial"/>
      <w:bCs/>
      <w:sz w:val="24"/>
      <w:szCs w:val="20"/>
      <w:lang w:eastAsia="pl-PL"/>
    </w:rPr>
  </w:style>
  <w:style w:type="table" w:styleId="Tabela-Siatka">
    <w:name w:val="Table Grid"/>
    <w:basedOn w:val="Standardowy"/>
    <w:uiPriority w:val="39"/>
    <w:rsid w:val="00ED1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5A4CA2"/>
    <w:rPr>
      <w:i/>
      <w:iCs/>
    </w:rPr>
  </w:style>
  <w:style w:type="character" w:styleId="UyteHipercze">
    <w:name w:val="FollowedHyperlink"/>
    <w:basedOn w:val="Domylnaczcionkaakapitu"/>
    <w:uiPriority w:val="99"/>
    <w:semiHidden/>
    <w:unhideWhenUsed/>
    <w:rsid w:val="003C5B50"/>
    <w:rPr>
      <w:color w:val="954F72" w:themeColor="followedHyperlink"/>
      <w:u w:val="single"/>
    </w:rPr>
  </w:style>
  <w:style w:type="paragraph" w:styleId="Poprawka">
    <w:name w:val="Revision"/>
    <w:hidden/>
    <w:uiPriority w:val="99"/>
    <w:semiHidden/>
    <w:rsid w:val="008F269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702">
      <w:bodyDiv w:val="1"/>
      <w:marLeft w:val="0"/>
      <w:marRight w:val="0"/>
      <w:marTop w:val="0"/>
      <w:marBottom w:val="0"/>
      <w:divBdr>
        <w:top w:val="none" w:sz="0" w:space="0" w:color="auto"/>
        <w:left w:val="none" w:sz="0" w:space="0" w:color="auto"/>
        <w:bottom w:val="none" w:sz="0" w:space="0" w:color="auto"/>
        <w:right w:val="none" w:sz="0" w:space="0" w:color="auto"/>
      </w:divBdr>
    </w:div>
    <w:div w:id="6058580">
      <w:bodyDiv w:val="1"/>
      <w:marLeft w:val="0"/>
      <w:marRight w:val="0"/>
      <w:marTop w:val="0"/>
      <w:marBottom w:val="0"/>
      <w:divBdr>
        <w:top w:val="none" w:sz="0" w:space="0" w:color="auto"/>
        <w:left w:val="none" w:sz="0" w:space="0" w:color="auto"/>
        <w:bottom w:val="none" w:sz="0" w:space="0" w:color="auto"/>
        <w:right w:val="none" w:sz="0" w:space="0" w:color="auto"/>
      </w:divBdr>
      <w:divsChild>
        <w:div w:id="1831409645">
          <w:marLeft w:val="0"/>
          <w:marRight w:val="0"/>
          <w:marTop w:val="0"/>
          <w:marBottom w:val="0"/>
          <w:divBdr>
            <w:top w:val="none" w:sz="0" w:space="0" w:color="auto"/>
            <w:left w:val="none" w:sz="0" w:space="0" w:color="auto"/>
            <w:bottom w:val="none" w:sz="0" w:space="0" w:color="auto"/>
            <w:right w:val="none" w:sz="0" w:space="0" w:color="auto"/>
          </w:divBdr>
        </w:div>
      </w:divsChild>
    </w:div>
    <w:div w:id="19672967">
      <w:bodyDiv w:val="1"/>
      <w:marLeft w:val="0"/>
      <w:marRight w:val="0"/>
      <w:marTop w:val="0"/>
      <w:marBottom w:val="0"/>
      <w:divBdr>
        <w:top w:val="none" w:sz="0" w:space="0" w:color="auto"/>
        <w:left w:val="none" w:sz="0" w:space="0" w:color="auto"/>
        <w:bottom w:val="none" w:sz="0" w:space="0" w:color="auto"/>
        <w:right w:val="none" w:sz="0" w:space="0" w:color="auto"/>
      </w:divBdr>
      <w:divsChild>
        <w:div w:id="666597855">
          <w:marLeft w:val="0"/>
          <w:marRight w:val="0"/>
          <w:marTop w:val="0"/>
          <w:marBottom w:val="0"/>
          <w:divBdr>
            <w:top w:val="none" w:sz="0" w:space="0" w:color="auto"/>
            <w:left w:val="none" w:sz="0" w:space="0" w:color="auto"/>
            <w:bottom w:val="none" w:sz="0" w:space="0" w:color="auto"/>
            <w:right w:val="none" w:sz="0" w:space="0" w:color="auto"/>
          </w:divBdr>
        </w:div>
      </w:divsChild>
    </w:div>
    <w:div w:id="22942201">
      <w:bodyDiv w:val="1"/>
      <w:marLeft w:val="0"/>
      <w:marRight w:val="0"/>
      <w:marTop w:val="0"/>
      <w:marBottom w:val="0"/>
      <w:divBdr>
        <w:top w:val="none" w:sz="0" w:space="0" w:color="auto"/>
        <w:left w:val="none" w:sz="0" w:space="0" w:color="auto"/>
        <w:bottom w:val="none" w:sz="0" w:space="0" w:color="auto"/>
        <w:right w:val="none" w:sz="0" w:space="0" w:color="auto"/>
      </w:divBdr>
      <w:divsChild>
        <w:div w:id="808212353">
          <w:marLeft w:val="0"/>
          <w:marRight w:val="0"/>
          <w:marTop w:val="0"/>
          <w:marBottom w:val="0"/>
          <w:divBdr>
            <w:top w:val="none" w:sz="0" w:space="0" w:color="auto"/>
            <w:left w:val="none" w:sz="0" w:space="0" w:color="auto"/>
            <w:bottom w:val="none" w:sz="0" w:space="0" w:color="auto"/>
            <w:right w:val="none" w:sz="0" w:space="0" w:color="auto"/>
          </w:divBdr>
        </w:div>
      </w:divsChild>
    </w:div>
    <w:div w:id="159279312">
      <w:bodyDiv w:val="1"/>
      <w:marLeft w:val="0"/>
      <w:marRight w:val="0"/>
      <w:marTop w:val="0"/>
      <w:marBottom w:val="0"/>
      <w:divBdr>
        <w:top w:val="none" w:sz="0" w:space="0" w:color="auto"/>
        <w:left w:val="none" w:sz="0" w:space="0" w:color="auto"/>
        <w:bottom w:val="none" w:sz="0" w:space="0" w:color="auto"/>
        <w:right w:val="none" w:sz="0" w:space="0" w:color="auto"/>
      </w:divBdr>
    </w:div>
    <w:div w:id="194850688">
      <w:bodyDiv w:val="1"/>
      <w:marLeft w:val="0"/>
      <w:marRight w:val="0"/>
      <w:marTop w:val="0"/>
      <w:marBottom w:val="0"/>
      <w:divBdr>
        <w:top w:val="none" w:sz="0" w:space="0" w:color="auto"/>
        <w:left w:val="none" w:sz="0" w:space="0" w:color="auto"/>
        <w:bottom w:val="none" w:sz="0" w:space="0" w:color="auto"/>
        <w:right w:val="none" w:sz="0" w:space="0" w:color="auto"/>
      </w:divBdr>
    </w:div>
    <w:div w:id="232469567">
      <w:bodyDiv w:val="1"/>
      <w:marLeft w:val="0"/>
      <w:marRight w:val="0"/>
      <w:marTop w:val="0"/>
      <w:marBottom w:val="0"/>
      <w:divBdr>
        <w:top w:val="none" w:sz="0" w:space="0" w:color="auto"/>
        <w:left w:val="none" w:sz="0" w:space="0" w:color="auto"/>
        <w:bottom w:val="none" w:sz="0" w:space="0" w:color="auto"/>
        <w:right w:val="none" w:sz="0" w:space="0" w:color="auto"/>
      </w:divBdr>
    </w:div>
    <w:div w:id="255604063">
      <w:bodyDiv w:val="1"/>
      <w:marLeft w:val="0"/>
      <w:marRight w:val="0"/>
      <w:marTop w:val="0"/>
      <w:marBottom w:val="0"/>
      <w:divBdr>
        <w:top w:val="none" w:sz="0" w:space="0" w:color="auto"/>
        <w:left w:val="none" w:sz="0" w:space="0" w:color="auto"/>
        <w:bottom w:val="none" w:sz="0" w:space="0" w:color="auto"/>
        <w:right w:val="none" w:sz="0" w:space="0" w:color="auto"/>
      </w:divBdr>
    </w:div>
    <w:div w:id="275186664">
      <w:bodyDiv w:val="1"/>
      <w:marLeft w:val="0"/>
      <w:marRight w:val="0"/>
      <w:marTop w:val="0"/>
      <w:marBottom w:val="0"/>
      <w:divBdr>
        <w:top w:val="none" w:sz="0" w:space="0" w:color="auto"/>
        <w:left w:val="none" w:sz="0" w:space="0" w:color="auto"/>
        <w:bottom w:val="none" w:sz="0" w:space="0" w:color="auto"/>
        <w:right w:val="none" w:sz="0" w:space="0" w:color="auto"/>
      </w:divBdr>
    </w:div>
    <w:div w:id="279729861">
      <w:bodyDiv w:val="1"/>
      <w:marLeft w:val="0"/>
      <w:marRight w:val="0"/>
      <w:marTop w:val="0"/>
      <w:marBottom w:val="0"/>
      <w:divBdr>
        <w:top w:val="none" w:sz="0" w:space="0" w:color="auto"/>
        <w:left w:val="none" w:sz="0" w:space="0" w:color="auto"/>
        <w:bottom w:val="none" w:sz="0" w:space="0" w:color="auto"/>
        <w:right w:val="none" w:sz="0" w:space="0" w:color="auto"/>
      </w:divBdr>
    </w:div>
    <w:div w:id="348027744">
      <w:bodyDiv w:val="1"/>
      <w:marLeft w:val="0"/>
      <w:marRight w:val="0"/>
      <w:marTop w:val="0"/>
      <w:marBottom w:val="0"/>
      <w:divBdr>
        <w:top w:val="none" w:sz="0" w:space="0" w:color="auto"/>
        <w:left w:val="none" w:sz="0" w:space="0" w:color="auto"/>
        <w:bottom w:val="none" w:sz="0" w:space="0" w:color="auto"/>
        <w:right w:val="none" w:sz="0" w:space="0" w:color="auto"/>
      </w:divBdr>
    </w:div>
    <w:div w:id="373890649">
      <w:bodyDiv w:val="1"/>
      <w:marLeft w:val="0"/>
      <w:marRight w:val="0"/>
      <w:marTop w:val="0"/>
      <w:marBottom w:val="0"/>
      <w:divBdr>
        <w:top w:val="none" w:sz="0" w:space="0" w:color="auto"/>
        <w:left w:val="none" w:sz="0" w:space="0" w:color="auto"/>
        <w:bottom w:val="none" w:sz="0" w:space="0" w:color="auto"/>
        <w:right w:val="none" w:sz="0" w:space="0" w:color="auto"/>
      </w:divBdr>
    </w:div>
    <w:div w:id="390426479">
      <w:bodyDiv w:val="1"/>
      <w:marLeft w:val="0"/>
      <w:marRight w:val="0"/>
      <w:marTop w:val="0"/>
      <w:marBottom w:val="0"/>
      <w:divBdr>
        <w:top w:val="none" w:sz="0" w:space="0" w:color="auto"/>
        <w:left w:val="none" w:sz="0" w:space="0" w:color="auto"/>
        <w:bottom w:val="none" w:sz="0" w:space="0" w:color="auto"/>
        <w:right w:val="none" w:sz="0" w:space="0" w:color="auto"/>
      </w:divBdr>
      <w:divsChild>
        <w:div w:id="478499519">
          <w:marLeft w:val="0"/>
          <w:marRight w:val="0"/>
          <w:marTop w:val="0"/>
          <w:marBottom w:val="0"/>
          <w:divBdr>
            <w:top w:val="none" w:sz="0" w:space="0" w:color="auto"/>
            <w:left w:val="none" w:sz="0" w:space="0" w:color="auto"/>
            <w:bottom w:val="none" w:sz="0" w:space="0" w:color="auto"/>
            <w:right w:val="none" w:sz="0" w:space="0" w:color="auto"/>
          </w:divBdr>
        </w:div>
      </w:divsChild>
    </w:div>
    <w:div w:id="405029711">
      <w:bodyDiv w:val="1"/>
      <w:marLeft w:val="0"/>
      <w:marRight w:val="0"/>
      <w:marTop w:val="0"/>
      <w:marBottom w:val="0"/>
      <w:divBdr>
        <w:top w:val="none" w:sz="0" w:space="0" w:color="auto"/>
        <w:left w:val="none" w:sz="0" w:space="0" w:color="auto"/>
        <w:bottom w:val="none" w:sz="0" w:space="0" w:color="auto"/>
        <w:right w:val="none" w:sz="0" w:space="0" w:color="auto"/>
      </w:divBdr>
    </w:div>
    <w:div w:id="474764302">
      <w:bodyDiv w:val="1"/>
      <w:marLeft w:val="0"/>
      <w:marRight w:val="0"/>
      <w:marTop w:val="0"/>
      <w:marBottom w:val="0"/>
      <w:divBdr>
        <w:top w:val="none" w:sz="0" w:space="0" w:color="auto"/>
        <w:left w:val="none" w:sz="0" w:space="0" w:color="auto"/>
        <w:bottom w:val="none" w:sz="0" w:space="0" w:color="auto"/>
        <w:right w:val="none" w:sz="0" w:space="0" w:color="auto"/>
      </w:divBdr>
    </w:div>
    <w:div w:id="597563155">
      <w:bodyDiv w:val="1"/>
      <w:marLeft w:val="0"/>
      <w:marRight w:val="0"/>
      <w:marTop w:val="0"/>
      <w:marBottom w:val="0"/>
      <w:divBdr>
        <w:top w:val="none" w:sz="0" w:space="0" w:color="auto"/>
        <w:left w:val="none" w:sz="0" w:space="0" w:color="auto"/>
        <w:bottom w:val="none" w:sz="0" w:space="0" w:color="auto"/>
        <w:right w:val="none" w:sz="0" w:space="0" w:color="auto"/>
      </w:divBdr>
    </w:div>
    <w:div w:id="598370470">
      <w:bodyDiv w:val="1"/>
      <w:marLeft w:val="0"/>
      <w:marRight w:val="0"/>
      <w:marTop w:val="0"/>
      <w:marBottom w:val="0"/>
      <w:divBdr>
        <w:top w:val="none" w:sz="0" w:space="0" w:color="auto"/>
        <w:left w:val="none" w:sz="0" w:space="0" w:color="auto"/>
        <w:bottom w:val="none" w:sz="0" w:space="0" w:color="auto"/>
        <w:right w:val="none" w:sz="0" w:space="0" w:color="auto"/>
      </w:divBdr>
    </w:div>
    <w:div w:id="599727974">
      <w:bodyDiv w:val="1"/>
      <w:marLeft w:val="0"/>
      <w:marRight w:val="0"/>
      <w:marTop w:val="0"/>
      <w:marBottom w:val="0"/>
      <w:divBdr>
        <w:top w:val="none" w:sz="0" w:space="0" w:color="auto"/>
        <w:left w:val="none" w:sz="0" w:space="0" w:color="auto"/>
        <w:bottom w:val="none" w:sz="0" w:space="0" w:color="auto"/>
        <w:right w:val="none" w:sz="0" w:space="0" w:color="auto"/>
      </w:divBdr>
    </w:div>
    <w:div w:id="616066856">
      <w:bodyDiv w:val="1"/>
      <w:marLeft w:val="0"/>
      <w:marRight w:val="0"/>
      <w:marTop w:val="0"/>
      <w:marBottom w:val="0"/>
      <w:divBdr>
        <w:top w:val="none" w:sz="0" w:space="0" w:color="auto"/>
        <w:left w:val="none" w:sz="0" w:space="0" w:color="auto"/>
        <w:bottom w:val="none" w:sz="0" w:space="0" w:color="auto"/>
        <w:right w:val="none" w:sz="0" w:space="0" w:color="auto"/>
      </w:divBdr>
    </w:div>
    <w:div w:id="638341001">
      <w:bodyDiv w:val="1"/>
      <w:marLeft w:val="0"/>
      <w:marRight w:val="0"/>
      <w:marTop w:val="0"/>
      <w:marBottom w:val="0"/>
      <w:divBdr>
        <w:top w:val="none" w:sz="0" w:space="0" w:color="auto"/>
        <w:left w:val="none" w:sz="0" w:space="0" w:color="auto"/>
        <w:bottom w:val="none" w:sz="0" w:space="0" w:color="auto"/>
        <w:right w:val="none" w:sz="0" w:space="0" w:color="auto"/>
      </w:divBdr>
    </w:div>
    <w:div w:id="673412370">
      <w:bodyDiv w:val="1"/>
      <w:marLeft w:val="0"/>
      <w:marRight w:val="0"/>
      <w:marTop w:val="0"/>
      <w:marBottom w:val="0"/>
      <w:divBdr>
        <w:top w:val="none" w:sz="0" w:space="0" w:color="auto"/>
        <w:left w:val="none" w:sz="0" w:space="0" w:color="auto"/>
        <w:bottom w:val="none" w:sz="0" w:space="0" w:color="auto"/>
        <w:right w:val="none" w:sz="0" w:space="0" w:color="auto"/>
      </w:divBdr>
    </w:div>
    <w:div w:id="677922182">
      <w:bodyDiv w:val="1"/>
      <w:marLeft w:val="0"/>
      <w:marRight w:val="0"/>
      <w:marTop w:val="0"/>
      <w:marBottom w:val="0"/>
      <w:divBdr>
        <w:top w:val="none" w:sz="0" w:space="0" w:color="auto"/>
        <w:left w:val="none" w:sz="0" w:space="0" w:color="auto"/>
        <w:bottom w:val="none" w:sz="0" w:space="0" w:color="auto"/>
        <w:right w:val="none" w:sz="0" w:space="0" w:color="auto"/>
      </w:divBdr>
    </w:div>
    <w:div w:id="703168104">
      <w:bodyDiv w:val="1"/>
      <w:marLeft w:val="0"/>
      <w:marRight w:val="0"/>
      <w:marTop w:val="0"/>
      <w:marBottom w:val="0"/>
      <w:divBdr>
        <w:top w:val="none" w:sz="0" w:space="0" w:color="auto"/>
        <w:left w:val="none" w:sz="0" w:space="0" w:color="auto"/>
        <w:bottom w:val="none" w:sz="0" w:space="0" w:color="auto"/>
        <w:right w:val="none" w:sz="0" w:space="0" w:color="auto"/>
      </w:divBdr>
    </w:div>
    <w:div w:id="744449355">
      <w:bodyDiv w:val="1"/>
      <w:marLeft w:val="0"/>
      <w:marRight w:val="0"/>
      <w:marTop w:val="0"/>
      <w:marBottom w:val="0"/>
      <w:divBdr>
        <w:top w:val="none" w:sz="0" w:space="0" w:color="auto"/>
        <w:left w:val="none" w:sz="0" w:space="0" w:color="auto"/>
        <w:bottom w:val="none" w:sz="0" w:space="0" w:color="auto"/>
        <w:right w:val="none" w:sz="0" w:space="0" w:color="auto"/>
      </w:divBdr>
      <w:divsChild>
        <w:div w:id="1010907652">
          <w:marLeft w:val="0"/>
          <w:marRight w:val="0"/>
          <w:marTop w:val="0"/>
          <w:marBottom w:val="0"/>
          <w:divBdr>
            <w:top w:val="none" w:sz="0" w:space="0" w:color="auto"/>
            <w:left w:val="none" w:sz="0" w:space="0" w:color="auto"/>
            <w:bottom w:val="none" w:sz="0" w:space="0" w:color="auto"/>
            <w:right w:val="none" w:sz="0" w:space="0" w:color="auto"/>
          </w:divBdr>
        </w:div>
        <w:div w:id="1206404982">
          <w:marLeft w:val="0"/>
          <w:marRight w:val="0"/>
          <w:marTop w:val="0"/>
          <w:marBottom w:val="0"/>
          <w:divBdr>
            <w:top w:val="none" w:sz="0" w:space="0" w:color="auto"/>
            <w:left w:val="none" w:sz="0" w:space="0" w:color="auto"/>
            <w:bottom w:val="none" w:sz="0" w:space="0" w:color="auto"/>
            <w:right w:val="none" w:sz="0" w:space="0" w:color="auto"/>
          </w:divBdr>
        </w:div>
        <w:div w:id="219053862">
          <w:marLeft w:val="0"/>
          <w:marRight w:val="0"/>
          <w:marTop w:val="0"/>
          <w:marBottom w:val="0"/>
          <w:divBdr>
            <w:top w:val="none" w:sz="0" w:space="0" w:color="auto"/>
            <w:left w:val="none" w:sz="0" w:space="0" w:color="auto"/>
            <w:bottom w:val="none" w:sz="0" w:space="0" w:color="auto"/>
            <w:right w:val="none" w:sz="0" w:space="0" w:color="auto"/>
          </w:divBdr>
        </w:div>
        <w:div w:id="1944805628">
          <w:marLeft w:val="0"/>
          <w:marRight w:val="0"/>
          <w:marTop w:val="0"/>
          <w:marBottom w:val="0"/>
          <w:divBdr>
            <w:top w:val="none" w:sz="0" w:space="0" w:color="auto"/>
            <w:left w:val="none" w:sz="0" w:space="0" w:color="auto"/>
            <w:bottom w:val="none" w:sz="0" w:space="0" w:color="auto"/>
            <w:right w:val="none" w:sz="0" w:space="0" w:color="auto"/>
          </w:divBdr>
        </w:div>
        <w:div w:id="1039667442">
          <w:marLeft w:val="0"/>
          <w:marRight w:val="0"/>
          <w:marTop w:val="0"/>
          <w:marBottom w:val="0"/>
          <w:divBdr>
            <w:top w:val="none" w:sz="0" w:space="0" w:color="auto"/>
            <w:left w:val="none" w:sz="0" w:space="0" w:color="auto"/>
            <w:bottom w:val="none" w:sz="0" w:space="0" w:color="auto"/>
            <w:right w:val="none" w:sz="0" w:space="0" w:color="auto"/>
          </w:divBdr>
        </w:div>
      </w:divsChild>
    </w:div>
    <w:div w:id="802695416">
      <w:bodyDiv w:val="1"/>
      <w:marLeft w:val="0"/>
      <w:marRight w:val="0"/>
      <w:marTop w:val="0"/>
      <w:marBottom w:val="0"/>
      <w:divBdr>
        <w:top w:val="none" w:sz="0" w:space="0" w:color="auto"/>
        <w:left w:val="none" w:sz="0" w:space="0" w:color="auto"/>
        <w:bottom w:val="none" w:sz="0" w:space="0" w:color="auto"/>
        <w:right w:val="none" w:sz="0" w:space="0" w:color="auto"/>
      </w:divBdr>
    </w:div>
    <w:div w:id="821695839">
      <w:bodyDiv w:val="1"/>
      <w:marLeft w:val="0"/>
      <w:marRight w:val="0"/>
      <w:marTop w:val="0"/>
      <w:marBottom w:val="0"/>
      <w:divBdr>
        <w:top w:val="none" w:sz="0" w:space="0" w:color="auto"/>
        <w:left w:val="none" w:sz="0" w:space="0" w:color="auto"/>
        <w:bottom w:val="none" w:sz="0" w:space="0" w:color="auto"/>
        <w:right w:val="none" w:sz="0" w:space="0" w:color="auto"/>
      </w:divBdr>
    </w:div>
    <w:div w:id="821846950">
      <w:bodyDiv w:val="1"/>
      <w:marLeft w:val="0"/>
      <w:marRight w:val="0"/>
      <w:marTop w:val="0"/>
      <w:marBottom w:val="0"/>
      <w:divBdr>
        <w:top w:val="none" w:sz="0" w:space="0" w:color="auto"/>
        <w:left w:val="none" w:sz="0" w:space="0" w:color="auto"/>
        <w:bottom w:val="none" w:sz="0" w:space="0" w:color="auto"/>
        <w:right w:val="none" w:sz="0" w:space="0" w:color="auto"/>
      </w:divBdr>
    </w:div>
    <w:div w:id="848525923">
      <w:bodyDiv w:val="1"/>
      <w:marLeft w:val="0"/>
      <w:marRight w:val="0"/>
      <w:marTop w:val="0"/>
      <w:marBottom w:val="0"/>
      <w:divBdr>
        <w:top w:val="none" w:sz="0" w:space="0" w:color="auto"/>
        <w:left w:val="none" w:sz="0" w:space="0" w:color="auto"/>
        <w:bottom w:val="none" w:sz="0" w:space="0" w:color="auto"/>
        <w:right w:val="none" w:sz="0" w:space="0" w:color="auto"/>
      </w:divBdr>
    </w:div>
    <w:div w:id="851261512">
      <w:bodyDiv w:val="1"/>
      <w:marLeft w:val="0"/>
      <w:marRight w:val="0"/>
      <w:marTop w:val="0"/>
      <w:marBottom w:val="0"/>
      <w:divBdr>
        <w:top w:val="none" w:sz="0" w:space="0" w:color="auto"/>
        <w:left w:val="none" w:sz="0" w:space="0" w:color="auto"/>
        <w:bottom w:val="none" w:sz="0" w:space="0" w:color="auto"/>
        <w:right w:val="none" w:sz="0" w:space="0" w:color="auto"/>
      </w:divBdr>
      <w:divsChild>
        <w:div w:id="1115102028">
          <w:marLeft w:val="0"/>
          <w:marRight w:val="0"/>
          <w:marTop w:val="0"/>
          <w:marBottom w:val="0"/>
          <w:divBdr>
            <w:top w:val="none" w:sz="0" w:space="0" w:color="auto"/>
            <w:left w:val="none" w:sz="0" w:space="0" w:color="auto"/>
            <w:bottom w:val="none" w:sz="0" w:space="0" w:color="auto"/>
            <w:right w:val="none" w:sz="0" w:space="0" w:color="auto"/>
          </w:divBdr>
          <w:divsChild>
            <w:div w:id="302738531">
              <w:marLeft w:val="0"/>
              <w:marRight w:val="0"/>
              <w:marTop w:val="105"/>
              <w:marBottom w:val="0"/>
              <w:divBdr>
                <w:top w:val="none" w:sz="0" w:space="0" w:color="auto"/>
                <w:left w:val="none" w:sz="0" w:space="0" w:color="auto"/>
                <w:bottom w:val="none" w:sz="0" w:space="0" w:color="auto"/>
                <w:right w:val="none" w:sz="0" w:space="0" w:color="auto"/>
              </w:divBdr>
            </w:div>
          </w:divsChild>
        </w:div>
        <w:div w:id="1614361074">
          <w:marLeft w:val="0"/>
          <w:marRight w:val="0"/>
          <w:marTop w:val="0"/>
          <w:marBottom w:val="0"/>
          <w:divBdr>
            <w:top w:val="none" w:sz="0" w:space="0" w:color="auto"/>
            <w:left w:val="none" w:sz="0" w:space="0" w:color="auto"/>
            <w:bottom w:val="none" w:sz="0" w:space="0" w:color="auto"/>
            <w:right w:val="none" w:sz="0" w:space="0" w:color="auto"/>
          </w:divBdr>
          <w:divsChild>
            <w:div w:id="104093655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886835203">
      <w:bodyDiv w:val="1"/>
      <w:marLeft w:val="0"/>
      <w:marRight w:val="0"/>
      <w:marTop w:val="0"/>
      <w:marBottom w:val="0"/>
      <w:divBdr>
        <w:top w:val="none" w:sz="0" w:space="0" w:color="auto"/>
        <w:left w:val="none" w:sz="0" w:space="0" w:color="auto"/>
        <w:bottom w:val="none" w:sz="0" w:space="0" w:color="auto"/>
        <w:right w:val="none" w:sz="0" w:space="0" w:color="auto"/>
      </w:divBdr>
      <w:divsChild>
        <w:div w:id="1422529345">
          <w:marLeft w:val="0"/>
          <w:marRight w:val="0"/>
          <w:marTop w:val="0"/>
          <w:marBottom w:val="0"/>
          <w:divBdr>
            <w:top w:val="none" w:sz="0" w:space="0" w:color="auto"/>
            <w:left w:val="none" w:sz="0" w:space="0" w:color="auto"/>
            <w:bottom w:val="none" w:sz="0" w:space="0" w:color="auto"/>
            <w:right w:val="none" w:sz="0" w:space="0" w:color="auto"/>
          </w:divBdr>
          <w:divsChild>
            <w:div w:id="1475294858">
              <w:marLeft w:val="0"/>
              <w:marRight w:val="0"/>
              <w:marTop w:val="0"/>
              <w:marBottom w:val="0"/>
              <w:divBdr>
                <w:top w:val="none" w:sz="0" w:space="0" w:color="auto"/>
                <w:left w:val="none" w:sz="0" w:space="0" w:color="auto"/>
                <w:bottom w:val="none" w:sz="0" w:space="0" w:color="auto"/>
                <w:right w:val="none" w:sz="0" w:space="0" w:color="auto"/>
              </w:divBdr>
              <w:divsChild>
                <w:div w:id="113305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23186">
      <w:bodyDiv w:val="1"/>
      <w:marLeft w:val="0"/>
      <w:marRight w:val="0"/>
      <w:marTop w:val="0"/>
      <w:marBottom w:val="0"/>
      <w:divBdr>
        <w:top w:val="none" w:sz="0" w:space="0" w:color="auto"/>
        <w:left w:val="none" w:sz="0" w:space="0" w:color="auto"/>
        <w:bottom w:val="none" w:sz="0" w:space="0" w:color="auto"/>
        <w:right w:val="none" w:sz="0" w:space="0" w:color="auto"/>
      </w:divBdr>
      <w:divsChild>
        <w:div w:id="398867046">
          <w:marLeft w:val="0"/>
          <w:marRight w:val="0"/>
          <w:marTop w:val="0"/>
          <w:marBottom w:val="0"/>
          <w:divBdr>
            <w:top w:val="none" w:sz="0" w:space="0" w:color="auto"/>
            <w:left w:val="none" w:sz="0" w:space="0" w:color="auto"/>
            <w:bottom w:val="none" w:sz="0" w:space="0" w:color="auto"/>
            <w:right w:val="none" w:sz="0" w:space="0" w:color="auto"/>
          </w:divBdr>
        </w:div>
        <w:div w:id="1643776809">
          <w:marLeft w:val="0"/>
          <w:marRight w:val="0"/>
          <w:marTop w:val="0"/>
          <w:marBottom w:val="0"/>
          <w:divBdr>
            <w:top w:val="none" w:sz="0" w:space="0" w:color="auto"/>
            <w:left w:val="none" w:sz="0" w:space="0" w:color="auto"/>
            <w:bottom w:val="none" w:sz="0" w:space="0" w:color="auto"/>
            <w:right w:val="none" w:sz="0" w:space="0" w:color="auto"/>
          </w:divBdr>
        </w:div>
        <w:div w:id="946157595">
          <w:marLeft w:val="0"/>
          <w:marRight w:val="0"/>
          <w:marTop w:val="0"/>
          <w:marBottom w:val="0"/>
          <w:divBdr>
            <w:top w:val="none" w:sz="0" w:space="0" w:color="auto"/>
            <w:left w:val="none" w:sz="0" w:space="0" w:color="auto"/>
            <w:bottom w:val="none" w:sz="0" w:space="0" w:color="auto"/>
            <w:right w:val="none" w:sz="0" w:space="0" w:color="auto"/>
          </w:divBdr>
        </w:div>
        <w:div w:id="100535812">
          <w:marLeft w:val="0"/>
          <w:marRight w:val="0"/>
          <w:marTop w:val="0"/>
          <w:marBottom w:val="0"/>
          <w:divBdr>
            <w:top w:val="none" w:sz="0" w:space="0" w:color="auto"/>
            <w:left w:val="none" w:sz="0" w:space="0" w:color="auto"/>
            <w:bottom w:val="none" w:sz="0" w:space="0" w:color="auto"/>
            <w:right w:val="none" w:sz="0" w:space="0" w:color="auto"/>
          </w:divBdr>
        </w:div>
      </w:divsChild>
    </w:div>
    <w:div w:id="977342930">
      <w:bodyDiv w:val="1"/>
      <w:marLeft w:val="0"/>
      <w:marRight w:val="0"/>
      <w:marTop w:val="0"/>
      <w:marBottom w:val="0"/>
      <w:divBdr>
        <w:top w:val="none" w:sz="0" w:space="0" w:color="auto"/>
        <w:left w:val="none" w:sz="0" w:space="0" w:color="auto"/>
        <w:bottom w:val="none" w:sz="0" w:space="0" w:color="auto"/>
        <w:right w:val="none" w:sz="0" w:space="0" w:color="auto"/>
      </w:divBdr>
    </w:div>
    <w:div w:id="982585295">
      <w:bodyDiv w:val="1"/>
      <w:marLeft w:val="0"/>
      <w:marRight w:val="0"/>
      <w:marTop w:val="0"/>
      <w:marBottom w:val="0"/>
      <w:divBdr>
        <w:top w:val="none" w:sz="0" w:space="0" w:color="auto"/>
        <w:left w:val="none" w:sz="0" w:space="0" w:color="auto"/>
        <w:bottom w:val="none" w:sz="0" w:space="0" w:color="auto"/>
        <w:right w:val="none" w:sz="0" w:space="0" w:color="auto"/>
      </w:divBdr>
    </w:div>
    <w:div w:id="1073160759">
      <w:bodyDiv w:val="1"/>
      <w:marLeft w:val="0"/>
      <w:marRight w:val="0"/>
      <w:marTop w:val="0"/>
      <w:marBottom w:val="0"/>
      <w:divBdr>
        <w:top w:val="none" w:sz="0" w:space="0" w:color="auto"/>
        <w:left w:val="none" w:sz="0" w:space="0" w:color="auto"/>
        <w:bottom w:val="none" w:sz="0" w:space="0" w:color="auto"/>
        <w:right w:val="none" w:sz="0" w:space="0" w:color="auto"/>
      </w:divBdr>
    </w:div>
    <w:div w:id="1093015474">
      <w:bodyDiv w:val="1"/>
      <w:marLeft w:val="0"/>
      <w:marRight w:val="0"/>
      <w:marTop w:val="0"/>
      <w:marBottom w:val="0"/>
      <w:divBdr>
        <w:top w:val="none" w:sz="0" w:space="0" w:color="auto"/>
        <w:left w:val="none" w:sz="0" w:space="0" w:color="auto"/>
        <w:bottom w:val="none" w:sz="0" w:space="0" w:color="auto"/>
        <w:right w:val="none" w:sz="0" w:space="0" w:color="auto"/>
      </w:divBdr>
    </w:div>
    <w:div w:id="1095443418">
      <w:bodyDiv w:val="1"/>
      <w:marLeft w:val="0"/>
      <w:marRight w:val="0"/>
      <w:marTop w:val="0"/>
      <w:marBottom w:val="0"/>
      <w:divBdr>
        <w:top w:val="none" w:sz="0" w:space="0" w:color="auto"/>
        <w:left w:val="none" w:sz="0" w:space="0" w:color="auto"/>
        <w:bottom w:val="none" w:sz="0" w:space="0" w:color="auto"/>
        <w:right w:val="none" w:sz="0" w:space="0" w:color="auto"/>
      </w:divBdr>
      <w:divsChild>
        <w:div w:id="424301202">
          <w:marLeft w:val="0"/>
          <w:marRight w:val="0"/>
          <w:marTop w:val="0"/>
          <w:marBottom w:val="0"/>
          <w:divBdr>
            <w:top w:val="none" w:sz="0" w:space="0" w:color="auto"/>
            <w:left w:val="none" w:sz="0" w:space="0" w:color="auto"/>
            <w:bottom w:val="none" w:sz="0" w:space="0" w:color="auto"/>
            <w:right w:val="none" w:sz="0" w:space="0" w:color="auto"/>
          </w:divBdr>
        </w:div>
      </w:divsChild>
    </w:div>
    <w:div w:id="1150710573">
      <w:bodyDiv w:val="1"/>
      <w:marLeft w:val="0"/>
      <w:marRight w:val="0"/>
      <w:marTop w:val="0"/>
      <w:marBottom w:val="0"/>
      <w:divBdr>
        <w:top w:val="none" w:sz="0" w:space="0" w:color="auto"/>
        <w:left w:val="none" w:sz="0" w:space="0" w:color="auto"/>
        <w:bottom w:val="none" w:sz="0" w:space="0" w:color="auto"/>
        <w:right w:val="none" w:sz="0" w:space="0" w:color="auto"/>
      </w:divBdr>
      <w:divsChild>
        <w:div w:id="451746182">
          <w:marLeft w:val="0"/>
          <w:marRight w:val="0"/>
          <w:marTop w:val="0"/>
          <w:marBottom w:val="0"/>
          <w:divBdr>
            <w:top w:val="none" w:sz="0" w:space="0" w:color="auto"/>
            <w:left w:val="none" w:sz="0" w:space="0" w:color="auto"/>
            <w:bottom w:val="none" w:sz="0" w:space="0" w:color="auto"/>
            <w:right w:val="none" w:sz="0" w:space="0" w:color="auto"/>
          </w:divBdr>
        </w:div>
      </w:divsChild>
    </w:div>
    <w:div w:id="1185821067">
      <w:bodyDiv w:val="1"/>
      <w:marLeft w:val="0"/>
      <w:marRight w:val="0"/>
      <w:marTop w:val="0"/>
      <w:marBottom w:val="0"/>
      <w:divBdr>
        <w:top w:val="none" w:sz="0" w:space="0" w:color="auto"/>
        <w:left w:val="none" w:sz="0" w:space="0" w:color="auto"/>
        <w:bottom w:val="none" w:sz="0" w:space="0" w:color="auto"/>
        <w:right w:val="none" w:sz="0" w:space="0" w:color="auto"/>
      </w:divBdr>
      <w:divsChild>
        <w:div w:id="972489633">
          <w:marLeft w:val="0"/>
          <w:marRight w:val="0"/>
          <w:marTop w:val="0"/>
          <w:marBottom w:val="0"/>
          <w:divBdr>
            <w:top w:val="none" w:sz="0" w:space="0" w:color="auto"/>
            <w:left w:val="none" w:sz="0" w:space="0" w:color="auto"/>
            <w:bottom w:val="none" w:sz="0" w:space="0" w:color="auto"/>
            <w:right w:val="none" w:sz="0" w:space="0" w:color="auto"/>
          </w:divBdr>
        </w:div>
      </w:divsChild>
    </w:div>
    <w:div w:id="1186091434">
      <w:bodyDiv w:val="1"/>
      <w:marLeft w:val="0"/>
      <w:marRight w:val="0"/>
      <w:marTop w:val="0"/>
      <w:marBottom w:val="0"/>
      <w:divBdr>
        <w:top w:val="none" w:sz="0" w:space="0" w:color="auto"/>
        <w:left w:val="none" w:sz="0" w:space="0" w:color="auto"/>
        <w:bottom w:val="none" w:sz="0" w:space="0" w:color="auto"/>
        <w:right w:val="none" w:sz="0" w:space="0" w:color="auto"/>
      </w:divBdr>
    </w:div>
    <w:div w:id="1196193100">
      <w:bodyDiv w:val="1"/>
      <w:marLeft w:val="0"/>
      <w:marRight w:val="0"/>
      <w:marTop w:val="0"/>
      <w:marBottom w:val="0"/>
      <w:divBdr>
        <w:top w:val="none" w:sz="0" w:space="0" w:color="auto"/>
        <w:left w:val="none" w:sz="0" w:space="0" w:color="auto"/>
        <w:bottom w:val="none" w:sz="0" w:space="0" w:color="auto"/>
        <w:right w:val="none" w:sz="0" w:space="0" w:color="auto"/>
      </w:divBdr>
    </w:div>
    <w:div w:id="1199467244">
      <w:bodyDiv w:val="1"/>
      <w:marLeft w:val="0"/>
      <w:marRight w:val="0"/>
      <w:marTop w:val="0"/>
      <w:marBottom w:val="0"/>
      <w:divBdr>
        <w:top w:val="none" w:sz="0" w:space="0" w:color="auto"/>
        <w:left w:val="none" w:sz="0" w:space="0" w:color="auto"/>
        <w:bottom w:val="none" w:sz="0" w:space="0" w:color="auto"/>
        <w:right w:val="none" w:sz="0" w:space="0" w:color="auto"/>
      </w:divBdr>
    </w:div>
    <w:div w:id="1207060588">
      <w:bodyDiv w:val="1"/>
      <w:marLeft w:val="0"/>
      <w:marRight w:val="0"/>
      <w:marTop w:val="0"/>
      <w:marBottom w:val="0"/>
      <w:divBdr>
        <w:top w:val="none" w:sz="0" w:space="0" w:color="auto"/>
        <w:left w:val="none" w:sz="0" w:space="0" w:color="auto"/>
        <w:bottom w:val="none" w:sz="0" w:space="0" w:color="auto"/>
        <w:right w:val="none" w:sz="0" w:space="0" w:color="auto"/>
      </w:divBdr>
    </w:div>
    <w:div w:id="1270044476">
      <w:bodyDiv w:val="1"/>
      <w:marLeft w:val="0"/>
      <w:marRight w:val="0"/>
      <w:marTop w:val="0"/>
      <w:marBottom w:val="0"/>
      <w:divBdr>
        <w:top w:val="none" w:sz="0" w:space="0" w:color="auto"/>
        <w:left w:val="none" w:sz="0" w:space="0" w:color="auto"/>
        <w:bottom w:val="none" w:sz="0" w:space="0" w:color="auto"/>
        <w:right w:val="none" w:sz="0" w:space="0" w:color="auto"/>
      </w:divBdr>
    </w:div>
    <w:div w:id="1310940486">
      <w:bodyDiv w:val="1"/>
      <w:marLeft w:val="0"/>
      <w:marRight w:val="0"/>
      <w:marTop w:val="0"/>
      <w:marBottom w:val="0"/>
      <w:divBdr>
        <w:top w:val="none" w:sz="0" w:space="0" w:color="auto"/>
        <w:left w:val="none" w:sz="0" w:space="0" w:color="auto"/>
        <w:bottom w:val="none" w:sz="0" w:space="0" w:color="auto"/>
        <w:right w:val="none" w:sz="0" w:space="0" w:color="auto"/>
      </w:divBdr>
    </w:div>
    <w:div w:id="1345091395">
      <w:bodyDiv w:val="1"/>
      <w:marLeft w:val="0"/>
      <w:marRight w:val="0"/>
      <w:marTop w:val="0"/>
      <w:marBottom w:val="0"/>
      <w:divBdr>
        <w:top w:val="none" w:sz="0" w:space="0" w:color="auto"/>
        <w:left w:val="none" w:sz="0" w:space="0" w:color="auto"/>
        <w:bottom w:val="none" w:sz="0" w:space="0" w:color="auto"/>
        <w:right w:val="none" w:sz="0" w:space="0" w:color="auto"/>
      </w:divBdr>
    </w:div>
    <w:div w:id="1384989269">
      <w:bodyDiv w:val="1"/>
      <w:marLeft w:val="0"/>
      <w:marRight w:val="0"/>
      <w:marTop w:val="0"/>
      <w:marBottom w:val="0"/>
      <w:divBdr>
        <w:top w:val="none" w:sz="0" w:space="0" w:color="auto"/>
        <w:left w:val="none" w:sz="0" w:space="0" w:color="auto"/>
        <w:bottom w:val="none" w:sz="0" w:space="0" w:color="auto"/>
        <w:right w:val="none" w:sz="0" w:space="0" w:color="auto"/>
      </w:divBdr>
      <w:divsChild>
        <w:div w:id="1997957900">
          <w:marLeft w:val="0"/>
          <w:marRight w:val="0"/>
          <w:marTop w:val="0"/>
          <w:marBottom w:val="0"/>
          <w:divBdr>
            <w:top w:val="none" w:sz="0" w:space="0" w:color="auto"/>
            <w:left w:val="none" w:sz="0" w:space="0" w:color="auto"/>
            <w:bottom w:val="none" w:sz="0" w:space="0" w:color="auto"/>
            <w:right w:val="none" w:sz="0" w:space="0" w:color="auto"/>
          </w:divBdr>
          <w:divsChild>
            <w:div w:id="1594052590">
              <w:marLeft w:val="0"/>
              <w:marRight w:val="0"/>
              <w:marTop w:val="0"/>
              <w:marBottom w:val="0"/>
              <w:divBdr>
                <w:top w:val="none" w:sz="0" w:space="0" w:color="auto"/>
                <w:left w:val="none" w:sz="0" w:space="0" w:color="auto"/>
                <w:bottom w:val="none" w:sz="0" w:space="0" w:color="auto"/>
                <w:right w:val="none" w:sz="0" w:space="0" w:color="auto"/>
              </w:divBdr>
              <w:divsChild>
                <w:div w:id="208013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621717">
      <w:bodyDiv w:val="1"/>
      <w:marLeft w:val="0"/>
      <w:marRight w:val="0"/>
      <w:marTop w:val="0"/>
      <w:marBottom w:val="0"/>
      <w:divBdr>
        <w:top w:val="none" w:sz="0" w:space="0" w:color="auto"/>
        <w:left w:val="none" w:sz="0" w:space="0" w:color="auto"/>
        <w:bottom w:val="none" w:sz="0" w:space="0" w:color="auto"/>
        <w:right w:val="none" w:sz="0" w:space="0" w:color="auto"/>
      </w:divBdr>
    </w:div>
    <w:div w:id="1406875090">
      <w:bodyDiv w:val="1"/>
      <w:marLeft w:val="0"/>
      <w:marRight w:val="0"/>
      <w:marTop w:val="0"/>
      <w:marBottom w:val="0"/>
      <w:divBdr>
        <w:top w:val="none" w:sz="0" w:space="0" w:color="auto"/>
        <w:left w:val="none" w:sz="0" w:space="0" w:color="auto"/>
        <w:bottom w:val="none" w:sz="0" w:space="0" w:color="auto"/>
        <w:right w:val="none" w:sz="0" w:space="0" w:color="auto"/>
      </w:divBdr>
      <w:divsChild>
        <w:div w:id="1058475054">
          <w:marLeft w:val="0"/>
          <w:marRight w:val="0"/>
          <w:marTop w:val="0"/>
          <w:marBottom w:val="0"/>
          <w:divBdr>
            <w:top w:val="none" w:sz="0" w:space="0" w:color="auto"/>
            <w:left w:val="none" w:sz="0" w:space="0" w:color="auto"/>
            <w:bottom w:val="none" w:sz="0" w:space="0" w:color="auto"/>
            <w:right w:val="none" w:sz="0" w:space="0" w:color="auto"/>
          </w:divBdr>
        </w:div>
      </w:divsChild>
    </w:div>
    <w:div w:id="1450733441">
      <w:bodyDiv w:val="1"/>
      <w:marLeft w:val="0"/>
      <w:marRight w:val="0"/>
      <w:marTop w:val="0"/>
      <w:marBottom w:val="0"/>
      <w:divBdr>
        <w:top w:val="none" w:sz="0" w:space="0" w:color="auto"/>
        <w:left w:val="none" w:sz="0" w:space="0" w:color="auto"/>
        <w:bottom w:val="none" w:sz="0" w:space="0" w:color="auto"/>
        <w:right w:val="none" w:sz="0" w:space="0" w:color="auto"/>
      </w:divBdr>
    </w:div>
    <w:div w:id="1565870022">
      <w:bodyDiv w:val="1"/>
      <w:marLeft w:val="0"/>
      <w:marRight w:val="0"/>
      <w:marTop w:val="0"/>
      <w:marBottom w:val="0"/>
      <w:divBdr>
        <w:top w:val="none" w:sz="0" w:space="0" w:color="auto"/>
        <w:left w:val="none" w:sz="0" w:space="0" w:color="auto"/>
        <w:bottom w:val="none" w:sz="0" w:space="0" w:color="auto"/>
        <w:right w:val="none" w:sz="0" w:space="0" w:color="auto"/>
      </w:divBdr>
    </w:div>
    <w:div w:id="1634289467">
      <w:bodyDiv w:val="1"/>
      <w:marLeft w:val="0"/>
      <w:marRight w:val="0"/>
      <w:marTop w:val="0"/>
      <w:marBottom w:val="0"/>
      <w:divBdr>
        <w:top w:val="none" w:sz="0" w:space="0" w:color="auto"/>
        <w:left w:val="none" w:sz="0" w:space="0" w:color="auto"/>
        <w:bottom w:val="none" w:sz="0" w:space="0" w:color="auto"/>
        <w:right w:val="none" w:sz="0" w:space="0" w:color="auto"/>
      </w:divBdr>
      <w:divsChild>
        <w:div w:id="731121123">
          <w:marLeft w:val="0"/>
          <w:marRight w:val="0"/>
          <w:marTop w:val="0"/>
          <w:marBottom w:val="0"/>
          <w:divBdr>
            <w:top w:val="none" w:sz="0" w:space="0" w:color="auto"/>
            <w:left w:val="none" w:sz="0" w:space="0" w:color="auto"/>
            <w:bottom w:val="none" w:sz="0" w:space="0" w:color="auto"/>
            <w:right w:val="none" w:sz="0" w:space="0" w:color="auto"/>
          </w:divBdr>
          <w:divsChild>
            <w:div w:id="397168610">
              <w:marLeft w:val="0"/>
              <w:marRight w:val="0"/>
              <w:marTop w:val="0"/>
              <w:marBottom w:val="0"/>
              <w:divBdr>
                <w:top w:val="none" w:sz="0" w:space="0" w:color="auto"/>
                <w:left w:val="none" w:sz="0" w:space="0" w:color="auto"/>
                <w:bottom w:val="none" w:sz="0" w:space="0" w:color="auto"/>
                <w:right w:val="none" w:sz="0" w:space="0" w:color="auto"/>
              </w:divBdr>
              <w:divsChild>
                <w:div w:id="131105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315767">
      <w:bodyDiv w:val="1"/>
      <w:marLeft w:val="0"/>
      <w:marRight w:val="0"/>
      <w:marTop w:val="0"/>
      <w:marBottom w:val="0"/>
      <w:divBdr>
        <w:top w:val="none" w:sz="0" w:space="0" w:color="auto"/>
        <w:left w:val="none" w:sz="0" w:space="0" w:color="auto"/>
        <w:bottom w:val="none" w:sz="0" w:space="0" w:color="auto"/>
        <w:right w:val="none" w:sz="0" w:space="0" w:color="auto"/>
      </w:divBdr>
    </w:div>
    <w:div w:id="1650749629">
      <w:bodyDiv w:val="1"/>
      <w:marLeft w:val="0"/>
      <w:marRight w:val="0"/>
      <w:marTop w:val="0"/>
      <w:marBottom w:val="0"/>
      <w:divBdr>
        <w:top w:val="none" w:sz="0" w:space="0" w:color="auto"/>
        <w:left w:val="none" w:sz="0" w:space="0" w:color="auto"/>
        <w:bottom w:val="none" w:sz="0" w:space="0" w:color="auto"/>
        <w:right w:val="none" w:sz="0" w:space="0" w:color="auto"/>
      </w:divBdr>
    </w:div>
    <w:div w:id="1658414202">
      <w:bodyDiv w:val="1"/>
      <w:marLeft w:val="0"/>
      <w:marRight w:val="0"/>
      <w:marTop w:val="0"/>
      <w:marBottom w:val="0"/>
      <w:divBdr>
        <w:top w:val="none" w:sz="0" w:space="0" w:color="auto"/>
        <w:left w:val="none" w:sz="0" w:space="0" w:color="auto"/>
        <w:bottom w:val="none" w:sz="0" w:space="0" w:color="auto"/>
        <w:right w:val="none" w:sz="0" w:space="0" w:color="auto"/>
      </w:divBdr>
    </w:div>
    <w:div w:id="1756902820">
      <w:bodyDiv w:val="1"/>
      <w:marLeft w:val="0"/>
      <w:marRight w:val="0"/>
      <w:marTop w:val="0"/>
      <w:marBottom w:val="0"/>
      <w:divBdr>
        <w:top w:val="none" w:sz="0" w:space="0" w:color="auto"/>
        <w:left w:val="none" w:sz="0" w:space="0" w:color="auto"/>
        <w:bottom w:val="none" w:sz="0" w:space="0" w:color="auto"/>
        <w:right w:val="none" w:sz="0" w:space="0" w:color="auto"/>
      </w:divBdr>
    </w:div>
    <w:div w:id="1765422241">
      <w:bodyDiv w:val="1"/>
      <w:marLeft w:val="0"/>
      <w:marRight w:val="0"/>
      <w:marTop w:val="0"/>
      <w:marBottom w:val="0"/>
      <w:divBdr>
        <w:top w:val="none" w:sz="0" w:space="0" w:color="auto"/>
        <w:left w:val="none" w:sz="0" w:space="0" w:color="auto"/>
        <w:bottom w:val="none" w:sz="0" w:space="0" w:color="auto"/>
        <w:right w:val="none" w:sz="0" w:space="0" w:color="auto"/>
      </w:divBdr>
      <w:divsChild>
        <w:div w:id="168453156">
          <w:marLeft w:val="0"/>
          <w:marRight w:val="0"/>
          <w:marTop w:val="0"/>
          <w:marBottom w:val="0"/>
          <w:divBdr>
            <w:top w:val="none" w:sz="0" w:space="0" w:color="auto"/>
            <w:left w:val="none" w:sz="0" w:space="0" w:color="auto"/>
            <w:bottom w:val="none" w:sz="0" w:space="0" w:color="auto"/>
            <w:right w:val="none" w:sz="0" w:space="0" w:color="auto"/>
          </w:divBdr>
          <w:divsChild>
            <w:div w:id="1092093592">
              <w:marLeft w:val="0"/>
              <w:marRight w:val="0"/>
              <w:marTop w:val="0"/>
              <w:marBottom w:val="0"/>
              <w:divBdr>
                <w:top w:val="none" w:sz="0" w:space="0" w:color="auto"/>
                <w:left w:val="none" w:sz="0" w:space="0" w:color="auto"/>
                <w:bottom w:val="none" w:sz="0" w:space="0" w:color="auto"/>
                <w:right w:val="none" w:sz="0" w:space="0" w:color="auto"/>
              </w:divBdr>
              <w:divsChild>
                <w:div w:id="19555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774777">
      <w:bodyDiv w:val="1"/>
      <w:marLeft w:val="0"/>
      <w:marRight w:val="0"/>
      <w:marTop w:val="0"/>
      <w:marBottom w:val="0"/>
      <w:divBdr>
        <w:top w:val="none" w:sz="0" w:space="0" w:color="auto"/>
        <w:left w:val="none" w:sz="0" w:space="0" w:color="auto"/>
        <w:bottom w:val="none" w:sz="0" w:space="0" w:color="auto"/>
        <w:right w:val="none" w:sz="0" w:space="0" w:color="auto"/>
      </w:divBdr>
    </w:div>
    <w:div w:id="1829511600">
      <w:bodyDiv w:val="1"/>
      <w:marLeft w:val="0"/>
      <w:marRight w:val="0"/>
      <w:marTop w:val="0"/>
      <w:marBottom w:val="0"/>
      <w:divBdr>
        <w:top w:val="none" w:sz="0" w:space="0" w:color="auto"/>
        <w:left w:val="none" w:sz="0" w:space="0" w:color="auto"/>
        <w:bottom w:val="none" w:sz="0" w:space="0" w:color="auto"/>
        <w:right w:val="none" w:sz="0" w:space="0" w:color="auto"/>
      </w:divBdr>
    </w:div>
    <w:div w:id="1846823179">
      <w:bodyDiv w:val="1"/>
      <w:marLeft w:val="0"/>
      <w:marRight w:val="0"/>
      <w:marTop w:val="0"/>
      <w:marBottom w:val="0"/>
      <w:divBdr>
        <w:top w:val="none" w:sz="0" w:space="0" w:color="auto"/>
        <w:left w:val="none" w:sz="0" w:space="0" w:color="auto"/>
        <w:bottom w:val="none" w:sz="0" w:space="0" w:color="auto"/>
        <w:right w:val="none" w:sz="0" w:space="0" w:color="auto"/>
      </w:divBdr>
    </w:div>
    <w:div w:id="1857184308">
      <w:bodyDiv w:val="1"/>
      <w:marLeft w:val="0"/>
      <w:marRight w:val="0"/>
      <w:marTop w:val="0"/>
      <w:marBottom w:val="0"/>
      <w:divBdr>
        <w:top w:val="none" w:sz="0" w:space="0" w:color="auto"/>
        <w:left w:val="none" w:sz="0" w:space="0" w:color="auto"/>
        <w:bottom w:val="none" w:sz="0" w:space="0" w:color="auto"/>
        <w:right w:val="none" w:sz="0" w:space="0" w:color="auto"/>
      </w:divBdr>
    </w:div>
    <w:div w:id="2000765421">
      <w:bodyDiv w:val="1"/>
      <w:marLeft w:val="0"/>
      <w:marRight w:val="0"/>
      <w:marTop w:val="0"/>
      <w:marBottom w:val="0"/>
      <w:divBdr>
        <w:top w:val="none" w:sz="0" w:space="0" w:color="auto"/>
        <w:left w:val="none" w:sz="0" w:space="0" w:color="auto"/>
        <w:bottom w:val="none" w:sz="0" w:space="0" w:color="auto"/>
        <w:right w:val="none" w:sz="0" w:space="0" w:color="auto"/>
      </w:divBdr>
    </w:div>
    <w:div w:id="2003779779">
      <w:bodyDiv w:val="1"/>
      <w:marLeft w:val="0"/>
      <w:marRight w:val="0"/>
      <w:marTop w:val="0"/>
      <w:marBottom w:val="0"/>
      <w:divBdr>
        <w:top w:val="none" w:sz="0" w:space="0" w:color="auto"/>
        <w:left w:val="none" w:sz="0" w:space="0" w:color="auto"/>
        <w:bottom w:val="none" w:sz="0" w:space="0" w:color="auto"/>
        <w:right w:val="none" w:sz="0" w:space="0" w:color="auto"/>
      </w:divBdr>
    </w:div>
    <w:div w:id="2022314050">
      <w:bodyDiv w:val="1"/>
      <w:marLeft w:val="0"/>
      <w:marRight w:val="0"/>
      <w:marTop w:val="0"/>
      <w:marBottom w:val="0"/>
      <w:divBdr>
        <w:top w:val="none" w:sz="0" w:space="0" w:color="auto"/>
        <w:left w:val="none" w:sz="0" w:space="0" w:color="auto"/>
        <w:bottom w:val="none" w:sz="0" w:space="0" w:color="auto"/>
        <w:right w:val="none" w:sz="0" w:space="0" w:color="auto"/>
      </w:divBdr>
    </w:div>
    <w:div w:id="2026397392">
      <w:bodyDiv w:val="1"/>
      <w:marLeft w:val="0"/>
      <w:marRight w:val="0"/>
      <w:marTop w:val="0"/>
      <w:marBottom w:val="0"/>
      <w:divBdr>
        <w:top w:val="none" w:sz="0" w:space="0" w:color="auto"/>
        <w:left w:val="none" w:sz="0" w:space="0" w:color="auto"/>
        <w:bottom w:val="none" w:sz="0" w:space="0" w:color="auto"/>
        <w:right w:val="none" w:sz="0" w:space="0" w:color="auto"/>
      </w:divBdr>
    </w:div>
    <w:div w:id="2054422662">
      <w:bodyDiv w:val="1"/>
      <w:marLeft w:val="0"/>
      <w:marRight w:val="0"/>
      <w:marTop w:val="0"/>
      <w:marBottom w:val="0"/>
      <w:divBdr>
        <w:top w:val="none" w:sz="0" w:space="0" w:color="auto"/>
        <w:left w:val="none" w:sz="0" w:space="0" w:color="auto"/>
        <w:bottom w:val="none" w:sz="0" w:space="0" w:color="auto"/>
        <w:right w:val="none" w:sz="0" w:space="0" w:color="auto"/>
      </w:divBdr>
      <w:divsChild>
        <w:div w:id="1402557530">
          <w:marLeft w:val="0"/>
          <w:marRight w:val="0"/>
          <w:marTop w:val="0"/>
          <w:marBottom w:val="0"/>
          <w:divBdr>
            <w:top w:val="none" w:sz="0" w:space="0" w:color="auto"/>
            <w:left w:val="none" w:sz="0" w:space="0" w:color="auto"/>
            <w:bottom w:val="none" w:sz="0" w:space="0" w:color="auto"/>
            <w:right w:val="none" w:sz="0" w:space="0" w:color="auto"/>
          </w:divBdr>
        </w:div>
        <w:div w:id="697657272">
          <w:marLeft w:val="0"/>
          <w:marRight w:val="0"/>
          <w:marTop w:val="0"/>
          <w:marBottom w:val="0"/>
          <w:divBdr>
            <w:top w:val="none" w:sz="0" w:space="0" w:color="auto"/>
            <w:left w:val="none" w:sz="0" w:space="0" w:color="auto"/>
            <w:bottom w:val="none" w:sz="0" w:space="0" w:color="auto"/>
            <w:right w:val="none" w:sz="0" w:space="0" w:color="auto"/>
          </w:divBdr>
        </w:div>
        <w:div w:id="583950804">
          <w:marLeft w:val="0"/>
          <w:marRight w:val="0"/>
          <w:marTop w:val="0"/>
          <w:marBottom w:val="0"/>
          <w:divBdr>
            <w:top w:val="none" w:sz="0" w:space="0" w:color="auto"/>
            <w:left w:val="none" w:sz="0" w:space="0" w:color="auto"/>
            <w:bottom w:val="none" w:sz="0" w:space="0" w:color="auto"/>
            <w:right w:val="none" w:sz="0" w:space="0" w:color="auto"/>
          </w:divBdr>
        </w:div>
        <w:div w:id="413942796">
          <w:marLeft w:val="0"/>
          <w:marRight w:val="0"/>
          <w:marTop w:val="0"/>
          <w:marBottom w:val="0"/>
          <w:divBdr>
            <w:top w:val="none" w:sz="0" w:space="0" w:color="auto"/>
            <w:left w:val="none" w:sz="0" w:space="0" w:color="auto"/>
            <w:bottom w:val="none" w:sz="0" w:space="0" w:color="auto"/>
            <w:right w:val="none" w:sz="0" w:space="0" w:color="auto"/>
          </w:divBdr>
        </w:div>
        <w:div w:id="424424279">
          <w:marLeft w:val="0"/>
          <w:marRight w:val="0"/>
          <w:marTop w:val="0"/>
          <w:marBottom w:val="0"/>
          <w:divBdr>
            <w:top w:val="none" w:sz="0" w:space="0" w:color="auto"/>
            <w:left w:val="none" w:sz="0" w:space="0" w:color="auto"/>
            <w:bottom w:val="none" w:sz="0" w:space="0" w:color="auto"/>
            <w:right w:val="none" w:sz="0" w:space="0" w:color="auto"/>
          </w:divBdr>
        </w:div>
        <w:div w:id="861750383">
          <w:marLeft w:val="0"/>
          <w:marRight w:val="0"/>
          <w:marTop w:val="0"/>
          <w:marBottom w:val="0"/>
          <w:divBdr>
            <w:top w:val="none" w:sz="0" w:space="0" w:color="auto"/>
            <w:left w:val="none" w:sz="0" w:space="0" w:color="auto"/>
            <w:bottom w:val="none" w:sz="0" w:space="0" w:color="auto"/>
            <w:right w:val="none" w:sz="0" w:space="0" w:color="auto"/>
          </w:divBdr>
        </w:div>
        <w:div w:id="1868371916">
          <w:marLeft w:val="0"/>
          <w:marRight w:val="0"/>
          <w:marTop w:val="0"/>
          <w:marBottom w:val="0"/>
          <w:divBdr>
            <w:top w:val="none" w:sz="0" w:space="0" w:color="auto"/>
            <w:left w:val="none" w:sz="0" w:space="0" w:color="auto"/>
            <w:bottom w:val="none" w:sz="0" w:space="0" w:color="auto"/>
            <w:right w:val="none" w:sz="0" w:space="0" w:color="auto"/>
          </w:divBdr>
        </w:div>
      </w:divsChild>
    </w:div>
    <w:div w:id="2065565343">
      <w:bodyDiv w:val="1"/>
      <w:marLeft w:val="0"/>
      <w:marRight w:val="0"/>
      <w:marTop w:val="0"/>
      <w:marBottom w:val="0"/>
      <w:divBdr>
        <w:top w:val="none" w:sz="0" w:space="0" w:color="auto"/>
        <w:left w:val="none" w:sz="0" w:space="0" w:color="auto"/>
        <w:bottom w:val="none" w:sz="0" w:space="0" w:color="auto"/>
        <w:right w:val="none" w:sz="0" w:space="0" w:color="auto"/>
      </w:divBdr>
    </w:div>
    <w:div w:id="2125493664">
      <w:bodyDiv w:val="1"/>
      <w:marLeft w:val="0"/>
      <w:marRight w:val="0"/>
      <w:marTop w:val="0"/>
      <w:marBottom w:val="0"/>
      <w:divBdr>
        <w:top w:val="none" w:sz="0" w:space="0" w:color="auto"/>
        <w:left w:val="none" w:sz="0" w:space="0" w:color="auto"/>
        <w:bottom w:val="none" w:sz="0" w:space="0" w:color="auto"/>
        <w:right w:val="none" w:sz="0" w:space="0" w:color="auto"/>
      </w:divBdr>
      <w:divsChild>
        <w:div w:id="697925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1EE04-3FEE-44EE-98A4-39B76ED24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14098</Words>
  <Characters>84589</Characters>
  <Application>Microsoft Office Word</Application>
  <DocSecurity>0</DocSecurity>
  <Lines>704</Lines>
  <Paragraphs>196</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98491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Migza-Rawska Aldona</dc:creator>
  <cp:lastModifiedBy>Kołakowska Iwona</cp:lastModifiedBy>
  <cp:revision>4</cp:revision>
  <cp:lastPrinted>2017-03-30T07:40:00Z</cp:lastPrinted>
  <dcterms:created xsi:type="dcterms:W3CDTF">2026-09-24T10:38:00Z</dcterms:created>
  <dcterms:modified xsi:type="dcterms:W3CDTF">2026-09-24T10:39:00Z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UxC4dwLulzfINJ8nQH+xvX5LNGipWa4BRSZhPgxsCvmbsUP7V1+m6zSsxbEdJLiydFL5HZKQfy1jHuXPP8rlfQ==</vt:lpwstr>
  </property>
  <property fmtid="{D5CDD505-2E9C-101B-9397-08002B2CF9AE}" pid="4" name="MFClassificationDate">
    <vt:lpwstr>2022-01-26T15:24:02.3394551+01:00</vt:lpwstr>
  </property>
  <property fmtid="{D5CDD505-2E9C-101B-9397-08002B2CF9AE}" pid="5" name="MFClassifiedBySID">
    <vt:lpwstr>UxC4dwLulzfINJ8nQH+xvX5LNGipWa4BRSZhPgxsCvm42mrIC/DSDv0ggS+FjUN/2v1BBotkLlY5aAiEhoi6uZuRQ+G0gdKUF7sRFzdCJdtIg1Qw9huxVMXTINZ6+f7h</vt:lpwstr>
  </property>
  <property fmtid="{D5CDD505-2E9C-101B-9397-08002B2CF9AE}" pid="6" name="MFGRNItemId">
    <vt:lpwstr>GRN-575cf0a9-b379-4472-a6a4-06b1d58957df</vt:lpwstr>
  </property>
  <property fmtid="{D5CDD505-2E9C-101B-9397-08002B2CF9AE}" pid="7" name="MFHash">
    <vt:lpwstr>7JmDfvaxvmhHL6wxzzytbr+MPiRHKU7FUHc1lyNfN0E=</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