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8D9FF" w14:textId="77777777" w:rsidR="009E10BE" w:rsidRPr="00E71238" w:rsidRDefault="009E10BE" w:rsidP="009E10BE">
      <w:pPr>
        <w:keepNext/>
        <w:suppressAutoHyphens/>
        <w:spacing w:before="120" w:after="36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12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UZASADNIENIE</w:t>
      </w:r>
    </w:p>
    <w:p w14:paraId="2C68C57A" w14:textId="37A12F67" w:rsidR="00EF1F3D" w:rsidRPr="00EF1F3D" w:rsidRDefault="00EF1F3D" w:rsidP="00EF1F3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Projekt ustawy o zmianie ustawy o świadczeniach opieki zdrowotnej finansowanych ze środków publicznych oraz ustawy o zapobieganiu oraz zwalczaniu zakażeń i chorób zakaźnych u ludzi obejmuje rozwiązania przygotowane i przedstawione przez Radę Ministrów w</w:t>
      </w:r>
      <w:r w:rsidR="00580FA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rządowym projekcie ustawy 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o zmianie ustawy o świadczeniach opieki zdrowotnej finansowanych ze środków publicznych oraz ustawy o zapobieganiu oraz zwalczaniu zakażeń i chorób zakaźnych u ludzi</w:t>
      </w:r>
      <w:r w:rsid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(UD250) </w:t>
      </w: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zawartym w druku nr 2456. Rozwiązania te zostały poddane pełnej ocenie legislacyjnej oraz nie budziły zastrzeżeń na etapie prac rządowych.</w:t>
      </w:r>
    </w:p>
    <w:p w14:paraId="541C0995" w14:textId="62B3E155" w:rsidR="00424C6F" w:rsidRDefault="00EF1F3D" w:rsidP="00EF1F3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 toku prac sejmowych do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projektu </w:t>
      </w:r>
      <w:r w:rsid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ustawy 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o zmianie ustawy o świadczeniach opieki zdrowotnej finansowanych ze środków publicznych oraz ustawy o zapobieganiu oraz zwalczaniu zakażeń i chorób zakaźnych u ludzi</w:t>
      </w:r>
      <w:r w:rsid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(druk nr 2456) </w:t>
      </w: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wprowadzono dodatkowe przepisy, które nie były elementem propozycji Rady Ministrów.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Uchwalona przez Sejm u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stawa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nie został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podpisan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przez Prezydenta Rzeczypospolitej Polskiej</w:t>
      </w:r>
      <w:r w:rsid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. 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W związku z</w:t>
      </w:r>
      <w:r w:rsidR="00747A65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powyższym R</w:t>
      </w:r>
      <w:r w:rsid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ada 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M</w:t>
      </w:r>
      <w:r w:rsid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inistrów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podjęła decyzję o przedstawieniu projektu ustawy o zmianie ustawy o świadczeniach opieki zdrowotnej finansowanych ze środków publicznych oraz ustawy o zapobieganiu oraz zwalczaniu zakażeń i chorób zakaźnych u ludzi w brzmieniu projektu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ustawy </w:t>
      </w:r>
      <w:r w:rsidR="00424C6F" w:rsidRP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UD250, bez przepisów dodanych na etapie prac parlamentarnych</w:t>
      </w:r>
      <w:r w:rsidR="00424C6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.</w:t>
      </w:r>
    </w:p>
    <w:p w14:paraId="76E60A5E" w14:textId="6CD3D736" w:rsidR="00523EB4" w:rsidRDefault="00523EB4" w:rsidP="00EF1F3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523EB4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 odniesieniu do różnic między </w:t>
      </w:r>
      <w:r w:rsidR="00F30F77" w:rsidRP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projekt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em </w:t>
      </w:r>
      <w:r w:rsidR="00F30F77" w:rsidRP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ustawy UD250 i projekt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em</w:t>
      </w:r>
      <w:r w:rsidR="00F30F77" w:rsidRP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ustawy UD435 </w:t>
      </w:r>
      <w:r w:rsidRPr="00523EB4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należy wskazać, że zmiana nowelizowanego w art. 2 przepisu art. 41 </w:t>
      </w:r>
      <w:r w:rsidR="00C0291F"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ustawy z dnia 5 grudnia 2008 r. o zapobieganiu oraz zwalczaniu zakażeń i chorób zakaźnych u ludzi (Dz. U. z 2025 r. poz. 1675</w:t>
      </w:r>
      <w:r w:rsidR="00C0291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, z późn. zm.</w:t>
      </w:r>
      <w:r w:rsidR="00C0291F"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)</w:t>
      </w:r>
      <w:r w:rsidR="00C0291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684E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polega na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dodania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 tym przepisie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ust. 6 i w konsekwencji </w:t>
      </w:r>
      <w:r w:rsidRPr="00523EB4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zastąpieni</w:t>
      </w:r>
      <w:r w:rsidR="0007168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</w:t>
      </w:r>
      <w:r w:rsidRPr="00523EB4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programu polityki zdrowotnej innymi rozwiązaniami organizacyjnymi lub finansowymi. Przyjęta redakcja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przepisu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art. 41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ust. 6 ww.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ustawy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Pr="00523EB4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zapewnia tożsamą podstawę do finansowania świadczeń ze środków budżetu państwa, a jednocześnie została zaprojektowana w sposób, który niweluje potrzebę ponownej nowelizacji tego przepisu w przypadku zmiany formy realizacji zadania w przyszłości. Dzięki temu przepis zachowuje spójność systemową oraz ogranicza ryzyko sporów interpretacyjnych dotyczących zakresu finansowania świadczeń.</w:t>
      </w:r>
    </w:p>
    <w:p w14:paraId="45AC4E61" w14:textId="77498496" w:rsidR="00EF1F3D" w:rsidRPr="00EF1F3D" w:rsidRDefault="00EF1F3D" w:rsidP="00EF1F3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Aktualność zachowują wszystkie argumenty oraz motywy przedstawione w uzasadnieniu do projektu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ustawy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UD250 </w:t>
      </w: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wniesionego przez Radę Ministrów. W sposób spójny i</w:t>
      </w:r>
      <w:r w:rsidR="004629F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przekonujący wykazują one potrzebę przyjęcia projektowanych rozwiązań oraz przedstawiają ich przewidywane skutki prawne i społeczne. Z tego względu uzasadnienie rządowego projektu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lastRenderedPageBreak/>
        <w:t>ustawy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UD250</w:t>
      </w: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pozostaje adekwatne również w odniesieniu do niniejszej inicjatywy ustawodawczej</w:t>
      </w:r>
      <w:r w:rsidR="00F96BA3" w:rsidRPr="00F96BA3">
        <w:t xml:space="preserve"> </w:t>
      </w:r>
      <w:r w:rsidR="00F96BA3">
        <w:t>(</w:t>
      </w:r>
      <w:r w:rsidR="00F96BA3" w:rsidRP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UD435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).</w:t>
      </w:r>
    </w:p>
    <w:p w14:paraId="7E47B747" w14:textId="26E32DF2" w:rsidR="00EF1F3D" w:rsidRPr="00EF1F3D" w:rsidRDefault="00EF1F3D" w:rsidP="00EF1F3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Treść uzasadnienia 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projektu </w:t>
      </w:r>
      <w:r w:rsidR="005940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ustawy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UD435 </w:t>
      </w:r>
      <w:r w:rsidRPr="00EF1F3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odpowiada zakresowi analiz formalnych przeprowadzonych przez Sejm na etapie prac nad drukiem nr 2456, co powinno usprawnić procedowanie nad projektem ustawy oraz ograniczyć zgłaszanie wniosków o jego uzupełnianie przed pierwszym czytaniem, zwłaszcza takich, które miałyby charakter oportunistyczny lub niekonstruktywny.</w:t>
      </w:r>
    </w:p>
    <w:p w14:paraId="614FCD7F" w14:textId="4255F05B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Projekt ustawy o zmianie ustawy o świadczeniach opieki zdrowotnej finansowanych ze środków publicznych oraz ustawy o zapobieganiu oraz zwalczaniu zakażeń i chorób zakaźnych u ludzi zakłada zmianę w art. 48 ust. 1b oraz art. 97 ust. 3 pkt 3e, ust. 3k i 3l ustawy z dnia 27</w:t>
      </w:r>
      <w:r w:rsidR="00B511B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sierpnia 2004 r. o świadczeniach opieki zdrowotnej finansowanych ze środków publicznych (Dz. U. z 202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5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r. poz. 146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1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, z późn. zm.). Zmiana ta jest związana z ustawą z dnia 16 listopada 2022 r. o zmianie ustawy o zawodach lekarza i lekarza dentysty oraz niektórych innych ustaw</w:t>
      </w:r>
      <w:r w:rsidRPr="009E10BE" w:rsidDel="00C44B6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(Dz. U. poz. 2770). Nowelizacja ta miała na celu zmienić podmiot finansujący realizację zadań merytorycznych w ramach programów polityki zdrowotnej wskazanych w art. 48 ust. 1a i</w:t>
      </w:r>
      <w:r w:rsidR="00B511B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art.</w:t>
      </w:r>
      <w:r w:rsidR="00B511B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97 ust. 3 pkt 3e ustawy z dnia 27 sierpnia 2004 r. o świadczeniach opieki zdrowotnej finansowanych ze środków publicznych. W związku z tym środki na finansowanie tych zadań, w tym świadczeń zdrowotnych (badań diagnostycznych) w ramach części dotyczącej leczenia przewlekłego wirusowego zapalenia wątroby typu C u pacjentów osadzonych w zakładach penitencjarnych, zostały zaplanowane w programie, o którym mowa w art. 48 ust. 1a pkt 2 ustawy z dnia 27 sierpnia 2004 r. o świadczeniach opieki zdrowotnej finansowanych ze środków publicznych, i uwzględnione w prognozie przychodów Narodowego Funduszu Zdrowia na lata 2025–2027 oraz na lata 2026–2028, jak również w planie finansowym Narodowego Funduszu Zdrowia. Jednak w związku z brakiem uwzględnienia świadczeń zdrowotnych w obecnym brzmieniu art. 48 ust. 1b i art. 97 ust. 3 pkt 3e ustawy z dnia 27</w:t>
      </w:r>
      <w:r w:rsidR="00B511B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sierpnia 2004 r. o świadczeniach opieki zdrowotnej finansowanych ze środków publicznych ze środków Narodowego Funduszu Zdrowia jest możliwe finansowanie wyłącznie zakupu produktów leczniczych i wyrobów medycznych. Pomimo jasnego celu zmian wprowadzanych ustawą z dnia 16 listopada 2022 r. o zmianie ustawy o zawodach lekarza i lekarza dentysty oraz niektórych innych ustaw oraz zaplanowaniem środków w budżecie Narodowego Funduszu Zdrowia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nie ma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możliwości finansowania świadczeń opieki zdrowotnej realizowanych w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ramach wskazanego programu polityki zdrowotnej, które są finansowane z budżetu ministra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lastRenderedPageBreak/>
        <w:t xml:space="preserve">właściwego do spraw zdrowia. Pozostałe zadania merytoryczne – zakup produktów leczniczych i wyrobów medycznych, </w:t>
      </w:r>
      <w:r w:rsidR="008F627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są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finansowane z budżetu Narodowego Funduszu Zdrowia.</w:t>
      </w:r>
    </w:p>
    <w:p w14:paraId="4D8B7460" w14:textId="2302F704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Proponowana zmiana dostosowuje ustawę z dnia 27 sierpnia 2004 r. o świadczeniach opieki zdrowotnej finansowanych ze środków publicznych do celu wskazanego </w:t>
      </w:r>
      <w:r w:rsidR="0085309F"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ustawą z dnia 16 listopada 2022 r. o zmianie ustawy o zawodach lekarza i lekarza dentysty oraz niektórych innych ustaw</w:t>
      </w:r>
      <w:r w:rsidR="0085309F" w:rsidRPr="009E10BE" w:rsidDel="00C44B6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bookmarkStart w:id="0" w:name="_Hlk199921165"/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‒</w:t>
      </w:r>
      <w:bookmarkEnd w:id="0"/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tj. zapewnienia komplementarności finansowania interwencji medycznych (w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tym również świadczeń zdrowotnych) zaplanowanych w ramach programu polityki zdrowotnej, o którym mowa w art. 48 ust. 1a pkt 2 ustawy z dnia 27 sierpnia 2004 r. o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świadczeniach opieki zdrowotnej finansowanych ze środków publicznych.</w:t>
      </w:r>
      <w:bookmarkStart w:id="1" w:name="_Hlk209189353"/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W związku z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obecnym finansowaniem tych świadczeń z budżetu ministra właściwego do spraw zdrowia nie ma potrzeby wprowadzania przepisów przejściowych.</w:t>
      </w:r>
    </w:p>
    <w:bookmarkEnd w:id="1"/>
    <w:p w14:paraId="0CC32DF3" w14:textId="13505A80" w:rsidR="00952851" w:rsidRDefault="009E10BE" w:rsidP="0095285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Z kolei projektowana zmiana w art. 41 ustawy z dnia 5 grudnia 2008 r. o zapobieganiu oraz zwalczaniu zakażeń i chorób zakaźnych u ludzi polegająca na dodaniu ust. 6 ma na celu doprecyzowanie przepisów dotyczących finansowania świadczeń opieki zdrowotnej niezbędnych do realizacji </w:t>
      </w:r>
      <w:r w:rsidR="00523EB4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zadań </w:t>
      </w:r>
      <w:r w:rsid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związanych z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leczeni</w:t>
      </w:r>
      <w:r w:rsid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em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antyretrowirusowego osób żyjących z wirusem HIV</w:t>
      </w:r>
      <w:r w:rsidR="0085309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przez wskazanie, że k</w:t>
      </w:r>
      <w:r w:rsidR="0085309F" w:rsidRPr="0085309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oszty świadczeń opieki zdrowotnej </w:t>
      </w:r>
      <w:r w:rsidR="00D33CCE" w:rsidRPr="00D33CC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związanych przyczynowo z</w:t>
      </w:r>
      <w:r w:rsidR="00E9094B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realizacją zadań,</w:t>
      </w:r>
      <w:r w:rsid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o których mowa w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art. 41</w:t>
      </w:r>
      <w:r w:rsidR="00F96BA3" w:rsidRP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ust. 3 ww. ustawy</w:t>
      </w:r>
      <w:r w:rsidR="00E9094B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,</w:t>
      </w:r>
      <w:r w:rsidR="00592F9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592F91" w:rsidRPr="00592F9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innych niż określone w art. 41 ust. 4 i 5 ww. ustawy</w:t>
      </w:r>
      <w:r w:rsidR="00E9094B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,</w:t>
      </w:r>
      <w:r w:rsidR="0085309F" w:rsidRPr="0085309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udziel</w:t>
      </w:r>
      <w:r w:rsidR="00E9094B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</w:t>
      </w:r>
      <w:r w:rsidR="0085309F" w:rsidRPr="0085309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nych osobom nieposiadającym uprawnień z</w:t>
      </w:r>
      <w:r w:rsidR="000F670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="0085309F" w:rsidRPr="0085309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tytułu ubezpieczenia zdrowotnego są finansowane z budżetu państwa z części, której dysponentem jest minister właściwy do spraw zdrowia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. </w:t>
      </w:r>
      <w:r w:rsidR="00952851" w:rsidRP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Zaproponowane brzmienie przepisu odwołuje się do zadań, o których mowa w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art. 41</w:t>
      </w:r>
      <w:r w:rsidR="00F96BA3" w:rsidRP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F96BA3" w:rsidRP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ust. 3</w:t>
      </w:r>
      <w:r w:rsidR="00F96BA3" w:rsidRP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ww. ustawy</w:t>
      </w:r>
      <w:r w:rsidR="00952851" w:rsidRP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, co pozostaje spójne z trwającymi pracami nad zmianą formy realizacji tych zadań, w tym zastąpieniem programu polityki zdrowotnej innymi rozwiązaniami organizacyjnymi lub finansowymi. Dzięki temu nowa redakcja </w:t>
      </w:r>
      <w:r w:rsidR="00DF794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przepisu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art. 41 </w:t>
      </w:r>
      <w:r w:rsidR="00F96BA3" w:rsidRP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ust. 6 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ww. </w:t>
      </w:r>
      <w:r w:rsidR="00F30F7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ustawy </w:t>
      </w:r>
      <w:r w:rsidR="00952851" w:rsidRPr="0095285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zapewnia stabilną podstawę do finansowania świadczeń ze środków budżetu państwa, niezależnie od przyszłych modyfikacji sposobu realizacji zadania i eliminuje konieczność ponownej nowelizacji przepisu w przypadku zmian modelu organizacyjnego.</w:t>
      </w:r>
    </w:p>
    <w:p w14:paraId="79FC6EA6" w14:textId="46EF696F" w:rsidR="009E10BE" w:rsidRPr="009E10BE" w:rsidRDefault="009E10BE" w:rsidP="00952851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Obecne regulacje prowadzą do szeregu nieporozumień i błędnych interpretacji ze strony podmiotów leczniczych posiadających umowę z Narodowym Funduszem Zdrowia i</w:t>
      </w:r>
      <w:r w:rsidR="006B68FB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realizujących jednocześnie program polityki zdrowotnej leczenia antyretrowirusowego osób żyjących z wirusem HIV. W zależności od miejsca i sytuacji świadczenia opieki zdrowotnej, w</w:t>
      </w:r>
      <w:r w:rsidR="006B68FB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ramach których </w:t>
      </w:r>
      <w:r w:rsidR="008F627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są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wydawane produkty lecznicze oraz </w:t>
      </w:r>
      <w:r w:rsidR="008F627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są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wykonywane badania diagnostyczne wyrobami medycznymi z tego programu, są udzielane bez dodatkowych opłat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lastRenderedPageBreak/>
        <w:t>lub jest pobierana opłata za te świadczenia. Wobec powyższego wskazana grupa pacjentów ma utrudniony dostęp do produktów leczniczych i wyrobów medycznych w ramach programu, o</w:t>
      </w:r>
      <w:r w:rsidR="004629F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którym mowa w art. </w:t>
      </w:r>
      <w:r w:rsidR="0085309F"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4</w:t>
      </w:r>
      <w:r w:rsidR="0085309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1</w:t>
      </w:r>
      <w:r w:rsidR="0085309F"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ust. 3 ustawy z dnia 5 grudnia 2008 r. o zapobieganiu oraz zwalczaniu zakażeń i chorób zakaźnych u ludzi, skierowanego do wszystkich osób zakażonych HIV i</w:t>
      </w:r>
      <w:r w:rsidR="004629F7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chorych na AIDS przebywających na terytorium Rzecz</w:t>
      </w:r>
      <w:r w:rsidR="00F96BA3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y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pospolitej Polskiej, niezależnie od statusu ubezpieczeniowego</w:t>
      </w:r>
      <w:bookmarkStart w:id="2" w:name="_Hlk209189449"/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. </w:t>
      </w:r>
    </w:p>
    <w:bookmarkEnd w:id="2"/>
    <w:p w14:paraId="642DC619" w14:textId="3A4FBC79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Zgodnie z art. 12 ustawy z dnia 27 sierpnia 2004 r. o świadczeniach opieki zdrowotnej finansowanych ze środków publicznych zaproponowane przepisy nie naruszają przepisów o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świadczeniach opieki zdrowotnej udzielanych bezpłatnie bez względu na uprawnienia z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tytułu ubezpieczenia zdrowotnego na podstawie m.in. przepisów ustawy z dnia 5 grudnia 2008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r. o zapobieganiu oraz zwalczaniu zakażeń i chorób zakaźnych u ludzi – w przypadku świadczeń zdrowotnych związanych ze zwalczaniem zakażeń i chorób zakaźnych. Wskazany przepis ustawy z dnia 27 sierpnia 2004 r. o świadczeniach opieki zdrowotnej finansowanych ze środków publicznych zawiera odesłanie do aktów prawnych, które regulują możliwości korzystania z konkretnych świadczeń zdrowotnych, na zasadach odmiennych niż wskazane w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tej ustawie.</w:t>
      </w:r>
    </w:p>
    <w:p w14:paraId="4B158738" w14:textId="1A1BAD30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Leczenie antyretrowirusowe jest skuteczną metodą przerwania łańcucha epidemiologicznego nowych zakażeń HIV. Pełniąc podwójną rolę – terapeutyczną i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profilaktyczną</w:t>
      </w:r>
      <w:r w:rsidR="00557612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,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terapia ta stanowi podstawę strategii prewencyjnych (TasP – leczenie jako profilaktyka, z ang. </w:t>
      </w:r>
      <w:r w:rsidRPr="00557612">
        <w:rPr>
          <w:rFonts w:ascii="Times" w:eastAsia="Times New Roman" w:hAnsi="Times" w:cs="Arial"/>
          <w:i/>
          <w:iCs/>
          <w:kern w:val="0"/>
          <w:sz w:val="24"/>
          <w:szCs w:val="20"/>
          <w:lang w:eastAsia="pl-PL"/>
          <w14:ligatures w14:val="none"/>
        </w:rPr>
        <w:t>Treatment as Prevention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), ponieważ osoby skutecznie leczone, z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niewykrywalną wiremią HIV nie zakażają innych podczas kontaktów seksualnych (zasada N=N Niewykrywalny=Niezakażający, z ang. U=U </w:t>
      </w:r>
      <w:r w:rsidRPr="00557612">
        <w:rPr>
          <w:rFonts w:ascii="Times" w:eastAsia="Times New Roman" w:hAnsi="Times" w:cs="Arial"/>
          <w:i/>
          <w:iCs/>
          <w:kern w:val="0"/>
          <w:sz w:val="24"/>
          <w:szCs w:val="20"/>
          <w:lang w:eastAsia="pl-PL"/>
          <w14:ligatures w14:val="none"/>
        </w:rPr>
        <w:t>Undetectable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= </w:t>
      </w:r>
      <w:r w:rsidRPr="00557612">
        <w:rPr>
          <w:rFonts w:ascii="Times" w:eastAsia="Times New Roman" w:hAnsi="Times" w:cs="Arial"/>
          <w:i/>
          <w:iCs/>
          <w:kern w:val="0"/>
          <w:sz w:val="24"/>
          <w:szCs w:val="20"/>
          <w:lang w:eastAsia="pl-PL"/>
          <w14:ligatures w14:val="none"/>
        </w:rPr>
        <w:t>Untransmittable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). Wobec powyższego</w:t>
      </w:r>
      <w:r w:rsidR="008F627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,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umożliwiając leczenie osobom zakażonym, zmniejsza</w:t>
      </w:r>
      <w:r w:rsidR="003E71B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się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przyszłe koszty leczenia kolejnych osób, które miałyby ryzyko zakażeni</w:t>
      </w:r>
      <w:r w:rsidR="006B68FB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od tych osób.</w:t>
      </w:r>
    </w:p>
    <w:p w14:paraId="13F15CE4" w14:textId="103F881E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Nieleczenie zakażenia HIV lub przerwanie leczenia, np. z powodu utraty tytułu do ubezpieczenia zdrowotnego i braku możliwości odbycia wizyty lekarskiej, </w:t>
      </w:r>
      <w:r w:rsidR="003E71B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podczas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której </w:t>
      </w:r>
      <w:r w:rsidR="008F627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są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wydawane leki, powoduje progresję chorób współistniejących, m.in. włóknieni</w:t>
      </w:r>
      <w:r w:rsidR="008F627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e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miąższu wątroby u osób zakażonych przewlekle HCV oraz wzrost aktywności markerów zapalnych, a</w:t>
      </w:r>
      <w:r w:rsidR="00C56349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co za tym idzie p</w:t>
      </w:r>
      <w:r w:rsidR="00652AC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ow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o</w:t>
      </w:r>
      <w:r w:rsidR="00652AC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d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ują starzenie oraz rozwój powikłań sercowo-naczyniowych, metabolicznych oraz kostnych. W ostatnich latach podkreśla się również wzrost ryzyka nowotworów związanych z nieskutecznym leczeniem. Ponadto</w:t>
      </w:r>
      <w:r w:rsidR="00652AC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przerwanie leczenia prowadzi do zwiększenia ryzyka nieskuteczności wirusowej (brak supresji replikacji) po ponownym jego wdrożeniu (zjawisko lekooporności). Na podstawie wielu badań udowodniono również, że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lastRenderedPageBreak/>
        <w:t xml:space="preserve">przerwy w terapii antyretrowirusowej zwiększają ryzyko transmisji zakażenia HIV u osób przewlekle zakażonych, przyczyniając się do rozszerzania epidemii HIV/AIDS. </w:t>
      </w:r>
    </w:p>
    <w:p w14:paraId="2D855FBC" w14:textId="335A1854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Należy zatem z dużą dozą prawdopodobieństwa stwierdzić, że pacjent, </w:t>
      </w:r>
      <w:bookmarkStart w:id="3" w:name="_Hlk219796390"/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którego nie leczy się lub u którego przerywa się leczenie antyretrowirusowe</w:t>
      </w:r>
      <w:bookmarkEnd w:id="3"/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, po jakimś czasie (</w:t>
      </w:r>
      <w:r w:rsidR="00DE2D5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po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kilku tygodni</w:t>
      </w:r>
      <w:r w:rsidR="00DE2D5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ach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lub kilku miesi</w:t>
      </w:r>
      <w:r w:rsidR="006403AD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ą</w:t>
      </w:r>
      <w:r w:rsidR="00DE2D5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cach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) wróci do oddziału szpitalnego w stanie ciężkim, wymagając hospitalizacji z powodu zakażeń oportunistycznych, nowotworów lub innych powikłań powodowanych przez zakażenie HIV. Będzie to wówczas stan bezpośredniego zagrożenia życia i pacjent ten </w:t>
      </w:r>
      <w:r w:rsidR="00DE2D5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będzie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wymagał, tak czy inaczej, podania leków antyretrowirusowych ze wskazań życiowych. Dodatkowo </w:t>
      </w:r>
      <w:r w:rsidR="0085309F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pacjent ten </w:t>
      </w:r>
      <w:r w:rsidR="0085309F"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będzie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generować koszty znacznie większe niż nieprzerwana terapia ARV, m.in. z powodu hospitalizacji i konieczności leczenia zagrażających życiu zakażeń oportunistycznych. Koszty te będą wielokrotnie wyższe niż koszt wizyty lekarskiej, na któr</w:t>
      </w:r>
      <w:r w:rsidR="00DE2D5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ej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są wydawane produkty lecznicze i </w:t>
      </w:r>
      <w:r w:rsidR="00DE2D5A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będą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robione badania </w:t>
      </w:r>
      <w:r w:rsidR="00652AC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wyrobami medycznymi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finansowanymi z programu dla wszystkich osób, które tego wymagają. </w:t>
      </w:r>
    </w:p>
    <w:p w14:paraId="70B67F05" w14:textId="77777777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Przedmiotowa regulacja nie wymaga przepisów przejściowych.</w:t>
      </w:r>
    </w:p>
    <w:p w14:paraId="2433C6D9" w14:textId="799A01C7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Proponuje się wejście w życie ustawy po upływie 14 dni od dnia ogłoszenia.</w:t>
      </w:r>
    </w:p>
    <w:p w14:paraId="71603930" w14:textId="77777777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Projektowana ustawa nie jest sprzeczna z prawem Unii Europejskiej. </w:t>
      </w:r>
    </w:p>
    <w:p w14:paraId="137ED5C9" w14:textId="77777777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Projekt ustawy nie wymaga przedstawienia organom i instytucjom Unii Europejskiej, w tym Europejskiemu Bankowi Centralnemu, w celu uzyskania opinii, dokonania powiadomienia, konsultacji albo uzgodnienia. </w:t>
      </w:r>
    </w:p>
    <w:p w14:paraId="03DC3081" w14:textId="77777777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Projekt ustawy nie ma wpływu na działalność mikroprzedsiębiorców, małych i średnich przedsiębiorców.</w:t>
      </w:r>
    </w:p>
    <w:p w14:paraId="313D65FC" w14:textId="75F2AC25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Projekt ustawy nie zawiera przepisów technicznych w rozumieniu przepisów rozporządzenia Rady Ministrów z dnia 23 grudnia 2002 r. w sprawie sposobu funkcjonowania krajowego systemu notyfikacji norm i aktów prawnych (Dz. U. poz. 2039 oraz z 2004 r. poz.</w:t>
      </w:r>
      <w:r w:rsidR="00B511B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597) i w związku z tym nie podlega procedurze notyfikacji.</w:t>
      </w:r>
    </w:p>
    <w:p w14:paraId="1B7E32F7" w14:textId="77777777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Projektowana ustawa nie zawiera wymogów nakładanych na usługodawców podlegających notyfikacji, o której mowa w art. 15 ust. 7 i art. 39 ust. 5 dyrektywy 2006/123/WE Parlamentu Europejskiego i Rady z dnia 12 grudnia 2006 r. dotyczącej usług na rynku wewnętrznym (Dz. Urz. UE L 376 z 27.12.2006, str. 36).</w:t>
      </w:r>
    </w:p>
    <w:p w14:paraId="5375ECF8" w14:textId="49DDF88E" w:rsidR="009E10BE" w:rsidRPr="009E10BE" w:rsidRDefault="009E10BE" w:rsidP="009E10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Projektowana ustawa nie wywiera wpływu na obszar danych osobowych. W związku z tym nie przeprowadzono oceny skutków dla ochrony danych osobowych, o której mowa w 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lastRenderedPageBreak/>
        <w:t>art.</w:t>
      </w:r>
      <w:r w:rsidR="00B511B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35 ust. 1 rozporządzenia Parlamentu Europejskiego i Rady (UE) 2016/679 z dnia 27</w:t>
      </w:r>
      <w:r w:rsidR="00B511B1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</w:t>
      </w: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kwietnia 2016 r. w sprawie ochrony osób fizycznych w związku z przetwarzaniem danych osobowych i w sprawie swobodnego przepływu takich danych oraz uchylenia dyrektywy 95/46/WE (ogólne rozporządzenie o ochronie danych) (Dz. Urz. UE L 119 z 04.05.2016, str. 1, z późn. zm.).</w:t>
      </w:r>
    </w:p>
    <w:p w14:paraId="0F0B3AE5" w14:textId="42CE5B93" w:rsidR="007848A2" w:rsidRPr="00221BEB" w:rsidRDefault="009E10BE" w:rsidP="00221BE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9E10BE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Nie ma możliwości podjęcia alternatywnych w stosunku do uchwalenia projektu ustawy środków umożliwiających osiągnięcie zamierzonego celu. </w:t>
      </w:r>
    </w:p>
    <w:sectPr w:rsidR="007848A2" w:rsidRPr="00221BEB" w:rsidSect="00B511B1">
      <w:footerReference w:type="default" r:id="rId6"/>
      <w:pgSz w:w="11907" w:h="16840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2D3A" w14:textId="77777777" w:rsidR="00281C54" w:rsidRDefault="00281C54" w:rsidP="00B511B1">
      <w:pPr>
        <w:spacing w:after="0" w:line="240" w:lineRule="auto"/>
      </w:pPr>
      <w:r>
        <w:separator/>
      </w:r>
    </w:p>
  </w:endnote>
  <w:endnote w:type="continuationSeparator" w:id="0">
    <w:p w14:paraId="6666C98F" w14:textId="77777777" w:rsidR="00281C54" w:rsidRDefault="00281C54" w:rsidP="00B51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303511872"/>
      <w:docPartObj>
        <w:docPartGallery w:val="Page Numbers (Bottom of Page)"/>
        <w:docPartUnique/>
      </w:docPartObj>
    </w:sdtPr>
    <w:sdtEndPr/>
    <w:sdtContent>
      <w:p w14:paraId="2E636119" w14:textId="7A4E2F71" w:rsidR="00B511B1" w:rsidRPr="00B511B1" w:rsidRDefault="00B511B1" w:rsidP="00B511B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11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11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11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511B1">
          <w:rPr>
            <w:rFonts w:ascii="Times New Roman" w:hAnsi="Times New Roman" w:cs="Times New Roman"/>
            <w:sz w:val="24"/>
            <w:szCs w:val="24"/>
          </w:rPr>
          <w:t>2</w:t>
        </w:r>
        <w:r w:rsidRPr="00B511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3E467" w14:textId="77777777" w:rsidR="00281C54" w:rsidRDefault="00281C54" w:rsidP="00B511B1">
      <w:pPr>
        <w:spacing w:after="0" w:line="240" w:lineRule="auto"/>
      </w:pPr>
      <w:r>
        <w:separator/>
      </w:r>
    </w:p>
  </w:footnote>
  <w:footnote w:type="continuationSeparator" w:id="0">
    <w:p w14:paraId="57535DAF" w14:textId="77777777" w:rsidR="00281C54" w:rsidRDefault="00281C54" w:rsidP="00B511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0BE"/>
    <w:rsid w:val="000017FC"/>
    <w:rsid w:val="00011817"/>
    <w:rsid w:val="000316BC"/>
    <w:rsid w:val="00071682"/>
    <w:rsid w:val="000F670E"/>
    <w:rsid w:val="00102211"/>
    <w:rsid w:val="001172AC"/>
    <w:rsid w:val="00175B90"/>
    <w:rsid w:val="00194094"/>
    <w:rsid w:val="001F7CDA"/>
    <w:rsid w:val="00221BEB"/>
    <w:rsid w:val="00224D07"/>
    <w:rsid w:val="0024405E"/>
    <w:rsid w:val="002567AF"/>
    <w:rsid w:val="00281C54"/>
    <w:rsid w:val="0028642A"/>
    <w:rsid w:val="002A6660"/>
    <w:rsid w:val="002E5724"/>
    <w:rsid w:val="00322C29"/>
    <w:rsid w:val="00336900"/>
    <w:rsid w:val="00352781"/>
    <w:rsid w:val="003956C3"/>
    <w:rsid w:val="003A5823"/>
    <w:rsid w:val="003C5736"/>
    <w:rsid w:val="003D592C"/>
    <w:rsid w:val="003E71BA"/>
    <w:rsid w:val="00424C6F"/>
    <w:rsid w:val="00424D15"/>
    <w:rsid w:val="00425F8E"/>
    <w:rsid w:val="00461B5B"/>
    <w:rsid w:val="004629F7"/>
    <w:rsid w:val="00481677"/>
    <w:rsid w:val="004A2DD1"/>
    <w:rsid w:val="004D291F"/>
    <w:rsid w:val="00523EB4"/>
    <w:rsid w:val="00544C27"/>
    <w:rsid w:val="005547A2"/>
    <w:rsid w:val="00557612"/>
    <w:rsid w:val="00580FA9"/>
    <w:rsid w:val="005908DA"/>
    <w:rsid w:val="00592F91"/>
    <w:rsid w:val="00594012"/>
    <w:rsid w:val="005A464A"/>
    <w:rsid w:val="005C1AB9"/>
    <w:rsid w:val="005D3944"/>
    <w:rsid w:val="005F2C2E"/>
    <w:rsid w:val="005F785D"/>
    <w:rsid w:val="006403AD"/>
    <w:rsid w:val="0064419E"/>
    <w:rsid w:val="00652AC1"/>
    <w:rsid w:val="00684E51"/>
    <w:rsid w:val="006B68FB"/>
    <w:rsid w:val="006C4E90"/>
    <w:rsid w:val="006D7621"/>
    <w:rsid w:val="00747A65"/>
    <w:rsid w:val="007848A2"/>
    <w:rsid w:val="007E5552"/>
    <w:rsid w:val="00826C22"/>
    <w:rsid w:val="0085309F"/>
    <w:rsid w:val="008A5BE2"/>
    <w:rsid w:val="008F6270"/>
    <w:rsid w:val="00952851"/>
    <w:rsid w:val="009A1E70"/>
    <w:rsid w:val="009C13C8"/>
    <w:rsid w:val="009C2D50"/>
    <w:rsid w:val="009C43A0"/>
    <w:rsid w:val="009E10BE"/>
    <w:rsid w:val="00A17742"/>
    <w:rsid w:val="00A221FD"/>
    <w:rsid w:val="00A25A70"/>
    <w:rsid w:val="00A60E43"/>
    <w:rsid w:val="00A83D4A"/>
    <w:rsid w:val="00A94EFB"/>
    <w:rsid w:val="00AA5E03"/>
    <w:rsid w:val="00AD1F09"/>
    <w:rsid w:val="00AF33CA"/>
    <w:rsid w:val="00B32FC5"/>
    <w:rsid w:val="00B511B1"/>
    <w:rsid w:val="00BB4C7B"/>
    <w:rsid w:val="00C0291F"/>
    <w:rsid w:val="00C56349"/>
    <w:rsid w:val="00CB5DB1"/>
    <w:rsid w:val="00D33CCE"/>
    <w:rsid w:val="00DA7112"/>
    <w:rsid w:val="00DB1292"/>
    <w:rsid w:val="00DE2D5A"/>
    <w:rsid w:val="00DF7942"/>
    <w:rsid w:val="00E15A80"/>
    <w:rsid w:val="00E71238"/>
    <w:rsid w:val="00E73A20"/>
    <w:rsid w:val="00E9094B"/>
    <w:rsid w:val="00EF1F3D"/>
    <w:rsid w:val="00F30E39"/>
    <w:rsid w:val="00F30F77"/>
    <w:rsid w:val="00F638AF"/>
    <w:rsid w:val="00F650DB"/>
    <w:rsid w:val="00F96BA3"/>
    <w:rsid w:val="00FC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3322"/>
  <w15:chartTrackingRefBased/>
  <w15:docId w15:val="{0015D69F-2C0B-43E6-9F05-AA0DDE5E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1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1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1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1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1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1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1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1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1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1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1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1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10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10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10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10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10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10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1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1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1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1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1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10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10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10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1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10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10BE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62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62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62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62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627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5309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51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11B1"/>
  </w:style>
  <w:style w:type="paragraph" w:styleId="Stopka">
    <w:name w:val="footer"/>
    <w:basedOn w:val="Normalny"/>
    <w:link w:val="StopkaZnak"/>
    <w:uiPriority w:val="99"/>
    <w:unhideWhenUsed/>
    <w:rsid w:val="00B51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1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1927</Words>
  <Characters>11564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Kołodziejek Tomasz</dc:creator>
  <cp:keywords/>
  <dc:description/>
  <cp:lastModifiedBy>Binkowska Joanna</cp:lastModifiedBy>
  <cp:revision>2</cp:revision>
  <cp:lastPrinted>2026-09-15T07:39:00Z</cp:lastPrinted>
  <dcterms:created xsi:type="dcterms:W3CDTF">2026-09-22T13:07:00Z</dcterms:created>
  <dcterms:modified xsi:type="dcterms:W3CDTF">2026-09-22T13:07:00Z</dcterms:modified>
</cp:coreProperties>
</file>