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00BF4" w14:textId="77777777" w:rsidR="006A689B" w:rsidRPr="00DF4C66" w:rsidRDefault="006A689B" w:rsidP="00393D6A">
      <w:pPr>
        <w:spacing w:after="240" w:line="360" w:lineRule="auto"/>
        <w:jc w:val="center"/>
        <w:rPr>
          <w:rFonts w:ascii="Times New Roman" w:hAnsi="Times New Roman" w:cs="Times New Roman"/>
          <w:bCs/>
          <w:sz w:val="24"/>
          <w:szCs w:val="24"/>
        </w:rPr>
      </w:pPr>
      <w:r w:rsidRPr="00DF4C66">
        <w:rPr>
          <w:rFonts w:ascii="Times New Roman" w:hAnsi="Times New Roman" w:cs="Times New Roman"/>
          <w:bCs/>
          <w:sz w:val="24"/>
          <w:szCs w:val="24"/>
        </w:rPr>
        <w:t>UZASADNIENIE</w:t>
      </w:r>
    </w:p>
    <w:p w14:paraId="4917522D" w14:textId="77777777" w:rsidR="006A689B" w:rsidRPr="00DF4C66" w:rsidRDefault="006A689B" w:rsidP="00393D6A">
      <w:pPr>
        <w:numPr>
          <w:ilvl w:val="0"/>
          <w:numId w:val="2"/>
        </w:numPr>
        <w:spacing w:before="120" w:line="360" w:lineRule="auto"/>
        <w:ind w:left="567"/>
        <w:jc w:val="both"/>
        <w:rPr>
          <w:rFonts w:ascii="Times New Roman" w:eastAsia="Calibri" w:hAnsi="Times New Roman" w:cs="Times New Roman"/>
          <w:b/>
          <w:iCs/>
          <w:sz w:val="24"/>
          <w:szCs w:val="24"/>
        </w:rPr>
      </w:pPr>
      <w:r w:rsidRPr="00DF4C66">
        <w:rPr>
          <w:rFonts w:ascii="Times New Roman" w:eastAsia="Calibri" w:hAnsi="Times New Roman" w:cs="Times New Roman"/>
          <w:b/>
          <w:iCs/>
          <w:sz w:val="24"/>
          <w:szCs w:val="24"/>
        </w:rPr>
        <w:t>Wstęp</w:t>
      </w:r>
    </w:p>
    <w:p w14:paraId="289C9FEA" w14:textId="245ED2B0" w:rsidR="00EC1F18" w:rsidRPr="00DF4C66" w:rsidRDefault="00EC1F18"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 xml:space="preserve">Przedkładany projekt ustawy stanowi odpowiedź na zidentyfikowane mechanizmy wykorzystywania instytucji fundacji rodzinnej niezgodnie z celem ustawy </w:t>
      </w:r>
      <w:r w:rsidR="00D40E96" w:rsidRPr="00DF4C66">
        <w:rPr>
          <w:rFonts w:ascii="Times New Roman" w:eastAsia="Calibri" w:hAnsi="Times New Roman" w:cs="Times New Roman"/>
          <w:bCs/>
          <w:iCs/>
          <w:sz w:val="24"/>
          <w:szCs w:val="24"/>
        </w:rPr>
        <w:t>z dnia 26 stycznia 2023 r. o fundacji rodzinnej (Dz. U. poz. 326, z późn. zm.), zwanej dalej „ustawą o fundacji rodzinnej”</w:t>
      </w:r>
      <w:r w:rsidRPr="00DF4C66">
        <w:rPr>
          <w:rFonts w:ascii="Times New Roman" w:eastAsia="Calibri" w:hAnsi="Times New Roman" w:cs="Times New Roman"/>
          <w:bCs/>
          <w:iCs/>
          <w:sz w:val="24"/>
          <w:szCs w:val="24"/>
        </w:rPr>
        <w:t xml:space="preserve">. Zrodziło to potrzebę doprecyzowania i uszczelnienia przepisów podatkowych obejmujących fundacje rodzinne. </w:t>
      </w:r>
    </w:p>
    <w:p w14:paraId="43CDFF51" w14:textId="7D10D660" w:rsidR="00952F1C" w:rsidRPr="00DF4C66" w:rsidRDefault="00952F1C"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Zgodnie z art. 143 ustawy</w:t>
      </w:r>
      <w:r w:rsidR="00D40E96" w:rsidRPr="00DF4C66">
        <w:rPr>
          <w:rFonts w:ascii="Times New Roman" w:hAnsi="Times New Roman" w:cs="Times New Roman"/>
          <w:sz w:val="24"/>
          <w:szCs w:val="24"/>
        </w:rPr>
        <w:t xml:space="preserve"> </w:t>
      </w:r>
      <w:r w:rsidR="00D40E96" w:rsidRPr="00DF4C66">
        <w:rPr>
          <w:rFonts w:ascii="Times New Roman" w:eastAsia="Calibri" w:hAnsi="Times New Roman" w:cs="Times New Roman"/>
          <w:bCs/>
          <w:iCs/>
          <w:sz w:val="24"/>
          <w:szCs w:val="24"/>
        </w:rPr>
        <w:t>o fundacji rodzinnej</w:t>
      </w:r>
      <w:r w:rsidRPr="00DF4C66">
        <w:rPr>
          <w:rFonts w:ascii="Times New Roman" w:eastAsia="Times New Roman" w:hAnsi="Times New Roman" w:cs="Times New Roman"/>
          <w:bCs/>
          <w:sz w:val="24"/>
          <w:szCs w:val="24"/>
          <w:lang w:eastAsia="pl-PL"/>
        </w:rPr>
        <w:t>,</w:t>
      </w:r>
      <w:r w:rsidRPr="00DF4C66">
        <w:rPr>
          <w:rFonts w:ascii="Times New Roman" w:eastAsia="Calibri" w:hAnsi="Times New Roman" w:cs="Times New Roman"/>
          <w:bCs/>
          <w:iCs/>
          <w:sz w:val="24"/>
          <w:szCs w:val="24"/>
        </w:rPr>
        <w:t xml:space="preserve"> Rada Ministrów była zobowiązana do dokonania przeglądu funkcjonowania przepisów tej ustawy oraz przedstawienia informacji o skutkach jej obowiązywania wraz z propozycjami zmian</w:t>
      </w:r>
      <w:r w:rsidRPr="00DF4C66">
        <w:rPr>
          <w:rStyle w:val="Odwoanieprzypisudolnego"/>
          <w:rFonts w:ascii="Times New Roman" w:eastAsia="Calibri" w:hAnsi="Times New Roman" w:cs="Times New Roman"/>
          <w:bCs/>
          <w:iCs/>
          <w:sz w:val="24"/>
          <w:szCs w:val="24"/>
        </w:rPr>
        <w:footnoteReference w:id="1"/>
      </w:r>
      <w:r w:rsidRPr="00DF4C66">
        <w:rPr>
          <w:rFonts w:ascii="Times New Roman" w:eastAsia="Calibri" w:hAnsi="Times New Roman" w:cs="Times New Roman"/>
          <w:bCs/>
          <w:iCs/>
          <w:sz w:val="24"/>
          <w:szCs w:val="24"/>
        </w:rPr>
        <w:t>. Przedkładany projekt ustawy stanowi odpowiedź na zidentyfikowane w toku przeglądu mechanizmy wykorzystywania instytucji fundacji rodzinnej w sposób niezgodny z jej celem ustawowym.</w:t>
      </w:r>
    </w:p>
    <w:p w14:paraId="3DAD4BDF" w14:textId="53DB06D5" w:rsidR="00952F1C" w:rsidRPr="00DF4C66" w:rsidRDefault="00952F1C"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 xml:space="preserve">Przeprowadzona analiza wykazała, że w praktyce stosowania przepisów dochodzi do zjawisk prowadzących do odejścia od podstawowego celu fundacji rodzinnej, jakim jest długoterminowe zarządzanie majątkiem oraz realizacja funkcji sukcesyjnych. W szczególności zaobserwowano przypadki wykorzystywania fundacji rodzinnych jako instrumentów umożliwiających uzyskiwanie korzyści podatkowych poprzez zmianę formy prawnej prowadzenia działalności przy zachowaniu ekonomicznej tożsamości uzyskiwanych dochodów. </w:t>
      </w:r>
    </w:p>
    <w:p w14:paraId="2D380036" w14:textId="7A95930D" w:rsidR="00952F1C" w:rsidRPr="00DF4C66" w:rsidRDefault="00952F1C"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 xml:space="preserve">Z danych dotyczących funkcjonowania fundacji rodzinnych wynika, że osiągają one znaczne wartości przychodów i dochodów korzystających ze zwolnień podatkowych. Jednocześnie konstrukcja opodatkowania fundacji rodzinnej, przewidująca opodatkowanie dopiero na etapie dystrybucji świadczeń, umożliwia odroczenie momentu opodatkowania w czasie, a w praktyce w wielu przypadkach jego istotne ograniczenie. </w:t>
      </w:r>
    </w:p>
    <w:p w14:paraId="36B08F74" w14:textId="40D0749A" w:rsidR="00952F1C" w:rsidRPr="00DF4C66" w:rsidRDefault="00952F1C"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 xml:space="preserve">W </w:t>
      </w:r>
      <w:r w:rsidR="00E62396" w:rsidRPr="00DF4C66">
        <w:rPr>
          <w:rFonts w:ascii="Times New Roman" w:eastAsia="Calibri" w:hAnsi="Times New Roman" w:cs="Times New Roman"/>
          <w:bCs/>
          <w:iCs/>
          <w:sz w:val="24"/>
          <w:szCs w:val="24"/>
        </w:rPr>
        <w:t>toku przeglądu ustawy o fundacji rodzinnej</w:t>
      </w:r>
      <w:r w:rsidRPr="00DF4C66">
        <w:rPr>
          <w:rFonts w:ascii="Times New Roman" w:eastAsia="Calibri" w:hAnsi="Times New Roman" w:cs="Times New Roman"/>
          <w:bCs/>
          <w:iCs/>
          <w:sz w:val="24"/>
          <w:szCs w:val="24"/>
        </w:rPr>
        <w:t xml:space="preserve"> ustalono, że część praktyk związanych z wykorzystaniem fundacji rodzinnej prowadzi do ograniczenia poziomu opodatkowania lub nieograniczonego przesunięcia obowiązku podatkowego w czasie, co skutkuje rozszczelnieniem systemu podatkowego oraz podważeniem założeń konstrukcyjnych tej instytucji. </w:t>
      </w:r>
    </w:p>
    <w:p w14:paraId="418D2B68" w14:textId="2E7C26AA" w:rsidR="00952F1C" w:rsidRPr="00DF4C66" w:rsidRDefault="00952F1C"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lastRenderedPageBreak/>
        <w:t>W świetle powyższego zachodzi konieczność wprowadzenia zmian w przepisach ustawy o podatku dochodowym od osób prawnych, zmierzających do uszczelnienia systemu podatkowego w obszarze funkcjonowania fundacji rodzinnych poprzez ograniczenie możliwości instrumentalnego wykorzystywania przewidzianych dla nich preferencji podatkowych oraz powiązanie ich stosowania z rzeczywistą realizacją funkcji sukcesyjnej.</w:t>
      </w:r>
    </w:p>
    <w:p w14:paraId="395BA229" w14:textId="77777777" w:rsidR="00EC1F18" w:rsidRPr="00DF4C66" w:rsidRDefault="00EC1F18"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Założeniem leżącym u podstaw proponowanego kierunku regulacji jest dążenie do pełniejszej realizacji zasady sprawiedliwości podatkowej, wywodzonej z art. 84 Konstytucji Rzeczypospolitej Polskiej. Zasada ta, wraz z zasadą powszechności opodatkowania, ulega naruszeniu w przypadkach, gdy dochody generowane przez zdarzenia o porównywalnym charakterze ekonomicznym podlegają opodatkowaniu na odmiennych zasadach lub według różnych stawek, bez istnienia obiektywnych przesłanek uzasadniających takie zróżnicowanie.</w:t>
      </w:r>
    </w:p>
    <w:p w14:paraId="0B68E3D4" w14:textId="77777777" w:rsidR="00EC1F18" w:rsidRPr="00DF4C66" w:rsidRDefault="00EC1F18"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Zróżnicowanie to stanowi podstawę do podejmowania przez podatników działań określanych mianem „agresywnej optymalizacji podatkowej”, których istotą jest wybór formy prowadzenia działalności lub struktury transakcji przede wszystkim ze względu na ich skutki podatkowe, a nie względy ekonomiczne. Należy podkreślić, że niekiedy działania te mieszczą się w granicach obowiązującego porządku prawnego. Niemniej jednak, z punktu widzenia zasady sprawiedliwości podatkowej wyrażonej w art. 84 Konstytucji oraz zasady wewnętrznej spójności systemu podatkowego, praktyki te należy uznać za niepożądane.</w:t>
      </w:r>
    </w:p>
    <w:p w14:paraId="51F8E2D4" w14:textId="77777777" w:rsidR="00EC1F18" w:rsidRPr="00DF4C66" w:rsidRDefault="00EC1F18"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 xml:space="preserve">Przyznawanie określonych preferencji podatkowych lub ustanawianie szczególnych zasad opodatkowania stanowi wyłączną kompetencję ustawodawcy i winno być wyrazem przemyślanej polityki podatkowej, której celem jest realizacja konstytucyjnych wartości. Agresywne działania optymalizacyjne, które prowadzą do uzyskiwania niezamierzonych przez ustawodawcę korzyści podatkowych, naruszają tę zasadę. </w:t>
      </w:r>
    </w:p>
    <w:p w14:paraId="099D0057" w14:textId="5A995FD5" w:rsidR="00EC1F18" w:rsidRPr="00DF4C66" w:rsidRDefault="00EC1F18"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W świetle powyższego, przyjęty w projekcie nowelizacji kierunek zmian w przepisach dotyczących podatku dochodowego, ukierunkowany na uszczelnienie systemu, znajduje swoje uzasadnienie w wartościach konstytucyjnych oraz potrzebie zapewnienia większej spójności i sprawiedliwości systemu podatkowego.</w:t>
      </w:r>
    </w:p>
    <w:p w14:paraId="48FE47B1" w14:textId="3B95E8D6" w:rsidR="003A6C84" w:rsidRPr="00DF4C66" w:rsidRDefault="003A6C84"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Zwrócić należy uwagę, że zakazy i nakazy wywodzone z zasad demokratycznego państwa prawnego (art. 2 Konstytucji) nie mają charakteru bezwzględnego. Odstąpienie od tych zasad jest dopuszczalne, gdy przemawia za tym ważny interes publiczny (orzeczenia TK z: 29 marca 1994 r., K 13/93, 24 maja 1994 r., K 1/94, 18 października 1994 r., K 2/94, 12 stycznia 1995 r., K 12/94 i 11 września 1995 r., P 1/95 oraz wyrok z 25 kwietnia 2001 r., K 13/01). W orzecznictwie Trybunału Konstytucyjnego przyjmuje się, że za taki „ważny interes publiczny” </w:t>
      </w:r>
      <w:r w:rsidRPr="00DF4C66">
        <w:rPr>
          <w:rFonts w:ascii="Times New Roman" w:eastAsia="Times New Roman" w:hAnsi="Times New Roman" w:cs="Times New Roman"/>
          <w:bCs/>
          <w:sz w:val="24"/>
          <w:szCs w:val="24"/>
          <w:lang w:eastAsia="pl-PL"/>
        </w:rPr>
        <w:lastRenderedPageBreak/>
        <w:t>można bez wątpienia uważać dążenie ustawodawcy do przeciwstawienia się oszustwom i nadużyciom podatkowym, prowadzącym do uchylania się od obowiązku uiszczania należnych podatków (tak w wyroku TK z 18 października 1994 r., K 2/94). Proponowane zmiany mają niewątpliwie taki charakter, bowiem mają na celu eliminowanie praktyk powodujących obejście prawa i agresywnej optymalizacji podatkowej.</w:t>
      </w:r>
    </w:p>
    <w:p w14:paraId="7523778C" w14:textId="4148C87A" w:rsidR="009F6B6D" w:rsidRPr="00DF4C66" w:rsidRDefault="006A689B"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Projekt ustawy wprowadza zmiany</w:t>
      </w:r>
      <w:r w:rsidR="002947FF">
        <w:rPr>
          <w:rFonts w:ascii="Times New Roman" w:eastAsia="Calibri" w:hAnsi="Times New Roman" w:cs="Times New Roman"/>
          <w:bCs/>
          <w:iCs/>
          <w:sz w:val="24"/>
          <w:szCs w:val="24"/>
        </w:rPr>
        <w:t xml:space="preserve"> w</w:t>
      </w:r>
      <w:r w:rsidR="009F6B6D" w:rsidRPr="00DF4C66">
        <w:rPr>
          <w:rFonts w:ascii="Times New Roman" w:eastAsia="Calibri" w:hAnsi="Times New Roman" w:cs="Times New Roman"/>
          <w:bCs/>
          <w:iCs/>
          <w:sz w:val="24"/>
          <w:szCs w:val="24"/>
        </w:rPr>
        <w:t>:</w:t>
      </w:r>
    </w:p>
    <w:p w14:paraId="2446AEC2" w14:textId="57DE7C04" w:rsidR="009F6B6D" w:rsidRPr="00DF4C66" w:rsidRDefault="009F6B6D" w:rsidP="00393D6A">
      <w:pPr>
        <w:pStyle w:val="Akapitzlist"/>
        <w:numPr>
          <w:ilvl w:val="0"/>
          <w:numId w:val="48"/>
        </w:num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ustawie z dnia 26 lipca 1991 r. o podatku dochodowym od osób fizycznych (Dz. U. z 2026 r. poz. 592, z późn. zm.), zwanej dalej „ustawą PIT”;</w:t>
      </w:r>
    </w:p>
    <w:p w14:paraId="24508974" w14:textId="4C2122B6" w:rsidR="006A689B" w:rsidRPr="00DF4C66" w:rsidRDefault="006A689B" w:rsidP="00393D6A">
      <w:pPr>
        <w:pStyle w:val="Akapitzlist"/>
        <w:numPr>
          <w:ilvl w:val="0"/>
          <w:numId w:val="48"/>
        </w:num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ustawie z dnia 15 lutego 1992 r. o podatku dochodowym od osób prawnych (Dz. U. z 202</w:t>
      </w:r>
      <w:r w:rsidR="00E62396" w:rsidRPr="00DF4C66">
        <w:rPr>
          <w:rFonts w:ascii="Times New Roman" w:eastAsia="Calibri" w:hAnsi="Times New Roman" w:cs="Times New Roman"/>
          <w:bCs/>
          <w:iCs/>
          <w:sz w:val="24"/>
          <w:szCs w:val="24"/>
        </w:rPr>
        <w:t>6</w:t>
      </w:r>
      <w:r w:rsidRPr="00DF4C66">
        <w:rPr>
          <w:rFonts w:ascii="Times New Roman" w:eastAsia="Calibri" w:hAnsi="Times New Roman" w:cs="Times New Roman"/>
          <w:bCs/>
          <w:iCs/>
          <w:sz w:val="24"/>
          <w:szCs w:val="24"/>
        </w:rPr>
        <w:t xml:space="preserve"> r. poz. </w:t>
      </w:r>
      <w:r w:rsidR="00E62396" w:rsidRPr="00DF4C66">
        <w:rPr>
          <w:rFonts w:ascii="Times New Roman" w:eastAsia="Calibri" w:hAnsi="Times New Roman" w:cs="Times New Roman"/>
          <w:bCs/>
          <w:iCs/>
          <w:sz w:val="24"/>
          <w:szCs w:val="24"/>
        </w:rPr>
        <w:t>554</w:t>
      </w:r>
      <w:r w:rsidR="009F6B6D" w:rsidRPr="00DF4C66">
        <w:rPr>
          <w:rFonts w:ascii="Times New Roman" w:eastAsia="Calibri" w:hAnsi="Times New Roman" w:cs="Times New Roman"/>
          <w:bCs/>
          <w:iCs/>
          <w:sz w:val="24"/>
          <w:szCs w:val="24"/>
        </w:rPr>
        <w:t>, z późn. zm.</w:t>
      </w:r>
      <w:r w:rsidRPr="00DF4C66">
        <w:rPr>
          <w:rFonts w:ascii="Times New Roman" w:eastAsia="Calibri" w:hAnsi="Times New Roman" w:cs="Times New Roman"/>
          <w:bCs/>
          <w:iCs/>
          <w:sz w:val="24"/>
          <w:szCs w:val="24"/>
        </w:rPr>
        <w:t>), zwanej dalej „ustawą CIT”.</w:t>
      </w:r>
    </w:p>
    <w:p w14:paraId="7DD0431D" w14:textId="7F1B8183" w:rsidR="002B682A" w:rsidRPr="00DF4C66" w:rsidRDefault="002B682A"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Przyjęty model opodatkowania fundacji rodzinnych, obejmujący w szczególności neutralność wniesienia majątku do fundacji rodzinnej, brak udziałów czy innych praw o podobny</w:t>
      </w:r>
      <w:r w:rsidR="000D5943">
        <w:rPr>
          <w:rFonts w:ascii="Times New Roman" w:eastAsia="Calibri" w:hAnsi="Times New Roman" w:cs="Times New Roman"/>
          <w:bCs/>
          <w:iCs/>
          <w:sz w:val="24"/>
          <w:szCs w:val="24"/>
        </w:rPr>
        <w:t>m</w:t>
      </w:r>
      <w:r w:rsidRPr="00DF4C66">
        <w:rPr>
          <w:rFonts w:ascii="Times New Roman" w:eastAsia="Calibri" w:hAnsi="Times New Roman" w:cs="Times New Roman"/>
          <w:bCs/>
          <w:iCs/>
          <w:sz w:val="24"/>
          <w:szCs w:val="24"/>
        </w:rPr>
        <w:t xml:space="preserve"> charakterze do majątku fundacji rodzinnej (które stanowiłyby ewentualny przychód po stronie fundatora czy beneficjentów), został zaprojektowany jako mechanizm wspierający sukcesję przedsiębiorstw rodzinnych oraz długoterminowe zarządzanie majątkiem. Jednocześnie, konstrukcja ta wprowadza szczególny reżim podatkowy, odbiegający od zasad opodatkowania typowych podmiotów prowadzących działalność gospodarczą, który w założeniu miał pozostawać w ścisłym związku z przyjętym modelem ustrojowym fundacji rodzinnej oraz celami, jakim miała ona służyć. Przyznanie preferencyjnych zasad opodatkowania wynikało z funkcji fundacji rodzinnej w zakresie sukcesji oraz długoterminowego zarządzania majątkiem.</w:t>
      </w:r>
      <w:r w:rsidR="000D5943">
        <w:rPr>
          <w:rFonts w:ascii="Times New Roman" w:eastAsia="Calibri" w:hAnsi="Times New Roman" w:cs="Times New Roman"/>
          <w:bCs/>
          <w:iCs/>
          <w:sz w:val="24"/>
          <w:szCs w:val="24"/>
        </w:rPr>
        <w:t xml:space="preserve"> </w:t>
      </w:r>
      <w:r w:rsidRPr="00DF4C66">
        <w:rPr>
          <w:rFonts w:ascii="Times New Roman" w:eastAsia="Calibri" w:hAnsi="Times New Roman" w:cs="Times New Roman"/>
          <w:bCs/>
          <w:iCs/>
          <w:sz w:val="24"/>
          <w:szCs w:val="24"/>
        </w:rPr>
        <w:t>Oznacza to, że aksjologiczne uzasadnienie przyznania preferencji istnieje wyłącznie wówczas, gdy pozostają one funkcjonalnie powiązane z modelem instytucjonalnym, służącym realizacji określonych założeń.</w:t>
      </w:r>
    </w:p>
    <w:p w14:paraId="39AB9ECE" w14:textId="0BC17DBA" w:rsidR="002B682A" w:rsidRPr="00DF4C66" w:rsidRDefault="002B682A"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Bardzo często obserwowanym zjawiskiem jest sytuacja, w której fundator jest jedynym beneficjentem fundacji rodzinnej</w:t>
      </w:r>
      <w:r w:rsidR="002C16C0">
        <w:rPr>
          <w:rFonts w:ascii="Times New Roman" w:eastAsia="Calibri" w:hAnsi="Times New Roman" w:cs="Times New Roman"/>
          <w:bCs/>
          <w:iCs/>
          <w:sz w:val="24"/>
          <w:szCs w:val="24"/>
        </w:rPr>
        <w:t>,</w:t>
      </w:r>
      <w:r w:rsidRPr="00DF4C66">
        <w:rPr>
          <w:rFonts w:ascii="Times New Roman" w:eastAsia="Calibri" w:hAnsi="Times New Roman" w:cs="Times New Roman"/>
          <w:bCs/>
          <w:iCs/>
          <w:sz w:val="24"/>
          <w:szCs w:val="24"/>
        </w:rPr>
        <w:t xml:space="preserve"> bądź jedynymi beneficjentami fundacji rodzinnej są fundatorzy (małżonkowie) i fundacja taka nie ma innych żyjących beneficjentów, względnie fundator jest jednym z beneficjentów. W takiej sytuacji fundator lub fundatorzy zachowują faktyczną kontrolę nad majątkiem wniesionym do fundacji, pomimo jego formalnego wyodrębnienia jako własności odrębnej osoby prawnej. W takim układzie fundacja rodzinna pełni funkcję podmiotu pośredniczącego, natomiast rzeczywiste decyzje gospodarcze pozostają w gestii fundatora. Z perspektywy podatkowej prowadzi to do sytuacji, w której dochody z majątku są osiągane w ramach korzystniejszego reżimu podatkowego właściwego dla fundacji </w:t>
      </w:r>
      <w:r w:rsidRPr="00DF4C66">
        <w:rPr>
          <w:rFonts w:ascii="Times New Roman" w:eastAsia="Calibri" w:hAnsi="Times New Roman" w:cs="Times New Roman"/>
          <w:bCs/>
          <w:iCs/>
          <w:sz w:val="24"/>
          <w:szCs w:val="24"/>
        </w:rPr>
        <w:lastRenderedPageBreak/>
        <w:t>rodzinnej, mimo że ekonomicznie odpowiadają dochodom uzyskiwanym bezpośrednio przez osobę fizyczną.</w:t>
      </w:r>
      <w:r w:rsidR="000D5943">
        <w:rPr>
          <w:rFonts w:ascii="Times New Roman" w:eastAsia="Calibri" w:hAnsi="Times New Roman" w:cs="Times New Roman"/>
          <w:bCs/>
          <w:iCs/>
          <w:sz w:val="24"/>
          <w:szCs w:val="24"/>
        </w:rPr>
        <w:t xml:space="preserve"> </w:t>
      </w:r>
    </w:p>
    <w:p w14:paraId="07F814A3" w14:textId="77777777" w:rsidR="002B682A" w:rsidRPr="00DF4C66" w:rsidRDefault="002B682A"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Dla oceny spójności szczególnego reżimu podatkowego fundacji rodzinnej z jej modelową konstrukcją oraz deklarowanymi celami, kluczowe znaczenie ma zatem porównanie zasad opodatkowania dochodów pasywnych osiąganych za jej pośrednictwem z zasadami właściwymi dla opodatkowania analogicznych dochodów uzyskiwanych bezpośrednio przez osobę fizyczną w ramach podatku dochodowego od osób fizycznych (PIT). Takie porównanie wskazuje na istotne różnice pomiędzy sytuacją osoby fizycznej a fundacji rodzinnej, zarówno na etapie bieżącego uzyskiwania dochodów, jak i ich dystrybucji.</w:t>
      </w:r>
    </w:p>
    <w:p w14:paraId="533C75D9" w14:textId="77777777" w:rsidR="002B682A" w:rsidRPr="00DF4C66" w:rsidRDefault="002B682A"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W przypadku dywidend uzyskiwanych przez osobę fizyczną zastosowanie znajduje podatek dochodowy według stawki 19%. Odmiennie kształtuje się sytuacja fundacji rodzinnej, w której dochód z dywidend co do zasady nie podlega opodatkowaniu na poziomie samej fundacji, natomiast opodatkowanie występuje dopiero przy wypłacie świadczeń na rzecz beneficjentów i wynosi 15% podatku CIT, przy jednoczesnym braku opodatkowania po stronie beneficjentów należących do tzw. grupy „zero”. W rezultacie efektywne opodatkowanie wynosi 15%, przy czym mechanizm ten wiąże się z odroczeniem momentu opodatkowania do chwili dystrybucji dochodu.</w:t>
      </w:r>
    </w:p>
    <w:p w14:paraId="5181EE5B" w14:textId="77777777" w:rsidR="002B682A" w:rsidRPr="00DF4C66" w:rsidRDefault="002B682A"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Różnice te widoczne są również w odniesieniu do dochodów ze sprzedaży aktywów kapitałowych. Osoba fizyczna uzyskująca dochód ze sprzedaży akcji ponosi ciężar podatku dochodowego według stawki 19%, powiększonej o 4% daniny solidarnościowej, co prowadzi do łącznego efektywnego opodatkowania na poziomie 23%. W przypadku fundacji rodzinnej dochód ze zbycia akcji nie podlega opodatkowaniu na poziomie fundacji, natomiast opodatkowanie w wysokości 15% podatku CIT następuje dopiero przy wypłacie świadczeń. W konsekwencji, efektywne obciążenie podatkowe kształtuje się na poziomie około 15%, przy jednoczesnym odroczeniu momentu opodatkowania.</w:t>
      </w:r>
    </w:p>
    <w:p w14:paraId="5CE143D5" w14:textId="18C8E02C" w:rsidR="002B682A" w:rsidRPr="00DF4C66" w:rsidRDefault="002B682A"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Przedstawione, przykładowe porównanie wskazuje, że konstrukcja opodatkowania fundacji rodzinnej prowadzi do istotnie niższego efektywnego poziomu opodatkowania dochodów pasywnych w porównaniu do opodatkowania tych samych kategorii dochodów uzyskiwanych bezpośrednio przez osoby fizyczne, jak również umożliwia odroczenie momentu powstania obowiązku podatkowego. Okoliczności te mogą prowadzić do podejmowania decyzji o wyborze formy organizacyjnej nie ze względów gospodarczych lub sukcesyjnych, lecz przede wszystkim w celu uzyskania preferencyjnego traktowania podatkowego</w:t>
      </w:r>
      <w:r w:rsidR="00E62396" w:rsidRPr="00DF4C66">
        <w:rPr>
          <w:rFonts w:ascii="Times New Roman" w:eastAsia="Calibri" w:hAnsi="Times New Roman" w:cs="Times New Roman"/>
          <w:bCs/>
          <w:iCs/>
          <w:sz w:val="24"/>
          <w:szCs w:val="24"/>
        </w:rPr>
        <w:t>.</w:t>
      </w:r>
    </w:p>
    <w:p w14:paraId="336E679D" w14:textId="77777777" w:rsidR="00155FDD" w:rsidRPr="00DF4C66" w:rsidRDefault="00155FDD" w:rsidP="00393D6A">
      <w:pPr>
        <w:spacing w:before="120" w:line="360" w:lineRule="auto"/>
        <w:jc w:val="both"/>
        <w:rPr>
          <w:rFonts w:ascii="Times New Roman" w:hAnsi="Times New Roman" w:cs="Times New Roman"/>
          <w:sz w:val="24"/>
          <w:szCs w:val="24"/>
          <w:lang w:eastAsia="pl-PL"/>
        </w:rPr>
      </w:pPr>
      <w:r w:rsidRPr="00DF4C66">
        <w:rPr>
          <w:rFonts w:ascii="Times New Roman" w:hAnsi="Times New Roman" w:cs="Times New Roman"/>
          <w:sz w:val="24"/>
          <w:szCs w:val="24"/>
          <w:lang w:eastAsia="pl-PL"/>
        </w:rPr>
        <w:lastRenderedPageBreak/>
        <w:t>Ponadto, z danych wynikających ze składanych przez fundacje rodzinne deklaracji CIT-8FR wynika, że podmioty te osiągają znaczne przychody (dochody) zwolnione od podatku. Poniżej prezentowane są informacje dotyczące m.in. liczby fundacji rodzinnych, które złożyły tę deklarację, kwot należnego podatku, ale także wysokości przychodów oraz dochodów zwolnionych od podatku:</w:t>
      </w:r>
    </w:p>
    <w:tbl>
      <w:tblPr>
        <w:tblW w:w="9062" w:type="dxa"/>
        <w:tblCellMar>
          <w:left w:w="0" w:type="dxa"/>
          <w:right w:w="0" w:type="dxa"/>
        </w:tblCellMar>
        <w:tblLook w:val="04A0" w:firstRow="1" w:lastRow="0" w:firstColumn="1" w:lastColumn="0" w:noHBand="0" w:noVBand="1"/>
      </w:tblPr>
      <w:tblGrid>
        <w:gridCol w:w="305"/>
        <w:gridCol w:w="3654"/>
        <w:gridCol w:w="1701"/>
        <w:gridCol w:w="1701"/>
        <w:gridCol w:w="1701"/>
      </w:tblGrid>
      <w:tr w:rsidR="00155FDD" w:rsidRPr="00DF4C66" w14:paraId="388D5AB7" w14:textId="77777777" w:rsidTr="00EC1347">
        <w:trPr>
          <w:trHeight w:val="424"/>
        </w:trPr>
        <w:tc>
          <w:tcPr>
            <w:tcW w:w="3959" w:type="dxa"/>
            <w:gridSpan w:val="2"/>
            <w:tcBorders>
              <w:top w:val="single" w:sz="4" w:space="0" w:color="auto"/>
              <w:left w:val="single" w:sz="8" w:space="0" w:color="auto"/>
              <w:bottom w:val="single" w:sz="8" w:space="0" w:color="auto"/>
              <w:right w:val="single" w:sz="8" w:space="0" w:color="auto"/>
            </w:tcBorders>
            <w:shd w:val="clear" w:color="auto" w:fill="D6DCE4"/>
            <w:noWrap/>
            <w:tcMar>
              <w:top w:w="0" w:type="dxa"/>
              <w:left w:w="70" w:type="dxa"/>
              <w:bottom w:w="0" w:type="dxa"/>
              <w:right w:w="70" w:type="dxa"/>
            </w:tcMar>
            <w:vAlign w:val="center"/>
            <w:hideMark/>
          </w:tcPr>
          <w:p w14:paraId="2D89D05F" w14:textId="77777777" w:rsidR="00155FDD" w:rsidRPr="00DF4C66" w:rsidRDefault="00155FDD" w:rsidP="00393D6A">
            <w:pPr>
              <w:spacing w:line="276" w:lineRule="auto"/>
              <w:jc w:val="center"/>
              <w:rPr>
                <w:rFonts w:ascii="Times New Roman" w:eastAsia="Calibri" w:hAnsi="Times New Roman" w:cs="Times New Roman"/>
                <w:b/>
                <w:bCs/>
                <w:sz w:val="24"/>
                <w:szCs w:val="24"/>
                <w:lang w:eastAsia="pl-PL"/>
              </w:rPr>
            </w:pPr>
            <w:r w:rsidRPr="00DF4C66">
              <w:rPr>
                <w:rFonts w:ascii="Times New Roman" w:eastAsia="Calibri" w:hAnsi="Times New Roman" w:cs="Times New Roman"/>
                <w:b/>
                <w:bCs/>
                <w:color w:val="000000"/>
                <w:sz w:val="24"/>
                <w:szCs w:val="24"/>
                <w:lang w:eastAsia="pl-PL"/>
              </w:rPr>
              <w:t>Wyszczególnienie</w:t>
            </w:r>
          </w:p>
        </w:tc>
        <w:tc>
          <w:tcPr>
            <w:tcW w:w="1701" w:type="dxa"/>
            <w:tcBorders>
              <w:top w:val="single" w:sz="4" w:space="0" w:color="auto"/>
              <w:left w:val="nil"/>
              <w:bottom w:val="single" w:sz="8" w:space="0" w:color="auto"/>
              <w:right w:val="single" w:sz="8" w:space="0" w:color="auto"/>
            </w:tcBorders>
            <w:shd w:val="clear" w:color="auto" w:fill="D6DCE4"/>
            <w:noWrap/>
            <w:tcMar>
              <w:top w:w="0" w:type="dxa"/>
              <w:left w:w="70" w:type="dxa"/>
              <w:bottom w:w="0" w:type="dxa"/>
              <w:right w:w="70" w:type="dxa"/>
            </w:tcMar>
            <w:vAlign w:val="center"/>
            <w:hideMark/>
          </w:tcPr>
          <w:p w14:paraId="1B0B9A4A" w14:textId="77777777" w:rsidR="00155FDD" w:rsidRPr="00DF4C66" w:rsidRDefault="00155FDD" w:rsidP="00393D6A">
            <w:pPr>
              <w:spacing w:line="276" w:lineRule="auto"/>
              <w:jc w:val="center"/>
              <w:rPr>
                <w:rFonts w:ascii="Times New Roman" w:eastAsia="Calibri" w:hAnsi="Times New Roman" w:cs="Times New Roman"/>
                <w:b/>
                <w:bCs/>
                <w:sz w:val="24"/>
                <w:szCs w:val="24"/>
                <w:lang w:eastAsia="pl-PL"/>
              </w:rPr>
            </w:pPr>
            <w:r w:rsidRPr="00DF4C66">
              <w:rPr>
                <w:rFonts w:ascii="Times New Roman" w:eastAsia="Calibri" w:hAnsi="Times New Roman" w:cs="Times New Roman"/>
                <w:b/>
                <w:bCs/>
                <w:color w:val="000000"/>
                <w:sz w:val="24"/>
                <w:szCs w:val="24"/>
                <w:lang w:eastAsia="pl-PL"/>
              </w:rPr>
              <w:t>2023</w:t>
            </w:r>
          </w:p>
        </w:tc>
        <w:tc>
          <w:tcPr>
            <w:tcW w:w="1701" w:type="dxa"/>
            <w:tcBorders>
              <w:top w:val="single" w:sz="4" w:space="0" w:color="auto"/>
              <w:left w:val="nil"/>
              <w:bottom w:val="single" w:sz="8" w:space="0" w:color="auto"/>
              <w:right w:val="single" w:sz="8" w:space="0" w:color="auto"/>
            </w:tcBorders>
            <w:shd w:val="clear" w:color="auto" w:fill="D6DCE4"/>
            <w:noWrap/>
            <w:tcMar>
              <w:top w:w="0" w:type="dxa"/>
              <w:left w:w="70" w:type="dxa"/>
              <w:bottom w:w="0" w:type="dxa"/>
              <w:right w:w="70" w:type="dxa"/>
            </w:tcMar>
            <w:vAlign w:val="center"/>
            <w:hideMark/>
          </w:tcPr>
          <w:p w14:paraId="272AD131" w14:textId="77777777" w:rsidR="00155FDD" w:rsidRPr="00DF4C66" w:rsidRDefault="00155FDD" w:rsidP="00393D6A">
            <w:pPr>
              <w:spacing w:line="276" w:lineRule="auto"/>
              <w:jc w:val="center"/>
              <w:rPr>
                <w:rFonts w:ascii="Times New Roman" w:eastAsia="Calibri" w:hAnsi="Times New Roman" w:cs="Times New Roman"/>
                <w:b/>
                <w:bCs/>
                <w:sz w:val="24"/>
                <w:szCs w:val="24"/>
                <w:lang w:eastAsia="pl-PL"/>
              </w:rPr>
            </w:pPr>
            <w:r w:rsidRPr="00DF4C66">
              <w:rPr>
                <w:rFonts w:ascii="Times New Roman" w:eastAsia="Calibri" w:hAnsi="Times New Roman" w:cs="Times New Roman"/>
                <w:b/>
                <w:bCs/>
                <w:color w:val="000000"/>
                <w:sz w:val="24"/>
                <w:szCs w:val="24"/>
                <w:lang w:eastAsia="pl-PL"/>
              </w:rPr>
              <w:t>2024</w:t>
            </w:r>
          </w:p>
        </w:tc>
        <w:tc>
          <w:tcPr>
            <w:tcW w:w="1701" w:type="dxa"/>
            <w:tcBorders>
              <w:top w:val="single" w:sz="4" w:space="0" w:color="auto"/>
              <w:left w:val="nil"/>
              <w:bottom w:val="single" w:sz="8" w:space="0" w:color="auto"/>
              <w:right w:val="single" w:sz="8" w:space="0" w:color="auto"/>
            </w:tcBorders>
            <w:shd w:val="clear" w:color="auto" w:fill="D6DCE4"/>
            <w:noWrap/>
            <w:tcMar>
              <w:top w:w="0" w:type="dxa"/>
              <w:left w:w="70" w:type="dxa"/>
              <w:bottom w:w="0" w:type="dxa"/>
              <w:right w:w="70" w:type="dxa"/>
            </w:tcMar>
            <w:vAlign w:val="center"/>
            <w:hideMark/>
          </w:tcPr>
          <w:p w14:paraId="30A80324" w14:textId="77777777" w:rsidR="00155FDD" w:rsidRPr="00DF4C66" w:rsidRDefault="00155FDD" w:rsidP="00393D6A">
            <w:pPr>
              <w:spacing w:line="276" w:lineRule="auto"/>
              <w:jc w:val="center"/>
              <w:rPr>
                <w:rFonts w:ascii="Times New Roman" w:eastAsia="Calibri" w:hAnsi="Times New Roman" w:cs="Times New Roman"/>
                <w:b/>
                <w:bCs/>
                <w:sz w:val="24"/>
                <w:szCs w:val="24"/>
                <w:lang w:eastAsia="pl-PL"/>
              </w:rPr>
            </w:pPr>
            <w:r w:rsidRPr="00DF4C66">
              <w:rPr>
                <w:rFonts w:ascii="Times New Roman" w:eastAsia="Calibri" w:hAnsi="Times New Roman" w:cs="Times New Roman"/>
                <w:b/>
                <w:bCs/>
                <w:color w:val="000000"/>
                <w:sz w:val="24"/>
                <w:szCs w:val="24"/>
                <w:lang w:eastAsia="pl-PL"/>
              </w:rPr>
              <w:t>2025</w:t>
            </w:r>
          </w:p>
        </w:tc>
      </w:tr>
      <w:tr w:rsidR="00155FDD" w:rsidRPr="00DF4C66" w14:paraId="2D97CD94" w14:textId="77777777" w:rsidTr="00C046CE">
        <w:trPr>
          <w:trHeight w:val="315"/>
        </w:trPr>
        <w:tc>
          <w:tcPr>
            <w:tcW w:w="3959" w:type="dxa"/>
            <w:gridSpan w:val="2"/>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1DDE1C5" w14:textId="502DB014" w:rsidR="00155FDD" w:rsidRPr="00DF4C66" w:rsidRDefault="00155FDD" w:rsidP="00393D6A">
            <w:pPr>
              <w:spacing w:line="276" w:lineRule="auto"/>
              <w:rPr>
                <w:rFonts w:ascii="Times New Roman" w:eastAsia="Calibri" w:hAnsi="Times New Roman" w:cs="Times New Roman"/>
                <w:b/>
                <w:bCs/>
                <w:sz w:val="24"/>
                <w:szCs w:val="24"/>
                <w:lang w:eastAsia="pl-PL"/>
              </w:rPr>
            </w:pPr>
            <w:r w:rsidRPr="00DF4C66">
              <w:rPr>
                <w:rFonts w:ascii="Times New Roman" w:eastAsia="Calibri" w:hAnsi="Times New Roman" w:cs="Times New Roman"/>
                <w:b/>
                <w:bCs/>
                <w:sz w:val="24"/>
                <w:szCs w:val="24"/>
                <w:lang w:eastAsia="pl-PL"/>
              </w:rPr>
              <w:t xml:space="preserve">Liczba fundacji rodzinnych, które złożyły </w:t>
            </w:r>
            <w:r w:rsidR="005A1503" w:rsidRPr="00DF4C66">
              <w:rPr>
                <w:rFonts w:ascii="Times New Roman" w:eastAsia="Calibri" w:hAnsi="Times New Roman" w:cs="Times New Roman"/>
                <w:b/>
                <w:bCs/>
                <w:sz w:val="24"/>
                <w:szCs w:val="24"/>
                <w:lang w:eastAsia="pl-PL"/>
              </w:rPr>
              <w:t>deklarację</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582AFA63"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332</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3D48E2C"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1 779</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C5ED82C"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3 017</w:t>
            </w:r>
          </w:p>
        </w:tc>
      </w:tr>
      <w:tr w:rsidR="00155FDD" w:rsidRPr="00DF4C66" w14:paraId="7776F9C2" w14:textId="77777777" w:rsidTr="00C046CE">
        <w:trPr>
          <w:trHeight w:val="315"/>
        </w:trPr>
        <w:tc>
          <w:tcPr>
            <w:tcW w:w="9062" w:type="dxa"/>
            <w:gridSpan w:val="5"/>
            <w:tcBorders>
              <w:top w:val="nil"/>
              <w:left w:val="single" w:sz="8" w:space="0" w:color="auto"/>
              <w:bottom w:val="single" w:sz="8" w:space="0" w:color="auto"/>
              <w:right w:val="single" w:sz="8" w:space="0" w:color="000000"/>
            </w:tcBorders>
            <w:noWrap/>
            <w:tcMar>
              <w:top w:w="0" w:type="dxa"/>
              <w:left w:w="70" w:type="dxa"/>
              <w:bottom w:w="0" w:type="dxa"/>
              <w:right w:w="70" w:type="dxa"/>
            </w:tcMar>
            <w:vAlign w:val="bottom"/>
            <w:hideMark/>
          </w:tcPr>
          <w:p w14:paraId="33B66615" w14:textId="77777777" w:rsidR="00155FDD" w:rsidRPr="00DF4C66" w:rsidRDefault="00155FDD" w:rsidP="00393D6A">
            <w:pPr>
              <w:spacing w:line="276" w:lineRule="auto"/>
              <w:jc w:val="right"/>
              <w:rPr>
                <w:rFonts w:ascii="Times New Roman" w:eastAsia="Calibri" w:hAnsi="Times New Roman" w:cs="Times New Roman"/>
                <w:b/>
                <w:bCs/>
                <w:sz w:val="24"/>
                <w:szCs w:val="24"/>
                <w:lang w:eastAsia="pl-PL"/>
              </w:rPr>
            </w:pPr>
            <w:r w:rsidRPr="00DF4C66">
              <w:rPr>
                <w:rFonts w:ascii="Times New Roman" w:eastAsia="Calibri" w:hAnsi="Times New Roman" w:cs="Times New Roman"/>
                <w:b/>
                <w:bCs/>
                <w:sz w:val="24"/>
                <w:szCs w:val="24"/>
                <w:lang w:eastAsia="pl-PL"/>
              </w:rPr>
              <w:t>kwoty w zł</w:t>
            </w:r>
          </w:p>
        </w:tc>
      </w:tr>
      <w:tr w:rsidR="00155FDD" w:rsidRPr="00DF4C66" w14:paraId="264520E9" w14:textId="77777777" w:rsidTr="00C046CE">
        <w:trPr>
          <w:trHeight w:val="238"/>
        </w:trPr>
        <w:tc>
          <w:tcPr>
            <w:tcW w:w="3959" w:type="dxa"/>
            <w:gridSpan w:val="2"/>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A588848" w14:textId="77777777" w:rsidR="00155FDD" w:rsidRPr="00DF4C66" w:rsidRDefault="00155FDD" w:rsidP="00393D6A">
            <w:pPr>
              <w:spacing w:line="276" w:lineRule="auto"/>
              <w:rPr>
                <w:rFonts w:ascii="Times New Roman" w:eastAsia="Calibri" w:hAnsi="Times New Roman" w:cs="Times New Roman"/>
                <w:b/>
                <w:bCs/>
                <w:sz w:val="24"/>
                <w:szCs w:val="24"/>
                <w:lang w:eastAsia="pl-PL"/>
              </w:rPr>
            </w:pPr>
            <w:r w:rsidRPr="00DF4C66">
              <w:rPr>
                <w:rFonts w:ascii="Times New Roman" w:eastAsia="Calibri" w:hAnsi="Times New Roman" w:cs="Times New Roman"/>
                <w:b/>
                <w:bCs/>
                <w:sz w:val="24"/>
                <w:szCs w:val="24"/>
                <w:lang w:eastAsia="pl-PL"/>
              </w:rPr>
              <w:t>Podstawa opodatkowania</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2170EEED"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169 749 536</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48AB97E"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450 307 622</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58FABD83"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850 306 400</w:t>
            </w:r>
          </w:p>
        </w:tc>
      </w:tr>
      <w:tr w:rsidR="00155FDD" w:rsidRPr="00DF4C66" w14:paraId="781D453D" w14:textId="77777777" w:rsidTr="00C046CE">
        <w:trPr>
          <w:trHeight w:val="293"/>
        </w:trPr>
        <w:tc>
          <w:tcPr>
            <w:tcW w:w="3959" w:type="dxa"/>
            <w:gridSpan w:val="2"/>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50C47B6" w14:textId="77777777" w:rsidR="00155FDD" w:rsidRPr="00DF4C66" w:rsidRDefault="00155FDD" w:rsidP="00393D6A">
            <w:pPr>
              <w:spacing w:line="276" w:lineRule="auto"/>
              <w:rPr>
                <w:rFonts w:ascii="Times New Roman" w:eastAsia="Calibri" w:hAnsi="Times New Roman" w:cs="Times New Roman"/>
                <w:b/>
                <w:bCs/>
                <w:sz w:val="24"/>
                <w:szCs w:val="24"/>
                <w:lang w:eastAsia="pl-PL"/>
              </w:rPr>
            </w:pPr>
            <w:r w:rsidRPr="00DF4C66">
              <w:rPr>
                <w:rFonts w:ascii="Times New Roman" w:eastAsia="Calibri" w:hAnsi="Times New Roman" w:cs="Times New Roman"/>
                <w:b/>
                <w:bCs/>
                <w:sz w:val="24"/>
                <w:szCs w:val="24"/>
                <w:lang w:eastAsia="pl-PL"/>
              </w:rPr>
              <w:t>Należny podatek</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327EC62"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25 453 846</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2DA42838"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67 223 331</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DA7C42A"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126 815 597</w:t>
            </w:r>
          </w:p>
        </w:tc>
      </w:tr>
      <w:tr w:rsidR="00155FDD" w:rsidRPr="00DF4C66" w14:paraId="1764DB26" w14:textId="77777777" w:rsidTr="00C046CE">
        <w:trPr>
          <w:trHeight w:val="304"/>
        </w:trPr>
        <w:tc>
          <w:tcPr>
            <w:tcW w:w="3959" w:type="dxa"/>
            <w:gridSpan w:val="2"/>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5F62807" w14:textId="77777777" w:rsidR="00155FDD" w:rsidRPr="00DF4C66" w:rsidRDefault="00155FDD" w:rsidP="00393D6A">
            <w:pPr>
              <w:spacing w:line="276" w:lineRule="auto"/>
              <w:ind w:right="-66"/>
              <w:rPr>
                <w:rFonts w:ascii="Times New Roman" w:eastAsia="Calibri" w:hAnsi="Times New Roman" w:cs="Times New Roman"/>
                <w:b/>
                <w:bCs/>
                <w:sz w:val="24"/>
                <w:szCs w:val="24"/>
                <w:lang w:eastAsia="pl-PL"/>
              </w:rPr>
            </w:pPr>
            <w:r w:rsidRPr="00DF4C66">
              <w:rPr>
                <w:rFonts w:ascii="Times New Roman" w:eastAsia="Calibri" w:hAnsi="Times New Roman" w:cs="Times New Roman"/>
                <w:b/>
                <w:bCs/>
                <w:sz w:val="24"/>
                <w:szCs w:val="24"/>
                <w:lang w:eastAsia="pl-PL"/>
              </w:rPr>
              <w:t>Przychody zwolnione od podatku, w tym:</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F6A598E" w14:textId="77777777" w:rsidR="00155FDD" w:rsidRPr="00DF4C66" w:rsidRDefault="00155FDD" w:rsidP="00393D6A">
            <w:pPr>
              <w:spacing w:line="276" w:lineRule="auto"/>
              <w:ind w:right="-66"/>
              <w:jc w:val="right"/>
              <w:rPr>
                <w:rFonts w:ascii="Times New Roman" w:eastAsia="Calibri" w:hAnsi="Times New Roman" w:cs="Times New Roman"/>
                <w:b/>
                <w:bCs/>
                <w:sz w:val="24"/>
                <w:szCs w:val="24"/>
                <w:lang w:eastAsia="pl-PL"/>
              </w:rPr>
            </w:pPr>
            <w:r w:rsidRPr="00DF4C66">
              <w:rPr>
                <w:rFonts w:ascii="Times New Roman" w:eastAsia="Calibri" w:hAnsi="Times New Roman" w:cs="Times New Roman"/>
                <w:b/>
                <w:bCs/>
                <w:sz w:val="24"/>
                <w:szCs w:val="24"/>
                <w:lang w:eastAsia="pl-PL"/>
              </w:rPr>
              <w:t>9 491 831 959</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DFA5B3A" w14:textId="77777777" w:rsidR="00155FDD" w:rsidRPr="00DF4C66" w:rsidRDefault="00155FDD" w:rsidP="00393D6A">
            <w:pPr>
              <w:spacing w:line="276" w:lineRule="auto"/>
              <w:ind w:right="-66"/>
              <w:jc w:val="right"/>
              <w:rPr>
                <w:rFonts w:ascii="Times New Roman" w:eastAsia="Calibri" w:hAnsi="Times New Roman" w:cs="Times New Roman"/>
                <w:b/>
                <w:bCs/>
                <w:sz w:val="24"/>
                <w:szCs w:val="24"/>
                <w:lang w:eastAsia="pl-PL"/>
              </w:rPr>
            </w:pPr>
            <w:r w:rsidRPr="00DF4C66">
              <w:rPr>
                <w:rFonts w:ascii="Times New Roman" w:eastAsia="Calibri" w:hAnsi="Times New Roman" w:cs="Times New Roman"/>
                <w:b/>
                <w:bCs/>
                <w:sz w:val="24"/>
                <w:szCs w:val="24"/>
                <w:lang w:eastAsia="pl-PL"/>
              </w:rPr>
              <w:t>19 616 591 676</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88A9438" w14:textId="77777777" w:rsidR="00155FDD" w:rsidRPr="00DF4C66" w:rsidRDefault="00155FDD" w:rsidP="00393D6A">
            <w:pPr>
              <w:spacing w:line="276" w:lineRule="auto"/>
              <w:ind w:right="-66"/>
              <w:jc w:val="right"/>
              <w:rPr>
                <w:rFonts w:ascii="Times New Roman" w:eastAsia="Calibri" w:hAnsi="Times New Roman" w:cs="Times New Roman"/>
                <w:b/>
                <w:bCs/>
                <w:sz w:val="24"/>
                <w:szCs w:val="24"/>
                <w:lang w:eastAsia="pl-PL"/>
              </w:rPr>
            </w:pPr>
            <w:r w:rsidRPr="00DF4C66">
              <w:rPr>
                <w:rFonts w:ascii="Times New Roman" w:eastAsia="Calibri" w:hAnsi="Times New Roman" w:cs="Times New Roman"/>
                <w:b/>
                <w:bCs/>
                <w:sz w:val="24"/>
                <w:szCs w:val="24"/>
                <w:lang w:eastAsia="pl-PL"/>
              </w:rPr>
              <w:t>25 320 454 788</w:t>
            </w:r>
          </w:p>
        </w:tc>
      </w:tr>
      <w:tr w:rsidR="00155FDD" w:rsidRPr="00DF4C66" w14:paraId="1FAC1E1B" w14:textId="77777777" w:rsidTr="00C046CE">
        <w:trPr>
          <w:trHeight w:val="479"/>
        </w:trPr>
        <w:tc>
          <w:tcPr>
            <w:tcW w:w="30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1337FA21" w14:textId="77777777" w:rsidR="00155FDD" w:rsidRPr="00DF4C66" w:rsidRDefault="00155FDD" w:rsidP="00393D6A">
            <w:pPr>
              <w:spacing w:line="276" w:lineRule="auto"/>
              <w:jc w:val="right"/>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w:t>
            </w:r>
          </w:p>
        </w:tc>
        <w:tc>
          <w:tcPr>
            <w:tcW w:w="365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58375BD" w14:textId="77777777" w:rsidR="00155FDD" w:rsidRPr="00DF4C66" w:rsidRDefault="00155FDD" w:rsidP="00393D6A">
            <w:pPr>
              <w:spacing w:line="276" w:lineRule="auto"/>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Zbycie mienia – o którym mowa w art. 5 ust. 1 pkt 1, z zastrzeżeniem ust. 3 ustawy o fundacji rodzinnej</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7F48C4E0"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35 723 680</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25B5B0D3"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1 264 296 828</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464D5469"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2 566 905 252</w:t>
            </w:r>
          </w:p>
        </w:tc>
      </w:tr>
      <w:tr w:rsidR="00155FDD" w:rsidRPr="00DF4C66" w14:paraId="5A1F9A59" w14:textId="77777777" w:rsidTr="00C046CE">
        <w:trPr>
          <w:trHeight w:val="718"/>
        </w:trPr>
        <w:tc>
          <w:tcPr>
            <w:tcW w:w="30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290BC31C" w14:textId="77777777" w:rsidR="00155FDD" w:rsidRPr="00DF4C66" w:rsidRDefault="00155FDD" w:rsidP="00393D6A">
            <w:pPr>
              <w:spacing w:line="276" w:lineRule="auto"/>
              <w:jc w:val="right"/>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w:t>
            </w:r>
          </w:p>
        </w:tc>
        <w:tc>
          <w:tcPr>
            <w:tcW w:w="365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348BFB8" w14:textId="77777777" w:rsidR="00155FDD" w:rsidRPr="00DF4C66" w:rsidRDefault="00155FDD" w:rsidP="00393D6A">
            <w:pPr>
              <w:spacing w:line="276" w:lineRule="auto"/>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Najem, dzierżawa lub udostępnianie mienia do korzystania na innej podstawie – o którym mowa w art. 5 ust. 1 pkt 2 ustawy o fundacji rodzinnej. Nie dotyczy najmu, o którym mowa w art. 6 ust. 8 ustawy CIT</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58EFD8AC"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13 705 767</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4582EBB"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134 899 012</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46057328"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318 577 792</w:t>
            </w:r>
          </w:p>
        </w:tc>
      </w:tr>
      <w:tr w:rsidR="00155FDD" w:rsidRPr="00DF4C66" w14:paraId="74537E2C" w14:textId="77777777" w:rsidTr="00C046CE">
        <w:trPr>
          <w:trHeight w:val="718"/>
        </w:trPr>
        <w:tc>
          <w:tcPr>
            <w:tcW w:w="30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097139DA" w14:textId="77777777" w:rsidR="00155FDD" w:rsidRPr="00DF4C66" w:rsidRDefault="00155FDD" w:rsidP="00393D6A">
            <w:pPr>
              <w:spacing w:line="276" w:lineRule="auto"/>
              <w:jc w:val="right"/>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w:t>
            </w:r>
          </w:p>
        </w:tc>
        <w:tc>
          <w:tcPr>
            <w:tcW w:w="365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7C51ACA" w14:textId="77777777" w:rsidR="00155FDD" w:rsidRPr="00DF4C66" w:rsidRDefault="00155FDD" w:rsidP="00393D6A">
            <w:pPr>
              <w:spacing w:line="276" w:lineRule="auto"/>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Przystępowanie i uczestnictwo w spółkach handlowych, funduszach inwestycyjnych, spółdzielniach oraz podmiotach o podobnym charakterze – o którym mowa w art. 5 ust. 1 pkt 3 ustawy o fundacji rodzinnej</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3FA192DF"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579 409 374</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348C4689"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9 486 075 434</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47AC13A"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12 336 954 014</w:t>
            </w:r>
          </w:p>
        </w:tc>
      </w:tr>
      <w:tr w:rsidR="00155FDD" w:rsidRPr="00DF4C66" w14:paraId="22F37F57" w14:textId="77777777" w:rsidTr="00C046CE">
        <w:trPr>
          <w:trHeight w:val="479"/>
        </w:trPr>
        <w:tc>
          <w:tcPr>
            <w:tcW w:w="30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421C4F5A" w14:textId="77777777" w:rsidR="00155FDD" w:rsidRPr="00DF4C66" w:rsidRDefault="00155FDD" w:rsidP="00393D6A">
            <w:pPr>
              <w:spacing w:line="276" w:lineRule="auto"/>
              <w:jc w:val="right"/>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w:t>
            </w:r>
          </w:p>
        </w:tc>
        <w:tc>
          <w:tcPr>
            <w:tcW w:w="365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31D02CA" w14:textId="77777777" w:rsidR="00155FDD" w:rsidRPr="00DF4C66" w:rsidRDefault="00155FDD" w:rsidP="00393D6A">
            <w:pPr>
              <w:spacing w:line="276" w:lineRule="auto"/>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Nabywanie i zbywanie papierów wartościowych, instrumentów pochodnych i praw o podobnym charakterze – o którym mowa w art. 5 ust. 1 pkt 4 ustawy o fundacji rodzinnej</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1B00EA15"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8 847 525 273</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D20F449"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8 615 196 122</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44484107"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9 465 123 169</w:t>
            </w:r>
          </w:p>
        </w:tc>
      </w:tr>
      <w:tr w:rsidR="00155FDD" w:rsidRPr="00DF4C66" w14:paraId="5736046B" w14:textId="77777777" w:rsidTr="00C046CE">
        <w:trPr>
          <w:trHeight w:val="238"/>
        </w:trPr>
        <w:tc>
          <w:tcPr>
            <w:tcW w:w="30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7268DF41" w14:textId="77777777" w:rsidR="00155FDD" w:rsidRPr="00DF4C66" w:rsidRDefault="00155FDD" w:rsidP="00393D6A">
            <w:pPr>
              <w:spacing w:line="276" w:lineRule="auto"/>
              <w:jc w:val="right"/>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w:t>
            </w:r>
          </w:p>
        </w:tc>
        <w:tc>
          <w:tcPr>
            <w:tcW w:w="365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C49B8B9" w14:textId="77777777" w:rsidR="00155FDD" w:rsidRPr="00DF4C66" w:rsidRDefault="00155FDD" w:rsidP="00393D6A">
            <w:pPr>
              <w:spacing w:line="276" w:lineRule="auto"/>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Udzielanie pożyczek – o którym mowa w art. 5 ust. 1 pkt 5 ustawy o fundacji rodzinnej</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734071A3"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9 877 032</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A5471A7"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107 074 038</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6498DBD2"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611 187 473</w:t>
            </w:r>
          </w:p>
        </w:tc>
      </w:tr>
      <w:tr w:rsidR="00155FDD" w:rsidRPr="00DF4C66" w14:paraId="2C535D4B" w14:textId="77777777" w:rsidTr="00C046CE">
        <w:trPr>
          <w:trHeight w:val="564"/>
        </w:trPr>
        <w:tc>
          <w:tcPr>
            <w:tcW w:w="30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4E5463BF" w14:textId="77777777" w:rsidR="00155FDD" w:rsidRPr="00DF4C66" w:rsidRDefault="00155FDD" w:rsidP="00393D6A">
            <w:pPr>
              <w:spacing w:line="276" w:lineRule="auto"/>
              <w:jc w:val="right"/>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w:t>
            </w:r>
          </w:p>
        </w:tc>
        <w:tc>
          <w:tcPr>
            <w:tcW w:w="365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6837F4A" w14:textId="77777777" w:rsidR="00155FDD" w:rsidRPr="00DF4C66" w:rsidRDefault="00155FDD" w:rsidP="00393D6A">
            <w:pPr>
              <w:spacing w:line="276" w:lineRule="auto"/>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 xml:space="preserve">Obrót zagranicznymi środkami płatniczymi – o którym mowa w art. </w:t>
            </w:r>
            <w:r w:rsidRPr="00DF4C66">
              <w:rPr>
                <w:rFonts w:ascii="Times New Roman" w:eastAsia="Calibri" w:hAnsi="Times New Roman" w:cs="Times New Roman"/>
                <w:i/>
                <w:iCs/>
                <w:sz w:val="24"/>
                <w:szCs w:val="24"/>
                <w:lang w:eastAsia="pl-PL"/>
              </w:rPr>
              <w:lastRenderedPageBreak/>
              <w:t>5 ust. 1 pkt 6 ustawy o fundacji rodzinnej</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4DB6F8BF"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lastRenderedPageBreak/>
              <w:t>5 590 834</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7F71A06F"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9 050 242</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4524B57D"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21 707 088</w:t>
            </w:r>
          </w:p>
        </w:tc>
      </w:tr>
      <w:tr w:rsidR="00155FDD" w:rsidRPr="00DF4C66" w14:paraId="0EE65F77" w14:textId="77777777" w:rsidTr="00C046CE">
        <w:trPr>
          <w:trHeight w:val="315"/>
        </w:trPr>
        <w:tc>
          <w:tcPr>
            <w:tcW w:w="3959" w:type="dxa"/>
            <w:gridSpan w:val="2"/>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52EDAC5" w14:textId="77777777" w:rsidR="00155FDD" w:rsidRPr="00DF4C66" w:rsidRDefault="00155FDD" w:rsidP="00393D6A">
            <w:pPr>
              <w:spacing w:line="276" w:lineRule="auto"/>
              <w:rPr>
                <w:rFonts w:ascii="Times New Roman" w:eastAsia="Calibri" w:hAnsi="Times New Roman" w:cs="Times New Roman"/>
                <w:b/>
                <w:bCs/>
                <w:sz w:val="24"/>
                <w:szCs w:val="24"/>
                <w:lang w:eastAsia="pl-PL"/>
              </w:rPr>
            </w:pPr>
            <w:r w:rsidRPr="00DF4C66">
              <w:rPr>
                <w:rFonts w:ascii="Times New Roman" w:eastAsia="Calibri" w:hAnsi="Times New Roman" w:cs="Times New Roman"/>
                <w:b/>
                <w:bCs/>
                <w:sz w:val="24"/>
                <w:szCs w:val="24"/>
                <w:lang w:eastAsia="pl-PL"/>
              </w:rPr>
              <w:t>Dochody podlegający zwolnieniu z podatku, w tym:</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18B66D9" w14:textId="77777777" w:rsidR="00155FDD" w:rsidRPr="00DF4C66" w:rsidRDefault="00155FDD" w:rsidP="00393D6A">
            <w:pPr>
              <w:spacing w:line="276" w:lineRule="auto"/>
              <w:jc w:val="right"/>
              <w:rPr>
                <w:rFonts w:ascii="Times New Roman" w:eastAsia="Calibri" w:hAnsi="Times New Roman" w:cs="Times New Roman"/>
                <w:b/>
                <w:bCs/>
                <w:sz w:val="24"/>
                <w:szCs w:val="24"/>
                <w:lang w:eastAsia="pl-PL"/>
              </w:rPr>
            </w:pPr>
            <w:r w:rsidRPr="00DF4C66">
              <w:rPr>
                <w:rFonts w:ascii="Times New Roman" w:eastAsia="Calibri" w:hAnsi="Times New Roman" w:cs="Times New Roman"/>
                <w:b/>
                <w:bCs/>
                <w:sz w:val="24"/>
                <w:szCs w:val="24"/>
                <w:lang w:eastAsia="pl-PL"/>
              </w:rPr>
              <w:t>5 386 787 550</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BF55DEA" w14:textId="77777777" w:rsidR="00155FDD" w:rsidRPr="00DF4C66" w:rsidRDefault="00155FDD" w:rsidP="00393D6A">
            <w:pPr>
              <w:spacing w:line="276" w:lineRule="auto"/>
              <w:jc w:val="right"/>
              <w:rPr>
                <w:rFonts w:ascii="Times New Roman" w:eastAsia="Calibri" w:hAnsi="Times New Roman" w:cs="Times New Roman"/>
                <w:b/>
                <w:bCs/>
                <w:sz w:val="24"/>
                <w:szCs w:val="24"/>
                <w:lang w:eastAsia="pl-PL"/>
              </w:rPr>
            </w:pPr>
            <w:r w:rsidRPr="00DF4C66">
              <w:rPr>
                <w:rFonts w:ascii="Times New Roman" w:eastAsia="Calibri" w:hAnsi="Times New Roman" w:cs="Times New Roman"/>
                <w:b/>
                <w:bCs/>
                <w:sz w:val="24"/>
                <w:szCs w:val="24"/>
                <w:lang w:eastAsia="pl-PL"/>
              </w:rPr>
              <w:t>12 435 067 620</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F208DA2" w14:textId="77777777" w:rsidR="00155FDD" w:rsidRPr="00DF4C66" w:rsidRDefault="00155FDD" w:rsidP="00393D6A">
            <w:pPr>
              <w:spacing w:line="276" w:lineRule="auto"/>
              <w:jc w:val="right"/>
              <w:rPr>
                <w:rFonts w:ascii="Times New Roman" w:eastAsia="Calibri" w:hAnsi="Times New Roman" w:cs="Times New Roman"/>
                <w:b/>
                <w:bCs/>
                <w:sz w:val="24"/>
                <w:szCs w:val="24"/>
                <w:lang w:eastAsia="pl-PL"/>
              </w:rPr>
            </w:pPr>
            <w:r w:rsidRPr="00DF4C66">
              <w:rPr>
                <w:rFonts w:ascii="Times New Roman" w:eastAsia="Calibri" w:hAnsi="Times New Roman" w:cs="Times New Roman"/>
                <w:b/>
                <w:bCs/>
                <w:sz w:val="24"/>
                <w:szCs w:val="24"/>
                <w:lang w:eastAsia="pl-PL"/>
              </w:rPr>
              <w:t>15 274 622 583</w:t>
            </w:r>
          </w:p>
        </w:tc>
      </w:tr>
      <w:tr w:rsidR="00155FDD" w:rsidRPr="00DF4C66" w14:paraId="7364666C" w14:textId="77777777" w:rsidTr="00C046CE">
        <w:trPr>
          <w:trHeight w:val="479"/>
        </w:trPr>
        <w:tc>
          <w:tcPr>
            <w:tcW w:w="30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36E90304" w14:textId="77777777" w:rsidR="00155FDD" w:rsidRPr="00DF4C66" w:rsidRDefault="00155FDD" w:rsidP="00393D6A">
            <w:pPr>
              <w:spacing w:line="276" w:lineRule="auto"/>
              <w:jc w:val="right"/>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w:t>
            </w:r>
          </w:p>
        </w:tc>
        <w:tc>
          <w:tcPr>
            <w:tcW w:w="365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4257F6E" w14:textId="77777777" w:rsidR="00155FDD" w:rsidRPr="00DF4C66" w:rsidRDefault="00155FDD" w:rsidP="00393D6A">
            <w:pPr>
              <w:spacing w:line="276" w:lineRule="auto"/>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Zbycie mienia – o którym mowa w art. 5 ust. 1 pkt 1, z zastrzeżeniem ust. 3 ustawy o fundacji rodzinnej</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4D9663AB"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35 113 705</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1D7A869E"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558 123 852</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08B19AB"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1 573 860 506</w:t>
            </w:r>
          </w:p>
        </w:tc>
      </w:tr>
      <w:tr w:rsidR="00155FDD" w:rsidRPr="00DF4C66" w14:paraId="5E6F812E" w14:textId="77777777" w:rsidTr="00C046CE">
        <w:trPr>
          <w:trHeight w:val="718"/>
        </w:trPr>
        <w:tc>
          <w:tcPr>
            <w:tcW w:w="30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6DBA2B01" w14:textId="77777777" w:rsidR="00155FDD" w:rsidRPr="00DF4C66" w:rsidRDefault="00155FDD" w:rsidP="00393D6A">
            <w:pPr>
              <w:spacing w:line="276" w:lineRule="auto"/>
              <w:jc w:val="right"/>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w:t>
            </w:r>
          </w:p>
        </w:tc>
        <w:tc>
          <w:tcPr>
            <w:tcW w:w="365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A10AECA" w14:textId="77777777" w:rsidR="00155FDD" w:rsidRPr="00DF4C66" w:rsidRDefault="00155FDD" w:rsidP="00393D6A">
            <w:pPr>
              <w:spacing w:line="276" w:lineRule="auto"/>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Najem, dzierżawa lub udostępnianie mienia do korzystania na innej podstawie – o którym mowa w art. 5 ust. 1 pkt 2 ustawy o fundacji rodzinnej. Nie dotyczy najmu, o którym mowa w art. 6 ust. 8 ustawy CIT</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D0E44BE"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11 146 409</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776FD9D4"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99 223 193</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19048BAF"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218 681 670</w:t>
            </w:r>
          </w:p>
        </w:tc>
      </w:tr>
      <w:tr w:rsidR="00155FDD" w:rsidRPr="00DF4C66" w14:paraId="03682147" w14:textId="77777777" w:rsidTr="00C046CE">
        <w:trPr>
          <w:trHeight w:val="718"/>
        </w:trPr>
        <w:tc>
          <w:tcPr>
            <w:tcW w:w="30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76BB9BEC" w14:textId="77777777" w:rsidR="00155FDD" w:rsidRPr="00DF4C66" w:rsidRDefault="00155FDD" w:rsidP="00393D6A">
            <w:pPr>
              <w:spacing w:line="276" w:lineRule="auto"/>
              <w:jc w:val="right"/>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w:t>
            </w:r>
          </w:p>
        </w:tc>
        <w:tc>
          <w:tcPr>
            <w:tcW w:w="365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659A140" w14:textId="77777777" w:rsidR="00155FDD" w:rsidRPr="00DF4C66" w:rsidRDefault="00155FDD" w:rsidP="00393D6A">
            <w:pPr>
              <w:spacing w:line="276" w:lineRule="auto"/>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Przystępowanie i uczestnictwo w spółkach handlowych, funduszach inwestycyjnych, spółdzielniach oraz podmiotach o podobnym charakterze – o którym mowa w art. 5 ust. 1 pkt 3 ustawy o fundacji rodzinnej</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78BD91D"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514 986 974</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1B14DE3E"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8 286 419 545</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A9EA68D"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10 041 445 791</w:t>
            </w:r>
          </w:p>
        </w:tc>
      </w:tr>
      <w:tr w:rsidR="00155FDD" w:rsidRPr="00DF4C66" w14:paraId="25A4A442" w14:textId="77777777" w:rsidTr="00C046CE">
        <w:trPr>
          <w:trHeight w:val="479"/>
        </w:trPr>
        <w:tc>
          <w:tcPr>
            <w:tcW w:w="30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4CD16128" w14:textId="77777777" w:rsidR="00155FDD" w:rsidRPr="00DF4C66" w:rsidRDefault="00155FDD" w:rsidP="00393D6A">
            <w:pPr>
              <w:spacing w:line="276" w:lineRule="auto"/>
              <w:jc w:val="right"/>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w:t>
            </w:r>
          </w:p>
        </w:tc>
        <w:tc>
          <w:tcPr>
            <w:tcW w:w="365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789167F" w14:textId="77777777" w:rsidR="00155FDD" w:rsidRPr="00DF4C66" w:rsidRDefault="00155FDD" w:rsidP="00393D6A">
            <w:pPr>
              <w:spacing w:line="276" w:lineRule="auto"/>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Nabywanie i zbywanie papierów wartościowych, instrumentów pochodnych i praw o podobnym charakterze – o którym mowa w art. 5 ust. 1 pkt 4 ustawy o fundacji rodzinnej</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130CD3F"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4 815 433 489</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483EABD3"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3 380 632 845</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27529180"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2 844 714 109</w:t>
            </w:r>
          </w:p>
        </w:tc>
      </w:tr>
      <w:tr w:rsidR="00155FDD" w:rsidRPr="00DF4C66" w14:paraId="17F74A87" w14:textId="77777777" w:rsidTr="00C046CE">
        <w:trPr>
          <w:trHeight w:val="238"/>
        </w:trPr>
        <w:tc>
          <w:tcPr>
            <w:tcW w:w="30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383E39C4" w14:textId="77777777" w:rsidR="00155FDD" w:rsidRPr="00DF4C66" w:rsidRDefault="00155FDD" w:rsidP="00393D6A">
            <w:pPr>
              <w:spacing w:line="276" w:lineRule="auto"/>
              <w:jc w:val="right"/>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w:t>
            </w:r>
          </w:p>
        </w:tc>
        <w:tc>
          <w:tcPr>
            <w:tcW w:w="365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63ADA1C" w14:textId="77777777" w:rsidR="00155FDD" w:rsidRPr="00DF4C66" w:rsidRDefault="00155FDD" w:rsidP="00393D6A">
            <w:pPr>
              <w:spacing w:line="276" w:lineRule="auto"/>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Udzielanie pożyczek – o którym mowa w art. 5 ust. 1 pkt 5 ustawy o fundacji rodzinnej</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5ACE5011"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9 870 892</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37E28B98"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106 083 690</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091223E2"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585 715 031</w:t>
            </w:r>
          </w:p>
        </w:tc>
      </w:tr>
      <w:tr w:rsidR="00155FDD" w:rsidRPr="00DF4C66" w14:paraId="6F7DB67E" w14:textId="77777777" w:rsidTr="00C046CE">
        <w:trPr>
          <w:trHeight w:val="479"/>
        </w:trPr>
        <w:tc>
          <w:tcPr>
            <w:tcW w:w="30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04F2E414" w14:textId="77777777" w:rsidR="00155FDD" w:rsidRPr="00DF4C66" w:rsidRDefault="00155FDD" w:rsidP="00393D6A">
            <w:pPr>
              <w:spacing w:line="276" w:lineRule="auto"/>
              <w:jc w:val="right"/>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w:t>
            </w:r>
          </w:p>
        </w:tc>
        <w:tc>
          <w:tcPr>
            <w:tcW w:w="365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5248E3B" w14:textId="77777777" w:rsidR="00155FDD" w:rsidRPr="00DF4C66" w:rsidRDefault="00155FDD" w:rsidP="00393D6A">
            <w:pPr>
              <w:spacing w:line="276" w:lineRule="auto"/>
              <w:rPr>
                <w:rFonts w:ascii="Times New Roman" w:eastAsia="Calibri" w:hAnsi="Times New Roman" w:cs="Times New Roman"/>
                <w:i/>
                <w:iCs/>
                <w:sz w:val="24"/>
                <w:szCs w:val="24"/>
                <w:lang w:eastAsia="pl-PL"/>
              </w:rPr>
            </w:pPr>
            <w:r w:rsidRPr="00DF4C66">
              <w:rPr>
                <w:rFonts w:ascii="Times New Roman" w:eastAsia="Calibri" w:hAnsi="Times New Roman" w:cs="Times New Roman"/>
                <w:i/>
                <w:iCs/>
                <w:sz w:val="24"/>
                <w:szCs w:val="24"/>
                <w:lang w:eastAsia="pl-PL"/>
              </w:rPr>
              <w:t>Obrót zagranicznymi środkami płatniczymi – o którym mowa w art. 5 ust. 1 pkt 6 ustawy o fundacji rodzinnej</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16716BC4"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236 081</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183FFB46"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4 584 494</w:t>
            </w:r>
          </w:p>
        </w:tc>
        <w:tc>
          <w:tcPr>
            <w:tcW w:w="1701"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hideMark/>
          </w:tcPr>
          <w:p w14:paraId="69976154" w14:textId="77777777" w:rsidR="00155FDD" w:rsidRPr="00DF4C66" w:rsidRDefault="00155FDD" w:rsidP="00393D6A">
            <w:pPr>
              <w:spacing w:line="276" w:lineRule="auto"/>
              <w:jc w:val="right"/>
              <w:rPr>
                <w:rFonts w:ascii="Times New Roman" w:eastAsia="Calibri" w:hAnsi="Times New Roman" w:cs="Times New Roman"/>
                <w:color w:val="000000"/>
                <w:sz w:val="24"/>
                <w:szCs w:val="24"/>
                <w:lang w:eastAsia="pl-PL"/>
              </w:rPr>
            </w:pPr>
            <w:r w:rsidRPr="00DF4C66">
              <w:rPr>
                <w:rFonts w:ascii="Times New Roman" w:eastAsia="Calibri" w:hAnsi="Times New Roman" w:cs="Times New Roman"/>
                <w:color w:val="000000"/>
                <w:sz w:val="24"/>
                <w:szCs w:val="24"/>
                <w:lang w:eastAsia="pl-PL"/>
              </w:rPr>
              <w:t>10 205 475</w:t>
            </w:r>
          </w:p>
        </w:tc>
      </w:tr>
    </w:tbl>
    <w:p w14:paraId="44CEFDF4" w14:textId="3D13FB73" w:rsidR="00155FDD" w:rsidRPr="00DF4C66" w:rsidRDefault="00155FDD" w:rsidP="00393D6A">
      <w:pPr>
        <w:autoSpaceDE w:val="0"/>
        <w:autoSpaceDN w:val="0"/>
        <w:adjustRightInd w:val="0"/>
        <w:spacing w:before="240" w:line="360" w:lineRule="auto"/>
        <w:jc w:val="both"/>
        <w:rPr>
          <w:rFonts w:ascii="Times New Roman" w:hAnsi="Times New Roman" w:cs="Times New Roman"/>
          <w:sz w:val="24"/>
          <w:szCs w:val="24"/>
          <w:lang w:eastAsia="pl-PL"/>
        </w:rPr>
      </w:pPr>
      <w:r w:rsidRPr="00DF4C66">
        <w:rPr>
          <w:rFonts w:ascii="Times New Roman" w:hAnsi="Times New Roman" w:cs="Times New Roman"/>
          <w:sz w:val="24"/>
          <w:szCs w:val="24"/>
          <w:lang w:eastAsia="pl-PL"/>
        </w:rPr>
        <w:t xml:space="preserve">Dane te wskazują, że fundacje rodzinne osiągają wysokie przychody i dochody, które podlegają bieżącemu zwolnieniu od podatku CIT. Przy czym wysokość podatku CIT płaconego przez te podmioty wskazuje, że generalnie osiągane dochody nie podlegają opodatkowaniu w zw. z m.in. odroczeniem wypłaty świadczeń na rzecz beneficjentów. </w:t>
      </w:r>
    </w:p>
    <w:p w14:paraId="53F14EFC" w14:textId="5CF2D1FD" w:rsidR="00155FDD" w:rsidRPr="00DF4C66" w:rsidRDefault="00155FDD" w:rsidP="00393D6A">
      <w:pPr>
        <w:autoSpaceDE w:val="0"/>
        <w:autoSpaceDN w:val="0"/>
        <w:adjustRightInd w:val="0"/>
        <w:spacing w:before="240" w:after="240" w:line="360" w:lineRule="auto"/>
        <w:jc w:val="both"/>
        <w:rPr>
          <w:rFonts w:ascii="Times New Roman" w:hAnsi="Times New Roman" w:cs="Times New Roman"/>
          <w:sz w:val="24"/>
          <w:szCs w:val="24"/>
          <w:lang w:eastAsia="pl-PL"/>
        </w:rPr>
      </w:pPr>
      <w:r w:rsidRPr="00DF4C66">
        <w:rPr>
          <w:rFonts w:ascii="Times New Roman" w:hAnsi="Times New Roman" w:cs="Times New Roman"/>
          <w:sz w:val="24"/>
          <w:szCs w:val="24"/>
          <w:lang w:eastAsia="pl-PL"/>
        </w:rPr>
        <w:t xml:space="preserve">Zakładając, że wykazywane przez fundacje rodzinne dochody zwolnione byłyby wykazywane przez podatników PIT i CIT z pominięciem fundacji rodzinnej i podlegałyby bieżącemu </w:t>
      </w:r>
      <w:r w:rsidRPr="00DF4C66">
        <w:rPr>
          <w:rFonts w:ascii="Times New Roman" w:hAnsi="Times New Roman" w:cs="Times New Roman"/>
          <w:sz w:val="24"/>
          <w:szCs w:val="24"/>
          <w:lang w:eastAsia="pl-PL"/>
        </w:rPr>
        <w:lastRenderedPageBreak/>
        <w:t xml:space="preserve">opodatkowaniu </w:t>
      </w:r>
      <w:r w:rsidR="001D0C08" w:rsidRPr="00DF4C66">
        <w:rPr>
          <w:rFonts w:ascii="Times New Roman" w:hAnsi="Times New Roman" w:cs="Times New Roman"/>
          <w:sz w:val="24"/>
          <w:szCs w:val="24"/>
          <w:lang w:eastAsia="pl-PL"/>
        </w:rPr>
        <w:t>przez</w:t>
      </w:r>
      <w:r w:rsidRPr="00DF4C66">
        <w:rPr>
          <w:rFonts w:ascii="Times New Roman" w:hAnsi="Times New Roman" w:cs="Times New Roman"/>
          <w:sz w:val="24"/>
          <w:szCs w:val="24"/>
          <w:lang w:eastAsia="pl-PL"/>
        </w:rPr>
        <w:t xml:space="preserve"> tych podatników, to kwoty podatków przedstawiałyby się następująco (przy założeniu opodatkowania tych dochodów 19% stawką podatku dochodowego):</w:t>
      </w:r>
    </w:p>
    <w:tbl>
      <w:tblPr>
        <w:tblStyle w:val="Tabela-Siatka"/>
        <w:tblW w:w="0" w:type="auto"/>
        <w:tblLook w:val="04A0" w:firstRow="1" w:lastRow="0" w:firstColumn="1" w:lastColumn="0" w:noHBand="0" w:noVBand="1"/>
      </w:tblPr>
      <w:tblGrid>
        <w:gridCol w:w="2904"/>
        <w:gridCol w:w="3041"/>
        <w:gridCol w:w="3117"/>
      </w:tblGrid>
      <w:tr w:rsidR="00155FDD" w:rsidRPr="00DF4C66" w14:paraId="682058D8" w14:textId="77777777" w:rsidTr="00C046CE">
        <w:tc>
          <w:tcPr>
            <w:tcW w:w="4664" w:type="dxa"/>
          </w:tcPr>
          <w:p w14:paraId="6B6FEF1D" w14:textId="77777777" w:rsidR="00155FDD" w:rsidRPr="00DF4C66" w:rsidRDefault="00155FDD" w:rsidP="00393D6A">
            <w:pPr>
              <w:autoSpaceDE w:val="0"/>
              <w:autoSpaceDN w:val="0"/>
              <w:adjustRightInd w:val="0"/>
              <w:spacing w:before="240" w:after="160" w:line="276" w:lineRule="auto"/>
              <w:jc w:val="both"/>
              <w:rPr>
                <w:rFonts w:ascii="Times New Roman" w:hAnsi="Times New Roman" w:cs="Times New Roman"/>
                <w:b/>
                <w:bCs/>
                <w:sz w:val="24"/>
                <w:szCs w:val="24"/>
                <w:lang w:eastAsia="pl-PL"/>
              </w:rPr>
            </w:pPr>
            <w:r w:rsidRPr="00DF4C66">
              <w:rPr>
                <w:rFonts w:ascii="Times New Roman" w:hAnsi="Times New Roman" w:cs="Times New Roman"/>
                <w:b/>
                <w:bCs/>
                <w:sz w:val="24"/>
                <w:szCs w:val="24"/>
                <w:lang w:eastAsia="pl-PL"/>
              </w:rPr>
              <w:t>Rok</w:t>
            </w:r>
          </w:p>
        </w:tc>
        <w:tc>
          <w:tcPr>
            <w:tcW w:w="4665" w:type="dxa"/>
          </w:tcPr>
          <w:p w14:paraId="40351602" w14:textId="77777777" w:rsidR="00155FDD" w:rsidRPr="00DF4C66" w:rsidRDefault="00155FDD" w:rsidP="00393D6A">
            <w:pPr>
              <w:autoSpaceDE w:val="0"/>
              <w:autoSpaceDN w:val="0"/>
              <w:adjustRightInd w:val="0"/>
              <w:spacing w:before="240" w:after="160" w:line="276" w:lineRule="auto"/>
              <w:jc w:val="both"/>
              <w:rPr>
                <w:rFonts w:ascii="Times New Roman" w:hAnsi="Times New Roman" w:cs="Times New Roman"/>
                <w:b/>
                <w:bCs/>
                <w:sz w:val="24"/>
                <w:szCs w:val="24"/>
                <w:lang w:eastAsia="pl-PL"/>
              </w:rPr>
            </w:pPr>
            <w:r w:rsidRPr="00DF4C66">
              <w:rPr>
                <w:rFonts w:ascii="Times New Roman" w:hAnsi="Times New Roman" w:cs="Times New Roman"/>
                <w:b/>
                <w:bCs/>
                <w:sz w:val="24"/>
                <w:szCs w:val="24"/>
                <w:lang w:eastAsia="pl-PL"/>
              </w:rPr>
              <w:t>Dochód</w:t>
            </w:r>
          </w:p>
        </w:tc>
        <w:tc>
          <w:tcPr>
            <w:tcW w:w="4665" w:type="dxa"/>
          </w:tcPr>
          <w:p w14:paraId="4F9A28E9" w14:textId="77777777" w:rsidR="00155FDD" w:rsidRPr="00DF4C66" w:rsidRDefault="00155FDD" w:rsidP="00393D6A">
            <w:pPr>
              <w:autoSpaceDE w:val="0"/>
              <w:autoSpaceDN w:val="0"/>
              <w:adjustRightInd w:val="0"/>
              <w:spacing w:before="240" w:after="160" w:line="276" w:lineRule="auto"/>
              <w:jc w:val="both"/>
              <w:rPr>
                <w:rFonts w:ascii="Times New Roman" w:hAnsi="Times New Roman" w:cs="Times New Roman"/>
                <w:b/>
                <w:bCs/>
                <w:sz w:val="24"/>
                <w:szCs w:val="24"/>
                <w:lang w:eastAsia="pl-PL"/>
              </w:rPr>
            </w:pPr>
            <w:r w:rsidRPr="00DF4C66">
              <w:rPr>
                <w:rFonts w:ascii="Times New Roman" w:hAnsi="Times New Roman" w:cs="Times New Roman"/>
                <w:b/>
                <w:bCs/>
                <w:sz w:val="24"/>
                <w:szCs w:val="24"/>
                <w:lang w:eastAsia="pl-PL"/>
              </w:rPr>
              <w:t>Podatek</w:t>
            </w:r>
          </w:p>
        </w:tc>
      </w:tr>
      <w:tr w:rsidR="00155FDD" w:rsidRPr="00DF4C66" w14:paraId="54A373E4" w14:textId="77777777" w:rsidTr="00C046CE">
        <w:tc>
          <w:tcPr>
            <w:tcW w:w="4664" w:type="dxa"/>
          </w:tcPr>
          <w:p w14:paraId="3BFD4D61" w14:textId="77777777" w:rsidR="00155FDD" w:rsidRPr="00DF4C66" w:rsidRDefault="00155FDD" w:rsidP="00393D6A">
            <w:pPr>
              <w:autoSpaceDE w:val="0"/>
              <w:autoSpaceDN w:val="0"/>
              <w:adjustRightInd w:val="0"/>
              <w:spacing w:before="240" w:after="160" w:line="276" w:lineRule="auto"/>
              <w:jc w:val="both"/>
              <w:rPr>
                <w:rFonts w:ascii="Times New Roman" w:hAnsi="Times New Roman" w:cs="Times New Roman"/>
                <w:sz w:val="24"/>
                <w:szCs w:val="24"/>
                <w:lang w:eastAsia="pl-PL"/>
              </w:rPr>
            </w:pPr>
            <w:r w:rsidRPr="00DF4C66">
              <w:rPr>
                <w:rFonts w:ascii="Times New Roman" w:hAnsi="Times New Roman" w:cs="Times New Roman"/>
                <w:sz w:val="24"/>
                <w:szCs w:val="24"/>
                <w:lang w:eastAsia="pl-PL"/>
              </w:rPr>
              <w:t>2023</w:t>
            </w:r>
          </w:p>
        </w:tc>
        <w:tc>
          <w:tcPr>
            <w:tcW w:w="4665" w:type="dxa"/>
          </w:tcPr>
          <w:p w14:paraId="7F8E6630" w14:textId="77777777" w:rsidR="00155FDD" w:rsidRPr="00DF4C66" w:rsidRDefault="00155FDD" w:rsidP="00393D6A">
            <w:pPr>
              <w:autoSpaceDE w:val="0"/>
              <w:autoSpaceDN w:val="0"/>
              <w:adjustRightInd w:val="0"/>
              <w:spacing w:before="240" w:after="160" w:line="276" w:lineRule="auto"/>
              <w:jc w:val="both"/>
              <w:rPr>
                <w:rFonts w:ascii="Times New Roman" w:hAnsi="Times New Roman" w:cs="Times New Roman"/>
                <w:sz w:val="24"/>
                <w:szCs w:val="24"/>
                <w:lang w:eastAsia="pl-PL"/>
              </w:rPr>
            </w:pPr>
            <w:r w:rsidRPr="00DF4C66">
              <w:rPr>
                <w:rFonts w:ascii="Times New Roman" w:hAnsi="Times New Roman" w:cs="Times New Roman"/>
                <w:sz w:val="24"/>
                <w:szCs w:val="24"/>
                <w:lang w:eastAsia="pl-PL"/>
              </w:rPr>
              <w:t>5 386 787 550</w:t>
            </w:r>
          </w:p>
        </w:tc>
        <w:tc>
          <w:tcPr>
            <w:tcW w:w="4665" w:type="dxa"/>
          </w:tcPr>
          <w:p w14:paraId="14F34B7B" w14:textId="77777777" w:rsidR="00155FDD" w:rsidRPr="00DF4C66" w:rsidRDefault="00155FDD" w:rsidP="00393D6A">
            <w:pPr>
              <w:autoSpaceDE w:val="0"/>
              <w:autoSpaceDN w:val="0"/>
              <w:adjustRightInd w:val="0"/>
              <w:spacing w:before="240" w:after="160" w:line="276" w:lineRule="auto"/>
              <w:jc w:val="both"/>
              <w:rPr>
                <w:rFonts w:ascii="Times New Roman" w:hAnsi="Times New Roman" w:cs="Times New Roman"/>
                <w:sz w:val="24"/>
                <w:szCs w:val="24"/>
                <w:lang w:eastAsia="pl-PL"/>
              </w:rPr>
            </w:pPr>
            <w:r w:rsidRPr="00DF4C66">
              <w:rPr>
                <w:rFonts w:ascii="Times New Roman" w:hAnsi="Times New Roman" w:cs="Times New Roman"/>
                <w:sz w:val="24"/>
                <w:szCs w:val="24"/>
                <w:lang w:eastAsia="pl-PL"/>
              </w:rPr>
              <w:t>1 023 489 634</w:t>
            </w:r>
          </w:p>
        </w:tc>
      </w:tr>
      <w:tr w:rsidR="00155FDD" w:rsidRPr="00DF4C66" w14:paraId="0080726C" w14:textId="77777777" w:rsidTr="00C046CE">
        <w:tc>
          <w:tcPr>
            <w:tcW w:w="4664" w:type="dxa"/>
          </w:tcPr>
          <w:p w14:paraId="1DA1D33D" w14:textId="77777777" w:rsidR="00155FDD" w:rsidRPr="00DF4C66" w:rsidRDefault="00155FDD" w:rsidP="00393D6A">
            <w:pPr>
              <w:autoSpaceDE w:val="0"/>
              <w:autoSpaceDN w:val="0"/>
              <w:adjustRightInd w:val="0"/>
              <w:spacing w:before="240" w:after="160" w:line="276" w:lineRule="auto"/>
              <w:jc w:val="both"/>
              <w:rPr>
                <w:rFonts w:ascii="Times New Roman" w:hAnsi="Times New Roman" w:cs="Times New Roman"/>
                <w:sz w:val="24"/>
                <w:szCs w:val="24"/>
                <w:lang w:eastAsia="pl-PL"/>
              </w:rPr>
            </w:pPr>
            <w:r w:rsidRPr="00DF4C66">
              <w:rPr>
                <w:rFonts w:ascii="Times New Roman" w:hAnsi="Times New Roman" w:cs="Times New Roman"/>
                <w:sz w:val="24"/>
                <w:szCs w:val="24"/>
                <w:lang w:eastAsia="pl-PL"/>
              </w:rPr>
              <w:t>2024</w:t>
            </w:r>
          </w:p>
        </w:tc>
        <w:tc>
          <w:tcPr>
            <w:tcW w:w="4665" w:type="dxa"/>
          </w:tcPr>
          <w:p w14:paraId="643183BB" w14:textId="77777777" w:rsidR="00155FDD" w:rsidRPr="00DF4C66" w:rsidRDefault="00155FDD" w:rsidP="00393D6A">
            <w:pPr>
              <w:autoSpaceDE w:val="0"/>
              <w:autoSpaceDN w:val="0"/>
              <w:adjustRightInd w:val="0"/>
              <w:spacing w:before="240" w:after="160" w:line="276" w:lineRule="auto"/>
              <w:jc w:val="both"/>
              <w:rPr>
                <w:rFonts w:ascii="Times New Roman" w:hAnsi="Times New Roman" w:cs="Times New Roman"/>
                <w:sz w:val="24"/>
                <w:szCs w:val="24"/>
                <w:lang w:eastAsia="pl-PL"/>
              </w:rPr>
            </w:pPr>
            <w:r w:rsidRPr="00DF4C66">
              <w:rPr>
                <w:rFonts w:ascii="Times New Roman" w:hAnsi="Times New Roman" w:cs="Times New Roman"/>
                <w:sz w:val="24"/>
                <w:szCs w:val="24"/>
                <w:lang w:eastAsia="pl-PL"/>
              </w:rPr>
              <w:t>12 435 067 620</w:t>
            </w:r>
          </w:p>
        </w:tc>
        <w:tc>
          <w:tcPr>
            <w:tcW w:w="4665" w:type="dxa"/>
          </w:tcPr>
          <w:p w14:paraId="5A977C17" w14:textId="77777777" w:rsidR="00155FDD" w:rsidRPr="00DF4C66" w:rsidRDefault="00155FDD" w:rsidP="00393D6A">
            <w:pPr>
              <w:autoSpaceDE w:val="0"/>
              <w:autoSpaceDN w:val="0"/>
              <w:adjustRightInd w:val="0"/>
              <w:spacing w:before="240" w:after="160" w:line="276" w:lineRule="auto"/>
              <w:jc w:val="both"/>
              <w:rPr>
                <w:rFonts w:ascii="Times New Roman" w:hAnsi="Times New Roman" w:cs="Times New Roman"/>
                <w:sz w:val="24"/>
                <w:szCs w:val="24"/>
                <w:lang w:eastAsia="pl-PL"/>
              </w:rPr>
            </w:pPr>
            <w:r w:rsidRPr="00DF4C66">
              <w:rPr>
                <w:rFonts w:ascii="Times New Roman" w:hAnsi="Times New Roman" w:cs="Times New Roman"/>
                <w:sz w:val="24"/>
                <w:szCs w:val="24"/>
                <w:lang w:eastAsia="pl-PL"/>
              </w:rPr>
              <w:t>2 362 662 847</w:t>
            </w:r>
          </w:p>
        </w:tc>
      </w:tr>
      <w:tr w:rsidR="00155FDD" w:rsidRPr="00DF4C66" w14:paraId="0D76ACE2" w14:textId="77777777" w:rsidTr="00C046CE">
        <w:tc>
          <w:tcPr>
            <w:tcW w:w="4664" w:type="dxa"/>
          </w:tcPr>
          <w:p w14:paraId="5AB25A92" w14:textId="77777777" w:rsidR="00155FDD" w:rsidRPr="00DF4C66" w:rsidRDefault="00155FDD" w:rsidP="00393D6A">
            <w:pPr>
              <w:autoSpaceDE w:val="0"/>
              <w:autoSpaceDN w:val="0"/>
              <w:adjustRightInd w:val="0"/>
              <w:spacing w:before="240" w:after="160" w:line="276" w:lineRule="auto"/>
              <w:jc w:val="both"/>
              <w:rPr>
                <w:rFonts w:ascii="Times New Roman" w:hAnsi="Times New Roman" w:cs="Times New Roman"/>
                <w:sz w:val="24"/>
                <w:szCs w:val="24"/>
                <w:lang w:eastAsia="pl-PL"/>
              </w:rPr>
            </w:pPr>
            <w:r w:rsidRPr="00DF4C66">
              <w:rPr>
                <w:rFonts w:ascii="Times New Roman" w:hAnsi="Times New Roman" w:cs="Times New Roman"/>
                <w:sz w:val="24"/>
                <w:szCs w:val="24"/>
                <w:lang w:eastAsia="pl-PL"/>
              </w:rPr>
              <w:t>2025</w:t>
            </w:r>
          </w:p>
        </w:tc>
        <w:tc>
          <w:tcPr>
            <w:tcW w:w="4665" w:type="dxa"/>
          </w:tcPr>
          <w:p w14:paraId="07497BDE" w14:textId="77777777" w:rsidR="00155FDD" w:rsidRPr="00DF4C66" w:rsidRDefault="00155FDD" w:rsidP="00393D6A">
            <w:pPr>
              <w:autoSpaceDE w:val="0"/>
              <w:autoSpaceDN w:val="0"/>
              <w:adjustRightInd w:val="0"/>
              <w:spacing w:before="240" w:after="160" w:line="276" w:lineRule="auto"/>
              <w:jc w:val="both"/>
              <w:rPr>
                <w:rFonts w:ascii="Times New Roman" w:hAnsi="Times New Roman" w:cs="Times New Roman"/>
                <w:sz w:val="24"/>
                <w:szCs w:val="24"/>
                <w:lang w:eastAsia="pl-PL"/>
              </w:rPr>
            </w:pPr>
            <w:r w:rsidRPr="00DF4C66">
              <w:rPr>
                <w:rFonts w:ascii="Times New Roman" w:hAnsi="Times New Roman" w:cs="Times New Roman"/>
                <w:sz w:val="24"/>
                <w:szCs w:val="24"/>
                <w:lang w:eastAsia="pl-PL"/>
              </w:rPr>
              <w:t>15 274 622 583</w:t>
            </w:r>
          </w:p>
        </w:tc>
        <w:tc>
          <w:tcPr>
            <w:tcW w:w="4665" w:type="dxa"/>
          </w:tcPr>
          <w:p w14:paraId="2921B703" w14:textId="77777777" w:rsidR="00155FDD" w:rsidRPr="00DF4C66" w:rsidRDefault="00155FDD" w:rsidP="00393D6A">
            <w:pPr>
              <w:autoSpaceDE w:val="0"/>
              <w:autoSpaceDN w:val="0"/>
              <w:adjustRightInd w:val="0"/>
              <w:spacing w:before="240" w:after="160" w:line="276" w:lineRule="auto"/>
              <w:jc w:val="both"/>
              <w:rPr>
                <w:rFonts w:ascii="Times New Roman" w:hAnsi="Times New Roman" w:cs="Times New Roman"/>
                <w:sz w:val="24"/>
                <w:szCs w:val="24"/>
                <w:lang w:eastAsia="pl-PL"/>
              </w:rPr>
            </w:pPr>
            <w:r w:rsidRPr="00DF4C66">
              <w:rPr>
                <w:rFonts w:ascii="Times New Roman" w:hAnsi="Times New Roman" w:cs="Times New Roman"/>
                <w:sz w:val="24"/>
                <w:szCs w:val="24"/>
                <w:lang w:eastAsia="pl-PL"/>
              </w:rPr>
              <w:t>2 902 178 290</w:t>
            </w:r>
          </w:p>
        </w:tc>
      </w:tr>
    </w:tbl>
    <w:p w14:paraId="0A6F79E7" w14:textId="24950533" w:rsidR="00295D13" w:rsidRPr="00DF4C66" w:rsidRDefault="00456732" w:rsidP="00393D6A">
      <w:pPr>
        <w:spacing w:before="120" w:line="360" w:lineRule="auto"/>
        <w:jc w:val="both"/>
        <w:rPr>
          <w:rFonts w:ascii="Times New Roman" w:eastAsia="Calibri" w:hAnsi="Times New Roman" w:cs="Times New Roman"/>
          <w:bCs/>
          <w:iCs/>
          <w:sz w:val="24"/>
          <w:szCs w:val="24"/>
        </w:rPr>
      </w:pPr>
      <w:r w:rsidRPr="00DF4C66">
        <w:rPr>
          <w:rFonts w:ascii="Times New Roman" w:eastAsia="Calibri" w:hAnsi="Times New Roman" w:cs="Times New Roman"/>
          <w:bCs/>
          <w:iCs/>
          <w:sz w:val="24"/>
          <w:szCs w:val="24"/>
        </w:rPr>
        <w:t>W wyniku dokonanego przeglądu funkcjonowania przepisów ustawy o fundacji rodzinnej został</w:t>
      </w:r>
      <w:r w:rsidR="00C61284" w:rsidRPr="00DF4C66">
        <w:rPr>
          <w:rFonts w:ascii="Times New Roman" w:eastAsia="Calibri" w:hAnsi="Times New Roman" w:cs="Times New Roman"/>
          <w:bCs/>
          <w:iCs/>
          <w:sz w:val="24"/>
          <w:szCs w:val="24"/>
        </w:rPr>
        <w:t>a</w:t>
      </w:r>
      <w:r w:rsidRPr="00DF4C66">
        <w:rPr>
          <w:rFonts w:ascii="Times New Roman" w:eastAsia="Calibri" w:hAnsi="Times New Roman" w:cs="Times New Roman"/>
          <w:bCs/>
          <w:iCs/>
          <w:sz w:val="24"/>
          <w:szCs w:val="24"/>
        </w:rPr>
        <w:t xml:space="preserve"> podniesion</w:t>
      </w:r>
      <w:r w:rsidR="00C61284" w:rsidRPr="00DF4C66">
        <w:rPr>
          <w:rFonts w:ascii="Times New Roman" w:eastAsia="Calibri" w:hAnsi="Times New Roman" w:cs="Times New Roman"/>
          <w:bCs/>
          <w:iCs/>
          <w:sz w:val="24"/>
          <w:szCs w:val="24"/>
        </w:rPr>
        <w:t xml:space="preserve">a kwestia </w:t>
      </w:r>
      <w:r w:rsidR="00F06F02" w:rsidRPr="00DF4C66">
        <w:rPr>
          <w:rFonts w:ascii="Times New Roman" w:eastAsia="Calibri" w:hAnsi="Times New Roman" w:cs="Times New Roman"/>
          <w:bCs/>
          <w:iCs/>
          <w:sz w:val="24"/>
          <w:szCs w:val="24"/>
        </w:rPr>
        <w:t>braku zwolnienia z opodatkowania świadczeń wypłacanych z fundacji rodzinnej dla zstępnych</w:t>
      </w:r>
      <w:r w:rsidR="000D5943">
        <w:rPr>
          <w:rFonts w:ascii="Times New Roman" w:eastAsia="Calibri" w:hAnsi="Times New Roman" w:cs="Times New Roman"/>
          <w:bCs/>
          <w:iCs/>
          <w:sz w:val="24"/>
          <w:szCs w:val="24"/>
        </w:rPr>
        <w:t xml:space="preserve"> </w:t>
      </w:r>
      <w:r w:rsidR="00F06F02" w:rsidRPr="00DF4C66">
        <w:rPr>
          <w:rFonts w:ascii="Times New Roman" w:eastAsia="Calibri" w:hAnsi="Times New Roman" w:cs="Times New Roman"/>
          <w:bCs/>
          <w:iCs/>
          <w:sz w:val="24"/>
          <w:szCs w:val="24"/>
        </w:rPr>
        <w:t xml:space="preserve">rodzeństwa fundatora. </w:t>
      </w:r>
      <w:r w:rsidR="00F06F02" w:rsidRPr="00DF4C66">
        <w:rPr>
          <w:rFonts w:ascii="Times New Roman" w:hAnsi="Times New Roman" w:cs="Times New Roman"/>
          <w:sz w:val="24"/>
          <w:szCs w:val="24"/>
        </w:rPr>
        <w:t xml:space="preserve">Obecne regulacje podatkowe w tym zakresie powodują, że zakładanie fundacji rodzinnej przez fundatorów będących rodzeństwem skutkuje dla ich zstępnych koniecznością zapłaty podatku dochodowego od osób fizycznych w wysokości 10% przychodu (II grupa w podatku od spadków i darowizn). </w:t>
      </w:r>
      <w:r w:rsidR="00F06F02" w:rsidRPr="00DF4C66">
        <w:rPr>
          <w:rFonts w:ascii="Times New Roman" w:eastAsia="Calibri" w:hAnsi="Times New Roman" w:cs="Times New Roman"/>
          <w:bCs/>
          <w:iCs/>
          <w:sz w:val="24"/>
          <w:szCs w:val="24"/>
        </w:rPr>
        <w:t xml:space="preserve">Zakładanie takich fundacji przez rodzeństwo, które często jest w posiadaniu podzielonego majątku odziedziczonego po swoich rodzicach, jest zatem mniej ekonomicznie korzystne, niż zakładanie </w:t>
      </w:r>
      <w:r w:rsidR="00295D13" w:rsidRPr="00DF4C66">
        <w:rPr>
          <w:rFonts w:ascii="Times New Roman" w:eastAsia="Calibri" w:hAnsi="Times New Roman" w:cs="Times New Roman"/>
          <w:bCs/>
          <w:iCs/>
          <w:sz w:val="24"/>
          <w:szCs w:val="24"/>
        </w:rPr>
        <w:t xml:space="preserve">osobnych </w:t>
      </w:r>
      <w:r w:rsidR="00F06F02" w:rsidRPr="00DF4C66">
        <w:rPr>
          <w:rFonts w:ascii="Times New Roman" w:eastAsia="Calibri" w:hAnsi="Times New Roman" w:cs="Times New Roman"/>
          <w:bCs/>
          <w:iCs/>
          <w:sz w:val="24"/>
          <w:szCs w:val="24"/>
        </w:rPr>
        <w:t>fundacji</w:t>
      </w:r>
      <w:r w:rsidR="00295D13" w:rsidRPr="00DF4C66">
        <w:rPr>
          <w:rFonts w:ascii="Times New Roman" w:eastAsia="Calibri" w:hAnsi="Times New Roman" w:cs="Times New Roman"/>
          <w:bCs/>
          <w:iCs/>
          <w:sz w:val="24"/>
          <w:szCs w:val="24"/>
        </w:rPr>
        <w:t xml:space="preserve"> rodzinnych</w:t>
      </w:r>
      <w:r w:rsidR="00F06F02" w:rsidRPr="00DF4C66">
        <w:rPr>
          <w:rFonts w:ascii="Times New Roman" w:eastAsia="Calibri" w:hAnsi="Times New Roman" w:cs="Times New Roman"/>
          <w:bCs/>
          <w:iCs/>
          <w:sz w:val="24"/>
          <w:szCs w:val="24"/>
        </w:rPr>
        <w:t xml:space="preserve"> </w:t>
      </w:r>
      <w:r w:rsidR="00295D13" w:rsidRPr="00DF4C66">
        <w:rPr>
          <w:rFonts w:ascii="Times New Roman" w:eastAsia="Calibri" w:hAnsi="Times New Roman" w:cs="Times New Roman"/>
          <w:bCs/>
          <w:iCs/>
          <w:sz w:val="24"/>
          <w:szCs w:val="24"/>
        </w:rPr>
        <w:t>przez każdego z rodzeństwa. Tym samym następuje utrudnienie w realizacji najważniejszego celu istnienia</w:t>
      </w:r>
      <w:r w:rsidR="00295D13" w:rsidRPr="00DF4C66">
        <w:rPr>
          <w:rFonts w:ascii="Times New Roman" w:hAnsi="Times New Roman" w:cs="Times New Roman"/>
          <w:bCs/>
          <w:iCs/>
          <w:sz w:val="24"/>
          <w:szCs w:val="24"/>
        </w:rPr>
        <w:t xml:space="preserve"> fundacji rodzinnej, jakim jest zapewnienie sukcesji międzypokoleniowej oraz zachowanie zgromadzonego majątku.</w:t>
      </w:r>
      <w:r w:rsidR="00EC1347" w:rsidRPr="00DF4C66">
        <w:rPr>
          <w:rFonts w:ascii="Times New Roman" w:hAnsi="Times New Roman" w:cs="Times New Roman"/>
          <w:bCs/>
          <w:iCs/>
          <w:sz w:val="24"/>
          <w:szCs w:val="24"/>
        </w:rPr>
        <w:t xml:space="preserve"> </w:t>
      </w:r>
      <w:r w:rsidR="00295D13" w:rsidRPr="00DF4C66">
        <w:rPr>
          <w:rFonts w:ascii="Times New Roman" w:hAnsi="Times New Roman" w:cs="Times New Roman"/>
          <w:sz w:val="24"/>
          <w:szCs w:val="24"/>
        </w:rPr>
        <w:t>W wielu przypadkach drugie pokolenie korzysta z majątku założonego przez wstępnych i celowe jest wniesienie do fundacji rodzinnej całego rodzinnego biznesu, który ma szanse przetrwać przez kolejne pokolenia i zapewni długowieczność firmy rodzinnej. Dlatego też zasadne jest wprowadzenie regulacji zgodnie z którą założenie fundacji rodzinnej przez rodzeństwo powoduje takie same zasady ustalania proporcji dla celów zwolnienia podatkowego w PIT, jak w przypadku fundacji założonej przez rodziców rodzeństwa (pełne zwolnienie w PIT dla wszystkich zstępnych każdego z rodzeństwa).</w:t>
      </w:r>
      <w:r w:rsidR="00086702">
        <w:rPr>
          <w:rFonts w:ascii="Times New Roman" w:hAnsi="Times New Roman" w:cs="Times New Roman"/>
          <w:sz w:val="24"/>
          <w:szCs w:val="24"/>
        </w:rPr>
        <w:t xml:space="preserve"> Ponadto został rozszerzony katalog zwolnienia na zstępnych pasierbów fundatorów. </w:t>
      </w:r>
    </w:p>
    <w:p w14:paraId="5917263E" w14:textId="5B8465A6" w:rsidR="001F371F" w:rsidRPr="00DF4C66" w:rsidRDefault="006C7766" w:rsidP="00393D6A">
      <w:pPr>
        <w:pStyle w:val="Akapitzlist"/>
        <w:numPr>
          <w:ilvl w:val="0"/>
          <w:numId w:val="6"/>
        </w:numPr>
        <w:spacing w:before="120" w:after="0" w:line="360" w:lineRule="auto"/>
        <w:ind w:left="567" w:hanging="357"/>
        <w:contextualSpacing w:val="0"/>
        <w:jc w:val="both"/>
        <w:rPr>
          <w:rFonts w:ascii="Times New Roman" w:eastAsia="Calibri" w:hAnsi="Times New Roman" w:cs="Times New Roman"/>
          <w:b/>
          <w:iCs/>
          <w:sz w:val="24"/>
          <w:szCs w:val="24"/>
        </w:rPr>
      </w:pPr>
      <w:r w:rsidRPr="00DF4C66">
        <w:rPr>
          <w:rFonts w:ascii="Times New Roman" w:eastAsia="Calibri" w:hAnsi="Times New Roman" w:cs="Times New Roman"/>
          <w:b/>
          <w:iCs/>
          <w:sz w:val="24"/>
          <w:szCs w:val="24"/>
        </w:rPr>
        <w:t>Szczegółowe omówienie zmian</w:t>
      </w:r>
    </w:p>
    <w:p w14:paraId="69A50EF2" w14:textId="77777777" w:rsidR="009F6B6D" w:rsidRPr="00DF4C66" w:rsidRDefault="009F6B6D" w:rsidP="00393D6A">
      <w:pPr>
        <w:spacing w:before="120" w:line="360" w:lineRule="auto"/>
        <w:jc w:val="both"/>
        <w:rPr>
          <w:rFonts w:ascii="Times New Roman" w:eastAsia="Times New Roman" w:hAnsi="Times New Roman" w:cs="Times New Roman"/>
          <w:b/>
          <w:sz w:val="24"/>
          <w:szCs w:val="24"/>
          <w:lang w:eastAsia="pl-PL"/>
        </w:rPr>
      </w:pPr>
      <w:r w:rsidRPr="00DF4C66">
        <w:rPr>
          <w:rFonts w:ascii="Times New Roman" w:eastAsia="Times New Roman" w:hAnsi="Times New Roman" w:cs="Times New Roman"/>
          <w:b/>
          <w:sz w:val="24"/>
          <w:szCs w:val="24"/>
          <w:lang w:eastAsia="pl-PL"/>
        </w:rPr>
        <w:t>Zmiany w ustawie PIT – art. 1</w:t>
      </w:r>
    </w:p>
    <w:p w14:paraId="7C1356A7" w14:textId="2911544A" w:rsidR="00DB4045" w:rsidRPr="00DF4C66" w:rsidRDefault="00DB4045" w:rsidP="00393D6A">
      <w:pPr>
        <w:spacing w:before="120" w:line="360" w:lineRule="auto"/>
        <w:jc w:val="both"/>
        <w:rPr>
          <w:rFonts w:ascii="Times New Roman" w:hAnsi="Times New Roman" w:cs="Times New Roman"/>
          <w:sz w:val="24"/>
          <w:szCs w:val="24"/>
        </w:rPr>
      </w:pPr>
      <w:r w:rsidRPr="00DF4C66">
        <w:rPr>
          <w:rFonts w:ascii="Times New Roman" w:hAnsi="Times New Roman" w:cs="Times New Roman"/>
          <w:bCs/>
          <w:iCs/>
          <w:sz w:val="24"/>
          <w:szCs w:val="24"/>
        </w:rPr>
        <w:t xml:space="preserve">W projekcie wprowadzone zostały normy rozszerzające istniejące zwolnienia w podatku dochodowym od osób fizycznych świadczeń otrzymywanych przez beneficjentów fundacji </w:t>
      </w:r>
      <w:r w:rsidRPr="00DF4C66">
        <w:rPr>
          <w:rFonts w:ascii="Times New Roman" w:hAnsi="Times New Roman" w:cs="Times New Roman"/>
          <w:bCs/>
          <w:iCs/>
          <w:sz w:val="24"/>
          <w:szCs w:val="24"/>
        </w:rPr>
        <w:lastRenderedPageBreak/>
        <w:t xml:space="preserve">rodzinnej oraz uprawnionych do otrzymania mienia w związku z rozwiązaniem fundacji rodzinnej, o osoby będące zstępnymi rodzeństwa </w:t>
      </w:r>
      <w:r>
        <w:rPr>
          <w:rFonts w:ascii="Times New Roman" w:hAnsi="Times New Roman" w:cs="Times New Roman"/>
          <w:bCs/>
          <w:iCs/>
          <w:sz w:val="24"/>
          <w:szCs w:val="24"/>
        </w:rPr>
        <w:t>oraz zstępnymi pasierba</w:t>
      </w:r>
      <w:r w:rsidR="00FD35AC" w:rsidRPr="00FD35AC">
        <w:rPr>
          <w:rFonts w:ascii="Times New Roman" w:hAnsi="Times New Roman" w:cs="Times New Roman"/>
          <w:bCs/>
          <w:iCs/>
          <w:sz w:val="24"/>
          <w:szCs w:val="24"/>
        </w:rPr>
        <w:t xml:space="preserve"> </w:t>
      </w:r>
      <w:r w:rsidR="00FD35AC" w:rsidRPr="00DF4C66">
        <w:rPr>
          <w:rFonts w:ascii="Times New Roman" w:hAnsi="Times New Roman" w:cs="Times New Roman"/>
          <w:bCs/>
          <w:iCs/>
          <w:sz w:val="24"/>
          <w:szCs w:val="24"/>
        </w:rPr>
        <w:t>fundator</w:t>
      </w:r>
      <w:r w:rsidR="00FD35AC">
        <w:rPr>
          <w:rFonts w:ascii="Times New Roman" w:hAnsi="Times New Roman" w:cs="Times New Roman"/>
          <w:bCs/>
          <w:iCs/>
          <w:sz w:val="24"/>
          <w:szCs w:val="24"/>
        </w:rPr>
        <w:t>a</w:t>
      </w:r>
      <w:r w:rsidRPr="00DF4C66">
        <w:rPr>
          <w:rFonts w:ascii="Times New Roman" w:hAnsi="Times New Roman" w:cs="Times New Roman"/>
          <w:bCs/>
          <w:iCs/>
          <w:sz w:val="24"/>
          <w:szCs w:val="24"/>
        </w:rPr>
        <w:t>. Rozwiązanie to spowoduje w skutkach</w:t>
      </w:r>
      <w:r>
        <w:rPr>
          <w:rFonts w:ascii="Times New Roman" w:hAnsi="Times New Roman" w:cs="Times New Roman"/>
          <w:bCs/>
          <w:iCs/>
          <w:sz w:val="24"/>
          <w:szCs w:val="24"/>
        </w:rPr>
        <w:t xml:space="preserve"> </w:t>
      </w:r>
      <w:r w:rsidRPr="00DF4C66">
        <w:rPr>
          <w:rFonts w:ascii="Times New Roman" w:hAnsi="Times New Roman" w:cs="Times New Roman"/>
          <w:bCs/>
          <w:iCs/>
          <w:sz w:val="24"/>
          <w:szCs w:val="24"/>
        </w:rPr>
        <w:t>analogiczne</w:t>
      </w:r>
      <w:r w:rsidRPr="00DF4C66">
        <w:rPr>
          <w:rFonts w:ascii="Times New Roman" w:hAnsi="Times New Roman" w:cs="Times New Roman"/>
          <w:sz w:val="24"/>
          <w:szCs w:val="24"/>
        </w:rPr>
        <w:t xml:space="preserve"> zasady ustalania proporcji dla celów zwolnienia podatkowego w PIT,</w:t>
      </w:r>
      <w:r w:rsidR="00FD35AC">
        <w:rPr>
          <w:rFonts w:ascii="Times New Roman" w:hAnsi="Times New Roman" w:cs="Times New Roman"/>
          <w:sz w:val="24"/>
          <w:szCs w:val="24"/>
        </w:rPr>
        <w:t xml:space="preserve"> w przypadku fundacji założonej przez rodzeństwo, tak</w:t>
      </w:r>
      <w:r w:rsidRPr="00DF4C66">
        <w:rPr>
          <w:rFonts w:ascii="Times New Roman" w:hAnsi="Times New Roman" w:cs="Times New Roman"/>
          <w:sz w:val="24"/>
          <w:szCs w:val="24"/>
        </w:rPr>
        <w:t xml:space="preserve"> jak w przypadku fundacji </w:t>
      </w:r>
      <w:r w:rsidR="00FD35AC">
        <w:rPr>
          <w:rFonts w:ascii="Times New Roman" w:hAnsi="Times New Roman" w:cs="Times New Roman"/>
          <w:sz w:val="24"/>
          <w:szCs w:val="24"/>
        </w:rPr>
        <w:t xml:space="preserve">gdyby została </w:t>
      </w:r>
      <w:r w:rsidRPr="00DF4C66">
        <w:rPr>
          <w:rFonts w:ascii="Times New Roman" w:hAnsi="Times New Roman" w:cs="Times New Roman"/>
          <w:sz w:val="24"/>
          <w:szCs w:val="24"/>
        </w:rPr>
        <w:t>założon</w:t>
      </w:r>
      <w:r w:rsidR="00FD35AC">
        <w:rPr>
          <w:rFonts w:ascii="Times New Roman" w:hAnsi="Times New Roman" w:cs="Times New Roman"/>
          <w:sz w:val="24"/>
          <w:szCs w:val="24"/>
        </w:rPr>
        <w:t>a</w:t>
      </w:r>
      <w:r w:rsidRPr="00DF4C66">
        <w:rPr>
          <w:rFonts w:ascii="Times New Roman" w:hAnsi="Times New Roman" w:cs="Times New Roman"/>
          <w:sz w:val="24"/>
          <w:szCs w:val="24"/>
        </w:rPr>
        <w:t xml:space="preserve"> przez </w:t>
      </w:r>
      <w:r w:rsidR="00FD35AC">
        <w:rPr>
          <w:rFonts w:ascii="Times New Roman" w:hAnsi="Times New Roman" w:cs="Times New Roman"/>
          <w:sz w:val="24"/>
          <w:szCs w:val="24"/>
        </w:rPr>
        <w:t xml:space="preserve">ich </w:t>
      </w:r>
      <w:r w:rsidRPr="00DF4C66">
        <w:rPr>
          <w:rFonts w:ascii="Times New Roman" w:hAnsi="Times New Roman" w:cs="Times New Roman"/>
          <w:sz w:val="24"/>
          <w:szCs w:val="24"/>
        </w:rPr>
        <w:t>rodziców (pełne zwolnienie w PIT dla wszystkich zstępnych każdego z rodzeństwa).</w:t>
      </w:r>
    </w:p>
    <w:p w14:paraId="0CF04C84" w14:textId="3BCDFA87" w:rsidR="00DB4045" w:rsidRDefault="00DB4045" w:rsidP="00393D6A">
      <w:pPr>
        <w:spacing w:before="120" w:line="360" w:lineRule="auto"/>
        <w:jc w:val="both"/>
        <w:rPr>
          <w:rFonts w:ascii="Times New Roman" w:hAnsi="Times New Roman" w:cs="Times New Roman"/>
          <w:sz w:val="24"/>
          <w:szCs w:val="24"/>
        </w:rPr>
      </w:pPr>
      <w:r w:rsidRPr="00DF4C66">
        <w:rPr>
          <w:rFonts w:ascii="Times New Roman" w:hAnsi="Times New Roman" w:cs="Times New Roman"/>
          <w:sz w:val="24"/>
          <w:szCs w:val="24"/>
        </w:rPr>
        <w:t>W konsekwencji wprowadzenia</w:t>
      </w:r>
      <w:r>
        <w:rPr>
          <w:rFonts w:ascii="Times New Roman" w:hAnsi="Times New Roman" w:cs="Times New Roman"/>
          <w:sz w:val="24"/>
          <w:szCs w:val="24"/>
        </w:rPr>
        <w:t xml:space="preserve"> takiego rozwiązania </w:t>
      </w:r>
      <w:r w:rsidRPr="00DF4C66">
        <w:rPr>
          <w:rFonts w:ascii="Times New Roman" w:hAnsi="Times New Roman" w:cs="Times New Roman"/>
          <w:sz w:val="24"/>
          <w:szCs w:val="24"/>
        </w:rPr>
        <w:t xml:space="preserve">zostały dokonane zmiany w art. 21 </w:t>
      </w:r>
      <w:r>
        <w:rPr>
          <w:rFonts w:ascii="Times New Roman" w:hAnsi="Times New Roman" w:cs="Times New Roman"/>
          <w:sz w:val="24"/>
          <w:szCs w:val="24"/>
        </w:rPr>
        <w:t xml:space="preserve">ust. 1 </w:t>
      </w:r>
      <w:r w:rsidRPr="00DF4C66">
        <w:rPr>
          <w:rFonts w:ascii="Times New Roman" w:hAnsi="Times New Roman" w:cs="Times New Roman"/>
          <w:sz w:val="24"/>
          <w:szCs w:val="24"/>
        </w:rPr>
        <w:t>w pkt 157 w lit. a i b</w:t>
      </w:r>
      <w:r>
        <w:rPr>
          <w:rFonts w:ascii="Times New Roman" w:hAnsi="Times New Roman" w:cs="Times New Roman"/>
          <w:sz w:val="24"/>
          <w:szCs w:val="24"/>
        </w:rPr>
        <w:t xml:space="preserve"> </w:t>
      </w:r>
      <w:r w:rsidRPr="00DF4C66">
        <w:rPr>
          <w:rFonts w:ascii="Times New Roman" w:hAnsi="Times New Roman" w:cs="Times New Roman"/>
          <w:sz w:val="24"/>
          <w:szCs w:val="24"/>
        </w:rPr>
        <w:t>ustawy PIT (art. 1</w:t>
      </w:r>
      <w:r>
        <w:rPr>
          <w:rFonts w:ascii="Times New Roman" w:hAnsi="Times New Roman" w:cs="Times New Roman"/>
          <w:sz w:val="24"/>
          <w:szCs w:val="24"/>
        </w:rPr>
        <w:t xml:space="preserve"> </w:t>
      </w:r>
      <w:r w:rsidRPr="00DF4C66">
        <w:rPr>
          <w:rFonts w:ascii="Times New Roman" w:hAnsi="Times New Roman" w:cs="Times New Roman"/>
          <w:sz w:val="24"/>
          <w:szCs w:val="24"/>
        </w:rPr>
        <w:t xml:space="preserve">pkt </w:t>
      </w:r>
      <w:r>
        <w:rPr>
          <w:rFonts w:ascii="Times New Roman" w:hAnsi="Times New Roman" w:cs="Times New Roman"/>
          <w:sz w:val="24"/>
          <w:szCs w:val="24"/>
        </w:rPr>
        <w:t xml:space="preserve">1 </w:t>
      </w:r>
      <w:r w:rsidRPr="00DF4C66">
        <w:rPr>
          <w:rFonts w:ascii="Times New Roman" w:hAnsi="Times New Roman" w:cs="Times New Roman"/>
          <w:sz w:val="24"/>
          <w:szCs w:val="24"/>
        </w:rPr>
        <w:t>projektu)</w:t>
      </w:r>
      <w:r>
        <w:rPr>
          <w:rFonts w:ascii="Times New Roman" w:hAnsi="Times New Roman" w:cs="Times New Roman"/>
          <w:sz w:val="24"/>
          <w:szCs w:val="24"/>
        </w:rPr>
        <w:t>, gdzie d</w:t>
      </w:r>
      <w:r w:rsidRPr="00DF4C66">
        <w:rPr>
          <w:rFonts w:ascii="Times New Roman" w:hAnsi="Times New Roman" w:cs="Times New Roman"/>
          <w:sz w:val="24"/>
          <w:szCs w:val="24"/>
        </w:rPr>
        <w:t xml:space="preserve">la potrzeby stosowania zwolnienia świadczeń otrzymanych z fundacji rodzinnej (przez beneficjentów oraz osoby uprawnione do otrzymania mienia po likwidacji takiej fundacji) w zakresie powiązań z fundatorem, odstąpiono od odwoływania się do katalogu osób wymienionych w art. 4a ust. 1 ustawy z dnia 28 lipca 1983 r. o podatku od spadków i darowizn, lecz wprowadzono </w:t>
      </w:r>
      <w:r>
        <w:rPr>
          <w:rFonts w:ascii="Times New Roman" w:hAnsi="Times New Roman" w:cs="Times New Roman"/>
          <w:sz w:val="24"/>
          <w:szCs w:val="24"/>
        </w:rPr>
        <w:t>pojęcie „członek rodziny fundatora”</w:t>
      </w:r>
      <w:r w:rsidRPr="00DF4C66">
        <w:rPr>
          <w:rFonts w:ascii="Times New Roman" w:hAnsi="Times New Roman" w:cs="Times New Roman"/>
          <w:sz w:val="24"/>
          <w:szCs w:val="24"/>
        </w:rPr>
        <w:t xml:space="preserve">. </w:t>
      </w:r>
    </w:p>
    <w:p w14:paraId="79B42390" w14:textId="77777777" w:rsidR="00DB4045" w:rsidRDefault="00DB4045" w:rsidP="00393D6A">
      <w:pPr>
        <w:spacing w:before="120" w:line="360" w:lineRule="auto"/>
        <w:jc w:val="both"/>
        <w:rPr>
          <w:rFonts w:ascii="Times New Roman" w:hAnsi="Times New Roman" w:cs="Times New Roman"/>
          <w:sz w:val="24"/>
          <w:szCs w:val="24"/>
        </w:rPr>
      </w:pPr>
      <w:r>
        <w:rPr>
          <w:rFonts w:ascii="Times New Roman" w:hAnsi="Times New Roman" w:cs="Times New Roman"/>
          <w:sz w:val="24"/>
          <w:szCs w:val="24"/>
        </w:rPr>
        <w:t xml:space="preserve">Nie zostały zmienione zasady stosowania zwolnienia przychodów uzyskiwanych przez fundatorów i beneficjentów z fundacji rodzinnej określonych w tym przepisie. Zwolnienia te nadal będą stosowane w stosunku do fundatora i członków jego rodziny, w części odpowiadającej proporcji wartości wniesionego mienia przez tego fundatora do fundacji rodzinnej, o której mowa w art. 27 ust. 4 ustawy o fundacji rodzinnej, co zostało określone bezpośrednio w art. 21 ust. 1 pkt 157 ustawy PIT. </w:t>
      </w:r>
    </w:p>
    <w:p w14:paraId="0EC553AF" w14:textId="77777777" w:rsidR="00DB4045" w:rsidRPr="00DF4C66" w:rsidRDefault="00DB4045" w:rsidP="00393D6A">
      <w:pPr>
        <w:spacing w:before="120" w:line="360" w:lineRule="auto"/>
        <w:jc w:val="both"/>
        <w:rPr>
          <w:rFonts w:ascii="Times New Roman" w:hAnsi="Times New Roman" w:cs="Times New Roman"/>
          <w:sz w:val="24"/>
          <w:szCs w:val="24"/>
        </w:rPr>
      </w:pPr>
      <w:r>
        <w:rPr>
          <w:rFonts w:ascii="Times New Roman" w:hAnsi="Times New Roman" w:cs="Times New Roman"/>
          <w:sz w:val="24"/>
          <w:szCs w:val="24"/>
        </w:rPr>
        <w:t xml:space="preserve">W </w:t>
      </w:r>
      <w:r w:rsidRPr="00DF4C66">
        <w:rPr>
          <w:rFonts w:ascii="Times New Roman" w:hAnsi="Times New Roman" w:cs="Times New Roman"/>
          <w:sz w:val="24"/>
          <w:szCs w:val="24"/>
        </w:rPr>
        <w:t>art. 21 ust. 49</w:t>
      </w:r>
      <w:r>
        <w:rPr>
          <w:rFonts w:ascii="Times New Roman" w:hAnsi="Times New Roman" w:cs="Times New Roman"/>
          <w:sz w:val="24"/>
          <w:szCs w:val="24"/>
        </w:rPr>
        <w:t xml:space="preserve"> </w:t>
      </w:r>
      <w:r w:rsidRPr="00DF4C66">
        <w:rPr>
          <w:rFonts w:ascii="Times New Roman" w:hAnsi="Times New Roman" w:cs="Times New Roman"/>
          <w:sz w:val="24"/>
          <w:szCs w:val="24"/>
        </w:rPr>
        <w:t>ustawy PIT (art. 1 pkt 2 projektu</w:t>
      </w:r>
      <w:r>
        <w:rPr>
          <w:rFonts w:ascii="Times New Roman" w:hAnsi="Times New Roman" w:cs="Times New Roman"/>
          <w:sz w:val="24"/>
          <w:szCs w:val="24"/>
        </w:rPr>
        <w:t xml:space="preserve">) została podana definicja członka rodziny fundatora, na potrzeby stosowania tego zwolnienia. </w:t>
      </w:r>
    </w:p>
    <w:p w14:paraId="43282A87" w14:textId="32C3F54A" w:rsidR="00DB4045" w:rsidRPr="00DF4C66" w:rsidRDefault="00DB4045" w:rsidP="00393D6A">
      <w:pPr>
        <w:spacing w:before="120" w:line="360" w:lineRule="auto"/>
        <w:jc w:val="both"/>
        <w:rPr>
          <w:rFonts w:ascii="Times New Roman" w:hAnsi="Times New Roman" w:cs="Times New Roman"/>
          <w:sz w:val="24"/>
          <w:szCs w:val="24"/>
        </w:rPr>
      </w:pPr>
      <w:r>
        <w:rPr>
          <w:rFonts w:ascii="Times New Roman" w:hAnsi="Times New Roman" w:cs="Times New Roman"/>
          <w:sz w:val="24"/>
          <w:szCs w:val="24"/>
        </w:rPr>
        <w:t xml:space="preserve">Pojęcie to określa krąg osób </w:t>
      </w:r>
      <w:r w:rsidRPr="00DF4C66">
        <w:rPr>
          <w:rFonts w:ascii="Times New Roman" w:hAnsi="Times New Roman" w:cs="Times New Roman"/>
          <w:sz w:val="24"/>
          <w:szCs w:val="24"/>
        </w:rPr>
        <w:t>będąc</w:t>
      </w:r>
      <w:r>
        <w:rPr>
          <w:rFonts w:ascii="Times New Roman" w:hAnsi="Times New Roman" w:cs="Times New Roman"/>
          <w:sz w:val="24"/>
          <w:szCs w:val="24"/>
        </w:rPr>
        <w:t>ych</w:t>
      </w:r>
      <w:r w:rsidRPr="00DF4C66">
        <w:rPr>
          <w:rFonts w:ascii="Times New Roman" w:hAnsi="Times New Roman" w:cs="Times New Roman"/>
          <w:sz w:val="24"/>
          <w:szCs w:val="24"/>
        </w:rPr>
        <w:t xml:space="preserve"> </w:t>
      </w:r>
      <w:r>
        <w:rPr>
          <w:rFonts w:ascii="Times New Roman" w:hAnsi="Times New Roman" w:cs="Times New Roman"/>
          <w:sz w:val="24"/>
          <w:szCs w:val="24"/>
        </w:rPr>
        <w:t>w stosunku do fundatora</w:t>
      </w:r>
      <w:r w:rsidRPr="00DF4C66">
        <w:rPr>
          <w:rFonts w:ascii="Times New Roman" w:hAnsi="Times New Roman" w:cs="Times New Roman"/>
          <w:sz w:val="24"/>
          <w:szCs w:val="24"/>
        </w:rPr>
        <w:t>: małżonkiem, zstępnym</w:t>
      </w:r>
      <w:r>
        <w:rPr>
          <w:rFonts w:ascii="Times New Roman" w:hAnsi="Times New Roman" w:cs="Times New Roman"/>
          <w:sz w:val="24"/>
          <w:szCs w:val="24"/>
        </w:rPr>
        <w:t>i</w:t>
      </w:r>
      <w:r w:rsidRPr="00DF4C66">
        <w:rPr>
          <w:rFonts w:ascii="Times New Roman" w:hAnsi="Times New Roman" w:cs="Times New Roman"/>
          <w:sz w:val="24"/>
          <w:szCs w:val="24"/>
        </w:rPr>
        <w:t>, wstępnym</w:t>
      </w:r>
      <w:r>
        <w:rPr>
          <w:rFonts w:ascii="Times New Roman" w:hAnsi="Times New Roman" w:cs="Times New Roman"/>
          <w:sz w:val="24"/>
          <w:szCs w:val="24"/>
        </w:rPr>
        <w:t>i</w:t>
      </w:r>
      <w:r w:rsidRPr="00DF4C66">
        <w:rPr>
          <w:rFonts w:ascii="Times New Roman" w:hAnsi="Times New Roman" w:cs="Times New Roman"/>
          <w:sz w:val="24"/>
          <w:szCs w:val="24"/>
        </w:rPr>
        <w:t>, pasierbem,</w:t>
      </w:r>
      <w:r>
        <w:rPr>
          <w:rFonts w:ascii="Times New Roman" w:hAnsi="Times New Roman" w:cs="Times New Roman"/>
          <w:sz w:val="24"/>
          <w:szCs w:val="24"/>
        </w:rPr>
        <w:t xml:space="preserve"> zstępnymi pasierba,</w:t>
      </w:r>
      <w:r w:rsidRPr="00DF4C66">
        <w:rPr>
          <w:rFonts w:ascii="Times New Roman" w:hAnsi="Times New Roman" w:cs="Times New Roman"/>
          <w:sz w:val="24"/>
          <w:szCs w:val="24"/>
        </w:rPr>
        <w:t xml:space="preserve"> rodzeństwem, ojczymem, macochą oraz zstępnymi rodzeństwa</w:t>
      </w:r>
      <w:r>
        <w:rPr>
          <w:rFonts w:ascii="Times New Roman" w:hAnsi="Times New Roman" w:cs="Times New Roman"/>
          <w:sz w:val="24"/>
          <w:szCs w:val="24"/>
        </w:rPr>
        <w:t xml:space="preserve"> fundatora</w:t>
      </w:r>
      <w:r w:rsidRPr="00DF4C66">
        <w:rPr>
          <w:rFonts w:ascii="Times New Roman" w:hAnsi="Times New Roman" w:cs="Times New Roman"/>
          <w:sz w:val="24"/>
          <w:szCs w:val="24"/>
        </w:rPr>
        <w:t>.</w:t>
      </w:r>
      <w:r>
        <w:rPr>
          <w:rFonts w:ascii="Times New Roman" w:hAnsi="Times New Roman" w:cs="Times New Roman"/>
          <w:sz w:val="24"/>
          <w:szCs w:val="24"/>
        </w:rPr>
        <w:t xml:space="preserve"> Ponadto w projekcie wskazano, że za</w:t>
      </w:r>
      <w:r w:rsidR="00086702">
        <w:rPr>
          <w:rFonts w:ascii="Times New Roman" w:hAnsi="Times New Roman" w:cs="Times New Roman"/>
          <w:sz w:val="24"/>
          <w:szCs w:val="24"/>
        </w:rPr>
        <w:t xml:space="preserve"> rodziców,</w:t>
      </w:r>
      <w:r>
        <w:rPr>
          <w:rFonts w:ascii="Times New Roman" w:hAnsi="Times New Roman" w:cs="Times New Roman"/>
          <w:sz w:val="24"/>
          <w:szCs w:val="24"/>
        </w:rPr>
        <w:t xml:space="preserve"> zstępnych</w:t>
      </w:r>
      <w:r w:rsidR="00086702">
        <w:rPr>
          <w:rFonts w:ascii="Times New Roman" w:hAnsi="Times New Roman" w:cs="Times New Roman"/>
          <w:sz w:val="24"/>
          <w:szCs w:val="24"/>
        </w:rPr>
        <w:t xml:space="preserve"> i wstępnych</w:t>
      </w:r>
      <w:r>
        <w:rPr>
          <w:rFonts w:ascii="Times New Roman" w:hAnsi="Times New Roman" w:cs="Times New Roman"/>
          <w:sz w:val="24"/>
          <w:szCs w:val="24"/>
        </w:rPr>
        <w:t xml:space="preserve"> uważa się osoby, o których mowa w art. 14 ust. 4 i 4a ustawy o podatku od spadków i darowizn.</w:t>
      </w:r>
      <w:r w:rsidRPr="00DF4C66">
        <w:rPr>
          <w:rFonts w:ascii="Times New Roman" w:hAnsi="Times New Roman" w:cs="Times New Roman"/>
          <w:sz w:val="24"/>
          <w:szCs w:val="24"/>
        </w:rPr>
        <w:t xml:space="preserve"> Tak więc </w:t>
      </w:r>
      <w:r>
        <w:rPr>
          <w:rFonts w:ascii="Times New Roman" w:hAnsi="Times New Roman" w:cs="Times New Roman"/>
          <w:sz w:val="24"/>
          <w:szCs w:val="24"/>
        </w:rPr>
        <w:t>jednoznacznie określono</w:t>
      </w:r>
      <w:r w:rsidRPr="00DF4C66">
        <w:rPr>
          <w:rFonts w:ascii="Times New Roman" w:hAnsi="Times New Roman" w:cs="Times New Roman"/>
          <w:sz w:val="24"/>
          <w:szCs w:val="24"/>
        </w:rPr>
        <w:t xml:space="preserve"> katalog osób, określonych w art. 4a ust. 1 ustawy o podatku od spadków i darowizn, które dotychczas korzystały ze zwolnienia z podatku PIT przychodów z tytułu otrzymanych świadczeń z fundacji rodzinnej, powiększony o zstępnych rodzeństwa </w:t>
      </w:r>
      <w:r>
        <w:rPr>
          <w:rFonts w:ascii="Times New Roman" w:hAnsi="Times New Roman" w:cs="Times New Roman"/>
          <w:sz w:val="24"/>
          <w:szCs w:val="24"/>
        </w:rPr>
        <w:t>oraz zstępnych pasierba</w:t>
      </w:r>
      <w:r w:rsidRPr="00DF4C66">
        <w:rPr>
          <w:rFonts w:ascii="Times New Roman" w:hAnsi="Times New Roman" w:cs="Times New Roman"/>
          <w:sz w:val="24"/>
          <w:szCs w:val="24"/>
        </w:rPr>
        <w:t xml:space="preserve"> fundatora takiej fundacji</w:t>
      </w:r>
      <w:r>
        <w:rPr>
          <w:rFonts w:ascii="Times New Roman" w:hAnsi="Times New Roman" w:cs="Times New Roman"/>
          <w:sz w:val="24"/>
          <w:szCs w:val="24"/>
        </w:rPr>
        <w:t>.</w:t>
      </w:r>
    </w:p>
    <w:p w14:paraId="76F46198" w14:textId="77777777" w:rsidR="00DB4045" w:rsidRDefault="00DB4045" w:rsidP="00393D6A">
      <w:pPr>
        <w:spacing w:before="120" w:line="360" w:lineRule="auto"/>
        <w:jc w:val="both"/>
        <w:rPr>
          <w:rFonts w:ascii="Times New Roman" w:hAnsi="Times New Roman" w:cs="Times New Roman"/>
          <w:sz w:val="24"/>
          <w:szCs w:val="24"/>
        </w:rPr>
      </w:pPr>
      <w:r w:rsidRPr="00DF4C66">
        <w:rPr>
          <w:rFonts w:ascii="Times New Roman" w:hAnsi="Times New Roman" w:cs="Times New Roman"/>
          <w:sz w:val="24"/>
          <w:szCs w:val="24"/>
        </w:rPr>
        <w:t xml:space="preserve">Zmienione przepisy będą miały zastosowanie do świadczeń otrzymanych z fundacji rodzinnej przez osoby będące w stosunku do fundatora zstępnymi rodzeństwa po 31 grudnia 2026 r. (od momentu wejścia ich w życie). </w:t>
      </w:r>
    </w:p>
    <w:p w14:paraId="1850FB48" w14:textId="77777777" w:rsidR="00DB4045" w:rsidRPr="00DF4C66" w:rsidRDefault="00DB4045" w:rsidP="00393D6A">
      <w:pPr>
        <w:spacing w:before="120" w:line="360" w:lineRule="auto"/>
        <w:jc w:val="both"/>
        <w:rPr>
          <w:rFonts w:ascii="Times New Roman" w:hAnsi="Times New Roman" w:cs="Times New Roman"/>
          <w:sz w:val="24"/>
          <w:szCs w:val="24"/>
        </w:rPr>
      </w:pPr>
      <w:r w:rsidRPr="00DF4C66">
        <w:rPr>
          <w:rFonts w:ascii="Times New Roman" w:hAnsi="Times New Roman" w:cs="Times New Roman"/>
          <w:sz w:val="24"/>
          <w:szCs w:val="24"/>
        </w:rPr>
        <w:lastRenderedPageBreak/>
        <w:t>Zasada ta ma zastosowanie również w przypadk</w:t>
      </w:r>
      <w:r>
        <w:rPr>
          <w:rFonts w:ascii="Times New Roman" w:hAnsi="Times New Roman" w:cs="Times New Roman"/>
          <w:sz w:val="24"/>
          <w:szCs w:val="24"/>
        </w:rPr>
        <w:t>ach</w:t>
      </w:r>
      <w:r w:rsidRPr="00DF4C66">
        <w:rPr>
          <w:rFonts w:ascii="Times New Roman" w:hAnsi="Times New Roman" w:cs="Times New Roman"/>
          <w:sz w:val="24"/>
          <w:szCs w:val="24"/>
        </w:rPr>
        <w:t>, gdy fundacja rodzin</w:t>
      </w:r>
      <w:r>
        <w:rPr>
          <w:rFonts w:ascii="Times New Roman" w:hAnsi="Times New Roman" w:cs="Times New Roman"/>
          <w:sz w:val="24"/>
          <w:szCs w:val="24"/>
        </w:rPr>
        <w:t>n</w:t>
      </w:r>
      <w:r w:rsidRPr="00DF4C66">
        <w:rPr>
          <w:rFonts w:ascii="Times New Roman" w:hAnsi="Times New Roman" w:cs="Times New Roman"/>
          <w:sz w:val="24"/>
          <w:szCs w:val="24"/>
        </w:rPr>
        <w:t>a powstała przed 1 stycznia 2027 r., albo osoba będąca w stosunku do fundatora zstępnym jego rodzeństwa była beneficjentem fundacji rodzinnej lub osobą uprawnioną do otrzymania</w:t>
      </w:r>
      <w:r>
        <w:rPr>
          <w:rFonts w:ascii="Times New Roman" w:hAnsi="Times New Roman" w:cs="Times New Roman"/>
          <w:sz w:val="24"/>
          <w:szCs w:val="24"/>
        </w:rPr>
        <w:t xml:space="preserve"> </w:t>
      </w:r>
      <w:r w:rsidRPr="00DF4C66">
        <w:rPr>
          <w:rFonts w:ascii="Times New Roman" w:hAnsi="Times New Roman" w:cs="Times New Roman"/>
          <w:sz w:val="24"/>
          <w:szCs w:val="24"/>
        </w:rPr>
        <w:t xml:space="preserve">mienia po rozwiązaniu fundacji rodzinnej, </w:t>
      </w:r>
      <w:r>
        <w:rPr>
          <w:rFonts w:ascii="Times New Roman" w:hAnsi="Times New Roman" w:cs="Times New Roman"/>
          <w:sz w:val="24"/>
          <w:szCs w:val="24"/>
        </w:rPr>
        <w:t xml:space="preserve">nabyła prawa do otrzymania świadczeń </w:t>
      </w:r>
      <w:r w:rsidRPr="00DF4C66">
        <w:rPr>
          <w:rFonts w:ascii="Times New Roman" w:hAnsi="Times New Roman" w:cs="Times New Roman"/>
          <w:sz w:val="24"/>
          <w:szCs w:val="24"/>
        </w:rPr>
        <w:t>przed 1 stycznia 2027 r., lecz</w:t>
      </w:r>
      <w:r>
        <w:rPr>
          <w:rFonts w:ascii="Times New Roman" w:hAnsi="Times New Roman" w:cs="Times New Roman"/>
          <w:sz w:val="24"/>
          <w:szCs w:val="24"/>
        </w:rPr>
        <w:t xml:space="preserve"> </w:t>
      </w:r>
      <w:r w:rsidRPr="00DF4C66">
        <w:rPr>
          <w:rFonts w:ascii="Times New Roman" w:hAnsi="Times New Roman" w:cs="Times New Roman"/>
          <w:sz w:val="24"/>
          <w:szCs w:val="24"/>
        </w:rPr>
        <w:t>otrzymała</w:t>
      </w:r>
      <w:r>
        <w:rPr>
          <w:rFonts w:ascii="Times New Roman" w:hAnsi="Times New Roman" w:cs="Times New Roman"/>
          <w:sz w:val="24"/>
          <w:szCs w:val="24"/>
        </w:rPr>
        <w:t xml:space="preserve"> je już </w:t>
      </w:r>
      <w:r w:rsidRPr="00DF4C66">
        <w:rPr>
          <w:rFonts w:ascii="Times New Roman" w:hAnsi="Times New Roman" w:cs="Times New Roman"/>
          <w:sz w:val="24"/>
          <w:szCs w:val="24"/>
        </w:rPr>
        <w:t xml:space="preserve">po 31 grudnia 2026 r. </w:t>
      </w:r>
    </w:p>
    <w:p w14:paraId="67D1B9E6" w14:textId="77777777" w:rsidR="009F6B6D" w:rsidRPr="00DF4C66" w:rsidRDefault="009F6B6D" w:rsidP="00393D6A">
      <w:pPr>
        <w:spacing w:before="120" w:line="360" w:lineRule="auto"/>
        <w:jc w:val="both"/>
        <w:rPr>
          <w:rFonts w:ascii="Times New Roman" w:eastAsia="Times New Roman" w:hAnsi="Times New Roman" w:cs="Times New Roman"/>
          <w:b/>
          <w:sz w:val="24"/>
          <w:szCs w:val="24"/>
          <w:lang w:eastAsia="pl-PL"/>
        </w:rPr>
      </w:pPr>
      <w:r w:rsidRPr="00DF4C66">
        <w:rPr>
          <w:rFonts w:ascii="Times New Roman" w:eastAsia="Times New Roman" w:hAnsi="Times New Roman" w:cs="Times New Roman"/>
          <w:b/>
          <w:sz w:val="24"/>
          <w:szCs w:val="24"/>
          <w:lang w:eastAsia="pl-PL"/>
        </w:rPr>
        <w:t xml:space="preserve">Zmiany w ustawie CIT – art. 2 </w:t>
      </w:r>
    </w:p>
    <w:p w14:paraId="5084CA19" w14:textId="3377390E" w:rsidR="002B682A" w:rsidRPr="00DF4C66" w:rsidRDefault="00E52B5A"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Wraz z wejściem w życie 22 maja 2023 r. ustawy o fundacji rodzinnej</w:t>
      </w:r>
      <w:r w:rsidR="00662638" w:rsidRPr="00DF4C66">
        <w:rPr>
          <w:rFonts w:ascii="Times New Roman" w:eastAsia="Times New Roman" w:hAnsi="Times New Roman" w:cs="Times New Roman"/>
          <w:bCs/>
          <w:sz w:val="24"/>
          <w:szCs w:val="24"/>
          <w:lang w:eastAsia="pl-PL"/>
        </w:rPr>
        <w:t xml:space="preserve"> </w:t>
      </w:r>
      <w:r w:rsidRPr="00DF4C66">
        <w:rPr>
          <w:rFonts w:ascii="Times New Roman" w:eastAsia="Times New Roman" w:hAnsi="Times New Roman" w:cs="Times New Roman"/>
          <w:bCs/>
          <w:sz w:val="24"/>
          <w:szCs w:val="24"/>
          <w:lang w:eastAsia="pl-PL"/>
        </w:rPr>
        <w:t>wprowadzono do</w:t>
      </w:r>
      <w:r w:rsidR="00146217" w:rsidRPr="00DF4C66">
        <w:rPr>
          <w:rFonts w:ascii="Times New Roman" w:eastAsia="Times New Roman" w:hAnsi="Times New Roman" w:cs="Times New Roman"/>
          <w:bCs/>
          <w:sz w:val="24"/>
          <w:szCs w:val="24"/>
          <w:lang w:eastAsia="pl-PL"/>
        </w:rPr>
        <w:t> </w:t>
      </w:r>
      <w:r w:rsidRPr="00DF4C66">
        <w:rPr>
          <w:rFonts w:ascii="Times New Roman" w:eastAsia="Times New Roman" w:hAnsi="Times New Roman" w:cs="Times New Roman"/>
          <w:bCs/>
          <w:sz w:val="24"/>
          <w:szCs w:val="24"/>
          <w:lang w:eastAsia="pl-PL"/>
        </w:rPr>
        <w:t xml:space="preserve">polskiego systemu prawnego nową instytucję – fundację </w:t>
      </w:r>
      <w:r w:rsidR="00F03DE7" w:rsidRPr="00DF4C66">
        <w:rPr>
          <w:rFonts w:ascii="Times New Roman" w:eastAsia="Times New Roman" w:hAnsi="Times New Roman" w:cs="Times New Roman"/>
          <w:bCs/>
          <w:sz w:val="24"/>
          <w:szCs w:val="24"/>
          <w:lang w:eastAsia="pl-PL"/>
        </w:rPr>
        <w:t xml:space="preserve">rodzinną. </w:t>
      </w:r>
      <w:r w:rsidR="00662638" w:rsidRPr="00DF4C66">
        <w:rPr>
          <w:rFonts w:ascii="Times New Roman" w:eastAsia="Times New Roman" w:hAnsi="Times New Roman" w:cs="Times New Roman"/>
          <w:bCs/>
          <w:sz w:val="24"/>
          <w:szCs w:val="24"/>
          <w:lang w:eastAsia="pl-PL"/>
        </w:rPr>
        <w:t>Dotychczasowy</w:t>
      </w:r>
      <w:r w:rsidR="00E62396" w:rsidRPr="00DF4C66">
        <w:rPr>
          <w:rFonts w:ascii="Times New Roman" w:eastAsia="Times New Roman" w:hAnsi="Times New Roman" w:cs="Times New Roman"/>
          <w:bCs/>
          <w:sz w:val="24"/>
          <w:szCs w:val="24"/>
          <w:lang w:eastAsia="pl-PL"/>
        </w:rPr>
        <w:t>, ponad trzyletni</w:t>
      </w:r>
      <w:r w:rsidR="00662638" w:rsidRPr="00DF4C66">
        <w:rPr>
          <w:rFonts w:ascii="Times New Roman" w:eastAsia="Times New Roman" w:hAnsi="Times New Roman" w:cs="Times New Roman"/>
          <w:bCs/>
          <w:sz w:val="24"/>
          <w:szCs w:val="24"/>
          <w:lang w:eastAsia="pl-PL"/>
        </w:rPr>
        <w:t xml:space="preserve"> okres obowiązywania instytucji </w:t>
      </w:r>
      <w:r w:rsidR="008E55D6" w:rsidRPr="00DF4C66">
        <w:rPr>
          <w:rFonts w:ascii="Times New Roman" w:eastAsia="Times New Roman" w:hAnsi="Times New Roman" w:cs="Times New Roman"/>
          <w:bCs/>
          <w:sz w:val="24"/>
          <w:szCs w:val="24"/>
          <w:lang w:eastAsia="pl-PL"/>
        </w:rPr>
        <w:t>fundacji rodzinnej pozwolił zidentyfikować ryzyka i potencjalne schematy postępowania w obszarze podatków dochodowych</w:t>
      </w:r>
      <w:r w:rsidR="00641DA7" w:rsidRPr="00DF4C66">
        <w:rPr>
          <w:rFonts w:ascii="Times New Roman" w:eastAsia="Times New Roman" w:hAnsi="Times New Roman" w:cs="Times New Roman"/>
          <w:bCs/>
          <w:sz w:val="24"/>
          <w:szCs w:val="24"/>
          <w:lang w:eastAsia="pl-PL"/>
        </w:rPr>
        <w:t>,</w:t>
      </w:r>
      <w:r w:rsidR="008E55D6" w:rsidRPr="00DF4C66">
        <w:rPr>
          <w:rFonts w:ascii="Times New Roman" w:eastAsia="Times New Roman" w:hAnsi="Times New Roman" w:cs="Times New Roman"/>
          <w:bCs/>
          <w:sz w:val="24"/>
          <w:szCs w:val="24"/>
          <w:lang w:eastAsia="pl-PL"/>
        </w:rPr>
        <w:t xml:space="preserve"> między innymi w oparciu o analizę specjalistyczną sygnałów wynikających z informacji zawartych w opiniach wydanych w trybie art. 14b </w:t>
      </w:r>
      <w:r w:rsidR="00DE2555" w:rsidRPr="00DF4C66">
        <w:rPr>
          <w:rFonts w:ascii="Times New Roman" w:eastAsia="Times New Roman" w:hAnsi="Times New Roman" w:cs="Times New Roman"/>
          <w:bCs/>
          <w:sz w:val="24"/>
          <w:szCs w:val="24"/>
          <w:lang w:eastAsia="pl-PL"/>
        </w:rPr>
        <w:t>§</w:t>
      </w:r>
      <w:r w:rsidR="008E55D6" w:rsidRPr="00DF4C66">
        <w:rPr>
          <w:rFonts w:ascii="Times New Roman" w:eastAsia="Times New Roman" w:hAnsi="Times New Roman" w:cs="Times New Roman"/>
          <w:bCs/>
          <w:sz w:val="24"/>
          <w:szCs w:val="24"/>
          <w:lang w:eastAsia="pl-PL"/>
        </w:rPr>
        <w:t xml:space="preserve"> 5c</w:t>
      </w:r>
      <w:r w:rsidR="00E62396" w:rsidRPr="00DF4C66">
        <w:rPr>
          <w:rStyle w:val="Odwoanieprzypisudolnego"/>
          <w:rFonts w:ascii="Times New Roman" w:eastAsia="Times New Roman" w:hAnsi="Times New Roman" w:cs="Times New Roman"/>
          <w:bCs/>
          <w:sz w:val="24"/>
          <w:szCs w:val="24"/>
          <w:lang w:eastAsia="pl-PL"/>
        </w:rPr>
        <w:footnoteReference w:id="2"/>
      </w:r>
      <w:r w:rsidR="008E55D6" w:rsidRPr="00DF4C66">
        <w:rPr>
          <w:rFonts w:ascii="Times New Roman" w:eastAsia="Times New Roman" w:hAnsi="Times New Roman" w:cs="Times New Roman"/>
          <w:bCs/>
          <w:sz w:val="24"/>
          <w:szCs w:val="24"/>
          <w:lang w:eastAsia="pl-PL"/>
        </w:rPr>
        <w:t xml:space="preserve"> </w:t>
      </w:r>
      <w:r w:rsidR="006562E8" w:rsidRPr="00DF4C66">
        <w:rPr>
          <w:rFonts w:ascii="Times New Roman" w:eastAsia="Times New Roman" w:hAnsi="Times New Roman" w:cs="Times New Roman"/>
          <w:bCs/>
          <w:sz w:val="24"/>
          <w:szCs w:val="24"/>
          <w:lang w:eastAsia="pl-PL"/>
        </w:rPr>
        <w:t xml:space="preserve">ustawy z dnia 29 sierpnia 1997 r. </w:t>
      </w:r>
      <w:r w:rsidR="00DE2555" w:rsidRPr="00DF4C66">
        <w:rPr>
          <w:rFonts w:ascii="Times New Roman" w:eastAsia="Times New Roman" w:hAnsi="Times New Roman" w:cs="Times New Roman"/>
          <w:bCs/>
          <w:sz w:val="24"/>
          <w:szCs w:val="24"/>
          <w:lang w:eastAsia="pl-PL"/>
        </w:rPr>
        <w:t xml:space="preserve">– </w:t>
      </w:r>
      <w:r w:rsidR="006562E8" w:rsidRPr="00DF4C66">
        <w:rPr>
          <w:rFonts w:ascii="Times New Roman" w:eastAsia="Times New Roman" w:hAnsi="Times New Roman" w:cs="Times New Roman"/>
          <w:bCs/>
          <w:sz w:val="24"/>
          <w:szCs w:val="24"/>
          <w:lang w:eastAsia="pl-PL"/>
        </w:rPr>
        <w:t>Ordynacja Podatkowa (</w:t>
      </w:r>
      <w:r w:rsidR="00A63E4E" w:rsidRPr="00DF4C66">
        <w:rPr>
          <w:rFonts w:ascii="Times New Roman" w:eastAsia="Times New Roman" w:hAnsi="Times New Roman" w:cs="Times New Roman"/>
          <w:bCs/>
          <w:sz w:val="24"/>
          <w:szCs w:val="24"/>
          <w:lang w:eastAsia="pl-PL"/>
        </w:rPr>
        <w:t>Dz.U. z 2026 r. poz. 622</w:t>
      </w:r>
      <w:r w:rsidR="006562E8" w:rsidRPr="00DF4C66">
        <w:rPr>
          <w:rFonts w:ascii="Times New Roman" w:eastAsia="Times New Roman" w:hAnsi="Times New Roman" w:cs="Times New Roman"/>
          <w:bCs/>
          <w:sz w:val="24"/>
          <w:szCs w:val="24"/>
          <w:lang w:eastAsia="pl-PL"/>
        </w:rPr>
        <w:t>, z późn. zm.), zwanej dalej: „Ordynacją podatkową”</w:t>
      </w:r>
      <w:r w:rsidR="00EE6539" w:rsidRPr="00DF4C66">
        <w:rPr>
          <w:rFonts w:ascii="Times New Roman" w:eastAsia="Times New Roman" w:hAnsi="Times New Roman" w:cs="Times New Roman"/>
          <w:bCs/>
          <w:sz w:val="24"/>
          <w:szCs w:val="24"/>
          <w:lang w:eastAsia="pl-PL"/>
        </w:rPr>
        <w:t>,</w:t>
      </w:r>
      <w:r w:rsidR="002B682A" w:rsidRPr="00DF4C66">
        <w:rPr>
          <w:rFonts w:ascii="Times New Roman" w:eastAsia="Times New Roman" w:hAnsi="Times New Roman" w:cs="Times New Roman"/>
          <w:bCs/>
          <w:sz w:val="24"/>
          <w:szCs w:val="24"/>
          <w:lang w:eastAsia="pl-PL"/>
        </w:rPr>
        <w:t xml:space="preserve"> raportowanych informacjach o schematach podatkowych, o których mowa rozdziale 11a Ordynacji podatkowej</w:t>
      </w:r>
      <w:r w:rsidR="007E070D" w:rsidRPr="00DF4C66">
        <w:rPr>
          <w:rStyle w:val="Odwoanieprzypisudolnego"/>
          <w:rFonts w:ascii="Times New Roman" w:eastAsia="Times New Roman" w:hAnsi="Times New Roman" w:cs="Times New Roman"/>
          <w:bCs/>
          <w:sz w:val="24"/>
          <w:szCs w:val="24"/>
          <w:lang w:eastAsia="pl-PL"/>
        </w:rPr>
        <w:footnoteReference w:id="3"/>
      </w:r>
      <w:r w:rsidR="002B682A" w:rsidRPr="00DF4C66">
        <w:rPr>
          <w:rFonts w:ascii="Times New Roman" w:eastAsia="Times New Roman" w:hAnsi="Times New Roman" w:cs="Times New Roman"/>
          <w:bCs/>
          <w:sz w:val="24"/>
          <w:szCs w:val="24"/>
          <w:lang w:eastAsia="pl-PL"/>
        </w:rPr>
        <w:t>, wydawanych interpretacjach indywidualnych prawa podatkowego</w:t>
      </w:r>
      <w:r w:rsidR="007E070D" w:rsidRPr="00DF4C66">
        <w:rPr>
          <w:rStyle w:val="Odwoanieprzypisudolnego"/>
          <w:rFonts w:ascii="Times New Roman" w:eastAsia="Times New Roman" w:hAnsi="Times New Roman" w:cs="Times New Roman"/>
          <w:bCs/>
          <w:sz w:val="24"/>
          <w:szCs w:val="24"/>
          <w:lang w:eastAsia="pl-PL"/>
        </w:rPr>
        <w:footnoteReference w:id="4"/>
      </w:r>
      <w:r w:rsidR="002B682A" w:rsidRPr="00DF4C66">
        <w:rPr>
          <w:rFonts w:ascii="Times New Roman" w:eastAsia="Times New Roman" w:hAnsi="Times New Roman" w:cs="Times New Roman"/>
          <w:bCs/>
          <w:sz w:val="24"/>
          <w:szCs w:val="24"/>
          <w:lang w:eastAsia="pl-PL"/>
        </w:rPr>
        <w:t xml:space="preserve"> </w:t>
      </w:r>
      <w:r w:rsidR="006A689B" w:rsidRPr="00DF4C66">
        <w:rPr>
          <w:rFonts w:ascii="Times New Roman" w:eastAsia="Times New Roman" w:hAnsi="Times New Roman" w:cs="Times New Roman"/>
          <w:bCs/>
          <w:sz w:val="24"/>
          <w:szCs w:val="24"/>
          <w:lang w:eastAsia="pl-PL"/>
        </w:rPr>
        <w:t xml:space="preserve">czy </w:t>
      </w:r>
      <w:r w:rsidR="008E55D6" w:rsidRPr="00DF4C66">
        <w:rPr>
          <w:rFonts w:ascii="Times New Roman" w:eastAsia="Times New Roman" w:hAnsi="Times New Roman" w:cs="Times New Roman"/>
          <w:bCs/>
          <w:sz w:val="24"/>
          <w:szCs w:val="24"/>
          <w:lang w:eastAsia="pl-PL"/>
        </w:rPr>
        <w:t>we wnioskach o wydanie opinii zabezpieczającej z art. 119w i nast. Ordynacji podatkowej</w:t>
      </w:r>
      <w:r w:rsidR="007E070D" w:rsidRPr="00DF4C66">
        <w:rPr>
          <w:rStyle w:val="Odwoanieprzypisudolnego"/>
          <w:rFonts w:ascii="Times New Roman" w:eastAsia="Times New Roman" w:hAnsi="Times New Roman" w:cs="Times New Roman"/>
          <w:bCs/>
          <w:sz w:val="24"/>
          <w:szCs w:val="24"/>
          <w:lang w:eastAsia="pl-PL"/>
        </w:rPr>
        <w:footnoteReference w:id="5"/>
      </w:r>
      <w:r w:rsidR="006A689B" w:rsidRPr="00DF4C66">
        <w:rPr>
          <w:rFonts w:ascii="Times New Roman" w:eastAsia="Times New Roman" w:hAnsi="Times New Roman" w:cs="Times New Roman"/>
          <w:bCs/>
          <w:sz w:val="24"/>
          <w:szCs w:val="24"/>
          <w:lang w:eastAsia="pl-PL"/>
        </w:rPr>
        <w:t xml:space="preserve">. </w:t>
      </w:r>
      <w:r w:rsidR="00F2722A" w:rsidRPr="00DF4C66">
        <w:rPr>
          <w:rFonts w:ascii="Times New Roman" w:eastAsia="Times New Roman" w:hAnsi="Times New Roman" w:cs="Times New Roman"/>
          <w:bCs/>
          <w:sz w:val="24"/>
          <w:szCs w:val="24"/>
          <w:lang w:eastAsia="pl-PL"/>
        </w:rPr>
        <w:t>Zgromadzony materiał analityczny, pomimo ograniczeń w dostępie do pełnych danych o działalności fundacji rodzinnych, pozwala na identyfikację powtarzalnych modeli zachowań podatników ukierunkowanych na osiąganie korzyści podatkowych niezgodnych z celem regulacji, a także wskazuje na znaczną skalę tego zjawiska.</w:t>
      </w:r>
    </w:p>
    <w:p w14:paraId="5E2081EC" w14:textId="77777777" w:rsidR="002B682A" w:rsidRPr="00DF4C66" w:rsidRDefault="00E52B5A"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lastRenderedPageBreak/>
        <w:t>W szczególności, wśród praktyk nieznajdujących uzasadnienia na tle regulacji ustawy o fundacji rodzinnej</w:t>
      </w:r>
      <w:r w:rsidR="00532252" w:rsidRPr="00DF4C66">
        <w:rPr>
          <w:rFonts w:ascii="Times New Roman" w:eastAsia="Times New Roman" w:hAnsi="Times New Roman" w:cs="Times New Roman"/>
          <w:bCs/>
          <w:sz w:val="24"/>
          <w:szCs w:val="24"/>
          <w:lang w:eastAsia="pl-PL"/>
        </w:rPr>
        <w:t xml:space="preserve">, jak również ustaw podatkowych, </w:t>
      </w:r>
      <w:r w:rsidRPr="00DF4C66">
        <w:rPr>
          <w:rFonts w:ascii="Times New Roman" w:eastAsia="Times New Roman" w:hAnsi="Times New Roman" w:cs="Times New Roman"/>
          <w:bCs/>
          <w:sz w:val="24"/>
          <w:szCs w:val="24"/>
          <w:lang w:eastAsia="pl-PL"/>
        </w:rPr>
        <w:t>wskazać należy instrumentalne traktowanie tej instytucji.</w:t>
      </w:r>
      <w:r w:rsidR="00532252" w:rsidRPr="00DF4C66">
        <w:rPr>
          <w:rFonts w:ascii="Times New Roman" w:eastAsia="Times New Roman" w:hAnsi="Times New Roman" w:cs="Times New Roman"/>
          <w:bCs/>
          <w:sz w:val="24"/>
          <w:szCs w:val="24"/>
          <w:lang w:eastAsia="pl-PL"/>
        </w:rPr>
        <w:t xml:space="preserve"> </w:t>
      </w:r>
      <w:r w:rsidRPr="00DF4C66">
        <w:rPr>
          <w:rFonts w:ascii="Times New Roman" w:eastAsia="Times New Roman" w:hAnsi="Times New Roman" w:cs="Times New Roman"/>
          <w:bCs/>
          <w:sz w:val="24"/>
          <w:szCs w:val="24"/>
          <w:lang w:eastAsia="pl-PL"/>
        </w:rPr>
        <w:t xml:space="preserve">Celem przyświecającym </w:t>
      </w:r>
      <w:r w:rsidR="00532252" w:rsidRPr="00DF4C66">
        <w:rPr>
          <w:rFonts w:ascii="Times New Roman" w:eastAsia="Times New Roman" w:hAnsi="Times New Roman" w:cs="Times New Roman"/>
          <w:bCs/>
          <w:sz w:val="24"/>
          <w:szCs w:val="24"/>
          <w:lang w:eastAsia="pl-PL"/>
        </w:rPr>
        <w:t xml:space="preserve">założeniu fundacji rodzinnej nie powinno być </w:t>
      </w:r>
      <w:r w:rsidR="00C9695B" w:rsidRPr="00DF4C66">
        <w:rPr>
          <w:rFonts w:ascii="Times New Roman" w:eastAsia="Times New Roman" w:hAnsi="Times New Roman" w:cs="Times New Roman"/>
          <w:bCs/>
          <w:sz w:val="24"/>
          <w:szCs w:val="24"/>
          <w:lang w:eastAsia="pl-PL"/>
        </w:rPr>
        <w:t xml:space="preserve">wyłączne </w:t>
      </w:r>
      <w:r w:rsidR="00532252" w:rsidRPr="00DF4C66">
        <w:rPr>
          <w:rFonts w:ascii="Times New Roman" w:eastAsia="Times New Roman" w:hAnsi="Times New Roman" w:cs="Times New Roman"/>
          <w:bCs/>
          <w:sz w:val="24"/>
          <w:szCs w:val="24"/>
          <w:lang w:eastAsia="pl-PL"/>
        </w:rPr>
        <w:t xml:space="preserve">dążenie do </w:t>
      </w:r>
      <w:r w:rsidRPr="00DF4C66">
        <w:rPr>
          <w:rFonts w:ascii="Times New Roman" w:eastAsia="Times New Roman" w:hAnsi="Times New Roman" w:cs="Times New Roman"/>
          <w:bCs/>
          <w:sz w:val="24"/>
          <w:szCs w:val="24"/>
          <w:lang w:eastAsia="pl-PL"/>
        </w:rPr>
        <w:t>odroczenia momentu opodatkowania, zwolnienia z opodatkowania lub obniżenia opodatkowania (otrzymanie korzyści podatkowej)</w:t>
      </w:r>
      <w:r w:rsidR="00532252" w:rsidRPr="00DF4C66">
        <w:rPr>
          <w:rFonts w:ascii="Times New Roman" w:eastAsia="Times New Roman" w:hAnsi="Times New Roman" w:cs="Times New Roman"/>
          <w:bCs/>
          <w:sz w:val="24"/>
          <w:szCs w:val="24"/>
          <w:lang w:eastAsia="pl-PL"/>
        </w:rPr>
        <w:t>. Instytucja ta, zgodnie z wolą ustawodawcy, służyć ma</w:t>
      </w:r>
      <w:r w:rsidR="00C9695B" w:rsidRPr="00DF4C66">
        <w:rPr>
          <w:rFonts w:ascii="Times New Roman" w:eastAsia="Times New Roman" w:hAnsi="Times New Roman" w:cs="Times New Roman"/>
          <w:bCs/>
          <w:sz w:val="24"/>
          <w:szCs w:val="24"/>
          <w:lang w:eastAsia="pl-PL"/>
        </w:rPr>
        <w:t xml:space="preserve"> przede wszystkim</w:t>
      </w:r>
      <w:r w:rsidR="00146217" w:rsidRPr="00DF4C66">
        <w:rPr>
          <w:rFonts w:ascii="Times New Roman" w:eastAsia="Times New Roman" w:hAnsi="Times New Roman" w:cs="Times New Roman"/>
          <w:bCs/>
          <w:sz w:val="24"/>
          <w:szCs w:val="24"/>
          <w:lang w:eastAsia="pl-PL"/>
        </w:rPr>
        <w:t> </w:t>
      </w:r>
      <w:r w:rsidR="00532252" w:rsidRPr="00DF4C66">
        <w:rPr>
          <w:rFonts w:ascii="Times New Roman" w:eastAsia="Times New Roman" w:hAnsi="Times New Roman" w:cs="Times New Roman"/>
          <w:bCs/>
          <w:sz w:val="24"/>
          <w:szCs w:val="24"/>
          <w:lang w:eastAsia="pl-PL"/>
        </w:rPr>
        <w:t>międzypokoleniowej sukcesji. Niedopuszczalnym jest zatem t</w:t>
      </w:r>
      <w:r w:rsidRPr="00DF4C66">
        <w:rPr>
          <w:rFonts w:ascii="Times New Roman" w:eastAsia="Times New Roman" w:hAnsi="Times New Roman" w:cs="Times New Roman"/>
          <w:bCs/>
          <w:sz w:val="24"/>
          <w:szCs w:val="24"/>
          <w:lang w:eastAsia="pl-PL"/>
        </w:rPr>
        <w:t>worzenie sztucznych struktur w celu obiegu środków (w</w:t>
      </w:r>
      <w:r w:rsidR="00C9695B" w:rsidRPr="00DF4C66">
        <w:rPr>
          <w:rFonts w:ascii="Times New Roman" w:eastAsia="Times New Roman" w:hAnsi="Times New Roman" w:cs="Times New Roman"/>
          <w:bCs/>
          <w:sz w:val="24"/>
          <w:szCs w:val="24"/>
          <w:lang w:eastAsia="pl-PL"/>
        </w:rPr>
        <w:t> </w:t>
      </w:r>
      <w:r w:rsidRPr="00DF4C66">
        <w:rPr>
          <w:rFonts w:ascii="Times New Roman" w:eastAsia="Times New Roman" w:hAnsi="Times New Roman" w:cs="Times New Roman"/>
          <w:bCs/>
          <w:sz w:val="24"/>
          <w:szCs w:val="24"/>
          <w:lang w:eastAsia="pl-PL"/>
        </w:rPr>
        <w:t>tym wypłat dywidendy) pomiędzy fundacją rodzinną a jej fundatorem, beneficjentami i ich podmiotami powiązanymi.</w:t>
      </w:r>
      <w:r w:rsidR="00532252" w:rsidRPr="00DF4C66">
        <w:rPr>
          <w:rFonts w:ascii="Times New Roman" w:eastAsia="Times New Roman" w:hAnsi="Times New Roman" w:cs="Times New Roman"/>
          <w:bCs/>
          <w:sz w:val="24"/>
          <w:szCs w:val="24"/>
          <w:lang w:eastAsia="pl-PL"/>
        </w:rPr>
        <w:t xml:space="preserve"> Koniecznym jest także ograniczanie ryzyka występowania sytuacji, w których wniesienie do fundacji rodzinnej majątku następuje jedynie w celu jego zbycia za pośrednictwem preferencyjnie opodatkowanego podmiotu. </w:t>
      </w:r>
    </w:p>
    <w:p w14:paraId="220E2997" w14:textId="003A2494" w:rsidR="007E070D" w:rsidRPr="00DF4C66" w:rsidRDefault="007E070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W praktyce funkcjonowania przepisów, nawet działania formalnie mieszczące się w katalogu dozwolonej działalności gospodarczej mogą być wykorzystywane w sposób prowadzący do omijania opodatkowania właściwego dla podmiotów gospodarczych, jeśli ich charakter ekonomiczny odbiega od statutowych celów sukcesyjnych.</w:t>
      </w:r>
    </w:p>
    <w:p w14:paraId="145E3942" w14:textId="5E89A9CB" w:rsidR="007E070D" w:rsidRPr="00DF4C66" w:rsidRDefault="007E070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Jednym z najczęściej wskazywanych schematów, w których wykorzystuje się rozwiązania podatkowe jako cel sam w sobie, jest prowadzenie przez fundacje rodzinne działalności gospodarczej, która choć formalnie wpisuje się w ustawowy katalog (np. wynajem nieruchomości czy obrót papierami wartościowymi), w praktyce ma charakter zorganizowanej, prowadzonej na dużą skalę działalności operacyjnej. </w:t>
      </w:r>
    </w:p>
    <w:p w14:paraId="70D178B8" w14:textId="00BC8776" w:rsidR="007E070D" w:rsidRPr="00DF4C66" w:rsidRDefault="007E070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Rozszerzanie zakresu działalności fundacji do form działalności zbliżonych do operacyjnych, można zakwalifikować jako nadużycie prawa podatkowego, szczególnie w sytuacjach, gdy działalność ta ma cechy charakterystyczne dla podmiotów prowadzących działalność operacyjną. Takie praktyki pokazują, że instrument fundacji rodzinnej, choć przewidziany jako narzędzie zabezpieczenia i sukcesji majątku, może być wykorzystywany jako wehikuł optymalizacji podatkowej wtedy, gdy działalność operacyjna jest prowadzona ponad ustawowy katalog lub gdy struktury są konstruowane przede wszystkim w celu osiągnięcia korzyści podatkowych, co stanowi przedmiot uwagi i kontroli organów skarbowych. </w:t>
      </w:r>
    </w:p>
    <w:p w14:paraId="15CF4F54" w14:textId="09DF60D7" w:rsidR="007E070D" w:rsidRPr="00DF4C66" w:rsidRDefault="007E070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Innym przejawem nadużycia prawa jest koncentracja w fundacji rodzinnej aktywów generujących dochody pasywne, takich jak udziały w spółkach, nieruchomości przeznaczone na wynajem czy instrumenty finansowe, przy jednoczesnym ograniczeniu bieżącej dystrybucji tych dochodów do beneficjentów. W takim modelu dochody te są akumulowane na poziomie fundacji rodzinnej, gdzie co do zasady nie podlegają bieżącemu opodatkowaniu, co prowadzi </w:t>
      </w:r>
      <w:r w:rsidRPr="00DF4C66">
        <w:rPr>
          <w:rFonts w:ascii="Times New Roman" w:eastAsia="Times New Roman" w:hAnsi="Times New Roman" w:cs="Times New Roman"/>
          <w:bCs/>
          <w:sz w:val="24"/>
          <w:szCs w:val="24"/>
          <w:lang w:eastAsia="pl-PL"/>
        </w:rPr>
        <w:lastRenderedPageBreak/>
        <w:t>do istotnego odroczenia momentu opodatkowania. Mechanizm ten może być wykorzystywany w sposób odbiegający od celu regulacji, zwłaszcza gdy brak jest rzeczywistej potrzeby długoterminowego reinwestowania środków, a dominującą motywacją jest osiągnięcie efektu podatkowego.</w:t>
      </w:r>
    </w:p>
    <w:p w14:paraId="4D230EF9" w14:textId="2517D4DC" w:rsidR="007E070D" w:rsidRPr="00DF4C66" w:rsidRDefault="007E070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Często identyfikowanymi schematami są ustalenia dotyczące zaangażowania fundacji rodzinnej i podmiotów zagranicznych. Do przykładów należy tu m.in.:</w:t>
      </w:r>
      <w:r w:rsidR="000D5943">
        <w:rPr>
          <w:rFonts w:ascii="Times New Roman" w:eastAsia="Times New Roman" w:hAnsi="Times New Roman" w:cs="Times New Roman"/>
          <w:bCs/>
          <w:sz w:val="24"/>
          <w:szCs w:val="24"/>
          <w:lang w:eastAsia="pl-PL"/>
        </w:rPr>
        <w:t xml:space="preserve"> </w:t>
      </w:r>
    </w:p>
    <w:p w14:paraId="5499FC10" w14:textId="7874CC93" w:rsidR="007E070D" w:rsidRPr="00DF4C66" w:rsidRDefault="007E070D" w:rsidP="00393D6A">
      <w:pPr>
        <w:pStyle w:val="Akapitzlist"/>
        <w:numPr>
          <w:ilvl w:val="0"/>
          <w:numId w:val="47"/>
        </w:numPr>
        <w:spacing w:before="120" w:line="360" w:lineRule="auto"/>
        <w:ind w:left="709"/>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umieszczenie fundacji rodzinnej w strukturze kapitałowej z udziałem spółki zagranicznej (zazwyczaj luksemburskiej) w celu wypłaty zysków / świadczeń z tytułu umorzenia udziałów w tej spółce luksemburskiej (w niektórych przypadkach posiadającej status luksemburskiego funduszu inwestycyjnego / alternatywnego funduszu inwestycyjnego);</w:t>
      </w:r>
    </w:p>
    <w:p w14:paraId="3267CD3A" w14:textId="564A7C20" w:rsidR="007E070D" w:rsidRPr="00DF4C66" w:rsidRDefault="007E070D" w:rsidP="00393D6A">
      <w:pPr>
        <w:pStyle w:val="Akapitzlist"/>
        <w:numPr>
          <w:ilvl w:val="0"/>
          <w:numId w:val="47"/>
        </w:numPr>
        <w:spacing w:before="120" w:line="360" w:lineRule="auto"/>
        <w:ind w:left="709"/>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transfer udziałów w spółce luksemburskiej (odpowiedniku polskiej spółki z o.o.) do fundacji rodzinnej, a następnie likwidacja tej spółki i wydanie do fundacji majątku polikwidacyjnego spółki luksemburskiej w postaci udziałów w polskiej spółce z o.o.;</w:t>
      </w:r>
    </w:p>
    <w:p w14:paraId="5338F4A0" w14:textId="7220BD8D" w:rsidR="007E070D" w:rsidRPr="00DF4C66" w:rsidRDefault="007E070D" w:rsidP="00393D6A">
      <w:pPr>
        <w:pStyle w:val="Akapitzlist"/>
        <w:numPr>
          <w:ilvl w:val="0"/>
          <w:numId w:val="47"/>
        </w:numPr>
        <w:spacing w:before="120" w:line="360" w:lineRule="auto"/>
        <w:ind w:left="709"/>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przeniesienie udziałów / akcji do fundacji rodzinnej w celu uniknięcia opodatkowania w zakresie dochodu zagranicznej jednostki kontrolowanej (CFC), którą fundacja rodzinna w świetle aktualnie obowiązujących przepisów nie jest.</w:t>
      </w:r>
    </w:p>
    <w:p w14:paraId="03E79FA6" w14:textId="6E4233D5" w:rsidR="007E070D" w:rsidRPr="00DF4C66" w:rsidRDefault="007E070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Kolejnym obszarem identyfikowanych nadużyć jest wykorzystywanie fundacji rodzinnej do zarządzania portfelem aktywów w sposób pozwalający na ograniczenie opodatkowania dochodów z najmu lub dzierżawy. Przeniesienie aktywa do fundacji rodzinnej i osiąganie przychodów z jego udostępniania za pośrednictwem tego podmiotu prowadzi do zmiany zasad opodatkowania tych dochodów, w szczególności poprzez ich wyłączenie z bieżącego opodatkowania na poziomie osób fizycznych. </w:t>
      </w:r>
    </w:p>
    <w:p w14:paraId="3F159A7E" w14:textId="7CCB6E4F" w:rsidR="007E070D" w:rsidRPr="00DF4C66" w:rsidRDefault="007E070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Często obserwowanymi przykładami praktyki wykorzystywania konstrukcji fundacji rodzinnej jest też przeniesienie nieruchomości (mieszkalnych, usługowych) do fundacji rodzinnej i jej wynajem przez tę fundację na rzecz osób trzecich w zakresie dotychczas realizowanym przez fundatora, czy też transfer zorganizowanej części przedsiębiorstwa (ZCP) do fundacji rodzinnej i kontynuacja działalności gospodarczej prowadzonej przed transferem przez podatnika (fundatora) w tożsamym zakresie.</w:t>
      </w:r>
    </w:p>
    <w:p w14:paraId="3AD49A35" w14:textId="2676C068" w:rsidR="007E070D" w:rsidRPr="00DF4C66" w:rsidRDefault="007E070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Fundacja rodzinna umożliwia także koncentrację instrumentów finansowych w jednym podmiocie i zarządzanie nimi w sposób pozwalający na odroczenie momentu realizacji zysków lub ich dystrybucji. Dzięki temu możliwe jest prowadzenie aktywnej polityki inwestycyjnej bez </w:t>
      </w:r>
      <w:r w:rsidRPr="00DF4C66">
        <w:rPr>
          <w:rFonts w:ascii="Times New Roman" w:eastAsia="Times New Roman" w:hAnsi="Times New Roman" w:cs="Times New Roman"/>
          <w:bCs/>
          <w:sz w:val="24"/>
          <w:szCs w:val="24"/>
          <w:lang w:eastAsia="pl-PL"/>
        </w:rPr>
        <w:lastRenderedPageBreak/>
        <w:t>bieżącego obciążenia podatkowego. W przypadku, gdy fundacja rodzinna stanowi wyłącznie narzędzie inwestycyjne wykorzystywane dla osiągnięcia korzyści podatkowych, stanowi to nadużycie preferencji.</w:t>
      </w:r>
      <w:r w:rsidR="000D5943">
        <w:rPr>
          <w:rFonts w:ascii="Times New Roman" w:eastAsia="Times New Roman" w:hAnsi="Times New Roman" w:cs="Times New Roman"/>
          <w:bCs/>
          <w:sz w:val="24"/>
          <w:szCs w:val="24"/>
          <w:lang w:eastAsia="pl-PL"/>
        </w:rPr>
        <w:t xml:space="preserve"> </w:t>
      </w:r>
    </w:p>
    <w:p w14:paraId="12E3A477" w14:textId="2353B753" w:rsidR="007E070D" w:rsidRPr="00DF4C66" w:rsidRDefault="007E070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W praktyce identyfikowane są przypadki wykorzystywania fundacji rodzinnej do prowadzenia działalności inwestycyjnej o charakterze zbliżonym do profesjonalnej działalności gospodarczej, przy jednoczesnym korzystaniu z preferencyjnych zasad opodatkowania przewidzianych dla tej instytucji. W takich sytuacjach fundacja przestaje pełnić rolę podmiotu zarządzającego majątkiem rodzinnym, a zaczyna funkcjonować jako alternatywna forma prowadzenia działalności inwestycyjnej.</w:t>
      </w:r>
    </w:p>
    <w:p w14:paraId="4BFA4166" w14:textId="65F3D7B6" w:rsidR="002B682A" w:rsidRPr="00DF4C66" w:rsidRDefault="007E070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Analiza wyżej opisanych przypadków prowadzi do wniosku, że w wielu wypadkach czynności z udziałem fundacji rodzinnej nie realizują celu sukcesyjnego, lecz motywowane są głównie skorzystaniem ze zwolnienia dotyczącego tak zwanej dozwolonej działalności gospodarczej fundacji rodzinnej (działalności, o której mowa w ar</w:t>
      </w:r>
      <w:r w:rsidR="002D387A">
        <w:rPr>
          <w:rFonts w:ascii="Times New Roman" w:eastAsia="Times New Roman" w:hAnsi="Times New Roman" w:cs="Times New Roman"/>
          <w:bCs/>
          <w:sz w:val="24"/>
          <w:szCs w:val="24"/>
          <w:lang w:eastAsia="pl-PL"/>
        </w:rPr>
        <w:t>t</w:t>
      </w:r>
      <w:r w:rsidRPr="00DF4C66">
        <w:rPr>
          <w:rFonts w:ascii="Times New Roman" w:eastAsia="Times New Roman" w:hAnsi="Times New Roman" w:cs="Times New Roman"/>
          <w:bCs/>
          <w:sz w:val="24"/>
          <w:szCs w:val="24"/>
          <w:lang w:eastAsia="pl-PL"/>
        </w:rPr>
        <w:t>. 5 ustawy o fundacji rodzinnej), a która to korzyść oczywiście nie wystąpiłaby, gdyby te przychody przypisano bezpośrednio do osób fizycznych.</w:t>
      </w:r>
    </w:p>
    <w:p w14:paraId="48F0F76A" w14:textId="2025249C" w:rsidR="00E52B5A" w:rsidRPr="00DF4C66" w:rsidRDefault="00532252"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Odpowiedzią na powyższe ryzyka jest propozycja zmian o</w:t>
      </w:r>
      <w:r w:rsidR="00146217" w:rsidRPr="00DF4C66">
        <w:rPr>
          <w:rFonts w:ascii="Times New Roman" w:eastAsia="Times New Roman" w:hAnsi="Times New Roman" w:cs="Times New Roman"/>
          <w:bCs/>
          <w:sz w:val="24"/>
          <w:szCs w:val="24"/>
          <w:lang w:eastAsia="pl-PL"/>
        </w:rPr>
        <w:t> </w:t>
      </w:r>
      <w:r w:rsidRPr="00DF4C66">
        <w:rPr>
          <w:rFonts w:ascii="Times New Roman" w:eastAsia="Times New Roman" w:hAnsi="Times New Roman" w:cs="Times New Roman"/>
          <w:bCs/>
          <w:sz w:val="24"/>
          <w:szCs w:val="24"/>
          <w:lang w:eastAsia="pl-PL"/>
        </w:rPr>
        <w:t>charakterze uszczelniającym.</w:t>
      </w:r>
    </w:p>
    <w:p w14:paraId="5099D5DC" w14:textId="70658D74" w:rsidR="00333773" w:rsidRPr="00DF4C66" w:rsidRDefault="00333773" w:rsidP="00393D6A">
      <w:pPr>
        <w:spacing w:before="120" w:line="360" w:lineRule="auto"/>
        <w:jc w:val="both"/>
        <w:rPr>
          <w:rFonts w:ascii="Times New Roman" w:eastAsia="Times New Roman" w:hAnsi="Times New Roman" w:cs="Times New Roman"/>
          <w:b/>
          <w:sz w:val="24"/>
          <w:szCs w:val="24"/>
          <w:lang w:eastAsia="pl-PL"/>
        </w:rPr>
      </w:pPr>
      <w:bookmarkStart w:id="0" w:name="_Hlk209181077"/>
      <w:r w:rsidRPr="00DF4C66">
        <w:rPr>
          <w:rFonts w:ascii="Times New Roman" w:eastAsia="Times New Roman" w:hAnsi="Times New Roman" w:cs="Times New Roman"/>
          <w:b/>
          <w:sz w:val="24"/>
          <w:szCs w:val="24"/>
          <w:lang w:eastAsia="pl-PL"/>
        </w:rPr>
        <w:t xml:space="preserve">Zmiany w art. 6 ust. 6 ustawy CIT </w:t>
      </w:r>
      <w:bookmarkEnd w:id="0"/>
      <w:r w:rsidRPr="00DF4C66">
        <w:rPr>
          <w:rFonts w:ascii="Times New Roman" w:eastAsia="Times New Roman" w:hAnsi="Times New Roman" w:cs="Times New Roman"/>
          <w:b/>
          <w:sz w:val="24"/>
          <w:szCs w:val="24"/>
          <w:lang w:eastAsia="pl-PL"/>
        </w:rPr>
        <w:t>– objęcie fundacji rodzinnej opodatkowaniem dochodów zagranicznych jednostek kontrolowanych (CFC) i podatkiem od dochodów z niezrealizowanych zysków (exit tax)</w:t>
      </w:r>
    </w:p>
    <w:p w14:paraId="4696B257" w14:textId="02F08AF0" w:rsidR="00477D1D" w:rsidRPr="00DF4C66" w:rsidRDefault="006A689B"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P</w:t>
      </w:r>
      <w:r w:rsidR="00477D1D" w:rsidRPr="00DF4C66">
        <w:rPr>
          <w:rFonts w:ascii="Times New Roman" w:eastAsia="Times New Roman" w:hAnsi="Times New Roman" w:cs="Times New Roman"/>
          <w:bCs/>
          <w:sz w:val="24"/>
          <w:szCs w:val="24"/>
          <w:lang w:eastAsia="pl-PL"/>
        </w:rPr>
        <w:t>odkreślenia wymaga, że przepisy regulujące opodatkowanie fundacji rodzinnych nie powinny unicestwiać wprowadzonego przed laty mechanizmu przeciwdziałającego zjawisku unikania opodatkowania podatkiem dochodowym w Polsce poprzez lokowanie aktywów do</w:t>
      </w:r>
      <w:r w:rsidR="00146217" w:rsidRPr="00DF4C66">
        <w:rPr>
          <w:rFonts w:ascii="Times New Roman" w:eastAsia="Times New Roman" w:hAnsi="Times New Roman" w:cs="Times New Roman"/>
          <w:bCs/>
          <w:sz w:val="24"/>
          <w:szCs w:val="24"/>
          <w:lang w:eastAsia="pl-PL"/>
        </w:rPr>
        <w:t> </w:t>
      </w:r>
      <w:r w:rsidR="00477D1D" w:rsidRPr="00DF4C66">
        <w:rPr>
          <w:rFonts w:ascii="Times New Roman" w:eastAsia="Times New Roman" w:hAnsi="Times New Roman" w:cs="Times New Roman"/>
          <w:bCs/>
          <w:sz w:val="24"/>
          <w:szCs w:val="24"/>
          <w:lang w:eastAsia="pl-PL"/>
        </w:rPr>
        <w:t>spółek zależnych zlokalizowanych w jurysdykcjach o preferencyjnym systemie opodatkowania. Z tego względu, proponowana zmiana art. 6 ust. 6 ustawy CIT polega na</w:t>
      </w:r>
      <w:r w:rsidR="00146217" w:rsidRPr="00DF4C66">
        <w:rPr>
          <w:rFonts w:ascii="Times New Roman" w:eastAsia="Times New Roman" w:hAnsi="Times New Roman" w:cs="Times New Roman"/>
          <w:bCs/>
          <w:sz w:val="24"/>
          <w:szCs w:val="24"/>
          <w:lang w:eastAsia="pl-PL"/>
        </w:rPr>
        <w:t> </w:t>
      </w:r>
      <w:r w:rsidR="00477D1D" w:rsidRPr="00DF4C66">
        <w:rPr>
          <w:rFonts w:ascii="Times New Roman" w:eastAsia="Times New Roman" w:hAnsi="Times New Roman" w:cs="Times New Roman"/>
          <w:bCs/>
          <w:sz w:val="24"/>
          <w:szCs w:val="24"/>
          <w:lang w:eastAsia="pl-PL"/>
        </w:rPr>
        <w:t>wskazaniu, iż fundacje rodzinne nie są zwolnione z podatku, o którym mowa w art. 24a ustawy CIT. Instytucja fundacji rodzinnej nie powinna bowiem stać się „zasłoną” dla podmiotów kierujących się intencją uniknięcia stosowania regulacji przewidujących opodatkowanie dochodów zagranicznych jednostek kontrolowanych.</w:t>
      </w:r>
    </w:p>
    <w:p w14:paraId="44526FE7" w14:textId="10BE581B" w:rsidR="00F96E81" w:rsidRPr="00DF4C66" w:rsidRDefault="00F96E81"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Proponuje się również objęcie fundacji rodzinnej zakresem regulacji zawartych w art. 24f ustawy CIT, tj. podatkiem od dochodów z niezrealizowanych zysków. Przepis ten</w:t>
      </w:r>
      <w:r w:rsidR="00DE2555" w:rsidRPr="00DF4C66">
        <w:rPr>
          <w:rFonts w:ascii="Times New Roman" w:eastAsia="Times New Roman" w:hAnsi="Times New Roman" w:cs="Times New Roman"/>
          <w:bCs/>
          <w:sz w:val="24"/>
          <w:szCs w:val="24"/>
          <w:lang w:eastAsia="pl-PL"/>
        </w:rPr>
        <w:t>,</w:t>
      </w:r>
      <w:r w:rsidRPr="00DF4C66">
        <w:rPr>
          <w:rFonts w:ascii="Times New Roman" w:eastAsia="Times New Roman" w:hAnsi="Times New Roman" w:cs="Times New Roman"/>
          <w:bCs/>
          <w:sz w:val="24"/>
          <w:szCs w:val="24"/>
          <w:lang w:eastAsia="pl-PL"/>
        </w:rPr>
        <w:t xml:space="preserve"> co do zasady</w:t>
      </w:r>
      <w:r w:rsidR="00DE2555" w:rsidRPr="00DF4C66">
        <w:rPr>
          <w:rFonts w:ascii="Times New Roman" w:eastAsia="Times New Roman" w:hAnsi="Times New Roman" w:cs="Times New Roman"/>
          <w:bCs/>
          <w:sz w:val="24"/>
          <w:szCs w:val="24"/>
          <w:lang w:eastAsia="pl-PL"/>
        </w:rPr>
        <w:t>,</w:t>
      </w:r>
      <w:r w:rsidRPr="00DF4C66">
        <w:rPr>
          <w:rFonts w:ascii="Times New Roman" w:eastAsia="Times New Roman" w:hAnsi="Times New Roman" w:cs="Times New Roman"/>
          <w:bCs/>
          <w:sz w:val="24"/>
          <w:szCs w:val="24"/>
          <w:lang w:eastAsia="pl-PL"/>
        </w:rPr>
        <w:t xml:space="preserve"> ma na celu zapewnienie, aby w przypadku przeniesienia przez podatnika aktywów lub rezydencji podatkowej poza jurysdykcję podatkową danego państwa, państwo to mogło </w:t>
      </w:r>
      <w:r w:rsidRPr="00DF4C66">
        <w:rPr>
          <w:rFonts w:ascii="Times New Roman" w:eastAsia="Times New Roman" w:hAnsi="Times New Roman" w:cs="Times New Roman"/>
          <w:bCs/>
          <w:sz w:val="24"/>
          <w:szCs w:val="24"/>
          <w:lang w:eastAsia="pl-PL"/>
        </w:rPr>
        <w:lastRenderedPageBreak/>
        <w:t>opodatkować wartość ekonomiczną ewentualnych zysków kapitałowych osiągniętych na jego terytorium, chociaż zyski te nie zostały jeszcze zrealizowane w chwili dokonania zmiany jurysdykcji podatkowej.</w:t>
      </w:r>
    </w:p>
    <w:p w14:paraId="3BCE52DA" w14:textId="533796C9" w:rsidR="00333773" w:rsidRDefault="00F96E81"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Fundacja rodzinna, jako szczególna forma organizacyjna umożliwiająca gromadzenie i zarządzanie majątkiem rodzinnym, korzysta ze specyficznego modelu opodatkowania, który w założeniu ma na celu wspieranie wielopokoleniowego przekazywania majątku. Niemniej jednak funkcjonowanie fundacji rodzinnej może wiązać się z ryzykiem nadużyć w zakresie podatkowym. W związku z powyższym objęcie fundacji rodzinnej reżimem art. 24f ustawy CIT ma na celu ograniczenie możliwości omijania opodatkowania dochodu. Intencją projektodawcy nie jest ograniczenie funkcji sukcesyjnej fundacji rodzinnej. Wprowadzenie powyższego rozwiązania wpisuje się w ogólną politykę uszczelniania systemu podatkowego, przy jednoczesnym zachowaniu podstawowych celów, dla których fundacja rodzinna została powołana do polskiego porządku prawnego.</w:t>
      </w:r>
    </w:p>
    <w:p w14:paraId="5A88312A" w14:textId="35D2EC07" w:rsidR="00333773" w:rsidRPr="00DF4C66" w:rsidRDefault="00333773" w:rsidP="00393D6A">
      <w:pPr>
        <w:keepNext/>
        <w:spacing w:before="120" w:line="360" w:lineRule="auto"/>
        <w:jc w:val="both"/>
        <w:rPr>
          <w:rFonts w:ascii="Times New Roman" w:eastAsia="Times New Roman" w:hAnsi="Times New Roman" w:cs="Times New Roman"/>
          <w:b/>
          <w:sz w:val="24"/>
          <w:szCs w:val="24"/>
          <w:lang w:eastAsia="pl-PL"/>
        </w:rPr>
      </w:pPr>
      <w:r w:rsidRPr="00DF4C66">
        <w:rPr>
          <w:rFonts w:ascii="Times New Roman" w:eastAsia="Times New Roman" w:hAnsi="Times New Roman" w:cs="Times New Roman"/>
          <w:b/>
          <w:sz w:val="24"/>
          <w:szCs w:val="24"/>
          <w:lang w:eastAsia="pl-PL"/>
        </w:rPr>
        <w:t>Zmiany w art. 6 ust. 8 ustawy CIT</w:t>
      </w:r>
    </w:p>
    <w:p w14:paraId="293316AD" w14:textId="32AE7DE1" w:rsidR="00F53FC3" w:rsidRDefault="00F53FC3" w:rsidP="00393D6A">
      <w:pPr>
        <w:keepNext/>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Proponowana jest także zmiana art. 6 ustawy CIT poprzez </w:t>
      </w:r>
      <w:r w:rsidR="00F03DE7" w:rsidRPr="00DF4C66">
        <w:rPr>
          <w:rFonts w:ascii="Times New Roman" w:eastAsia="Times New Roman" w:hAnsi="Times New Roman" w:cs="Times New Roman"/>
          <w:bCs/>
          <w:sz w:val="24"/>
          <w:szCs w:val="24"/>
          <w:lang w:eastAsia="pl-PL"/>
        </w:rPr>
        <w:t>modyfikację ust</w:t>
      </w:r>
      <w:r w:rsidR="00DE2555" w:rsidRPr="00DF4C66">
        <w:rPr>
          <w:rFonts w:ascii="Times New Roman" w:eastAsia="Times New Roman" w:hAnsi="Times New Roman" w:cs="Times New Roman"/>
          <w:bCs/>
          <w:sz w:val="24"/>
          <w:szCs w:val="24"/>
          <w:lang w:eastAsia="pl-PL"/>
        </w:rPr>
        <w:t>.</w:t>
      </w:r>
      <w:r w:rsidR="00F03DE7" w:rsidRPr="00DF4C66">
        <w:rPr>
          <w:rFonts w:ascii="Times New Roman" w:eastAsia="Times New Roman" w:hAnsi="Times New Roman" w:cs="Times New Roman"/>
          <w:bCs/>
          <w:sz w:val="24"/>
          <w:szCs w:val="24"/>
          <w:lang w:eastAsia="pl-PL"/>
        </w:rPr>
        <w:t xml:space="preserve"> 8</w:t>
      </w:r>
      <w:r w:rsidRPr="00DF4C66">
        <w:rPr>
          <w:rFonts w:ascii="Times New Roman" w:eastAsia="Times New Roman" w:hAnsi="Times New Roman" w:cs="Times New Roman"/>
          <w:bCs/>
          <w:sz w:val="24"/>
          <w:szCs w:val="24"/>
          <w:lang w:eastAsia="pl-PL"/>
        </w:rPr>
        <w:t xml:space="preserve">, zawierającego w punktach katalog wyjątków od zwolnienia z podatku </w:t>
      </w:r>
      <w:r w:rsidR="006767BE" w:rsidRPr="00DF4C66">
        <w:rPr>
          <w:rFonts w:ascii="Times New Roman" w:eastAsia="Times New Roman" w:hAnsi="Times New Roman" w:cs="Times New Roman"/>
          <w:bCs/>
          <w:sz w:val="24"/>
          <w:szCs w:val="24"/>
          <w:lang w:eastAsia="pl-PL"/>
        </w:rPr>
        <w:t>CIT</w:t>
      </w:r>
      <w:r w:rsidRPr="00DF4C66">
        <w:rPr>
          <w:rFonts w:ascii="Times New Roman" w:eastAsia="Times New Roman" w:hAnsi="Times New Roman" w:cs="Times New Roman"/>
          <w:bCs/>
          <w:sz w:val="24"/>
          <w:szCs w:val="24"/>
          <w:lang w:eastAsia="pl-PL"/>
        </w:rPr>
        <w:t xml:space="preserve">, z </w:t>
      </w:r>
      <w:r w:rsidR="003256DA" w:rsidRPr="00DF4C66">
        <w:rPr>
          <w:rFonts w:ascii="Times New Roman" w:eastAsia="Times New Roman" w:hAnsi="Times New Roman" w:cs="Times New Roman"/>
          <w:bCs/>
          <w:sz w:val="24"/>
          <w:szCs w:val="24"/>
          <w:lang w:eastAsia="pl-PL"/>
        </w:rPr>
        <w:t>którego</w:t>
      </w:r>
      <w:r w:rsidR="00862E36" w:rsidRPr="00DF4C66">
        <w:rPr>
          <w:rFonts w:ascii="Times New Roman" w:eastAsia="Times New Roman" w:hAnsi="Times New Roman" w:cs="Times New Roman"/>
          <w:bCs/>
          <w:sz w:val="24"/>
          <w:szCs w:val="24"/>
          <w:lang w:eastAsia="pl-PL"/>
        </w:rPr>
        <w:t>,</w:t>
      </w:r>
      <w:r w:rsidRPr="00DF4C66">
        <w:rPr>
          <w:rFonts w:ascii="Times New Roman" w:eastAsia="Times New Roman" w:hAnsi="Times New Roman" w:cs="Times New Roman"/>
          <w:bCs/>
          <w:sz w:val="24"/>
          <w:szCs w:val="24"/>
          <w:lang w:eastAsia="pl-PL"/>
        </w:rPr>
        <w:t xml:space="preserve"> co do zasady</w:t>
      </w:r>
      <w:r w:rsidR="00862E36" w:rsidRPr="00DF4C66">
        <w:rPr>
          <w:rFonts w:ascii="Times New Roman" w:eastAsia="Times New Roman" w:hAnsi="Times New Roman" w:cs="Times New Roman"/>
          <w:bCs/>
          <w:sz w:val="24"/>
          <w:szCs w:val="24"/>
          <w:lang w:eastAsia="pl-PL"/>
        </w:rPr>
        <w:t>,</w:t>
      </w:r>
      <w:r w:rsidRPr="00DF4C66">
        <w:rPr>
          <w:rFonts w:ascii="Times New Roman" w:eastAsia="Times New Roman" w:hAnsi="Times New Roman" w:cs="Times New Roman"/>
          <w:bCs/>
          <w:sz w:val="24"/>
          <w:szCs w:val="24"/>
          <w:lang w:eastAsia="pl-PL"/>
        </w:rPr>
        <w:t xml:space="preserve"> korzysta fundacja rodzinna. </w:t>
      </w:r>
    </w:p>
    <w:p w14:paraId="6B1FFBB3" w14:textId="2203DC36" w:rsidR="005F7365" w:rsidRPr="00DF4C66" w:rsidRDefault="005F7365" w:rsidP="00393D6A">
      <w:pPr>
        <w:keepNext/>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Niezależnie od poniższego w treści obecnego art. </w:t>
      </w:r>
      <w:r w:rsidR="005D711C">
        <w:rPr>
          <w:rFonts w:ascii="Times New Roman" w:eastAsia="Times New Roman" w:hAnsi="Times New Roman" w:cs="Times New Roman"/>
          <w:bCs/>
          <w:sz w:val="24"/>
          <w:szCs w:val="24"/>
          <w:lang w:eastAsia="pl-PL"/>
        </w:rPr>
        <w:t xml:space="preserve">6 </w:t>
      </w:r>
      <w:r>
        <w:rPr>
          <w:rFonts w:ascii="Times New Roman" w:eastAsia="Times New Roman" w:hAnsi="Times New Roman" w:cs="Times New Roman"/>
          <w:bCs/>
          <w:sz w:val="24"/>
          <w:szCs w:val="24"/>
          <w:lang w:eastAsia="pl-PL"/>
        </w:rPr>
        <w:t xml:space="preserve">ust. </w:t>
      </w:r>
      <w:r w:rsidR="005D711C">
        <w:rPr>
          <w:rFonts w:ascii="Times New Roman" w:eastAsia="Times New Roman" w:hAnsi="Times New Roman" w:cs="Times New Roman"/>
          <w:bCs/>
          <w:sz w:val="24"/>
          <w:szCs w:val="24"/>
          <w:lang w:eastAsia="pl-PL"/>
        </w:rPr>
        <w:t xml:space="preserve">8 </w:t>
      </w:r>
      <w:r>
        <w:rPr>
          <w:rFonts w:ascii="Times New Roman" w:eastAsia="Times New Roman" w:hAnsi="Times New Roman" w:cs="Times New Roman"/>
          <w:bCs/>
          <w:sz w:val="24"/>
          <w:szCs w:val="24"/>
          <w:lang w:eastAsia="pl-PL"/>
        </w:rPr>
        <w:t>dokonano korekty językowej polegającej na zastąpieniu wyrażenia „</w:t>
      </w:r>
      <w:r w:rsidRPr="005F7365">
        <w:rPr>
          <w:rFonts w:ascii="Times New Roman" w:eastAsia="Times New Roman" w:hAnsi="Times New Roman" w:cs="Times New Roman"/>
          <w:bCs/>
          <w:sz w:val="24"/>
          <w:szCs w:val="24"/>
          <w:lang w:eastAsia="pl-PL"/>
        </w:rPr>
        <w:t>składniki majątku służące prowadzeniu działalności</w:t>
      </w:r>
      <w:r>
        <w:rPr>
          <w:rFonts w:ascii="Times New Roman" w:eastAsia="Times New Roman" w:hAnsi="Times New Roman" w:cs="Times New Roman"/>
          <w:bCs/>
          <w:sz w:val="24"/>
          <w:szCs w:val="24"/>
          <w:lang w:eastAsia="pl-PL"/>
        </w:rPr>
        <w:t>”</w:t>
      </w:r>
      <w:r w:rsidRPr="005F7365">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w liczbie mnogiej</w:t>
      </w:r>
      <w:r w:rsidR="00F44F39">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liczbą pojedynczą („składnik majątku służący prowadzeniu działalności”) - jako zarówno zgodnego ze składnią całego zdania oraz celem tej regulacji. </w:t>
      </w:r>
    </w:p>
    <w:p w14:paraId="0E90965D" w14:textId="357C7EEB" w:rsidR="00333773" w:rsidRPr="00DF4C66" w:rsidRDefault="00333773" w:rsidP="00393D6A">
      <w:pPr>
        <w:spacing w:before="120" w:line="360" w:lineRule="auto"/>
        <w:jc w:val="both"/>
        <w:rPr>
          <w:rFonts w:ascii="Times New Roman" w:eastAsia="Times New Roman" w:hAnsi="Times New Roman" w:cs="Times New Roman"/>
          <w:b/>
          <w:sz w:val="24"/>
          <w:szCs w:val="24"/>
          <w:lang w:eastAsia="pl-PL"/>
        </w:rPr>
      </w:pPr>
      <w:bookmarkStart w:id="1" w:name="_Hlk209181340"/>
      <w:r w:rsidRPr="00DF4C66">
        <w:rPr>
          <w:rFonts w:ascii="Times New Roman" w:eastAsia="Times New Roman" w:hAnsi="Times New Roman" w:cs="Times New Roman"/>
          <w:b/>
          <w:sz w:val="24"/>
          <w:szCs w:val="24"/>
          <w:lang w:eastAsia="pl-PL"/>
        </w:rPr>
        <w:t xml:space="preserve">Zmiana w art. 6 ust. 8 pkt 1 lit. b </w:t>
      </w:r>
      <w:r w:rsidR="00792657" w:rsidRPr="00DF4C66">
        <w:rPr>
          <w:rFonts w:ascii="Times New Roman" w:eastAsia="Times New Roman" w:hAnsi="Times New Roman" w:cs="Times New Roman"/>
          <w:b/>
          <w:sz w:val="24"/>
          <w:szCs w:val="24"/>
          <w:lang w:eastAsia="pl-PL"/>
        </w:rPr>
        <w:t xml:space="preserve">i c </w:t>
      </w:r>
      <w:r w:rsidR="00072587" w:rsidRPr="00DF4C66">
        <w:rPr>
          <w:rFonts w:ascii="Times New Roman" w:eastAsia="Times New Roman" w:hAnsi="Times New Roman" w:cs="Times New Roman"/>
          <w:b/>
          <w:sz w:val="24"/>
          <w:szCs w:val="24"/>
          <w:lang w:eastAsia="pl-PL"/>
        </w:rPr>
        <w:t>–</w:t>
      </w:r>
      <w:r w:rsidRPr="00DF4C66">
        <w:rPr>
          <w:rFonts w:ascii="Times New Roman" w:eastAsia="Times New Roman" w:hAnsi="Times New Roman" w:cs="Times New Roman"/>
          <w:b/>
          <w:sz w:val="24"/>
          <w:szCs w:val="24"/>
          <w:lang w:eastAsia="pl-PL"/>
        </w:rPr>
        <w:t xml:space="preserve"> opodatkowanie osiąganych przez fundację rodzinną przychodów z</w:t>
      </w:r>
      <w:bookmarkEnd w:id="1"/>
      <w:r w:rsidRPr="00DF4C66">
        <w:rPr>
          <w:rFonts w:ascii="Times New Roman" w:eastAsia="Times New Roman" w:hAnsi="Times New Roman" w:cs="Times New Roman"/>
          <w:b/>
          <w:sz w:val="24"/>
          <w:szCs w:val="24"/>
          <w:lang w:eastAsia="pl-PL"/>
        </w:rPr>
        <w:t xml:space="preserve"> tzw. najmu krótkoterminowego</w:t>
      </w:r>
    </w:p>
    <w:p w14:paraId="1DA3CDC1" w14:textId="631632BB" w:rsidR="006B558D" w:rsidRPr="00DF4C66" w:rsidRDefault="000766FC"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Zmian</w:t>
      </w:r>
      <w:r w:rsidR="00C87A67" w:rsidRPr="00DF4C66">
        <w:rPr>
          <w:rFonts w:ascii="Times New Roman" w:eastAsia="Times New Roman" w:hAnsi="Times New Roman" w:cs="Times New Roman"/>
          <w:bCs/>
          <w:sz w:val="24"/>
          <w:szCs w:val="24"/>
          <w:lang w:eastAsia="pl-PL"/>
        </w:rPr>
        <w:t>y</w:t>
      </w:r>
      <w:r w:rsidRPr="00DF4C66">
        <w:rPr>
          <w:rFonts w:ascii="Times New Roman" w:eastAsia="Times New Roman" w:hAnsi="Times New Roman" w:cs="Times New Roman"/>
          <w:bCs/>
          <w:sz w:val="24"/>
          <w:szCs w:val="24"/>
          <w:lang w:eastAsia="pl-PL"/>
        </w:rPr>
        <w:t xml:space="preserve"> w art. 6 ust. 8 pkt 1 lit. b</w:t>
      </w:r>
      <w:r w:rsidR="00C87A67" w:rsidRPr="00DF4C66">
        <w:rPr>
          <w:rFonts w:ascii="Times New Roman" w:eastAsia="Times New Roman" w:hAnsi="Times New Roman" w:cs="Times New Roman"/>
          <w:bCs/>
          <w:sz w:val="24"/>
          <w:szCs w:val="24"/>
          <w:lang w:eastAsia="pl-PL"/>
        </w:rPr>
        <w:t xml:space="preserve"> i c</w:t>
      </w:r>
      <w:r w:rsidRPr="00DF4C66">
        <w:rPr>
          <w:rFonts w:ascii="Times New Roman" w:eastAsia="Times New Roman" w:hAnsi="Times New Roman" w:cs="Times New Roman"/>
          <w:bCs/>
          <w:sz w:val="24"/>
          <w:szCs w:val="24"/>
          <w:lang w:eastAsia="pl-PL"/>
        </w:rPr>
        <w:t xml:space="preserve"> ustawy CIT polega</w:t>
      </w:r>
      <w:r w:rsidR="00C87A67" w:rsidRPr="00DF4C66">
        <w:rPr>
          <w:rFonts w:ascii="Times New Roman" w:eastAsia="Times New Roman" w:hAnsi="Times New Roman" w:cs="Times New Roman"/>
          <w:bCs/>
          <w:sz w:val="24"/>
          <w:szCs w:val="24"/>
          <w:lang w:eastAsia="pl-PL"/>
        </w:rPr>
        <w:t>ją</w:t>
      </w:r>
      <w:r w:rsidRPr="00DF4C66">
        <w:rPr>
          <w:rFonts w:ascii="Times New Roman" w:eastAsia="Times New Roman" w:hAnsi="Times New Roman" w:cs="Times New Roman"/>
          <w:bCs/>
          <w:sz w:val="24"/>
          <w:szCs w:val="24"/>
          <w:lang w:eastAsia="pl-PL"/>
        </w:rPr>
        <w:t xml:space="preserve"> na doprecyzowaniu zakresu przychodów z najmu, dzierżawy lub innych umów o podobnym charakterze, które nie korzystają ze zwolnienia z podatku dochodowego. W praktyce oznacza to, że zwolnienie podatkowe znajdzie zastosowanie jedynie w przypadku najmu </w:t>
      </w:r>
      <w:r w:rsidRPr="00DF4C66">
        <w:rPr>
          <w:rFonts w:ascii="Times New Roman" w:eastAsia="Times New Roman" w:hAnsi="Times New Roman" w:cs="Times New Roman"/>
          <w:bCs/>
          <w:i/>
          <w:iCs/>
          <w:sz w:val="24"/>
          <w:szCs w:val="24"/>
          <w:lang w:eastAsia="pl-PL"/>
        </w:rPr>
        <w:t>stricte</w:t>
      </w:r>
      <w:r w:rsidRPr="00DF4C66">
        <w:rPr>
          <w:rFonts w:ascii="Times New Roman" w:eastAsia="Times New Roman" w:hAnsi="Times New Roman" w:cs="Times New Roman"/>
          <w:bCs/>
          <w:sz w:val="24"/>
          <w:szCs w:val="24"/>
          <w:lang w:eastAsia="pl-PL"/>
        </w:rPr>
        <w:t xml:space="preserve"> mieszkaniowego (najmu długoterminowego) – tzn. sytuacji, gdy fundacja rodzinna wynajmuje </w:t>
      </w:r>
      <w:r w:rsidR="00F06132" w:rsidRPr="00DF4C66">
        <w:rPr>
          <w:rFonts w:ascii="Times New Roman" w:eastAsia="Times New Roman" w:hAnsi="Times New Roman" w:cs="Times New Roman"/>
          <w:bCs/>
          <w:sz w:val="24"/>
          <w:szCs w:val="24"/>
          <w:lang w:eastAsia="pl-PL"/>
        </w:rPr>
        <w:t>wskazane w przepisie nieruchomości</w:t>
      </w:r>
      <w:r w:rsidRPr="00DF4C66">
        <w:rPr>
          <w:rFonts w:ascii="Times New Roman" w:eastAsia="Times New Roman" w:hAnsi="Times New Roman" w:cs="Times New Roman"/>
          <w:bCs/>
          <w:sz w:val="24"/>
          <w:szCs w:val="24"/>
          <w:lang w:eastAsia="pl-PL"/>
        </w:rPr>
        <w:t xml:space="preserve"> osobom fizycznym na ich własne potrzeby mieszkaniowe. Natomiast wszelkie inne formy wykorzystania nieruchomości</w:t>
      </w:r>
      <w:r w:rsidR="00E14CA0" w:rsidRPr="00DF4C66">
        <w:rPr>
          <w:rFonts w:ascii="Times New Roman" w:eastAsia="Times New Roman" w:hAnsi="Times New Roman" w:cs="Times New Roman"/>
          <w:bCs/>
          <w:sz w:val="24"/>
          <w:szCs w:val="24"/>
          <w:lang w:eastAsia="pl-PL"/>
        </w:rPr>
        <w:t xml:space="preserve">, mieszczące się w zakresie dopuszczalnej działalności fundacji rodzinnej (art. 5 ust. 1 pkt 2 ustawy o fundacji rodzinnej) będą objęte </w:t>
      </w:r>
      <w:r w:rsidR="00E14CA0" w:rsidRPr="00DF4C66">
        <w:rPr>
          <w:rFonts w:ascii="Times New Roman" w:eastAsia="Times New Roman" w:hAnsi="Times New Roman" w:cs="Times New Roman"/>
          <w:bCs/>
          <w:sz w:val="24"/>
          <w:szCs w:val="24"/>
          <w:lang w:eastAsia="pl-PL"/>
        </w:rPr>
        <w:lastRenderedPageBreak/>
        <w:t>opodatkowaniem CIT na zasadach ogólnych</w:t>
      </w:r>
      <w:r w:rsidR="00E14CA0" w:rsidRPr="00DF4C66">
        <w:rPr>
          <w:rStyle w:val="Odwoanieprzypisudolnego"/>
          <w:rFonts w:ascii="Times New Roman" w:eastAsia="Times New Roman" w:hAnsi="Times New Roman" w:cs="Times New Roman"/>
          <w:bCs/>
          <w:sz w:val="24"/>
          <w:szCs w:val="24"/>
          <w:lang w:eastAsia="pl-PL"/>
        </w:rPr>
        <w:footnoteReference w:id="6"/>
      </w:r>
      <w:r w:rsidR="00631B38" w:rsidRPr="00DF4C66">
        <w:rPr>
          <w:rFonts w:ascii="Times New Roman" w:eastAsia="Times New Roman" w:hAnsi="Times New Roman" w:cs="Times New Roman"/>
          <w:bCs/>
          <w:sz w:val="24"/>
          <w:szCs w:val="24"/>
          <w:lang w:eastAsia="pl-PL"/>
        </w:rPr>
        <w:t>)</w:t>
      </w:r>
      <w:r w:rsidR="00E14CA0" w:rsidRPr="00DF4C66">
        <w:rPr>
          <w:rFonts w:ascii="Times New Roman" w:eastAsia="Times New Roman" w:hAnsi="Times New Roman" w:cs="Times New Roman"/>
          <w:bCs/>
          <w:sz w:val="24"/>
          <w:szCs w:val="24"/>
          <w:lang w:eastAsia="pl-PL"/>
        </w:rPr>
        <w:t xml:space="preserve">. Celem ustawodawcy jest jednoznaczne przesądzenie, że działalność polegająca na świadczeniu usług o cechach tzw. najmu </w:t>
      </w:r>
      <w:r w:rsidRPr="00DF4C66">
        <w:rPr>
          <w:rFonts w:ascii="Times New Roman" w:eastAsia="Times New Roman" w:hAnsi="Times New Roman" w:cs="Times New Roman"/>
          <w:bCs/>
          <w:sz w:val="24"/>
          <w:szCs w:val="24"/>
          <w:lang w:eastAsia="pl-PL"/>
        </w:rPr>
        <w:t>krótkoterminow</w:t>
      </w:r>
      <w:r w:rsidR="00E14CA0" w:rsidRPr="00DF4C66">
        <w:rPr>
          <w:rFonts w:ascii="Times New Roman" w:eastAsia="Times New Roman" w:hAnsi="Times New Roman" w:cs="Times New Roman"/>
          <w:bCs/>
          <w:sz w:val="24"/>
          <w:szCs w:val="24"/>
          <w:lang w:eastAsia="pl-PL"/>
        </w:rPr>
        <w:t>ego – niezależnie od charakterystyki budynku czy lokalu, który jest przedmiotem takiej działalności – nie korzysta z ogólnego zwolnienia przysługującego fundacji rodzinnej</w:t>
      </w:r>
      <w:r w:rsidRPr="00DF4C66">
        <w:rPr>
          <w:rFonts w:ascii="Times New Roman" w:eastAsia="Times New Roman" w:hAnsi="Times New Roman" w:cs="Times New Roman"/>
          <w:bCs/>
          <w:sz w:val="24"/>
          <w:szCs w:val="24"/>
          <w:lang w:eastAsia="pl-PL"/>
        </w:rPr>
        <w:t xml:space="preserve">. </w:t>
      </w:r>
      <w:r w:rsidR="006B558D" w:rsidRPr="00DF4C66">
        <w:rPr>
          <w:rFonts w:ascii="Times New Roman" w:eastAsia="Times New Roman" w:hAnsi="Times New Roman" w:cs="Times New Roman"/>
          <w:bCs/>
          <w:sz w:val="24"/>
          <w:szCs w:val="24"/>
          <w:lang w:eastAsia="pl-PL"/>
        </w:rPr>
        <w:t>W szczególności</w:t>
      </w:r>
      <w:r w:rsidR="00631D6E" w:rsidRPr="00DF4C66">
        <w:rPr>
          <w:rFonts w:ascii="Times New Roman" w:eastAsia="Times New Roman" w:hAnsi="Times New Roman" w:cs="Times New Roman"/>
          <w:bCs/>
          <w:sz w:val="24"/>
          <w:szCs w:val="24"/>
          <w:lang w:eastAsia="pl-PL"/>
        </w:rPr>
        <w:t xml:space="preserve"> ze zwolnienia nie powinny korzystać przychody</w:t>
      </w:r>
      <w:r w:rsidR="006B558D" w:rsidRPr="00DF4C66">
        <w:rPr>
          <w:rFonts w:ascii="Times New Roman" w:eastAsia="Times New Roman" w:hAnsi="Times New Roman" w:cs="Times New Roman"/>
          <w:bCs/>
          <w:sz w:val="24"/>
          <w:szCs w:val="24"/>
          <w:lang w:eastAsia="pl-PL"/>
        </w:rPr>
        <w:t xml:space="preserve"> </w:t>
      </w:r>
      <w:r w:rsidR="00631D6E" w:rsidRPr="00DF4C66">
        <w:rPr>
          <w:rFonts w:ascii="Times New Roman" w:eastAsia="Times New Roman" w:hAnsi="Times New Roman" w:cs="Times New Roman"/>
          <w:bCs/>
          <w:sz w:val="24"/>
          <w:szCs w:val="24"/>
          <w:lang w:eastAsia="pl-PL"/>
        </w:rPr>
        <w:t xml:space="preserve">z </w:t>
      </w:r>
      <w:r w:rsidR="006B558D" w:rsidRPr="00DF4C66">
        <w:rPr>
          <w:rFonts w:ascii="Times New Roman" w:eastAsia="Times New Roman" w:hAnsi="Times New Roman" w:cs="Times New Roman"/>
          <w:bCs/>
          <w:sz w:val="24"/>
          <w:szCs w:val="24"/>
          <w:lang w:eastAsia="pl-PL"/>
        </w:rPr>
        <w:t>wszelk</w:t>
      </w:r>
      <w:r w:rsidR="00631D6E" w:rsidRPr="00DF4C66">
        <w:rPr>
          <w:rFonts w:ascii="Times New Roman" w:eastAsia="Times New Roman" w:hAnsi="Times New Roman" w:cs="Times New Roman"/>
          <w:bCs/>
          <w:sz w:val="24"/>
          <w:szCs w:val="24"/>
          <w:lang w:eastAsia="pl-PL"/>
        </w:rPr>
        <w:t>ich</w:t>
      </w:r>
      <w:r w:rsidR="006B558D" w:rsidRPr="00DF4C66">
        <w:rPr>
          <w:rFonts w:ascii="Times New Roman" w:eastAsia="Times New Roman" w:hAnsi="Times New Roman" w:cs="Times New Roman"/>
          <w:bCs/>
          <w:sz w:val="24"/>
          <w:szCs w:val="24"/>
          <w:lang w:eastAsia="pl-PL"/>
        </w:rPr>
        <w:t xml:space="preserve"> formy najmu i dzierżawy o charakterze komercyjnym, w tym </w:t>
      </w:r>
      <w:r w:rsidR="00E14CA0" w:rsidRPr="00DF4C66">
        <w:rPr>
          <w:rFonts w:ascii="Times New Roman" w:eastAsia="Times New Roman" w:hAnsi="Times New Roman" w:cs="Times New Roman"/>
          <w:bCs/>
          <w:sz w:val="24"/>
          <w:szCs w:val="24"/>
          <w:lang w:eastAsia="pl-PL"/>
        </w:rPr>
        <w:t xml:space="preserve">tzw. </w:t>
      </w:r>
      <w:r w:rsidR="006B558D" w:rsidRPr="00DF4C66">
        <w:rPr>
          <w:rFonts w:ascii="Times New Roman" w:eastAsia="Times New Roman" w:hAnsi="Times New Roman" w:cs="Times New Roman"/>
          <w:bCs/>
          <w:sz w:val="24"/>
          <w:szCs w:val="24"/>
          <w:lang w:eastAsia="pl-PL"/>
        </w:rPr>
        <w:t>najem krótkoterminowy oraz usługi związane z zakwaterowaniem</w:t>
      </w:r>
      <w:r w:rsidR="007D3563" w:rsidRPr="00DF4C66">
        <w:rPr>
          <w:rFonts w:ascii="Times New Roman" w:eastAsia="Times New Roman" w:hAnsi="Times New Roman" w:cs="Times New Roman"/>
          <w:bCs/>
          <w:sz w:val="24"/>
          <w:szCs w:val="24"/>
          <w:lang w:eastAsia="pl-PL"/>
        </w:rPr>
        <w:t xml:space="preserve"> (np. w tzw. apart-, czy condohoetelach)</w:t>
      </w:r>
      <w:r w:rsidR="006B558D" w:rsidRPr="00DF4C66">
        <w:rPr>
          <w:rFonts w:ascii="Times New Roman" w:eastAsia="Times New Roman" w:hAnsi="Times New Roman" w:cs="Times New Roman"/>
          <w:bCs/>
          <w:sz w:val="24"/>
          <w:szCs w:val="24"/>
          <w:lang w:eastAsia="pl-PL"/>
        </w:rPr>
        <w:t>, zaklasyfikowane w</w:t>
      </w:r>
      <w:r w:rsidR="007D3563" w:rsidRPr="00DF4C66">
        <w:rPr>
          <w:rFonts w:ascii="Times New Roman" w:eastAsia="Times New Roman" w:hAnsi="Times New Roman" w:cs="Times New Roman"/>
          <w:bCs/>
          <w:sz w:val="24"/>
          <w:szCs w:val="24"/>
          <w:lang w:eastAsia="pl-PL"/>
        </w:rPr>
        <w:t> </w:t>
      </w:r>
      <w:r w:rsidR="006B558D" w:rsidRPr="00DF4C66">
        <w:rPr>
          <w:rFonts w:ascii="Times New Roman" w:eastAsia="Times New Roman" w:hAnsi="Times New Roman" w:cs="Times New Roman"/>
          <w:bCs/>
          <w:sz w:val="24"/>
          <w:szCs w:val="24"/>
          <w:lang w:eastAsia="pl-PL"/>
        </w:rPr>
        <w:t>dziale 55 Polskiej Klasyfikacji Wyrobów i Usług (PKWiU)</w:t>
      </w:r>
      <w:r w:rsidR="00631D6E" w:rsidRPr="00DF4C66">
        <w:rPr>
          <w:rFonts w:ascii="Times New Roman" w:eastAsia="Times New Roman" w:hAnsi="Times New Roman" w:cs="Times New Roman"/>
          <w:bCs/>
          <w:sz w:val="24"/>
          <w:szCs w:val="24"/>
          <w:lang w:eastAsia="pl-PL"/>
        </w:rPr>
        <w:t xml:space="preserve"> czy też przychody z najmu lokali innych niż mieszkalne, przeznaczonych do całodobowego zakwaterowania</w:t>
      </w:r>
      <w:r w:rsidR="00E14CA0" w:rsidRPr="00DF4C66">
        <w:rPr>
          <w:rFonts w:ascii="Times New Roman" w:eastAsia="Times New Roman" w:hAnsi="Times New Roman" w:cs="Times New Roman"/>
          <w:bCs/>
          <w:sz w:val="24"/>
          <w:szCs w:val="24"/>
          <w:lang w:eastAsia="pl-PL"/>
        </w:rPr>
        <w:t xml:space="preserve"> </w:t>
      </w:r>
      <w:r w:rsidR="00072587" w:rsidRPr="00DF4C66">
        <w:rPr>
          <w:rFonts w:ascii="Times New Roman" w:eastAsia="Times New Roman" w:hAnsi="Times New Roman" w:cs="Times New Roman"/>
          <w:bCs/>
          <w:sz w:val="24"/>
          <w:szCs w:val="24"/>
          <w:lang w:eastAsia="pl-PL"/>
        </w:rPr>
        <w:t>–</w:t>
      </w:r>
      <w:r w:rsidR="00E14CA0" w:rsidRPr="00DF4C66">
        <w:rPr>
          <w:rFonts w:ascii="Times New Roman" w:eastAsia="Times New Roman" w:hAnsi="Times New Roman" w:cs="Times New Roman"/>
          <w:bCs/>
          <w:sz w:val="24"/>
          <w:szCs w:val="24"/>
          <w:lang w:eastAsia="pl-PL"/>
        </w:rPr>
        <w:t xml:space="preserve"> o ile te w danym stanie faktycznym mogą być one zakwalifikowane jako mieszczące się z ramach dozwolonej działalności fundacji rodzinnej</w:t>
      </w:r>
      <w:r w:rsidR="006B558D" w:rsidRPr="00DF4C66">
        <w:rPr>
          <w:rFonts w:ascii="Times New Roman" w:eastAsia="Times New Roman" w:hAnsi="Times New Roman" w:cs="Times New Roman"/>
          <w:bCs/>
          <w:sz w:val="24"/>
          <w:szCs w:val="24"/>
          <w:lang w:eastAsia="pl-PL"/>
        </w:rPr>
        <w:t>.</w:t>
      </w:r>
    </w:p>
    <w:p w14:paraId="3F7E4C29" w14:textId="0A7FAF57" w:rsidR="002A3F1E" w:rsidRPr="00DF4C66" w:rsidRDefault="002A3F1E"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Fundacja rodzinna, zgodnie z intencją ustawodawcy, wskazaną w szczególności w uzasadnieniu ustawy wprowadzającej ten instrument do polskiego porządku prawnego, co do zasady, nie stanowi formy wykonywania działalności gospodarczej. Jej podstawowym celem jest bowiem zabezpieczenie i ochrona majątku oraz realizacja procesów sukcesyjnych, a prowadzona przez nią aktywność gospodarcza ma charakter incydentalny i służy jedynie zarządzaniu majątkiem. Wprowadzając ten instrument</w:t>
      </w:r>
      <w:r w:rsidR="00951002" w:rsidRPr="00DF4C66">
        <w:rPr>
          <w:rFonts w:ascii="Times New Roman" w:eastAsia="Times New Roman" w:hAnsi="Times New Roman" w:cs="Times New Roman"/>
          <w:bCs/>
          <w:sz w:val="24"/>
          <w:szCs w:val="24"/>
          <w:lang w:eastAsia="pl-PL"/>
        </w:rPr>
        <w:t>,</w:t>
      </w:r>
      <w:r w:rsidRPr="00DF4C66">
        <w:rPr>
          <w:rFonts w:ascii="Times New Roman" w:eastAsia="Times New Roman" w:hAnsi="Times New Roman" w:cs="Times New Roman"/>
          <w:bCs/>
          <w:sz w:val="24"/>
          <w:szCs w:val="24"/>
          <w:lang w:eastAsia="pl-PL"/>
        </w:rPr>
        <w:t xml:space="preserve"> ustawodawca podkreślił, że fundacja rodzinna ma w szczególności minimalizować ryzyko nieudanej sukcesji i zapobiegać rozdrobnieniu majątku. Zatem, fundacja rodzinna nie jest, co do zasady, przedsiębiorcą i nie powinna prowadzić działalności gospodarczej jako formy operacyjnej działalności.</w:t>
      </w:r>
    </w:p>
    <w:p w14:paraId="6B3C8D65" w14:textId="7AA7C13F" w:rsidR="002A3F1E" w:rsidRPr="00DF4C66" w:rsidRDefault="002A3F1E"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W związku z powyższym, w szczególności</w:t>
      </w:r>
      <w:r w:rsidR="00631B38" w:rsidRPr="00DF4C66">
        <w:rPr>
          <w:rFonts w:ascii="Times New Roman" w:eastAsia="Times New Roman" w:hAnsi="Times New Roman" w:cs="Times New Roman"/>
          <w:bCs/>
          <w:sz w:val="24"/>
          <w:szCs w:val="24"/>
          <w:lang w:eastAsia="pl-PL"/>
        </w:rPr>
        <w:t>,</w:t>
      </w:r>
      <w:r w:rsidRPr="00DF4C66">
        <w:rPr>
          <w:rFonts w:ascii="Times New Roman" w:eastAsia="Times New Roman" w:hAnsi="Times New Roman" w:cs="Times New Roman"/>
          <w:bCs/>
          <w:sz w:val="24"/>
          <w:szCs w:val="24"/>
          <w:lang w:eastAsia="pl-PL"/>
        </w:rPr>
        <w:t xml:space="preserve"> aby umożliwić fundacji rodzinnej zarządzanie majątkiem, w art. 5 ustawy o fundacji rodzinnej wskazano enumeratywny katalog dozwolonej działalności gospodarczej, określający zakres operacji gospodarczych, które fundacja rodzinna może wykonywać. Katalog ten ma charakter zamknięty, co oznacza, że fundacja rodzinna nie może prowadzić działalności wykraczającej poza wymienione w nim czynności. Należy zwrócić uwagę na zasadnicze znaczenie tego katalogu w świetle treści przepisów dotyczących opodatkowania fundacji rodzinnej, w szczególności ustawy CIT. Zasady opodatkowania fundacji rodzinnych są uzależnione od tego, czy prowadzona przez nie działalność mieści się w ramach katalogu dozwolonych operacji gospodarczych. Konsekwencje „wyjścia” poza ten katalog są daleko idące zarówno dla podatników, ale również dla budżetu państwa. Wykonywanie czynności gospodarczych poza tym katalogiem może skutkować utratą przywilejów podatkowych i koniecznością opodatkowania w reżimie sankcyjnym. </w:t>
      </w:r>
    </w:p>
    <w:p w14:paraId="0D0946FE" w14:textId="77777777" w:rsidR="002A3F1E" w:rsidRPr="00DF4C66" w:rsidRDefault="002A3F1E"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lastRenderedPageBreak/>
        <w:t xml:space="preserve">Z powyższego względu poszczególne czynności wskazane w art. 5 ust. 1 ustawy o fundacji rodzinnej należy zatem interpretować ściśle, zgodnie z ich literalnym brzmieniem. Wśród wymienionych dozwolonych czynności fundacji rodzinnej znajduje się m.in. „najem”, wskazany w art. 5 ust. 1 pkt 2 ustawy o fundacji rodzinnej. Przepis ten należy rozumieć jako odnoszący się do najmu w jego podstawowej formie, polegającej na oddaniu najemcy rzeczy do używania w zamian za umówiony czynsz – bez świadczenia dodatkowych usług czy czynności towarzyszących. Oznacza to, że fundacja rodzinna może prowadzić najem ograniczony do jego podstawowych aspektów, natomiast świadczenie usług dodatkowych, które mogłyby zmieniać charakter umowy najmu i wchodzić w zakres innej działalności, wykracza poza dozwolony katalog działalności gospodarczej określony w art. 5 ustawy o fundacji rodzinnej i jako takie podlega odrębnej kwalifikacji podatkowej. </w:t>
      </w:r>
    </w:p>
    <w:p w14:paraId="465E9384" w14:textId="65D42F4F" w:rsidR="00333773" w:rsidRPr="00DF4C66" w:rsidRDefault="002A3F1E"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Art. 5 ust. 1 pkt 2 ustawy o fundacji rodzinnej nie zezwala zatem fundacji rodzinnej na prowadzenie dowolnego rodzaju działalności gospodarczej, której jedynie elementem jest najem. Przykładem świadczeń, które nie mieszczą się w pojęciu umowy najmu, są w szczególności usługi hotelarskie. Zgodnie z ich definicją zawartą w art. 3 ust. 1 pkt 8 ustawy z dnia 29 sierpnia 1997 r. o usługach hotelarskich oraz usługach pilotów wycieczek i przewodników turystycznych (Dz.</w:t>
      </w:r>
      <w:r w:rsidR="00DE2555" w:rsidRPr="00DF4C66">
        <w:rPr>
          <w:rFonts w:ascii="Times New Roman" w:eastAsia="Times New Roman" w:hAnsi="Times New Roman" w:cs="Times New Roman"/>
          <w:bCs/>
          <w:sz w:val="24"/>
          <w:szCs w:val="24"/>
          <w:lang w:eastAsia="pl-PL"/>
        </w:rPr>
        <w:t xml:space="preserve"> </w:t>
      </w:r>
      <w:r w:rsidRPr="00DF4C66">
        <w:rPr>
          <w:rFonts w:ascii="Times New Roman" w:eastAsia="Times New Roman" w:hAnsi="Times New Roman" w:cs="Times New Roman"/>
          <w:bCs/>
          <w:sz w:val="24"/>
          <w:szCs w:val="24"/>
          <w:lang w:eastAsia="pl-PL"/>
        </w:rPr>
        <w:t>U. z 2023 r. poz. 1944), usługi hotelarskie to „krótkotrwałe, ogólnie dostępne wynajmowanie domów, mieszkań, pokoi, miejsc noclegowych, a także miejsc na ustawienie namiotów lub przyczep samochodowych oraz świadczenie, w obrębie obiektu, usług z tym związanych”. Choć definicja ta zawiera element najmu, to jednak – jako usługa o niejednorodnym charakterze – kwalifikowana jest odrębnie, ponieważ najem stanowi w jej strukturze jedynie jeden z elementów. Każda inna umowa, w szczególności mieszcząca się w zakresie usług przewidzianych w dziale 55 PKWiU, której elementem jest najem, podlegać powinna analogicznej ocenie w świetle powyższych wyjaśnień. W ten sposób fundacja rodzinna realizuje swoje cele zarządczo-majątkowe, pozostając w zgodzie z ograniczeniami przewidzianymi w ustawie określającej jej ustrój, a jej działalność gospodarcza jest prowadzona wyłącznie w zakresie przewidzianym przez ustawodawcę, co ma istotne konsekwencje zarówno dla prawidłowego funkcjonowania fundacji, jak i dla jej opodatkowania</w:t>
      </w:r>
      <w:r w:rsidR="00333773" w:rsidRPr="00DF4C66">
        <w:rPr>
          <w:rFonts w:ascii="Times New Roman" w:eastAsia="Times New Roman" w:hAnsi="Times New Roman" w:cs="Times New Roman"/>
          <w:bCs/>
          <w:sz w:val="24"/>
          <w:szCs w:val="24"/>
          <w:lang w:eastAsia="pl-PL"/>
        </w:rPr>
        <w:t>.</w:t>
      </w:r>
    </w:p>
    <w:p w14:paraId="5CE21918" w14:textId="6A1FF448" w:rsidR="00333773" w:rsidRPr="00DF4C66" w:rsidRDefault="00333773"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
          <w:bCs/>
          <w:sz w:val="24"/>
          <w:szCs w:val="24"/>
          <w:lang w:eastAsia="pl-PL"/>
        </w:rPr>
        <w:t xml:space="preserve">Zmiana w art. 6 ust. 8 pkt 2 </w:t>
      </w:r>
      <w:r w:rsidR="00072587" w:rsidRPr="00DF4C66">
        <w:rPr>
          <w:rFonts w:ascii="Times New Roman" w:eastAsia="Times New Roman" w:hAnsi="Times New Roman" w:cs="Times New Roman"/>
          <w:b/>
          <w:bCs/>
          <w:sz w:val="24"/>
          <w:szCs w:val="24"/>
          <w:lang w:eastAsia="pl-PL"/>
        </w:rPr>
        <w:t>–</w:t>
      </w:r>
      <w:r w:rsidRPr="00DF4C66">
        <w:rPr>
          <w:rFonts w:ascii="Times New Roman" w:eastAsia="Times New Roman" w:hAnsi="Times New Roman" w:cs="Times New Roman"/>
          <w:b/>
          <w:bCs/>
          <w:sz w:val="24"/>
          <w:szCs w:val="24"/>
          <w:lang w:eastAsia="pl-PL"/>
        </w:rPr>
        <w:t xml:space="preserve"> opodatkowanie osiąganych przez fundację rodzinną przychodów ze zbycia mienia przed upływem wskazanego terminu </w:t>
      </w:r>
    </w:p>
    <w:p w14:paraId="325450F4" w14:textId="4DC05BB9" w:rsidR="00F53FC3" w:rsidRPr="00DF4C66" w:rsidRDefault="00F53FC3"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Proponuje się ponadto, w </w:t>
      </w:r>
      <w:bookmarkStart w:id="2" w:name="_Hlk209181352"/>
      <w:r w:rsidRPr="00DF4C66">
        <w:rPr>
          <w:rFonts w:ascii="Times New Roman" w:eastAsia="Times New Roman" w:hAnsi="Times New Roman" w:cs="Times New Roman"/>
          <w:bCs/>
          <w:sz w:val="24"/>
          <w:szCs w:val="24"/>
          <w:lang w:eastAsia="pl-PL"/>
        </w:rPr>
        <w:t xml:space="preserve">art. 6 ust. </w:t>
      </w:r>
      <w:r w:rsidR="00F03DE7" w:rsidRPr="00DF4C66">
        <w:rPr>
          <w:rFonts w:ascii="Times New Roman" w:eastAsia="Times New Roman" w:hAnsi="Times New Roman" w:cs="Times New Roman"/>
          <w:bCs/>
          <w:sz w:val="24"/>
          <w:szCs w:val="24"/>
          <w:lang w:eastAsia="pl-PL"/>
        </w:rPr>
        <w:t>8</w:t>
      </w:r>
      <w:r w:rsidRPr="00DF4C66">
        <w:rPr>
          <w:rFonts w:ascii="Times New Roman" w:eastAsia="Times New Roman" w:hAnsi="Times New Roman" w:cs="Times New Roman"/>
          <w:bCs/>
          <w:sz w:val="24"/>
          <w:szCs w:val="24"/>
          <w:lang w:eastAsia="pl-PL"/>
        </w:rPr>
        <w:t xml:space="preserve"> pkt 2 </w:t>
      </w:r>
      <w:bookmarkEnd w:id="2"/>
      <w:r w:rsidRPr="00DF4C66">
        <w:rPr>
          <w:rFonts w:ascii="Times New Roman" w:eastAsia="Times New Roman" w:hAnsi="Times New Roman" w:cs="Times New Roman"/>
          <w:bCs/>
          <w:sz w:val="24"/>
          <w:szCs w:val="24"/>
          <w:lang w:eastAsia="pl-PL"/>
        </w:rPr>
        <w:t xml:space="preserve">ustawy CIT, dodanie przepisu przewidującego brak zastosowania zwolnienia z podatku </w:t>
      </w:r>
      <w:r w:rsidR="006767BE" w:rsidRPr="00DF4C66">
        <w:rPr>
          <w:rFonts w:ascii="Times New Roman" w:eastAsia="Times New Roman" w:hAnsi="Times New Roman" w:cs="Times New Roman"/>
          <w:bCs/>
          <w:sz w:val="24"/>
          <w:szCs w:val="24"/>
          <w:lang w:eastAsia="pl-PL"/>
        </w:rPr>
        <w:t>CIT</w:t>
      </w:r>
      <w:r w:rsidR="00F44F39">
        <w:rPr>
          <w:rFonts w:ascii="Times New Roman" w:eastAsia="Times New Roman" w:hAnsi="Times New Roman" w:cs="Times New Roman"/>
          <w:bCs/>
          <w:sz w:val="24"/>
          <w:szCs w:val="24"/>
          <w:lang w:eastAsia="pl-PL"/>
        </w:rPr>
        <w:t xml:space="preserve"> </w:t>
      </w:r>
      <w:r w:rsidRPr="00DF4C66">
        <w:rPr>
          <w:rFonts w:ascii="Times New Roman" w:eastAsia="Times New Roman" w:hAnsi="Times New Roman" w:cs="Times New Roman"/>
          <w:bCs/>
          <w:sz w:val="24"/>
          <w:szCs w:val="24"/>
          <w:lang w:eastAsia="pl-PL"/>
        </w:rPr>
        <w:t xml:space="preserve">w przypadku </w:t>
      </w:r>
      <w:r w:rsidR="00CD3B2F" w:rsidRPr="00DF4C66">
        <w:rPr>
          <w:rFonts w:ascii="Times New Roman" w:eastAsia="Times New Roman" w:hAnsi="Times New Roman" w:cs="Times New Roman"/>
          <w:bCs/>
          <w:sz w:val="24"/>
          <w:szCs w:val="24"/>
          <w:lang w:eastAsia="pl-PL"/>
        </w:rPr>
        <w:t xml:space="preserve">zbycia mienia wniesionego </w:t>
      </w:r>
      <w:bookmarkStart w:id="3" w:name="_Hlk206680339"/>
      <w:r w:rsidR="002C16BA" w:rsidRPr="00DF4C66">
        <w:rPr>
          <w:rFonts w:ascii="Times New Roman" w:eastAsia="Times New Roman" w:hAnsi="Times New Roman" w:cs="Times New Roman"/>
          <w:bCs/>
          <w:sz w:val="24"/>
          <w:szCs w:val="24"/>
          <w:lang w:eastAsia="pl-PL"/>
        </w:rPr>
        <w:t>lub</w:t>
      </w:r>
      <w:r w:rsidR="0016722C" w:rsidRPr="00DF4C66">
        <w:rPr>
          <w:rFonts w:ascii="Times New Roman" w:eastAsia="Times New Roman" w:hAnsi="Times New Roman" w:cs="Times New Roman"/>
          <w:bCs/>
          <w:sz w:val="24"/>
          <w:szCs w:val="24"/>
          <w:lang w:eastAsia="pl-PL"/>
        </w:rPr>
        <w:t xml:space="preserve"> </w:t>
      </w:r>
      <w:r w:rsidR="00CD3B2F" w:rsidRPr="00DF4C66">
        <w:rPr>
          <w:rFonts w:ascii="Times New Roman" w:eastAsia="Times New Roman" w:hAnsi="Times New Roman" w:cs="Times New Roman"/>
          <w:bCs/>
          <w:sz w:val="24"/>
          <w:szCs w:val="24"/>
          <w:lang w:eastAsia="pl-PL"/>
        </w:rPr>
        <w:lastRenderedPageBreak/>
        <w:t>przekazanego nieodpłatnie do fundacji rodzinnej</w:t>
      </w:r>
      <w:bookmarkEnd w:id="3"/>
      <w:r w:rsidR="00CD3B2F" w:rsidRPr="00DF4C66">
        <w:rPr>
          <w:rFonts w:ascii="Times New Roman" w:eastAsia="Times New Roman" w:hAnsi="Times New Roman" w:cs="Times New Roman"/>
          <w:bCs/>
          <w:sz w:val="24"/>
          <w:szCs w:val="24"/>
          <w:lang w:eastAsia="pl-PL"/>
        </w:rPr>
        <w:t xml:space="preserve">, jeżeli zbycie to nastąpiło przed upływem </w:t>
      </w:r>
      <w:r w:rsidR="00FD2AAB">
        <w:rPr>
          <w:rFonts w:ascii="Times New Roman" w:eastAsia="Times New Roman" w:hAnsi="Times New Roman" w:cs="Times New Roman"/>
          <w:bCs/>
          <w:sz w:val="24"/>
          <w:szCs w:val="24"/>
          <w:lang w:eastAsia="pl-PL"/>
        </w:rPr>
        <w:t>2 lat</w:t>
      </w:r>
      <w:r w:rsidR="00CD3B2F" w:rsidRPr="00DF4C66">
        <w:rPr>
          <w:rFonts w:ascii="Times New Roman" w:eastAsia="Times New Roman" w:hAnsi="Times New Roman" w:cs="Times New Roman"/>
          <w:bCs/>
          <w:sz w:val="24"/>
          <w:szCs w:val="24"/>
          <w:lang w:eastAsia="pl-PL"/>
        </w:rPr>
        <w:t xml:space="preserve"> licząc od końca roku kalendarzowego, w którym nastąpiło</w:t>
      </w:r>
      <w:r w:rsidR="002C16BA" w:rsidRPr="00DF4C66">
        <w:rPr>
          <w:rFonts w:ascii="Times New Roman" w:eastAsia="Times New Roman" w:hAnsi="Times New Roman" w:cs="Times New Roman"/>
          <w:bCs/>
          <w:sz w:val="24"/>
          <w:szCs w:val="24"/>
          <w:lang w:eastAsia="pl-PL"/>
        </w:rPr>
        <w:t xml:space="preserve"> to</w:t>
      </w:r>
      <w:r w:rsidR="00CD3B2F" w:rsidRPr="00DF4C66">
        <w:rPr>
          <w:rFonts w:ascii="Times New Roman" w:eastAsia="Times New Roman" w:hAnsi="Times New Roman" w:cs="Times New Roman"/>
          <w:bCs/>
          <w:sz w:val="24"/>
          <w:szCs w:val="24"/>
          <w:lang w:eastAsia="pl-PL"/>
        </w:rPr>
        <w:t xml:space="preserve"> wniesienie</w:t>
      </w:r>
      <w:r w:rsidR="002C16BA" w:rsidRPr="00DF4C66">
        <w:rPr>
          <w:rFonts w:ascii="Times New Roman" w:eastAsia="Times New Roman" w:hAnsi="Times New Roman" w:cs="Times New Roman"/>
          <w:bCs/>
          <w:sz w:val="24"/>
          <w:szCs w:val="24"/>
          <w:lang w:eastAsia="pl-PL"/>
        </w:rPr>
        <w:t xml:space="preserve"> </w:t>
      </w:r>
      <w:r w:rsidR="00F44F39">
        <w:rPr>
          <w:rFonts w:ascii="Times New Roman" w:eastAsia="Times New Roman" w:hAnsi="Times New Roman" w:cs="Times New Roman"/>
          <w:bCs/>
          <w:sz w:val="24"/>
          <w:szCs w:val="24"/>
          <w:lang w:eastAsia="pl-PL"/>
        </w:rPr>
        <w:t xml:space="preserve">lub </w:t>
      </w:r>
      <w:r w:rsidR="00CD3B2F" w:rsidRPr="00DF4C66">
        <w:rPr>
          <w:rFonts w:ascii="Times New Roman" w:eastAsia="Times New Roman" w:hAnsi="Times New Roman" w:cs="Times New Roman"/>
          <w:bCs/>
          <w:sz w:val="24"/>
          <w:szCs w:val="24"/>
          <w:lang w:eastAsia="pl-PL"/>
        </w:rPr>
        <w:t>przekazanie</w:t>
      </w:r>
      <w:r w:rsidR="002C16BA" w:rsidRPr="00DF4C66">
        <w:rPr>
          <w:rFonts w:ascii="Times New Roman" w:eastAsia="Times New Roman" w:hAnsi="Times New Roman" w:cs="Times New Roman"/>
          <w:bCs/>
          <w:sz w:val="24"/>
          <w:szCs w:val="24"/>
          <w:lang w:eastAsia="pl-PL"/>
        </w:rPr>
        <w:t>.</w:t>
      </w:r>
      <w:r w:rsidR="00641DA7" w:rsidRPr="00DF4C66">
        <w:rPr>
          <w:rFonts w:ascii="Times New Roman" w:eastAsia="Times New Roman" w:hAnsi="Times New Roman" w:cs="Times New Roman"/>
          <w:bCs/>
          <w:sz w:val="24"/>
          <w:szCs w:val="24"/>
          <w:lang w:eastAsia="pl-PL"/>
        </w:rPr>
        <w:t xml:space="preserve"> </w:t>
      </w:r>
    </w:p>
    <w:p w14:paraId="67B268A5" w14:textId="13E683F8" w:rsidR="00F53FC3" w:rsidRPr="00DF4C66" w:rsidRDefault="00F53FC3"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Wprowadzenie ograniczenia czasowego związanego ze zbyciem mienia wzmocni mechanizmy zabezpieczające realizację celów statutowych fundacji rodzinnej, w szczególności interes beneficjentów. Fundacja rodzinna jako narzędzie sukcesji powinna mieć zapewnioną przestrzeń do skoncentrowania się na długoterminowych inwestycjach. Proponowana zmiana ma również na celu ograniczenie ryzyka nadużyć tej instytucji. Określenie konkretnego okresu, w którym fundacja rodzinna nie może zbywać wniesionego do niej mienia z zachowaniem neutralności podatkowej, ograniczy możliwość wykorzystania fundacji rodzinnej jako narzędzia do szybkiego osiągnięcia korzyści kosztem celu, dla jakiego utworzono </w:t>
      </w:r>
      <w:r w:rsidR="00641DA7" w:rsidRPr="00DF4C66">
        <w:rPr>
          <w:rFonts w:ascii="Times New Roman" w:eastAsia="Times New Roman" w:hAnsi="Times New Roman" w:cs="Times New Roman"/>
          <w:bCs/>
          <w:sz w:val="24"/>
          <w:szCs w:val="24"/>
          <w:lang w:eastAsia="pl-PL"/>
        </w:rPr>
        <w:t>tę instytucję</w:t>
      </w:r>
      <w:r w:rsidRPr="00DF4C66">
        <w:rPr>
          <w:rFonts w:ascii="Times New Roman" w:eastAsia="Times New Roman" w:hAnsi="Times New Roman" w:cs="Times New Roman"/>
          <w:bCs/>
          <w:sz w:val="24"/>
          <w:szCs w:val="24"/>
          <w:lang w:eastAsia="pl-PL"/>
        </w:rPr>
        <w:t>. Ograniczenie możliwości zbycia mienia przyczyni się także do zwiększenia zaufania społecznego do tej</w:t>
      </w:r>
      <w:r w:rsidR="006562E8" w:rsidRPr="00DF4C66">
        <w:rPr>
          <w:rFonts w:ascii="Times New Roman" w:eastAsia="Times New Roman" w:hAnsi="Times New Roman" w:cs="Times New Roman"/>
          <w:bCs/>
          <w:sz w:val="24"/>
          <w:szCs w:val="24"/>
          <w:lang w:eastAsia="pl-PL"/>
        </w:rPr>
        <w:t xml:space="preserve"> </w:t>
      </w:r>
      <w:r w:rsidRPr="00DF4C66">
        <w:rPr>
          <w:rFonts w:ascii="Times New Roman" w:eastAsia="Times New Roman" w:hAnsi="Times New Roman" w:cs="Times New Roman"/>
          <w:bCs/>
          <w:sz w:val="24"/>
          <w:szCs w:val="24"/>
          <w:lang w:eastAsia="pl-PL"/>
        </w:rPr>
        <w:t>instytucji, potwierdzając jej cel, jakim jest planowanie sukcesji, oraz promując stabilność finansową i zachęcając do budowania długoterminowej wizji działania fundacji rodzinnej.</w:t>
      </w:r>
    </w:p>
    <w:p w14:paraId="3E0130EE" w14:textId="0DC01F86" w:rsidR="003132FA" w:rsidRPr="00DF4C66" w:rsidRDefault="003132FA" w:rsidP="00393D6A">
      <w:pPr>
        <w:spacing w:before="120" w:line="360" w:lineRule="auto"/>
        <w:jc w:val="both"/>
        <w:rPr>
          <w:rFonts w:ascii="Times New Roman" w:eastAsia="Times New Roman" w:hAnsi="Times New Roman" w:cs="Times New Roman"/>
          <w:bCs/>
          <w:sz w:val="24"/>
          <w:szCs w:val="24"/>
          <w:lang w:eastAsia="pl-PL"/>
        </w:rPr>
      </w:pPr>
      <w:bookmarkStart w:id="4" w:name="_Hlk206506848"/>
      <w:r w:rsidRPr="00DF4C66">
        <w:rPr>
          <w:rFonts w:ascii="Times New Roman" w:eastAsia="Times New Roman" w:hAnsi="Times New Roman" w:cs="Times New Roman"/>
          <w:bCs/>
          <w:sz w:val="24"/>
          <w:szCs w:val="24"/>
          <w:lang w:eastAsia="pl-PL"/>
        </w:rPr>
        <w:t xml:space="preserve">Proponowane </w:t>
      </w:r>
      <w:r w:rsidR="00596355" w:rsidRPr="00DF4C66">
        <w:rPr>
          <w:rFonts w:ascii="Times New Roman" w:eastAsia="Times New Roman" w:hAnsi="Times New Roman" w:cs="Times New Roman"/>
          <w:bCs/>
          <w:sz w:val="24"/>
          <w:szCs w:val="24"/>
          <w:lang w:eastAsia="pl-PL"/>
        </w:rPr>
        <w:t>rozwiązanie</w:t>
      </w:r>
      <w:r w:rsidRPr="00DF4C66">
        <w:rPr>
          <w:rFonts w:ascii="Times New Roman" w:eastAsia="Times New Roman" w:hAnsi="Times New Roman" w:cs="Times New Roman"/>
          <w:bCs/>
          <w:sz w:val="24"/>
          <w:szCs w:val="24"/>
          <w:lang w:eastAsia="pl-PL"/>
        </w:rPr>
        <w:t xml:space="preserve"> obejmuje każde mienie (wszelkie składniki majątkowe) wniesione</w:t>
      </w:r>
      <w:r w:rsidR="0016722C" w:rsidRPr="00DF4C66">
        <w:rPr>
          <w:rFonts w:ascii="Times New Roman" w:eastAsia="Times New Roman" w:hAnsi="Times New Roman" w:cs="Times New Roman"/>
          <w:bCs/>
          <w:sz w:val="24"/>
          <w:szCs w:val="24"/>
          <w:lang w:eastAsia="pl-PL"/>
        </w:rPr>
        <w:t xml:space="preserve"> lub </w:t>
      </w:r>
      <w:r w:rsidRPr="00DF4C66">
        <w:rPr>
          <w:rFonts w:ascii="Times New Roman" w:eastAsia="Times New Roman" w:hAnsi="Times New Roman" w:cs="Times New Roman"/>
          <w:bCs/>
          <w:sz w:val="24"/>
          <w:szCs w:val="24"/>
          <w:lang w:eastAsia="pl-PL"/>
        </w:rPr>
        <w:t>przekazane nieodpłatnie do fundacji rodzinnej</w:t>
      </w:r>
      <w:r w:rsidR="00F44F39">
        <w:rPr>
          <w:rFonts w:ascii="Times New Roman" w:eastAsia="Times New Roman" w:hAnsi="Times New Roman" w:cs="Times New Roman"/>
          <w:bCs/>
          <w:sz w:val="24"/>
          <w:szCs w:val="24"/>
          <w:lang w:eastAsia="pl-PL"/>
        </w:rPr>
        <w:t>.</w:t>
      </w:r>
    </w:p>
    <w:bookmarkEnd w:id="4"/>
    <w:p w14:paraId="31A31CFA" w14:textId="15008321" w:rsidR="00D24CB2" w:rsidRDefault="00D24CB2"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Odnosząc się do przyjętego, </w:t>
      </w:r>
      <w:r w:rsidR="00FD2AAB">
        <w:rPr>
          <w:rFonts w:ascii="Times New Roman" w:eastAsia="Times New Roman" w:hAnsi="Times New Roman" w:cs="Times New Roman"/>
          <w:bCs/>
          <w:sz w:val="24"/>
          <w:szCs w:val="24"/>
          <w:lang w:eastAsia="pl-PL"/>
        </w:rPr>
        <w:t>2-letniego</w:t>
      </w:r>
      <w:r w:rsidRPr="00DF4C66">
        <w:rPr>
          <w:rFonts w:ascii="Times New Roman" w:eastAsia="Times New Roman" w:hAnsi="Times New Roman" w:cs="Times New Roman"/>
          <w:bCs/>
          <w:sz w:val="24"/>
          <w:szCs w:val="24"/>
          <w:lang w:eastAsia="pl-PL"/>
        </w:rPr>
        <w:t xml:space="preserve"> terminu, należy podkreślić, że wobec fundacji rodzinnej, będącej osobą prawną, istnieje analogia do innych podatników podatku dochodowego od osób prawnych. Przykładem podobnego mechanizmu jest </w:t>
      </w:r>
      <w:r w:rsidR="00037DAA" w:rsidRPr="00DF4C66">
        <w:rPr>
          <w:rFonts w:ascii="Times New Roman" w:eastAsia="Times New Roman" w:hAnsi="Times New Roman" w:cs="Times New Roman"/>
          <w:bCs/>
          <w:sz w:val="24"/>
          <w:szCs w:val="24"/>
          <w:lang w:eastAsia="pl-PL"/>
        </w:rPr>
        <w:t xml:space="preserve">przewidziany ustawą CIT dwuletni okres nieprzerwanego posiadania udziałów lub akcji w spółce wypłacającej zyski, co ma zastosowanie w ramach reżimu polskiej spółki holdingowej. Z kolei w przypadku alternatywnej spółki inwestycyjnej obowiązuje analogiczny warunek dwuletniego okresu nieprzerwanego posiadania udziałów lub akcji, stanowiący podstawę do korzystania z przewidzianych przepisami preferencji podatkowych. </w:t>
      </w:r>
    </w:p>
    <w:p w14:paraId="4FB3562A" w14:textId="672E57BE" w:rsidR="00FD2AAB" w:rsidRPr="00DF4C66" w:rsidRDefault="00FD2AAB" w:rsidP="00393D6A">
      <w:pPr>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Ponadto należy wskazać, że omawiana regulacja nie znajdzie</w:t>
      </w:r>
      <w:r w:rsidRPr="00FD2AAB">
        <w:rPr>
          <w:rFonts w:ascii="Times New Roman" w:eastAsia="Times New Roman" w:hAnsi="Times New Roman" w:cs="Times New Roman"/>
          <w:bCs/>
          <w:sz w:val="24"/>
          <w:szCs w:val="24"/>
          <w:lang w:eastAsia="pl-PL"/>
        </w:rPr>
        <w:t xml:space="preserve"> zastosowania do zbycia wynikającego z nakazu organu władzy publicznej</w:t>
      </w:r>
      <w:r>
        <w:rPr>
          <w:rFonts w:ascii="Times New Roman" w:eastAsia="Times New Roman" w:hAnsi="Times New Roman" w:cs="Times New Roman"/>
          <w:bCs/>
          <w:sz w:val="24"/>
          <w:szCs w:val="24"/>
          <w:lang w:eastAsia="pl-PL"/>
        </w:rPr>
        <w:t>.</w:t>
      </w:r>
    </w:p>
    <w:p w14:paraId="505A5426" w14:textId="71B8F616" w:rsidR="002A3F1E" w:rsidRPr="00DF4C66" w:rsidRDefault="002A3F1E"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
          <w:bCs/>
          <w:sz w:val="24"/>
          <w:szCs w:val="24"/>
          <w:lang w:eastAsia="pl-PL"/>
        </w:rPr>
        <w:t xml:space="preserve">Zmiana w art. 6 ust. 8 pkt 3 </w:t>
      </w:r>
      <w:r w:rsidR="00072587" w:rsidRPr="00DF4C66">
        <w:rPr>
          <w:rFonts w:ascii="Times New Roman" w:eastAsia="Times New Roman" w:hAnsi="Times New Roman" w:cs="Times New Roman"/>
          <w:b/>
          <w:bCs/>
          <w:sz w:val="24"/>
          <w:szCs w:val="24"/>
          <w:lang w:eastAsia="pl-PL"/>
        </w:rPr>
        <w:t>–</w:t>
      </w:r>
      <w:r w:rsidRPr="00DF4C66">
        <w:rPr>
          <w:rFonts w:ascii="Times New Roman" w:eastAsia="Times New Roman" w:hAnsi="Times New Roman" w:cs="Times New Roman"/>
          <w:b/>
          <w:bCs/>
          <w:sz w:val="24"/>
          <w:szCs w:val="24"/>
          <w:lang w:eastAsia="pl-PL"/>
        </w:rPr>
        <w:t xml:space="preserve"> opodatkowanie osiąganych przez fundację rodzinną przychodów udziału w podmiotach transparentnych </w:t>
      </w:r>
    </w:p>
    <w:p w14:paraId="6C97C2C1" w14:textId="31802583" w:rsidR="00826B73" w:rsidRPr="00DF4C66" w:rsidRDefault="00826B73"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Dodawany w </w:t>
      </w:r>
      <w:bookmarkStart w:id="5" w:name="_Hlk209445006"/>
      <w:r w:rsidRPr="00DF4C66">
        <w:rPr>
          <w:rFonts w:ascii="Times New Roman" w:eastAsia="Times New Roman" w:hAnsi="Times New Roman" w:cs="Times New Roman"/>
          <w:bCs/>
          <w:sz w:val="24"/>
          <w:szCs w:val="24"/>
          <w:lang w:eastAsia="pl-PL"/>
        </w:rPr>
        <w:t xml:space="preserve">art. 6 ust. 8 pkt 3 </w:t>
      </w:r>
      <w:bookmarkEnd w:id="5"/>
      <w:r w:rsidRPr="00DF4C66">
        <w:rPr>
          <w:rFonts w:ascii="Times New Roman" w:eastAsia="Times New Roman" w:hAnsi="Times New Roman" w:cs="Times New Roman"/>
          <w:bCs/>
          <w:sz w:val="24"/>
          <w:szCs w:val="24"/>
          <w:lang w:eastAsia="pl-PL"/>
        </w:rPr>
        <w:t xml:space="preserve">ustawy CIT przepis </w:t>
      </w:r>
      <w:r w:rsidR="008A233C" w:rsidRPr="00DF4C66">
        <w:rPr>
          <w:rFonts w:ascii="Times New Roman" w:eastAsia="Times New Roman" w:hAnsi="Times New Roman" w:cs="Times New Roman"/>
          <w:bCs/>
          <w:sz w:val="24"/>
          <w:szCs w:val="24"/>
          <w:lang w:eastAsia="pl-PL"/>
        </w:rPr>
        <w:t>odwołuje się</w:t>
      </w:r>
      <w:r w:rsidRPr="00DF4C66">
        <w:rPr>
          <w:rFonts w:ascii="Times New Roman" w:eastAsia="Times New Roman" w:hAnsi="Times New Roman" w:cs="Times New Roman"/>
          <w:bCs/>
          <w:sz w:val="24"/>
          <w:szCs w:val="24"/>
          <w:lang w:eastAsia="pl-PL"/>
        </w:rPr>
        <w:t xml:space="preserve"> do osiąganych przez fundację przychodów z działalności wskazanej w art. 5 ust. 1 pkt 3 ustawy o fundacji rodzinnej. Zwolnieniu nie będą zatem podlegały </w:t>
      </w:r>
      <w:r w:rsidR="008A0D5B" w:rsidRPr="00DF4C66">
        <w:rPr>
          <w:rFonts w:ascii="Times New Roman" w:eastAsia="Times New Roman" w:hAnsi="Times New Roman" w:cs="Times New Roman"/>
          <w:bCs/>
          <w:sz w:val="24"/>
          <w:szCs w:val="24"/>
          <w:lang w:eastAsia="pl-PL"/>
        </w:rPr>
        <w:t xml:space="preserve">przychody z udziału </w:t>
      </w:r>
      <w:r w:rsidR="00037DAA" w:rsidRPr="00DF4C66">
        <w:rPr>
          <w:rFonts w:ascii="Times New Roman" w:eastAsia="Times New Roman" w:hAnsi="Times New Roman" w:cs="Times New Roman"/>
          <w:bCs/>
          <w:sz w:val="24"/>
          <w:szCs w:val="24"/>
          <w:lang w:eastAsia="pl-PL"/>
        </w:rPr>
        <w:t>w funduszu, spółdzielni lub podmiocie</w:t>
      </w:r>
      <w:r w:rsidR="002A3F1E" w:rsidRPr="00DF4C66">
        <w:rPr>
          <w:rFonts w:ascii="Times New Roman" w:eastAsia="Times New Roman" w:hAnsi="Times New Roman" w:cs="Times New Roman"/>
          <w:bCs/>
          <w:sz w:val="24"/>
          <w:szCs w:val="24"/>
          <w:lang w:eastAsia="pl-PL"/>
        </w:rPr>
        <w:t xml:space="preserve"> (</w:t>
      </w:r>
      <w:r w:rsidR="00037DAA" w:rsidRPr="00DF4C66">
        <w:rPr>
          <w:rFonts w:ascii="Times New Roman" w:eastAsia="Times New Roman" w:hAnsi="Times New Roman" w:cs="Times New Roman"/>
          <w:bCs/>
          <w:sz w:val="24"/>
          <w:szCs w:val="24"/>
          <w:lang w:eastAsia="pl-PL"/>
        </w:rPr>
        <w:t>o których mowa w art. 5 ust. 1 pkt 3 ustawy o fundacji rodzinnej</w:t>
      </w:r>
      <w:r w:rsidR="002A3F1E" w:rsidRPr="00DF4C66">
        <w:rPr>
          <w:rFonts w:ascii="Times New Roman" w:eastAsia="Times New Roman" w:hAnsi="Times New Roman" w:cs="Times New Roman"/>
          <w:bCs/>
          <w:sz w:val="24"/>
          <w:szCs w:val="24"/>
          <w:lang w:eastAsia="pl-PL"/>
        </w:rPr>
        <w:t>)</w:t>
      </w:r>
      <w:r w:rsidR="00037DAA" w:rsidRPr="00DF4C66">
        <w:rPr>
          <w:rFonts w:ascii="Times New Roman" w:eastAsia="Times New Roman" w:hAnsi="Times New Roman" w:cs="Times New Roman"/>
          <w:bCs/>
          <w:sz w:val="24"/>
          <w:szCs w:val="24"/>
          <w:lang w:eastAsia="pl-PL"/>
        </w:rPr>
        <w:t xml:space="preserve">, </w:t>
      </w:r>
      <w:r w:rsidR="002A3F1E" w:rsidRPr="00DF4C66">
        <w:rPr>
          <w:rFonts w:ascii="Times New Roman" w:eastAsia="Times New Roman" w:hAnsi="Times New Roman" w:cs="Times New Roman"/>
          <w:bCs/>
          <w:sz w:val="24"/>
          <w:szCs w:val="24"/>
          <w:lang w:eastAsia="pl-PL"/>
        </w:rPr>
        <w:t xml:space="preserve">jeżeli nie </w:t>
      </w:r>
      <w:r w:rsidR="002A3F1E" w:rsidRPr="00DF4C66">
        <w:rPr>
          <w:rFonts w:ascii="Times New Roman" w:eastAsia="Times New Roman" w:hAnsi="Times New Roman" w:cs="Times New Roman"/>
          <w:bCs/>
          <w:sz w:val="24"/>
          <w:szCs w:val="24"/>
          <w:lang w:eastAsia="pl-PL"/>
        </w:rPr>
        <w:lastRenderedPageBreak/>
        <w:t>podlegają opodatkowaniu podatkiem dochodowym, a ich przychody, koszty, dochody lub straty są traktowane jako odpowiednio osiągnięte lub poniesione przez fundację rodzinną</w:t>
      </w:r>
      <w:r w:rsidR="00566010" w:rsidRPr="00DF4C66">
        <w:rPr>
          <w:rFonts w:ascii="Times New Roman" w:eastAsia="Times New Roman" w:hAnsi="Times New Roman" w:cs="Times New Roman"/>
          <w:bCs/>
          <w:sz w:val="24"/>
          <w:szCs w:val="24"/>
          <w:lang w:eastAsia="pl-PL"/>
        </w:rPr>
        <w:t>. Zwolnienie nie obejmie także przychodów</w:t>
      </w:r>
      <w:r w:rsidR="008A0D5B" w:rsidRPr="00DF4C66">
        <w:rPr>
          <w:rFonts w:ascii="Times New Roman" w:eastAsia="Times New Roman" w:hAnsi="Times New Roman" w:cs="Times New Roman"/>
          <w:bCs/>
          <w:sz w:val="24"/>
          <w:szCs w:val="24"/>
          <w:lang w:eastAsia="pl-PL"/>
        </w:rPr>
        <w:t xml:space="preserve"> z udziału w spółce niebędącej osobą prawną</w:t>
      </w:r>
      <w:r w:rsidR="00C47544" w:rsidRPr="00DF4C66">
        <w:rPr>
          <w:rFonts w:ascii="Times New Roman" w:eastAsia="Times New Roman" w:hAnsi="Times New Roman" w:cs="Times New Roman"/>
          <w:bCs/>
          <w:sz w:val="24"/>
          <w:szCs w:val="24"/>
          <w:lang w:eastAsia="pl-PL"/>
        </w:rPr>
        <w:t>.</w:t>
      </w:r>
      <w:r w:rsidR="00F44F39">
        <w:rPr>
          <w:rFonts w:ascii="Times New Roman" w:eastAsia="Times New Roman" w:hAnsi="Times New Roman" w:cs="Times New Roman"/>
          <w:bCs/>
          <w:sz w:val="24"/>
          <w:szCs w:val="24"/>
          <w:lang w:eastAsia="pl-PL"/>
        </w:rPr>
        <w:t xml:space="preserve"> </w:t>
      </w:r>
      <w:r w:rsidR="00B51810">
        <w:rPr>
          <w:rFonts w:ascii="Times New Roman" w:eastAsia="Times New Roman" w:hAnsi="Times New Roman" w:cs="Times New Roman"/>
          <w:bCs/>
          <w:sz w:val="24"/>
          <w:szCs w:val="24"/>
          <w:lang w:eastAsia="pl-PL"/>
        </w:rPr>
        <w:t xml:space="preserve">Ograniczenie korzystania ze zwolnienia odnosi się wyłącznie do takich przychodów, które </w:t>
      </w:r>
      <w:r w:rsidR="00B51810" w:rsidRPr="00B51810">
        <w:rPr>
          <w:rFonts w:ascii="Times New Roman" w:eastAsia="Times New Roman" w:hAnsi="Times New Roman" w:cs="Times New Roman"/>
          <w:bCs/>
          <w:sz w:val="24"/>
          <w:szCs w:val="24"/>
          <w:lang w:eastAsia="pl-PL"/>
        </w:rPr>
        <w:t>korzystałyby z</w:t>
      </w:r>
      <w:r w:rsidR="00B51810">
        <w:rPr>
          <w:rFonts w:ascii="Times New Roman" w:eastAsia="Times New Roman" w:hAnsi="Times New Roman" w:cs="Times New Roman"/>
          <w:bCs/>
          <w:sz w:val="24"/>
          <w:szCs w:val="24"/>
          <w:lang w:eastAsia="pl-PL"/>
        </w:rPr>
        <w:t>e</w:t>
      </w:r>
      <w:r w:rsidR="00B51810" w:rsidRPr="00B51810">
        <w:rPr>
          <w:rFonts w:ascii="Times New Roman" w:eastAsia="Times New Roman" w:hAnsi="Times New Roman" w:cs="Times New Roman"/>
          <w:bCs/>
          <w:sz w:val="24"/>
          <w:szCs w:val="24"/>
          <w:lang w:eastAsia="pl-PL"/>
        </w:rPr>
        <w:t xml:space="preserve"> zwolnienia, gdyby były uzyskane bezpośrednio przez fundację rodzinną</w:t>
      </w:r>
      <w:r w:rsidR="00B51810">
        <w:rPr>
          <w:rFonts w:ascii="Times New Roman" w:eastAsia="Times New Roman" w:hAnsi="Times New Roman" w:cs="Times New Roman"/>
          <w:bCs/>
          <w:sz w:val="24"/>
          <w:szCs w:val="24"/>
          <w:lang w:eastAsia="pl-PL"/>
        </w:rPr>
        <w:t>.</w:t>
      </w:r>
    </w:p>
    <w:p w14:paraId="2820703C" w14:textId="76F09FF4" w:rsidR="002500FA" w:rsidRPr="00DF4C66" w:rsidRDefault="00961458"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Projektowana regulacja stanowi kolejny etap działań ustawodawczych mających na celu uszczelnienie systemu podatkowego, prowadzonych w oparciu o analizę praktyki rynkowej. W</w:t>
      </w:r>
      <w:r w:rsidR="00CF3B1C">
        <w:rPr>
          <w:rFonts w:ascii="Times New Roman" w:eastAsia="Times New Roman" w:hAnsi="Times New Roman" w:cs="Times New Roman"/>
          <w:bCs/>
          <w:sz w:val="24"/>
          <w:szCs w:val="24"/>
          <w:lang w:eastAsia="pl-PL"/>
        </w:rPr>
        <w:t> </w:t>
      </w:r>
      <w:r w:rsidRPr="00DF4C66">
        <w:rPr>
          <w:rFonts w:ascii="Times New Roman" w:eastAsia="Times New Roman" w:hAnsi="Times New Roman" w:cs="Times New Roman"/>
          <w:bCs/>
          <w:sz w:val="24"/>
          <w:szCs w:val="24"/>
          <w:lang w:eastAsia="pl-PL"/>
        </w:rPr>
        <w:t>szczególności jest ona odpowiedzią na zaobserwowane przypadki obchodzenia przepisów dotyczących opodatkowania dochodów osiąganych za pośrednictwem podmiotów transparentnych podatkowo. Pomimo bowiem wprowadzenia do ustawy CIT ust. 7 w art. 1, który miał na celu ograniczenie potencjalnych nadużyć związanych z wykorzystywaniem spółek jawnych, w których wspólnikiem jest fundacja rodzinna, dotychczasowa praktyka pokazuje, że regulacja ta nie rozwiązała w pełni problemu unikania opodatkowania dochodów osiąganych za pośrednictwem struktur transparentnych podatkowo. W szczególności chodzi o sytuacje, w</w:t>
      </w:r>
      <w:r w:rsidR="00825CF3" w:rsidRPr="00DF4C66">
        <w:rPr>
          <w:rFonts w:ascii="Times New Roman" w:eastAsia="Times New Roman" w:hAnsi="Times New Roman" w:cs="Times New Roman"/>
          <w:bCs/>
          <w:sz w:val="24"/>
          <w:szCs w:val="24"/>
          <w:lang w:eastAsia="pl-PL"/>
        </w:rPr>
        <w:t> </w:t>
      </w:r>
      <w:r w:rsidRPr="00DF4C66">
        <w:rPr>
          <w:rFonts w:ascii="Times New Roman" w:eastAsia="Times New Roman" w:hAnsi="Times New Roman" w:cs="Times New Roman"/>
          <w:bCs/>
          <w:sz w:val="24"/>
          <w:szCs w:val="24"/>
          <w:lang w:eastAsia="pl-PL"/>
        </w:rPr>
        <w:t>których podmioty transparentne są wykorzystywane w taki sposób, aby dochód generowany przez nie pozostawał poza zakresem opodatkowania. Analiza przypadków identyfikowanych w</w:t>
      </w:r>
      <w:r w:rsidR="00825CF3" w:rsidRPr="00DF4C66">
        <w:rPr>
          <w:rFonts w:ascii="Times New Roman" w:eastAsia="Times New Roman" w:hAnsi="Times New Roman" w:cs="Times New Roman"/>
          <w:bCs/>
          <w:sz w:val="24"/>
          <w:szCs w:val="24"/>
          <w:lang w:eastAsia="pl-PL"/>
        </w:rPr>
        <w:t> </w:t>
      </w:r>
      <w:r w:rsidRPr="00DF4C66">
        <w:rPr>
          <w:rFonts w:ascii="Times New Roman" w:eastAsia="Times New Roman" w:hAnsi="Times New Roman" w:cs="Times New Roman"/>
          <w:bCs/>
          <w:sz w:val="24"/>
          <w:szCs w:val="24"/>
          <w:lang w:eastAsia="pl-PL"/>
        </w:rPr>
        <w:t>praktyce wskazuje, że nadużycia dotyczące tego typu struktur występują zwłaszcza w</w:t>
      </w:r>
      <w:r w:rsidR="00825CF3" w:rsidRPr="00DF4C66">
        <w:rPr>
          <w:rFonts w:ascii="Times New Roman" w:eastAsia="Times New Roman" w:hAnsi="Times New Roman" w:cs="Times New Roman"/>
          <w:bCs/>
          <w:sz w:val="24"/>
          <w:szCs w:val="24"/>
          <w:lang w:eastAsia="pl-PL"/>
        </w:rPr>
        <w:t> </w:t>
      </w:r>
      <w:r w:rsidRPr="00DF4C66">
        <w:rPr>
          <w:rFonts w:ascii="Times New Roman" w:eastAsia="Times New Roman" w:hAnsi="Times New Roman" w:cs="Times New Roman"/>
          <w:bCs/>
          <w:sz w:val="24"/>
          <w:szCs w:val="24"/>
          <w:lang w:eastAsia="pl-PL"/>
        </w:rPr>
        <w:t xml:space="preserve">kontekście udziałów w zagranicznych podmiotach transparentnych podatkowo. </w:t>
      </w:r>
      <w:bookmarkStart w:id="6" w:name="_Hlk206512946"/>
      <w:r w:rsidR="002500FA" w:rsidRPr="00DF4C66">
        <w:rPr>
          <w:rFonts w:ascii="Times New Roman" w:eastAsia="Times New Roman" w:hAnsi="Times New Roman" w:cs="Times New Roman"/>
          <w:bCs/>
          <w:sz w:val="24"/>
          <w:szCs w:val="24"/>
          <w:lang w:eastAsia="pl-PL"/>
        </w:rPr>
        <w:t xml:space="preserve">Obserwowane nadużycia z udziałem struktur transparentnych obejmują w szczególności udziały w zagranicznych spółkach transparentnych podatkowo, takich jak np. amerykańska spółka </w:t>
      </w:r>
      <w:r w:rsidR="002500FA" w:rsidRPr="00DF4C66">
        <w:rPr>
          <w:rFonts w:ascii="Times New Roman" w:eastAsia="Times New Roman" w:hAnsi="Times New Roman" w:cs="Times New Roman"/>
          <w:bCs/>
          <w:i/>
          <w:iCs/>
          <w:sz w:val="24"/>
          <w:szCs w:val="24"/>
          <w:lang w:eastAsia="pl-PL"/>
        </w:rPr>
        <w:t xml:space="preserve">Limited Liability Company </w:t>
      </w:r>
      <w:r w:rsidR="002500FA" w:rsidRPr="00DF4C66">
        <w:rPr>
          <w:rFonts w:ascii="Times New Roman" w:eastAsia="Times New Roman" w:hAnsi="Times New Roman" w:cs="Times New Roman"/>
          <w:bCs/>
          <w:sz w:val="24"/>
          <w:szCs w:val="24"/>
          <w:lang w:eastAsia="pl-PL"/>
        </w:rPr>
        <w:t>(zgodnie z przepisami prawa Stanów Zjednoczonych Ameryki, spółka taka</w:t>
      </w:r>
      <w:r w:rsidR="002500FA" w:rsidRPr="00DF4C66">
        <w:rPr>
          <w:rFonts w:ascii="Times New Roman" w:eastAsia="Times New Roman" w:hAnsi="Times New Roman" w:cs="Times New Roman"/>
          <w:bCs/>
          <w:i/>
          <w:iCs/>
          <w:sz w:val="24"/>
          <w:szCs w:val="24"/>
          <w:lang w:eastAsia="pl-PL"/>
        </w:rPr>
        <w:t xml:space="preserve"> </w:t>
      </w:r>
      <w:r w:rsidR="002500FA" w:rsidRPr="00DF4C66">
        <w:rPr>
          <w:rFonts w:ascii="Times New Roman" w:eastAsia="Times New Roman" w:hAnsi="Times New Roman" w:cs="Times New Roman"/>
          <w:bCs/>
          <w:sz w:val="24"/>
          <w:szCs w:val="24"/>
          <w:lang w:eastAsia="pl-PL"/>
        </w:rPr>
        <w:t xml:space="preserve">nie ma, podobnie jak polskie spółki osobowe, podmiotowości podatkowej, tzn. nie jest podatnikiem podatku dochodowego, a jest transparentna podatkowo, co oznacza, że przychody i koszty jej działalności są opodatkowane na poziomie wspólnika) czy luksemburska spółka </w:t>
      </w:r>
      <w:r w:rsidR="002500FA" w:rsidRPr="00DF4C66">
        <w:rPr>
          <w:rFonts w:ascii="Times New Roman" w:eastAsia="Times New Roman" w:hAnsi="Times New Roman" w:cs="Times New Roman"/>
          <w:bCs/>
          <w:i/>
          <w:iCs/>
          <w:sz w:val="24"/>
          <w:szCs w:val="24"/>
          <w:lang w:eastAsia="pl-PL"/>
        </w:rPr>
        <w:t>Special Limited Partnership</w:t>
      </w:r>
      <w:r w:rsidR="002500FA" w:rsidRPr="00DF4C66">
        <w:rPr>
          <w:rFonts w:ascii="Times New Roman" w:eastAsia="Times New Roman" w:hAnsi="Times New Roman" w:cs="Times New Roman"/>
          <w:bCs/>
          <w:sz w:val="24"/>
          <w:szCs w:val="24"/>
          <w:lang w:eastAsia="pl-PL"/>
        </w:rPr>
        <w:t xml:space="preserve"> (</w:t>
      </w:r>
      <w:r w:rsidR="002500FA" w:rsidRPr="00DF4C66">
        <w:rPr>
          <w:rFonts w:ascii="Times New Roman" w:eastAsia="Times New Roman" w:hAnsi="Times New Roman" w:cs="Times New Roman"/>
          <w:bCs/>
          <w:i/>
          <w:iCs/>
          <w:sz w:val="24"/>
          <w:szCs w:val="24"/>
          <w:lang w:eastAsia="pl-PL"/>
        </w:rPr>
        <w:t>Societe en Commandite Specjale</w:t>
      </w:r>
      <w:r w:rsidR="002500FA" w:rsidRPr="00DF4C66">
        <w:rPr>
          <w:rFonts w:ascii="Times New Roman" w:eastAsia="Times New Roman" w:hAnsi="Times New Roman" w:cs="Times New Roman"/>
          <w:bCs/>
          <w:sz w:val="24"/>
          <w:szCs w:val="24"/>
          <w:lang w:eastAsia="pl-PL"/>
        </w:rPr>
        <w:t>) – według prawa Luksemburga spółka taka nie posiada osobowości prawnej, zaś podatnikami podatku dochodowego są wspólnicy.</w:t>
      </w:r>
    </w:p>
    <w:bookmarkEnd w:id="6"/>
    <w:p w14:paraId="41101648" w14:textId="32E20BE5" w:rsidR="00826B73" w:rsidRPr="00DF4C66" w:rsidRDefault="00826B73"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Celem projektowanej zmiany jest przeciwdziałanie tworzeniu struktur, w których fundacja rodzinna, mimo ograniczeń wynikających z art. 5 ustawy o fundacji rodzinnej co do dopuszczalnego zakresu działalności, uzyskuje korzyści z prowadzenia działalności wykraczającej poza ten zakres, wykorzystując w tym celu podmioty transparentne podatkowo. W sytuacji gdy zarówno fundacja rodzinna, jak i podmiot, w którym uczestniczy, korzystają ze zwolnień podatkowych, dochodzi do powstania struktury, która, mimo prowadzenia </w:t>
      </w:r>
      <w:r w:rsidRPr="00DF4C66">
        <w:rPr>
          <w:rFonts w:ascii="Times New Roman" w:eastAsia="Times New Roman" w:hAnsi="Times New Roman" w:cs="Times New Roman"/>
          <w:bCs/>
          <w:sz w:val="24"/>
          <w:szCs w:val="24"/>
          <w:lang w:eastAsia="pl-PL"/>
        </w:rPr>
        <w:lastRenderedPageBreak/>
        <w:t>działalności gospodarczej, nie prowadzi do powstania obowiązku podatkowego w CIT. Powoduje to naruszenie zasady sprawiedliwości podatkowej oraz podważa cele wprowadzenia fundacji rodzinnej jako instytucji służącej planowaniu sukcesji majątkowej, a nie prowadzeniu działalności gospodarczej w sposób uprzywilejowany podatkowo.</w:t>
      </w:r>
    </w:p>
    <w:p w14:paraId="6C662D38" w14:textId="77777777" w:rsidR="00826B73" w:rsidRPr="00DF4C66" w:rsidRDefault="00826B73"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Jednocześnie projektowana regulacja przewiduje, że możliwość korzystania ze zwolnienia z opodatkowania może zostać utrzymana w przypadku, gdy fundacja rodzinna uczestniczy w podmiotach transparentnych, które </w:t>
      </w:r>
      <w:r w:rsidRPr="00DF4C66">
        <w:rPr>
          <w:rFonts w:ascii="Times New Roman" w:eastAsia="Times New Roman" w:hAnsi="Times New Roman" w:cs="Times New Roman"/>
          <w:bCs/>
          <w:i/>
          <w:iCs/>
          <w:sz w:val="24"/>
          <w:szCs w:val="24"/>
          <w:lang w:eastAsia="pl-PL"/>
        </w:rPr>
        <w:t>de facto</w:t>
      </w:r>
      <w:r w:rsidRPr="00DF4C66">
        <w:rPr>
          <w:rFonts w:ascii="Times New Roman" w:eastAsia="Times New Roman" w:hAnsi="Times New Roman" w:cs="Times New Roman"/>
          <w:bCs/>
          <w:sz w:val="24"/>
          <w:szCs w:val="24"/>
          <w:lang w:eastAsia="pl-PL"/>
        </w:rPr>
        <w:t xml:space="preserve"> nie prowadzą aktywnej działalności gospodarczej, a ich funkcja sprowadza się do lokowania majątku i zarządzania nim w sposób pasywny, tj. prowadzą działalność swoim charakterem zbliżoną do funkcji samej fundacji. Utrzymanie zwolnienia w takich przypadkach jest uzasadnione, ponieważ działalność tych podmiotów nie wykracza istotnie poza zakres działalności, do której uprawniona jest fundacja rodzinna, i nie stanowi podstawy do optymalizacji podatkowej. </w:t>
      </w:r>
    </w:p>
    <w:p w14:paraId="2BB6723D" w14:textId="1FD89A5D" w:rsidR="00DF1B88" w:rsidRDefault="00DF1B88"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W sytuacjach określonych katalogiem zawartym w art. 6 ust. </w:t>
      </w:r>
      <w:r w:rsidR="00783349" w:rsidRPr="00DF4C66">
        <w:rPr>
          <w:rFonts w:ascii="Times New Roman" w:eastAsia="Times New Roman" w:hAnsi="Times New Roman" w:cs="Times New Roman"/>
          <w:bCs/>
          <w:sz w:val="24"/>
          <w:szCs w:val="24"/>
          <w:lang w:eastAsia="pl-PL"/>
        </w:rPr>
        <w:t>8</w:t>
      </w:r>
      <w:r w:rsidRPr="00DF4C66">
        <w:rPr>
          <w:rFonts w:ascii="Times New Roman" w:eastAsia="Times New Roman" w:hAnsi="Times New Roman" w:cs="Times New Roman"/>
          <w:bCs/>
          <w:sz w:val="24"/>
          <w:szCs w:val="24"/>
          <w:lang w:eastAsia="pl-PL"/>
        </w:rPr>
        <w:t xml:space="preserve"> ustawy CIT, wskazane w tej regulacji przychody podlegać będą opodatkowaniu podatkiem </w:t>
      </w:r>
      <w:r w:rsidR="006767BE" w:rsidRPr="00DF4C66">
        <w:rPr>
          <w:rFonts w:ascii="Times New Roman" w:eastAsia="Times New Roman" w:hAnsi="Times New Roman" w:cs="Times New Roman"/>
          <w:bCs/>
          <w:sz w:val="24"/>
          <w:szCs w:val="24"/>
          <w:lang w:eastAsia="pl-PL"/>
        </w:rPr>
        <w:t>CIT</w:t>
      </w:r>
      <w:r w:rsidRPr="00DF4C66">
        <w:rPr>
          <w:rFonts w:ascii="Times New Roman" w:eastAsia="Times New Roman" w:hAnsi="Times New Roman" w:cs="Times New Roman"/>
          <w:bCs/>
          <w:sz w:val="24"/>
          <w:szCs w:val="24"/>
          <w:lang w:eastAsia="pl-PL"/>
        </w:rPr>
        <w:t xml:space="preserve"> na zasadach ogólnych. </w:t>
      </w:r>
    </w:p>
    <w:p w14:paraId="46517055" w14:textId="1C2BDD25" w:rsidR="001114CE" w:rsidRPr="00490BA7" w:rsidRDefault="001114CE" w:rsidP="00393D6A">
      <w:pPr>
        <w:spacing w:before="120" w:line="360" w:lineRule="auto"/>
        <w:jc w:val="both"/>
        <w:rPr>
          <w:rFonts w:ascii="Times New Roman" w:eastAsia="Times New Roman" w:hAnsi="Times New Roman" w:cs="Times New Roman"/>
          <w:b/>
          <w:sz w:val="24"/>
          <w:szCs w:val="24"/>
          <w:lang w:eastAsia="pl-PL"/>
        </w:rPr>
      </w:pPr>
      <w:r w:rsidRPr="0083644E">
        <w:rPr>
          <w:rFonts w:ascii="Times New Roman" w:eastAsia="Times New Roman" w:hAnsi="Times New Roman" w:cs="Times New Roman"/>
          <w:b/>
          <w:sz w:val="24"/>
          <w:szCs w:val="24"/>
          <w:lang w:eastAsia="pl-PL"/>
        </w:rPr>
        <w:t>Zmiana w art. 24a</w:t>
      </w:r>
      <w:r w:rsidR="00B51810">
        <w:rPr>
          <w:rFonts w:ascii="Times New Roman" w:eastAsia="Times New Roman" w:hAnsi="Times New Roman" w:cs="Times New Roman"/>
          <w:b/>
          <w:sz w:val="24"/>
          <w:szCs w:val="24"/>
          <w:lang w:eastAsia="pl-PL"/>
        </w:rPr>
        <w:t xml:space="preserve"> </w:t>
      </w:r>
      <w:r w:rsidRPr="0083644E">
        <w:rPr>
          <w:rFonts w:ascii="Times New Roman" w:eastAsia="Times New Roman" w:hAnsi="Times New Roman" w:cs="Times New Roman"/>
          <w:b/>
          <w:sz w:val="24"/>
          <w:szCs w:val="24"/>
          <w:lang w:eastAsia="pl-PL"/>
        </w:rPr>
        <w:t>– ustalanie podstawy opodatkowania dochodów zagranicznej jednostki kontrolowanej (CFC) w przypadku fundacji rodzinnej</w:t>
      </w:r>
    </w:p>
    <w:p w14:paraId="3D4F44B2" w14:textId="77777777" w:rsidR="001114CE" w:rsidRPr="0083644E" w:rsidRDefault="001114CE" w:rsidP="00393D6A">
      <w:pPr>
        <w:spacing w:before="120" w:line="360" w:lineRule="auto"/>
        <w:jc w:val="both"/>
        <w:rPr>
          <w:rFonts w:ascii="Times New Roman" w:eastAsia="Times New Roman" w:hAnsi="Times New Roman" w:cs="Times New Roman"/>
          <w:bCs/>
          <w:sz w:val="24"/>
          <w:szCs w:val="24"/>
          <w:lang w:eastAsia="pl-PL"/>
        </w:rPr>
      </w:pPr>
      <w:r w:rsidRPr="0083644E">
        <w:rPr>
          <w:rFonts w:ascii="Times New Roman" w:eastAsia="Times New Roman" w:hAnsi="Times New Roman" w:cs="Times New Roman"/>
          <w:bCs/>
          <w:sz w:val="24"/>
          <w:szCs w:val="24"/>
          <w:lang w:eastAsia="pl-PL"/>
        </w:rPr>
        <w:t>Konsekwencją objęcia fundacji rodzinnej reżimem opodatkowania dochodów zagranicznych jednostek kontrolowanych (art. 6 ust. 6 w zw. z art. 24a ustawy CIT) jest konieczność dostosowania mechanizmu ustalania podstawy opodatkowania podatkiem CFC do specyfiki statusu podatkowego</w:t>
      </w:r>
      <w:r>
        <w:rPr>
          <w:rFonts w:ascii="Times New Roman" w:eastAsia="Times New Roman" w:hAnsi="Times New Roman" w:cs="Times New Roman"/>
          <w:bCs/>
          <w:sz w:val="24"/>
          <w:szCs w:val="24"/>
          <w:lang w:eastAsia="pl-PL"/>
        </w:rPr>
        <w:t xml:space="preserve"> tego podmiotu</w:t>
      </w:r>
      <w:r w:rsidRPr="0083644E">
        <w:rPr>
          <w:rFonts w:ascii="Times New Roman" w:eastAsia="Times New Roman" w:hAnsi="Times New Roman" w:cs="Times New Roman"/>
          <w:bCs/>
          <w:sz w:val="24"/>
          <w:szCs w:val="24"/>
          <w:lang w:eastAsia="pl-PL"/>
        </w:rPr>
        <w:t>.</w:t>
      </w:r>
    </w:p>
    <w:p w14:paraId="250B4179" w14:textId="6F5E4A4F" w:rsidR="001114CE" w:rsidRDefault="001114CE" w:rsidP="00393D6A">
      <w:pPr>
        <w:spacing w:before="120" w:line="360" w:lineRule="auto"/>
        <w:jc w:val="both"/>
        <w:rPr>
          <w:rFonts w:ascii="Times New Roman" w:eastAsia="Times New Roman" w:hAnsi="Times New Roman" w:cs="Times New Roman"/>
          <w:bCs/>
          <w:sz w:val="24"/>
          <w:szCs w:val="24"/>
          <w:lang w:eastAsia="pl-PL"/>
        </w:rPr>
      </w:pPr>
      <w:r w:rsidRPr="0083644E">
        <w:rPr>
          <w:rFonts w:ascii="Times New Roman" w:eastAsia="Times New Roman" w:hAnsi="Times New Roman" w:cs="Times New Roman"/>
          <w:bCs/>
          <w:sz w:val="24"/>
          <w:szCs w:val="24"/>
          <w:lang w:eastAsia="pl-PL"/>
        </w:rPr>
        <w:t>Zgodnie z ogólną konstrukcją art. 24a ust. 4 ustawy CIT, podstawę opodatkowania podatkiem od dochodów zagranicznej jednostki kontrolowanej pomniejsza się o kwoty dywidend otrzymanych od tej jednostki (pkt 1) oraz o dochód z odpłatnego zbycia udziałów w takiej jednostce (pkt 2) – w części, w jakiej kwoty te zostały uprzednio uwzględnione w podstawie opodatkowania polskiego podatnika. Mechanizm ten ma na celu eliminację podwójnego opodatkowania tego samego strumienia dochodu (zarówno na poziomie zysku zagranicznej spółki kontrolowanej, jak i na poziomie dystrybucji zysku lub realizacji wartości udziałów przez podatnika).</w:t>
      </w:r>
    </w:p>
    <w:p w14:paraId="4519DFE1" w14:textId="77777777" w:rsidR="002F095F" w:rsidRPr="002F095F" w:rsidRDefault="002F095F" w:rsidP="00393D6A">
      <w:pPr>
        <w:spacing w:before="120" w:line="360" w:lineRule="auto"/>
        <w:jc w:val="both"/>
        <w:rPr>
          <w:rFonts w:ascii="Times New Roman" w:eastAsia="Times New Roman" w:hAnsi="Times New Roman" w:cs="Times New Roman"/>
          <w:bCs/>
          <w:sz w:val="24"/>
          <w:szCs w:val="24"/>
          <w:lang w:eastAsia="pl-PL"/>
        </w:rPr>
      </w:pPr>
      <w:r w:rsidRPr="002F095F">
        <w:rPr>
          <w:rFonts w:ascii="Times New Roman" w:eastAsia="Times New Roman" w:hAnsi="Times New Roman" w:cs="Times New Roman"/>
          <w:bCs/>
          <w:sz w:val="24"/>
          <w:szCs w:val="24"/>
          <w:lang w:eastAsia="pl-PL"/>
        </w:rPr>
        <w:t xml:space="preserve">Dodawany art. 24a ust. 4b umożliwia fundacji rodzinnej odliczenie od podstawy opodatkowania CFC kwot dywidend oraz dochodów ze zbycia udziałów w tej jednostce, nawet jeśli ze względu na zwolnienie podmiotowe fundacji nie zostały one uwzględnione w podstawie jej opodatkowania. Odliczenie to przysługuje w proporcji, w jakiej dochód zagranicznej </w:t>
      </w:r>
      <w:r w:rsidRPr="002F095F">
        <w:rPr>
          <w:rFonts w:ascii="Times New Roman" w:eastAsia="Times New Roman" w:hAnsi="Times New Roman" w:cs="Times New Roman"/>
          <w:bCs/>
          <w:sz w:val="24"/>
          <w:szCs w:val="24"/>
          <w:lang w:eastAsia="pl-PL"/>
        </w:rPr>
        <w:lastRenderedPageBreak/>
        <w:t>jednostki pochodzi z działalności, która byłaby wolna od podatku przy bezpośrednim prowadzeniu przez fundację, co zapobiega podwójnemu opodatkowaniu dochodów mieszczących się w granicach dozwolonej działalności fundacji rodzinnej.</w:t>
      </w:r>
    </w:p>
    <w:p w14:paraId="0F55A3C6" w14:textId="1F39287A" w:rsidR="002F095F" w:rsidRPr="0083644E" w:rsidRDefault="002F095F" w:rsidP="00393D6A">
      <w:pPr>
        <w:spacing w:before="120" w:line="360" w:lineRule="auto"/>
        <w:jc w:val="both"/>
        <w:rPr>
          <w:rFonts w:ascii="Times New Roman" w:eastAsia="Times New Roman" w:hAnsi="Times New Roman" w:cs="Times New Roman"/>
          <w:bCs/>
          <w:sz w:val="24"/>
          <w:szCs w:val="24"/>
          <w:lang w:eastAsia="pl-PL"/>
        </w:rPr>
      </w:pPr>
      <w:r w:rsidRPr="002F095F">
        <w:rPr>
          <w:rFonts w:ascii="Times New Roman" w:eastAsia="Times New Roman" w:hAnsi="Times New Roman" w:cs="Times New Roman"/>
          <w:bCs/>
          <w:sz w:val="24"/>
          <w:szCs w:val="24"/>
          <w:lang w:eastAsia="pl-PL"/>
        </w:rPr>
        <w:t>Treścią modyfikacji art. 24a ust. 5 ustawy CIT jest natomiast rozszerzenie zasady rozliczania kwot nieodliczonych w danym roku podatkowym w kolejnych pięciu latach podatkowych na kwoty podlegające odliczeniu przez fundację rodzinną na podstawie dodawanego ust. 4b.</w:t>
      </w:r>
    </w:p>
    <w:p w14:paraId="501BA851" w14:textId="28C2B019" w:rsidR="001114CE" w:rsidRPr="006160EA" w:rsidRDefault="001114CE" w:rsidP="00393D6A">
      <w:pPr>
        <w:spacing w:before="120" w:line="360" w:lineRule="auto"/>
        <w:jc w:val="both"/>
        <w:rPr>
          <w:rFonts w:ascii="Times New Roman" w:eastAsia="Times New Roman" w:hAnsi="Times New Roman" w:cs="Times New Roman"/>
          <w:b/>
          <w:sz w:val="24"/>
          <w:szCs w:val="24"/>
          <w:lang w:eastAsia="pl-PL"/>
        </w:rPr>
      </w:pPr>
      <w:r w:rsidRPr="006160EA">
        <w:rPr>
          <w:rFonts w:ascii="Times New Roman" w:eastAsia="Times New Roman" w:hAnsi="Times New Roman" w:cs="Times New Roman"/>
          <w:b/>
          <w:sz w:val="24"/>
          <w:szCs w:val="24"/>
          <w:lang w:eastAsia="pl-PL"/>
        </w:rPr>
        <w:t>Zmian</w:t>
      </w:r>
      <w:r w:rsidR="002F095F">
        <w:rPr>
          <w:rFonts w:ascii="Times New Roman" w:eastAsia="Times New Roman" w:hAnsi="Times New Roman" w:cs="Times New Roman"/>
          <w:b/>
          <w:sz w:val="24"/>
          <w:szCs w:val="24"/>
          <w:lang w:eastAsia="pl-PL"/>
        </w:rPr>
        <w:t>y</w:t>
      </w:r>
      <w:r w:rsidRPr="006160EA">
        <w:rPr>
          <w:rFonts w:ascii="Times New Roman" w:eastAsia="Times New Roman" w:hAnsi="Times New Roman" w:cs="Times New Roman"/>
          <w:b/>
          <w:sz w:val="24"/>
          <w:szCs w:val="24"/>
          <w:lang w:eastAsia="pl-PL"/>
        </w:rPr>
        <w:t xml:space="preserve"> w art. 24f </w:t>
      </w:r>
    </w:p>
    <w:p w14:paraId="50151A65" w14:textId="77777777" w:rsidR="001114CE" w:rsidRPr="001114CE" w:rsidRDefault="001114CE" w:rsidP="00393D6A">
      <w:pPr>
        <w:spacing w:before="120" w:line="360" w:lineRule="auto"/>
        <w:jc w:val="both"/>
        <w:rPr>
          <w:rFonts w:ascii="Times New Roman" w:eastAsia="Times New Roman" w:hAnsi="Times New Roman" w:cs="Times New Roman"/>
          <w:bCs/>
          <w:sz w:val="24"/>
          <w:szCs w:val="24"/>
          <w:lang w:eastAsia="pl-PL"/>
        </w:rPr>
      </w:pPr>
      <w:r w:rsidRPr="001114CE">
        <w:rPr>
          <w:rFonts w:ascii="Times New Roman" w:eastAsia="Times New Roman" w:hAnsi="Times New Roman" w:cs="Times New Roman"/>
          <w:bCs/>
          <w:sz w:val="24"/>
          <w:szCs w:val="24"/>
          <w:lang w:eastAsia="pl-PL"/>
        </w:rPr>
        <w:t>W związku z wyłączeniem fundacji rodzinnej ze zwolnienia podmiotowego w zakresie podatku od dochodów z niezrealizowanych zysków (art. 6 ust. 6 w zw. z art. 24f ustawy CIT), projekt wprowadza regulację precyzującą zasady kalkulacji dochodu podlegającego temu opodatkowaniu.</w:t>
      </w:r>
    </w:p>
    <w:p w14:paraId="6D07F2CB" w14:textId="6ED28478" w:rsidR="002F095F" w:rsidRPr="002F095F" w:rsidRDefault="00CF3B1C" w:rsidP="00393D6A">
      <w:pPr>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tym celu doprecyzowano treść art. 26g ust. 2 pkt 1 o wskazanie specyficznej dla fundacji rodzinnej, która stanowi przesłankę objęcia ją regulacją exit tax. Chodzi o przypadek utraty przez Polskę prawa do </w:t>
      </w:r>
      <w:r w:rsidRPr="00CF3B1C">
        <w:rPr>
          <w:rFonts w:ascii="Times New Roman" w:eastAsia="Times New Roman" w:hAnsi="Times New Roman" w:cs="Times New Roman"/>
          <w:bCs/>
          <w:sz w:val="24"/>
          <w:szCs w:val="24"/>
          <w:lang w:eastAsia="pl-PL"/>
        </w:rPr>
        <w:t>prawo do opodatkowania przekazanego lub pozostawionego do dyspozycji przez fundację rodzinną mienia w związku z rozwiązaniem fundacji rodzinnej</w:t>
      </w:r>
      <w:r>
        <w:rPr>
          <w:rFonts w:ascii="Times New Roman" w:eastAsia="Times New Roman" w:hAnsi="Times New Roman" w:cs="Times New Roman"/>
          <w:bCs/>
          <w:sz w:val="24"/>
          <w:szCs w:val="24"/>
          <w:lang w:eastAsia="pl-PL"/>
        </w:rPr>
        <w:t xml:space="preserve">. </w:t>
      </w:r>
    </w:p>
    <w:p w14:paraId="54A26EE7" w14:textId="64FA5978" w:rsidR="001114CE" w:rsidRPr="001114CE" w:rsidRDefault="002F095F" w:rsidP="00393D6A">
      <w:pPr>
        <w:spacing w:before="120" w:line="360" w:lineRule="auto"/>
        <w:jc w:val="both"/>
        <w:rPr>
          <w:rFonts w:ascii="Times New Roman" w:eastAsia="Times New Roman" w:hAnsi="Times New Roman" w:cs="Times New Roman"/>
          <w:bCs/>
          <w:sz w:val="24"/>
          <w:szCs w:val="24"/>
          <w:lang w:eastAsia="pl-PL"/>
        </w:rPr>
      </w:pPr>
      <w:r w:rsidRPr="002F095F">
        <w:rPr>
          <w:rFonts w:ascii="Times New Roman" w:eastAsia="Times New Roman" w:hAnsi="Times New Roman" w:cs="Times New Roman"/>
          <w:bCs/>
          <w:sz w:val="24"/>
          <w:szCs w:val="24"/>
          <w:lang w:eastAsia="pl-PL"/>
        </w:rPr>
        <w:t>Z kolei projektowany art. 24f ust. 8a ustawy CIT reguluje sposób ustalania wartości podatkowej przenoszonego składnika majątku (w myśl art. 24f ust. 8) w odniesieniu do aktywów, których zbycie korzystałoby w fundacji ze zwolnienia z podatku na podstawie art. 6 ust. 1 pkt 25. Przepis ten przesądza, że na potrzeby kalkulacji podatku od niezrealizowanych zysków jako koszt uzyskania przychodów przyjmuje się wartość, jaka zostałaby przyjęta przez fundację za taki koszt, gdyby odpłatne zbycie tego składnika majątku było opodatkowane.</w:t>
      </w:r>
    </w:p>
    <w:p w14:paraId="21316E3A" w14:textId="20C8BBE8" w:rsidR="00CC10FD" w:rsidRPr="00DF4C66" w:rsidRDefault="00CC10FD" w:rsidP="00393D6A">
      <w:pPr>
        <w:spacing w:before="120" w:line="360" w:lineRule="auto"/>
        <w:jc w:val="both"/>
        <w:rPr>
          <w:rFonts w:ascii="Times New Roman" w:eastAsia="Times New Roman" w:hAnsi="Times New Roman" w:cs="Times New Roman"/>
          <w:b/>
          <w:sz w:val="24"/>
          <w:szCs w:val="24"/>
          <w:lang w:eastAsia="pl-PL"/>
        </w:rPr>
      </w:pPr>
      <w:r w:rsidRPr="00DF4C66">
        <w:rPr>
          <w:rFonts w:ascii="Times New Roman" w:eastAsia="Times New Roman" w:hAnsi="Times New Roman" w:cs="Times New Roman"/>
          <w:b/>
          <w:sz w:val="24"/>
          <w:szCs w:val="24"/>
          <w:lang w:eastAsia="pl-PL"/>
        </w:rPr>
        <w:t xml:space="preserve">Zmiana w art. 24q ust. 1 </w:t>
      </w:r>
      <w:r w:rsidR="00856CE8" w:rsidRPr="00DF4C66">
        <w:rPr>
          <w:rFonts w:ascii="Times New Roman" w:eastAsia="Times New Roman" w:hAnsi="Times New Roman" w:cs="Times New Roman"/>
          <w:b/>
          <w:sz w:val="24"/>
          <w:szCs w:val="24"/>
          <w:lang w:eastAsia="pl-PL"/>
        </w:rPr>
        <w:t>ustawy CIT</w:t>
      </w:r>
    </w:p>
    <w:p w14:paraId="32220492" w14:textId="56FD3F4E" w:rsidR="00CC10FD" w:rsidRPr="00DF4C66" w:rsidRDefault="00CC10F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Projektowana zmiana</w:t>
      </w:r>
      <w:r w:rsidR="00C66D3E" w:rsidRPr="00DF4C66">
        <w:rPr>
          <w:rFonts w:ascii="Times New Roman" w:eastAsia="Times New Roman" w:hAnsi="Times New Roman" w:cs="Times New Roman"/>
          <w:bCs/>
          <w:sz w:val="24"/>
          <w:szCs w:val="24"/>
          <w:lang w:eastAsia="pl-PL"/>
        </w:rPr>
        <w:t xml:space="preserve"> </w:t>
      </w:r>
      <w:r w:rsidRPr="00DF4C66">
        <w:rPr>
          <w:rFonts w:ascii="Times New Roman" w:eastAsia="Times New Roman" w:hAnsi="Times New Roman" w:cs="Times New Roman"/>
          <w:bCs/>
          <w:sz w:val="24"/>
          <w:szCs w:val="24"/>
          <w:lang w:eastAsia="pl-PL"/>
        </w:rPr>
        <w:t>stanowi element dostosowania mechanizmu opodatkowania fundacji rodzinnej do jej funkcji oraz założeń konstrukcyjnych tej instytucji.</w:t>
      </w:r>
      <w:r w:rsidR="00C66D3E" w:rsidRPr="00DF4C66">
        <w:rPr>
          <w:rFonts w:ascii="Times New Roman" w:eastAsia="Times New Roman" w:hAnsi="Times New Roman" w:cs="Times New Roman"/>
          <w:bCs/>
          <w:sz w:val="24"/>
          <w:szCs w:val="24"/>
          <w:lang w:eastAsia="pl-PL"/>
        </w:rPr>
        <w:t xml:space="preserve"> Zmiana ta polega na ustaleniu stawki podatku, o którym mowa w art. 24q ust. 1 ustawy </w:t>
      </w:r>
      <w:r w:rsidR="00FD2E10">
        <w:rPr>
          <w:rFonts w:ascii="Times New Roman" w:eastAsia="Times New Roman" w:hAnsi="Times New Roman" w:cs="Times New Roman"/>
          <w:bCs/>
          <w:sz w:val="24"/>
          <w:szCs w:val="24"/>
          <w:lang w:eastAsia="pl-PL"/>
        </w:rPr>
        <w:t>CIT</w:t>
      </w:r>
      <w:r w:rsidR="00C66D3E" w:rsidRPr="00DF4C66">
        <w:rPr>
          <w:rFonts w:ascii="Times New Roman" w:eastAsia="Times New Roman" w:hAnsi="Times New Roman" w:cs="Times New Roman"/>
          <w:bCs/>
          <w:sz w:val="24"/>
          <w:szCs w:val="24"/>
          <w:lang w:eastAsia="pl-PL"/>
        </w:rPr>
        <w:t xml:space="preserve">, na poziomie </w:t>
      </w:r>
      <w:r w:rsidR="007B1130">
        <w:rPr>
          <w:rFonts w:ascii="Times New Roman" w:eastAsia="Times New Roman" w:hAnsi="Times New Roman" w:cs="Times New Roman"/>
          <w:bCs/>
          <w:sz w:val="24"/>
          <w:szCs w:val="24"/>
          <w:lang w:eastAsia="pl-PL"/>
        </w:rPr>
        <w:t>19</w:t>
      </w:r>
      <w:r w:rsidR="00C66D3E" w:rsidRPr="00DF4C66">
        <w:rPr>
          <w:rFonts w:ascii="Times New Roman" w:eastAsia="Times New Roman" w:hAnsi="Times New Roman" w:cs="Times New Roman"/>
          <w:bCs/>
          <w:sz w:val="24"/>
          <w:szCs w:val="24"/>
          <w:lang w:eastAsia="pl-PL"/>
        </w:rPr>
        <w:t>%.</w:t>
      </w:r>
    </w:p>
    <w:p w14:paraId="5E161387" w14:textId="38424AC4" w:rsidR="00CC10FD" w:rsidRPr="00DF4C66" w:rsidRDefault="00CC10F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Model opodatkowania fundacji rodzinnej został zaprojektowany jako rozwiązanie szczególne, uzasadnione rolą </w:t>
      </w:r>
      <w:r w:rsidR="00C66D3E" w:rsidRPr="00DF4C66">
        <w:rPr>
          <w:rFonts w:ascii="Times New Roman" w:eastAsia="Times New Roman" w:hAnsi="Times New Roman" w:cs="Times New Roman"/>
          <w:bCs/>
          <w:sz w:val="24"/>
          <w:szCs w:val="24"/>
          <w:lang w:eastAsia="pl-PL"/>
        </w:rPr>
        <w:t xml:space="preserve">tej instytucji </w:t>
      </w:r>
      <w:r w:rsidRPr="00DF4C66">
        <w:rPr>
          <w:rFonts w:ascii="Times New Roman" w:eastAsia="Times New Roman" w:hAnsi="Times New Roman" w:cs="Times New Roman"/>
          <w:bCs/>
          <w:sz w:val="24"/>
          <w:szCs w:val="24"/>
          <w:lang w:eastAsia="pl-PL"/>
        </w:rPr>
        <w:t>w zakresie sukcesji międzypokoleniowej oraz długoterminowego zarządzania majątkiem. Przyznanie preferencyjnego traktowania podatkowego pozostaje funkcjonalnie powiązane z utrzymywaniem majątku w fundacji rodzinnej oraz jego akumulacją i ochroną w interesie beneficjentów, a zatem z realizacją celu sukcesyjnego.</w:t>
      </w:r>
    </w:p>
    <w:p w14:paraId="0FF80E9E" w14:textId="5C03830D" w:rsidR="00CC10FD" w:rsidRPr="00DF4C66" w:rsidRDefault="00CC10F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lastRenderedPageBreak/>
        <w:t xml:space="preserve">W tym kontekście istotne znaczenie ma moment wypłaty świadczenia </w:t>
      </w:r>
      <w:r w:rsidR="00C66D3E" w:rsidRPr="00DF4C66">
        <w:rPr>
          <w:rFonts w:ascii="Times New Roman" w:eastAsia="Times New Roman" w:hAnsi="Times New Roman" w:cs="Times New Roman"/>
          <w:bCs/>
          <w:sz w:val="24"/>
          <w:szCs w:val="24"/>
          <w:lang w:eastAsia="pl-PL"/>
        </w:rPr>
        <w:t>przez fundację rodzinną</w:t>
      </w:r>
      <w:r w:rsidRPr="00DF4C66">
        <w:rPr>
          <w:rFonts w:ascii="Times New Roman" w:eastAsia="Times New Roman" w:hAnsi="Times New Roman" w:cs="Times New Roman"/>
          <w:bCs/>
          <w:sz w:val="24"/>
          <w:szCs w:val="24"/>
          <w:lang w:eastAsia="pl-PL"/>
        </w:rPr>
        <w:t>. Wypłata ta oznacza faktyczne wyjście danego składnika majątku lub jego równowartości z reżimu właściwego dla fundacji rodzinnej i</w:t>
      </w:r>
      <w:r w:rsidR="00C66D3E" w:rsidRPr="00DF4C66">
        <w:rPr>
          <w:rFonts w:ascii="Times New Roman" w:eastAsia="Times New Roman" w:hAnsi="Times New Roman" w:cs="Times New Roman"/>
          <w:bCs/>
          <w:sz w:val="24"/>
          <w:szCs w:val="24"/>
          <w:lang w:eastAsia="pl-PL"/>
        </w:rPr>
        <w:t xml:space="preserve"> tym samym </w:t>
      </w:r>
      <w:r w:rsidRPr="00DF4C66">
        <w:rPr>
          <w:rFonts w:ascii="Times New Roman" w:eastAsia="Times New Roman" w:hAnsi="Times New Roman" w:cs="Times New Roman"/>
          <w:bCs/>
          <w:sz w:val="24"/>
          <w:szCs w:val="24"/>
          <w:lang w:eastAsia="pl-PL"/>
        </w:rPr>
        <w:t>zakończenie jego funkcjonowania w ramach struktury służącej długoterminowej akumulacji i sukcesji. Z perspektywy systemowej etap ten różni się zatem istotnie od fazy gromadzenia i zarządzania majątkiem w fundacji.</w:t>
      </w:r>
    </w:p>
    <w:p w14:paraId="3A557E71" w14:textId="0DC77FF6" w:rsidR="00CC10FD" w:rsidRPr="00DF4C66" w:rsidRDefault="00CC10F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Jednocześnie obowiązujący model opodatkowania, oparty na odroczeniu opodatkowania do momentu dystrybucji świadczeń, powoduje, że w praktyce efektywne opodatkowanie dochodów osiąganych za pośrednictwem fundacji rodzinnej może kształtować się na poziomie niższym</w:t>
      </w:r>
      <w:r w:rsidR="00C66D3E" w:rsidRPr="00DF4C66">
        <w:rPr>
          <w:rFonts w:ascii="Times New Roman" w:eastAsia="Times New Roman" w:hAnsi="Times New Roman" w:cs="Times New Roman"/>
          <w:bCs/>
          <w:sz w:val="24"/>
          <w:szCs w:val="24"/>
          <w:lang w:eastAsia="pl-PL"/>
        </w:rPr>
        <w:t>,</w:t>
      </w:r>
      <w:r w:rsidRPr="00DF4C66">
        <w:rPr>
          <w:rFonts w:ascii="Times New Roman" w:eastAsia="Times New Roman" w:hAnsi="Times New Roman" w:cs="Times New Roman"/>
          <w:bCs/>
          <w:sz w:val="24"/>
          <w:szCs w:val="24"/>
          <w:lang w:eastAsia="pl-PL"/>
        </w:rPr>
        <w:t xml:space="preserve"> niż w przypadku dochodów osiąganych bezpośrednio przez osoby fizyczne, przy jednoczesnym występowaniu efektu odroczenia opodatkowania. Zróżnicowanie to, w określonych sytuacjach, może prowadzić do osłabienia powiązania pomiędzy zakresem preferencji podatkowej a realizacją celu sukcesyjnego.</w:t>
      </w:r>
    </w:p>
    <w:p w14:paraId="7CE093FB" w14:textId="3D842C07" w:rsidR="00CC10FD" w:rsidRPr="00DF4C66" w:rsidRDefault="00CC10F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Proponowana zmiana stanowi zatem ograniczoną i wyważoną korektę na etapie dystrybucji środków z fundacji rodzinnej, tj. w momencie, w którym majątek opuszcza preferencyjny reżim podatkowy właściwy dla tej instytucji.</w:t>
      </w:r>
      <w:r w:rsidR="00C66D3E" w:rsidRPr="00DF4C66">
        <w:rPr>
          <w:rFonts w:ascii="Times New Roman" w:eastAsia="Times New Roman" w:hAnsi="Times New Roman" w:cs="Times New Roman"/>
          <w:bCs/>
          <w:sz w:val="24"/>
          <w:szCs w:val="24"/>
          <w:lang w:eastAsia="pl-PL"/>
        </w:rPr>
        <w:t xml:space="preserve"> C</w:t>
      </w:r>
      <w:r w:rsidRPr="00DF4C66">
        <w:rPr>
          <w:rFonts w:ascii="Times New Roman" w:eastAsia="Times New Roman" w:hAnsi="Times New Roman" w:cs="Times New Roman"/>
          <w:bCs/>
          <w:sz w:val="24"/>
          <w:szCs w:val="24"/>
          <w:lang w:eastAsia="pl-PL"/>
        </w:rPr>
        <w:t xml:space="preserve">elem </w:t>
      </w:r>
      <w:r w:rsidR="00C66D3E" w:rsidRPr="00DF4C66">
        <w:rPr>
          <w:rFonts w:ascii="Times New Roman" w:eastAsia="Times New Roman" w:hAnsi="Times New Roman" w:cs="Times New Roman"/>
          <w:bCs/>
          <w:sz w:val="24"/>
          <w:szCs w:val="24"/>
          <w:lang w:eastAsia="pl-PL"/>
        </w:rPr>
        <w:t xml:space="preserve">zmiany </w:t>
      </w:r>
      <w:r w:rsidRPr="00DF4C66">
        <w:rPr>
          <w:rFonts w:ascii="Times New Roman" w:eastAsia="Times New Roman" w:hAnsi="Times New Roman" w:cs="Times New Roman"/>
          <w:bCs/>
          <w:sz w:val="24"/>
          <w:szCs w:val="24"/>
          <w:lang w:eastAsia="pl-PL"/>
        </w:rPr>
        <w:t>jest lepsze odzwierciedlenie charakteru tej fazy funkcjonowania fundacji rodzinnej, przy jednoczesnym zachowaniu podstawowych założeń modelu opodatkowania, w tym neutralności wniesienia majątku oraz odroczenia opodatkowania w okresie jego akumulacji.</w:t>
      </w:r>
    </w:p>
    <w:p w14:paraId="4E9A09B5" w14:textId="77777777" w:rsidR="00CC10FD" w:rsidRPr="00DF4C66" w:rsidRDefault="00CC10F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Przyjęty poziom stawki uwzględnia zarówno konieczność zachowania proporcji względem opodatkowania dochodów kapitałowych osiąganych bezpośrednio przez osoby fizyczne, jak i specyfikę fundacji rodzinnej, w tym korzyści wynikające z odroczenia opodatkowania oraz możliwości długoterminowego reinwestowania dochodów. Zmiana nie eliminuje preferencyjnego charakteru tej instytucji, lecz zmierza do jego bardziej ścisłego powiązania z funkcją sukcesyjną.</w:t>
      </w:r>
    </w:p>
    <w:p w14:paraId="4D751EF5" w14:textId="53773605" w:rsidR="00CC10FD" w:rsidRPr="00DF4C66" w:rsidRDefault="00CC10FD" w:rsidP="00393D6A">
      <w:pPr>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Projektowana regulacja ma charakter uzupełniający wobec innych zmian zmierzających do </w:t>
      </w:r>
      <w:r w:rsidR="00C66D3E" w:rsidRPr="00DF4C66">
        <w:rPr>
          <w:rFonts w:ascii="Times New Roman" w:eastAsia="Times New Roman" w:hAnsi="Times New Roman" w:cs="Times New Roman"/>
          <w:bCs/>
          <w:sz w:val="24"/>
          <w:szCs w:val="24"/>
          <w:lang w:eastAsia="pl-PL"/>
        </w:rPr>
        <w:t>uszczelnienia</w:t>
      </w:r>
      <w:r w:rsidRPr="00DF4C66">
        <w:rPr>
          <w:rFonts w:ascii="Times New Roman" w:eastAsia="Times New Roman" w:hAnsi="Times New Roman" w:cs="Times New Roman"/>
          <w:bCs/>
          <w:sz w:val="24"/>
          <w:szCs w:val="24"/>
          <w:lang w:eastAsia="pl-PL"/>
        </w:rPr>
        <w:t xml:space="preserve"> zasad opodatkowania fundacji rodzinnych</w:t>
      </w:r>
      <w:r w:rsidR="00C66D3E" w:rsidRPr="00DF4C66">
        <w:rPr>
          <w:rFonts w:ascii="Times New Roman" w:eastAsia="Times New Roman" w:hAnsi="Times New Roman" w:cs="Times New Roman"/>
          <w:bCs/>
          <w:sz w:val="24"/>
          <w:szCs w:val="24"/>
          <w:lang w:eastAsia="pl-PL"/>
        </w:rPr>
        <w:t>.</w:t>
      </w:r>
    </w:p>
    <w:p w14:paraId="36D81BC6" w14:textId="1A89F717" w:rsidR="002A3F1E" w:rsidRPr="00DF4C66" w:rsidRDefault="002A3F1E" w:rsidP="00393D6A">
      <w:pPr>
        <w:spacing w:before="120" w:line="360" w:lineRule="auto"/>
        <w:jc w:val="both"/>
        <w:rPr>
          <w:rFonts w:ascii="Times New Roman" w:eastAsia="Times New Roman" w:hAnsi="Times New Roman" w:cs="Times New Roman"/>
          <w:b/>
          <w:sz w:val="24"/>
          <w:szCs w:val="24"/>
          <w:lang w:eastAsia="pl-PL"/>
        </w:rPr>
      </w:pPr>
      <w:r w:rsidRPr="00DF4C66">
        <w:rPr>
          <w:rFonts w:ascii="Times New Roman" w:eastAsia="Times New Roman" w:hAnsi="Times New Roman" w:cs="Times New Roman"/>
          <w:b/>
          <w:sz w:val="24"/>
          <w:szCs w:val="24"/>
          <w:lang w:eastAsia="pl-PL"/>
        </w:rPr>
        <w:t>Zmiana w art. 24q</w:t>
      </w:r>
      <w:r w:rsidR="006C4C8D" w:rsidRPr="00DF4C66">
        <w:rPr>
          <w:rFonts w:ascii="Times New Roman" w:eastAsia="Times New Roman" w:hAnsi="Times New Roman" w:cs="Times New Roman"/>
          <w:b/>
          <w:sz w:val="24"/>
          <w:szCs w:val="24"/>
          <w:lang w:eastAsia="pl-PL"/>
        </w:rPr>
        <w:t xml:space="preserve"> ust. 1a</w:t>
      </w:r>
      <w:r w:rsidRPr="00DF4C66">
        <w:rPr>
          <w:rFonts w:ascii="Times New Roman" w:eastAsia="Times New Roman" w:hAnsi="Times New Roman" w:cs="Times New Roman"/>
          <w:b/>
          <w:sz w:val="24"/>
          <w:szCs w:val="24"/>
          <w:lang w:eastAsia="pl-PL"/>
        </w:rPr>
        <w:t xml:space="preserve"> – doprecyzowanie katalogu tzw. ukrytych zysków fundacji rodzinnej</w:t>
      </w:r>
    </w:p>
    <w:p w14:paraId="28A05209" w14:textId="77777777" w:rsidR="007F43AF" w:rsidRDefault="007F43AF"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Dodatkowo, proponuje się doprecyzowanie </w:t>
      </w:r>
      <w:r w:rsidRPr="007F43AF">
        <w:rPr>
          <w:rFonts w:ascii="Times New Roman" w:eastAsia="Times New Roman" w:hAnsi="Times New Roman" w:cs="Times New Roman"/>
          <w:bCs/>
          <w:sz w:val="24"/>
          <w:szCs w:val="24"/>
          <w:lang w:eastAsia="pl-PL"/>
        </w:rPr>
        <w:t>katalogu ukrytych zysków fundacji rodzinnej poprzez zmianę art. 24q ust. 1a pkt 5 i 6 oraz dodanie pkt 7.</w:t>
      </w:r>
    </w:p>
    <w:p w14:paraId="33A61E0F" w14:textId="77777777" w:rsidR="007F43AF" w:rsidRDefault="007F43AF"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7F43AF">
        <w:rPr>
          <w:rFonts w:ascii="Times New Roman" w:eastAsia="Times New Roman" w:hAnsi="Times New Roman" w:cs="Times New Roman"/>
          <w:bCs/>
          <w:sz w:val="24"/>
          <w:szCs w:val="24"/>
          <w:lang w:eastAsia="pl-PL"/>
        </w:rPr>
        <w:t xml:space="preserve">Zmiany w pkt 5 i 6 polegają na rozszerzeniu zakresu podmiotowego tych regulacji. Obecnie obejmują one wyłącznie pożyczki udzielane beneficjentowi. Projekt zakłada objęcie nimi </w:t>
      </w:r>
      <w:r w:rsidRPr="007F43AF">
        <w:rPr>
          <w:rFonts w:ascii="Times New Roman" w:eastAsia="Times New Roman" w:hAnsi="Times New Roman" w:cs="Times New Roman"/>
          <w:bCs/>
          <w:sz w:val="24"/>
          <w:szCs w:val="24"/>
          <w:lang w:eastAsia="pl-PL"/>
        </w:rPr>
        <w:lastRenderedPageBreak/>
        <w:t>również pożyczek udzielanych fundatorowi oraz podmiotom powiązanym z beneficjentem, fundatorem lub fundacją rodzinną. Celem zmiany jest ograniczenie możliwości transferowania wartości ekonomicznej z fundacji rodzinnej do podmiotów powiązanych z pominięciem zasad opodatkowania właściwych dla świadczeń fundacji rodzinnej oraz zapewnienie spójności z pozostałymi regulacjami dotyczącymi ukrytych zysków.</w:t>
      </w:r>
    </w:p>
    <w:p w14:paraId="35EF79FA" w14:textId="50E7C01E" w:rsidR="001114CE" w:rsidRDefault="007F43AF"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7F43AF">
        <w:rPr>
          <w:rFonts w:ascii="Times New Roman" w:eastAsia="Times New Roman" w:hAnsi="Times New Roman" w:cs="Times New Roman"/>
          <w:bCs/>
          <w:sz w:val="24"/>
          <w:szCs w:val="24"/>
          <w:lang w:eastAsia="pl-PL"/>
        </w:rPr>
        <w:t xml:space="preserve">Projektowany pkt 7 wprowadza do katalogu ukrytych zysków wartość umorzonych, przedawnionych lub odpisanych jako nieściągalne należności fundacji rodzinnej, w tym należności z tytułu pożyczek. Regulacja obejmuje przypadki, w których fundator, beneficjent lub podmiot powiązany nie reguluje zobowiązań wobec fundacji rodzinnej, w szczególności z tytułu </w:t>
      </w:r>
      <w:r w:rsidR="00A74071">
        <w:rPr>
          <w:rFonts w:ascii="Times New Roman" w:eastAsia="Times New Roman" w:hAnsi="Times New Roman" w:cs="Times New Roman"/>
          <w:bCs/>
          <w:sz w:val="24"/>
          <w:szCs w:val="24"/>
          <w:lang w:eastAsia="pl-PL"/>
        </w:rPr>
        <w:t xml:space="preserve">pożyczki bądź </w:t>
      </w:r>
      <w:r w:rsidRPr="007F43AF">
        <w:rPr>
          <w:rFonts w:ascii="Times New Roman" w:eastAsia="Times New Roman" w:hAnsi="Times New Roman" w:cs="Times New Roman"/>
          <w:bCs/>
          <w:sz w:val="24"/>
          <w:szCs w:val="24"/>
          <w:lang w:eastAsia="pl-PL"/>
        </w:rPr>
        <w:t>nabytego od niej mienia lub usług, a należność następnie zostaje umorzona, przedawnia się lub jest odpisywana jako nieściągalna. W takich sytuacjach dochodzi do trwałego przysporzenia majątkowego po stronie dłużnika kosztem majątku fundacji rodzinnej, co uzasadnia uznanie takiego zdarzenia za ukryty zysk.</w:t>
      </w:r>
    </w:p>
    <w:p w14:paraId="7542FC76" w14:textId="77777777" w:rsidR="00CA49F8" w:rsidRDefault="00EF4371" w:rsidP="00393D6A">
      <w:pPr>
        <w:shd w:val="clear" w:color="auto" w:fill="FFFFFF" w:themeFill="background1"/>
        <w:spacing w:before="120" w:line="36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Zmiana w art. 24r ust. 1 ustawy CIT</w:t>
      </w:r>
    </w:p>
    <w:p w14:paraId="4EB32F3C" w14:textId="7436CC27" w:rsidR="00EF4371" w:rsidRPr="00CA49F8" w:rsidRDefault="00EF4371" w:rsidP="00393D6A">
      <w:pPr>
        <w:shd w:val="clear" w:color="auto" w:fill="FFFFFF" w:themeFill="background1"/>
        <w:spacing w:before="120" w:line="36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sz w:val="24"/>
          <w:szCs w:val="24"/>
          <w:lang w:eastAsia="pl-PL"/>
        </w:rPr>
        <w:t>Zmiana art. 24r ust. 1 ustawy CIT ma charakter doprecyzowujący i uszczelniający. Jej celem jest jednoznaczne wskazanie konsekwencji podatkowych prowadzenia przez fundację rodzinną działalności gospodarczej wykraczającej poza zakres określony w art. 5 ustawy o fundacji rodzinnej w zakresie podatku, o którym mowa w art. 22d ustawy CIT.</w:t>
      </w:r>
    </w:p>
    <w:p w14:paraId="4B27F1C1" w14:textId="1D73AEC1" w:rsidR="00EF4371" w:rsidRDefault="00EF4371" w:rsidP="00393D6A">
      <w:pPr>
        <w:spacing w:before="100" w:beforeAutospacing="1" w:after="100" w:afterAutospacing="1"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Zmiana nie wprowadza nowej sankcyjnej stawki opodatkowania ani nie zwiększa wysokości obciążeń podatkowych. Stawka 25% pozostaje już obecnie właściwa dla działalności fundacji rodzinnej wykraczającej poza ustawowy zakres dopuszczalnej działalności gospodarczej. Celem projektowanej regulacji jest wyeliminowanie ewentualnych wątpliwości interpretacyjnych dotyczących relacji pomiędzy art. 24r a art. 22d ustawy CIT.</w:t>
      </w:r>
    </w:p>
    <w:p w14:paraId="09691A9B" w14:textId="6435C592" w:rsidR="00CA49F8" w:rsidRPr="00CF3B1C" w:rsidRDefault="00EF4371" w:rsidP="00393D6A">
      <w:pPr>
        <w:spacing w:before="100" w:beforeAutospacing="1" w:after="100" w:afterAutospacing="1"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Projektowane rozwiązanie realizuje założenie, zgodnie z którym fundacja rodzinna korzysta z preferencyjnych zasad opodatkowania wyłącznie w zakresie działalności przewidzianej przez ustawodawcę. W przypadku prowadzenia działalności wykraczającej poza zakres określony w art. 5 ustawy o fundacji rodzinnej opodatkowaniu według stawki 25% powinny podlegać wszystkie dochody i zdarzenia podatkowe związane z taką działalnością, niezależnie od podstawy prawnej ich opodatkowania w ustawie CIT. </w:t>
      </w:r>
    </w:p>
    <w:p w14:paraId="76A2124A" w14:textId="25DC244B" w:rsidR="00F719BC" w:rsidRPr="007F43AF" w:rsidRDefault="00F719BC"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7F43AF">
        <w:rPr>
          <w:rFonts w:ascii="Times New Roman" w:eastAsia="Times New Roman" w:hAnsi="Times New Roman" w:cs="Times New Roman"/>
          <w:b/>
          <w:sz w:val="24"/>
          <w:szCs w:val="24"/>
          <w:lang w:eastAsia="pl-PL"/>
        </w:rPr>
        <w:t>Przepisy przejściowe, końcowe</w:t>
      </w:r>
    </w:p>
    <w:p w14:paraId="266B0862" w14:textId="2016CC9D" w:rsidR="00E50F35" w:rsidRPr="00DF4C66" w:rsidRDefault="00826B73"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bookmarkStart w:id="7" w:name="_Hlk237263658"/>
      <w:r w:rsidRPr="00DF4C66">
        <w:rPr>
          <w:rFonts w:ascii="Times New Roman" w:eastAsia="Times New Roman" w:hAnsi="Times New Roman" w:cs="Times New Roman"/>
          <w:bCs/>
          <w:sz w:val="24"/>
          <w:szCs w:val="24"/>
          <w:lang w:eastAsia="pl-PL"/>
        </w:rPr>
        <w:lastRenderedPageBreak/>
        <w:t xml:space="preserve">W projekcie ustawy przewiduje się również wprowadzenie przepisu przejściowego (art. </w:t>
      </w:r>
      <w:r w:rsidR="009F6B6D" w:rsidRPr="00DF4C66">
        <w:rPr>
          <w:rFonts w:ascii="Times New Roman" w:eastAsia="Times New Roman" w:hAnsi="Times New Roman" w:cs="Times New Roman"/>
          <w:bCs/>
          <w:sz w:val="24"/>
          <w:szCs w:val="24"/>
          <w:lang w:eastAsia="pl-PL"/>
        </w:rPr>
        <w:t>3</w:t>
      </w:r>
      <w:r w:rsidRPr="00DF4C66">
        <w:rPr>
          <w:rFonts w:ascii="Times New Roman" w:eastAsia="Times New Roman" w:hAnsi="Times New Roman" w:cs="Times New Roman"/>
          <w:bCs/>
          <w:sz w:val="24"/>
          <w:szCs w:val="24"/>
          <w:lang w:eastAsia="pl-PL"/>
        </w:rPr>
        <w:t xml:space="preserve"> projektu).</w:t>
      </w:r>
      <w:r w:rsidR="00AD3F49" w:rsidRPr="00DF4C66">
        <w:rPr>
          <w:rFonts w:ascii="Times New Roman" w:eastAsia="Times New Roman" w:hAnsi="Times New Roman" w:cs="Times New Roman"/>
          <w:bCs/>
          <w:sz w:val="24"/>
          <w:szCs w:val="24"/>
          <w:lang w:eastAsia="pl-PL"/>
        </w:rPr>
        <w:t xml:space="preserve"> </w:t>
      </w:r>
    </w:p>
    <w:p w14:paraId="5BC3EBF6" w14:textId="51DCC98B" w:rsidR="00E50F35" w:rsidRDefault="00E50F35"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Art. </w:t>
      </w:r>
      <w:r w:rsidR="009F6B6D" w:rsidRPr="00DF4C66">
        <w:rPr>
          <w:rFonts w:ascii="Times New Roman" w:eastAsia="Times New Roman" w:hAnsi="Times New Roman" w:cs="Times New Roman"/>
          <w:bCs/>
          <w:sz w:val="24"/>
          <w:szCs w:val="24"/>
          <w:lang w:eastAsia="pl-PL"/>
        </w:rPr>
        <w:t>3</w:t>
      </w:r>
      <w:r w:rsidRPr="00DF4C66">
        <w:rPr>
          <w:rFonts w:ascii="Times New Roman" w:eastAsia="Times New Roman" w:hAnsi="Times New Roman" w:cs="Times New Roman"/>
          <w:bCs/>
          <w:sz w:val="24"/>
          <w:szCs w:val="24"/>
          <w:lang w:eastAsia="pl-PL"/>
        </w:rPr>
        <w:t xml:space="preserve"> ust. 1 o</w:t>
      </w:r>
      <w:r w:rsidR="00826B73" w:rsidRPr="00DF4C66">
        <w:rPr>
          <w:rFonts w:ascii="Times New Roman" w:eastAsia="Times New Roman" w:hAnsi="Times New Roman" w:cs="Times New Roman"/>
          <w:bCs/>
          <w:sz w:val="24"/>
          <w:szCs w:val="24"/>
          <w:lang w:eastAsia="pl-PL"/>
        </w:rPr>
        <w:t xml:space="preserve">dnosi się do </w:t>
      </w:r>
      <w:r w:rsidR="00B93054">
        <w:rPr>
          <w:rFonts w:ascii="Times New Roman" w:eastAsia="Times New Roman" w:hAnsi="Times New Roman" w:cs="Times New Roman"/>
          <w:bCs/>
          <w:sz w:val="24"/>
          <w:szCs w:val="24"/>
          <w:lang w:eastAsia="pl-PL"/>
        </w:rPr>
        <w:t xml:space="preserve">zmian w ustawie PIT. </w:t>
      </w:r>
      <w:r w:rsidR="00B93054" w:rsidRPr="00B93054">
        <w:rPr>
          <w:rFonts w:ascii="Times New Roman" w:eastAsia="Times New Roman" w:hAnsi="Times New Roman" w:cs="Times New Roman"/>
          <w:bCs/>
          <w:sz w:val="24"/>
          <w:szCs w:val="24"/>
          <w:lang w:eastAsia="pl-PL"/>
        </w:rPr>
        <w:t xml:space="preserve">Przepisy ustawy </w:t>
      </w:r>
      <w:r w:rsidR="00B93054">
        <w:rPr>
          <w:rFonts w:ascii="Times New Roman" w:eastAsia="Times New Roman" w:hAnsi="Times New Roman" w:cs="Times New Roman"/>
          <w:bCs/>
          <w:sz w:val="24"/>
          <w:szCs w:val="24"/>
          <w:lang w:eastAsia="pl-PL"/>
        </w:rPr>
        <w:t>PIT</w:t>
      </w:r>
      <w:r w:rsidR="00B93054" w:rsidRPr="00B93054">
        <w:rPr>
          <w:rFonts w:ascii="Times New Roman" w:eastAsia="Times New Roman" w:hAnsi="Times New Roman" w:cs="Times New Roman"/>
          <w:bCs/>
          <w:sz w:val="24"/>
          <w:szCs w:val="24"/>
          <w:lang w:eastAsia="pl-PL"/>
        </w:rPr>
        <w:t xml:space="preserve"> w </w:t>
      </w:r>
      <w:r w:rsidR="00B93054">
        <w:rPr>
          <w:rFonts w:ascii="Times New Roman" w:eastAsia="Times New Roman" w:hAnsi="Times New Roman" w:cs="Times New Roman"/>
          <w:bCs/>
          <w:sz w:val="24"/>
          <w:szCs w:val="24"/>
          <w:lang w:eastAsia="pl-PL"/>
        </w:rPr>
        <w:t xml:space="preserve">nowym brzmieniu znajdą zastosowanie </w:t>
      </w:r>
      <w:r w:rsidR="00B93054" w:rsidRPr="00B93054">
        <w:rPr>
          <w:rFonts w:ascii="Times New Roman" w:eastAsia="Times New Roman" w:hAnsi="Times New Roman" w:cs="Times New Roman"/>
          <w:bCs/>
          <w:sz w:val="24"/>
          <w:szCs w:val="24"/>
          <w:lang w:eastAsia="pl-PL"/>
        </w:rPr>
        <w:t>do przychodów (dochodów) uzyskanych od dnia 1 stycznia 2027 r.</w:t>
      </w:r>
      <w:r w:rsidR="00834EF3">
        <w:rPr>
          <w:rFonts w:ascii="Times New Roman" w:eastAsia="Times New Roman" w:hAnsi="Times New Roman" w:cs="Times New Roman"/>
          <w:bCs/>
          <w:sz w:val="24"/>
          <w:szCs w:val="24"/>
          <w:lang w:eastAsia="pl-PL"/>
        </w:rPr>
        <w:t xml:space="preserve"> </w:t>
      </w:r>
    </w:p>
    <w:p w14:paraId="52DF41BE" w14:textId="6413B522" w:rsidR="00B93054" w:rsidRPr="00B93054" w:rsidRDefault="00E50F35"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Art. </w:t>
      </w:r>
      <w:r w:rsidR="009F6B6D" w:rsidRPr="00DF4C66">
        <w:rPr>
          <w:rFonts w:ascii="Times New Roman" w:eastAsia="Times New Roman" w:hAnsi="Times New Roman" w:cs="Times New Roman"/>
          <w:bCs/>
          <w:sz w:val="24"/>
          <w:szCs w:val="24"/>
          <w:lang w:eastAsia="pl-PL"/>
        </w:rPr>
        <w:t>3</w:t>
      </w:r>
      <w:r w:rsidRPr="00DF4C66">
        <w:rPr>
          <w:rFonts w:ascii="Times New Roman" w:eastAsia="Times New Roman" w:hAnsi="Times New Roman" w:cs="Times New Roman"/>
          <w:bCs/>
          <w:sz w:val="24"/>
          <w:szCs w:val="24"/>
          <w:lang w:eastAsia="pl-PL"/>
        </w:rPr>
        <w:t xml:space="preserve"> ust. 2 </w:t>
      </w:r>
      <w:bookmarkEnd w:id="7"/>
      <w:r w:rsidR="00B93054" w:rsidRPr="00B93054">
        <w:rPr>
          <w:rFonts w:ascii="Times New Roman" w:eastAsia="Times New Roman" w:hAnsi="Times New Roman" w:cs="Times New Roman"/>
          <w:bCs/>
          <w:sz w:val="24"/>
          <w:szCs w:val="24"/>
          <w:lang w:eastAsia="pl-PL"/>
        </w:rPr>
        <w:t xml:space="preserve">określa moment rozpoczęcia stosowania zmian w ustawie </w:t>
      </w:r>
      <w:r w:rsidR="00B93054">
        <w:rPr>
          <w:rFonts w:ascii="Times New Roman" w:eastAsia="Times New Roman" w:hAnsi="Times New Roman" w:cs="Times New Roman"/>
          <w:bCs/>
          <w:sz w:val="24"/>
          <w:szCs w:val="24"/>
          <w:lang w:eastAsia="pl-PL"/>
        </w:rPr>
        <w:t>CIT</w:t>
      </w:r>
      <w:r w:rsidR="00B93054" w:rsidRPr="00B93054">
        <w:rPr>
          <w:rFonts w:ascii="Times New Roman" w:eastAsia="Times New Roman" w:hAnsi="Times New Roman" w:cs="Times New Roman"/>
          <w:bCs/>
          <w:sz w:val="24"/>
          <w:szCs w:val="24"/>
          <w:lang w:eastAsia="pl-PL"/>
        </w:rPr>
        <w:t>. Co do zasady</w:t>
      </w:r>
      <w:r w:rsidR="00B93054">
        <w:rPr>
          <w:rFonts w:ascii="Times New Roman" w:eastAsia="Times New Roman" w:hAnsi="Times New Roman" w:cs="Times New Roman"/>
          <w:bCs/>
          <w:sz w:val="24"/>
          <w:szCs w:val="24"/>
          <w:lang w:eastAsia="pl-PL"/>
        </w:rPr>
        <w:t>,</w:t>
      </w:r>
      <w:r w:rsidR="00B93054" w:rsidRPr="00B93054">
        <w:rPr>
          <w:rFonts w:ascii="Times New Roman" w:eastAsia="Times New Roman" w:hAnsi="Times New Roman" w:cs="Times New Roman"/>
          <w:bCs/>
          <w:sz w:val="24"/>
          <w:szCs w:val="24"/>
          <w:lang w:eastAsia="pl-PL"/>
        </w:rPr>
        <w:t xml:space="preserve"> nowe regulacje będą miały zastosowanie do przychodów (dochodów) uzyskanych od roku podatkowego fundacji rodzinnej rozpoczynającego się po dniu 31 grudnia 2026 r., co zapewni podatnikom odpowiedni czas na dostosowanie działalności do nowych zasad opodatkowania.</w:t>
      </w:r>
    </w:p>
    <w:p w14:paraId="683B0C2E" w14:textId="3621B110" w:rsidR="00B93054" w:rsidRDefault="00B93054"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B93054">
        <w:rPr>
          <w:rFonts w:ascii="Times New Roman" w:eastAsia="Times New Roman" w:hAnsi="Times New Roman" w:cs="Times New Roman"/>
          <w:bCs/>
          <w:sz w:val="24"/>
          <w:szCs w:val="24"/>
          <w:lang w:eastAsia="pl-PL"/>
        </w:rPr>
        <w:t>Jednocześnie wprowadzono przepisy szczególne odnoszące się do regulacji dotyczącej opodatkowania przychodów ze zbycia mienia wniesionego lub nieodpłatnie przekazanego fundacji rodzinnej oraz do zmian w zakresie opodatkowania świadczeń i mienia przekazywanych przez fundację rodzinną. Rozwiązanie to ma na celu jednoznaczne określenie zakresu temporalnego stosowania nowych regulacji</w:t>
      </w:r>
      <w:r>
        <w:rPr>
          <w:rFonts w:ascii="Times New Roman" w:eastAsia="Times New Roman" w:hAnsi="Times New Roman" w:cs="Times New Roman"/>
          <w:bCs/>
          <w:sz w:val="24"/>
          <w:szCs w:val="24"/>
          <w:lang w:eastAsia="pl-PL"/>
        </w:rPr>
        <w:t xml:space="preserve">. </w:t>
      </w:r>
      <w:r w:rsidRPr="00B93054">
        <w:rPr>
          <w:rFonts w:ascii="Times New Roman" w:eastAsia="Times New Roman" w:hAnsi="Times New Roman" w:cs="Times New Roman"/>
          <w:bCs/>
          <w:sz w:val="24"/>
          <w:szCs w:val="24"/>
          <w:lang w:eastAsia="pl-PL"/>
        </w:rPr>
        <w:t>Dzięki temu zapewniona zostaje realizacja zasady ochrony praw nabytych i interesów w toku, a także pewność prawa po stronie fundacji rodzinnych i ich beneficjentów.</w:t>
      </w:r>
    </w:p>
    <w:p w14:paraId="45928229" w14:textId="20302437" w:rsidR="00B93054" w:rsidRDefault="00B93054"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Art. 3 ust. 3 </w:t>
      </w:r>
      <w:r w:rsidRPr="00B93054">
        <w:rPr>
          <w:rFonts w:ascii="Times New Roman" w:eastAsia="Times New Roman" w:hAnsi="Times New Roman" w:cs="Times New Roman"/>
          <w:bCs/>
          <w:sz w:val="24"/>
          <w:szCs w:val="24"/>
          <w:lang w:eastAsia="pl-PL"/>
        </w:rPr>
        <w:t>reguluje sytuację fundacji rodzinnych, których rok podatkowy nie pokrywa się z rokiem kalendarzowym i rozpoczął się przed dniem 1 stycznia 2027 r., a zakończy się po dniu 31 grudnia 2026 r. W celu zapewnienia pewności prawa oraz uniknięcia zmiany zasad opodatkowania w trakcie trwania roku podatkowego przyjęto, że do końca takiego roku podatkowego fundacje rodzinne będą stosowały przepisy ustawy o podatku dochodowym od osób prawnych w brzmieniu dotychczasowym. Nowe regulacje znajdą zastosowanie dopiero od kolejnego roku podatkowego fundacji rodzinnej.</w:t>
      </w:r>
    </w:p>
    <w:p w14:paraId="03A3CFE1" w14:textId="64271637" w:rsidR="00B93054" w:rsidRPr="00B93054" w:rsidRDefault="00B93054"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Art. 3 ust. 4 </w:t>
      </w:r>
      <w:r w:rsidRPr="00B93054">
        <w:rPr>
          <w:rFonts w:ascii="Times New Roman" w:eastAsia="Times New Roman" w:hAnsi="Times New Roman" w:cs="Times New Roman"/>
          <w:bCs/>
          <w:sz w:val="24"/>
          <w:szCs w:val="24"/>
          <w:lang w:eastAsia="pl-PL"/>
        </w:rPr>
        <w:t xml:space="preserve">ma na celu zapewnienie odpowiedniego okresu dostosowawczego w związku z wprowadzeniem ograniczenia zwolnienia z podatku dla określonych przychodów fundacji rodzinnych związanych z nieruchomościami. Regulacja umożliwia fundacjom rodzinnym zwrot </w:t>
      </w:r>
      <w:r>
        <w:rPr>
          <w:rFonts w:ascii="Times New Roman" w:eastAsia="Times New Roman" w:hAnsi="Times New Roman" w:cs="Times New Roman"/>
          <w:bCs/>
          <w:sz w:val="24"/>
          <w:szCs w:val="24"/>
          <w:lang w:eastAsia="pl-PL"/>
        </w:rPr>
        <w:t>określonych</w:t>
      </w:r>
      <w:r w:rsidRPr="00B93054">
        <w:rPr>
          <w:rFonts w:ascii="Times New Roman" w:eastAsia="Times New Roman" w:hAnsi="Times New Roman" w:cs="Times New Roman"/>
          <w:bCs/>
          <w:sz w:val="24"/>
          <w:szCs w:val="24"/>
          <w:lang w:eastAsia="pl-PL"/>
        </w:rPr>
        <w:t xml:space="preserve"> składników majątku osobom, które wniosły je do fundacji lub przekazały jej nieodpłatnie przed dniem 1 stycznia 2027 r., bez powstania dodatkowych </w:t>
      </w:r>
      <w:r>
        <w:rPr>
          <w:rFonts w:ascii="Times New Roman" w:eastAsia="Times New Roman" w:hAnsi="Times New Roman" w:cs="Times New Roman"/>
          <w:bCs/>
          <w:sz w:val="24"/>
          <w:szCs w:val="24"/>
          <w:lang w:eastAsia="pl-PL"/>
        </w:rPr>
        <w:t>obowiązków</w:t>
      </w:r>
      <w:r w:rsidRPr="00B93054">
        <w:rPr>
          <w:rFonts w:ascii="Times New Roman" w:eastAsia="Times New Roman" w:hAnsi="Times New Roman" w:cs="Times New Roman"/>
          <w:bCs/>
          <w:sz w:val="24"/>
          <w:szCs w:val="24"/>
          <w:lang w:eastAsia="pl-PL"/>
        </w:rPr>
        <w:t xml:space="preserve"> podatkowych.</w:t>
      </w:r>
    </w:p>
    <w:p w14:paraId="18C9323C" w14:textId="4A8C1645" w:rsidR="00B93054" w:rsidRPr="00B93054" w:rsidRDefault="00B93054"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B93054">
        <w:rPr>
          <w:rFonts w:ascii="Times New Roman" w:eastAsia="Times New Roman" w:hAnsi="Times New Roman" w:cs="Times New Roman"/>
          <w:bCs/>
          <w:sz w:val="24"/>
          <w:szCs w:val="24"/>
          <w:lang w:eastAsia="pl-PL"/>
        </w:rPr>
        <w:t xml:space="preserve">Przepisy przewidują neutralność podatkową zwrotu zarówno po stronie fundacji rodzinnej, jak i po stronie osoby otrzymującej zwracane mienie. W szczególności wyłączono stosowanie przepisów dotyczących opodatkowania świadczeń fundacji rodzinnej oraz działalności wykraczającej poza zakres działalności dozwolonej, zwolniono zwrot dokonany w formie </w:t>
      </w:r>
      <w:r w:rsidRPr="00B93054">
        <w:rPr>
          <w:rFonts w:ascii="Times New Roman" w:eastAsia="Times New Roman" w:hAnsi="Times New Roman" w:cs="Times New Roman"/>
          <w:bCs/>
          <w:sz w:val="24"/>
          <w:szCs w:val="24"/>
          <w:lang w:eastAsia="pl-PL"/>
        </w:rPr>
        <w:lastRenderedPageBreak/>
        <w:t>darowizny z podatku od spadków i darowizn oraz wyeliminowano skutki w podatku dochodowym od osób fizycznych związane z samym odzyskaniem nieruchomości lub prawa majątkowego.</w:t>
      </w:r>
    </w:p>
    <w:p w14:paraId="7C510DDC" w14:textId="078DBE68" w:rsidR="00B93054" w:rsidRPr="00B93054" w:rsidRDefault="00B93054"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B93054">
        <w:rPr>
          <w:rFonts w:ascii="Times New Roman" w:eastAsia="Times New Roman" w:hAnsi="Times New Roman" w:cs="Times New Roman"/>
          <w:bCs/>
          <w:sz w:val="24"/>
          <w:szCs w:val="24"/>
          <w:lang w:eastAsia="pl-PL"/>
        </w:rPr>
        <w:t xml:space="preserve">Jednocześnie, określono szczególne zasady uwzględniania okresu posiadania zwracanych nieruchomości lub praw majątkowych oraz ustalania kosztów uzyskania przychodów w przypadku ich późniejszego odpłatnego zbycia. Rozwiązanie to </w:t>
      </w:r>
      <w:r>
        <w:rPr>
          <w:rFonts w:ascii="Times New Roman" w:eastAsia="Times New Roman" w:hAnsi="Times New Roman" w:cs="Times New Roman"/>
          <w:bCs/>
          <w:sz w:val="24"/>
          <w:szCs w:val="24"/>
          <w:lang w:eastAsia="pl-PL"/>
        </w:rPr>
        <w:t>powoduje</w:t>
      </w:r>
      <w:r w:rsidRPr="00B93054">
        <w:rPr>
          <w:rFonts w:ascii="Times New Roman" w:eastAsia="Times New Roman" w:hAnsi="Times New Roman" w:cs="Times New Roman"/>
          <w:bCs/>
          <w:sz w:val="24"/>
          <w:szCs w:val="24"/>
          <w:lang w:eastAsia="pl-PL"/>
        </w:rPr>
        <w:t>, że zwrot majątku będzie miał charakter podatkowo neutralny, nie prowadząc jednocześnie do ponownego kreowania kosztów podatkowych lub rozpoczynania biegu terminów podatkowych od nowa.</w:t>
      </w:r>
    </w:p>
    <w:p w14:paraId="71EA03E1" w14:textId="658EAF92" w:rsidR="00B93054" w:rsidRDefault="00B93054"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Art. 3 ust. </w:t>
      </w:r>
      <w:r w:rsidR="002A6C06">
        <w:rPr>
          <w:rFonts w:ascii="Times New Roman" w:eastAsia="Times New Roman" w:hAnsi="Times New Roman" w:cs="Times New Roman"/>
          <w:bCs/>
          <w:sz w:val="24"/>
          <w:szCs w:val="24"/>
          <w:lang w:eastAsia="pl-PL"/>
        </w:rPr>
        <w:t>5</w:t>
      </w:r>
      <w:r>
        <w:rPr>
          <w:rFonts w:ascii="Times New Roman" w:eastAsia="Times New Roman" w:hAnsi="Times New Roman" w:cs="Times New Roman"/>
          <w:bCs/>
          <w:sz w:val="24"/>
          <w:szCs w:val="24"/>
          <w:lang w:eastAsia="pl-PL"/>
        </w:rPr>
        <w:t xml:space="preserve"> </w:t>
      </w:r>
      <w:r w:rsidRPr="00B93054">
        <w:rPr>
          <w:rFonts w:ascii="Times New Roman" w:eastAsia="Times New Roman" w:hAnsi="Times New Roman" w:cs="Times New Roman"/>
          <w:bCs/>
          <w:sz w:val="24"/>
          <w:szCs w:val="24"/>
          <w:lang w:eastAsia="pl-PL"/>
        </w:rPr>
        <w:t>definiuje pojęcie zwrotu nieruchomości i praw majątkowych, ograniczając jego zakres do składników majątku objętych nowymi zasadami opodatkowania przychodów fundacji rodzinnych z najmu nieruchomości mieszkalnych oraz nieruchomości przeznaczonych do całodobowego zakwaterowania. Dzięki temu regulacja przejściowa pozostaje ściśle związana z przedmiotem projektowanej zmiany.</w:t>
      </w:r>
    </w:p>
    <w:p w14:paraId="7333619B" w14:textId="6B8E945C" w:rsidR="007732E7" w:rsidRPr="00DF4C66" w:rsidRDefault="00826B73" w:rsidP="00393D6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DF4C66">
        <w:rPr>
          <w:rFonts w:ascii="Times New Roman" w:eastAsia="Times New Roman" w:hAnsi="Times New Roman" w:cs="Times New Roman"/>
          <w:bCs/>
          <w:sz w:val="24"/>
          <w:szCs w:val="24"/>
          <w:lang w:eastAsia="pl-PL"/>
        </w:rPr>
        <w:t xml:space="preserve">Art. </w:t>
      </w:r>
      <w:r w:rsidR="009F6B6D" w:rsidRPr="00DF4C66">
        <w:rPr>
          <w:rFonts w:ascii="Times New Roman" w:eastAsia="Times New Roman" w:hAnsi="Times New Roman" w:cs="Times New Roman"/>
          <w:bCs/>
          <w:sz w:val="24"/>
          <w:szCs w:val="24"/>
          <w:lang w:eastAsia="pl-PL"/>
        </w:rPr>
        <w:t>4</w:t>
      </w:r>
      <w:r w:rsidRPr="00DF4C66">
        <w:rPr>
          <w:rFonts w:ascii="Times New Roman" w:eastAsia="Times New Roman" w:hAnsi="Times New Roman" w:cs="Times New Roman"/>
          <w:bCs/>
          <w:sz w:val="24"/>
          <w:szCs w:val="24"/>
          <w:lang w:eastAsia="pl-PL"/>
        </w:rPr>
        <w:t xml:space="preserve"> stanowi, że projektowana ustawa wejdzie w życie z dniem 1 stycznia 202</w:t>
      </w:r>
      <w:r w:rsidR="00672933" w:rsidRPr="00DF4C66">
        <w:rPr>
          <w:rFonts w:ascii="Times New Roman" w:eastAsia="Times New Roman" w:hAnsi="Times New Roman" w:cs="Times New Roman"/>
          <w:bCs/>
          <w:sz w:val="24"/>
          <w:szCs w:val="24"/>
          <w:lang w:eastAsia="pl-PL"/>
        </w:rPr>
        <w:t>7</w:t>
      </w:r>
      <w:r w:rsidRPr="00DF4C66">
        <w:rPr>
          <w:rFonts w:ascii="Times New Roman" w:eastAsia="Times New Roman" w:hAnsi="Times New Roman" w:cs="Times New Roman"/>
          <w:bCs/>
          <w:sz w:val="24"/>
          <w:szCs w:val="24"/>
          <w:lang w:eastAsia="pl-PL"/>
        </w:rPr>
        <w:t xml:space="preserve"> r.</w:t>
      </w:r>
      <w:r w:rsidR="002B67D0" w:rsidRPr="00DF4C66">
        <w:rPr>
          <w:rFonts w:ascii="Times New Roman" w:eastAsia="Times New Roman" w:hAnsi="Times New Roman" w:cs="Times New Roman"/>
          <w:bCs/>
          <w:sz w:val="24"/>
          <w:szCs w:val="24"/>
          <w:lang w:eastAsia="pl-PL"/>
        </w:rPr>
        <w:t xml:space="preserve"> </w:t>
      </w:r>
      <w:r w:rsidR="004909A1" w:rsidRPr="00DF4C66">
        <w:rPr>
          <w:rFonts w:ascii="Times New Roman" w:eastAsia="Times New Roman" w:hAnsi="Times New Roman" w:cs="Times New Roman"/>
          <w:bCs/>
          <w:sz w:val="24"/>
          <w:szCs w:val="24"/>
          <w:lang w:eastAsia="pl-PL"/>
        </w:rPr>
        <w:t xml:space="preserve">Zakres zmian ujętych w projekcie nie uzasadnia zastosowania okresu </w:t>
      </w:r>
      <w:r w:rsidR="004909A1" w:rsidRPr="00DF4C66">
        <w:rPr>
          <w:rFonts w:ascii="Times New Roman" w:eastAsia="Times New Roman" w:hAnsi="Times New Roman" w:cs="Times New Roman"/>
          <w:bCs/>
          <w:i/>
          <w:iCs/>
          <w:sz w:val="24"/>
          <w:szCs w:val="24"/>
          <w:lang w:eastAsia="pl-PL"/>
        </w:rPr>
        <w:t>vacatio legis</w:t>
      </w:r>
      <w:r w:rsidR="004909A1" w:rsidRPr="00DF4C66">
        <w:rPr>
          <w:rFonts w:ascii="Times New Roman" w:eastAsia="Times New Roman" w:hAnsi="Times New Roman" w:cs="Times New Roman"/>
          <w:bCs/>
          <w:sz w:val="24"/>
          <w:szCs w:val="24"/>
          <w:lang w:eastAsia="pl-PL"/>
        </w:rPr>
        <w:t xml:space="preserve"> dłuższego niż miesięczny (który to okres na gruncie podatków dochodowych wyprowadzany jest z art. 2 Konstytucji RP). Ważny interes publiczny wymaga wejścia w życie tych zmian już od 1 stycznia 202</w:t>
      </w:r>
      <w:r w:rsidR="00672933" w:rsidRPr="00DF4C66">
        <w:rPr>
          <w:rFonts w:ascii="Times New Roman" w:eastAsia="Times New Roman" w:hAnsi="Times New Roman" w:cs="Times New Roman"/>
          <w:bCs/>
          <w:sz w:val="24"/>
          <w:szCs w:val="24"/>
          <w:lang w:eastAsia="pl-PL"/>
        </w:rPr>
        <w:t>7</w:t>
      </w:r>
      <w:r w:rsidR="004909A1" w:rsidRPr="00DF4C66">
        <w:rPr>
          <w:rFonts w:ascii="Times New Roman" w:eastAsia="Times New Roman" w:hAnsi="Times New Roman" w:cs="Times New Roman"/>
          <w:bCs/>
          <w:sz w:val="24"/>
          <w:szCs w:val="24"/>
          <w:lang w:eastAsia="pl-PL"/>
        </w:rPr>
        <w:t xml:space="preserve"> r.</w:t>
      </w:r>
    </w:p>
    <w:p w14:paraId="47D68374" w14:textId="54152FE1" w:rsidR="003D2B1F" w:rsidRPr="00DF4C66" w:rsidRDefault="003D2B1F" w:rsidP="00393D6A">
      <w:pPr>
        <w:pStyle w:val="Akapitzlist"/>
        <w:numPr>
          <w:ilvl w:val="0"/>
          <w:numId w:val="6"/>
        </w:numPr>
        <w:shd w:val="clear" w:color="auto" w:fill="FFFFFF" w:themeFill="background1"/>
        <w:spacing w:before="120" w:after="0" w:line="360" w:lineRule="auto"/>
        <w:contextualSpacing w:val="0"/>
        <w:jc w:val="both"/>
        <w:rPr>
          <w:rFonts w:ascii="Times New Roman" w:eastAsia="Times New Roman" w:hAnsi="Times New Roman" w:cs="Times New Roman"/>
          <w:b/>
          <w:sz w:val="24"/>
          <w:szCs w:val="24"/>
          <w:lang w:eastAsia="pl-PL"/>
        </w:rPr>
      </w:pPr>
      <w:r w:rsidRPr="00DF4C66">
        <w:rPr>
          <w:rFonts w:ascii="Times New Roman" w:eastAsia="Times New Roman" w:hAnsi="Times New Roman" w:cs="Times New Roman"/>
          <w:b/>
          <w:sz w:val="24"/>
          <w:szCs w:val="24"/>
          <w:lang w:eastAsia="pl-PL"/>
        </w:rPr>
        <w:t>Dodatkowe informacje</w:t>
      </w:r>
    </w:p>
    <w:p w14:paraId="0B7DE185" w14:textId="61F83C30" w:rsidR="003D2B1F" w:rsidRPr="00DF4C66" w:rsidRDefault="003D2B1F" w:rsidP="00393D6A">
      <w:pPr>
        <w:shd w:val="clear" w:color="auto" w:fill="FFFFFF" w:themeFill="background1"/>
        <w:spacing w:before="120" w:line="360" w:lineRule="auto"/>
        <w:jc w:val="both"/>
        <w:rPr>
          <w:rFonts w:ascii="Times New Roman" w:eastAsia="Times New Roman" w:hAnsi="Times New Roman" w:cs="Times New Roman"/>
          <w:sz w:val="24"/>
          <w:szCs w:val="24"/>
          <w:lang w:eastAsia="pl-PL"/>
        </w:rPr>
      </w:pPr>
      <w:r w:rsidRPr="00DF4C66">
        <w:rPr>
          <w:rFonts w:ascii="Times New Roman" w:eastAsia="Times New Roman" w:hAnsi="Times New Roman" w:cs="Times New Roman"/>
          <w:sz w:val="24"/>
          <w:szCs w:val="24"/>
          <w:lang w:eastAsia="pl-PL"/>
        </w:rPr>
        <w:t xml:space="preserve">Projekt ustawy jest zgodny z prawem Unii Europejskiej i nie podlega obowiązkowi przedstawienia właściwym instytucjom Unii Europejskiej, w tym Europejskiemu Bankowi Centralnemu, w celu uzyskania opinii, dokonania powiadomienia, konsultacji albo uzgodnienia. </w:t>
      </w:r>
    </w:p>
    <w:p w14:paraId="77415FC3" w14:textId="6FB2521B" w:rsidR="003D2B1F" w:rsidRPr="00DF4C66" w:rsidRDefault="003D2B1F" w:rsidP="00393D6A">
      <w:pPr>
        <w:shd w:val="clear" w:color="auto" w:fill="FFFFFF" w:themeFill="background1"/>
        <w:spacing w:before="120" w:line="360" w:lineRule="auto"/>
        <w:jc w:val="both"/>
        <w:rPr>
          <w:rFonts w:ascii="Times New Roman" w:eastAsia="Times New Roman" w:hAnsi="Times New Roman" w:cs="Times New Roman"/>
          <w:sz w:val="24"/>
          <w:szCs w:val="24"/>
          <w:lang w:eastAsia="pl-PL"/>
        </w:rPr>
      </w:pPr>
      <w:r w:rsidRPr="00DF4C66">
        <w:rPr>
          <w:rFonts w:ascii="Times New Roman" w:eastAsia="Times New Roman" w:hAnsi="Times New Roman" w:cs="Times New Roman"/>
          <w:sz w:val="24"/>
          <w:szCs w:val="24"/>
          <w:lang w:eastAsia="pl-PL"/>
        </w:rPr>
        <w:t>Projekt ustawy nie podlega procedurze notyfikacji aktów prawnych, określonej w przepisach rozporządzenia Rady Ministrów z dnia 23 grudnia 2002 r. w sprawie</w:t>
      </w:r>
      <w:r w:rsidR="00C613D8" w:rsidRPr="00DF4C66">
        <w:rPr>
          <w:rFonts w:ascii="Times New Roman" w:eastAsia="Times New Roman" w:hAnsi="Times New Roman" w:cs="Times New Roman"/>
          <w:sz w:val="24"/>
          <w:szCs w:val="24"/>
          <w:lang w:eastAsia="pl-PL"/>
        </w:rPr>
        <w:t xml:space="preserve"> sposobu</w:t>
      </w:r>
      <w:r w:rsidRPr="00DF4C66">
        <w:rPr>
          <w:rFonts w:ascii="Times New Roman" w:eastAsia="Times New Roman" w:hAnsi="Times New Roman" w:cs="Times New Roman"/>
          <w:sz w:val="24"/>
          <w:szCs w:val="24"/>
          <w:lang w:eastAsia="pl-PL"/>
        </w:rPr>
        <w:t xml:space="preserve"> funkcjonowania krajowego systemu notyfikacji norm i aktów prawnych (Dz. U. poz. 2039, z późn. zm.). </w:t>
      </w:r>
    </w:p>
    <w:p w14:paraId="0AC2BAD9" w14:textId="737A392F" w:rsidR="006660EA" w:rsidRPr="00DF4C66" w:rsidRDefault="003D2B1F" w:rsidP="00393D6A">
      <w:pPr>
        <w:shd w:val="clear" w:color="auto" w:fill="FFFFFF" w:themeFill="background1"/>
        <w:spacing w:before="120" w:line="360" w:lineRule="auto"/>
        <w:jc w:val="both"/>
        <w:rPr>
          <w:rFonts w:ascii="Times New Roman" w:eastAsia="Calibri" w:hAnsi="Times New Roman" w:cs="Times New Roman"/>
          <w:bCs/>
          <w:iCs/>
          <w:sz w:val="24"/>
          <w:szCs w:val="24"/>
        </w:rPr>
      </w:pPr>
      <w:r w:rsidRPr="00DF4C66">
        <w:rPr>
          <w:rFonts w:ascii="Times New Roman" w:eastAsia="Times New Roman" w:hAnsi="Times New Roman" w:cs="Times New Roman"/>
          <w:sz w:val="24"/>
          <w:szCs w:val="24"/>
          <w:lang w:eastAsia="pl-PL"/>
        </w:rPr>
        <w:t>Projekt nie stwarza zagrożeń korupcyjnych.</w:t>
      </w:r>
    </w:p>
    <w:sectPr w:rsidR="006660EA" w:rsidRPr="00DF4C66" w:rsidSect="00393D6A">
      <w:footerReference w:type="default" r:id="rId8"/>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44406" w14:textId="77777777" w:rsidR="00F43634" w:rsidRDefault="00F43634" w:rsidP="00B511B4">
      <w:r>
        <w:separator/>
      </w:r>
    </w:p>
  </w:endnote>
  <w:endnote w:type="continuationSeparator" w:id="0">
    <w:p w14:paraId="7F64D38B" w14:textId="77777777" w:rsidR="00F43634" w:rsidRDefault="00F43634" w:rsidP="00B51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465224"/>
      <w:docPartObj>
        <w:docPartGallery w:val="Page Numbers (Bottom of Page)"/>
        <w:docPartUnique/>
      </w:docPartObj>
    </w:sdtPr>
    <w:sdtEndPr>
      <w:rPr>
        <w:rFonts w:ascii="Times New Roman" w:hAnsi="Times New Roman" w:cs="Times New Roman"/>
        <w:sz w:val="24"/>
        <w:szCs w:val="24"/>
      </w:rPr>
    </w:sdtEndPr>
    <w:sdtContent>
      <w:p w14:paraId="2D7D75B8" w14:textId="0A05D67D" w:rsidR="001371B2" w:rsidRPr="00072587" w:rsidRDefault="001371B2" w:rsidP="00072587">
        <w:pPr>
          <w:pStyle w:val="Stopka"/>
          <w:jc w:val="center"/>
          <w:rPr>
            <w:rFonts w:ascii="Times New Roman" w:hAnsi="Times New Roman" w:cs="Times New Roman"/>
            <w:sz w:val="24"/>
            <w:szCs w:val="24"/>
          </w:rPr>
        </w:pPr>
        <w:r w:rsidRPr="00072587">
          <w:rPr>
            <w:rFonts w:ascii="Times New Roman" w:hAnsi="Times New Roman" w:cs="Times New Roman"/>
            <w:sz w:val="24"/>
            <w:szCs w:val="24"/>
          </w:rPr>
          <w:fldChar w:fldCharType="begin"/>
        </w:r>
        <w:r w:rsidRPr="00072587">
          <w:rPr>
            <w:rFonts w:ascii="Times New Roman" w:hAnsi="Times New Roman" w:cs="Times New Roman"/>
            <w:sz w:val="24"/>
            <w:szCs w:val="24"/>
          </w:rPr>
          <w:instrText>PAGE   \* MERGEFORMAT</w:instrText>
        </w:r>
        <w:r w:rsidRPr="00072587">
          <w:rPr>
            <w:rFonts w:ascii="Times New Roman" w:hAnsi="Times New Roman" w:cs="Times New Roman"/>
            <w:sz w:val="24"/>
            <w:szCs w:val="24"/>
          </w:rPr>
          <w:fldChar w:fldCharType="separate"/>
        </w:r>
        <w:r w:rsidRPr="00072587">
          <w:rPr>
            <w:rFonts w:ascii="Times New Roman" w:hAnsi="Times New Roman" w:cs="Times New Roman"/>
            <w:sz w:val="24"/>
            <w:szCs w:val="24"/>
          </w:rPr>
          <w:t>2</w:t>
        </w:r>
        <w:r w:rsidRPr="00072587">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B839B" w14:textId="77777777" w:rsidR="00F43634" w:rsidRDefault="00F43634" w:rsidP="00B511B4">
      <w:r>
        <w:separator/>
      </w:r>
    </w:p>
  </w:footnote>
  <w:footnote w:type="continuationSeparator" w:id="0">
    <w:p w14:paraId="097C897B" w14:textId="77777777" w:rsidR="00F43634" w:rsidRDefault="00F43634" w:rsidP="00B511B4">
      <w:r>
        <w:continuationSeparator/>
      </w:r>
    </w:p>
  </w:footnote>
  <w:footnote w:id="1">
    <w:p w14:paraId="33540760" w14:textId="07F35743" w:rsidR="00952F1C" w:rsidRPr="00DF4C66" w:rsidRDefault="00952F1C" w:rsidP="00672933">
      <w:pPr>
        <w:pStyle w:val="Tekstprzypisudolnego"/>
        <w:jc w:val="both"/>
        <w:rPr>
          <w:rFonts w:ascii="Times New Roman" w:hAnsi="Times New Roman"/>
        </w:rPr>
      </w:pPr>
      <w:r w:rsidRPr="00DF4C66">
        <w:rPr>
          <w:rStyle w:val="Odwoanieprzypisudolnego"/>
          <w:rFonts w:ascii="Times New Roman" w:hAnsi="Times New Roman"/>
        </w:rPr>
        <w:footnoteRef/>
      </w:r>
      <w:r w:rsidRPr="00DF4C66">
        <w:rPr>
          <w:rFonts w:ascii="Times New Roman" w:hAnsi="Times New Roman"/>
        </w:rPr>
        <w:t xml:space="preserve"> przebieg prac dotyczących ww. przeglądu dostępny na stronie: </w:t>
      </w:r>
      <w:r w:rsidRPr="00393D6A">
        <w:rPr>
          <w:rFonts w:ascii="Times New Roman" w:hAnsi="Times New Roman"/>
        </w:rPr>
        <w:t>https://www.gov.pl/web/rozwoj-technologia/przeglad-ustawy-o-fundacji-rodzinnej2</w:t>
      </w:r>
      <w:r w:rsidRPr="00DF4C66">
        <w:rPr>
          <w:rFonts w:ascii="Times New Roman" w:hAnsi="Times New Roman"/>
        </w:rPr>
        <w:t xml:space="preserve"> </w:t>
      </w:r>
    </w:p>
  </w:footnote>
  <w:footnote w:id="2">
    <w:p w14:paraId="21D4B644" w14:textId="77777777" w:rsidR="00E62396" w:rsidRPr="00986DEE" w:rsidRDefault="00E62396" w:rsidP="00E62396">
      <w:pPr>
        <w:pStyle w:val="Tekstprzypisudolnego"/>
        <w:jc w:val="both"/>
        <w:rPr>
          <w:rFonts w:ascii="Times New Roman" w:hAnsi="Times New Roman"/>
        </w:rPr>
      </w:pPr>
      <w:r w:rsidRPr="00986DEE">
        <w:rPr>
          <w:rStyle w:val="Odwoanieprzypisudolnego"/>
          <w:rFonts w:ascii="Times New Roman" w:hAnsi="Times New Roman"/>
        </w:rPr>
        <w:footnoteRef/>
      </w:r>
      <w:r w:rsidRPr="00986DEE">
        <w:rPr>
          <w:rFonts w:ascii="Times New Roman" w:hAnsi="Times New Roman"/>
        </w:rPr>
        <w:t xml:space="preserve"> w okresie od wejścia w życie ustawy o fundacji rodzinnej do końca 2025 r. zidentyfikowano 77 przypadków, w których Szef KAS wydał opinię o uzasadnionym przypuszczeniu unikania opodatkowania z uwagi na schematy postępowania, w których podatnicy wykorzystywali fundację rodzinną. Dla porównania skali należy wskazać, że w całym okresie obowiązywania klauzuli ogólnej (od 2016 r.) Szef KAS wszczął ok. 230 postępowań przeciwko unikaniu opodatkowania. </w:t>
      </w:r>
    </w:p>
  </w:footnote>
  <w:footnote w:id="3">
    <w:p w14:paraId="4050DBE6" w14:textId="7BAD1BE1" w:rsidR="007E070D" w:rsidRPr="00E62396" w:rsidRDefault="007E070D" w:rsidP="00672933">
      <w:pPr>
        <w:pStyle w:val="Tekstprzypisudolnego"/>
        <w:jc w:val="both"/>
        <w:rPr>
          <w:rFonts w:ascii="Times New Roman" w:hAnsi="Times New Roman"/>
        </w:rPr>
      </w:pPr>
      <w:r w:rsidRPr="00E62396">
        <w:rPr>
          <w:rStyle w:val="Odwoanieprzypisudolnego"/>
          <w:rFonts w:ascii="Times New Roman" w:hAnsi="Times New Roman"/>
        </w:rPr>
        <w:footnoteRef/>
      </w:r>
      <w:r w:rsidRPr="00E62396">
        <w:rPr>
          <w:rFonts w:ascii="Times New Roman" w:hAnsi="Times New Roman"/>
        </w:rPr>
        <w:t xml:space="preserve"> w okresie od 15 marca 2023 r. do 16 lutego 2026 r. zaraportowano 320</w:t>
      </w:r>
      <w:r w:rsidR="000D5943">
        <w:rPr>
          <w:rFonts w:ascii="Times New Roman" w:hAnsi="Times New Roman"/>
        </w:rPr>
        <w:t xml:space="preserve"> </w:t>
      </w:r>
      <w:r w:rsidRPr="00E62396">
        <w:rPr>
          <w:rFonts w:ascii="Times New Roman" w:hAnsi="Times New Roman"/>
        </w:rPr>
        <w:t>informacji MDR-1 z udziałem fundacji rodzinnej. Zauważyć należy, że znaczna liczba raportowanych schematów z udziałem fundacji rodzinnej ma charakter schematu standaryzowanego, co oznacza, że taki schemat podatkowy możliwy jest do wdrożenia lub udostępnienia u więcej niż jednego korzystającego bez konieczności zmiany jego istotnych założeń, w szczególności dotyczących rodzaju czynności podejmowanych lub planowanych w ramach schematu podatkowego. To oznacza, że schematy te mogą obejmować całe grupy podatników funkcjonujących w podobnych warunkach rynkowych, a więc ich potencjalna skala oddziaływania jest znaczna. Ponadto, analiza przekazywanych informacji o schematach podatkowych dotyczących fundacji rodzinnej wykazuje wskazanie spełnienia tzw. kryterium głównej korzyści</w:t>
      </w:r>
      <w:r w:rsidR="000D5943">
        <w:rPr>
          <w:rFonts w:ascii="Times New Roman" w:hAnsi="Times New Roman"/>
        </w:rPr>
        <w:t xml:space="preserve"> </w:t>
      </w:r>
      <w:r w:rsidRPr="00E62396">
        <w:rPr>
          <w:rFonts w:ascii="Times New Roman" w:hAnsi="Times New Roman"/>
        </w:rPr>
        <w:t>w odniesieniu do 82% zaraportowanych schematów podatkowych, co oznacza, że korzyść podatkowa jest główną lub jedną z głównych korzyści, którą podmioty uczestniczące w zaraportowanych uzgodnieniach spodziewają się osiągnąć. Powyższe oznacza, że uzyskanie korzyści podatkowej poprzez czynności dokonywane z udziałem fundacji rodzinnej jest jednym z głównych (a nie ubocznych) motywów działania w znacznej większości raportowanych schematów.</w:t>
      </w:r>
    </w:p>
  </w:footnote>
  <w:footnote w:id="4">
    <w:p w14:paraId="7EB2FF69" w14:textId="280124C3" w:rsidR="007E070D" w:rsidRPr="00E62396" w:rsidRDefault="007E070D" w:rsidP="00672933">
      <w:pPr>
        <w:pStyle w:val="Tekstprzypisudolnego"/>
        <w:jc w:val="both"/>
        <w:rPr>
          <w:rFonts w:ascii="Times New Roman" w:hAnsi="Times New Roman"/>
        </w:rPr>
      </w:pPr>
      <w:r w:rsidRPr="00E62396">
        <w:rPr>
          <w:rStyle w:val="Odwoanieprzypisudolnego"/>
          <w:rFonts w:ascii="Times New Roman" w:hAnsi="Times New Roman"/>
        </w:rPr>
        <w:footnoteRef/>
      </w:r>
      <w:r w:rsidRPr="00E62396">
        <w:rPr>
          <w:rFonts w:ascii="Times New Roman" w:hAnsi="Times New Roman"/>
        </w:rPr>
        <w:t xml:space="preserve"> W okresie od 1 maja 2023 r. do 31 marca 2026 r. złożono 927 wniosków o wydanie interpretacji indywidulanych w zakresie fundacji rodzinnych.</w:t>
      </w:r>
    </w:p>
  </w:footnote>
  <w:footnote w:id="5">
    <w:p w14:paraId="789FB76E" w14:textId="11138173" w:rsidR="007E070D" w:rsidRPr="00E62396" w:rsidRDefault="007E070D" w:rsidP="00672933">
      <w:pPr>
        <w:pStyle w:val="Tekstprzypisudolnego"/>
        <w:jc w:val="both"/>
        <w:rPr>
          <w:rFonts w:ascii="Times New Roman" w:hAnsi="Times New Roman"/>
        </w:rPr>
      </w:pPr>
      <w:r w:rsidRPr="00E62396">
        <w:rPr>
          <w:rStyle w:val="Odwoanieprzypisudolnego"/>
          <w:rFonts w:ascii="Times New Roman" w:hAnsi="Times New Roman"/>
        </w:rPr>
        <w:footnoteRef/>
      </w:r>
      <w:r w:rsidRPr="00E62396">
        <w:rPr>
          <w:rFonts w:ascii="Times New Roman" w:hAnsi="Times New Roman"/>
        </w:rPr>
        <w:t xml:space="preserve"> W opinii z dnia 29 maja 2025 r. Rady do Spraw Przeciwdziałania Unikaniu Opodatkowania wskazano, że dystrybucja (części) zysków uzyskanych przez fundację w wyniku przeprowadzenia poddanych analizie czynności spełnia przesłanki dla zastosowania ogólnej klauzuli przeciwko unikaniu opodatkowania.</w:t>
      </w:r>
    </w:p>
  </w:footnote>
  <w:footnote w:id="6">
    <w:p w14:paraId="6CD39CD8" w14:textId="62848A50" w:rsidR="00E14CA0" w:rsidRPr="00A409B7" w:rsidRDefault="00E14CA0" w:rsidP="00E14CA0">
      <w:pPr>
        <w:pStyle w:val="Tekstprzypisudolnego"/>
        <w:rPr>
          <w:rFonts w:ascii="Times New Roman" w:hAnsi="Times New Roman"/>
        </w:rPr>
      </w:pPr>
      <w:r w:rsidRPr="00A409B7">
        <w:rPr>
          <w:rStyle w:val="Odwoanieprzypisudolnego"/>
          <w:rFonts w:ascii="Times New Roman" w:hAnsi="Times New Roman"/>
        </w:rPr>
        <w:footnoteRef/>
      </w:r>
      <w:r w:rsidR="00631B38">
        <w:rPr>
          <w:rFonts w:ascii="Times New Roman" w:hAnsi="Times New Roman"/>
          <w:vertAlign w:val="superscript"/>
        </w:rPr>
        <w:t>)</w:t>
      </w:r>
      <w:r w:rsidRPr="00A409B7">
        <w:rPr>
          <w:rFonts w:ascii="Times New Roman" w:hAnsi="Times New Roman"/>
        </w:rPr>
        <w:t xml:space="preserve"> Zaś w przypadkach, w jaki</w:t>
      </w:r>
      <w:r w:rsidR="00951002">
        <w:rPr>
          <w:rFonts w:ascii="Times New Roman" w:hAnsi="Times New Roman"/>
        </w:rPr>
        <w:t>ch</w:t>
      </w:r>
      <w:r w:rsidRPr="00A409B7">
        <w:rPr>
          <w:rFonts w:ascii="Times New Roman" w:hAnsi="Times New Roman"/>
        </w:rPr>
        <w:t xml:space="preserve"> wykraczają poza ten zakres opodatkowane będą stawką „sankcyjną” 25%.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299"/>
    <w:multiLevelType w:val="hybridMultilevel"/>
    <w:tmpl w:val="3E3CF5A4"/>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171629"/>
    <w:multiLevelType w:val="hybridMultilevel"/>
    <w:tmpl w:val="A3963E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2F0787"/>
    <w:multiLevelType w:val="hybridMultilevel"/>
    <w:tmpl w:val="EE0842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51124B"/>
    <w:multiLevelType w:val="hybridMultilevel"/>
    <w:tmpl w:val="01685F7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042C87"/>
    <w:multiLevelType w:val="hybridMultilevel"/>
    <w:tmpl w:val="DB7CB678"/>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DFC29DD"/>
    <w:multiLevelType w:val="hybridMultilevel"/>
    <w:tmpl w:val="7DCA2444"/>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E40129"/>
    <w:multiLevelType w:val="hybridMultilevel"/>
    <w:tmpl w:val="70B404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771C7E"/>
    <w:multiLevelType w:val="hybridMultilevel"/>
    <w:tmpl w:val="A3D47B26"/>
    <w:lvl w:ilvl="0" w:tplc="96FA64FC">
      <w:numFmt w:val="bullet"/>
      <w:lvlText w:val="•"/>
      <w:lvlJc w:val="left"/>
      <w:pPr>
        <w:ind w:left="1070" w:hanging="71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1381462"/>
    <w:multiLevelType w:val="hybridMultilevel"/>
    <w:tmpl w:val="50E249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803148"/>
    <w:multiLevelType w:val="hybridMultilevel"/>
    <w:tmpl w:val="2C900D18"/>
    <w:lvl w:ilvl="0" w:tplc="87B0DD6E">
      <w:start w:val="1"/>
      <w:numFmt w:val="upperRoman"/>
      <w:lvlText w:val="%1."/>
      <w:lvlJc w:val="righ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083025"/>
    <w:multiLevelType w:val="hybridMultilevel"/>
    <w:tmpl w:val="560EE064"/>
    <w:lvl w:ilvl="0" w:tplc="96FA64FC">
      <w:numFmt w:val="bullet"/>
      <w:lvlText w:val="•"/>
      <w:lvlJc w:val="left"/>
      <w:pPr>
        <w:ind w:left="1430" w:hanging="710"/>
      </w:pPr>
      <w:rPr>
        <w:rFonts w:ascii="Times New Roman" w:eastAsia="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23AE12E2"/>
    <w:multiLevelType w:val="hybridMultilevel"/>
    <w:tmpl w:val="1F70532E"/>
    <w:lvl w:ilvl="0" w:tplc="842AAB5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4075770"/>
    <w:multiLevelType w:val="hybridMultilevel"/>
    <w:tmpl w:val="41025574"/>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43E0800"/>
    <w:multiLevelType w:val="hybridMultilevel"/>
    <w:tmpl w:val="39C824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BCA28B2"/>
    <w:multiLevelType w:val="hybridMultilevel"/>
    <w:tmpl w:val="F990C752"/>
    <w:lvl w:ilvl="0" w:tplc="B3AEA39E">
      <w:start w:val="2"/>
      <w:numFmt w:val="decimal"/>
      <w:lvlText w:val="%1."/>
      <w:lvlJc w:val="left"/>
      <w:pPr>
        <w:ind w:left="7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2D5B3326"/>
    <w:multiLevelType w:val="hybridMultilevel"/>
    <w:tmpl w:val="9E50EB26"/>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6A930A3"/>
    <w:multiLevelType w:val="hybridMultilevel"/>
    <w:tmpl w:val="540A922A"/>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6AF271D"/>
    <w:multiLevelType w:val="hybridMultilevel"/>
    <w:tmpl w:val="2F96D8D0"/>
    <w:lvl w:ilvl="0" w:tplc="38E294AC">
      <w:start w:val="1"/>
      <w:numFmt w:val="decimal"/>
      <w:pStyle w:val="ListanumeracjaMF"/>
      <w:lvlText w:val="%1."/>
      <w:lvlJc w:val="left"/>
      <w:pPr>
        <w:ind w:left="720" w:hanging="360"/>
      </w:pPr>
    </w:lvl>
    <w:lvl w:ilvl="1" w:tplc="F3D24FE0" w:tentative="1">
      <w:start w:val="1"/>
      <w:numFmt w:val="lowerLetter"/>
      <w:lvlText w:val="%2."/>
      <w:lvlJc w:val="left"/>
      <w:pPr>
        <w:ind w:left="1440" w:hanging="360"/>
      </w:pPr>
    </w:lvl>
    <w:lvl w:ilvl="2" w:tplc="C730284C" w:tentative="1">
      <w:start w:val="1"/>
      <w:numFmt w:val="lowerRoman"/>
      <w:lvlText w:val="%3."/>
      <w:lvlJc w:val="right"/>
      <w:pPr>
        <w:ind w:left="2160" w:hanging="180"/>
      </w:pPr>
    </w:lvl>
    <w:lvl w:ilvl="3" w:tplc="419C6140" w:tentative="1">
      <w:start w:val="1"/>
      <w:numFmt w:val="decimal"/>
      <w:lvlText w:val="%4."/>
      <w:lvlJc w:val="left"/>
      <w:pPr>
        <w:ind w:left="2880" w:hanging="360"/>
      </w:pPr>
    </w:lvl>
    <w:lvl w:ilvl="4" w:tplc="5ECE8CF6" w:tentative="1">
      <w:start w:val="1"/>
      <w:numFmt w:val="lowerLetter"/>
      <w:lvlText w:val="%5."/>
      <w:lvlJc w:val="left"/>
      <w:pPr>
        <w:ind w:left="3600" w:hanging="360"/>
      </w:pPr>
    </w:lvl>
    <w:lvl w:ilvl="5" w:tplc="5000604C" w:tentative="1">
      <w:start w:val="1"/>
      <w:numFmt w:val="lowerRoman"/>
      <w:lvlText w:val="%6."/>
      <w:lvlJc w:val="right"/>
      <w:pPr>
        <w:ind w:left="4320" w:hanging="180"/>
      </w:pPr>
    </w:lvl>
    <w:lvl w:ilvl="6" w:tplc="BCDCFD94" w:tentative="1">
      <w:start w:val="1"/>
      <w:numFmt w:val="decimal"/>
      <w:lvlText w:val="%7."/>
      <w:lvlJc w:val="left"/>
      <w:pPr>
        <w:ind w:left="5040" w:hanging="360"/>
      </w:pPr>
    </w:lvl>
    <w:lvl w:ilvl="7" w:tplc="D1181A0A" w:tentative="1">
      <w:start w:val="1"/>
      <w:numFmt w:val="lowerLetter"/>
      <w:lvlText w:val="%8."/>
      <w:lvlJc w:val="left"/>
      <w:pPr>
        <w:ind w:left="5760" w:hanging="360"/>
      </w:pPr>
    </w:lvl>
    <w:lvl w:ilvl="8" w:tplc="630661F4" w:tentative="1">
      <w:start w:val="1"/>
      <w:numFmt w:val="lowerRoman"/>
      <w:lvlText w:val="%9."/>
      <w:lvlJc w:val="right"/>
      <w:pPr>
        <w:ind w:left="6480" w:hanging="180"/>
      </w:pPr>
    </w:lvl>
  </w:abstractNum>
  <w:abstractNum w:abstractNumId="18" w15:restartNumberingAfterBreak="0">
    <w:nsid w:val="38154216"/>
    <w:multiLevelType w:val="hybridMultilevel"/>
    <w:tmpl w:val="D2660EE4"/>
    <w:lvl w:ilvl="0" w:tplc="04150011">
      <w:start w:val="1"/>
      <w:numFmt w:val="decimal"/>
      <w:lvlText w:val="%1)"/>
      <w:lvlJc w:val="left"/>
      <w:pPr>
        <w:ind w:left="720" w:hanging="360"/>
      </w:pPr>
    </w:lvl>
    <w:lvl w:ilvl="1" w:tplc="C1A43FD8">
      <w:start w:val="250"/>
      <w:numFmt w:val="bullet"/>
      <w:lvlText w:val=""/>
      <w:lvlJc w:val="left"/>
      <w:pPr>
        <w:ind w:left="1440" w:hanging="360"/>
      </w:pPr>
      <w:rPr>
        <w:rFonts w:ascii="Symbol" w:eastAsia="Times New Roman" w:hAnsi="Symbol"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9BB6AE0"/>
    <w:multiLevelType w:val="hybridMultilevel"/>
    <w:tmpl w:val="E6D65C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F7933C2"/>
    <w:multiLevelType w:val="hybridMultilevel"/>
    <w:tmpl w:val="93408376"/>
    <w:lvl w:ilvl="0" w:tplc="0415000D">
      <w:start w:val="1"/>
      <w:numFmt w:val="bullet"/>
      <w:lvlText w:val=""/>
      <w:lvlJc w:val="left"/>
      <w:pPr>
        <w:ind w:left="888" w:hanging="360"/>
      </w:pPr>
      <w:rPr>
        <w:rFonts w:ascii="Wingdings" w:hAnsi="Wingdings" w:hint="default"/>
      </w:rPr>
    </w:lvl>
    <w:lvl w:ilvl="1" w:tplc="04150003" w:tentative="1">
      <w:start w:val="1"/>
      <w:numFmt w:val="bullet"/>
      <w:lvlText w:val="o"/>
      <w:lvlJc w:val="left"/>
      <w:pPr>
        <w:ind w:left="1608" w:hanging="360"/>
      </w:pPr>
      <w:rPr>
        <w:rFonts w:ascii="Courier New" w:hAnsi="Courier New" w:cs="Courier New" w:hint="default"/>
      </w:rPr>
    </w:lvl>
    <w:lvl w:ilvl="2" w:tplc="04150005" w:tentative="1">
      <w:start w:val="1"/>
      <w:numFmt w:val="bullet"/>
      <w:lvlText w:val=""/>
      <w:lvlJc w:val="left"/>
      <w:pPr>
        <w:ind w:left="2328" w:hanging="360"/>
      </w:pPr>
      <w:rPr>
        <w:rFonts w:ascii="Wingdings" w:hAnsi="Wingdings" w:hint="default"/>
      </w:rPr>
    </w:lvl>
    <w:lvl w:ilvl="3" w:tplc="04150001" w:tentative="1">
      <w:start w:val="1"/>
      <w:numFmt w:val="bullet"/>
      <w:lvlText w:val=""/>
      <w:lvlJc w:val="left"/>
      <w:pPr>
        <w:ind w:left="3048" w:hanging="360"/>
      </w:pPr>
      <w:rPr>
        <w:rFonts w:ascii="Symbol" w:hAnsi="Symbol" w:hint="default"/>
      </w:rPr>
    </w:lvl>
    <w:lvl w:ilvl="4" w:tplc="04150003" w:tentative="1">
      <w:start w:val="1"/>
      <w:numFmt w:val="bullet"/>
      <w:lvlText w:val="o"/>
      <w:lvlJc w:val="left"/>
      <w:pPr>
        <w:ind w:left="3768" w:hanging="360"/>
      </w:pPr>
      <w:rPr>
        <w:rFonts w:ascii="Courier New" w:hAnsi="Courier New" w:cs="Courier New" w:hint="default"/>
      </w:rPr>
    </w:lvl>
    <w:lvl w:ilvl="5" w:tplc="04150005" w:tentative="1">
      <w:start w:val="1"/>
      <w:numFmt w:val="bullet"/>
      <w:lvlText w:val=""/>
      <w:lvlJc w:val="left"/>
      <w:pPr>
        <w:ind w:left="4488" w:hanging="360"/>
      </w:pPr>
      <w:rPr>
        <w:rFonts w:ascii="Wingdings" w:hAnsi="Wingdings" w:hint="default"/>
      </w:rPr>
    </w:lvl>
    <w:lvl w:ilvl="6" w:tplc="04150001" w:tentative="1">
      <w:start w:val="1"/>
      <w:numFmt w:val="bullet"/>
      <w:lvlText w:val=""/>
      <w:lvlJc w:val="left"/>
      <w:pPr>
        <w:ind w:left="5208" w:hanging="360"/>
      </w:pPr>
      <w:rPr>
        <w:rFonts w:ascii="Symbol" w:hAnsi="Symbol" w:hint="default"/>
      </w:rPr>
    </w:lvl>
    <w:lvl w:ilvl="7" w:tplc="04150003" w:tentative="1">
      <w:start w:val="1"/>
      <w:numFmt w:val="bullet"/>
      <w:lvlText w:val="o"/>
      <w:lvlJc w:val="left"/>
      <w:pPr>
        <w:ind w:left="5928" w:hanging="360"/>
      </w:pPr>
      <w:rPr>
        <w:rFonts w:ascii="Courier New" w:hAnsi="Courier New" w:cs="Courier New" w:hint="default"/>
      </w:rPr>
    </w:lvl>
    <w:lvl w:ilvl="8" w:tplc="04150005" w:tentative="1">
      <w:start w:val="1"/>
      <w:numFmt w:val="bullet"/>
      <w:lvlText w:val=""/>
      <w:lvlJc w:val="left"/>
      <w:pPr>
        <w:ind w:left="6648" w:hanging="360"/>
      </w:pPr>
      <w:rPr>
        <w:rFonts w:ascii="Wingdings" w:hAnsi="Wingdings" w:hint="default"/>
      </w:rPr>
    </w:lvl>
  </w:abstractNum>
  <w:abstractNum w:abstractNumId="21" w15:restartNumberingAfterBreak="0">
    <w:nsid w:val="3F903C9B"/>
    <w:multiLevelType w:val="hybridMultilevel"/>
    <w:tmpl w:val="D04687BC"/>
    <w:lvl w:ilvl="0" w:tplc="DE5C192E">
      <w:start w:val="1"/>
      <w:numFmt w:val="decimal"/>
      <w:lvlText w:val="%1)"/>
      <w:lvlJc w:val="left"/>
      <w:pPr>
        <w:ind w:left="720" w:hanging="36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03901FA"/>
    <w:multiLevelType w:val="hybridMultilevel"/>
    <w:tmpl w:val="ACACCBD8"/>
    <w:lvl w:ilvl="0" w:tplc="71B48F3C">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434E54B1"/>
    <w:multiLevelType w:val="hybridMultilevel"/>
    <w:tmpl w:val="A6B28C36"/>
    <w:lvl w:ilvl="0" w:tplc="87B0DD6E">
      <w:start w:val="1"/>
      <w:numFmt w:val="upperRoman"/>
      <w:lvlText w:val="%1."/>
      <w:lvlJc w:val="righ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5B56C35"/>
    <w:multiLevelType w:val="hybridMultilevel"/>
    <w:tmpl w:val="52085782"/>
    <w:lvl w:ilvl="0" w:tplc="04150017">
      <w:start w:val="1"/>
      <w:numFmt w:val="lowerLetter"/>
      <w:lvlText w:val="%1)"/>
      <w:lvlJc w:val="left"/>
      <w:pPr>
        <w:ind w:left="783" w:hanging="360"/>
      </w:pPr>
    </w:lvl>
    <w:lvl w:ilvl="1" w:tplc="B3FAFB1E">
      <w:start w:val="1"/>
      <w:numFmt w:val="decimal"/>
      <w:lvlText w:val="%2)"/>
      <w:lvlJc w:val="left"/>
      <w:pPr>
        <w:ind w:left="1503" w:hanging="360"/>
      </w:pPr>
      <w:rPr>
        <w:rFonts w:hint="default"/>
      </w:r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25" w15:restartNumberingAfterBreak="0">
    <w:nsid w:val="46834310"/>
    <w:multiLevelType w:val="hybridMultilevel"/>
    <w:tmpl w:val="4D22AA6A"/>
    <w:lvl w:ilvl="0" w:tplc="04150011">
      <w:start w:val="1"/>
      <w:numFmt w:val="decimal"/>
      <w:lvlText w:val="%1)"/>
      <w:lvlJc w:val="left"/>
      <w:pPr>
        <w:ind w:left="720" w:hanging="360"/>
      </w:pPr>
    </w:lvl>
    <w:lvl w:ilvl="1" w:tplc="C1A43FD8">
      <w:start w:val="250"/>
      <w:numFmt w:val="bullet"/>
      <w:lvlText w:val=""/>
      <w:lvlJc w:val="left"/>
      <w:pPr>
        <w:ind w:left="1440" w:hanging="360"/>
      </w:pPr>
      <w:rPr>
        <w:rFonts w:ascii="Symbol" w:eastAsia="Times New Roman" w:hAnsi="Symbol"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6BD7628"/>
    <w:multiLevelType w:val="hybridMultilevel"/>
    <w:tmpl w:val="4F8863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A3F1220"/>
    <w:multiLevelType w:val="hybridMultilevel"/>
    <w:tmpl w:val="0142B2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A8504E4"/>
    <w:multiLevelType w:val="hybridMultilevel"/>
    <w:tmpl w:val="A12230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50436F67"/>
    <w:multiLevelType w:val="hybridMultilevel"/>
    <w:tmpl w:val="B70AB072"/>
    <w:lvl w:ilvl="0" w:tplc="842AAB5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589C263E"/>
    <w:multiLevelType w:val="hybridMultilevel"/>
    <w:tmpl w:val="950C99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A872409"/>
    <w:multiLevelType w:val="hybridMultilevel"/>
    <w:tmpl w:val="2AAC6D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C376ED7"/>
    <w:multiLevelType w:val="hybridMultilevel"/>
    <w:tmpl w:val="1CDA1A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D7B7827"/>
    <w:multiLevelType w:val="hybridMultilevel"/>
    <w:tmpl w:val="4D22AA6A"/>
    <w:lvl w:ilvl="0" w:tplc="04150011">
      <w:start w:val="1"/>
      <w:numFmt w:val="decimal"/>
      <w:lvlText w:val="%1)"/>
      <w:lvlJc w:val="left"/>
      <w:pPr>
        <w:ind w:left="720" w:hanging="360"/>
      </w:pPr>
    </w:lvl>
    <w:lvl w:ilvl="1" w:tplc="C1A43FD8">
      <w:start w:val="250"/>
      <w:numFmt w:val="bullet"/>
      <w:lvlText w:val=""/>
      <w:lvlJc w:val="left"/>
      <w:pPr>
        <w:ind w:left="1440" w:hanging="360"/>
      </w:pPr>
      <w:rPr>
        <w:rFonts w:ascii="Symbol" w:eastAsia="Times New Roman" w:hAnsi="Symbol"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E5A7AE4"/>
    <w:multiLevelType w:val="hybridMultilevel"/>
    <w:tmpl w:val="BF2C6B28"/>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79D3B39"/>
    <w:multiLevelType w:val="hybridMultilevel"/>
    <w:tmpl w:val="745672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7F7297F"/>
    <w:multiLevelType w:val="hybridMultilevel"/>
    <w:tmpl w:val="D2660EE4"/>
    <w:lvl w:ilvl="0" w:tplc="04150011">
      <w:start w:val="1"/>
      <w:numFmt w:val="decimal"/>
      <w:lvlText w:val="%1)"/>
      <w:lvlJc w:val="left"/>
      <w:pPr>
        <w:ind w:left="720" w:hanging="360"/>
      </w:pPr>
    </w:lvl>
    <w:lvl w:ilvl="1" w:tplc="C1A43FD8">
      <w:start w:val="250"/>
      <w:numFmt w:val="bullet"/>
      <w:lvlText w:val=""/>
      <w:lvlJc w:val="left"/>
      <w:pPr>
        <w:ind w:left="1440" w:hanging="360"/>
      </w:pPr>
      <w:rPr>
        <w:rFonts w:ascii="Symbol" w:eastAsia="Times New Roman" w:hAnsi="Symbol"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91400F3"/>
    <w:multiLevelType w:val="hybridMultilevel"/>
    <w:tmpl w:val="2DB8670C"/>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9716903"/>
    <w:multiLevelType w:val="hybridMultilevel"/>
    <w:tmpl w:val="B3B808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CAD7205"/>
    <w:multiLevelType w:val="hybridMultilevel"/>
    <w:tmpl w:val="0472D4AE"/>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0" w15:restartNumberingAfterBreak="0">
    <w:nsid w:val="6E2970D9"/>
    <w:multiLevelType w:val="hybridMultilevel"/>
    <w:tmpl w:val="616C09BE"/>
    <w:lvl w:ilvl="0" w:tplc="71B48F3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1" w15:restartNumberingAfterBreak="0">
    <w:nsid w:val="6F211865"/>
    <w:multiLevelType w:val="hybridMultilevel"/>
    <w:tmpl w:val="FFF0674E"/>
    <w:lvl w:ilvl="0" w:tplc="0415000F">
      <w:start w:val="1"/>
      <w:numFmt w:val="decimal"/>
      <w:lvlText w:val="%1."/>
      <w:lvlJc w:val="left"/>
      <w:pPr>
        <w:ind w:left="644"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2" w15:restartNumberingAfterBreak="0">
    <w:nsid w:val="74011F79"/>
    <w:multiLevelType w:val="hybridMultilevel"/>
    <w:tmpl w:val="2B86300E"/>
    <w:lvl w:ilvl="0" w:tplc="959E31AC">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5813187"/>
    <w:multiLevelType w:val="hybridMultilevel"/>
    <w:tmpl w:val="9BDCAED6"/>
    <w:lvl w:ilvl="0" w:tplc="842AAB5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15:restartNumberingAfterBreak="0">
    <w:nsid w:val="79451C38"/>
    <w:multiLevelType w:val="multilevel"/>
    <w:tmpl w:val="85F46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95F72EB"/>
    <w:multiLevelType w:val="hybridMultilevel"/>
    <w:tmpl w:val="054EE0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E4609E2"/>
    <w:multiLevelType w:val="hybridMultilevel"/>
    <w:tmpl w:val="8EBC6E7A"/>
    <w:lvl w:ilvl="0" w:tplc="96FA64FC">
      <w:numFmt w:val="bullet"/>
      <w:lvlText w:val="•"/>
      <w:lvlJc w:val="left"/>
      <w:pPr>
        <w:ind w:left="1070" w:hanging="71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05721846">
    <w:abstractNumId w:val="17"/>
  </w:num>
  <w:num w:numId="2" w16cid:durableId="116800935">
    <w:abstractNumId w:val="9"/>
  </w:num>
  <w:num w:numId="3" w16cid:durableId="1678191003">
    <w:abstractNumId w:val="19"/>
  </w:num>
  <w:num w:numId="4" w16cid:durableId="1918052144">
    <w:abstractNumId w:val="33"/>
  </w:num>
  <w:num w:numId="5" w16cid:durableId="1217816553">
    <w:abstractNumId w:val="24"/>
  </w:num>
  <w:num w:numId="6" w16cid:durableId="1817919366">
    <w:abstractNumId w:val="9"/>
  </w:num>
  <w:num w:numId="7" w16cid:durableId="1561146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8531459">
    <w:abstractNumId w:val="22"/>
  </w:num>
  <w:num w:numId="9" w16cid:durableId="1031687411">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8911354">
    <w:abstractNumId w:val="40"/>
  </w:num>
  <w:num w:numId="11" w16cid:durableId="1305888798">
    <w:abstractNumId w:val="15"/>
  </w:num>
  <w:num w:numId="12" w16cid:durableId="1003823878">
    <w:abstractNumId w:val="37"/>
  </w:num>
  <w:num w:numId="13" w16cid:durableId="1757483488">
    <w:abstractNumId w:val="5"/>
  </w:num>
  <w:num w:numId="14" w16cid:durableId="1262494862">
    <w:abstractNumId w:val="29"/>
  </w:num>
  <w:num w:numId="15" w16cid:durableId="1961184970">
    <w:abstractNumId w:val="11"/>
  </w:num>
  <w:num w:numId="16" w16cid:durableId="1257209048">
    <w:abstractNumId w:val="43"/>
  </w:num>
  <w:num w:numId="17" w16cid:durableId="1338772944">
    <w:abstractNumId w:val="4"/>
  </w:num>
  <w:num w:numId="18" w16cid:durableId="629895010">
    <w:abstractNumId w:val="34"/>
  </w:num>
  <w:num w:numId="19" w16cid:durableId="1000429830">
    <w:abstractNumId w:val="12"/>
  </w:num>
  <w:num w:numId="20" w16cid:durableId="1650207582">
    <w:abstractNumId w:val="16"/>
  </w:num>
  <w:num w:numId="21" w16cid:durableId="1731883299">
    <w:abstractNumId w:val="21"/>
  </w:num>
  <w:num w:numId="22" w16cid:durableId="357975471">
    <w:abstractNumId w:val="18"/>
  </w:num>
  <w:num w:numId="23" w16cid:durableId="534346409">
    <w:abstractNumId w:val="25"/>
  </w:num>
  <w:num w:numId="24" w16cid:durableId="450438489">
    <w:abstractNumId w:val="1"/>
  </w:num>
  <w:num w:numId="25" w16cid:durableId="1059789307">
    <w:abstractNumId w:val="13"/>
  </w:num>
  <w:num w:numId="26" w16cid:durableId="1830831339">
    <w:abstractNumId w:val="38"/>
  </w:num>
  <w:num w:numId="27" w16cid:durableId="1989938799">
    <w:abstractNumId w:val="26"/>
  </w:num>
  <w:num w:numId="28" w16cid:durableId="597253630">
    <w:abstractNumId w:val="27"/>
  </w:num>
  <w:num w:numId="29" w16cid:durableId="1823346778">
    <w:abstractNumId w:val="32"/>
  </w:num>
  <w:num w:numId="30" w16cid:durableId="829297256">
    <w:abstractNumId w:val="2"/>
  </w:num>
  <w:num w:numId="31" w16cid:durableId="1399666091">
    <w:abstractNumId w:val="3"/>
  </w:num>
  <w:num w:numId="32" w16cid:durableId="1297098866">
    <w:abstractNumId w:val="36"/>
  </w:num>
  <w:num w:numId="33" w16cid:durableId="735975882">
    <w:abstractNumId w:val="44"/>
  </w:num>
  <w:num w:numId="34" w16cid:durableId="1878546612">
    <w:abstractNumId w:val="20"/>
  </w:num>
  <w:num w:numId="35" w16cid:durableId="447118204">
    <w:abstractNumId w:val="0"/>
  </w:num>
  <w:num w:numId="36" w16cid:durableId="352877492">
    <w:abstractNumId w:val="31"/>
  </w:num>
  <w:num w:numId="37" w16cid:durableId="1333796211">
    <w:abstractNumId w:val="6"/>
  </w:num>
  <w:num w:numId="38" w16cid:durableId="412433107">
    <w:abstractNumId w:val="45"/>
  </w:num>
  <w:num w:numId="39" w16cid:durableId="1610358236">
    <w:abstractNumId w:val="8"/>
  </w:num>
  <w:num w:numId="40" w16cid:durableId="1763333625">
    <w:abstractNumId w:val="42"/>
  </w:num>
  <w:num w:numId="41" w16cid:durableId="9451914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03529915">
    <w:abstractNumId w:val="23"/>
  </w:num>
  <w:num w:numId="43" w16cid:durableId="1500534913">
    <w:abstractNumId w:val="35"/>
  </w:num>
  <w:num w:numId="44" w16cid:durableId="1823960734">
    <w:abstractNumId w:val="30"/>
  </w:num>
  <w:num w:numId="45" w16cid:durableId="593393455">
    <w:abstractNumId w:val="7"/>
  </w:num>
  <w:num w:numId="46" w16cid:durableId="1854299317">
    <w:abstractNumId w:val="46"/>
  </w:num>
  <w:num w:numId="47" w16cid:durableId="728650749">
    <w:abstractNumId w:val="10"/>
  </w:num>
  <w:num w:numId="48" w16cid:durableId="537158713">
    <w:abstractNumId w:val="3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EE8"/>
    <w:rsid w:val="0000118C"/>
    <w:rsid w:val="0000199D"/>
    <w:rsid w:val="00001F95"/>
    <w:rsid w:val="00002198"/>
    <w:rsid w:val="000022C1"/>
    <w:rsid w:val="000023C3"/>
    <w:rsid w:val="00002B61"/>
    <w:rsid w:val="000037C8"/>
    <w:rsid w:val="00003A76"/>
    <w:rsid w:val="00003ADD"/>
    <w:rsid w:val="00004696"/>
    <w:rsid w:val="00004A60"/>
    <w:rsid w:val="00004D67"/>
    <w:rsid w:val="000051EB"/>
    <w:rsid w:val="00005358"/>
    <w:rsid w:val="0000648A"/>
    <w:rsid w:val="00006AA1"/>
    <w:rsid w:val="00006DD6"/>
    <w:rsid w:val="000075A9"/>
    <w:rsid w:val="0000791A"/>
    <w:rsid w:val="00007F68"/>
    <w:rsid w:val="00010FBA"/>
    <w:rsid w:val="000113D8"/>
    <w:rsid w:val="000129D8"/>
    <w:rsid w:val="00012A78"/>
    <w:rsid w:val="00013022"/>
    <w:rsid w:val="00013136"/>
    <w:rsid w:val="0001373D"/>
    <w:rsid w:val="000166D9"/>
    <w:rsid w:val="00016EAC"/>
    <w:rsid w:val="00017BBA"/>
    <w:rsid w:val="000214EB"/>
    <w:rsid w:val="00021D2D"/>
    <w:rsid w:val="0002521A"/>
    <w:rsid w:val="0002630B"/>
    <w:rsid w:val="0002696D"/>
    <w:rsid w:val="000303B0"/>
    <w:rsid w:val="000314FD"/>
    <w:rsid w:val="00032133"/>
    <w:rsid w:val="000341F7"/>
    <w:rsid w:val="0003785B"/>
    <w:rsid w:val="00037DAA"/>
    <w:rsid w:val="00040075"/>
    <w:rsid w:val="00041E67"/>
    <w:rsid w:val="00042E7C"/>
    <w:rsid w:val="00043A1B"/>
    <w:rsid w:val="00043D70"/>
    <w:rsid w:val="00044448"/>
    <w:rsid w:val="000446ED"/>
    <w:rsid w:val="00044A64"/>
    <w:rsid w:val="000456C1"/>
    <w:rsid w:val="00047B18"/>
    <w:rsid w:val="0005045A"/>
    <w:rsid w:val="000504C5"/>
    <w:rsid w:val="00050548"/>
    <w:rsid w:val="000535C1"/>
    <w:rsid w:val="00053AF7"/>
    <w:rsid w:val="0005414C"/>
    <w:rsid w:val="00054216"/>
    <w:rsid w:val="00056727"/>
    <w:rsid w:val="00056BF2"/>
    <w:rsid w:val="00057672"/>
    <w:rsid w:val="00057878"/>
    <w:rsid w:val="00061CC0"/>
    <w:rsid w:val="0006477F"/>
    <w:rsid w:val="000653EE"/>
    <w:rsid w:val="00065746"/>
    <w:rsid w:val="000663C4"/>
    <w:rsid w:val="000665E5"/>
    <w:rsid w:val="0006678B"/>
    <w:rsid w:val="000677A1"/>
    <w:rsid w:val="00067983"/>
    <w:rsid w:val="00067B6F"/>
    <w:rsid w:val="000724DC"/>
    <w:rsid w:val="00072587"/>
    <w:rsid w:val="00072A67"/>
    <w:rsid w:val="00074E07"/>
    <w:rsid w:val="00074F4F"/>
    <w:rsid w:val="000766FC"/>
    <w:rsid w:val="0008090D"/>
    <w:rsid w:val="00080C9B"/>
    <w:rsid w:val="00081774"/>
    <w:rsid w:val="00082248"/>
    <w:rsid w:val="000822EC"/>
    <w:rsid w:val="0008256A"/>
    <w:rsid w:val="000825BB"/>
    <w:rsid w:val="000828A0"/>
    <w:rsid w:val="00083B9B"/>
    <w:rsid w:val="00084335"/>
    <w:rsid w:val="00084605"/>
    <w:rsid w:val="00084BBD"/>
    <w:rsid w:val="00086702"/>
    <w:rsid w:val="0008798A"/>
    <w:rsid w:val="00091780"/>
    <w:rsid w:val="000945E1"/>
    <w:rsid w:val="00094ECB"/>
    <w:rsid w:val="00095E46"/>
    <w:rsid w:val="00095F90"/>
    <w:rsid w:val="00096DE8"/>
    <w:rsid w:val="000A0A39"/>
    <w:rsid w:val="000A0B1A"/>
    <w:rsid w:val="000A2F60"/>
    <w:rsid w:val="000A30F0"/>
    <w:rsid w:val="000A36D2"/>
    <w:rsid w:val="000A41C1"/>
    <w:rsid w:val="000A5795"/>
    <w:rsid w:val="000A617C"/>
    <w:rsid w:val="000B0A20"/>
    <w:rsid w:val="000B1E3B"/>
    <w:rsid w:val="000B4746"/>
    <w:rsid w:val="000B4EB5"/>
    <w:rsid w:val="000B53CE"/>
    <w:rsid w:val="000B5C76"/>
    <w:rsid w:val="000B6D0E"/>
    <w:rsid w:val="000C1301"/>
    <w:rsid w:val="000C1E04"/>
    <w:rsid w:val="000C22AD"/>
    <w:rsid w:val="000C3CF4"/>
    <w:rsid w:val="000C4EDB"/>
    <w:rsid w:val="000C66AE"/>
    <w:rsid w:val="000C7674"/>
    <w:rsid w:val="000C7970"/>
    <w:rsid w:val="000D56C8"/>
    <w:rsid w:val="000D5943"/>
    <w:rsid w:val="000D5E47"/>
    <w:rsid w:val="000D6940"/>
    <w:rsid w:val="000D69B9"/>
    <w:rsid w:val="000D729B"/>
    <w:rsid w:val="000D7483"/>
    <w:rsid w:val="000E0087"/>
    <w:rsid w:val="000E1845"/>
    <w:rsid w:val="000E230C"/>
    <w:rsid w:val="000E32BD"/>
    <w:rsid w:val="000E440E"/>
    <w:rsid w:val="000E5B50"/>
    <w:rsid w:val="000E7759"/>
    <w:rsid w:val="000F24A4"/>
    <w:rsid w:val="000F2C2D"/>
    <w:rsid w:val="000F343C"/>
    <w:rsid w:val="000F3716"/>
    <w:rsid w:val="000F42E0"/>
    <w:rsid w:val="000F52A3"/>
    <w:rsid w:val="000F5EBE"/>
    <w:rsid w:val="000F6491"/>
    <w:rsid w:val="000F7138"/>
    <w:rsid w:val="001025AE"/>
    <w:rsid w:val="00105F70"/>
    <w:rsid w:val="00106229"/>
    <w:rsid w:val="001075E1"/>
    <w:rsid w:val="001108E2"/>
    <w:rsid w:val="001114CE"/>
    <w:rsid w:val="00114D15"/>
    <w:rsid w:val="00115418"/>
    <w:rsid w:val="00120F24"/>
    <w:rsid w:val="00122FE4"/>
    <w:rsid w:val="0012541C"/>
    <w:rsid w:val="00125A00"/>
    <w:rsid w:val="00125B59"/>
    <w:rsid w:val="001261A4"/>
    <w:rsid w:val="00127777"/>
    <w:rsid w:val="00130DB5"/>
    <w:rsid w:val="00133CE6"/>
    <w:rsid w:val="0013453C"/>
    <w:rsid w:val="0013564E"/>
    <w:rsid w:val="00135CF2"/>
    <w:rsid w:val="0013618B"/>
    <w:rsid w:val="0013700C"/>
    <w:rsid w:val="001371B2"/>
    <w:rsid w:val="0013732A"/>
    <w:rsid w:val="001375E6"/>
    <w:rsid w:val="00137BCE"/>
    <w:rsid w:val="001406DA"/>
    <w:rsid w:val="00140919"/>
    <w:rsid w:val="00141185"/>
    <w:rsid w:val="00142CFA"/>
    <w:rsid w:val="001437A4"/>
    <w:rsid w:val="001442D8"/>
    <w:rsid w:val="001461DE"/>
    <w:rsid w:val="00146217"/>
    <w:rsid w:val="001509BE"/>
    <w:rsid w:val="001523D7"/>
    <w:rsid w:val="00152676"/>
    <w:rsid w:val="00155FDD"/>
    <w:rsid w:val="0015606B"/>
    <w:rsid w:val="001563A5"/>
    <w:rsid w:val="00156719"/>
    <w:rsid w:val="00157339"/>
    <w:rsid w:val="001573FC"/>
    <w:rsid w:val="00157A10"/>
    <w:rsid w:val="00160318"/>
    <w:rsid w:val="001625EB"/>
    <w:rsid w:val="00163819"/>
    <w:rsid w:val="001639AB"/>
    <w:rsid w:val="00164285"/>
    <w:rsid w:val="00164DB3"/>
    <w:rsid w:val="00165CE2"/>
    <w:rsid w:val="0016722C"/>
    <w:rsid w:val="001675D6"/>
    <w:rsid w:val="00167849"/>
    <w:rsid w:val="00170DEB"/>
    <w:rsid w:val="00171437"/>
    <w:rsid w:val="001735B0"/>
    <w:rsid w:val="00174293"/>
    <w:rsid w:val="001745FC"/>
    <w:rsid w:val="001756FE"/>
    <w:rsid w:val="001800DF"/>
    <w:rsid w:val="00181E73"/>
    <w:rsid w:val="00182FC1"/>
    <w:rsid w:val="00183611"/>
    <w:rsid w:val="00183B37"/>
    <w:rsid w:val="00183BC0"/>
    <w:rsid w:val="0018577E"/>
    <w:rsid w:val="001860EE"/>
    <w:rsid w:val="001866E4"/>
    <w:rsid w:val="0018799B"/>
    <w:rsid w:val="001900C6"/>
    <w:rsid w:val="0019032C"/>
    <w:rsid w:val="0019104F"/>
    <w:rsid w:val="00191599"/>
    <w:rsid w:val="00191BC6"/>
    <w:rsid w:val="0019292F"/>
    <w:rsid w:val="00192B05"/>
    <w:rsid w:val="00193097"/>
    <w:rsid w:val="001941A7"/>
    <w:rsid w:val="00195EE8"/>
    <w:rsid w:val="001960D2"/>
    <w:rsid w:val="00197DA0"/>
    <w:rsid w:val="001A1E57"/>
    <w:rsid w:val="001A283C"/>
    <w:rsid w:val="001A3006"/>
    <w:rsid w:val="001A3A07"/>
    <w:rsid w:val="001A528C"/>
    <w:rsid w:val="001A6716"/>
    <w:rsid w:val="001A69D2"/>
    <w:rsid w:val="001B1AA6"/>
    <w:rsid w:val="001B5028"/>
    <w:rsid w:val="001B5491"/>
    <w:rsid w:val="001B5614"/>
    <w:rsid w:val="001B579E"/>
    <w:rsid w:val="001B59E6"/>
    <w:rsid w:val="001B5EA6"/>
    <w:rsid w:val="001B60EE"/>
    <w:rsid w:val="001B69F6"/>
    <w:rsid w:val="001B6CAC"/>
    <w:rsid w:val="001B77BE"/>
    <w:rsid w:val="001C0D41"/>
    <w:rsid w:val="001C0FA1"/>
    <w:rsid w:val="001C11EF"/>
    <w:rsid w:val="001C18CA"/>
    <w:rsid w:val="001C1A5E"/>
    <w:rsid w:val="001C20A7"/>
    <w:rsid w:val="001C391A"/>
    <w:rsid w:val="001C53A5"/>
    <w:rsid w:val="001C7B4B"/>
    <w:rsid w:val="001D0C08"/>
    <w:rsid w:val="001D19CF"/>
    <w:rsid w:val="001D1CAB"/>
    <w:rsid w:val="001D1E85"/>
    <w:rsid w:val="001D3702"/>
    <w:rsid w:val="001D4504"/>
    <w:rsid w:val="001D5468"/>
    <w:rsid w:val="001D58FD"/>
    <w:rsid w:val="001D5AFA"/>
    <w:rsid w:val="001D60CA"/>
    <w:rsid w:val="001D7237"/>
    <w:rsid w:val="001D7514"/>
    <w:rsid w:val="001D7F8E"/>
    <w:rsid w:val="001E0162"/>
    <w:rsid w:val="001E12E0"/>
    <w:rsid w:val="001E26B9"/>
    <w:rsid w:val="001E471E"/>
    <w:rsid w:val="001E4808"/>
    <w:rsid w:val="001E4866"/>
    <w:rsid w:val="001E53B8"/>
    <w:rsid w:val="001E658B"/>
    <w:rsid w:val="001E7858"/>
    <w:rsid w:val="001F01F7"/>
    <w:rsid w:val="001F0D62"/>
    <w:rsid w:val="001F209D"/>
    <w:rsid w:val="001F371F"/>
    <w:rsid w:val="001F5F9F"/>
    <w:rsid w:val="001F75AC"/>
    <w:rsid w:val="001F7F2D"/>
    <w:rsid w:val="00200D4E"/>
    <w:rsid w:val="00200E3A"/>
    <w:rsid w:val="002011A6"/>
    <w:rsid w:val="002017B9"/>
    <w:rsid w:val="00202374"/>
    <w:rsid w:val="00206621"/>
    <w:rsid w:val="00207147"/>
    <w:rsid w:val="00207654"/>
    <w:rsid w:val="00207BE1"/>
    <w:rsid w:val="00207D61"/>
    <w:rsid w:val="00210E2F"/>
    <w:rsid w:val="00210ED9"/>
    <w:rsid w:val="00211361"/>
    <w:rsid w:val="00212467"/>
    <w:rsid w:val="00212FDE"/>
    <w:rsid w:val="0021528C"/>
    <w:rsid w:val="002174D5"/>
    <w:rsid w:val="00217597"/>
    <w:rsid w:val="002213F6"/>
    <w:rsid w:val="0022253C"/>
    <w:rsid w:val="00223404"/>
    <w:rsid w:val="00224895"/>
    <w:rsid w:val="00224F8A"/>
    <w:rsid w:val="00226777"/>
    <w:rsid w:val="00226F64"/>
    <w:rsid w:val="00230535"/>
    <w:rsid w:val="002343C5"/>
    <w:rsid w:val="00234D97"/>
    <w:rsid w:val="00235F94"/>
    <w:rsid w:val="0023667A"/>
    <w:rsid w:val="00236886"/>
    <w:rsid w:val="00237B61"/>
    <w:rsid w:val="00240149"/>
    <w:rsid w:val="0024045D"/>
    <w:rsid w:val="00240AEF"/>
    <w:rsid w:val="00242357"/>
    <w:rsid w:val="002425F5"/>
    <w:rsid w:val="00243D2B"/>
    <w:rsid w:val="00244310"/>
    <w:rsid w:val="0024452C"/>
    <w:rsid w:val="00244674"/>
    <w:rsid w:val="00244FE4"/>
    <w:rsid w:val="002454E4"/>
    <w:rsid w:val="00245607"/>
    <w:rsid w:val="00245728"/>
    <w:rsid w:val="00246DDF"/>
    <w:rsid w:val="002500FA"/>
    <w:rsid w:val="00250AD4"/>
    <w:rsid w:val="002536F1"/>
    <w:rsid w:val="00255E01"/>
    <w:rsid w:val="00262DAC"/>
    <w:rsid w:val="0026308E"/>
    <w:rsid w:val="00263268"/>
    <w:rsid w:val="00264362"/>
    <w:rsid w:val="002650DE"/>
    <w:rsid w:val="00267D33"/>
    <w:rsid w:val="00267DC8"/>
    <w:rsid w:val="002707D2"/>
    <w:rsid w:val="00270D34"/>
    <w:rsid w:val="002728FA"/>
    <w:rsid w:val="00273DAA"/>
    <w:rsid w:val="002770A4"/>
    <w:rsid w:val="002779B5"/>
    <w:rsid w:val="00277A57"/>
    <w:rsid w:val="002810F8"/>
    <w:rsid w:val="00281147"/>
    <w:rsid w:val="002814B3"/>
    <w:rsid w:val="0028208A"/>
    <w:rsid w:val="002823C5"/>
    <w:rsid w:val="00283967"/>
    <w:rsid w:val="002840BA"/>
    <w:rsid w:val="00284413"/>
    <w:rsid w:val="00284EE6"/>
    <w:rsid w:val="00285CE6"/>
    <w:rsid w:val="0028701A"/>
    <w:rsid w:val="002902F6"/>
    <w:rsid w:val="00291592"/>
    <w:rsid w:val="002916A9"/>
    <w:rsid w:val="00291C0F"/>
    <w:rsid w:val="00291CF2"/>
    <w:rsid w:val="00291D70"/>
    <w:rsid w:val="00293619"/>
    <w:rsid w:val="002944D7"/>
    <w:rsid w:val="002947FF"/>
    <w:rsid w:val="00295758"/>
    <w:rsid w:val="00295D13"/>
    <w:rsid w:val="00296F99"/>
    <w:rsid w:val="00297423"/>
    <w:rsid w:val="00297ED4"/>
    <w:rsid w:val="002A0097"/>
    <w:rsid w:val="002A09E4"/>
    <w:rsid w:val="002A101C"/>
    <w:rsid w:val="002A200B"/>
    <w:rsid w:val="002A241B"/>
    <w:rsid w:val="002A27AA"/>
    <w:rsid w:val="002A3521"/>
    <w:rsid w:val="002A3F1E"/>
    <w:rsid w:val="002A4282"/>
    <w:rsid w:val="002A4411"/>
    <w:rsid w:val="002A4EE3"/>
    <w:rsid w:val="002A52CE"/>
    <w:rsid w:val="002A6C06"/>
    <w:rsid w:val="002A779B"/>
    <w:rsid w:val="002A7CC9"/>
    <w:rsid w:val="002B11C7"/>
    <w:rsid w:val="002B1495"/>
    <w:rsid w:val="002B1ED5"/>
    <w:rsid w:val="002B38F1"/>
    <w:rsid w:val="002B670B"/>
    <w:rsid w:val="002B6752"/>
    <w:rsid w:val="002B67D0"/>
    <w:rsid w:val="002B682A"/>
    <w:rsid w:val="002C065B"/>
    <w:rsid w:val="002C16BA"/>
    <w:rsid w:val="002C16C0"/>
    <w:rsid w:val="002C1BE5"/>
    <w:rsid w:val="002C25A9"/>
    <w:rsid w:val="002C3380"/>
    <w:rsid w:val="002C3CAE"/>
    <w:rsid w:val="002C425A"/>
    <w:rsid w:val="002C477E"/>
    <w:rsid w:val="002C53FE"/>
    <w:rsid w:val="002C5744"/>
    <w:rsid w:val="002C6101"/>
    <w:rsid w:val="002D0329"/>
    <w:rsid w:val="002D11C5"/>
    <w:rsid w:val="002D1877"/>
    <w:rsid w:val="002D387A"/>
    <w:rsid w:val="002D3AD8"/>
    <w:rsid w:val="002D3D73"/>
    <w:rsid w:val="002D400D"/>
    <w:rsid w:val="002D4AE8"/>
    <w:rsid w:val="002D4F8F"/>
    <w:rsid w:val="002D4FFC"/>
    <w:rsid w:val="002D5AD8"/>
    <w:rsid w:val="002D5B4A"/>
    <w:rsid w:val="002D6D78"/>
    <w:rsid w:val="002E25AD"/>
    <w:rsid w:val="002E2980"/>
    <w:rsid w:val="002E4B38"/>
    <w:rsid w:val="002E55C2"/>
    <w:rsid w:val="002E5CC1"/>
    <w:rsid w:val="002E7AA9"/>
    <w:rsid w:val="002E7EDD"/>
    <w:rsid w:val="002F095F"/>
    <w:rsid w:val="002F1304"/>
    <w:rsid w:val="002F17E2"/>
    <w:rsid w:val="002F35AC"/>
    <w:rsid w:val="002F3825"/>
    <w:rsid w:val="002F3849"/>
    <w:rsid w:val="002F42F9"/>
    <w:rsid w:val="002F5215"/>
    <w:rsid w:val="002F6CAB"/>
    <w:rsid w:val="002F704D"/>
    <w:rsid w:val="002F76E6"/>
    <w:rsid w:val="002F7DD6"/>
    <w:rsid w:val="003005E7"/>
    <w:rsid w:val="003006D5"/>
    <w:rsid w:val="00302C9B"/>
    <w:rsid w:val="00304E98"/>
    <w:rsid w:val="00304EC6"/>
    <w:rsid w:val="00305A9B"/>
    <w:rsid w:val="003065A3"/>
    <w:rsid w:val="00307618"/>
    <w:rsid w:val="00307EC1"/>
    <w:rsid w:val="0031016D"/>
    <w:rsid w:val="00311CFF"/>
    <w:rsid w:val="003132FA"/>
    <w:rsid w:val="003133F6"/>
    <w:rsid w:val="00313604"/>
    <w:rsid w:val="0031467F"/>
    <w:rsid w:val="00314B38"/>
    <w:rsid w:val="00314E58"/>
    <w:rsid w:val="00315928"/>
    <w:rsid w:val="00316C5F"/>
    <w:rsid w:val="00320EFE"/>
    <w:rsid w:val="0032164A"/>
    <w:rsid w:val="003216C0"/>
    <w:rsid w:val="0032327D"/>
    <w:rsid w:val="00325164"/>
    <w:rsid w:val="003256DA"/>
    <w:rsid w:val="00325785"/>
    <w:rsid w:val="003257C7"/>
    <w:rsid w:val="00325C67"/>
    <w:rsid w:val="00327411"/>
    <w:rsid w:val="003274DA"/>
    <w:rsid w:val="00327FE4"/>
    <w:rsid w:val="00331EAD"/>
    <w:rsid w:val="003321C3"/>
    <w:rsid w:val="003324C5"/>
    <w:rsid w:val="00332F25"/>
    <w:rsid w:val="00332F42"/>
    <w:rsid w:val="00333773"/>
    <w:rsid w:val="00334D70"/>
    <w:rsid w:val="00335BA3"/>
    <w:rsid w:val="00336190"/>
    <w:rsid w:val="0033654C"/>
    <w:rsid w:val="00336762"/>
    <w:rsid w:val="003367C1"/>
    <w:rsid w:val="003368F2"/>
    <w:rsid w:val="00336F7F"/>
    <w:rsid w:val="00337BD8"/>
    <w:rsid w:val="00337E57"/>
    <w:rsid w:val="00343112"/>
    <w:rsid w:val="0034343B"/>
    <w:rsid w:val="003440F4"/>
    <w:rsid w:val="00344F5E"/>
    <w:rsid w:val="00345724"/>
    <w:rsid w:val="00346350"/>
    <w:rsid w:val="0034739B"/>
    <w:rsid w:val="00347504"/>
    <w:rsid w:val="00350187"/>
    <w:rsid w:val="00350E57"/>
    <w:rsid w:val="00351961"/>
    <w:rsid w:val="0035294C"/>
    <w:rsid w:val="00354468"/>
    <w:rsid w:val="00354757"/>
    <w:rsid w:val="00355A05"/>
    <w:rsid w:val="00355BE3"/>
    <w:rsid w:val="003565D1"/>
    <w:rsid w:val="00357337"/>
    <w:rsid w:val="00360AEB"/>
    <w:rsid w:val="00360C9B"/>
    <w:rsid w:val="00362EAD"/>
    <w:rsid w:val="0036378F"/>
    <w:rsid w:val="00363FD5"/>
    <w:rsid w:val="00364447"/>
    <w:rsid w:val="0036548D"/>
    <w:rsid w:val="00366400"/>
    <w:rsid w:val="00366F99"/>
    <w:rsid w:val="0036741F"/>
    <w:rsid w:val="003706E6"/>
    <w:rsid w:val="00371F87"/>
    <w:rsid w:val="00372D38"/>
    <w:rsid w:val="00373431"/>
    <w:rsid w:val="00373B84"/>
    <w:rsid w:val="00374E1F"/>
    <w:rsid w:val="00375096"/>
    <w:rsid w:val="003751E8"/>
    <w:rsid w:val="00375A27"/>
    <w:rsid w:val="003769E6"/>
    <w:rsid w:val="00376AC6"/>
    <w:rsid w:val="003771BF"/>
    <w:rsid w:val="00380BEC"/>
    <w:rsid w:val="0038168F"/>
    <w:rsid w:val="003817F7"/>
    <w:rsid w:val="00382049"/>
    <w:rsid w:val="00382377"/>
    <w:rsid w:val="0038260F"/>
    <w:rsid w:val="00382999"/>
    <w:rsid w:val="0038374A"/>
    <w:rsid w:val="00383FB8"/>
    <w:rsid w:val="00387470"/>
    <w:rsid w:val="003918D3"/>
    <w:rsid w:val="003930F9"/>
    <w:rsid w:val="00393200"/>
    <w:rsid w:val="00393D6A"/>
    <w:rsid w:val="00394206"/>
    <w:rsid w:val="0039457D"/>
    <w:rsid w:val="00394F94"/>
    <w:rsid w:val="00395028"/>
    <w:rsid w:val="0039593F"/>
    <w:rsid w:val="00396B00"/>
    <w:rsid w:val="00396B0E"/>
    <w:rsid w:val="00396F87"/>
    <w:rsid w:val="00397574"/>
    <w:rsid w:val="00397862"/>
    <w:rsid w:val="003A087E"/>
    <w:rsid w:val="003A1726"/>
    <w:rsid w:val="003A3065"/>
    <w:rsid w:val="003A3237"/>
    <w:rsid w:val="003A4184"/>
    <w:rsid w:val="003A41C8"/>
    <w:rsid w:val="003A4A1F"/>
    <w:rsid w:val="003A507B"/>
    <w:rsid w:val="003A54C2"/>
    <w:rsid w:val="003A6C84"/>
    <w:rsid w:val="003A6E05"/>
    <w:rsid w:val="003A7432"/>
    <w:rsid w:val="003A7471"/>
    <w:rsid w:val="003A7BBA"/>
    <w:rsid w:val="003A7D20"/>
    <w:rsid w:val="003B0044"/>
    <w:rsid w:val="003B0A1C"/>
    <w:rsid w:val="003B0E7A"/>
    <w:rsid w:val="003B1183"/>
    <w:rsid w:val="003B321D"/>
    <w:rsid w:val="003B4D9D"/>
    <w:rsid w:val="003C13A2"/>
    <w:rsid w:val="003C194E"/>
    <w:rsid w:val="003C1A8B"/>
    <w:rsid w:val="003C1DC8"/>
    <w:rsid w:val="003C260E"/>
    <w:rsid w:val="003C2A25"/>
    <w:rsid w:val="003C5010"/>
    <w:rsid w:val="003C50E9"/>
    <w:rsid w:val="003C5883"/>
    <w:rsid w:val="003C599F"/>
    <w:rsid w:val="003C651C"/>
    <w:rsid w:val="003D0203"/>
    <w:rsid w:val="003D1BFE"/>
    <w:rsid w:val="003D1FD2"/>
    <w:rsid w:val="003D2B1F"/>
    <w:rsid w:val="003D3F22"/>
    <w:rsid w:val="003D4394"/>
    <w:rsid w:val="003D601C"/>
    <w:rsid w:val="003D69CE"/>
    <w:rsid w:val="003D714A"/>
    <w:rsid w:val="003D7BF6"/>
    <w:rsid w:val="003E1576"/>
    <w:rsid w:val="003E3189"/>
    <w:rsid w:val="003E514E"/>
    <w:rsid w:val="003E6536"/>
    <w:rsid w:val="003E6817"/>
    <w:rsid w:val="003F009D"/>
    <w:rsid w:val="003F2722"/>
    <w:rsid w:val="003F5393"/>
    <w:rsid w:val="003F6343"/>
    <w:rsid w:val="003F6FA6"/>
    <w:rsid w:val="003F7FEC"/>
    <w:rsid w:val="00400D70"/>
    <w:rsid w:val="00401E14"/>
    <w:rsid w:val="00402D95"/>
    <w:rsid w:val="00404AC4"/>
    <w:rsid w:val="00405C34"/>
    <w:rsid w:val="00405CF4"/>
    <w:rsid w:val="004067FE"/>
    <w:rsid w:val="0040720E"/>
    <w:rsid w:val="00412522"/>
    <w:rsid w:val="00412684"/>
    <w:rsid w:val="00412838"/>
    <w:rsid w:val="00412921"/>
    <w:rsid w:val="00412CDC"/>
    <w:rsid w:val="0041344A"/>
    <w:rsid w:val="004138BA"/>
    <w:rsid w:val="00413A18"/>
    <w:rsid w:val="00413DD5"/>
    <w:rsid w:val="00415647"/>
    <w:rsid w:val="00421F00"/>
    <w:rsid w:val="00423906"/>
    <w:rsid w:val="004240E7"/>
    <w:rsid w:val="004250DF"/>
    <w:rsid w:val="00425A80"/>
    <w:rsid w:val="004261F5"/>
    <w:rsid w:val="0043070A"/>
    <w:rsid w:val="00430BF3"/>
    <w:rsid w:val="00430EA7"/>
    <w:rsid w:val="00431ACB"/>
    <w:rsid w:val="00431C95"/>
    <w:rsid w:val="00433B40"/>
    <w:rsid w:val="00433DF2"/>
    <w:rsid w:val="004351C0"/>
    <w:rsid w:val="0043557E"/>
    <w:rsid w:val="00436554"/>
    <w:rsid w:val="004368F5"/>
    <w:rsid w:val="00442A87"/>
    <w:rsid w:val="00443584"/>
    <w:rsid w:val="00443B4C"/>
    <w:rsid w:val="00443D92"/>
    <w:rsid w:val="0044443F"/>
    <w:rsid w:val="00447073"/>
    <w:rsid w:val="0044740A"/>
    <w:rsid w:val="0045189A"/>
    <w:rsid w:val="00452DDC"/>
    <w:rsid w:val="00453545"/>
    <w:rsid w:val="00453A2F"/>
    <w:rsid w:val="004542F5"/>
    <w:rsid w:val="0045459F"/>
    <w:rsid w:val="00454D35"/>
    <w:rsid w:val="004556B4"/>
    <w:rsid w:val="00455B4E"/>
    <w:rsid w:val="004560D0"/>
    <w:rsid w:val="00456732"/>
    <w:rsid w:val="0046063F"/>
    <w:rsid w:val="004619B3"/>
    <w:rsid w:val="004631E5"/>
    <w:rsid w:val="004640EA"/>
    <w:rsid w:val="00465490"/>
    <w:rsid w:val="00466372"/>
    <w:rsid w:val="00466F10"/>
    <w:rsid w:val="00467434"/>
    <w:rsid w:val="00467475"/>
    <w:rsid w:val="00470886"/>
    <w:rsid w:val="0047112D"/>
    <w:rsid w:val="004719C4"/>
    <w:rsid w:val="0047218B"/>
    <w:rsid w:val="00473B34"/>
    <w:rsid w:val="00473B7E"/>
    <w:rsid w:val="0047406D"/>
    <w:rsid w:val="00474E3D"/>
    <w:rsid w:val="00475C79"/>
    <w:rsid w:val="00475D05"/>
    <w:rsid w:val="00475F34"/>
    <w:rsid w:val="00475F68"/>
    <w:rsid w:val="00477D1D"/>
    <w:rsid w:val="00480116"/>
    <w:rsid w:val="00480C50"/>
    <w:rsid w:val="0048161E"/>
    <w:rsid w:val="004822F3"/>
    <w:rsid w:val="00482DB5"/>
    <w:rsid w:val="00483106"/>
    <w:rsid w:val="00483F76"/>
    <w:rsid w:val="00484649"/>
    <w:rsid w:val="0048553C"/>
    <w:rsid w:val="0049058E"/>
    <w:rsid w:val="004909A1"/>
    <w:rsid w:val="004946B4"/>
    <w:rsid w:val="0049484A"/>
    <w:rsid w:val="004958E7"/>
    <w:rsid w:val="00495F54"/>
    <w:rsid w:val="00496376"/>
    <w:rsid w:val="0049704E"/>
    <w:rsid w:val="00497055"/>
    <w:rsid w:val="004978A2"/>
    <w:rsid w:val="004A08E1"/>
    <w:rsid w:val="004A1D4B"/>
    <w:rsid w:val="004A2FB6"/>
    <w:rsid w:val="004A3378"/>
    <w:rsid w:val="004A3C3B"/>
    <w:rsid w:val="004A4147"/>
    <w:rsid w:val="004A500B"/>
    <w:rsid w:val="004A6AF6"/>
    <w:rsid w:val="004A6C4E"/>
    <w:rsid w:val="004B00EE"/>
    <w:rsid w:val="004B0DCD"/>
    <w:rsid w:val="004B14CF"/>
    <w:rsid w:val="004B1F03"/>
    <w:rsid w:val="004B32AA"/>
    <w:rsid w:val="004B3AA9"/>
    <w:rsid w:val="004B4C78"/>
    <w:rsid w:val="004B50BE"/>
    <w:rsid w:val="004B5890"/>
    <w:rsid w:val="004B6CC3"/>
    <w:rsid w:val="004B6FB1"/>
    <w:rsid w:val="004B7D20"/>
    <w:rsid w:val="004C3463"/>
    <w:rsid w:val="004C4294"/>
    <w:rsid w:val="004C44E4"/>
    <w:rsid w:val="004C608F"/>
    <w:rsid w:val="004C6E3A"/>
    <w:rsid w:val="004C741D"/>
    <w:rsid w:val="004C7A95"/>
    <w:rsid w:val="004C7AC4"/>
    <w:rsid w:val="004C7C9B"/>
    <w:rsid w:val="004D2C59"/>
    <w:rsid w:val="004D349E"/>
    <w:rsid w:val="004D5D40"/>
    <w:rsid w:val="004D6221"/>
    <w:rsid w:val="004D6568"/>
    <w:rsid w:val="004D7C07"/>
    <w:rsid w:val="004E0E16"/>
    <w:rsid w:val="004E1195"/>
    <w:rsid w:val="004E406E"/>
    <w:rsid w:val="004E7184"/>
    <w:rsid w:val="004F0E21"/>
    <w:rsid w:val="004F42ED"/>
    <w:rsid w:val="004F4927"/>
    <w:rsid w:val="004F4CE7"/>
    <w:rsid w:val="004F5864"/>
    <w:rsid w:val="004F5C9B"/>
    <w:rsid w:val="004F6B51"/>
    <w:rsid w:val="004F7198"/>
    <w:rsid w:val="0050026A"/>
    <w:rsid w:val="00501C09"/>
    <w:rsid w:val="00502D21"/>
    <w:rsid w:val="00502F96"/>
    <w:rsid w:val="0050316A"/>
    <w:rsid w:val="00503CD5"/>
    <w:rsid w:val="00503E99"/>
    <w:rsid w:val="005056EB"/>
    <w:rsid w:val="005058F3"/>
    <w:rsid w:val="00505AF1"/>
    <w:rsid w:val="005066B1"/>
    <w:rsid w:val="00506DBA"/>
    <w:rsid w:val="00506E86"/>
    <w:rsid w:val="00507A04"/>
    <w:rsid w:val="00510A25"/>
    <w:rsid w:val="00511A8A"/>
    <w:rsid w:val="005175D5"/>
    <w:rsid w:val="0051768C"/>
    <w:rsid w:val="00517886"/>
    <w:rsid w:val="00520153"/>
    <w:rsid w:val="005201BB"/>
    <w:rsid w:val="0052033F"/>
    <w:rsid w:val="00520491"/>
    <w:rsid w:val="005205FC"/>
    <w:rsid w:val="00520D3B"/>
    <w:rsid w:val="0052108D"/>
    <w:rsid w:val="005210D6"/>
    <w:rsid w:val="00521639"/>
    <w:rsid w:val="005224C6"/>
    <w:rsid w:val="005225B6"/>
    <w:rsid w:val="00524498"/>
    <w:rsid w:val="00524F82"/>
    <w:rsid w:val="005251E2"/>
    <w:rsid w:val="00526C6F"/>
    <w:rsid w:val="005277EB"/>
    <w:rsid w:val="005304B3"/>
    <w:rsid w:val="005313B5"/>
    <w:rsid w:val="00531EE5"/>
    <w:rsid w:val="00532252"/>
    <w:rsid w:val="00535724"/>
    <w:rsid w:val="005363AE"/>
    <w:rsid w:val="00536DD6"/>
    <w:rsid w:val="00540D47"/>
    <w:rsid w:val="00540F39"/>
    <w:rsid w:val="00541197"/>
    <w:rsid w:val="0054330D"/>
    <w:rsid w:val="005441EE"/>
    <w:rsid w:val="00544D83"/>
    <w:rsid w:val="00544DA8"/>
    <w:rsid w:val="00545EF7"/>
    <w:rsid w:val="00546AE6"/>
    <w:rsid w:val="0054734C"/>
    <w:rsid w:val="005475DD"/>
    <w:rsid w:val="00547D6C"/>
    <w:rsid w:val="00547F1E"/>
    <w:rsid w:val="00551BC0"/>
    <w:rsid w:val="00551EE7"/>
    <w:rsid w:val="00552967"/>
    <w:rsid w:val="00552A30"/>
    <w:rsid w:val="00553198"/>
    <w:rsid w:val="005543F6"/>
    <w:rsid w:val="0055544C"/>
    <w:rsid w:val="00556025"/>
    <w:rsid w:val="00556435"/>
    <w:rsid w:val="00560F90"/>
    <w:rsid w:val="005619F4"/>
    <w:rsid w:val="00562139"/>
    <w:rsid w:val="00562CD6"/>
    <w:rsid w:val="00563537"/>
    <w:rsid w:val="005635ED"/>
    <w:rsid w:val="00565C58"/>
    <w:rsid w:val="00566010"/>
    <w:rsid w:val="00566389"/>
    <w:rsid w:val="00570264"/>
    <w:rsid w:val="005705F3"/>
    <w:rsid w:val="005714DC"/>
    <w:rsid w:val="005715E1"/>
    <w:rsid w:val="0057180D"/>
    <w:rsid w:val="00572921"/>
    <w:rsid w:val="00572CC0"/>
    <w:rsid w:val="00573519"/>
    <w:rsid w:val="00573572"/>
    <w:rsid w:val="0057357C"/>
    <w:rsid w:val="005764C5"/>
    <w:rsid w:val="005770E6"/>
    <w:rsid w:val="005771CB"/>
    <w:rsid w:val="005772BF"/>
    <w:rsid w:val="00580553"/>
    <w:rsid w:val="005807BC"/>
    <w:rsid w:val="00580EBC"/>
    <w:rsid w:val="005815FE"/>
    <w:rsid w:val="0058160C"/>
    <w:rsid w:val="00581DDF"/>
    <w:rsid w:val="00583374"/>
    <w:rsid w:val="0058450B"/>
    <w:rsid w:val="00584E79"/>
    <w:rsid w:val="00586ABD"/>
    <w:rsid w:val="0059126A"/>
    <w:rsid w:val="00591B97"/>
    <w:rsid w:val="0059266D"/>
    <w:rsid w:val="00592DAF"/>
    <w:rsid w:val="0059411E"/>
    <w:rsid w:val="00594458"/>
    <w:rsid w:val="005944FE"/>
    <w:rsid w:val="0059485A"/>
    <w:rsid w:val="00595929"/>
    <w:rsid w:val="00595C97"/>
    <w:rsid w:val="00595CB7"/>
    <w:rsid w:val="00595CF4"/>
    <w:rsid w:val="00595F9A"/>
    <w:rsid w:val="00596355"/>
    <w:rsid w:val="00596A92"/>
    <w:rsid w:val="00596ACB"/>
    <w:rsid w:val="00597C2B"/>
    <w:rsid w:val="005A0176"/>
    <w:rsid w:val="005A1503"/>
    <w:rsid w:val="005A4DC3"/>
    <w:rsid w:val="005A67CD"/>
    <w:rsid w:val="005A6E52"/>
    <w:rsid w:val="005B1B21"/>
    <w:rsid w:val="005B2C2A"/>
    <w:rsid w:val="005B3725"/>
    <w:rsid w:val="005B44F9"/>
    <w:rsid w:val="005B5691"/>
    <w:rsid w:val="005B7451"/>
    <w:rsid w:val="005B78D2"/>
    <w:rsid w:val="005C0AA4"/>
    <w:rsid w:val="005C107F"/>
    <w:rsid w:val="005C2A94"/>
    <w:rsid w:val="005C2C5F"/>
    <w:rsid w:val="005C3662"/>
    <w:rsid w:val="005C40CD"/>
    <w:rsid w:val="005C4250"/>
    <w:rsid w:val="005C4F15"/>
    <w:rsid w:val="005C603E"/>
    <w:rsid w:val="005C79F2"/>
    <w:rsid w:val="005D118A"/>
    <w:rsid w:val="005D3471"/>
    <w:rsid w:val="005D486E"/>
    <w:rsid w:val="005D55D5"/>
    <w:rsid w:val="005D5A29"/>
    <w:rsid w:val="005D6243"/>
    <w:rsid w:val="005D646D"/>
    <w:rsid w:val="005D64A4"/>
    <w:rsid w:val="005D707A"/>
    <w:rsid w:val="005D711C"/>
    <w:rsid w:val="005D7956"/>
    <w:rsid w:val="005E0219"/>
    <w:rsid w:val="005E0375"/>
    <w:rsid w:val="005E09B1"/>
    <w:rsid w:val="005E196C"/>
    <w:rsid w:val="005E28CC"/>
    <w:rsid w:val="005E2C54"/>
    <w:rsid w:val="005E31FE"/>
    <w:rsid w:val="005E468A"/>
    <w:rsid w:val="005E511D"/>
    <w:rsid w:val="005E68C9"/>
    <w:rsid w:val="005E6C3A"/>
    <w:rsid w:val="005E6C8D"/>
    <w:rsid w:val="005E77B2"/>
    <w:rsid w:val="005F16EC"/>
    <w:rsid w:val="005F1FC0"/>
    <w:rsid w:val="005F29E6"/>
    <w:rsid w:val="005F2D94"/>
    <w:rsid w:val="005F7365"/>
    <w:rsid w:val="006007B2"/>
    <w:rsid w:val="00601215"/>
    <w:rsid w:val="0060169C"/>
    <w:rsid w:val="006023E2"/>
    <w:rsid w:val="006041A7"/>
    <w:rsid w:val="006048C6"/>
    <w:rsid w:val="00604BE6"/>
    <w:rsid w:val="0060761C"/>
    <w:rsid w:val="00607B65"/>
    <w:rsid w:val="0061114D"/>
    <w:rsid w:val="00611706"/>
    <w:rsid w:val="0061456C"/>
    <w:rsid w:val="00614F50"/>
    <w:rsid w:val="00616036"/>
    <w:rsid w:val="006160EA"/>
    <w:rsid w:val="00620272"/>
    <w:rsid w:val="00620CCE"/>
    <w:rsid w:val="0062105A"/>
    <w:rsid w:val="00623E10"/>
    <w:rsid w:val="0062582B"/>
    <w:rsid w:val="00625B4B"/>
    <w:rsid w:val="006266F5"/>
    <w:rsid w:val="0062692E"/>
    <w:rsid w:val="00626B87"/>
    <w:rsid w:val="00627051"/>
    <w:rsid w:val="00630989"/>
    <w:rsid w:val="00631B38"/>
    <w:rsid w:val="00631D6E"/>
    <w:rsid w:val="00631FCE"/>
    <w:rsid w:val="0063251C"/>
    <w:rsid w:val="00633DDC"/>
    <w:rsid w:val="00635E37"/>
    <w:rsid w:val="00636338"/>
    <w:rsid w:val="00636D4C"/>
    <w:rsid w:val="0064080B"/>
    <w:rsid w:val="00641DA7"/>
    <w:rsid w:val="006424FF"/>
    <w:rsid w:val="006429F9"/>
    <w:rsid w:val="00643672"/>
    <w:rsid w:val="00643845"/>
    <w:rsid w:val="00643EE0"/>
    <w:rsid w:val="00645556"/>
    <w:rsid w:val="0064597C"/>
    <w:rsid w:val="006467AD"/>
    <w:rsid w:val="0064730C"/>
    <w:rsid w:val="00650A4F"/>
    <w:rsid w:val="00650D38"/>
    <w:rsid w:val="006517CA"/>
    <w:rsid w:val="00653C36"/>
    <w:rsid w:val="006562E8"/>
    <w:rsid w:val="00660632"/>
    <w:rsid w:val="00660DA6"/>
    <w:rsid w:val="00662638"/>
    <w:rsid w:val="0066308E"/>
    <w:rsid w:val="006631D3"/>
    <w:rsid w:val="00663E77"/>
    <w:rsid w:val="0066407B"/>
    <w:rsid w:val="00664F48"/>
    <w:rsid w:val="00665B8A"/>
    <w:rsid w:val="006660EA"/>
    <w:rsid w:val="00667231"/>
    <w:rsid w:val="0066755E"/>
    <w:rsid w:val="00667618"/>
    <w:rsid w:val="0066776D"/>
    <w:rsid w:val="00667E5D"/>
    <w:rsid w:val="006702CB"/>
    <w:rsid w:val="00670AC8"/>
    <w:rsid w:val="00671345"/>
    <w:rsid w:val="00671A5D"/>
    <w:rsid w:val="00672700"/>
    <w:rsid w:val="00672933"/>
    <w:rsid w:val="00674656"/>
    <w:rsid w:val="00674F80"/>
    <w:rsid w:val="006767BE"/>
    <w:rsid w:val="00676A13"/>
    <w:rsid w:val="006777A6"/>
    <w:rsid w:val="00677EE3"/>
    <w:rsid w:val="006807FC"/>
    <w:rsid w:val="006813D2"/>
    <w:rsid w:val="00681DFB"/>
    <w:rsid w:val="00681FA4"/>
    <w:rsid w:val="006823AE"/>
    <w:rsid w:val="00682951"/>
    <w:rsid w:val="00683F3B"/>
    <w:rsid w:val="00684793"/>
    <w:rsid w:val="00684E73"/>
    <w:rsid w:val="0069134F"/>
    <w:rsid w:val="006925F6"/>
    <w:rsid w:val="00692AB1"/>
    <w:rsid w:val="00692C2F"/>
    <w:rsid w:val="00692E4E"/>
    <w:rsid w:val="00693794"/>
    <w:rsid w:val="00693C93"/>
    <w:rsid w:val="006941AA"/>
    <w:rsid w:val="0069430E"/>
    <w:rsid w:val="00695845"/>
    <w:rsid w:val="00695D66"/>
    <w:rsid w:val="00696197"/>
    <w:rsid w:val="006962C1"/>
    <w:rsid w:val="006A01E9"/>
    <w:rsid w:val="006A01F1"/>
    <w:rsid w:val="006A14A2"/>
    <w:rsid w:val="006A3E8E"/>
    <w:rsid w:val="006A4099"/>
    <w:rsid w:val="006A49B4"/>
    <w:rsid w:val="006A647D"/>
    <w:rsid w:val="006A67D0"/>
    <w:rsid w:val="006A689B"/>
    <w:rsid w:val="006B10CD"/>
    <w:rsid w:val="006B27B0"/>
    <w:rsid w:val="006B388A"/>
    <w:rsid w:val="006B4336"/>
    <w:rsid w:val="006B558D"/>
    <w:rsid w:val="006B5750"/>
    <w:rsid w:val="006B7652"/>
    <w:rsid w:val="006B78CE"/>
    <w:rsid w:val="006B7E44"/>
    <w:rsid w:val="006C02BF"/>
    <w:rsid w:val="006C0A96"/>
    <w:rsid w:val="006C0D80"/>
    <w:rsid w:val="006C2B69"/>
    <w:rsid w:val="006C4304"/>
    <w:rsid w:val="006C4C8D"/>
    <w:rsid w:val="006C57EA"/>
    <w:rsid w:val="006C6272"/>
    <w:rsid w:val="006C7248"/>
    <w:rsid w:val="006C7301"/>
    <w:rsid w:val="006C7766"/>
    <w:rsid w:val="006D0A75"/>
    <w:rsid w:val="006D0E6A"/>
    <w:rsid w:val="006D1351"/>
    <w:rsid w:val="006D1CB5"/>
    <w:rsid w:val="006D1FF8"/>
    <w:rsid w:val="006D3C0F"/>
    <w:rsid w:val="006D5583"/>
    <w:rsid w:val="006D5AF2"/>
    <w:rsid w:val="006D5B53"/>
    <w:rsid w:val="006D5F27"/>
    <w:rsid w:val="006D6ED7"/>
    <w:rsid w:val="006D7475"/>
    <w:rsid w:val="006D74D1"/>
    <w:rsid w:val="006D7754"/>
    <w:rsid w:val="006E1D77"/>
    <w:rsid w:val="006E299F"/>
    <w:rsid w:val="006E2EB2"/>
    <w:rsid w:val="006E3BC3"/>
    <w:rsid w:val="006E4967"/>
    <w:rsid w:val="006E4E1C"/>
    <w:rsid w:val="006E5008"/>
    <w:rsid w:val="006E56AA"/>
    <w:rsid w:val="006E5A8E"/>
    <w:rsid w:val="006E6448"/>
    <w:rsid w:val="006E6B31"/>
    <w:rsid w:val="006E6FE9"/>
    <w:rsid w:val="006E760F"/>
    <w:rsid w:val="006E77C8"/>
    <w:rsid w:val="006E7E4B"/>
    <w:rsid w:val="006F0CC6"/>
    <w:rsid w:val="006F4D5B"/>
    <w:rsid w:val="006F637A"/>
    <w:rsid w:val="006F6FF4"/>
    <w:rsid w:val="00701247"/>
    <w:rsid w:val="0070243A"/>
    <w:rsid w:val="00704539"/>
    <w:rsid w:val="00705E9F"/>
    <w:rsid w:val="00705F59"/>
    <w:rsid w:val="00707083"/>
    <w:rsid w:val="0071039B"/>
    <w:rsid w:val="00710657"/>
    <w:rsid w:val="0071088D"/>
    <w:rsid w:val="0071165D"/>
    <w:rsid w:val="0071221C"/>
    <w:rsid w:val="007126F5"/>
    <w:rsid w:val="00712C2E"/>
    <w:rsid w:val="00713341"/>
    <w:rsid w:val="00713513"/>
    <w:rsid w:val="007137FB"/>
    <w:rsid w:val="0071387B"/>
    <w:rsid w:val="00713C42"/>
    <w:rsid w:val="00713E4F"/>
    <w:rsid w:val="0071416C"/>
    <w:rsid w:val="00714A36"/>
    <w:rsid w:val="00715A70"/>
    <w:rsid w:val="00715E6E"/>
    <w:rsid w:val="007165A3"/>
    <w:rsid w:val="00716F01"/>
    <w:rsid w:val="007205B7"/>
    <w:rsid w:val="00721C87"/>
    <w:rsid w:val="00724136"/>
    <w:rsid w:val="0072627D"/>
    <w:rsid w:val="0073023D"/>
    <w:rsid w:val="0073051E"/>
    <w:rsid w:val="007306AA"/>
    <w:rsid w:val="007311F5"/>
    <w:rsid w:val="00732869"/>
    <w:rsid w:val="00733CD1"/>
    <w:rsid w:val="00734AD1"/>
    <w:rsid w:val="0073558E"/>
    <w:rsid w:val="0073676E"/>
    <w:rsid w:val="00740D9D"/>
    <w:rsid w:val="007418DB"/>
    <w:rsid w:val="00743961"/>
    <w:rsid w:val="00745306"/>
    <w:rsid w:val="0074664C"/>
    <w:rsid w:val="00746B1A"/>
    <w:rsid w:val="0074744F"/>
    <w:rsid w:val="0075011F"/>
    <w:rsid w:val="00750363"/>
    <w:rsid w:val="0075144E"/>
    <w:rsid w:val="00751466"/>
    <w:rsid w:val="00752140"/>
    <w:rsid w:val="00753BEB"/>
    <w:rsid w:val="00756160"/>
    <w:rsid w:val="007566F7"/>
    <w:rsid w:val="00756BB1"/>
    <w:rsid w:val="00757504"/>
    <w:rsid w:val="00757A27"/>
    <w:rsid w:val="00757B38"/>
    <w:rsid w:val="00761DE3"/>
    <w:rsid w:val="00763A96"/>
    <w:rsid w:val="007640A4"/>
    <w:rsid w:val="0076433E"/>
    <w:rsid w:val="007649F0"/>
    <w:rsid w:val="00764AC3"/>
    <w:rsid w:val="00766737"/>
    <w:rsid w:val="00770998"/>
    <w:rsid w:val="00771110"/>
    <w:rsid w:val="00771319"/>
    <w:rsid w:val="00771ADD"/>
    <w:rsid w:val="007732E7"/>
    <w:rsid w:val="007734BE"/>
    <w:rsid w:val="00773A45"/>
    <w:rsid w:val="00774AC1"/>
    <w:rsid w:val="00775C27"/>
    <w:rsid w:val="007761A2"/>
    <w:rsid w:val="0077746B"/>
    <w:rsid w:val="00777C47"/>
    <w:rsid w:val="007803DB"/>
    <w:rsid w:val="00780BCA"/>
    <w:rsid w:val="00780CC5"/>
    <w:rsid w:val="00780CE3"/>
    <w:rsid w:val="00781168"/>
    <w:rsid w:val="0078118F"/>
    <w:rsid w:val="00781BBD"/>
    <w:rsid w:val="0078274B"/>
    <w:rsid w:val="00782779"/>
    <w:rsid w:val="00783349"/>
    <w:rsid w:val="0078381A"/>
    <w:rsid w:val="0078394F"/>
    <w:rsid w:val="00783E35"/>
    <w:rsid w:val="00785394"/>
    <w:rsid w:val="0078570F"/>
    <w:rsid w:val="0078635A"/>
    <w:rsid w:val="0078771E"/>
    <w:rsid w:val="00787F67"/>
    <w:rsid w:val="00791091"/>
    <w:rsid w:val="00792657"/>
    <w:rsid w:val="0079281A"/>
    <w:rsid w:val="00792EDC"/>
    <w:rsid w:val="00792F12"/>
    <w:rsid w:val="00792F74"/>
    <w:rsid w:val="00793CAC"/>
    <w:rsid w:val="00793D5A"/>
    <w:rsid w:val="00794D0A"/>
    <w:rsid w:val="007965A2"/>
    <w:rsid w:val="00797DCC"/>
    <w:rsid w:val="00797EA3"/>
    <w:rsid w:val="007A0BE9"/>
    <w:rsid w:val="007A2941"/>
    <w:rsid w:val="007A3BDE"/>
    <w:rsid w:val="007A5ED1"/>
    <w:rsid w:val="007A67B7"/>
    <w:rsid w:val="007A7000"/>
    <w:rsid w:val="007A7EDD"/>
    <w:rsid w:val="007B0088"/>
    <w:rsid w:val="007B1130"/>
    <w:rsid w:val="007B1BB1"/>
    <w:rsid w:val="007B4174"/>
    <w:rsid w:val="007B439E"/>
    <w:rsid w:val="007B5247"/>
    <w:rsid w:val="007B5978"/>
    <w:rsid w:val="007B72AF"/>
    <w:rsid w:val="007C1B5B"/>
    <w:rsid w:val="007C213E"/>
    <w:rsid w:val="007C3EA6"/>
    <w:rsid w:val="007C567A"/>
    <w:rsid w:val="007C5D58"/>
    <w:rsid w:val="007C5EA4"/>
    <w:rsid w:val="007C6BE6"/>
    <w:rsid w:val="007C6FE0"/>
    <w:rsid w:val="007C7461"/>
    <w:rsid w:val="007C7CB9"/>
    <w:rsid w:val="007D1E34"/>
    <w:rsid w:val="007D2086"/>
    <w:rsid w:val="007D24F3"/>
    <w:rsid w:val="007D29C9"/>
    <w:rsid w:val="007D3563"/>
    <w:rsid w:val="007D463C"/>
    <w:rsid w:val="007D5418"/>
    <w:rsid w:val="007D6186"/>
    <w:rsid w:val="007D682D"/>
    <w:rsid w:val="007D6C01"/>
    <w:rsid w:val="007D6DCE"/>
    <w:rsid w:val="007D6F05"/>
    <w:rsid w:val="007E070D"/>
    <w:rsid w:val="007E2066"/>
    <w:rsid w:val="007E66F7"/>
    <w:rsid w:val="007F0DC3"/>
    <w:rsid w:val="007F23C5"/>
    <w:rsid w:val="007F2850"/>
    <w:rsid w:val="007F2A10"/>
    <w:rsid w:val="007F43AF"/>
    <w:rsid w:val="007F4835"/>
    <w:rsid w:val="007F4A97"/>
    <w:rsid w:val="007F5305"/>
    <w:rsid w:val="007F5949"/>
    <w:rsid w:val="007F5C18"/>
    <w:rsid w:val="007F7F70"/>
    <w:rsid w:val="00801A2E"/>
    <w:rsid w:val="00802503"/>
    <w:rsid w:val="0080320A"/>
    <w:rsid w:val="008039C3"/>
    <w:rsid w:val="008041A6"/>
    <w:rsid w:val="008045B9"/>
    <w:rsid w:val="008057C5"/>
    <w:rsid w:val="0080597D"/>
    <w:rsid w:val="0080609D"/>
    <w:rsid w:val="0081049F"/>
    <w:rsid w:val="00811C09"/>
    <w:rsid w:val="00811D44"/>
    <w:rsid w:val="008124F5"/>
    <w:rsid w:val="0081267A"/>
    <w:rsid w:val="0081271E"/>
    <w:rsid w:val="008132DB"/>
    <w:rsid w:val="008138FB"/>
    <w:rsid w:val="00813E7B"/>
    <w:rsid w:val="00814095"/>
    <w:rsid w:val="00814D8C"/>
    <w:rsid w:val="008155B1"/>
    <w:rsid w:val="00816641"/>
    <w:rsid w:val="00816B41"/>
    <w:rsid w:val="00816E2C"/>
    <w:rsid w:val="008171CB"/>
    <w:rsid w:val="008202EE"/>
    <w:rsid w:val="00820674"/>
    <w:rsid w:val="0082087F"/>
    <w:rsid w:val="00820B14"/>
    <w:rsid w:val="0082124A"/>
    <w:rsid w:val="00821AA7"/>
    <w:rsid w:val="00821CA3"/>
    <w:rsid w:val="00824881"/>
    <w:rsid w:val="00825C0E"/>
    <w:rsid w:val="00825CF3"/>
    <w:rsid w:val="00826B73"/>
    <w:rsid w:val="00826FC5"/>
    <w:rsid w:val="008270A8"/>
    <w:rsid w:val="00827502"/>
    <w:rsid w:val="00827A69"/>
    <w:rsid w:val="00831001"/>
    <w:rsid w:val="00832B0D"/>
    <w:rsid w:val="008347F3"/>
    <w:rsid w:val="00834EF3"/>
    <w:rsid w:val="008364FB"/>
    <w:rsid w:val="00836E56"/>
    <w:rsid w:val="00837A8A"/>
    <w:rsid w:val="00840D2E"/>
    <w:rsid w:val="00840E47"/>
    <w:rsid w:val="0084194B"/>
    <w:rsid w:val="00842AC8"/>
    <w:rsid w:val="00842BB0"/>
    <w:rsid w:val="00842EE4"/>
    <w:rsid w:val="00844F59"/>
    <w:rsid w:val="00845B91"/>
    <w:rsid w:val="00845F2E"/>
    <w:rsid w:val="00846098"/>
    <w:rsid w:val="008460F3"/>
    <w:rsid w:val="00847F3D"/>
    <w:rsid w:val="00852C9E"/>
    <w:rsid w:val="00852ECF"/>
    <w:rsid w:val="008533F1"/>
    <w:rsid w:val="008535FC"/>
    <w:rsid w:val="00853FB0"/>
    <w:rsid w:val="00854042"/>
    <w:rsid w:val="00854199"/>
    <w:rsid w:val="008556AB"/>
    <w:rsid w:val="008560A6"/>
    <w:rsid w:val="00856CE8"/>
    <w:rsid w:val="0085796D"/>
    <w:rsid w:val="0086092A"/>
    <w:rsid w:val="0086134A"/>
    <w:rsid w:val="008627ED"/>
    <w:rsid w:val="00862E36"/>
    <w:rsid w:val="00862F17"/>
    <w:rsid w:val="0086427F"/>
    <w:rsid w:val="0086453C"/>
    <w:rsid w:val="0086604D"/>
    <w:rsid w:val="008700D0"/>
    <w:rsid w:val="008706EB"/>
    <w:rsid w:val="00872D55"/>
    <w:rsid w:val="00873334"/>
    <w:rsid w:val="0087345B"/>
    <w:rsid w:val="00873ECC"/>
    <w:rsid w:val="00876DBA"/>
    <w:rsid w:val="00877020"/>
    <w:rsid w:val="00880E90"/>
    <w:rsid w:val="00883263"/>
    <w:rsid w:val="00884325"/>
    <w:rsid w:val="00885AA4"/>
    <w:rsid w:val="0088702B"/>
    <w:rsid w:val="00890506"/>
    <w:rsid w:val="00891BCB"/>
    <w:rsid w:val="00893005"/>
    <w:rsid w:val="0089315B"/>
    <w:rsid w:val="00893762"/>
    <w:rsid w:val="00893999"/>
    <w:rsid w:val="00894354"/>
    <w:rsid w:val="008946FA"/>
    <w:rsid w:val="0089481E"/>
    <w:rsid w:val="00894C47"/>
    <w:rsid w:val="00894CA9"/>
    <w:rsid w:val="00895668"/>
    <w:rsid w:val="00895FD5"/>
    <w:rsid w:val="00897A7D"/>
    <w:rsid w:val="00897B3F"/>
    <w:rsid w:val="00897BE4"/>
    <w:rsid w:val="008A0D5B"/>
    <w:rsid w:val="008A1693"/>
    <w:rsid w:val="008A1D94"/>
    <w:rsid w:val="008A233C"/>
    <w:rsid w:val="008A253E"/>
    <w:rsid w:val="008A3144"/>
    <w:rsid w:val="008A39FC"/>
    <w:rsid w:val="008A3C63"/>
    <w:rsid w:val="008A41F7"/>
    <w:rsid w:val="008A4618"/>
    <w:rsid w:val="008A4E7F"/>
    <w:rsid w:val="008A51A3"/>
    <w:rsid w:val="008A72F5"/>
    <w:rsid w:val="008A7926"/>
    <w:rsid w:val="008B04C5"/>
    <w:rsid w:val="008B0DF3"/>
    <w:rsid w:val="008B11D5"/>
    <w:rsid w:val="008B1DC6"/>
    <w:rsid w:val="008B26C1"/>
    <w:rsid w:val="008B6AD0"/>
    <w:rsid w:val="008B7407"/>
    <w:rsid w:val="008C0018"/>
    <w:rsid w:val="008C05E7"/>
    <w:rsid w:val="008C0E51"/>
    <w:rsid w:val="008C2BC4"/>
    <w:rsid w:val="008C3E92"/>
    <w:rsid w:val="008C3EE7"/>
    <w:rsid w:val="008C4799"/>
    <w:rsid w:val="008C5C02"/>
    <w:rsid w:val="008C5E4D"/>
    <w:rsid w:val="008D02DB"/>
    <w:rsid w:val="008D1EBE"/>
    <w:rsid w:val="008D3D43"/>
    <w:rsid w:val="008D48E1"/>
    <w:rsid w:val="008D6D95"/>
    <w:rsid w:val="008E03B5"/>
    <w:rsid w:val="008E31A2"/>
    <w:rsid w:val="008E4446"/>
    <w:rsid w:val="008E4B2B"/>
    <w:rsid w:val="008E5164"/>
    <w:rsid w:val="008E53CC"/>
    <w:rsid w:val="008E55D6"/>
    <w:rsid w:val="008E6AA5"/>
    <w:rsid w:val="008E7D36"/>
    <w:rsid w:val="008F1514"/>
    <w:rsid w:val="008F3DDD"/>
    <w:rsid w:val="008F5CA0"/>
    <w:rsid w:val="008F610F"/>
    <w:rsid w:val="008F642B"/>
    <w:rsid w:val="008F6F44"/>
    <w:rsid w:val="008F7F54"/>
    <w:rsid w:val="008F7FD7"/>
    <w:rsid w:val="009013E0"/>
    <w:rsid w:val="0090153B"/>
    <w:rsid w:val="00901C76"/>
    <w:rsid w:val="0090229C"/>
    <w:rsid w:val="00902615"/>
    <w:rsid w:val="009039DE"/>
    <w:rsid w:val="00903B50"/>
    <w:rsid w:val="00904A88"/>
    <w:rsid w:val="009056A2"/>
    <w:rsid w:val="00905EB3"/>
    <w:rsid w:val="009060D2"/>
    <w:rsid w:val="00907D5D"/>
    <w:rsid w:val="00910C47"/>
    <w:rsid w:val="009111DD"/>
    <w:rsid w:val="00913D54"/>
    <w:rsid w:val="0091555B"/>
    <w:rsid w:val="00916795"/>
    <w:rsid w:val="00917D4E"/>
    <w:rsid w:val="009210AD"/>
    <w:rsid w:val="0092204C"/>
    <w:rsid w:val="0092278B"/>
    <w:rsid w:val="00922D31"/>
    <w:rsid w:val="00924450"/>
    <w:rsid w:val="00925129"/>
    <w:rsid w:val="00925851"/>
    <w:rsid w:val="00926258"/>
    <w:rsid w:val="0092628E"/>
    <w:rsid w:val="009262AA"/>
    <w:rsid w:val="0092641E"/>
    <w:rsid w:val="009270F5"/>
    <w:rsid w:val="0093086B"/>
    <w:rsid w:val="00931289"/>
    <w:rsid w:val="00931431"/>
    <w:rsid w:val="00931702"/>
    <w:rsid w:val="00933169"/>
    <w:rsid w:val="00934B25"/>
    <w:rsid w:val="00934DFD"/>
    <w:rsid w:val="009355D7"/>
    <w:rsid w:val="009358E7"/>
    <w:rsid w:val="0093756C"/>
    <w:rsid w:val="00940698"/>
    <w:rsid w:val="0094080A"/>
    <w:rsid w:val="00940E06"/>
    <w:rsid w:val="00941740"/>
    <w:rsid w:val="00941B7A"/>
    <w:rsid w:val="00941D13"/>
    <w:rsid w:val="0094339B"/>
    <w:rsid w:val="00943506"/>
    <w:rsid w:val="009437F3"/>
    <w:rsid w:val="00944596"/>
    <w:rsid w:val="009446DA"/>
    <w:rsid w:val="00944BEA"/>
    <w:rsid w:val="0094514E"/>
    <w:rsid w:val="00947C8C"/>
    <w:rsid w:val="009505AF"/>
    <w:rsid w:val="00950CC8"/>
    <w:rsid w:val="00951002"/>
    <w:rsid w:val="00951C62"/>
    <w:rsid w:val="00952F1C"/>
    <w:rsid w:val="00952F5C"/>
    <w:rsid w:val="00953200"/>
    <w:rsid w:val="00954FDA"/>
    <w:rsid w:val="0095513A"/>
    <w:rsid w:val="00956E03"/>
    <w:rsid w:val="00956F80"/>
    <w:rsid w:val="00960287"/>
    <w:rsid w:val="00960564"/>
    <w:rsid w:val="00960C2E"/>
    <w:rsid w:val="00961458"/>
    <w:rsid w:val="0096171A"/>
    <w:rsid w:val="0096273B"/>
    <w:rsid w:val="00963266"/>
    <w:rsid w:val="009649A2"/>
    <w:rsid w:val="00965486"/>
    <w:rsid w:val="00966108"/>
    <w:rsid w:val="0096677F"/>
    <w:rsid w:val="00971198"/>
    <w:rsid w:val="00972022"/>
    <w:rsid w:val="00974690"/>
    <w:rsid w:val="00974C6C"/>
    <w:rsid w:val="0097557B"/>
    <w:rsid w:val="00975C13"/>
    <w:rsid w:val="009770AD"/>
    <w:rsid w:val="00977321"/>
    <w:rsid w:val="00977713"/>
    <w:rsid w:val="009804F9"/>
    <w:rsid w:val="00983ECC"/>
    <w:rsid w:val="00983F9B"/>
    <w:rsid w:val="00985518"/>
    <w:rsid w:val="00986064"/>
    <w:rsid w:val="00986D91"/>
    <w:rsid w:val="00987883"/>
    <w:rsid w:val="00987D05"/>
    <w:rsid w:val="009912EB"/>
    <w:rsid w:val="009914CF"/>
    <w:rsid w:val="00991C31"/>
    <w:rsid w:val="009935FE"/>
    <w:rsid w:val="009956CB"/>
    <w:rsid w:val="009963EA"/>
    <w:rsid w:val="009969FC"/>
    <w:rsid w:val="009A0DE9"/>
    <w:rsid w:val="009A1E8E"/>
    <w:rsid w:val="009A2EB0"/>
    <w:rsid w:val="009A32DF"/>
    <w:rsid w:val="009A37F8"/>
    <w:rsid w:val="009A5286"/>
    <w:rsid w:val="009A53A9"/>
    <w:rsid w:val="009A56D8"/>
    <w:rsid w:val="009A5E86"/>
    <w:rsid w:val="009A5E9D"/>
    <w:rsid w:val="009B0CE2"/>
    <w:rsid w:val="009B10D1"/>
    <w:rsid w:val="009B1C47"/>
    <w:rsid w:val="009B422D"/>
    <w:rsid w:val="009B45A0"/>
    <w:rsid w:val="009B49B0"/>
    <w:rsid w:val="009B5215"/>
    <w:rsid w:val="009B5AB1"/>
    <w:rsid w:val="009C2636"/>
    <w:rsid w:val="009C31D1"/>
    <w:rsid w:val="009C3963"/>
    <w:rsid w:val="009C54AE"/>
    <w:rsid w:val="009C68C9"/>
    <w:rsid w:val="009C7184"/>
    <w:rsid w:val="009C7606"/>
    <w:rsid w:val="009D021D"/>
    <w:rsid w:val="009D0520"/>
    <w:rsid w:val="009D0F3D"/>
    <w:rsid w:val="009D1689"/>
    <w:rsid w:val="009D1A57"/>
    <w:rsid w:val="009D208D"/>
    <w:rsid w:val="009D5516"/>
    <w:rsid w:val="009D562D"/>
    <w:rsid w:val="009D667B"/>
    <w:rsid w:val="009D728B"/>
    <w:rsid w:val="009D7481"/>
    <w:rsid w:val="009D7846"/>
    <w:rsid w:val="009E0A7C"/>
    <w:rsid w:val="009E1A78"/>
    <w:rsid w:val="009E2347"/>
    <w:rsid w:val="009E2542"/>
    <w:rsid w:val="009E3519"/>
    <w:rsid w:val="009E37FF"/>
    <w:rsid w:val="009E6853"/>
    <w:rsid w:val="009E71EE"/>
    <w:rsid w:val="009E79FC"/>
    <w:rsid w:val="009E7C85"/>
    <w:rsid w:val="009F1CC5"/>
    <w:rsid w:val="009F21D2"/>
    <w:rsid w:val="009F256F"/>
    <w:rsid w:val="009F6B6D"/>
    <w:rsid w:val="00A03857"/>
    <w:rsid w:val="00A040F3"/>
    <w:rsid w:val="00A04573"/>
    <w:rsid w:val="00A04F4D"/>
    <w:rsid w:val="00A11A1B"/>
    <w:rsid w:val="00A12A2B"/>
    <w:rsid w:val="00A1482E"/>
    <w:rsid w:val="00A14F20"/>
    <w:rsid w:val="00A15787"/>
    <w:rsid w:val="00A164C2"/>
    <w:rsid w:val="00A16EE2"/>
    <w:rsid w:val="00A17C07"/>
    <w:rsid w:val="00A17EB0"/>
    <w:rsid w:val="00A2025E"/>
    <w:rsid w:val="00A20EDE"/>
    <w:rsid w:val="00A21D25"/>
    <w:rsid w:val="00A223D6"/>
    <w:rsid w:val="00A2244A"/>
    <w:rsid w:val="00A22C6F"/>
    <w:rsid w:val="00A2433E"/>
    <w:rsid w:val="00A25927"/>
    <w:rsid w:val="00A26908"/>
    <w:rsid w:val="00A272C2"/>
    <w:rsid w:val="00A30887"/>
    <w:rsid w:val="00A31716"/>
    <w:rsid w:val="00A335C5"/>
    <w:rsid w:val="00A340D1"/>
    <w:rsid w:val="00A35FA1"/>
    <w:rsid w:val="00A409B7"/>
    <w:rsid w:val="00A40E2F"/>
    <w:rsid w:val="00A411A2"/>
    <w:rsid w:val="00A414B6"/>
    <w:rsid w:val="00A41DF1"/>
    <w:rsid w:val="00A43413"/>
    <w:rsid w:val="00A473F5"/>
    <w:rsid w:val="00A50A9E"/>
    <w:rsid w:val="00A5168D"/>
    <w:rsid w:val="00A51CE1"/>
    <w:rsid w:val="00A52699"/>
    <w:rsid w:val="00A526CC"/>
    <w:rsid w:val="00A52BC0"/>
    <w:rsid w:val="00A537C8"/>
    <w:rsid w:val="00A53BF7"/>
    <w:rsid w:val="00A54BF5"/>
    <w:rsid w:val="00A55E2F"/>
    <w:rsid w:val="00A56140"/>
    <w:rsid w:val="00A56C62"/>
    <w:rsid w:val="00A57E37"/>
    <w:rsid w:val="00A6006C"/>
    <w:rsid w:val="00A604DA"/>
    <w:rsid w:val="00A6053F"/>
    <w:rsid w:val="00A61509"/>
    <w:rsid w:val="00A61D9B"/>
    <w:rsid w:val="00A63019"/>
    <w:rsid w:val="00A63E4E"/>
    <w:rsid w:val="00A64A8D"/>
    <w:rsid w:val="00A66146"/>
    <w:rsid w:val="00A70187"/>
    <w:rsid w:val="00A72749"/>
    <w:rsid w:val="00A73344"/>
    <w:rsid w:val="00A735E4"/>
    <w:rsid w:val="00A73968"/>
    <w:rsid w:val="00A74071"/>
    <w:rsid w:val="00A745E7"/>
    <w:rsid w:val="00A746FF"/>
    <w:rsid w:val="00A75A97"/>
    <w:rsid w:val="00A76591"/>
    <w:rsid w:val="00A77FAB"/>
    <w:rsid w:val="00A80198"/>
    <w:rsid w:val="00A80A40"/>
    <w:rsid w:val="00A819A8"/>
    <w:rsid w:val="00A82D38"/>
    <w:rsid w:val="00A85918"/>
    <w:rsid w:val="00A860E0"/>
    <w:rsid w:val="00A867F1"/>
    <w:rsid w:val="00A86B51"/>
    <w:rsid w:val="00A917FF"/>
    <w:rsid w:val="00A91870"/>
    <w:rsid w:val="00A93453"/>
    <w:rsid w:val="00A93517"/>
    <w:rsid w:val="00A95353"/>
    <w:rsid w:val="00A95B08"/>
    <w:rsid w:val="00A9762A"/>
    <w:rsid w:val="00AA02D3"/>
    <w:rsid w:val="00AA186F"/>
    <w:rsid w:val="00AA230C"/>
    <w:rsid w:val="00AA2969"/>
    <w:rsid w:val="00AA2B0F"/>
    <w:rsid w:val="00AA3152"/>
    <w:rsid w:val="00AA3C90"/>
    <w:rsid w:val="00AA4454"/>
    <w:rsid w:val="00AA5A7B"/>
    <w:rsid w:val="00AA65BF"/>
    <w:rsid w:val="00AA6B75"/>
    <w:rsid w:val="00AA6F64"/>
    <w:rsid w:val="00AA73B0"/>
    <w:rsid w:val="00AA76C5"/>
    <w:rsid w:val="00AA7960"/>
    <w:rsid w:val="00AB0049"/>
    <w:rsid w:val="00AB4EAE"/>
    <w:rsid w:val="00AB5B83"/>
    <w:rsid w:val="00AB6C71"/>
    <w:rsid w:val="00AB71D5"/>
    <w:rsid w:val="00AC0DAC"/>
    <w:rsid w:val="00AC1654"/>
    <w:rsid w:val="00AC289C"/>
    <w:rsid w:val="00AC445C"/>
    <w:rsid w:val="00AC5C88"/>
    <w:rsid w:val="00AC6313"/>
    <w:rsid w:val="00AC6573"/>
    <w:rsid w:val="00AC6A60"/>
    <w:rsid w:val="00AC7269"/>
    <w:rsid w:val="00AC7902"/>
    <w:rsid w:val="00AC7EB6"/>
    <w:rsid w:val="00AC7FED"/>
    <w:rsid w:val="00AD2129"/>
    <w:rsid w:val="00AD3A65"/>
    <w:rsid w:val="00AD3EF1"/>
    <w:rsid w:val="00AD3F49"/>
    <w:rsid w:val="00AD5C5B"/>
    <w:rsid w:val="00AD5E27"/>
    <w:rsid w:val="00AD6182"/>
    <w:rsid w:val="00AD6245"/>
    <w:rsid w:val="00AD760D"/>
    <w:rsid w:val="00AE2525"/>
    <w:rsid w:val="00AE3117"/>
    <w:rsid w:val="00AE76F3"/>
    <w:rsid w:val="00AF0443"/>
    <w:rsid w:val="00AF34F5"/>
    <w:rsid w:val="00AF384E"/>
    <w:rsid w:val="00AF42E6"/>
    <w:rsid w:val="00AF7830"/>
    <w:rsid w:val="00B00085"/>
    <w:rsid w:val="00B010CC"/>
    <w:rsid w:val="00B0137E"/>
    <w:rsid w:val="00B0153D"/>
    <w:rsid w:val="00B033BD"/>
    <w:rsid w:val="00B03595"/>
    <w:rsid w:val="00B054E0"/>
    <w:rsid w:val="00B068FF"/>
    <w:rsid w:val="00B10309"/>
    <w:rsid w:val="00B10871"/>
    <w:rsid w:val="00B10F49"/>
    <w:rsid w:val="00B12931"/>
    <w:rsid w:val="00B13A4C"/>
    <w:rsid w:val="00B13E3F"/>
    <w:rsid w:val="00B1407F"/>
    <w:rsid w:val="00B14F0B"/>
    <w:rsid w:val="00B15A8E"/>
    <w:rsid w:val="00B16476"/>
    <w:rsid w:val="00B16726"/>
    <w:rsid w:val="00B1684B"/>
    <w:rsid w:val="00B17980"/>
    <w:rsid w:val="00B202A3"/>
    <w:rsid w:val="00B22BE9"/>
    <w:rsid w:val="00B23627"/>
    <w:rsid w:val="00B24F7F"/>
    <w:rsid w:val="00B25F74"/>
    <w:rsid w:val="00B26F9E"/>
    <w:rsid w:val="00B275DD"/>
    <w:rsid w:val="00B27C3D"/>
    <w:rsid w:val="00B3193E"/>
    <w:rsid w:val="00B31CAC"/>
    <w:rsid w:val="00B32271"/>
    <w:rsid w:val="00B32415"/>
    <w:rsid w:val="00B33040"/>
    <w:rsid w:val="00B34285"/>
    <w:rsid w:val="00B348E1"/>
    <w:rsid w:val="00B35071"/>
    <w:rsid w:val="00B35B97"/>
    <w:rsid w:val="00B367C5"/>
    <w:rsid w:val="00B3719B"/>
    <w:rsid w:val="00B37222"/>
    <w:rsid w:val="00B37DF7"/>
    <w:rsid w:val="00B425D0"/>
    <w:rsid w:val="00B43220"/>
    <w:rsid w:val="00B4471B"/>
    <w:rsid w:val="00B44BD2"/>
    <w:rsid w:val="00B450C4"/>
    <w:rsid w:val="00B4529C"/>
    <w:rsid w:val="00B4677B"/>
    <w:rsid w:val="00B511B4"/>
    <w:rsid w:val="00B51810"/>
    <w:rsid w:val="00B523F0"/>
    <w:rsid w:val="00B555B7"/>
    <w:rsid w:val="00B565DE"/>
    <w:rsid w:val="00B576F9"/>
    <w:rsid w:val="00B601F4"/>
    <w:rsid w:val="00B61FC7"/>
    <w:rsid w:val="00B62256"/>
    <w:rsid w:val="00B62949"/>
    <w:rsid w:val="00B63B21"/>
    <w:rsid w:val="00B668B7"/>
    <w:rsid w:val="00B700B7"/>
    <w:rsid w:val="00B70DDF"/>
    <w:rsid w:val="00B7129E"/>
    <w:rsid w:val="00B7137F"/>
    <w:rsid w:val="00B72AB0"/>
    <w:rsid w:val="00B72F22"/>
    <w:rsid w:val="00B7494F"/>
    <w:rsid w:val="00B76ABA"/>
    <w:rsid w:val="00B7768A"/>
    <w:rsid w:val="00B77E5F"/>
    <w:rsid w:val="00B801AD"/>
    <w:rsid w:val="00B80A5C"/>
    <w:rsid w:val="00B81133"/>
    <w:rsid w:val="00B818AC"/>
    <w:rsid w:val="00B83092"/>
    <w:rsid w:val="00B83843"/>
    <w:rsid w:val="00B83B45"/>
    <w:rsid w:val="00B85305"/>
    <w:rsid w:val="00B86382"/>
    <w:rsid w:val="00B86C52"/>
    <w:rsid w:val="00B86C9E"/>
    <w:rsid w:val="00B86DE6"/>
    <w:rsid w:val="00B8730A"/>
    <w:rsid w:val="00B87FC4"/>
    <w:rsid w:val="00B9043D"/>
    <w:rsid w:val="00B90876"/>
    <w:rsid w:val="00B90FEA"/>
    <w:rsid w:val="00B9103E"/>
    <w:rsid w:val="00B918F3"/>
    <w:rsid w:val="00B923C2"/>
    <w:rsid w:val="00B92FF9"/>
    <w:rsid w:val="00B93054"/>
    <w:rsid w:val="00B93FCD"/>
    <w:rsid w:val="00B94D8F"/>
    <w:rsid w:val="00B95536"/>
    <w:rsid w:val="00B955FD"/>
    <w:rsid w:val="00B959FE"/>
    <w:rsid w:val="00B9626E"/>
    <w:rsid w:val="00B96C8D"/>
    <w:rsid w:val="00B9793D"/>
    <w:rsid w:val="00B97F23"/>
    <w:rsid w:val="00BA06C8"/>
    <w:rsid w:val="00BA33E6"/>
    <w:rsid w:val="00BA3F63"/>
    <w:rsid w:val="00BA4B2F"/>
    <w:rsid w:val="00BA566B"/>
    <w:rsid w:val="00BA6312"/>
    <w:rsid w:val="00BA75D5"/>
    <w:rsid w:val="00BB09A4"/>
    <w:rsid w:val="00BB14D7"/>
    <w:rsid w:val="00BB23D9"/>
    <w:rsid w:val="00BB3C3E"/>
    <w:rsid w:val="00BB3D25"/>
    <w:rsid w:val="00BB78E7"/>
    <w:rsid w:val="00BC00C8"/>
    <w:rsid w:val="00BC124C"/>
    <w:rsid w:val="00BC433E"/>
    <w:rsid w:val="00BC64A9"/>
    <w:rsid w:val="00BC6BEB"/>
    <w:rsid w:val="00BD01E5"/>
    <w:rsid w:val="00BD1769"/>
    <w:rsid w:val="00BD2F56"/>
    <w:rsid w:val="00BD57D1"/>
    <w:rsid w:val="00BD5A18"/>
    <w:rsid w:val="00BD6989"/>
    <w:rsid w:val="00BD6CA0"/>
    <w:rsid w:val="00BD6D23"/>
    <w:rsid w:val="00BE09A8"/>
    <w:rsid w:val="00BE0BE6"/>
    <w:rsid w:val="00BE18B9"/>
    <w:rsid w:val="00BE2050"/>
    <w:rsid w:val="00BE217D"/>
    <w:rsid w:val="00BE4CC1"/>
    <w:rsid w:val="00BE4FD5"/>
    <w:rsid w:val="00BE6106"/>
    <w:rsid w:val="00BE67D9"/>
    <w:rsid w:val="00BF0100"/>
    <w:rsid w:val="00BF0524"/>
    <w:rsid w:val="00BF0734"/>
    <w:rsid w:val="00BF1478"/>
    <w:rsid w:val="00BF16EA"/>
    <w:rsid w:val="00BF28E9"/>
    <w:rsid w:val="00BF3307"/>
    <w:rsid w:val="00BF4FAB"/>
    <w:rsid w:val="00BF5D89"/>
    <w:rsid w:val="00BF5E13"/>
    <w:rsid w:val="00BF6304"/>
    <w:rsid w:val="00BF691A"/>
    <w:rsid w:val="00BF6A19"/>
    <w:rsid w:val="00BF72DE"/>
    <w:rsid w:val="00BF789C"/>
    <w:rsid w:val="00C01A0A"/>
    <w:rsid w:val="00C0273A"/>
    <w:rsid w:val="00C03053"/>
    <w:rsid w:val="00C0316A"/>
    <w:rsid w:val="00C04822"/>
    <w:rsid w:val="00C04B94"/>
    <w:rsid w:val="00C058C0"/>
    <w:rsid w:val="00C05CD6"/>
    <w:rsid w:val="00C0672A"/>
    <w:rsid w:val="00C079CD"/>
    <w:rsid w:val="00C07A2C"/>
    <w:rsid w:val="00C10CFC"/>
    <w:rsid w:val="00C13A5D"/>
    <w:rsid w:val="00C13DF8"/>
    <w:rsid w:val="00C14238"/>
    <w:rsid w:val="00C14267"/>
    <w:rsid w:val="00C1511C"/>
    <w:rsid w:val="00C16DAE"/>
    <w:rsid w:val="00C17353"/>
    <w:rsid w:val="00C178AA"/>
    <w:rsid w:val="00C17D00"/>
    <w:rsid w:val="00C20199"/>
    <w:rsid w:val="00C20932"/>
    <w:rsid w:val="00C20C52"/>
    <w:rsid w:val="00C218ED"/>
    <w:rsid w:val="00C24A94"/>
    <w:rsid w:val="00C26AAC"/>
    <w:rsid w:val="00C26F02"/>
    <w:rsid w:val="00C27120"/>
    <w:rsid w:val="00C27D62"/>
    <w:rsid w:val="00C31037"/>
    <w:rsid w:val="00C31747"/>
    <w:rsid w:val="00C31AC1"/>
    <w:rsid w:val="00C321CA"/>
    <w:rsid w:val="00C3312A"/>
    <w:rsid w:val="00C3432C"/>
    <w:rsid w:val="00C345DA"/>
    <w:rsid w:val="00C34D1A"/>
    <w:rsid w:val="00C351A7"/>
    <w:rsid w:val="00C36E7E"/>
    <w:rsid w:val="00C37118"/>
    <w:rsid w:val="00C40E0A"/>
    <w:rsid w:val="00C40E4D"/>
    <w:rsid w:val="00C419B7"/>
    <w:rsid w:val="00C443FF"/>
    <w:rsid w:val="00C463F0"/>
    <w:rsid w:val="00C474B9"/>
    <w:rsid w:val="00C47544"/>
    <w:rsid w:val="00C4771F"/>
    <w:rsid w:val="00C47C7E"/>
    <w:rsid w:val="00C54084"/>
    <w:rsid w:val="00C547DE"/>
    <w:rsid w:val="00C54E21"/>
    <w:rsid w:val="00C56D31"/>
    <w:rsid w:val="00C60D76"/>
    <w:rsid w:val="00C61284"/>
    <w:rsid w:val="00C613D8"/>
    <w:rsid w:val="00C62007"/>
    <w:rsid w:val="00C62093"/>
    <w:rsid w:val="00C635DF"/>
    <w:rsid w:val="00C648F6"/>
    <w:rsid w:val="00C6554A"/>
    <w:rsid w:val="00C66D3E"/>
    <w:rsid w:val="00C72846"/>
    <w:rsid w:val="00C756E3"/>
    <w:rsid w:val="00C75EE3"/>
    <w:rsid w:val="00C764E2"/>
    <w:rsid w:val="00C77500"/>
    <w:rsid w:val="00C808A2"/>
    <w:rsid w:val="00C822F2"/>
    <w:rsid w:val="00C8246F"/>
    <w:rsid w:val="00C82DDC"/>
    <w:rsid w:val="00C82EF2"/>
    <w:rsid w:val="00C831EF"/>
    <w:rsid w:val="00C86827"/>
    <w:rsid w:val="00C872E4"/>
    <w:rsid w:val="00C873AA"/>
    <w:rsid w:val="00C87A67"/>
    <w:rsid w:val="00C90F57"/>
    <w:rsid w:val="00C910AF"/>
    <w:rsid w:val="00C9218A"/>
    <w:rsid w:val="00C92725"/>
    <w:rsid w:val="00C93207"/>
    <w:rsid w:val="00C94128"/>
    <w:rsid w:val="00C94AD0"/>
    <w:rsid w:val="00C953CD"/>
    <w:rsid w:val="00C9695B"/>
    <w:rsid w:val="00C975D8"/>
    <w:rsid w:val="00C97B8F"/>
    <w:rsid w:val="00CA0B3A"/>
    <w:rsid w:val="00CA0DF4"/>
    <w:rsid w:val="00CA10D1"/>
    <w:rsid w:val="00CA1D4E"/>
    <w:rsid w:val="00CA28BE"/>
    <w:rsid w:val="00CA33FB"/>
    <w:rsid w:val="00CA4426"/>
    <w:rsid w:val="00CA447F"/>
    <w:rsid w:val="00CA45AB"/>
    <w:rsid w:val="00CA49F8"/>
    <w:rsid w:val="00CA5020"/>
    <w:rsid w:val="00CA7855"/>
    <w:rsid w:val="00CA7CAE"/>
    <w:rsid w:val="00CB14D5"/>
    <w:rsid w:val="00CB2416"/>
    <w:rsid w:val="00CB42B5"/>
    <w:rsid w:val="00CB6023"/>
    <w:rsid w:val="00CB61BF"/>
    <w:rsid w:val="00CC0CA4"/>
    <w:rsid w:val="00CC10FD"/>
    <w:rsid w:val="00CC162D"/>
    <w:rsid w:val="00CC242B"/>
    <w:rsid w:val="00CC2D18"/>
    <w:rsid w:val="00CC36D4"/>
    <w:rsid w:val="00CC5076"/>
    <w:rsid w:val="00CC5096"/>
    <w:rsid w:val="00CC685D"/>
    <w:rsid w:val="00CC6CAD"/>
    <w:rsid w:val="00CC758E"/>
    <w:rsid w:val="00CD00AE"/>
    <w:rsid w:val="00CD10A3"/>
    <w:rsid w:val="00CD124F"/>
    <w:rsid w:val="00CD1CE2"/>
    <w:rsid w:val="00CD2AC4"/>
    <w:rsid w:val="00CD2BB2"/>
    <w:rsid w:val="00CD2CB4"/>
    <w:rsid w:val="00CD310B"/>
    <w:rsid w:val="00CD3694"/>
    <w:rsid w:val="00CD3B2F"/>
    <w:rsid w:val="00CD402C"/>
    <w:rsid w:val="00CD4494"/>
    <w:rsid w:val="00CD49F4"/>
    <w:rsid w:val="00CD5AB5"/>
    <w:rsid w:val="00CD5EC3"/>
    <w:rsid w:val="00CD6512"/>
    <w:rsid w:val="00CD711B"/>
    <w:rsid w:val="00CD7D87"/>
    <w:rsid w:val="00CE06D3"/>
    <w:rsid w:val="00CE10F9"/>
    <w:rsid w:val="00CE2349"/>
    <w:rsid w:val="00CE32A6"/>
    <w:rsid w:val="00CE3DE1"/>
    <w:rsid w:val="00CE474B"/>
    <w:rsid w:val="00CE644E"/>
    <w:rsid w:val="00CE659D"/>
    <w:rsid w:val="00CE7EA1"/>
    <w:rsid w:val="00CF1611"/>
    <w:rsid w:val="00CF24DA"/>
    <w:rsid w:val="00CF3B1C"/>
    <w:rsid w:val="00CF3BA7"/>
    <w:rsid w:val="00CF418A"/>
    <w:rsid w:val="00CF612B"/>
    <w:rsid w:val="00D000EA"/>
    <w:rsid w:val="00D00445"/>
    <w:rsid w:val="00D00B43"/>
    <w:rsid w:val="00D04EDB"/>
    <w:rsid w:val="00D04EDC"/>
    <w:rsid w:val="00D0511D"/>
    <w:rsid w:val="00D058C7"/>
    <w:rsid w:val="00D06620"/>
    <w:rsid w:val="00D06906"/>
    <w:rsid w:val="00D06B1A"/>
    <w:rsid w:val="00D11328"/>
    <w:rsid w:val="00D11BD4"/>
    <w:rsid w:val="00D12074"/>
    <w:rsid w:val="00D1271F"/>
    <w:rsid w:val="00D1346D"/>
    <w:rsid w:val="00D13EB5"/>
    <w:rsid w:val="00D14014"/>
    <w:rsid w:val="00D14436"/>
    <w:rsid w:val="00D1504A"/>
    <w:rsid w:val="00D15626"/>
    <w:rsid w:val="00D16B71"/>
    <w:rsid w:val="00D1725F"/>
    <w:rsid w:val="00D17AEF"/>
    <w:rsid w:val="00D20132"/>
    <w:rsid w:val="00D21521"/>
    <w:rsid w:val="00D217F9"/>
    <w:rsid w:val="00D21AE6"/>
    <w:rsid w:val="00D23631"/>
    <w:rsid w:val="00D23A5D"/>
    <w:rsid w:val="00D23F91"/>
    <w:rsid w:val="00D24931"/>
    <w:rsid w:val="00D24CB2"/>
    <w:rsid w:val="00D25C5D"/>
    <w:rsid w:val="00D2718D"/>
    <w:rsid w:val="00D27A06"/>
    <w:rsid w:val="00D309B9"/>
    <w:rsid w:val="00D32CC8"/>
    <w:rsid w:val="00D3411C"/>
    <w:rsid w:val="00D36087"/>
    <w:rsid w:val="00D40E96"/>
    <w:rsid w:val="00D4197C"/>
    <w:rsid w:val="00D41DC8"/>
    <w:rsid w:val="00D43723"/>
    <w:rsid w:val="00D44633"/>
    <w:rsid w:val="00D459ED"/>
    <w:rsid w:val="00D45BA6"/>
    <w:rsid w:val="00D460F2"/>
    <w:rsid w:val="00D46B95"/>
    <w:rsid w:val="00D47BBE"/>
    <w:rsid w:val="00D5038D"/>
    <w:rsid w:val="00D509F6"/>
    <w:rsid w:val="00D519DA"/>
    <w:rsid w:val="00D52385"/>
    <w:rsid w:val="00D54B13"/>
    <w:rsid w:val="00D54C56"/>
    <w:rsid w:val="00D553CA"/>
    <w:rsid w:val="00D55905"/>
    <w:rsid w:val="00D60934"/>
    <w:rsid w:val="00D60CF3"/>
    <w:rsid w:val="00D61163"/>
    <w:rsid w:val="00D61921"/>
    <w:rsid w:val="00D61D0D"/>
    <w:rsid w:val="00D61D5C"/>
    <w:rsid w:val="00D627FA"/>
    <w:rsid w:val="00D6294C"/>
    <w:rsid w:val="00D644BC"/>
    <w:rsid w:val="00D6481C"/>
    <w:rsid w:val="00D649B5"/>
    <w:rsid w:val="00D6656D"/>
    <w:rsid w:val="00D671DE"/>
    <w:rsid w:val="00D6798F"/>
    <w:rsid w:val="00D70B5A"/>
    <w:rsid w:val="00D7285B"/>
    <w:rsid w:val="00D74F3C"/>
    <w:rsid w:val="00D7545F"/>
    <w:rsid w:val="00D80773"/>
    <w:rsid w:val="00D808DA"/>
    <w:rsid w:val="00D80904"/>
    <w:rsid w:val="00D80EC6"/>
    <w:rsid w:val="00D80F39"/>
    <w:rsid w:val="00D811FB"/>
    <w:rsid w:val="00D81853"/>
    <w:rsid w:val="00D81BB7"/>
    <w:rsid w:val="00D81DD2"/>
    <w:rsid w:val="00D81FD7"/>
    <w:rsid w:val="00D8211C"/>
    <w:rsid w:val="00D826B6"/>
    <w:rsid w:val="00D82B96"/>
    <w:rsid w:val="00D82CC6"/>
    <w:rsid w:val="00D83745"/>
    <w:rsid w:val="00D85549"/>
    <w:rsid w:val="00D85A1F"/>
    <w:rsid w:val="00D85AAD"/>
    <w:rsid w:val="00D85B10"/>
    <w:rsid w:val="00D86BEF"/>
    <w:rsid w:val="00D86F64"/>
    <w:rsid w:val="00D87960"/>
    <w:rsid w:val="00D9187D"/>
    <w:rsid w:val="00D91C2D"/>
    <w:rsid w:val="00D93077"/>
    <w:rsid w:val="00D941D8"/>
    <w:rsid w:val="00D94AFD"/>
    <w:rsid w:val="00D94FE5"/>
    <w:rsid w:val="00D954C3"/>
    <w:rsid w:val="00D95AFE"/>
    <w:rsid w:val="00DA01C1"/>
    <w:rsid w:val="00DA0B9D"/>
    <w:rsid w:val="00DA1151"/>
    <w:rsid w:val="00DA1448"/>
    <w:rsid w:val="00DA1EA9"/>
    <w:rsid w:val="00DA23AF"/>
    <w:rsid w:val="00DA2C7A"/>
    <w:rsid w:val="00DA3693"/>
    <w:rsid w:val="00DA6240"/>
    <w:rsid w:val="00DA7ABC"/>
    <w:rsid w:val="00DB042E"/>
    <w:rsid w:val="00DB0BF0"/>
    <w:rsid w:val="00DB2578"/>
    <w:rsid w:val="00DB2CE0"/>
    <w:rsid w:val="00DB3A68"/>
    <w:rsid w:val="00DB4038"/>
    <w:rsid w:val="00DB4045"/>
    <w:rsid w:val="00DB5025"/>
    <w:rsid w:val="00DB6019"/>
    <w:rsid w:val="00DB6776"/>
    <w:rsid w:val="00DB6BD5"/>
    <w:rsid w:val="00DB784D"/>
    <w:rsid w:val="00DB7C08"/>
    <w:rsid w:val="00DC0441"/>
    <w:rsid w:val="00DC0A62"/>
    <w:rsid w:val="00DC10D9"/>
    <w:rsid w:val="00DC1DD8"/>
    <w:rsid w:val="00DC299C"/>
    <w:rsid w:val="00DC34C6"/>
    <w:rsid w:val="00DC4B23"/>
    <w:rsid w:val="00DC5DB9"/>
    <w:rsid w:val="00DC5EE3"/>
    <w:rsid w:val="00DC65E5"/>
    <w:rsid w:val="00DD02F0"/>
    <w:rsid w:val="00DD0CFD"/>
    <w:rsid w:val="00DD0E4A"/>
    <w:rsid w:val="00DD1FE7"/>
    <w:rsid w:val="00DD249F"/>
    <w:rsid w:val="00DD5832"/>
    <w:rsid w:val="00DD5C57"/>
    <w:rsid w:val="00DD5F02"/>
    <w:rsid w:val="00DD7B70"/>
    <w:rsid w:val="00DE1DB6"/>
    <w:rsid w:val="00DE223B"/>
    <w:rsid w:val="00DE2555"/>
    <w:rsid w:val="00DE5F69"/>
    <w:rsid w:val="00DE6B21"/>
    <w:rsid w:val="00DE7BC5"/>
    <w:rsid w:val="00DF0376"/>
    <w:rsid w:val="00DF1B88"/>
    <w:rsid w:val="00DF24EC"/>
    <w:rsid w:val="00DF2AA1"/>
    <w:rsid w:val="00DF2F55"/>
    <w:rsid w:val="00DF2FFD"/>
    <w:rsid w:val="00DF4027"/>
    <w:rsid w:val="00DF4155"/>
    <w:rsid w:val="00DF4891"/>
    <w:rsid w:val="00DF4C66"/>
    <w:rsid w:val="00DF5681"/>
    <w:rsid w:val="00DF575A"/>
    <w:rsid w:val="00DF6118"/>
    <w:rsid w:val="00DF7366"/>
    <w:rsid w:val="00DF75E1"/>
    <w:rsid w:val="00E0039A"/>
    <w:rsid w:val="00E01A72"/>
    <w:rsid w:val="00E01AAA"/>
    <w:rsid w:val="00E02C89"/>
    <w:rsid w:val="00E03238"/>
    <w:rsid w:val="00E0387C"/>
    <w:rsid w:val="00E03C5D"/>
    <w:rsid w:val="00E04C6D"/>
    <w:rsid w:val="00E06944"/>
    <w:rsid w:val="00E11E21"/>
    <w:rsid w:val="00E13003"/>
    <w:rsid w:val="00E14690"/>
    <w:rsid w:val="00E14947"/>
    <w:rsid w:val="00E14CA0"/>
    <w:rsid w:val="00E14DAA"/>
    <w:rsid w:val="00E15C37"/>
    <w:rsid w:val="00E1603F"/>
    <w:rsid w:val="00E1614B"/>
    <w:rsid w:val="00E1639A"/>
    <w:rsid w:val="00E1740B"/>
    <w:rsid w:val="00E2003E"/>
    <w:rsid w:val="00E20944"/>
    <w:rsid w:val="00E20EB2"/>
    <w:rsid w:val="00E21082"/>
    <w:rsid w:val="00E22C09"/>
    <w:rsid w:val="00E22D95"/>
    <w:rsid w:val="00E2360C"/>
    <w:rsid w:val="00E248DF"/>
    <w:rsid w:val="00E25A62"/>
    <w:rsid w:val="00E25AC4"/>
    <w:rsid w:val="00E25C50"/>
    <w:rsid w:val="00E264A8"/>
    <w:rsid w:val="00E30049"/>
    <w:rsid w:val="00E306DD"/>
    <w:rsid w:val="00E31548"/>
    <w:rsid w:val="00E315A8"/>
    <w:rsid w:val="00E315DB"/>
    <w:rsid w:val="00E31B94"/>
    <w:rsid w:val="00E3351F"/>
    <w:rsid w:val="00E34D70"/>
    <w:rsid w:val="00E37AD3"/>
    <w:rsid w:val="00E4098F"/>
    <w:rsid w:val="00E40E07"/>
    <w:rsid w:val="00E4268F"/>
    <w:rsid w:val="00E42AC2"/>
    <w:rsid w:val="00E502CB"/>
    <w:rsid w:val="00E503C0"/>
    <w:rsid w:val="00E5047A"/>
    <w:rsid w:val="00E50808"/>
    <w:rsid w:val="00E50AFA"/>
    <w:rsid w:val="00E50F35"/>
    <w:rsid w:val="00E51BF0"/>
    <w:rsid w:val="00E51E4F"/>
    <w:rsid w:val="00E52646"/>
    <w:rsid w:val="00E52B5A"/>
    <w:rsid w:val="00E53967"/>
    <w:rsid w:val="00E54B98"/>
    <w:rsid w:val="00E55A50"/>
    <w:rsid w:val="00E56032"/>
    <w:rsid w:val="00E561D6"/>
    <w:rsid w:val="00E56711"/>
    <w:rsid w:val="00E57122"/>
    <w:rsid w:val="00E57DA9"/>
    <w:rsid w:val="00E61D05"/>
    <w:rsid w:val="00E620EA"/>
    <w:rsid w:val="00E62396"/>
    <w:rsid w:val="00E655EC"/>
    <w:rsid w:val="00E6582F"/>
    <w:rsid w:val="00E662AD"/>
    <w:rsid w:val="00E7041C"/>
    <w:rsid w:val="00E70D4A"/>
    <w:rsid w:val="00E710BC"/>
    <w:rsid w:val="00E71F1C"/>
    <w:rsid w:val="00E72520"/>
    <w:rsid w:val="00E7266C"/>
    <w:rsid w:val="00E72DB8"/>
    <w:rsid w:val="00E730B7"/>
    <w:rsid w:val="00E73568"/>
    <w:rsid w:val="00E73D24"/>
    <w:rsid w:val="00E749F7"/>
    <w:rsid w:val="00E7562D"/>
    <w:rsid w:val="00E767EB"/>
    <w:rsid w:val="00E7713B"/>
    <w:rsid w:val="00E80436"/>
    <w:rsid w:val="00E8118A"/>
    <w:rsid w:val="00E8133C"/>
    <w:rsid w:val="00E82A53"/>
    <w:rsid w:val="00E838F8"/>
    <w:rsid w:val="00E8396A"/>
    <w:rsid w:val="00E8413C"/>
    <w:rsid w:val="00E85509"/>
    <w:rsid w:val="00E86485"/>
    <w:rsid w:val="00E86583"/>
    <w:rsid w:val="00E86F45"/>
    <w:rsid w:val="00E870A5"/>
    <w:rsid w:val="00E8726B"/>
    <w:rsid w:val="00E87A5C"/>
    <w:rsid w:val="00E90AC3"/>
    <w:rsid w:val="00E90C18"/>
    <w:rsid w:val="00E90C1F"/>
    <w:rsid w:val="00E91DB4"/>
    <w:rsid w:val="00E92077"/>
    <w:rsid w:val="00E924B9"/>
    <w:rsid w:val="00E92F4F"/>
    <w:rsid w:val="00E932FF"/>
    <w:rsid w:val="00E947E5"/>
    <w:rsid w:val="00E948E1"/>
    <w:rsid w:val="00E951F1"/>
    <w:rsid w:val="00E96411"/>
    <w:rsid w:val="00E9687F"/>
    <w:rsid w:val="00E96DD0"/>
    <w:rsid w:val="00EA0F5E"/>
    <w:rsid w:val="00EA1396"/>
    <w:rsid w:val="00EA19A3"/>
    <w:rsid w:val="00EA236B"/>
    <w:rsid w:val="00EA2383"/>
    <w:rsid w:val="00EA2598"/>
    <w:rsid w:val="00EA280D"/>
    <w:rsid w:val="00EA433D"/>
    <w:rsid w:val="00EA75FF"/>
    <w:rsid w:val="00EA7AB8"/>
    <w:rsid w:val="00EB08B0"/>
    <w:rsid w:val="00EB092F"/>
    <w:rsid w:val="00EB0CF6"/>
    <w:rsid w:val="00EB0F3F"/>
    <w:rsid w:val="00EB2C6F"/>
    <w:rsid w:val="00EB5B10"/>
    <w:rsid w:val="00EB6DFF"/>
    <w:rsid w:val="00EC05CB"/>
    <w:rsid w:val="00EC088A"/>
    <w:rsid w:val="00EC1347"/>
    <w:rsid w:val="00EC1839"/>
    <w:rsid w:val="00EC1F18"/>
    <w:rsid w:val="00EC270E"/>
    <w:rsid w:val="00EC281B"/>
    <w:rsid w:val="00EC28F7"/>
    <w:rsid w:val="00EC3764"/>
    <w:rsid w:val="00EC3BB8"/>
    <w:rsid w:val="00EC4B83"/>
    <w:rsid w:val="00EC4B95"/>
    <w:rsid w:val="00EC4D0D"/>
    <w:rsid w:val="00EC7DD1"/>
    <w:rsid w:val="00EC7FA9"/>
    <w:rsid w:val="00EC7FB8"/>
    <w:rsid w:val="00ED12B1"/>
    <w:rsid w:val="00ED1CA4"/>
    <w:rsid w:val="00ED3978"/>
    <w:rsid w:val="00ED4E7A"/>
    <w:rsid w:val="00ED507B"/>
    <w:rsid w:val="00ED513B"/>
    <w:rsid w:val="00ED5A7E"/>
    <w:rsid w:val="00ED6AAE"/>
    <w:rsid w:val="00ED6ECA"/>
    <w:rsid w:val="00EE1DA6"/>
    <w:rsid w:val="00EE2DF7"/>
    <w:rsid w:val="00EE489A"/>
    <w:rsid w:val="00EE6257"/>
    <w:rsid w:val="00EE6539"/>
    <w:rsid w:val="00EE6553"/>
    <w:rsid w:val="00EE674C"/>
    <w:rsid w:val="00EE6D6F"/>
    <w:rsid w:val="00EF0713"/>
    <w:rsid w:val="00EF0DD3"/>
    <w:rsid w:val="00EF0F18"/>
    <w:rsid w:val="00EF2AEE"/>
    <w:rsid w:val="00EF2E79"/>
    <w:rsid w:val="00EF2E8D"/>
    <w:rsid w:val="00EF30FF"/>
    <w:rsid w:val="00EF3DED"/>
    <w:rsid w:val="00EF4371"/>
    <w:rsid w:val="00EF7792"/>
    <w:rsid w:val="00EF7C74"/>
    <w:rsid w:val="00F00520"/>
    <w:rsid w:val="00F00AE6"/>
    <w:rsid w:val="00F03DE7"/>
    <w:rsid w:val="00F03FB9"/>
    <w:rsid w:val="00F04034"/>
    <w:rsid w:val="00F0423D"/>
    <w:rsid w:val="00F04447"/>
    <w:rsid w:val="00F054F0"/>
    <w:rsid w:val="00F06132"/>
    <w:rsid w:val="00F06782"/>
    <w:rsid w:val="00F06F02"/>
    <w:rsid w:val="00F06F5E"/>
    <w:rsid w:val="00F101B0"/>
    <w:rsid w:val="00F127E5"/>
    <w:rsid w:val="00F12A37"/>
    <w:rsid w:val="00F137F4"/>
    <w:rsid w:val="00F14357"/>
    <w:rsid w:val="00F143A5"/>
    <w:rsid w:val="00F15670"/>
    <w:rsid w:val="00F16583"/>
    <w:rsid w:val="00F1699A"/>
    <w:rsid w:val="00F1751A"/>
    <w:rsid w:val="00F20006"/>
    <w:rsid w:val="00F2004D"/>
    <w:rsid w:val="00F23106"/>
    <w:rsid w:val="00F23311"/>
    <w:rsid w:val="00F2432D"/>
    <w:rsid w:val="00F24367"/>
    <w:rsid w:val="00F24814"/>
    <w:rsid w:val="00F257A2"/>
    <w:rsid w:val="00F26040"/>
    <w:rsid w:val="00F26550"/>
    <w:rsid w:val="00F2722A"/>
    <w:rsid w:val="00F27998"/>
    <w:rsid w:val="00F279A2"/>
    <w:rsid w:val="00F300CC"/>
    <w:rsid w:val="00F306AE"/>
    <w:rsid w:val="00F342D5"/>
    <w:rsid w:val="00F349F6"/>
    <w:rsid w:val="00F35E35"/>
    <w:rsid w:val="00F36F6F"/>
    <w:rsid w:val="00F37061"/>
    <w:rsid w:val="00F40185"/>
    <w:rsid w:val="00F42C97"/>
    <w:rsid w:val="00F43634"/>
    <w:rsid w:val="00F44F39"/>
    <w:rsid w:val="00F45219"/>
    <w:rsid w:val="00F4591D"/>
    <w:rsid w:val="00F46EE8"/>
    <w:rsid w:val="00F519D6"/>
    <w:rsid w:val="00F52237"/>
    <w:rsid w:val="00F5226B"/>
    <w:rsid w:val="00F52543"/>
    <w:rsid w:val="00F526BA"/>
    <w:rsid w:val="00F5302F"/>
    <w:rsid w:val="00F53FC3"/>
    <w:rsid w:val="00F542FD"/>
    <w:rsid w:val="00F54D28"/>
    <w:rsid w:val="00F56511"/>
    <w:rsid w:val="00F56C79"/>
    <w:rsid w:val="00F57167"/>
    <w:rsid w:val="00F60483"/>
    <w:rsid w:val="00F61B88"/>
    <w:rsid w:val="00F624FC"/>
    <w:rsid w:val="00F62B19"/>
    <w:rsid w:val="00F632C5"/>
    <w:rsid w:val="00F63E37"/>
    <w:rsid w:val="00F6445B"/>
    <w:rsid w:val="00F663FC"/>
    <w:rsid w:val="00F70A18"/>
    <w:rsid w:val="00F712F7"/>
    <w:rsid w:val="00F714B9"/>
    <w:rsid w:val="00F719BC"/>
    <w:rsid w:val="00F71E15"/>
    <w:rsid w:val="00F720EF"/>
    <w:rsid w:val="00F72D11"/>
    <w:rsid w:val="00F72E9C"/>
    <w:rsid w:val="00F740ED"/>
    <w:rsid w:val="00F7656D"/>
    <w:rsid w:val="00F77F6C"/>
    <w:rsid w:val="00F80FCC"/>
    <w:rsid w:val="00F81621"/>
    <w:rsid w:val="00F82578"/>
    <w:rsid w:val="00F82FBA"/>
    <w:rsid w:val="00F8372D"/>
    <w:rsid w:val="00F8493E"/>
    <w:rsid w:val="00F85AC8"/>
    <w:rsid w:val="00F85B9A"/>
    <w:rsid w:val="00F870BC"/>
    <w:rsid w:val="00F90D50"/>
    <w:rsid w:val="00F92468"/>
    <w:rsid w:val="00F92CF2"/>
    <w:rsid w:val="00F93052"/>
    <w:rsid w:val="00F96E81"/>
    <w:rsid w:val="00FA06E4"/>
    <w:rsid w:val="00FA0D6B"/>
    <w:rsid w:val="00FA1B8C"/>
    <w:rsid w:val="00FA26F4"/>
    <w:rsid w:val="00FA4330"/>
    <w:rsid w:val="00FA5742"/>
    <w:rsid w:val="00FA681F"/>
    <w:rsid w:val="00FA6EC5"/>
    <w:rsid w:val="00FB0166"/>
    <w:rsid w:val="00FB0F85"/>
    <w:rsid w:val="00FB17A8"/>
    <w:rsid w:val="00FB18C5"/>
    <w:rsid w:val="00FB21DB"/>
    <w:rsid w:val="00FB2FD4"/>
    <w:rsid w:val="00FB34A4"/>
    <w:rsid w:val="00FB3520"/>
    <w:rsid w:val="00FB5848"/>
    <w:rsid w:val="00FB5A27"/>
    <w:rsid w:val="00FB5E55"/>
    <w:rsid w:val="00FC0622"/>
    <w:rsid w:val="00FC2F0D"/>
    <w:rsid w:val="00FC3444"/>
    <w:rsid w:val="00FC43EA"/>
    <w:rsid w:val="00FC4C0A"/>
    <w:rsid w:val="00FC5AC0"/>
    <w:rsid w:val="00FC64DA"/>
    <w:rsid w:val="00FC7F03"/>
    <w:rsid w:val="00FD2AAB"/>
    <w:rsid w:val="00FD2E10"/>
    <w:rsid w:val="00FD35AC"/>
    <w:rsid w:val="00FD3CED"/>
    <w:rsid w:val="00FD4549"/>
    <w:rsid w:val="00FD4E70"/>
    <w:rsid w:val="00FD5D55"/>
    <w:rsid w:val="00FD7806"/>
    <w:rsid w:val="00FE1AD7"/>
    <w:rsid w:val="00FE1C6E"/>
    <w:rsid w:val="00FE1D1C"/>
    <w:rsid w:val="00FE20C4"/>
    <w:rsid w:val="00FE35DC"/>
    <w:rsid w:val="00FE4EA3"/>
    <w:rsid w:val="00FE56EE"/>
    <w:rsid w:val="00FE65EB"/>
    <w:rsid w:val="00FE68A2"/>
    <w:rsid w:val="00FE6DF4"/>
    <w:rsid w:val="00FE7EC2"/>
    <w:rsid w:val="00FF07A0"/>
    <w:rsid w:val="00FF1BA5"/>
    <w:rsid w:val="00FF40E1"/>
    <w:rsid w:val="00FF46BF"/>
    <w:rsid w:val="00FF4D02"/>
    <w:rsid w:val="00FF5064"/>
    <w:rsid w:val="00FF680E"/>
    <w:rsid w:val="00FF74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57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F7477"/>
    <w:pPr>
      <w:spacing w:after="0" w:line="240" w:lineRule="auto"/>
    </w:pPr>
    <w:rPr>
      <w:rFonts w:ascii="Calibri" w:hAnsi="Calibri" w:cs="Calibri"/>
    </w:rPr>
  </w:style>
  <w:style w:type="paragraph" w:styleId="Nagwek1">
    <w:name w:val="heading 1"/>
    <w:basedOn w:val="Normalny"/>
    <w:next w:val="Normalny"/>
    <w:link w:val="Nagwek1Znak"/>
    <w:uiPriority w:val="9"/>
    <w:qFormat/>
    <w:rsid w:val="001F371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link w:val="Nagwek2Znak"/>
    <w:uiPriority w:val="9"/>
    <w:qFormat/>
    <w:rsid w:val="00EA19A3"/>
    <w:pPr>
      <w:spacing w:before="100" w:beforeAutospacing="1" w:after="100" w:afterAutospacing="1"/>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62105A"/>
    <w:pPr>
      <w:spacing w:after="200" w:line="276" w:lineRule="auto"/>
      <w:ind w:left="720"/>
      <w:contextualSpacing/>
    </w:pPr>
    <w:rPr>
      <w:rFonts w:asciiTheme="minorHAnsi" w:hAnsiTheme="minorHAnsi" w:cstheme="minorBidi"/>
    </w:rPr>
  </w:style>
  <w:style w:type="paragraph" w:styleId="Tekstdymka">
    <w:name w:val="Balloon Text"/>
    <w:basedOn w:val="Normalny"/>
    <w:link w:val="TekstdymkaZnak"/>
    <w:uiPriority w:val="99"/>
    <w:semiHidden/>
    <w:unhideWhenUsed/>
    <w:rsid w:val="00A04F4D"/>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4F4D"/>
    <w:rPr>
      <w:rFonts w:ascii="Segoe UI" w:hAnsi="Segoe UI" w:cs="Segoe UI"/>
      <w:sz w:val="18"/>
      <w:szCs w:val="18"/>
    </w:rPr>
  </w:style>
  <w:style w:type="paragraph" w:styleId="HTML-wstpniesformatowany">
    <w:name w:val="HTML Preformatted"/>
    <w:basedOn w:val="Normalny"/>
    <w:link w:val="HTML-wstpniesformatowanyZnak"/>
    <w:uiPriority w:val="99"/>
    <w:semiHidden/>
    <w:unhideWhenUsed/>
    <w:rsid w:val="002E4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E4B38"/>
    <w:rPr>
      <w:rFonts w:ascii="Courier New" w:eastAsia="Times New Roman" w:hAnsi="Courier New" w:cs="Courier New"/>
      <w:sz w:val="20"/>
      <w:szCs w:val="20"/>
      <w:lang w:eastAsia="pl-PL"/>
    </w:rPr>
  </w:style>
  <w:style w:type="paragraph" w:styleId="Zwykytekst">
    <w:name w:val="Plain Text"/>
    <w:basedOn w:val="Normalny"/>
    <w:link w:val="ZwykytekstZnak"/>
    <w:uiPriority w:val="99"/>
    <w:semiHidden/>
    <w:unhideWhenUsed/>
    <w:rsid w:val="000E1845"/>
    <w:rPr>
      <w:rFonts w:ascii="Times New Roman" w:eastAsia="SimSun" w:hAnsi="Times New Roman" w:cs="Times New Roman"/>
      <w:sz w:val="28"/>
      <w:szCs w:val="28"/>
    </w:rPr>
  </w:style>
  <w:style w:type="character" w:customStyle="1" w:styleId="ZwykytekstZnak">
    <w:name w:val="Zwykły tekst Znak"/>
    <w:basedOn w:val="Domylnaczcionkaakapitu"/>
    <w:link w:val="Zwykytekst"/>
    <w:uiPriority w:val="99"/>
    <w:semiHidden/>
    <w:rsid w:val="000E1845"/>
    <w:rPr>
      <w:rFonts w:ascii="Times New Roman" w:eastAsia="SimSun" w:hAnsi="Times New Roman" w:cs="Times New Roman"/>
      <w:sz w:val="28"/>
      <w:szCs w:val="28"/>
    </w:rPr>
  </w:style>
  <w:style w:type="character" w:styleId="Odwoaniedokomentarza">
    <w:name w:val="annotation reference"/>
    <w:basedOn w:val="Domylnaczcionkaakapitu"/>
    <w:uiPriority w:val="99"/>
    <w:semiHidden/>
    <w:unhideWhenUsed/>
    <w:rsid w:val="008F5CA0"/>
    <w:rPr>
      <w:sz w:val="16"/>
      <w:szCs w:val="16"/>
    </w:rPr>
  </w:style>
  <w:style w:type="paragraph" w:styleId="Tekstkomentarza">
    <w:name w:val="annotation text"/>
    <w:basedOn w:val="Normalny"/>
    <w:link w:val="TekstkomentarzaZnak"/>
    <w:uiPriority w:val="99"/>
    <w:unhideWhenUsed/>
    <w:rsid w:val="008F5CA0"/>
    <w:rPr>
      <w:sz w:val="20"/>
      <w:szCs w:val="20"/>
    </w:rPr>
  </w:style>
  <w:style w:type="character" w:customStyle="1" w:styleId="TekstkomentarzaZnak">
    <w:name w:val="Tekst komentarza Znak"/>
    <w:basedOn w:val="Domylnaczcionkaakapitu"/>
    <w:link w:val="Tekstkomentarza"/>
    <w:uiPriority w:val="99"/>
    <w:rsid w:val="008F5CA0"/>
    <w:rPr>
      <w:sz w:val="20"/>
      <w:szCs w:val="20"/>
    </w:rPr>
  </w:style>
  <w:style w:type="paragraph" w:styleId="Tematkomentarza">
    <w:name w:val="annotation subject"/>
    <w:basedOn w:val="Tekstkomentarza"/>
    <w:next w:val="Tekstkomentarza"/>
    <w:link w:val="TematkomentarzaZnak"/>
    <w:uiPriority w:val="99"/>
    <w:semiHidden/>
    <w:unhideWhenUsed/>
    <w:rsid w:val="008F5CA0"/>
    <w:rPr>
      <w:b/>
      <w:bCs/>
    </w:rPr>
  </w:style>
  <w:style w:type="character" w:customStyle="1" w:styleId="TematkomentarzaZnak">
    <w:name w:val="Temat komentarza Znak"/>
    <w:basedOn w:val="TekstkomentarzaZnak"/>
    <w:link w:val="Tematkomentarza"/>
    <w:uiPriority w:val="99"/>
    <w:semiHidden/>
    <w:rsid w:val="008F5CA0"/>
    <w:rPr>
      <w:b/>
      <w:bCs/>
      <w:sz w:val="20"/>
      <w:szCs w:val="20"/>
    </w:rPr>
  </w:style>
  <w:style w:type="paragraph" w:styleId="Tekstprzypisudolnego">
    <w:name w:val="footnote text"/>
    <w:basedOn w:val="Normalny"/>
    <w:link w:val="TekstprzypisudolnegoZnak"/>
    <w:uiPriority w:val="99"/>
    <w:rsid w:val="00B511B4"/>
    <w:rPr>
      <w:rFonts w:ascii="Cambria" w:eastAsia="Cambria" w:hAnsi="Cambria" w:cs="Times New Roman"/>
      <w:sz w:val="20"/>
      <w:szCs w:val="20"/>
    </w:rPr>
  </w:style>
  <w:style w:type="character" w:customStyle="1" w:styleId="TekstprzypisudolnegoZnak">
    <w:name w:val="Tekst przypisu dolnego Znak"/>
    <w:basedOn w:val="Domylnaczcionkaakapitu"/>
    <w:link w:val="Tekstprzypisudolnego"/>
    <w:uiPriority w:val="99"/>
    <w:rsid w:val="00B511B4"/>
    <w:rPr>
      <w:rFonts w:ascii="Cambria" w:eastAsia="Cambria" w:hAnsi="Cambria" w:cs="Times New Roman"/>
      <w:sz w:val="20"/>
      <w:szCs w:val="20"/>
    </w:rPr>
  </w:style>
  <w:style w:type="character" w:styleId="Odwoanieprzypisudolnego">
    <w:name w:val="footnote reference"/>
    <w:uiPriority w:val="99"/>
    <w:semiHidden/>
    <w:rsid w:val="00B511B4"/>
    <w:rPr>
      <w:vertAlign w:val="superscript"/>
    </w:rPr>
  </w:style>
  <w:style w:type="paragraph" w:customStyle="1" w:styleId="Default">
    <w:name w:val="Default"/>
    <w:rsid w:val="000C4EDB"/>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415647"/>
    <w:rPr>
      <w:sz w:val="20"/>
      <w:szCs w:val="20"/>
    </w:rPr>
  </w:style>
  <w:style w:type="character" w:customStyle="1" w:styleId="TekstprzypisukocowegoZnak">
    <w:name w:val="Tekst przypisu końcowego Znak"/>
    <w:basedOn w:val="Domylnaczcionkaakapitu"/>
    <w:link w:val="Tekstprzypisukocowego"/>
    <w:uiPriority w:val="99"/>
    <w:semiHidden/>
    <w:rsid w:val="00415647"/>
    <w:rPr>
      <w:rFonts w:ascii="Calibri" w:hAnsi="Calibri" w:cs="Calibri"/>
      <w:sz w:val="20"/>
      <w:szCs w:val="20"/>
    </w:rPr>
  </w:style>
  <w:style w:type="character" w:styleId="Odwoanieprzypisukocowego">
    <w:name w:val="endnote reference"/>
    <w:basedOn w:val="Domylnaczcionkaakapitu"/>
    <w:uiPriority w:val="99"/>
    <w:semiHidden/>
    <w:unhideWhenUsed/>
    <w:rsid w:val="00415647"/>
    <w:rPr>
      <w:vertAlign w:val="superscript"/>
    </w:rPr>
  </w:style>
  <w:style w:type="paragraph" w:styleId="NormalnyWeb">
    <w:name w:val="Normal (Web)"/>
    <w:basedOn w:val="Normalny"/>
    <w:uiPriority w:val="99"/>
    <w:semiHidden/>
    <w:unhideWhenUsed/>
    <w:rsid w:val="006C7248"/>
    <w:pPr>
      <w:spacing w:before="100" w:beforeAutospacing="1" w:after="100" w:afterAutospacing="1"/>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uiPriority w:val="9"/>
    <w:rsid w:val="00EA19A3"/>
    <w:rPr>
      <w:rFonts w:ascii="Times New Roman" w:eastAsia="Times New Roman" w:hAnsi="Times New Roman" w:cs="Times New Roman"/>
      <w:b/>
      <w:bCs/>
      <w:sz w:val="36"/>
      <w:szCs w:val="36"/>
      <w:lang w:eastAsia="pl-PL"/>
    </w:rPr>
  </w:style>
  <w:style w:type="character" w:styleId="Pogrubienie">
    <w:name w:val="Strong"/>
    <w:basedOn w:val="Domylnaczcionkaakapitu"/>
    <w:uiPriority w:val="22"/>
    <w:qFormat/>
    <w:rsid w:val="00EA19A3"/>
    <w:rPr>
      <w:b/>
      <w:bCs/>
    </w:rPr>
  </w:style>
  <w:style w:type="paragraph" w:styleId="Tekstpodstawowy">
    <w:name w:val="Body Text"/>
    <w:basedOn w:val="Normalny"/>
    <w:link w:val="TekstpodstawowyZnak"/>
    <w:uiPriority w:val="99"/>
    <w:rsid w:val="00DB6BD5"/>
    <w:pPr>
      <w:spacing w:after="120"/>
    </w:pPr>
    <w:rPr>
      <w:rFonts w:ascii="Cambria" w:eastAsia="Cambria" w:hAnsi="Cambria" w:cs="Times New Roman"/>
      <w:sz w:val="24"/>
      <w:szCs w:val="24"/>
    </w:rPr>
  </w:style>
  <w:style w:type="character" w:customStyle="1" w:styleId="TekstpodstawowyZnak">
    <w:name w:val="Tekst podstawowy Znak"/>
    <w:basedOn w:val="Domylnaczcionkaakapitu"/>
    <w:link w:val="Tekstpodstawowy"/>
    <w:uiPriority w:val="99"/>
    <w:rsid w:val="00DB6BD5"/>
    <w:rPr>
      <w:rFonts w:ascii="Cambria" w:eastAsia="Cambria" w:hAnsi="Cambria" w:cs="Times New Roman"/>
      <w:sz w:val="24"/>
      <w:szCs w:val="24"/>
    </w:rPr>
  </w:style>
  <w:style w:type="paragraph" w:styleId="Nagwek">
    <w:name w:val="header"/>
    <w:basedOn w:val="Normalny"/>
    <w:link w:val="NagwekZnak"/>
    <w:uiPriority w:val="99"/>
    <w:unhideWhenUsed/>
    <w:rsid w:val="001371B2"/>
    <w:pPr>
      <w:tabs>
        <w:tab w:val="center" w:pos="4536"/>
        <w:tab w:val="right" w:pos="9072"/>
      </w:tabs>
    </w:pPr>
  </w:style>
  <w:style w:type="character" w:customStyle="1" w:styleId="NagwekZnak">
    <w:name w:val="Nagłówek Znak"/>
    <w:basedOn w:val="Domylnaczcionkaakapitu"/>
    <w:link w:val="Nagwek"/>
    <w:uiPriority w:val="99"/>
    <w:rsid w:val="001371B2"/>
    <w:rPr>
      <w:rFonts w:ascii="Calibri" w:hAnsi="Calibri" w:cs="Calibri"/>
    </w:rPr>
  </w:style>
  <w:style w:type="paragraph" w:styleId="Stopka">
    <w:name w:val="footer"/>
    <w:basedOn w:val="Normalny"/>
    <w:link w:val="StopkaZnak"/>
    <w:uiPriority w:val="99"/>
    <w:unhideWhenUsed/>
    <w:rsid w:val="001371B2"/>
    <w:pPr>
      <w:tabs>
        <w:tab w:val="center" w:pos="4536"/>
        <w:tab w:val="right" w:pos="9072"/>
      </w:tabs>
    </w:pPr>
  </w:style>
  <w:style w:type="character" w:customStyle="1" w:styleId="StopkaZnak">
    <w:name w:val="Stopka Znak"/>
    <w:basedOn w:val="Domylnaczcionkaakapitu"/>
    <w:link w:val="Stopka"/>
    <w:uiPriority w:val="99"/>
    <w:rsid w:val="001371B2"/>
    <w:rPr>
      <w:rFonts w:ascii="Calibri" w:hAnsi="Calibri" w:cs="Calibri"/>
    </w:rPr>
  </w:style>
  <w:style w:type="paragraph" w:customStyle="1" w:styleId="USTustnpkodeksu">
    <w:name w:val="UST(§) – ust. (§ np. kodeksu)"/>
    <w:basedOn w:val="Normalny"/>
    <w:uiPriority w:val="12"/>
    <w:qFormat/>
    <w:rsid w:val="00B22BE9"/>
    <w:pPr>
      <w:suppressAutoHyphens/>
      <w:autoSpaceDE w:val="0"/>
      <w:autoSpaceDN w:val="0"/>
      <w:adjustRightInd w:val="0"/>
      <w:spacing w:line="360" w:lineRule="auto"/>
      <w:ind w:firstLine="510"/>
      <w:jc w:val="both"/>
    </w:pPr>
    <w:rPr>
      <w:rFonts w:ascii="Times" w:eastAsiaTheme="minorEastAsia" w:hAnsi="Times" w:cs="Arial"/>
      <w:bCs/>
      <w:sz w:val="24"/>
      <w:szCs w:val="20"/>
      <w:lang w:eastAsia="pl-PL"/>
    </w:rPr>
  </w:style>
  <w:style w:type="paragraph" w:customStyle="1" w:styleId="PKTpunkt">
    <w:name w:val="PKT – punkt"/>
    <w:uiPriority w:val="13"/>
    <w:qFormat/>
    <w:rsid w:val="00B22BE9"/>
    <w:pPr>
      <w:spacing w:after="0" w:line="360" w:lineRule="auto"/>
      <w:ind w:left="510" w:hanging="510"/>
      <w:jc w:val="both"/>
    </w:pPr>
    <w:rPr>
      <w:rFonts w:ascii="Times" w:eastAsiaTheme="minorEastAsia" w:hAnsi="Times" w:cs="Arial"/>
      <w:bCs/>
      <w:sz w:val="24"/>
      <w:szCs w:val="20"/>
      <w:lang w:eastAsia="pl-PL"/>
    </w:rPr>
  </w:style>
  <w:style w:type="character" w:customStyle="1" w:styleId="PKpogrubieniekursywa">
    <w:name w:val="_P_K_ – pogrubienie kursywa"/>
    <w:basedOn w:val="Domylnaczcionkaakapitu"/>
    <w:uiPriority w:val="1"/>
    <w:qFormat/>
    <w:rsid w:val="00B22BE9"/>
    <w:rPr>
      <w:b/>
      <w:i/>
    </w:rPr>
  </w:style>
  <w:style w:type="paragraph" w:customStyle="1" w:styleId="LITlitera">
    <w:name w:val="LIT – litera"/>
    <w:basedOn w:val="PKTpunkt"/>
    <w:uiPriority w:val="14"/>
    <w:qFormat/>
    <w:rsid w:val="0059126A"/>
    <w:pPr>
      <w:ind w:left="986" w:hanging="476"/>
    </w:pPr>
  </w:style>
  <w:style w:type="character" w:styleId="Hipercze">
    <w:name w:val="Hyperlink"/>
    <w:basedOn w:val="Domylnaczcionkaakapitu"/>
    <w:uiPriority w:val="99"/>
    <w:unhideWhenUsed/>
    <w:rsid w:val="0088702B"/>
    <w:rPr>
      <w:color w:val="0000FF"/>
      <w:u w:val="single"/>
    </w:rPr>
  </w:style>
  <w:style w:type="paragraph" w:customStyle="1" w:styleId="TekstpismaMF">
    <w:name w:val="Tekst pisma MF"/>
    <w:qFormat/>
    <w:rsid w:val="00F27998"/>
    <w:pPr>
      <w:spacing w:before="240" w:after="0" w:line="260" w:lineRule="exact"/>
      <w:contextualSpacing/>
    </w:pPr>
    <w:rPr>
      <w:rFonts w:ascii="Lato" w:hAnsi="Lato"/>
    </w:rPr>
  </w:style>
  <w:style w:type="paragraph" w:customStyle="1" w:styleId="ListanumeracjaMF">
    <w:name w:val="Lista numeracja MF"/>
    <w:link w:val="ListanumeracjaMFZnak"/>
    <w:qFormat/>
    <w:rsid w:val="00F27998"/>
    <w:pPr>
      <w:numPr>
        <w:numId w:val="1"/>
      </w:numPr>
      <w:spacing w:before="60" w:after="0" w:line="260" w:lineRule="exact"/>
      <w:ind w:left="284" w:hanging="284"/>
    </w:pPr>
    <w:rPr>
      <w:rFonts w:ascii="Lato" w:eastAsia="Lato" w:hAnsi="Lato"/>
      <w:lang w:eastAsia="pl-PL"/>
    </w:rPr>
  </w:style>
  <w:style w:type="character" w:customStyle="1" w:styleId="ListanumeracjaMFZnak">
    <w:name w:val="Lista numeracja MF Znak"/>
    <w:basedOn w:val="Domylnaczcionkaakapitu"/>
    <w:link w:val="ListanumeracjaMF"/>
    <w:rsid w:val="00F27998"/>
    <w:rPr>
      <w:rFonts w:ascii="Lato" w:eastAsia="Lato" w:hAnsi="Lato"/>
      <w:lang w:eastAsia="pl-PL"/>
    </w:rPr>
  </w:style>
  <w:style w:type="character" w:customStyle="1" w:styleId="AkapitzlistZnak">
    <w:name w:val="Akapit z listą Znak"/>
    <w:link w:val="Akapitzlist"/>
    <w:uiPriority w:val="34"/>
    <w:rsid w:val="00FC0622"/>
  </w:style>
  <w:style w:type="paragraph" w:customStyle="1" w:styleId="ZARTzmartartykuempunktem">
    <w:name w:val="Z/ART(§) – zm. art. (§) artykułem (punktem)"/>
    <w:basedOn w:val="Normalny"/>
    <w:uiPriority w:val="30"/>
    <w:qFormat/>
    <w:rsid w:val="00443D92"/>
    <w:pPr>
      <w:suppressAutoHyphens/>
      <w:autoSpaceDE w:val="0"/>
      <w:autoSpaceDN w:val="0"/>
      <w:adjustRightInd w:val="0"/>
      <w:spacing w:line="360" w:lineRule="auto"/>
      <w:ind w:left="510" w:firstLine="510"/>
      <w:jc w:val="both"/>
    </w:pPr>
    <w:rPr>
      <w:rFonts w:ascii="Times" w:eastAsiaTheme="minorEastAsia" w:hAnsi="Times" w:cs="Arial"/>
      <w:sz w:val="24"/>
      <w:szCs w:val="20"/>
      <w:lang w:eastAsia="pl-PL"/>
    </w:rPr>
  </w:style>
  <w:style w:type="paragraph" w:customStyle="1" w:styleId="ZUSTzmustartykuempunktem">
    <w:name w:val="Z/UST(§) – zm. ust. (§) artykułem (punktem)"/>
    <w:basedOn w:val="ZARTzmartartykuempunktem"/>
    <w:uiPriority w:val="30"/>
    <w:qFormat/>
    <w:rsid w:val="001E471E"/>
  </w:style>
  <w:style w:type="paragraph" w:customStyle="1" w:styleId="ZCZWSPPKTzmczciwsppktartykuempunktem">
    <w:name w:val="Z/CZ_WSP_PKT – zm. części wsp. pkt artykułem (punktem)"/>
    <w:basedOn w:val="Normalny"/>
    <w:next w:val="ZARTzmartartykuempunktem"/>
    <w:uiPriority w:val="34"/>
    <w:qFormat/>
    <w:rsid w:val="00270D34"/>
    <w:pPr>
      <w:spacing w:line="360" w:lineRule="auto"/>
      <w:ind w:left="510"/>
      <w:jc w:val="both"/>
    </w:pPr>
    <w:rPr>
      <w:rFonts w:ascii="Times" w:eastAsiaTheme="minorEastAsia" w:hAnsi="Times" w:cs="Arial"/>
      <w:bCs/>
      <w:sz w:val="24"/>
      <w:szCs w:val="20"/>
      <w:lang w:eastAsia="pl-PL"/>
    </w:rPr>
  </w:style>
  <w:style w:type="character" w:customStyle="1" w:styleId="Kkursywa">
    <w:name w:val="_K_ – kursywa"/>
    <w:basedOn w:val="Domylnaczcionkaakapitu"/>
    <w:uiPriority w:val="1"/>
    <w:qFormat/>
    <w:rsid w:val="001D7237"/>
    <w:rPr>
      <w:i/>
    </w:rPr>
  </w:style>
  <w:style w:type="paragraph" w:customStyle="1" w:styleId="ZPKTzmpktartykuempunktem">
    <w:name w:val="Z/PKT – zm. pkt artykułem (punktem)"/>
    <w:basedOn w:val="PKTpunkt"/>
    <w:uiPriority w:val="31"/>
    <w:qFormat/>
    <w:rsid w:val="00244310"/>
    <w:pPr>
      <w:ind w:left="1020"/>
    </w:pPr>
  </w:style>
  <w:style w:type="paragraph" w:customStyle="1" w:styleId="ARTartustawynprozporzdzenia">
    <w:name w:val="ART(§) – art. ustawy (§ np. rozporządzenia)"/>
    <w:uiPriority w:val="11"/>
    <w:qFormat/>
    <w:rsid w:val="00473B3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473B34"/>
    <w:rPr>
      <w:b/>
    </w:rPr>
  </w:style>
  <w:style w:type="paragraph" w:customStyle="1" w:styleId="CytatMF">
    <w:name w:val="Cytat MF"/>
    <w:basedOn w:val="TekstpismaMF"/>
    <w:qFormat/>
    <w:rsid w:val="005C3662"/>
    <w:pPr>
      <w:pBdr>
        <w:left w:val="single" w:sz="8" w:space="8" w:color="000000"/>
      </w:pBdr>
      <w:spacing w:before="40" w:line="240" w:lineRule="exact"/>
      <w:ind w:left="510"/>
    </w:pPr>
    <w:rPr>
      <w:sz w:val="20"/>
    </w:rPr>
  </w:style>
  <w:style w:type="character" w:styleId="Nierozpoznanawzmianka">
    <w:name w:val="Unresolved Mention"/>
    <w:basedOn w:val="Domylnaczcionkaakapitu"/>
    <w:uiPriority w:val="99"/>
    <w:semiHidden/>
    <w:unhideWhenUsed/>
    <w:rsid w:val="00AA2969"/>
    <w:rPr>
      <w:color w:val="605E5C"/>
      <w:shd w:val="clear" w:color="auto" w:fill="E1DFDD"/>
    </w:rPr>
  </w:style>
  <w:style w:type="character" w:customStyle="1" w:styleId="Nagwek1Znak">
    <w:name w:val="Nagłówek 1 Znak"/>
    <w:basedOn w:val="Domylnaczcionkaakapitu"/>
    <w:link w:val="Nagwek1"/>
    <w:uiPriority w:val="9"/>
    <w:rsid w:val="001F371F"/>
    <w:rPr>
      <w:rFonts w:asciiTheme="majorHAnsi" w:eastAsiaTheme="majorEastAsia" w:hAnsiTheme="majorHAnsi" w:cstheme="majorBidi"/>
      <w:color w:val="2E74B5" w:themeColor="accent1" w:themeShade="BF"/>
      <w:sz w:val="32"/>
      <w:szCs w:val="32"/>
    </w:rPr>
  </w:style>
  <w:style w:type="paragraph" w:customStyle="1" w:styleId="ZLITUSTzmustliter">
    <w:name w:val="Z_LIT/UST(§) – zm. ust. (§) literą"/>
    <w:basedOn w:val="Normalny"/>
    <w:uiPriority w:val="46"/>
    <w:qFormat/>
    <w:rsid w:val="00584E79"/>
    <w:pPr>
      <w:suppressAutoHyphens/>
      <w:autoSpaceDE w:val="0"/>
      <w:autoSpaceDN w:val="0"/>
      <w:adjustRightInd w:val="0"/>
      <w:spacing w:line="360" w:lineRule="auto"/>
      <w:ind w:left="987" w:firstLine="510"/>
      <w:jc w:val="both"/>
    </w:pPr>
    <w:rPr>
      <w:rFonts w:ascii="Times" w:eastAsiaTheme="minorEastAsia" w:hAnsi="Times" w:cs="Arial"/>
      <w:bCs/>
      <w:sz w:val="24"/>
      <w:szCs w:val="20"/>
      <w:lang w:eastAsia="pl-PL"/>
    </w:rPr>
  </w:style>
  <w:style w:type="table" w:styleId="Tabela-Siatka">
    <w:name w:val="Table Grid"/>
    <w:basedOn w:val="Standardowy"/>
    <w:uiPriority w:val="39"/>
    <w:rsid w:val="00ED1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7D6DCE"/>
    <w:rPr>
      <w:color w:val="954F72" w:themeColor="followedHyperlink"/>
      <w:u w:val="single"/>
    </w:rPr>
  </w:style>
  <w:style w:type="paragraph" w:customStyle="1" w:styleId="ZLITPKTzmpktliter">
    <w:name w:val="Z_LIT/PKT – zm. pkt literą"/>
    <w:basedOn w:val="PKTpunkt"/>
    <w:uiPriority w:val="47"/>
    <w:qFormat/>
    <w:rsid w:val="00502D21"/>
    <w:pPr>
      <w:ind w:left="1497"/>
    </w:pPr>
  </w:style>
  <w:style w:type="paragraph" w:styleId="Poprawka">
    <w:name w:val="Revision"/>
    <w:hidden/>
    <w:uiPriority w:val="99"/>
    <w:semiHidden/>
    <w:rsid w:val="0007258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2702">
      <w:bodyDiv w:val="1"/>
      <w:marLeft w:val="0"/>
      <w:marRight w:val="0"/>
      <w:marTop w:val="0"/>
      <w:marBottom w:val="0"/>
      <w:divBdr>
        <w:top w:val="none" w:sz="0" w:space="0" w:color="auto"/>
        <w:left w:val="none" w:sz="0" w:space="0" w:color="auto"/>
        <w:bottom w:val="none" w:sz="0" w:space="0" w:color="auto"/>
        <w:right w:val="none" w:sz="0" w:space="0" w:color="auto"/>
      </w:divBdr>
    </w:div>
    <w:div w:id="65499526">
      <w:bodyDiv w:val="1"/>
      <w:marLeft w:val="0"/>
      <w:marRight w:val="0"/>
      <w:marTop w:val="0"/>
      <w:marBottom w:val="0"/>
      <w:divBdr>
        <w:top w:val="none" w:sz="0" w:space="0" w:color="auto"/>
        <w:left w:val="none" w:sz="0" w:space="0" w:color="auto"/>
        <w:bottom w:val="none" w:sz="0" w:space="0" w:color="auto"/>
        <w:right w:val="none" w:sz="0" w:space="0" w:color="auto"/>
      </w:divBdr>
      <w:divsChild>
        <w:div w:id="1245530421">
          <w:marLeft w:val="0"/>
          <w:marRight w:val="0"/>
          <w:marTop w:val="0"/>
          <w:marBottom w:val="0"/>
          <w:divBdr>
            <w:top w:val="none" w:sz="0" w:space="0" w:color="auto"/>
            <w:left w:val="none" w:sz="0" w:space="0" w:color="auto"/>
            <w:bottom w:val="none" w:sz="0" w:space="0" w:color="auto"/>
            <w:right w:val="none" w:sz="0" w:space="0" w:color="auto"/>
          </w:divBdr>
        </w:div>
      </w:divsChild>
    </w:div>
    <w:div w:id="114256312">
      <w:bodyDiv w:val="1"/>
      <w:marLeft w:val="0"/>
      <w:marRight w:val="0"/>
      <w:marTop w:val="0"/>
      <w:marBottom w:val="0"/>
      <w:divBdr>
        <w:top w:val="none" w:sz="0" w:space="0" w:color="auto"/>
        <w:left w:val="none" w:sz="0" w:space="0" w:color="auto"/>
        <w:bottom w:val="none" w:sz="0" w:space="0" w:color="auto"/>
        <w:right w:val="none" w:sz="0" w:space="0" w:color="auto"/>
      </w:divBdr>
      <w:divsChild>
        <w:div w:id="1536456669">
          <w:marLeft w:val="0"/>
          <w:marRight w:val="0"/>
          <w:marTop w:val="0"/>
          <w:marBottom w:val="0"/>
          <w:divBdr>
            <w:top w:val="none" w:sz="0" w:space="0" w:color="auto"/>
            <w:left w:val="none" w:sz="0" w:space="0" w:color="auto"/>
            <w:bottom w:val="none" w:sz="0" w:space="0" w:color="auto"/>
            <w:right w:val="none" w:sz="0" w:space="0" w:color="auto"/>
          </w:divBdr>
        </w:div>
      </w:divsChild>
    </w:div>
    <w:div w:id="134181249">
      <w:bodyDiv w:val="1"/>
      <w:marLeft w:val="0"/>
      <w:marRight w:val="0"/>
      <w:marTop w:val="0"/>
      <w:marBottom w:val="0"/>
      <w:divBdr>
        <w:top w:val="none" w:sz="0" w:space="0" w:color="auto"/>
        <w:left w:val="none" w:sz="0" w:space="0" w:color="auto"/>
        <w:bottom w:val="none" w:sz="0" w:space="0" w:color="auto"/>
        <w:right w:val="none" w:sz="0" w:space="0" w:color="auto"/>
      </w:divBdr>
    </w:div>
    <w:div w:id="159279312">
      <w:bodyDiv w:val="1"/>
      <w:marLeft w:val="0"/>
      <w:marRight w:val="0"/>
      <w:marTop w:val="0"/>
      <w:marBottom w:val="0"/>
      <w:divBdr>
        <w:top w:val="none" w:sz="0" w:space="0" w:color="auto"/>
        <w:left w:val="none" w:sz="0" w:space="0" w:color="auto"/>
        <w:bottom w:val="none" w:sz="0" w:space="0" w:color="auto"/>
        <w:right w:val="none" w:sz="0" w:space="0" w:color="auto"/>
      </w:divBdr>
    </w:div>
    <w:div w:id="194850688">
      <w:bodyDiv w:val="1"/>
      <w:marLeft w:val="0"/>
      <w:marRight w:val="0"/>
      <w:marTop w:val="0"/>
      <w:marBottom w:val="0"/>
      <w:divBdr>
        <w:top w:val="none" w:sz="0" w:space="0" w:color="auto"/>
        <w:left w:val="none" w:sz="0" w:space="0" w:color="auto"/>
        <w:bottom w:val="none" w:sz="0" w:space="0" w:color="auto"/>
        <w:right w:val="none" w:sz="0" w:space="0" w:color="auto"/>
      </w:divBdr>
    </w:div>
    <w:div w:id="221991836">
      <w:bodyDiv w:val="1"/>
      <w:marLeft w:val="0"/>
      <w:marRight w:val="0"/>
      <w:marTop w:val="0"/>
      <w:marBottom w:val="0"/>
      <w:divBdr>
        <w:top w:val="none" w:sz="0" w:space="0" w:color="auto"/>
        <w:left w:val="none" w:sz="0" w:space="0" w:color="auto"/>
        <w:bottom w:val="none" w:sz="0" w:space="0" w:color="auto"/>
        <w:right w:val="none" w:sz="0" w:space="0" w:color="auto"/>
      </w:divBdr>
    </w:div>
    <w:div w:id="232469567">
      <w:bodyDiv w:val="1"/>
      <w:marLeft w:val="0"/>
      <w:marRight w:val="0"/>
      <w:marTop w:val="0"/>
      <w:marBottom w:val="0"/>
      <w:divBdr>
        <w:top w:val="none" w:sz="0" w:space="0" w:color="auto"/>
        <w:left w:val="none" w:sz="0" w:space="0" w:color="auto"/>
        <w:bottom w:val="none" w:sz="0" w:space="0" w:color="auto"/>
        <w:right w:val="none" w:sz="0" w:space="0" w:color="auto"/>
      </w:divBdr>
    </w:div>
    <w:div w:id="253124926">
      <w:bodyDiv w:val="1"/>
      <w:marLeft w:val="0"/>
      <w:marRight w:val="0"/>
      <w:marTop w:val="0"/>
      <w:marBottom w:val="0"/>
      <w:divBdr>
        <w:top w:val="none" w:sz="0" w:space="0" w:color="auto"/>
        <w:left w:val="none" w:sz="0" w:space="0" w:color="auto"/>
        <w:bottom w:val="none" w:sz="0" w:space="0" w:color="auto"/>
        <w:right w:val="none" w:sz="0" w:space="0" w:color="auto"/>
      </w:divBdr>
      <w:divsChild>
        <w:div w:id="1522624766">
          <w:marLeft w:val="0"/>
          <w:marRight w:val="0"/>
          <w:marTop w:val="0"/>
          <w:marBottom w:val="0"/>
          <w:divBdr>
            <w:top w:val="none" w:sz="0" w:space="0" w:color="auto"/>
            <w:left w:val="none" w:sz="0" w:space="0" w:color="auto"/>
            <w:bottom w:val="none" w:sz="0" w:space="0" w:color="auto"/>
            <w:right w:val="none" w:sz="0" w:space="0" w:color="auto"/>
          </w:divBdr>
        </w:div>
      </w:divsChild>
    </w:div>
    <w:div w:id="255604063">
      <w:bodyDiv w:val="1"/>
      <w:marLeft w:val="0"/>
      <w:marRight w:val="0"/>
      <w:marTop w:val="0"/>
      <w:marBottom w:val="0"/>
      <w:divBdr>
        <w:top w:val="none" w:sz="0" w:space="0" w:color="auto"/>
        <w:left w:val="none" w:sz="0" w:space="0" w:color="auto"/>
        <w:bottom w:val="none" w:sz="0" w:space="0" w:color="auto"/>
        <w:right w:val="none" w:sz="0" w:space="0" w:color="auto"/>
      </w:divBdr>
    </w:div>
    <w:div w:id="275186664">
      <w:bodyDiv w:val="1"/>
      <w:marLeft w:val="0"/>
      <w:marRight w:val="0"/>
      <w:marTop w:val="0"/>
      <w:marBottom w:val="0"/>
      <w:divBdr>
        <w:top w:val="none" w:sz="0" w:space="0" w:color="auto"/>
        <w:left w:val="none" w:sz="0" w:space="0" w:color="auto"/>
        <w:bottom w:val="none" w:sz="0" w:space="0" w:color="auto"/>
        <w:right w:val="none" w:sz="0" w:space="0" w:color="auto"/>
      </w:divBdr>
    </w:div>
    <w:div w:id="278222176">
      <w:bodyDiv w:val="1"/>
      <w:marLeft w:val="0"/>
      <w:marRight w:val="0"/>
      <w:marTop w:val="0"/>
      <w:marBottom w:val="0"/>
      <w:divBdr>
        <w:top w:val="none" w:sz="0" w:space="0" w:color="auto"/>
        <w:left w:val="none" w:sz="0" w:space="0" w:color="auto"/>
        <w:bottom w:val="none" w:sz="0" w:space="0" w:color="auto"/>
        <w:right w:val="none" w:sz="0" w:space="0" w:color="auto"/>
      </w:divBdr>
    </w:div>
    <w:div w:id="279729861">
      <w:bodyDiv w:val="1"/>
      <w:marLeft w:val="0"/>
      <w:marRight w:val="0"/>
      <w:marTop w:val="0"/>
      <w:marBottom w:val="0"/>
      <w:divBdr>
        <w:top w:val="none" w:sz="0" w:space="0" w:color="auto"/>
        <w:left w:val="none" w:sz="0" w:space="0" w:color="auto"/>
        <w:bottom w:val="none" w:sz="0" w:space="0" w:color="auto"/>
        <w:right w:val="none" w:sz="0" w:space="0" w:color="auto"/>
      </w:divBdr>
    </w:div>
    <w:div w:id="291251519">
      <w:bodyDiv w:val="1"/>
      <w:marLeft w:val="0"/>
      <w:marRight w:val="0"/>
      <w:marTop w:val="0"/>
      <w:marBottom w:val="0"/>
      <w:divBdr>
        <w:top w:val="none" w:sz="0" w:space="0" w:color="auto"/>
        <w:left w:val="none" w:sz="0" w:space="0" w:color="auto"/>
        <w:bottom w:val="none" w:sz="0" w:space="0" w:color="auto"/>
        <w:right w:val="none" w:sz="0" w:space="0" w:color="auto"/>
      </w:divBdr>
    </w:div>
    <w:div w:id="327826496">
      <w:bodyDiv w:val="1"/>
      <w:marLeft w:val="0"/>
      <w:marRight w:val="0"/>
      <w:marTop w:val="0"/>
      <w:marBottom w:val="0"/>
      <w:divBdr>
        <w:top w:val="none" w:sz="0" w:space="0" w:color="auto"/>
        <w:left w:val="none" w:sz="0" w:space="0" w:color="auto"/>
        <w:bottom w:val="none" w:sz="0" w:space="0" w:color="auto"/>
        <w:right w:val="none" w:sz="0" w:space="0" w:color="auto"/>
      </w:divBdr>
      <w:divsChild>
        <w:div w:id="1228029433">
          <w:marLeft w:val="0"/>
          <w:marRight w:val="0"/>
          <w:marTop w:val="0"/>
          <w:marBottom w:val="0"/>
          <w:divBdr>
            <w:top w:val="none" w:sz="0" w:space="0" w:color="auto"/>
            <w:left w:val="none" w:sz="0" w:space="0" w:color="auto"/>
            <w:bottom w:val="none" w:sz="0" w:space="0" w:color="auto"/>
            <w:right w:val="none" w:sz="0" w:space="0" w:color="auto"/>
          </w:divBdr>
        </w:div>
      </w:divsChild>
    </w:div>
    <w:div w:id="348027744">
      <w:bodyDiv w:val="1"/>
      <w:marLeft w:val="0"/>
      <w:marRight w:val="0"/>
      <w:marTop w:val="0"/>
      <w:marBottom w:val="0"/>
      <w:divBdr>
        <w:top w:val="none" w:sz="0" w:space="0" w:color="auto"/>
        <w:left w:val="none" w:sz="0" w:space="0" w:color="auto"/>
        <w:bottom w:val="none" w:sz="0" w:space="0" w:color="auto"/>
        <w:right w:val="none" w:sz="0" w:space="0" w:color="auto"/>
      </w:divBdr>
    </w:div>
    <w:div w:id="355429793">
      <w:bodyDiv w:val="1"/>
      <w:marLeft w:val="0"/>
      <w:marRight w:val="0"/>
      <w:marTop w:val="0"/>
      <w:marBottom w:val="0"/>
      <w:divBdr>
        <w:top w:val="none" w:sz="0" w:space="0" w:color="auto"/>
        <w:left w:val="none" w:sz="0" w:space="0" w:color="auto"/>
        <w:bottom w:val="none" w:sz="0" w:space="0" w:color="auto"/>
        <w:right w:val="none" w:sz="0" w:space="0" w:color="auto"/>
      </w:divBdr>
    </w:div>
    <w:div w:id="373890649">
      <w:bodyDiv w:val="1"/>
      <w:marLeft w:val="0"/>
      <w:marRight w:val="0"/>
      <w:marTop w:val="0"/>
      <w:marBottom w:val="0"/>
      <w:divBdr>
        <w:top w:val="none" w:sz="0" w:space="0" w:color="auto"/>
        <w:left w:val="none" w:sz="0" w:space="0" w:color="auto"/>
        <w:bottom w:val="none" w:sz="0" w:space="0" w:color="auto"/>
        <w:right w:val="none" w:sz="0" w:space="0" w:color="auto"/>
      </w:divBdr>
    </w:div>
    <w:div w:id="399405617">
      <w:bodyDiv w:val="1"/>
      <w:marLeft w:val="0"/>
      <w:marRight w:val="0"/>
      <w:marTop w:val="0"/>
      <w:marBottom w:val="0"/>
      <w:divBdr>
        <w:top w:val="none" w:sz="0" w:space="0" w:color="auto"/>
        <w:left w:val="none" w:sz="0" w:space="0" w:color="auto"/>
        <w:bottom w:val="none" w:sz="0" w:space="0" w:color="auto"/>
        <w:right w:val="none" w:sz="0" w:space="0" w:color="auto"/>
      </w:divBdr>
    </w:div>
    <w:div w:id="429815605">
      <w:bodyDiv w:val="1"/>
      <w:marLeft w:val="0"/>
      <w:marRight w:val="0"/>
      <w:marTop w:val="0"/>
      <w:marBottom w:val="0"/>
      <w:divBdr>
        <w:top w:val="none" w:sz="0" w:space="0" w:color="auto"/>
        <w:left w:val="none" w:sz="0" w:space="0" w:color="auto"/>
        <w:bottom w:val="none" w:sz="0" w:space="0" w:color="auto"/>
        <w:right w:val="none" w:sz="0" w:space="0" w:color="auto"/>
      </w:divBdr>
    </w:div>
    <w:div w:id="451170209">
      <w:bodyDiv w:val="1"/>
      <w:marLeft w:val="0"/>
      <w:marRight w:val="0"/>
      <w:marTop w:val="0"/>
      <w:marBottom w:val="0"/>
      <w:divBdr>
        <w:top w:val="none" w:sz="0" w:space="0" w:color="auto"/>
        <w:left w:val="none" w:sz="0" w:space="0" w:color="auto"/>
        <w:bottom w:val="none" w:sz="0" w:space="0" w:color="auto"/>
        <w:right w:val="none" w:sz="0" w:space="0" w:color="auto"/>
      </w:divBdr>
      <w:divsChild>
        <w:div w:id="502087471">
          <w:marLeft w:val="0"/>
          <w:marRight w:val="0"/>
          <w:marTop w:val="0"/>
          <w:marBottom w:val="0"/>
          <w:divBdr>
            <w:top w:val="none" w:sz="0" w:space="0" w:color="auto"/>
            <w:left w:val="none" w:sz="0" w:space="0" w:color="auto"/>
            <w:bottom w:val="none" w:sz="0" w:space="0" w:color="auto"/>
            <w:right w:val="none" w:sz="0" w:space="0" w:color="auto"/>
          </w:divBdr>
        </w:div>
      </w:divsChild>
    </w:div>
    <w:div w:id="462506806">
      <w:bodyDiv w:val="1"/>
      <w:marLeft w:val="0"/>
      <w:marRight w:val="0"/>
      <w:marTop w:val="0"/>
      <w:marBottom w:val="0"/>
      <w:divBdr>
        <w:top w:val="none" w:sz="0" w:space="0" w:color="auto"/>
        <w:left w:val="none" w:sz="0" w:space="0" w:color="auto"/>
        <w:bottom w:val="none" w:sz="0" w:space="0" w:color="auto"/>
        <w:right w:val="none" w:sz="0" w:space="0" w:color="auto"/>
      </w:divBdr>
      <w:divsChild>
        <w:div w:id="612052359">
          <w:marLeft w:val="0"/>
          <w:marRight w:val="0"/>
          <w:marTop w:val="0"/>
          <w:marBottom w:val="0"/>
          <w:divBdr>
            <w:top w:val="none" w:sz="0" w:space="0" w:color="auto"/>
            <w:left w:val="none" w:sz="0" w:space="0" w:color="auto"/>
            <w:bottom w:val="none" w:sz="0" w:space="0" w:color="auto"/>
            <w:right w:val="none" w:sz="0" w:space="0" w:color="auto"/>
          </w:divBdr>
        </w:div>
      </w:divsChild>
    </w:div>
    <w:div w:id="502087419">
      <w:bodyDiv w:val="1"/>
      <w:marLeft w:val="0"/>
      <w:marRight w:val="0"/>
      <w:marTop w:val="0"/>
      <w:marBottom w:val="0"/>
      <w:divBdr>
        <w:top w:val="none" w:sz="0" w:space="0" w:color="auto"/>
        <w:left w:val="none" w:sz="0" w:space="0" w:color="auto"/>
        <w:bottom w:val="none" w:sz="0" w:space="0" w:color="auto"/>
        <w:right w:val="none" w:sz="0" w:space="0" w:color="auto"/>
      </w:divBdr>
    </w:div>
    <w:div w:id="515926861">
      <w:bodyDiv w:val="1"/>
      <w:marLeft w:val="0"/>
      <w:marRight w:val="0"/>
      <w:marTop w:val="0"/>
      <w:marBottom w:val="0"/>
      <w:divBdr>
        <w:top w:val="none" w:sz="0" w:space="0" w:color="auto"/>
        <w:left w:val="none" w:sz="0" w:space="0" w:color="auto"/>
        <w:bottom w:val="none" w:sz="0" w:space="0" w:color="auto"/>
        <w:right w:val="none" w:sz="0" w:space="0" w:color="auto"/>
      </w:divBdr>
      <w:divsChild>
        <w:div w:id="1766457952">
          <w:marLeft w:val="0"/>
          <w:marRight w:val="0"/>
          <w:marTop w:val="0"/>
          <w:marBottom w:val="0"/>
          <w:divBdr>
            <w:top w:val="none" w:sz="0" w:space="0" w:color="auto"/>
            <w:left w:val="none" w:sz="0" w:space="0" w:color="auto"/>
            <w:bottom w:val="none" w:sz="0" w:space="0" w:color="auto"/>
            <w:right w:val="none" w:sz="0" w:space="0" w:color="auto"/>
          </w:divBdr>
        </w:div>
      </w:divsChild>
    </w:div>
    <w:div w:id="597563155">
      <w:bodyDiv w:val="1"/>
      <w:marLeft w:val="0"/>
      <w:marRight w:val="0"/>
      <w:marTop w:val="0"/>
      <w:marBottom w:val="0"/>
      <w:divBdr>
        <w:top w:val="none" w:sz="0" w:space="0" w:color="auto"/>
        <w:left w:val="none" w:sz="0" w:space="0" w:color="auto"/>
        <w:bottom w:val="none" w:sz="0" w:space="0" w:color="auto"/>
        <w:right w:val="none" w:sz="0" w:space="0" w:color="auto"/>
      </w:divBdr>
    </w:div>
    <w:div w:id="599727974">
      <w:bodyDiv w:val="1"/>
      <w:marLeft w:val="0"/>
      <w:marRight w:val="0"/>
      <w:marTop w:val="0"/>
      <w:marBottom w:val="0"/>
      <w:divBdr>
        <w:top w:val="none" w:sz="0" w:space="0" w:color="auto"/>
        <w:left w:val="none" w:sz="0" w:space="0" w:color="auto"/>
        <w:bottom w:val="none" w:sz="0" w:space="0" w:color="auto"/>
        <w:right w:val="none" w:sz="0" w:space="0" w:color="auto"/>
      </w:divBdr>
    </w:div>
    <w:div w:id="638341001">
      <w:bodyDiv w:val="1"/>
      <w:marLeft w:val="0"/>
      <w:marRight w:val="0"/>
      <w:marTop w:val="0"/>
      <w:marBottom w:val="0"/>
      <w:divBdr>
        <w:top w:val="none" w:sz="0" w:space="0" w:color="auto"/>
        <w:left w:val="none" w:sz="0" w:space="0" w:color="auto"/>
        <w:bottom w:val="none" w:sz="0" w:space="0" w:color="auto"/>
        <w:right w:val="none" w:sz="0" w:space="0" w:color="auto"/>
      </w:divBdr>
    </w:div>
    <w:div w:id="673412370">
      <w:bodyDiv w:val="1"/>
      <w:marLeft w:val="0"/>
      <w:marRight w:val="0"/>
      <w:marTop w:val="0"/>
      <w:marBottom w:val="0"/>
      <w:divBdr>
        <w:top w:val="none" w:sz="0" w:space="0" w:color="auto"/>
        <w:left w:val="none" w:sz="0" w:space="0" w:color="auto"/>
        <w:bottom w:val="none" w:sz="0" w:space="0" w:color="auto"/>
        <w:right w:val="none" w:sz="0" w:space="0" w:color="auto"/>
      </w:divBdr>
    </w:div>
    <w:div w:id="802695416">
      <w:bodyDiv w:val="1"/>
      <w:marLeft w:val="0"/>
      <w:marRight w:val="0"/>
      <w:marTop w:val="0"/>
      <w:marBottom w:val="0"/>
      <w:divBdr>
        <w:top w:val="none" w:sz="0" w:space="0" w:color="auto"/>
        <w:left w:val="none" w:sz="0" w:space="0" w:color="auto"/>
        <w:bottom w:val="none" w:sz="0" w:space="0" w:color="auto"/>
        <w:right w:val="none" w:sz="0" w:space="0" w:color="auto"/>
      </w:divBdr>
    </w:div>
    <w:div w:id="813722425">
      <w:bodyDiv w:val="1"/>
      <w:marLeft w:val="0"/>
      <w:marRight w:val="0"/>
      <w:marTop w:val="0"/>
      <w:marBottom w:val="0"/>
      <w:divBdr>
        <w:top w:val="none" w:sz="0" w:space="0" w:color="auto"/>
        <w:left w:val="none" w:sz="0" w:space="0" w:color="auto"/>
        <w:bottom w:val="none" w:sz="0" w:space="0" w:color="auto"/>
        <w:right w:val="none" w:sz="0" w:space="0" w:color="auto"/>
      </w:divBdr>
      <w:divsChild>
        <w:div w:id="1072585392">
          <w:marLeft w:val="0"/>
          <w:marRight w:val="0"/>
          <w:marTop w:val="0"/>
          <w:marBottom w:val="0"/>
          <w:divBdr>
            <w:top w:val="none" w:sz="0" w:space="0" w:color="auto"/>
            <w:left w:val="none" w:sz="0" w:space="0" w:color="auto"/>
            <w:bottom w:val="none" w:sz="0" w:space="0" w:color="auto"/>
            <w:right w:val="none" w:sz="0" w:space="0" w:color="auto"/>
          </w:divBdr>
        </w:div>
      </w:divsChild>
    </w:div>
    <w:div w:id="821695839">
      <w:bodyDiv w:val="1"/>
      <w:marLeft w:val="0"/>
      <w:marRight w:val="0"/>
      <w:marTop w:val="0"/>
      <w:marBottom w:val="0"/>
      <w:divBdr>
        <w:top w:val="none" w:sz="0" w:space="0" w:color="auto"/>
        <w:left w:val="none" w:sz="0" w:space="0" w:color="auto"/>
        <w:bottom w:val="none" w:sz="0" w:space="0" w:color="auto"/>
        <w:right w:val="none" w:sz="0" w:space="0" w:color="auto"/>
      </w:divBdr>
    </w:div>
    <w:div w:id="821846950">
      <w:bodyDiv w:val="1"/>
      <w:marLeft w:val="0"/>
      <w:marRight w:val="0"/>
      <w:marTop w:val="0"/>
      <w:marBottom w:val="0"/>
      <w:divBdr>
        <w:top w:val="none" w:sz="0" w:space="0" w:color="auto"/>
        <w:left w:val="none" w:sz="0" w:space="0" w:color="auto"/>
        <w:bottom w:val="none" w:sz="0" w:space="0" w:color="auto"/>
        <w:right w:val="none" w:sz="0" w:space="0" w:color="auto"/>
      </w:divBdr>
    </w:div>
    <w:div w:id="848525923">
      <w:bodyDiv w:val="1"/>
      <w:marLeft w:val="0"/>
      <w:marRight w:val="0"/>
      <w:marTop w:val="0"/>
      <w:marBottom w:val="0"/>
      <w:divBdr>
        <w:top w:val="none" w:sz="0" w:space="0" w:color="auto"/>
        <w:left w:val="none" w:sz="0" w:space="0" w:color="auto"/>
        <w:bottom w:val="none" w:sz="0" w:space="0" w:color="auto"/>
        <w:right w:val="none" w:sz="0" w:space="0" w:color="auto"/>
      </w:divBdr>
    </w:div>
    <w:div w:id="851261512">
      <w:bodyDiv w:val="1"/>
      <w:marLeft w:val="0"/>
      <w:marRight w:val="0"/>
      <w:marTop w:val="0"/>
      <w:marBottom w:val="0"/>
      <w:divBdr>
        <w:top w:val="none" w:sz="0" w:space="0" w:color="auto"/>
        <w:left w:val="none" w:sz="0" w:space="0" w:color="auto"/>
        <w:bottom w:val="none" w:sz="0" w:space="0" w:color="auto"/>
        <w:right w:val="none" w:sz="0" w:space="0" w:color="auto"/>
      </w:divBdr>
      <w:divsChild>
        <w:div w:id="1115102028">
          <w:marLeft w:val="0"/>
          <w:marRight w:val="0"/>
          <w:marTop w:val="0"/>
          <w:marBottom w:val="0"/>
          <w:divBdr>
            <w:top w:val="none" w:sz="0" w:space="0" w:color="auto"/>
            <w:left w:val="none" w:sz="0" w:space="0" w:color="auto"/>
            <w:bottom w:val="none" w:sz="0" w:space="0" w:color="auto"/>
            <w:right w:val="none" w:sz="0" w:space="0" w:color="auto"/>
          </w:divBdr>
          <w:divsChild>
            <w:div w:id="302738531">
              <w:marLeft w:val="0"/>
              <w:marRight w:val="0"/>
              <w:marTop w:val="105"/>
              <w:marBottom w:val="0"/>
              <w:divBdr>
                <w:top w:val="none" w:sz="0" w:space="0" w:color="auto"/>
                <w:left w:val="none" w:sz="0" w:space="0" w:color="auto"/>
                <w:bottom w:val="none" w:sz="0" w:space="0" w:color="auto"/>
                <w:right w:val="none" w:sz="0" w:space="0" w:color="auto"/>
              </w:divBdr>
            </w:div>
          </w:divsChild>
        </w:div>
        <w:div w:id="1614361074">
          <w:marLeft w:val="0"/>
          <w:marRight w:val="0"/>
          <w:marTop w:val="0"/>
          <w:marBottom w:val="0"/>
          <w:divBdr>
            <w:top w:val="none" w:sz="0" w:space="0" w:color="auto"/>
            <w:left w:val="none" w:sz="0" w:space="0" w:color="auto"/>
            <w:bottom w:val="none" w:sz="0" w:space="0" w:color="auto"/>
            <w:right w:val="none" w:sz="0" w:space="0" w:color="auto"/>
          </w:divBdr>
          <w:divsChild>
            <w:div w:id="104093655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886835203">
      <w:bodyDiv w:val="1"/>
      <w:marLeft w:val="0"/>
      <w:marRight w:val="0"/>
      <w:marTop w:val="0"/>
      <w:marBottom w:val="0"/>
      <w:divBdr>
        <w:top w:val="none" w:sz="0" w:space="0" w:color="auto"/>
        <w:left w:val="none" w:sz="0" w:space="0" w:color="auto"/>
        <w:bottom w:val="none" w:sz="0" w:space="0" w:color="auto"/>
        <w:right w:val="none" w:sz="0" w:space="0" w:color="auto"/>
      </w:divBdr>
      <w:divsChild>
        <w:div w:id="1422529345">
          <w:marLeft w:val="0"/>
          <w:marRight w:val="0"/>
          <w:marTop w:val="0"/>
          <w:marBottom w:val="0"/>
          <w:divBdr>
            <w:top w:val="none" w:sz="0" w:space="0" w:color="auto"/>
            <w:left w:val="none" w:sz="0" w:space="0" w:color="auto"/>
            <w:bottom w:val="none" w:sz="0" w:space="0" w:color="auto"/>
            <w:right w:val="none" w:sz="0" w:space="0" w:color="auto"/>
          </w:divBdr>
          <w:divsChild>
            <w:div w:id="1475294858">
              <w:marLeft w:val="0"/>
              <w:marRight w:val="0"/>
              <w:marTop w:val="0"/>
              <w:marBottom w:val="0"/>
              <w:divBdr>
                <w:top w:val="none" w:sz="0" w:space="0" w:color="auto"/>
                <w:left w:val="none" w:sz="0" w:space="0" w:color="auto"/>
                <w:bottom w:val="none" w:sz="0" w:space="0" w:color="auto"/>
                <w:right w:val="none" w:sz="0" w:space="0" w:color="auto"/>
              </w:divBdr>
              <w:divsChild>
                <w:div w:id="113305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342930">
      <w:bodyDiv w:val="1"/>
      <w:marLeft w:val="0"/>
      <w:marRight w:val="0"/>
      <w:marTop w:val="0"/>
      <w:marBottom w:val="0"/>
      <w:divBdr>
        <w:top w:val="none" w:sz="0" w:space="0" w:color="auto"/>
        <w:left w:val="none" w:sz="0" w:space="0" w:color="auto"/>
        <w:bottom w:val="none" w:sz="0" w:space="0" w:color="auto"/>
        <w:right w:val="none" w:sz="0" w:space="0" w:color="auto"/>
      </w:divBdr>
    </w:div>
    <w:div w:id="1073160759">
      <w:bodyDiv w:val="1"/>
      <w:marLeft w:val="0"/>
      <w:marRight w:val="0"/>
      <w:marTop w:val="0"/>
      <w:marBottom w:val="0"/>
      <w:divBdr>
        <w:top w:val="none" w:sz="0" w:space="0" w:color="auto"/>
        <w:left w:val="none" w:sz="0" w:space="0" w:color="auto"/>
        <w:bottom w:val="none" w:sz="0" w:space="0" w:color="auto"/>
        <w:right w:val="none" w:sz="0" w:space="0" w:color="auto"/>
      </w:divBdr>
    </w:div>
    <w:div w:id="1093015474">
      <w:bodyDiv w:val="1"/>
      <w:marLeft w:val="0"/>
      <w:marRight w:val="0"/>
      <w:marTop w:val="0"/>
      <w:marBottom w:val="0"/>
      <w:divBdr>
        <w:top w:val="none" w:sz="0" w:space="0" w:color="auto"/>
        <w:left w:val="none" w:sz="0" w:space="0" w:color="auto"/>
        <w:bottom w:val="none" w:sz="0" w:space="0" w:color="auto"/>
        <w:right w:val="none" w:sz="0" w:space="0" w:color="auto"/>
      </w:divBdr>
    </w:div>
    <w:div w:id="1186091434">
      <w:bodyDiv w:val="1"/>
      <w:marLeft w:val="0"/>
      <w:marRight w:val="0"/>
      <w:marTop w:val="0"/>
      <w:marBottom w:val="0"/>
      <w:divBdr>
        <w:top w:val="none" w:sz="0" w:space="0" w:color="auto"/>
        <w:left w:val="none" w:sz="0" w:space="0" w:color="auto"/>
        <w:bottom w:val="none" w:sz="0" w:space="0" w:color="auto"/>
        <w:right w:val="none" w:sz="0" w:space="0" w:color="auto"/>
      </w:divBdr>
    </w:div>
    <w:div w:id="1196193100">
      <w:bodyDiv w:val="1"/>
      <w:marLeft w:val="0"/>
      <w:marRight w:val="0"/>
      <w:marTop w:val="0"/>
      <w:marBottom w:val="0"/>
      <w:divBdr>
        <w:top w:val="none" w:sz="0" w:space="0" w:color="auto"/>
        <w:left w:val="none" w:sz="0" w:space="0" w:color="auto"/>
        <w:bottom w:val="none" w:sz="0" w:space="0" w:color="auto"/>
        <w:right w:val="none" w:sz="0" w:space="0" w:color="auto"/>
      </w:divBdr>
    </w:div>
    <w:div w:id="1199467244">
      <w:bodyDiv w:val="1"/>
      <w:marLeft w:val="0"/>
      <w:marRight w:val="0"/>
      <w:marTop w:val="0"/>
      <w:marBottom w:val="0"/>
      <w:divBdr>
        <w:top w:val="none" w:sz="0" w:space="0" w:color="auto"/>
        <w:left w:val="none" w:sz="0" w:space="0" w:color="auto"/>
        <w:bottom w:val="none" w:sz="0" w:space="0" w:color="auto"/>
        <w:right w:val="none" w:sz="0" w:space="0" w:color="auto"/>
      </w:divBdr>
    </w:div>
    <w:div w:id="1200973007">
      <w:bodyDiv w:val="1"/>
      <w:marLeft w:val="0"/>
      <w:marRight w:val="0"/>
      <w:marTop w:val="0"/>
      <w:marBottom w:val="0"/>
      <w:divBdr>
        <w:top w:val="none" w:sz="0" w:space="0" w:color="auto"/>
        <w:left w:val="none" w:sz="0" w:space="0" w:color="auto"/>
        <w:bottom w:val="none" w:sz="0" w:space="0" w:color="auto"/>
        <w:right w:val="none" w:sz="0" w:space="0" w:color="auto"/>
      </w:divBdr>
      <w:divsChild>
        <w:div w:id="973173803">
          <w:marLeft w:val="0"/>
          <w:marRight w:val="0"/>
          <w:marTop w:val="0"/>
          <w:marBottom w:val="0"/>
          <w:divBdr>
            <w:top w:val="none" w:sz="0" w:space="0" w:color="auto"/>
            <w:left w:val="none" w:sz="0" w:space="0" w:color="auto"/>
            <w:bottom w:val="none" w:sz="0" w:space="0" w:color="auto"/>
            <w:right w:val="none" w:sz="0" w:space="0" w:color="auto"/>
          </w:divBdr>
        </w:div>
      </w:divsChild>
    </w:div>
    <w:div w:id="1201818413">
      <w:bodyDiv w:val="1"/>
      <w:marLeft w:val="0"/>
      <w:marRight w:val="0"/>
      <w:marTop w:val="0"/>
      <w:marBottom w:val="0"/>
      <w:divBdr>
        <w:top w:val="none" w:sz="0" w:space="0" w:color="auto"/>
        <w:left w:val="none" w:sz="0" w:space="0" w:color="auto"/>
        <w:bottom w:val="none" w:sz="0" w:space="0" w:color="auto"/>
        <w:right w:val="none" w:sz="0" w:space="0" w:color="auto"/>
      </w:divBdr>
    </w:div>
    <w:div w:id="1245798832">
      <w:bodyDiv w:val="1"/>
      <w:marLeft w:val="0"/>
      <w:marRight w:val="0"/>
      <w:marTop w:val="0"/>
      <w:marBottom w:val="0"/>
      <w:divBdr>
        <w:top w:val="none" w:sz="0" w:space="0" w:color="auto"/>
        <w:left w:val="none" w:sz="0" w:space="0" w:color="auto"/>
        <w:bottom w:val="none" w:sz="0" w:space="0" w:color="auto"/>
        <w:right w:val="none" w:sz="0" w:space="0" w:color="auto"/>
      </w:divBdr>
      <w:divsChild>
        <w:div w:id="2057503849">
          <w:marLeft w:val="0"/>
          <w:marRight w:val="0"/>
          <w:marTop w:val="0"/>
          <w:marBottom w:val="0"/>
          <w:divBdr>
            <w:top w:val="none" w:sz="0" w:space="0" w:color="auto"/>
            <w:left w:val="none" w:sz="0" w:space="0" w:color="auto"/>
            <w:bottom w:val="none" w:sz="0" w:space="0" w:color="auto"/>
            <w:right w:val="none" w:sz="0" w:space="0" w:color="auto"/>
          </w:divBdr>
        </w:div>
      </w:divsChild>
    </w:div>
    <w:div w:id="1262176982">
      <w:bodyDiv w:val="1"/>
      <w:marLeft w:val="0"/>
      <w:marRight w:val="0"/>
      <w:marTop w:val="0"/>
      <w:marBottom w:val="0"/>
      <w:divBdr>
        <w:top w:val="none" w:sz="0" w:space="0" w:color="auto"/>
        <w:left w:val="none" w:sz="0" w:space="0" w:color="auto"/>
        <w:bottom w:val="none" w:sz="0" w:space="0" w:color="auto"/>
        <w:right w:val="none" w:sz="0" w:space="0" w:color="auto"/>
      </w:divBdr>
      <w:divsChild>
        <w:div w:id="339551206">
          <w:marLeft w:val="0"/>
          <w:marRight w:val="0"/>
          <w:marTop w:val="0"/>
          <w:marBottom w:val="0"/>
          <w:divBdr>
            <w:top w:val="none" w:sz="0" w:space="0" w:color="auto"/>
            <w:left w:val="none" w:sz="0" w:space="0" w:color="auto"/>
            <w:bottom w:val="none" w:sz="0" w:space="0" w:color="auto"/>
            <w:right w:val="none" w:sz="0" w:space="0" w:color="auto"/>
          </w:divBdr>
        </w:div>
      </w:divsChild>
    </w:div>
    <w:div w:id="1310940486">
      <w:bodyDiv w:val="1"/>
      <w:marLeft w:val="0"/>
      <w:marRight w:val="0"/>
      <w:marTop w:val="0"/>
      <w:marBottom w:val="0"/>
      <w:divBdr>
        <w:top w:val="none" w:sz="0" w:space="0" w:color="auto"/>
        <w:left w:val="none" w:sz="0" w:space="0" w:color="auto"/>
        <w:bottom w:val="none" w:sz="0" w:space="0" w:color="auto"/>
        <w:right w:val="none" w:sz="0" w:space="0" w:color="auto"/>
      </w:divBdr>
    </w:div>
    <w:div w:id="1345091395">
      <w:bodyDiv w:val="1"/>
      <w:marLeft w:val="0"/>
      <w:marRight w:val="0"/>
      <w:marTop w:val="0"/>
      <w:marBottom w:val="0"/>
      <w:divBdr>
        <w:top w:val="none" w:sz="0" w:space="0" w:color="auto"/>
        <w:left w:val="none" w:sz="0" w:space="0" w:color="auto"/>
        <w:bottom w:val="none" w:sz="0" w:space="0" w:color="auto"/>
        <w:right w:val="none" w:sz="0" w:space="0" w:color="auto"/>
      </w:divBdr>
    </w:div>
    <w:div w:id="1372224971">
      <w:bodyDiv w:val="1"/>
      <w:marLeft w:val="0"/>
      <w:marRight w:val="0"/>
      <w:marTop w:val="0"/>
      <w:marBottom w:val="0"/>
      <w:divBdr>
        <w:top w:val="none" w:sz="0" w:space="0" w:color="auto"/>
        <w:left w:val="none" w:sz="0" w:space="0" w:color="auto"/>
        <w:bottom w:val="none" w:sz="0" w:space="0" w:color="auto"/>
        <w:right w:val="none" w:sz="0" w:space="0" w:color="auto"/>
      </w:divBdr>
      <w:divsChild>
        <w:div w:id="71658822">
          <w:marLeft w:val="0"/>
          <w:marRight w:val="0"/>
          <w:marTop w:val="0"/>
          <w:marBottom w:val="0"/>
          <w:divBdr>
            <w:top w:val="none" w:sz="0" w:space="0" w:color="auto"/>
            <w:left w:val="none" w:sz="0" w:space="0" w:color="auto"/>
            <w:bottom w:val="none" w:sz="0" w:space="0" w:color="auto"/>
            <w:right w:val="none" w:sz="0" w:space="0" w:color="auto"/>
          </w:divBdr>
        </w:div>
      </w:divsChild>
    </w:div>
    <w:div w:id="1384989269">
      <w:bodyDiv w:val="1"/>
      <w:marLeft w:val="0"/>
      <w:marRight w:val="0"/>
      <w:marTop w:val="0"/>
      <w:marBottom w:val="0"/>
      <w:divBdr>
        <w:top w:val="none" w:sz="0" w:space="0" w:color="auto"/>
        <w:left w:val="none" w:sz="0" w:space="0" w:color="auto"/>
        <w:bottom w:val="none" w:sz="0" w:space="0" w:color="auto"/>
        <w:right w:val="none" w:sz="0" w:space="0" w:color="auto"/>
      </w:divBdr>
      <w:divsChild>
        <w:div w:id="1997957900">
          <w:marLeft w:val="0"/>
          <w:marRight w:val="0"/>
          <w:marTop w:val="0"/>
          <w:marBottom w:val="0"/>
          <w:divBdr>
            <w:top w:val="none" w:sz="0" w:space="0" w:color="auto"/>
            <w:left w:val="none" w:sz="0" w:space="0" w:color="auto"/>
            <w:bottom w:val="none" w:sz="0" w:space="0" w:color="auto"/>
            <w:right w:val="none" w:sz="0" w:space="0" w:color="auto"/>
          </w:divBdr>
          <w:divsChild>
            <w:div w:id="1594052590">
              <w:marLeft w:val="0"/>
              <w:marRight w:val="0"/>
              <w:marTop w:val="0"/>
              <w:marBottom w:val="0"/>
              <w:divBdr>
                <w:top w:val="none" w:sz="0" w:space="0" w:color="auto"/>
                <w:left w:val="none" w:sz="0" w:space="0" w:color="auto"/>
                <w:bottom w:val="none" w:sz="0" w:space="0" w:color="auto"/>
                <w:right w:val="none" w:sz="0" w:space="0" w:color="auto"/>
              </w:divBdr>
              <w:divsChild>
                <w:div w:id="208013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621717">
      <w:bodyDiv w:val="1"/>
      <w:marLeft w:val="0"/>
      <w:marRight w:val="0"/>
      <w:marTop w:val="0"/>
      <w:marBottom w:val="0"/>
      <w:divBdr>
        <w:top w:val="none" w:sz="0" w:space="0" w:color="auto"/>
        <w:left w:val="none" w:sz="0" w:space="0" w:color="auto"/>
        <w:bottom w:val="none" w:sz="0" w:space="0" w:color="auto"/>
        <w:right w:val="none" w:sz="0" w:space="0" w:color="auto"/>
      </w:divBdr>
    </w:div>
    <w:div w:id="1406875090">
      <w:bodyDiv w:val="1"/>
      <w:marLeft w:val="0"/>
      <w:marRight w:val="0"/>
      <w:marTop w:val="0"/>
      <w:marBottom w:val="0"/>
      <w:divBdr>
        <w:top w:val="none" w:sz="0" w:space="0" w:color="auto"/>
        <w:left w:val="none" w:sz="0" w:space="0" w:color="auto"/>
        <w:bottom w:val="none" w:sz="0" w:space="0" w:color="auto"/>
        <w:right w:val="none" w:sz="0" w:space="0" w:color="auto"/>
      </w:divBdr>
      <w:divsChild>
        <w:div w:id="1058475054">
          <w:marLeft w:val="0"/>
          <w:marRight w:val="0"/>
          <w:marTop w:val="0"/>
          <w:marBottom w:val="0"/>
          <w:divBdr>
            <w:top w:val="none" w:sz="0" w:space="0" w:color="auto"/>
            <w:left w:val="none" w:sz="0" w:space="0" w:color="auto"/>
            <w:bottom w:val="none" w:sz="0" w:space="0" w:color="auto"/>
            <w:right w:val="none" w:sz="0" w:space="0" w:color="auto"/>
          </w:divBdr>
        </w:div>
      </w:divsChild>
    </w:div>
    <w:div w:id="1422870563">
      <w:bodyDiv w:val="1"/>
      <w:marLeft w:val="0"/>
      <w:marRight w:val="0"/>
      <w:marTop w:val="0"/>
      <w:marBottom w:val="0"/>
      <w:divBdr>
        <w:top w:val="none" w:sz="0" w:space="0" w:color="auto"/>
        <w:left w:val="none" w:sz="0" w:space="0" w:color="auto"/>
        <w:bottom w:val="none" w:sz="0" w:space="0" w:color="auto"/>
        <w:right w:val="none" w:sz="0" w:space="0" w:color="auto"/>
      </w:divBdr>
      <w:divsChild>
        <w:div w:id="468130450">
          <w:marLeft w:val="0"/>
          <w:marRight w:val="0"/>
          <w:marTop w:val="0"/>
          <w:marBottom w:val="0"/>
          <w:divBdr>
            <w:top w:val="none" w:sz="0" w:space="0" w:color="auto"/>
            <w:left w:val="none" w:sz="0" w:space="0" w:color="auto"/>
            <w:bottom w:val="none" w:sz="0" w:space="0" w:color="auto"/>
            <w:right w:val="none" w:sz="0" w:space="0" w:color="auto"/>
          </w:divBdr>
        </w:div>
      </w:divsChild>
    </w:div>
    <w:div w:id="1450733441">
      <w:bodyDiv w:val="1"/>
      <w:marLeft w:val="0"/>
      <w:marRight w:val="0"/>
      <w:marTop w:val="0"/>
      <w:marBottom w:val="0"/>
      <w:divBdr>
        <w:top w:val="none" w:sz="0" w:space="0" w:color="auto"/>
        <w:left w:val="none" w:sz="0" w:space="0" w:color="auto"/>
        <w:bottom w:val="none" w:sz="0" w:space="0" w:color="auto"/>
        <w:right w:val="none" w:sz="0" w:space="0" w:color="auto"/>
      </w:divBdr>
    </w:div>
    <w:div w:id="1565870022">
      <w:bodyDiv w:val="1"/>
      <w:marLeft w:val="0"/>
      <w:marRight w:val="0"/>
      <w:marTop w:val="0"/>
      <w:marBottom w:val="0"/>
      <w:divBdr>
        <w:top w:val="none" w:sz="0" w:space="0" w:color="auto"/>
        <w:left w:val="none" w:sz="0" w:space="0" w:color="auto"/>
        <w:bottom w:val="none" w:sz="0" w:space="0" w:color="auto"/>
        <w:right w:val="none" w:sz="0" w:space="0" w:color="auto"/>
      </w:divBdr>
    </w:div>
    <w:div w:id="1570917765">
      <w:bodyDiv w:val="1"/>
      <w:marLeft w:val="0"/>
      <w:marRight w:val="0"/>
      <w:marTop w:val="0"/>
      <w:marBottom w:val="0"/>
      <w:divBdr>
        <w:top w:val="none" w:sz="0" w:space="0" w:color="auto"/>
        <w:left w:val="none" w:sz="0" w:space="0" w:color="auto"/>
        <w:bottom w:val="none" w:sz="0" w:space="0" w:color="auto"/>
        <w:right w:val="none" w:sz="0" w:space="0" w:color="auto"/>
      </w:divBdr>
    </w:div>
    <w:div w:id="1634289467">
      <w:bodyDiv w:val="1"/>
      <w:marLeft w:val="0"/>
      <w:marRight w:val="0"/>
      <w:marTop w:val="0"/>
      <w:marBottom w:val="0"/>
      <w:divBdr>
        <w:top w:val="none" w:sz="0" w:space="0" w:color="auto"/>
        <w:left w:val="none" w:sz="0" w:space="0" w:color="auto"/>
        <w:bottom w:val="none" w:sz="0" w:space="0" w:color="auto"/>
        <w:right w:val="none" w:sz="0" w:space="0" w:color="auto"/>
      </w:divBdr>
      <w:divsChild>
        <w:div w:id="731121123">
          <w:marLeft w:val="0"/>
          <w:marRight w:val="0"/>
          <w:marTop w:val="0"/>
          <w:marBottom w:val="0"/>
          <w:divBdr>
            <w:top w:val="none" w:sz="0" w:space="0" w:color="auto"/>
            <w:left w:val="none" w:sz="0" w:space="0" w:color="auto"/>
            <w:bottom w:val="none" w:sz="0" w:space="0" w:color="auto"/>
            <w:right w:val="none" w:sz="0" w:space="0" w:color="auto"/>
          </w:divBdr>
          <w:divsChild>
            <w:div w:id="397168610">
              <w:marLeft w:val="0"/>
              <w:marRight w:val="0"/>
              <w:marTop w:val="0"/>
              <w:marBottom w:val="0"/>
              <w:divBdr>
                <w:top w:val="none" w:sz="0" w:space="0" w:color="auto"/>
                <w:left w:val="none" w:sz="0" w:space="0" w:color="auto"/>
                <w:bottom w:val="none" w:sz="0" w:space="0" w:color="auto"/>
                <w:right w:val="none" w:sz="0" w:space="0" w:color="auto"/>
              </w:divBdr>
              <w:divsChild>
                <w:div w:id="131105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315767">
      <w:bodyDiv w:val="1"/>
      <w:marLeft w:val="0"/>
      <w:marRight w:val="0"/>
      <w:marTop w:val="0"/>
      <w:marBottom w:val="0"/>
      <w:divBdr>
        <w:top w:val="none" w:sz="0" w:space="0" w:color="auto"/>
        <w:left w:val="none" w:sz="0" w:space="0" w:color="auto"/>
        <w:bottom w:val="none" w:sz="0" w:space="0" w:color="auto"/>
        <w:right w:val="none" w:sz="0" w:space="0" w:color="auto"/>
      </w:divBdr>
    </w:div>
    <w:div w:id="1650749629">
      <w:bodyDiv w:val="1"/>
      <w:marLeft w:val="0"/>
      <w:marRight w:val="0"/>
      <w:marTop w:val="0"/>
      <w:marBottom w:val="0"/>
      <w:divBdr>
        <w:top w:val="none" w:sz="0" w:space="0" w:color="auto"/>
        <w:left w:val="none" w:sz="0" w:space="0" w:color="auto"/>
        <w:bottom w:val="none" w:sz="0" w:space="0" w:color="auto"/>
        <w:right w:val="none" w:sz="0" w:space="0" w:color="auto"/>
      </w:divBdr>
    </w:div>
    <w:div w:id="1718049130">
      <w:bodyDiv w:val="1"/>
      <w:marLeft w:val="0"/>
      <w:marRight w:val="0"/>
      <w:marTop w:val="0"/>
      <w:marBottom w:val="0"/>
      <w:divBdr>
        <w:top w:val="none" w:sz="0" w:space="0" w:color="auto"/>
        <w:left w:val="none" w:sz="0" w:space="0" w:color="auto"/>
        <w:bottom w:val="none" w:sz="0" w:space="0" w:color="auto"/>
        <w:right w:val="none" w:sz="0" w:space="0" w:color="auto"/>
      </w:divBdr>
    </w:div>
    <w:div w:id="1756902820">
      <w:bodyDiv w:val="1"/>
      <w:marLeft w:val="0"/>
      <w:marRight w:val="0"/>
      <w:marTop w:val="0"/>
      <w:marBottom w:val="0"/>
      <w:divBdr>
        <w:top w:val="none" w:sz="0" w:space="0" w:color="auto"/>
        <w:left w:val="none" w:sz="0" w:space="0" w:color="auto"/>
        <w:bottom w:val="none" w:sz="0" w:space="0" w:color="auto"/>
        <w:right w:val="none" w:sz="0" w:space="0" w:color="auto"/>
      </w:divBdr>
    </w:div>
    <w:div w:id="1765422241">
      <w:bodyDiv w:val="1"/>
      <w:marLeft w:val="0"/>
      <w:marRight w:val="0"/>
      <w:marTop w:val="0"/>
      <w:marBottom w:val="0"/>
      <w:divBdr>
        <w:top w:val="none" w:sz="0" w:space="0" w:color="auto"/>
        <w:left w:val="none" w:sz="0" w:space="0" w:color="auto"/>
        <w:bottom w:val="none" w:sz="0" w:space="0" w:color="auto"/>
        <w:right w:val="none" w:sz="0" w:space="0" w:color="auto"/>
      </w:divBdr>
      <w:divsChild>
        <w:div w:id="168453156">
          <w:marLeft w:val="0"/>
          <w:marRight w:val="0"/>
          <w:marTop w:val="0"/>
          <w:marBottom w:val="0"/>
          <w:divBdr>
            <w:top w:val="none" w:sz="0" w:space="0" w:color="auto"/>
            <w:left w:val="none" w:sz="0" w:space="0" w:color="auto"/>
            <w:bottom w:val="none" w:sz="0" w:space="0" w:color="auto"/>
            <w:right w:val="none" w:sz="0" w:space="0" w:color="auto"/>
          </w:divBdr>
          <w:divsChild>
            <w:div w:id="1092093592">
              <w:marLeft w:val="0"/>
              <w:marRight w:val="0"/>
              <w:marTop w:val="0"/>
              <w:marBottom w:val="0"/>
              <w:divBdr>
                <w:top w:val="none" w:sz="0" w:space="0" w:color="auto"/>
                <w:left w:val="none" w:sz="0" w:space="0" w:color="auto"/>
                <w:bottom w:val="none" w:sz="0" w:space="0" w:color="auto"/>
                <w:right w:val="none" w:sz="0" w:space="0" w:color="auto"/>
              </w:divBdr>
              <w:divsChild>
                <w:div w:id="19555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511600">
      <w:bodyDiv w:val="1"/>
      <w:marLeft w:val="0"/>
      <w:marRight w:val="0"/>
      <w:marTop w:val="0"/>
      <w:marBottom w:val="0"/>
      <w:divBdr>
        <w:top w:val="none" w:sz="0" w:space="0" w:color="auto"/>
        <w:left w:val="none" w:sz="0" w:space="0" w:color="auto"/>
        <w:bottom w:val="none" w:sz="0" w:space="0" w:color="auto"/>
        <w:right w:val="none" w:sz="0" w:space="0" w:color="auto"/>
      </w:divBdr>
    </w:div>
    <w:div w:id="1846823179">
      <w:bodyDiv w:val="1"/>
      <w:marLeft w:val="0"/>
      <w:marRight w:val="0"/>
      <w:marTop w:val="0"/>
      <w:marBottom w:val="0"/>
      <w:divBdr>
        <w:top w:val="none" w:sz="0" w:space="0" w:color="auto"/>
        <w:left w:val="none" w:sz="0" w:space="0" w:color="auto"/>
        <w:bottom w:val="none" w:sz="0" w:space="0" w:color="auto"/>
        <w:right w:val="none" w:sz="0" w:space="0" w:color="auto"/>
      </w:divBdr>
    </w:div>
    <w:div w:id="1857184308">
      <w:bodyDiv w:val="1"/>
      <w:marLeft w:val="0"/>
      <w:marRight w:val="0"/>
      <w:marTop w:val="0"/>
      <w:marBottom w:val="0"/>
      <w:divBdr>
        <w:top w:val="none" w:sz="0" w:space="0" w:color="auto"/>
        <w:left w:val="none" w:sz="0" w:space="0" w:color="auto"/>
        <w:bottom w:val="none" w:sz="0" w:space="0" w:color="auto"/>
        <w:right w:val="none" w:sz="0" w:space="0" w:color="auto"/>
      </w:divBdr>
    </w:div>
    <w:div w:id="1953124585">
      <w:bodyDiv w:val="1"/>
      <w:marLeft w:val="0"/>
      <w:marRight w:val="0"/>
      <w:marTop w:val="0"/>
      <w:marBottom w:val="0"/>
      <w:divBdr>
        <w:top w:val="none" w:sz="0" w:space="0" w:color="auto"/>
        <w:left w:val="none" w:sz="0" w:space="0" w:color="auto"/>
        <w:bottom w:val="none" w:sz="0" w:space="0" w:color="auto"/>
        <w:right w:val="none" w:sz="0" w:space="0" w:color="auto"/>
      </w:divBdr>
    </w:div>
    <w:div w:id="1989361840">
      <w:bodyDiv w:val="1"/>
      <w:marLeft w:val="0"/>
      <w:marRight w:val="0"/>
      <w:marTop w:val="0"/>
      <w:marBottom w:val="0"/>
      <w:divBdr>
        <w:top w:val="none" w:sz="0" w:space="0" w:color="auto"/>
        <w:left w:val="none" w:sz="0" w:space="0" w:color="auto"/>
        <w:bottom w:val="none" w:sz="0" w:space="0" w:color="auto"/>
        <w:right w:val="none" w:sz="0" w:space="0" w:color="auto"/>
      </w:divBdr>
    </w:div>
    <w:div w:id="2000765421">
      <w:bodyDiv w:val="1"/>
      <w:marLeft w:val="0"/>
      <w:marRight w:val="0"/>
      <w:marTop w:val="0"/>
      <w:marBottom w:val="0"/>
      <w:divBdr>
        <w:top w:val="none" w:sz="0" w:space="0" w:color="auto"/>
        <w:left w:val="none" w:sz="0" w:space="0" w:color="auto"/>
        <w:bottom w:val="none" w:sz="0" w:space="0" w:color="auto"/>
        <w:right w:val="none" w:sz="0" w:space="0" w:color="auto"/>
      </w:divBdr>
    </w:div>
    <w:div w:id="2014607297">
      <w:bodyDiv w:val="1"/>
      <w:marLeft w:val="0"/>
      <w:marRight w:val="0"/>
      <w:marTop w:val="0"/>
      <w:marBottom w:val="0"/>
      <w:divBdr>
        <w:top w:val="none" w:sz="0" w:space="0" w:color="auto"/>
        <w:left w:val="none" w:sz="0" w:space="0" w:color="auto"/>
        <w:bottom w:val="none" w:sz="0" w:space="0" w:color="auto"/>
        <w:right w:val="none" w:sz="0" w:space="0" w:color="auto"/>
      </w:divBdr>
    </w:div>
    <w:div w:id="202639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B5FFC-BD1F-4A57-B846-71DEC8073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7817</Words>
  <Characters>46906</Characters>
  <Application>Microsoft Office Word</Application>
  <DocSecurity>0</DocSecurity>
  <Lines>390</Lines>
  <Paragraphs>109</Paragraphs>
  <ScaleCrop>false</ScaleCrop>
  <Company/>
  <LinksUpToDate>false</LinksUpToDate>
  <CharactersWithSpaces>54614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2026-09-29T14:08:00Z</dcterms:created>
  <dcterms:modified xsi:type="dcterms:W3CDTF">2026-09-29T14:08:00Z</dcterms:modified>
</cp:coreProperties>
</file>