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769A45" w14:textId="77777777" w:rsidR="005B7127" w:rsidRPr="00775392" w:rsidRDefault="005B7127" w:rsidP="005B7127">
      <w:pPr>
        <w:spacing w:before="120" w:line="360" w:lineRule="auto"/>
        <w:jc w:val="center"/>
        <w:rPr>
          <w:rFonts w:ascii="Times New Roman" w:hAnsi="Times New Roman" w:cs="Times New Roman"/>
          <w:bCs/>
          <w:sz w:val="24"/>
          <w:szCs w:val="24"/>
        </w:rPr>
      </w:pPr>
      <w:r w:rsidRPr="00775392">
        <w:rPr>
          <w:rFonts w:ascii="Times New Roman" w:hAnsi="Times New Roman" w:cs="Times New Roman"/>
          <w:bCs/>
          <w:sz w:val="24"/>
          <w:szCs w:val="24"/>
        </w:rPr>
        <w:t>UZASADNIENIE</w:t>
      </w:r>
    </w:p>
    <w:p w14:paraId="1D092EF9" w14:textId="32F96AED" w:rsidR="005B7127" w:rsidRPr="009918A1" w:rsidRDefault="005B7127" w:rsidP="005B7127">
      <w:pPr>
        <w:numPr>
          <w:ilvl w:val="0"/>
          <w:numId w:val="1"/>
        </w:numPr>
        <w:spacing w:before="360" w:after="240" w:line="360" w:lineRule="auto"/>
        <w:ind w:left="714" w:hanging="357"/>
        <w:jc w:val="both"/>
        <w:rPr>
          <w:rFonts w:ascii="Times" w:eastAsia="Calibri" w:hAnsi="Times" w:cs="Times"/>
          <w:b/>
          <w:iCs/>
          <w:color w:val="0070C0"/>
          <w:sz w:val="24"/>
          <w:szCs w:val="24"/>
        </w:rPr>
      </w:pPr>
      <w:r w:rsidRPr="009918A1">
        <w:rPr>
          <w:rFonts w:ascii="Times" w:eastAsia="Calibri" w:hAnsi="Times" w:cs="Times"/>
          <w:b/>
          <w:iCs/>
          <w:color w:val="0070C0"/>
          <w:sz w:val="24"/>
          <w:szCs w:val="24"/>
        </w:rPr>
        <w:t>Cel i zakres projektowanej regulacji.</w:t>
      </w:r>
    </w:p>
    <w:p w14:paraId="69A3C07A" w14:textId="36B0BC55" w:rsidR="003F12BB" w:rsidRPr="009918A1" w:rsidRDefault="0085359B" w:rsidP="0085359B">
      <w:pPr>
        <w:spacing w:after="120" w:line="360" w:lineRule="auto"/>
        <w:jc w:val="both"/>
        <w:rPr>
          <w:rFonts w:ascii="Times" w:hAnsi="Times" w:cs="Times"/>
          <w:sz w:val="24"/>
          <w:szCs w:val="24"/>
        </w:rPr>
      </w:pPr>
      <w:r w:rsidRPr="009918A1">
        <w:rPr>
          <w:rFonts w:ascii="Times" w:hAnsi="Times" w:cs="Times"/>
          <w:sz w:val="24"/>
          <w:szCs w:val="24"/>
        </w:rPr>
        <w:t xml:space="preserve">Przedkładany projekt ustawy zawiera zmiany dostosowujące </w:t>
      </w:r>
      <w:r w:rsidR="003F12BB" w:rsidRPr="009918A1">
        <w:rPr>
          <w:rFonts w:ascii="Times" w:hAnsi="Times" w:cs="Times"/>
          <w:sz w:val="24"/>
          <w:szCs w:val="24"/>
        </w:rPr>
        <w:t>katalo</w:t>
      </w:r>
      <w:r w:rsidR="00DF3D50" w:rsidRPr="009918A1">
        <w:rPr>
          <w:rFonts w:ascii="Times" w:hAnsi="Times" w:cs="Times"/>
          <w:sz w:val="24"/>
          <w:szCs w:val="24"/>
        </w:rPr>
        <w:t>g</w:t>
      </w:r>
      <w:r w:rsidR="003F12BB" w:rsidRPr="009918A1">
        <w:rPr>
          <w:rFonts w:ascii="Times" w:hAnsi="Times" w:cs="Times"/>
          <w:sz w:val="24"/>
          <w:szCs w:val="24"/>
        </w:rPr>
        <w:t xml:space="preserve"> ulg podatkowych w</w:t>
      </w:r>
      <w:r w:rsidR="00A32F0A" w:rsidRPr="009918A1">
        <w:rPr>
          <w:rFonts w:ascii="Times" w:hAnsi="Times" w:cs="Times"/>
          <w:sz w:val="24"/>
          <w:szCs w:val="24"/>
        </w:rPr>
        <w:t> </w:t>
      </w:r>
      <w:r w:rsidR="003F12BB" w:rsidRPr="009918A1">
        <w:rPr>
          <w:rFonts w:ascii="Times" w:hAnsi="Times" w:cs="Times"/>
          <w:sz w:val="24"/>
          <w:szCs w:val="24"/>
        </w:rPr>
        <w:t>podatku dochodowym od osób fizycznych i w podatku dochodowym od osób prawnych do</w:t>
      </w:r>
      <w:r w:rsidR="00A32F0A" w:rsidRPr="009918A1">
        <w:rPr>
          <w:rFonts w:ascii="Times" w:hAnsi="Times" w:cs="Times"/>
          <w:sz w:val="24"/>
          <w:szCs w:val="24"/>
        </w:rPr>
        <w:t> </w:t>
      </w:r>
      <w:r w:rsidR="003F12BB" w:rsidRPr="009918A1">
        <w:rPr>
          <w:rFonts w:ascii="Times" w:hAnsi="Times" w:cs="Times"/>
          <w:sz w:val="24"/>
          <w:szCs w:val="24"/>
        </w:rPr>
        <w:t>aktualnych realiów społeczno-gospodarczych oraz priorytetów polityki państwa.</w:t>
      </w:r>
    </w:p>
    <w:p w14:paraId="397B3D0B" w14:textId="73D1EFC8" w:rsidR="0085359B" w:rsidRPr="009918A1" w:rsidRDefault="0085359B" w:rsidP="0085359B">
      <w:pPr>
        <w:spacing w:after="120" w:line="360" w:lineRule="auto"/>
        <w:jc w:val="both"/>
        <w:rPr>
          <w:rFonts w:ascii="Times" w:hAnsi="Times" w:cs="Times"/>
          <w:sz w:val="24"/>
          <w:szCs w:val="24"/>
        </w:rPr>
      </w:pPr>
      <w:r w:rsidRPr="009918A1">
        <w:rPr>
          <w:rFonts w:ascii="Times" w:hAnsi="Times" w:cs="Times"/>
          <w:sz w:val="24"/>
          <w:szCs w:val="24"/>
        </w:rPr>
        <w:t xml:space="preserve">Projekt ustawy wprowadza zmiany w: </w:t>
      </w:r>
    </w:p>
    <w:p w14:paraId="57E8B8E7" w14:textId="2A72D4A7" w:rsidR="0085359B" w:rsidRPr="009918A1" w:rsidRDefault="0085359B" w:rsidP="0085359B">
      <w:pPr>
        <w:pStyle w:val="Akapitzlist"/>
        <w:numPr>
          <w:ilvl w:val="0"/>
          <w:numId w:val="6"/>
        </w:numPr>
        <w:spacing w:after="120" w:line="360" w:lineRule="auto"/>
        <w:jc w:val="both"/>
        <w:rPr>
          <w:rFonts w:ascii="Times" w:hAnsi="Times" w:cs="Times"/>
          <w:sz w:val="24"/>
          <w:szCs w:val="24"/>
        </w:rPr>
      </w:pPr>
      <w:r w:rsidRPr="009918A1">
        <w:rPr>
          <w:rFonts w:ascii="Times" w:hAnsi="Times" w:cs="Times"/>
          <w:sz w:val="24"/>
          <w:szCs w:val="24"/>
        </w:rPr>
        <w:t xml:space="preserve">ustawie z dnia 26 lipca 1991 r. o podatku dochodowym od osób fizycznych (Dz. U. </w:t>
      </w:r>
      <w:r w:rsidR="007E3C0B" w:rsidRPr="009918A1">
        <w:rPr>
          <w:rFonts w:ascii="Times" w:hAnsi="Times" w:cs="Times"/>
          <w:sz w:val="24"/>
          <w:szCs w:val="24"/>
        </w:rPr>
        <w:t> </w:t>
      </w:r>
      <w:r w:rsidR="00002F5F" w:rsidRPr="009918A1">
        <w:rPr>
          <w:rFonts w:ascii="Times" w:hAnsi="Times" w:cs="Times"/>
          <w:sz w:val="24"/>
          <w:szCs w:val="24"/>
        </w:rPr>
        <w:t xml:space="preserve">z </w:t>
      </w:r>
      <w:r w:rsidRPr="009918A1">
        <w:rPr>
          <w:rFonts w:ascii="Times" w:hAnsi="Times" w:cs="Times"/>
          <w:sz w:val="24"/>
          <w:szCs w:val="24"/>
        </w:rPr>
        <w:t xml:space="preserve">2026 r. poz. 592, </w:t>
      </w:r>
      <w:r w:rsidR="003A4E27" w:rsidRPr="009918A1">
        <w:rPr>
          <w:rFonts w:ascii="Times" w:hAnsi="Times" w:cs="Times"/>
          <w:sz w:val="24"/>
          <w:szCs w:val="24"/>
        </w:rPr>
        <w:t>z późn. zm.</w:t>
      </w:r>
      <w:r w:rsidRPr="009918A1">
        <w:rPr>
          <w:rFonts w:ascii="Times" w:hAnsi="Times" w:cs="Times"/>
          <w:sz w:val="24"/>
          <w:szCs w:val="24"/>
        </w:rPr>
        <w:t>), zwanej dalej: „</w:t>
      </w:r>
      <w:r w:rsidRPr="009918A1">
        <w:rPr>
          <w:rFonts w:ascii="Times" w:hAnsi="Times" w:cs="Times"/>
          <w:b/>
          <w:bCs/>
          <w:sz w:val="24"/>
          <w:szCs w:val="24"/>
        </w:rPr>
        <w:t>ustawą o PIT</w:t>
      </w:r>
      <w:r w:rsidRPr="009918A1">
        <w:rPr>
          <w:rFonts w:ascii="Times" w:hAnsi="Times" w:cs="Times"/>
          <w:sz w:val="24"/>
          <w:szCs w:val="24"/>
        </w:rPr>
        <w:t>”,</w:t>
      </w:r>
    </w:p>
    <w:p w14:paraId="0CCD66A1" w14:textId="1760B08D" w:rsidR="003A74EE" w:rsidRPr="009918A1" w:rsidRDefault="0085359B" w:rsidP="0085359B">
      <w:pPr>
        <w:pStyle w:val="Akapitzlist"/>
        <w:numPr>
          <w:ilvl w:val="0"/>
          <w:numId w:val="6"/>
        </w:numPr>
        <w:spacing w:after="120" w:line="360" w:lineRule="auto"/>
        <w:jc w:val="both"/>
        <w:rPr>
          <w:rFonts w:ascii="Times" w:hAnsi="Times" w:cs="Times"/>
          <w:sz w:val="24"/>
          <w:szCs w:val="24"/>
        </w:rPr>
      </w:pPr>
      <w:r w:rsidRPr="009918A1">
        <w:rPr>
          <w:rFonts w:ascii="Times" w:hAnsi="Times" w:cs="Times"/>
          <w:sz w:val="24"/>
          <w:szCs w:val="24"/>
        </w:rPr>
        <w:t>ustawie z dnia 15 lutego 1992 r. o podatku dochodowym od osób prawnych (Dz. U</w:t>
      </w:r>
      <w:r w:rsidR="00002F5F" w:rsidRPr="009918A1">
        <w:rPr>
          <w:rFonts w:ascii="Times" w:hAnsi="Times" w:cs="Times"/>
          <w:sz w:val="24"/>
          <w:szCs w:val="24"/>
        </w:rPr>
        <w:t>.</w:t>
      </w:r>
      <w:r w:rsidRPr="009918A1">
        <w:rPr>
          <w:rFonts w:ascii="Times" w:hAnsi="Times" w:cs="Times"/>
          <w:sz w:val="24"/>
          <w:szCs w:val="24"/>
        </w:rPr>
        <w:t xml:space="preserve"> z</w:t>
      </w:r>
      <w:r w:rsidR="007E3C0B" w:rsidRPr="009918A1">
        <w:rPr>
          <w:rFonts w:ascii="Times" w:hAnsi="Times" w:cs="Times"/>
          <w:sz w:val="24"/>
          <w:szCs w:val="24"/>
        </w:rPr>
        <w:t> </w:t>
      </w:r>
      <w:r w:rsidRPr="009918A1">
        <w:rPr>
          <w:rFonts w:ascii="Times" w:hAnsi="Times" w:cs="Times"/>
          <w:sz w:val="24"/>
          <w:szCs w:val="24"/>
        </w:rPr>
        <w:t xml:space="preserve">2026 r. poz. 554, </w:t>
      </w:r>
      <w:r w:rsidR="003A4E27" w:rsidRPr="009918A1">
        <w:rPr>
          <w:rFonts w:ascii="Times" w:hAnsi="Times" w:cs="Times"/>
          <w:sz w:val="24"/>
          <w:szCs w:val="24"/>
        </w:rPr>
        <w:t>z późn. zm.</w:t>
      </w:r>
      <w:r w:rsidRPr="009918A1">
        <w:rPr>
          <w:rFonts w:ascii="Times" w:hAnsi="Times" w:cs="Times"/>
          <w:sz w:val="24"/>
          <w:szCs w:val="24"/>
        </w:rPr>
        <w:t>), zwanej dalej: „</w:t>
      </w:r>
      <w:r w:rsidRPr="009918A1">
        <w:rPr>
          <w:rFonts w:ascii="Times" w:hAnsi="Times" w:cs="Times"/>
          <w:b/>
          <w:bCs/>
          <w:sz w:val="24"/>
          <w:szCs w:val="24"/>
        </w:rPr>
        <w:t>ustawą o CIT</w:t>
      </w:r>
      <w:r w:rsidRPr="009918A1">
        <w:rPr>
          <w:rFonts w:ascii="Times" w:hAnsi="Times" w:cs="Times"/>
          <w:sz w:val="24"/>
          <w:szCs w:val="24"/>
        </w:rPr>
        <w:t>”</w:t>
      </w:r>
      <w:r w:rsidR="00002F5F" w:rsidRPr="009918A1">
        <w:rPr>
          <w:rFonts w:ascii="Times" w:hAnsi="Times" w:cs="Times"/>
          <w:sz w:val="24"/>
          <w:szCs w:val="24"/>
        </w:rPr>
        <w:t>,</w:t>
      </w:r>
    </w:p>
    <w:p w14:paraId="20B79AF4" w14:textId="776557F5" w:rsidR="0085359B" w:rsidRPr="009918A1" w:rsidRDefault="003A74EE" w:rsidP="0085359B">
      <w:pPr>
        <w:pStyle w:val="Akapitzlist"/>
        <w:numPr>
          <w:ilvl w:val="0"/>
          <w:numId w:val="6"/>
        </w:numPr>
        <w:spacing w:after="120" w:line="360" w:lineRule="auto"/>
        <w:jc w:val="both"/>
        <w:rPr>
          <w:rFonts w:ascii="Times" w:hAnsi="Times" w:cs="Times"/>
          <w:sz w:val="24"/>
          <w:szCs w:val="24"/>
        </w:rPr>
      </w:pPr>
      <w:r w:rsidRPr="009918A1">
        <w:rPr>
          <w:rFonts w:ascii="Times" w:hAnsi="Times" w:cs="Times"/>
          <w:sz w:val="24"/>
          <w:szCs w:val="24"/>
        </w:rPr>
        <w:t>ustawie z dnia 20 listopada 1998 r. o zryczałtowanym podatku dochodowym od niektórych przychodów osiąganych przez osoby fizyczne (Dz. U. z 2025 r. poz. 843</w:t>
      </w:r>
      <w:r w:rsidR="003A4E27" w:rsidRPr="009918A1">
        <w:rPr>
          <w:rFonts w:ascii="Times" w:hAnsi="Times" w:cs="Times"/>
          <w:sz w:val="24"/>
          <w:szCs w:val="24"/>
        </w:rPr>
        <w:t>, z</w:t>
      </w:r>
      <w:r w:rsidR="007E3C0B" w:rsidRPr="009918A1">
        <w:rPr>
          <w:rFonts w:ascii="Times" w:hAnsi="Times" w:cs="Times"/>
          <w:sz w:val="24"/>
          <w:szCs w:val="24"/>
        </w:rPr>
        <w:t> </w:t>
      </w:r>
      <w:r w:rsidR="003A4E27" w:rsidRPr="009918A1">
        <w:rPr>
          <w:rFonts w:ascii="Times" w:hAnsi="Times" w:cs="Times"/>
          <w:sz w:val="24"/>
          <w:szCs w:val="24"/>
        </w:rPr>
        <w:t>późn. zm.</w:t>
      </w:r>
      <w:r w:rsidRPr="009918A1">
        <w:rPr>
          <w:rFonts w:ascii="Times" w:hAnsi="Times" w:cs="Times"/>
          <w:sz w:val="24"/>
          <w:szCs w:val="24"/>
        </w:rPr>
        <w:t xml:space="preserve">), zwanej dalej </w:t>
      </w:r>
      <w:r w:rsidRPr="009918A1">
        <w:rPr>
          <w:rFonts w:ascii="Times" w:hAnsi="Times" w:cs="Times"/>
          <w:b/>
          <w:bCs/>
          <w:sz w:val="24"/>
          <w:szCs w:val="24"/>
        </w:rPr>
        <w:t>„ustawą o ryczałcie”</w:t>
      </w:r>
      <w:r w:rsidR="0085359B" w:rsidRPr="009918A1">
        <w:rPr>
          <w:rFonts w:ascii="Times" w:hAnsi="Times" w:cs="Times"/>
          <w:sz w:val="24"/>
          <w:szCs w:val="24"/>
        </w:rPr>
        <w:t>.</w:t>
      </w:r>
    </w:p>
    <w:p w14:paraId="082442DD" w14:textId="7DF4814A" w:rsidR="0085359B" w:rsidRPr="009918A1" w:rsidRDefault="003A4E27" w:rsidP="004A3223">
      <w:pPr>
        <w:spacing w:after="120" w:line="360" w:lineRule="auto"/>
        <w:jc w:val="both"/>
        <w:rPr>
          <w:rFonts w:ascii="Times" w:hAnsi="Times" w:cs="Times"/>
          <w:sz w:val="24"/>
          <w:szCs w:val="24"/>
        </w:rPr>
      </w:pPr>
      <w:r w:rsidRPr="009918A1">
        <w:rPr>
          <w:rFonts w:ascii="Times" w:hAnsi="Times" w:cs="Times"/>
          <w:sz w:val="24"/>
          <w:szCs w:val="24"/>
        </w:rPr>
        <w:t>W</w:t>
      </w:r>
      <w:r w:rsidR="0085359B" w:rsidRPr="009918A1">
        <w:rPr>
          <w:rFonts w:ascii="Times" w:hAnsi="Times" w:cs="Times"/>
          <w:sz w:val="24"/>
          <w:szCs w:val="24"/>
        </w:rPr>
        <w:t>prowadzan</w:t>
      </w:r>
      <w:r w:rsidRPr="009918A1">
        <w:rPr>
          <w:rFonts w:ascii="Times" w:hAnsi="Times" w:cs="Times"/>
          <w:sz w:val="24"/>
          <w:szCs w:val="24"/>
        </w:rPr>
        <w:t>e</w:t>
      </w:r>
      <w:r w:rsidR="0085359B" w:rsidRPr="009918A1">
        <w:rPr>
          <w:rFonts w:ascii="Times" w:hAnsi="Times" w:cs="Times"/>
          <w:sz w:val="24"/>
          <w:szCs w:val="24"/>
        </w:rPr>
        <w:t xml:space="preserve"> przedłożonym projektem </w:t>
      </w:r>
      <w:r w:rsidRPr="009918A1">
        <w:rPr>
          <w:rFonts w:ascii="Times" w:hAnsi="Times" w:cs="Times"/>
          <w:sz w:val="24"/>
          <w:szCs w:val="24"/>
        </w:rPr>
        <w:t>zmiany przewidują</w:t>
      </w:r>
      <w:r w:rsidR="0085359B" w:rsidRPr="009918A1">
        <w:rPr>
          <w:rFonts w:ascii="Times" w:hAnsi="Times" w:cs="Times"/>
          <w:sz w:val="24"/>
          <w:szCs w:val="24"/>
        </w:rPr>
        <w:t>:</w:t>
      </w:r>
    </w:p>
    <w:p w14:paraId="4F2DCC31" w14:textId="2810F031" w:rsidR="0085359B" w:rsidRPr="009918A1" w:rsidRDefault="0085359B" w:rsidP="00A32F0A">
      <w:pPr>
        <w:pStyle w:val="Akapitzlist"/>
        <w:numPr>
          <w:ilvl w:val="0"/>
          <w:numId w:val="7"/>
        </w:numPr>
        <w:spacing w:after="120" w:line="360" w:lineRule="auto"/>
        <w:ind w:left="714" w:hanging="357"/>
        <w:jc w:val="both"/>
        <w:rPr>
          <w:rFonts w:ascii="Times" w:hAnsi="Times" w:cs="Times"/>
          <w:sz w:val="24"/>
          <w:szCs w:val="24"/>
        </w:rPr>
      </w:pPr>
      <w:r w:rsidRPr="009918A1">
        <w:rPr>
          <w:rFonts w:ascii="Times" w:hAnsi="Times" w:cs="Times"/>
          <w:sz w:val="24"/>
          <w:szCs w:val="24"/>
        </w:rPr>
        <w:t>przedłużeni</w:t>
      </w:r>
      <w:r w:rsidR="003A4E27" w:rsidRPr="009918A1">
        <w:rPr>
          <w:rFonts w:ascii="Times" w:hAnsi="Times" w:cs="Times"/>
          <w:sz w:val="24"/>
          <w:szCs w:val="24"/>
        </w:rPr>
        <w:t>e</w:t>
      </w:r>
      <w:r w:rsidRPr="009918A1">
        <w:rPr>
          <w:rFonts w:ascii="Times" w:hAnsi="Times" w:cs="Times"/>
          <w:sz w:val="24"/>
          <w:szCs w:val="24"/>
        </w:rPr>
        <w:t xml:space="preserve"> przepisów dotyczących tzw. ulgi na robotyzację na </w:t>
      </w:r>
      <w:r w:rsidR="00DF3D50" w:rsidRPr="009918A1">
        <w:rPr>
          <w:rFonts w:ascii="Times" w:hAnsi="Times" w:cs="Times"/>
          <w:sz w:val="24"/>
          <w:szCs w:val="24"/>
        </w:rPr>
        <w:t xml:space="preserve">okres </w:t>
      </w:r>
      <w:r w:rsidRPr="009918A1">
        <w:rPr>
          <w:rFonts w:ascii="Times" w:hAnsi="Times" w:cs="Times"/>
          <w:sz w:val="24"/>
          <w:szCs w:val="24"/>
        </w:rPr>
        <w:t>kolejn</w:t>
      </w:r>
      <w:r w:rsidR="00DF3D50" w:rsidRPr="009918A1">
        <w:rPr>
          <w:rFonts w:ascii="Times" w:hAnsi="Times" w:cs="Times"/>
          <w:sz w:val="24"/>
          <w:szCs w:val="24"/>
        </w:rPr>
        <w:t>ych</w:t>
      </w:r>
      <w:r w:rsidRPr="009918A1">
        <w:rPr>
          <w:rFonts w:ascii="Times" w:hAnsi="Times" w:cs="Times"/>
          <w:sz w:val="24"/>
          <w:szCs w:val="24"/>
        </w:rPr>
        <w:t xml:space="preserve"> 10 lat podatkowych oraz doprecyzowanie niektórych kwestii dotyczących ww. przepisów (zmiany w ustawie o PIT i ustawie o CIT)</w:t>
      </w:r>
      <w:r w:rsidR="00DF3D50" w:rsidRPr="009918A1">
        <w:rPr>
          <w:rFonts w:ascii="Times" w:hAnsi="Times" w:cs="Times"/>
          <w:sz w:val="24"/>
          <w:szCs w:val="24"/>
        </w:rPr>
        <w:t>,</w:t>
      </w:r>
    </w:p>
    <w:p w14:paraId="66077FF5" w14:textId="67A7FA66" w:rsidR="00090C01" w:rsidRPr="009918A1" w:rsidRDefault="00090C01" w:rsidP="00A32F0A">
      <w:pPr>
        <w:pStyle w:val="Akapitzlist"/>
        <w:numPr>
          <w:ilvl w:val="0"/>
          <w:numId w:val="7"/>
        </w:numPr>
        <w:spacing w:after="120" w:line="360" w:lineRule="auto"/>
        <w:ind w:left="714" w:hanging="357"/>
        <w:jc w:val="both"/>
        <w:rPr>
          <w:rFonts w:ascii="Times" w:hAnsi="Times" w:cs="Times"/>
          <w:sz w:val="24"/>
          <w:szCs w:val="24"/>
        </w:rPr>
      </w:pPr>
      <w:r w:rsidRPr="009918A1">
        <w:rPr>
          <w:rFonts w:ascii="Times" w:hAnsi="Times" w:cs="Times"/>
          <w:sz w:val="24"/>
          <w:szCs w:val="24"/>
        </w:rPr>
        <w:t>likwidacj</w:t>
      </w:r>
      <w:r w:rsidR="003A4E27" w:rsidRPr="009918A1">
        <w:rPr>
          <w:rFonts w:ascii="Times" w:hAnsi="Times" w:cs="Times"/>
          <w:sz w:val="24"/>
          <w:szCs w:val="24"/>
        </w:rPr>
        <w:t>ę</w:t>
      </w:r>
      <w:r w:rsidRPr="009918A1">
        <w:rPr>
          <w:rFonts w:ascii="Times" w:hAnsi="Times" w:cs="Times"/>
          <w:sz w:val="24"/>
          <w:szCs w:val="24"/>
        </w:rPr>
        <w:t xml:space="preserve"> ulgi na Internet z zachowaniem rocznych praw nabytych dla osób, które po raz pierwszy skorzystały z tego odliczenia w rozliczeniu podatku PIT za rok poprzedzający rok wejścia w życie projektowanej ustawy (zmiana w ustawie o PIT i</w:t>
      </w:r>
      <w:r w:rsidR="007E3C0B" w:rsidRPr="009918A1">
        <w:rPr>
          <w:rFonts w:ascii="Times" w:hAnsi="Times" w:cs="Times"/>
          <w:sz w:val="24"/>
          <w:szCs w:val="24"/>
        </w:rPr>
        <w:t> </w:t>
      </w:r>
      <w:r w:rsidR="008567D9" w:rsidRPr="009918A1">
        <w:rPr>
          <w:rFonts w:ascii="Times" w:hAnsi="Times" w:cs="Times"/>
          <w:sz w:val="24"/>
          <w:szCs w:val="24"/>
        </w:rPr>
        <w:t>ustawie o ryczałcie</w:t>
      </w:r>
      <w:r w:rsidRPr="009918A1">
        <w:rPr>
          <w:rFonts w:ascii="Times" w:hAnsi="Times" w:cs="Times"/>
          <w:sz w:val="24"/>
          <w:szCs w:val="24"/>
        </w:rPr>
        <w:t>)</w:t>
      </w:r>
      <w:r w:rsidR="00D37580" w:rsidRPr="009918A1">
        <w:rPr>
          <w:rFonts w:ascii="Times" w:hAnsi="Times" w:cs="Times"/>
          <w:sz w:val="24"/>
          <w:szCs w:val="24"/>
        </w:rPr>
        <w:t>,</w:t>
      </w:r>
    </w:p>
    <w:p w14:paraId="3D1ADF0C" w14:textId="125B13A7" w:rsidR="00380F11" w:rsidRPr="009918A1" w:rsidRDefault="00380F11" w:rsidP="008567D9">
      <w:pPr>
        <w:pStyle w:val="Akapitzlist"/>
        <w:numPr>
          <w:ilvl w:val="0"/>
          <w:numId w:val="7"/>
        </w:numPr>
        <w:spacing w:after="120"/>
        <w:ind w:left="714" w:hanging="357"/>
        <w:contextualSpacing w:val="0"/>
        <w:jc w:val="both"/>
        <w:rPr>
          <w:rFonts w:ascii="Times" w:hAnsi="Times" w:cs="Times"/>
          <w:sz w:val="24"/>
          <w:szCs w:val="24"/>
        </w:rPr>
      </w:pPr>
      <w:r w:rsidRPr="009918A1">
        <w:rPr>
          <w:rFonts w:ascii="Times" w:hAnsi="Times" w:cs="Times"/>
          <w:sz w:val="24"/>
          <w:szCs w:val="24"/>
        </w:rPr>
        <w:t>zwiększenie limitu odliczenia ulgi podatkowej z tytułu krwiodawstwa (zmiana w</w:t>
      </w:r>
      <w:r w:rsidR="007E3C0B" w:rsidRPr="009918A1">
        <w:rPr>
          <w:rFonts w:ascii="Times" w:hAnsi="Times" w:cs="Times"/>
          <w:sz w:val="24"/>
          <w:szCs w:val="24"/>
        </w:rPr>
        <w:t> </w:t>
      </w:r>
      <w:r w:rsidRPr="009918A1">
        <w:rPr>
          <w:rFonts w:ascii="Times" w:hAnsi="Times" w:cs="Times"/>
          <w:sz w:val="24"/>
          <w:szCs w:val="24"/>
        </w:rPr>
        <w:t xml:space="preserve">ustawie </w:t>
      </w:r>
      <w:r w:rsidR="00A32F0A" w:rsidRPr="009918A1">
        <w:rPr>
          <w:rFonts w:ascii="Times" w:hAnsi="Times" w:cs="Times"/>
          <w:sz w:val="24"/>
          <w:szCs w:val="24"/>
        </w:rPr>
        <w:t xml:space="preserve">o </w:t>
      </w:r>
      <w:r w:rsidRPr="009918A1">
        <w:rPr>
          <w:rFonts w:ascii="Times" w:hAnsi="Times" w:cs="Times"/>
          <w:sz w:val="24"/>
          <w:szCs w:val="24"/>
        </w:rPr>
        <w:t>PIT),</w:t>
      </w:r>
    </w:p>
    <w:p w14:paraId="433A3E69" w14:textId="401016AB" w:rsidR="00090C01" w:rsidRPr="009918A1" w:rsidRDefault="00DF3D50" w:rsidP="008567D9">
      <w:pPr>
        <w:pStyle w:val="Akapitzlist"/>
        <w:numPr>
          <w:ilvl w:val="0"/>
          <w:numId w:val="7"/>
        </w:numPr>
        <w:spacing w:after="120" w:line="360" w:lineRule="auto"/>
        <w:ind w:left="714" w:hanging="357"/>
        <w:contextualSpacing w:val="0"/>
        <w:jc w:val="both"/>
        <w:rPr>
          <w:rFonts w:ascii="Times" w:hAnsi="Times" w:cs="Times"/>
          <w:sz w:val="24"/>
          <w:szCs w:val="24"/>
        </w:rPr>
      </w:pPr>
      <w:r w:rsidRPr="009918A1">
        <w:rPr>
          <w:rFonts w:ascii="Times" w:hAnsi="Times" w:cs="Times"/>
          <w:sz w:val="24"/>
          <w:szCs w:val="24"/>
        </w:rPr>
        <w:t>uchylenie przepisów regulujących tzw. ulgę na ekspansję (zmiany w ustawie o PIT i</w:t>
      </w:r>
      <w:r w:rsidR="007E3C0B" w:rsidRPr="009918A1">
        <w:rPr>
          <w:rFonts w:ascii="Times" w:hAnsi="Times" w:cs="Times"/>
          <w:sz w:val="24"/>
          <w:szCs w:val="24"/>
        </w:rPr>
        <w:t> </w:t>
      </w:r>
      <w:r w:rsidRPr="009918A1">
        <w:rPr>
          <w:rFonts w:ascii="Times" w:hAnsi="Times" w:cs="Times"/>
          <w:sz w:val="24"/>
          <w:szCs w:val="24"/>
        </w:rPr>
        <w:t>ustawie o CIT).</w:t>
      </w:r>
    </w:p>
    <w:p w14:paraId="39514118" w14:textId="3E6A33CB" w:rsidR="007E3C0B" w:rsidRPr="009918A1" w:rsidRDefault="007E3C0B">
      <w:pPr>
        <w:spacing w:after="160" w:line="259" w:lineRule="auto"/>
        <w:rPr>
          <w:rFonts w:ascii="Times" w:hAnsi="Times" w:cs="Times"/>
          <w:sz w:val="24"/>
          <w:szCs w:val="24"/>
        </w:rPr>
      </w:pPr>
      <w:r w:rsidRPr="009918A1">
        <w:rPr>
          <w:rFonts w:ascii="Times" w:hAnsi="Times" w:cs="Times"/>
          <w:sz w:val="24"/>
          <w:szCs w:val="24"/>
        </w:rPr>
        <w:br w:type="page"/>
      </w:r>
    </w:p>
    <w:p w14:paraId="5BDD2558" w14:textId="002E21A8" w:rsidR="003F12BB" w:rsidRPr="009918A1" w:rsidRDefault="003F12BB" w:rsidP="005B7127">
      <w:pPr>
        <w:numPr>
          <w:ilvl w:val="0"/>
          <w:numId w:val="1"/>
        </w:numPr>
        <w:spacing w:before="360" w:after="240" w:line="360" w:lineRule="auto"/>
        <w:ind w:left="714" w:hanging="357"/>
        <w:jc w:val="both"/>
        <w:rPr>
          <w:rFonts w:ascii="Times" w:eastAsia="Calibri" w:hAnsi="Times" w:cs="Times"/>
          <w:b/>
          <w:iCs/>
          <w:color w:val="0070C0"/>
          <w:sz w:val="24"/>
          <w:szCs w:val="24"/>
        </w:rPr>
      </w:pPr>
      <w:r w:rsidRPr="009918A1">
        <w:rPr>
          <w:rFonts w:ascii="Times" w:eastAsia="Calibri" w:hAnsi="Times" w:cs="Times"/>
          <w:b/>
          <w:iCs/>
          <w:color w:val="0070C0"/>
          <w:sz w:val="24"/>
          <w:szCs w:val="24"/>
        </w:rPr>
        <w:lastRenderedPageBreak/>
        <w:t>Omówienie poszczególnych zmian (według kolejności ich występowania w</w:t>
      </w:r>
      <w:r w:rsidR="00930530">
        <w:rPr>
          <w:rFonts w:ascii="Times" w:eastAsia="Calibri" w:hAnsi="Times" w:cs="Times"/>
          <w:b/>
          <w:iCs/>
          <w:color w:val="0070C0"/>
          <w:sz w:val="24"/>
          <w:szCs w:val="24"/>
        </w:rPr>
        <w:t> </w:t>
      </w:r>
      <w:r w:rsidRPr="009918A1">
        <w:rPr>
          <w:rFonts w:ascii="Times" w:eastAsia="Calibri" w:hAnsi="Times" w:cs="Times"/>
          <w:b/>
          <w:iCs/>
          <w:color w:val="0070C0"/>
          <w:sz w:val="24"/>
          <w:szCs w:val="24"/>
        </w:rPr>
        <w:t>projekcie ustawy)</w:t>
      </w:r>
    </w:p>
    <w:p w14:paraId="2BF56AA9" w14:textId="1EAC65FB" w:rsidR="00B50228" w:rsidRPr="009918A1" w:rsidRDefault="00B50228" w:rsidP="00002F5F">
      <w:pPr>
        <w:pStyle w:val="Akapitzlist"/>
        <w:numPr>
          <w:ilvl w:val="0"/>
          <w:numId w:val="14"/>
        </w:numPr>
        <w:spacing w:after="120" w:line="360" w:lineRule="auto"/>
        <w:jc w:val="both"/>
        <w:rPr>
          <w:rFonts w:ascii="Times" w:hAnsi="Times" w:cs="Times"/>
          <w:sz w:val="24"/>
          <w:szCs w:val="24"/>
        </w:rPr>
      </w:pPr>
      <w:r w:rsidRPr="009918A1">
        <w:rPr>
          <w:rFonts w:ascii="Times" w:hAnsi="Times" w:cs="Times"/>
          <w:sz w:val="24"/>
          <w:szCs w:val="24"/>
        </w:rPr>
        <w:t xml:space="preserve">Uchylenie </w:t>
      </w:r>
      <w:bookmarkStart w:id="0" w:name="_Hlk164326657"/>
      <w:r w:rsidR="006C6535" w:rsidRPr="009918A1">
        <w:rPr>
          <w:rFonts w:ascii="Times" w:hAnsi="Times" w:cs="Times"/>
          <w:sz w:val="24"/>
          <w:szCs w:val="24"/>
        </w:rPr>
        <w:t xml:space="preserve">ulgi z tytułu użytkowania sieci Internet </w:t>
      </w:r>
      <w:r w:rsidRPr="009918A1">
        <w:rPr>
          <w:rFonts w:ascii="Times" w:hAnsi="Times" w:cs="Times"/>
          <w:sz w:val="24"/>
          <w:szCs w:val="24"/>
        </w:rPr>
        <w:t>– art. 2</w:t>
      </w:r>
      <w:r w:rsidR="006C6535" w:rsidRPr="009918A1">
        <w:rPr>
          <w:rFonts w:ascii="Times" w:hAnsi="Times" w:cs="Times"/>
          <w:sz w:val="24"/>
          <w:szCs w:val="24"/>
        </w:rPr>
        <w:t>6</w:t>
      </w:r>
      <w:r w:rsidRPr="009918A1">
        <w:rPr>
          <w:rFonts w:ascii="Times" w:hAnsi="Times" w:cs="Times"/>
          <w:sz w:val="24"/>
          <w:szCs w:val="24"/>
        </w:rPr>
        <w:t xml:space="preserve"> ust. 1 pkt </w:t>
      </w:r>
      <w:r w:rsidR="006C6535" w:rsidRPr="009918A1">
        <w:rPr>
          <w:rFonts w:ascii="Times" w:hAnsi="Times" w:cs="Times"/>
          <w:sz w:val="24"/>
          <w:szCs w:val="24"/>
        </w:rPr>
        <w:t>6a i ust. 6h</w:t>
      </w:r>
      <w:r w:rsidRPr="009918A1">
        <w:rPr>
          <w:rFonts w:ascii="Times" w:hAnsi="Times" w:cs="Times"/>
          <w:sz w:val="24"/>
          <w:szCs w:val="24"/>
        </w:rPr>
        <w:t xml:space="preserve"> ustawy</w:t>
      </w:r>
      <w:r w:rsidR="00DD1EA9" w:rsidRPr="009918A1">
        <w:rPr>
          <w:rFonts w:ascii="Times" w:hAnsi="Times" w:cs="Times"/>
          <w:sz w:val="24"/>
          <w:szCs w:val="24"/>
        </w:rPr>
        <w:t xml:space="preserve"> o</w:t>
      </w:r>
      <w:r w:rsidRPr="009918A1">
        <w:rPr>
          <w:rFonts w:ascii="Times" w:hAnsi="Times" w:cs="Times"/>
          <w:sz w:val="24"/>
          <w:szCs w:val="24"/>
        </w:rPr>
        <w:t xml:space="preserve"> PIT</w:t>
      </w:r>
      <w:bookmarkEnd w:id="0"/>
      <w:r w:rsidR="003A74EE" w:rsidRPr="009918A1">
        <w:rPr>
          <w:rFonts w:ascii="Times" w:hAnsi="Times" w:cs="Times"/>
          <w:sz w:val="24"/>
          <w:szCs w:val="24"/>
        </w:rPr>
        <w:t xml:space="preserve"> oraz art. 11 ust. 1 i 2 ustawy </w:t>
      </w:r>
      <w:r w:rsidR="00DD1EA9" w:rsidRPr="009918A1">
        <w:rPr>
          <w:rFonts w:ascii="Times" w:hAnsi="Times" w:cs="Times"/>
          <w:sz w:val="24"/>
          <w:szCs w:val="24"/>
        </w:rPr>
        <w:t xml:space="preserve">o </w:t>
      </w:r>
      <w:r w:rsidR="003A74EE" w:rsidRPr="009918A1">
        <w:rPr>
          <w:rFonts w:ascii="Times" w:hAnsi="Times" w:cs="Times"/>
          <w:sz w:val="24"/>
          <w:szCs w:val="24"/>
        </w:rPr>
        <w:t>ryczałcie</w:t>
      </w:r>
      <w:r w:rsidR="003A4E27" w:rsidRPr="009918A1">
        <w:rPr>
          <w:rFonts w:ascii="Times" w:hAnsi="Times" w:cs="Times"/>
          <w:sz w:val="24"/>
          <w:szCs w:val="24"/>
        </w:rPr>
        <w:t xml:space="preserve"> –</w:t>
      </w:r>
      <w:r w:rsidR="003A4E27" w:rsidRPr="009918A1">
        <w:rPr>
          <w:rFonts w:ascii="Times" w:hAnsi="Times" w:cs="Times"/>
          <w:b/>
          <w:bCs/>
          <w:sz w:val="24"/>
          <w:szCs w:val="24"/>
        </w:rPr>
        <w:t xml:space="preserve"> art. 1 pkt 1</w:t>
      </w:r>
      <w:r w:rsidR="00EB6E09" w:rsidRPr="009918A1">
        <w:rPr>
          <w:rFonts w:ascii="Times" w:hAnsi="Times" w:cs="Times"/>
          <w:b/>
          <w:bCs/>
          <w:sz w:val="24"/>
          <w:szCs w:val="24"/>
        </w:rPr>
        <w:t xml:space="preserve"> lit</w:t>
      </w:r>
      <w:r w:rsidR="00002F5F" w:rsidRPr="009918A1">
        <w:rPr>
          <w:rFonts w:ascii="Times" w:hAnsi="Times" w:cs="Times"/>
          <w:b/>
          <w:bCs/>
          <w:sz w:val="24"/>
          <w:szCs w:val="24"/>
        </w:rPr>
        <w:t>.</w:t>
      </w:r>
      <w:r w:rsidR="00EB6E09" w:rsidRPr="009918A1">
        <w:rPr>
          <w:rFonts w:ascii="Times" w:hAnsi="Times" w:cs="Times"/>
          <w:b/>
          <w:bCs/>
          <w:sz w:val="24"/>
          <w:szCs w:val="24"/>
        </w:rPr>
        <w:t xml:space="preserve"> a </w:t>
      </w:r>
      <w:r w:rsidR="00584C27">
        <w:rPr>
          <w:rFonts w:ascii="Times" w:hAnsi="Times" w:cs="Times"/>
          <w:b/>
          <w:bCs/>
          <w:sz w:val="24"/>
          <w:szCs w:val="24"/>
        </w:rPr>
        <w:t>tiret pierwsze</w:t>
      </w:r>
      <w:r w:rsidR="001128BE">
        <w:rPr>
          <w:rFonts w:ascii="Times" w:hAnsi="Times" w:cs="Times"/>
          <w:b/>
          <w:bCs/>
          <w:sz w:val="24"/>
          <w:szCs w:val="24"/>
        </w:rPr>
        <w:t>,</w:t>
      </w:r>
      <w:r w:rsidR="00EB6E09" w:rsidRPr="009918A1">
        <w:rPr>
          <w:rFonts w:ascii="Times" w:hAnsi="Times" w:cs="Times"/>
          <w:b/>
          <w:bCs/>
          <w:sz w:val="24"/>
          <w:szCs w:val="24"/>
        </w:rPr>
        <w:t xml:space="preserve"> </w:t>
      </w:r>
      <w:r w:rsidR="00584C27">
        <w:rPr>
          <w:rFonts w:ascii="Times" w:hAnsi="Times" w:cs="Times"/>
          <w:b/>
          <w:bCs/>
          <w:sz w:val="24"/>
          <w:szCs w:val="24"/>
        </w:rPr>
        <w:t>lit. b</w:t>
      </w:r>
      <w:r w:rsidR="00EF16B5" w:rsidRPr="009918A1">
        <w:rPr>
          <w:rFonts w:ascii="Times" w:hAnsi="Times" w:cs="Times"/>
          <w:b/>
          <w:bCs/>
          <w:sz w:val="24"/>
          <w:szCs w:val="24"/>
        </w:rPr>
        <w:t xml:space="preserve"> </w:t>
      </w:r>
      <w:r w:rsidR="001128BE">
        <w:rPr>
          <w:rFonts w:ascii="Times" w:hAnsi="Times" w:cs="Times"/>
          <w:b/>
          <w:bCs/>
          <w:sz w:val="24"/>
          <w:szCs w:val="24"/>
        </w:rPr>
        <w:t xml:space="preserve">oraz art. 3 </w:t>
      </w:r>
      <w:r w:rsidR="003A4E27" w:rsidRPr="009918A1">
        <w:rPr>
          <w:rFonts w:ascii="Times" w:hAnsi="Times" w:cs="Times"/>
          <w:b/>
          <w:bCs/>
          <w:sz w:val="24"/>
          <w:szCs w:val="24"/>
        </w:rPr>
        <w:t xml:space="preserve">projektowanej ustawy </w:t>
      </w:r>
    </w:p>
    <w:p w14:paraId="37220243" w14:textId="15C3E985" w:rsidR="00165BC4" w:rsidRPr="00165BC4" w:rsidRDefault="006C6535" w:rsidP="00165BC4">
      <w:pPr>
        <w:spacing w:after="120" w:line="360" w:lineRule="auto"/>
        <w:jc w:val="both"/>
        <w:rPr>
          <w:rFonts w:ascii="Times" w:hAnsi="Times" w:cs="Times"/>
          <w:sz w:val="24"/>
          <w:szCs w:val="24"/>
        </w:rPr>
      </w:pPr>
      <w:r w:rsidRPr="009918A1">
        <w:rPr>
          <w:rFonts w:ascii="Times" w:hAnsi="Times" w:cs="Times"/>
          <w:sz w:val="24"/>
          <w:szCs w:val="24"/>
        </w:rPr>
        <w:t>Ulga na Internet została wprowadzona w 2005 r. w okresie ograniczonego dostępu do usług cyfrowych</w:t>
      </w:r>
      <w:r w:rsidR="00A32F0A" w:rsidRPr="009918A1">
        <w:rPr>
          <w:rFonts w:ascii="Times" w:hAnsi="Times" w:cs="Times"/>
          <w:sz w:val="24"/>
          <w:szCs w:val="24"/>
        </w:rPr>
        <w:t>.</w:t>
      </w:r>
      <w:r w:rsidRPr="009918A1">
        <w:rPr>
          <w:rFonts w:ascii="Times" w:hAnsi="Times" w:cs="Times"/>
          <w:sz w:val="24"/>
          <w:szCs w:val="24"/>
        </w:rPr>
        <w:t xml:space="preserve"> </w:t>
      </w:r>
      <w:r w:rsidR="00DD1EA9" w:rsidRPr="009918A1">
        <w:rPr>
          <w:rFonts w:ascii="Times" w:hAnsi="Times" w:cs="Times"/>
          <w:sz w:val="24"/>
          <w:szCs w:val="24"/>
        </w:rPr>
        <w:t xml:space="preserve">Ulga ta </w:t>
      </w:r>
      <w:r w:rsidRPr="009918A1">
        <w:rPr>
          <w:rFonts w:ascii="Times" w:hAnsi="Times" w:cs="Times"/>
          <w:sz w:val="24"/>
          <w:szCs w:val="24"/>
        </w:rPr>
        <w:t>miała na celu przeciwdziałanie wykluczeniu cyfrowemu oraz upowszechnienie dostępu do sieci internetowej</w:t>
      </w:r>
      <w:r w:rsidR="00165BC4">
        <w:rPr>
          <w:rFonts w:ascii="Times" w:hAnsi="Times" w:cs="Times"/>
          <w:sz w:val="24"/>
          <w:szCs w:val="24"/>
        </w:rPr>
        <w:t xml:space="preserve">, a także zrekompensowanie </w:t>
      </w:r>
      <w:r w:rsidR="00165BC4" w:rsidRPr="00165BC4">
        <w:rPr>
          <w:rFonts w:ascii="Times" w:hAnsi="Times" w:cs="Times"/>
          <w:sz w:val="24"/>
          <w:szCs w:val="24"/>
        </w:rPr>
        <w:t>uchylone</w:t>
      </w:r>
      <w:r w:rsidR="00165BC4">
        <w:rPr>
          <w:rFonts w:ascii="Times" w:hAnsi="Times" w:cs="Times"/>
          <w:sz w:val="24"/>
          <w:szCs w:val="24"/>
        </w:rPr>
        <w:t>go</w:t>
      </w:r>
      <w:r w:rsidR="00165BC4" w:rsidRPr="00165BC4">
        <w:rPr>
          <w:rFonts w:ascii="Times" w:hAnsi="Times" w:cs="Times"/>
          <w:sz w:val="24"/>
          <w:szCs w:val="24"/>
        </w:rPr>
        <w:t xml:space="preserve"> z dniem 1 marca 2005 r. ustawą z dnia </w:t>
      </w:r>
      <w:r w:rsidR="00DB160E">
        <w:rPr>
          <w:rFonts w:ascii="Times" w:hAnsi="Times" w:cs="Times"/>
          <w:sz w:val="24"/>
          <w:szCs w:val="24"/>
        </w:rPr>
        <w:t>1</w:t>
      </w:r>
      <w:r w:rsidR="00165BC4" w:rsidRPr="00165BC4">
        <w:rPr>
          <w:rFonts w:ascii="Times" w:hAnsi="Times" w:cs="Times"/>
          <w:sz w:val="24"/>
          <w:szCs w:val="24"/>
        </w:rPr>
        <w:t>6 grudnia 2004 r. o zmianie ustawy o podatku od towarów i usług oraz ustawy o zasadach ewidencji i identyfikacji podatników i płatników (Dz. U. z 2005 r. poz. 113) zwolnieni</w:t>
      </w:r>
      <w:r w:rsidR="00165BC4">
        <w:rPr>
          <w:rFonts w:ascii="Times" w:hAnsi="Times" w:cs="Times"/>
          <w:sz w:val="24"/>
          <w:szCs w:val="24"/>
        </w:rPr>
        <w:t>a</w:t>
      </w:r>
      <w:r w:rsidR="00165BC4" w:rsidRPr="00165BC4">
        <w:rPr>
          <w:rFonts w:ascii="Times" w:hAnsi="Times" w:cs="Times"/>
          <w:sz w:val="24"/>
          <w:szCs w:val="24"/>
        </w:rPr>
        <w:t xml:space="preserve"> w podatku od towarów i usług na:</w:t>
      </w:r>
    </w:p>
    <w:p w14:paraId="2EBD9FC1" w14:textId="415FBA6E" w:rsidR="00165BC4" w:rsidRPr="000F6D18" w:rsidRDefault="00165BC4" w:rsidP="00AB5B76">
      <w:pPr>
        <w:pStyle w:val="Akapitzlist"/>
        <w:numPr>
          <w:ilvl w:val="0"/>
          <w:numId w:val="17"/>
        </w:numPr>
        <w:spacing w:after="120" w:line="360" w:lineRule="auto"/>
        <w:jc w:val="both"/>
        <w:rPr>
          <w:rFonts w:ascii="Times" w:hAnsi="Times" w:cs="Times"/>
          <w:sz w:val="24"/>
          <w:szCs w:val="24"/>
        </w:rPr>
      </w:pPr>
      <w:r w:rsidRPr="000F6D18">
        <w:rPr>
          <w:rFonts w:ascii="Times" w:hAnsi="Times" w:cs="Times"/>
          <w:sz w:val="24"/>
          <w:szCs w:val="24"/>
        </w:rPr>
        <w:t>usługi transmisji danych i wiadomości świadczon</w:t>
      </w:r>
      <w:r w:rsidR="00DB160E">
        <w:rPr>
          <w:rFonts w:ascii="Times" w:hAnsi="Times" w:cs="Times"/>
          <w:sz w:val="24"/>
          <w:szCs w:val="24"/>
        </w:rPr>
        <w:t>ych</w:t>
      </w:r>
      <w:r w:rsidRPr="00AB5B76">
        <w:rPr>
          <w:rFonts w:ascii="Times" w:hAnsi="Times" w:cs="Times"/>
          <w:sz w:val="24"/>
          <w:szCs w:val="24"/>
        </w:rPr>
        <w:t xml:space="preserve"> </w:t>
      </w:r>
      <w:r w:rsidRPr="000F6D18">
        <w:rPr>
          <w:rFonts w:ascii="Times" w:hAnsi="Times" w:cs="Times"/>
          <w:sz w:val="24"/>
          <w:szCs w:val="24"/>
        </w:rPr>
        <w:t xml:space="preserve">na rzecz uczniów, studentów, szkół zakładów kształcenia nauczycieli, placówek oświatowych, szkół wyższych, wyższych szkół zawodowych i placówek naukowych Polskiej Akademii Nauk oraz na rzecz państwowych i samorządowych instytucji kultury, </w:t>
      </w:r>
    </w:p>
    <w:p w14:paraId="48B3E881" w14:textId="279C0780" w:rsidR="00165BC4" w:rsidRDefault="00165BC4" w:rsidP="00165BC4">
      <w:pPr>
        <w:pStyle w:val="Akapitzlist"/>
        <w:numPr>
          <w:ilvl w:val="0"/>
          <w:numId w:val="17"/>
        </w:numPr>
        <w:spacing w:after="120" w:line="360" w:lineRule="auto"/>
        <w:jc w:val="both"/>
        <w:rPr>
          <w:rFonts w:ascii="Times" w:hAnsi="Times" w:cs="Times"/>
          <w:sz w:val="24"/>
          <w:szCs w:val="24"/>
        </w:rPr>
      </w:pPr>
      <w:r w:rsidRPr="000F6D18">
        <w:rPr>
          <w:rFonts w:ascii="Times" w:hAnsi="Times" w:cs="Times"/>
          <w:sz w:val="24"/>
          <w:szCs w:val="24"/>
        </w:rPr>
        <w:t>usługi na dostęp wdzwaniany i szerokopasmowy do sieci Internet dla użytkowników indywidualnych nieprowadzących działalności gospodarczej na dostęp szerokopasmowy</w:t>
      </w:r>
      <w:r w:rsidR="0020440D" w:rsidRPr="000F6D18">
        <w:rPr>
          <w:rFonts w:ascii="Times" w:hAnsi="Times" w:cs="Times"/>
          <w:sz w:val="24"/>
          <w:szCs w:val="24"/>
        </w:rPr>
        <w:t>.</w:t>
      </w:r>
    </w:p>
    <w:p w14:paraId="2ADA158F" w14:textId="4D8CA891" w:rsidR="00DB160E" w:rsidRPr="000F6D18" w:rsidRDefault="00DB160E" w:rsidP="000F6D18">
      <w:pPr>
        <w:spacing w:after="120" w:line="360" w:lineRule="auto"/>
        <w:jc w:val="both"/>
        <w:rPr>
          <w:rFonts w:ascii="Times" w:hAnsi="Times" w:cs="Times"/>
          <w:sz w:val="24"/>
          <w:szCs w:val="24"/>
        </w:rPr>
      </w:pPr>
      <w:r w:rsidRPr="000F6D18">
        <w:rPr>
          <w:rFonts w:ascii="Times" w:hAnsi="Times" w:cs="Times"/>
          <w:sz w:val="24"/>
          <w:szCs w:val="24"/>
        </w:rPr>
        <w:t>Zatem wprowadzona w 2005 r</w:t>
      </w:r>
      <w:r>
        <w:rPr>
          <w:rFonts w:ascii="Times" w:hAnsi="Times" w:cs="Times"/>
          <w:sz w:val="24"/>
          <w:szCs w:val="24"/>
        </w:rPr>
        <w:t>.</w:t>
      </w:r>
      <w:r w:rsidRPr="000F6D18">
        <w:rPr>
          <w:rFonts w:ascii="Times" w:hAnsi="Times" w:cs="Times"/>
          <w:sz w:val="24"/>
          <w:szCs w:val="24"/>
        </w:rPr>
        <w:t xml:space="preserve"> ulga na Internet miała zrekompensować opodatkowanie usług dostarczania Internetu stawką podstawową (wówczas 22</w:t>
      </w:r>
      <w:r w:rsidR="005C5557">
        <w:rPr>
          <w:rFonts w:ascii="Times" w:hAnsi="Times" w:cs="Times"/>
          <w:sz w:val="24"/>
          <w:szCs w:val="24"/>
        </w:rPr>
        <w:t xml:space="preserve"> </w:t>
      </w:r>
      <w:r w:rsidRPr="000F6D18">
        <w:rPr>
          <w:rFonts w:ascii="Times" w:hAnsi="Times" w:cs="Times"/>
          <w:sz w:val="24"/>
          <w:szCs w:val="24"/>
        </w:rPr>
        <w:t>%) w miejsce istniejącego wówczas zwolnienia.</w:t>
      </w:r>
    </w:p>
    <w:p w14:paraId="7BD447B4" w14:textId="27D87AEA" w:rsidR="00487C09" w:rsidRPr="000F6D18" w:rsidRDefault="00165BC4" w:rsidP="00165BC4">
      <w:pPr>
        <w:spacing w:after="120" w:line="360" w:lineRule="auto"/>
        <w:jc w:val="both"/>
        <w:rPr>
          <w:rFonts w:ascii="Times" w:hAnsi="Times" w:cs="Times"/>
          <w:sz w:val="24"/>
          <w:szCs w:val="24"/>
        </w:rPr>
      </w:pPr>
      <w:r>
        <w:rPr>
          <w:rFonts w:ascii="Times" w:hAnsi="Times" w:cs="Times"/>
          <w:sz w:val="24"/>
          <w:szCs w:val="24"/>
        </w:rPr>
        <w:t>Ulga ta jest</w:t>
      </w:r>
      <w:r w:rsidR="00487C09" w:rsidRPr="000F6D18">
        <w:rPr>
          <w:rFonts w:ascii="Times" w:hAnsi="Times" w:cs="Times"/>
          <w:sz w:val="24"/>
          <w:szCs w:val="24"/>
        </w:rPr>
        <w:t xml:space="preserve"> skierowana do podatników podatku PIT, rozliczających podatek według skali podatkowej lub ryczałtem od przychodów ewidencjonowanych. Podatnicy mogą odliczać od dochodu (przychodu) wydatki z tytułu użytkowania sieci Internet do wysokości limitu 760 zł rocznie. Od rozliczenia podatku PIT za 2013 r. z ulgi tej podatnicy mogą korzystać wyłącznie przez dwa kolejne lata podatkowe.</w:t>
      </w:r>
    </w:p>
    <w:p w14:paraId="7853391E" w14:textId="282BA55C" w:rsidR="003A4E27" w:rsidRPr="009918A1" w:rsidRDefault="006C6535" w:rsidP="001E2456">
      <w:pPr>
        <w:spacing w:after="120" w:line="360" w:lineRule="auto"/>
        <w:jc w:val="both"/>
        <w:rPr>
          <w:rFonts w:ascii="Times" w:hAnsi="Times" w:cs="Times"/>
          <w:sz w:val="24"/>
          <w:szCs w:val="24"/>
        </w:rPr>
      </w:pPr>
      <w:r w:rsidRPr="009918A1">
        <w:rPr>
          <w:rFonts w:ascii="Times" w:hAnsi="Times" w:cs="Times"/>
          <w:sz w:val="24"/>
          <w:szCs w:val="24"/>
        </w:rPr>
        <w:t>Obecnie dostęp do Internetu ma charakter powszechny. Potwierdza to informacja sygnalna z 21.10.2025 r. z Głównego Urzędu Statystycznego</w:t>
      </w:r>
      <w:r w:rsidR="005C5557">
        <w:rPr>
          <w:rFonts w:ascii="Times" w:hAnsi="Times" w:cs="Times"/>
          <w:sz w:val="24"/>
          <w:szCs w:val="24"/>
        </w:rPr>
        <w:t>,</w:t>
      </w:r>
      <w:r w:rsidRPr="009918A1">
        <w:rPr>
          <w:rFonts w:ascii="Times" w:hAnsi="Times" w:cs="Times"/>
          <w:sz w:val="24"/>
          <w:szCs w:val="24"/>
        </w:rPr>
        <w:t xml:space="preserve"> z której wynika, że w 2025 r. dostęp do Internetu posiadało aż 96,2</w:t>
      </w:r>
      <w:r w:rsidR="005C5557">
        <w:rPr>
          <w:rFonts w:ascii="Times" w:hAnsi="Times" w:cs="Times"/>
          <w:sz w:val="24"/>
          <w:szCs w:val="24"/>
        </w:rPr>
        <w:t xml:space="preserve"> </w:t>
      </w:r>
      <w:r w:rsidRPr="009918A1">
        <w:rPr>
          <w:rFonts w:ascii="Times" w:hAnsi="Times" w:cs="Times"/>
          <w:sz w:val="24"/>
          <w:szCs w:val="24"/>
        </w:rPr>
        <w:t>% gospodarstw domowych</w:t>
      </w:r>
      <w:r w:rsidR="00A32F0A" w:rsidRPr="009918A1">
        <w:rPr>
          <w:rStyle w:val="Odwoanieprzypisudolnego"/>
          <w:rFonts w:ascii="Times" w:hAnsi="Times" w:cs="Times"/>
          <w:sz w:val="24"/>
          <w:szCs w:val="24"/>
        </w:rPr>
        <w:footnoteReference w:id="1"/>
      </w:r>
      <w:r w:rsidR="00A32F0A" w:rsidRPr="009918A1">
        <w:rPr>
          <w:rFonts w:ascii="Times" w:hAnsi="Times" w:cs="Times"/>
          <w:sz w:val="24"/>
          <w:szCs w:val="24"/>
        </w:rPr>
        <w:t>.</w:t>
      </w:r>
    </w:p>
    <w:p w14:paraId="321273C9" w14:textId="06B02A5E" w:rsidR="005B7127" w:rsidRPr="009918A1" w:rsidRDefault="006C6535" w:rsidP="001E2456">
      <w:pPr>
        <w:spacing w:after="120" w:line="360" w:lineRule="auto"/>
        <w:jc w:val="both"/>
        <w:rPr>
          <w:rFonts w:ascii="Times" w:hAnsi="Times" w:cs="Times"/>
          <w:sz w:val="24"/>
          <w:szCs w:val="24"/>
        </w:rPr>
      </w:pPr>
      <w:r w:rsidRPr="009918A1">
        <w:rPr>
          <w:rFonts w:ascii="Times" w:hAnsi="Times" w:cs="Times"/>
          <w:sz w:val="24"/>
          <w:szCs w:val="24"/>
        </w:rPr>
        <w:lastRenderedPageBreak/>
        <w:t xml:space="preserve">Wobec powyższego, w obecnych uwarunkowaniach, ulga ta utraciła swoje pierwotne uzasadnienie, a jej dalsze funkcjonowanie nie przyczynia się do realizacji zakładanych celów. Obecnie konstrukcja tej ulgi stwarza </w:t>
      </w:r>
      <w:r w:rsidR="00002F5F" w:rsidRPr="009918A1">
        <w:rPr>
          <w:rFonts w:ascii="Times" w:hAnsi="Times" w:cs="Times"/>
          <w:sz w:val="24"/>
          <w:szCs w:val="24"/>
        </w:rPr>
        <w:t xml:space="preserve">możliwość </w:t>
      </w:r>
      <w:r w:rsidRPr="009918A1">
        <w:rPr>
          <w:rFonts w:ascii="Times" w:hAnsi="Times" w:cs="Times"/>
          <w:sz w:val="24"/>
          <w:szCs w:val="24"/>
        </w:rPr>
        <w:t>jej wykorzystywania w sposób wykraczający poza intencje ustawodawcy. Jej utrzymywanie nie realizuje już celu stymulowania cyfryzacji społeczeństwa, a jednocześnie powoduje uszczuplenie dochodów budżetu państwa.</w:t>
      </w:r>
    </w:p>
    <w:p w14:paraId="4FFD8F44" w14:textId="3E032CCE" w:rsidR="006C6535" w:rsidRPr="009918A1" w:rsidRDefault="00584C27" w:rsidP="001E2456">
      <w:pPr>
        <w:spacing w:after="120" w:line="360" w:lineRule="auto"/>
        <w:jc w:val="both"/>
        <w:rPr>
          <w:rFonts w:ascii="Times" w:hAnsi="Times" w:cs="Times"/>
          <w:sz w:val="24"/>
          <w:szCs w:val="24"/>
        </w:rPr>
      </w:pPr>
      <w:r>
        <w:rPr>
          <w:rFonts w:ascii="Times" w:hAnsi="Times" w:cs="Times"/>
          <w:sz w:val="24"/>
          <w:szCs w:val="24"/>
        </w:rPr>
        <w:t>Z uwagi na obowiązujący obecnie w ustawie o PIT dwuletni maksymalny okres korzystania z odliczenia p</w:t>
      </w:r>
      <w:r w:rsidRPr="009918A1">
        <w:rPr>
          <w:rFonts w:ascii="Times" w:hAnsi="Times" w:cs="Times"/>
          <w:sz w:val="24"/>
          <w:szCs w:val="24"/>
        </w:rPr>
        <w:t>rojekt</w:t>
      </w:r>
      <w:r w:rsidR="0060492B" w:rsidRPr="009918A1">
        <w:rPr>
          <w:rFonts w:ascii="Times" w:hAnsi="Times" w:cs="Times"/>
          <w:sz w:val="24"/>
          <w:szCs w:val="24"/>
        </w:rPr>
        <w:t xml:space="preserve"> przewiduje likwidację </w:t>
      </w:r>
      <w:r w:rsidR="00487C09" w:rsidRPr="009918A1">
        <w:rPr>
          <w:rFonts w:ascii="Times" w:hAnsi="Times" w:cs="Times"/>
          <w:sz w:val="24"/>
          <w:szCs w:val="24"/>
        </w:rPr>
        <w:t>tej ulgi</w:t>
      </w:r>
      <w:r w:rsidR="0060492B" w:rsidRPr="009918A1">
        <w:rPr>
          <w:rFonts w:ascii="Times" w:hAnsi="Times" w:cs="Times"/>
          <w:sz w:val="24"/>
          <w:szCs w:val="24"/>
        </w:rPr>
        <w:t xml:space="preserve"> z zachowaniem rocznych praw nabytych dla osób, które po raz pierwszy skorzysta</w:t>
      </w:r>
      <w:r w:rsidR="003A4E27" w:rsidRPr="009918A1">
        <w:rPr>
          <w:rFonts w:ascii="Times" w:hAnsi="Times" w:cs="Times"/>
          <w:sz w:val="24"/>
          <w:szCs w:val="24"/>
        </w:rPr>
        <w:t>ją</w:t>
      </w:r>
      <w:r w:rsidR="0060492B" w:rsidRPr="009918A1">
        <w:rPr>
          <w:rFonts w:ascii="Times" w:hAnsi="Times" w:cs="Times"/>
          <w:sz w:val="24"/>
          <w:szCs w:val="24"/>
        </w:rPr>
        <w:t xml:space="preserve"> z tego odliczenia w rozliczeniu podatku PIT za rok poprzedzający rok wejścia w życie projektowanej ustawy</w:t>
      </w:r>
      <w:r>
        <w:rPr>
          <w:rFonts w:ascii="Times" w:hAnsi="Times" w:cs="Times"/>
          <w:sz w:val="24"/>
          <w:szCs w:val="24"/>
        </w:rPr>
        <w:t xml:space="preserve"> (dla zachowania dwuletniego okresu korzystania z ulgi)</w:t>
      </w:r>
      <w:r w:rsidR="00002F5F" w:rsidRPr="009918A1">
        <w:rPr>
          <w:rFonts w:ascii="Times" w:hAnsi="Times" w:cs="Times"/>
          <w:sz w:val="24"/>
          <w:szCs w:val="24"/>
        </w:rPr>
        <w:t>.</w:t>
      </w:r>
    </w:p>
    <w:p w14:paraId="4A067ACC" w14:textId="4C98C64C" w:rsidR="00055AAD" w:rsidRPr="009918A1" w:rsidRDefault="00055AAD" w:rsidP="001E2456">
      <w:pPr>
        <w:spacing w:after="120" w:line="360" w:lineRule="auto"/>
        <w:jc w:val="both"/>
        <w:rPr>
          <w:rFonts w:ascii="Times" w:hAnsi="Times" w:cs="Times"/>
          <w:sz w:val="24"/>
          <w:szCs w:val="24"/>
        </w:rPr>
      </w:pPr>
      <w:r w:rsidRPr="009918A1">
        <w:rPr>
          <w:rFonts w:ascii="Times" w:hAnsi="Times" w:cs="Times"/>
          <w:sz w:val="24"/>
          <w:szCs w:val="24"/>
        </w:rPr>
        <w:t xml:space="preserve">Odpowiednie zmiany o charakterze dostosowawczym zostały wprowadzone również w ustawie o ryczałcie (art. 11 ust. 1 </w:t>
      </w:r>
      <w:r w:rsidR="003A74EE" w:rsidRPr="009918A1">
        <w:rPr>
          <w:rFonts w:ascii="Times" w:hAnsi="Times" w:cs="Times"/>
          <w:sz w:val="24"/>
          <w:szCs w:val="24"/>
        </w:rPr>
        <w:t xml:space="preserve">i 2 </w:t>
      </w:r>
      <w:r w:rsidRPr="009918A1">
        <w:rPr>
          <w:rFonts w:ascii="Times" w:hAnsi="Times" w:cs="Times"/>
          <w:sz w:val="24"/>
          <w:szCs w:val="24"/>
        </w:rPr>
        <w:t>ustawy o ryczałcie).</w:t>
      </w:r>
      <w:r w:rsidR="00093BB9" w:rsidRPr="009918A1">
        <w:rPr>
          <w:rFonts w:ascii="Times" w:hAnsi="Times" w:cs="Times"/>
          <w:sz w:val="24"/>
          <w:szCs w:val="24"/>
        </w:rPr>
        <w:t xml:space="preserve"> Również podatnicy korzystający z</w:t>
      </w:r>
      <w:r w:rsidR="00A43D54" w:rsidRPr="009918A1">
        <w:rPr>
          <w:rFonts w:ascii="Times" w:hAnsi="Times" w:cs="Times"/>
          <w:sz w:val="24"/>
          <w:szCs w:val="24"/>
        </w:rPr>
        <w:t> </w:t>
      </w:r>
      <w:r w:rsidR="00093BB9" w:rsidRPr="009918A1">
        <w:rPr>
          <w:rFonts w:ascii="Times" w:hAnsi="Times" w:cs="Times"/>
          <w:sz w:val="24"/>
          <w:szCs w:val="24"/>
        </w:rPr>
        <w:t>opodatkowania ryczałtem od przychodów ewidencjonowanych zachowają prawa nabyte do tej ulgi.</w:t>
      </w:r>
    </w:p>
    <w:p w14:paraId="62B880FE" w14:textId="3929EC3E" w:rsidR="00380F11" w:rsidRPr="005D015D" w:rsidRDefault="00380F11" w:rsidP="005D015D">
      <w:pPr>
        <w:pStyle w:val="Akapitzlist"/>
        <w:numPr>
          <w:ilvl w:val="0"/>
          <w:numId w:val="14"/>
        </w:numPr>
        <w:spacing w:after="120" w:line="360" w:lineRule="auto"/>
        <w:jc w:val="both"/>
        <w:rPr>
          <w:rFonts w:ascii="Times" w:hAnsi="Times" w:cs="Times"/>
          <w:sz w:val="24"/>
          <w:szCs w:val="24"/>
        </w:rPr>
      </w:pPr>
      <w:r w:rsidRPr="005D015D">
        <w:rPr>
          <w:rFonts w:ascii="Times" w:hAnsi="Times" w:cs="Times"/>
          <w:sz w:val="24"/>
          <w:szCs w:val="24"/>
        </w:rPr>
        <w:t xml:space="preserve">Zwiększenie limitu odliczenia ulgi podatkowej z tytułu krwiodawstwa </w:t>
      </w:r>
      <w:r w:rsidR="00EB6E09" w:rsidRPr="005D015D">
        <w:rPr>
          <w:rFonts w:ascii="Times" w:hAnsi="Times" w:cs="Times"/>
          <w:sz w:val="24"/>
          <w:szCs w:val="24"/>
        </w:rPr>
        <w:t xml:space="preserve">- </w:t>
      </w:r>
      <w:r w:rsidRPr="005D015D">
        <w:rPr>
          <w:rFonts w:ascii="Times" w:hAnsi="Times" w:cs="Times"/>
          <w:sz w:val="24"/>
          <w:szCs w:val="24"/>
        </w:rPr>
        <w:t xml:space="preserve">art. 26 ust. 1 pkt 9 lit. c ustawy </w:t>
      </w:r>
      <w:r w:rsidR="009C24CA">
        <w:rPr>
          <w:rFonts w:ascii="Times" w:hAnsi="Times" w:cs="Times"/>
          <w:sz w:val="24"/>
          <w:szCs w:val="24"/>
        </w:rPr>
        <w:t xml:space="preserve">o </w:t>
      </w:r>
      <w:r w:rsidRPr="005D015D">
        <w:rPr>
          <w:rFonts w:ascii="Times" w:hAnsi="Times" w:cs="Times"/>
          <w:sz w:val="24"/>
          <w:szCs w:val="24"/>
        </w:rPr>
        <w:t>PIT</w:t>
      </w:r>
      <w:r w:rsidR="00EB6E09" w:rsidRPr="005D015D">
        <w:rPr>
          <w:rFonts w:ascii="Times" w:hAnsi="Times" w:cs="Times"/>
          <w:sz w:val="24"/>
          <w:szCs w:val="24"/>
        </w:rPr>
        <w:t xml:space="preserve"> </w:t>
      </w:r>
      <w:r w:rsidR="00EB6E09" w:rsidRPr="005D015D">
        <w:rPr>
          <w:rFonts w:ascii="Times" w:hAnsi="Times" w:cs="Times"/>
          <w:b/>
          <w:bCs/>
          <w:sz w:val="24"/>
          <w:szCs w:val="24"/>
        </w:rPr>
        <w:t xml:space="preserve">- art. 1 </w:t>
      </w:r>
      <w:r w:rsidR="00AB5B76">
        <w:rPr>
          <w:rFonts w:ascii="Times" w:hAnsi="Times" w:cs="Times"/>
          <w:b/>
          <w:bCs/>
          <w:sz w:val="24"/>
          <w:szCs w:val="24"/>
        </w:rPr>
        <w:t>pkt</w:t>
      </w:r>
      <w:r w:rsidR="00EB6E09" w:rsidRPr="005D015D">
        <w:rPr>
          <w:rFonts w:ascii="Times" w:hAnsi="Times" w:cs="Times"/>
          <w:b/>
          <w:bCs/>
          <w:sz w:val="24"/>
          <w:szCs w:val="24"/>
        </w:rPr>
        <w:t xml:space="preserve"> 1 lit</w:t>
      </w:r>
      <w:r w:rsidR="00002F5F">
        <w:rPr>
          <w:rFonts w:ascii="Times" w:hAnsi="Times" w:cs="Times"/>
          <w:b/>
          <w:bCs/>
          <w:sz w:val="24"/>
          <w:szCs w:val="24"/>
        </w:rPr>
        <w:t>.</w:t>
      </w:r>
      <w:r w:rsidR="00EB6E09" w:rsidRPr="005D015D">
        <w:rPr>
          <w:rFonts w:ascii="Times" w:hAnsi="Times" w:cs="Times"/>
          <w:b/>
          <w:bCs/>
          <w:sz w:val="24"/>
          <w:szCs w:val="24"/>
        </w:rPr>
        <w:t xml:space="preserve"> </w:t>
      </w:r>
      <w:r w:rsidR="00584C27">
        <w:rPr>
          <w:rFonts w:ascii="Times" w:hAnsi="Times" w:cs="Times"/>
          <w:b/>
          <w:bCs/>
          <w:sz w:val="24"/>
          <w:szCs w:val="24"/>
        </w:rPr>
        <w:t>a tiret drugie</w:t>
      </w:r>
      <w:r w:rsidR="00584C27" w:rsidRPr="005D015D">
        <w:rPr>
          <w:rFonts w:ascii="Times" w:hAnsi="Times" w:cs="Times"/>
          <w:b/>
          <w:bCs/>
          <w:sz w:val="24"/>
          <w:szCs w:val="24"/>
        </w:rPr>
        <w:t xml:space="preserve"> </w:t>
      </w:r>
      <w:r w:rsidR="00EB6E09" w:rsidRPr="005D015D">
        <w:rPr>
          <w:rFonts w:ascii="Times" w:hAnsi="Times" w:cs="Times"/>
          <w:b/>
          <w:bCs/>
          <w:sz w:val="24"/>
          <w:szCs w:val="24"/>
        </w:rPr>
        <w:t>projektowanej ustawy</w:t>
      </w:r>
      <w:r w:rsidRPr="005D015D">
        <w:rPr>
          <w:rFonts w:ascii="Times" w:hAnsi="Times" w:cs="Times"/>
          <w:b/>
          <w:bCs/>
          <w:sz w:val="24"/>
          <w:szCs w:val="24"/>
        </w:rPr>
        <w:t>.</w:t>
      </w:r>
    </w:p>
    <w:p w14:paraId="0CC3AB36" w14:textId="36675BD0" w:rsidR="00380F11" w:rsidRPr="00380F11" w:rsidRDefault="00380F11" w:rsidP="00380F11">
      <w:pPr>
        <w:spacing w:after="120" w:line="360" w:lineRule="auto"/>
        <w:jc w:val="both"/>
        <w:rPr>
          <w:rFonts w:ascii="Times" w:hAnsi="Times" w:cs="Times"/>
          <w:sz w:val="24"/>
          <w:szCs w:val="24"/>
        </w:rPr>
      </w:pPr>
      <w:r>
        <w:rPr>
          <w:rFonts w:ascii="Times" w:hAnsi="Times" w:cs="Times"/>
          <w:sz w:val="24"/>
          <w:szCs w:val="24"/>
        </w:rPr>
        <w:t>Obecnie</w:t>
      </w:r>
      <w:r w:rsidR="009918A1">
        <w:rPr>
          <w:rFonts w:ascii="Times" w:hAnsi="Times" w:cs="Times"/>
          <w:sz w:val="24"/>
          <w:szCs w:val="24"/>
        </w:rPr>
        <w:t>,</w:t>
      </w:r>
      <w:r w:rsidRPr="00380F11">
        <w:rPr>
          <w:rFonts w:ascii="Times" w:hAnsi="Times" w:cs="Times"/>
          <w:sz w:val="24"/>
          <w:szCs w:val="24"/>
        </w:rPr>
        <w:t xml:space="preserve"> podatnik będący honorowym dawcą krwi ma prawo do odliczenia od podstawy opodatkowania kwot darowizn przekazanych na cele krwiodawstwa realizowanego przez honorowych dawców krwi na podstawie ustawy z dnia 22 sierpnia 1997 r. o publicznej służbie krwi (Dz.</w:t>
      </w:r>
      <w:r w:rsidR="00002F5F">
        <w:rPr>
          <w:rFonts w:ascii="Times" w:hAnsi="Times" w:cs="Times"/>
          <w:sz w:val="24"/>
          <w:szCs w:val="24"/>
        </w:rPr>
        <w:t xml:space="preserve"> </w:t>
      </w:r>
      <w:r w:rsidRPr="00380F11">
        <w:rPr>
          <w:rFonts w:ascii="Times" w:hAnsi="Times" w:cs="Times"/>
          <w:sz w:val="24"/>
          <w:szCs w:val="24"/>
        </w:rPr>
        <w:t xml:space="preserve">U. z 2024 r. poz. 1782). Kwotę odliczenia oblicza się, mnożąc litry oddanej krwi lub jej składników przez kwotę rekompensaty określonej przepisami wydanymi na podstawie art. 11 ust. 2 ustawy </w:t>
      </w:r>
      <w:r w:rsidR="005C5557" w:rsidRPr="00380F11">
        <w:rPr>
          <w:rFonts w:ascii="Times" w:hAnsi="Times" w:cs="Times"/>
          <w:sz w:val="24"/>
          <w:szCs w:val="24"/>
        </w:rPr>
        <w:t xml:space="preserve">z dnia 22 sierpnia 1997 r. </w:t>
      </w:r>
      <w:r w:rsidRPr="00380F11">
        <w:rPr>
          <w:rFonts w:ascii="Times" w:hAnsi="Times" w:cs="Times"/>
          <w:sz w:val="24"/>
          <w:szCs w:val="24"/>
        </w:rPr>
        <w:t xml:space="preserve">o publicznej służbie krwi. Obecnie kwota ta wynosi 130 zł. </w:t>
      </w:r>
    </w:p>
    <w:p w14:paraId="498C0178" w14:textId="363A0677" w:rsidR="00380F11" w:rsidRPr="00380F11" w:rsidRDefault="00380F11" w:rsidP="00380F11">
      <w:pPr>
        <w:spacing w:after="120" w:line="360" w:lineRule="auto"/>
        <w:jc w:val="both"/>
        <w:rPr>
          <w:rFonts w:ascii="Times" w:hAnsi="Times" w:cs="Times"/>
          <w:sz w:val="24"/>
          <w:szCs w:val="24"/>
        </w:rPr>
      </w:pPr>
      <w:r>
        <w:rPr>
          <w:rFonts w:ascii="Times" w:hAnsi="Times" w:cs="Times"/>
          <w:sz w:val="24"/>
          <w:szCs w:val="24"/>
        </w:rPr>
        <w:t>T</w:t>
      </w:r>
      <w:r w:rsidRPr="00380F11">
        <w:rPr>
          <w:rFonts w:ascii="Times" w:hAnsi="Times" w:cs="Times"/>
          <w:sz w:val="24"/>
          <w:szCs w:val="24"/>
        </w:rPr>
        <w:t>ak ustalona wartość darowizny podlega odliczeniu od dochodu opodatkowanego skalą podatkową lub od przychodu opodatkowanego ryczałtem od przychodów ewidencjonowanych, przy czym odliczenie nie może przekroczyć odpowiednio 6</w:t>
      </w:r>
      <w:r w:rsidR="005C5557">
        <w:rPr>
          <w:rFonts w:ascii="Times" w:hAnsi="Times" w:cs="Times"/>
          <w:sz w:val="24"/>
          <w:szCs w:val="24"/>
        </w:rPr>
        <w:t xml:space="preserve"> </w:t>
      </w:r>
      <w:r w:rsidRPr="00380F11">
        <w:rPr>
          <w:rFonts w:ascii="Times" w:hAnsi="Times" w:cs="Times"/>
          <w:sz w:val="24"/>
          <w:szCs w:val="24"/>
        </w:rPr>
        <w:t>% rocznego dochodu (przychodu).</w:t>
      </w:r>
    </w:p>
    <w:p w14:paraId="1B21440B" w14:textId="12829C3F" w:rsidR="00380F11" w:rsidRPr="00380F11" w:rsidRDefault="00380F11" w:rsidP="00380F11">
      <w:pPr>
        <w:spacing w:after="120" w:line="360" w:lineRule="auto"/>
        <w:jc w:val="both"/>
        <w:rPr>
          <w:rFonts w:ascii="Times" w:hAnsi="Times" w:cs="Times"/>
          <w:sz w:val="24"/>
          <w:szCs w:val="24"/>
        </w:rPr>
      </w:pPr>
      <w:r w:rsidRPr="00380F11">
        <w:rPr>
          <w:rFonts w:ascii="Times" w:hAnsi="Times" w:cs="Times"/>
          <w:sz w:val="24"/>
          <w:szCs w:val="24"/>
        </w:rPr>
        <w:t>Wysokość darowizny przekazanej na cele honorowego krwiodawstwa ustala się zgodnie z art. 26 ust. 7 pkt 3 ustawy</w:t>
      </w:r>
      <w:r w:rsidR="00A32F0A">
        <w:rPr>
          <w:rFonts w:ascii="Times" w:hAnsi="Times" w:cs="Times"/>
          <w:sz w:val="24"/>
          <w:szCs w:val="24"/>
        </w:rPr>
        <w:t xml:space="preserve"> o</w:t>
      </w:r>
      <w:r w:rsidRPr="00380F11">
        <w:rPr>
          <w:rFonts w:ascii="Times" w:hAnsi="Times" w:cs="Times"/>
          <w:sz w:val="24"/>
          <w:szCs w:val="24"/>
        </w:rPr>
        <w:t xml:space="preserve"> PIT, tj. na podstawie zaświadczenia jednostki organizacyjnej realizującej zadania w zakresie pobierania krwi o ilości bezpłatnie oddanej krwi lub jej składników przez krwiodawcę.</w:t>
      </w:r>
    </w:p>
    <w:p w14:paraId="663C1F9A" w14:textId="2A08D027" w:rsidR="00380F11" w:rsidRPr="00380F11" w:rsidRDefault="00380F11" w:rsidP="00380F11">
      <w:pPr>
        <w:spacing w:after="120" w:line="360" w:lineRule="auto"/>
        <w:jc w:val="both"/>
        <w:rPr>
          <w:rFonts w:ascii="Times" w:hAnsi="Times" w:cs="Times"/>
          <w:sz w:val="24"/>
          <w:szCs w:val="24"/>
        </w:rPr>
      </w:pPr>
      <w:r w:rsidRPr="00380F11">
        <w:rPr>
          <w:rFonts w:ascii="Times" w:hAnsi="Times" w:cs="Times"/>
          <w:sz w:val="24"/>
          <w:szCs w:val="24"/>
        </w:rPr>
        <w:t xml:space="preserve">Obliczając dla celów rocznego rozliczenia podatkowego wartość honorowo oddanej krwi, podatnik posiłkuje się obiektywnym wskaźnikiem określonym nie w przepisach podatkowych, </w:t>
      </w:r>
      <w:r w:rsidRPr="00380F11">
        <w:rPr>
          <w:rFonts w:ascii="Times" w:hAnsi="Times" w:cs="Times"/>
          <w:sz w:val="24"/>
          <w:szCs w:val="24"/>
        </w:rPr>
        <w:lastRenderedPageBreak/>
        <w:t>a w przepisach właściwych dla danej dziedziny, tj. w rozporządzeniu Ministra Zdrowia z dnia 6 lutego 2017 r. w sprawie określenia rzadkich grup krwi, rodzajów osocza i surowic diagnostycznych, których uzyskanie wymaga przed pobraniem krwi lub jej składników wykonania zabiegu uodpornienia dawcy lub innych zabiegów, oraz wysokości rekompensaty</w:t>
      </w:r>
      <w:r w:rsidR="005C5557">
        <w:rPr>
          <w:rFonts w:ascii="Times" w:hAnsi="Times" w:cs="Times"/>
          <w:sz w:val="24"/>
          <w:szCs w:val="24"/>
        </w:rPr>
        <w:t xml:space="preserve"> </w:t>
      </w:r>
      <w:r w:rsidR="005C5557" w:rsidRPr="00380F11">
        <w:rPr>
          <w:rFonts w:ascii="Times" w:hAnsi="Times" w:cs="Times"/>
          <w:sz w:val="24"/>
          <w:szCs w:val="24"/>
        </w:rPr>
        <w:t>(Dz.</w:t>
      </w:r>
      <w:r w:rsidR="005C5557">
        <w:rPr>
          <w:rFonts w:ascii="Times" w:hAnsi="Times" w:cs="Times"/>
          <w:sz w:val="24"/>
          <w:szCs w:val="24"/>
        </w:rPr>
        <w:t xml:space="preserve"> </w:t>
      </w:r>
      <w:r w:rsidR="005C5557" w:rsidRPr="00380F11">
        <w:rPr>
          <w:rFonts w:ascii="Times" w:hAnsi="Times" w:cs="Times"/>
          <w:sz w:val="24"/>
          <w:szCs w:val="24"/>
        </w:rPr>
        <w:t>U. z 2025 r. poz. 196)</w:t>
      </w:r>
      <w:r w:rsidRPr="00380F11">
        <w:rPr>
          <w:rFonts w:ascii="Times" w:hAnsi="Times" w:cs="Times"/>
          <w:sz w:val="24"/>
          <w:szCs w:val="24"/>
        </w:rPr>
        <w:t>.</w:t>
      </w:r>
      <w:r w:rsidR="002F6C0D" w:rsidRPr="00380F11" w:rsidDel="002F6C0D">
        <w:rPr>
          <w:rFonts w:ascii="Times" w:hAnsi="Times" w:cs="Times"/>
          <w:sz w:val="24"/>
          <w:szCs w:val="24"/>
        </w:rPr>
        <w:t xml:space="preserve"> </w:t>
      </w:r>
    </w:p>
    <w:p w14:paraId="2B954D55" w14:textId="2D73765E" w:rsidR="00380F11" w:rsidRPr="00380F11" w:rsidRDefault="00002F5F" w:rsidP="00380F11">
      <w:pPr>
        <w:spacing w:after="120" w:line="360" w:lineRule="auto"/>
        <w:jc w:val="both"/>
        <w:rPr>
          <w:rFonts w:ascii="Times" w:hAnsi="Times" w:cs="Times"/>
          <w:sz w:val="24"/>
          <w:szCs w:val="24"/>
        </w:rPr>
      </w:pPr>
      <w:r>
        <w:rPr>
          <w:rFonts w:ascii="Times" w:hAnsi="Times" w:cs="Times"/>
          <w:sz w:val="24"/>
          <w:szCs w:val="24"/>
        </w:rPr>
        <w:t>Z</w:t>
      </w:r>
      <w:r w:rsidRPr="00380F11">
        <w:rPr>
          <w:rFonts w:ascii="Times" w:hAnsi="Times" w:cs="Times"/>
          <w:sz w:val="24"/>
          <w:szCs w:val="24"/>
        </w:rPr>
        <w:t xml:space="preserve">większenie </w:t>
      </w:r>
      <w:r w:rsidR="00380F11" w:rsidRPr="00380F11">
        <w:rPr>
          <w:rFonts w:ascii="Times" w:hAnsi="Times" w:cs="Times"/>
          <w:sz w:val="24"/>
          <w:szCs w:val="24"/>
        </w:rPr>
        <w:t xml:space="preserve">ulgi podatkowej z tytułu krwiodawstwa poprzez podwyższenie </w:t>
      </w:r>
      <w:r w:rsidR="004422F8">
        <w:rPr>
          <w:rFonts w:ascii="Times" w:hAnsi="Times" w:cs="Times"/>
          <w:sz w:val="24"/>
          <w:szCs w:val="24"/>
        </w:rPr>
        <w:t>o 100</w:t>
      </w:r>
      <w:r w:rsidR="005C5557">
        <w:rPr>
          <w:rFonts w:ascii="Times" w:hAnsi="Times" w:cs="Times"/>
          <w:sz w:val="24"/>
          <w:szCs w:val="24"/>
        </w:rPr>
        <w:t xml:space="preserve"> </w:t>
      </w:r>
      <w:r w:rsidR="004422F8">
        <w:rPr>
          <w:rFonts w:ascii="Times" w:hAnsi="Times" w:cs="Times"/>
          <w:sz w:val="24"/>
          <w:szCs w:val="24"/>
        </w:rPr>
        <w:t xml:space="preserve">% </w:t>
      </w:r>
      <w:r w:rsidR="00380F11" w:rsidRPr="00380F11">
        <w:rPr>
          <w:rFonts w:ascii="Times" w:hAnsi="Times" w:cs="Times"/>
          <w:sz w:val="24"/>
          <w:szCs w:val="24"/>
        </w:rPr>
        <w:t>wysokości odliczenia za oddaną krew i jej składniki stanowi instrument wsparcia tej działalności poprzez wzmocnienie motywacji oraz aktywności dawców do oddawania krwi. Preferencja ta pełni nie tylko funkcję fiskalną, lecz także społeczną, wyrażając uznanie państwa dla osób angażujących się w działania na rzecz ochrony zdrowia i życia.</w:t>
      </w:r>
    </w:p>
    <w:p w14:paraId="41147E69" w14:textId="24BED809" w:rsidR="00380F11" w:rsidRDefault="00380F11" w:rsidP="00380F11">
      <w:pPr>
        <w:spacing w:after="120" w:line="360" w:lineRule="auto"/>
        <w:jc w:val="both"/>
        <w:rPr>
          <w:rFonts w:ascii="Times" w:hAnsi="Times" w:cs="Times"/>
          <w:sz w:val="24"/>
          <w:szCs w:val="24"/>
        </w:rPr>
      </w:pPr>
      <w:r w:rsidRPr="00380F11">
        <w:rPr>
          <w:rFonts w:ascii="Times" w:hAnsi="Times" w:cs="Times"/>
          <w:sz w:val="24"/>
          <w:szCs w:val="24"/>
        </w:rPr>
        <w:t>Wprowadzenie proponowanego rozwiązania może przyczynić się do zwiększenia liczby honorowych dawców krwi oraz ilości oddawanej krwi i jej składników, co w konsekwencji wpłynie na poprawę bezpieczeństwa zdrowotnego obywateli.</w:t>
      </w:r>
    </w:p>
    <w:p w14:paraId="734D7013" w14:textId="0B7D8FB1" w:rsidR="0052442D" w:rsidRPr="000F6D18" w:rsidRDefault="0052442D" w:rsidP="000F6D18">
      <w:pPr>
        <w:pStyle w:val="Akapitzlist"/>
        <w:numPr>
          <w:ilvl w:val="0"/>
          <w:numId w:val="14"/>
        </w:numPr>
        <w:spacing w:after="120" w:line="360" w:lineRule="auto"/>
        <w:jc w:val="both"/>
        <w:rPr>
          <w:rFonts w:ascii="Times New Roman" w:hAnsi="Times New Roman"/>
          <w:sz w:val="24"/>
          <w:szCs w:val="24"/>
        </w:rPr>
      </w:pPr>
      <w:r w:rsidRPr="000F6D18">
        <w:rPr>
          <w:rFonts w:ascii="Times New Roman" w:hAnsi="Times New Roman"/>
          <w:sz w:val="24"/>
          <w:szCs w:val="24"/>
        </w:rPr>
        <w:t xml:space="preserve">Uchylenie przepisów </w:t>
      </w:r>
      <w:r w:rsidRPr="008711CB">
        <w:rPr>
          <w:rFonts w:ascii="Times New Roman" w:hAnsi="Times New Roman"/>
          <w:sz w:val="24"/>
          <w:szCs w:val="24"/>
        </w:rPr>
        <w:t>regulujących tzw. ulgę na ekspansję</w:t>
      </w:r>
      <w:r w:rsidR="004422F8" w:rsidRPr="009C24CA">
        <w:rPr>
          <w:rFonts w:ascii="Times New Roman" w:hAnsi="Times New Roman"/>
          <w:sz w:val="24"/>
          <w:szCs w:val="24"/>
        </w:rPr>
        <w:t xml:space="preserve"> </w:t>
      </w:r>
      <w:r w:rsidRPr="009C24CA">
        <w:rPr>
          <w:rFonts w:ascii="Times New Roman" w:hAnsi="Times New Roman"/>
          <w:sz w:val="24"/>
          <w:szCs w:val="24"/>
        </w:rPr>
        <w:t>- art. 26gb ustawy o PIT i</w:t>
      </w:r>
      <w:r w:rsidRPr="000F6D18">
        <w:rPr>
          <w:rFonts w:ascii="Times New Roman" w:hAnsi="Times New Roman"/>
          <w:sz w:val="24"/>
          <w:szCs w:val="24"/>
        </w:rPr>
        <w:t xml:space="preserve"> art. 18eb ustawy o CIT – </w:t>
      </w:r>
      <w:r w:rsidRPr="00E70BF0">
        <w:rPr>
          <w:rFonts w:ascii="Times New Roman" w:hAnsi="Times New Roman"/>
          <w:b/>
          <w:bCs/>
          <w:sz w:val="24"/>
          <w:szCs w:val="24"/>
        </w:rPr>
        <w:t xml:space="preserve">art. 1 pkt </w:t>
      </w:r>
      <w:r w:rsidR="00584C27" w:rsidRPr="00E70BF0">
        <w:rPr>
          <w:rFonts w:ascii="Times New Roman" w:hAnsi="Times New Roman"/>
          <w:b/>
          <w:bCs/>
          <w:sz w:val="24"/>
          <w:szCs w:val="24"/>
        </w:rPr>
        <w:t xml:space="preserve">2 i 3 </w:t>
      </w:r>
      <w:r w:rsidRPr="00E70BF0">
        <w:rPr>
          <w:rFonts w:ascii="Times New Roman" w:hAnsi="Times New Roman"/>
          <w:b/>
          <w:bCs/>
          <w:sz w:val="24"/>
          <w:szCs w:val="24"/>
        </w:rPr>
        <w:t>i art. 2 pkt 1 projektowanej ustawy</w:t>
      </w:r>
    </w:p>
    <w:p w14:paraId="7CD17791" w14:textId="336F3436" w:rsidR="0052442D" w:rsidRPr="002F2E64" w:rsidRDefault="0052442D" w:rsidP="0052442D">
      <w:pPr>
        <w:spacing w:after="120" w:line="360" w:lineRule="auto"/>
        <w:jc w:val="both"/>
        <w:rPr>
          <w:rFonts w:ascii="Times" w:hAnsi="Times" w:cs="Times"/>
          <w:sz w:val="24"/>
          <w:szCs w:val="24"/>
        </w:rPr>
      </w:pPr>
      <w:r w:rsidRPr="002F2E64">
        <w:rPr>
          <w:rFonts w:ascii="Times" w:hAnsi="Times" w:cs="Times"/>
          <w:sz w:val="24"/>
          <w:szCs w:val="24"/>
        </w:rPr>
        <w:t>Przepisy poświęcone tzw. uldze na ekspansję, zawarte w art. 18eb ustawy o CIT oraz w art. 26gb ustawy o PIT, stanowiły część pakietu rozwiązań podatkowych wprowadzonych do systemu prawnego z początkiem 2022 r. Regulacje te zostały zaprojektowane jako fiskalne narzędzie wsparcia działalności gospodarczej, mające stanowić rodzaj podatkowej zachęty do podejmowania działań ukierunkowanych na zwiększenie konkurencyjności polskich przedsiębiorców poprzez wejście na nowe rynki lub rozszerzenie oferty produktowej.</w:t>
      </w:r>
    </w:p>
    <w:p w14:paraId="0AE500D2" w14:textId="0D767894" w:rsidR="0052442D" w:rsidRPr="002F2E64" w:rsidRDefault="0052442D" w:rsidP="0052442D">
      <w:pPr>
        <w:spacing w:after="120" w:line="360" w:lineRule="auto"/>
        <w:jc w:val="both"/>
        <w:rPr>
          <w:rFonts w:ascii="Times" w:hAnsi="Times" w:cs="Times"/>
          <w:sz w:val="24"/>
          <w:szCs w:val="24"/>
        </w:rPr>
      </w:pPr>
      <w:r w:rsidRPr="002F2E64">
        <w:rPr>
          <w:rFonts w:ascii="Times" w:hAnsi="Times" w:cs="Times"/>
          <w:sz w:val="24"/>
          <w:szCs w:val="24"/>
        </w:rPr>
        <w:t xml:space="preserve">Uchwaleniu tych przepisów towarzyszył szczególny kontekst społeczno-gospodarczy. </w:t>
      </w:r>
      <w:r w:rsidR="004422F8">
        <w:rPr>
          <w:rFonts w:ascii="Times" w:hAnsi="Times" w:cs="Times"/>
          <w:sz w:val="24"/>
          <w:szCs w:val="24"/>
        </w:rPr>
        <w:t>U</w:t>
      </w:r>
      <w:r w:rsidRPr="002F2E64">
        <w:rPr>
          <w:rFonts w:ascii="Times" w:hAnsi="Times" w:cs="Times"/>
          <w:sz w:val="24"/>
          <w:szCs w:val="24"/>
        </w:rPr>
        <w:t>stawodawca</w:t>
      </w:r>
      <w:r w:rsidR="004422F8">
        <w:rPr>
          <w:rFonts w:ascii="Times" w:hAnsi="Times" w:cs="Times"/>
          <w:sz w:val="24"/>
          <w:szCs w:val="24"/>
        </w:rPr>
        <w:t>,</w:t>
      </w:r>
      <w:r w:rsidRPr="002F2E64">
        <w:rPr>
          <w:rFonts w:ascii="Times" w:hAnsi="Times" w:cs="Times"/>
          <w:sz w:val="24"/>
          <w:szCs w:val="24"/>
        </w:rPr>
        <w:t xml:space="preserve"> realizując powinność wprowadzania rozwiązań stanowiących odpowiedź na wyzwania</w:t>
      </w:r>
      <w:r w:rsidR="004422F8">
        <w:rPr>
          <w:rFonts w:ascii="Times" w:hAnsi="Times" w:cs="Times"/>
          <w:sz w:val="24"/>
          <w:szCs w:val="24"/>
        </w:rPr>
        <w:t>,</w:t>
      </w:r>
      <w:r w:rsidRPr="002F2E64">
        <w:rPr>
          <w:rFonts w:ascii="Times" w:hAnsi="Times" w:cs="Times"/>
          <w:sz w:val="24"/>
          <w:szCs w:val="24"/>
        </w:rPr>
        <w:t xml:space="preserve"> z jakimi musieli mierzyć się przedsiębiorcy prowadzący działalność gospodarczą w czasach pandemii COVID-19</w:t>
      </w:r>
      <w:r w:rsidR="004422F8">
        <w:rPr>
          <w:rFonts w:ascii="Times" w:hAnsi="Times" w:cs="Times"/>
          <w:sz w:val="24"/>
          <w:szCs w:val="24"/>
        </w:rPr>
        <w:t>,</w:t>
      </w:r>
      <w:r w:rsidRPr="002F2E64">
        <w:rPr>
          <w:rFonts w:ascii="Times" w:hAnsi="Times" w:cs="Times"/>
          <w:sz w:val="24"/>
          <w:szCs w:val="24"/>
        </w:rPr>
        <w:t xml:space="preserve"> zaproponował instytucje podatkowe, których zadaniem było zneutralizowanie części dotkliwych skutków pandemii oraz ułatwienie wychodzenia z kryzysu przez nią wywołanego. Nadzwyczajne okoliczności społeczne i</w:t>
      </w:r>
      <w:r w:rsidR="00A43D54">
        <w:rPr>
          <w:rFonts w:ascii="Times" w:hAnsi="Times" w:cs="Times"/>
          <w:sz w:val="24"/>
          <w:szCs w:val="24"/>
        </w:rPr>
        <w:t> </w:t>
      </w:r>
      <w:r w:rsidRPr="002F2E64">
        <w:rPr>
          <w:rFonts w:ascii="Times" w:hAnsi="Times" w:cs="Times"/>
          <w:sz w:val="24"/>
          <w:szCs w:val="24"/>
        </w:rPr>
        <w:t>gospodarcze wywołane pandemią COVID-19 ustały, gdyż stan pandemii nie obowiązuje. Jednym z celów omawianej ulgi było zapewnienie wsparcia szczególnie małym podmiotom podejmującym ryzyko związane z ekspansją na zagraniczne rynki. Podkreślić należy, że omawiana preferencja podatkowa jedynie w ograniczonym stopniu pozwoliła na realizacj</w:t>
      </w:r>
      <w:r w:rsidR="008F4E4F">
        <w:rPr>
          <w:rFonts w:ascii="Times" w:hAnsi="Times" w:cs="Times"/>
          <w:sz w:val="24"/>
          <w:szCs w:val="24"/>
        </w:rPr>
        <w:t>ę</w:t>
      </w:r>
      <w:r w:rsidRPr="002F2E64">
        <w:rPr>
          <w:rFonts w:ascii="Times" w:hAnsi="Times" w:cs="Times"/>
          <w:sz w:val="24"/>
          <w:szCs w:val="24"/>
        </w:rPr>
        <w:t xml:space="preserve"> wyznaczonych celów, skorzystały z niej podmioty, które </w:t>
      </w:r>
      <w:r w:rsidR="00A43D54">
        <w:rPr>
          <w:rFonts w:ascii="Times" w:hAnsi="Times" w:cs="Times"/>
          <w:sz w:val="24"/>
          <w:szCs w:val="24"/>
        </w:rPr>
        <w:t xml:space="preserve">i tak </w:t>
      </w:r>
      <w:r w:rsidRPr="002F2E64">
        <w:rPr>
          <w:rFonts w:ascii="Times" w:hAnsi="Times" w:cs="Times"/>
          <w:sz w:val="24"/>
          <w:szCs w:val="24"/>
        </w:rPr>
        <w:t xml:space="preserve">miały w planach ekspansję gospodarczą na rynki </w:t>
      </w:r>
      <w:r w:rsidRPr="002F2E64">
        <w:rPr>
          <w:rFonts w:ascii="Times" w:hAnsi="Times" w:cs="Times"/>
          <w:sz w:val="24"/>
          <w:szCs w:val="24"/>
        </w:rPr>
        <w:lastRenderedPageBreak/>
        <w:t>zagr</w:t>
      </w:r>
      <w:r>
        <w:rPr>
          <w:rFonts w:ascii="Times" w:hAnsi="Times" w:cs="Times"/>
          <w:sz w:val="24"/>
          <w:szCs w:val="24"/>
        </w:rPr>
        <w:t>a</w:t>
      </w:r>
      <w:r w:rsidRPr="002F2E64">
        <w:rPr>
          <w:rFonts w:ascii="Times" w:hAnsi="Times" w:cs="Times"/>
          <w:sz w:val="24"/>
          <w:szCs w:val="24"/>
        </w:rPr>
        <w:t xml:space="preserve">niczne. </w:t>
      </w:r>
      <w:r w:rsidR="00EC142A">
        <w:rPr>
          <w:rFonts w:ascii="Times" w:hAnsi="Times" w:cs="Times"/>
          <w:sz w:val="24"/>
          <w:szCs w:val="24"/>
        </w:rPr>
        <w:t>P</w:t>
      </w:r>
      <w:r w:rsidRPr="002F2E64">
        <w:rPr>
          <w:rFonts w:ascii="Times" w:hAnsi="Times" w:cs="Times"/>
          <w:sz w:val="24"/>
          <w:szCs w:val="24"/>
        </w:rPr>
        <w:t>referencja ta jedynie</w:t>
      </w:r>
      <w:r w:rsidR="00EC142A">
        <w:rPr>
          <w:rFonts w:ascii="Times" w:hAnsi="Times" w:cs="Times"/>
          <w:sz w:val="24"/>
          <w:szCs w:val="24"/>
        </w:rPr>
        <w:t xml:space="preserve"> zatem</w:t>
      </w:r>
      <w:r w:rsidRPr="002F2E64">
        <w:rPr>
          <w:rFonts w:ascii="Times" w:hAnsi="Times" w:cs="Times"/>
          <w:sz w:val="24"/>
          <w:szCs w:val="24"/>
        </w:rPr>
        <w:t xml:space="preserve"> w </w:t>
      </w:r>
      <w:r w:rsidR="00EC142A">
        <w:rPr>
          <w:rFonts w:ascii="Times" w:hAnsi="Times" w:cs="Times"/>
          <w:sz w:val="24"/>
          <w:szCs w:val="24"/>
        </w:rPr>
        <w:t xml:space="preserve">bardzo </w:t>
      </w:r>
      <w:r w:rsidRPr="002F2E64">
        <w:rPr>
          <w:rFonts w:ascii="Times" w:hAnsi="Times" w:cs="Times"/>
          <w:sz w:val="24"/>
          <w:szCs w:val="24"/>
        </w:rPr>
        <w:t>ograniczonym stopniu pozwoliła na realizację wyznaczonych jej celów.</w:t>
      </w:r>
    </w:p>
    <w:p w14:paraId="0E5D379B" w14:textId="70832023" w:rsidR="0052442D" w:rsidRPr="002F2E64" w:rsidRDefault="0052442D" w:rsidP="0052442D">
      <w:pPr>
        <w:spacing w:after="120" w:line="360" w:lineRule="auto"/>
        <w:jc w:val="both"/>
        <w:rPr>
          <w:rFonts w:ascii="Times" w:hAnsi="Times" w:cs="Times"/>
          <w:sz w:val="24"/>
          <w:szCs w:val="24"/>
        </w:rPr>
      </w:pPr>
      <w:r w:rsidRPr="002F2E64">
        <w:rPr>
          <w:rFonts w:ascii="Times" w:hAnsi="Times" w:cs="Times"/>
          <w:sz w:val="24"/>
          <w:szCs w:val="24"/>
        </w:rPr>
        <w:t>Istotą i praktycznym wymiarem omawianego mechanizmu preferencyjnego jest stworzenie podatnikom możliwości dwukrotnego uwzględnienia w rozliczeniu podatkowym określonych kategorii wydatków, które w zamyśle ustawodawcy wskaz</w:t>
      </w:r>
      <w:r w:rsidR="00EC142A">
        <w:rPr>
          <w:rFonts w:ascii="Times" w:hAnsi="Times" w:cs="Times"/>
          <w:sz w:val="24"/>
          <w:szCs w:val="24"/>
        </w:rPr>
        <w:t>ywały</w:t>
      </w:r>
      <w:r w:rsidRPr="002F2E64">
        <w:rPr>
          <w:rFonts w:ascii="Times" w:hAnsi="Times" w:cs="Times"/>
          <w:sz w:val="24"/>
          <w:szCs w:val="24"/>
        </w:rPr>
        <w:t xml:space="preserve"> na ekspansywny charakter działalności podatnika, a więc służ</w:t>
      </w:r>
      <w:r w:rsidR="00EC142A">
        <w:rPr>
          <w:rFonts w:ascii="Times" w:hAnsi="Times" w:cs="Times"/>
          <w:sz w:val="24"/>
          <w:szCs w:val="24"/>
        </w:rPr>
        <w:t xml:space="preserve">yły </w:t>
      </w:r>
      <w:r w:rsidRPr="002F2E64">
        <w:rPr>
          <w:rFonts w:ascii="Times" w:hAnsi="Times" w:cs="Times"/>
          <w:sz w:val="24"/>
          <w:szCs w:val="24"/>
        </w:rPr>
        <w:t>rozwojowi prowadzonego przedsiębiorstwa. W pierwszej kolejności podatnik jest uprawniony do rozpoznania nakładów poniesionych na nabycie określonych towarów bądź usług (np. kosztów uczestnictwa w targach, działań promocyjnych, przygotowania dokumentacji czy certyfikacji) jako kosztów uzyskania przychodów na zasadach ogólnych, co pomniejsza dochód do opodatkowania. Jednocześnie ten sam wydatek – na mocy przepisów ustanawiających ulgę na ekspansję – podlega ponownemu odliczeniu od podstawy opodatkowania, co prowadzi do wtórnego zmniejszenia obciążenia podatkowego przedsiębiorcy. W założeniu konstrukcja ta miała obniżyć koszty inwestycji nakierowanych na zdobywanie nowych rynków zbytu oraz ożywienie koniunktury gospodarczej.</w:t>
      </w:r>
    </w:p>
    <w:p w14:paraId="292AFB71" w14:textId="245D3C26" w:rsidR="0052442D" w:rsidRPr="002F2E64" w:rsidRDefault="0052442D" w:rsidP="0052442D">
      <w:pPr>
        <w:spacing w:after="120" w:line="360" w:lineRule="auto"/>
        <w:jc w:val="both"/>
        <w:rPr>
          <w:rFonts w:ascii="Times" w:hAnsi="Times" w:cs="Times"/>
          <w:sz w:val="24"/>
          <w:szCs w:val="24"/>
        </w:rPr>
      </w:pPr>
      <w:r w:rsidRPr="002F2E64">
        <w:rPr>
          <w:rFonts w:ascii="Times" w:hAnsi="Times" w:cs="Times"/>
          <w:sz w:val="24"/>
          <w:szCs w:val="24"/>
        </w:rPr>
        <w:t>Nieosiągnięcie założonego celu w postaci stworzenia instrumentu stymulacji inwestycji sprawia</w:t>
      </w:r>
      <w:r w:rsidR="00EC142A">
        <w:rPr>
          <w:rFonts w:ascii="Times" w:hAnsi="Times" w:cs="Times"/>
          <w:sz w:val="24"/>
          <w:szCs w:val="24"/>
        </w:rPr>
        <w:t>,</w:t>
      </w:r>
      <w:r w:rsidRPr="002F2E64">
        <w:rPr>
          <w:rFonts w:ascii="Times" w:hAnsi="Times" w:cs="Times"/>
          <w:sz w:val="24"/>
          <w:szCs w:val="24"/>
        </w:rPr>
        <w:t xml:space="preserve"> że ulga na ekspansję traci swoje pierwotne uzasadnienie społeczno-gospodarcze. W</w:t>
      </w:r>
      <w:r w:rsidR="00A43D54">
        <w:rPr>
          <w:rFonts w:ascii="Times" w:hAnsi="Times" w:cs="Times"/>
          <w:sz w:val="24"/>
          <w:szCs w:val="24"/>
        </w:rPr>
        <w:t> </w:t>
      </w:r>
      <w:r w:rsidRPr="002F2E64">
        <w:rPr>
          <w:rFonts w:ascii="Times" w:hAnsi="Times" w:cs="Times"/>
          <w:sz w:val="24"/>
          <w:szCs w:val="24"/>
        </w:rPr>
        <w:t>konsekwencji jej dalsze funkcjonowanie staje się nieuzasadnione z perspektywy fiskalnej, stanowiąc nieefektywny i nieznajdujący pokrycia w rezultatach sposób rezygnacji z dochodów budżetowych.</w:t>
      </w:r>
    </w:p>
    <w:p w14:paraId="70FCF87D" w14:textId="77777777" w:rsidR="0052442D" w:rsidRPr="002F2E64" w:rsidRDefault="0052442D" w:rsidP="0052442D">
      <w:pPr>
        <w:spacing w:after="120" w:line="360" w:lineRule="auto"/>
        <w:jc w:val="both"/>
        <w:rPr>
          <w:rFonts w:ascii="Times" w:hAnsi="Times" w:cs="Times"/>
          <w:sz w:val="24"/>
          <w:szCs w:val="24"/>
        </w:rPr>
      </w:pPr>
      <w:r w:rsidRPr="002F2E64">
        <w:rPr>
          <w:rFonts w:ascii="Times" w:hAnsi="Times" w:cs="Times"/>
          <w:sz w:val="24"/>
          <w:szCs w:val="24"/>
        </w:rPr>
        <w:t>Dotychczasowe doświadczenia ujawniły istotne mankamenty konstrukcyjne samej ulgi, które obniżają jej efektywność i uzasadniają konieczność wycofania tego mechanizmu z systemu podatkowego.</w:t>
      </w:r>
    </w:p>
    <w:p w14:paraId="33D5B677" w14:textId="77777777" w:rsidR="0052442D" w:rsidRPr="002F2E64" w:rsidRDefault="0052442D" w:rsidP="0052442D">
      <w:pPr>
        <w:spacing w:after="120" w:line="360" w:lineRule="auto"/>
        <w:jc w:val="both"/>
        <w:rPr>
          <w:rFonts w:ascii="Times" w:hAnsi="Times" w:cs="Times"/>
          <w:sz w:val="24"/>
          <w:szCs w:val="24"/>
        </w:rPr>
      </w:pPr>
      <w:r w:rsidRPr="002F2E64">
        <w:rPr>
          <w:rFonts w:ascii="Times" w:hAnsi="Times" w:cs="Times"/>
          <w:sz w:val="24"/>
          <w:szCs w:val="24"/>
        </w:rPr>
        <w:t>Zasadniczą słabością ulgi na ekspansję pozostaje sposób ukształtowania warunku, od którego uzależnione zostało zachowanie prawa do odliczenia. Wystarczającym tytułem do skorzystania z ulgi jest osiągnięcie wzrostu przychodów ze sprzedaży produktów w relacji do przychodów ustalonych na ostatni dzień roku podatkowego poprzedzającego rok poniesienia kosztów. Przepisy nie określają przy tym ani progu istotności takiego wzrostu, ani minimalnej jego dynamiki. W konsekwencji przesłanka ustawowa zostaje formalnie spełniona również wówczas, gdy przyrost przychodów ma wymiar symboliczny i pozostaje bez jakiegokolwiek znaczenia dla skali oraz zasięgu prowadzonej działalności.</w:t>
      </w:r>
    </w:p>
    <w:p w14:paraId="28C5D22B" w14:textId="0CE40605" w:rsidR="0052442D" w:rsidRPr="002F2E64" w:rsidRDefault="0052442D" w:rsidP="0052442D">
      <w:pPr>
        <w:spacing w:after="120" w:line="360" w:lineRule="auto"/>
        <w:jc w:val="both"/>
        <w:rPr>
          <w:rFonts w:ascii="Times" w:hAnsi="Times" w:cs="Times"/>
          <w:sz w:val="24"/>
          <w:szCs w:val="24"/>
        </w:rPr>
      </w:pPr>
      <w:r w:rsidRPr="002F2E64">
        <w:rPr>
          <w:rFonts w:ascii="Times" w:hAnsi="Times" w:cs="Times"/>
          <w:sz w:val="24"/>
          <w:szCs w:val="24"/>
        </w:rPr>
        <w:lastRenderedPageBreak/>
        <w:t>Przepisy nie wymagają wykazania związku przyczynowego pomiędzy poniesionym wydatkiem kwalifikowanym a osiągniętym rezultatem. Odliczenie przysługuje niezależnie od tego, czy wzrost przychodów rzeczywiście stanowi następstwo działań promocyjnych lub informacyjnych sfinansowanych przez podatnika, czy też jest wynikiem okoliczności całkowicie od niego niezależnych – ogólnej koniunktury gospodarczej, wzrostu poziomu cen bądź zdarzeń o charakterze losowym.</w:t>
      </w:r>
    </w:p>
    <w:p w14:paraId="481C746B" w14:textId="3AB5A5EF" w:rsidR="0052442D" w:rsidRDefault="0052442D" w:rsidP="0052442D">
      <w:pPr>
        <w:spacing w:after="120" w:line="360" w:lineRule="auto"/>
        <w:jc w:val="both"/>
        <w:rPr>
          <w:rFonts w:ascii="Times" w:hAnsi="Times" w:cs="Times"/>
          <w:sz w:val="24"/>
          <w:szCs w:val="24"/>
        </w:rPr>
      </w:pPr>
      <w:r w:rsidRPr="002F2E64">
        <w:rPr>
          <w:rFonts w:ascii="Times" w:hAnsi="Times" w:cs="Times"/>
          <w:sz w:val="24"/>
          <w:szCs w:val="24"/>
        </w:rPr>
        <w:t>Tak ukształtowany warunek w praktyce nie różnicuje podatników według kryterium rzeczywistego wysiłku rozwojowego. Preferencja obejmuje zatem swoim zakresem również te stany faktyczne, w których do ekspansji gospodarczej - wbrew nazwie używanej powszechnie dla określenia ulgi - w ogóle nie doszło.  W efekcie ulga na ekspansję w znacznej mierze subsydiuje działania, które przedsiębiorcy i tak podejmowaliby w ramach zwykłego toku prowadzenia biznesu, nie generując przy tym nowej wartości dodanej dla gospodarki. Mechanizm ten tworzy automatyzm przyznawania preferencji w sytuacjach, w których nie dochodzi do realnego zwiększenia potencjału gospodarczego podatnika. Funkcjonowanie ulgi skutkuje angażowaniem środków publicznych na sfinansowanie przedsięwzięć, które i tak zostałyby zrealizowane, co odpowiada zjawisku określanemu w literaturze przedmiotu mianem efektu jałowej straty (</w:t>
      </w:r>
      <w:r w:rsidRPr="00A43D54">
        <w:rPr>
          <w:rFonts w:ascii="Times" w:hAnsi="Times" w:cs="Times"/>
          <w:i/>
          <w:iCs/>
          <w:sz w:val="24"/>
          <w:szCs w:val="24"/>
        </w:rPr>
        <w:t>deadweight effect</w:t>
      </w:r>
      <w:r w:rsidRPr="002F2E64">
        <w:rPr>
          <w:rFonts w:ascii="Times" w:hAnsi="Times" w:cs="Times"/>
          <w:sz w:val="24"/>
          <w:szCs w:val="24"/>
        </w:rPr>
        <w:t>), stanowiąc przykład nieefektywności instrumentu wsparcia.</w:t>
      </w:r>
      <w:r w:rsidR="00EC142A" w:rsidRPr="00EC142A">
        <w:rPr>
          <w:rFonts w:ascii="Times" w:hAnsi="Times" w:cs="Times"/>
          <w:sz w:val="24"/>
          <w:szCs w:val="24"/>
        </w:rPr>
        <w:t xml:space="preserve"> Brak oczekiwanego bodźca proinwestycyjnego sprawia, że ulga na ekspansję traci </w:t>
      </w:r>
      <w:r w:rsidR="00EC142A">
        <w:rPr>
          <w:rFonts w:ascii="Times" w:hAnsi="Times" w:cs="Times"/>
          <w:sz w:val="24"/>
          <w:szCs w:val="24"/>
        </w:rPr>
        <w:t xml:space="preserve">zatem </w:t>
      </w:r>
      <w:r w:rsidR="00EC142A" w:rsidRPr="00EC142A">
        <w:rPr>
          <w:rFonts w:ascii="Times" w:hAnsi="Times" w:cs="Times"/>
          <w:sz w:val="24"/>
          <w:szCs w:val="24"/>
        </w:rPr>
        <w:t>swoje pierwotne uzasadnienie społeczno-gospodarcze, a jej dalsze utrzymywanie staje się nieuzasadnione z perspektywy fiskalnej, stanowiąc nieefektywny i nieznajdujący pokrycia w rezultatach sposób rezygnacji z dochodów budżetowych.</w:t>
      </w:r>
    </w:p>
    <w:p w14:paraId="18E8DE36" w14:textId="0AE306C6" w:rsidR="00005B33" w:rsidRPr="00005B33" w:rsidRDefault="00005B33" w:rsidP="00005B33">
      <w:pPr>
        <w:spacing w:after="120" w:line="360" w:lineRule="auto"/>
        <w:jc w:val="both"/>
        <w:rPr>
          <w:rFonts w:ascii="Times" w:hAnsi="Times" w:cs="Times"/>
          <w:sz w:val="24"/>
          <w:szCs w:val="24"/>
        </w:rPr>
      </w:pPr>
      <w:r w:rsidRPr="00005B33">
        <w:rPr>
          <w:rFonts w:ascii="Times" w:hAnsi="Times" w:cs="Times"/>
          <w:sz w:val="24"/>
          <w:szCs w:val="24"/>
        </w:rPr>
        <w:t>Z danych Ministerstwa Finansów wynika, że liczba przedsiębiorców korzystających z ulgi w latach 2022-2024 utrzymuje się na porównywalnym poziomie</w:t>
      </w:r>
      <w:r w:rsidR="00B41381">
        <w:rPr>
          <w:rFonts w:ascii="Times" w:hAnsi="Times" w:cs="Times"/>
          <w:sz w:val="24"/>
          <w:szCs w:val="24"/>
        </w:rPr>
        <w:t>.</w:t>
      </w:r>
      <w:r w:rsidRPr="00005B33">
        <w:rPr>
          <w:rFonts w:ascii="Times" w:hAnsi="Times" w:cs="Times"/>
          <w:sz w:val="24"/>
          <w:szCs w:val="24"/>
        </w:rPr>
        <w:t xml:space="preserve"> W 2022 r. z ulgi na ekspansję skorzystało 90 podatników PIT rozliczających się według skali podatkowej, natomiast w 2024 r. już tylko 75 podatników PIT, rozliczających się według skali podatkowej skorzystało z tej możliwości odliczenia. Przedmiotowa ulga miała zapewnić wsparcie szczególnie małym podmiotom tymczasem spada liczba podatników PIT (rozliczających się według skali) korzystających z tej ulgi. W przypadku podatników PIT korzystających z opodatkowania podatkiem liniowym w 2022 r. - 193 podatników uwzględniło ww. ulgę w swoich rozliczeniach, natomiast w 2024 r. było ich 225. Świadczy to o utrzymywaniu się zainteresowania ulgą na ekspansję w tej grupie podatników na podobnym poziomie. W przypadku podatników CIT ze wskazanej ulgi skorzystało 224 podatników w 2022 r., natomiast w 2024 r. było ich 315. Przedstawione dane o liczbie podmiotów korzystających z ulgi na </w:t>
      </w:r>
      <w:r w:rsidRPr="00005B33">
        <w:rPr>
          <w:rFonts w:ascii="Times" w:hAnsi="Times" w:cs="Times"/>
          <w:sz w:val="24"/>
          <w:szCs w:val="24"/>
        </w:rPr>
        <w:lastRenderedPageBreak/>
        <w:t xml:space="preserve">ekspansję pośród różnych grup podatników PIT i CIT są potwierdzeniem, że przedmiotowa ulga nie miała charakteru stymulującego w podejmowaniu decyzji o ekspansji na rynki zagraniczne. Nie można także wskazać, że ulga ta skłania przedsiębiorcę do wejścia na nowy rynek „od zera”, proces ten bowiem wymaga strategicznych decyzji wykraczających poza korzyści podatkowe. </w:t>
      </w:r>
    </w:p>
    <w:p w14:paraId="65AB9571" w14:textId="7BDF6E04" w:rsidR="00005B33" w:rsidRPr="002F2E64" w:rsidRDefault="00005B33" w:rsidP="00005B33">
      <w:pPr>
        <w:spacing w:after="120" w:line="360" w:lineRule="auto"/>
        <w:jc w:val="both"/>
        <w:rPr>
          <w:rFonts w:ascii="Times" w:hAnsi="Times" w:cs="Times"/>
          <w:sz w:val="24"/>
          <w:szCs w:val="24"/>
        </w:rPr>
      </w:pPr>
      <w:r w:rsidRPr="00005B33">
        <w:rPr>
          <w:rFonts w:ascii="Times" w:hAnsi="Times" w:cs="Times"/>
          <w:sz w:val="24"/>
          <w:szCs w:val="24"/>
        </w:rPr>
        <w:t>Ulga stanowi jednocześnie nieproporcjonalny przywilej podatkowy przedsiębiorcy wobec korzyści jakie może uzyskać z tytułu przyznania tej ulgi Skarb Państwa. Aby utrzymać prawo do ulgi, wystarczy bowiem, że przychody przedsiębiorcy ze sprzedaży własnych produktów wzrosną o dowolną kwotę (nawet o 1 zł) w okresie 2 kolejnych lat, co jest nieproporcjonalne wobec obciążenia budżetu państwa z tytułu obniżonych zobowiązań podatkowych jakie podatnik taki może uzyskać z ulgi, tj. do kwoty 190 tys. zł (19</w:t>
      </w:r>
      <w:r w:rsidR="005C5557">
        <w:rPr>
          <w:rFonts w:ascii="Times" w:hAnsi="Times" w:cs="Times"/>
          <w:sz w:val="24"/>
          <w:szCs w:val="24"/>
        </w:rPr>
        <w:t xml:space="preserve"> </w:t>
      </w:r>
      <w:r w:rsidRPr="00005B33">
        <w:rPr>
          <w:rFonts w:ascii="Times" w:hAnsi="Times" w:cs="Times"/>
          <w:sz w:val="24"/>
          <w:szCs w:val="24"/>
        </w:rPr>
        <w:t>% z 1 mln zł) w ciągu roku i 380 tys. zł  w okresie 2 lat , a jeżeli stawka CIT ulegnie podwyższeniu np. do 22</w:t>
      </w:r>
      <w:r w:rsidR="005C5557">
        <w:rPr>
          <w:rFonts w:ascii="Times" w:hAnsi="Times" w:cs="Times"/>
          <w:sz w:val="24"/>
          <w:szCs w:val="24"/>
        </w:rPr>
        <w:t xml:space="preserve"> </w:t>
      </w:r>
      <w:r w:rsidRPr="00005B33">
        <w:rPr>
          <w:rFonts w:ascii="Times" w:hAnsi="Times" w:cs="Times"/>
          <w:sz w:val="24"/>
          <w:szCs w:val="24"/>
        </w:rPr>
        <w:t>% (tak jak w projekcie UD458) korzyść podatnika wzrośnie w 1 roku do 220 tys. zł a w dwóch latach do 440  tys. zł. (22</w:t>
      </w:r>
      <w:r w:rsidR="005C5557">
        <w:rPr>
          <w:rFonts w:ascii="Times" w:hAnsi="Times" w:cs="Times"/>
          <w:sz w:val="24"/>
          <w:szCs w:val="24"/>
        </w:rPr>
        <w:t xml:space="preserve"> </w:t>
      </w:r>
      <w:r w:rsidRPr="00005B33">
        <w:rPr>
          <w:rFonts w:ascii="Times" w:hAnsi="Times" w:cs="Times"/>
          <w:sz w:val="24"/>
          <w:szCs w:val="24"/>
        </w:rPr>
        <w:t>% z 1 mln zł). Utrzymywanie zatem ulgi</w:t>
      </w:r>
      <w:r w:rsidR="00844B97">
        <w:rPr>
          <w:rFonts w:ascii="Times" w:hAnsi="Times" w:cs="Times"/>
          <w:sz w:val="24"/>
          <w:szCs w:val="24"/>
        </w:rPr>
        <w:t>,</w:t>
      </w:r>
      <w:r w:rsidRPr="00005B33">
        <w:rPr>
          <w:rFonts w:ascii="Times" w:hAnsi="Times" w:cs="Times"/>
          <w:sz w:val="24"/>
          <w:szCs w:val="24"/>
        </w:rPr>
        <w:t xml:space="preserve"> która nie wpływa na rozwój gospodarczy kraju a stanowi jedynie korzyść podatkową, która nie przekłada się na rozwój i wzrost przedsiębiorcy jest nieuzasadnione z punktu </w:t>
      </w:r>
      <w:r w:rsidR="00844B97">
        <w:rPr>
          <w:rFonts w:ascii="Times" w:hAnsi="Times" w:cs="Times"/>
          <w:sz w:val="24"/>
          <w:szCs w:val="24"/>
        </w:rPr>
        <w:t xml:space="preserve">widzenia </w:t>
      </w:r>
      <w:r w:rsidRPr="00005B33">
        <w:rPr>
          <w:rFonts w:ascii="Times" w:hAnsi="Times" w:cs="Times"/>
          <w:sz w:val="24"/>
          <w:szCs w:val="24"/>
        </w:rPr>
        <w:t>finansów publicznych państwa.</w:t>
      </w:r>
    </w:p>
    <w:p w14:paraId="06AAFA93" w14:textId="61A36A01" w:rsidR="0052442D" w:rsidRPr="002F2E64" w:rsidRDefault="0052442D" w:rsidP="0052442D">
      <w:pPr>
        <w:spacing w:after="120" w:line="360" w:lineRule="auto"/>
        <w:jc w:val="both"/>
        <w:rPr>
          <w:rFonts w:ascii="Times" w:hAnsi="Times" w:cs="Times"/>
          <w:sz w:val="24"/>
          <w:szCs w:val="24"/>
        </w:rPr>
      </w:pPr>
      <w:r w:rsidRPr="002F2E64">
        <w:rPr>
          <w:rFonts w:ascii="Times" w:hAnsi="Times" w:cs="Times"/>
          <w:sz w:val="24"/>
          <w:szCs w:val="24"/>
        </w:rPr>
        <w:t>W tym kontekście należy podkreślić, że wszelkie ulgi podatkowe – stanowiąc odstępstwo od mającej wymiar konstytucyjny zasady powszechności opodatkowania – wymagają dla swojego istnienia silnego, aksjologicznego i merytorycznego uzasadnienia. Państwo, rezygnując z</w:t>
      </w:r>
      <w:r w:rsidR="00A43D54">
        <w:rPr>
          <w:rFonts w:ascii="Times" w:hAnsi="Times" w:cs="Times"/>
          <w:sz w:val="24"/>
          <w:szCs w:val="24"/>
        </w:rPr>
        <w:t> </w:t>
      </w:r>
      <w:r w:rsidRPr="002F2E64">
        <w:rPr>
          <w:rFonts w:ascii="Times" w:hAnsi="Times" w:cs="Times"/>
          <w:sz w:val="24"/>
          <w:szCs w:val="24"/>
        </w:rPr>
        <w:t>części dochodów budżetowych, musi działać w ważnym interesie społecznym, gwarantując, że ubytek we wpływach podatkowych zostanie zrekompensowany osiągnięciem wymiernych celów gospodarczych.</w:t>
      </w:r>
      <w:r w:rsidR="00EC142A">
        <w:rPr>
          <w:rFonts w:ascii="Times" w:hAnsi="Times" w:cs="Times"/>
          <w:sz w:val="24"/>
          <w:szCs w:val="24"/>
        </w:rPr>
        <w:t xml:space="preserve"> </w:t>
      </w:r>
      <w:r w:rsidRPr="002F2E64">
        <w:rPr>
          <w:rFonts w:ascii="Times" w:hAnsi="Times" w:cs="Times"/>
          <w:sz w:val="24"/>
          <w:szCs w:val="24"/>
        </w:rPr>
        <w:t>Obowiązywanie każdej z ulg podatkowych musi być więc ściśle skorelowane z realizacją wyjątkowych celów społeczno-gospodarczych. Natomiast stanowiący immamentną właściwoś</w:t>
      </w:r>
      <w:r w:rsidR="008F4E4F">
        <w:rPr>
          <w:rFonts w:ascii="Times" w:hAnsi="Times" w:cs="Times"/>
          <w:sz w:val="24"/>
          <w:szCs w:val="24"/>
        </w:rPr>
        <w:t>ć</w:t>
      </w:r>
      <w:r w:rsidRPr="002F2E64">
        <w:rPr>
          <w:rFonts w:ascii="Times" w:hAnsi="Times" w:cs="Times"/>
          <w:sz w:val="24"/>
          <w:szCs w:val="24"/>
        </w:rPr>
        <w:t xml:space="preserve"> wszelkich regulacji o charakterze ulg podatkowy</w:t>
      </w:r>
      <w:r w:rsidR="008F4E4F">
        <w:rPr>
          <w:rFonts w:ascii="Times" w:hAnsi="Times" w:cs="Times"/>
          <w:sz w:val="24"/>
          <w:szCs w:val="24"/>
        </w:rPr>
        <w:t>ch</w:t>
      </w:r>
      <w:r w:rsidRPr="002F2E64">
        <w:rPr>
          <w:rFonts w:ascii="Times" w:hAnsi="Times" w:cs="Times"/>
          <w:sz w:val="24"/>
          <w:szCs w:val="24"/>
        </w:rPr>
        <w:t xml:space="preserve"> uszczerbek wpływów budżetowych powinien zostać zrekompensowany urzeczywistnieniem przesłanek leżących u podstaw ich wprowadzenia.</w:t>
      </w:r>
    </w:p>
    <w:p w14:paraId="685B9ABD" w14:textId="40054D3F" w:rsidR="0052442D" w:rsidRPr="002F2E64" w:rsidRDefault="0052442D" w:rsidP="0052442D">
      <w:pPr>
        <w:spacing w:after="120" w:line="360" w:lineRule="auto"/>
        <w:jc w:val="both"/>
        <w:rPr>
          <w:rFonts w:ascii="Times" w:hAnsi="Times" w:cs="Times"/>
          <w:sz w:val="24"/>
          <w:szCs w:val="24"/>
        </w:rPr>
      </w:pPr>
      <w:r w:rsidRPr="002F2E64">
        <w:rPr>
          <w:rFonts w:ascii="Times" w:hAnsi="Times" w:cs="Times"/>
          <w:sz w:val="24"/>
          <w:szCs w:val="24"/>
        </w:rPr>
        <w:t>Niezadowalająca korzyść z funkcjonowania omawianej preferencji podatkowej determinuje podjęcie działań prawodawczych w kierunku jej uchylenia. Proponowana zmiana nie dokona się jednak z uszczerbkiem dla działań państw</w:t>
      </w:r>
      <w:r>
        <w:rPr>
          <w:rFonts w:ascii="Times" w:hAnsi="Times" w:cs="Times"/>
          <w:sz w:val="24"/>
          <w:szCs w:val="24"/>
        </w:rPr>
        <w:t>a</w:t>
      </w:r>
      <w:r w:rsidRPr="002F2E64">
        <w:rPr>
          <w:rFonts w:ascii="Times" w:hAnsi="Times" w:cs="Times"/>
          <w:sz w:val="24"/>
          <w:szCs w:val="24"/>
        </w:rPr>
        <w:t xml:space="preserve"> ukierunkowanych na wsparcie rozwoju i</w:t>
      </w:r>
      <w:r w:rsidR="00A43D54">
        <w:rPr>
          <w:rFonts w:ascii="Times" w:hAnsi="Times" w:cs="Times"/>
          <w:sz w:val="24"/>
          <w:szCs w:val="24"/>
        </w:rPr>
        <w:t> </w:t>
      </w:r>
      <w:r w:rsidRPr="002F2E64">
        <w:rPr>
          <w:rFonts w:ascii="Times" w:hAnsi="Times" w:cs="Times"/>
          <w:sz w:val="24"/>
          <w:szCs w:val="24"/>
        </w:rPr>
        <w:t>konkurencyjności krajowych przedsiębiorstw. Jej istotą jest korekta tego wsparcia i</w:t>
      </w:r>
      <w:r w:rsidR="00A43D54">
        <w:rPr>
          <w:rFonts w:ascii="Times" w:hAnsi="Times" w:cs="Times"/>
          <w:sz w:val="24"/>
          <w:szCs w:val="24"/>
        </w:rPr>
        <w:t> </w:t>
      </w:r>
      <w:r w:rsidRPr="002F2E64">
        <w:rPr>
          <w:rFonts w:ascii="Times" w:hAnsi="Times" w:cs="Times"/>
          <w:sz w:val="24"/>
          <w:szCs w:val="24"/>
        </w:rPr>
        <w:t xml:space="preserve">przeniesienie akcentu z instrumentów o niskiej skuteczności na narzędzia oddziałujące na obszary o wyższej wartości dodanej i trwalszym wpływie na potencjał gospodarki. Zatrzymane w wyniku likwidacji ulgi na ekspansję środki publiczne mogą być lepiej dystrybuowane, co </w:t>
      </w:r>
      <w:r w:rsidRPr="002F2E64">
        <w:rPr>
          <w:rFonts w:ascii="Times" w:hAnsi="Times" w:cs="Times"/>
          <w:sz w:val="24"/>
          <w:szCs w:val="24"/>
        </w:rPr>
        <w:lastRenderedPageBreak/>
        <w:t>przyczyni się do pełniejszego urzeczywistnienia obowiązków spoczywających na ustawodawcy w zakresie poszanowania zasad sprawiedliwości i równości podatkowej, z</w:t>
      </w:r>
      <w:r w:rsidR="00A43D54">
        <w:rPr>
          <w:rFonts w:ascii="Times" w:hAnsi="Times" w:cs="Times"/>
          <w:sz w:val="24"/>
          <w:szCs w:val="24"/>
        </w:rPr>
        <w:t> </w:t>
      </w:r>
      <w:r w:rsidRPr="002F2E64">
        <w:rPr>
          <w:rFonts w:ascii="Times" w:hAnsi="Times" w:cs="Times"/>
          <w:sz w:val="24"/>
          <w:szCs w:val="24"/>
        </w:rPr>
        <w:t>uwzględnieniem wymogu zachowania równowagi i stabilności finansów publicznych. Wyrazem tych działań jest stanowiąca przedmiot projektu ustawy propozycja przedłużenia obowiązywania preferencji, o której mowa</w:t>
      </w:r>
      <w:r w:rsidR="008F4E4F">
        <w:rPr>
          <w:rFonts w:ascii="Times" w:hAnsi="Times" w:cs="Times"/>
          <w:sz w:val="24"/>
          <w:szCs w:val="24"/>
        </w:rPr>
        <w:t xml:space="preserve"> w art. 52jb ustawy o PIT oraz art.</w:t>
      </w:r>
      <w:r w:rsidR="004422F8">
        <w:rPr>
          <w:rFonts w:ascii="Times" w:hAnsi="Times" w:cs="Times"/>
          <w:sz w:val="24"/>
          <w:szCs w:val="24"/>
        </w:rPr>
        <w:t xml:space="preserve"> </w:t>
      </w:r>
      <w:r w:rsidR="008F4E4F">
        <w:rPr>
          <w:rFonts w:ascii="Times" w:hAnsi="Times" w:cs="Times"/>
          <w:sz w:val="24"/>
          <w:szCs w:val="24"/>
        </w:rPr>
        <w:t>38eb ustawy o</w:t>
      </w:r>
      <w:r w:rsidR="00A43D54">
        <w:rPr>
          <w:rFonts w:ascii="Times" w:hAnsi="Times" w:cs="Times"/>
          <w:sz w:val="24"/>
          <w:szCs w:val="24"/>
        </w:rPr>
        <w:t> </w:t>
      </w:r>
      <w:r w:rsidR="008F4E4F">
        <w:rPr>
          <w:rFonts w:ascii="Times" w:hAnsi="Times" w:cs="Times"/>
          <w:sz w:val="24"/>
          <w:szCs w:val="24"/>
        </w:rPr>
        <w:t>CIT</w:t>
      </w:r>
      <w:r w:rsidRPr="002F2E64">
        <w:rPr>
          <w:rFonts w:ascii="Times" w:hAnsi="Times" w:cs="Times"/>
          <w:sz w:val="24"/>
          <w:szCs w:val="24"/>
        </w:rPr>
        <w:t>, określanej mianem ulgi na robotyzację.</w:t>
      </w:r>
    </w:p>
    <w:p w14:paraId="0C6B0F3E" w14:textId="080DCE65" w:rsidR="00995A27" w:rsidRDefault="0052442D" w:rsidP="00E07258">
      <w:pPr>
        <w:spacing w:after="120" w:line="360" w:lineRule="auto"/>
        <w:jc w:val="both"/>
        <w:rPr>
          <w:rFonts w:ascii="Times New Roman" w:hAnsi="Times New Roman"/>
          <w:sz w:val="24"/>
          <w:szCs w:val="24"/>
        </w:rPr>
      </w:pPr>
      <w:r w:rsidRPr="002F2E64">
        <w:rPr>
          <w:rFonts w:ascii="Times" w:hAnsi="Times" w:cs="Times"/>
          <w:sz w:val="24"/>
          <w:szCs w:val="24"/>
        </w:rPr>
        <w:t xml:space="preserve">Rezygnacja z nieefektywnego subsydiowania podatników w ramach ulgi na ekspansję pozwoli na skoncentrowanie wsparcia dla tych sfer aktywności gospodarczej, które </w:t>
      </w:r>
      <w:r w:rsidR="008F4E4F">
        <w:rPr>
          <w:rFonts w:ascii="Times" w:hAnsi="Times" w:cs="Times"/>
          <w:sz w:val="24"/>
          <w:szCs w:val="24"/>
        </w:rPr>
        <w:t xml:space="preserve">mogą przyczynić się do wzrostu </w:t>
      </w:r>
      <w:r w:rsidRPr="002F2E64">
        <w:rPr>
          <w:rFonts w:ascii="Times" w:hAnsi="Times" w:cs="Times"/>
          <w:sz w:val="24"/>
          <w:szCs w:val="24"/>
        </w:rPr>
        <w:t xml:space="preserve"> konkurencyjn</w:t>
      </w:r>
      <w:r w:rsidR="008F4E4F">
        <w:rPr>
          <w:rFonts w:ascii="Times" w:hAnsi="Times" w:cs="Times"/>
          <w:sz w:val="24"/>
          <w:szCs w:val="24"/>
        </w:rPr>
        <w:t>ości</w:t>
      </w:r>
      <w:r w:rsidRPr="002F2E64">
        <w:rPr>
          <w:rFonts w:ascii="Times" w:hAnsi="Times" w:cs="Times"/>
          <w:sz w:val="24"/>
          <w:szCs w:val="24"/>
        </w:rPr>
        <w:t xml:space="preserve"> polskich przedsiębiorstw w kolejnej dekadzie</w:t>
      </w:r>
      <w:r w:rsidR="005D015D">
        <w:rPr>
          <w:rFonts w:ascii="Times" w:hAnsi="Times" w:cs="Times"/>
          <w:sz w:val="24"/>
          <w:szCs w:val="24"/>
        </w:rPr>
        <w:t>.</w:t>
      </w:r>
    </w:p>
    <w:p w14:paraId="3D5F334B" w14:textId="4CF2BA1B" w:rsidR="00E07258" w:rsidRPr="005D015D" w:rsidRDefault="00E07258" w:rsidP="00F85D7F">
      <w:pPr>
        <w:pStyle w:val="Akapitzlist"/>
        <w:numPr>
          <w:ilvl w:val="0"/>
          <w:numId w:val="16"/>
        </w:numPr>
        <w:spacing w:after="120" w:line="360" w:lineRule="auto"/>
        <w:jc w:val="both"/>
        <w:rPr>
          <w:rFonts w:ascii="Times New Roman" w:hAnsi="Times New Roman"/>
          <w:b/>
          <w:bCs/>
          <w:sz w:val="24"/>
          <w:szCs w:val="24"/>
        </w:rPr>
      </w:pPr>
      <w:r w:rsidRPr="005D015D">
        <w:rPr>
          <w:rFonts w:ascii="Times New Roman" w:hAnsi="Times New Roman"/>
          <w:sz w:val="24"/>
          <w:szCs w:val="24"/>
        </w:rPr>
        <w:t>Przedłużenie przepisów dot. ulgi na robotyzację – art. 52jb ust. 5 ustawy o PIT</w:t>
      </w:r>
      <w:r w:rsidR="006F4C41" w:rsidRPr="005D015D">
        <w:rPr>
          <w:rFonts w:ascii="Times New Roman" w:hAnsi="Times New Roman"/>
          <w:sz w:val="24"/>
          <w:szCs w:val="24"/>
        </w:rPr>
        <w:t xml:space="preserve"> oraz art. 38eb ust.</w:t>
      </w:r>
      <w:r w:rsidR="00744E84" w:rsidRPr="005D015D">
        <w:rPr>
          <w:rFonts w:ascii="Times New Roman" w:hAnsi="Times New Roman"/>
          <w:sz w:val="24"/>
          <w:szCs w:val="24"/>
        </w:rPr>
        <w:t xml:space="preserve"> </w:t>
      </w:r>
      <w:r w:rsidR="006F4C41" w:rsidRPr="005D015D">
        <w:rPr>
          <w:rFonts w:ascii="Times New Roman" w:hAnsi="Times New Roman"/>
          <w:sz w:val="24"/>
          <w:szCs w:val="24"/>
        </w:rPr>
        <w:t>5 ustawy o CIT</w:t>
      </w:r>
      <w:r w:rsidRPr="005D015D">
        <w:rPr>
          <w:rFonts w:ascii="Times New Roman" w:hAnsi="Times New Roman"/>
          <w:sz w:val="24"/>
          <w:szCs w:val="24"/>
        </w:rPr>
        <w:t xml:space="preserve"> </w:t>
      </w:r>
      <w:r w:rsidRPr="005D015D">
        <w:rPr>
          <w:rFonts w:ascii="Times New Roman" w:hAnsi="Times New Roman"/>
          <w:b/>
          <w:bCs/>
          <w:sz w:val="24"/>
          <w:szCs w:val="24"/>
        </w:rPr>
        <w:t xml:space="preserve">– art. 1 pkt </w:t>
      </w:r>
      <w:r w:rsidR="00584C27">
        <w:rPr>
          <w:rFonts w:ascii="Times New Roman" w:hAnsi="Times New Roman"/>
          <w:b/>
          <w:bCs/>
          <w:sz w:val="24"/>
          <w:szCs w:val="24"/>
        </w:rPr>
        <w:t>4</w:t>
      </w:r>
      <w:r w:rsidR="00584C27" w:rsidRPr="005D015D">
        <w:rPr>
          <w:rFonts w:ascii="Times New Roman" w:hAnsi="Times New Roman"/>
          <w:b/>
          <w:bCs/>
          <w:sz w:val="24"/>
          <w:szCs w:val="24"/>
        </w:rPr>
        <w:t xml:space="preserve"> </w:t>
      </w:r>
      <w:r w:rsidR="006F4C41" w:rsidRPr="005D015D">
        <w:rPr>
          <w:rFonts w:ascii="Times New Roman" w:hAnsi="Times New Roman"/>
          <w:b/>
          <w:bCs/>
          <w:sz w:val="24"/>
          <w:szCs w:val="24"/>
        </w:rPr>
        <w:t>oraz art. 2 pkt 2 projektowanej ustawy</w:t>
      </w:r>
    </w:p>
    <w:p w14:paraId="7EF22288" w14:textId="17341C86" w:rsidR="00E07258" w:rsidRPr="00993D99" w:rsidRDefault="00E07258" w:rsidP="006F1443">
      <w:pPr>
        <w:spacing w:after="120" w:line="360" w:lineRule="auto"/>
        <w:jc w:val="both"/>
        <w:rPr>
          <w:rFonts w:ascii="Times New Roman" w:hAnsi="Times New Roman"/>
          <w:sz w:val="24"/>
          <w:szCs w:val="24"/>
        </w:rPr>
      </w:pPr>
      <w:r w:rsidRPr="00993D99">
        <w:rPr>
          <w:rFonts w:ascii="Times New Roman" w:hAnsi="Times New Roman"/>
          <w:sz w:val="24"/>
          <w:szCs w:val="24"/>
        </w:rPr>
        <w:t>Przepisy regulujące tzw. ulgę na robotyzację, tj. art. 52jb ustawy o PIT</w:t>
      </w:r>
      <w:r w:rsidR="006F4C41" w:rsidRPr="00993D99">
        <w:rPr>
          <w:rFonts w:ascii="Times New Roman" w:hAnsi="Times New Roman"/>
          <w:sz w:val="24"/>
          <w:szCs w:val="24"/>
        </w:rPr>
        <w:t xml:space="preserve"> oraz art. 38eb ustawy o CIT</w:t>
      </w:r>
      <w:r w:rsidRPr="00993D99">
        <w:rPr>
          <w:rFonts w:ascii="Times New Roman" w:hAnsi="Times New Roman"/>
          <w:sz w:val="24"/>
          <w:szCs w:val="24"/>
        </w:rPr>
        <w:t xml:space="preserve"> zostały wprowadzone do polskiego systemu podatkowego ustawą z dnia 29 października 2021 r. o zmianie ustawy o podatku dochodowym od osób prawnych oraz niektórych innych ustaw</w:t>
      </w:r>
      <w:r w:rsidRPr="00993D99">
        <w:rPr>
          <w:rStyle w:val="Odwoanieprzypisudolnego"/>
          <w:rFonts w:ascii="Times New Roman" w:hAnsi="Times New Roman"/>
          <w:sz w:val="24"/>
          <w:szCs w:val="24"/>
        </w:rPr>
        <w:footnoteReference w:id="2"/>
      </w:r>
      <w:r w:rsidRPr="00993D99">
        <w:rPr>
          <w:rFonts w:ascii="Times New Roman" w:hAnsi="Times New Roman"/>
          <w:sz w:val="24"/>
          <w:szCs w:val="24"/>
        </w:rPr>
        <w:t>.</w:t>
      </w:r>
    </w:p>
    <w:p w14:paraId="2BBB3C8D" w14:textId="5987A22B" w:rsidR="00E70C87" w:rsidRDefault="00E07258" w:rsidP="006F1443">
      <w:pPr>
        <w:spacing w:after="120" w:line="360" w:lineRule="auto"/>
        <w:jc w:val="both"/>
        <w:rPr>
          <w:rFonts w:ascii="Times New Roman" w:hAnsi="Times New Roman" w:cs="Times New Roman"/>
          <w:sz w:val="24"/>
          <w:szCs w:val="24"/>
        </w:rPr>
      </w:pPr>
      <w:r w:rsidRPr="00993D99">
        <w:rPr>
          <w:rFonts w:ascii="Times New Roman" w:hAnsi="Times New Roman" w:cs="Times New Roman"/>
          <w:sz w:val="24"/>
          <w:szCs w:val="24"/>
        </w:rPr>
        <w:t xml:space="preserve">W obecnym stanie prawnym, ulga ta ma charakter epizodyczny, to znaczy, że prawo do jej wykorzystania można nabyć w latach 2022–2026. </w:t>
      </w:r>
      <w:r w:rsidR="006F4C41" w:rsidRPr="00766EB2">
        <w:rPr>
          <w:rFonts w:ascii="Times New Roman" w:hAnsi="Times New Roman" w:cs="Times New Roman"/>
          <w:sz w:val="24"/>
          <w:szCs w:val="24"/>
        </w:rPr>
        <w:t>Istota omawianej ulgi polega na możliwości odliczenia przez podatnika od podstawy obliczenia podatku kwoty stanowiącej do 50</w:t>
      </w:r>
      <w:r w:rsidR="005C5557">
        <w:rPr>
          <w:rFonts w:ascii="Times New Roman" w:hAnsi="Times New Roman" w:cs="Times New Roman"/>
          <w:sz w:val="24"/>
          <w:szCs w:val="24"/>
        </w:rPr>
        <w:t xml:space="preserve"> </w:t>
      </w:r>
      <w:r w:rsidR="006F4C41" w:rsidRPr="00766EB2">
        <w:rPr>
          <w:rFonts w:ascii="Times New Roman" w:hAnsi="Times New Roman" w:cs="Times New Roman"/>
          <w:sz w:val="24"/>
          <w:szCs w:val="24"/>
        </w:rPr>
        <w:t>% kosztów uzyskania przychodów poniesionych w roku podatkowym na robotyzację.</w:t>
      </w:r>
    </w:p>
    <w:p w14:paraId="67733491" w14:textId="4365235D" w:rsidR="00E07258" w:rsidRDefault="00E07258" w:rsidP="001E2456">
      <w:pPr>
        <w:spacing w:after="120" w:line="360" w:lineRule="auto"/>
        <w:jc w:val="both"/>
        <w:rPr>
          <w:rFonts w:ascii="Times New Roman" w:hAnsi="Times New Roman" w:cs="Times New Roman"/>
          <w:sz w:val="24"/>
          <w:szCs w:val="24"/>
        </w:rPr>
      </w:pPr>
      <w:r w:rsidRPr="00766EB2">
        <w:rPr>
          <w:rFonts w:ascii="Times New Roman" w:hAnsi="Times New Roman" w:cs="Times New Roman"/>
          <w:sz w:val="24"/>
          <w:szCs w:val="24"/>
        </w:rPr>
        <w:t>Zmia</w:t>
      </w:r>
      <w:r w:rsidR="00993D99" w:rsidRPr="00766EB2">
        <w:rPr>
          <w:rFonts w:ascii="Times New Roman" w:hAnsi="Times New Roman" w:cs="Times New Roman"/>
          <w:sz w:val="24"/>
          <w:szCs w:val="24"/>
        </w:rPr>
        <w:t>n</w:t>
      </w:r>
      <w:r w:rsidR="006F445A">
        <w:rPr>
          <w:rFonts w:ascii="Times New Roman" w:hAnsi="Times New Roman" w:cs="Times New Roman"/>
          <w:sz w:val="24"/>
          <w:szCs w:val="24"/>
        </w:rPr>
        <w:t>a</w:t>
      </w:r>
      <w:r w:rsidR="00993D99" w:rsidRPr="00766EB2">
        <w:rPr>
          <w:rFonts w:ascii="Times New Roman" w:hAnsi="Times New Roman" w:cs="Times New Roman"/>
          <w:sz w:val="24"/>
          <w:szCs w:val="24"/>
        </w:rPr>
        <w:t xml:space="preserve"> </w:t>
      </w:r>
      <w:r w:rsidRPr="00766EB2">
        <w:rPr>
          <w:rFonts w:ascii="Times New Roman" w:hAnsi="Times New Roman" w:cs="Times New Roman"/>
          <w:sz w:val="24"/>
          <w:szCs w:val="24"/>
        </w:rPr>
        <w:t>w art. 52jb ust. 5 ustawy o PIT</w:t>
      </w:r>
      <w:r w:rsidR="00993D99" w:rsidRPr="00766EB2">
        <w:rPr>
          <w:rFonts w:ascii="Times New Roman" w:hAnsi="Times New Roman" w:cs="Times New Roman"/>
          <w:sz w:val="24"/>
          <w:szCs w:val="24"/>
        </w:rPr>
        <w:t xml:space="preserve"> </w:t>
      </w:r>
      <w:r w:rsidRPr="00993D99">
        <w:rPr>
          <w:rFonts w:ascii="Times New Roman" w:hAnsi="Times New Roman" w:cs="Times New Roman"/>
          <w:sz w:val="24"/>
          <w:szCs w:val="24"/>
        </w:rPr>
        <w:t>ma</w:t>
      </w:r>
      <w:r w:rsidRPr="00766EB2">
        <w:rPr>
          <w:rFonts w:ascii="Times New Roman" w:hAnsi="Times New Roman" w:cs="Times New Roman"/>
          <w:sz w:val="24"/>
          <w:szCs w:val="24"/>
        </w:rPr>
        <w:t xml:space="preserve"> na celu przedłużenie przepisów dot. ulgi na robotyzację na kolejne 10 lat podatkowych. Dzięki powyższ</w:t>
      </w:r>
      <w:r w:rsidR="006F445A">
        <w:rPr>
          <w:rFonts w:ascii="Times New Roman" w:hAnsi="Times New Roman" w:cs="Times New Roman"/>
          <w:sz w:val="24"/>
          <w:szCs w:val="24"/>
        </w:rPr>
        <w:t>ej</w:t>
      </w:r>
      <w:r w:rsidRPr="00E70C87">
        <w:rPr>
          <w:rFonts w:ascii="Times New Roman" w:hAnsi="Times New Roman" w:cs="Times New Roman"/>
          <w:sz w:val="24"/>
          <w:szCs w:val="24"/>
        </w:rPr>
        <w:t xml:space="preserve"> zmian</w:t>
      </w:r>
      <w:r w:rsidR="006F445A">
        <w:rPr>
          <w:rFonts w:ascii="Times New Roman" w:hAnsi="Times New Roman" w:cs="Times New Roman"/>
          <w:sz w:val="24"/>
          <w:szCs w:val="24"/>
        </w:rPr>
        <w:t>ie</w:t>
      </w:r>
      <w:r w:rsidRPr="00E70C87">
        <w:rPr>
          <w:rFonts w:ascii="Times New Roman" w:hAnsi="Times New Roman" w:cs="Times New Roman"/>
          <w:sz w:val="24"/>
          <w:szCs w:val="24"/>
        </w:rPr>
        <w:t xml:space="preserve"> podatnicy nadal będą mogli skorzystać z odliczenia od podstawy obliczenia podatku kwoty stanowiącej do 50</w:t>
      </w:r>
      <w:r w:rsidR="005C5557">
        <w:rPr>
          <w:rFonts w:ascii="Times New Roman" w:hAnsi="Times New Roman" w:cs="Times New Roman"/>
          <w:sz w:val="24"/>
          <w:szCs w:val="24"/>
        </w:rPr>
        <w:t xml:space="preserve"> </w:t>
      </w:r>
      <w:r w:rsidRPr="00E70C87">
        <w:rPr>
          <w:rFonts w:ascii="Times New Roman" w:hAnsi="Times New Roman" w:cs="Times New Roman"/>
          <w:sz w:val="24"/>
          <w:szCs w:val="24"/>
        </w:rPr>
        <w:t>% kosztów uzyskania przychodów poniesionych w roku podatkowym na robotyzację.</w:t>
      </w:r>
    </w:p>
    <w:p w14:paraId="754C78EC" w14:textId="6C4C7DB1" w:rsidR="00E70C87" w:rsidRPr="00E70C87" w:rsidRDefault="00E70C87" w:rsidP="00E70C87">
      <w:pPr>
        <w:spacing w:before="120" w:after="120" w:line="360" w:lineRule="auto"/>
        <w:jc w:val="both"/>
        <w:rPr>
          <w:rStyle w:val="Odwoanieprzypisudolnego"/>
          <w:rFonts w:ascii="Times New Roman" w:hAnsi="Times New Roman" w:cs="Times New Roman"/>
          <w:b/>
          <w:sz w:val="24"/>
          <w:szCs w:val="24"/>
        </w:rPr>
      </w:pPr>
      <w:r w:rsidRPr="00766EB2">
        <w:rPr>
          <w:rStyle w:val="SrodtytulpismaMFZnak"/>
          <w:rFonts w:ascii="Times New Roman" w:hAnsi="Times New Roman"/>
          <w:b w:val="0"/>
          <w:sz w:val="24"/>
          <w:szCs w:val="24"/>
        </w:rPr>
        <w:t xml:space="preserve">Wsparcie rozwoju polskich firm w obszarze robotyzacji, realizowane m.in. poprzez </w:t>
      </w:r>
      <w:r w:rsidRPr="00766EB2">
        <w:rPr>
          <w:rFonts w:ascii="Times New Roman" w:hAnsi="Times New Roman" w:cs="Times New Roman"/>
          <w:sz w:val="24"/>
          <w:szCs w:val="24"/>
        </w:rPr>
        <w:t>narzędzia polityki gospodarczej, takie jak ww. ulga podatkowa, pośrednio wpływa na wzrost produktywności i konkurencyjności gospodarki.</w:t>
      </w:r>
      <w:r>
        <w:rPr>
          <w:rFonts w:ascii="Times New Roman" w:hAnsi="Times New Roman" w:cs="Times New Roman"/>
          <w:sz w:val="24"/>
          <w:szCs w:val="24"/>
        </w:rPr>
        <w:t xml:space="preserve"> </w:t>
      </w:r>
      <w:r w:rsidRPr="00E70C87">
        <w:rPr>
          <w:rFonts w:ascii="Times New Roman" w:hAnsi="Times New Roman" w:cs="Times New Roman"/>
          <w:sz w:val="24"/>
          <w:szCs w:val="24"/>
        </w:rPr>
        <w:t>Ponadto,</w:t>
      </w:r>
      <w:r>
        <w:rPr>
          <w:rFonts w:ascii="Times New Roman" w:hAnsi="Times New Roman" w:cs="Times New Roman"/>
          <w:sz w:val="24"/>
          <w:szCs w:val="24"/>
        </w:rPr>
        <w:t xml:space="preserve"> b</w:t>
      </w:r>
      <w:r w:rsidRPr="00E70C87">
        <w:rPr>
          <w:rFonts w:ascii="Times New Roman" w:hAnsi="Times New Roman" w:cs="Times New Roman"/>
          <w:sz w:val="24"/>
          <w:szCs w:val="24"/>
        </w:rPr>
        <w:t>adania dla Niemiec wskazują, że zachęty fiskalne związane z robotyzacją mogą również prowadzić do wzrostu zatrudnienia</w:t>
      </w:r>
      <w:r w:rsidRPr="00E70C87">
        <w:rPr>
          <w:rFonts w:ascii="Times New Roman" w:hAnsi="Times New Roman" w:cs="Times New Roman"/>
          <w:sz w:val="24"/>
          <w:szCs w:val="24"/>
          <w:vertAlign w:val="superscript"/>
        </w:rPr>
        <w:footnoteReference w:id="3"/>
      </w:r>
      <w:r w:rsidRPr="005D015D">
        <w:rPr>
          <w:rFonts w:ascii="Times New Roman" w:hAnsi="Times New Roman" w:cs="Times New Roman"/>
          <w:sz w:val="24"/>
          <w:szCs w:val="24"/>
        </w:rPr>
        <w:t>.</w:t>
      </w:r>
      <w:r w:rsidRPr="00D26657">
        <w:rPr>
          <w:rFonts w:ascii="Times New Roman" w:hAnsi="Times New Roman" w:cs="Times New Roman"/>
          <w:sz w:val="24"/>
          <w:szCs w:val="24"/>
        </w:rPr>
        <w:t xml:space="preserve"> </w:t>
      </w:r>
      <w:r w:rsidRPr="00E70C87">
        <w:rPr>
          <w:rFonts w:ascii="Times New Roman" w:hAnsi="Times New Roman" w:cs="Times New Roman"/>
          <w:sz w:val="24"/>
          <w:szCs w:val="24"/>
        </w:rPr>
        <w:t xml:space="preserve">OECD wskazuje, że państwa konkurują poziomem stosowanych ulg, a liderami względem wsparcia są m. in. Islandia, Wielka Brytania i Portugalia. Systemy ulg stają się coraz </w:t>
      </w:r>
      <w:r w:rsidR="00B37941">
        <w:rPr>
          <w:rFonts w:ascii="Times New Roman" w:hAnsi="Times New Roman" w:cs="Times New Roman"/>
          <w:sz w:val="24"/>
          <w:szCs w:val="24"/>
        </w:rPr>
        <w:t xml:space="preserve">szersze </w:t>
      </w:r>
      <w:r w:rsidRPr="00E70C87">
        <w:rPr>
          <w:rFonts w:ascii="Times New Roman" w:hAnsi="Times New Roman" w:cs="Times New Roman"/>
          <w:sz w:val="24"/>
          <w:szCs w:val="24"/>
        </w:rPr>
        <w:lastRenderedPageBreak/>
        <w:t>(</w:t>
      </w:r>
      <w:r w:rsidR="00B37941">
        <w:rPr>
          <w:rFonts w:ascii="Times New Roman" w:hAnsi="Times New Roman" w:cs="Times New Roman"/>
          <w:sz w:val="24"/>
          <w:szCs w:val="24"/>
        </w:rPr>
        <w:t xml:space="preserve">dostępne </w:t>
      </w:r>
      <w:r w:rsidRPr="00E70C87">
        <w:rPr>
          <w:rFonts w:ascii="Times New Roman" w:hAnsi="Times New Roman" w:cs="Times New Roman"/>
          <w:sz w:val="24"/>
          <w:szCs w:val="24"/>
        </w:rPr>
        <w:t>dla MŚP) i zautomatyzowane w stosowaniu, co oznacza presję na utrzymanie konkurencyjności systemów podatkowych</w:t>
      </w:r>
      <w:r>
        <w:rPr>
          <w:rFonts w:ascii="Times New Roman" w:hAnsi="Times New Roman" w:cs="Times New Roman"/>
          <w:sz w:val="24"/>
          <w:szCs w:val="24"/>
        </w:rPr>
        <w:t xml:space="preserve">. </w:t>
      </w:r>
      <w:r w:rsidRPr="00E70C87">
        <w:rPr>
          <w:rFonts w:ascii="Times New Roman" w:hAnsi="Times New Roman" w:cs="Times New Roman"/>
          <w:sz w:val="24"/>
          <w:szCs w:val="24"/>
        </w:rPr>
        <w:t>W odróżnieniu od dotacji, ulgi podatkowe są bardziej stabilne, działają automatycznie (bez konkursów) i są rzadziej ograniczane w sytuacjach kryzysowych</w:t>
      </w:r>
      <w:r w:rsidRPr="00E70C87">
        <w:rPr>
          <w:rFonts w:ascii="Times New Roman" w:hAnsi="Times New Roman" w:cs="Times New Roman"/>
          <w:sz w:val="24"/>
          <w:szCs w:val="24"/>
          <w:vertAlign w:val="superscript"/>
        </w:rPr>
        <w:footnoteReference w:id="4"/>
      </w:r>
      <w:r w:rsidR="00B37941" w:rsidRPr="00B37941">
        <w:rPr>
          <w:rFonts w:ascii="Times New Roman" w:hAnsi="Times New Roman" w:cs="Times New Roman"/>
          <w:sz w:val="24"/>
          <w:szCs w:val="24"/>
        </w:rPr>
        <w:t>.</w:t>
      </w:r>
    </w:p>
    <w:p w14:paraId="7501936A" w14:textId="12B04E16" w:rsidR="006F445A" w:rsidRDefault="006F445A" w:rsidP="001E2456">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Proponowane przedłużenie obowiązywania przepisów o kolejne 10 lat podatkowych,</w:t>
      </w:r>
      <w:r w:rsidR="00E70C87">
        <w:rPr>
          <w:rFonts w:ascii="Times New Roman" w:hAnsi="Times New Roman" w:cs="Times New Roman"/>
          <w:sz w:val="24"/>
          <w:szCs w:val="24"/>
        </w:rPr>
        <w:t xml:space="preserve"> w</w:t>
      </w:r>
      <w:r w:rsidR="003F4894">
        <w:rPr>
          <w:rFonts w:ascii="Times New Roman" w:hAnsi="Times New Roman" w:cs="Times New Roman"/>
          <w:sz w:val="24"/>
          <w:szCs w:val="24"/>
        </w:rPr>
        <w:t> </w:t>
      </w:r>
      <w:r w:rsidR="00E70C87">
        <w:rPr>
          <w:rFonts w:ascii="Times New Roman" w:hAnsi="Times New Roman" w:cs="Times New Roman"/>
          <w:sz w:val="24"/>
          <w:szCs w:val="24"/>
        </w:rPr>
        <w:t>odróżnieniu od</w:t>
      </w:r>
      <w:r>
        <w:rPr>
          <w:rFonts w:ascii="Times New Roman" w:hAnsi="Times New Roman" w:cs="Times New Roman"/>
          <w:sz w:val="24"/>
          <w:szCs w:val="24"/>
        </w:rPr>
        <w:t xml:space="preserve"> 5</w:t>
      </w:r>
      <w:r w:rsidR="00E70C87">
        <w:rPr>
          <w:rFonts w:ascii="Times New Roman" w:hAnsi="Times New Roman" w:cs="Times New Roman"/>
          <w:sz w:val="24"/>
          <w:szCs w:val="24"/>
        </w:rPr>
        <w:t>,</w:t>
      </w:r>
      <w:r>
        <w:rPr>
          <w:rFonts w:ascii="Times New Roman" w:hAnsi="Times New Roman" w:cs="Times New Roman"/>
          <w:sz w:val="24"/>
          <w:szCs w:val="24"/>
        </w:rPr>
        <w:t xml:space="preserve"> jak w przypadku wprowadzenia przepisów</w:t>
      </w:r>
      <w:r w:rsidR="00E70C87">
        <w:rPr>
          <w:rFonts w:ascii="Times New Roman" w:hAnsi="Times New Roman" w:cs="Times New Roman"/>
          <w:sz w:val="24"/>
          <w:szCs w:val="24"/>
        </w:rPr>
        <w:t xml:space="preserve"> w roku 2021,</w:t>
      </w:r>
      <w:r>
        <w:rPr>
          <w:rFonts w:ascii="Times New Roman" w:hAnsi="Times New Roman" w:cs="Times New Roman"/>
          <w:sz w:val="24"/>
          <w:szCs w:val="24"/>
        </w:rPr>
        <w:t xml:space="preserve"> stanowi odpowiedź na potrzebę planowania przez podatników inwestycji w średniookresowej/dłuższej perspektywie. Równocześnie, pozostawienie ulgi w charakterze rozwiązania epizodycznego pozostawia możliwość</w:t>
      </w:r>
      <w:r w:rsidR="00386AC1">
        <w:rPr>
          <w:rFonts w:ascii="Times New Roman" w:hAnsi="Times New Roman" w:cs="Times New Roman"/>
          <w:sz w:val="24"/>
          <w:szCs w:val="24"/>
        </w:rPr>
        <w:t xml:space="preserve"> ewaluacji oraz</w:t>
      </w:r>
      <w:r>
        <w:rPr>
          <w:rFonts w:ascii="Times New Roman" w:hAnsi="Times New Roman" w:cs="Times New Roman"/>
          <w:sz w:val="24"/>
          <w:szCs w:val="24"/>
        </w:rPr>
        <w:t xml:space="preserve"> dostosowania rozwiązania do dynamicznie zmieniając</w:t>
      </w:r>
      <w:r w:rsidR="00F66B5D">
        <w:rPr>
          <w:rFonts w:ascii="Times New Roman" w:hAnsi="Times New Roman" w:cs="Times New Roman"/>
          <w:sz w:val="24"/>
          <w:szCs w:val="24"/>
        </w:rPr>
        <w:t>ych się warunków gospodarczych.</w:t>
      </w:r>
    </w:p>
    <w:p w14:paraId="56524E6B" w14:textId="23A3DBBF" w:rsidR="006F445A" w:rsidRDefault="006F445A" w:rsidP="001E2456">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Analogiczne zmiany proponowane są w przypadku podatników podatku dochodowego od osób prawnych. </w:t>
      </w:r>
      <w:r w:rsidRPr="00766EB2">
        <w:rPr>
          <w:rFonts w:ascii="Times New Roman" w:hAnsi="Times New Roman" w:cs="Times New Roman"/>
          <w:sz w:val="24"/>
          <w:szCs w:val="24"/>
        </w:rPr>
        <w:t xml:space="preserve">W odniesieniu do podatników podatku </w:t>
      </w:r>
      <w:r>
        <w:rPr>
          <w:rFonts w:ascii="Times New Roman" w:hAnsi="Times New Roman" w:cs="Times New Roman"/>
          <w:sz w:val="24"/>
          <w:szCs w:val="24"/>
        </w:rPr>
        <w:t xml:space="preserve">CIT </w:t>
      </w:r>
      <w:r w:rsidRPr="00766EB2">
        <w:rPr>
          <w:rFonts w:ascii="Times New Roman" w:hAnsi="Times New Roman" w:cs="Times New Roman"/>
          <w:sz w:val="24"/>
          <w:szCs w:val="24"/>
        </w:rPr>
        <w:t>odliczenie ma zastosowanie do kosztów uzyskania przychodów poniesionych na robotyzację od początku roku podatkowego, który rozpoczął się w 2022 r., do końca roku podatkowego, który rozpoczął się w roku 2026</w:t>
      </w:r>
      <w:r w:rsidR="00E70BF0">
        <w:rPr>
          <w:rFonts w:ascii="Times New Roman" w:hAnsi="Times New Roman" w:cs="Times New Roman"/>
          <w:sz w:val="24"/>
          <w:szCs w:val="24"/>
        </w:rPr>
        <w:t>.</w:t>
      </w:r>
      <w:r w:rsidR="00E70C87">
        <w:rPr>
          <w:rFonts w:ascii="Times New Roman" w:hAnsi="Times New Roman" w:cs="Times New Roman"/>
          <w:sz w:val="24"/>
          <w:szCs w:val="24"/>
        </w:rPr>
        <w:t xml:space="preserve"> </w:t>
      </w:r>
      <w:r w:rsidR="00E70BF0">
        <w:rPr>
          <w:rFonts w:ascii="Times New Roman" w:hAnsi="Times New Roman" w:cs="Times New Roman"/>
          <w:sz w:val="24"/>
          <w:szCs w:val="24"/>
        </w:rPr>
        <w:t>P</w:t>
      </w:r>
      <w:r w:rsidR="00E70C87">
        <w:rPr>
          <w:rFonts w:ascii="Times New Roman" w:hAnsi="Times New Roman" w:cs="Times New Roman"/>
          <w:sz w:val="24"/>
          <w:szCs w:val="24"/>
        </w:rPr>
        <w:t>o wejściu w życie proponowanych zmian będzie miało ono zastosowanie do kosztów uzyskania przychodów poniesionych na robotyzację do końca roku podatkowego, który rozpoczął się w</w:t>
      </w:r>
      <w:r w:rsidR="00E70BF0">
        <w:rPr>
          <w:rFonts w:ascii="Times New Roman" w:hAnsi="Times New Roman" w:cs="Times New Roman"/>
          <w:sz w:val="24"/>
          <w:szCs w:val="24"/>
        </w:rPr>
        <w:t> </w:t>
      </w:r>
      <w:r w:rsidR="00E70C87">
        <w:rPr>
          <w:rFonts w:ascii="Times New Roman" w:hAnsi="Times New Roman" w:cs="Times New Roman"/>
          <w:sz w:val="24"/>
          <w:szCs w:val="24"/>
        </w:rPr>
        <w:t>roku 2036.</w:t>
      </w:r>
    </w:p>
    <w:p w14:paraId="1DAB843F" w14:textId="250F1238" w:rsidR="00386AC1" w:rsidRDefault="00386AC1" w:rsidP="00386AC1">
      <w:pPr>
        <w:pStyle w:val="TekstpismaMF"/>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Przepisy podatkowe, takie jak regulacje dot. ulgi na robotyzację, zawierające elementy o</w:t>
      </w:r>
      <w:r w:rsidR="003F4894">
        <w:rPr>
          <w:rFonts w:ascii="Times New Roman" w:hAnsi="Times New Roman" w:cs="Times New Roman"/>
          <w:sz w:val="24"/>
          <w:szCs w:val="24"/>
        </w:rPr>
        <w:t> </w:t>
      </w:r>
      <w:r>
        <w:rPr>
          <w:rFonts w:ascii="Times New Roman" w:hAnsi="Times New Roman" w:cs="Times New Roman"/>
          <w:sz w:val="24"/>
          <w:szCs w:val="24"/>
        </w:rPr>
        <w:t xml:space="preserve">charakterze technicznym stanowią rzadkość w ustawach podatkowych. Najwięcej wątpliwości wzbudza definicja kosztu nabycia jako </w:t>
      </w:r>
      <w:r w:rsidR="003F4894">
        <w:rPr>
          <w:rFonts w:ascii="Times New Roman" w:hAnsi="Times New Roman" w:cs="Times New Roman"/>
          <w:sz w:val="24"/>
          <w:szCs w:val="24"/>
        </w:rPr>
        <w:t>kosztu</w:t>
      </w:r>
      <w:r>
        <w:rPr>
          <w:rFonts w:ascii="Times New Roman" w:hAnsi="Times New Roman" w:cs="Times New Roman"/>
          <w:sz w:val="24"/>
          <w:szCs w:val="24"/>
        </w:rPr>
        <w:t xml:space="preserve"> kwalifikowanego. Dlatego też zasadne jest rozstrzygnięcie tej wątpliwości poprzez interwencję legislacyjną (art. 1 pkt </w:t>
      </w:r>
      <w:r w:rsidR="00F85D7F">
        <w:rPr>
          <w:rFonts w:ascii="Times New Roman" w:hAnsi="Times New Roman" w:cs="Times New Roman"/>
          <w:sz w:val="24"/>
          <w:szCs w:val="24"/>
        </w:rPr>
        <w:t>4</w:t>
      </w:r>
      <w:r>
        <w:rPr>
          <w:rFonts w:ascii="Times New Roman" w:hAnsi="Times New Roman" w:cs="Times New Roman"/>
          <w:sz w:val="24"/>
          <w:szCs w:val="24"/>
        </w:rPr>
        <w:t xml:space="preserve"> lit. a oraz art. 2 pkt 2 lit. a projektowanej ustawy). Istota sporu w tym zakresie sprowadza się do odpowiedzi na pytanie, czy kosztem kwalifikowanym jest w tym przypadku cena nabycia środka trwałego, czy też kwota dokonywanych od niego odpisów amortyzacyjnych.</w:t>
      </w:r>
      <w:r w:rsidR="003F4894">
        <w:rPr>
          <w:rFonts w:ascii="Times New Roman" w:hAnsi="Times New Roman" w:cs="Times New Roman"/>
          <w:sz w:val="24"/>
          <w:szCs w:val="24"/>
        </w:rPr>
        <w:t xml:space="preserve"> </w:t>
      </w:r>
      <w:r>
        <w:rPr>
          <w:rFonts w:ascii="Times New Roman" w:hAnsi="Times New Roman" w:cs="Times New Roman"/>
          <w:sz w:val="24"/>
          <w:szCs w:val="24"/>
        </w:rPr>
        <w:t xml:space="preserve">Stanowisko Ministerstw Finansów jest w tej sprawie niezmienne od początku obowiązywania przepisów </w:t>
      </w:r>
      <w:r w:rsidR="00E70BF0">
        <w:rPr>
          <w:rFonts w:ascii="Times New Roman" w:hAnsi="Times New Roman" w:cs="Times New Roman"/>
          <w:sz w:val="24"/>
          <w:szCs w:val="24"/>
        </w:rPr>
        <w:t>regulujących</w:t>
      </w:r>
      <w:r>
        <w:rPr>
          <w:rFonts w:ascii="Times New Roman" w:hAnsi="Times New Roman" w:cs="Times New Roman"/>
          <w:sz w:val="24"/>
          <w:szCs w:val="24"/>
        </w:rPr>
        <w:t xml:space="preserve"> ulgę na robotyzację. W ocenie MF prawidłowym jest uznanie za koszt kwalifikowany kwoty dokonywanych odpisów amortyzacyjnych. </w:t>
      </w:r>
      <w:r w:rsidR="003F4894" w:rsidRPr="003F4894">
        <w:rPr>
          <w:rFonts w:ascii="Times New Roman" w:hAnsi="Times New Roman" w:cs="Times New Roman"/>
          <w:sz w:val="24"/>
          <w:szCs w:val="24"/>
        </w:rPr>
        <w:t xml:space="preserve">Obecnie przepisy odwołują się do kosztów uzyskania przychodów. W przypadku środków trwałych kosztem uzyskania przychodów są co do zasady odpisy amortyzacyjne, a nie cena nabycia środka trwałego. Ze względu </w:t>
      </w:r>
      <w:r w:rsidR="003F4894">
        <w:rPr>
          <w:rFonts w:ascii="Times New Roman" w:hAnsi="Times New Roman" w:cs="Times New Roman"/>
          <w:sz w:val="24"/>
          <w:szCs w:val="24"/>
        </w:rPr>
        <w:t xml:space="preserve">jednak </w:t>
      </w:r>
      <w:r w:rsidR="003F4894" w:rsidRPr="003F4894">
        <w:rPr>
          <w:rFonts w:ascii="Times New Roman" w:hAnsi="Times New Roman" w:cs="Times New Roman"/>
          <w:sz w:val="24"/>
          <w:szCs w:val="24"/>
        </w:rPr>
        <w:t>na istniejące wątpliwości interpretacyjne zasadne jest jednoznaczne określenie zasad odliczenia.</w:t>
      </w:r>
      <w:r w:rsidR="00083D01" w:rsidRPr="00083D01">
        <w:rPr>
          <w:rFonts w:ascii="Times New Roman" w:hAnsi="Times New Roman" w:cs="Times New Roman"/>
          <w:sz w:val="24"/>
          <w:szCs w:val="24"/>
        </w:rPr>
        <w:t xml:space="preserve"> </w:t>
      </w:r>
      <w:r w:rsidR="00083D01">
        <w:rPr>
          <w:rFonts w:ascii="Times New Roman" w:hAnsi="Times New Roman" w:cs="Times New Roman"/>
          <w:sz w:val="24"/>
          <w:szCs w:val="24"/>
        </w:rPr>
        <w:t>Proponuje się dodanie przepisu, zgodnie z którym w</w:t>
      </w:r>
      <w:r w:rsidR="00083D01" w:rsidRPr="00AA0284">
        <w:rPr>
          <w:rFonts w:ascii="Times New Roman" w:hAnsi="Times New Roman" w:cs="Times New Roman"/>
          <w:sz w:val="24"/>
          <w:szCs w:val="24"/>
        </w:rPr>
        <w:t xml:space="preserve"> przypadku środków </w:t>
      </w:r>
      <w:r w:rsidR="00083D01" w:rsidRPr="00AA0284">
        <w:rPr>
          <w:rFonts w:ascii="Times New Roman" w:hAnsi="Times New Roman" w:cs="Times New Roman"/>
          <w:sz w:val="24"/>
          <w:szCs w:val="24"/>
        </w:rPr>
        <w:lastRenderedPageBreak/>
        <w:t>trwałych i wartości niematerialnych i prawnych podlegających amortyzacji, za koszty uzyskania przychodów poniesione na robotyzację uznaje się dokonywane w danym roku podatkowym, zaliczane do kosztów uzyskania przychodów, odpisy amortyzacyjne od tych środków trwałych oraz wartości niematerialnych i prawnych</w:t>
      </w:r>
      <w:r w:rsidR="00083D01" w:rsidRPr="000B76DD">
        <w:rPr>
          <w:rFonts w:ascii="Times New Roman" w:hAnsi="Times New Roman" w:cs="Times New Roman"/>
          <w:sz w:val="24"/>
          <w:szCs w:val="24"/>
        </w:rPr>
        <w:t xml:space="preserve"> </w:t>
      </w:r>
      <w:r w:rsidR="00083D01">
        <w:rPr>
          <w:rFonts w:ascii="Times New Roman" w:hAnsi="Times New Roman" w:cs="Times New Roman"/>
          <w:sz w:val="24"/>
          <w:szCs w:val="24"/>
        </w:rPr>
        <w:t>(art. 1 pkt 4 lit. a oraz art. 2 pkt 2 lit. a projektu)</w:t>
      </w:r>
      <w:r w:rsidR="00083D01" w:rsidRPr="00AA0284">
        <w:rPr>
          <w:rFonts w:ascii="Times New Roman" w:hAnsi="Times New Roman" w:cs="Times New Roman"/>
          <w:sz w:val="24"/>
          <w:szCs w:val="24"/>
        </w:rPr>
        <w:t>.</w:t>
      </w:r>
      <w:r w:rsidR="00083D01">
        <w:rPr>
          <w:rFonts w:ascii="Times New Roman" w:hAnsi="Times New Roman" w:cs="Times New Roman"/>
          <w:sz w:val="24"/>
          <w:szCs w:val="24"/>
        </w:rPr>
        <w:t xml:space="preserve"> Powyższa zmiana może prowadzić do zwiększenia popularności ulgi poprzez zwiększenie pewności prawa oraz zmniejszenie liczby potencjalnych sporów czy korekt deklaracji.</w:t>
      </w:r>
    </w:p>
    <w:p w14:paraId="51957E83" w14:textId="0A2FEA01" w:rsidR="00386AC1" w:rsidRPr="006F445A" w:rsidRDefault="00386AC1" w:rsidP="00AA0284">
      <w:pPr>
        <w:pStyle w:val="TekstpismaMF"/>
        <w:spacing w:after="120" w:line="360" w:lineRule="auto"/>
        <w:contextualSpacing w:val="0"/>
        <w:jc w:val="both"/>
        <w:rPr>
          <w:rFonts w:ascii="Times New Roman" w:hAnsi="Times New Roman" w:cs="Times New Roman"/>
          <w:sz w:val="24"/>
          <w:szCs w:val="24"/>
        </w:rPr>
      </w:pPr>
      <w:r>
        <w:rPr>
          <w:rFonts w:ascii="Times New Roman" w:hAnsi="Times New Roman" w:cs="Times New Roman"/>
          <w:sz w:val="24"/>
          <w:szCs w:val="24"/>
        </w:rPr>
        <w:t xml:space="preserve">Wprowadzenie ulgi na robotyzację stanowiło realizację kamienia milowego A27G </w:t>
      </w:r>
      <w:r>
        <w:rPr>
          <w:rFonts w:ascii="Times New Roman" w:hAnsi="Times New Roman" w:cs="Times New Roman"/>
          <w:i/>
          <w:iCs/>
          <w:sz w:val="24"/>
          <w:szCs w:val="24"/>
        </w:rPr>
        <w:t>Wejście w</w:t>
      </w:r>
      <w:r w:rsidR="00A43D54">
        <w:rPr>
          <w:rFonts w:ascii="Times New Roman" w:hAnsi="Times New Roman" w:cs="Times New Roman"/>
          <w:i/>
          <w:iCs/>
          <w:sz w:val="24"/>
          <w:szCs w:val="24"/>
        </w:rPr>
        <w:t> </w:t>
      </w:r>
      <w:r>
        <w:rPr>
          <w:rFonts w:ascii="Times New Roman" w:hAnsi="Times New Roman" w:cs="Times New Roman"/>
          <w:i/>
          <w:iCs/>
          <w:sz w:val="24"/>
          <w:szCs w:val="24"/>
        </w:rPr>
        <w:t>życie nowej ustawy wspierającej automatyzację/cyfryzację i innowacje w przedsiębiorstwach poprzez wprowadzenie ulg podatkowych w zakresie robotyzacji</w:t>
      </w:r>
      <w:r>
        <w:rPr>
          <w:rFonts w:ascii="Times New Roman" w:hAnsi="Times New Roman" w:cs="Times New Roman"/>
          <w:sz w:val="24"/>
          <w:szCs w:val="24"/>
        </w:rPr>
        <w:t xml:space="preserve"> w ramach Krajowego Planu Odbudowy i Zwiększania Odporności (dalej: KPO). W związku z powyższym niezbędne było zapewnienie zgodności regulacji z klauzulą DNSH (</w:t>
      </w:r>
      <w:r>
        <w:rPr>
          <w:rStyle w:val="Uwydatnienie"/>
          <w:rFonts w:ascii="Times New Roman" w:hAnsi="Times New Roman" w:cs="Times New Roman"/>
          <w:sz w:val="24"/>
          <w:szCs w:val="24"/>
        </w:rPr>
        <w:t>Do No Significant Harm</w:t>
      </w:r>
      <w:r>
        <w:rPr>
          <w:rFonts w:ascii="Times New Roman" w:hAnsi="Times New Roman" w:cs="Times New Roman"/>
          <w:sz w:val="24"/>
          <w:szCs w:val="24"/>
        </w:rPr>
        <w:t>), czyli zasadą „nie czyń poważnych/znaczących szkód” środowisku. Zapewnienie zgodności z klauzulą DNSH zostało zrealizowane poprzez normy prawne zawarte w art. 52jb ust. 5a ustawy</w:t>
      </w:r>
      <w:r w:rsidR="00D26657">
        <w:rPr>
          <w:rFonts w:ascii="Times New Roman" w:hAnsi="Times New Roman" w:cs="Times New Roman"/>
          <w:sz w:val="24"/>
          <w:szCs w:val="24"/>
        </w:rPr>
        <w:t xml:space="preserve"> o</w:t>
      </w:r>
      <w:r>
        <w:rPr>
          <w:rFonts w:ascii="Times New Roman" w:hAnsi="Times New Roman" w:cs="Times New Roman"/>
          <w:sz w:val="24"/>
          <w:szCs w:val="24"/>
        </w:rPr>
        <w:t xml:space="preserve"> PIT oraz odpowiednio art. 38eb ust. 5a ustawy</w:t>
      </w:r>
      <w:r w:rsidR="00D26657">
        <w:rPr>
          <w:rFonts w:ascii="Times New Roman" w:hAnsi="Times New Roman" w:cs="Times New Roman"/>
          <w:sz w:val="24"/>
          <w:szCs w:val="24"/>
        </w:rPr>
        <w:t xml:space="preserve"> o</w:t>
      </w:r>
      <w:r>
        <w:rPr>
          <w:rFonts w:ascii="Times New Roman" w:hAnsi="Times New Roman" w:cs="Times New Roman"/>
          <w:sz w:val="24"/>
          <w:szCs w:val="24"/>
        </w:rPr>
        <w:t xml:space="preserve"> CIT. </w:t>
      </w:r>
      <w:r>
        <w:rPr>
          <w:rFonts w:ascii="Times New Roman" w:hAnsi="Times New Roman" w:cs="Times New Roman"/>
          <w:color w:val="000000"/>
          <w:sz w:val="24"/>
          <w:szCs w:val="24"/>
          <w:shd w:val="clear" w:color="auto" w:fill="FFFFFF"/>
        </w:rPr>
        <w:t xml:space="preserve">DNSH oznacza niewspieranie ani nieprowadzenie działalności gospodarczej, która czyni poważne szkody dla któregokolwiek z celów środowiskowych, w stosownych przypadkach, w rozumieniu art. 17  </w:t>
      </w:r>
      <w:r>
        <w:rPr>
          <w:rFonts w:ascii="Times New Roman" w:hAnsi="Times New Roman" w:cs="Times New Roman"/>
          <w:i/>
          <w:iCs/>
          <w:color w:val="000000"/>
          <w:sz w:val="24"/>
          <w:szCs w:val="24"/>
          <w:shd w:val="clear" w:color="auto" w:fill="FFFFFF"/>
        </w:rPr>
        <w:t>Rozporządzenia Parlamentu Europejskiego i Rady (UE) 2020/852 z dnia 18 czerwca 2020r. w sprawie ustanowienia ram ułatwiających zrównoważone inwestycje, zmieniające rozporządzenie (UE) 2019/2088</w:t>
      </w:r>
      <w:r>
        <w:rPr>
          <w:rStyle w:val="Odwoanieprzypisudolnego"/>
          <w:rFonts w:ascii="Times New Roman" w:hAnsi="Times New Roman" w:cs="Times New Roman"/>
          <w:color w:val="000000"/>
          <w:sz w:val="24"/>
          <w:szCs w:val="24"/>
          <w:shd w:val="clear" w:color="auto" w:fill="FFFFFF"/>
        </w:rPr>
        <w:footnoteReference w:id="5"/>
      </w:r>
      <w:r>
        <w:rPr>
          <w:rFonts w:ascii="Times New Roman" w:hAnsi="Times New Roman" w:cs="Times New Roman"/>
          <w:i/>
          <w:iCs/>
          <w:color w:val="000000"/>
          <w:sz w:val="24"/>
          <w:szCs w:val="24"/>
          <w:shd w:val="clear" w:color="auto" w:fill="FFFFFF"/>
        </w:rPr>
        <w:t xml:space="preserve">. </w:t>
      </w:r>
      <w:r>
        <w:rPr>
          <w:rFonts w:ascii="Times New Roman" w:hAnsi="Times New Roman" w:cs="Times New Roman"/>
          <w:sz w:val="24"/>
          <w:szCs w:val="24"/>
        </w:rPr>
        <w:t>Realizacja kamienia milowego A27G zakładała czasowy charakter obowiązywania regulacji, w związku z czym po upływie przewidzianego okresu, warunek ten może zostać uchylony. Horyzont czasowy obowiązywania przepisów dotyczących ulgi na robotyzację zaproponowany w projekcie ustawy wykracza poza wynikający z realizacji kamienia milowego A27G</w:t>
      </w:r>
      <w:r w:rsidR="00D26657">
        <w:rPr>
          <w:rFonts w:ascii="Times New Roman" w:hAnsi="Times New Roman" w:cs="Times New Roman"/>
          <w:sz w:val="24"/>
          <w:szCs w:val="24"/>
        </w:rPr>
        <w:t>,</w:t>
      </w:r>
      <w:r>
        <w:rPr>
          <w:rFonts w:ascii="Times New Roman" w:hAnsi="Times New Roman" w:cs="Times New Roman"/>
          <w:sz w:val="24"/>
          <w:szCs w:val="24"/>
        </w:rPr>
        <w:t xml:space="preserve"> w związku z czym proponuje się </w:t>
      </w:r>
      <w:r w:rsidR="00F85D7F">
        <w:rPr>
          <w:rFonts w:ascii="Times New Roman" w:hAnsi="Times New Roman" w:cs="Times New Roman"/>
          <w:sz w:val="24"/>
          <w:szCs w:val="24"/>
        </w:rPr>
        <w:t>usunięcie</w:t>
      </w:r>
      <w:r>
        <w:rPr>
          <w:rFonts w:ascii="Times New Roman" w:hAnsi="Times New Roman" w:cs="Times New Roman"/>
          <w:sz w:val="24"/>
          <w:szCs w:val="24"/>
        </w:rPr>
        <w:t xml:space="preserve"> art. 52jb ust. 5a ustawy </w:t>
      </w:r>
      <w:r w:rsidR="00D26657">
        <w:rPr>
          <w:rFonts w:ascii="Times New Roman" w:hAnsi="Times New Roman" w:cs="Times New Roman"/>
          <w:sz w:val="24"/>
          <w:szCs w:val="24"/>
        </w:rPr>
        <w:t xml:space="preserve">o </w:t>
      </w:r>
      <w:r>
        <w:rPr>
          <w:rFonts w:ascii="Times New Roman" w:hAnsi="Times New Roman" w:cs="Times New Roman"/>
          <w:sz w:val="24"/>
          <w:szCs w:val="24"/>
        </w:rPr>
        <w:t xml:space="preserve">PIT oraz art. 38eb ust. 5a ustawy </w:t>
      </w:r>
      <w:r w:rsidR="00D26657">
        <w:rPr>
          <w:rFonts w:ascii="Times New Roman" w:hAnsi="Times New Roman" w:cs="Times New Roman"/>
          <w:sz w:val="24"/>
          <w:szCs w:val="24"/>
        </w:rPr>
        <w:t xml:space="preserve">o </w:t>
      </w:r>
      <w:r>
        <w:rPr>
          <w:rFonts w:ascii="Times New Roman" w:hAnsi="Times New Roman" w:cs="Times New Roman"/>
          <w:sz w:val="24"/>
          <w:szCs w:val="24"/>
        </w:rPr>
        <w:t xml:space="preserve">CIT. </w:t>
      </w:r>
    </w:p>
    <w:p w14:paraId="66E443D2" w14:textId="234E9C72" w:rsidR="0060492B" w:rsidRPr="000F6D18" w:rsidRDefault="00AB5B76" w:rsidP="00AA0284">
      <w:pPr>
        <w:pStyle w:val="TekstpismaMF"/>
        <w:spacing w:after="120" w:line="360" w:lineRule="auto"/>
        <w:contextualSpacing w:val="0"/>
        <w:jc w:val="both"/>
        <w:rPr>
          <w:rFonts w:ascii="Times New Roman" w:hAnsi="Times New Roman" w:cs="Times New Roman"/>
          <w:sz w:val="24"/>
          <w:szCs w:val="24"/>
        </w:rPr>
      </w:pPr>
      <w:r w:rsidRPr="000F6D18">
        <w:rPr>
          <w:rFonts w:ascii="Times New Roman" w:hAnsi="Times New Roman" w:cs="Times New Roman"/>
          <w:b/>
          <w:bCs/>
          <w:sz w:val="24"/>
          <w:szCs w:val="24"/>
        </w:rPr>
        <w:t>Art. 3</w:t>
      </w:r>
      <w:r w:rsidRPr="000F6D18">
        <w:rPr>
          <w:rFonts w:ascii="Times New Roman" w:hAnsi="Times New Roman" w:cs="Times New Roman"/>
          <w:sz w:val="24"/>
          <w:szCs w:val="24"/>
        </w:rPr>
        <w:t xml:space="preserve"> projektowanej ustawy zawiera przepisy dostosowawcze w ustawie o ryczałcie związane z omówionym na wstępie uchyleniem ulgi na Internet w ustawie o PIT.</w:t>
      </w:r>
    </w:p>
    <w:p w14:paraId="0A014C5F" w14:textId="3F045D42" w:rsidR="00AC1EE6" w:rsidRDefault="00AC1EE6">
      <w:pPr>
        <w:pStyle w:val="Akapitzlist"/>
        <w:numPr>
          <w:ilvl w:val="0"/>
          <w:numId w:val="1"/>
        </w:numPr>
        <w:shd w:val="clear" w:color="auto" w:fill="FFFFFF" w:themeFill="background1"/>
        <w:spacing w:before="360" w:after="240" w:line="360" w:lineRule="auto"/>
        <w:contextualSpacing w:val="0"/>
        <w:jc w:val="both"/>
        <w:rPr>
          <w:rFonts w:ascii="Times New Roman" w:eastAsia="Times New Roman" w:hAnsi="Times New Roman"/>
          <w:b/>
          <w:color w:val="0070C0"/>
          <w:sz w:val="24"/>
          <w:szCs w:val="24"/>
          <w:lang w:eastAsia="pl-PL"/>
        </w:rPr>
      </w:pPr>
      <w:r w:rsidRPr="001210F7">
        <w:rPr>
          <w:rFonts w:ascii="Times New Roman" w:eastAsia="Times New Roman" w:hAnsi="Times New Roman"/>
          <w:b/>
          <w:color w:val="0070C0"/>
          <w:sz w:val="24"/>
          <w:szCs w:val="24"/>
          <w:lang w:eastAsia="pl-PL"/>
        </w:rPr>
        <w:t>Przepisy przejściowe</w:t>
      </w:r>
      <w:r>
        <w:rPr>
          <w:rFonts w:ascii="Times New Roman" w:eastAsia="Times New Roman" w:hAnsi="Times New Roman"/>
          <w:b/>
          <w:color w:val="0070C0"/>
          <w:sz w:val="24"/>
          <w:szCs w:val="24"/>
          <w:lang w:eastAsia="pl-PL"/>
        </w:rPr>
        <w:t xml:space="preserve"> i</w:t>
      </w:r>
      <w:r w:rsidRPr="001210F7">
        <w:rPr>
          <w:rFonts w:ascii="Times New Roman" w:eastAsia="Times New Roman" w:hAnsi="Times New Roman"/>
          <w:b/>
          <w:color w:val="0070C0"/>
          <w:sz w:val="24"/>
          <w:szCs w:val="24"/>
          <w:lang w:eastAsia="pl-PL"/>
        </w:rPr>
        <w:t xml:space="preserve"> końcowe</w:t>
      </w:r>
    </w:p>
    <w:p w14:paraId="07ADC4CE" w14:textId="43F35B59" w:rsidR="00AB5B76" w:rsidRDefault="006F54C3" w:rsidP="000F6D18">
      <w:pPr>
        <w:spacing w:after="120" w:line="360" w:lineRule="auto"/>
        <w:jc w:val="both"/>
        <w:rPr>
          <w:rFonts w:ascii="Times New Roman" w:hAnsi="Times New Roman"/>
          <w:sz w:val="24"/>
          <w:szCs w:val="24"/>
        </w:rPr>
      </w:pPr>
      <w:bookmarkStart w:id="1" w:name="_Hlk238829163"/>
      <w:r w:rsidRPr="000F6D18">
        <w:rPr>
          <w:rFonts w:ascii="Times New Roman" w:hAnsi="Times New Roman"/>
          <w:b/>
          <w:bCs/>
          <w:sz w:val="24"/>
          <w:szCs w:val="24"/>
        </w:rPr>
        <w:t>Art. 4</w:t>
      </w:r>
      <w:r w:rsidRPr="00171354">
        <w:rPr>
          <w:rFonts w:ascii="Times New Roman" w:hAnsi="Times New Roman"/>
          <w:sz w:val="24"/>
          <w:szCs w:val="24"/>
        </w:rPr>
        <w:t xml:space="preserve"> </w:t>
      </w:r>
      <w:r w:rsidR="00AB5B76" w:rsidRPr="00D91550">
        <w:rPr>
          <w:rFonts w:ascii="Times New Roman" w:hAnsi="Times New Roman"/>
          <w:sz w:val="24"/>
          <w:szCs w:val="24"/>
        </w:rPr>
        <w:t>Przepis</w:t>
      </w:r>
      <w:r w:rsidR="00AB5B76">
        <w:rPr>
          <w:rFonts w:ascii="Times New Roman" w:hAnsi="Times New Roman"/>
          <w:sz w:val="24"/>
          <w:szCs w:val="24"/>
        </w:rPr>
        <w:t xml:space="preserve"> zawarty </w:t>
      </w:r>
      <w:r w:rsidR="00AB5B76" w:rsidRPr="000F6D18">
        <w:rPr>
          <w:rFonts w:ascii="Times New Roman" w:hAnsi="Times New Roman"/>
          <w:b/>
          <w:bCs/>
          <w:sz w:val="24"/>
          <w:szCs w:val="24"/>
        </w:rPr>
        <w:t>w ust. 1</w:t>
      </w:r>
      <w:r w:rsidR="00AB5B76" w:rsidRPr="00D91550">
        <w:rPr>
          <w:rFonts w:ascii="Times New Roman" w:hAnsi="Times New Roman"/>
          <w:sz w:val="24"/>
          <w:szCs w:val="24"/>
        </w:rPr>
        <w:t xml:space="preserve"> określa do jakich dochodó</w:t>
      </w:r>
      <w:r w:rsidR="00AB5B76">
        <w:rPr>
          <w:rFonts w:ascii="Times New Roman" w:hAnsi="Times New Roman"/>
          <w:sz w:val="24"/>
          <w:szCs w:val="24"/>
        </w:rPr>
        <w:t>w (przychodów)</w:t>
      </w:r>
      <w:r w:rsidR="00AB5B76" w:rsidRPr="00D91550">
        <w:rPr>
          <w:rFonts w:ascii="Times New Roman" w:hAnsi="Times New Roman"/>
          <w:sz w:val="24"/>
          <w:szCs w:val="24"/>
        </w:rPr>
        <w:t>, tj. od kiedy uzyskanych</w:t>
      </w:r>
      <w:r w:rsidR="00AB5B76">
        <w:rPr>
          <w:rFonts w:ascii="Times New Roman" w:hAnsi="Times New Roman"/>
          <w:sz w:val="24"/>
          <w:szCs w:val="24"/>
        </w:rPr>
        <w:t>,</w:t>
      </w:r>
      <w:r w:rsidR="00AB5B76" w:rsidRPr="00D91550">
        <w:rPr>
          <w:rFonts w:ascii="Times New Roman" w:hAnsi="Times New Roman"/>
          <w:sz w:val="24"/>
          <w:szCs w:val="24"/>
        </w:rPr>
        <w:t xml:space="preserve"> mają zastosowanie przepisy zmieniane we wszystkich trze</w:t>
      </w:r>
      <w:r w:rsidR="00AB5B76">
        <w:rPr>
          <w:rFonts w:ascii="Times New Roman" w:hAnsi="Times New Roman"/>
          <w:sz w:val="24"/>
          <w:szCs w:val="24"/>
        </w:rPr>
        <w:t>ch</w:t>
      </w:r>
      <w:r w:rsidR="00AB5B76" w:rsidRPr="00D91550">
        <w:rPr>
          <w:rFonts w:ascii="Times New Roman" w:hAnsi="Times New Roman"/>
          <w:sz w:val="24"/>
          <w:szCs w:val="24"/>
        </w:rPr>
        <w:t xml:space="preserve"> ustawach</w:t>
      </w:r>
      <w:r w:rsidR="00AB5B76">
        <w:rPr>
          <w:rFonts w:ascii="Times New Roman" w:hAnsi="Times New Roman"/>
          <w:sz w:val="24"/>
          <w:szCs w:val="24"/>
        </w:rPr>
        <w:t xml:space="preserve">. Zmienione </w:t>
      </w:r>
      <w:r w:rsidR="00AB5B76">
        <w:rPr>
          <w:rFonts w:ascii="Times New Roman" w:hAnsi="Times New Roman"/>
          <w:sz w:val="24"/>
          <w:szCs w:val="24"/>
        </w:rPr>
        <w:lastRenderedPageBreak/>
        <w:t xml:space="preserve">przepisy będą miały zatem zastosowanie – co do zasady – do </w:t>
      </w:r>
      <w:r w:rsidR="00AB5B76" w:rsidRPr="00F85D7F">
        <w:rPr>
          <w:rFonts w:ascii="Times New Roman" w:hAnsi="Times New Roman"/>
          <w:sz w:val="24"/>
          <w:szCs w:val="24"/>
        </w:rPr>
        <w:t>dochodów (przychodów) uzyskanych od 1 stycznia 2027</w:t>
      </w:r>
      <w:r w:rsidR="0036378D">
        <w:rPr>
          <w:rFonts w:ascii="Times New Roman" w:hAnsi="Times New Roman"/>
          <w:sz w:val="24"/>
          <w:szCs w:val="24"/>
        </w:rPr>
        <w:t xml:space="preserve"> r.</w:t>
      </w:r>
      <w:r w:rsidR="00AB5B76" w:rsidRPr="00F85D7F">
        <w:rPr>
          <w:rFonts w:ascii="Times New Roman" w:hAnsi="Times New Roman"/>
          <w:sz w:val="24"/>
          <w:szCs w:val="24"/>
        </w:rPr>
        <w:t xml:space="preserve">, czyli od dnia wejścia ustawy w życie. Z kolei </w:t>
      </w:r>
      <w:r w:rsidR="00AB5B76" w:rsidRPr="00F85D7F">
        <w:rPr>
          <w:rFonts w:ascii="Times New Roman" w:hAnsi="Times New Roman"/>
          <w:b/>
          <w:bCs/>
          <w:sz w:val="24"/>
          <w:szCs w:val="24"/>
        </w:rPr>
        <w:t>ust. 2</w:t>
      </w:r>
      <w:r w:rsidR="00AB5B76" w:rsidRPr="00F85D7F">
        <w:rPr>
          <w:rFonts w:ascii="Times New Roman" w:hAnsi="Times New Roman"/>
          <w:sz w:val="24"/>
          <w:szCs w:val="24"/>
        </w:rPr>
        <w:t xml:space="preserve"> reguluje szczególną sytuację, gdy rok podatkowy w podatku dochodowym od osób prawnych</w:t>
      </w:r>
      <w:r w:rsidR="00F85D7F" w:rsidRPr="00F85D7F">
        <w:rPr>
          <w:rFonts w:ascii="Times New Roman" w:hAnsi="Times New Roman"/>
          <w:sz w:val="24"/>
          <w:szCs w:val="24"/>
        </w:rPr>
        <w:t xml:space="preserve"> zaczął się przed 1 stycznia 2027 ale skończy już w 2027</w:t>
      </w:r>
      <w:r w:rsidR="0036378D">
        <w:rPr>
          <w:rFonts w:ascii="Times New Roman" w:hAnsi="Times New Roman"/>
          <w:sz w:val="24"/>
          <w:szCs w:val="24"/>
        </w:rPr>
        <w:t xml:space="preserve"> r.</w:t>
      </w:r>
      <w:r w:rsidR="00F85D7F" w:rsidRPr="00F85D7F">
        <w:rPr>
          <w:rFonts w:ascii="Times New Roman" w:hAnsi="Times New Roman"/>
          <w:sz w:val="24"/>
          <w:szCs w:val="24"/>
        </w:rPr>
        <w:t xml:space="preserve"> (po wejściu w życie ustawy).</w:t>
      </w:r>
    </w:p>
    <w:p w14:paraId="1A21A067" w14:textId="209A3F82" w:rsidR="006F54C3" w:rsidRPr="00171354" w:rsidRDefault="00AB5B76" w:rsidP="000F6D18">
      <w:pPr>
        <w:spacing w:after="120" w:line="360" w:lineRule="auto"/>
        <w:jc w:val="both"/>
        <w:rPr>
          <w:rFonts w:ascii="Times New Roman" w:hAnsi="Times New Roman"/>
          <w:sz w:val="24"/>
          <w:szCs w:val="24"/>
        </w:rPr>
      </w:pPr>
      <w:bookmarkStart w:id="2" w:name="_Hlk240630934"/>
      <w:r w:rsidRPr="000F6D18">
        <w:rPr>
          <w:rFonts w:ascii="Times New Roman" w:hAnsi="Times New Roman"/>
          <w:b/>
          <w:bCs/>
          <w:sz w:val="24"/>
          <w:szCs w:val="24"/>
        </w:rPr>
        <w:t xml:space="preserve">Art. 5 </w:t>
      </w:r>
      <w:r>
        <w:rPr>
          <w:rFonts w:ascii="Times New Roman" w:hAnsi="Times New Roman"/>
          <w:b/>
          <w:bCs/>
          <w:sz w:val="24"/>
          <w:szCs w:val="24"/>
        </w:rPr>
        <w:t xml:space="preserve">ust. 1 i ust. 2 </w:t>
      </w:r>
      <w:r w:rsidR="006F54C3" w:rsidRPr="00171354">
        <w:rPr>
          <w:rFonts w:ascii="Times New Roman" w:hAnsi="Times New Roman"/>
          <w:sz w:val="24"/>
          <w:szCs w:val="24"/>
        </w:rPr>
        <w:t xml:space="preserve">projektowanej ustawy </w:t>
      </w:r>
      <w:bookmarkEnd w:id="1"/>
      <w:r w:rsidRPr="00171354">
        <w:rPr>
          <w:rFonts w:ascii="Times New Roman" w:hAnsi="Times New Roman"/>
          <w:sz w:val="24"/>
          <w:szCs w:val="24"/>
        </w:rPr>
        <w:t>stanowi</w:t>
      </w:r>
      <w:r>
        <w:rPr>
          <w:rFonts w:ascii="Times New Roman" w:hAnsi="Times New Roman"/>
          <w:sz w:val="24"/>
          <w:szCs w:val="24"/>
        </w:rPr>
        <w:t>ą</w:t>
      </w:r>
      <w:r w:rsidR="006F54C3" w:rsidRPr="00171354">
        <w:rPr>
          <w:rFonts w:ascii="Times New Roman" w:hAnsi="Times New Roman"/>
          <w:sz w:val="24"/>
          <w:szCs w:val="24"/>
        </w:rPr>
        <w:t xml:space="preserve"> o zachowaniu przy uldze na Internet </w:t>
      </w:r>
      <w:r w:rsidR="00584C27" w:rsidRPr="00171354">
        <w:rPr>
          <w:rFonts w:ascii="Times New Roman" w:hAnsi="Times New Roman"/>
          <w:sz w:val="24"/>
          <w:szCs w:val="24"/>
        </w:rPr>
        <w:t>wspomnianego już</w:t>
      </w:r>
      <w:r w:rsidR="00D54B88" w:rsidRPr="00171354">
        <w:rPr>
          <w:rFonts w:ascii="Times New Roman" w:hAnsi="Times New Roman"/>
          <w:sz w:val="24"/>
          <w:szCs w:val="24"/>
        </w:rPr>
        <w:t>, a</w:t>
      </w:r>
      <w:r w:rsidR="00584C27" w:rsidRPr="00171354">
        <w:rPr>
          <w:rFonts w:ascii="Times New Roman" w:hAnsi="Times New Roman"/>
          <w:sz w:val="24"/>
          <w:szCs w:val="24"/>
        </w:rPr>
        <w:t xml:space="preserve"> obowiązującego obecnie</w:t>
      </w:r>
      <w:r w:rsidR="00171354">
        <w:rPr>
          <w:rFonts w:ascii="Times New Roman" w:hAnsi="Times New Roman"/>
          <w:sz w:val="24"/>
          <w:szCs w:val="24"/>
        </w:rPr>
        <w:t>,</w:t>
      </w:r>
      <w:r w:rsidR="00584C27" w:rsidRPr="00171354">
        <w:rPr>
          <w:rFonts w:ascii="Times New Roman" w:hAnsi="Times New Roman"/>
          <w:sz w:val="24"/>
          <w:szCs w:val="24"/>
        </w:rPr>
        <w:t xml:space="preserve"> dwuletniego okresu korzystania z odliczenia</w:t>
      </w:r>
      <w:r w:rsidR="00D54B88" w:rsidRPr="00171354">
        <w:rPr>
          <w:rFonts w:ascii="Times New Roman" w:hAnsi="Times New Roman"/>
          <w:sz w:val="24"/>
          <w:szCs w:val="24"/>
        </w:rPr>
        <w:t xml:space="preserve">. Przepis zachowuje zatem </w:t>
      </w:r>
      <w:r w:rsidR="006F54C3" w:rsidRPr="00171354">
        <w:rPr>
          <w:rFonts w:ascii="Times New Roman" w:hAnsi="Times New Roman"/>
          <w:sz w:val="24"/>
          <w:szCs w:val="24"/>
        </w:rPr>
        <w:t>roczn</w:t>
      </w:r>
      <w:r w:rsidR="00D54B88" w:rsidRPr="00171354">
        <w:rPr>
          <w:rFonts w:ascii="Times New Roman" w:hAnsi="Times New Roman"/>
          <w:sz w:val="24"/>
          <w:szCs w:val="24"/>
        </w:rPr>
        <w:t>e</w:t>
      </w:r>
      <w:r w:rsidR="006F54C3" w:rsidRPr="00171354">
        <w:rPr>
          <w:rFonts w:ascii="Times New Roman" w:hAnsi="Times New Roman"/>
          <w:sz w:val="24"/>
          <w:szCs w:val="24"/>
        </w:rPr>
        <w:t xml:space="preserve"> praw</w:t>
      </w:r>
      <w:r w:rsidR="00D54B88" w:rsidRPr="00171354">
        <w:rPr>
          <w:rFonts w:ascii="Times New Roman" w:hAnsi="Times New Roman"/>
          <w:sz w:val="24"/>
          <w:szCs w:val="24"/>
        </w:rPr>
        <w:t>a</w:t>
      </w:r>
      <w:r w:rsidR="006F54C3" w:rsidRPr="00171354">
        <w:rPr>
          <w:rFonts w:ascii="Times New Roman" w:hAnsi="Times New Roman"/>
          <w:sz w:val="24"/>
          <w:szCs w:val="24"/>
        </w:rPr>
        <w:t xml:space="preserve"> </w:t>
      </w:r>
      <w:r w:rsidR="00D54B88" w:rsidRPr="00171354">
        <w:rPr>
          <w:rFonts w:ascii="Times New Roman" w:hAnsi="Times New Roman"/>
          <w:sz w:val="24"/>
          <w:szCs w:val="24"/>
        </w:rPr>
        <w:t xml:space="preserve">nabyte </w:t>
      </w:r>
      <w:r w:rsidR="006F54C3" w:rsidRPr="00171354">
        <w:rPr>
          <w:rFonts w:ascii="Times New Roman" w:hAnsi="Times New Roman"/>
          <w:sz w:val="24"/>
          <w:szCs w:val="24"/>
        </w:rPr>
        <w:t>dla osób, które po raz pierwszy skorzystają z tego odliczenia w rozliczeniu podatku PIT</w:t>
      </w:r>
      <w:r w:rsidR="0036378D">
        <w:rPr>
          <w:rFonts w:ascii="Times New Roman" w:hAnsi="Times New Roman"/>
          <w:sz w:val="24"/>
          <w:szCs w:val="24"/>
        </w:rPr>
        <w:t xml:space="preserve"> </w:t>
      </w:r>
      <w:r>
        <w:rPr>
          <w:rFonts w:ascii="Times New Roman" w:hAnsi="Times New Roman"/>
          <w:sz w:val="24"/>
          <w:szCs w:val="24"/>
        </w:rPr>
        <w:t>(zarówno</w:t>
      </w:r>
      <w:r w:rsidR="006F54C3" w:rsidRPr="00171354">
        <w:rPr>
          <w:rFonts w:ascii="Times New Roman" w:hAnsi="Times New Roman"/>
          <w:sz w:val="24"/>
          <w:szCs w:val="24"/>
        </w:rPr>
        <w:t xml:space="preserve"> </w:t>
      </w:r>
      <w:r>
        <w:rPr>
          <w:rFonts w:ascii="Times New Roman" w:hAnsi="Times New Roman"/>
          <w:sz w:val="24"/>
          <w:szCs w:val="24"/>
        </w:rPr>
        <w:t xml:space="preserve">na podstawie ustawy o PIT, jak i ustawy o ryczałcie), </w:t>
      </w:r>
      <w:r w:rsidR="001C708E">
        <w:rPr>
          <w:rFonts w:ascii="Times New Roman" w:hAnsi="Times New Roman"/>
          <w:sz w:val="24"/>
          <w:szCs w:val="24"/>
        </w:rPr>
        <w:t xml:space="preserve">w rozliczeniu podatku </w:t>
      </w:r>
      <w:r w:rsidR="006F54C3" w:rsidRPr="00171354">
        <w:rPr>
          <w:rFonts w:ascii="Times New Roman" w:hAnsi="Times New Roman"/>
          <w:sz w:val="24"/>
          <w:szCs w:val="24"/>
        </w:rPr>
        <w:t>za rok poprzedzający rok wejścia w życie projektowanej ustawy.</w:t>
      </w:r>
      <w:r w:rsidR="0036378D">
        <w:rPr>
          <w:rFonts w:ascii="Times New Roman" w:hAnsi="Times New Roman"/>
          <w:sz w:val="24"/>
          <w:szCs w:val="24"/>
        </w:rPr>
        <w:t xml:space="preserve"> </w:t>
      </w:r>
      <w:r w:rsidR="00EF61E1">
        <w:rPr>
          <w:rFonts w:ascii="Times New Roman" w:hAnsi="Times New Roman"/>
          <w:sz w:val="24"/>
          <w:szCs w:val="24"/>
        </w:rPr>
        <w:t>Należy podkreślić że</w:t>
      </w:r>
      <w:r w:rsidR="0036378D">
        <w:rPr>
          <w:rFonts w:ascii="Times New Roman" w:hAnsi="Times New Roman"/>
          <w:sz w:val="24"/>
          <w:szCs w:val="24"/>
        </w:rPr>
        <w:t>, na postawie omówionego powyżej art. 4, projektowana ustawa w zakresie ww. ustaw będzie miała zastosowanie do dochodów (przychodów) uzyskanych od 1 stycznia 2027 r.</w:t>
      </w:r>
      <w:r w:rsidR="00EF61E1">
        <w:rPr>
          <w:rFonts w:ascii="Times New Roman" w:hAnsi="Times New Roman"/>
          <w:sz w:val="24"/>
          <w:szCs w:val="24"/>
        </w:rPr>
        <w:t xml:space="preserve"> Nie </w:t>
      </w:r>
      <w:r w:rsidR="0036378D">
        <w:rPr>
          <w:rFonts w:ascii="Times New Roman" w:hAnsi="Times New Roman"/>
          <w:sz w:val="24"/>
          <w:szCs w:val="24"/>
        </w:rPr>
        <w:t xml:space="preserve">zachodzi </w:t>
      </w:r>
      <w:r w:rsidR="00EF61E1">
        <w:rPr>
          <w:rFonts w:ascii="Times New Roman" w:hAnsi="Times New Roman"/>
          <w:sz w:val="24"/>
          <w:szCs w:val="24"/>
        </w:rPr>
        <w:t xml:space="preserve">zatem </w:t>
      </w:r>
      <w:r w:rsidR="0036378D">
        <w:rPr>
          <w:rFonts w:ascii="Times New Roman" w:hAnsi="Times New Roman"/>
          <w:sz w:val="24"/>
          <w:szCs w:val="24"/>
        </w:rPr>
        <w:t>obawa, że zaproponowane unormowania ograniczą prawo do „drugiego rocznego” odliczenia tym podatnikom, którzy rozpoczęli odliczanie</w:t>
      </w:r>
      <w:r w:rsidR="00EF61E1">
        <w:rPr>
          <w:rFonts w:ascii="Times New Roman" w:hAnsi="Times New Roman"/>
          <w:sz w:val="24"/>
          <w:szCs w:val="24"/>
        </w:rPr>
        <w:t xml:space="preserve"> ulgi na Internet </w:t>
      </w:r>
      <w:r w:rsidR="0036378D">
        <w:rPr>
          <w:rFonts w:ascii="Times New Roman" w:hAnsi="Times New Roman"/>
          <w:sz w:val="24"/>
          <w:szCs w:val="24"/>
        </w:rPr>
        <w:t>w rozliczeniu za 2025 r. (składając zeznanie w 2026 r.)</w:t>
      </w:r>
      <w:r w:rsidR="00EF61E1">
        <w:rPr>
          <w:rFonts w:ascii="Times New Roman" w:hAnsi="Times New Roman"/>
          <w:sz w:val="24"/>
          <w:szCs w:val="24"/>
        </w:rPr>
        <w:t>. Podatnicy ci bowiem</w:t>
      </w:r>
      <w:r w:rsidR="0036378D">
        <w:rPr>
          <w:rFonts w:ascii="Times New Roman" w:hAnsi="Times New Roman"/>
          <w:sz w:val="24"/>
          <w:szCs w:val="24"/>
        </w:rPr>
        <w:t xml:space="preserve"> w 2027 r. będą rozliczali dochody uzyskane w 2026 r.</w:t>
      </w:r>
      <w:r w:rsidR="00EF61E1">
        <w:rPr>
          <w:rFonts w:ascii="Times New Roman" w:hAnsi="Times New Roman"/>
          <w:sz w:val="24"/>
          <w:szCs w:val="24"/>
        </w:rPr>
        <w:t xml:space="preserve">, do których </w:t>
      </w:r>
      <w:r w:rsidR="0036378D">
        <w:rPr>
          <w:rFonts w:ascii="Times New Roman" w:hAnsi="Times New Roman"/>
          <w:sz w:val="24"/>
          <w:szCs w:val="24"/>
        </w:rPr>
        <w:t xml:space="preserve">ustawa ta </w:t>
      </w:r>
      <w:r w:rsidR="00EF61E1">
        <w:rPr>
          <w:rFonts w:ascii="Times New Roman" w:hAnsi="Times New Roman"/>
          <w:sz w:val="24"/>
          <w:szCs w:val="24"/>
        </w:rPr>
        <w:t>nie ma zastosowania, zgodnie z postanowieniami art. 4 projektu</w:t>
      </w:r>
      <w:r w:rsidR="0036378D">
        <w:rPr>
          <w:rFonts w:ascii="Times New Roman" w:hAnsi="Times New Roman"/>
          <w:sz w:val="24"/>
          <w:szCs w:val="24"/>
        </w:rPr>
        <w:t>.</w:t>
      </w:r>
    </w:p>
    <w:p w14:paraId="257A81F2" w14:textId="41A33F0A" w:rsidR="002E6365" w:rsidRDefault="00171354" w:rsidP="00F85D7F">
      <w:pPr>
        <w:spacing w:after="120" w:line="360" w:lineRule="auto"/>
        <w:jc w:val="both"/>
        <w:rPr>
          <w:rFonts w:ascii="Times New Roman" w:hAnsi="Times New Roman"/>
          <w:sz w:val="24"/>
          <w:szCs w:val="24"/>
        </w:rPr>
      </w:pPr>
      <w:bookmarkStart w:id="3" w:name="_Hlk238718412"/>
      <w:bookmarkEnd w:id="2"/>
      <w:r w:rsidRPr="00F85D7F">
        <w:rPr>
          <w:rFonts w:ascii="Times New Roman" w:hAnsi="Times New Roman"/>
          <w:b/>
          <w:bCs/>
          <w:sz w:val="24"/>
          <w:szCs w:val="24"/>
        </w:rPr>
        <w:t xml:space="preserve">Art. </w:t>
      </w:r>
      <w:r w:rsidR="001C708E" w:rsidRPr="00F85D7F">
        <w:rPr>
          <w:rFonts w:ascii="Times New Roman" w:hAnsi="Times New Roman"/>
          <w:b/>
          <w:bCs/>
          <w:sz w:val="24"/>
          <w:szCs w:val="24"/>
        </w:rPr>
        <w:t>6</w:t>
      </w:r>
      <w:r w:rsidRPr="00F85D7F">
        <w:rPr>
          <w:rFonts w:ascii="Times New Roman" w:hAnsi="Times New Roman"/>
          <w:sz w:val="24"/>
          <w:szCs w:val="24"/>
        </w:rPr>
        <w:t xml:space="preserve"> </w:t>
      </w:r>
      <w:bookmarkEnd w:id="3"/>
      <w:r w:rsidR="002E6365" w:rsidRPr="00F85D7F">
        <w:rPr>
          <w:rFonts w:ascii="Times New Roman" w:hAnsi="Times New Roman"/>
          <w:sz w:val="24"/>
          <w:szCs w:val="24"/>
        </w:rPr>
        <w:t>Przepisy art. 18eb ustawy o CIT i 26gb ustawy o PIT przestaną obowiązywać od 1 stycznia 2027</w:t>
      </w:r>
      <w:r w:rsidR="00D26657" w:rsidRPr="00F85D7F">
        <w:rPr>
          <w:rFonts w:ascii="Times New Roman" w:hAnsi="Times New Roman"/>
          <w:sz w:val="24"/>
          <w:szCs w:val="24"/>
        </w:rPr>
        <w:t xml:space="preserve"> </w:t>
      </w:r>
      <w:r w:rsidR="002E6365" w:rsidRPr="00F85D7F">
        <w:rPr>
          <w:rFonts w:ascii="Times New Roman" w:hAnsi="Times New Roman"/>
          <w:sz w:val="24"/>
          <w:szCs w:val="24"/>
        </w:rPr>
        <w:t>r. Podatnicy, którzy przed dniem 1 stycznia 2027 r. ponieśli koszty uzyskania przychodów w celu zwiększenia przychodów ze sprzedaży produktów, o których mowa w art. 26gb ust. 1</w:t>
      </w:r>
      <w:r w:rsidR="007E3C0B" w:rsidRPr="00F85D7F">
        <w:rPr>
          <w:rFonts w:ascii="Times New Roman" w:hAnsi="Times New Roman"/>
          <w:sz w:val="24"/>
          <w:szCs w:val="24"/>
        </w:rPr>
        <w:t> </w:t>
      </w:r>
      <w:r w:rsidR="00F95AB8" w:rsidRPr="00F85D7F">
        <w:rPr>
          <w:rFonts w:ascii="Times New Roman" w:hAnsi="Times New Roman"/>
          <w:sz w:val="24"/>
          <w:szCs w:val="24"/>
        </w:rPr>
        <w:t xml:space="preserve">ustawy o PIT oraz </w:t>
      </w:r>
      <w:r w:rsidR="00AC5FEF" w:rsidRPr="00F85D7F">
        <w:rPr>
          <w:rFonts w:ascii="Times New Roman" w:hAnsi="Times New Roman"/>
          <w:sz w:val="24"/>
          <w:szCs w:val="24"/>
        </w:rPr>
        <w:t xml:space="preserve">w </w:t>
      </w:r>
      <w:r w:rsidR="00F95AB8" w:rsidRPr="00F85D7F">
        <w:rPr>
          <w:rFonts w:ascii="Times New Roman" w:hAnsi="Times New Roman"/>
          <w:sz w:val="24"/>
          <w:szCs w:val="24"/>
        </w:rPr>
        <w:t xml:space="preserve">art. 18eb </w:t>
      </w:r>
      <w:r w:rsidR="00501A6A" w:rsidRPr="00F85D7F">
        <w:rPr>
          <w:rFonts w:ascii="Times New Roman" w:hAnsi="Times New Roman"/>
          <w:sz w:val="24"/>
          <w:szCs w:val="24"/>
        </w:rPr>
        <w:t xml:space="preserve">ust. 1 </w:t>
      </w:r>
      <w:r w:rsidR="00F95AB8" w:rsidRPr="00F85D7F">
        <w:rPr>
          <w:rFonts w:ascii="Times New Roman" w:hAnsi="Times New Roman"/>
          <w:sz w:val="24"/>
          <w:szCs w:val="24"/>
        </w:rPr>
        <w:t xml:space="preserve">ustawy o CIT, w dotychczasowym brzmieniu, </w:t>
      </w:r>
      <w:r w:rsidR="00C30142" w:rsidRPr="00F85D7F">
        <w:rPr>
          <w:rFonts w:ascii="Times New Roman" w:hAnsi="Times New Roman"/>
          <w:sz w:val="24"/>
          <w:szCs w:val="24"/>
        </w:rPr>
        <w:t xml:space="preserve">będą </w:t>
      </w:r>
      <w:r w:rsidR="00AC5FEF" w:rsidRPr="00F85D7F">
        <w:rPr>
          <w:rFonts w:ascii="Times New Roman" w:hAnsi="Times New Roman"/>
          <w:sz w:val="24"/>
          <w:szCs w:val="24"/>
        </w:rPr>
        <w:t>stosować uchylane przepisy na dotychczasowych zasadach. Czyli będą obowiązani wypełnić warunki odliczenia przedmiotowej ulgi, jak i uprawnieni kontynuować odliczenie nieodliczonej w poprzednich latach ulgi ze względu na brak dochodu</w:t>
      </w:r>
      <w:r w:rsidR="00F85D7F" w:rsidRPr="00F85D7F">
        <w:rPr>
          <w:rFonts w:ascii="Times New Roman" w:hAnsi="Times New Roman"/>
          <w:sz w:val="24"/>
          <w:szCs w:val="24"/>
        </w:rPr>
        <w:t>.</w:t>
      </w:r>
    </w:p>
    <w:p w14:paraId="1EB990F6" w14:textId="38793B72" w:rsidR="00E50E01" w:rsidRPr="0007598A" w:rsidRDefault="00E50E01" w:rsidP="0007598A">
      <w:pPr>
        <w:spacing w:line="360" w:lineRule="auto"/>
        <w:jc w:val="both"/>
        <w:rPr>
          <w:rFonts w:ascii="Times New Roman" w:hAnsi="Times New Roman" w:cs="Times New Roman"/>
          <w:sz w:val="24"/>
          <w:szCs w:val="24"/>
        </w:rPr>
      </w:pPr>
      <w:r w:rsidRPr="0007598A">
        <w:rPr>
          <w:rFonts w:ascii="Times New Roman" w:hAnsi="Times New Roman" w:cs="Times New Roman"/>
          <w:sz w:val="24"/>
          <w:szCs w:val="24"/>
        </w:rPr>
        <w:t xml:space="preserve">Istotą projektowanego przepisu </w:t>
      </w:r>
      <w:r w:rsidRPr="0007598A">
        <w:rPr>
          <w:rFonts w:ascii="Times New Roman" w:hAnsi="Times New Roman" w:cs="Times New Roman"/>
          <w:b/>
          <w:bCs/>
          <w:sz w:val="24"/>
          <w:szCs w:val="24"/>
        </w:rPr>
        <w:t>Art. 7</w:t>
      </w:r>
      <w:r w:rsidRPr="0007598A">
        <w:rPr>
          <w:rFonts w:ascii="Times New Roman" w:hAnsi="Times New Roman" w:cs="Times New Roman"/>
          <w:sz w:val="24"/>
          <w:szCs w:val="24"/>
        </w:rPr>
        <w:t xml:space="preserve"> jest wskazanie, że przy rozliczaniu ulgi w latach następujących po wejściu w życie zmienionych przepisów nadal należy stosować ograniczenie, o którym mowa w uchylanym ust. 5a, dotyczącym zasady DNSH (do kosztów sprzed nowelizacji). Jeżeli więc podatnik poniósł koszty w 2025 r. i w tym samym roku nabył prawo do ulgi, może nadal korzystać z jej rozliczenia w kolejnych sześciu latach podatkowych. Rozliczenie to będzie jednak w dalszym ciągu podlegało ograniczeniom wynikającym z zasady DNSH.</w:t>
      </w:r>
    </w:p>
    <w:p w14:paraId="13B78BE9" w14:textId="2F5BA3F2" w:rsidR="001C708E" w:rsidRPr="00F85D7F" w:rsidRDefault="001C708E" w:rsidP="0007598A">
      <w:pPr>
        <w:spacing w:after="120" w:line="360" w:lineRule="auto"/>
        <w:jc w:val="both"/>
        <w:rPr>
          <w:rFonts w:ascii="Times New Roman" w:hAnsi="Times New Roman"/>
          <w:sz w:val="24"/>
          <w:szCs w:val="24"/>
        </w:rPr>
      </w:pPr>
      <w:r w:rsidRPr="00F85D7F">
        <w:rPr>
          <w:rFonts w:ascii="Times New Roman" w:hAnsi="Times New Roman"/>
          <w:sz w:val="24"/>
          <w:szCs w:val="24"/>
        </w:rPr>
        <w:t xml:space="preserve">Zgodnie </w:t>
      </w:r>
      <w:r w:rsidR="0007598A">
        <w:rPr>
          <w:rFonts w:ascii="Times New Roman" w:hAnsi="Times New Roman"/>
          <w:sz w:val="24"/>
          <w:szCs w:val="24"/>
        </w:rPr>
        <w:t>z</w:t>
      </w:r>
      <w:r w:rsidRPr="00F85D7F">
        <w:rPr>
          <w:rFonts w:ascii="Times New Roman" w:hAnsi="Times New Roman"/>
          <w:sz w:val="24"/>
          <w:szCs w:val="24"/>
        </w:rPr>
        <w:t xml:space="preserve"> przepisem </w:t>
      </w:r>
      <w:r w:rsidR="0007598A" w:rsidRPr="0007598A">
        <w:rPr>
          <w:rFonts w:ascii="Times New Roman" w:hAnsi="Times New Roman"/>
          <w:b/>
          <w:bCs/>
          <w:sz w:val="24"/>
          <w:szCs w:val="24"/>
        </w:rPr>
        <w:t>art. 8</w:t>
      </w:r>
      <w:r w:rsidR="0007598A">
        <w:rPr>
          <w:rFonts w:ascii="Times New Roman" w:hAnsi="Times New Roman"/>
          <w:sz w:val="24"/>
          <w:szCs w:val="24"/>
        </w:rPr>
        <w:t xml:space="preserve"> </w:t>
      </w:r>
      <w:r w:rsidRPr="00F85D7F">
        <w:rPr>
          <w:rFonts w:ascii="Times New Roman" w:hAnsi="Times New Roman"/>
          <w:sz w:val="24"/>
          <w:szCs w:val="24"/>
        </w:rPr>
        <w:t>ustawa wejdzie w życie z dniem 1 stycznia 2027 r.</w:t>
      </w:r>
    </w:p>
    <w:p w14:paraId="5F607FDA" w14:textId="1415B706" w:rsidR="003F4894" w:rsidRDefault="003F4894">
      <w:pPr>
        <w:spacing w:after="160" w:line="259" w:lineRule="auto"/>
        <w:rPr>
          <w:rFonts w:ascii="Times New Roman" w:hAnsi="Times New Roman"/>
          <w:sz w:val="24"/>
          <w:szCs w:val="24"/>
        </w:rPr>
      </w:pPr>
      <w:r>
        <w:rPr>
          <w:rFonts w:ascii="Times New Roman" w:hAnsi="Times New Roman"/>
          <w:sz w:val="24"/>
          <w:szCs w:val="24"/>
        </w:rPr>
        <w:br w:type="page"/>
      </w:r>
    </w:p>
    <w:p w14:paraId="05C94583" w14:textId="002ADEAF" w:rsidR="00AC1EE6" w:rsidRPr="00E70C87" w:rsidRDefault="00AC1EE6" w:rsidP="00E70C87">
      <w:pPr>
        <w:pStyle w:val="Akapitzlist"/>
        <w:numPr>
          <w:ilvl w:val="0"/>
          <w:numId w:val="1"/>
        </w:numPr>
        <w:shd w:val="clear" w:color="auto" w:fill="FFFFFF" w:themeFill="background1"/>
        <w:spacing w:before="360" w:after="240" w:line="360" w:lineRule="auto"/>
        <w:contextualSpacing w:val="0"/>
        <w:jc w:val="both"/>
        <w:rPr>
          <w:rFonts w:ascii="Times New Roman" w:eastAsia="Times New Roman" w:hAnsi="Times New Roman"/>
          <w:b/>
          <w:color w:val="0070C0"/>
          <w:sz w:val="24"/>
          <w:szCs w:val="24"/>
          <w:lang w:eastAsia="pl-PL"/>
        </w:rPr>
      </w:pPr>
      <w:r w:rsidRPr="0052442D">
        <w:rPr>
          <w:rFonts w:ascii="Times New Roman" w:eastAsia="Times New Roman" w:hAnsi="Times New Roman"/>
          <w:b/>
          <w:color w:val="0070C0"/>
          <w:sz w:val="24"/>
          <w:szCs w:val="24"/>
          <w:lang w:eastAsia="pl-PL"/>
        </w:rPr>
        <w:lastRenderedPageBreak/>
        <w:t>Informacje dodatkowe</w:t>
      </w:r>
    </w:p>
    <w:p w14:paraId="157C5B5B" w14:textId="77777777" w:rsidR="00AC1EE6" w:rsidRPr="00E70C87" w:rsidRDefault="00AC1EE6" w:rsidP="00E70C87">
      <w:pPr>
        <w:spacing w:before="120" w:line="360" w:lineRule="auto"/>
        <w:jc w:val="both"/>
        <w:rPr>
          <w:rFonts w:ascii="Times New Roman" w:eastAsia="Times New Roman" w:hAnsi="Times New Roman" w:cs="Times New Roman"/>
          <w:sz w:val="24"/>
          <w:szCs w:val="24"/>
          <w:lang w:eastAsia="pl-PL"/>
        </w:rPr>
      </w:pPr>
      <w:r w:rsidRPr="00E70C87">
        <w:rPr>
          <w:rFonts w:ascii="Times New Roman" w:eastAsia="Times New Roman" w:hAnsi="Times New Roman" w:cs="Times New Roman"/>
          <w:sz w:val="24"/>
          <w:szCs w:val="24"/>
          <w:lang w:eastAsia="pl-PL"/>
        </w:rPr>
        <w:t>Projekt ustawy:</w:t>
      </w:r>
    </w:p>
    <w:p w14:paraId="5EC95E57" w14:textId="77777777" w:rsidR="00AC1EE6" w:rsidRPr="00E70C87" w:rsidRDefault="00AC1EE6" w:rsidP="00E70C87">
      <w:pPr>
        <w:pStyle w:val="Akapitzlist"/>
        <w:numPr>
          <w:ilvl w:val="0"/>
          <w:numId w:val="12"/>
        </w:numPr>
        <w:spacing w:before="120" w:line="360" w:lineRule="auto"/>
        <w:contextualSpacing w:val="0"/>
        <w:jc w:val="both"/>
        <w:rPr>
          <w:rFonts w:ascii="Times New Roman" w:eastAsia="Times New Roman" w:hAnsi="Times New Roman"/>
          <w:sz w:val="24"/>
          <w:szCs w:val="24"/>
          <w:lang w:eastAsia="pl-PL"/>
        </w:rPr>
      </w:pPr>
      <w:r w:rsidRPr="00E70C87">
        <w:rPr>
          <w:rFonts w:ascii="Times New Roman" w:eastAsia="Times New Roman" w:hAnsi="Times New Roman"/>
          <w:sz w:val="24"/>
          <w:szCs w:val="24"/>
          <w:lang w:eastAsia="pl-PL"/>
        </w:rPr>
        <w:t>jest zgodny z prawem Unii Europejskiej i nie podlega obowiązkowi przedstawienia właściwym instytucjom Unii Europejskiej, w tym Europejskiemu Bankowi Centralnemu, w celu uzyskania opinii, dokonania powiadomienia, konsultacji albo uzgodnienia;</w:t>
      </w:r>
    </w:p>
    <w:p w14:paraId="6E3516DB" w14:textId="77777777" w:rsidR="00AC1EE6" w:rsidRPr="00E70C87" w:rsidRDefault="00AC1EE6" w:rsidP="00E70C87">
      <w:pPr>
        <w:pStyle w:val="Akapitzlist"/>
        <w:numPr>
          <w:ilvl w:val="0"/>
          <w:numId w:val="12"/>
        </w:numPr>
        <w:spacing w:before="120" w:line="360" w:lineRule="auto"/>
        <w:contextualSpacing w:val="0"/>
        <w:jc w:val="both"/>
        <w:rPr>
          <w:rFonts w:ascii="Times New Roman" w:eastAsia="Times New Roman" w:hAnsi="Times New Roman"/>
          <w:sz w:val="24"/>
          <w:szCs w:val="24"/>
          <w:lang w:eastAsia="pl-PL"/>
        </w:rPr>
      </w:pPr>
      <w:r w:rsidRPr="00E70C87">
        <w:rPr>
          <w:rFonts w:ascii="Times New Roman" w:hAnsi="Times New Roman"/>
          <w:sz w:val="24"/>
          <w:szCs w:val="24"/>
        </w:rPr>
        <w:t>nie zawiera przepisów technicznych, w związku z czym nie podlega procedurze notyfikacji na zasadach przewidzianych w rozporządzeniu Rady Ministrów z dnia 23 grudnia 2002 r. w sprawie sposobu funkcjonowania krajowego systemu notyfikacji norm i aktów prawnych (Dz. U. poz. 2039</w:t>
      </w:r>
      <w:bookmarkStart w:id="4" w:name="_Hlk193292345"/>
      <w:r w:rsidRPr="00E70C87">
        <w:rPr>
          <w:rFonts w:ascii="Times New Roman" w:hAnsi="Times New Roman"/>
          <w:sz w:val="24"/>
          <w:szCs w:val="24"/>
        </w:rPr>
        <w:t>, z późn. zm.</w:t>
      </w:r>
      <w:bookmarkEnd w:id="4"/>
      <w:r w:rsidRPr="00E70C87">
        <w:rPr>
          <w:rFonts w:ascii="Times New Roman" w:hAnsi="Times New Roman"/>
          <w:sz w:val="24"/>
          <w:szCs w:val="24"/>
        </w:rPr>
        <w:t>);</w:t>
      </w:r>
    </w:p>
    <w:p w14:paraId="05BAB4F1" w14:textId="77777777" w:rsidR="00AC1EE6" w:rsidRPr="00E70C87" w:rsidRDefault="00AC1EE6" w:rsidP="00E70C87">
      <w:pPr>
        <w:pStyle w:val="Akapitzlist"/>
        <w:numPr>
          <w:ilvl w:val="0"/>
          <w:numId w:val="12"/>
        </w:numPr>
        <w:spacing w:before="120" w:line="360" w:lineRule="auto"/>
        <w:contextualSpacing w:val="0"/>
        <w:jc w:val="both"/>
        <w:rPr>
          <w:rFonts w:ascii="Times New Roman" w:eastAsia="Times New Roman" w:hAnsi="Times New Roman"/>
          <w:sz w:val="24"/>
          <w:szCs w:val="24"/>
          <w:lang w:eastAsia="pl-PL"/>
        </w:rPr>
      </w:pPr>
      <w:r w:rsidRPr="00E70C87">
        <w:rPr>
          <w:rFonts w:ascii="Times New Roman" w:hAnsi="Times New Roman"/>
          <w:sz w:val="24"/>
          <w:szCs w:val="24"/>
        </w:rPr>
        <w:t>nie określa zasad podejmowania, wykonywania lub zakończenia działalności gospodarczej;</w:t>
      </w:r>
    </w:p>
    <w:p w14:paraId="66BC2BE2" w14:textId="77777777" w:rsidR="00AC1EE6" w:rsidRPr="00E70C87" w:rsidRDefault="00AC1EE6" w:rsidP="00E70C87">
      <w:pPr>
        <w:pStyle w:val="Akapitzlist"/>
        <w:numPr>
          <w:ilvl w:val="0"/>
          <w:numId w:val="12"/>
        </w:numPr>
        <w:spacing w:before="120" w:line="360" w:lineRule="auto"/>
        <w:contextualSpacing w:val="0"/>
        <w:jc w:val="both"/>
        <w:rPr>
          <w:rFonts w:ascii="Times New Roman" w:eastAsia="Times New Roman" w:hAnsi="Times New Roman"/>
          <w:sz w:val="24"/>
          <w:szCs w:val="24"/>
          <w:lang w:eastAsia="pl-PL"/>
        </w:rPr>
      </w:pPr>
      <w:r w:rsidRPr="00E70C87">
        <w:rPr>
          <w:rFonts w:ascii="Times New Roman" w:eastAsia="Times New Roman" w:hAnsi="Times New Roman"/>
          <w:sz w:val="24"/>
          <w:szCs w:val="24"/>
          <w:lang w:eastAsia="pl-PL"/>
        </w:rPr>
        <w:t>nie stwarza zagrożeń korupcyjnych;</w:t>
      </w:r>
    </w:p>
    <w:p w14:paraId="23E1E405" w14:textId="567A8D6F" w:rsidR="00B50228" w:rsidRPr="005946CD" w:rsidRDefault="004C2849" w:rsidP="005946CD">
      <w:pPr>
        <w:pStyle w:val="Akapitzlist"/>
        <w:numPr>
          <w:ilvl w:val="0"/>
          <w:numId w:val="12"/>
        </w:numPr>
        <w:spacing w:before="120" w:line="360" w:lineRule="auto"/>
        <w:contextualSpacing w:val="0"/>
        <w:jc w:val="both"/>
        <w:rPr>
          <w:rFonts w:ascii="Times New Roman" w:hAnsi="Times New Roman"/>
          <w:sz w:val="24"/>
          <w:szCs w:val="24"/>
        </w:rPr>
      </w:pPr>
      <w:r>
        <w:rPr>
          <w:rFonts w:ascii="Times New Roman" w:hAnsi="Times New Roman"/>
          <w:sz w:val="24"/>
          <w:szCs w:val="24"/>
        </w:rPr>
        <w:t>został udostępniony</w:t>
      </w:r>
      <w:r w:rsidR="00AC1EE6" w:rsidRPr="00E70C87">
        <w:rPr>
          <w:rFonts w:ascii="Times New Roman" w:hAnsi="Times New Roman"/>
          <w:sz w:val="24"/>
          <w:szCs w:val="24"/>
        </w:rPr>
        <w:t xml:space="preserve"> w Biuletynie Informacji Publicznej na stronie podmiotowej Rządowego Centrum Legislacji, w serwisie Rządowy Proces Legislacyjny – stosownie do postanowień art. 5 ustawy z dnia 7 lipca 2005 r. o działalności lobbingowej w procesie stanowienia prawa (</w:t>
      </w:r>
      <w:r w:rsidR="00AC1EE6" w:rsidRPr="00E70C87">
        <w:rPr>
          <w:rFonts w:ascii="Times New Roman" w:hAnsi="Times New Roman"/>
          <w:color w:val="000000"/>
          <w:spacing w:val="-2"/>
          <w:sz w:val="24"/>
          <w:szCs w:val="24"/>
        </w:rPr>
        <w:t>Dz. U. z 202</w:t>
      </w:r>
      <w:r>
        <w:rPr>
          <w:rFonts w:ascii="Times New Roman" w:hAnsi="Times New Roman"/>
          <w:color w:val="000000"/>
          <w:spacing w:val="-2"/>
          <w:sz w:val="24"/>
          <w:szCs w:val="24"/>
        </w:rPr>
        <w:t>6</w:t>
      </w:r>
      <w:r w:rsidR="00AC1EE6" w:rsidRPr="00E70C87">
        <w:rPr>
          <w:rFonts w:ascii="Times New Roman" w:hAnsi="Times New Roman"/>
          <w:color w:val="000000"/>
          <w:spacing w:val="-2"/>
          <w:sz w:val="24"/>
          <w:szCs w:val="24"/>
        </w:rPr>
        <w:t xml:space="preserve"> r. poz. </w:t>
      </w:r>
      <w:r w:rsidR="005946CD">
        <w:rPr>
          <w:rFonts w:ascii="Times New Roman" w:hAnsi="Times New Roman"/>
          <w:color w:val="000000"/>
          <w:spacing w:val="-2"/>
          <w:sz w:val="24"/>
          <w:szCs w:val="24"/>
        </w:rPr>
        <w:t>936</w:t>
      </w:r>
      <w:r w:rsidR="00AC1EE6" w:rsidRPr="00E70C87">
        <w:rPr>
          <w:rFonts w:ascii="Times New Roman" w:hAnsi="Times New Roman"/>
          <w:color w:val="000000"/>
          <w:spacing w:val="-2"/>
          <w:sz w:val="24"/>
          <w:szCs w:val="24"/>
        </w:rPr>
        <w:t xml:space="preserve">) </w:t>
      </w:r>
      <w:r w:rsidR="00AC1EE6" w:rsidRPr="00E70C87">
        <w:rPr>
          <w:rFonts w:ascii="Times New Roman" w:hAnsi="Times New Roman"/>
          <w:sz w:val="24"/>
          <w:szCs w:val="24"/>
        </w:rPr>
        <w:t>oraz § 52 ust. 1 uchwały nr 190 Rady Ministrów z dnia 29 października 2013 r. – Regulamin pracy Rady Ministrów (M.P. z 2026 r. poz. 404).</w:t>
      </w:r>
    </w:p>
    <w:sectPr w:rsidR="00B50228" w:rsidRPr="005946CD" w:rsidSect="005946CD">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91705D" w14:textId="77777777" w:rsidR="00A14158" w:rsidRDefault="00A14158" w:rsidP="005B7127">
      <w:r>
        <w:separator/>
      </w:r>
    </w:p>
  </w:endnote>
  <w:endnote w:type="continuationSeparator" w:id="0">
    <w:p w14:paraId="7D4D603C" w14:textId="77777777" w:rsidR="00A14158" w:rsidRDefault="00A14158" w:rsidP="005B71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Lato">
    <w:altName w:val="Lato"/>
    <w:charset w:val="00"/>
    <w:family w:val="swiss"/>
    <w:pitch w:val="variable"/>
    <w:sig w:usb0="E10002FF" w:usb1="5000ECFF" w:usb2="00000021" w:usb3="00000000" w:csb0="0000019F" w:csb1="00000000"/>
  </w:font>
  <w:font w:name="Times">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632608"/>
      <w:docPartObj>
        <w:docPartGallery w:val="Page Numbers (Bottom of Page)"/>
        <w:docPartUnique/>
      </w:docPartObj>
    </w:sdtPr>
    <w:sdtEndPr>
      <w:rPr>
        <w:rFonts w:ascii="Times New Roman" w:hAnsi="Times New Roman" w:cs="Times New Roman"/>
        <w:sz w:val="24"/>
        <w:szCs w:val="24"/>
      </w:rPr>
    </w:sdtEndPr>
    <w:sdtContent>
      <w:p w14:paraId="642D2135" w14:textId="4C701D01" w:rsidR="005946CD" w:rsidRPr="005946CD" w:rsidRDefault="005946CD" w:rsidP="005946CD">
        <w:pPr>
          <w:pStyle w:val="Stopka"/>
          <w:jc w:val="center"/>
          <w:rPr>
            <w:rFonts w:ascii="Times New Roman" w:hAnsi="Times New Roman" w:cs="Times New Roman"/>
            <w:sz w:val="24"/>
            <w:szCs w:val="24"/>
          </w:rPr>
        </w:pPr>
        <w:r w:rsidRPr="005946CD">
          <w:rPr>
            <w:rFonts w:ascii="Times New Roman" w:hAnsi="Times New Roman" w:cs="Times New Roman"/>
            <w:sz w:val="24"/>
            <w:szCs w:val="24"/>
          </w:rPr>
          <w:fldChar w:fldCharType="begin"/>
        </w:r>
        <w:r w:rsidRPr="005946CD">
          <w:rPr>
            <w:rFonts w:ascii="Times New Roman" w:hAnsi="Times New Roman" w:cs="Times New Roman"/>
            <w:sz w:val="24"/>
            <w:szCs w:val="24"/>
          </w:rPr>
          <w:instrText>PAGE   \* MERGEFORMAT</w:instrText>
        </w:r>
        <w:r w:rsidRPr="005946CD">
          <w:rPr>
            <w:rFonts w:ascii="Times New Roman" w:hAnsi="Times New Roman" w:cs="Times New Roman"/>
            <w:sz w:val="24"/>
            <w:szCs w:val="24"/>
          </w:rPr>
          <w:fldChar w:fldCharType="separate"/>
        </w:r>
        <w:r w:rsidRPr="005946CD">
          <w:rPr>
            <w:rFonts w:ascii="Times New Roman" w:hAnsi="Times New Roman" w:cs="Times New Roman"/>
            <w:sz w:val="24"/>
            <w:szCs w:val="24"/>
          </w:rPr>
          <w:t>2</w:t>
        </w:r>
        <w:r w:rsidRPr="005946CD">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C02659" w14:textId="77777777" w:rsidR="00A14158" w:rsidRDefault="00A14158" w:rsidP="005B7127">
      <w:r>
        <w:separator/>
      </w:r>
    </w:p>
  </w:footnote>
  <w:footnote w:type="continuationSeparator" w:id="0">
    <w:p w14:paraId="65F999D1" w14:textId="77777777" w:rsidR="00A14158" w:rsidRDefault="00A14158" w:rsidP="005B7127">
      <w:r>
        <w:continuationSeparator/>
      </w:r>
    </w:p>
  </w:footnote>
  <w:footnote w:id="1">
    <w:p w14:paraId="2B9A7D4C" w14:textId="39EBD1AC" w:rsidR="00A32F0A" w:rsidRPr="009918A1" w:rsidRDefault="00A32F0A">
      <w:pPr>
        <w:pStyle w:val="Tekstprzypisudolnego"/>
        <w:rPr>
          <w:rFonts w:ascii="Times" w:hAnsi="Times" w:cs="Times"/>
        </w:rPr>
      </w:pPr>
      <w:r w:rsidRPr="009918A1">
        <w:rPr>
          <w:rStyle w:val="Odwoanieprzypisudolnego"/>
          <w:rFonts w:ascii="Times" w:hAnsi="Times" w:cs="Times"/>
        </w:rPr>
        <w:footnoteRef/>
      </w:r>
      <w:r w:rsidRPr="009918A1">
        <w:rPr>
          <w:rFonts w:ascii="Times" w:hAnsi="Times" w:cs="Times"/>
        </w:rPr>
        <w:t xml:space="preserve"> </w:t>
      </w:r>
      <w:r w:rsidRPr="005946CD">
        <w:rPr>
          <w:rFonts w:ascii="Times New Roman" w:hAnsi="Times New Roman"/>
        </w:rPr>
        <w:t>https://stat.gov.pl/obszary-tematyczne/nauka-i-technika-spoleczenstwo-informacyjne/spoleczenstwo-informacyjne/spoleczenstwo-informacyjne-w-polsce-w-2025-r-,2,15.html</w:t>
      </w:r>
    </w:p>
  </w:footnote>
  <w:footnote w:id="2">
    <w:p w14:paraId="0E3EDA28" w14:textId="0CCC3E6C" w:rsidR="00E07258" w:rsidRPr="000F6D18" w:rsidRDefault="00E07258" w:rsidP="00E07258">
      <w:pPr>
        <w:pStyle w:val="Tekstprzypisudolnego"/>
        <w:rPr>
          <w:rFonts w:ascii="Times New Roman" w:hAnsi="Times New Roman"/>
        </w:rPr>
      </w:pPr>
      <w:r w:rsidRPr="000F6D18">
        <w:rPr>
          <w:rStyle w:val="Odwoanieprzypisudolnego"/>
          <w:rFonts w:ascii="Times New Roman" w:hAnsi="Times New Roman"/>
        </w:rPr>
        <w:footnoteRef/>
      </w:r>
      <w:r w:rsidRPr="000F6D18">
        <w:rPr>
          <w:rFonts w:ascii="Times New Roman" w:hAnsi="Times New Roman"/>
        </w:rPr>
        <w:t xml:space="preserve"> Dz. U. </w:t>
      </w:r>
      <w:r w:rsidR="007E3C0B" w:rsidRPr="000F6D18">
        <w:rPr>
          <w:rFonts w:ascii="Times New Roman" w:hAnsi="Times New Roman"/>
        </w:rPr>
        <w:t xml:space="preserve">z 2021 r. </w:t>
      </w:r>
      <w:r w:rsidR="005B124B" w:rsidRPr="000F6D18">
        <w:rPr>
          <w:rFonts w:ascii="Times New Roman" w:hAnsi="Times New Roman"/>
        </w:rPr>
        <w:t>poz.</w:t>
      </w:r>
      <w:r w:rsidRPr="000F6D18">
        <w:rPr>
          <w:rFonts w:ascii="Times New Roman" w:hAnsi="Times New Roman"/>
        </w:rPr>
        <w:t xml:space="preserve"> 2</w:t>
      </w:r>
      <w:r w:rsidR="005B124B" w:rsidRPr="000F6D18">
        <w:rPr>
          <w:rFonts w:ascii="Times New Roman" w:hAnsi="Times New Roman"/>
        </w:rPr>
        <w:t>105</w:t>
      </w:r>
      <w:r w:rsidRPr="000F6D18">
        <w:rPr>
          <w:rFonts w:ascii="Times New Roman" w:hAnsi="Times New Roman"/>
        </w:rPr>
        <w:t>, z późn. zm.</w:t>
      </w:r>
    </w:p>
  </w:footnote>
  <w:footnote w:id="3">
    <w:p w14:paraId="3C8C6875" w14:textId="77777777" w:rsidR="00E70C87" w:rsidRPr="00E70BF0" w:rsidRDefault="00E70C87" w:rsidP="00E70C87">
      <w:pPr>
        <w:jc w:val="both"/>
        <w:rPr>
          <w:rFonts w:ascii="Times" w:hAnsi="Times" w:cs="Times"/>
          <w:noProof/>
          <w:sz w:val="20"/>
          <w:szCs w:val="20"/>
          <w:lang w:val="en-US"/>
        </w:rPr>
      </w:pPr>
      <w:r w:rsidRPr="000F6D18">
        <w:rPr>
          <w:rFonts w:ascii="Times New Roman" w:hAnsi="Times New Roman" w:cs="Times New Roman"/>
          <w:sz w:val="20"/>
          <w:szCs w:val="20"/>
          <w:vertAlign w:val="superscript"/>
        </w:rPr>
        <w:footnoteRef/>
      </w:r>
      <w:r w:rsidRPr="000F6D18">
        <w:rPr>
          <w:rFonts w:ascii="Times New Roman" w:hAnsi="Times New Roman" w:cs="Times New Roman"/>
          <w:sz w:val="20"/>
          <w:szCs w:val="20"/>
          <w:lang w:val="en-US"/>
        </w:rPr>
        <w:t xml:space="preserve"> </w:t>
      </w:r>
      <w:r w:rsidRPr="000F6D18">
        <w:rPr>
          <w:rFonts w:ascii="Times New Roman" w:hAnsi="Times New Roman" w:cs="Times New Roman"/>
          <w:noProof/>
          <w:sz w:val="20"/>
          <w:szCs w:val="20"/>
          <w:lang w:val="en-US"/>
        </w:rPr>
        <w:t xml:space="preserve">Lerche, A. (2025, 08). Direct and Indirect Effects of Investment Tax Incentives. </w:t>
      </w:r>
      <w:r w:rsidRPr="00E70BF0">
        <w:rPr>
          <w:rFonts w:ascii="Times New Roman" w:hAnsi="Times New Roman" w:cs="Times New Roman"/>
          <w:i/>
          <w:iCs/>
          <w:noProof/>
          <w:sz w:val="20"/>
          <w:szCs w:val="20"/>
          <w:lang w:val="en-US"/>
        </w:rPr>
        <w:t>American Economic Review, 115</w:t>
      </w:r>
      <w:r w:rsidRPr="00E70BF0">
        <w:rPr>
          <w:rFonts w:ascii="Times New Roman" w:hAnsi="Times New Roman" w:cs="Times New Roman"/>
          <w:noProof/>
          <w:sz w:val="20"/>
          <w:szCs w:val="20"/>
          <w:lang w:val="en-US"/>
        </w:rPr>
        <w:t>(8), strony 2781-2818.</w:t>
      </w:r>
    </w:p>
  </w:footnote>
  <w:footnote w:id="4">
    <w:p w14:paraId="719017FC" w14:textId="77777777" w:rsidR="00E70C87" w:rsidRPr="000F6D18" w:rsidRDefault="00E70C87" w:rsidP="00E70C87">
      <w:pPr>
        <w:jc w:val="both"/>
        <w:rPr>
          <w:rFonts w:ascii="Times New Roman" w:hAnsi="Times New Roman" w:cs="Times New Roman"/>
          <w:noProof/>
          <w:sz w:val="20"/>
          <w:szCs w:val="20"/>
        </w:rPr>
      </w:pPr>
      <w:r w:rsidRPr="000F6D18">
        <w:rPr>
          <w:rFonts w:ascii="Times New Roman" w:hAnsi="Times New Roman" w:cs="Times New Roman"/>
          <w:sz w:val="20"/>
          <w:szCs w:val="20"/>
          <w:vertAlign w:val="superscript"/>
        </w:rPr>
        <w:footnoteRef/>
      </w:r>
      <w:r w:rsidRPr="00E70BF0">
        <w:rPr>
          <w:rFonts w:ascii="Times New Roman" w:hAnsi="Times New Roman" w:cs="Times New Roman"/>
          <w:sz w:val="20"/>
          <w:szCs w:val="20"/>
          <w:vertAlign w:val="superscript"/>
          <w:lang w:val="en-US"/>
        </w:rPr>
        <w:t xml:space="preserve"> </w:t>
      </w:r>
      <w:r w:rsidRPr="00E70BF0">
        <w:rPr>
          <w:rFonts w:ascii="Times New Roman" w:hAnsi="Times New Roman" w:cs="Times New Roman"/>
          <w:noProof/>
          <w:sz w:val="20"/>
          <w:szCs w:val="20"/>
          <w:lang w:val="en-US"/>
        </w:rPr>
        <w:t xml:space="preserve">Uchmańska, U. i Lemczak, S. (2025, 09 16). </w:t>
      </w:r>
      <w:r w:rsidRPr="00E70BF0">
        <w:rPr>
          <w:rFonts w:ascii="Times New Roman" w:hAnsi="Times New Roman" w:cs="Times New Roman"/>
          <w:i/>
          <w:iCs/>
          <w:noProof/>
          <w:sz w:val="20"/>
          <w:szCs w:val="20"/>
          <w:lang w:val="en-US"/>
        </w:rPr>
        <w:t>CRIDO.</w:t>
      </w:r>
      <w:r w:rsidRPr="00E70BF0">
        <w:rPr>
          <w:rFonts w:ascii="Times New Roman" w:hAnsi="Times New Roman" w:cs="Times New Roman"/>
          <w:noProof/>
          <w:sz w:val="20"/>
          <w:szCs w:val="20"/>
          <w:lang w:val="en-US"/>
        </w:rPr>
        <w:t xml:space="preserve"> </w:t>
      </w:r>
      <w:r w:rsidRPr="000F6D18">
        <w:rPr>
          <w:rFonts w:ascii="Times New Roman" w:hAnsi="Times New Roman" w:cs="Times New Roman"/>
          <w:noProof/>
          <w:sz w:val="20"/>
          <w:szCs w:val="20"/>
        </w:rPr>
        <w:t>Pobrano 03.19.2026r., https://crido.pl/blog-business/ulgi-podatkowe-jako-dominujace-narzedzie-wsparcia-dzialalnosci-br-w-swietle-danych-oecd/.</w:t>
      </w:r>
    </w:p>
  </w:footnote>
  <w:footnote w:id="5">
    <w:p w14:paraId="3B2BA85C" w14:textId="437F7B6A" w:rsidR="00386AC1" w:rsidRPr="000F6D18" w:rsidRDefault="00386AC1" w:rsidP="00386AC1">
      <w:pPr>
        <w:pStyle w:val="Tekstprzypisudolnego"/>
        <w:rPr>
          <w:rFonts w:ascii="Times New Roman" w:hAnsi="Times New Roman"/>
        </w:rPr>
      </w:pPr>
      <w:r w:rsidRPr="000F6D18">
        <w:rPr>
          <w:rFonts w:ascii="Times New Roman" w:hAnsi="Times New Roman"/>
          <w:vertAlign w:val="superscript"/>
        </w:rPr>
        <w:footnoteRef/>
      </w:r>
      <w:r w:rsidRPr="000F6D18">
        <w:rPr>
          <w:rFonts w:ascii="Times New Roman" w:hAnsi="Times New Roman"/>
        </w:rPr>
        <w:t xml:space="preserve"> Dz.</w:t>
      </w:r>
      <w:r w:rsidR="00844B97">
        <w:rPr>
          <w:rFonts w:ascii="Times New Roman" w:hAnsi="Times New Roman"/>
        </w:rPr>
        <w:t xml:space="preserve"> </w:t>
      </w:r>
      <w:r w:rsidRPr="000F6D18">
        <w:rPr>
          <w:rFonts w:ascii="Times New Roman" w:hAnsi="Times New Roman"/>
        </w:rPr>
        <w:t>U</w:t>
      </w:r>
      <w:r w:rsidR="00844B97">
        <w:rPr>
          <w:rFonts w:ascii="Times New Roman" w:hAnsi="Times New Roman"/>
        </w:rPr>
        <w:t>rz</w:t>
      </w:r>
      <w:r w:rsidRPr="000F6D18">
        <w:rPr>
          <w:rFonts w:ascii="Times New Roman" w:hAnsi="Times New Roman"/>
        </w:rPr>
        <w:t xml:space="preserve">. </w:t>
      </w:r>
      <w:r w:rsidR="00844B97">
        <w:rPr>
          <w:rFonts w:ascii="Times New Roman" w:hAnsi="Times New Roman"/>
        </w:rPr>
        <w:t xml:space="preserve">UE </w:t>
      </w:r>
      <w:r w:rsidRPr="000F6D18">
        <w:rPr>
          <w:rFonts w:ascii="Times New Roman" w:hAnsi="Times New Roman"/>
        </w:rPr>
        <w:t>L 198 z 22.</w:t>
      </w:r>
      <w:r w:rsidR="00844B97">
        <w:rPr>
          <w:rFonts w:ascii="Times New Roman" w:hAnsi="Times New Roman"/>
        </w:rPr>
        <w:t>0</w:t>
      </w:r>
      <w:r w:rsidRPr="000F6D18">
        <w:rPr>
          <w:rFonts w:ascii="Times New Roman" w:hAnsi="Times New Roman"/>
        </w:rPr>
        <w:t>6.2020</w:t>
      </w:r>
      <w:r w:rsidR="00844B97">
        <w:rPr>
          <w:rFonts w:ascii="Times New Roman" w:hAnsi="Times New Roman"/>
        </w:rPr>
        <w:t>, str.</w:t>
      </w:r>
      <w:r w:rsidR="00883E9B">
        <w:rPr>
          <w:rFonts w:ascii="Times New Roman" w:hAnsi="Times New Roman"/>
        </w:rPr>
        <w:t xml:space="preserve"> 13</w:t>
      </w:r>
      <w:r w:rsidR="007E3C0B" w:rsidRPr="000F6D18">
        <w:rPr>
          <w:rFonts w:ascii="Times New Roman" w:hAnsi="Times New Roman"/>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47883"/>
    <w:multiLevelType w:val="hybridMultilevel"/>
    <w:tmpl w:val="2356FEBC"/>
    <w:lvl w:ilvl="0" w:tplc="0415000B">
      <w:start w:val="1"/>
      <w:numFmt w:val="bullet"/>
      <w:lvlText w:val=""/>
      <w:lvlJc w:val="left"/>
      <w:pPr>
        <w:ind w:left="928" w:hanging="360"/>
      </w:pPr>
      <w:rPr>
        <w:rFonts w:ascii="Wingdings" w:hAnsi="Wingdings" w:hint="default"/>
      </w:rPr>
    </w:lvl>
    <w:lvl w:ilvl="1" w:tplc="04150003" w:tentative="1">
      <w:start w:val="1"/>
      <w:numFmt w:val="bullet"/>
      <w:lvlText w:val="o"/>
      <w:lvlJc w:val="left"/>
      <w:pPr>
        <w:ind w:left="1648" w:hanging="360"/>
      </w:pPr>
      <w:rPr>
        <w:rFonts w:ascii="Courier New" w:hAnsi="Courier New" w:cs="Courier New" w:hint="default"/>
      </w:rPr>
    </w:lvl>
    <w:lvl w:ilvl="2" w:tplc="04150005" w:tentative="1">
      <w:start w:val="1"/>
      <w:numFmt w:val="bullet"/>
      <w:lvlText w:val=""/>
      <w:lvlJc w:val="left"/>
      <w:pPr>
        <w:ind w:left="2368" w:hanging="360"/>
      </w:pPr>
      <w:rPr>
        <w:rFonts w:ascii="Wingdings" w:hAnsi="Wingdings" w:hint="default"/>
      </w:rPr>
    </w:lvl>
    <w:lvl w:ilvl="3" w:tplc="04150001" w:tentative="1">
      <w:start w:val="1"/>
      <w:numFmt w:val="bullet"/>
      <w:lvlText w:val=""/>
      <w:lvlJc w:val="left"/>
      <w:pPr>
        <w:ind w:left="3088" w:hanging="360"/>
      </w:pPr>
      <w:rPr>
        <w:rFonts w:ascii="Symbol" w:hAnsi="Symbol" w:hint="default"/>
      </w:rPr>
    </w:lvl>
    <w:lvl w:ilvl="4" w:tplc="04150003" w:tentative="1">
      <w:start w:val="1"/>
      <w:numFmt w:val="bullet"/>
      <w:lvlText w:val="o"/>
      <w:lvlJc w:val="left"/>
      <w:pPr>
        <w:ind w:left="3808" w:hanging="360"/>
      </w:pPr>
      <w:rPr>
        <w:rFonts w:ascii="Courier New" w:hAnsi="Courier New" w:cs="Courier New" w:hint="default"/>
      </w:rPr>
    </w:lvl>
    <w:lvl w:ilvl="5" w:tplc="04150005" w:tentative="1">
      <w:start w:val="1"/>
      <w:numFmt w:val="bullet"/>
      <w:lvlText w:val=""/>
      <w:lvlJc w:val="left"/>
      <w:pPr>
        <w:ind w:left="4528" w:hanging="360"/>
      </w:pPr>
      <w:rPr>
        <w:rFonts w:ascii="Wingdings" w:hAnsi="Wingdings" w:hint="default"/>
      </w:rPr>
    </w:lvl>
    <w:lvl w:ilvl="6" w:tplc="04150001" w:tentative="1">
      <w:start w:val="1"/>
      <w:numFmt w:val="bullet"/>
      <w:lvlText w:val=""/>
      <w:lvlJc w:val="left"/>
      <w:pPr>
        <w:ind w:left="5248" w:hanging="360"/>
      </w:pPr>
      <w:rPr>
        <w:rFonts w:ascii="Symbol" w:hAnsi="Symbol" w:hint="default"/>
      </w:rPr>
    </w:lvl>
    <w:lvl w:ilvl="7" w:tplc="04150003" w:tentative="1">
      <w:start w:val="1"/>
      <w:numFmt w:val="bullet"/>
      <w:lvlText w:val="o"/>
      <w:lvlJc w:val="left"/>
      <w:pPr>
        <w:ind w:left="5968" w:hanging="360"/>
      </w:pPr>
      <w:rPr>
        <w:rFonts w:ascii="Courier New" w:hAnsi="Courier New" w:cs="Courier New" w:hint="default"/>
      </w:rPr>
    </w:lvl>
    <w:lvl w:ilvl="8" w:tplc="04150005" w:tentative="1">
      <w:start w:val="1"/>
      <w:numFmt w:val="bullet"/>
      <w:lvlText w:val=""/>
      <w:lvlJc w:val="left"/>
      <w:pPr>
        <w:ind w:left="6688" w:hanging="360"/>
      </w:pPr>
      <w:rPr>
        <w:rFonts w:ascii="Wingdings" w:hAnsi="Wingdings" w:hint="default"/>
      </w:rPr>
    </w:lvl>
  </w:abstractNum>
  <w:abstractNum w:abstractNumId="1" w15:restartNumberingAfterBreak="0">
    <w:nsid w:val="148307EF"/>
    <w:multiLevelType w:val="hybridMultilevel"/>
    <w:tmpl w:val="24286200"/>
    <w:lvl w:ilvl="0" w:tplc="5806410E">
      <w:start w:val="4"/>
      <w:numFmt w:val="decimal"/>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C2C7573"/>
    <w:multiLevelType w:val="hybridMultilevel"/>
    <w:tmpl w:val="350C6F80"/>
    <w:lvl w:ilvl="0" w:tplc="04150013">
      <w:start w:val="1"/>
      <w:numFmt w:val="upperRoman"/>
      <w:lvlText w:val="%1."/>
      <w:lvlJc w:val="right"/>
      <w:pPr>
        <w:ind w:left="720" w:hanging="360"/>
      </w:pPr>
      <w:rPr>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2803148"/>
    <w:multiLevelType w:val="hybridMultilevel"/>
    <w:tmpl w:val="840C37FC"/>
    <w:lvl w:ilvl="0" w:tplc="04150013">
      <w:start w:val="1"/>
      <w:numFmt w:val="upperRoman"/>
      <w:lvlText w:val="%1."/>
      <w:lvlJc w:val="right"/>
      <w:pPr>
        <w:ind w:left="720" w:hanging="360"/>
      </w:pPr>
      <w:rPr>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4A4591A"/>
    <w:multiLevelType w:val="hybridMultilevel"/>
    <w:tmpl w:val="1E006810"/>
    <w:lvl w:ilvl="0" w:tplc="0415000F">
      <w:start w:val="1"/>
      <w:numFmt w:val="decimal"/>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D5B3326"/>
    <w:multiLevelType w:val="hybridMultilevel"/>
    <w:tmpl w:val="9E50EB26"/>
    <w:lvl w:ilvl="0" w:tplc="71B48F3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30031D4D"/>
    <w:multiLevelType w:val="hybridMultilevel"/>
    <w:tmpl w:val="937466F0"/>
    <w:lvl w:ilvl="0" w:tplc="DE12F1E8">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34E56658"/>
    <w:multiLevelType w:val="hybridMultilevel"/>
    <w:tmpl w:val="A1DADA62"/>
    <w:lvl w:ilvl="0" w:tplc="04150013">
      <w:start w:val="1"/>
      <w:numFmt w:val="upperRoman"/>
      <w:lvlText w:val="%1."/>
      <w:lvlJc w:val="right"/>
      <w:pPr>
        <w:ind w:left="720" w:hanging="360"/>
      </w:pPr>
      <w:rPr>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450C3053"/>
    <w:multiLevelType w:val="hybridMultilevel"/>
    <w:tmpl w:val="44CEFECE"/>
    <w:lvl w:ilvl="0" w:tplc="04150011">
      <w:start w:val="1"/>
      <w:numFmt w:val="decimal"/>
      <w:lvlText w:val="%1)"/>
      <w:lvlJc w:val="left"/>
      <w:pPr>
        <w:ind w:left="783" w:hanging="360"/>
      </w:pPr>
    </w:lvl>
    <w:lvl w:ilvl="1" w:tplc="04150019" w:tentative="1">
      <w:start w:val="1"/>
      <w:numFmt w:val="lowerLetter"/>
      <w:lvlText w:val="%2."/>
      <w:lvlJc w:val="left"/>
      <w:pPr>
        <w:ind w:left="1503" w:hanging="360"/>
      </w:pPr>
    </w:lvl>
    <w:lvl w:ilvl="2" w:tplc="0415001B" w:tentative="1">
      <w:start w:val="1"/>
      <w:numFmt w:val="lowerRoman"/>
      <w:lvlText w:val="%3."/>
      <w:lvlJc w:val="right"/>
      <w:pPr>
        <w:ind w:left="2223" w:hanging="180"/>
      </w:pPr>
    </w:lvl>
    <w:lvl w:ilvl="3" w:tplc="0415000F" w:tentative="1">
      <w:start w:val="1"/>
      <w:numFmt w:val="decimal"/>
      <w:lvlText w:val="%4."/>
      <w:lvlJc w:val="left"/>
      <w:pPr>
        <w:ind w:left="2943" w:hanging="360"/>
      </w:pPr>
    </w:lvl>
    <w:lvl w:ilvl="4" w:tplc="04150019" w:tentative="1">
      <w:start w:val="1"/>
      <w:numFmt w:val="lowerLetter"/>
      <w:lvlText w:val="%5."/>
      <w:lvlJc w:val="left"/>
      <w:pPr>
        <w:ind w:left="3663" w:hanging="360"/>
      </w:pPr>
    </w:lvl>
    <w:lvl w:ilvl="5" w:tplc="0415001B" w:tentative="1">
      <w:start w:val="1"/>
      <w:numFmt w:val="lowerRoman"/>
      <w:lvlText w:val="%6."/>
      <w:lvlJc w:val="right"/>
      <w:pPr>
        <w:ind w:left="4383" w:hanging="180"/>
      </w:pPr>
    </w:lvl>
    <w:lvl w:ilvl="6" w:tplc="0415000F" w:tentative="1">
      <w:start w:val="1"/>
      <w:numFmt w:val="decimal"/>
      <w:lvlText w:val="%7."/>
      <w:lvlJc w:val="left"/>
      <w:pPr>
        <w:ind w:left="5103" w:hanging="360"/>
      </w:pPr>
    </w:lvl>
    <w:lvl w:ilvl="7" w:tplc="04150019" w:tentative="1">
      <w:start w:val="1"/>
      <w:numFmt w:val="lowerLetter"/>
      <w:lvlText w:val="%8."/>
      <w:lvlJc w:val="left"/>
      <w:pPr>
        <w:ind w:left="5823" w:hanging="360"/>
      </w:pPr>
    </w:lvl>
    <w:lvl w:ilvl="8" w:tplc="0415001B" w:tentative="1">
      <w:start w:val="1"/>
      <w:numFmt w:val="lowerRoman"/>
      <w:lvlText w:val="%9."/>
      <w:lvlJc w:val="right"/>
      <w:pPr>
        <w:ind w:left="6543" w:hanging="180"/>
      </w:pPr>
    </w:lvl>
  </w:abstractNum>
  <w:abstractNum w:abstractNumId="9" w15:restartNumberingAfterBreak="0">
    <w:nsid w:val="4FFF2F49"/>
    <w:multiLevelType w:val="hybridMultilevel"/>
    <w:tmpl w:val="73B428DA"/>
    <w:lvl w:ilvl="0" w:tplc="2610BC4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50F929C8"/>
    <w:multiLevelType w:val="hybridMultilevel"/>
    <w:tmpl w:val="C1C4F878"/>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5219562C"/>
    <w:multiLevelType w:val="hybridMultilevel"/>
    <w:tmpl w:val="2400A0C2"/>
    <w:lvl w:ilvl="0" w:tplc="DE12F1E8">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5C8E77FD"/>
    <w:multiLevelType w:val="hybridMultilevel"/>
    <w:tmpl w:val="8924C1A8"/>
    <w:lvl w:ilvl="0" w:tplc="04150013">
      <w:start w:val="1"/>
      <w:numFmt w:val="upperRoman"/>
      <w:lvlText w:val="%1."/>
      <w:lvlJc w:val="right"/>
      <w:pPr>
        <w:ind w:left="720" w:hanging="360"/>
      </w:pPr>
      <w:rPr>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5FBA3E30"/>
    <w:multiLevelType w:val="hybridMultilevel"/>
    <w:tmpl w:val="DAFCABDC"/>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69BC13CC"/>
    <w:multiLevelType w:val="hybridMultilevel"/>
    <w:tmpl w:val="55F06EF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74E41581"/>
    <w:multiLevelType w:val="hybridMultilevel"/>
    <w:tmpl w:val="A4306F7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564869496">
    <w:abstractNumId w:val="3"/>
  </w:num>
  <w:num w:numId="2" w16cid:durableId="1533305668">
    <w:abstractNumId w:val="5"/>
  </w:num>
  <w:num w:numId="3" w16cid:durableId="1885212259">
    <w:abstractNumId w:val="3"/>
  </w:num>
  <w:num w:numId="4" w16cid:durableId="900560558">
    <w:abstractNumId w:val="12"/>
  </w:num>
  <w:num w:numId="5" w16cid:durableId="1030187983">
    <w:abstractNumId w:val="15"/>
  </w:num>
  <w:num w:numId="6" w16cid:durableId="483931793">
    <w:abstractNumId w:val="11"/>
  </w:num>
  <w:num w:numId="7" w16cid:durableId="1680350629">
    <w:abstractNumId w:val="6"/>
  </w:num>
  <w:num w:numId="8" w16cid:durableId="84688061">
    <w:abstractNumId w:val="0"/>
  </w:num>
  <w:num w:numId="9" w16cid:durableId="1035933327">
    <w:abstractNumId w:val="13"/>
  </w:num>
  <w:num w:numId="10" w16cid:durableId="577062545">
    <w:abstractNumId w:val="7"/>
  </w:num>
  <w:num w:numId="11" w16cid:durableId="1119953599">
    <w:abstractNumId w:val="2"/>
  </w:num>
  <w:num w:numId="12" w16cid:durableId="408036759">
    <w:abstractNumId w:val="8"/>
  </w:num>
  <w:num w:numId="13" w16cid:durableId="1306352593">
    <w:abstractNumId w:val="10"/>
  </w:num>
  <w:num w:numId="14" w16cid:durableId="681443660">
    <w:abstractNumId w:val="4"/>
  </w:num>
  <w:num w:numId="15" w16cid:durableId="40181395">
    <w:abstractNumId w:val="14"/>
  </w:num>
  <w:num w:numId="16" w16cid:durableId="1935742258">
    <w:abstractNumId w:val="1"/>
  </w:num>
  <w:num w:numId="17" w16cid:durableId="17689236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127"/>
    <w:rsid w:val="00000AFB"/>
    <w:rsid w:val="00002F5F"/>
    <w:rsid w:val="00005B33"/>
    <w:rsid w:val="00010F72"/>
    <w:rsid w:val="000143A6"/>
    <w:rsid w:val="00017C67"/>
    <w:rsid w:val="000334DA"/>
    <w:rsid w:val="000406A6"/>
    <w:rsid w:val="00055AAD"/>
    <w:rsid w:val="0007598A"/>
    <w:rsid w:val="00077D65"/>
    <w:rsid w:val="00083D01"/>
    <w:rsid w:val="00090C01"/>
    <w:rsid w:val="00093BB9"/>
    <w:rsid w:val="00093E4C"/>
    <w:rsid w:val="000A0408"/>
    <w:rsid w:val="000B3271"/>
    <w:rsid w:val="000B50CC"/>
    <w:rsid w:val="000D4C36"/>
    <w:rsid w:val="000E37B7"/>
    <w:rsid w:val="000F4BB8"/>
    <w:rsid w:val="000F6D18"/>
    <w:rsid w:val="001128BE"/>
    <w:rsid w:val="00124B56"/>
    <w:rsid w:val="00126EBB"/>
    <w:rsid w:val="00165B78"/>
    <w:rsid w:val="00165BC4"/>
    <w:rsid w:val="00171354"/>
    <w:rsid w:val="001830AC"/>
    <w:rsid w:val="0019626F"/>
    <w:rsid w:val="001B41DC"/>
    <w:rsid w:val="001B4AC3"/>
    <w:rsid w:val="001C708E"/>
    <w:rsid w:val="001E0D0C"/>
    <w:rsid w:val="001E2456"/>
    <w:rsid w:val="0020440D"/>
    <w:rsid w:val="00210DA8"/>
    <w:rsid w:val="00216AAC"/>
    <w:rsid w:val="00231498"/>
    <w:rsid w:val="002334A1"/>
    <w:rsid w:val="00237D9B"/>
    <w:rsid w:val="00255366"/>
    <w:rsid w:val="00291FD7"/>
    <w:rsid w:val="0029504A"/>
    <w:rsid w:val="002B14B0"/>
    <w:rsid w:val="002B37ED"/>
    <w:rsid w:val="002B77B2"/>
    <w:rsid w:val="002D1070"/>
    <w:rsid w:val="002E6365"/>
    <w:rsid w:val="002E74FE"/>
    <w:rsid w:val="002F2E64"/>
    <w:rsid w:val="002F6C0D"/>
    <w:rsid w:val="00305F51"/>
    <w:rsid w:val="00322DA1"/>
    <w:rsid w:val="00351073"/>
    <w:rsid w:val="003628B0"/>
    <w:rsid w:val="00362E46"/>
    <w:rsid w:val="0036378D"/>
    <w:rsid w:val="00380F11"/>
    <w:rsid w:val="00386AC1"/>
    <w:rsid w:val="003A4E27"/>
    <w:rsid w:val="003A74EE"/>
    <w:rsid w:val="003B1BC2"/>
    <w:rsid w:val="003F12BB"/>
    <w:rsid w:val="003F4894"/>
    <w:rsid w:val="003F4C71"/>
    <w:rsid w:val="00417491"/>
    <w:rsid w:val="0042260C"/>
    <w:rsid w:val="004422F8"/>
    <w:rsid w:val="00487C09"/>
    <w:rsid w:val="00490C61"/>
    <w:rsid w:val="004A3223"/>
    <w:rsid w:val="004B5914"/>
    <w:rsid w:val="004C2849"/>
    <w:rsid w:val="004C3CA4"/>
    <w:rsid w:val="004D77BA"/>
    <w:rsid w:val="004F7BED"/>
    <w:rsid w:val="00501A6A"/>
    <w:rsid w:val="00523832"/>
    <w:rsid w:val="0052442D"/>
    <w:rsid w:val="00544D19"/>
    <w:rsid w:val="005516B4"/>
    <w:rsid w:val="00584C27"/>
    <w:rsid w:val="005946CD"/>
    <w:rsid w:val="005B124B"/>
    <w:rsid w:val="005B7127"/>
    <w:rsid w:val="005B761E"/>
    <w:rsid w:val="005C5557"/>
    <w:rsid w:val="005C67B9"/>
    <w:rsid w:val="005D015D"/>
    <w:rsid w:val="005E41BE"/>
    <w:rsid w:val="005F293A"/>
    <w:rsid w:val="00601CB6"/>
    <w:rsid w:val="0060492B"/>
    <w:rsid w:val="0061763D"/>
    <w:rsid w:val="006602F4"/>
    <w:rsid w:val="006765E8"/>
    <w:rsid w:val="006934D9"/>
    <w:rsid w:val="006A4812"/>
    <w:rsid w:val="006C6535"/>
    <w:rsid w:val="006C799C"/>
    <w:rsid w:val="006F1443"/>
    <w:rsid w:val="006F445A"/>
    <w:rsid w:val="006F4C41"/>
    <w:rsid w:val="006F54C3"/>
    <w:rsid w:val="007118EA"/>
    <w:rsid w:val="0071194A"/>
    <w:rsid w:val="00735BAD"/>
    <w:rsid w:val="00744E84"/>
    <w:rsid w:val="00753113"/>
    <w:rsid w:val="007656ED"/>
    <w:rsid w:val="00766EB2"/>
    <w:rsid w:val="00775392"/>
    <w:rsid w:val="00780490"/>
    <w:rsid w:val="00786BC3"/>
    <w:rsid w:val="00791A62"/>
    <w:rsid w:val="007A489C"/>
    <w:rsid w:val="007A61E7"/>
    <w:rsid w:val="007B09D4"/>
    <w:rsid w:val="007B3829"/>
    <w:rsid w:val="007E23DA"/>
    <w:rsid w:val="007E3C0B"/>
    <w:rsid w:val="007F6014"/>
    <w:rsid w:val="00802504"/>
    <w:rsid w:val="008064B7"/>
    <w:rsid w:val="00825A49"/>
    <w:rsid w:val="008312DF"/>
    <w:rsid w:val="00844B97"/>
    <w:rsid w:val="008505EA"/>
    <w:rsid w:val="0085359B"/>
    <w:rsid w:val="008567D9"/>
    <w:rsid w:val="008711CB"/>
    <w:rsid w:val="008761BE"/>
    <w:rsid w:val="0087725C"/>
    <w:rsid w:val="00883E9B"/>
    <w:rsid w:val="00890016"/>
    <w:rsid w:val="00894721"/>
    <w:rsid w:val="008C1E91"/>
    <w:rsid w:val="008D09B4"/>
    <w:rsid w:val="008F4E4F"/>
    <w:rsid w:val="008F7211"/>
    <w:rsid w:val="00901340"/>
    <w:rsid w:val="00913784"/>
    <w:rsid w:val="00930530"/>
    <w:rsid w:val="009534C4"/>
    <w:rsid w:val="009654C5"/>
    <w:rsid w:val="00965833"/>
    <w:rsid w:val="009676C0"/>
    <w:rsid w:val="00980EA7"/>
    <w:rsid w:val="0098474E"/>
    <w:rsid w:val="009918A1"/>
    <w:rsid w:val="00993D99"/>
    <w:rsid w:val="00995A27"/>
    <w:rsid w:val="009A5564"/>
    <w:rsid w:val="009C1786"/>
    <w:rsid w:val="009C24CA"/>
    <w:rsid w:val="009C3A4E"/>
    <w:rsid w:val="00A01303"/>
    <w:rsid w:val="00A07059"/>
    <w:rsid w:val="00A14158"/>
    <w:rsid w:val="00A21224"/>
    <w:rsid w:val="00A25AC9"/>
    <w:rsid w:val="00A32F0A"/>
    <w:rsid w:val="00A43D54"/>
    <w:rsid w:val="00A579A9"/>
    <w:rsid w:val="00A60A46"/>
    <w:rsid w:val="00A6326E"/>
    <w:rsid w:val="00A8026E"/>
    <w:rsid w:val="00A8330F"/>
    <w:rsid w:val="00AA0284"/>
    <w:rsid w:val="00AA3E27"/>
    <w:rsid w:val="00AB0C3E"/>
    <w:rsid w:val="00AB5B76"/>
    <w:rsid w:val="00AC1EE6"/>
    <w:rsid w:val="00AC5FEF"/>
    <w:rsid w:val="00AD0383"/>
    <w:rsid w:val="00AE58C9"/>
    <w:rsid w:val="00B37941"/>
    <w:rsid w:val="00B41381"/>
    <w:rsid w:val="00B50228"/>
    <w:rsid w:val="00B56EA5"/>
    <w:rsid w:val="00B6490A"/>
    <w:rsid w:val="00B64C90"/>
    <w:rsid w:val="00B948A1"/>
    <w:rsid w:val="00B94EED"/>
    <w:rsid w:val="00BA781D"/>
    <w:rsid w:val="00BC67E8"/>
    <w:rsid w:val="00BC6A60"/>
    <w:rsid w:val="00C02A3D"/>
    <w:rsid w:val="00C0749E"/>
    <w:rsid w:val="00C07685"/>
    <w:rsid w:val="00C146F1"/>
    <w:rsid w:val="00C30142"/>
    <w:rsid w:val="00C41796"/>
    <w:rsid w:val="00C55BAC"/>
    <w:rsid w:val="00C85066"/>
    <w:rsid w:val="00C85C23"/>
    <w:rsid w:val="00CA640D"/>
    <w:rsid w:val="00CB283E"/>
    <w:rsid w:val="00CE51DD"/>
    <w:rsid w:val="00CF3152"/>
    <w:rsid w:val="00CF4AE6"/>
    <w:rsid w:val="00D00101"/>
    <w:rsid w:val="00D01FD4"/>
    <w:rsid w:val="00D07D63"/>
    <w:rsid w:val="00D26657"/>
    <w:rsid w:val="00D32C98"/>
    <w:rsid w:val="00D34C3B"/>
    <w:rsid w:val="00D37580"/>
    <w:rsid w:val="00D50E8D"/>
    <w:rsid w:val="00D527F8"/>
    <w:rsid w:val="00D54B88"/>
    <w:rsid w:val="00D57460"/>
    <w:rsid w:val="00D629F8"/>
    <w:rsid w:val="00D93464"/>
    <w:rsid w:val="00DA1D91"/>
    <w:rsid w:val="00DB160E"/>
    <w:rsid w:val="00DD07E9"/>
    <w:rsid w:val="00DD1EA9"/>
    <w:rsid w:val="00DF3825"/>
    <w:rsid w:val="00DF3D50"/>
    <w:rsid w:val="00DF5407"/>
    <w:rsid w:val="00E07258"/>
    <w:rsid w:val="00E12272"/>
    <w:rsid w:val="00E1307E"/>
    <w:rsid w:val="00E21A21"/>
    <w:rsid w:val="00E43A09"/>
    <w:rsid w:val="00E459B6"/>
    <w:rsid w:val="00E50E01"/>
    <w:rsid w:val="00E70BF0"/>
    <w:rsid w:val="00E70C87"/>
    <w:rsid w:val="00E955E3"/>
    <w:rsid w:val="00EB161D"/>
    <w:rsid w:val="00EB5821"/>
    <w:rsid w:val="00EB6E09"/>
    <w:rsid w:val="00EC142A"/>
    <w:rsid w:val="00EC36A6"/>
    <w:rsid w:val="00EC478E"/>
    <w:rsid w:val="00EC4E50"/>
    <w:rsid w:val="00ED3A6C"/>
    <w:rsid w:val="00ED44E4"/>
    <w:rsid w:val="00ED51A7"/>
    <w:rsid w:val="00EE12E5"/>
    <w:rsid w:val="00EF16B5"/>
    <w:rsid w:val="00EF61E1"/>
    <w:rsid w:val="00F0019A"/>
    <w:rsid w:val="00F027EF"/>
    <w:rsid w:val="00F12D0F"/>
    <w:rsid w:val="00F32846"/>
    <w:rsid w:val="00F41F85"/>
    <w:rsid w:val="00F47F75"/>
    <w:rsid w:val="00F531D3"/>
    <w:rsid w:val="00F64D6C"/>
    <w:rsid w:val="00F66B5D"/>
    <w:rsid w:val="00F85D7F"/>
    <w:rsid w:val="00F95AB8"/>
    <w:rsid w:val="00FA74A0"/>
    <w:rsid w:val="00FB56FE"/>
    <w:rsid w:val="00FD338B"/>
    <w:rsid w:val="00FD6D42"/>
    <w:rsid w:val="00FE0AFA"/>
    <w:rsid w:val="00FE180E"/>
    <w:rsid w:val="00FE557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E6021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B7127"/>
    <w:pPr>
      <w:spacing w:after="0" w:line="240" w:lineRule="auto"/>
    </w:pPr>
    <w:rPr>
      <w:rFonts w:ascii="Calibri" w:hAnsi="Calibri" w:cs="Calibri"/>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link w:val="AkapitzlistZnak"/>
    <w:uiPriority w:val="34"/>
    <w:qFormat/>
    <w:rsid w:val="005B7127"/>
    <w:pPr>
      <w:spacing w:line="276" w:lineRule="auto"/>
      <w:ind w:left="720"/>
      <w:contextualSpacing/>
    </w:pPr>
    <w:rPr>
      <w:rFonts w:eastAsia="Calibri" w:cs="Times New Roman"/>
    </w:rPr>
  </w:style>
  <w:style w:type="paragraph" w:styleId="Tekstprzypisudolnego">
    <w:name w:val="footnote text"/>
    <w:basedOn w:val="Normalny"/>
    <w:link w:val="TekstprzypisudolnegoZnak"/>
    <w:uiPriority w:val="99"/>
    <w:semiHidden/>
    <w:unhideWhenUsed/>
    <w:rsid w:val="005B7127"/>
    <w:pPr>
      <w:spacing w:line="276" w:lineRule="auto"/>
    </w:pPr>
    <w:rPr>
      <w:rFonts w:eastAsia="Calibri" w:cs="Times New Roman"/>
      <w:sz w:val="20"/>
      <w:szCs w:val="20"/>
    </w:rPr>
  </w:style>
  <w:style w:type="character" w:customStyle="1" w:styleId="TekstprzypisudolnegoZnak">
    <w:name w:val="Tekst przypisu dolnego Znak"/>
    <w:basedOn w:val="Domylnaczcionkaakapitu"/>
    <w:link w:val="Tekstprzypisudolnego"/>
    <w:uiPriority w:val="99"/>
    <w:semiHidden/>
    <w:rsid w:val="005B7127"/>
    <w:rPr>
      <w:rFonts w:ascii="Calibri" w:eastAsia="Calibri" w:hAnsi="Calibri" w:cs="Times New Roman"/>
      <w:sz w:val="20"/>
      <w:szCs w:val="20"/>
    </w:rPr>
  </w:style>
  <w:style w:type="character" w:styleId="Odwoanieprzypisudolnego">
    <w:name w:val="footnote reference"/>
    <w:uiPriority w:val="99"/>
    <w:semiHidden/>
    <w:unhideWhenUsed/>
    <w:rsid w:val="005B7127"/>
    <w:rPr>
      <w:vertAlign w:val="superscript"/>
    </w:rPr>
  </w:style>
  <w:style w:type="character" w:styleId="Hipercze">
    <w:name w:val="Hyperlink"/>
    <w:uiPriority w:val="99"/>
    <w:unhideWhenUsed/>
    <w:rsid w:val="005B7127"/>
    <w:rPr>
      <w:color w:val="0000FF"/>
      <w:u w:val="single"/>
    </w:rPr>
  </w:style>
  <w:style w:type="paragraph" w:customStyle="1" w:styleId="SrodtytulpismaMF">
    <w:name w:val="Srodtytul pisma MF"/>
    <w:basedOn w:val="Normalny"/>
    <w:link w:val="SrodtytulpismaMFZnak"/>
    <w:qFormat/>
    <w:rsid w:val="005B7127"/>
    <w:pPr>
      <w:keepNext/>
      <w:spacing w:before="240" w:line="300" w:lineRule="exact"/>
      <w:contextualSpacing/>
      <w:jc w:val="both"/>
    </w:pPr>
    <w:rPr>
      <w:rFonts w:ascii="Lato" w:eastAsia="Calibri" w:hAnsi="Lato" w:cs="Times New Roman"/>
      <w:b/>
      <w:sz w:val="26"/>
    </w:rPr>
  </w:style>
  <w:style w:type="character" w:customStyle="1" w:styleId="SrodtytulpismaMFZnak">
    <w:name w:val="Srodtytul pisma MF Znak"/>
    <w:link w:val="SrodtytulpismaMF"/>
    <w:rsid w:val="005B7127"/>
    <w:rPr>
      <w:rFonts w:ascii="Lato" w:eastAsia="Calibri" w:hAnsi="Lato" w:cs="Times New Roman"/>
      <w:b/>
      <w:sz w:val="26"/>
    </w:rPr>
  </w:style>
  <w:style w:type="character" w:customStyle="1" w:styleId="AkapitzlistZnak">
    <w:name w:val="Akapit z listą Znak"/>
    <w:link w:val="Akapitzlist"/>
    <w:uiPriority w:val="34"/>
    <w:rsid w:val="005B7127"/>
    <w:rPr>
      <w:rFonts w:ascii="Calibri" w:eastAsia="Calibri" w:hAnsi="Calibri" w:cs="Times New Roman"/>
    </w:rPr>
  </w:style>
  <w:style w:type="character" w:styleId="Nierozpoznanawzmianka">
    <w:name w:val="Unresolved Mention"/>
    <w:basedOn w:val="Domylnaczcionkaakapitu"/>
    <w:uiPriority w:val="99"/>
    <w:semiHidden/>
    <w:unhideWhenUsed/>
    <w:rsid w:val="003A4E27"/>
    <w:rPr>
      <w:color w:val="605E5C"/>
      <w:shd w:val="clear" w:color="auto" w:fill="E1DFDD"/>
    </w:rPr>
  </w:style>
  <w:style w:type="character" w:styleId="Odwoaniedokomentarza">
    <w:name w:val="annotation reference"/>
    <w:basedOn w:val="Domylnaczcionkaakapitu"/>
    <w:uiPriority w:val="99"/>
    <w:semiHidden/>
    <w:unhideWhenUsed/>
    <w:rsid w:val="00E43A09"/>
    <w:rPr>
      <w:sz w:val="16"/>
      <w:szCs w:val="16"/>
    </w:rPr>
  </w:style>
  <w:style w:type="paragraph" w:styleId="Tekstkomentarza">
    <w:name w:val="annotation text"/>
    <w:basedOn w:val="Normalny"/>
    <w:link w:val="TekstkomentarzaZnak"/>
    <w:uiPriority w:val="99"/>
    <w:unhideWhenUsed/>
    <w:rsid w:val="00E43A09"/>
    <w:rPr>
      <w:sz w:val="20"/>
      <w:szCs w:val="20"/>
    </w:rPr>
  </w:style>
  <w:style w:type="character" w:customStyle="1" w:styleId="TekstkomentarzaZnak">
    <w:name w:val="Tekst komentarza Znak"/>
    <w:basedOn w:val="Domylnaczcionkaakapitu"/>
    <w:link w:val="Tekstkomentarza"/>
    <w:uiPriority w:val="99"/>
    <w:rsid w:val="00E43A09"/>
    <w:rPr>
      <w:rFonts w:ascii="Calibri" w:hAnsi="Calibri" w:cs="Calibri"/>
      <w:sz w:val="20"/>
      <w:szCs w:val="20"/>
    </w:rPr>
  </w:style>
  <w:style w:type="paragraph" w:styleId="Tematkomentarza">
    <w:name w:val="annotation subject"/>
    <w:basedOn w:val="Tekstkomentarza"/>
    <w:next w:val="Tekstkomentarza"/>
    <w:link w:val="TematkomentarzaZnak"/>
    <w:uiPriority w:val="99"/>
    <w:semiHidden/>
    <w:unhideWhenUsed/>
    <w:rsid w:val="00E43A09"/>
    <w:rPr>
      <w:b/>
      <w:bCs/>
    </w:rPr>
  </w:style>
  <w:style w:type="character" w:customStyle="1" w:styleId="TematkomentarzaZnak">
    <w:name w:val="Temat komentarza Znak"/>
    <w:basedOn w:val="TekstkomentarzaZnak"/>
    <w:link w:val="Tematkomentarza"/>
    <w:uiPriority w:val="99"/>
    <w:semiHidden/>
    <w:rsid w:val="00E43A09"/>
    <w:rPr>
      <w:rFonts w:ascii="Calibri" w:hAnsi="Calibri" w:cs="Calibri"/>
      <w:b/>
      <w:bCs/>
      <w:sz w:val="20"/>
      <w:szCs w:val="20"/>
    </w:rPr>
  </w:style>
  <w:style w:type="character" w:customStyle="1" w:styleId="link-preview-wrapper">
    <w:name w:val="link-preview-wrapper"/>
    <w:basedOn w:val="Domylnaczcionkaakapitu"/>
    <w:rsid w:val="00E43A09"/>
  </w:style>
  <w:style w:type="paragraph" w:styleId="Bibliografia">
    <w:name w:val="Bibliography"/>
    <w:basedOn w:val="Normalny"/>
    <w:next w:val="Normalny"/>
    <w:uiPriority w:val="37"/>
    <w:semiHidden/>
    <w:unhideWhenUsed/>
    <w:rsid w:val="00E70C87"/>
    <w:pPr>
      <w:spacing w:after="160" w:line="259" w:lineRule="auto"/>
    </w:pPr>
    <w:rPr>
      <w:rFonts w:asciiTheme="minorHAnsi" w:hAnsiTheme="minorHAnsi" w:cstheme="minorBidi"/>
    </w:rPr>
  </w:style>
  <w:style w:type="paragraph" w:customStyle="1" w:styleId="TekstpismaMF">
    <w:name w:val="Tekst pisma MF"/>
    <w:qFormat/>
    <w:rsid w:val="00386AC1"/>
    <w:pPr>
      <w:spacing w:before="240" w:after="0" w:line="260" w:lineRule="exact"/>
      <w:contextualSpacing/>
    </w:pPr>
    <w:rPr>
      <w:rFonts w:ascii="Lato" w:hAnsi="Lato"/>
    </w:rPr>
  </w:style>
  <w:style w:type="character" w:styleId="Uwydatnienie">
    <w:name w:val="Emphasis"/>
    <w:basedOn w:val="Domylnaczcionkaakapitu"/>
    <w:uiPriority w:val="20"/>
    <w:qFormat/>
    <w:rsid w:val="00386AC1"/>
    <w:rPr>
      <w:i/>
      <w:iCs/>
    </w:rPr>
  </w:style>
  <w:style w:type="character" w:customStyle="1" w:styleId="1cs5bdp">
    <w:name w:val="___1cs5bdp"/>
    <w:basedOn w:val="Domylnaczcionkaakapitu"/>
    <w:rsid w:val="003F4894"/>
  </w:style>
  <w:style w:type="character" w:customStyle="1" w:styleId="xxxjie0">
    <w:name w:val="___xxxjie0"/>
    <w:basedOn w:val="Domylnaczcionkaakapitu"/>
    <w:rsid w:val="003F4894"/>
  </w:style>
  <w:style w:type="paragraph" w:styleId="NormalnyWeb">
    <w:name w:val="Normal (Web)"/>
    <w:basedOn w:val="Normalny"/>
    <w:uiPriority w:val="99"/>
    <w:semiHidden/>
    <w:unhideWhenUsed/>
    <w:rsid w:val="009C3A4E"/>
    <w:pPr>
      <w:spacing w:before="100" w:beforeAutospacing="1" w:after="100" w:afterAutospacing="1"/>
    </w:pPr>
    <w:rPr>
      <w:rFonts w:ascii="Times New Roman" w:eastAsia="Times New Roman" w:hAnsi="Times New Roman" w:cs="Times New Roman"/>
      <w:sz w:val="24"/>
      <w:szCs w:val="24"/>
      <w:lang w:eastAsia="pl-PL"/>
    </w:rPr>
  </w:style>
  <w:style w:type="paragraph" w:styleId="Nagwek">
    <w:name w:val="header"/>
    <w:basedOn w:val="Normalny"/>
    <w:link w:val="NagwekZnak"/>
    <w:uiPriority w:val="99"/>
    <w:unhideWhenUsed/>
    <w:rsid w:val="005946CD"/>
    <w:pPr>
      <w:tabs>
        <w:tab w:val="center" w:pos="4536"/>
        <w:tab w:val="right" w:pos="9072"/>
      </w:tabs>
    </w:pPr>
  </w:style>
  <w:style w:type="character" w:customStyle="1" w:styleId="NagwekZnak">
    <w:name w:val="Nagłówek Znak"/>
    <w:basedOn w:val="Domylnaczcionkaakapitu"/>
    <w:link w:val="Nagwek"/>
    <w:uiPriority w:val="99"/>
    <w:rsid w:val="005946CD"/>
    <w:rPr>
      <w:rFonts w:ascii="Calibri" w:hAnsi="Calibri" w:cs="Calibri"/>
    </w:rPr>
  </w:style>
  <w:style w:type="paragraph" w:styleId="Stopka">
    <w:name w:val="footer"/>
    <w:basedOn w:val="Normalny"/>
    <w:link w:val="StopkaZnak"/>
    <w:uiPriority w:val="99"/>
    <w:unhideWhenUsed/>
    <w:rsid w:val="005946CD"/>
    <w:pPr>
      <w:tabs>
        <w:tab w:val="center" w:pos="4536"/>
        <w:tab w:val="right" w:pos="9072"/>
      </w:tabs>
    </w:pPr>
  </w:style>
  <w:style w:type="character" w:customStyle="1" w:styleId="StopkaZnak">
    <w:name w:val="Stopka Znak"/>
    <w:basedOn w:val="Domylnaczcionkaakapitu"/>
    <w:link w:val="Stopka"/>
    <w:uiPriority w:val="99"/>
    <w:rsid w:val="005946CD"/>
    <w:rPr>
      <w:rFonts w:ascii="Calibri" w:hAnsi="Calibri" w:cs="Calibri"/>
    </w:rPr>
  </w:style>
  <w:style w:type="paragraph" w:styleId="Poprawka">
    <w:name w:val="Revision"/>
    <w:hidden/>
    <w:uiPriority w:val="99"/>
    <w:semiHidden/>
    <w:rsid w:val="005946CD"/>
    <w:pPr>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8004088">
      <w:bodyDiv w:val="1"/>
      <w:marLeft w:val="0"/>
      <w:marRight w:val="0"/>
      <w:marTop w:val="0"/>
      <w:marBottom w:val="0"/>
      <w:divBdr>
        <w:top w:val="none" w:sz="0" w:space="0" w:color="auto"/>
        <w:left w:val="none" w:sz="0" w:space="0" w:color="auto"/>
        <w:bottom w:val="none" w:sz="0" w:space="0" w:color="auto"/>
        <w:right w:val="none" w:sz="0" w:space="0" w:color="auto"/>
      </w:divBdr>
      <w:divsChild>
        <w:div w:id="1369526018">
          <w:marLeft w:val="0"/>
          <w:marRight w:val="0"/>
          <w:marTop w:val="0"/>
          <w:marBottom w:val="0"/>
          <w:divBdr>
            <w:top w:val="none" w:sz="0" w:space="0" w:color="auto"/>
            <w:left w:val="none" w:sz="0" w:space="0" w:color="auto"/>
            <w:bottom w:val="none" w:sz="0" w:space="0" w:color="auto"/>
            <w:right w:val="none" w:sz="0" w:space="0" w:color="auto"/>
          </w:divBdr>
        </w:div>
      </w:divsChild>
    </w:div>
    <w:div w:id="734739115">
      <w:bodyDiv w:val="1"/>
      <w:marLeft w:val="0"/>
      <w:marRight w:val="0"/>
      <w:marTop w:val="0"/>
      <w:marBottom w:val="0"/>
      <w:divBdr>
        <w:top w:val="none" w:sz="0" w:space="0" w:color="auto"/>
        <w:left w:val="none" w:sz="0" w:space="0" w:color="auto"/>
        <w:bottom w:val="none" w:sz="0" w:space="0" w:color="auto"/>
        <w:right w:val="none" w:sz="0" w:space="0" w:color="auto"/>
      </w:divBdr>
      <w:divsChild>
        <w:div w:id="1063063256">
          <w:marLeft w:val="0"/>
          <w:marRight w:val="0"/>
          <w:marTop w:val="0"/>
          <w:marBottom w:val="0"/>
          <w:divBdr>
            <w:top w:val="none" w:sz="0" w:space="0" w:color="auto"/>
            <w:left w:val="none" w:sz="0" w:space="0" w:color="auto"/>
            <w:bottom w:val="none" w:sz="0" w:space="0" w:color="auto"/>
            <w:right w:val="none" w:sz="0" w:space="0" w:color="auto"/>
          </w:divBdr>
          <w:divsChild>
            <w:div w:id="406852911">
              <w:marLeft w:val="0"/>
              <w:marRight w:val="0"/>
              <w:marTop w:val="105"/>
              <w:marBottom w:val="0"/>
              <w:divBdr>
                <w:top w:val="none" w:sz="0" w:space="0" w:color="auto"/>
                <w:left w:val="none" w:sz="0" w:space="0" w:color="auto"/>
                <w:bottom w:val="none" w:sz="0" w:space="0" w:color="auto"/>
                <w:right w:val="none" w:sz="0" w:space="0" w:color="auto"/>
              </w:divBdr>
            </w:div>
          </w:divsChild>
        </w:div>
        <w:div w:id="585647467">
          <w:marLeft w:val="0"/>
          <w:marRight w:val="0"/>
          <w:marTop w:val="0"/>
          <w:marBottom w:val="0"/>
          <w:divBdr>
            <w:top w:val="none" w:sz="0" w:space="0" w:color="auto"/>
            <w:left w:val="none" w:sz="0" w:space="0" w:color="auto"/>
            <w:bottom w:val="none" w:sz="0" w:space="0" w:color="auto"/>
            <w:right w:val="none" w:sz="0" w:space="0" w:color="auto"/>
          </w:divBdr>
          <w:divsChild>
            <w:div w:id="54814641">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177967478">
      <w:bodyDiv w:val="1"/>
      <w:marLeft w:val="0"/>
      <w:marRight w:val="0"/>
      <w:marTop w:val="0"/>
      <w:marBottom w:val="0"/>
      <w:divBdr>
        <w:top w:val="none" w:sz="0" w:space="0" w:color="auto"/>
        <w:left w:val="none" w:sz="0" w:space="0" w:color="auto"/>
        <w:bottom w:val="none" w:sz="0" w:space="0" w:color="auto"/>
        <w:right w:val="none" w:sz="0" w:space="0" w:color="auto"/>
      </w:divBdr>
    </w:div>
    <w:div w:id="1829439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DC88CA-3DD0-4D00-8038-8FE821D980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3937</Words>
  <Characters>23625</Characters>
  <Application>Microsoft Office Word</Application>
  <DocSecurity>0</DocSecurity>
  <Lines>196</Lines>
  <Paragraphs>55</Paragraphs>
  <ScaleCrop>false</ScaleCrop>
  <Company/>
  <LinksUpToDate>false</LinksUpToDate>
  <CharactersWithSpaces>27507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2026-09-29T14:27:00Z</dcterms:created>
  <dcterms:modified xsi:type="dcterms:W3CDTF">2026-09-29T14:27:00Z</dcterms:modified>
</cp:coreProperties>
</file>