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B0291" w14:textId="4D690ACE" w:rsidR="00E76EA9" w:rsidRDefault="00E76EA9" w:rsidP="005562A3">
      <w:pPr>
        <w:jc w:val="center"/>
        <w:rPr>
          <w:rFonts w:cs="Times New Roman"/>
          <w:b/>
          <w:szCs w:val="24"/>
        </w:rPr>
      </w:pPr>
      <w:bookmarkStart w:id="0" w:name="_Hlk231891551"/>
      <w:r w:rsidRPr="005960A6">
        <w:rPr>
          <w:rFonts w:cs="Times New Roman"/>
          <w:b/>
          <w:szCs w:val="24"/>
        </w:rPr>
        <w:t>UZASADNIENIE</w:t>
      </w:r>
    </w:p>
    <w:p w14:paraId="6EAF30C6" w14:textId="7FA32A0C" w:rsidR="00D71A7A" w:rsidRPr="00D71A7A" w:rsidRDefault="00D71A7A" w:rsidP="005562A3">
      <w:pPr>
        <w:spacing w:before="360"/>
        <w:contextualSpacing/>
        <w:jc w:val="both"/>
        <w:rPr>
          <w:rFonts w:cs="Times New Roman"/>
          <w:szCs w:val="24"/>
        </w:rPr>
      </w:pPr>
    </w:p>
    <w:p w14:paraId="6B52E064" w14:textId="60870E01" w:rsidR="006A3632" w:rsidRDefault="006A7C1A" w:rsidP="00B4359A">
      <w:pPr>
        <w:spacing w:before="360"/>
        <w:contextualSpacing/>
        <w:jc w:val="both"/>
        <w:rPr>
          <w:rFonts w:cs="Times New Roman"/>
          <w:szCs w:val="24"/>
        </w:rPr>
      </w:pPr>
      <w:r>
        <w:rPr>
          <w:rFonts w:cs="Times New Roman"/>
          <w:szCs w:val="24"/>
        </w:rPr>
        <w:t>Projekt ustawy</w:t>
      </w:r>
      <w:r w:rsidR="00E120A9" w:rsidRPr="00E120A9">
        <w:rPr>
          <w:rFonts w:cs="Times New Roman"/>
          <w:szCs w:val="24"/>
        </w:rPr>
        <w:t xml:space="preserve"> przewiduje wprowadzenie zmian w ustawie z dnia 11 września 2015 r. o zdrowiu publicznym (Dz. U. z 2026 r. poz. 149</w:t>
      </w:r>
      <w:r w:rsidR="005F3FEC">
        <w:rPr>
          <w:rFonts w:cs="Times New Roman"/>
          <w:szCs w:val="24"/>
        </w:rPr>
        <w:t>, z późn. zm.</w:t>
      </w:r>
      <w:r w:rsidR="00E120A9" w:rsidRPr="00E120A9">
        <w:rPr>
          <w:rFonts w:cs="Times New Roman"/>
          <w:szCs w:val="24"/>
        </w:rPr>
        <w:t>)</w:t>
      </w:r>
      <w:r w:rsidR="003143E6">
        <w:rPr>
          <w:rFonts w:cs="Times New Roman"/>
          <w:szCs w:val="24"/>
        </w:rPr>
        <w:t>,</w:t>
      </w:r>
      <w:r>
        <w:rPr>
          <w:rFonts w:cs="Times New Roman"/>
          <w:szCs w:val="24"/>
        </w:rPr>
        <w:t xml:space="preserve"> zwanej dalej </w:t>
      </w:r>
      <w:r w:rsidR="003143E6">
        <w:rPr>
          <w:rFonts w:cs="Times New Roman"/>
          <w:szCs w:val="24"/>
        </w:rPr>
        <w:t>„</w:t>
      </w:r>
      <w:r>
        <w:rPr>
          <w:rFonts w:cs="Times New Roman"/>
          <w:szCs w:val="24"/>
        </w:rPr>
        <w:t>ustawą o zdrowiu publicznym</w:t>
      </w:r>
      <w:r w:rsidR="003143E6">
        <w:rPr>
          <w:rFonts w:cs="Times New Roman"/>
          <w:szCs w:val="24"/>
        </w:rPr>
        <w:t>”</w:t>
      </w:r>
      <w:r w:rsidR="00E120A9" w:rsidRPr="00E120A9">
        <w:rPr>
          <w:rFonts w:cs="Times New Roman"/>
          <w:szCs w:val="24"/>
        </w:rPr>
        <w:t xml:space="preserve">, których zasadniczym celem jest zwiększenie skuteczności </w:t>
      </w:r>
      <w:r w:rsidR="005F3FEC">
        <w:rPr>
          <w:rFonts w:cs="Times New Roman"/>
          <w:szCs w:val="24"/>
        </w:rPr>
        <w:t xml:space="preserve">poboru </w:t>
      </w:r>
      <w:r w:rsidR="00E120A9" w:rsidRPr="00E120A9">
        <w:rPr>
          <w:rFonts w:cs="Times New Roman"/>
          <w:szCs w:val="24"/>
        </w:rPr>
        <w:t>opłaty od środków spożywczych (tzw. opłaty cukrowej)</w:t>
      </w:r>
      <w:r w:rsidR="003143E6">
        <w:rPr>
          <w:rFonts w:cs="Times New Roman"/>
          <w:szCs w:val="24"/>
        </w:rPr>
        <w:t>,</w:t>
      </w:r>
      <w:r w:rsidR="00E120A9" w:rsidRPr="00E120A9">
        <w:rPr>
          <w:rFonts w:cs="Times New Roman"/>
          <w:szCs w:val="24"/>
        </w:rPr>
        <w:t xml:space="preserve"> </w:t>
      </w:r>
      <w:r w:rsidR="00502698">
        <w:rPr>
          <w:rFonts w:cs="Times New Roman"/>
          <w:szCs w:val="24"/>
        </w:rPr>
        <w:t xml:space="preserve">zwanej dalej „opłatą”, </w:t>
      </w:r>
      <w:r w:rsidR="00E120A9" w:rsidRPr="00E120A9">
        <w:rPr>
          <w:rFonts w:cs="Times New Roman"/>
          <w:szCs w:val="24"/>
        </w:rPr>
        <w:t xml:space="preserve">przez </w:t>
      </w:r>
      <w:r w:rsidR="00E74E46">
        <w:rPr>
          <w:rFonts w:cs="Times New Roman"/>
          <w:szCs w:val="24"/>
        </w:rPr>
        <w:t>rozszerzenie katalogu napojów objętych opłatą</w:t>
      </w:r>
      <w:r w:rsidR="00BB6391">
        <w:rPr>
          <w:rFonts w:cs="Times New Roman"/>
          <w:szCs w:val="24"/>
        </w:rPr>
        <w:t xml:space="preserve"> </w:t>
      </w:r>
      <w:r w:rsidR="00E74E46">
        <w:rPr>
          <w:rFonts w:cs="Times New Roman"/>
          <w:szCs w:val="24"/>
        </w:rPr>
        <w:t>oraz aktualizację jej wysokości</w:t>
      </w:r>
      <w:r w:rsidR="00E120A9" w:rsidRPr="00E120A9">
        <w:rPr>
          <w:rFonts w:cs="Times New Roman"/>
          <w:szCs w:val="24"/>
        </w:rPr>
        <w:t>. Projektowane zmiany umożliwią również zwiększenie przychod</w:t>
      </w:r>
      <w:r w:rsidR="00546A43">
        <w:rPr>
          <w:rFonts w:cs="Times New Roman"/>
          <w:szCs w:val="24"/>
        </w:rPr>
        <w:t>ów</w:t>
      </w:r>
      <w:r w:rsidR="00E120A9" w:rsidRPr="00E120A9">
        <w:rPr>
          <w:rFonts w:cs="Times New Roman"/>
          <w:szCs w:val="24"/>
        </w:rPr>
        <w:t xml:space="preserve"> Narodowego Funduszu Zdrowia</w:t>
      </w:r>
      <w:r w:rsidR="00546A43">
        <w:rPr>
          <w:rFonts w:cs="Times New Roman"/>
          <w:szCs w:val="24"/>
        </w:rPr>
        <w:t xml:space="preserve">, </w:t>
      </w:r>
      <w:r w:rsidR="00546A43" w:rsidRPr="00546A43">
        <w:rPr>
          <w:rFonts w:cs="Times New Roman"/>
          <w:szCs w:val="24"/>
        </w:rPr>
        <w:t>które zosta</w:t>
      </w:r>
      <w:r w:rsidR="00546A43">
        <w:rPr>
          <w:rFonts w:cs="Times New Roman"/>
          <w:szCs w:val="24"/>
        </w:rPr>
        <w:t>ną</w:t>
      </w:r>
      <w:r w:rsidR="00546A43" w:rsidRPr="00546A43">
        <w:rPr>
          <w:rFonts w:cs="Times New Roman"/>
          <w:szCs w:val="24"/>
        </w:rPr>
        <w:t xml:space="preserve"> przeznaczone na działania edukacyjne i profilaktyczne oraz na finansowanie świadczeń opieki zdrowotnej, w szczególności w zakresie leczenia chorób związanych z nieprawidłowymi nawykami żywieniowymi, takich jak nadwaga i otyłość</w:t>
      </w:r>
      <w:r w:rsidR="00E120A9" w:rsidRPr="00E120A9">
        <w:rPr>
          <w:rFonts w:cs="Times New Roman"/>
          <w:szCs w:val="24"/>
        </w:rPr>
        <w:t>.</w:t>
      </w:r>
    </w:p>
    <w:p w14:paraId="03167FA3" w14:textId="0E913517" w:rsidR="00E120A9" w:rsidRDefault="00B4359A" w:rsidP="00B4359A">
      <w:pPr>
        <w:spacing w:before="360"/>
        <w:contextualSpacing/>
        <w:jc w:val="both"/>
        <w:rPr>
          <w:rFonts w:cs="Times New Roman"/>
          <w:szCs w:val="24"/>
        </w:rPr>
      </w:pPr>
      <w:r>
        <w:rPr>
          <w:rFonts w:cs="Times New Roman"/>
          <w:szCs w:val="24"/>
        </w:rPr>
        <w:t xml:space="preserve">Przedmiotowy </w:t>
      </w:r>
      <w:r w:rsidR="006A7C1A">
        <w:rPr>
          <w:rFonts w:cs="Times New Roman"/>
          <w:szCs w:val="24"/>
        </w:rPr>
        <w:t>projekt ustawy</w:t>
      </w:r>
      <w:r>
        <w:rPr>
          <w:rFonts w:cs="Times New Roman"/>
          <w:szCs w:val="24"/>
        </w:rPr>
        <w:t xml:space="preserve"> </w:t>
      </w:r>
      <w:r w:rsidRPr="00B4359A">
        <w:rPr>
          <w:rFonts w:cs="Times New Roman"/>
          <w:szCs w:val="24"/>
        </w:rPr>
        <w:t xml:space="preserve">obejmuje </w:t>
      </w:r>
      <w:r>
        <w:rPr>
          <w:rFonts w:cs="Times New Roman"/>
          <w:szCs w:val="24"/>
        </w:rPr>
        <w:t xml:space="preserve">niektóre </w:t>
      </w:r>
      <w:r w:rsidRPr="00B4359A">
        <w:rPr>
          <w:rFonts w:cs="Times New Roman"/>
          <w:szCs w:val="24"/>
        </w:rPr>
        <w:t>rozwiązania procedowane</w:t>
      </w:r>
      <w:r>
        <w:rPr>
          <w:rFonts w:cs="Times New Roman"/>
          <w:szCs w:val="24"/>
        </w:rPr>
        <w:t xml:space="preserve"> </w:t>
      </w:r>
      <w:r w:rsidRPr="00B4359A">
        <w:rPr>
          <w:rFonts w:cs="Times New Roman"/>
          <w:szCs w:val="24"/>
        </w:rPr>
        <w:t xml:space="preserve">uprzednio w ramach projektu </w:t>
      </w:r>
      <w:r>
        <w:rPr>
          <w:rFonts w:cs="Times New Roman"/>
          <w:szCs w:val="24"/>
        </w:rPr>
        <w:t xml:space="preserve">ustawy </w:t>
      </w:r>
      <w:r w:rsidRPr="00B4359A">
        <w:rPr>
          <w:rFonts w:cs="Times New Roman"/>
          <w:i/>
          <w:iCs/>
          <w:szCs w:val="24"/>
        </w:rPr>
        <w:t>o zmianie ustawy o z</w:t>
      </w:r>
      <w:r w:rsidR="005F3FEC">
        <w:rPr>
          <w:rFonts w:cs="Times New Roman"/>
          <w:i/>
          <w:iCs/>
          <w:szCs w:val="24"/>
        </w:rPr>
        <w:t>d</w:t>
      </w:r>
      <w:r w:rsidRPr="00B4359A">
        <w:rPr>
          <w:rFonts w:cs="Times New Roman"/>
          <w:i/>
          <w:iCs/>
          <w:szCs w:val="24"/>
        </w:rPr>
        <w:t>rowiu publicznym oraz niektórych innych ustaw</w:t>
      </w:r>
      <w:r>
        <w:rPr>
          <w:rFonts w:cs="Times New Roman"/>
          <w:i/>
          <w:iCs/>
          <w:szCs w:val="24"/>
        </w:rPr>
        <w:t xml:space="preserve"> </w:t>
      </w:r>
      <w:r w:rsidRPr="00B4359A">
        <w:rPr>
          <w:rFonts w:cs="Times New Roman"/>
          <w:szCs w:val="24"/>
        </w:rPr>
        <w:t xml:space="preserve">UD290 i </w:t>
      </w:r>
      <w:r>
        <w:rPr>
          <w:rFonts w:cs="Times New Roman"/>
          <w:szCs w:val="24"/>
        </w:rPr>
        <w:t xml:space="preserve">projektu </w:t>
      </w:r>
      <w:r w:rsidRPr="00B4359A">
        <w:rPr>
          <w:rFonts w:cs="Times New Roman"/>
          <w:szCs w:val="24"/>
        </w:rPr>
        <w:t xml:space="preserve">ustawy </w:t>
      </w:r>
      <w:r w:rsidRPr="00B4359A">
        <w:rPr>
          <w:rFonts w:cs="Times New Roman"/>
          <w:i/>
          <w:iCs/>
          <w:szCs w:val="24"/>
        </w:rPr>
        <w:t>o zmianie ustawy o zdrowiu publicznym oraz ustawy o podatku dochodowym od osób fizycznych</w:t>
      </w:r>
      <w:r>
        <w:rPr>
          <w:rFonts w:cs="Times New Roman"/>
          <w:szCs w:val="24"/>
        </w:rPr>
        <w:t xml:space="preserve"> </w:t>
      </w:r>
      <w:r w:rsidRPr="00B4359A">
        <w:rPr>
          <w:rFonts w:cs="Times New Roman"/>
          <w:szCs w:val="24"/>
        </w:rPr>
        <w:t xml:space="preserve">UD318, </w:t>
      </w:r>
      <w:r>
        <w:rPr>
          <w:rFonts w:cs="Times New Roman"/>
          <w:szCs w:val="24"/>
        </w:rPr>
        <w:t xml:space="preserve">przy czym obejmuje on również </w:t>
      </w:r>
      <w:r w:rsidRPr="00B4359A">
        <w:rPr>
          <w:rFonts w:cs="Times New Roman"/>
          <w:szCs w:val="24"/>
        </w:rPr>
        <w:t>regulacje o charakterze</w:t>
      </w:r>
      <w:r>
        <w:rPr>
          <w:rFonts w:cs="Times New Roman"/>
          <w:szCs w:val="24"/>
        </w:rPr>
        <w:t xml:space="preserve"> </w:t>
      </w:r>
      <w:r w:rsidR="0079692A">
        <w:rPr>
          <w:rFonts w:cs="Times New Roman"/>
          <w:szCs w:val="24"/>
        </w:rPr>
        <w:t xml:space="preserve">porządkującym i </w:t>
      </w:r>
      <w:r w:rsidRPr="00B4359A">
        <w:rPr>
          <w:rFonts w:cs="Times New Roman"/>
          <w:szCs w:val="24"/>
        </w:rPr>
        <w:t>doprecyzowującym, których celem jest wyeliminowanie wątpliwości</w:t>
      </w:r>
      <w:r>
        <w:rPr>
          <w:rFonts w:cs="Times New Roman"/>
          <w:szCs w:val="24"/>
        </w:rPr>
        <w:t xml:space="preserve"> </w:t>
      </w:r>
      <w:r w:rsidRPr="00B4359A">
        <w:rPr>
          <w:rFonts w:cs="Times New Roman"/>
          <w:szCs w:val="24"/>
        </w:rPr>
        <w:t>interpretacyjnych zidentyfikowanych w toku dotychczasowych prac legislacyjnych</w:t>
      </w:r>
      <w:r>
        <w:rPr>
          <w:rFonts w:cs="Times New Roman"/>
          <w:szCs w:val="24"/>
        </w:rPr>
        <w:t>.</w:t>
      </w:r>
      <w:r w:rsidRPr="00B4359A">
        <w:t xml:space="preserve"> </w:t>
      </w:r>
      <w:r w:rsidRPr="00B4359A">
        <w:rPr>
          <w:rFonts w:cs="Times New Roman"/>
          <w:szCs w:val="24"/>
        </w:rPr>
        <w:t xml:space="preserve">W szczególności </w:t>
      </w:r>
      <w:r w:rsidR="006A7C1A">
        <w:rPr>
          <w:rFonts w:cs="Times New Roman"/>
          <w:szCs w:val="24"/>
        </w:rPr>
        <w:t xml:space="preserve">przedmiotowy </w:t>
      </w:r>
      <w:r w:rsidRPr="00B4359A">
        <w:rPr>
          <w:rFonts w:cs="Times New Roman"/>
          <w:szCs w:val="24"/>
        </w:rPr>
        <w:t xml:space="preserve">projekt </w:t>
      </w:r>
      <w:r w:rsidR="006A7C1A">
        <w:rPr>
          <w:rFonts w:cs="Times New Roman"/>
          <w:szCs w:val="24"/>
        </w:rPr>
        <w:t>ustawy</w:t>
      </w:r>
      <w:r w:rsidR="00896518">
        <w:rPr>
          <w:rFonts w:cs="Times New Roman"/>
          <w:szCs w:val="24"/>
        </w:rPr>
        <w:t xml:space="preserve"> </w:t>
      </w:r>
      <w:r w:rsidRPr="00B4359A">
        <w:rPr>
          <w:rFonts w:cs="Times New Roman"/>
          <w:szCs w:val="24"/>
        </w:rPr>
        <w:t xml:space="preserve">przewiduje dodanie </w:t>
      </w:r>
      <w:r>
        <w:rPr>
          <w:rFonts w:cs="Times New Roman"/>
          <w:szCs w:val="24"/>
        </w:rPr>
        <w:t>przepisu</w:t>
      </w:r>
      <w:r w:rsidRPr="00B4359A">
        <w:rPr>
          <w:rFonts w:cs="Times New Roman"/>
          <w:szCs w:val="24"/>
        </w:rPr>
        <w:t xml:space="preserve"> zawierającego</w:t>
      </w:r>
      <w:r>
        <w:rPr>
          <w:rFonts w:cs="Times New Roman"/>
          <w:szCs w:val="24"/>
        </w:rPr>
        <w:t xml:space="preserve"> </w:t>
      </w:r>
      <w:r w:rsidRPr="00B4359A">
        <w:rPr>
          <w:rFonts w:cs="Times New Roman"/>
          <w:szCs w:val="24"/>
        </w:rPr>
        <w:t xml:space="preserve">definicję </w:t>
      </w:r>
      <w:r>
        <w:rPr>
          <w:rFonts w:cs="Times New Roman"/>
          <w:szCs w:val="24"/>
        </w:rPr>
        <w:t xml:space="preserve">pojęcia </w:t>
      </w:r>
      <w:r w:rsidRPr="00B4359A">
        <w:rPr>
          <w:rFonts w:cs="Times New Roman"/>
          <w:szCs w:val="24"/>
        </w:rPr>
        <w:t>„koncentratu”</w:t>
      </w:r>
      <w:r>
        <w:rPr>
          <w:rFonts w:cs="Times New Roman"/>
          <w:szCs w:val="24"/>
        </w:rPr>
        <w:t>, które dotychczas nie</w:t>
      </w:r>
      <w:r w:rsidRPr="00B4359A">
        <w:rPr>
          <w:rFonts w:cs="Times New Roman"/>
          <w:szCs w:val="24"/>
        </w:rPr>
        <w:t xml:space="preserve"> zostało zdefiniowane na gruncie ustawy o zdrowiu</w:t>
      </w:r>
      <w:r>
        <w:rPr>
          <w:rFonts w:cs="Times New Roman"/>
          <w:szCs w:val="24"/>
        </w:rPr>
        <w:t xml:space="preserve"> </w:t>
      </w:r>
      <w:r w:rsidRPr="00B4359A">
        <w:rPr>
          <w:rFonts w:cs="Times New Roman"/>
          <w:szCs w:val="24"/>
        </w:rPr>
        <w:t>publicznym.</w:t>
      </w:r>
    </w:p>
    <w:p w14:paraId="1CD34B5B" w14:textId="2147ADA8" w:rsidR="006A3632" w:rsidRDefault="006A3632" w:rsidP="00E120A9">
      <w:pPr>
        <w:spacing w:before="360"/>
        <w:contextualSpacing/>
        <w:jc w:val="both"/>
        <w:rPr>
          <w:rFonts w:cs="Times New Roman"/>
          <w:szCs w:val="24"/>
        </w:rPr>
      </w:pPr>
    </w:p>
    <w:p w14:paraId="647E7FD2" w14:textId="05EE51F3" w:rsidR="00E120A9" w:rsidRPr="00E120A9" w:rsidRDefault="00E120A9" w:rsidP="00E120A9">
      <w:pPr>
        <w:spacing w:before="360"/>
        <w:contextualSpacing/>
        <w:jc w:val="both"/>
        <w:rPr>
          <w:rFonts w:cs="Times New Roman"/>
          <w:szCs w:val="24"/>
        </w:rPr>
      </w:pPr>
      <w:r w:rsidRPr="00E120A9">
        <w:rPr>
          <w:rFonts w:cs="Times New Roman"/>
          <w:szCs w:val="24"/>
        </w:rPr>
        <w:t>Z dostępnych danych wynika, że nadwaga i otyłość stanowią istotny problem zdrowia publicznego w Polsce. Według danych Narodowego Funduszu Zdrowia</w:t>
      </w:r>
      <w:r w:rsidR="00BB6391">
        <w:rPr>
          <w:rFonts w:cs="Times New Roman"/>
          <w:szCs w:val="24"/>
        </w:rPr>
        <w:t xml:space="preserve"> (NFZ)</w:t>
      </w:r>
      <w:r w:rsidRPr="00E120A9">
        <w:rPr>
          <w:rFonts w:cs="Times New Roman"/>
          <w:szCs w:val="24"/>
        </w:rPr>
        <w:t xml:space="preserve"> blisko 2/3 populacji charakteryzuje się nadmierną masą ciała, w tym ok. 35% ma nadwagę, a ok. 28% choruje na otyłość. Skala zjawiska przekłada się na znaczące obciążenia dla systemu ochrony zdrowia oraz gospodarki. </w:t>
      </w:r>
      <w:r w:rsidR="006A7C1A">
        <w:t>B</w:t>
      </w:r>
      <w:r w:rsidR="006A7C1A" w:rsidRPr="006A7C1A">
        <w:rPr>
          <w:rFonts w:cs="Times New Roman"/>
          <w:color w:val="000000"/>
          <w:spacing w:val="-2"/>
        </w:rPr>
        <w:t>iorąc pod uwagę, że całkowite koszty Narodowego Funduszu Zdrowia w 2025 r. wyniosły 220,2 mld zł, zgodnie z szacunkami Ministerstwa Zdrowia koszty bezpośrednio związane z otyłością, tj. koszty profilaktyki, diagnostyki oraz leczenia otyłości i jej powikłań, mogły w tym roku wynieść od 4,4 mld zł do 15,4 mld zł.</w:t>
      </w:r>
      <w:r w:rsidR="006A7C1A">
        <w:rPr>
          <w:rFonts w:cs="Times New Roman"/>
          <w:color w:val="000000"/>
          <w:spacing w:val="-2"/>
        </w:rPr>
        <w:t xml:space="preserve"> </w:t>
      </w:r>
      <w:r w:rsidR="00B21296">
        <w:rPr>
          <w:rFonts w:cs="Times New Roman"/>
          <w:color w:val="000000"/>
          <w:spacing w:val="-2"/>
        </w:rPr>
        <w:t>N</w:t>
      </w:r>
      <w:r w:rsidR="00FC60E5" w:rsidRPr="00092746">
        <w:rPr>
          <w:rFonts w:cs="Times New Roman"/>
          <w:color w:val="000000"/>
          <w:spacing w:val="-2"/>
        </w:rPr>
        <w:t xml:space="preserve">atomiast po uwzględnieniu kosztów pośrednich </w:t>
      </w:r>
      <w:r w:rsidR="00FC60E5" w:rsidRPr="00092746">
        <w:rPr>
          <w:color w:val="000000"/>
          <w:spacing w:val="-2"/>
        </w:rPr>
        <w:t>związanych z mniejszą produktywnością, absencją w pracy, wypłatą rent oraz przedwczesną śmiercią</w:t>
      </w:r>
      <w:r w:rsidR="00FC60E5" w:rsidRPr="00092746">
        <w:rPr>
          <w:rFonts w:cs="Times New Roman"/>
          <w:color w:val="000000"/>
          <w:spacing w:val="-2"/>
        </w:rPr>
        <w:t xml:space="preserve">, w tym powikłań </w:t>
      </w:r>
      <w:r w:rsidR="00BB6391">
        <w:rPr>
          <w:rFonts w:cs="Times New Roman"/>
          <w:color w:val="000000"/>
          <w:spacing w:val="-2"/>
        </w:rPr>
        <w:t xml:space="preserve">związanych z </w:t>
      </w:r>
      <w:r w:rsidR="00FC60E5" w:rsidRPr="00092746">
        <w:rPr>
          <w:rFonts w:cs="Times New Roman"/>
          <w:color w:val="000000"/>
          <w:spacing w:val="-2"/>
        </w:rPr>
        <w:t>otyłości</w:t>
      </w:r>
      <w:r w:rsidR="00BB6391">
        <w:rPr>
          <w:rFonts w:cs="Times New Roman"/>
          <w:color w:val="000000"/>
          <w:spacing w:val="-2"/>
        </w:rPr>
        <w:t>ą</w:t>
      </w:r>
      <w:r w:rsidR="00B21296">
        <w:rPr>
          <w:rFonts w:cs="Times New Roman"/>
          <w:color w:val="000000"/>
          <w:spacing w:val="-2"/>
        </w:rPr>
        <w:t>, koszty NFZ mogły wynieść</w:t>
      </w:r>
      <w:r w:rsidR="00FC60E5" w:rsidRPr="00092746">
        <w:rPr>
          <w:rFonts w:cs="Times New Roman"/>
          <w:color w:val="000000"/>
          <w:spacing w:val="-2"/>
        </w:rPr>
        <w:t xml:space="preserve"> nawet do 44,1 mld zł.</w:t>
      </w:r>
      <w:r w:rsidR="00C168FA">
        <w:rPr>
          <w:rFonts w:cs="Times New Roman"/>
          <w:color w:val="000000"/>
          <w:spacing w:val="-2"/>
        </w:rPr>
        <w:t xml:space="preserve"> </w:t>
      </w:r>
    </w:p>
    <w:p w14:paraId="061BA108" w14:textId="178D953A" w:rsidR="00E120A9" w:rsidRDefault="00E120A9" w:rsidP="00E120A9">
      <w:pPr>
        <w:spacing w:before="360"/>
        <w:contextualSpacing/>
        <w:jc w:val="both"/>
        <w:rPr>
          <w:rFonts w:cs="Times New Roman"/>
          <w:szCs w:val="24"/>
        </w:rPr>
      </w:pPr>
      <w:r w:rsidRPr="00E120A9">
        <w:rPr>
          <w:rFonts w:cs="Times New Roman"/>
          <w:szCs w:val="24"/>
        </w:rPr>
        <w:t xml:space="preserve">Jednym z czynników sprzyjających nadmiernemu przyrostowi masy ciała jest regularne </w:t>
      </w:r>
      <w:r w:rsidRPr="00E120A9">
        <w:rPr>
          <w:rFonts w:cs="Times New Roman"/>
          <w:szCs w:val="24"/>
        </w:rPr>
        <w:lastRenderedPageBreak/>
        <w:t xml:space="preserve">spożywanie słodkich napojów. Analizy międzynarodowych </w:t>
      </w:r>
      <w:r w:rsidR="00363C5A">
        <w:rPr>
          <w:rFonts w:cs="Times New Roman"/>
          <w:szCs w:val="24"/>
        </w:rPr>
        <w:t>organizacji</w:t>
      </w:r>
      <w:r w:rsidRPr="00E120A9">
        <w:rPr>
          <w:rFonts w:cs="Times New Roman"/>
          <w:szCs w:val="24"/>
        </w:rPr>
        <w:t xml:space="preserve">, w tym Światowej Organizacji Zdrowia (WHO) oraz Organizacji Współpracy Gospodarczej i Rozwoju (OECD), wskazują, że instrumenty fiskalne mogą przyczyniać się do kształtowania prozdrowotnych </w:t>
      </w:r>
      <w:proofErr w:type="spellStart"/>
      <w:r w:rsidRPr="00E120A9">
        <w:rPr>
          <w:rFonts w:cs="Times New Roman"/>
          <w:szCs w:val="24"/>
        </w:rPr>
        <w:t>zachowań</w:t>
      </w:r>
      <w:proofErr w:type="spellEnd"/>
      <w:r w:rsidRPr="00E120A9">
        <w:rPr>
          <w:rFonts w:cs="Times New Roman"/>
          <w:szCs w:val="24"/>
        </w:rPr>
        <w:t xml:space="preserve"> konsumentów.</w:t>
      </w:r>
    </w:p>
    <w:p w14:paraId="48DCAEA1" w14:textId="03455B3E" w:rsidR="00E120A9" w:rsidRPr="00E120A9" w:rsidRDefault="00E120A9" w:rsidP="00E120A9">
      <w:pPr>
        <w:spacing w:before="360"/>
        <w:contextualSpacing/>
        <w:jc w:val="both"/>
        <w:rPr>
          <w:rFonts w:cs="Times New Roman"/>
          <w:szCs w:val="24"/>
        </w:rPr>
      </w:pPr>
      <w:r w:rsidRPr="00E120A9">
        <w:rPr>
          <w:rFonts w:cs="Times New Roman"/>
          <w:szCs w:val="24"/>
        </w:rPr>
        <w:t>Obowiązująca wysokość opłaty została przyjęta w 2020 r. i wydaje się znacząco odbiegać od aktualnych cen napojów. Tym samym, jest niewystarczająca, aby wpłynąć na zachowania konsumentów oraz realizować cele zdrowotne przyjęte przy wprowadzaniu opłaty. Według danych dotyczących sprzedaży napojów, w pierwszym roku obowiązywania opłaty nastąpił spadek sprzedaży napojów gazowanych o 19%, jednakże w kolejnych latach wielkość sprzedaży tych napojów powróciła do poziomu sprzed wprowadzenia opłaty. Niski udział opłaty „cukrowej” w cenie napoju zwiększa ich dostępność cenową. W napoju typu „cola” o pojemności 330 ml, którego aktualna cena wynosi ok. 4,85 zł, należna opłata od środków spożywczych to zaledwie 0,30 zł. Z kolei wysokość należnej opłaty od napoju energetycznego o pojemności 250</w:t>
      </w:r>
      <w:r w:rsidR="005F3FEC">
        <w:rPr>
          <w:rFonts w:cs="Times New Roman"/>
          <w:szCs w:val="24"/>
        </w:rPr>
        <w:t xml:space="preserve"> </w:t>
      </w:r>
      <w:r w:rsidRPr="00E120A9">
        <w:rPr>
          <w:rFonts w:cs="Times New Roman"/>
          <w:szCs w:val="24"/>
        </w:rPr>
        <w:t>ml, zawierającego 11g cukru oraz kofeinę i taurynę, to zaledwie 0,23 zł, podczas gdy cena tego napoju to ok. 6,49 zł.</w:t>
      </w:r>
    </w:p>
    <w:p w14:paraId="55243A71" w14:textId="65DE4944" w:rsidR="00E120A9" w:rsidRPr="00033A36" w:rsidRDefault="002A6878" w:rsidP="00E120A9">
      <w:pPr>
        <w:spacing w:before="360"/>
        <w:contextualSpacing/>
        <w:jc w:val="both"/>
        <w:rPr>
          <w:rFonts w:cs="Times New Roman"/>
          <w:szCs w:val="24"/>
        </w:rPr>
      </w:pPr>
      <w:r>
        <w:rPr>
          <w:rFonts w:cs="Times New Roman"/>
          <w:szCs w:val="24"/>
        </w:rPr>
        <w:t>Doświadczenia państw U</w:t>
      </w:r>
      <w:r w:rsidR="00BB6391">
        <w:rPr>
          <w:rFonts w:cs="Times New Roman"/>
          <w:szCs w:val="24"/>
        </w:rPr>
        <w:t>nii Europejskiej (UE)</w:t>
      </w:r>
      <w:r>
        <w:rPr>
          <w:rFonts w:cs="Times New Roman"/>
          <w:szCs w:val="24"/>
        </w:rPr>
        <w:t xml:space="preserve">, w których </w:t>
      </w:r>
      <w:r w:rsidR="00CF5327">
        <w:rPr>
          <w:rFonts w:cs="Times New Roman"/>
          <w:szCs w:val="24"/>
        </w:rPr>
        <w:t>funkcjonują</w:t>
      </w:r>
      <w:r w:rsidR="00E120A9" w:rsidRPr="00E120A9">
        <w:rPr>
          <w:rFonts w:cs="Times New Roman"/>
          <w:szCs w:val="24"/>
        </w:rPr>
        <w:t xml:space="preserve"> podatk</w:t>
      </w:r>
      <w:r>
        <w:rPr>
          <w:rFonts w:cs="Times New Roman"/>
          <w:szCs w:val="24"/>
        </w:rPr>
        <w:t>i</w:t>
      </w:r>
      <w:r w:rsidR="00E120A9" w:rsidRPr="00E120A9">
        <w:rPr>
          <w:rFonts w:cs="Times New Roman"/>
          <w:szCs w:val="24"/>
        </w:rPr>
        <w:t xml:space="preserve"> behawioraln</w:t>
      </w:r>
      <w:r>
        <w:rPr>
          <w:rFonts w:cs="Times New Roman"/>
          <w:szCs w:val="24"/>
        </w:rPr>
        <w:t>e</w:t>
      </w:r>
      <w:r w:rsidR="0025008A">
        <w:rPr>
          <w:rFonts w:cs="Times New Roman"/>
          <w:szCs w:val="24"/>
        </w:rPr>
        <w:t>,</w:t>
      </w:r>
      <w:r>
        <w:rPr>
          <w:rFonts w:cs="Times New Roman"/>
          <w:szCs w:val="24"/>
        </w:rPr>
        <w:t xml:space="preserve"> wskazują</w:t>
      </w:r>
      <w:r w:rsidR="00E120A9" w:rsidRPr="00E120A9">
        <w:rPr>
          <w:rFonts w:cs="Times New Roman"/>
          <w:szCs w:val="24"/>
        </w:rPr>
        <w:t>,</w:t>
      </w:r>
      <w:r>
        <w:rPr>
          <w:rFonts w:cs="Times New Roman"/>
          <w:szCs w:val="24"/>
        </w:rPr>
        <w:t xml:space="preserve"> że</w:t>
      </w:r>
      <w:r w:rsidR="00E120A9" w:rsidRPr="00E120A9">
        <w:rPr>
          <w:rFonts w:cs="Times New Roman"/>
          <w:szCs w:val="24"/>
        </w:rPr>
        <w:t xml:space="preserve"> ich skuteczność </w:t>
      </w:r>
      <w:r w:rsidR="0025008A">
        <w:rPr>
          <w:rFonts w:cs="Times New Roman"/>
          <w:szCs w:val="24"/>
        </w:rPr>
        <w:t xml:space="preserve">jest </w:t>
      </w:r>
      <w:r w:rsidR="00E120A9" w:rsidRPr="00E120A9">
        <w:rPr>
          <w:rFonts w:cs="Times New Roman"/>
          <w:szCs w:val="24"/>
        </w:rPr>
        <w:t xml:space="preserve">uzależniona w szczególności od wysokości stawek podatkowych. Stawki podatkowe nie powinny być bardzo niskie, ponieważ wynikająca z tego zmiana w </w:t>
      </w:r>
      <w:proofErr w:type="spellStart"/>
      <w:r w:rsidR="00E120A9" w:rsidRPr="00E120A9">
        <w:rPr>
          <w:rFonts w:cs="Times New Roman"/>
          <w:szCs w:val="24"/>
        </w:rPr>
        <w:t>zachowaniach</w:t>
      </w:r>
      <w:proofErr w:type="spellEnd"/>
      <w:r w:rsidR="00E120A9" w:rsidRPr="00E120A9">
        <w:rPr>
          <w:rFonts w:cs="Times New Roman"/>
          <w:szCs w:val="24"/>
        </w:rPr>
        <w:t xml:space="preserve"> konsumentów i związane z nią korzyści zdrowotne mogą być zbyt małe, aby je zidentyfikować. W przypadku niskich poziomów opodatkowania dodatkowe koszty przestrzegania przepisów dla firm i organów podatkowych są trudne do uzasadnienia</w:t>
      </w:r>
      <w:r w:rsidR="00E120A9" w:rsidRPr="00033A36">
        <w:rPr>
          <w:rFonts w:cs="Times New Roman"/>
          <w:szCs w:val="24"/>
        </w:rPr>
        <w:t>.</w:t>
      </w:r>
    </w:p>
    <w:p w14:paraId="40BA5A11" w14:textId="3CC3FDC9" w:rsidR="00E120A9" w:rsidRPr="00E120A9" w:rsidRDefault="00DD134E" w:rsidP="00E120A9">
      <w:pPr>
        <w:spacing w:before="360"/>
        <w:contextualSpacing/>
        <w:jc w:val="both"/>
        <w:rPr>
          <w:rFonts w:cs="Times New Roman"/>
          <w:szCs w:val="24"/>
        </w:rPr>
      </w:pPr>
      <w:r>
        <w:rPr>
          <w:rFonts w:cs="Times New Roman"/>
          <w:szCs w:val="24"/>
        </w:rPr>
        <w:t>Ponadto, w</w:t>
      </w:r>
      <w:r w:rsidR="00E120A9" w:rsidRPr="00E120A9">
        <w:rPr>
          <w:rFonts w:cs="Times New Roman"/>
          <w:szCs w:val="24"/>
        </w:rPr>
        <w:t xml:space="preserve"> obecnym stanie prawnym nie wszystkie koncentraty napojów podlegają opłacie od środków spożywczych. Opłatą objęte są wyłącznie koncentraty w postaci syropu. </w:t>
      </w:r>
      <w:r>
        <w:rPr>
          <w:rFonts w:cs="Times New Roman"/>
          <w:szCs w:val="24"/>
        </w:rPr>
        <w:t>Jednocześnie</w:t>
      </w:r>
      <w:r w:rsidR="00E120A9" w:rsidRPr="00E120A9">
        <w:rPr>
          <w:rFonts w:cs="Times New Roman"/>
          <w:szCs w:val="24"/>
        </w:rPr>
        <w:t>, obowiązująca maksymalna wysokość opłaty (1,20 zł za litr) w przypadku koncentratów jest nieproporcjonalnie niska w stosunku do zawartości cukru w skoncentrowanym produkcie.</w:t>
      </w:r>
    </w:p>
    <w:p w14:paraId="02CC7CDA" w14:textId="63BAD991" w:rsidR="00E120A9" w:rsidRDefault="00E120A9" w:rsidP="00E120A9">
      <w:pPr>
        <w:spacing w:before="360"/>
        <w:contextualSpacing/>
        <w:jc w:val="both"/>
        <w:rPr>
          <w:rFonts w:cs="Times New Roman"/>
          <w:szCs w:val="24"/>
        </w:rPr>
      </w:pPr>
      <w:r w:rsidRPr="00E120A9">
        <w:rPr>
          <w:rFonts w:cs="Times New Roman"/>
          <w:szCs w:val="24"/>
        </w:rPr>
        <w:t xml:space="preserve">W obecnym stanie prawnym opłacie od środków spożywczych nie podlegają </w:t>
      </w:r>
      <w:r w:rsidR="00DD134E">
        <w:rPr>
          <w:rFonts w:cs="Times New Roman"/>
          <w:szCs w:val="24"/>
        </w:rPr>
        <w:t xml:space="preserve">również </w:t>
      </w:r>
      <w:r w:rsidRPr="00E120A9">
        <w:rPr>
          <w:rFonts w:cs="Times New Roman"/>
          <w:szCs w:val="24"/>
        </w:rPr>
        <w:t xml:space="preserve">napoje zawierające co najmniej 20% soku oraz do 5g cukru. W celu unikania opłaty, w wielu napojach dokonano zmiany składu poprzez dodanie odpowiedniej ilości soku oraz obniżenie zawartości cukru na rzecz </w:t>
      </w:r>
      <w:r w:rsidR="00EF1AEF" w:rsidRPr="00E120A9">
        <w:rPr>
          <w:rFonts w:cs="Times New Roman"/>
          <w:szCs w:val="24"/>
        </w:rPr>
        <w:t>s</w:t>
      </w:r>
      <w:r w:rsidR="00EF1AEF">
        <w:rPr>
          <w:rFonts w:cs="Times New Roman"/>
          <w:szCs w:val="24"/>
        </w:rPr>
        <w:t xml:space="preserve">ubstancji słodzących powszechnie nazywanych słodzikami </w:t>
      </w:r>
      <w:r w:rsidRPr="00E120A9">
        <w:rPr>
          <w:rFonts w:cs="Times New Roman"/>
          <w:szCs w:val="24"/>
        </w:rPr>
        <w:t xml:space="preserve">(np. </w:t>
      </w:r>
      <w:proofErr w:type="spellStart"/>
      <w:r w:rsidRPr="00E120A9">
        <w:rPr>
          <w:rFonts w:cs="Times New Roman"/>
          <w:szCs w:val="24"/>
        </w:rPr>
        <w:t>aspartam</w:t>
      </w:r>
      <w:proofErr w:type="spellEnd"/>
      <w:r w:rsidRPr="00E120A9">
        <w:rPr>
          <w:rFonts w:cs="Times New Roman"/>
          <w:szCs w:val="24"/>
        </w:rPr>
        <w:t xml:space="preserve">, </w:t>
      </w:r>
      <w:proofErr w:type="spellStart"/>
      <w:r w:rsidRPr="00E120A9">
        <w:rPr>
          <w:rFonts w:cs="Times New Roman"/>
          <w:szCs w:val="24"/>
        </w:rPr>
        <w:t>sukraloza</w:t>
      </w:r>
      <w:proofErr w:type="spellEnd"/>
      <w:r w:rsidRPr="00E120A9">
        <w:rPr>
          <w:rFonts w:cs="Times New Roman"/>
          <w:szCs w:val="24"/>
        </w:rPr>
        <w:t xml:space="preserve">, </w:t>
      </w:r>
      <w:proofErr w:type="spellStart"/>
      <w:r w:rsidRPr="00E120A9">
        <w:rPr>
          <w:rFonts w:cs="Times New Roman"/>
          <w:szCs w:val="24"/>
        </w:rPr>
        <w:t>acesulfam</w:t>
      </w:r>
      <w:proofErr w:type="spellEnd"/>
      <w:r w:rsidRPr="00E120A9">
        <w:rPr>
          <w:rFonts w:cs="Times New Roman"/>
          <w:szCs w:val="24"/>
        </w:rPr>
        <w:t xml:space="preserve"> k). Z uwagi na nieprecyzyjne przepisy</w:t>
      </w:r>
      <w:r w:rsidR="006A7C1A">
        <w:rPr>
          <w:rFonts w:cs="Times New Roman"/>
          <w:szCs w:val="24"/>
        </w:rPr>
        <w:t xml:space="preserve"> ustawy o zdrowiu publicznym</w:t>
      </w:r>
      <w:r w:rsidRPr="00E120A9">
        <w:rPr>
          <w:rFonts w:cs="Times New Roman"/>
          <w:szCs w:val="24"/>
        </w:rPr>
        <w:t>, napoje takie nie podlegają opłacie mimo zawartości substancji słodzących, które są objęte opłatą cukrową.</w:t>
      </w:r>
    </w:p>
    <w:p w14:paraId="5F5CEE71" w14:textId="6C630A1F" w:rsidR="00803539" w:rsidRDefault="00033A36" w:rsidP="00803539">
      <w:pPr>
        <w:spacing w:before="360"/>
        <w:contextualSpacing/>
        <w:jc w:val="both"/>
        <w:rPr>
          <w:rFonts w:cs="Times New Roman"/>
          <w:szCs w:val="24"/>
        </w:rPr>
      </w:pPr>
      <w:r w:rsidRPr="00033A36">
        <w:rPr>
          <w:rFonts w:cs="Times New Roman"/>
          <w:szCs w:val="24"/>
        </w:rPr>
        <w:t xml:space="preserve">Projektowane zmiany w zakresie aktualizacji wysokości opłaty od środków spożywczych są </w:t>
      </w:r>
      <w:r w:rsidRPr="00033A36">
        <w:rPr>
          <w:rFonts w:cs="Times New Roman"/>
          <w:szCs w:val="24"/>
        </w:rPr>
        <w:lastRenderedPageBreak/>
        <w:t xml:space="preserve">tożsame z rozwiązaniami przewidzianymi w art. 1 </w:t>
      </w:r>
      <w:r w:rsidR="00803539">
        <w:rPr>
          <w:rFonts w:cs="Times New Roman"/>
          <w:szCs w:val="24"/>
        </w:rPr>
        <w:t>przyjęt</w:t>
      </w:r>
      <w:r>
        <w:rPr>
          <w:rFonts w:cs="Times New Roman"/>
          <w:szCs w:val="24"/>
        </w:rPr>
        <w:t>ego</w:t>
      </w:r>
      <w:r w:rsidR="00803539">
        <w:rPr>
          <w:rFonts w:cs="Times New Roman"/>
          <w:szCs w:val="24"/>
        </w:rPr>
        <w:t xml:space="preserve"> przez Rząd projekt</w:t>
      </w:r>
      <w:r>
        <w:rPr>
          <w:rFonts w:cs="Times New Roman"/>
          <w:szCs w:val="24"/>
        </w:rPr>
        <w:t>u</w:t>
      </w:r>
      <w:r w:rsidR="00803539">
        <w:rPr>
          <w:rFonts w:cs="Times New Roman"/>
          <w:szCs w:val="24"/>
        </w:rPr>
        <w:t xml:space="preserve"> </w:t>
      </w:r>
      <w:r w:rsidR="00803539" w:rsidRPr="0059464C">
        <w:rPr>
          <w:rFonts w:cs="Times New Roman"/>
          <w:szCs w:val="24"/>
        </w:rPr>
        <w:t>UD318</w:t>
      </w:r>
      <w:r w:rsidR="00803539">
        <w:rPr>
          <w:rFonts w:cs="Times New Roman"/>
          <w:szCs w:val="24"/>
        </w:rPr>
        <w:t xml:space="preserve"> i uchwalon</w:t>
      </w:r>
      <w:r>
        <w:rPr>
          <w:rFonts w:cs="Times New Roman"/>
          <w:szCs w:val="24"/>
        </w:rPr>
        <w:t>ej</w:t>
      </w:r>
      <w:r w:rsidR="00803539">
        <w:rPr>
          <w:rFonts w:cs="Times New Roman"/>
          <w:szCs w:val="24"/>
        </w:rPr>
        <w:t xml:space="preserve"> ustaw</w:t>
      </w:r>
      <w:r>
        <w:rPr>
          <w:rFonts w:cs="Times New Roman"/>
          <w:szCs w:val="24"/>
        </w:rPr>
        <w:t xml:space="preserve">y </w:t>
      </w:r>
      <w:r w:rsidR="00803539" w:rsidRPr="000754AE">
        <w:rPr>
          <w:rFonts w:cs="Times New Roman"/>
          <w:szCs w:val="24"/>
        </w:rPr>
        <w:t>z dnia 7 listopada 2025 r.</w:t>
      </w:r>
      <w:r w:rsidR="00803539">
        <w:rPr>
          <w:rFonts w:cs="Times New Roman"/>
          <w:szCs w:val="24"/>
        </w:rPr>
        <w:t xml:space="preserve"> </w:t>
      </w:r>
      <w:r w:rsidR="00803539" w:rsidRPr="000754AE">
        <w:rPr>
          <w:rFonts w:cs="Times New Roman"/>
          <w:szCs w:val="24"/>
        </w:rPr>
        <w:t>o zmianie ustawy o zdrowiu publicznym oraz ustawy o podatku dochodowym</w:t>
      </w:r>
      <w:r w:rsidR="00803539">
        <w:rPr>
          <w:rFonts w:cs="Times New Roman"/>
          <w:szCs w:val="24"/>
        </w:rPr>
        <w:t xml:space="preserve"> </w:t>
      </w:r>
      <w:r w:rsidR="00803539" w:rsidRPr="000754AE">
        <w:rPr>
          <w:rFonts w:cs="Times New Roman"/>
          <w:szCs w:val="24"/>
        </w:rPr>
        <w:t>od osób fizycznych</w:t>
      </w:r>
      <w:r w:rsidR="00803539">
        <w:rPr>
          <w:rFonts w:cs="Times New Roman"/>
          <w:szCs w:val="24"/>
        </w:rPr>
        <w:t xml:space="preserve"> (</w:t>
      </w:r>
      <w:r w:rsidR="00803539" w:rsidRPr="000754AE">
        <w:rPr>
          <w:rFonts w:cs="Times New Roman"/>
          <w:szCs w:val="24"/>
        </w:rPr>
        <w:t>druk nr 1836</w:t>
      </w:r>
      <w:r w:rsidR="00803539">
        <w:rPr>
          <w:rFonts w:cs="Times New Roman"/>
          <w:szCs w:val="24"/>
        </w:rPr>
        <w:t>).</w:t>
      </w:r>
      <w:r>
        <w:rPr>
          <w:rFonts w:cs="Times New Roman"/>
          <w:szCs w:val="24"/>
        </w:rPr>
        <w:t xml:space="preserve"> </w:t>
      </w:r>
      <w:r w:rsidRPr="00033A36">
        <w:rPr>
          <w:rFonts w:cs="Times New Roman"/>
          <w:szCs w:val="24"/>
        </w:rPr>
        <w:t>Z kolei zmiany związane z rozszerzeniem katalogu napojów objętych opłatą były przedmiotem uzgodnień, konsultacji publicznych i opiniowania w ramach projektu ustawy o zmianie ustawy o zdrowiu publicznym oraz niektórych innych ustaw, ujętego w wykazie prac legislacyjnych i programowych Rady Ministrów pod numerem UD290.</w:t>
      </w:r>
    </w:p>
    <w:p w14:paraId="09DA43BC" w14:textId="1FB5CEFA" w:rsidR="006A3632" w:rsidRDefault="00536334" w:rsidP="006A3632">
      <w:pPr>
        <w:spacing w:before="120" w:after="120"/>
        <w:jc w:val="both"/>
        <w:rPr>
          <w:rFonts w:cs="Times New Roman"/>
          <w:szCs w:val="24"/>
        </w:rPr>
      </w:pPr>
      <w:r w:rsidRPr="00E120A9">
        <w:rPr>
          <w:b/>
          <w:bCs/>
          <w:szCs w:val="24"/>
        </w:rPr>
        <w:t>Art. 1</w:t>
      </w:r>
      <w:r>
        <w:rPr>
          <w:b/>
          <w:bCs/>
          <w:szCs w:val="24"/>
        </w:rPr>
        <w:t xml:space="preserve"> </w:t>
      </w:r>
      <w:r w:rsidR="00381A08">
        <w:rPr>
          <w:b/>
          <w:bCs/>
          <w:szCs w:val="24"/>
        </w:rPr>
        <w:t xml:space="preserve">ust. 1a </w:t>
      </w:r>
      <w:r w:rsidR="006A3632">
        <w:rPr>
          <w:rFonts w:cs="Times New Roman"/>
          <w:szCs w:val="24"/>
        </w:rPr>
        <w:t xml:space="preserve">- </w:t>
      </w:r>
      <w:r w:rsidRPr="00536334">
        <w:rPr>
          <w:rFonts w:cs="Times New Roman"/>
          <w:szCs w:val="24"/>
        </w:rPr>
        <w:t>Obowiązujący art. 1 ust. 1a pkt 1 ustawy o zdrowiu publicznym stanowi, że „ustawa określa także zasady ustalania i pobierania opłaty od napojów z dodatkiem substancji o właściwościach słodzących, o których mowa w art. 12a ust. 1 pkt 1, oraz kofeiny i tauryny w produkcie gotowym do spożycia”.</w:t>
      </w:r>
      <w:r w:rsidR="006A3632">
        <w:rPr>
          <w:rFonts w:cs="Times New Roman"/>
          <w:szCs w:val="24"/>
        </w:rPr>
        <w:t xml:space="preserve"> </w:t>
      </w:r>
    </w:p>
    <w:p w14:paraId="155EDAF0" w14:textId="363E29E7" w:rsidR="00536334" w:rsidRPr="00536334" w:rsidRDefault="00536334" w:rsidP="006A3632">
      <w:pPr>
        <w:spacing w:before="120" w:after="120"/>
        <w:jc w:val="both"/>
        <w:rPr>
          <w:rFonts w:cs="Times New Roman"/>
          <w:szCs w:val="24"/>
        </w:rPr>
      </w:pPr>
      <w:r w:rsidRPr="00536334">
        <w:rPr>
          <w:rFonts w:cs="Times New Roman"/>
          <w:szCs w:val="24"/>
        </w:rPr>
        <w:t>Takie brzmienie przepisu powoduje wątpliwości w zakresie przyjętego sformułowania „produkt gotowy do spożycia”, z uwagi na to, że opłacie podlegają również syropy, które przed spożyciem wymagają rozcieńczenia.</w:t>
      </w:r>
    </w:p>
    <w:p w14:paraId="65C76170" w14:textId="0909D00B" w:rsidR="00536334" w:rsidRDefault="00536334" w:rsidP="006A3632">
      <w:pPr>
        <w:spacing w:before="120" w:after="120"/>
        <w:contextualSpacing/>
        <w:jc w:val="both"/>
        <w:rPr>
          <w:rFonts w:cs="Times New Roman"/>
          <w:szCs w:val="24"/>
        </w:rPr>
      </w:pPr>
      <w:r w:rsidRPr="00536334">
        <w:rPr>
          <w:rFonts w:cs="Times New Roman"/>
          <w:szCs w:val="24"/>
        </w:rPr>
        <w:t xml:space="preserve">W celu usunięcia niepewności w tym zakresie i wyeliminowania wątpliwości interpretacyjnych, niezależnie od dodatkowych zmian precyzujących tą kwestię, zaproponowano nowe brzmienie pkt 1 tak, aby nie było wątpliwości, że ustawa określa zasady ustalania i pobierania opłaty od środków spożywczych, której przedmiotem są napoje. Konsekwentnie dokonano również zmiany </w:t>
      </w:r>
      <w:r w:rsidRPr="00381A08">
        <w:rPr>
          <w:rFonts w:cs="Times New Roman"/>
          <w:b/>
          <w:bCs/>
          <w:szCs w:val="24"/>
        </w:rPr>
        <w:t>w pkt 2</w:t>
      </w:r>
      <w:r w:rsidRPr="00536334">
        <w:rPr>
          <w:rFonts w:cs="Times New Roman"/>
          <w:szCs w:val="24"/>
        </w:rPr>
        <w:t xml:space="preserve"> przez usunięcie wyrazów „w produkcie gotowym do spożycia”.</w:t>
      </w:r>
    </w:p>
    <w:p w14:paraId="7CDCE00D" w14:textId="77777777" w:rsidR="006A3632" w:rsidRPr="00D71A7A" w:rsidRDefault="006A3632" w:rsidP="006A3632">
      <w:pPr>
        <w:spacing w:before="120" w:after="120"/>
        <w:contextualSpacing/>
        <w:jc w:val="both"/>
        <w:rPr>
          <w:rFonts w:cs="Times New Roman"/>
          <w:szCs w:val="24"/>
        </w:rPr>
      </w:pPr>
    </w:p>
    <w:p w14:paraId="4F874B86" w14:textId="1BADA739" w:rsidR="006335D1" w:rsidRDefault="00E120A9" w:rsidP="00E6094F">
      <w:pPr>
        <w:spacing w:before="120" w:after="120"/>
        <w:jc w:val="both"/>
        <w:rPr>
          <w:szCs w:val="24"/>
        </w:rPr>
      </w:pPr>
      <w:r w:rsidRPr="00E120A9">
        <w:rPr>
          <w:b/>
          <w:bCs/>
          <w:szCs w:val="24"/>
        </w:rPr>
        <w:t>Art. 12a</w:t>
      </w:r>
      <w:r w:rsidR="006A3632">
        <w:rPr>
          <w:b/>
          <w:bCs/>
          <w:szCs w:val="24"/>
        </w:rPr>
        <w:t xml:space="preserve"> </w:t>
      </w:r>
      <w:r w:rsidR="00C815D0">
        <w:rPr>
          <w:szCs w:val="24"/>
        </w:rPr>
        <w:t>–</w:t>
      </w:r>
      <w:r w:rsidR="006A3632">
        <w:rPr>
          <w:szCs w:val="24"/>
        </w:rPr>
        <w:t xml:space="preserve"> </w:t>
      </w:r>
      <w:r w:rsidR="006335D1">
        <w:rPr>
          <w:szCs w:val="24"/>
        </w:rPr>
        <w:t xml:space="preserve">Wprowadzona w </w:t>
      </w:r>
      <w:r w:rsidR="006335D1" w:rsidRPr="006335D1">
        <w:rPr>
          <w:b/>
          <w:bCs/>
          <w:szCs w:val="24"/>
        </w:rPr>
        <w:t>ust. 1</w:t>
      </w:r>
      <w:r w:rsidR="006335D1">
        <w:rPr>
          <w:szCs w:val="24"/>
        </w:rPr>
        <w:t xml:space="preserve"> zmiana jest konsekwencją zaproponowania w ust. 4 nowej definicji napoju, uwzględniającej charakterystyczną cechę napojów objętych opłatą</w:t>
      </w:r>
      <w:r w:rsidR="005F3FEC">
        <w:rPr>
          <w:szCs w:val="24"/>
        </w:rPr>
        <w:t>,</w:t>
      </w:r>
      <w:r w:rsidR="006335D1">
        <w:rPr>
          <w:szCs w:val="24"/>
        </w:rPr>
        <w:t xml:space="preserve"> czyli dodatek </w:t>
      </w:r>
      <w:r w:rsidR="006335D1" w:rsidRPr="006335D1">
        <w:rPr>
          <w:szCs w:val="24"/>
        </w:rPr>
        <w:t xml:space="preserve">cukrów będących monosacharydami lub disacharydami, środków spożywczych zawierających monosacharydy lub </w:t>
      </w:r>
      <w:proofErr w:type="spellStart"/>
      <w:r w:rsidR="006335D1" w:rsidRPr="006335D1">
        <w:rPr>
          <w:szCs w:val="24"/>
        </w:rPr>
        <w:t>disacharydy</w:t>
      </w:r>
      <w:proofErr w:type="spellEnd"/>
      <w:r w:rsidR="006335D1" w:rsidRPr="006335D1">
        <w:rPr>
          <w:szCs w:val="24"/>
        </w:rPr>
        <w:t xml:space="preserve"> lub substancji słodzących, o których mowa w rozporządzeniu Parlamentu Europejskiego i Rady (WE) nr 1333/2008</w:t>
      </w:r>
      <w:r w:rsidR="00381A08" w:rsidRPr="00381A08">
        <w:t xml:space="preserve"> </w:t>
      </w:r>
      <w:r w:rsidR="00381A08" w:rsidRPr="00381A08">
        <w:rPr>
          <w:szCs w:val="24"/>
        </w:rPr>
        <w:t>z dnia 16 grudnia 2008 r. w sprawie dodatków do żywności (Dz. Urz. UE L 354 z 31.12.2008, str. 16, z późn. zm.</w:t>
      </w:r>
      <w:r w:rsidR="00381A08">
        <w:rPr>
          <w:szCs w:val="24"/>
        </w:rPr>
        <w:t>)</w:t>
      </w:r>
      <w:r w:rsidR="006335D1" w:rsidRPr="006335D1">
        <w:rPr>
          <w:szCs w:val="24"/>
        </w:rPr>
        <w:t>, a także z dodatkiem kofeiny lub tauryny.</w:t>
      </w:r>
      <w:r w:rsidR="006335D1">
        <w:rPr>
          <w:szCs w:val="24"/>
        </w:rPr>
        <w:t xml:space="preserve"> W tym stanie rzeczy wystarczające będzie pozostawienie w ust. 1 regulacji informującej, że opłacie podlega wprowadzenie na rynek krajowy</w:t>
      </w:r>
      <w:r w:rsidR="006335D1" w:rsidRPr="006335D1">
        <w:t xml:space="preserve"> </w:t>
      </w:r>
      <w:r w:rsidR="006335D1" w:rsidRPr="006335D1">
        <w:rPr>
          <w:szCs w:val="24"/>
        </w:rPr>
        <w:t>napoju</w:t>
      </w:r>
      <w:r w:rsidR="006335D1">
        <w:rPr>
          <w:szCs w:val="24"/>
        </w:rPr>
        <w:t>.</w:t>
      </w:r>
      <w:r w:rsidR="007724C3">
        <w:rPr>
          <w:szCs w:val="24"/>
        </w:rPr>
        <w:t xml:space="preserve"> Jednocześnie dla przejrzystości aktu normatywnego dla pojęcia „opłata od środków spożywczych zastosowano skrót </w:t>
      </w:r>
      <w:r w:rsidR="005F3FEC">
        <w:rPr>
          <w:szCs w:val="24"/>
        </w:rPr>
        <w:t>–</w:t>
      </w:r>
      <w:r w:rsidR="007724C3">
        <w:rPr>
          <w:szCs w:val="24"/>
        </w:rPr>
        <w:t xml:space="preserve"> „op</w:t>
      </w:r>
      <w:r w:rsidR="0079692A">
        <w:rPr>
          <w:szCs w:val="24"/>
        </w:rPr>
        <w:t>ł</w:t>
      </w:r>
      <w:r w:rsidR="007724C3">
        <w:rPr>
          <w:szCs w:val="24"/>
        </w:rPr>
        <w:t>ata”.</w:t>
      </w:r>
    </w:p>
    <w:p w14:paraId="053C6FDE" w14:textId="5127584A" w:rsidR="00796DB5" w:rsidRDefault="00EC0574" w:rsidP="00E6094F">
      <w:pPr>
        <w:spacing w:before="120" w:after="120"/>
        <w:contextualSpacing/>
        <w:jc w:val="both"/>
        <w:rPr>
          <w:szCs w:val="24"/>
        </w:rPr>
      </w:pPr>
      <w:r>
        <w:rPr>
          <w:szCs w:val="24"/>
        </w:rPr>
        <w:t xml:space="preserve">Zmiana zaproponowana w </w:t>
      </w:r>
      <w:r w:rsidRPr="00CD12E4">
        <w:rPr>
          <w:b/>
          <w:bCs/>
          <w:szCs w:val="24"/>
        </w:rPr>
        <w:t>ust. 2</w:t>
      </w:r>
      <w:r>
        <w:rPr>
          <w:szCs w:val="24"/>
        </w:rPr>
        <w:t xml:space="preserve"> ma charakter porządkowy i polega na usunięciu odesłania do </w:t>
      </w:r>
      <w:r>
        <w:rPr>
          <w:szCs w:val="24"/>
        </w:rPr>
        <w:lastRenderedPageBreak/>
        <w:t>przepisu definiującego napój w obowiązujących przepisach - art. 12</w:t>
      </w:r>
      <w:r w:rsidR="008804CC">
        <w:rPr>
          <w:szCs w:val="24"/>
        </w:rPr>
        <w:t>a</w:t>
      </w:r>
      <w:r>
        <w:rPr>
          <w:szCs w:val="24"/>
        </w:rPr>
        <w:t xml:space="preserve"> ust. 1. </w:t>
      </w:r>
      <w:r w:rsidR="00C57449">
        <w:rPr>
          <w:szCs w:val="24"/>
        </w:rPr>
        <w:t xml:space="preserve">Definicja napoju w projektowanej ustawie </w:t>
      </w:r>
      <w:r w:rsidR="003143E6">
        <w:rPr>
          <w:szCs w:val="24"/>
        </w:rPr>
        <w:t xml:space="preserve">jest </w:t>
      </w:r>
      <w:r w:rsidR="00C57449">
        <w:rPr>
          <w:szCs w:val="24"/>
        </w:rPr>
        <w:t xml:space="preserve">umieszczona w innej jednostce redakcyjnej </w:t>
      </w:r>
      <w:r>
        <w:rPr>
          <w:szCs w:val="24"/>
        </w:rPr>
        <w:t>tj</w:t>
      </w:r>
      <w:r w:rsidR="003143E6">
        <w:rPr>
          <w:szCs w:val="24"/>
        </w:rPr>
        <w:t>.</w:t>
      </w:r>
      <w:r>
        <w:rPr>
          <w:szCs w:val="24"/>
        </w:rPr>
        <w:t xml:space="preserve"> art. 12a ust. 4.</w:t>
      </w:r>
      <w:r w:rsidR="00C57449">
        <w:rPr>
          <w:szCs w:val="24"/>
        </w:rPr>
        <w:t xml:space="preserve"> </w:t>
      </w:r>
      <w:r w:rsidR="000B7E4D" w:rsidRPr="000B7E4D">
        <w:rPr>
          <w:szCs w:val="24"/>
        </w:rPr>
        <w:t>W</w:t>
      </w:r>
      <w:r w:rsidR="005207D3">
        <w:rPr>
          <w:szCs w:val="24"/>
        </w:rPr>
        <w:t xml:space="preserve"> projektowanym</w:t>
      </w:r>
      <w:r w:rsidR="000B7E4D">
        <w:rPr>
          <w:b/>
          <w:bCs/>
          <w:szCs w:val="24"/>
        </w:rPr>
        <w:t xml:space="preserve"> ust. 4 </w:t>
      </w:r>
      <w:r w:rsidR="000B7E4D" w:rsidRPr="000B7E4D">
        <w:rPr>
          <w:szCs w:val="24"/>
        </w:rPr>
        <w:t xml:space="preserve">zdefiniowano pojęcie napoju, </w:t>
      </w:r>
      <w:r w:rsidR="002B6437">
        <w:rPr>
          <w:szCs w:val="24"/>
        </w:rPr>
        <w:t>którym jest</w:t>
      </w:r>
      <w:r w:rsidR="00C24344" w:rsidRPr="00C24344">
        <w:rPr>
          <w:szCs w:val="24"/>
        </w:rPr>
        <w:t xml:space="preserve"> zarówno płyn do bezpośredniego spożycia</w:t>
      </w:r>
      <w:r w:rsidR="003F4417">
        <w:rPr>
          <w:szCs w:val="24"/>
        </w:rPr>
        <w:t>,</w:t>
      </w:r>
      <w:r w:rsidR="00C24344" w:rsidRPr="00C24344">
        <w:rPr>
          <w:szCs w:val="24"/>
        </w:rPr>
        <w:t xml:space="preserve"> jak i koncentrat </w:t>
      </w:r>
      <w:r w:rsidR="00C24344">
        <w:rPr>
          <w:szCs w:val="24"/>
        </w:rPr>
        <w:t xml:space="preserve">z dodatkiem </w:t>
      </w:r>
      <w:r w:rsidR="00C24344" w:rsidRPr="00C24344">
        <w:rPr>
          <w:szCs w:val="24"/>
        </w:rPr>
        <w:t>cukrów będących monosacharydami lub disacharydami</w:t>
      </w:r>
      <w:r w:rsidR="00271F3F">
        <w:rPr>
          <w:szCs w:val="24"/>
        </w:rPr>
        <w:t>,</w:t>
      </w:r>
      <w:r w:rsidR="00C24344" w:rsidRPr="00C24344">
        <w:rPr>
          <w:szCs w:val="24"/>
        </w:rPr>
        <w:t xml:space="preserve"> środków spożywczych zawierających monosacharydy lub </w:t>
      </w:r>
      <w:proofErr w:type="spellStart"/>
      <w:r w:rsidR="00C24344" w:rsidRPr="00C24344">
        <w:rPr>
          <w:szCs w:val="24"/>
        </w:rPr>
        <w:t>disacharydy</w:t>
      </w:r>
      <w:proofErr w:type="spellEnd"/>
      <w:r w:rsidR="00C24344" w:rsidRPr="00C24344">
        <w:rPr>
          <w:szCs w:val="24"/>
        </w:rPr>
        <w:t xml:space="preserve"> </w:t>
      </w:r>
      <w:r w:rsidR="00271F3F">
        <w:rPr>
          <w:szCs w:val="24"/>
        </w:rPr>
        <w:t>lub</w:t>
      </w:r>
      <w:r w:rsidR="00C24344" w:rsidRPr="00C24344">
        <w:rPr>
          <w:szCs w:val="24"/>
        </w:rPr>
        <w:t xml:space="preserve"> substancji słodzących, o których mowa w rozporządzeniu Parlamentu Europejskiego i Rady (WE) nr 1333/2008, a także z dodatkiem kofeiny lub tauryny.</w:t>
      </w:r>
      <w:r w:rsidR="00C24344">
        <w:rPr>
          <w:szCs w:val="24"/>
        </w:rPr>
        <w:t xml:space="preserve"> </w:t>
      </w:r>
    </w:p>
    <w:p w14:paraId="51638998" w14:textId="6FF4F04C" w:rsidR="00B21296" w:rsidRPr="000B7E4D" w:rsidRDefault="002B6437" w:rsidP="008D2449">
      <w:pPr>
        <w:spacing w:before="120" w:after="120"/>
        <w:jc w:val="both"/>
        <w:rPr>
          <w:szCs w:val="24"/>
        </w:rPr>
      </w:pPr>
      <w:r>
        <w:rPr>
          <w:szCs w:val="24"/>
        </w:rPr>
        <w:t xml:space="preserve">Obowiązująca definicja napoju powoduje szereg wątpliwości interpretacyjnych </w:t>
      </w:r>
      <w:r w:rsidR="000B7E4D" w:rsidRPr="000B7E4D">
        <w:rPr>
          <w:szCs w:val="24"/>
        </w:rPr>
        <w:t xml:space="preserve">w zakresie objęcia opłatą napojów w postaci skoncentrowanej, co stwarza ryzyko, że nie wszystkie koncentraty </w:t>
      </w:r>
      <w:r w:rsidR="00980B0C">
        <w:rPr>
          <w:szCs w:val="24"/>
        </w:rPr>
        <w:t xml:space="preserve">są </w:t>
      </w:r>
      <w:r w:rsidR="000B7E4D" w:rsidRPr="000B7E4D">
        <w:rPr>
          <w:szCs w:val="24"/>
        </w:rPr>
        <w:t xml:space="preserve">obejmowane opłatą. </w:t>
      </w:r>
      <w:r>
        <w:rPr>
          <w:szCs w:val="24"/>
        </w:rPr>
        <w:t>D</w:t>
      </w:r>
      <w:r w:rsidR="000B7E4D" w:rsidRPr="000B7E4D">
        <w:rPr>
          <w:szCs w:val="24"/>
        </w:rPr>
        <w:t xml:space="preserve">efinicja </w:t>
      </w:r>
      <w:r>
        <w:rPr>
          <w:szCs w:val="24"/>
        </w:rPr>
        <w:t>ta</w:t>
      </w:r>
      <w:r w:rsidRPr="000B7E4D">
        <w:rPr>
          <w:szCs w:val="24"/>
        </w:rPr>
        <w:t xml:space="preserve"> </w:t>
      </w:r>
      <w:r w:rsidR="000B7E4D" w:rsidRPr="000B7E4D">
        <w:rPr>
          <w:szCs w:val="24"/>
        </w:rPr>
        <w:t>odwołuje się do pojęcia syropu, podczas gdy koncentraty napojów mogą występować również w formie innej niż syrop. Mając na uwadze zasadniczy cel ustawy, jakim jest obniżenie konsumpcji napojów słodzonych, zasadnym jest doprecyzowanie, że opłatą są objęte wszystkie napoje, zarówno napój będący płynem do bezpośredniego spożycia, jak i będący koncentratem do sporządzania płynu do bezpośredniego spożycia (</w:t>
      </w:r>
      <w:r w:rsidR="00796DB5">
        <w:rPr>
          <w:szCs w:val="24"/>
        </w:rPr>
        <w:t xml:space="preserve">w postaci </w:t>
      </w:r>
      <w:r w:rsidR="000B7E4D" w:rsidRPr="000B7E4D">
        <w:rPr>
          <w:szCs w:val="24"/>
        </w:rPr>
        <w:t>płynnej, półpłynnej i stałej). Zmiana ma na celu wyeliminowanie obrotu koncentratami bez opłaty oraz wyrównanie proporcjonalności opłat od koncentratów i napojów przeznaczonych do bezpośredniego spożycia</w:t>
      </w:r>
      <w:r w:rsidR="009C6D76">
        <w:rPr>
          <w:szCs w:val="24"/>
        </w:rPr>
        <w:t>.</w:t>
      </w:r>
      <w:r w:rsidR="000B7E4D" w:rsidRPr="000B7E4D">
        <w:rPr>
          <w:szCs w:val="24"/>
        </w:rPr>
        <w:t xml:space="preserve"> Propozycja jest zgodna z oczekiwaniami przedsiębiorców dokonujących obrotu koncentratami w postaci syropu, które mieszczą się w zakresie obowiązującej definicji napoju i już teraz bezsprzecznie podlegają opłacie. Proponowane rozwiązanie umożliwi zrównanie obciążeń fiskalnych wszystkich podmiotów sprzedających koncentraty, niezależnie od ich postaci (stałej, płynnej, syropu). Przy czym istotne jest, że ustawa nie obciąża opłatą koncentratów soków 100%, jak również soków 100%, w tym odtworzonych z koncentratu.</w:t>
      </w:r>
      <w:r w:rsidR="001B1C09">
        <w:rPr>
          <w:szCs w:val="24"/>
        </w:rPr>
        <w:t xml:space="preserve"> </w:t>
      </w:r>
      <w:r w:rsidR="00B21296">
        <w:rPr>
          <w:szCs w:val="24"/>
        </w:rPr>
        <w:t xml:space="preserve">Konsekwencją zmiany definicji napoju i jednoznacznego wskazania, że napojem podlegającym opłacie od środków spożywczych jest również koncentrat, jest potrzeba wyjaśnienia czym w rozumieniu ustawy jest koncentrat. W tym celu dodano </w:t>
      </w:r>
      <w:r w:rsidR="00B21296" w:rsidRPr="001B1C09">
        <w:rPr>
          <w:b/>
          <w:bCs/>
          <w:szCs w:val="24"/>
        </w:rPr>
        <w:t>ust. 5</w:t>
      </w:r>
      <w:r w:rsidR="00B21296">
        <w:rPr>
          <w:szCs w:val="24"/>
        </w:rPr>
        <w:t xml:space="preserve"> wskazujący, że koncentratem jest </w:t>
      </w:r>
      <w:r w:rsidR="00B21296" w:rsidRPr="00B21296">
        <w:rPr>
          <w:szCs w:val="24"/>
        </w:rPr>
        <w:t>wyrób, który po rozcieńczeniu</w:t>
      </w:r>
      <w:r w:rsidR="006A3632">
        <w:rPr>
          <w:szCs w:val="24"/>
        </w:rPr>
        <w:t>,</w:t>
      </w:r>
      <w:r w:rsidR="00B21296" w:rsidRPr="00B21296">
        <w:rPr>
          <w:szCs w:val="24"/>
        </w:rPr>
        <w:t xml:space="preserve"> </w:t>
      </w:r>
      <w:bookmarkStart w:id="1" w:name="_Hlk239668419"/>
      <w:r w:rsidR="00827127">
        <w:rPr>
          <w:szCs w:val="24"/>
        </w:rPr>
        <w:t xml:space="preserve">rozpuszczeniu lub wymieszaniu z wodą lub innym rozpuszczalnikiem </w:t>
      </w:r>
      <w:bookmarkEnd w:id="1"/>
      <w:r w:rsidR="00827127">
        <w:rPr>
          <w:szCs w:val="24"/>
        </w:rPr>
        <w:t xml:space="preserve">(np. herbatą) </w:t>
      </w:r>
      <w:r w:rsidR="00B21296" w:rsidRPr="00B21296">
        <w:rPr>
          <w:szCs w:val="24"/>
        </w:rPr>
        <w:t>domowym sposobem stanowi płyn do bezpośredniego spożyci</w:t>
      </w:r>
      <w:r w:rsidR="00B21296">
        <w:rPr>
          <w:szCs w:val="24"/>
        </w:rPr>
        <w:t xml:space="preserve">a, a także </w:t>
      </w:r>
      <w:r w:rsidR="00B21296" w:rsidRPr="00B21296">
        <w:rPr>
          <w:szCs w:val="24"/>
        </w:rPr>
        <w:t>wyrób przeznaczony do użycia w ramach usług związanych z wyżywieniem klasyfikowanych w dziale 56 Polskiej Klasyfikacji Wyrobów i Usług, który po rozcieńczeniu</w:t>
      </w:r>
      <w:r w:rsidR="006A3632">
        <w:rPr>
          <w:szCs w:val="24"/>
        </w:rPr>
        <w:t>, roz</w:t>
      </w:r>
      <w:r w:rsidR="006A3632" w:rsidRPr="006A3632">
        <w:rPr>
          <w:szCs w:val="24"/>
        </w:rPr>
        <w:t xml:space="preserve">puszczeniu lub wymieszaniu z wodą lub innym rozpuszczalnikiem </w:t>
      </w:r>
      <w:r w:rsidR="00B21296" w:rsidRPr="00B21296">
        <w:rPr>
          <w:szCs w:val="24"/>
        </w:rPr>
        <w:t>stanowi płyn do bezpośredniego spożycia</w:t>
      </w:r>
      <w:r w:rsidR="008D2449">
        <w:rPr>
          <w:szCs w:val="24"/>
        </w:rPr>
        <w:t>.</w:t>
      </w:r>
      <w:r w:rsidR="008D2449" w:rsidRPr="008D2449">
        <w:t xml:space="preserve"> </w:t>
      </w:r>
      <w:r w:rsidR="008D2449" w:rsidRPr="008D2449">
        <w:rPr>
          <w:szCs w:val="24"/>
        </w:rPr>
        <w:t>Proponowana definicja obejmuje zarówno koncentraty przeznaczone do rozcieńczania przez konsumentów w warunkach domowych</w:t>
      </w:r>
      <w:r w:rsidR="008D2449">
        <w:rPr>
          <w:szCs w:val="24"/>
        </w:rPr>
        <w:t xml:space="preserve"> zgodnie z zaleceniami producenta</w:t>
      </w:r>
      <w:r w:rsidR="008D2449" w:rsidRPr="008D2449">
        <w:rPr>
          <w:szCs w:val="24"/>
        </w:rPr>
        <w:t xml:space="preserve">, jak i wyroby wykorzystywane w działalności </w:t>
      </w:r>
      <w:r w:rsidR="008D2449" w:rsidRPr="008D2449">
        <w:rPr>
          <w:szCs w:val="24"/>
        </w:rPr>
        <w:lastRenderedPageBreak/>
        <w:t>gastronomicznej, w szczególności w ramach usług związanych z wyżywieniem (PKWiU dział 56). Takie ujęcie pozwala na objęcie regulacją wszystkich istotnych kategorii produktów, które – niezależnie od miejsca i sposobu przygotowania – prowadzą do uzyskania płynu przeznaczonego do bezpośredniego spożycia.</w:t>
      </w:r>
      <w:r w:rsidR="008D2449">
        <w:rPr>
          <w:szCs w:val="24"/>
        </w:rPr>
        <w:t xml:space="preserve"> </w:t>
      </w:r>
      <w:r w:rsidR="008D2449" w:rsidRPr="008D2449">
        <w:rPr>
          <w:szCs w:val="24"/>
        </w:rPr>
        <w:t>Jednocześnie zaproponowane brzmienie definicji uwzględnia praktykę rynkową oraz różnorodność form, w jakich koncentraty są oferowane, zapewniając jednolite stosowanie przepisów oraz ograniczając ryzyko ich obchodzenia przez zmianę deklarowanego sposobu użycia produktu.</w:t>
      </w:r>
      <w:r w:rsidR="008D2449">
        <w:rPr>
          <w:szCs w:val="24"/>
        </w:rPr>
        <w:t xml:space="preserve"> </w:t>
      </w:r>
      <w:r w:rsidR="008D2449" w:rsidRPr="008D2449">
        <w:rPr>
          <w:szCs w:val="24"/>
        </w:rPr>
        <w:t xml:space="preserve">W konsekwencji wprowadzenie definicji przyczyni się do zwiększenia przejrzystości regulacji, pewności prawa po stronie podmiotów obowiązanych </w:t>
      </w:r>
      <w:r w:rsidR="00C815D0">
        <w:rPr>
          <w:szCs w:val="24"/>
        </w:rPr>
        <w:t xml:space="preserve">do zapłaty </w:t>
      </w:r>
      <w:r w:rsidR="008D2449" w:rsidRPr="008D2449">
        <w:rPr>
          <w:szCs w:val="24"/>
        </w:rPr>
        <w:t xml:space="preserve">oraz </w:t>
      </w:r>
      <w:r w:rsidR="00C815D0">
        <w:rPr>
          <w:szCs w:val="24"/>
        </w:rPr>
        <w:t>skutecz</w:t>
      </w:r>
      <w:r w:rsidR="008D2449" w:rsidRPr="008D2449">
        <w:rPr>
          <w:szCs w:val="24"/>
        </w:rPr>
        <w:t>ności stosowania przepisów w zakresie poboru opłaty.</w:t>
      </w:r>
    </w:p>
    <w:p w14:paraId="1BC0E46E" w14:textId="77777777" w:rsidR="00722C4B" w:rsidRDefault="00A9606A" w:rsidP="00091FE5">
      <w:pPr>
        <w:spacing w:before="120" w:after="120"/>
        <w:contextualSpacing/>
        <w:jc w:val="both"/>
        <w:rPr>
          <w:szCs w:val="24"/>
        </w:rPr>
      </w:pPr>
      <w:r w:rsidRPr="00A9606A">
        <w:rPr>
          <w:b/>
          <w:bCs/>
          <w:szCs w:val="24"/>
        </w:rPr>
        <w:t>Art. 12b</w:t>
      </w:r>
      <w:r>
        <w:rPr>
          <w:b/>
          <w:bCs/>
          <w:szCs w:val="24"/>
        </w:rPr>
        <w:t xml:space="preserve"> </w:t>
      </w:r>
      <w:r w:rsidRPr="00A9606A">
        <w:rPr>
          <w:b/>
          <w:bCs/>
          <w:szCs w:val="24"/>
        </w:rPr>
        <w:t xml:space="preserve">– </w:t>
      </w:r>
      <w:r w:rsidR="00B43C25">
        <w:rPr>
          <w:szCs w:val="24"/>
        </w:rPr>
        <w:t>u</w:t>
      </w:r>
      <w:r w:rsidR="006E4904" w:rsidRPr="001B1C09">
        <w:rPr>
          <w:szCs w:val="24"/>
        </w:rPr>
        <w:t xml:space="preserve">chylenie </w:t>
      </w:r>
      <w:r w:rsidR="006E4904" w:rsidRPr="006E4904">
        <w:rPr>
          <w:b/>
          <w:bCs/>
          <w:szCs w:val="24"/>
        </w:rPr>
        <w:t>ust. 1</w:t>
      </w:r>
      <w:r w:rsidR="006E4904" w:rsidRPr="001B1C09">
        <w:rPr>
          <w:szCs w:val="24"/>
        </w:rPr>
        <w:t xml:space="preserve"> </w:t>
      </w:r>
      <w:r w:rsidR="006E4904">
        <w:rPr>
          <w:szCs w:val="24"/>
        </w:rPr>
        <w:t>jest konsekwencją zmian w zakresie pojęcia „napoju” i uwzględnienia definicji napoju w art. 12a ust. 4</w:t>
      </w:r>
      <w:r w:rsidR="00B43C25">
        <w:rPr>
          <w:szCs w:val="24"/>
        </w:rPr>
        <w:t xml:space="preserve">. </w:t>
      </w:r>
    </w:p>
    <w:p w14:paraId="43BD707A" w14:textId="39BD7D8C" w:rsidR="00FE1749" w:rsidRDefault="00091FE5" w:rsidP="0040076B">
      <w:pPr>
        <w:spacing w:before="120" w:after="120"/>
        <w:contextualSpacing/>
        <w:jc w:val="both"/>
        <w:rPr>
          <w:szCs w:val="24"/>
        </w:rPr>
      </w:pPr>
      <w:r w:rsidRPr="00091FE5">
        <w:rPr>
          <w:szCs w:val="24"/>
        </w:rPr>
        <w:t xml:space="preserve">W </w:t>
      </w:r>
      <w:r w:rsidRPr="00091FE5">
        <w:rPr>
          <w:b/>
          <w:bCs/>
          <w:szCs w:val="24"/>
        </w:rPr>
        <w:t>ust. 2</w:t>
      </w:r>
      <w:r w:rsidRPr="00091FE5">
        <w:rPr>
          <w:szCs w:val="24"/>
        </w:rPr>
        <w:t xml:space="preserve"> enumeratywnie wskazano napoje, których </w:t>
      </w:r>
      <w:r w:rsidR="001B1C09">
        <w:rPr>
          <w:szCs w:val="24"/>
        </w:rPr>
        <w:t xml:space="preserve">wprowadzenie </w:t>
      </w:r>
      <w:r w:rsidR="00B43C25">
        <w:rPr>
          <w:szCs w:val="24"/>
        </w:rPr>
        <w:t xml:space="preserve">na rynek krajowy </w:t>
      </w:r>
      <w:r w:rsidRPr="00091FE5">
        <w:rPr>
          <w:szCs w:val="24"/>
        </w:rPr>
        <w:t xml:space="preserve">nie podlega opłacie. </w:t>
      </w:r>
      <w:r w:rsidR="00536334">
        <w:rPr>
          <w:szCs w:val="24"/>
        </w:rPr>
        <w:t>We wprowadzeniu do wyliczenia zaproponowano zastąpienie sformułowania „opłacie nie podlega” bardziej odpowiedni</w:t>
      </w:r>
      <w:r w:rsidR="00C815D0">
        <w:rPr>
          <w:szCs w:val="24"/>
        </w:rPr>
        <w:t>m</w:t>
      </w:r>
      <w:r w:rsidR="00536334">
        <w:rPr>
          <w:szCs w:val="24"/>
        </w:rPr>
        <w:t xml:space="preserve"> określeniem „zwalnia się od opłaty”. </w:t>
      </w:r>
      <w:r w:rsidR="00FE60CF" w:rsidRPr="00FE60CF">
        <w:rPr>
          <w:szCs w:val="24"/>
        </w:rPr>
        <w:t xml:space="preserve">Zgodnie z </w:t>
      </w:r>
      <w:r w:rsidR="00722C4B">
        <w:rPr>
          <w:szCs w:val="24"/>
        </w:rPr>
        <w:t xml:space="preserve">tym </w:t>
      </w:r>
      <w:r w:rsidR="00FE60CF" w:rsidRPr="00FE60CF">
        <w:rPr>
          <w:szCs w:val="24"/>
        </w:rPr>
        <w:t>przepis</w:t>
      </w:r>
      <w:r w:rsidR="00722C4B">
        <w:rPr>
          <w:szCs w:val="24"/>
        </w:rPr>
        <w:t>em</w:t>
      </w:r>
      <w:r w:rsidR="00FE60CF" w:rsidRPr="00FE60CF">
        <w:rPr>
          <w:szCs w:val="24"/>
        </w:rPr>
        <w:t xml:space="preserve">, </w:t>
      </w:r>
      <w:r w:rsidR="00536334">
        <w:rPr>
          <w:szCs w:val="24"/>
        </w:rPr>
        <w:t xml:space="preserve">zwolnione od </w:t>
      </w:r>
      <w:r w:rsidR="00FE60CF" w:rsidRPr="00FE60CF">
        <w:rPr>
          <w:szCs w:val="24"/>
        </w:rPr>
        <w:t>opła</w:t>
      </w:r>
      <w:r w:rsidR="00536334">
        <w:rPr>
          <w:szCs w:val="24"/>
        </w:rPr>
        <w:t>ty</w:t>
      </w:r>
      <w:r w:rsidR="00FE60CF" w:rsidRPr="00FE60CF">
        <w:rPr>
          <w:szCs w:val="24"/>
        </w:rPr>
        <w:t xml:space="preserve"> </w:t>
      </w:r>
      <w:r w:rsidR="00536334">
        <w:rPr>
          <w:szCs w:val="24"/>
        </w:rPr>
        <w:t>są</w:t>
      </w:r>
      <w:r w:rsidR="00FE60CF" w:rsidRPr="00FE60CF">
        <w:rPr>
          <w:szCs w:val="24"/>
        </w:rPr>
        <w:t xml:space="preserve"> </w:t>
      </w:r>
      <w:r w:rsidR="00722C4B">
        <w:rPr>
          <w:szCs w:val="24"/>
        </w:rPr>
        <w:t xml:space="preserve">m.in. </w:t>
      </w:r>
      <w:r w:rsidR="00FE60CF" w:rsidRPr="00FE60CF">
        <w:rPr>
          <w:szCs w:val="24"/>
        </w:rPr>
        <w:t xml:space="preserve">suplementy diety. Wiele wysoko słodzonych syropów owocowych, które do czasu wprowadzenia opłaty cukrowej były sprzedawane jako żywność wzbogacona, obecnie jest wprowadzanych do obrotu jako suplementy diety. W konsekwencji, produkty o niekorzystnym profilu żywieniowym (z uwagi na wysoką zawartość cukru) są oferowane w kategorii, która przez konsumentów </w:t>
      </w:r>
      <w:r w:rsidR="00980B0C">
        <w:rPr>
          <w:szCs w:val="24"/>
        </w:rPr>
        <w:t xml:space="preserve">jest </w:t>
      </w:r>
      <w:r w:rsidR="00FE60CF" w:rsidRPr="00FE60CF">
        <w:rPr>
          <w:szCs w:val="24"/>
        </w:rPr>
        <w:t>postrzegana jako wspierająca zdrowie (suplementy diety).</w:t>
      </w:r>
      <w:r w:rsidR="00C815D0">
        <w:rPr>
          <w:szCs w:val="24"/>
        </w:rPr>
        <w:t xml:space="preserve"> </w:t>
      </w:r>
      <w:r w:rsidR="00A33E33">
        <w:rPr>
          <w:szCs w:val="24"/>
        </w:rPr>
        <w:t xml:space="preserve">W obowiązującym </w:t>
      </w:r>
      <w:r w:rsidR="00A33E33" w:rsidRPr="00A33E33">
        <w:rPr>
          <w:b/>
          <w:bCs/>
          <w:szCs w:val="24"/>
        </w:rPr>
        <w:t>pkt 2</w:t>
      </w:r>
      <w:r w:rsidR="00A33E33">
        <w:rPr>
          <w:b/>
          <w:bCs/>
          <w:szCs w:val="24"/>
        </w:rPr>
        <w:t xml:space="preserve"> </w:t>
      </w:r>
      <w:r w:rsidR="00A33E33" w:rsidRPr="00A33E33">
        <w:rPr>
          <w:szCs w:val="24"/>
        </w:rPr>
        <w:t>uwzględniono napoje</w:t>
      </w:r>
      <w:r w:rsidR="00A33E33">
        <w:rPr>
          <w:b/>
          <w:bCs/>
          <w:szCs w:val="24"/>
        </w:rPr>
        <w:t xml:space="preserve"> </w:t>
      </w:r>
      <w:r w:rsidR="00A33E33" w:rsidRPr="00A33E33">
        <w:rPr>
          <w:szCs w:val="24"/>
        </w:rPr>
        <w:t>będąc</w:t>
      </w:r>
      <w:r w:rsidR="000F5928">
        <w:rPr>
          <w:szCs w:val="24"/>
        </w:rPr>
        <w:t>e</w:t>
      </w:r>
      <w:r w:rsidR="00A33E33" w:rsidRPr="00A33E33">
        <w:rPr>
          <w:szCs w:val="24"/>
        </w:rPr>
        <w:t xml:space="preserve"> suplementami diety w rozumieniu art. 3 ust. 3 pkt 39 ustawy z dnia 25 sierpnia 2006 r. o bezpieczeństwie żywności i żywienia (Dz.</w:t>
      </w:r>
      <w:r w:rsidR="004A30B8">
        <w:rPr>
          <w:szCs w:val="24"/>
        </w:rPr>
        <w:t xml:space="preserve"> </w:t>
      </w:r>
      <w:r w:rsidR="00A33E33" w:rsidRPr="00A33E33">
        <w:rPr>
          <w:szCs w:val="24"/>
        </w:rPr>
        <w:t>U. z 2023 r. poz. 1448</w:t>
      </w:r>
      <w:r w:rsidR="00C815D0">
        <w:rPr>
          <w:szCs w:val="24"/>
        </w:rPr>
        <w:t>, z późn. zm.</w:t>
      </w:r>
      <w:r w:rsidR="00A33E33" w:rsidRPr="00A33E33">
        <w:rPr>
          <w:szCs w:val="24"/>
        </w:rPr>
        <w:t>)</w:t>
      </w:r>
      <w:r w:rsidR="00A33E33">
        <w:rPr>
          <w:szCs w:val="24"/>
        </w:rPr>
        <w:t xml:space="preserve">. </w:t>
      </w:r>
      <w:r w:rsidR="00E576B0">
        <w:rPr>
          <w:szCs w:val="24"/>
        </w:rPr>
        <w:t>Zgodnie z tym przepisem suplement diety to ś</w:t>
      </w:r>
      <w:r w:rsidR="0040076B" w:rsidRPr="0040076B">
        <w:rPr>
          <w:szCs w:val="24"/>
        </w:rPr>
        <w:t>rodek spożywczy, którego celem jest uzupełnienie normalnej</w:t>
      </w:r>
      <w:r w:rsidR="00E576B0">
        <w:rPr>
          <w:szCs w:val="24"/>
        </w:rPr>
        <w:t xml:space="preserve"> </w:t>
      </w:r>
      <w:r w:rsidR="0040076B" w:rsidRPr="0040076B">
        <w:rPr>
          <w:szCs w:val="24"/>
        </w:rPr>
        <w:t>diety, będący skoncentrowanym źródłem witamin lub składników mineralnych lub innych</w:t>
      </w:r>
      <w:r w:rsidR="00E576B0">
        <w:rPr>
          <w:szCs w:val="24"/>
        </w:rPr>
        <w:t xml:space="preserve"> </w:t>
      </w:r>
      <w:r w:rsidR="0040076B" w:rsidRPr="0040076B">
        <w:rPr>
          <w:szCs w:val="24"/>
        </w:rPr>
        <w:t>substancji wykazujących efekt odżywczy lub inny fizjologiczny, pojedynczych lub</w:t>
      </w:r>
      <w:r w:rsidR="00E576B0">
        <w:rPr>
          <w:szCs w:val="24"/>
        </w:rPr>
        <w:t xml:space="preserve"> </w:t>
      </w:r>
      <w:r w:rsidR="0040076B" w:rsidRPr="0040076B">
        <w:rPr>
          <w:szCs w:val="24"/>
        </w:rPr>
        <w:t>złożonych, wprowadzany do obrotu w formie umożliwiającej dawkowanie, w postaci:</w:t>
      </w:r>
      <w:r w:rsidR="00E576B0">
        <w:rPr>
          <w:szCs w:val="24"/>
        </w:rPr>
        <w:t xml:space="preserve"> </w:t>
      </w:r>
      <w:r w:rsidR="0040076B" w:rsidRPr="0040076B">
        <w:rPr>
          <w:szCs w:val="24"/>
        </w:rPr>
        <w:t>kapsułek, tabletek, drażetek i w innych podobnych postaciach, saszetek z proszkiem,</w:t>
      </w:r>
      <w:r w:rsidR="00E576B0">
        <w:rPr>
          <w:szCs w:val="24"/>
        </w:rPr>
        <w:t xml:space="preserve"> </w:t>
      </w:r>
      <w:r w:rsidR="0040076B" w:rsidRPr="0040076B">
        <w:rPr>
          <w:szCs w:val="24"/>
        </w:rPr>
        <w:t>ampułek z płynem, butelek z kroplomierzem i w innych podobnych postaciach płynów</w:t>
      </w:r>
      <w:r w:rsidR="00E576B0">
        <w:rPr>
          <w:szCs w:val="24"/>
        </w:rPr>
        <w:t xml:space="preserve"> </w:t>
      </w:r>
      <w:r w:rsidR="0040076B" w:rsidRPr="0040076B">
        <w:rPr>
          <w:szCs w:val="24"/>
        </w:rPr>
        <w:t>i proszków przeznaczonych do spożywania w małych, odmierzonych ilościach</w:t>
      </w:r>
      <w:r w:rsidR="00E576B0">
        <w:rPr>
          <w:szCs w:val="24"/>
        </w:rPr>
        <w:t xml:space="preserve"> </w:t>
      </w:r>
      <w:r w:rsidR="0040076B" w:rsidRPr="0040076B">
        <w:rPr>
          <w:szCs w:val="24"/>
        </w:rPr>
        <w:t>jednostkowych, z wyłączeniem produktów posiadających właściwości produktu</w:t>
      </w:r>
      <w:r w:rsidR="00E576B0">
        <w:rPr>
          <w:szCs w:val="24"/>
        </w:rPr>
        <w:t xml:space="preserve"> </w:t>
      </w:r>
      <w:r w:rsidR="0040076B" w:rsidRPr="0040076B">
        <w:rPr>
          <w:szCs w:val="24"/>
        </w:rPr>
        <w:t>leczniczego w rozumieniu przepisów prawa farmaceutycznego.</w:t>
      </w:r>
    </w:p>
    <w:p w14:paraId="3FB765A4" w14:textId="565F095A" w:rsidR="00E576B0" w:rsidRDefault="00E576B0" w:rsidP="0040076B">
      <w:pPr>
        <w:spacing w:before="120" w:after="120"/>
        <w:contextualSpacing/>
        <w:jc w:val="both"/>
        <w:rPr>
          <w:szCs w:val="24"/>
        </w:rPr>
      </w:pPr>
      <w:r w:rsidRPr="00E576B0">
        <w:rPr>
          <w:szCs w:val="24"/>
        </w:rPr>
        <w:t xml:space="preserve">Po przeprowadzeniu analizy rynku syropów słodzonych </w:t>
      </w:r>
      <w:r>
        <w:rPr>
          <w:szCs w:val="24"/>
        </w:rPr>
        <w:t>zauważono</w:t>
      </w:r>
      <w:r w:rsidRPr="00E576B0">
        <w:rPr>
          <w:szCs w:val="24"/>
        </w:rPr>
        <w:t>, że wiele dużych firm</w:t>
      </w:r>
      <w:r w:rsidR="007E32BA">
        <w:rPr>
          <w:szCs w:val="24"/>
        </w:rPr>
        <w:t>,</w:t>
      </w:r>
      <w:r w:rsidRPr="00E576B0">
        <w:rPr>
          <w:szCs w:val="24"/>
        </w:rPr>
        <w:t xml:space="preserve"> w okresie wprowadzania opłaty </w:t>
      </w:r>
      <w:r w:rsidR="007E32BA">
        <w:rPr>
          <w:szCs w:val="24"/>
        </w:rPr>
        <w:t>od środków spożywczych</w:t>
      </w:r>
      <w:r>
        <w:rPr>
          <w:szCs w:val="24"/>
        </w:rPr>
        <w:t>,</w:t>
      </w:r>
      <w:r w:rsidRPr="00E576B0">
        <w:rPr>
          <w:szCs w:val="24"/>
        </w:rPr>
        <w:t xml:space="preserve"> dokonało zgłoszenia</w:t>
      </w:r>
      <w:r>
        <w:rPr>
          <w:szCs w:val="24"/>
        </w:rPr>
        <w:t xml:space="preserve"> wytwarzanych </w:t>
      </w:r>
      <w:r>
        <w:rPr>
          <w:szCs w:val="24"/>
        </w:rPr>
        <w:lastRenderedPageBreak/>
        <w:t xml:space="preserve">syropów </w:t>
      </w:r>
      <w:r w:rsidRPr="00E576B0">
        <w:rPr>
          <w:szCs w:val="24"/>
        </w:rPr>
        <w:t xml:space="preserve">do prowadzonego przez Głównego Inspektora Sanitarnego </w:t>
      </w:r>
      <w:r w:rsidRPr="00E576B0">
        <w:rPr>
          <w:i/>
          <w:iCs/>
          <w:szCs w:val="24"/>
        </w:rPr>
        <w:t xml:space="preserve">Rejestru produktów objętych powiadomieniem o pierwszym wprowadzeniu do obrotu </w:t>
      </w:r>
      <w:r w:rsidRPr="00E576B0">
        <w:rPr>
          <w:szCs w:val="24"/>
        </w:rPr>
        <w:t>jako suplementy diety, co umożliwiło uniknięcie opłaty cukrowej.</w:t>
      </w:r>
      <w:r>
        <w:rPr>
          <w:szCs w:val="24"/>
        </w:rPr>
        <w:t xml:space="preserve"> Trzeba jednak zauważyć, że wysoko słodzone syropy z dodatkiem witamin i/lub</w:t>
      </w:r>
      <w:r w:rsidR="00C26B58">
        <w:rPr>
          <w:szCs w:val="24"/>
        </w:rPr>
        <w:t xml:space="preserve"> składników mineralnych</w:t>
      </w:r>
      <w:r>
        <w:rPr>
          <w:szCs w:val="24"/>
        </w:rPr>
        <w:t xml:space="preserve"> do czasu wprowadzenia opłaty od środków </w:t>
      </w:r>
      <w:r w:rsidR="00C26B58">
        <w:rPr>
          <w:szCs w:val="24"/>
        </w:rPr>
        <w:t xml:space="preserve">spożywczych </w:t>
      </w:r>
      <w:r>
        <w:rPr>
          <w:szCs w:val="24"/>
        </w:rPr>
        <w:t xml:space="preserve">funkcjonowały w obrocie jako </w:t>
      </w:r>
      <w:r w:rsidR="00FD04B4">
        <w:rPr>
          <w:szCs w:val="24"/>
        </w:rPr>
        <w:t xml:space="preserve">zwykła żywność lub ze względu na obecność witamin i składników mineralnych – jako </w:t>
      </w:r>
      <w:r>
        <w:rPr>
          <w:szCs w:val="24"/>
        </w:rPr>
        <w:t>żywność wzbogacona.</w:t>
      </w:r>
    </w:p>
    <w:p w14:paraId="33E61720" w14:textId="76F7705B" w:rsidR="00FD04B4" w:rsidRDefault="00E576B0" w:rsidP="00FD04B4">
      <w:pPr>
        <w:spacing w:before="120" w:after="120"/>
        <w:contextualSpacing/>
        <w:jc w:val="both"/>
        <w:rPr>
          <w:szCs w:val="24"/>
        </w:rPr>
      </w:pPr>
      <w:r w:rsidRPr="00E576B0">
        <w:rPr>
          <w:szCs w:val="24"/>
        </w:rPr>
        <w:t xml:space="preserve">Cechą odróżniającą suplementy diety od innych kategorii żywności jest m.in. ich przeznaczenie (uzupełnienie normalnej diety), skład (skoncentrowane źródło składników odżywczych lub innych substancji) oraz postać (umożliwiająca dawkowanie, np. kapsułki, kropelki, syropy, tabletki do żucia, itp.). Wysoka zawartość cukru w suplemencie diety, który co do zasady ma służyć zdrowiu, może mieć istotne znaczenie w sprawie uznania danego produktu za zgodny z wymogami dla suplementów diety. Poza zgodnością z każdym elementem definicji suplementu diety, produkt </w:t>
      </w:r>
      <w:r w:rsidR="00C815D0">
        <w:rPr>
          <w:szCs w:val="24"/>
        </w:rPr>
        <w:t>powinien</w:t>
      </w:r>
      <w:r w:rsidRPr="00E576B0">
        <w:rPr>
          <w:szCs w:val="24"/>
        </w:rPr>
        <w:t xml:space="preserve"> spełnić szczegółowe wymagania dotyczące składu, oznakowania, kryteriów czystości, a także opakowania. Po spełnieniu ww. warunków uznanie danego produktu – w tym przypadku syropu cukrowego z zawartością witamin – za suplement diety jest zgodne z wymogami.</w:t>
      </w:r>
      <w:r>
        <w:rPr>
          <w:szCs w:val="24"/>
        </w:rPr>
        <w:t xml:space="preserve"> </w:t>
      </w:r>
      <w:r w:rsidRPr="00E576B0">
        <w:rPr>
          <w:szCs w:val="24"/>
        </w:rPr>
        <w:t>Prawo krajowe nie nakłada na podmioty obowiązku ubiegania się o zezwolenie na wprowadzenie na rynek suplementu diety, w związku z czym mogą one wprowadzić na rynek określony produkt jako suplement diety na podstawie własnej oceny. Wprowadzając suplement diety do obrotu</w:t>
      </w:r>
      <w:r w:rsidR="00C815D0">
        <w:rPr>
          <w:szCs w:val="24"/>
        </w:rPr>
        <w:t>,</w:t>
      </w:r>
      <w:r w:rsidRPr="00E576B0">
        <w:rPr>
          <w:szCs w:val="24"/>
        </w:rPr>
        <w:t xml:space="preserve"> przedsiębiorcy </w:t>
      </w:r>
      <w:r w:rsidR="00780C79">
        <w:rPr>
          <w:szCs w:val="24"/>
        </w:rPr>
        <w:t xml:space="preserve">są </w:t>
      </w:r>
      <w:r w:rsidRPr="00E576B0">
        <w:rPr>
          <w:szCs w:val="24"/>
        </w:rPr>
        <w:t xml:space="preserve">obowiązani </w:t>
      </w:r>
      <w:r>
        <w:rPr>
          <w:szCs w:val="24"/>
        </w:rPr>
        <w:t xml:space="preserve">jedynie </w:t>
      </w:r>
      <w:r w:rsidRPr="00E576B0">
        <w:rPr>
          <w:szCs w:val="24"/>
        </w:rPr>
        <w:t xml:space="preserve">do powiadomienia o tym fakcie </w:t>
      </w:r>
      <w:r w:rsidR="007E32BA" w:rsidRPr="007E32BA">
        <w:rPr>
          <w:szCs w:val="24"/>
        </w:rPr>
        <w:t>Głównego Inspektora Sanitarnego</w:t>
      </w:r>
      <w:r w:rsidRPr="00E576B0">
        <w:rPr>
          <w:szCs w:val="24"/>
        </w:rPr>
        <w:t xml:space="preserve">. </w:t>
      </w:r>
      <w:r w:rsidR="00FD04B4">
        <w:rPr>
          <w:szCs w:val="24"/>
        </w:rPr>
        <w:t xml:space="preserve">W obecnym stanie prawnym zmiana kwalifikacji z żywności wzbogaconej na suplement diety stwarza zagrożenie </w:t>
      </w:r>
      <w:r w:rsidR="00FD04B4" w:rsidRPr="00FD04B4">
        <w:rPr>
          <w:szCs w:val="24"/>
        </w:rPr>
        <w:t>oferowania produktów o niekorzystnym profilu żywieniowym (wysoko</w:t>
      </w:r>
      <w:r w:rsidR="00FD04B4">
        <w:rPr>
          <w:szCs w:val="24"/>
        </w:rPr>
        <w:t xml:space="preserve"> </w:t>
      </w:r>
      <w:r w:rsidR="00FD04B4" w:rsidRPr="00FD04B4">
        <w:rPr>
          <w:szCs w:val="24"/>
        </w:rPr>
        <w:t>słodzone syropy) w</w:t>
      </w:r>
      <w:r w:rsidR="00FD04B4">
        <w:rPr>
          <w:szCs w:val="24"/>
        </w:rPr>
        <w:t xml:space="preserve"> </w:t>
      </w:r>
      <w:r w:rsidR="00FD04B4" w:rsidRPr="00FD04B4">
        <w:rPr>
          <w:szCs w:val="24"/>
        </w:rPr>
        <w:t xml:space="preserve">kategorii, która przez konsumentów </w:t>
      </w:r>
      <w:r w:rsidR="00780C79">
        <w:rPr>
          <w:szCs w:val="24"/>
        </w:rPr>
        <w:t xml:space="preserve">jest </w:t>
      </w:r>
      <w:r w:rsidR="00FD04B4" w:rsidRPr="00FD04B4">
        <w:rPr>
          <w:szCs w:val="24"/>
        </w:rPr>
        <w:t>postrzegana jako wspierająca zdrowie (suplementy</w:t>
      </w:r>
      <w:r w:rsidR="00FD04B4">
        <w:rPr>
          <w:szCs w:val="24"/>
        </w:rPr>
        <w:t xml:space="preserve"> </w:t>
      </w:r>
      <w:r w:rsidR="00FD04B4" w:rsidRPr="00FD04B4">
        <w:rPr>
          <w:szCs w:val="24"/>
        </w:rPr>
        <w:t>diety).</w:t>
      </w:r>
    </w:p>
    <w:p w14:paraId="4AF130DF" w14:textId="4C454684" w:rsidR="000F5928" w:rsidRDefault="00A33E33" w:rsidP="00A33E33">
      <w:pPr>
        <w:spacing w:before="120" w:after="120"/>
        <w:contextualSpacing/>
        <w:jc w:val="both"/>
        <w:rPr>
          <w:szCs w:val="24"/>
        </w:rPr>
      </w:pPr>
      <w:r w:rsidRPr="00A33E33">
        <w:rPr>
          <w:szCs w:val="24"/>
        </w:rPr>
        <w:t>Narodowy Instytut Zdrowia Publicznego PZH – Państwowy Instytut Badawczy dokonał analizy</w:t>
      </w:r>
      <w:r>
        <w:rPr>
          <w:szCs w:val="24"/>
        </w:rPr>
        <w:t xml:space="preserve"> </w:t>
      </w:r>
      <w:r w:rsidRPr="00A33E33">
        <w:rPr>
          <w:szCs w:val="24"/>
        </w:rPr>
        <w:t>przykładowego składu syropu owocowego kwalifikowanego jako suplement diety. Stwierdzono,</w:t>
      </w:r>
      <w:r>
        <w:rPr>
          <w:szCs w:val="24"/>
        </w:rPr>
        <w:t xml:space="preserve"> </w:t>
      </w:r>
      <w:r w:rsidRPr="00A33E33">
        <w:rPr>
          <w:szCs w:val="24"/>
        </w:rPr>
        <w:t>że na pierwszym miejscu w wykazie składników znajduje się cukier. Zgodnie z deklaracją</w:t>
      </w:r>
      <w:r>
        <w:rPr>
          <w:szCs w:val="24"/>
        </w:rPr>
        <w:t xml:space="preserve"> </w:t>
      </w:r>
      <w:r w:rsidRPr="00A33E33">
        <w:rPr>
          <w:szCs w:val="24"/>
        </w:rPr>
        <w:t>producenta zawartość cukrów w 100 ml produktu wynosi 72</w:t>
      </w:r>
      <w:r w:rsidR="00780C79">
        <w:rPr>
          <w:szCs w:val="24"/>
        </w:rPr>
        <w:t xml:space="preserve"> </w:t>
      </w:r>
      <w:r w:rsidRPr="00A33E33">
        <w:rPr>
          <w:szCs w:val="24"/>
        </w:rPr>
        <w:t>g, a w porcji wskazanej do</w:t>
      </w:r>
      <w:r>
        <w:rPr>
          <w:szCs w:val="24"/>
        </w:rPr>
        <w:t xml:space="preserve"> </w:t>
      </w:r>
      <w:r w:rsidRPr="00A33E33">
        <w:rPr>
          <w:szCs w:val="24"/>
        </w:rPr>
        <w:t>stosowania (40 ml) – 29</w:t>
      </w:r>
      <w:r w:rsidR="00780C79">
        <w:rPr>
          <w:szCs w:val="24"/>
        </w:rPr>
        <w:t xml:space="preserve"> </w:t>
      </w:r>
      <w:r w:rsidRPr="00A33E33">
        <w:rPr>
          <w:szCs w:val="24"/>
        </w:rPr>
        <w:t>g cukrów. Można zatem przyjąć, że to cukier jest nośnikiem substancji</w:t>
      </w:r>
      <w:r>
        <w:rPr>
          <w:szCs w:val="24"/>
        </w:rPr>
        <w:t xml:space="preserve"> </w:t>
      </w:r>
      <w:r w:rsidRPr="00A33E33">
        <w:rPr>
          <w:szCs w:val="24"/>
        </w:rPr>
        <w:t>aktywnych (witamin, składników mineralnych). Przy rekomendacjach Światowej Organizacji</w:t>
      </w:r>
      <w:r>
        <w:rPr>
          <w:szCs w:val="24"/>
        </w:rPr>
        <w:t xml:space="preserve"> </w:t>
      </w:r>
      <w:r w:rsidRPr="00A33E33">
        <w:rPr>
          <w:szCs w:val="24"/>
        </w:rPr>
        <w:t>Zdrowia (WHO) dotyczących ograniczenia spożycia cukrów do 10% energii całodziennej diety i</w:t>
      </w:r>
      <w:r>
        <w:rPr>
          <w:szCs w:val="24"/>
        </w:rPr>
        <w:t xml:space="preserve"> </w:t>
      </w:r>
      <w:r w:rsidRPr="00A33E33">
        <w:rPr>
          <w:szCs w:val="24"/>
        </w:rPr>
        <w:t>dążeniu do osiągnięcia 5% energii całodziennej diety oraz wychodząc z założenia, że wartość</w:t>
      </w:r>
      <w:r>
        <w:rPr>
          <w:szCs w:val="24"/>
        </w:rPr>
        <w:t xml:space="preserve"> </w:t>
      </w:r>
      <w:r w:rsidRPr="00A33E33">
        <w:rPr>
          <w:szCs w:val="24"/>
        </w:rPr>
        <w:t xml:space="preserve">energetyczna typowej diety osoby dorosłej to 2000 kcal – ilość spożytych </w:t>
      </w:r>
      <w:r w:rsidRPr="00A33E33">
        <w:rPr>
          <w:szCs w:val="24"/>
        </w:rPr>
        <w:lastRenderedPageBreak/>
        <w:t>cukrów nie powinna</w:t>
      </w:r>
      <w:r>
        <w:rPr>
          <w:szCs w:val="24"/>
        </w:rPr>
        <w:t xml:space="preserve"> </w:t>
      </w:r>
      <w:r w:rsidRPr="00A33E33">
        <w:rPr>
          <w:szCs w:val="24"/>
        </w:rPr>
        <w:t>przekraczać 50</w:t>
      </w:r>
      <w:r w:rsidR="00780C79">
        <w:rPr>
          <w:szCs w:val="24"/>
        </w:rPr>
        <w:t xml:space="preserve"> </w:t>
      </w:r>
      <w:r w:rsidRPr="00A33E33">
        <w:rPr>
          <w:szCs w:val="24"/>
        </w:rPr>
        <w:t>g/dobę (dążąc do 25</w:t>
      </w:r>
      <w:r w:rsidR="00780C79">
        <w:rPr>
          <w:szCs w:val="24"/>
        </w:rPr>
        <w:t xml:space="preserve"> </w:t>
      </w:r>
      <w:r w:rsidRPr="00A33E33">
        <w:rPr>
          <w:szCs w:val="24"/>
        </w:rPr>
        <w:t>g/dobę). Natomiast cukry zawarte w zalecanej przez</w:t>
      </w:r>
      <w:r>
        <w:rPr>
          <w:szCs w:val="24"/>
        </w:rPr>
        <w:t xml:space="preserve"> </w:t>
      </w:r>
      <w:r w:rsidRPr="00A33E33">
        <w:rPr>
          <w:szCs w:val="24"/>
        </w:rPr>
        <w:t>producenta porcji syropu owocowego – suplementu diety stanowią 58% ww. rekomendacji WHO.</w:t>
      </w:r>
      <w:r>
        <w:rPr>
          <w:szCs w:val="24"/>
        </w:rPr>
        <w:t xml:space="preserve"> </w:t>
      </w:r>
      <w:r w:rsidRPr="00A33E33">
        <w:rPr>
          <w:szCs w:val="24"/>
        </w:rPr>
        <w:t xml:space="preserve">Należy przy tym zaznaczyć, że nie jest to jedyne źródło cukrów w diecie człowieka. </w:t>
      </w:r>
    </w:p>
    <w:p w14:paraId="13D7B091" w14:textId="0CA551D5" w:rsidR="00A33E33" w:rsidRDefault="00A33E33" w:rsidP="00091FE5">
      <w:pPr>
        <w:spacing w:before="120" w:after="120"/>
        <w:contextualSpacing/>
        <w:jc w:val="both"/>
        <w:rPr>
          <w:szCs w:val="24"/>
        </w:rPr>
      </w:pPr>
      <w:r w:rsidRPr="00A33E33">
        <w:rPr>
          <w:szCs w:val="24"/>
        </w:rPr>
        <w:t xml:space="preserve">W myśl powyższego, </w:t>
      </w:r>
      <w:r w:rsidR="005B6A61">
        <w:rPr>
          <w:szCs w:val="24"/>
        </w:rPr>
        <w:t>dążąc do realizacji celu</w:t>
      </w:r>
      <w:r w:rsidR="00F7192D">
        <w:rPr>
          <w:szCs w:val="24"/>
        </w:rPr>
        <w:t>,</w:t>
      </w:r>
      <w:r w:rsidR="005B6A61">
        <w:rPr>
          <w:szCs w:val="24"/>
        </w:rPr>
        <w:t xml:space="preserve"> jaki przyświecał wprowadzeniu opłaty od środków spożywczych</w:t>
      </w:r>
      <w:r w:rsidR="00F7192D">
        <w:rPr>
          <w:szCs w:val="24"/>
        </w:rPr>
        <w:t>,</w:t>
      </w:r>
      <w:r w:rsidR="005B6A61">
        <w:rPr>
          <w:szCs w:val="24"/>
        </w:rPr>
        <w:t xml:space="preserve"> zasadnym jest ograniczenie wyłączenia spod opłaty suplementów diety w postaci napoju (syrop/koncentrat)</w:t>
      </w:r>
      <w:r w:rsidR="00D45A9C">
        <w:rPr>
          <w:szCs w:val="24"/>
        </w:rPr>
        <w:t xml:space="preserve"> i zwolnienie z opłaty tych suplementów diety, </w:t>
      </w:r>
      <w:r w:rsidR="005B6A61">
        <w:rPr>
          <w:szCs w:val="24"/>
        </w:rPr>
        <w:t xml:space="preserve">które </w:t>
      </w:r>
      <w:r w:rsidR="005E1D27">
        <w:rPr>
          <w:szCs w:val="24"/>
        </w:rPr>
        <w:t xml:space="preserve">są </w:t>
      </w:r>
      <w:r w:rsidR="005B6A61">
        <w:rPr>
          <w:szCs w:val="24"/>
        </w:rPr>
        <w:t xml:space="preserve">oferowane do sprzedaży w opakowaniach </w:t>
      </w:r>
      <w:r w:rsidR="0018334B">
        <w:rPr>
          <w:szCs w:val="24"/>
        </w:rPr>
        <w:t xml:space="preserve">o </w:t>
      </w:r>
      <w:r w:rsidR="00F65B18">
        <w:rPr>
          <w:szCs w:val="24"/>
        </w:rPr>
        <w:t xml:space="preserve">ilości nominalnej napoju </w:t>
      </w:r>
      <w:r w:rsidR="005B6A61">
        <w:rPr>
          <w:szCs w:val="24"/>
        </w:rPr>
        <w:t>nieprzekraczając</w:t>
      </w:r>
      <w:r w:rsidR="0018334B">
        <w:rPr>
          <w:szCs w:val="24"/>
        </w:rPr>
        <w:t>ej</w:t>
      </w:r>
      <w:r w:rsidR="005B6A61">
        <w:rPr>
          <w:szCs w:val="24"/>
        </w:rPr>
        <w:t xml:space="preserve"> 200 ml. Takie suplementy diety co do zasady </w:t>
      </w:r>
      <w:r w:rsidR="005E1D27">
        <w:rPr>
          <w:szCs w:val="24"/>
        </w:rPr>
        <w:t xml:space="preserve">są </w:t>
      </w:r>
      <w:r w:rsidR="005B6A61">
        <w:rPr>
          <w:szCs w:val="24"/>
        </w:rPr>
        <w:t>sprzedawane w aptece i wspomagają leczenie farmakologiczne</w:t>
      </w:r>
      <w:r w:rsidR="005031C1">
        <w:rPr>
          <w:szCs w:val="24"/>
        </w:rPr>
        <w:t xml:space="preserve">, np. </w:t>
      </w:r>
      <w:r w:rsidR="00A66C60">
        <w:rPr>
          <w:szCs w:val="24"/>
        </w:rPr>
        <w:t>s</w:t>
      </w:r>
      <w:r w:rsidR="005031C1" w:rsidRPr="005031C1">
        <w:rPr>
          <w:szCs w:val="24"/>
        </w:rPr>
        <w:t>yrop prawoślazowy (</w:t>
      </w:r>
      <w:proofErr w:type="spellStart"/>
      <w:r w:rsidR="005031C1" w:rsidRPr="005031C1">
        <w:rPr>
          <w:szCs w:val="24"/>
        </w:rPr>
        <w:t>Althaeae</w:t>
      </w:r>
      <w:proofErr w:type="spellEnd"/>
      <w:r w:rsidR="005031C1" w:rsidRPr="005031C1">
        <w:rPr>
          <w:szCs w:val="24"/>
        </w:rPr>
        <w:t xml:space="preserve"> </w:t>
      </w:r>
      <w:proofErr w:type="spellStart"/>
      <w:r w:rsidR="005031C1" w:rsidRPr="005031C1">
        <w:rPr>
          <w:szCs w:val="24"/>
        </w:rPr>
        <w:t>sirupus</w:t>
      </w:r>
      <w:proofErr w:type="spellEnd"/>
      <w:r w:rsidR="005031C1" w:rsidRPr="005031C1">
        <w:rPr>
          <w:szCs w:val="24"/>
        </w:rPr>
        <w:t>)</w:t>
      </w:r>
      <w:r w:rsidR="00A66C60">
        <w:rPr>
          <w:szCs w:val="24"/>
        </w:rPr>
        <w:t xml:space="preserve">, </w:t>
      </w:r>
      <w:r w:rsidR="007E32BA">
        <w:rPr>
          <w:szCs w:val="24"/>
        </w:rPr>
        <w:t>syrop z rutyną</w:t>
      </w:r>
      <w:r w:rsidR="002A2B3C">
        <w:rPr>
          <w:szCs w:val="24"/>
        </w:rPr>
        <w:t>, syrop</w:t>
      </w:r>
      <w:r w:rsidR="002A2B3C" w:rsidRPr="002A2B3C">
        <w:t xml:space="preserve"> </w:t>
      </w:r>
      <w:r w:rsidR="002A2B3C" w:rsidRPr="002A2B3C">
        <w:rPr>
          <w:szCs w:val="24"/>
        </w:rPr>
        <w:t>z wyciągu z porostu islandzkiego</w:t>
      </w:r>
      <w:r w:rsidR="00A66C60">
        <w:rPr>
          <w:szCs w:val="24"/>
        </w:rPr>
        <w:t xml:space="preserve">. </w:t>
      </w:r>
      <w:r w:rsidR="007724C3">
        <w:rPr>
          <w:szCs w:val="24"/>
        </w:rPr>
        <w:t>Zastosowane w tym przepisie pojęcie „</w:t>
      </w:r>
      <w:r w:rsidR="007724C3" w:rsidRPr="007724C3">
        <w:rPr>
          <w:szCs w:val="24"/>
        </w:rPr>
        <w:t xml:space="preserve">ilości nominalnej” </w:t>
      </w:r>
      <w:r w:rsidR="007724C3">
        <w:rPr>
          <w:szCs w:val="24"/>
        </w:rPr>
        <w:t xml:space="preserve">dotyczy </w:t>
      </w:r>
      <w:r w:rsidR="007724C3" w:rsidRPr="007724C3">
        <w:rPr>
          <w:szCs w:val="24"/>
        </w:rPr>
        <w:t>deklarowanej przez producenta ilości produktu znajdującej się w opakowaniu jednostkowym, a nie objętości opakowania.</w:t>
      </w:r>
    </w:p>
    <w:p w14:paraId="4F913E36" w14:textId="53A2A589" w:rsidR="0095713A" w:rsidRPr="0095713A" w:rsidRDefault="0095713A" w:rsidP="0095713A">
      <w:pPr>
        <w:spacing w:before="120" w:after="120"/>
        <w:contextualSpacing/>
        <w:jc w:val="both"/>
        <w:rPr>
          <w:szCs w:val="24"/>
        </w:rPr>
      </w:pPr>
      <w:r>
        <w:rPr>
          <w:szCs w:val="24"/>
        </w:rPr>
        <w:t xml:space="preserve">Zaproponowane w </w:t>
      </w:r>
      <w:r w:rsidRPr="0095713A">
        <w:rPr>
          <w:b/>
          <w:bCs/>
          <w:szCs w:val="24"/>
        </w:rPr>
        <w:t xml:space="preserve">pkt 5 </w:t>
      </w:r>
      <w:r w:rsidRPr="0095713A">
        <w:rPr>
          <w:szCs w:val="24"/>
        </w:rPr>
        <w:t xml:space="preserve">i </w:t>
      </w:r>
      <w:r w:rsidRPr="0095713A">
        <w:rPr>
          <w:b/>
          <w:bCs/>
          <w:szCs w:val="24"/>
        </w:rPr>
        <w:t>pkt 6</w:t>
      </w:r>
      <w:r>
        <w:rPr>
          <w:szCs w:val="24"/>
        </w:rPr>
        <w:t xml:space="preserve"> </w:t>
      </w:r>
      <w:r w:rsidRPr="0095713A">
        <w:rPr>
          <w:szCs w:val="24"/>
        </w:rPr>
        <w:t xml:space="preserve">zmiany mają umożliwić bardziej skuteczną realizację celu, jaki przyświecał wprowadzeniu opłaty od środków spożywczych, tj. stymulowania prozdrowotnych wyborów konsumenckich przez ograniczenie dostępności ekonomicznej napojów słodzonych. Nadmierne korzystanie z łatwo dostępnych i słodkich produktów żywnościowych powoduje realne koszty związane z leczeniem chorób takich jak cukrzyca, choroby układu krążenia oraz szereg innych bezpośrednio związanych z chorobą </w:t>
      </w:r>
      <w:proofErr w:type="spellStart"/>
      <w:r w:rsidRPr="0095713A">
        <w:rPr>
          <w:szCs w:val="24"/>
        </w:rPr>
        <w:t>otyłościową</w:t>
      </w:r>
      <w:proofErr w:type="spellEnd"/>
      <w:r w:rsidRPr="0095713A">
        <w:rPr>
          <w:szCs w:val="24"/>
        </w:rPr>
        <w:t xml:space="preserve">. Istotne jest zatem podejmowanie działań, dzięki którym </w:t>
      </w:r>
      <w:r w:rsidR="005E1D27">
        <w:rPr>
          <w:szCs w:val="24"/>
        </w:rPr>
        <w:t xml:space="preserve">jest </w:t>
      </w:r>
      <w:r w:rsidRPr="0095713A">
        <w:rPr>
          <w:szCs w:val="24"/>
        </w:rPr>
        <w:t>możliwe osiągnięcie celu zdrowotnego przyjętego przy wprowadzaniu opłaty.</w:t>
      </w:r>
      <w:r>
        <w:rPr>
          <w:szCs w:val="24"/>
        </w:rPr>
        <w:t xml:space="preserve"> </w:t>
      </w:r>
      <w:r w:rsidRPr="0095713A">
        <w:rPr>
          <w:szCs w:val="24"/>
        </w:rPr>
        <w:t xml:space="preserve">Propozycja ograniczenia </w:t>
      </w:r>
      <w:r w:rsidR="00C815D0">
        <w:rPr>
          <w:szCs w:val="24"/>
        </w:rPr>
        <w:t>zwolnienia z</w:t>
      </w:r>
      <w:r w:rsidRPr="0095713A">
        <w:rPr>
          <w:szCs w:val="24"/>
        </w:rPr>
        <w:t xml:space="preserve"> opłaty do napojów zawierających min 20% soku i do 5g cukru pod warunkiem niedodania do n</w:t>
      </w:r>
      <w:r>
        <w:rPr>
          <w:szCs w:val="24"/>
        </w:rPr>
        <w:t>ich</w:t>
      </w:r>
      <w:r w:rsidRPr="0095713A">
        <w:rPr>
          <w:szCs w:val="24"/>
        </w:rPr>
        <w:t xml:space="preserve"> substancji słodzących ani kofeiny czy tauryny uwzględnia dodatkowe ryzyko, jakie jest związane ze spożywaniem napojów energetycznych, które zawierają te substancje, ponieważ spożywanie tych substancji wywołuje negatywne skutki dla zdrowia człowieka.</w:t>
      </w:r>
    </w:p>
    <w:p w14:paraId="120C6F98" w14:textId="77777777" w:rsidR="0095713A" w:rsidRPr="0095713A" w:rsidRDefault="0095713A" w:rsidP="0095713A">
      <w:pPr>
        <w:spacing w:before="120" w:after="120"/>
        <w:contextualSpacing/>
        <w:jc w:val="both"/>
        <w:rPr>
          <w:szCs w:val="24"/>
        </w:rPr>
      </w:pPr>
      <w:r w:rsidRPr="0095713A">
        <w:rPr>
          <w:szCs w:val="24"/>
        </w:rPr>
        <w:t xml:space="preserve">Jak podaje Narodowe Centrum Edukacji Żywieniowej: „Kofeina nie jest składnikiem odżywczym, ale substancją psychoaktywną, stosowaną w żywności najczęściej ze względu na takie właśnie działanie fizjologiczne. Spożywanie jej w niewielkich ilościach korzystnie stymuluje aktywność centralnego układu nerwowego, natomiast w przypadku większych dawek mogą pojawiać się objawy rozdrażnienia, niepokoju, napady lęku, bezsenność lub zaburzenia koordynacji ruchowej (…).”. </w:t>
      </w:r>
    </w:p>
    <w:p w14:paraId="0221C2C2" w14:textId="77777777" w:rsidR="0095713A" w:rsidRPr="0095713A" w:rsidRDefault="0095713A" w:rsidP="0095713A">
      <w:pPr>
        <w:spacing w:before="120" w:after="120"/>
        <w:contextualSpacing/>
        <w:jc w:val="both"/>
        <w:rPr>
          <w:szCs w:val="24"/>
        </w:rPr>
      </w:pPr>
      <w:r w:rsidRPr="0095713A">
        <w:rPr>
          <w:szCs w:val="24"/>
        </w:rPr>
        <w:t>Ponadto, jak wskazuje dr Cichocki (Przegląd Lekarski nr 2012/69/ 10), u osób regularnie spożywających napoje bogate w kofeinę odnotowuje się takie niepokojące symptomy jak:</w:t>
      </w:r>
    </w:p>
    <w:p w14:paraId="64394A37" w14:textId="5DD3B977" w:rsidR="0095713A" w:rsidRPr="0095713A" w:rsidRDefault="0095713A" w:rsidP="0095713A">
      <w:pPr>
        <w:pStyle w:val="Akapitzlist"/>
        <w:numPr>
          <w:ilvl w:val="0"/>
          <w:numId w:val="13"/>
        </w:numPr>
        <w:spacing w:before="120" w:after="120"/>
        <w:jc w:val="both"/>
        <w:rPr>
          <w:szCs w:val="24"/>
        </w:rPr>
      </w:pPr>
      <w:r w:rsidRPr="0095713A">
        <w:rPr>
          <w:szCs w:val="24"/>
        </w:rPr>
        <w:lastRenderedPageBreak/>
        <w:t>kołatanie serca,</w:t>
      </w:r>
    </w:p>
    <w:p w14:paraId="04E1139A" w14:textId="080B7CA1" w:rsidR="0095713A" w:rsidRPr="0095713A" w:rsidRDefault="0095713A" w:rsidP="0095713A">
      <w:pPr>
        <w:pStyle w:val="Akapitzlist"/>
        <w:numPr>
          <w:ilvl w:val="0"/>
          <w:numId w:val="13"/>
        </w:numPr>
        <w:spacing w:before="120" w:after="120"/>
        <w:jc w:val="both"/>
        <w:rPr>
          <w:szCs w:val="24"/>
        </w:rPr>
      </w:pPr>
      <w:r w:rsidRPr="0095713A">
        <w:rPr>
          <w:szCs w:val="24"/>
        </w:rPr>
        <w:t>wzrost ciśnienia krwi,</w:t>
      </w:r>
    </w:p>
    <w:p w14:paraId="49B9A97A" w14:textId="597FE613" w:rsidR="0095713A" w:rsidRPr="0095713A" w:rsidRDefault="0095713A" w:rsidP="0095713A">
      <w:pPr>
        <w:pStyle w:val="Akapitzlist"/>
        <w:numPr>
          <w:ilvl w:val="0"/>
          <w:numId w:val="13"/>
        </w:numPr>
        <w:spacing w:before="120" w:after="120"/>
        <w:jc w:val="both"/>
        <w:rPr>
          <w:szCs w:val="24"/>
        </w:rPr>
      </w:pPr>
      <w:r w:rsidRPr="0095713A">
        <w:rPr>
          <w:szCs w:val="24"/>
        </w:rPr>
        <w:t>uczucie niepokoju,</w:t>
      </w:r>
    </w:p>
    <w:p w14:paraId="72A77F70" w14:textId="741275AE" w:rsidR="0095713A" w:rsidRPr="0095713A" w:rsidRDefault="0095713A" w:rsidP="0095713A">
      <w:pPr>
        <w:pStyle w:val="Akapitzlist"/>
        <w:numPr>
          <w:ilvl w:val="0"/>
          <w:numId w:val="13"/>
        </w:numPr>
        <w:spacing w:before="120" w:after="120"/>
        <w:jc w:val="both"/>
        <w:rPr>
          <w:szCs w:val="24"/>
        </w:rPr>
      </w:pPr>
      <w:r w:rsidRPr="0095713A">
        <w:rPr>
          <w:szCs w:val="24"/>
        </w:rPr>
        <w:t>ból w klatce piersiowej,</w:t>
      </w:r>
    </w:p>
    <w:p w14:paraId="1ED0EEE4" w14:textId="78354AF4" w:rsidR="0095713A" w:rsidRPr="0095713A" w:rsidRDefault="0095713A" w:rsidP="0095713A">
      <w:pPr>
        <w:pStyle w:val="Akapitzlist"/>
        <w:numPr>
          <w:ilvl w:val="0"/>
          <w:numId w:val="13"/>
        </w:numPr>
        <w:spacing w:before="120" w:after="120"/>
        <w:jc w:val="both"/>
        <w:rPr>
          <w:szCs w:val="24"/>
        </w:rPr>
      </w:pPr>
      <w:r w:rsidRPr="0095713A">
        <w:rPr>
          <w:szCs w:val="24"/>
        </w:rPr>
        <w:t>płytki i przyspieszony oddech,</w:t>
      </w:r>
    </w:p>
    <w:p w14:paraId="50695667" w14:textId="67EC5C1B" w:rsidR="0095713A" w:rsidRPr="0095713A" w:rsidRDefault="0095713A" w:rsidP="0095713A">
      <w:pPr>
        <w:pStyle w:val="Akapitzlist"/>
        <w:numPr>
          <w:ilvl w:val="0"/>
          <w:numId w:val="13"/>
        </w:numPr>
        <w:spacing w:before="120" w:after="120"/>
        <w:jc w:val="both"/>
        <w:rPr>
          <w:szCs w:val="24"/>
        </w:rPr>
      </w:pPr>
      <w:r w:rsidRPr="0095713A">
        <w:rPr>
          <w:szCs w:val="24"/>
        </w:rPr>
        <w:t>zawroty i ból głowy,</w:t>
      </w:r>
    </w:p>
    <w:p w14:paraId="74248262" w14:textId="6B8A7D93" w:rsidR="0095713A" w:rsidRPr="0095713A" w:rsidRDefault="0095713A" w:rsidP="0095713A">
      <w:pPr>
        <w:pStyle w:val="Akapitzlist"/>
        <w:numPr>
          <w:ilvl w:val="0"/>
          <w:numId w:val="13"/>
        </w:numPr>
        <w:spacing w:before="120" w:after="120"/>
        <w:jc w:val="both"/>
        <w:rPr>
          <w:szCs w:val="24"/>
        </w:rPr>
      </w:pPr>
      <w:r w:rsidRPr="0095713A">
        <w:rPr>
          <w:szCs w:val="24"/>
        </w:rPr>
        <w:t>incydenty żołądkowo-jelitowe.</w:t>
      </w:r>
    </w:p>
    <w:p w14:paraId="32BB96E1" w14:textId="1B2588C5" w:rsidR="0095713A" w:rsidRPr="0095713A" w:rsidRDefault="0095713A" w:rsidP="0095713A">
      <w:pPr>
        <w:spacing w:before="120" w:after="120"/>
        <w:contextualSpacing/>
        <w:jc w:val="both"/>
        <w:rPr>
          <w:szCs w:val="24"/>
        </w:rPr>
      </w:pPr>
      <w:r w:rsidRPr="0095713A">
        <w:rPr>
          <w:szCs w:val="24"/>
        </w:rPr>
        <w:t xml:space="preserve">Podobnie jest w przypadku substancji słodzących. Przeprowadzone w Brazylii badanie (trwające 8 lat) wykazało, że spadek sprawności umysłowej u osób w grupie spożywającej najwięcej </w:t>
      </w:r>
      <w:r w:rsidR="00EF1AEF">
        <w:rPr>
          <w:szCs w:val="24"/>
        </w:rPr>
        <w:t xml:space="preserve">substancji słodzących </w:t>
      </w:r>
      <w:r w:rsidRPr="0095713A">
        <w:rPr>
          <w:szCs w:val="24"/>
        </w:rPr>
        <w:t xml:space="preserve">był aż od 62% szybszy. Byli oni o ok 1,6 roku starsi niż uczestnicy badania o najmniejszej podaży </w:t>
      </w:r>
      <w:r w:rsidR="00EF1AEF">
        <w:rPr>
          <w:szCs w:val="24"/>
        </w:rPr>
        <w:t>substancji słodzących</w:t>
      </w:r>
      <w:r w:rsidRPr="0095713A">
        <w:rPr>
          <w:szCs w:val="24"/>
        </w:rPr>
        <w:t>. Ci spożywający średnią ilość starzeli się o 35% szybciej. Grupa badanych o najmniejszym spożyciu przyjmowała średnio 20 mg/dzień, a ta o najwyższym 191 mg/dzień. To mniej więcej tyle, ile w dwóch puszkach dietetycznej coli.</w:t>
      </w:r>
    </w:p>
    <w:p w14:paraId="1D42047D" w14:textId="7BC2C601" w:rsidR="0095713A" w:rsidRPr="0095713A" w:rsidRDefault="0095713A" w:rsidP="0095713A">
      <w:pPr>
        <w:spacing w:before="120" w:after="120"/>
        <w:contextualSpacing/>
        <w:jc w:val="both"/>
        <w:rPr>
          <w:szCs w:val="24"/>
        </w:rPr>
      </w:pPr>
      <w:r w:rsidRPr="0095713A">
        <w:rPr>
          <w:szCs w:val="24"/>
        </w:rPr>
        <w:t>Ponadto, mózg zapamiętuje smak słodki na takim poziomie, jaki mu sami wyznaczymy przez ilość spożywanej słodkiej żywności (słodycze, słodkie napoje itp.). Warto zatem ograniczać ilość słodkich napojów (bez względu na dodatek cukru czy substancji słodzącej) i słodyczy w diecie, aby stopniowo obniżać próg wrażliwości na słodki smak.</w:t>
      </w:r>
      <w:r>
        <w:rPr>
          <w:szCs w:val="24"/>
        </w:rPr>
        <w:t xml:space="preserve"> </w:t>
      </w:r>
      <w:r w:rsidRPr="0095713A">
        <w:rPr>
          <w:szCs w:val="24"/>
        </w:rPr>
        <w:t>Skoro opodatkowanie służy celom zdrowotnym, zasadnym jest zatem dodatkowe obciążenie tych napojów, które wywołują zwiększone ryzyko dla zdrowia.</w:t>
      </w:r>
    </w:p>
    <w:p w14:paraId="3381A5CD" w14:textId="4AAE9393" w:rsidR="00091FE5" w:rsidRPr="00091FE5" w:rsidRDefault="00091FE5" w:rsidP="0095713A">
      <w:pPr>
        <w:spacing w:before="120" w:after="120"/>
        <w:contextualSpacing/>
        <w:jc w:val="both"/>
        <w:rPr>
          <w:szCs w:val="24"/>
        </w:rPr>
      </w:pPr>
      <w:r w:rsidRPr="00091FE5">
        <w:rPr>
          <w:szCs w:val="24"/>
        </w:rPr>
        <w:t xml:space="preserve">W obowiązującym </w:t>
      </w:r>
      <w:r w:rsidRPr="00091FE5">
        <w:rPr>
          <w:b/>
          <w:bCs/>
          <w:szCs w:val="24"/>
        </w:rPr>
        <w:t>pkt 5</w:t>
      </w:r>
      <w:r w:rsidRPr="00091FE5">
        <w:rPr>
          <w:szCs w:val="24"/>
        </w:rPr>
        <w:t xml:space="preserve"> ujęto napoje, w których udział masowy soku owocowego, warzywnego lub owocowo-warzywnego wynosi nie mniej niż 20% składu surowcowego oraz zawartość cukrów jest równa</w:t>
      </w:r>
      <w:r w:rsidR="001A7AD6">
        <w:rPr>
          <w:szCs w:val="24"/>
        </w:rPr>
        <w:t xml:space="preserve"> lub </w:t>
      </w:r>
      <w:r w:rsidR="001A7AD6" w:rsidRPr="00091FE5">
        <w:rPr>
          <w:szCs w:val="24"/>
        </w:rPr>
        <w:t>mniejsza</w:t>
      </w:r>
      <w:r w:rsidR="001A7AD6">
        <w:rPr>
          <w:szCs w:val="24"/>
        </w:rPr>
        <w:t xml:space="preserve"> niż</w:t>
      </w:r>
      <w:r w:rsidRPr="00091FE5">
        <w:rPr>
          <w:szCs w:val="24"/>
        </w:rPr>
        <w:t xml:space="preserve"> 5 g w przeliczeniu na 100 ml napoju. </w:t>
      </w:r>
      <w:r w:rsidR="0095713A" w:rsidRPr="0095713A">
        <w:rPr>
          <w:szCs w:val="24"/>
        </w:rPr>
        <w:t>Zgodnie z projektowanymi regulacjami zwolnienie z opłaty</w:t>
      </w:r>
      <w:r w:rsidR="0095713A">
        <w:rPr>
          <w:szCs w:val="24"/>
        </w:rPr>
        <w:t xml:space="preserve"> </w:t>
      </w:r>
      <w:r w:rsidR="0095713A" w:rsidRPr="0095713A">
        <w:rPr>
          <w:szCs w:val="24"/>
        </w:rPr>
        <w:t>będzie możliwe wyłącznie dla napojów niezawierających substancji słodzących,</w:t>
      </w:r>
      <w:r w:rsidR="0095713A">
        <w:rPr>
          <w:szCs w:val="24"/>
        </w:rPr>
        <w:t xml:space="preserve"> </w:t>
      </w:r>
      <w:r w:rsidR="0095713A" w:rsidRPr="0095713A">
        <w:rPr>
          <w:szCs w:val="24"/>
        </w:rPr>
        <w:t>kofeiny ani tauryny. Zatem, jeżeli do napoju zawierającego minimum 20% soku i do</w:t>
      </w:r>
      <w:r w:rsidR="0095713A">
        <w:rPr>
          <w:szCs w:val="24"/>
        </w:rPr>
        <w:t xml:space="preserve"> </w:t>
      </w:r>
      <w:r w:rsidR="0095713A" w:rsidRPr="0095713A">
        <w:rPr>
          <w:szCs w:val="24"/>
        </w:rPr>
        <w:t>5 g cukru zostanie dodan</w:t>
      </w:r>
      <w:r w:rsidR="00EF1AEF">
        <w:rPr>
          <w:szCs w:val="24"/>
        </w:rPr>
        <w:t>a substancja słodząca</w:t>
      </w:r>
      <w:r w:rsidR="0095713A" w:rsidRPr="0095713A">
        <w:rPr>
          <w:szCs w:val="24"/>
        </w:rPr>
        <w:t>, kofeina lub tauryna, napój taki będzie podlegał</w:t>
      </w:r>
      <w:r w:rsidR="0095713A">
        <w:rPr>
          <w:szCs w:val="24"/>
        </w:rPr>
        <w:t xml:space="preserve"> </w:t>
      </w:r>
      <w:r w:rsidR="0095713A" w:rsidRPr="0095713A">
        <w:rPr>
          <w:szCs w:val="24"/>
        </w:rPr>
        <w:t>opłacie na zasadach ogólnych tj. 0,</w:t>
      </w:r>
      <w:r w:rsidR="00381A08">
        <w:rPr>
          <w:szCs w:val="24"/>
        </w:rPr>
        <w:t>7</w:t>
      </w:r>
      <w:r w:rsidR="0095713A" w:rsidRPr="0095713A">
        <w:rPr>
          <w:szCs w:val="24"/>
        </w:rPr>
        <w:t>0 zł opłaty stałej, 0,</w:t>
      </w:r>
      <w:r w:rsidR="00381A08">
        <w:rPr>
          <w:szCs w:val="24"/>
        </w:rPr>
        <w:t>7</w:t>
      </w:r>
      <w:r w:rsidR="0095713A" w:rsidRPr="0095713A">
        <w:rPr>
          <w:szCs w:val="24"/>
        </w:rPr>
        <w:t xml:space="preserve">0 zł za obecność </w:t>
      </w:r>
      <w:r w:rsidR="00EF1AEF">
        <w:rPr>
          <w:szCs w:val="24"/>
        </w:rPr>
        <w:t xml:space="preserve">substancji słodzącej </w:t>
      </w:r>
      <w:r w:rsidR="0095713A" w:rsidRPr="0095713A">
        <w:rPr>
          <w:szCs w:val="24"/>
        </w:rPr>
        <w:t>i</w:t>
      </w:r>
      <w:r w:rsidR="00381A08">
        <w:rPr>
          <w:szCs w:val="24"/>
        </w:rPr>
        <w:t xml:space="preserve"> </w:t>
      </w:r>
      <w:r w:rsidR="0095713A" w:rsidRPr="0095713A">
        <w:rPr>
          <w:szCs w:val="24"/>
        </w:rPr>
        <w:t>1</w:t>
      </w:r>
      <w:r w:rsidR="00381A08">
        <w:rPr>
          <w:szCs w:val="24"/>
        </w:rPr>
        <w:t>,</w:t>
      </w:r>
      <w:r w:rsidR="0095713A" w:rsidRPr="0095713A">
        <w:rPr>
          <w:szCs w:val="24"/>
        </w:rPr>
        <w:t>0</w:t>
      </w:r>
      <w:r w:rsidR="00381A08">
        <w:rPr>
          <w:szCs w:val="24"/>
        </w:rPr>
        <w:t>0</w:t>
      </w:r>
      <w:r w:rsidR="0095713A" w:rsidRPr="0095713A">
        <w:rPr>
          <w:szCs w:val="24"/>
        </w:rPr>
        <w:t xml:space="preserve"> zł za ewentualny dodatek kofeiny lub tauryny</w:t>
      </w:r>
      <w:r w:rsidR="0095713A">
        <w:rPr>
          <w:szCs w:val="24"/>
        </w:rPr>
        <w:t xml:space="preserve"> </w:t>
      </w:r>
    </w:p>
    <w:p w14:paraId="7B61E9F1" w14:textId="5BE67ED6" w:rsidR="00FE2236" w:rsidRDefault="0095713A" w:rsidP="00B43C25">
      <w:pPr>
        <w:spacing w:before="120" w:after="120"/>
        <w:jc w:val="both"/>
        <w:rPr>
          <w:szCs w:val="24"/>
        </w:rPr>
      </w:pPr>
      <w:r>
        <w:rPr>
          <w:szCs w:val="24"/>
        </w:rPr>
        <w:t>Podobną zmianę zaproponowano w</w:t>
      </w:r>
      <w:r w:rsidR="00091FE5" w:rsidRPr="00091FE5">
        <w:rPr>
          <w:szCs w:val="24"/>
        </w:rPr>
        <w:t xml:space="preserve"> </w:t>
      </w:r>
      <w:r w:rsidR="00091FE5" w:rsidRPr="00091FE5">
        <w:rPr>
          <w:b/>
          <w:bCs/>
          <w:szCs w:val="24"/>
        </w:rPr>
        <w:t>pkt 6</w:t>
      </w:r>
      <w:r>
        <w:rPr>
          <w:szCs w:val="24"/>
        </w:rPr>
        <w:t>. Zgodnie z t</w:t>
      </w:r>
      <w:r w:rsidR="000033AA">
        <w:rPr>
          <w:szCs w:val="24"/>
        </w:rPr>
        <w:t>ą</w:t>
      </w:r>
      <w:r>
        <w:rPr>
          <w:szCs w:val="24"/>
        </w:rPr>
        <w:t xml:space="preserve"> propozycją</w:t>
      </w:r>
      <w:r w:rsidR="000033AA">
        <w:rPr>
          <w:szCs w:val="24"/>
        </w:rPr>
        <w:t xml:space="preserve"> </w:t>
      </w:r>
      <w:r w:rsidR="00B43C25">
        <w:rPr>
          <w:szCs w:val="24"/>
        </w:rPr>
        <w:t>wprowadzenie</w:t>
      </w:r>
      <w:r w:rsidR="00091FE5" w:rsidRPr="00091FE5">
        <w:rPr>
          <w:szCs w:val="24"/>
        </w:rPr>
        <w:t xml:space="preserve"> </w:t>
      </w:r>
      <w:r w:rsidR="00B43C25">
        <w:rPr>
          <w:szCs w:val="24"/>
        </w:rPr>
        <w:t>na rynek krajowy</w:t>
      </w:r>
      <w:r w:rsidR="00091FE5" w:rsidRPr="00091FE5">
        <w:rPr>
          <w:szCs w:val="24"/>
        </w:rPr>
        <w:t xml:space="preserve"> </w:t>
      </w:r>
      <w:r w:rsidR="00B43C25" w:rsidRPr="00B43C25">
        <w:rPr>
          <w:szCs w:val="24"/>
        </w:rPr>
        <w:t xml:space="preserve">napojów </w:t>
      </w:r>
      <w:r w:rsidR="00091FE5" w:rsidRPr="00091FE5">
        <w:rPr>
          <w:szCs w:val="24"/>
        </w:rPr>
        <w:t xml:space="preserve">będących roztworami </w:t>
      </w:r>
      <w:proofErr w:type="spellStart"/>
      <w:r w:rsidR="00091FE5" w:rsidRPr="00091FE5">
        <w:rPr>
          <w:szCs w:val="24"/>
        </w:rPr>
        <w:t>węglowodanowo-elektrolitowymi</w:t>
      </w:r>
      <w:proofErr w:type="spellEnd"/>
      <w:r w:rsidR="00091FE5" w:rsidRPr="00091FE5">
        <w:rPr>
          <w:szCs w:val="24"/>
        </w:rPr>
        <w:t xml:space="preserve">, w których zawartość cukrów jest równa </w:t>
      </w:r>
      <w:r w:rsidR="001A7AD6">
        <w:rPr>
          <w:szCs w:val="24"/>
        </w:rPr>
        <w:t xml:space="preserve">lub </w:t>
      </w:r>
      <w:r w:rsidR="001A7AD6" w:rsidRPr="00091FE5">
        <w:rPr>
          <w:szCs w:val="24"/>
        </w:rPr>
        <w:t xml:space="preserve">mniejsza </w:t>
      </w:r>
      <w:r w:rsidR="001A7AD6">
        <w:rPr>
          <w:szCs w:val="24"/>
        </w:rPr>
        <w:t xml:space="preserve">niż </w:t>
      </w:r>
      <w:r w:rsidR="00091FE5" w:rsidRPr="00091FE5">
        <w:rPr>
          <w:szCs w:val="24"/>
        </w:rPr>
        <w:t xml:space="preserve">5g w przeliczeniu na 100 ml napoju, </w:t>
      </w:r>
      <w:r w:rsidR="00C815D0">
        <w:rPr>
          <w:szCs w:val="24"/>
        </w:rPr>
        <w:t xml:space="preserve">korzysta ze zwolnienia z </w:t>
      </w:r>
      <w:r w:rsidR="00091FE5" w:rsidRPr="00091FE5">
        <w:rPr>
          <w:szCs w:val="24"/>
        </w:rPr>
        <w:t>opła</w:t>
      </w:r>
      <w:r w:rsidR="00C815D0">
        <w:rPr>
          <w:szCs w:val="24"/>
        </w:rPr>
        <w:t>ty</w:t>
      </w:r>
      <w:r w:rsidR="00091FE5" w:rsidRPr="00091FE5">
        <w:rPr>
          <w:szCs w:val="24"/>
        </w:rPr>
        <w:t xml:space="preserve">, jeżeli jednocześnie napoje te nie zawierają </w:t>
      </w:r>
      <w:r w:rsidR="00DD4EB8">
        <w:rPr>
          <w:szCs w:val="24"/>
        </w:rPr>
        <w:t>substancji słodzących</w:t>
      </w:r>
      <w:r w:rsidR="001A7AD6">
        <w:rPr>
          <w:szCs w:val="24"/>
        </w:rPr>
        <w:t xml:space="preserve">, </w:t>
      </w:r>
      <w:r w:rsidR="001A7AD6" w:rsidRPr="00091FE5">
        <w:rPr>
          <w:szCs w:val="24"/>
        </w:rPr>
        <w:t>kofeiny ani tauryny</w:t>
      </w:r>
      <w:r w:rsidR="00091FE5" w:rsidRPr="00091FE5">
        <w:rPr>
          <w:szCs w:val="24"/>
        </w:rPr>
        <w:t xml:space="preserve">. </w:t>
      </w:r>
    </w:p>
    <w:p w14:paraId="19793D17" w14:textId="2A2A18DF" w:rsidR="002443F7" w:rsidRDefault="006E5230" w:rsidP="00B43C25">
      <w:pPr>
        <w:spacing w:before="120" w:after="120"/>
        <w:jc w:val="both"/>
        <w:rPr>
          <w:szCs w:val="24"/>
        </w:rPr>
      </w:pPr>
      <w:r w:rsidRPr="006E5230">
        <w:rPr>
          <w:szCs w:val="24"/>
        </w:rPr>
        <w:lastRenderedPageBreak/>
        <w:t xml:space="preserve">Zmiana w </w:t>
      </w:r>
      <w:r w:rsidRPr="002B3553">
        <w:rPr>
          <w:b/>
          <w:bCs/>
          <w:szCs w:val="24"/>
        </w:rPr>
        <w:t>art. 12d</w:t>
      </w:r>
      <w:r w:rsidRPr="006E5230">
        <w:rPr>
          <w:szCs w:val="24"/>
        </w:rPr>
        <w:t xml:space="preserve"> ma charakter redakcyjny i dostosowujący. Polega ona </w:t>
      </w:r>
      <w:r>
        <w:rPr>
          <w:szCs w:val="24"/>
        </w:rPr>
        <w:t xml:space="preserve">w szczególności </w:t>
      </w:r>
      <w:r w:rsidRPr="006E5230">
        <w:rPr>
          <w:szCs w:val="24"/>
        </w:rPr>
        <w:t xml:space="preserve">na </w:t>
      </w:r>
      <w:r>
        <w:rPr>
          <w:szCs w:val="24"/>
        </w:rPr>
        <w:t>usunięciu</w:t>
      </w:r>
      <w:r w:rsidRPr="006E5230">
        <w:rPr>
          <w:szCs w:val="24"/>
        </w:rPr>
        <w:t xml:space="preserve"> odesłania do art. 12a ust. 1 pkt 1 </w:t>
      </w:r>
      <w:r>
        <w:rPr>
          <w:szCs w:val="24"/>
        </w:rPr>
        <w:t>w związku z</w:t>
      </w:r>
      <w:r w:rsidRPr="006E5230">
        <w:rPr>
          <w:szCs w:val="24"/>
        </w:rPr>
        <w:t xml:space="preserve"> wprowadzeni</w:t>
      </w:r>
      <w:r>
        <w:rPr>
          <w:szCs w:val="24"/>
        </w:rPr>
        <w:t>em</w:t>
      </w:r>
      <w:r w:rsidRPr="006E5230">
        <w:rPr>
          <w:szCs w:val="24"/>
        </w:rPr>
        <w:t xml:space="preserve"> w art. 12a ust. 4 pkt 1 definicji skrótowej pojęcia</w:t>
      </w:r>
      <w:r>
        <w:rPr>
          <w:szCs w:val="24"/>
        </w:rPr>
        <w:t xml:space="preserve"> „substancje słodzące”</w:t>
      </w:r>
      <w:r w:rsidRPr="006E5230">
        <w:rPr>
          <w:szCs w:val="24"/>
        </w:rPr>
        <w:t>.</w:t>
      </w:r>
      <w:r w:rsidR="00E0152F">
        <w:rPr>
          <w:szCs w:val="24"/>
        </w:rPr>
        <w:t xml:space="preserve"> </w:t>
      </w:r>
    </w:p>
    <w:p w14:paraId="2C08F6C8" w14:textId="6D72FCBA" w:rsidR="00B95D8E" w:rsidRPr="002B3553" w:rsidRDefault="00EC0574" w:rsidP="00B43C25">
      <w:pPr>
        <w:spacing w:before="120" w:after="120"/>
        <w:jc w:val="both"/>
        <w:rPr>
          <w:szCs w:val="24"/>
        </w:rPr>
      </w:pPr>
      <w:r w:rsidRPr="00EC0574">
        <w:rPr>
          <w:szCs w:val="24"/>
        </w:rPr>
        <w:t>Zmian</w:t>
      </w:r>
      <w:r w:rsidR="00CD12E4">
        <w:rPr>
          <w:szCs w:val="24"/>
        </w:rPr>
        <w:t>y</w:t>
      </w:r>
      <w:r w:rsidRPr="00EC0574">
        <w:rPr>
          <w:szCs w:val="24"/>
        </w:rPr>
        <w:t xml:space="preserve"> zaproponowan</w:t>
      </w:r>
      <w:r w:rsidR="00CD12E4">
        <w:rPr>
          <w:szCs w:val="24"/>
        </w:rPr>
        <w:t>e</w:t>
      </w:r>
      <w:r w:rsidRPr="00EC0574">
        <w:rPr>
          <w:szCs w:val="24"/>
        </w:rPr>
        <w:t xml:space="preserve"> w</w:t>
      </w:r>
      <w:r w:rsidR="00CD12E4">
        <w:rPr>
          <w:szCs w:val="24"/>
        </w:rPr>
        <w:t xml:space="preserve"> </w:t>
      </w:r>
      <w:r>
        <w:rPr>
          <w:szCs w:val="24"/>
        </w:rPr>
        <w:t xml:space="preserve">art. </w:t>
      </w:r>
      <w:r w:rsidRPr="00CD12E4">
        <w:rPr>
          <w:b/>
          <w:bCs/>
          <w:szCs w:val="24"/>
        </w:rPr>
        <w:t xml:space="preserve">12e ust. </w:t>
      </w:r>
      <w:r w:rsidR="00CD12E4" w:rsidRPr="00CD12E4">
        <w:rPr>
          <w:b/>
          <w:bCs/>
          <w:szCs w:val="24"/>
        </w:rPr>
        <w:t>1, 3 i 4</w:t>
      </w:r>
      <w:r w:rsidRPr="00EC0574">
        <w:rPr>
          <w:szCs w:val="24"/>
        </w:rPr>
        <w:t xml:space="preserve"> ma</w:t>
      </w:r>
      <w:r w:rsidR="00CD12E4">
        <w:rPr>
          <w:szCs w:val="24"/>
        </w:rPr>
        <w:t>ją</w:t>
      </w:r>
      <w:r w:rsidRPr="00EC0574">
        <w:rPr>
          <w:szCs w:val="24"/>
        </w:rPr>
        <w:t xml:space="preserve"> charakter porządkowy i polega</w:t>
      </w:r>
      <w:r w:rsidR="00CD12E4">
        <w:rPr>
          <w:szCs w:val="24"/>
        </w:rPr>
        <w:t>ją</w:t>
      </w:r>
      <w:r w:rsidRPr="00EC0574">
        <w:rPr>
          <w:szCs w:val="24"/>
        </w:rPr>
        <w:t xml:space="preserve"> na usunięciu odesłania do przepisu definiującego napój w obowiązujących przepisach - art. 12</w:t>
      </w:r>
      <w:r w:rsidR="008804CC">
        <w:rPr>
          <w:szCs w:val="24"/>
        </w:rPr>
        <w:t>a</w:t>
      </w:r>
      <w:r w:rsidRPr="00EC0574">
        <w:rPr>
          <w:szCs w:val="24"/>
        </w:rPr>
        <w:t xml:space="preserve"> ust. 1. </w:t>
      </w:r>
      <w:r w:rsidR="00C57449" w:rsidRPr="00C57449">
        <w:rPr>
          <w:szCs w:val="24"/>
        </w:rPr>
        <w:t xml:space="preserve">Definicja napoju w projektowanej ustawie </w:t>
      </w:r>
      <w:r w:rsidR="003143E6">
        <w:rPr>
          <w:szCs w:val="24"/>
        </w:rPr>
        <w:t xml:space="preserve">jest </w:t>
      </w:r>
      <w:r w:rsidR="00C57449" w:rsidRPr="00C57449">
        <w:rPr>
          <w:szCs w:val="24"/>
        </w:rPr>
        <w:t xml:space="preserve">umieszczona w innej jednostce redakcyjnej </w:t>
      </w:r>
      <w:proofErr w:type="spellStart"/>
      <w:r w:rsidR="00C57449" w:rsidRPr="00C57449">
        <w:rPr>
          <w:szCs w:val="24"/>
        </w:rPr>
        <w:t>tj</w:t>
      </w:r>
      <w:proofErr w:type="spellEnd"/>
      <w:r w:rsidR="00C57449" w:rsidRPr="00C57449">
        <w:rPr>
          <w:szCs w:val="24"/>
        </w:rPr>
        <w:t>, art. 12a ust. 4.</w:t>
      </w:r>
      <w:r w:rsidR="00C57449">
        <w:rPr>
          <w:szCs w:val="24"/>
        </w:rPr>
        <w:t xml:space="preserve"> </w:t>
      </w:r>
      <w:r w:rsidR="00CD12E4">
        <w:rPr>
          <w:szCs w:val="24"/>
        </w:rPr>
        <w:t>Natomiast u</w:t>
      </w:r>
      <w:r w:rsidR="00B95D8E">
        <w:rPr>
          <w:szCs w:val="24"/>
        </w:rPr>
        <w:t xml:space="preserve">chylenie </w:t>
      </w:r>
      <w:r w:rsidR="00B95D8E" w:rsidRPr="00B95D8E">
        <w:rPr>
          <w:b/>
          <w:bCs/>
          <w:szCs w:val="24"/>
        </w:rPr>
        <w:t xml:space="preserve">ust. 5 </w:t>
      </w:r>
      <w:r w:rsidR="00B95D8E">
        <w:rPr>
          <w:szCs w:val="24"/>
        </w:rPr>
        <w:t>jest konsekwencją przeniesienia treści tego przepisu określającego organy właściwe w sprawie opłaty do innej jednostki redakcyjnej tj. do art.12g ust. 4</w:t>
      </w:r>
      <w:r w:rsidR="00C16C82">
        <w:rPr>
          <w:szCs w:val="24"/>
        </w:rPr>
        <w:t>.</w:t>
      </w:r>
    </w:p>
    <w:p w14:paraId="6BD249F9" w14:textId="71F820B9" w:rsidR="00FC60E5" w:rsidRPr="003F3DD6" w:rsidRDefault="0095713A" w:rsidP="003C415E">
      <w:pPr>
        <w:tabs>
          <w:tab w:val="left" w:pos="0"/>
        </w:tabs>
        <w:jc w:val="both"/>
        <w:rPr>
          <w:szCs w:val="24"/>
        </w:rPr>
      </w:pPr>
      <w:r>
        <w:rPr>
          <w:szCs w:val="24"/>
        </w:rPr>
        <w:t>Zaproponowane</w:t>
      </w:r>
      <w:r w:rsidR="003C415E" w:rsidRPr="00B23191">
        <w:rPr>
          <w:szCs w:val="24"/>
        </w:rPr>
        <w:t xml:space="preserve"> w </w:t>
      </w:r>
      <w:r w:rsidR="003C415E" w:rsidRPr="000033AA">
        <w:rPr>
          <w:b/>
          <w:bCs/>
          <w:szCs w:val="24"/>
        </w:rPr>
        <w:t>art. 12f</w:t>
      </w:r>
      <w:r w:rsidR="003C415E" w:rsidRPr="00B23191">
        <w:rPr>
          <w:szCs w:val="24"/>
        </w:rPr>
        <w:t xml:space="preserve"> </w:t>
      </w:r>
      <w:r>
        <w:rPr>
          <w:szCs w:val="24"/>
        </w:rPr>
        <w:t>zmiany</w:t>
      </w:r>
      <w:r w:rsidR="000033AA">
        <w:rPr>
          <w:szCs w:val="24"/>
        </w:rPr>
        <w:t xml:space="preserve"> </w:t>
      </w:r>
      <w:r w:rsidR="003C415E" w:rsidRPr="00B23191">
        <w:rPr>
          <w:szCs w:val="24"/>
        </w:rPr>
        <w:t xml:space="preserve">powinny umożliwić bardziej skuteczną realizację celu, jaki przyświecał wprowadzeniu opłaty od środków spożywczych, tj. stymulowania prozdrowotnych wyborów konsumenckich przez ograniczenie dostępności ekonomicznej napojów słodzonych. Nadmierne korzystanie z łatwo dostępnych i słodkich produktów żywnościowych powoduje realne koszty związane z leczeniem chorób takich jak cukrzyca, choroby układu krążenia oraz szereg innych bezpośrednio związanych z chorobą </w:t>
      </w:r>
      <w:proofErr w:type="spellStart"/>
      <w:r w:rsidR="003C415E" w:rsidRPr="00B23191">
        <w:rPr>
          <w:szCs w:val="24"/>
        </w:rPr>
        <w:t>otyłościową</w:t>
      </w:r>
      <w:proofErr w:type="spellEnd"/>
      <w:r w:rsidR="003C415E" w:rsidRPr="00B23191">
        <w:rPr>
          <w:szCs w:val="24"/>
        </w:rPr>
        <w:t xml:space="preserve">. </w:t>
      </w:r>
    </w:p>
    <w:p w14:paraId="3B155892" w14:textId="6767E70E" w:rsidR="003C415E" w:rsidRPr="003F3DD6" w:rsidRDefault="003C415E" w:rsidP="003C415E">
      <w:pPr>
        <w:tabs>
          <w:tab w:val="left" w:pos="0"/>
        </w:tabs>
        <w:jc w:val="both"/>
        <w:rPr>
          <w:szCs w:val="24"/>
        </w:rPr>
      </w:pPr>
      <w:r w:rsidRPr="003F3DD6">
        <w:rPr>
          <w:szCs w:val="24"/>
        </w:rPr>
        <w:t xml:space="preserve">Zgodnie z raportem Najwyższej Izby Kontroli (NIK) Polacy tyją w zastraszającym tempie. W Polsce na otyłość choruje ok. 9 mln dorosłych osób. W latach 2020–2022 z tego powodu w naszym kraju było leczonych prawie 800 tys. pacjentów, którym udzielono łącznie 2,2 mln świadczeń. W ciągu trzech lat objętych kontrolą NIK liczba pacjentów zwiększyła się o połowę. O ponad 40% wzrosła liczba świadczeń udzielonych z powodu choroby </w:t>
      </w:r>
      <w:proofErr w:type="spellStart"/>
      <w:r w:rsidRPr="003F3DD6">
        <w:rPr>
          <w:szCs w:val="24"/>
        </w:rPr>
        <w:t>otyłościowej</w:t>
      </w:r>
      <w:proofErr w:type="spellEnd"/>
      <w:r w:rsidRPr="003F3DD6">
        <w:rPr>
          <w:szCs w:val="24"/>
        </w:rPr>
        <w:t xml:space="preserve">. Udzielono ponad pół miliona świadczeń, w których otyłość była rozpoznaniem głównym, oraz ponad trzykrotnie więcej, gdzie była rozpoznaniem współistniejącym. </w:t>
      </w:r>
    </w:p>
    <w:p w14:paraId="3CF3A923" w14:textId="77777777" w:rsidR="003C415E" w:rsidRPr="003F3DD6" w:rsidRDefault="003C415E" w:rsidP="003C415E">
      <w:pPr>
        <w:tabs>
          <w:tab w:val="left" w:pos="0"/>
        </w:tabs>
        <w:jc w:val="both"/>
        <w:rPr>
          <w:szCs w:val="24"/>
        </w:rPr>
      </w:pPr>
      <w:r w:rsidRPr="003F3DD6">
        <w:rPr>
          <w:szCs w:val="24"/>
        </w:rPr>
        <w:t xml:space="preserve">Według danych OECD, do 2050 r. przez choroby związane z otyłością Polacy będą żyć o blisko 4 lata krócej. Według szacunków OECD w ciągu 30 lat z powodu chorób wywołanych otyłością Polska straci ok. 108 mld zł (4,1% PKB), tj. średnio ok. 3,6 mld zł rocznie (ok. 0,14% PKB). </w:t>
      </w:r>
    </w:p>
    <w:p w14:paraId="5BFB4831" w14:textId="27910885" w:rsidR="00FC60E5" w:rsidRPr="003F3DD6" w:rsidRDefault="003C415E" w:rsidP="003C415E">
      <w:pPr>
        <w:tabs>
          <w:tab w:val="left" w:pos="0"/>
        </w:tabs>
        <w:jc w:val="both"/>
        <w:rPr>
          <w:szCs w:val="24"/>
        </w:rPr>
      </w:pPr>
      <w:r w:rsidRPr="003F3DD6">
        <w:rPr>
          <w:szCs w:val="24"/>
        </w:rPr>
        <w:t xml:space="preserve">Wspieranie działań, które mogą realnie przyczynić się do ograniczenia środków wydatkowanych na leczenie, stanowi zarówno inwestycję w zdrowie Polaków, jak i ochronę budżetu państwa. </w:t>
      </w:r>
    </w:p>
    <w:p w14:paraId="775956BF" w14:textId="6F565059" w:rsidR="003C415E" w:rsidRPr="003F3DD6" w:rsidRDefault="003C415E" w:rsidP="003C415E">
      <w:pPr>
        <w:tabs>
          <w:tab w:val="left" w:pos="0"/>
        </w:tabs>
        <w:jc w:val="both"/>
        <w:rPr>
          <w:szCs w:val="24"/>
        </w:rPr>
      </w:pPr>
      <w:r w:rsidRPr="003F3DD6">
        <w:rPr>
          <w:szCs w:val="24"/>
        </w:rPr>
        <w:t xml:space="preserve">Obok działań edukacyjnych czy też prawnych (takich jak np. zmiany w etykietowaniu żywności lub regulowanie reklamowania niezdrowej żywności dzieciom), kluczowym narzędziem w kształtowaniu prozdrowotnych </w:t>
      </w:r>
      <w:proofErr w:type="spellStart"/>
      <w:r w:rsidRPr="003F3DD6">
        <w:rPr>
          <w:szCs w:val="24"/>
        </w:rPr>
        <w:t>zachowań</w:t>
      </w:r>
      <w:proofErr w:type="spellEnd"/>
      <w:r w:rsidRPr="003F3DD6">
        <w:rPr>
          <w:szCs w:val="24"/>
        </w:rPr>
        <w:t xml:space="preserve"> konsumentów jest ograniczenie dostępności ekonomicznej niezdrowej żywności. Do takiej niewątpliwie zalicza się słodkie napoje.</w:t>
      </w:r>
    </w:p>
    <w:p w14:paraId="3961C7A3" w14:textId="77777777" w:rsidR="003C415E" w:rsidRDefault="003C415E" w:rsidP="003C415E">
      <w:pPr>
        <w:tabs>
          <w:tab w:val="left" w:pos="0"/>
        </w:tabs>
        <w:jc w:val="both"/>
        <w:rPr>
          <w:szCs w:val="24"/>
        </w:rPr>
      </w:pPr>
    </w:p>
    <w:p w14:paraId="345B9136" w14:textId="5BC9CC5B" w:rsidR="003C415E" w:rsidRPr="003F3DD6" w:rsidRDefault="003C415E" w:rsidP="00E6094F">
      <w:pPr>
        <w:tabs>
          <w:tab w:val="left" w:pos="0"/>
        </w:tabs>
        <w:jc w:val="both"/>
        <w:rPr>
          <w:szCs w:val="24"/>
        </w:rPr>
      </w:pPr>
      <w:r w:rsidRPr="00B23191">
        <w:rPr>
          <w:szCs w:val="24"/>
        </w:rPr>
        <w:lastRenderedPageBreak/>
        <w:t>Obowiązująca wysokość opłaty została przyjęta w 202</w:t>
      </w:r>
      <w:r w:rsidR="00E6094F">
        <w:rPr>
          <w:szCs w:val="24"/>
        </w:rPr>
        <w:t>0</w:t>
      </w:r>
      <w:r w:rsidRPr="00B23191">
        <w:rPr>
          <w:szCs w:val="24"/>
        </w:rPr>
        <w:t xml:space="preserve"> </w:t>
      </w:r>
      <w:r w:rsidR="00E6094F">
        <w:rPr>
          <w:szCs w:val="24"/>
        </w:rPr>
        <w:t>r</w:t>
      </w:r>
      <w:r w:rsidR="004A631A">
        <w:rPr>
          <w:szCs w:val="24"/>
        </w:rPr>
        <w:t>.</w:t>
      </w:r>
      <w:r w:rsidRPr="00B23191">
        <w:rPr>
          <w:szCs w:val="24"/>
        </w:rPr>
        <w:t xml:space="preserve"> i znacząco odbiega od aktualnych cen napojów. Tym samym, jest niewystarczająca, aby wpłynąć na zachowania konsumentów oraz realizować cele zdrowotne przyjęte przy wprowadzaniu opłaty. </w:t>
      </w:r>
    </w:p>
    <w:p w14:paraId="37DE9012" w14:textId="689474C7" w:rsidR="003C415E" w:rsidRPr="003F3DD6" w:rsidRDefault="003C415E" w:rsidP="003C415E">
      <w:pPr>
        <w:tabs>
          <w:tab w:val="left" w:pos="0"/>
        </w:tabs>
        <w:jc w:val="both"/>
        <w:rPr>
          <w:szCs w:val="24"/>
        </w:rPr>
      </w:pPr>
      <w:r w:rsidRPr="003F3DD6">
        <w:rPr>
          <w:szCs w:val="24"/>
        </w:rPr>
        <w:t xml:space="preserve">W </w:t>
      </w:r>
      <w:r w:rsidRPr="003F3DD6">
        <w:rPr>
          <w:b/>
          <w:bCs/>
          <w:szCs w:val="24"/>
        </w:rPr>
        <w:t xml:space="preserve">ust. 1 </w:t>
      </w:r>
      <w:r w:rsidRPr="003F3DD6">
        <w:rPr>
          <w:szCs w:val="24"/>
        </w:rPr>
        <w:t xml:space="preserve">zaproponowano zatem podwyższenie wysokości opłaty stałej i zmiennej za zawartość cukrów lub </w:t>
      </w:r>
      <w:r w:rsidR="00EF1AEF">
        <w:rPr>
          <w:szCs w:val="24"/>
        </w:rPr>
        <w:t>substancji słodzącej</w:t>
      </w:r>
      <w:r w:rsidR="00EF1AEF" w:rsidRPr="003F3DD6">
        <w:rPr>
          <w:szCs w:val="24"/>
        </w:rPr>
        <w:t xml:space="preserve"> </w:t>
      </w:r>
      <w:r w:rsidRPr="003F3DD6">
        <w:rPr>
          <w:szCs w:val="24"/>
        </w:rPr>
        <w:t>w napoju</w:t>
      </w:r>
      <w:r w:rsidR="006E5230">
        <w:rPr>
          <w:szCs w:val="24"/>
        </w:rPr>
        <w:t xml:space="preserve"> będącym płynem do bezpośredniego spożycia</w:t>
      </w:r>
      <w:r w:rsidRPr="003F3DD6">
        <w:rPr>
          <w:szCs w:val="24"/>
        </w:rPr>
        <w:t xml:space="preserve">: </w:t>
      </w:r>
    </w:p>
    <w:p w14:paraId="7049D901" w14:textId="5E0DCBD3" w:rsidR="003C415E" w:rsidRPr="003F3DD6" w:rsidRDefault="003C415E" w:rsidP="003C415E">
      <w:pPr>
        <w:pStyle w:val="Akapitzlist"/>
        <w:numPr>
          <w:ilvl w:val="0"/>
          <w:numId w:val="11"/>
        </w:numPr>
        <w:tabs>
          <w:tab w:val="left" w:pos="0"/>
        </w:tabs>
        <w:jc w:val="both"/>
        <w:rPr>
          <w:szCs w:val="24"/>
        </w:rPr>
      </w:pPr>
      <w:r w:rsidRPr="003F3DD6">
        <w:rPr>
          <w:szCs w:val="24"/>
        </w:rPr>
        <w:t>z 0,50 zł do 0,70 zł – za zawartość cukrów w ilości równej lub mniejszej niż 5</w:t>
      </w:r>
      <w:r w:rsidR="00D93AB8">
        <w:rPr>
          <w:szCs w:val="24"/>
        </w:rPr>
        <w:t xml:space="preserve"> </w:t>
      </w:r>
      <w:r w:rsidRPr="003F3DD6">
        <w:rPr>
          <w:szCs w:val="24"/>
        </w:rPr>
        <w:t xml:space="preserve">g w 100 ml napoju lub za zawartość w jakiejkolwiek ilości co najmniej jednej z substancji słodzących, </w:t>
      </w:r>
    </w:p>
    <w:p w14:paraId="76849507" w14:textId="3E6FE125" w:rsidR="003C415E" w:rsidRPr="009A467E" w:rsidRDefault="003C415E" w:rsidP="000033AA">
      <w:pPr>
        <w:pStyle w:val="Akapitzlist"/>
        <w:numPr>
          <w:ilvl w:val="0"/>
          <w:numId w:val="11"/>
        </w:numPr>
        <w:tabs>
          <w:tab w:val="left" w:pos="0"/>
        </w:tabs>
        <w:jc w:val="both"/>
        <w:rPr>
          <w:szCs w:val="24"/>
        </w:rPr>
      </w:pPr>
      <w:r w:rsidRPr="003F3DD6">
        <w:rPr>
          <w:szCs w:val="24"/>
        </w:rPr>
        <w:t>z 0,05 zł do 0,10 zł – za każdy gram cukrów powyżej 5</w:t>
      </w:r>
      <w:r w:rsidR="00D93AB8">
        <w:rPr>
          <w:szCs w:val="24"/>
        </w:rPr>
        <w:t xml:space="preserve"> </w:t>
      </w:r>
      <w:r w:rsidRPr="003F3DD6">
        <w:rPr>
          <w:szCs w:val="24"/>
        </w:rPr>
        <w:t xml:space="preserve">g w 100 ml napoju. </w:t>
      </w:r>
    </w:p>
    <w:p w14:paraId="5756183D" w14:textId="5E79A176" w:rsidR="003C415E" w:rsidRPr="00B23191" w:rsidRDefault="003C415E" w:rsidP="003C415E">
      <w:pPr>
        <w:widowControl/>
        <w:jc w:val="both"/>
        <w:rPr>
          <w:rFonts w:cs="Times New Roman"/>
          <w:szCs w:val="24"/>
        </w:rPr>
      </w:pPr>
      <w:r>
        <w:rPr>
          <w:rFonts w:cs="Times New Roman"/>
          <w:szCs w:val="24"/>
        </w:rPr>
        <w:t>W</w:t>
      </w:r>
      <w:r w:rsidRPr="00CF2EB6">
        <w:rPr>
          <w:rFonts w:cs="Times New Roman"/>
          <w:szCs w:val="24"/>
        </w:rPr>
        <w:t xml:space="preserve"> </w:t>
      </w:r>
      <w:r w:rsidRPr="000033AA">
        <w:rPr>
          <w:rFonts w:cs="Times New Roman"/>
          <w:szCs w:val="24"/>
        </w:rPr>
        <w:t>przepisie ust. 1 pkt 1</w:t>
      </w:r>
      <w:r w:rsidRPr="001D75FC">
        <w:rPr>
          <w:rFonts w:cs="Times New Roman"/>
          <w:szCs w:val="24"/>
        </w:rPr>
        <w:t xml:space="preserve"> </w:t>
      </w:r>
      <w:r>
        <w:rPr>
          <w:rFonts w:cs="Times New Roman"/>
          <w:szCs w:val="24"/>
        </w:rPr>
        <w:t>dokonano również zmiany o</w:t>
      </w:r>
      <w:r w:rsidRPr="001D75FC">
        <w:rPr>
          <w:rFonts w:cs="Times New Roman"/>
          <w:szCs w:val="24"/>
        </w:rPr>
        <w:t xml:space="preserve"> charakter</w:t>
      </w:r>
      <w:r>
        <w:rPr>
          <w:rFonts w:cs="Times New Roman"/>
          <w:szCs w:val="24"/>
        </w:rPr>
        <w:t>ze</w:t>
      </w:r>
      <w:r w:rsidRPr="001D75FC">
        <w:rPr>
          <w:rFonts w:cs="Times New Roman"/>
          <w:szCs w:val="24"/>
        </w:rPr>
        <w:t xml:space="preserve"> redakcyjny</w:t>
      </w:r>
      <w:r>
        <w:rPr>
          <w:rFonts w:cs="Times New Roman"/>
          <w:szCs w:val="24"/>
        </w:rPr>
        <w:t>m</w:t>
      </w:r>
      <w:r w:rsidRPr="001D75FC">
        <w:rPr>
          <w:rFonts w:cs="Times New Roman"/>
          <w:szCs w:val="24"/>
        </w:rPr>
        <w:t xml:space="preserve">. Dotyczy </w:t>
      </w:r>
      <w:r>
        <w:rPr>
          <w:rFonts w:cs="Times New Roman"/>
          <w:szCs w:val="24"/>
        </w:rPr>
        <w:t xml:space="preserve">ona </w:t>
      </w:r>
      <w:r w:rsidRPr="001D75FC">
        <w:rPr>
          <w:rFonts w:cs="Times New Roman"/>
          <w:szCs w:val="24"/>
        </w:rPr>
        <w:t>zastąpienia wyrażenia „jednej substancji słodzącej” wyrażeniem „jednej z substancji słodzących”.</w:t>
      </w:r>
      <w:r w:rsidR="00626999" w:rsidRPr="00626999">
        <w:t xml:space="preserve"> </w:t>
      </w:r>
      <w:r w:rsidR="00626999">
        <w:t xml:space="preserve">Ponadto </w:t>
      </w:r>
      <w:r w:rsidR="00626999" w:rsidRPr="00626999">
        <w:rPr>
          <w:rFonts w:cs="Times New Roman"/>
          <w:szCs w:val="24"/>
        </w:rPr>
        <w:t>użycie w ust. 1 sformułowania „stała</w:t>
      </w:r>
      <w:r w:rsidR="00D93AB8">
        <w:rPr>
          <w:rFonts w:cs="Times New Roman"/>
          <w:szCs w:val="24"/>
        </w:rPr>
        <w:t>,</w:t>
      </w:r>
      <w:r w:rsidR="00626999" w:rsidRPr="00626999">
        <w:rPr>
          <w:rFonts w:cs="Times New Roman"/>
          <w:szCs w:val="24"/>
        </w:rPr>
        <w:t xml:space="preserve"> zmienna wysokość opłaty obliczona według stawki”, ma uwzględniać zastrzeżenia Naczelnego Sądu Administracyjnego co do niezadowalającego poziomu legislacyjnego ustawy i poprawić czytelność konstrukcji opłaty, która składa się z części stałej i zmiennej, a także </w:t>
      </w:r>
      <w:proofErr w:type="spellStart"/>
      <w:r w:rsidR="00626999" w:rsidRPr="00626999">
        <w:rPr>
          <w:rFonts w:cs="Times New Roman"/>
          <w:szCs w:val="24"/>
        </w:rPr>
        <w:t>uspójnić</w:t>
      </w:r>
      <w:proofErr w:type="spellEnd"/>
      <w:r w:rsidR="00626999" w:rsidRPr="00626999">
        <w:rPr>
          <w:rFonts w:cs="Times New Roman"/>
          <w:szCs w:val="24"/>
        </w:rPr>
        <w:t xml:space="preserve"> zapisy ustawy z udostępnioną informacją o opłacie, która od lat posługuje się zwrotem „wysokość opłaty obliczona według stawki”, co powinno ułatwić rozliczenia opłaty. Analogicznie uczyniono w art. 12f ust. 6 przy maksymalnej wysokości opłaty.</w:t>
      </w:r>
    </w:p>
    <w:p w14:paraId="1CECCF2D" w14:textId="6C43C57F" w:rsidR="003C415E" w:rsidRPr="00B23191" w:rsidRDefault="003C415E" w:rsidP="003C415E">
      <w:pPr>
        <w:tabs>
          <w:tab w:val="left" w:pos="0"/>
        </w:tabs>
        <w:jc w:val="both"/>
        <w:rPr>
          <w:szCs w:val="24"/>
        </w:rPr>
      </w:pPr>
      <w:r w:rsidRPr="00B23191">
        <w:rPr>
          <w:szCs w:val="24"/>
        </w:rPr>
        <w:t xml:space="preserve">W projektowanym </w:t>
      </w:r>
      <w:r w:rsidRPr="00B23191">
        <w:rPr>
          <w:b/>
          <w:bCs/>
          <w:szCs w:val="24"/>
        </w:rPr>
        <w:t xml:space="preserve">ust. 3 </w:t>
      </w:r>
      <w:r w:rsidR="000033AA" w:rsidRPr="00F80038">
        <w:rPr>
          <w:szCs w:val="24"/>
        </w:rPr>
        <w:t>z</w:t>
      </w:r>
      <w:r w:rsidR="000033AA" w:rsidRPr="000033AA">
        <w:rPr>
          <w:szCs w:val="24"/>
        </w:rPr>
        <w:t>aproponowano</w:t>
      </w:r>
      <w:r w:rsidR="000033AA">
        <w:rPr>
          <w:b/>
          <w:bCs/>
          <w:szCs w:val="24"/>
        </w:rPr>
        <w:t xml:space="preserve"> </w:t>
      </w:r>
      <w:r w:rsidRPr="00B23191">
        <w:rPr>
          <w:szCs w:val="24"/>
        </w:rPr>
        <w:t>podnies</w:t>
      </w:r>
      <w:r w:rsidR="000033AA">
        <w:rPr>
          <w:szCs w:val="24"/>
        </w:rPr>
        <w:t>ienie</w:t>
      </w:r>
      <w:r w:rsidRPr="00B23191">
        <w:rPr>
          <w:szCs w:val="24"/>
        </w:rPr>
        <w:t xml:space="preserve"> wysokoś</w:t>
      </w:r>
      <w:r w:rsidR="000033AA">
        <w:rPr>
          <w:szCs w:val="24"/>
        </w:rPr>
        <w:t>ci</w:t>
      </w:r>
      <w:r w:rsidRPr="00B23191">
        <w:rPr>
          <w:szCs w:val="24"/>
        </w:rPr>
        <w:t xml:space="preserve"> opłaty stałej za zawartość kofeiny lub tauryny</w:t>
      </w:r>
      <w:r w:rsidR="00B95D8E">
        <w:rPr>
          <w:szCs w:val="24"/>
        </w:rPr>
        <w:t xml:space="preserve"> w napojach będących płynami do bezpośredniego spożycia</w:t>
      </w:r>
      <w:r w:rsidRPr="00B23191">
        <w:rPr>
          <w:szCs w:val="24"/>
        </w:rPr>
        <w:t>, które występują m.in. w napojach energetycznych, z 0,10 zł do 1,00 zł</w:t>
      </w:r>
      <w:r w:rsidR="00BB6391">
        <w:rPr>
          <w:szCs w:val="24"/>
        </w:rPr>
        <w:t xml:space="preserve"> w przeliczeniu na 1 litr napoju</w:t>
      </w:r>
      <w:r w:rsidRPr="00B23191">
        <w:rPr>
          <w:szCs w:val="24"/>
        </w:rPr>
        <w:t xml:space="preserve">. Propozycja ta uwzględnia dodatkowe ryzyko, jakie jest związane ze spożywaniem napojów energetycznych, które zawierają kofeinę lub taurynę. </w:t>
      </w:r>
    </w:p>
    <w:p w14:paraId="0BE34B5C" w14:textId="14D4A52A" w:rsidR="00DE2A7C" w:rsidRPr="005960A6" w:rsidRDefault="003C415E" w:rsidP="005562A3">
      <w:pPr>
        <w:pStyle w:val="Akapitzlist"/>
        <w:tabs>
          <w:tab w:val="left" w:pos="0"/>
        </w:tabs>
        <w:ind w:left="0"/>
        <w:contextualSpacing w:val="0"/>
        <w:jc w:val="both"/>
        <w:rPr>
          <w:szCs w:val="24"/>
        </w:rPr>
      </w:pPr>
      <w:r w:rsidRPr="00B23191">
        <w:rPr>
          <w:szCs w:val="24"/>
        </w:rPr>
        <w:t>Proponowane zmiany w zakresie art. 12f realizują prozdrowotną politykę fiskalną sprzyjającą walce z nadwagą i otyłością w ramach Narodowego Programu Zdrowia</w:t>
      </w:r>
      <w:r>
        <w:rPr>
          <w:szCs w:val="24"/>
        </w:rPr>
        <w:t>.</w:t>
      </w:r>
    </w:p>
    <w:p w14:paraId="7A841E4D" w14:textId="2E02BF58" w:rsidR="00060FD9" w:rsidRPr="005C5D51" w:rsidRDefault="003C415E" w:rsidP="005562A3">
      <w:pPr>
        <w:widowControl/>
        <w:jc w:val="both"/>
        <w:rPr>
          <w:rFonts w:cs="Times New Roman"/>
          <w:szCs w:val="24"/>
        </w:rPr>
      </w:pPr>
      <w:r>
        <w:rPr>
          <w:rFonts w:cs="Times New Roman"/>
          <w:szCs w:val="24"/>
        </w:rPr>
        <w:t>Dodatkowo, z</w:t>
      </w:r>
      <w:r w:rsidR="00060FD9" w:rsidRPr="00C82F44">
        <w:rPr>
          <w:rFonts w:cs="Times New Roman"/>
          <w:szCs w:val="24"/>
        </w:rPr>
        <w:t xml:space="preserve">miany w </w:t>
      </w:r>
      <w:r w:rsidR="001B6A83" w:rsidRPr="00C82F44">
        <w:rPr>
          <w:rFonts w:cs="Times New Roman"/>
          <w:b/>
          <w:szCs w:val="24"/>
        </w:rPr>
        <w:t>ust. 1</w:t>
      </w:r>
      <w:r w:rsidR="00562FD7" w:rsidRPr="002812DD">
        <w:rPr>
          <w:rFonts w:cs="Times New Roman"/>
          <w:szCs w:val="24"/>
        </w:rPr>
        <w:t>–</w:t>
      </w:r>
      <w:r w:rsidR="00060FD9" w:rsidRPr="00C82F44">
        <w:rPr>
          <w:rFonts w:cs="Times New Roman"/>
          <w:b/>
          <w:szCs w:val="24"/>
        </w:rPr>
        <w:t>4</w:t>
      </w:r>
      <w:r w:rsidR="008834BF">
        <w:rPr>
          <w:rFonts w:cs="Times New Roman"/>
          <w:b/>
          <w:szCs w:val="24"/>
        </w:rPr>
        <w:t xml:space="preserve"> i 6</w:t>
      </w:r>
      <w:r w:rsidR="00060FD9" w:rsidRPr="00C82F44">
        <w:rPr>
          <w:rFonts w:cs="Times New Roman"/>
          <w:szCs w:val="24"/>
        </w:rPr>
        <w:t xml:space="preserve"> są konsekwencją zmiany definicji napoju w </w:t>
      </w:r>
      <w:r w:rsidR="005960A6">
        <w:rPr>
          <w:rFonts w:cs="Times New Roman"/>
          <w:szCs w:val="24"/>
        </w:rPr>
        <w:t xml:space="preserve">projektowanym </w:t>
      </w:r>
      <w:r w:rsidR="00060FD9" w:rsidRPr="00C82F44">
        <w:rPr>
          <w:rFonts w:cs="Times New Roman"/>
          <w:szCs w:val="24"/>
        </w:rPr>
        <w:t>art. 12</w:t>
      </w:r>
      <w:r w:rsidR="008834BF">
        <w:rPr>
          <w:rFonts w:cs="Times New Roman"/>
          <w:szCs w:val="24"/>
        </w:rPr>
        <w:t>a</w:t>
      </w:r>
      <w:r w:rsidR="00060FD9" w:rsidRPr="00C82F44">
        <w:rPr>
          <w:rFonts w:cs="Times New Roman"/>
          <w:szCs w:val="24"/>
        </w:rPr>
        <w:t xml:space="preserve"> ust. </w:t>
      </w:r>
      <w:r w:rsidR="008834BF">
        <w:rPr>
          <w:rFonts w:cs="Times New Roman"/>
          <w:szCs w:val="24"/>
        </w:rPr>
        <w:t>4</w:t>
      </w:r>
      <w:r w:rsidR="005960A6">
        <w:rPr>
          <w:rFonts w:cs="Times New Roman"/>
          <w:szCs w:val="24"/>
        </w:rPr>
        <w:t xml:space="preserve"> ustawy</w:t>
      </w:r>
      <w:r w:rsidR="00060FD9" w:rsidRPr="00C82F44">
        <w:rPr>
          <w:rFonts w:cs="Times New Roman"/>
          <w:szCs w:val="24"/>
        </w:rPr>
        <w:t xml:space="preserve">. W związku z wyszczególnieniem napoju </w:t>
      </w:r>
      <w:r w:rsidR="00283141">
        <w:rPr>
          <w:rFonts w:cs="Times New Roman"/>
          <w:szCs w:val="24"/>
        </w:rPr>
        <w:t>będącego koncentratem</w:t>
      </w:r>
      <w:r w:rsidR="00060FD9" w:rsidRPr="00C82F44">
        <w:rPr>
          <w:rFonts w:cs="Times New Roman"/>
          <w:szCs w:val="24"/>
        </w:rPr>
        <w:t>, który może występować również w formie stałej, nastąpiła konieczność odrębnego określenia sposobu ustalania wysokości opłaty dla teg</w:t>
      </w:r>
      <w:r w:rsidR="00060FD9" w:rsidRPr="001614A8">
        <w:rPr>
          <w:rFonts w:cs="Times New Roman"/>
          <w:szCs w:val="24"/>
        </w:rPr>
        <w:t>o rodzaju napojów. W konsekwencji konieczne było doprecyzowanie, że przepisy ust. 1</w:t>
      </w:r>
      <w:r w:rsidR="00AA7F11">
        <w:rPr>
          <w:rFonts w:cs="Times New Roman"/>
          <w:szCs w:val="24"/>
        </w:rPr>
        <w:t>–</w:t>
      </w:r>
      <w:r w:rsidR="00060FD9" w:rsidRPr="001614A8">
        <w:rPr>
          <w:rFonts w:cs="Times New Roman"/>
          <w:szCs w:val="24"/>
        </w:rPr>
        <w:t xml:space="preserve">4 </w:t>
      </w:r>
      <w:r w:rsidR="008834BF">
        <w:rPr>
          <w:rFonts w:cs="Times New Roman"/>
          <w:szCs w:val="24"/>
        </w:rPr>
        <w:t xml:space="preserve">i 6 </w:t>
      </w:r>
      <w:r w:rsidR="00060FD9" w:rsidRPr="001614A8">
        <w:rPr>
          <w:rFonts w:cs="Times New Roman"/>
          <w:szCs w:val="24"/>
        </w:rPr>
        <w:t xml:space="preserve">dotyczą </w:t>
      </w:r>
      <w:r w:rsidR="00382F22">
        <w:rPr>
          <w:rFonts w:cs="Times New Roman"/>
          <w:szCs w:val="24"/>
        </w:rPr>
        <w:t>oblicz</w:t>
      </w:r>
      <w:r w:rsidR="00382F22" w:rsidRPr="001614A8">
        <w:rPr>
          <w:rFonts w:cs="Times New Roman"/>
          <w:szCs w:val="24"/>
        </w:rPr>
        <w:t xml:space="preserve">ania </w:t>
      </w:r>
      <w:r w:rsidR="006A407A" w:rsidRPr="0001616C">
        <w:rPr>
          <w:rFonts w:cs="Times New Roman"/>
          <w:szCs w:val="24"/>
        </w:rPr>
        <w:t xml:space="preserve">wysokości opłaty dla napojów </w:t>
      </w:r>
      <w:r w:rsidR="00B95D8E" w:rsidRPr="00B95D8E">
        <w:rPr>
          <w:rFonts w:cs="Times New Roman"/>
          <w:szCs w:val="24"/>
        </w:rPr>
        <w:t>będących płynami do bezpośredniego spożycia</w:t>
      </w:r>
      <w:r w:rsidR="006A407A" w:rsidRPr="0001616C">
        <w:rPr>
          <w:rFonts w:cs="Times New Roman"/>
          <w:szCs w:val="24"/>
        </w:rPr>
        <w:t>.</w:t>
      </w:r>
    </w:p>
    <w:p w14:paraId="3591DDB7" w14:textId="7B3424A6" w:rsidR="000C22A8" w:rsidRDefault="004E5588" w:rsidP="005562A3">
      <w:pPr>
        <w:widowControl/>
        <w:jc w:val="both"/>
        <w:rPr>
          <w:rFonts w:cs="Times New Roman"/>
          <w:szCs w:val="24"/>
        </w:rPr>
      </w:pPr>
      <w:r>
        <w:rPr>
          <w:rFonts w:cs="Times New Roman"/>
          <w:szCs w:val="24"/>
        </w:rPr>
        <w:t>D</w:t>
      </w:r>
      <w:r w:rsidR="00564EE1" w:rsidRPr="00052F15">
        <w:rPr>
          <w:rFonts w:cs="Times New Roman"/>
          <w:szCs w:val="24"/>
        </w:rPr>
        <w:t xml:space="preserve">odanie </w:t>
      </w:r>
      <w:r>
        <w:rPr>
          <w:rFonts w:cs="Times New Roman"/>
          <w:szCs w:val="24"/>
        </w:rPr>
        <w:t xml:space="preserve">w </w:t>
      </w:r>
      <w:r w:rsidR="00564EE1" w:rsidRPr="00052F15">
        <w:rPr>
          <w:rFonts w:cs="Times New Roman"/>
          <w:b/>
          <w:szCs w:val="24"/>
        </w:rPr>
        <w:t>ust. 5</w:t>
      </w:r>
      <w:r>
        <w:rPr>
          <w:rFonts w:cs="Times New Roman"/>
          <w:b/>
          <w:szCs w:val="24"/>
        </w:rPr>
        <w:t xml:space="preserve"> </w:t>
      </w:r>
      <w:r w:rsidR="00D93AB8">
        <w:rPr>
          <w:rFonts w:cs="Times New Roman"/>
          <w:b/>
          <w:szCs w:val="24"/>
        </w:rPr>
        <w:t xml:space="preserve">pkt </w:t>
      </w:r>
      <w:r>
        <w:rPr>
          <w:rFonts w:cs="Times New Roman"/>
          <w:b/>
          <w:szCs w:val="24"/>
        </w:rPr>
        <w:t xml:space="preserve">2 </w:t>
      </w:r>
      <w:r w:rsidR="00564EE1" w:rsidRPr="00052F15">
        <w:rPr>
          <w:rFonts w:cs="Times New Roman"/>
          <w:szCs w:val="24"/>
        </w:rPr>
        <w:t>ma na celu</w:t>
      </w:r>
      <w:r w:rsidR="000B0120" w:rsidRPr="00052F15">
        <w:rPr>
          <w:rFonts w:cs="Times New Roman"/>
          <w:szCs w:val="24"/>
        </w:rPr>
        <w:t xml:space="preserve"> ujednolicenie sposobu określania ilości napojów </w:t>
      </w:r>
      <w:r>
        <w:rPr>
          <w:rFonts w:cs="Times New Roman"/>
          <w:szCs w:val="24"/>
        </w:rPr>
        <w:t>będących</w:t>
      </w:r>
      <w:r w:rsidR="0055343D">
        <w:rPr>
          <w:rFonts w:cs="Times New Roman"/>
          <w:szCs w:val="24"/>
        </w:rPr>
        <w:t xml:space="preserve"> płynem do bezpośredniego spożycia. </w:t>
      </w:r>
      <w:r w:rsidR="000B0120" w:rsidRPr="00052F15">
        <w:rPr>
          <w:rFonts w:cs="Times New Roman"/>
          <w:szCs w:val="24"/>
        </w:rPr>
        <w:t xml:space="preserve">Zaproponowano wprowadzenie zasady, że do obliczania </w:t>
      </w:r>
      <w:r w:rsidR="00E24CAD">
        <w:rPr>
          <w:rFonts w:cs="Times New Roman"/>
          <w:szCs w:val="24"/>
        </w:rPr>
        <w:lastRenderedPageBreak/>
        <w:t xml:space="preserve">wysokości </w:t>
      </w:r>
      <w:r w:rsidR="000B0120" w:rsidRPr="00052F15">
        <w:rPr>
          <w:rFonts w:cs="Times New Roman"/>
          <w:szCs w:val="24"/>
        </w:rPr>
        <w:t xml:space="preserve">opłaty od środków spożywczych przyjmuje się ilość litrów napojów </w:t>
      </w:r>
      <w:r w:rsidR="00141D63" w:rsidRPr="00052F15">
        <w:rPr>
          <w:rFonts w:cs="Times New Roman"/>
          <w:szCs w:val="24"/>
        </w:rPr>
        <w:t>zaokrąglo</w:t>
      </w:r>
      <w:r w:rsidR="000B0120" w:rsidRPr="00052F15">
        <w:rPr>
          <w:rFonts w:cs="Times New Roman"/>
          <w:szCs w:val="24"/>
        </w:rPr>
        <w:t>ną w</w:t>
      </w:r>
      <w:r w:rsidR="008B6758">
        <w:rPr>
          <w:rFonts w:cs="Times New Roman"/>
          <w:szCs w:val="24"/>
        </w:rPr>
        <w:t> </w:t>
      </w:r>
      <w:r w:rsidR="000B0120" w:rsidRPr="00052F15">
        <w:rPr>
          <w:rFonts w:cs="Times New Roman"/>
          <w:szCs w:val="24"/>
        </w:rPr>
        <w:t>górę do części setnych.</w:t>
      </w:r>
    </w:p>
    <w:p w14:paraId="0B9C1549" w14:textId="28465A16" w:rsidR="00F80038" w:rsidRDefault="00F80038" w:rsidP="005562A3">
      <w:pPr>
        <w:widowControl/>
        <w:jc w:val="both"/>
        <w:rPr>
          <w:rFonts w:cs="Times New Roman"/>
          <w:szCs w:val="24"/>
        </w:rPr>
      </w:pPr>
      <w:r w:rsidRPr="00F80038">
        <w:rPr>
          <w:rFonts w:cs="Times New Roman"/>
          <w:szCs w:val="24"/>
        </w:rPr>
        <w:t xml:space="preserve">Zmiana maksymalnej wysokości opłaty </w:t>
      </w:r>
      <w:r w:rsidRPr="00F80038">
        <w:rPr>
          <w:rFonts w:cs="Times New Roman"/>
          <w:b/>
          <w:bCs/>
          <w:szCs w:val="24"/>
        </w:rPr>
        <w:t>w ust. 6</w:t>
      </w:r>
      <w:r w:rsidRPr="00F80038">
        <w:rPr>
          <w:rFonts w:cs="Times New Roman"/>
          <w:szCs w:val="24"/>
        </w:rPr>
        <w:t xml:space="preserve"> stanowi konsekwencję zmian przewidzianych w ust. 1 i 3.</w:t>
      </w:r>
      <w:r w:rsidR="00406DA0" w:rsidRPr="00406DA0">
        <w:rPr>
          <w:rFonts w:cs="Times New Roman"/>
          <w:szCs w:val="24"/>
        </w:rPr>
        <w:t xml:space="preserve"> </w:t>
      </w:r>
      <w:r w:rsidR="00406DA0">
        <w:rPr>
          <w:rFonts w:cs="Times New Roman"/>
          <w:szCs w:val="24"/>
        </w:rPr>
        <w:t xml:space="preserve">Dotychczasowa wysokość maksymalnego obciążenia, ustalana w odmiennych uwarunkowaniach rynkowych, w praktyce traci swoją realną wartość oddziaływania, m.in. w wyniku zmian cen oraz rosnącej dostępności wysoko przetworzonych napojów. Wprowadzenie wyższego limitu w wysokości 1,80 zł </w:t>
      </w:r>
      <w:r w:rsidR="00BB6391">
        <w:rPr>
          <w:rFonts w:cs="Times New Roman"/>
          <w:szCs w:val="24"/>
        </w:rPr>
        <w:t xml:space="preserve">w przeliczeniu na 1 litr napoju </w:t>
      </w:r>
      <w:r w:rsidR="00406DA0">
        <w:rPr>
          <w:rFonts w:cs="Times New Roman"/>
          <w:szCs w:val="24"/>
        </w:rPr>
        <w:t xml:space="preserve">pozwoli na lepsze dostosowanie poziomu opłaty do aktualnych warunków rynkowych oraz zwiększy jej funkcję bodźcową, zachęcając producentów do dalszej </w:t>
      </w:r>
      <w:proofErr w:type="spellStart"/>
      <w:r w:rsidR="00406DA0">
        <w:rPr>
          <w:rFonts w:cs="Times New Roman"/>
          <w:szCs w:val="24"/>
        </w:rPr>
        <w:t>reformulacji</w:t>
      </w:r>
      <w:proofErr w:type="spellEnd"/>
      <w:r w:rsidR="00406DA0">
        <w:rPr>
          <w:rFonts w:cs="Times New Roman"/>
          <w:szCs w:val="24"/>
        </w:rPr>
        <w:t xml:space="preserve"> produktów i ograniczania zawartości składników niepożądanych z punktu widzenia zdrowia publicznego. Zmiana ta przyczyni się również do zwiększenia efektywności systemu przez zapewnienie adekwatności maksymalnego poziomu opłaty do realizowanych celów regulacyjnych, w szczególności ograniczania spożycia napojów o wysokiej zawartości cukrów i innych substancji wpływających na utrwalanie preferencji dla smaku słodkiego.</w:t>
      </w:r>
    </w:p>
    <w:p w14:paraId="4A3A96D9" w14:textId="6D194B6A" w:rsidR="00454D81" w:rsidRDefault="008834BF" w:rsidP="005562A3">
      <w:pPr>
        <w:widowControl/>
        <w:jc w:val="both"/>
        <w:rPr>
          <w:rFonts w:cs="Times New Roman"/>
          <w:szCs w:val="24"/>
        </w:rPr>
      </w:pPr>
      <w:r w:rsidRPr="008834BF">
        <w:rPr>
          <w:rFonts w:cs="Times New Roman"/>
          <w:szCs w:val="24"/>
        </w:rPr>
        <w:t xml:space="preserve">Zmiany w </w:t>
      </w:r>
      <w:r w:rsidRPr="008834BF">
        <w:rPr>
          <w:rFonts w:cs="Times New Roman"/>
          <w:b/>
          <w:bCs/>
          <w:szCs w:val="24"/>
        </w:rPr>
        <w:t>ust. 7</w:t>
      </w:r>
      <w:r w:rsidRPr="008834BF">
        <w:rPr>
          <w:rFonts w:cs="Times New Roman"/>
          <w:szCs w:val="24"/>
        </w:rPr>
        <w:t xml:space="preserve"> wynikają z konieczności doprecyzowania, że regulacja dotyczy ustalania wysokości opłaty dla napojów w postaci płynu do bezpośrednie</w:t>
      </w:r>
      <w:r w:rsidR="00ED1B98">
        <w:rPr>
          <w:rFonts w:cs="Times New Roman"/>
          <w:szCs w:val="24"/>
        </w:rPr>
        <w:t>go spożycia</w:t>
      </w:r>
      <w:r w:rsidRPr="008834BF">
        <w:rPr>
          <w:rFonts w:cs="Times New Roman"/>
          <w:szCs w:val="24"/>
        </w:rPr>
        <w:t xml:space="preserve">. Dodatkowo </w:t>
      </w:r>
      <w:r w:rsidR="00F80038" w:rsidRPr="00F80038">
        <w:rPr>
          <w:rFonts w:cs="Times New Roman"/>
          <w:szCs w:val="24"/>
        </w:rPr>
        <w:t xml:space="preserve">są </w:t>
      </w:r>
      <w:r w:rsidR="00F80038">
        <w:rPr>
          <w:rFonts w:cs="Times New Roman"/>
          <w:szCs w:val="24"/>
        </w:rPr>
        <w:t xml:space="preserve">one </w:t>
      </w:r>
      <w:r w:rsidR="00F80038" w:rsidRPr="00F80038">
        <w:rPr>
          <w:rFonts w:cs="Times New Roman"/>
          <w:szCs w:val="24"/>
        </w:rPr>
        <w:t>jednolite ze zmianami zaproponowanymi w projektowanym art. 12b ust. 2 pkt 5 i 6</w:t>
      </w:r>
      <w:r w:rsidR="00454D81">
        <w:rPr>
          <w:rFonts w:cs="Times New Roman"/>
          <w:szCs w:val="24"/>
        </w:rPr>
        <w:t>. Napoje zawierające sok w ilości nie mniejszej niż 20% oraz napoje będące roztworami węglowodanowo</w:t>
      </w:r>
      <w:r w:rsidR="004A631A">
        <w:rPr>
          <w:rFonts w:cs="Times New Roman"/>
          <w:szCs w:val="24"/>
        </w:rPr>
        <w:t>–</w:t>
      </w:r>
      <w:r w:rsidR="00454D81">
        <w:rPr>
          <w:rFonts w:cs="Times New Roman"/>
          <w:szCs w:val="24"/>
        </w:rPr>
        <w:t>elektrolitowymi, które jednocześnie zwierają</w:t>
      </w:r>
      <w:r w:rsidR="00454D81" w:rsidRPr="00454D81">
        <w:rPr>
          <w:rFonts w:cs="Times New Roman"/>
          <w:szCs w:val="24"/>
        </w:rPr>
        <w:t xml:space="preserve"> cukier w ilości większej niż 5g</w:t>
      </w:r>
      <w:r w:rsidR="00454D81">
        <w:rPr>
          <w:rFonts w:cs="Times New Roman"/>
          <w:szCs w:val="24"/>
        </w:rPr>
        <w:t>, zg</w:t>
      </w:r>
      <w:r w:rsidR="00F80038" w:rsidRPr="00F80038">
        <w:rPr>
          <w:rFonts w:cs="Times New Roman"/>
          <w:szCs w:val="24"/>
        </w:rPr>
        <w:t xml:space="preserve">odnie z projektowanymi regulacjami </w:t>
      </w:r>
      <w:r w:rsidR="00454D81">
        <w:rPr>
          <w:rFonts w:cs="Times New Roman"/>
          <w:szCs w:val="24"/>
        </w:rPr>
        <w:t>będą obciążone wyłącznie zmienną częścią opłaty pod warunkiem, że nie zostaną do nich dodane substancje słodzące ani kofeina</w:t>
      </w:r>
      <w:r w:rsidR="00C16C82">
        <w:rPr>
          <w:rFonts w:cs="Times New Roman"/>
          <w:szCs w:val="24"/>
        </w:rPr>
        <w:t>,</w:t>
      </w:r>
      <w:r w:rsidR="00454D81">
        <w:rPr>
          <w:rFonts w:cs="Times New Roman"/>
          <w:szCs w:val="24"/>
        </w:rPr>
        <w:t xml:space="preserve"> ani tauryna.</w:t>
      </w:r>
    </w:p>
    <w:p w14:paraId="2DF4939D" w14:textId="77777777" w:rsidR="00454D81" w:rsidRDefault="00454D81" w:rsidP="005562A3">
      <w:pPr>
        <w:widowControl/>
        <w:jc w:val="both"/>
        <w:rPr>
          <w:rFonts w:cs="Times New Roman"/>
          <w:szCs w:val="24"/>
        </w:rPr>
      </w:pPr>
    </w:p>
    <w:p w14:paraId="37F374DF" w14:textId="48364525" w:rsidR="00060657" w:rsidRPr="00E82CFC" w:rsidRDefault="003845B7" w:rsidP="005562A3">
      <w:pPr>
        <w:widowControl/>
        <w:jc w:val="both"/>
        <w:rPr>
          <w:rFonts w:eastAsia="Calibri" w:cs="Times New Roman"/>
          <w:szCs w:val="24"/>
        </w:rPr>
      </w:pPr>
      <w:r w:rsidRPr="005C5D51">
        <w:rPr>
          <w:rFonts w:cs="Times New Roman"/>
          <w:szCs w:val="24"/>
        </w:rPr>
        <w:t xml:space="preserve">Z uwagi na wyodrębnienie napojów </w:t>
      </w:r>
      <w:r w:rsidR="00755970" w:rsidRPr="005C5D51">
        <w:rPr>
          <w:rFonts w:cs="Times New Roman"/>
          <w:szCs w:val="24"/>
        </w:rPr>
        <w:t xml:space="preserve">w postaci </w:t>
      </w:r>
      <w:r w:rsidR="008834BF">
        <w:rPr>
          <w:rFonts w:cs="Times New Roman"/>
          <w:szCs w:val="24"/>
        </w:rPr>
        <w:t>koncentratów</w:t>
      </w:r>
      <w:r w:rsidR="00755970" w:rsidRPr="005C5D51">
        <w:rPr>
          <w:rFonts w:cs="Times New Roman"/>
          <w:szCs w:val="24"/>
        </w:rPr>
        <w:t xml:space="preserve"> będąc</w:t>
      </w:r>
      <w:r w:rsidRPr="005C5D51">
        <w:rPr>
          <w:rFonts w:cs="Times New Roman"/>
          <w:szCs w:val="24"/>
        </w:rPr>
        <w:t>ych</w:t>
      </w:r>
      <w:r w:rsidR="00755970" w:rsidRPr="005C5D51">
        <w:rPr>
          <w:rFonts w:cs="Times New Roman"/>
          <w:szCs w:val="24"/>
        </w:rPr>
        <w:t xml:space="preserve"> środk</w:t>
      </w:r>
      <w:r w:rsidR="003F0FDF">
        <w:rPr>
          <w:rFonts w:cs="Times New Roman"/>
          <w:szCs w:val="24"/>
        </w:rPr>
        <w:t>ami</w:t>
      </w:r>
      <w:r w:rsidR="00755970" w:rsidRPr="005C5D51">
        <w:rPr>
          <w:rFonts w:cs="Times New Roman"/>
          <w:szCs w:val="24"/>
        </w:rPr>
        <w:t xml:space="preserve"> spożywczym</w:t>
      </w:r>
      <w:r w:rsidR="003F0FDF">
        <w:rPr>
          <w:rFonts w:cs="Times New Roman"/>
          <w:szCs w:val="24"/>
        </w:rPr>
        <w:t>i</w:t>
      </w:r>
      <w:r w:rsidR="00755970" w:rsidRPr="005C5D51">
        <w:rPr>
          <w:rFonts w:cs="Times New Roman"/>
          <w:szCs w:val="24"/>
        </w:rPr>
        <w:t xml:space="preserve"> przeznaczonym</w:t>
      </w:r>
      <w:r w:rsidR="003F0FDF">
        <w:rPr>
          <w:rFonts w:cs="Times New Roman"/>
          <w:szCs w:val="24"/>
        </w:rPr>
        <w:t>i</w:t>
      </w:r>
      <w:r w:rsidR="00755970" w:rsidRPr="005C5D51">
        <w:rPr>
          <w:rFonts w:cs="Times New Roman"/>
          <w:szCs w:val="24"/>
        </w:rPr>
        <w:t xml:space="preserve"> do sporządzania napojów</w:t>
      </w:r>
      <w:r w:rsidR="008834BF">
        <w:rPr>
          <w:rFonts w:cs="Times New Roman"/>
          <w:szCs w:val="24"/>
        </w:rPr>
        <w:t xml:space="preserve"> – płynów do bezpośredniego spożycia</w:t>
      </w:r>
      <w:r w:rsidR="00FB57E1">
        <w:rPr>
          <w:rFonts w:cs="Times New Roman"/>
          <w:szCs w:val="24"/>
        </w:rPr>
        <w:t>,</w:t>
      </w:r>
      <w:r w:rsidR="00755970" w:rsidRPr="005C5D51">
        <w:rPr>
          <w:rFonts w:cs="Times New Roman"/>
          <w:szCs w:val="24"/>
        </w:rPr>
        <w:t xml:space="preserve"> </w:t>
      </w:r>
      <w:r w:rsidRPr="000D2F67">
        <w:rPr>
          <w:rFonts w:cs="Times New Roman"/>
          <w:szCs w:val="24"/>
        </w:rPr>
        <w:t>za zasadne uznano</w:t>
      </w:r>
      <w:r w:rsidR="00755970" w:rsidRPr="000D2F67">
        <w:rPr>
          <w:rFonts w:cs="Times New Roman"/>
          <w:szCs w:val="24"/>
        </w:rPr>
        <w:t xml:space="preserve"> ustaleni</w:t>
      </w:r>
      <w:r w:rsidRPr="000E7D75">
        <w:rPr>
          <w:rFonts w:cs="Times New Roman"/>
          <w:szCs w:val="24"/>
        </w:rPr>
        <w:t>e</w:t>
      </w:r>
      <w:r w:rsidR="00755970" w:rsidRPr="00CF2EB6">
        <w:rPr>
          <w:rFonts w:cs="Times New Roman"/>
          <w:szCs w:val="24"/>
        </w:rPr>
        <w:t xml:space="preserve"> odrębnej dla tej grupy </w:t>
      </w:r>
      <w:r w:rsidRPr="00CF2EB6">
        <w:rPr>
          <w:rFonts w:cs="Times New Roman"/>
          <w:szCs w:val="24"/>
        </w:rPr>
        <w:t xml:space="preserve">napojów </w:t>
      </w:r>
      <w:r w:rsidR="00FB7F9E" w:rsidRPr="00CF2EB6">
        <w:rPr>
          <w:rFonts w:cs="Times New Roman"/>
          <w:szCs w:val="24"/>
        </w:rPr>
        <w:t>wysokości</w:t>
      </w:r>
      <w:r w:rsidR="00755970" w:rsidRPr="00490161">
        <w:rPr>
          <w:rFonts w:cs="Times New Roman"/>
          <w:szCs w:val="24"/>
        </w:rPr>
        <w:t xml:space="preserve"> opłaty</w:t>
      </w:r>
      <w:r w:rsidRPr="001D75FC">
        <w:rPr>
          <w:rFonts w:cs="Times New Roman"/>
          <w:szCs w:val="24"/>
        </w:rPr>
        <w:t xml:space="preserve">. </w:t>
      </w:r>
      <w:r w:rsidRPr="00E82CFC">
        <w:rPr>
          <w:rFonts w:eastAsia="Calibri" w:cs="Times New Roman"/>
          <w:szCs w:val="24"/>
        </w:rPr>
        <w:t>D</w:t>
      </w:r>
      <w:r w:rsidR="00AE1644" w:rsidRPr="00E82CFC">
        <w:rPr>
          <w:rFonts w:eastAsia="Calibri" w:cs="Times New Roman"/>
          <w:szCs w:val="24"/>
        </w:rPr>
        <w:t>otychczasowe przepisy nie określają</w:t>
      </w:r>
      <w:r w:rsidR="00CB2EC2">
        <w:rPr>
          <w:rFonts w:eastAsia="Calibri" w:cs="Times New Roman"/>
          <w:szCs w:val="24"/>
        </w:rPr>
        <w:t>,</w:t>
      </w:r>
      <w:r w:rsidR="00AE1644" w:rsidRPr="00E82CFC">
        <w:rPr>
          <w:rFonts w:eastAsia="Calibri" w:cs="Times New Roman"/>
          <w:szCs w:val="24"/>
        </w:rPr>
        <w:t xml:space="preserve"> czy opłata powinna być ustalana dla koncentratu, czy też dla produktu rozcieńczonego. </w:t>
      </w:r>
      <w:r w:rsidR="005429D7" w:rsidRPr="00E82CFC">
        <w:rPr>
          <w:rFonts w:eastAsia="Calibri" w:cs="Times New Roman"/>
          <w:szCs w:val="24"/>
        </w:rPr>
        <w:t>Ustalanie opłaty dla produktu rozcieńc</w:t>
      </w:r>
      <w:r w:rsidR="004A631A">
        <w:rPr>
          <w:rFonts w:eastAsia="Calibri" w:cs="Times New Roman"/>
          <w:szCs w:val="24"/>
        </w:rPr>
        <w:t>zon</w:t>
      </w:r>
      <w:r w:rsidR="005429D7" w:rsidRPr="00E82CFC">
        <w:rPr>
          <w:rFonts w:eastAsia="Calibri" w:cs="Times New Roman"/>
          <w:szCs w:val="24"/>
        </w:rPr>
        <w:t>ego mogłoby powodować trudności związane z prawidłowym ustalaniem proporcji rozcieńczania.</w:t>
      </w:r>
      <w:r w:rsidR="005429D7" w:rsidRPr="00E82CFC" w:rsidDel="001C150E">
        <w:rPr>
          <w:rFonts w:eastAsia="Calibri" w:cs="Times New Roman"/>
          <w:szCs w:val="24"/>
        </w:rPr>
        <w:t xml:space="preserve"> </w:t>
      </w:r>
      <w:r w:rsidR="001C150E" w:rsidRPr="00E82CFC">
        <w:rPr>
          <w:rFonts w:eastAsia="Calibri" w:cs="Times New Roman"/>
          <w:szCs w:val="24"/>
        </w:rPr>
        <w:t>B</w:t>
      </w:r>
      <w:r w:rsidR="00AE1644" w:rsidRPr="00E82CFC">
        <w:rPr>
          <w:rFonts w:eastAsia="Calibri" w:cs="Times New Roman"/>
          <w:szCs w:val="24"/>
        </w:rPr>
        <w:t>iorąc pod uwagę maksymalną wysokość opłaty 1,20 zł za litr napoju, w przypadku objęcia opłatą koncentratów, opłata ta jest nieproporcjonalnie niska w stosunku do zawartości cukru</w:t>
      </w:r>
      <w:r w:rsidR="0020211B">
        <w:rPr>
          <w:rFonts w:eastAsia="Calibri" w:cs="Times New Roman"/>
          <w:szCs w:val="24"/>
        </w:rPr>
        <w:t xml:space="preserve"> </w:t>
      </w:r>
      <w:r w:rsidR="00AE1644" w:rsidRPr="00E82CFC">
        <w:rPr>
          <w:rFonts w:eastAsia="Calibri" w:cs="Times New Roman"/>
          <w:szCs w:val="24"/>
        </w:rPr>
        <w:t xml:space="preserve">w skoncentrowanym produkcie. </w:t>
      </w:r>
      <w:r w:rsidR="00E14DA8">
        <w:rPr>
          <w:rFonts w:eastAsia="Calibri" w:cs="Times New Roman"/>
          <w:szCs w:val="24"/>
        </w:rPr>
        <w:t>Dyskryminuje to również podmioty dokonujące obrotu napojami gotowymi do spożycia w</w:t>
      </w:r>
      <w:r w:rsidR="008B6758">
        <w:rPr>
          <w:rFonts w:eastAsia="Calibri" w:cs="Times New Roman"/>
          <w:szCs w:val="24"/>
        </w:rPr>
        <w:t> </w:t>
      </w:r>
      <w:r w:rsidR="00E14DA8">
        <w:rPr>
          <w:rFonts w:eastAsia="Calibri" w:cs="Times New Roman"/>
          <w:szCs w:val="24"/>
        </w:rPr>
        <w:t>stosunku do podmiotów</w:t>
      </w:r>
      <w:r w:rsidR="00FB57E1">
        <w:rPr>
          <w:rFonts w:eastAsia="Calibri" w:cs="Times New Roman"/>
          <w:szCs w:val="24"/>
        </w:rPr>
        <w:t>,</w:t>
      </w:r>
      <w:r w:rsidR="00E14DA8">
        <w:rPr>
          <w:rFonts w:eastAsia="Calibri" w:cs="Times New Roman"/>
          <w:szCs w:val="24"/>
        </w:rPr>
        <w:t xml:space="preserve"> które dokonują obrotu </w:t>
      </w:r>
      <w:r w:rsidR="00B37CB6">
        <w:rPr>
          <w:rFonts w:eastAsia="Calibri" w:cs="Times New Roman"/>
          <w:szCs w:val="24"/>
        </w:rPr>
        <w:t>koncentratami</w:t>
      </w:r>
      <w:r w:rsidR="00E14DA8">
        <w:rPr>
          <w:rFonts w:eastAsia="Calibri" w:cs="Times New Roman"/>
          <w:szCs w:val="24"/>
        </w:rPr>
        <w:t xml:space="preserve">, ponieważ </w:t>
      </w:r>
      <w:r w:rsidR="00FB57E1">
        <w:rPr>
          <w:rFonts w:eastAsia="Calibri" w:cs="Times New Roman"/>
          <w:szCs w:val="24"/>
        </w:rPr>
        <w:t xml:space="preserve">wysokość </w:t>
      </w:r>
      <w:r w:rsidR="00E14DA8">
        <w:rPr>
          <w:rFonts w:eastAsia="Calibri" w:cs="Times New Roman"/>
          <w:szCs w:val="24"/>
        </w:rPr>
        <w:t>opłat</w:t>
      </w:r>
      <w:r w:rsidR="00FB57E1">
        <w:rPr>
          <w:rFonts w:eastAsia="Calibri" w:cs="Times New Roman"/>
          <w:szCs w:val="24"/>
        </w:rPr>
        <w:t>y</w:t>
      </w:r>
      <w:r w:rsidR="00E14DA8">
        <w:rPr>
          <w:rFonts w:eastAsia="Calibri" w:cs="Times New Roman"/>
          <w:szCs w:val="24"/>
        </w:rPr>
        <w:t xml:space="preserve"> </w:t>
      </w:r>
      <w:r w:rsidR="00E14DA8">
        <w:rPr>
          <w:rFonts w:eastAsia="Calibri" w:cs="Times New Roman"/>
          <w:szCs w:val="24"/>
        </w:rPr>
        <w:lastRenderedPageBreak/>
        <w:t xml:space="preserve">za litr napoju wytworzonego z koncentratu jest </w:t>
      </w:r>
      <w:r w:rsidR="00FB57E1">
        <w:rPr>
          <w:rFonts w:eastAsia="Calibri" w:cs="Times New Roman"/>
          <w:szCs w:val="24"/>
        </w:rPr>
        <w:t xml:space="preserve">wielokrotnie </w:t>
      </w:r>
      <w:r w:rsidR="00E14DA8">
        <w:rPr>
          <w:rFonts w:eastAsia="Calibri" w:cs="Times New Roman"/>
          <w:szCs w:val="24"/>
        </w:rPr>
        <w:t xml:space="preserve">niższa </w:t>
      </w:r>
      <w:r w:rsidR="00FB57E1">
        <w:rPr>
          <w:rFonts w:eastAsia="Calibri" w:cs="Times New Roman"/>
          <w:szCs w:val="24"/>
        </w:rPr>
        <w:t>od opłaty</w:t>
      </w:r>
      <w:r w:rsidR="00E14DA8">
        <w:rPr>
          <w:rFonts w:eastAsia="Calibri" w:cs="Times New Roman"/>
          <w:szCs w:val="24"/>
        </w:rPr>
        <w:t xml:space="preserve"> </w:t>
      </w:r>
      <w:r w:rsidR="00FB57E1">
        <w:rPr>
          <w:rFonts w:eastAsia="Calibri" w:cs="Times New Roman"/>
          <w:szCs w:val="24"/>
        </w:rPr>
        <w:t xml:space="preserve">przewidzianej </w:t>
      </w:r>
      <w:r w:rsidR="00E14DA8">
        <w:rPr>
          <w:rFonts w:eastAsia="Calibri" w:cs="Times New Roman"/>
          <w:szCs w:val="24"/>
        </w:rPr>
        <w:t xml:space="preserve">za litr napoju wyprodukowanego jako </w:t>
      </w:r>
      <w:r w:rsidR="00FB57E1">
        <w:rPr>
          <w:rFonts w:eastAsia="Calibri" w:cs="Times New Roman"/>
          <w:szCs w:val="24"/>
        </w:rPr>
        <w:t xml:space="preserve">napój </w:t>
      </w:r>
      <w:r w:rsidR="00E14DA8">
        <w:rPr>
          <w:rFonts w:eastAsia="Calibri" w:cs="Times New Roman"/>
          <w:szCs w:val="24"/>
        </w:rPr>
        <w:t>gotowy do bezpośredniego spożycia.</w:t>
      </w:r>
    </w:p>
    <w:p w14:paraId="5125E77F" w14:textId="4C82F8B0" w:rsidR="0055343D" w:rsidRDefault="00AE1644" w:rsidP="005562A3">
      <w:pPr>
        <w:widowControl/>
        <w:spacing w:before="120"/>
        <w:contextualSpacing/>
        <w:jc w:val="both"/>
        <w:rPr>
          <w:rFonts w:eastAsia="Calibri" w:cs="Times New Roman"/>
          <w:szCs w:val="24"/>
        </w:rPr>
      </w:pPr>
      <w:r w:rsidRPr="00E82CFC">
        <w:rPr>
          <w:rFonts w:eastAsia="Calibri" w:cs="Times New Roman"/>
          <w:szCs w:val="24"/>
        </w:rPr>
        <w:t xml:space="preserve">W związku z powyższym </w:t>
      </w:r>
      <w:r w:rsidR="00B37CB6">
        <w:rPr>
          <w:rFonts w:eastAsia="Calibri" w:cs="Times New Roman"/>
          <w:szCs w:val="24"/>
        </w:rPr>
        <w:t>zaproponowano</w:t>
      </w:r>
      <w:r w:rsidR="00B37CB6" w:rsidRPr="00E82CFC">
        <w:rPr>
          <w:rFonts w:eastAsia="Calibri" w:cs="Times New Roman"/>
          <w:szCs w:val="24"/>
        </w:rPr>
        <w:t xml:space="preserve"> </w:t>
      </w:r>
      <w:r w:rsidR="00CD6A67">
        <w:rPr>
          <w:rFonts w:eastAsia="Calibri" w:cs="Times New Roman"/>
          <w:b/>
          <w:bCs/>
          <w:szCs w:val="24"/>
        </w:rPr>
        <w:t>w</w:t>
      </w:r>
      <w:r w:rsidR="00ED1B98" w:rsidRPr="00ED1B98">
        <w:rPr>
          <w:rFonts w:eastAsia="Calibri" w:cs="Times New Roman"/>
          <w:b/>
          <w:bCs/>
          <w:szCs w:val="24"/>
        </w:rPr>
        <w:t xml:space="preserve"> ust. </w:t>
      </w:r>
      <w:r w:rsidR="003C415E">
        <w:rPr>
          <w:rFonts w:eastAsia="Calibri" w:cs="Times New Roman"/>
          <w:b/>
          <w:bCs/>
          <w:szCs w:val="24"/>
        </w:rPr>
        <w:t>8</w:t>
      </w:r>
      <w:r w:rsidR="00ED1B98">
        <w:rPr>
          <w:rFonts w:eastAsia="Calibri" w:cs="Times New Roman"/>
          <w:szCs w:val="24"/>
        </w:rPr>
        <w:t xml:space="preserve"> określono </w:t>
      </w:r>
      <w:r w:rsidR="00060657" w:rsidRPr="00E82CFC">
        <w:rPr>
          <w:rFonts w:eastAsia="Calibri" w:cs="Times New Roman"/>
          <w:szCs w:val="24"/>
        </w:rPr>
        <w:t xml:space="preserve">stałą wysokość </w:t>
      </w:r>
      <w:r w:rsidRPr="00E82CFC">
        <w:rPr>
          <w:rFonts w:eastAsia="Calibri" w:cs="Times New Roman"/>
          <w:szCs w:val="24"/>
        </w:rPr>
        <w:t>opłat</w:t>
      </w:r>
      <w:r w:rsidR="00060657" w:rsidRPr="00E82CFC">
        <w:rPr>
          <w:rFonts w:eastAsia="Calibri" w:cs="Times New Roman"/>
          <w:szCs w:val="24"/>
        </w:rPr>
        <w:t>y</w:t>
      </w:r>
      <w:r w:rsidRPr="00E82CFC">
        <w:rPr>
          <w:rFonts w:eastAsia="Calibri" w:cs="Times New Roman"/>
          <w:szCs w:val="24"/>
        </w:rPr>
        <w:t xml:space="preserve"> </w:t>
      </w:r>
      <w:r w:rsidR="00060657" w:rsidRPr="00E82CFC">
        <w:rPr>
          <w:rFonts w:eastAsia="Calibri" w:cs="Times New Roman"/>
          <w:szCs w:val="24"/>
        </w:rPr>
        <w:t xml:space="preserve">dla napojów w postaci </w:t>
      </w:r>
      <w:r w:rsidR="00ED1B98">
        <w:rPr>
          <w:rFonts w:eastAsia="Calibri" w:cs="Times New Roman"/>
          <w:szCs w:val="24"/>
        </w:rPr>
        <w:t>koncentratu</w:t>
      </w:r>
      <w:r w:rsidR="00060657" w:rsidRPr="00E82CFC">
        <w:rPr>
          <w:rFonts w:eastAsia="Calibri" w:cs="Times New Roman"/>
          <w:szCs w:val="24"/>
        </w:rPr>
        <w:t xml:space="preserve"> </w:t>
      </w:r>
      <w:r w:rsidR="008B6758">
        <w:rPr>
          <w:rFonts w:eastAsia="Calibri" w:cs="Times New Roman"/>
          <w:szCs w:val="24"/>
        </w:rPr>
        <w:t>–</w:t>
      </w:r>
      <w:r w:rsidR="00060657" w:rsidRPr="00E82CFC">
        <w:rPr>
          <w:rFonts w:eastAsia="Calibri" w:cs="Times New Roman"/>
          <w:szCs w:val="24"/>
        </w:rPr>
        <w:t xml:space="preserve"> </w:t>
      </w:r>
      <w:r w:rsidRPr="00E82CFC">
        <w:rPr>
          <w:rFonts w:eastAsia="Calibri" w:cs="Times New Roman"/>
          <w:szCs w:val="24"/>
        </w:rPr>
        <w:t>3,00 zł za litr</w:t>
      </w:r>
      <w:r w:rsidR="00ED1B98">
        <w:rPr>
          <w:rFonts w:eastAsia="Calibri" w:cs="Times New Roman"/>
          <w:szCs w:val="24"/>
        </w:rPr>
        <w:t xml:space="preserve"> albo</w:t>
      </w:r>
      <w:r w:rsidR="00104C94" w:rsidRPr="00E82CFC">
        <w:rPr>
          <w:rFonts w:eastAsia="Calibri" w:cs="Times New Roman"/>
          <w:szCs w:val="24"/>
        </w:rPr>
        <w:t xml:space="preserve"> kilogram</w:t>
      </w:r>
      <w:r w:rsidR="0055343D">
        <w:rPr>
          <w:rFonts w:eastAsia="Calibri" w:cs="Times New Roman"/>
          <w:szCs w:val="24"/>
        </w:rPr>
        <w:t xml:space="preserve"> tego koncentratu</w:t>
      </w:r>
      <w:r w:rsidR="00060657" w:rsidRPr="00E82CFC">
        <w:rPr>
          <w:rFonts w:eastAsia="Calibri" w:cs="Times New Roman"/>
          <w:szCs w:val="24"/>
        </w:rPr>
        <w:t>. W</w:t>
      </w:r>
      <w:r w:rsidRPr="00E82CFC">
        <w:rPr>
          <w:rFonts w:eastAsia="Calibri" w:cs="Times New Roman"/>
          <w:szCs w:val="24"/>
        </w:rPr>
        <w:t>ysokość opłaty ustalono biorąc pod uwagę średnią zawarto</w:t>
      </w:r>
      <w:r w:rsidR="00104C94" w:rsidRPr="00E82CFC">
        <w:rPr>
          <w:rFonts w:eastAsia="Calibri" w:cs="Times New Roman"/>
          <w:szCs w:val="24"/>
        </w:rPr>
        <w:t>ś</w:t>
      </w:r>
      <w:r w:rsidR="001B6A83" w:rsidRPr="00E82CFC">
        <w:rPr>
          <w:rFonts w:eastAsia="Calibri" w:cs="Times New Roman"/>
          <w:szCs w:val="24"/>
        </w:rPr>
        <w:t>ć cukru w przeliczeniu na litr</w:t>
      </w:r>
      <w:r w:rsidR="00BB6391">
        <w:rPr>
          <w:rFonts w:eastAsia="Calibri" w:cs="Times New Roman"/>
          <w:szCs w:val="24"/>
        </w:rPr>
        <w:t xml:space="preserve"> albo </w:t>
      </w:r>
      <w:r w:rsidR="00104C94" w:rsidRPr="00E82CFC">
        <w:rPr>
          <w:rFonts w:eastAsia="Calibri" w:cs="Times New Roman"/>
          <w:szCs w:val="24"/>
        </w:rPr>
        <w:t xml:space="preserve">kilogram </w:t>
      </w:r>
      <w:r w:rsidR="0004630E" w:rsidRPr="00E82CFC">
        <w:rPr>
          <w:rFonts w:eastAsia="Calibri" w:cs="Times New Roman"/>
          <w:szCs w:val="24"/>
        </w:rPr>
        <w:t>wyrobu skoncentrowanego.</w:t>
      </w:r>
      <w:r w:rsidR="00E14DA8">
        <w:rPr>
          <w:rFonts w:eastAsia="Calibri" w:cs="Times New Roman"/>
          <w:szCs w:val="24"/>
        </w:rPr>
        <w:t xml:space="preserve"> Takie rozwiązanie ma na celu wspieranie uczciwej konkurencji i zniwelowanie dysproporcji między podmiotami dokonującymi obrotu napojami gotowymi do bezpośredniego spożycia, a podmiotami dokonującymi obrotu </w:t>
      </w:r>
      <w:r w:rsidR="00B37CB6">
        <w:rPr>
          <w:rFonts w:eastAsia="Calibri" w:cs="Times New Roman"/>
          <w:szCs w:val="24"/>
        </w:rPr>
        <w:t>koncentratami</w:t>
      </w:r>
      <w:r w:rsidR="00E14DA8">
        <w:rPr>
          <w:rFonts w:eastAsia="Calibri" w:cs="Times New Roman"/>
          <w:szCs w:val="24"/>
        </w:rPr>
        <w:t>.</w:t>
      </w:r>
      <w:r w:rsidR="0055343D">
        <w:rPr>
          <w:rFonts w:eastAsia="Calibri" w:cs="Times New Roman"/>
          <w:szCs w:val="24"/>
        </w:rPr>
        <w:t xml:space="preserve"> </w:t>
      </w:r>
    </w:p>
    <w:p w14:paraId="11D75C1E" w14:textId="6E50DE23" w:rsidR="00AE1644" w:rsidRPr="00E82CFC" w:rsidRDefault="0055343D" w:rsidP="005562A3">
      <w:pPr>
        <w:widowControl/>
        <w:spacing w:before="120"/>
        <w:contextualSpacing/>
        <w:jc w:val="both"/>
        <w:rPr>
          <w:rFonts w:eastAsia="Calibri" w:cs="Times New Roman"/>
          <w:szCs w:val="24"/>
        </w:rPr>
      </w:pPr>
      <w:r>
        <w:rPr>
          <w:rFonts w:eastAsia="Calibri" w:cs="Times New Roman"/>
          <w:szCs w:val="24"/>
        </w:rPr>
        <w:t xml:space="preserve">Z kolei dodany </w:t>
      </w:r>
      <w:r w:rsidRPr="0055343D">
        <w:rPr>
          <w:rFonts w:eastAsia="Calibri" w:cs="Times New Roman"/>
          <w:b/>
          <w:bCs/>
          <w:szCs w:val="24"/>
        </w:rPr>
        <w:t xml:space="preserve">ust. </w:t>
      </w:r>
      <w:r w:rsidR="003C415E">
        <w:rPr>
          <w:rFonts w:eastAsia="Calibri" w:cs="Times New Roman"/>
          <w:b/>
          <w:bCs/>
          <w:szCs w:val="24"/>
        </w:rPr>
        <w:t>9</w:t>
      </w:r>
      <w:r>
        <w:rPr>
          <w:rFonts w:eastAsia="Calibri" w:cs="Times New Roman"/>
          <w:szCs w:val="24"/>
        </w:rPr>
        <w:t xml:space="preserve"> ma na celu</w:t>
      </w:r>
      <w:r w:rsidRPr="0055343D">
        <w:t xml:space="preserve"> </w:t>
      </w:r>
      <w:r w:rsidRPr="0055343D">
        <w:rPr>
          <w:rFonts w:eastAsia="Calibri" w:cs="Times New Roman"/>
          <w:szCs w:val="24"/>
        </w:rPr>
        <w:t xml:space="preserve">ujednolicenie sposobu określania ilości napojów będących koncentratami w zależności od postaci, w jakiej ten napój występuje (płynna, półpłynna czy stała). Zaproponowano wprowadzenie zasady, że </w:t>
      </w:r>
      <w:r>
        <w:rPr>
          <w:rFonts w:eastAsia="Calibri" w:cs="Times New Roman"/>
          <w:szCs w:val="24"/>
        </w:rPr>
        <w:t xml:space="preserve">w przypadku koncentratu do sporządzania płynu do bezpośredniego spożycia, </w:t>
      </w:r>
      <w:r w:rsidRPr="0055343D">
        <w:rPr>
          <w:rFonts w:eastAsia="Calibri" w:cs="Times New Roman"/>
          <w:szCs w:val="24"/>
        </w:rPr>
        <w:t xml:space="preserve">do obliczania </w:t>
      </w:r>
      <w:r>
        <w:rPr>
          <w:rFonts w:eastAsia="Calibri" w:cs="Times New Roman"/>
          <w:szCs w:val="24"/>
        </w:rPr>
        <w:t xml:space="preserve">wysokości </w:t>
      </w:r>
      <w:r w:rsidRPr="0055343D">
        <w:rPr>
          <w:rFonts w:eastAsia="Calibri" w:cs="Times New Roman"/>
          <w:szCs w:val="24"/>
        </w:rPr>
        <w:t>opłaty od środków spożywczych</w:t>
      </w:r>
      <w:r w:rsidR="00C16C82">
        <w:rPr>
          <w:rFonts w:eastAsia="Calibri" w:cs="Times New Roman"/>
          <w:szCs w:val="24"/>
        </w:rPr>
        <w:t>,</w:t>
      </w:r>
      <w:r w:rsidRPr="0055343D">
        <w:rPr>
          <w:rFonts w:eastAsia="Calibri" w:cs="Times New Roman"/>
          <w:szCs w:val="24"/>
        </w:rPr>
        <w:t xml:space="preserve"> przyjmuje się ilość litrów </w:t>
      </w:r>
      <w:r w:rsidR="00BB6391">
        <w:rPr>
          <w:rFonts w:eastAsia="Calibri" w:cs="Times New Roman"/>
          <w:szCs w:val="24"/>
        </w:rPr>
        <w:t>albo</w:t>
      </w:r>
      <w:r w:rsidRPr="0055343D">
        <w:rPr>
          <w:rFonts w:eastAsia="Calibri" w:cs="Times New Roman"/>
          <w:szCs w:val="24"/>
        </w:rPr>
        <w:t xml:space="preserve"> kilogramów </w:t>
      </w:r>
      <w:r>
        <w:rPr>
          <w:rFonts w:eastAsia="Calibri" w:cs="Times New Roman"/>
          <w:szCs w:val="24"/>
        </w:rPr>
        <w:t xml:space="preserve">tego koncentratu </w:t>
      </w:r>
      <w:r w:rsidRPr="0055343D">
        <w:rPr>
          <w:rFonts w:eastAsia="Calibri" w:cs="Times New Roman"/>
          <w:szCs w:val="24"/>
        </w:rPr>
        <w:t>zaokrągloną w górę do części setnych.</w:t>
      </w:r>
    </w:p>
    <w:p w14:paraId="1E3685E6" w14:textId="07C93C50" w:rsidR="004821D0" w:rsidRDefault="00626999" w:rsidP="005562A3">
      <w:pPr>
        <w:widowControl/>
        <w:jc w:val="both"/>
        <w:rPr>
          <w:rFonts w:eastAsia="Calibri" w:cs="Times New Roman"/>
          <w:szCs w:val="24"/>
        </w:rPr>
      </w:pPr>
      <w:r w:rsidRPr="00626999">
        <w:rPr>
          <w:rFonts w:eastAsia="Calibri" w:cs="Times New Roman"/>
          <w:szCs w:val="24"/>
        </w:rPr>
        <w:t>Treść</w:t>
      </w:r>
      <w:r>
        <w:rPr>
          <w:rFonts w:eastAsia="Calibri" w:cs="Times New Roman"/>
          <w:szCs w:val="24"/>
        </w:rPr>
        <w:t xml:space="preserve"> </w:t>
      </w:r>
      <w:r w:rsidR="00FE04CF">
        <w:rPr>
          <w:rFonts w:eastAsia="Calibri" w:cs="Times New Roman"/>
          <w:szCs w:val="24"/>
        </w:rPr>
        <w:t xml:space="preserve">dodanego </w:t>
      </w:r>
      <w:r w:rsidR="00D32367" w:rsidRPr="00ED1B98">
        <w:rPr>
          <w:rFonts w:eastAsia="Calibri" w:cs="Times New Roman"/>
          <w:b/>
          <w:szCs w:val="24"/>
        </w:rPr>
        <w:t xml:space="preserve">ust. </w:t>
      </w:r>
      <w:r w:rsidR="003C415E">
        <w:rPr>
          <w:rFonts w:eastAsia="Calibri" w:cs="Times New Roman"/>
          <w:b/>
          <w:szCs w:val="24"/>
        </w:rPr>
        <w:t>10</w:t>
      </w:r>
      <w:r>
        <w:rPr>
          <w:rFonts w:eastAsia="Calibri" w:cs="Times New Roman"/>
          <w:b/>
          <w:szCs w:val="24"/>
        </w:rPr>
        <w:t xml:space="preserve"> </w:t>
      </w:r>
      <w:r w:rsidRPr="00626999">
        <w:rPr>
          <w:rFonts w:eastAsia="Calibri" w:cs="Times New Roman"/>
          <w:bCs/>
          <w:szCs w:val="24"/>
        </w:rPr>
        <w:t>odpowiada treści dotychczasowemu ust. 8 i</w:t>
      </w:r>
      <w:r>
        <w:rPr>
          <w:rFonts w:eastAsia="Calibri" w:cs="Times New Roman"/>
          <w:b/>
          <w:szCs w:val="24"/>
        </w:rPr>
        <w:t xml:space="preserve"> </w:t>
      </w:r>
      <w:r w:rsidR="00D32367" w:rsidRPr="00D32367">
        <w:rPr>
          <w:rFonts w:eastAsia="Calibri" w:cs="Times New Roman"/>
          <w:szCs w:val="24"/>
        </w:rPr>
        <w:t>ma charakter doprecyzowujący i wskazuje, że opłatę należną pomniejsza się o opłatę naliczoną od napojów zwróconych podmiotowi obowiązanemu do zapłaty opłaty, o którym mowa w art. 12d ust. 1.</w:t>
      </w:r>
    </w:p>
    <w:p w14:paraId="20310CF0" w14:textId="0FA984A7" w:rsidR="002B3553" w:rsidRPr="002B3553" w:rsidRDefault="002B3553" w:rsidP="002B3553">
      <w:pPr>
        <w:widowControl/>
        <w:jc w:val="both"/>
        <w:rPr>
          <w:rFonts w:eastAsia="Calibri" w:cs="Times New Roman"/>
          <w:szCs w:val="24"/>
        </w:rPr>
      </w:pPr>
      <w:r w:rsidRPr="002B3553">
        <w:rPr>
          <w:rFonts w:eastAsia="Calibri" w:cs="Times New Roman"/>
          <w:b/>
          <w:bCs/>
          <w:szCs w:val="24"/>
        </w:rPr>
        <w:t>Art. 12g</w:t>
      </w:r>
      <w:r w:rsidRPr="002B3553">
        <w:rPr>
          <w:rFonts w:eastAsia="Calibri" w:cs="Times New Roman"/>
          <w:szCs w:val="24"/>
        </w:rPr>
        <w:t xml:space="preserve"> – zmiany zaproponowane w tym przepisie dotyczą obowiązku składania przez podmioty obowiązane do zapłaty opłaty informacji o wysokości opłaty od środków spożywczych. Zmiana </w:t>
      </w:r>
      <w:r w:rsidRPr="00F12E13">
        <w:rPr>
          <w:rFonts w:eastAsia="Calibri" w:cs="Times New Roman"/>
          <w:b/>
          <w:bCs/>
          <w:szCs w:val="24"/>
        </w:rPr>
        <w:t>ust. 1</w:t>
      </w:r>
      <w:r w:rsidRPr="002B3553">
        <w:rPr>
          <w:rFonts w:eastAsia="Calibri" w:cs="Times New Roman"/>
          <w:szCs w:val="24"/>
        </w:rPr>
        <w:t xml:space="preserve"> ma charakter porządkujący, ponieważ odniesienie do zapłaty opłaty na rachunek organu właściwego w sprawie opłaty wskazane w części wspólnej przepisu nie powinno odnosić się do pkt 1 dotyczącego składania informacji.</w:t>
      </w:r>
      <w:r w:rsidR="00F12E13">
        <w:rPr>
          <w:rFonts w:eastAsia="Calibri" w:cs="Times New Roman"/>
          <w:szCs w:val="24"/>
        </w:rPr>
        <w:t xml:space="preserve"> Ponadto, wskazano, że </w:t>
      </w:r>
      <w:r w:rsidR="00F12E13" w:rsidRPr="00F12E13">
        <w:rPr>
          <w:rFonts w:eastAsia="Calibri" w:cs="Times New Roman"/>
          <w:szCs w:val="24"/>
        </w:rPr>
        <w:t>informacj</w:t>
      </w:r>
      <w:r w:rsidR="00F12E13">
        <w:rPr>
          <w:rFonts w:eastAsia="Calibri" w:cs="Times New Roman"/>
          <w:szCs w:val="24"/>
        </w:rPr>
        <w:t>a</w:t>
      </w:r>
      <w:r w:rsidR="00F12E13" w:rsidRPr="00F12E13">
        <w:rPr>
          <w:rFonts w:eastAsia="Calibri" w:cs="Times New Roman"/>
          <w:szCs w:val="24"/>
        </w:rPr>
        <w:t xml:space="preserve"> o wysokości opłaty </w:t>
      </w:r>
      <w:r w:rsidR="00F12E13">
        <w:rPr>
          <w:rFonts w:eastAsia="Calibri" w:cs="Times New Roman"/>
          <w:szCs w:val="24"/>
        </w:rPr>
        <w:t xml:space="preserve">będzie składana jak dotychczas </w:t>
      </w:r>
      <w:r w:rsidR="00F12E13" w:rsidRPr="00F12E13">
        <w:rPr>
          <w:rFonts w:eastAsia="Calibri" w:cs="Times New Roman"/>
          <w:szCs w:val="24"/>
        </w:rPr>
        <w:t>za pomocą środków komunikacji elektronicznej,</w:t>
      </w:r>
      <w:r w:rsidR="00F12E13">
        <w:rPr>
          <w:rFonts w:eastAsia="Calibri" w:cs="Times New Roman"/>
          <w:szCs w:val="24"/>
        </w:rPr>
        <w:t xml:space="preserve"> z jednoczesnym doprecyzowaniem, że środki te będą </w:t>
      </w:r>
      <w:r w:rsidR="00F12E13" w:rsidRPr="00F12E13">
        <w:rPr>
          <w:rFonts w:eastAsia="Calibri" w:cs="Times New Roman"/>
          <w:szCs w:val="24"/>
        </w:rPr>
        <w:t>określon</w:t>
      </w:r>
      <w:r w:rsidR="00F12E13">
        <w:rPr>
          <w:rFonts w:eastAsia="Calibri" w:cs="Times New Roman"/>
          <w:szCs w:val="24"/>
        </w:rPr>
        <w:t xml:space="preserve">e w akcie wykonawczym </w:t>
      </w:r>
      <w:r w:rsidR="00F12E13" w:rsidRPr="00F12E13">
        <w:rPr>
          <w:rFonts w:eastAsia="Calibri" w:cs="Times New Roman"/>
          <w:szCs w:val="24"/>
        </w:rPr>
        <w:t>wydany</w:t>
      </w:r>
      <w:r w:rsidR="00F12E13">
        <w:rPr>
          <w:rFonts w:eastAsia="Calibri" w:cs="Times New Roman"/>
          <w:szCs w:val="24"/>
        </w:rPr>
        <w:t>m na podstawie tej ustawy.</w:t>
      </w:r>
    </w:p>
    <w:p w14:paraId="14CA04F1" w14:textId="5A70A604" w:rsidR="002B3553" w:rsidRPr="002B3553" w:rsidRDefault="002B3553" w:rsidP="002B3553">
      <w:pPr>
        <w:widowControl/>
        <w:jc w:val="both"/>
        <w:rPr>
          <w:rFonts w:eastAsia="Calibri" w:cs="Times New Roman"/>
          <w:szCs w:val="24"/>
        </w:rPr>
      </w:pPr>
      <w:r w:rsidRPr="002B3553">
        <w:rPr>
          <w:rFonts w:eastAsia="Calibri" w:cs="Times New Roman"/>
          <w:szCs w:val="24"/>
        </w:rPr>
        <w:t xml:space="preserve">Zmiana w zakresie </w:t>
      </w:r>
      <w:r w:rsidRPr="00F12E13">
        <w:rPr>
          <w:rFonts w:eastAsia="Calibri" w:cs="Times New Roman"/>
          <w:b/>
          <w:bCs/>
          <w:szCs w:val="24"/>
        </w:rPr>
        <w:t>ust. 2</w:t>
      </w:r>
      <w:r w:rsidRPr="002B3553">
        <w:rPr>
          <w:rFonts w:eastAsia="Calibri" w:cs="Times New Roman"/>
          <w:szCs w:val="24"/>
        </w:rPr>
        <w:t>, normującego zakres danych, jakie powinna zawierać informacja CUK-1, ma na celu przeniesienie określenia szczegółowego zakresu danych zawartych w tej informacji do rozporządzenia, wzorem np. art. 99 ust. 7c ustawy z dnia 11 marca 2004 r. o podatku od towarów i usług</w:t>
      </w:r>
      <w:r w:rsidR="00381A08">
        <w:rPr>
          <w:rFonts w:eastAsia="Calibri" w:cs="Times New Roman"/>
          <w:szCs w:val="24"/>
        </w:rPr>
        <w:t xml:space="preserve"> (</w:t>
      </w:r>
      <w:r w:rsidR="00381A08" w:rsidRPr="00381A08">
        <w:rPr>
          <w:rFonts w:eastAsia="Calibri" w:cs="Times New Roman"/>
          <w:szCs w:val="24"/>
        </w:rPr>
        <w:t>Dz. U. z 202</w:t>
      </w:r>
      <w:r w:rsidR="003143E6">
        <w:rPr>
          <w:rFonts w:eastAsia="Calibri" w:cs="Times New Roman"/>
          <w:szCs w:val="24"/>
        </w:rPr>
        <w:t>6</w:t>
      </w:r>
      <w:r w:rsidR="00381A08" w:rsidRPr="00381A08">
        <w:rPr>
          <w:rFonts w:eastAsia="Calibri" w:cs="Times New Roman"/>
          <w:szCs w:val="24"/>
        </w:rPr>
        <w:t xml:space="preserve"> r. poz. </w:t>
      </w:r>
      <w:r w:rsidR="003143E6">
        <w:rPr>
          <w:rFonts w:eastAsia="Calibri" w:cs="Times New Roman"/>
          <w:szCs w:val="24"/>
        </w:rPr>
        <w:t>1263</w:t>
      </w:r>
      <w:r w:rsidR="00381A08">
        <w:rPr>
          <w:rFonts w:eastAsia="Calibri" w:cs="Times New Roman"/>
          <w:szCs w:val="24"/>
        </w:rPr>
        <w:t>)</w:t>
      </w:r>
      <w:r w:rsidRPr="002B3553">
        <w:rPr>
          <w:rFonts w:eastAsia="Calibri" w:cs="Times New Roman"/>
          <w:szCs w:val="24"/>
        </w:rPr>
        <w:t>. Zmiana usprawni dostosowywanie zakresu wymaganych danych do wprowadzanych zmian, także związanych z wymogami systemów obsługujących informacj</w:t>
      </w:r>
      <w:r w:rsidR="00F91065">
        <w:rPr>
          <w:rFonts w:eastAsia="Calibri" w:cs="Times New Roman"/>
          <w:szCs w:val="24"/>
        </w:rPr>
        <w:t>ę</w:t>
      </w:r>
      <w:r w:rsidRPr="002B3553">
        <w:rPr>
          <w:rFonts w:eastAsia="Calibri" w:cs="Times New Roman"/>
          <w:szCs w:val="24"/>
        </w:rPr>
        <w:t xml:space="preserve"> CUK-1. Ustawa o zdrowiu publicznym wskaże na konieczność podania w informacji danych dotyczących podmiotu składającego informację CUK-1 czy danych pozwalających na prawidłowe obliczenie wysokości opłaty. Z tego samego </w:t>
      </w:r>
      <w:r w:rsidRPr="002B3553">
        <w:rPr>
          <w:rFonts w:eastAsia="Calibri" w:cs="Times New Roman"/>
          <w:szCs w:val="24"/>
        </w:rPr>
        <w:lastRenderedPageBreak/>
        <w:t xml:space="preserve">względu uchylono </w:t>
      </w:r>
      <w:r w:rsidRPr="00F12E13">
        <w:rPr>
          <w:rFonts w:eastAsia="Calibri" w:cs="Times New Roman"/>
          <w:b/>
          <w:bCs/>
          <w:szCs w:val="24"/>
        </w:rPr>
        <w:t>ust. 3</w:t>
      </w:r>
      <w:r w:rsidRPr="002B3553">
        <w:rPr>
          <w:rFonts w:eastAsia="Calibri" w:cs="Times New Roman"/>
          <w:szCs w:val="24"/>
        </w:rPr>
        <w:t xml:space="preserve">, bowiem szczegółowe kwestie </w:t>
      </w:r>
      <w:r w:rsidR="007F5FFA">
        <w:rPr>
          <w:rFonts w:eastAsia="Calibri" w:cs="Times New Roman"/>
          <w:szCs w:val="24"/>
        </w:rPr>
        <w:t xml:space="preserve">dotyczące sposobu skradania </w:t>
      </w:r>
      <w:r w:rsidR="00F91065">
        <w:rPr>
          <w:rFonts w:eastAsia="Calibri" w:cs="Times New Roman"/>
          <w:szCs w:val="24"/>
        </w:rPr>
        <w:t>informacji</w:t>
      </w:r>
      <w:r w:rsidRPr="002B3553">
        <w:rPr>
          <w:rFonts w:eastAsia="Calibri" w:cs="Times New Roman"/>
          <w:szCs w:val="24"/>
        </w:rPr>
        <w:t xml:space="preserve"> powinny zostać materią przepisów wykonawczych.</w:t>
      </w:r>
    </w:p>
    <w:p w14:paraId="252C5C68" w14:textId="0AF731C6" w:rsidR="002B3553" w:rsidRPr="002B3553" w:rsidRDefault="002B3553" w:rsidP="002B3553">
      <w:pPr>
        <w:widowControl/>
        <w:jc w:val="both"/>
        <w:rPr>
          <w:rFonts w:eastAsia="Calibri" w:cs="Times New Roman"/>
          <w:szCs w:val="24"/>
        </w:rPr>
      </w:pPr>
      <w:r w:rsidRPr="002B3553">
        <w:rPr>
          <w:rFonts w:eastAsia="Calibri" w:cs="Times New Roman"/>
          <w:szCs w:val="24"/>
        </w:rPr>
        <w:t>W</w:t>
      </w:r>
      <w:r w:rsidR="00F12E13">
        <w:rPr>
          <w:rFonts w:eastAsia="Calibri" w:cs="Times New Roman"/>
          <w:szCs w:val="24"/>
        </w:rPr>
        <w:t xml:space="preserve"> dodanym</w:t>
      </w:r>
      <w:r w:rsidRPr="002B3553">
        <w:rPr>
          <w:rFonts w:eastAsia="Calibri" w:cs="Times New Roman"/>
          <w:szCs w:val="24"/>
        </w:rPr>
        <w:t xml:space="preserve"> </w:t>
      </w:r>
      <w:r w:rsidRPr="00F12E13">
        <w:rPr>
          <w:rFonts w:eastAsia="Calibri" w:cs="Times New Roman"/>
          <w:b/>
          <w:bCs/>
          <w:szCs w:val="24"/>
        </w:rPr>
        <w:t>ust. 4</w:t>
      </w:r>
      <w:r w:rsidRPr="002B3553">
        <w:rPr>
          <w:rFonts w:eastAsia="Calibri" w:cs="Times New Roman"/>
          <w:szCs w:val="24"/>
        </w:rPr>
        <w:t xml:space="preserve"> wskazano organy właściwe w sprawie opłaty, którymi są naczelnik urzędu skarbowego właściw</w:t>
      </w:r>
      <w:r w:rsidR="00F12E13">
        <w:rPr>
          <w:rFonts w:eastAsia="Calibri" w:cs="Times New Roman"/>
          <w:szCs w:val="24"/>
        </w:rPr>
        <w:t xml:space="preserve">y </w:t>
      </w:r>
      <w:r w:rsidRPr="002B3553">
        <w:rPr>
          <w:rFonts w:eastAsia="Calibri" w:cs="Times New Roman"/>
          <w:szCs w:val="24"/>
        </w:rPr>
        <w:t>ze względu na miejsce zamieszkania albo siedzibę podmiotu obowiązanego do zapłaty opłaty</w:t>
      </w:r>
      <w:r w:rsidR="00F12E13">
        <w:t xml:space="preserve"> oraz właściwy dla tego naczelnika</w:t>
      </w:r>
      <w:r w:rsidR="00F12E13">
        <w:rPr>
          <w:rFonts w:eastAsia="Calibri" w:cs="Times New Roman"/>
          <w:szCs w:val="24"/>
        </w:rPr>
        <w:t xml:space="preserve"> </w:t>
      </w:r>
      <w:r w:rsidR="00F12E13" w:rsidRPr="00F12E13">
        <w:rPr>
          <w:rFonts w:eastAsia="Calibri" w:cs="Times New Roman"/>
          <w:szCs w:val="24"/>
        </w:rPr>
        <w:t>dyrektor izby administracji skarbowej</w:t>
      </w:r>
      <w:r w:rsidR="00F12E13">
        <w:rPr>
          <w:rFonts w:eastAsia="Calibri" w:cs="Times New Roman"/>
          <w:szCs w:val="24"/>
        </w:rPr>
        <w:t>.</w:t>
      </w:r>
    </w:p>
    <w:p w14:paraId="12C0A64C" w14:textId="5F8307CD" w:rsidR="002B3553" w:rsidRPr="00DD20B2" w:rsidRDefault="002B3553" w:rsidP="002B3553">
      <w:pPr>
        <w:widowControl/>
        <w:jc w:val="both"/>
        <w:rPr>
          <w:rFonts w:eastAsia="Calibri" w:cs="Times New Roman"/>
          <w:szCs w:val="24"/>
        </w:rPr>
      </w:pPr>
      <w:r w:rsidRPr="002B3553">
        <w:rPr>
          <w:rFonts w:eastAsia="Calibri" w:cs="Times New Roman"/>
          <w:szCs w:val="24"/>
        </w:rPr>
        <w:t xml:space="preserve">Konsekwentnie do powyższych zmian, dodano </w:t>
      </w:r>
      <w:r w:rsidRPr="00F12E13">
        <w:rPr>
          <w:rFonts w:eastAsia="Calibri" w:cs="Times New Roman"/>
          <w:b/>
          <w:bCs/>
          <w:szCs w:val="24"/>
        </w:rPr>
        <w:t>ust. 5</w:t>
      </w:r>
      <w:r w:rsidRPr="002B3553">
        <w:rPr>
          <w:rFonts w:eastAsia="Calibri" w:cs="Times New Roman"/>
          <w:szCs w:val="24"/>
        </w:rPr>
        <w:t xml:space="preserve"> zawierający </w:t>
      </w:r>
      <w:r w:rsidR="00F12E13">
        <w:rPr>
          <w:rFonts w:eastAsia="Calibri" w:cs="Times New Roman"/>
          <w:szCs w:val="24"/>
        </w:rPr>
        <w:t xml:space="preserve">obligatoryjną </w:t>
      </w:r>
      <w:r w:rsidRPr="002B3553">
        <w:rPr>
          <w:rFonts w:eastAsia="Calibri" w:cs="Times New Roman"/>
          <w:szCs w:val="24"/>
        </w:rPr>
        <w:t xml:space="preserve">delegację dla ministra właściwego do spraw finansów publicznych do określenia, w drodze rozporządzenia, szczegółowego zakresu danych, jakie powinna zawierać informacja o wysokości opłaty, uwzględniając konieczność zapewnienia prawidłowego obliczenia wysokości opłaty oraz </w:t>
      </w:r>
      <w:r w:rsidR="00F91065">
        <w:rPr>
          <w:rFonts w:eastAsia="Calibri" w:cs="Times New Roman"/>
          <w:szCs w:val="24"/>
        </w:rPr>
        <w:t xml:space="preserve">skuteczności </w:t>
      </w:r>
      <w:r w:rsidRPr="002B3553">
        <w:rPr>
          <w:rFonts w:eastAsia="Calibri" w:cs="Times New Roman"/>
          <w:szCs w:val="24"/>
        </w:rPr>
        <w:t>jej poboru. W tym przepisie skonsumowano jednocześnie treść ust. 3</w:t>
      </w:r>
      <w:r w:rsidR="00F91065">
        <w:rPr>
          <w:rFonts w:eastAsia="Calibri" w:cs="Times New Roman"/>
          <w:szCs w:val="24"/>
        </w:rPr>
        <w:t>,</w:t>
      </w:r>
      <w:r w:rsidRPr="002B3553">
        <w:rPr>
          <w:rFonts w:eastAsia="Calibri" w:cs="Times New Roman"/>
          <w:szCs w:val="24"/>
        </w:rPr>
        <w:t xml:space="preserve"> dodając że w rozporządzeniu będzie określony sposób składania informacji CUK-1</w:t>
      </w:r>
      <w:r w:rsidR="00F91065">
        <w:rPr>
          <w:rFonts w:eastAsia="Calibri" w:cs="Times New Roman"/>
          <w:szCs w:val="24"/>
        </w:rPr>
        <w:t>, a także przewidziano szczególny przypadek właściwości miejscowej organów, gdy nie można jej ustalić zgodnie z przepisami ustawowymi</w:t>
      </w:r>
      <w:r w:rsidR="007F5FFA">
        <w:rPr>
          <w:rFonts w:eastAsia="Calibri" w:cs="Times New Roman"/>
          <w:szCs w:val="24"/>
        </w:rPr>
        <w:t xml:space="preserve"> przy uwzględnieniu </w:t>
      </w:r>
      <w:r w:rsidR="007F5FFA" w:rsidRPr="007F5FFA">
        <w:rPr>
          <w:rFonts w:eastAsia="Calibri" w:cs="Times New Roman"/>
          <w:szCs w:val="24"/>
        </w:rPr>
        <w:t>przygotowani</w:t>
      </w:r>
      <w:r w:rsidR="007F5FFA">
        <w:rPr>
          <w:rFonts w:eastAsia="Calibri" w:cs="Times New Roman"/>
          <w:szCs w:val="24"/>
        </w:rPr>
        <w:t>a</w:t>
      </w:r>
      <w:r w:rsidR="007F5FFA" w:rsidRPr="007F5FFA">
        <w:rPr>
          <w:rFonts w:eastAsia="Calibri" w:cs="Times New Roman"/>
          <w:szCs w:val="24"/>
        </w:rPr>
        <w:t xml:space="preserve"> urzędu obsługującego organ właściwy w sprawie opłaty</w:t>
      </w:r>
      <w:r w:rsidRPr="002B3553">
        <w:rPr>
          <w:rFonts w:eastAsia="Calibri" w:cs="Times New Roman"/>
          <w:szCs w:val="24"/>
        </w:rPr>
        <w:t>.</w:t>
      </w:r>
    </w:p>
    <w:p w14:paraId="6DEED5AC" w14:textId="34C95463" w:rsidR="007F3723" w:rsidRDefault="007F3723" w:rsidP="00DD20B2">
      <w:pPr>
        <w:spacing w:before="240"/>
        <w:jc w:val="both"/>
        <w:rPr>
          <w:rFonts w:cs="Times New Roman"/>
          <w:b/>
          <w:szCs w:val="24"/>
          <w:u w:val="single"/>
        </w:rPr>
      </w:pPr>
      <w:r w:rsidRPr="00E82CFC">
        <w:rPr>
          <w:rFonts w:cs="Times New Roman"/>
          <w:b/>
          <w:szCs w:val="24"/>
          <w:u w:val="single"/>
        </w:rPr>
        <w:t xml:space="preserve">Przepisy </w:t>
      </w:r>
      <w:r w:rsidRPr="001D0D6B">
        <w:rPr>
          <w:rFonts w:cs="Times New Roman"/>
          <w:b/>
          <w:szCs w:val="24"/>
          <w:u w:val="single"/>
        </w:rPr>
        <w:t xml:space="preserve">przejściowe </w:t>
      </w:r>
    </w:p>
    <w:p w14:paraId="308B5CE0" w14:textId="0E479438" w:rsidR="007F11DC" w:rsidRPr="00492B87" w:rsidRDefault="007F11DC" w:rsidP="00492B87">
      <w:pPr>
        <w:spacing w:before="120"/>
        <w:jc w:val="both"/>
        <w:rPr>
          <w:rFonts w:cs="Times New Roman"/>
          <w:szCs w:val="24"/>
        </w:rPr>
      </w:pPr>
      <w:r>
        <w:rPr>
          <w:rFonts w:cs="Times New Roman"/>
          <w:szCs w:val="24"/>
          <w:shd w:val="clear" w:color="auto" w:fill="FFFFFF"/>
        </w:rPr>
        <w:t xml:space="preserve">Celem regulacji w </w:t>
      </w:r>
      <w:r w:rsidRPr="00626999">
        <w:rPr>
          <w:rFonts w:cs="Times New Roman"/>
          <w:b/>
          <w:bCs/>
          <w:szCs w:val="24"/>
          <w:shd w:val="clear" w:color="auto" w:fill="FFFFFF"/>
        </w:rPr>
        <w:t>art. 2</w:t>
      </w:r>
      <w:r>
        <w:rPr>
          <w:rFonts w:cs="Times New Roman"/>
          <w:szCs w:val="24"/>
          <w:shd w:val="clear" w:color="auto" w:fill="FFFFFF"/>
        </w:rPr>
        <w:t xml:space="preserve"> jest jednoznaczne wskazanie, że zmienione w projektowanych art. 12a, art. 12b oraz art. 12f ustawy przepisy dotyczące podwyższenia wysokości opłaty </w:t>
      </w:r>
      <w:r w:rsidR="00626999">
        <w:rPr>
          <w:rFonts w:cs="Times New Roman"/>
          <w:szCs w:val="24"/>
          <w:shd w:val="clear" w:color="auto" w:fill="FFFFFF"/>
        </w:rPr>
        <w:t>od środków spożywczych</w:t>
      </w:r>
      <w:r>
        <w:rPr>
          <w:rFonts w:cs="Times New Roman"/>
          <w:szCs w:val="24"/>
          <w:shd w:val="clear" w:color="auto" w:fill="FFFFFF"/>
        </w:rPr>
        <w:t>,</w:t>
      </w:r>
      <w:r w:rsidR="00392571">
        <w:rPr>
          <w:rFonts w:cs="Times New Roman"/>
          <w:szCs w:val="24"/>
          <w:shd w:val="clear" w:color="auto" w:fill="FFFFFF"/>
        </w:rPr>
        <w:t xml:space="preserve"> </w:t>
      </w:r>
      <w:r>
        <w:rPr>
          <w:rFonts w:cs="Times New Roman"/>
          <w:szCs w:val="24"/>
          <w:shd w:val="clear" w:color="auto" w:fill="FFFFFF"/>
        </w:rPr>
        <w:t xml:space="preserve">a także </w:t>
      </w:r>
      <w:r w:rsidR="00392571">
        <w:rPr>
          <w:rFonts w:cs="Times New Roman"/>
          <w:szCs w:val="24"/>
          <w:shd w:val="clear" w:color="auto" w:fill="FFFFFF"/>
        </w:rPr>
        <w:t xml:space="preserve">uszczegółowienie katalogu produktów objętych opłatą, </w:t>
      </w:r>
      <w:r w:rsidR="00EA27B6">
        <w:rPr>
          <w:rFonts w:cs="Times New Roman"/>
          <w:szCs w:val="24"/>
          <w:shd w:val="clear" w:color="auto" w:fill="FFFFFF"/>
        </w:rPr>
        <w:t xml:space="preserve">nie </w:t>
      </w:r>
      <w:r w:rsidR="00392571" w:rsidRPr="00E82CFC">
        <w:rPr>
          <w:rFonts w:cs="Times New Roman"/>
          <w:szCs w:val="24"/>
          <w:shd w:val="clear" w:color="auto" w:fill="FFFFFF"/>
        </w:rPr>
        <w:t>będą miały zastosowani</w:t>
      </w:r>
      <w:r w:rsidR="00EA27B6">
        <w:rPr>
          <w:rFonts w:cs="Times New Roman"/>
          <w:szCs w:val="24"/>
          <w:shd w:val="clear" w:color="auto" w:fill="FFFFFF"/>
        </w:rPr>
        <w:t>a</w:t>
      </w:r>
      <w:r w:rsidR="00392571" w:rsidRPr="00E82CFC">
        <w:rPr>
          <w:rFonts w:cs="Times New Roman"/>
          <w:szCs w:val="24"/>
          <w:shd w:val="clear" w:color="auto" w:fill="FFFFFF"/>
        </w:rPr>
        <w:t xml:space="preserve"> do postępowań w sprawie </w:t>
      </w:r>
      <w:r w:rsidR="003E2964">
        <w:rPr>
          <w:rFonts w:cs="Times New Roman"/>
          <w:szCs w:val="24"/>
          <w:shd w:val="clear" w:color="auto" w:fill="FFFFFF"/>
        </w:rPr>
        <w:t xml:space="preserve">określenia wysokości </w:t>
      </w:r>
      <w:r w:rsidR="00F91065">
        <w:rPr>
          <w:rFonts w:cs="Times New Roman"/>
          <w:szCs w:val="24"/>
          <w:shd w:val="clear" w:color="auto" w:fill="FFFFFF"/>
        </w:rPr>
        <w:t xml:space="preserve">należnej </w:t>
      </w:r>
      <w:r w:rsidR="00392571">
        <w:rPr>
          <w:rFonts w:cs="Times New Roman"/>
          <w:szCs w:val="24"/>
          <w:shd w:val="clear" w:color="auto" w:fill="FFFFFF"/>
        </w:rPr>
        <w:t xml:space="preserve">opłaty od środków spożywczych i </w:t>
      </w:r>
      <w:r w:rsidR="003E2964">
        <w:rPr>
          <w:rFonts w:cs="Times New Roman"/>
          <w:szCs w:val="24"/>
          <w:shd w:val="clear" w:color="auto" w:fill="FFFFFF"/>
        </w:rPr>
        <w:t xml:space="preserve">ustalenia </w:t>
      </w:r>
      <w:r w:rsidR="00392571">
        <w:rPr>
          <w:rFonts w:cs="Times New Roman"/>
          <w:szCs w:val="24"/>
          <w:shd w:val="clear" w:color="auto" w:fill="FFFFFF"/>
        </w:rPr>
        <w:t>dodatkow</w:t>
      </w:r>
      <w:r w:rsidR="00EA27B6">
        <w:rPr>
          <w:rFonts w:cs="Times New Roman"/>
          <w:szCs w:val="24"/>
          <w:shd w:val="clear" w:color="auto" w:fill="FFFFFF"/>
        </w:rPr>
        <w:t>e</w:t>
      </w:r>
      <w:r w:rsidR="00392571">
        <w:rPr>
          <w:rFonts w:cs="Times New Roman"/>
          <w:szCs w:val="24"/>
          <w:shd w:val="clear" w:color="auto" w:fill="FFFFFF"/>
        </w:rPr>
        <w:t xml:space="preserve">j </w:t>
      </w:r>
      <w:r w:rsidR="00626999">
        <w:rPr>
          <w:rFonts w:cs="Times New Roman"/>
          <w:szCs w:val="24"/>
          <w:shd w:val="clear" w:color="auto" w:fill="FFFFFF"/>
        </w:rPr>
        <w:t>opłaty</w:t>
      </w:r>
      <w:r w:rsidR="00392571">
        <w:rPr>
          <w:rFonts w:cs="Times New Roman"/>
          <w:szCs w:val="24"/>
          <w:shd w:val="clear" w:color="auto" w:fill="FFFFFF"/>
        </w:rPr>
        <w:t xml:space="preserve"> od środków spożywczych</w:t>
      </w:r>
      <w:r w:rsidR="00392571" w:rsidRPr="00E82CFC">
        <w:rPr>
          <w:rFonts w:cs="Times New Roman"/>
          <w:szCs w:val="24"/>
          <w:shd w:val="clear" w:color="auto" w:fill="FFFFFF"/>
        </w:rPr>
        <w:t xml:space="preserve">, które zostały wszczęte i niezakończone przed </w:t>
      </w:r>
      <w:r w:rsidR="00392571">
        <w:rPr>
          <w:rFonts w:cs="Times New Roman"/>
          <w:szCs w:val="24"/>
          <w:shd w:val="clear" w:color="auto" w:fill="FFFFFF"/>
        </w:rPr>
        <w:t>dniem wejścia w życie projektowanej ustawy.</w:t>
      </w:r>
    </w:p>
    <w:p w14:paraId="1F5DA1E4" w14:textId="77777777" w:rsidR="00DE2A7C" w:rsidRPr="00E82CFC" w:rsidRDefault="007F3723" w:rsidP="005562A3">
      <w:pPr>
        <w:pStyle w:val="ARTartustawynprozporzdzenia"/>
        <w:ind w:firstLine="0"/>
        <w:rPr>
          <w:rFonts w:ascii="Times New Roman" w:hAnsi="Times New Roman" w:cs="Times New Roman"/>
          <w:b/>
          <w:szCs w:val="24"/>
          <w:u w:val="single"/>
        </w:rPr>
      </w:pPr>
      <w:r w:rsidRPr="00E82CFC">
        <w:rPr>
          <w:rFonts w:ascii="Times New Roman" w:hAnsi="Times New Roman" w:cs="Times New Roman"/>
          <w:b/>
          <w:szCs w:val="24"/>
          <w:u w:val="single"/>
        </w:rPr>
        <w:t>Przepis końcowy</w:t>
      </w:r>
    </w:p>
    <w:p w14:paraId="73C41DC1" w14:textId="3C6E3031" w:rsidR="00764D65" w:rsidRDefault="007F3723" w:rsidP="005562A3">
      <w:pPr>
        <w:pStyle w:val="Default"/>
        <w:spacing w:before="120" w:after="120" w:line="360" w:lineRule="auto"/>
        <w:jc w:val="both"/>
        <w:rPr>
          <w:b/>
          <w:u w:val="single"/>
        </w:rPr>
      </w:pPr>
      <w:r w:rsidRPr="00E82CFC">
        <w:rPr>
          <w:b/>
          <w:shd w:val="clear" w:color="auto" w:fill="FFFFFF"/>
        </w:rPr>
        <w:t xml:space="preserve">Art. </w:t>
      </w:r>
      <w:r w:rsidR="00734933">
        <w:rPr>
          <w:b/>
          <w:shd w:val="clear" w:color="auto" w:fill="FFFFFF"/>
        </w:rPr>
        <w:t>3</w:t>
      </w:r>
      <w:r w:rsidR="005562A3">
        <w:rPr>
          <w:b/>
          <w:shd w:val="clear" w:color="auto" w:fill="FFFFFF"/>
        </w:rPr>
        <w:t xml:space="preserve"> </w:t>
      </w:r>
      <w:r w:rsidR="009227B6" w:rsidRPr="00E25C42">
        <w:rPr>
          <w:shd w:val="clear" w:color="auto" w:fill="FFFFFF"/>
        </w:rPr>
        <w:t>–</w:t>
      </w:r>
      <w:r w:rsidRPr="00E82CFC">
        <w:rPr>
          <w:shd w:val="clear" w:color="auto" w:fill="FFFFFF"/>
        </w:rPr>
        <w:t xml:space="preserve"> </w:t>
      </w:r>
      <w:r w:rsidR="00734933">
        <w:t xml:space="preserve">Zmiany zawarte w projekcie ustawy powinny wejść w życie w dniu 1 stycznia 2027 r. </w:t>
      </w:r>
      <w:r w:rsidR="006A7C1A">
        <w:t>Projekt ustawy</w:t>
      </w:r>
      <w:r w:rsidR="00734933">
        <w:t xml:space="preserve"> przewiduje skrócone </w:t>
      </w:r>
      <w:r w:rsidR="00734933" w:rsidRPr="00BB6391">
        <w:rPr>
          <w:i/>
          <w:iCs/>
        </w:rPr>
        <w:t>vacatio legis</w:t>
      </w:r>
      <w:r w:rsidR="00734933">
        <w:t xml:space="preserve"> z uwagi na konieczność niezwłocznego przeciwdziałania narastającym zjawiskom społecznym związanym z dynamicznym wzrostem otyłości wśród dzieci, młodzieży oraz dorosłych obywateli. Zjawisko to niesie za sobą poważne konsekwencje zdrowotne i społeczne, a także generuje rosnące obciążenia dla systemu ochrony zdrowia. Ponadto, w związku ze zwiększającymi się potrzebami w zakresie finansowania bezpieczeństwa i obronności państwa, konieczne jest zapewnienie stabilności finansów publicznych. </w:t>
      </w:r>
    </w:p>
    <w:p w14:paraId="53EB9D89" w14:textId="77777777" w:rsidR="00036951" w:rsidRDefault="00036951" w:rsidP="005562A3">
      <w:pPr>
        <w:pStyle w:val="Default"/>
        <w:spacing w:before="120" w:after="120" w:line="360" w:lineRule="auto"/>
        <w:jc w:val="both"/>
        <w:rPr>
          <w:b/>
          <w:u w:val="single"/>
        </w:rPr>
      </w:pPr>
      <w:r w:rsidRPr="00E82CFC">
        <w:rPr>
          <w:b/>
          <w:u w:val="single"/>
        </w:rPr>
        <w:lastRenderedPageBreak/>
        <w:t xml:space="preserve">Wpływ projektowanej regulacji na działalność </w:t>
      </w:r>
      <w:proofErr w:type="spellStart"/>
      <w:r w:rsidRPr="00E82CFC">
        <w:rPr>
          <w:b/>
          <w:u w:val="single"/>
        </w:rPr>
        <w:t>mikroprzedsiębiorców</w:t>
      </w:r>
      <w:proofErr w:type="spellEnd"/>
      <w:r w:rsidRPr="00E82CFC">
        <w:rPr>
          <w:b/>
          <w:u w:val="single"/>
        </w:rPr>
        <w:t>, małych i średnich przedsiębiorstw.</w:t>
      </w:r>
    </w:p>
    <w:p w14:paraId="7E89CB73" w14:textId="19E1B100" w:rsidR="00916414" w:rsidRPr="00317DCC" w:rsidRDefault="00916414" w:rsidP="00317DCC">
      <w:pPr>
        <w:jc w:val="both"/>
      </w:pPr>
      <w:r>
        <w:rPr>
          <w:color w:val="000000"/>
        </w:rPr>
        <w:t>Przewiduje się zwiększenie obciążeń w zakresie opłaty od środków spożywczych z uwagi na wzrost wysokości opłaty od napojów słodzonych</w:t>
      </w:r>
      <w:r w:rsidR="00546A43" w:rsidRPr="00546A43">
        <w:t xml:space="preserve"> </w:t>
      </w:r>
      <w:r w:rsidR="00546A43">
        <w:t xml:space="preserve">oraz </w:t>
      </w:r>
      <w:r w:rsidR="00546A43" w:rsidRPr="00546A43">
        <w:rPr>
          <w:color w:val="000000"/>
        </w:rPr>
        <w:t>rozszerzenie katalogu napojów objętych opłatą</w:t>
      </w:r>
      <w:r>
        <w:rPr>
          <w:color w:val="000000"/>
        </w:rPr>
        <w:t>.</w:t>
      </w:r>
    </w:p>
    <w:p w14:paraId="30F5C8FB" w14:textId="1A6EED04" w:rsidR="00036951" w:rsidRDefault="00722625" w:rsidP="005562A3">
      <w:pPr>
        <w:pStyle w:val="ARTartustawynprozporzdzenia"/>
        <w:spacing w:after="120"/>
        <w:ind w:firstLine="0"/>
        <w:rPr>
          <w:rFonts w:ascii="Times New Roman" w:eastAsia="Calibri" w:hAnsi="Times New Roman" w:cs="Times New Roman"/>
          <w:szCs w:val="24"/>
          <w:lang w:eastAsia="en-US"/>
        </w:rPr>
      </w:pPr>
      <w:r w:rsidRPr="000B22A1">
        <w:rPr>
          <w:rFonts w:eastAsia="Calibri" w:cs="Times New Roman"/>
          <w:szCs w:val="24"/>
          <w:lang w:eastAsia="en-US"/>
        </w:rPr>
        <w:t xml:space="preserve">Dodatkowo </w:t>
      </w:r>
      <w:r w:rsidR="006A7C1A">
        <w:rPr>
          <w:rFonts w:eastAsia="Calibri" w:cs="Times New Roman"/>
          <w:szCs w:val="24"/>
          <w:lang w:eastAsia="en-US"/>
        </w:rPr>
        <w:t>projekt ustawy</w:t>
      </w:r>
      <w:r w:rsidRPr="000B22A1">
        <w:rPr>
          <w:rFonts w:eastAsia="Calibri" w:cs="Times New Roman"/>
          <w:szCs w:val="24"/>
          <w:lang w:eastAsia="en-US"/>
        </w:rPr>
        <w:t xml:space="preserve"> będzie mieć wpływ na </w:t>
      </w:r>
      <w:r w:rsidR="00401ACD" w:rsidRPr="000B22A1">
        <w:rPr>
          <w:rFonts w:eastAsia="Calibri" w:cs="Times New Roman"/>
          <w:szCs w:val="24"/>
          <w:lang w:eastAsia="en-US"/>
        </w:rPr>
        <w:t>przedsiębiorstwa przez wykorzystanie polit</w:t>
      </w:r>
      <w:r w:rsidR="00401ACD" w:rsidRPr="00D00F32">
        <w:rPr>
          <w:rFonts w:eastAsia="Calibri" w:cs="Times New Roman"/>
          <w:szCs w:val="24"/>
          <w:lang w:eastAsia="en-US"/>
        </w:rPr>
        <w:t xml:space="preserve">yki fiskalnej do </w:t>
      </w:r>
      <w:proofErr w:type="spellStart"/>
      <w:r w:rsidR="00036951" w:rsidRPr="00582A6A">
        <w:rPr>
          <w:rFonts w:eastAsia="Calibri" w:cs="Times New Roman"/>
          <w:szCs w:val="24"/>
          <w:lang w:eastAsia="en-US"/>
        </w:rPr>
        <w:t>reformulacj</w:t>
      </w:r>
      <w:r w:rsidR="00401ACD" w:rsidRPr="000E3AF9">
        <w:rPr>
          <w:rFonts w:eastAsia="Calibri" w:cs="Times New Roman"/>
          <w:szCs w:val="24"/>
          <w:lang w:eastAsia="en-US"/>
        </w:rPr>
        <w:t>i</w:t>
      </w:r>
      <w:proofErr w:type="spellEnd"/>
      <w:r w:rsidR="00036951" w:rsidRPr="00E82CFC">
        <w:rPr>
          <w:rFonts w:eastAsia="Calibri" w:cs="Times New Roman"/>
          <w:szCs w:val="24"/>
          <w:lang w:eastAsia="en-US"/>
        </w:rPr>
        <w:t xml:space="preserve"> składu </w:t>
      </w:r>
      <w:r w:rsidRPr="00E82CFC">
        <w:rPr>
          <w:rFonts w:eastAsia="Calibri" w:cs="Times New Roman"/>
          <w:szCs w:val="24"/>
          <w:lang w:eastAsia="en-US"/>
        </w:rPr>
        <w:t xml:space="preserve">napojów </w:t>
      </w:r>
      <w:r w:rsidR="00036951" w:rsidRPr="00E82CFC">
        <w:rPr>
          <w:rFonts w:eastAsia="Calibri" w:cs="Times New Roman"/>
          <w:szCs w:val="24"/>
          <w:lang w:eastAsia="en-US"/>
        </w:rPr>
        <w:t>oraz upowszechniani</w:t>
      </w:r>
      <w:r w:rsidRPr="00E82CFC">
        <w:rPr>
          <w:rFonts w:eastAsia="Calibri" w:cs="Times New Roman"/>
          <w:szCs w:val="24"/>
          <w:lang w:eastAsia="en-US"/>
        </w:rPr>
        <w:t>a</w:t>
      </w:r>
      <w:r w:rsidR="00036951" w:rsidRPr="00E82CFC">
        <w:rPr>
          <w:rFonts w:eastAsia="Calibri" w:cs="Times New Roman"/>
          <w:szCs w:val="24"/>
          <w:lang w:eastAsia="en-US"/>
        </w:rPr>
        <w:t xml:space="preserve"> w ofercie mniejszych opakowań</w:t>
      </w:r>
      <w:r w:rsidR="00401ACD" w:rsidRPr="00E82CFC">
        <w:rPr>
          <w:rFonts w:eastAsia="Calibri" w:cs="Times New Roman"/>
          <w:szCs w:val="24"/>
          <w:lang w:eastAsia="en-US"/>
        </w:rPr>
        <w:t xml:space="preserve"> napojów.</w:t>
      </w:r>
      <w:r w:rsidR="00036951" w:rsidRPr="00E82CFC">
        <w:rPr>
          <w:rFonts w:eastAsia="Calibri" w:cs="Times New Roman"/>
          <w:szCs w:val="24"/>
          <w:lang w:eastAsia="en-US"/>
        </w:rPr>
        <w:t xml:space="preserve"> Należy wskazać, że nie ma możliwości podjęcia alternatywnych w</w:t>
      </w:r>
      <w:r w:rsidR="008B341C">
        <w:rPr>
          <w:rFonts w:eastAsia="Calibri" w:cs="Times New Roman"/>
          <w:szCs w:val="24"/>
          <w:lang w:eastAsia="en-US"/>
        </w:rPr>
        <w:t> </w:t>
      </w:r>
      <w:r w:rsidR="00036951" w:rsidRPr="00E82CFC">
        <w:rPr>
          <w:rFonts w:eastAsia="Calibri" w:cs="Times New Roman"/>
          <w:szCs w:val="24"/>
          <w:lang w:eastAsia="en-US"/>
        </w:rPr>
        <w:t>stosunku do projektowanej ustawy środków umożliwiających osiągnięcie zamierzonego celu.</w:t>
      </w:r>
      <w:r w:rsidR="00317DCC">
        <w:rPr>
          <w:szCs w:val="24"/>
        </w:rPr>
        <w:t xml:space="preserve"> </w:t>
      </w:r>
      <w:r w:rsidR="00036951" w:rsidRPr="00E82CFC">
        <w:rPr>
          <w:rFonts w:ascii="Times New Roman" w:eastAsia="Calibri" w:hAnsi="Times New Roman" w:cs="Times New Roman"/>
          <w:szCs w:val="24"/>
          <w:lang w:eastAsia="en-US"/>
        </w:rPr>
        <w:t>Projektowane rozwiązania będą wzmocnieniem dotychczas realizowanych działań.</w:t>
      </w:r>
    </w:p>
    <w:p w14:paraId="5DF74D03" w14:textId="1E152646" w:rsidR="00EF1AEF" w:rsidRDefault="00EF1AEF" w:rsidP="00EF1AEF">
      <w:pPr>
        <w:pStyle w:val="ARTartustawynprozporzdzenia"/>
        <w:spacing w:after="120"/>
        <w:ind w:firstLine="0"/>
        <w:rPr>
          <w:rFonts w:ascii="Times New Roman" w:eastAsia="Calibri" w:hAnsi="Times New Roman" w:cs="Times New Roman"/>
          <w:szCs w:val="24"/>
          <w:lang w:eastAsia="en-US"/>
        </w:rPr>
      </w:pPr>
      <w:r>
        <w:rPr>
          <w:rFonts w:eastAsia="Calibri" w:cs="Times New Roman"/>
          <w:szCs w:val="24"/>
          <w:lang w:eastAsia="en-US"/>
        </w:rPr>
        <w:t>P</w:t>
      </w:r>
      <w:r w:rsidRPr="00EF1AEF">
        <w:rPr>
          <w:rFonts w:eastAsia="Calibri" w:cs="Times New Roman"/>
          <w:szCs w:val="24"/>
          <w:lang w:eastAsia="en-US"/>
        </w:rPr>
        <w:t xml:space="preserve">rojekt ustawy </w:t>
      </w:r>
      <w:r>
        <w:rPr>
          <w:rFonts w:eastAsia="Calibri" w:cs="Times New Roman"/>
          <w:szCs w:val="24"/>
          <w:lang w:eastAsia="en-US"/>
        </w:rPr>
        <w:t>nie</w:t>
      </w:r>
      <w:r w:rsidRPr="00EF1AEF">
        <w:rPr>
          <w:rFonts w:eastAsia="Calibri" w:cs="Times New Roman"/>
          <w:szCs w:val="24"/>
          <w:lang w:eastAsia="en-US"/>
        </w:rPr>
        <w:t xml:space="preserve"> nakłada</w:t>
      </w:r>
      <w:r w:rsidR="00DF4C30">
        <w:rPr>
          <w:rFonts w:eastAsia="Calibri" w:cs="Times New Roman"/>
          <w:szCs w:val="24"/>
          <w:lang w:eastAsia="en-US"/>
        </w:rPr>
        <w:t xml:space="preserve"> </w:t>
      </w:r>
      <w:r w:rsidRPr="00EF1AEF">
        <w:rPr>
          <w:rFonts w:eastAsia="Calibri" w:cs="Times New Roman"/>
          <w:szCs w:val="24"/>
          <w:lang w:eastAsia="en-US"/>
        </w:rPr>
        <w:t xml:space="preserve">na usługodawców </w:t>
      </w:r>
      <w:r w:rsidR="00DF4C30" w:rsidRPr="00DF4C30">
        <w:rPr>
          <w:rFonts w:eastAsia="Calibri" w:cs="Times New Roman"/>
          <w:szCs w:val="24"/>
          <w:lang w:eastAsia="en-US"/>
        </w:rPr>
        <w:t xml:space="preserve">wymogów </w:t>
      </w:r>
      <w:r w:rsidRPr="00EF1AEF">
        <w:rPr>
          <w:rFonts w:eastAsia="Calibri" w:cs="Times New Roman"/>
          <w:szCs w:val="24"/>
          <w:lang w:eastAsia="en-US"/>
        </w:rPr>
        <w:t>podlegających</w:t>
      </w:r>
      <w:r>
        <w:rPr>
          <w:rFonts w:eastAsia="Calibri" w:cs="Times New Roman"/>
          <w:szCs w:val="24"/>
          <w:lang w:eastAsia="en-US"/>
        </w:rPr>
        <w:t xml:space="preserve"> </w:t>
      </w:r>
      <w:r w:rsidRPr="00EF1AEF">
        <w:rPr>
          <w:rFonts w:eastAsia="Calibri" w:cs="Times New Roman"/>
          <w:szCs w:val="24"/>
          <w:lang w:eastAsia="en-US"/>
        </w:rPr>
        <w:t xml:space="preserve">notyfikacji, o której mowa w art. 15 ust. 7 i art. 39 ust. 5 </w:t>
      </w:r>
      <w:r w:rsidRPr="00ED4EEF">
        <w:rPr>
          <w:rFonts w:eastAsia="Calibri" w:cs="Times New Roman"/>
          <w:szCs w:val="24"/>
          <w:lang w:eastAsia="en-US"/>
        </w:rPr>
        <w:t xml:space="preserve">dyrektywy 2006/123/WE Parlamentu Europejskiego i Rady z dnia 12 grudnia 2006 r. dotyczącej usług na rynku </w:t>
      </w:r>
      <w:r w:rsidRPr="00ED4EEF">
        <w:rPr>
          <w:rFonts w:ascii="Times New Roman" w:eastAsia="Calibri" w:hAnsi="Times New Roman" w:cs="Times New Roman"/>
          <w:szCs w:val="24"/>
          <w:lang w:eastAsia="en-US"/>
        </w:rPr>
        <w:t>wewnętrznym</w:t>
      </w:r>
      <w:r w:rsidRPr="00EF1AEF">
        <w:rPr>
          <w:rFonts w:ascii="Times New Roman" w:eastAsia="Calibri" w:hAnsi="Times New Roman" w:cs="Times New Roman"/>
          <w:i/>
          <w:iCs/>
          <w:szCs w:val="24"/>
          <w:lang w:eastAsia="en-US"/>
        </w:rPr>
        <w:t xml:space="preserve"> </w:t>
      </w:r>
      <w:r w:rsidRPr="00EF1AEF">
        <w:rPr>
          <w:rFonts w:ascii="Times New Roman" w:eastAsia="Calibri" w:hAnsi="Times New Roman" w:cs="Times New Roman"/>
          <w:szCs w:val="24"/>
          <w:lang w:eastAsia="en-US"/>
        </w:rPr>
        <w:t>(Dz. Urz. UE L 376 z 27.12.2006, str. 36)</w:t>
      </w:r>
      <w:r w:rsidR="006B4993">
        <w:rPr>
          <w:rFonts w:ascii="Times New Roman" w:eastAsia="Calibri" w:hAnsi="Times New Roman" w:cs="Times New Roman"/>
          <w:szCs w:val="24"/>
          <w:lang w:eastAsia="en-US"/>
        </w:rPr>
        <w:t>.</w:t>
      </w:r>
    </w:p>
    <w:p w14:paraId="2D1AAA8D" w14:textId="47C3872E" w:rsidR="006B4993" w:rsidRPr="00E82CFC" w:rsidRDefault="006A7C1A" w:rsidP="006B4993">
      <w:pPr>
        <w:pStyle w:val="ARTartustawynprozporzdzenia"/>
        <w:spacing w:after="120"/>
        <w:ind w:firstLine="0"/>
        <w:rPr>
          <w:rFonts w:ascii="Times New Roman" w:eastAsia="Calibri" w:hAnsi="Times New Roman" w:cs="Times New Roman"/>
          <w:szCs w:val="24"/>
          <w:lang w:eastAsia="en-US"/>
        </w:rPr>
      </w:pPr>
      <w:r>
        <w:rPr>
          <w:rFonts w:ascii="Times New Roman" w:eastAsia="Calibri" w:hAnsi="Times New Roman" w:cs="Times New Roman"/>
          <w:szCs w:val="24"/>
          <w:lang w:eastAsia="en-US"/>
        </w:rPr>
        <w:t>Projekt ustawy</w:t>
      </w:r>
      <w:r w:rsidR="006B4993">
        <w:rPr>
          <w:rFonts w:ascii="Times New Roman" w:eastAsia="Calibri" w:hAnsi="Times New Roman" w:cs="Times New Roman"/>
          <w:szCs w:val="24"/>
          <w:lang w:eastAsia="en-US"/>
        </w:rPr>
        <w:t xml:space="preserve"> nie wywiera wpływu </w:t>
      </w:r>
      <w:r w:rsidR="006B4993" w:rsidRPr="006B4993">
        <w:rPr>
          <w:rFonts w:ascii="Times New Roman" w:eastAsia="Calibri" w:hAnsi="Times New Roman" w:cs="Times New Roman"/>
          <w:szCs w:val="24"/>
          <w:lang w:eastAsia="en-US"/>
        </w:rPr>
        <w:t>na obszar danych osobowych</w:t>
      </w:r>
      <w:r w:rsidR="006B4993">
        <w:rPr>
          <w:rFonts w:ascii="Times New Roman" w:eastAsia="Calibri" w:hAnsi="Times New Roman" w:cs="Times New Roman"/>
          <w:szCs w:val="24"/>
          <w:lang w:eastAsia="en-US"/>
        </w:rPr>
        <w:t xml:space="preserve">, o których mowa w </w:t>
      </w:r>
      <w:r w:rsidR="006B4993" w:rsidRPr="006B4993">
        <w:rPr>
          <w:rFonts w:ascii="Times New Roman" w:eastAsia="Calibri" w:hAnsi="Times New Roman" w:cs="Times New Roman"/>
          <w:szCs w:val="24"/>
          <w:lang w:eastAsia="en-US"/>
        </w:rPr>
        <w:t>rozporządzeni</w:t>
      </w:r>
      <w:r w:rsidR="006B4993">
        <w:rPr>
          <w:rFonts w:ascii="Times New Roman" w:eastAsia="Calibri" w:hAnsi="Times New Roman" w:cs="Times New Roman"/>
          <w:szCs w:val="24"/>
          <w:lang w:eastAsia="en-US"/>
        </w:rPr>
        <w:t>u</w:t>
      </w:r>
      <w:r w:rsidR="006B4993" w:rsidRPr="006B4993">
        <w:rPr>
          <w:rFonts w:ascii="Times New Roman" w:eastAsia="Calibri" w:hAnsi="Times New Roman" w:cs="Times New Roman"/>
          <w:szCs w:val="24"/>
          <w:lang w:eastAsia="en-US"/>
        </w:rPr>
        <w:t xml:space="preserve"> Parlamentu Europejskiego i Rady (UE) 2016/679 z dnia</w:t>
      </w:r>
      <w:r w:rsidR="006B4993">
        <w:rPr>
          <w:rFonts w:ascii="Times New Roman" w:eastAsia="Calibri" w:hAnsi="Times New Roman" w:cs="Times New Roman"/>
          <w:szCs w:val="24"/>
          <w:lang w:eastAsia="en-US"/>
        </w:rPr>
        <w:t xml:space="preserve"> </w:t>
      </w:r>
      <w:r w:rsidR="006B4993" w:rsidRPr="006B4993">
        <w:rPr>
          <w:rFonts w:ascii="Times New Roman" w:eastAsia="Calibri" w:hAnsi="Times New Roman" w:cs="Times New Roman"/>
          <w:szCs w:val="24"/>
          <w:lang w:eastAsia="en-US"/>
        </w:rPr>
        <w:t>27 kwietnia 2016 r. w sprawie ochrony osób fizycznych w związku z przetwarzaniem</w:t>
      </w:r>
      <w:r w:rsidR="006B4993">
        <w:rPr>
          <w:rFonts w:ascii="Times New Roman" w:eastAsia="Calibri" w:hAnsi="Times New Roman" w:cs="Times New Roman"/>
          <w:szCs w:val="24"/>
          <w:lang w:eastAsia="en-US"/>
        </w:rPr>
        <w:t xml:space="preserve"> </w:t>
      </w:r>
      <w:r w:rsidR="006B4993" w:rsidRPr="006B4993">
        <w:rPr>
          <w:rFonts w:ascii="Times New Roman" w:eastAsia="Calibri" w:hAnsi="Times New Roman" w:cs="Times New Roman"/>
          <w:szCs w:val="24"/>
          <w:lang w:eastAsia="en-US"/>
        </w:rPr>
        <w:t>danych osobowych i w sprawie swobodnego przepływu takich danych oraz uchylenia</w:t>
      </w:r>
      <w:r w:rsidR="006B4993">
        <w:rPr>
          <w:rFonts w:ascii="Times New Roman" w:eastAsia="Calibri" w:hAnsi="Times New Roman" w:cs="Times New Roman"/>
          <w:szCs w:val="24"/>
          <w:lang w:eastAsia="en-US"/>
        </w:rPr>
        <w:t xml:space="preserve"> </w:t>
      </w:r>
      <w:r w:rsidR="006B4993" w:rsidRPr="006B4993">
        <w:rPr>
          <w:rFonts w:ascii="Times New Roman" w:eastAsia="Calibri" w:hAnsi="Times New Roman" w:cs="Times New Roman"/>
          <w:szCs w:val="24"/>
          <w:lang w:eastAsia="en-US"/>
        </w:rPr>
        <w:t>dyrektywy 95/46/WE (Dz. Urz. UE L 119</w:t>
      </w:r>
      <w:r w:rsidR="006B4993">
        <w:rPr>
          <w:rFonts w:ascii="Times New Roman" w:eastAsia="Calibri" w:hAnsi="Times New Roman" w:cs="Times New Roman"/>
          <w:szCs w:val="24"/>
          <w:lang w:eastAsia="en-US"/>
        </w:rPr>
        <w:t xml:space="preserve"> </w:t>
      </w:r>
      <w:r w:rsidR="006B4993" w:rsidRPr="006B4993">
        <w:rPr>
          <w:rFonts w:ascii="Times New Roman" w:eastAsia="Calibri" w:hAnsi="Times New Roman" w:cs="Times New Roman"/>
          <w:szCs w:val="24"/>
          <w:lang w:eastAsia="en-US"/>
        </w:rPr>
        <w:t>z 04.05.2016, str. 1, z późn. zm.)</w:t>
      </w:r>
      <w:r w:rsidR="00F91065">
        <w:rPr>
          <w:rFonts w:ascii="Times New Roman" w:eastAsia="Calibri" w:hAnsi="Times New Roman" w:cs="Times New Roman"/>
          <w:szCs w:val="24"/>
          <w:lang w:eastAsia="en-US"/>
        </w:rPr>
        <w:t>.</w:t>
      </w:r>
    </w:p>
    <w:p w14:paraId="602C1056" w14:textId="77777777" w:rsidR="00E76EA9" w:rsidRPr="00E82CFC" w:rsidRDefault="00E76EA9" w:rsidP="005562A3">
      <w:pPr>
        <w:pStyle w:val="ARTartustawynprozporzdzenia"/>
        <w:ind w:firstLine="0"/>
        <w:rPr>
          <w:rFonts w:ascii="Times New Roman" w:eastAsia="Calibri" w:hAnsi="Times New Roman" w:cs="Times New Roman"/>
          <w:szCs w:val="24"/>
          <w:lang w:eastAsia="en-US"/>
        </w:rPr>
      </w:pPr>
      <w:r w:rsidRPr="00E82CFC">
        <w:rPr>
          <w:rFonts w:ascii="Times New Roman" w:eastAsia="Calibri" w:hAnsi="Times New Roman" w:cs="Times New Roman"/>
          <w:szCs w:val="24"/>
          <w:lang w:eastAsia="en-US"/>
        </w:rPr>
        <w:t>Projekt ustawy nie jest sprzeczny z prawem</w:t>
      </w:r>
      <w:r w:rsidR="00581DED" w:rsidRPr="00E82CFC">
        <w:rPr>
          <w:rFonts w:ascii="Times New Roman" w:eastAsia="Calibri" w:hAnsi="Times New Roman" w:cs="Times New Roman"/>
          <w:szCs w:val="24"/>
          <w:lang w:eastAsia="en-US"/>
        </w:rPr>
        <w:t xml:space="preserve"> U</w:t>
      </w:r>
      <w:r w:rsidR="008836DA" w:rsidRPr="00E82CFC">
        <w:rPr>
          <w:rFonts w:ascii="Times New Roman" w:eastAsia="Calibri" w:hAnsi="Times New Roman" w:cs="Times New Roman"/>
          <w:szCs w:val="24"/>
          <w:lang w:eastAsia="en-US"/>
        </w:rPr>
        <w:t>nii Europejskiej.</w:t>
      </w:r>
    </w:p>
    <w:p w14:paraId="157B9434" w14:textId="46357537" w:rsidR="00E76EA9" w:rsidRPr="00E82CFC" w:rsidRDefault="00E76EA9" w:rsidP="005562A3">
      <w:pPr>
        <w:pStyle w:val="ARTartustawynprozporzdzenia"/>
        <w:ind w:firstLine="0"/>
        <w:rPr>
          <w:rFonts w:ascii="Times New Roman" w:eastAsia="Calibri" w:hAnsi="Times New Roman" w:cs="Times New Roman"/>
          <w:szCs w:val="24"/>
          <w:lang w:eastAsia="en-US"/>
        </w:rPr>
      </w:pPr>
      <w:r w:rsidRPr="00E82CFC">
        <w:rPr>
          <w:rFonts w:ascii="Times New Roman" w:eastAsia="Calibri" w:hAnsi="Times New Roman" w:cs="Times New Roman"/>
          <w:szCs w:val="24"/>
          <w:lang w:eastAsia="en-US"/>
        </w:rPr>
        <w:t xml:space="preserve">Projekt ustawy </w:t>
      </w:r>
      <w:r w:rsidR="0002297E">
        <w:rPr>
          <w:rFonts w:ascii="Times New Roman" w:eastAsia="Calibri" w:hAnsi="Times New Roman" w:cs="Times New Roman"/>
          <w:szCs w:val="24"/>
          <w:lang w:eastAsia="en-US"/>
        </w:rPr>
        <w:t xml:space="preserve">nie </w:t>
      </w:r>
      <w:r w:rsidRPr="00E82CFC">
        <w:rPr>
          <w:rFonts w:ascii="Times New Roman" w:eastAsia="Calibri" w:hAnsi="Times New Roman" w:cs="Times New Roman"/>
          <w:szCs w:val="24"/>
          <w:lang w:eastAsia="en-US"/>
        </w:rPr>
        <w:t xml:space="preserve">wymaga przedłożenia właściwym instytucjom i organom </w:t>
      </w:r>
      <w:r w:rsidR="008836DA" w:rsidRPr="00E82CFC">
        <w:rPr>
          <w:rFonts w:ascii="Times New Roman" w:eastAsia="Calibri" w:hAnsi="Times New Roman" w:cs="Times New Roman"/>
          <w:szCs w:val="24"/>
          <w:lang w:eastAsia="en-US"/>
        </w:rPr>
        <w:t>Unii Europejskiej</w:t>
      </w:r>
      <w:r w:rsidR="00F15369" w:rsidRPr="00E82CFC">
        <w:rPr>
          <w:rFonts w:ascii="Times New Roman" w:eastAsia="Calibri" w:hAnsi="Times New Roman" w:cs="Times New Roman"/>
          <w:szCs w:val="24"/>
          <w:lang w:eastAsia="en-US"/>
        </w:rPr>
        <w:t>, w tym</w:t>
      </w:r>
      <w:r w:rsidRPr="00E82CFC">
        <w:rPr>
          <w:rFonts w:ascii="Times New Roman" w:eastAsia="Calibri" w:hAnsi="Times New Roman" w:cs="Times New Roman"/>
          <w:szCs w:val="24"/>
          <w:lang w:eastAsia="en-US"/>
        </w:rPr>
        <w:t xml:space="preserve"> Europejskiemu Bankowi Centralnemu</w:t>
      </w:r>
      <w:r w:rsidR="00F15369" w:rsidRPr="00E82CFC">
        <w:rPr>
          <w:rFonts w:ascii="Times New Roman" w:eastAsia="Calibri" w:hAnsi="Times New Roman" w:cs="Times New Roman"/>
          <w:szCs w:val="24"/>
          <w:lang w:eastAsia="en-US"/>
        </w:rPr>
        <w:t>,</w:t>
      </w:r>
      <w:r w:rsidRPr="00E82CFC">
        <w:rPr>
          <w:rFonts w:ascii="Times New Roman" w:eastAsia="Calibri" w:hAnsi="Times New Roman" w:cs="Times New Roman"/>
          <w:szCs w:val="24"/>
          <w:lang w:eastAsia="en-US"/>
        </w:rPr>
        <w:t xml:space="preserve"> w celu uzyskania opinii, dokonania </w:t>
      </w:r>
      <w:r w:rsidR="00531784" w:rsidRPr="00E82CFC">
        <w:rPr>
          <w:rFonts w:ascii="Times New Roman" w:eastAsia="Calibri" w:hAnsi="Times New Roman" w:cs="Times New Roman"/>
          <w:szCs w:val="24"/>
          <w:lang w:eastAsia="en-US"/>
        </w:rPr>
        <w:t xml:space="preserve">powiadomienia, </w:t>
      </w:r>
      <w:r w:rsidRPr="00E82CFC">
        <w:rPr>
          <w:rFonts w:ascii="Times New Roman" w:eastAsia="Calibri" w:hAnsi="Times New Roman" w:cs="Times New Roman"/>
          <w:szCs w:val="24"/>
          <w:lang w:eastAsia="en-US"/>
        </w:rPr>
        <w:t xml:space="preserve">konsultacji </w:t>
      </w:r>
      <w:r w:rsidR="006D3011" w:rsidRPr="00E82CFC">
        <w:rPr>
          <w:rFonts w:ascii="Times New Roman" w:eastAsia="Calibri" w:hAnsi="Times New Roman" w:cs="Times New Roman"/>
          <w:szCs w:val="24"/>
          <w:lang w:eastAsia="en-US"/>
        </w:rPr>
        <w:t>albo</w:t>
      </w:r>
      <w:r w:rsidRPr="00E82CFC">
        <w:rPr>
          <w:rFonts w:ascii="Times New Roman" w:eastAsia="Calibri" w:hAnsi="Times New Roman" w:cs="Times New Roman"/>
          <w:szCs w:val="24"/>
          <w:lang w:eastAsia="en-US"/>
        </w:rPr>
        <w:t xml:space="preserve"> uzgodnienia.</w:t>
      </w:r>
    </w:p>
    <w:p w14:paraId="40F14404" w14:textId="335AE7EE" w:rsidR="006D3011" w:rsidRPr="00E82CFC" w:rsidRDefault="004D024E" w:rsidP="005562A3">
      <w:pPr>
        <w:pStyle w:val="Akapitzlist1"/>
        <w:tabs>
          <w:tab w:val="num" w:pos="0"/>
        </w:tabs>
        <w:spacing w:before="120" w:after="120" w:line="360" w:lineRule="auto"/>
        <w:ind w:left="0"/>
        <w:contextualSpacing w:val="0"/>
        <w:jc w:val="both"/>
      </w:pPr>
      <w:r w:rsidRPr="00E82CFC">
        <w:t xml:space="preserve">Projekt ustawy </w:t>
      </w:r>
      <w:r w:rsidR="00FF589A">
        <w:t>b</w:t>
      </w:r>
      <w:r w:rsidRPr="00E82CFC">
        <w:t xml:space="preserve">ędzie podlegał procedurze notyfikacji w rozumieniu przepisów rozporządzenia Rady Ministrów z dnia 23 grudnia 2002 r. w sprawie sposobu funkcjonowania krajowego systemu notyfikacji norm i aktów prawnych (Dz. U. </w:t>
      </w:r>
      <w:r w:rsidR="008836DA" w:rsidRPr="00E82CFC">
        <w:t>poz. 2039</w:t>
      </w:r>
      <w:r w:rsidR="003143E6">
        <w:t xml:space="preserve"> oraz z 2004 r. poz. 597</w:t>
      </w:r>
      <w:r w:rsidR="008836DA" w:rsidRPr="00E82CFC">
        <w:t>) w</w:t>
      </w:r>
      <w:r w:rsidR="003B39E8">
        <w:t> </w:t>
      </w:r>
      <w:r w:rsidR="008836DA" w:rsidRPr="00E82CFC">
        <w:t xml:space="preserve">związku z art. 7 ust. 4 dyrektywy </w:t>
      </w:r>
      <w:r w:rsidR="006D3011" w:rsidRPr="00E82CFC">
        <w:t>(</w:t>
      </w:r>
      <w:r w:rsidR="008836DA" w:rsidRPr="00E82CFC">
        <w:t>UE) 2015/1535 Parlament</w:t>
      </w:r>
      <w:r w:rsidR="00F15369" w:rsidRPr="00E82CFC">
        <w:t>u Europejskiego i Rady z dnia 9 </w:t>
      </w:r>
      <w:r w:rsidR="008836DA" w:rsidRPr="00E82CFC">
        <w:t>września 2015 r. ustanawiając</w:t>
      </w:r>
      <w:r w:rsidR="006D3011" w:rsidRPr="00E82CFC">
        <w:t>ej</w:t>
      </w:r>
      <w:r w:rsidR="008836DA" w:rsidRPr="00E82CFC">
        <w:t xml:space="preserve"> procedurę udzielania informacji w dziedzinie przepisów technicznych oraz zasad dotyczących usług społeczeństwa informacyjnego</w:t>
      </w:r>
      <w:r w:rsidR="00531784" w:rsidRPr="00E82CFC">
        <w:t xml:space="preserve"> (Dz. Urz. UE L 241</w:t>
      </w:r>
      <w:r w:rsidR="00F15369" w:rsidRPr="00E82CFC">
        <w:t xml:space="preserve"> </w:t>
      </w:r>
      <w:r w:rsidR="002812DD">
        <w:t>z 17.09.2015, str. </w:t>
      </w:r>
      <w:r w:rsidR="00531784" w:rsidRPr="00E82CFC">
        <w:t>1)</w:t>
      </w:r>
      <w:r w:rsidR="008836DA" w:rsidRPr="00E82CFC">
        <w:t>.</w:t>
      </w:r>
    </w:p>
    <w:p w14:paraId="02CB1EFB" w14:textId="1E353AD7" w:rsidR="002F2B86" w:rsidRPr="00E82CFC" w:rsidRDefault="002F2B86" w:rsidP="005562A3">
      <w:pPr>
        <w:jc w:val="both"/>
        <w:rPr>
          <w:rFonts w:cs="Times New Roman"/>
          <w:szCs w:val="24"/>
        </w:rPr>
      </w:pPr>
      <w:r w:rsidRPr="00E82CFC">
        <w:rPr>
          <w:rFonts w:cs="Times New Roman"/>
          <w:szCs w:val="24"/>
        </w:rPr>
        <w:t xml:space="preserve">Zgodnie z art. 5 ustawy z dnia 7 lipca 2005 r. o działalności lobbingowej w procesie stanowienia </w:t>
      </w:r>
      <w:r w:rsidRPr="00E82CFC">
        <w:rPr>
          <w:rFonts w:cs="Times New Roman"/>
          <w:szCs w:val="24"/>
        </w:rPr>
        <w:lastRenderedPageBreak/>
        <w:t>prawa (Dz. U. z 20</w:t>
      </w:r>
      <w:r w:rsidR="00F26E04">
        <w:rPr>
          <w:rFonts w:cs="Times New Roman"/>
          <w:szCs w:val="24"/>
        </w:rPr>
        <w:t>2</w:t>
      </w:r>
      <w:r w:rsidR="00F91065">
        <w:rPr>
          <w:rFonts w:cs="Times New Roman"/>
          <w:szCs w:val="24"/>
        </w:rPr>
        <w:t>6</w:t>
      </w:r>
      <w:r w:rsidRPr="00E82CFC">
        <w:rPr>
          <w:rFonts w:cs="Times New Roman"/>
          <w:szCs w:val="24"/>
        </w:rPr>
        <w:t xml:space="preserve"> r. poz. </w:t>
      </w:r>
      <w:r w:rsidR="00F91065">
        <w:rPr>
          <w:rFonts w:cs="Times New Roman"/>
          <w:szCs w:val="24"/>
        </w:rPr>
        <w:t>93</w:t>
      </w:r>
      <w:r w:rsidR="00F26E04">
        <w:rPr>
          <w:rFonts w:cs="Times New Roman"/>
          <w:szCs w:val="24"/>
        </w:rPr>
        <w:t>6</w:t>
      </w:r>
      <w:r w:rsidRPr="00E82CFC">
        <w:rPr>
          <w:rFonts w:cs="Times New Roman"/>
          <w:szCs w:val="24"/>
        </w:rPr>
        <w:t>) w związku z § 52 ust. 1 uchwały nr 190 Rady Ministrów z</w:t>
      </w:r>
      <w:r w:rsidR="003B39E8">
        <w:rPr>
          <w:rFonts w:cs="Times New Roman"/>
          <w:szCs w:val="24"/>
        </w:rPr>
        <w:t> </w:t>
      </w:r>
      <w:r w:rsidRPr="00E82CFC">
        <w:rPr>
          <w:rFonts w:cs="Times New Roman"/>
          <w:szCs w:val="24"/>
        </w:rPr>
        <w:t xml:space="preserve">dnia 29 października 2013 r. </w:t>
      </w:r>
      <w:r w:rsidR="00F26E04">
        <w:rPr>
          <w:rFonts w:cs="Times New Roman"/>
          <w:szCs w:val="24"/>
        </w:rPr>
        <w:t>–</w:t>
      </w:r>
      <w:r w:rsidRPr="00E82CFC">
        <w:rPr>
          <w:rFonts w:cs="Times New Roman"/>
          <w:szCs w:val="24"/>
        </w:rPr>
        <w:t xml:space="preserve"> Regulamin pracy Rady Ministrów (M.P. z </w:t>
      </w:r>
      <w:r w:rsidR="008179D6">
        <w:rPr>
          <w:rFonts w:cs="Times New Roman"/>
          <w:szCs w:val="24"/>
        </w:rPr>
        <w:t>202</w:t>
      </w:r>
      <w:r w:rsidR="004A631A">
        <w:rPr>
          <w:rFonts w:cs="Times New Roman"/>
          <w:szCs w:val="24"/>
        </w:rPr>
        <w:t>6</w:t>
      </w:r>
      <w:r w:rsidRPr="00E82CFC">
        <w:rPr>
          <w:rFonts w:cs="Times New Roman"/>
          <w:szCs w:val="24"/>
        </w:rPr>
        <w:t xml:space="preserve"> r. poz. </w:t>
      </w:r>
      <w:r w:rsidR="004A631A">
        <w:rPr>
          <w:rFonts w:cs="Times New Roman"/>
          <w:szCs w:val="24"/>
        </w:rPr>
        <w:t>404</w:t>
      </w:r>
      <w:r w:rsidRPr="00E82CFC">
        <w:rPr>
          <w:rFonts w:cs="Times New Roman"/>
          <w:szCs w:val="24"/>
        </w:rPr>
        <w:t>), projekt ustawy z chwilą przekazania go do uzgodnień z członkami Rady Ministrów zosta</w:t>
      </w:r>
      <w:r w:rsidR="00F91065">
        <w:rPr>
          <w:rFonts w:cs="Times New Roman"/>
          <w:szCs w:val="24"/>
        </w:rPr>
        <w:t>ł</w:t>
      </w:r>
      <w:r w:rsidRPr="00E82CFC">
        <w:rPr>
          <w:rFonts w:cs="Times New Roman"/>
          <w:szCs w:val="24"/>
        </w:rPr>
        <w:t xml:space="preserve"> udostępniony w Biuletynie Informacji Publicznej na stronie podmiotowej Rządowego Centrum Legislacji, w serwisie </w:t>
      </w:r>
      <w:r w:rsidR="00116E11">
        <w:rPr>
          <w:rFonts w:cs="Times New Roman"/>
          <w:szCs w:val="24"/>
        </w:rPr>
        <w:t>„</w:t>
      </w:r>
      <w:r w:rsidRPr="00E82CFC">
        <w:rPr>
          <w:rFonts w:cs="Times New Roman"/>
          <w:szCs w:val="24"/>
        </w:rPr>
        <w:t>Rządowy Proces Legislacji</w:t>
      </w:r>
      <w:r w:rsidR="00116E11">
        <w:rPr>
          <w:rFonts w:cs="Times New Roman"/>
          <w:szCs w:val="24"/>
        </w:rPr>
        <w:t>”</w:t>
      </w:r>
      <w:r w:rsidRPr="00E82CFC">
        <w:rPr>
          <w:rFonts w:cs="Times New Roman"/>
          <w:szCs w:val="24"/>
        </w:rPr>
        <w:t>.</w:t>
      </w:r>
      <w:bookmarkEnd w:id="0"/>
    </w:p>
    <w:sectPr w:rsidR="002F2B86" w:rsidRPr="00E82CFC" w:rsidSect="003A73D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1DEE1" w14:textId="77777777" w:rsidR="007005E9" w:rsidRDefault="007005E9" w:rsidP="00BA42C9">
      <w:r>
        <w:separator/>
      </w:r>
    </w:p>
  </w:endnote>
  <w:endnote w:type="continuationSeparator" w:id="0">
    <w:p w14:paraId="2A27E499" w14:textId="77777777" w:rsidR="007005E9" w:rsidRDefault="007005E9" w:rsidP="00BA42C9">
      <w:r>
        <w:continuationSeparator/>
      </w:r>
    </w:p>
  </w:endnote>
  <w:endnote w:type="continuationNotice" w:id="1">
    <w:p w14:paraId="6F57CF63" w14:textId="77777777" w:rsidR="007005E9" w:rsidRDefault="007005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659995"/>
      <w:docPartObj>
        <w:docPartGallery w:val="Page Numbers (Bottom of Page)"/>
        <w:docPartUnique/>
      </w:docPartObj>
    </w:sdtPr>
    <w:sdtEndPr/>
    <w:sdtContent>
      <w:p w14:paraId="00104BD4" w14:textId="77777777" w:rsidR="003D5496" w:rsidRDefault="003D5496">
        <w:pPr>
          <w:pStyle w:val="Stopka"/>
          <w:jc w:val="center"/>
        </w:pPr>
        <w:r>
          <w:fldChar w:fldCharType="begin"/>
        </w:r>
        <w:r>
          <w:instrText>PAGE   \* MERGEFORMAT</w:instrText>
        </w:r>
        <w:r>
          <w:fldChar w:fldCharType="separate"/>
        </w:r>
        <w:r w:rsidR="001E6522">
          <w:rPr>
            <w:noProof/>
          </w:rPr>
          <w:t>26</w:t>
        </w:r>
        <w:r>
          <w:fldChar w:fldCharType="end"/>
        </w:r>
      </w:p>
    </w:sdtContent>
  </w:sdt>
  <w:p w14:paraId="0C39B9BE" w14:textId="77777777" w:rsidR="003D5496" w:rsidRDefault="003D549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66423" w14:textId="77777777" w:rsidR="007005E9" w:rsidRDefault="007005E9" w:rsidP="00BA42C9">
      <w:r>
        <w:separator/>
      </w:r>
    </w:p>
  </w:footnote>
  <w:footnote w:type="continuationSeparator" w:id="0">
    <w:p w14:paraId="5E79BCF1" w14:textId="77777777" w:rsidR="007005E9" w:rsidRDefault="007005E9" w:rsidP="00BA42C9">
      <w:r>
        <w:continuationSeparator/>
      </w:r>
    </w:p>
  </w:footnote>
  <w:footnote w:type="continuationNotice" w:id="1">
    <w:p w14:paraId="167F307F" w14:textId="77777777" w:rsidR="007005E9" w:rsidRDefault="007005E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1A98"/>
    <w:multiLevelType w:val="hybridMultilevel"/>
    <w:tmpl w:val="C98202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ED6934"/>
    <w:multiLevelType w:val="hybridMultilevel"/>
    <w:tmpl w:val="5ABAE832"/>
    <w:lvl w:ilvl="0" w:tplc="04150001">
      <w:start w:val="1"/>
      <w:numFmt w:val="bullet"/>
      <w:lvlText w:val=""/>
      <w:lvlJc w:val="left"/>
      <w:pPr>
        <w:ind w:left="1068" w:hanging="708"/>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CD3DE5"/>
    <w:multiLevelType w:val="hybridMultilevel"/>
    <w:tmpl w:val="5FB062FE"/>
    <w:lvl w:ilvl="0" w:tplc="8D5C70F2">
      <w:numFmt w:val="bullet"/>
      <w:lvlText w:val="•"/>
      <w:lvlJc w:val="left"/>
      <w:pPr>
        <w:ind w:left="1068" w:hanging="708"/>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7E09D1"/>
    <w:multiLevelType w:val="hybridMultilevel"/>
    <w:tmpl w:val="AD4A6DFC"/>
    <w:lvl w:ilvl="0" w:tplc="D4EE63D8">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EDA0E1A"/>
    <w:multiLevelType w:val="hybridMultilevel"/>
    <w:tmpl w:val="392812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50E0567"/>
    <w:multiLevelType w:val="hybridMultilevel"/>
    <w:tmpl w:val="E4205F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6335DB"/>
    <w:multiLevelType w:val="hybridMultilevel"/>
    <w:tmpl w:val="6AFCD8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CB81AAF"/>
    <w:multiLevelType w:val="hybridMultilevel"/>
    <w:tmpl w:val="27EE1890"/>
    <w:lvl w:ilvl="0" w:tplc="8D5C70F2">
      <w:numFmt w:val="bullet"/>
      <w:lvlText w:val="•"/>
      <w:lvlJc w:val="left"/>
      <w:pPr>
        <w:ind w:left="1068" w:hanging="708"/>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02102E3"/>
    <w:multiLevelType w:val="hybridMultilevel"/>
    <w:tmpl w:val="867249F4"/>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4DCF3E4E"/>
    <w:multiLevelType w:val="hybridMultilevel"/>
    <w:tmpl w:val="D668093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538566F2"/>
    <w:multiLevelType w:val="hybridMultilevel"/>
    <w:tmpl w:val="20BAF11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 w15:restartNumberingAfterBreak="0">
    <w:nsid w:val="58BF6455"/>
    <w:multiLevelType w:val="hybridMultilevel"/>
    <w:tmpl w:val="D9FAD2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B811152"/>
    <w:multiLevelType w:val="hybridMultilevel"/>
    <w:tmpl w:val="8A1E334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10"/>
  </w:num>
  <w:num w:numId="5">
    <w:abstractNumId w:val="1"/>
  </w:num>
  <w:num w:numId="6">
    <w:abstractNumId w:val="12"/>
  </w:num>
  <w:num w:numId="7">
    <w:abstractNumId w:val="9"/>
  </w:num>
  <w:num w:numId="8">
    <w:abstractNumId w:val="0"/>
  </w:num>
  <w:num w:numId="9">
    <w:abstractNumId w:val="7"/>
  </w:num>
  <w:num w:numId="10">
    <w:abstractNumId w:val="2"/>
  </w:num>
  <w:num w:numId="11">
    <w:abstractNumId w:val="4"/>
  </w:num>
  <w:num w:numId="12">
    <w:abstractNumId w:val="11"/>
  </w:num>
  <w:num w:numId="1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2C9"/>
    <w:rsid w:val="0000194B"/>
    <w:rsid w:val="00001BF0"/>
    <w:rsid w:val="00002253"/>
    <w:rsid w:val="00002C9A"/>
    <w:rsid w:val="000033AA"/>
    <w:rsid w:val="00006D9F"/>
    <w:rsid w:val="00010FF1"/>
    <w:rsid w:val="00011399"/>
    <w:rsid w:val="00011B30"/>
    <w:rsid w:val="00011C27"/>
    <w:rsid w:val="0001382F"/>
    <w:rsid w:val="00013D3C"/>
    <w:rsid w:val="0001572F"/>
    <w:rsid w:val="0001616C"/>
    <w:rsid w:val="0001766E"/>
    <w:rsid w:val="00017A3C"/>
    <w:rsid w:val="0002022D"/>
    <w:rsid w:val="000216F7"/>
    <w:rsid w:val="0002276D"/>
    <w:rsid w:val="0002297E"/>
    <w:rsid w:val="00024626"/>
    <w:rsid w:val="00024B82"/>
    <w:rsid w:val="0002514F"/>
    <w:rsid w:val="000256C3"/>
    <w:rsid w:val="00025AAE"/>
    <w:rsid w:val="00025EC1"/>
    <w:rsid w:val="00026074"/>
    <w:rsid w:val="00026534"/>
    <w:rsid w:val="0002770F"/>
    <w:rsid w:val="00032603"/>
    <w:rsid w:val="00032756"/>
    <w:rsid w:val="00033A36"/>
    <w:rsid w:val="00034038"/>
    <w:rsid w:val="000357CE"/>
    <w:rsid w:val="00035829"/>
    <w:rsid w:val="00036951"/>
    <w:rsid w:val="00037F0D"/>
    <w:rsid w:val="000401F6"/>
    <w:rsid w:val="00041487"/>
    <w:rsid w:val="00042B96"/>
    <w:rsid w:val="00044613"/>
    <w:rsid w:val="0004630E"/>
    <w:rsid w:val="00046780"/>
    <w:rsid w:val="00050DBE"/>
    <w:rsid w:val="00051697"/>
    <w:rsid w:val="000516B1"/>
    <w:rsid w:val="0005252D"/>
    <w:rsid w:val="00052F15"/>
    <w:rsid w:val="00054050"/>
    <w:rsid w:val="00054C8A"/>
    <w:rsid w:val="000564BA"/>
    <w:rsid w:val="00056E5A"/>
    <w:rsid w:val="00060657"/>
    <w:rsid w:val="00060FD9"/>
    <w:rsid w:val="0006108E"/>
    <w:rsid w:val="00061B6C"/>
    <w:rsid w:val="00062260"/>
    <w:rsid w:val="0006333F"/>
    <w:rsid w:val="00064995"/>
    <w:rsid w:val="00066438"/>
    <w:rsid w:val="00066A60"/>
    <w:rsid w:val="0006719C"/>
    <w:rsid w:val="000713F0"/>
    <w:rsid w:val="00071D9F"/>
    <w:rsid w:val="0007348D"/>
    <w:rsid w:val="000741D9"/>
    <w:rsid w:val="000760F8"/>
    <w:rsid w:val="00076FE4"/>
    <w:rsid w:val="00080A7A"/>
    <w:rsid w:val="00082860"/>
    <w:rsid w:val="00082BE5"/>
    <w:rsid w:val="0008330D"/>
    <w:rsid w:val="00085A02"/>
    <w:rsid w:val="000868D8"/>
    <w:rsid w:val="00086A64"/>
    <w:rsid w:val="00087C7E"/>
    <w:rsid w:val="00091F8B"/>
    <w:rsid w:val="00091F9E"/>
    <w:rsid w:val="00091FE5"/>
    <w:rsid w:val="000920F2"/>
    <w:rsid w:val="0009483D"/>
    <w:rsid w:val="00096858"/>
    <w:rsid w:val="0009755F"/>
    <w:rsid w:val="000A1838"/>
    <w:rsid w:val="000B0120"/>
    <w:rsid w:val="000B0C0B"/>
    <w:rsid w:val="000B0F01"/>
    <w:rsid w:val="000B22A1"/>
    <w:rsid w:val="000B2BC3"/>
    <w:rsid w:val="000B36C8"/>
    <w:rsid w:val="000B5558"/>
    <w:rsid w:val="000B7E4D"/>
    <w:rsid w:val="000C1C29"/>
    <w:rsid w:val="000C2211"/>
    <w:rsid w:val="000C22A8"/>
    <w:rsid w:val="000C3472"/>
    <w:rsid w:val="000C3DF8"/>
    <w:rsid w:val="000C47AC"/>
    <w:rsid w:val="000C4D90"/>
    <w:rsid w:val="000C6954"/>
    <w:rsid w:val="000C792A"/>
    <w:rsid w:val="000C7D22"/>
    <w:rsid w:val="000D210E"/>
    <w:rsid w:val="000D2ACB"/>
    <w:rsid w:val="000D2F67"/>
    <w:rsid w:val="000D408C"/>
    <w:rsid w:val="000D47C9"/>
    <w:rsid w:val="000D7610"/>
    <w:rsid w:val="000E2D07"/>
    <w:rsid w:val="000E3355"/>
    <w:rsid w:val="000E3AF9"/>
    <w:rsid w:val="000E52E1"/>
    <w:rsid w:val="000E5C91"/>
    <w:rsid w:val="000E6075"/>
    <w:rsid w:val="000E7D75"/>
    <w:rsid w:val="000F0221"/>
    <w:rsid w:val="000F1CBF"/>
    <w:rsid w:val="000F3FE1"/>
    <w:rsid w:val="000F5928"/>
    <w:rsid w:val="001000FF"/>
    <w:rsid w:val="00101161"/>
    <w:rsid w:val="0010126B"/>
    <w:rsid w:val="00104C94"/>
    <w:rsid w:val="00107229"/>
    <w:rsid w:val="00107E1F"/>
    <w:rsid w:val="00112B42"/>
    <w:rsid w:val="0011328A"/>
    <w:rsid w:val="001148A8"/>
    <w:rsid w:val="00114BB6"/>
    <w:rsid w:val="001151EE"/>
    <w:rsid w:val="001154BE"/>
    <w:rsid w:val="00116E11"/>
    <w:rsid w:val="0012013E"/>
    <w:rsid w:val="001218D9"/>
    <w:rsid w:val="00123E95"/>
    <w:rsid w:val="0012494B"/>
    <w:rsid w:val="0012534D"/>
    <w:rsid w:val="00125EDF"/>
    <w:rsid w:val="00126292"/>
    <w:rsid w:val="00130221"/>
    <w:rsid w:val="001324E9"/>
    <w:rsid w:val="00132ADF"/>
    <w:rsid w:val="00132BB3"/>
    <w:rsid w:val="00134875"/>
    <w:rsid w:val="00135145"/>
    <w:rsid w:val="001357B5"/>
    <w:rsid w:val="00135CED"/>
    <w:rsid w:val="001411A5"/>
    <w:rsid w:val="001413E2"/>
    <w:rsid w:val="00141817"/>
    <w:rsid w:val="00141D63"/>
    <w:rsid w:val="001424DD"/>
    <w:rsid w:val="0014286C"/>
    <w:rsid w:val="00145180"/>
    <w:rsid w:val="00145E17"/>
    <w:rsid w:val="00146D7B"/>
    <w:rsid w:val="0015203E"/>
    <w:rsid w:val="0015659E"/>
    <w:rsid w:val="001610D4"/>
    <w:rsid w:val="001614A8"/>
    <w:rsid w:val="00161606"/>
    <w:rsid w:val="0016172D"/>
    <w:rsid w:val="00163B9F"/>
    <w:rsid w:val="001647EF"/>
    <w:rsid w:val="0017081B"/>
    <w:rsid w:val="001737DA"/>
    <w:rsid w:val="001741C4"/>
    <w:rsid w:val="0017724F"/>
    <w:rsid w:val="00180676"/>
    <w:rsid w:val="00181055"/>
    <w:rsid w:val="001826DF"/>
    <w:rsid w:val="0018334B"/>
    <w:rsid w:val="001856E4"/>
    <w:rsid w:val="001863B4"/>
    <w:rsid w:val="0018713B"/>
    <w:rsid w:val="001915DB"/>
    <w:rsid w:val="00195278"/>
    <w:rsid w:val="00196EA9"/>
    <w:rsid w:val="001971AD"/>
    <w:rsid w:val="001A1144"/>
    <w:rsid w:val="001A1F29"/>
    <w:rsid w:val="001A21E4"/>
    <w:rsid w:val="001A2CD6"/>
    <w:rsid w:val="001A31CC"/>
    <w:rsid w:val="001A749C"/>
    <w:rsid w:val="001A7AD6"/>
    <w:rsid w:val="001B1B20"/>
    <w:rsid w:val="001B1C09"/>
    <w:rsid w:val="001B3519"/>
    <w:rsid w:val="001B4B1B"/>
    <w:rsid w:val="001B4CC4"/>
    <w:rsid w:val="001B52D1"/>
    <w:rsid w:val="001B547E"/>
    <w:rsid w:val="001B5E50"/>
    <w:rsid w:val="001B6A83"/>
    <w:rsid w:val="001C150E"/>
    <w:rsid w:val="001C48B8"/>
    <w:rsid w:val="001C4EF5"/>
    <w:rsid w:val="001C6000"/>
    <w:rsid w:val="001C67F0"/>
    <w:rsid w:val="001D0D6B"/>
    <w:rsid w:val="001D1E2A"/>
    <w:rsid w:val="001D2FE3"/>
    <w:rsid w:val="001D3869"/>
    <w:rsid w:val="001D6F2E"/>
    <w:rsid w:val="001D75FC"/>
    <w:rsid w:val="001D7980"/>
    <w:rsid w:val="001E01D3"/>
    <w:rsid w:val="001E0DF8"/>
    <w:rsid w:val="001E2642"/>
    <w:rsid w:val="001E6522"/>
    <w:rsid w:val="001F3818"/>
    <w:rsid w:val="001F4C7B"/>
    <w:rsid w:val="001F5CEA"/>
    <w:rsid w:val="001F66A7"/>
    <w:rsid w:val="001F71F2"/>
    <w:rsid w:val="001F72BB"/>
    <w:rsid w:val="001F7DF2"/>
    <w:rsid w:val="00200764"/>
    <w:rsid w:val="00200A2E"/>
    <w:rsid w:val="00201BFD"/>
    <w:rsid w:val="00201E8E"/>
    <w:rsid w:val="0020211B"/>
    <w:rsid w:val="002039E2"/>
    <w:rsid w:val="00204103"/>
    <w:rsid w:val="00204C59"/>
    <w:rsid w:val="0020720B"/>
    <w:rsid w:val="002074B3"/>
    <w:rsid w:val="00210038"/>
    <w:rsid w:val="00210DA2"/>
    <w:rsid w:val="002117B1"/>
    <w:rsid w:val="0021184B"/>
    <w:rsid w:val="00211A4C"/>
    <w:rsid w:val="0021347B"/>
    <w:rsid w:val="00214FCE"/>
    <w:rsid w:val="00216E7A"/>
    <w:rsid w:val="00217F8B"/>
    <w:rsid w:val="002241B4"/>
    <w:rsid w:val="00224617"/>
    <w:rsid w:val="00225177"/>
    <w:rsid w:val="002300D7"/>
    <w:rsid w:val="002312F9"/>
    <w:rsid w:val="0023181D"/>
    <w:rsid w:val="0023213A"/>
    <w:rsid w:val="00236A6D"/>
    <w:rsid w:val="00241497"/>
    <w:rsid w:val="00241BF4"/>
    <w:rsid w:val="0024286E"/>
    <w:rsid w:val="00242D6B"/>
    <w:rsid w:val="0024421A"/>
    <w:rsid w:val="002443F7"/>
    <w:rsid w:val="00244A22"/>
    <w:rsid w:val="00245698"/>
    <w:rsid w:val="002456D1"/>
    <w:rsid w:val="0025008A"/>
    <w:rsid w:val="002517DC"/>
    <w:rsid w:val="002517FA"/>
    <w:rsid w:val="00252CD5"/>
    <w:rsid w:val="00252D1F"/>
    <w:rsid w:val="002557CC"/>
    <w:rsid w:val="00257FCF"/>
    <w:rsid w:val="00262605"/>
    <w:rsid w:val="002635E4"/>
    <w:rsid w:val="00263D11"/>
    <w:rsid w:val="00264046"/>
    <w:rsid w:val="00264B23"/>
    <w:rsid w:val="002651FA"/>
    <w:rsid w:val="00265246"/>
    <w:rsid w:val="0026554D"/>
    <w:rsid w:val="00267802"/>
    <w:rsid w:val="00267F22"/>
    <w:rsid w:val="00270F33"/>
    <w:rsid w:val="0027142B"/>
    <w:rsid w:val="002716B3"/>
    <w:rsid w:val="00271F3F"/>
    <w:rsid w:val="00273286"/>
    <w:rsid w:val="00273604"/>
    <w:rsid w:val="00274ED5"/>
    <w:rsid w:val="00276F45"/>
    <w:rsid w:val="00277BDF"/>
    <w:rsid w:val="002812DD"/>
    <w:rsid w:val="002816DA"/>
    <w:rsid w:val="0028178A"/>
    <w:rsid w:val="0028181F"/>
    <w:rsid w:val="00283141"/>
    <w:rsid w:val="0028345E"/>
    <w:rsid w:val="00284875"/>
    <w:rsid w:val="002856F1"/>
    <w:rsid w:val="0028577C"/>
    <w:rsid w:val="00285ABD"/>
    <w:rsid w:val="00286648"/>
    <w:rsid w:val="0028669D"/>
    <w:rsid w:val="002912D5"/>
    <w:rsid w:val="002952CA"/>
    <w:rsid w:val="00296660"/>
    <w:rsid w:val="00297FC4"/>
    <w:rsid w:val="002A0AAD"/>
    <w:rsid w:val="002A15E8"/>
    <w:rsid w:val="002A2286"/>
    <w:rsid w:val="002A2B3C"/>
    <w:rsid w:val="002A3127"/>
    <w:rsid w:val="002A35C9"/>
    <w:rsid w:val="002A4388"/>
    <w:rsid w:val="002A4DFB"/>
    <w:rsid w:val="002A5A19"/>
    <w:rsid w:val="002A6878"/>
    <w:rsid w:val="002A6A88"/>
    <w:rsid w:val="002B0043"/>
    <w:rsid w:val="002B3553"/>
    <w:rsid w:val="002B3D77"/>
    <w:rsid w:val="002B56F6"/>
    <w:rsid w:val="002B6437"/>
    <w:rsid w:val="002C0BF4"/>
    <w:rsid w:val="002C495E"/>
    <w:rsid w:val="002C4B4A"/>
    <w:rsid w:val="002D0FDC"/>
    <w:rsid w:val="002D221A"/>
    <w:rsid w:val="002D262E"/>
    <w:rsid w:val="002D3039"/>
    <w:rsid w:val="002D3F58"/>
    <w:rsid w:val="002E08FF"/>
    <w:rsid w:val="002E3088"/>
    <w:rsid w:val="002E34E2"/>
    <w:rsid w:val="002E787C"/>
    <w:rsid w:val="002F0964"/>
    <w:rsid w:val="002F157B"/>
    <w:rsid w:val="002F190F"/>
    <w:rsid w:val="002F28F4"/>
    <w:rsid w:val="002F2B86"/>
    <w:rsid w:val="0030019F"/>
    <w:rsid w:val="00301148"/>
    <w:rsid w:val="00302F47"/>
    <w:rsid w:val="00303A82"/>
    <w:rsid w:val="003072B5"/>
    <w:rsid w:val="003077C5"/>
    <w:rsid w:val="00307D4B"/>
    <w:rsid w:val="00307E78"/>
    <w:rsid w:val="0031077B"/>
    <w:rsid w:val="003143E6"/>
    <w:rsid w:val="00317DCC"/>
    <w:rsid w:val="00320409"/>
    <w:rsid w:val="00321E39"/>
    <w:rsid w:val="00323289"/>
    <w:rsid w:val="003237AA"/>
    <w:rsid w:val="00325D0C"/>
    <w:rsid w:val="00327105"/>
    <w:rsid w:val="00334A92"/>
    <w:rsid w:val="00336B0A"/>
    <w:rsid w:val="00336F61"/>
    <w:rsid w:val="00337F2E"/>
    <w:rsid w:val="0034113A"/>
    <w:rsid w:val="00344833"/>
    <w:rsid w:val="00345F30"/>
    <w:rsid w:val="003472FB"/>
    <w:rsid w:val="00347F51"/>
    <w:rsid w:val="00350EDD"/>
    <w:rsid w:val="003528FE"/>
    <w:rsid w:val="00352C10"/>
    <w:rsid w:val="00352CDB"/>
    <w:rsid w:val="00353889"/>
    <w:rsid w:val="00353EB8"/>
    <w:rsid w:val="00353F99"/>
    <w:rsid w:val="00354191"/>
    <w:rsid w:val="00354F3A"/>
    <w:rsid w:val="00355C0E"/>
    <w:rsid w:val="0035607D"/>
    <w:rsid w:val="00362833"/>
    <w:rsid w:val="00363ACC"/>
    <w:rsid w:val="00363C5A"/>
    <w:rsid w:val="00365AAE"/>
    <w:rsid w:val="00370385"/>
    <w:rsid w:val="003709D3"/>
    <w:rsid w:val="003713B3"/>
    <w:rsid w:val="0037296E"/>
    <w:rsid w:val="00373143"/>
    <w:rsid w:val="003733DF"/>
    <w:rsid w:val="00376E82"/>
    <w:rsid w:val="00377E45"/>
    <w:rsid w:val="00381026"/>
    <w:rsid w:val="0038149A"/>
    <w:rsid w:val="00381A08"/>
    <w:rsid w:val="00382F22"/>
    <w:rsid w:val="003845B7"/>
    <w:rsid w:val="00384D53"/>
    <w:rsid w:val="003851B0"/>
    <w:rsid w:val="00385600"/>
    <w:rsid w:val="0038732A"/>
    <w:rsid w:val="00387745"/>
    <w:rsid w:val="003922BD"/>
    <w:rsid w:val="00392571"/>
    <w:rsid w:val="00392A56"/>
    <w:rsid w:val="003954C0"/>
    <w:rsid w:val="003956E3"/>
    <w:rsid w:val="00395822"/>
    <w:rsid w:val="00395F0A"/>
    <w:rsid w:val="00397885"/>
    <w:rsid w:val="00397FB3"/>
    <w:rsid w:val="003A1461"/>
    <w:rsid w:val="003A2779"/>
    <w:rsid w:val="003A31EF"/>
    <w:rsid w:val="003A3987"/>
    <w:rsid w:val="003A3EC9"/>
    <w:rsid w:val="003A73D8"/>
    <w:rsid w:val="003A771F"/>
    <w:rsid w:val="003B1A4C"/>
    <w:rsid w:val="003B2BE1"/>
    <w:rsid w:val="003B3333"/>
    <w:rsid w:val="003B39E8"/>
    <w:rsid w:val="003B3EF3"/>
    <w:rsid w:val="003B63BB"/>
    <w:rsid w:val="003C0D7C"/>
    <w:rsid w:val="003C15E4"/>
    <w:rsid w:val="003C2DA1"/>
    <w:rsid w:val="003C415E"/>
    <w:rsid w:val="003C41E9"/>
    <w:rsid w:val="003C443E"/>
    <w:rsid w:val="003C4EAE"/>
    <w:rsid w:val="003C61E2"/>
    <w:rsid w:val="003D136D"/>
    <w:rsid w:val="003D17D1"/>
    <w:rsid w:val="003D38C2"/>
    <w:rsid w:val="003D392B"/>
    <w:rsid w:val="003D5496"/>
    <w:rsid w:val="003E0818"/>
    <w:rsid w:val="003E2964"/>
    <w:rsid w:val="003E2A26"/>
    <w:rsid w:val="003E2E5F"/>
    <w:rsid w:val="003E7246"/>
    <w:rsid w:val="003E7D47"/>
    <w:rsid w:val="003F0FDF"/>
    <w:rsid w:val="003F174E"/>
    <w:rsid w:val="003F3575"/>
    <w:rsid w:val="003F3FB4"/>
    <w:rsid w:val="003F4417"/>
    <w:rsid w:val="003F54B3"/>
    <w:rsid w:val="003F61B8"/>
    <w:rsid w:val="0040076B"/>
    <w:rsid w:val="00400873"/>
    <w:rsid w:val="004018A1"/>
    <w:rsid w:val="00401ACD"/>
    <w:rsid w:val="00401DF2"/>
    <w:rsid w:val="004021FD"/>
    <w:rsid w:val="00404577"/>
    <w:rsid w:val="00405211"/>
    <w:rsid w:val="00405AE1"/>
    <w:rsid w:val="00405DF6"/>
    <w:rsid w:val="004062D5"/>
    <w:rsid w:val="00406898"/>
    <w:rsid w:val="00406DA0"/>
    <w:rsid w:val="00406EF4"/>
    <w:rsid w:val="00407300"/>
    <w:rsid w:val="004077C2"/>
    <w:rsid w:val="00407F25"/>
    <w:rsid w:val="00413358"/>
    <w:rsid w:val="00414D7F"/>
    <w:rsid w:val="00416F77"/>
    <w:rsid w:val="00420470"/>
    <w:rsid w:val="00420658"/>
    <w:rsid w:val="004217C4"/>
    <w:rsid w:val="00421836"/>
    <w:rsid w:val="004218D0"/>
    <w:rsid w:val="00422016"/>
    <w:rsid w:val="004220BA"/>
    <w:rsid w:val="00422483"/>
    <w:rsid w:val="00422AF4"/>
    <w:rsid w:val="00422F09"/>
    <w:rsid w:val="00423A4E"/>
    <w:rsid w:val="0042527E"/>
    <w:rsid w:val="00426884"/>
    <w:rsid w:val="004271D5"/>
    <w:rsid w:val="00430682"/>
    <w:rsid w:val="004315F3"/>
    <w:rsid w:val="00434189"/>
    <w:rsid w:val="004342A3"/>
    <w:rsid w:val="00437D1D"/>
    <w:rsid w:val="00440CEE"/>
    <w:rsid w:val="00441404"/>
    <w:rsid w:val="00443EDF"/>
    <w:rsid w:val="00446072"/>
    <w:rsid w:val="0044694D"/>
    <w:rsid w:val="00447441"/>
    <w:rsid w:val="00450464"/>
    <w:rsid w:val="00452358"/>
    <w:rsid w:val="00453264"/>
    <w:rsid w:val="00454D81"/>
    <w:rsid w:val="00455370"/>
    <w:rsid w:val="00456B60"/>
    <w:rsid w:val="00457D51"/>
    <w:rsid w:val="00461764"/>
    <w:rsid w:val="004626A0"/>
    <w:rsid w:val="0046301E"/>
    <w:rsid w:val="00463150"/>
    <w:rsid w:val="004634BE"/>
    <w:rsid w:val="00463A4C"/>
    <w:rsid w:val="004675D8"/>
    <w:rsid w:val="0047004D"/>
    <w:rsid w:val="00471007"/>
    <w:rsid w:val="00474810"/>
    <w:rsid w:val="00474ACF"/>
    <w:rsid w:val="00475C03"/>
    <w:rsid w:val="0047639D"/>
    <w:rsid w:val="004801AB"/>
    <w:rsid w:val="00480638"/>
    <w:rsid w:val="004821D0"/>
    <w:rsid w:val="00482DD3"/>
    <w:rsid w:val="00482E3A"/>
    <w:rsid w:val="00484246"/>
    <w:rsid w:val="00485239"/>
    <w:rsid w:val="00490161"/>
    <w:rsid w:val="004920DC"/>
    <w:rsid w:val="00492794"/>
    <w:rsid w:val="00492B87"/>
    <w:rsid w:val="00494C65"/>
    <w:rsid w:val="00495F0C"/>
    <w:rsid w:val="00496715"/>
    <w:rsid w:val="0049751D"/>
    <w:rsid w:val="004A0AF5"/>
    <w:rsid w:val="004A0BF2"/>
    <w:rsid w:val="004A30B8"/>
    <w:rsid w:val="004A3F8A"/>
    <w:rsid w:val="004A510F"/>
    <w:rsid w:val="004A53E7"/>
    <w:rsid w:val="004A631A"/>
    <w:rsid w:val="004B3881"/>
    <w:rsid w:val="004B5A90"/>
    <w:rsid w:val="004B7802"/>
    <w:rsid w:val="004C0719"/>
    <w:rsid w:val="004C1112"/>
    <w:rsid w:val="004C1814"/>
    <w:rsid w:val="004C2575"/>
    <w:rsid w:val="004C26E7"/>
    <w:rsid w:val="004C344C"/>
    <w:rsid w:val="004C3595"/>
    <w:rsid w:val="004C65AF"/>
    <w:rsid w:val="004C6A0B"/>
    <w:rsid w:val="004C763B"/>
    <w:rsid w:val="004D024E"/>
    <w:rsid w:val="004D0CFD"/>
    <w:rsid w:val="004D18A7"/>
    <w:rsid w:val="004D2987"/>
    <w:rsid w:val="004D3494"/>
    <w:rsid w:val="004D48BB"/>
    <w:rsid w:val="004D6390"/>
    <w:rsid w:val="004D6CD7"/>
    <w:rsid w:val="004E04F5"/>
    <w:rsid w:val="004E366F"/>
    <w:rsid w:val="004E39F2"/>
    <w:rsid w:val="004E3DF9"/>
    <w:rsid w:val="004E413F"/>
    <w:rsid w:val="004E4FD0"/>
    <w:rsid w:val="004E5588"/>
    <w:rsid w:val="004E5758"/>
    <w:rsid w:val="004E58C1"/>
    <w:rsid w:val="004E5FAB"/>
    <w:rsid w:val="004E763A"/>
    <w:rsid w:val="004F0EAD"/>
    <w:rsid w:val="004F1BB8"/>
    <w:rsid w:val="004F682A"/>
    <w:rsid w:val="004F720B"/>
    <w:rsid w:val="00501CCA"/>
    <w:rsid w:val="00501DD6"/>
    <w:rsid w:val="00502233"/>
    <w:rsid w:val="0050228E"/>
    <w:rsid w:val="00502698"/>
    <w:rsid w:val="005031C1"/>
    <w:rsid w:val="005100B6"/>
    <w:rsid w:val="005118D3"/>
    <w:rsid w:val="0051253D"/>
    <w:rsid w:val="005129B7"/>
    <w:rsid w:val="00512C32"/>
    <w:rsid w:val="00512FBA"/>
    <w:rsid w:val="00513F74"/>
    <w:rsid w:val="005155E4"/>
    <w:rsid w:val="00515BAE"/>
    <w:rsid w:val="005207D3"/>
    <w:rsid w:val="00520B73"/>
    <w:rsid w:val="00520EB7"/>
    <w:rsid w:val="00520EE1"/>
    <w:rsid w:val="00521057"/>
    <w:rsid w:val="00521C5A"/>
    <w:rsid w:val="005224F0"/>
    <w:rsid w:val="0052293C"/>
    <w:rsid w:val="00522BB7"/>
    <w:rsid w:val="005273B0"/>
    <w:rsid w:val="00527494"/>
    <w:rsid w:val="0052772A"/>
    <w:rsid w:val="00530296"/>
    <w:rsid w:val="00531784"/>
    <w:rsid w:val="00531F4B"/>
    <w:rsid w:val="0053338F"/>
    <w:rsid w:val="00534BE8"/>
    <w:rsid w:val="005353D8"/>
    <w:rsid w:val="00536334"/>
    <w:rsid w:val="00540184"/>
    <w:rsid w:val="005429D7"/>
    <w:rsid w:val="00542AB7"/>
    <w:rsid w:val="00542CFB"/>
    <w:rsid w:val="0054512F"/>
    <w:rsid w:val="005465DB"/>
    <w:rsid w:val="00546A43"/>
    <w:rsid w:val="00547D15"/>
    <w:rsid w:val="005503EE"/>
    <w:rsid w:val="0055243C"/>
    <w:rsid w:val="00553375"/>
    <w:rsid w:val="0055343D"/>
    <w:rsid w:val="0055448C"/>
    <w:rsid w:val="005562A3"/>
    <w:rsid w:val="00557FA5"/>
    <w:rsid w:val="00562FD7"/>
    <w:rsid w:val="005630CD"/>
    <w:rsid w:val="00564EE1"/>
    <w:rsid w:val="00565F58"/>
    <w:rsid w:val="00566381"/>
    <w:rsid w:val="00567279"/>
    <w:rsid w:val="0057248D"/>
    <w:rsid w:val="00573CFA"/>
    <w:rsid w:val="005753FC"/>
    <w:rsid w:val="00576C0C"/>
    <w:rsid w:val="00581DED"/>
    <w:rsid w:val="00582A6A"/>
    <w:rsid w:val="00584511"/>
    <w:rsid w:val="00585B0F"/>
    <w:rsid w:val="00585CF7"/>
    <w:rsid w:val="00587389"/>
    <w:rsid w:val="00587BFE"/>
    <w:rsid w:val="005934AF"/>
    <w:rsid w:val="0059391E"/>
    <w:rsid w:val="005960A6"/>
    <w:rsid w:val="0059684F"/>
    <w:rsid w:val="00596D12"/>
    <w:rsid w:val="005A0EF8"/>
    <w:rsid w:val="005A3A15"/>
    <w:rsid w:val="005A5039"/>
    <w:rsid w:val="005A63C6"/>
    <w:rsid w:val="005A7AC5"/>
    <w:rsid w:val="005B24B6"/>
    <w:rsid w:val="005B259C"/>
    <w:rsid w:val="005B2CD1"/>
    <w:rsid w:val="005B3120"/>
    <w:rsid w:val="005B40EB"/>
    <w:rsid w:val="005B4774"/>
    <w:rsid w:val="005B6A61"/>
    <w:rsid w:val="005C0434"/>
    <w:rsid w:val="005C392D"/>
    <w:rsid w:val="005C3D6A"/>
    <w:rsid w:val="005C4A00"/>
    <w:rsid w:val="005C5D51"/>
    <w:rsid w:val="005C6299"/>
    <w:rsid w:val="005C67B3"/>
    <w:rsid w:val="005D12F8"/>
    <w:rsid w:val="005D1D01"/>
    <w:rsid w:val="005D321D"/>
    <w:rsid w:val="005D3D6F"/>
    <w:rsid w:val="005D4894"/>
    <w:rsid w:val="005D7196"/>
    <w:rsid w:val="005D730F"/>
    <w:rsid w:val="005D7DDE"/>
    <w:rsid w:val="005E071A"/>
    <w:rsid w:val="005E0A02"/>
    <w:rsid w:val="005E1D27"/>
    <w:rsid w:val="005E2F03"/>
    <w:rsid w:val="005E4D67"/>
    <w:rsid w:val="005E5C84"/>
    <w:rsid w:val="005E76E4"/>
    <w:rsid w:val="005E7F8B"/>
    <w:rsid w:val="005F14D8"/>
    <w:rsid w:val="005F3FEC"/>
    <w:rsid w:val="005F431A"/>
    <w:rsid w:val="005F458A"/>
    <w:rsid w:val="005F6D10"/>
    <w:rsid w:val="005F7441"/>
    <w:rsid w:val="005F7EC2"/>
    <w:rsid w:val="00600D2F"/>
    <w:rsid w:val="0060345A"/>
    <w:rsid w:val="006036DB"/>
    <w:rsid w:val="00604569"/>
    <w:rsid w:val="006048E8"/>
    <w:rsid w:val="006051E9"/>
    <w:rsid w:val="00606A2C"/>
    <w:rsid w:val="00607473"/>
    <w:rsid w:val="0061315B"/>
    <w:rsid w:val="00614D41"/>
    <w:rsid w:val="00615254"/>
    <w:rsid w:val="00615F26"/>
    <w:rsid w:val="00621167"/>
    <w:rsid w:val="00623389"/>
    <w:rsid w:val="0062494C"/>
    <w:rsid w:val="00626999"/>
    <w:rsid w:val="00627246"/>
    <w:rsid w:val="0063347D"/>
    <w:rsid w:val="006335D1"/>
    <w:rsid w:val="006341C1"/>
    <w:rsid w:val="00635822"/>
    <w:rsid w:val="00636891"/>
    <w:rsid w:val="00636FDE"/>
    <w:rsid w:val="00637EC9"/>
    <w:rsid w:val="00641CDE"/>
    <w:rsid w:val="006443E1"/>
    <w:rsid w:val="0064535A"/>
    <w:rsid w:val="00647669"/>
    <w:rsid w:val="00650563"/>
    <w:rsid w:val="00650DF1"/>
    <w:rsid w:val="00652DF9"/>
    <w:rsid w:val="00655098"/>
    <w:rsid w:val="00656155"/>
    <w:rsid w:val="0066017A"/>
    <w:rsid w:val="00660406"/>
    <w:rsid w:val="006610D9"/>
    <w:rsid w:val="00661681"/>
    <w:rsid w:val="00661AA5"/>
    <w:rsid w:val="00663BC8"/>
    <w:rsid w:val="0066426B"/>
    <w:rsid w:val="00666AD6"/>
    <w:rsid w:val="006706ED"/>
    <w:rsid w:val="0067225C"/>
    <w:rsid w:val="006724C2"/>
    <w:rsid w:val="00674EBF"/>
    <w:rsid w:val="006770E1"/>
    <w:rsid w:val="00677157"/>
    <w:rsid w:val="0068030F"/>
    <w:rsid w:val="006848D3"/>
    <w:rsid w:val="00684E66"/>
    <w:rsid w:val="006851AA"/>
    <w:rsid w:val="006921F5"/>
    <w:rsid w:val="00696596"/>
    <w:rsid w:val="006A01B8"/>
    <w:rsid w:val="006A35F9"/>
    <w:rsid w:val="006A3632"/>
    <w:rsid w:val="006A3BCE"/>
    <w:rsid w:val="006A407A"/>
    <w:rsid w:val="006A4368"/>
    <w:rsid w:val="006A541C"/>
    <w:rsid w:val="006A6AB9"/>
    <w:rsid w:val="006A7361"/>
    <w:rsid w:val="006A7C1A"/>
    <w:rsid w:val="006B1EC0"/>
    <w:rsid w:val="006B42EE"/>
    <w:rsid w:val="006B4993"/>
    <w:rsid w:val="006B5182"/>
    <w:rsid w:val="006C0D4B"/>
    <w:rsid w:val="006C0DC4"/>
    <w:rsid w:val="006C69EE"/>
    <w:rsid w:val="006C6E77"/>
    <w:rsid w:val="006C7115"/>
    <w:rsid w:val="006D10FE"/>
    <w:rsid w:val="006D17E6"/>
    <w:rsid w:val="006D3011"/>
    <w:rsid w:val="006D3AA1"/>
    <w:rsid w:val="006D426C"/>
    <w:rsid w:val="006D4389"/>
    <w:rsid w:val="006D6E30"/>
    <w:rsid w:val="006D7158"/>
    <w:rsid w:val="006D736B"/>
    <w:rsid w:val="006D7FCC"/>
    <w:rsid w:val="006E019B"/>
    <w:rsid w:val="006E038E"/>
    <w:rsid w:val="006E13C2"/>
    <w:rsid w:val="006E2DE6"/>
    <w:rsid w:val="006E4904"/>
    <w:rsid w:val="006E5230"/>
    <w:rsid w:val="006E599E"/>
    <w:rsid w:val="006E5CD4"/>
    <w:rsid w:val="006E6716"/>
    <w:rsid w:val="006F3526"/>
    <w:rsid w:val="006F37B4"/>
    <w:rsid w:val="006F53AA"/>
    <w:rsid w:val="006F5E2E"/>
    <w:rsid w:val="006F5E47"/>
    <w:rsid w:val="007005E9"/>
    <w:rsid w:val="00703463"/>
    <w:rsid w:val="00703CDC"/>
    <w:rsid w:val="00704EDA"/>
    <w:rsid w:val="00704FF7"/>
    <w:rsid w:val="00706C4C"/>
    <w:rsid w:val="00707E80"/>
    <w:rsid w:val="00711F90"/>
    <w:rsid w:val="007121C9"/>
    <w:rsid w:val="00712793"/>
    <w:rsid w:val="00716B81"/>
    <w:rsid w:val="0072073B"/>
    <w:rsid w:val="00722625"/>
    <w:rsid w:val="00722742"/>
    <w:rsid w:val="00722851"/>
    <w:rsid w:val="00722C4B"/>
    <w:rsid w:val="00724811"/>
    <w:rsid w:val="00731763"/>
    <w:rsid w:val="00732401"/>
    <w:rsid w:val="0073256A"/>
    <w:rsid w:val="00733B02"/>
    <w:rsid w:val="00734933"/>
    <w:rsid w:val="007355E0"/>
    <w:rsid w:val="00735FCE"/>
    <w:rsid w:val="00736FA3"/>
    <w:rsid w:val="0074135A"/>
    <w:rsid w:val="00741E33"/>
    <w:rsid w:val="00742D62"/>
    <w:rsid w:val="00745ABA"/>
    <w:rsid w:val="00746236"/>
    <w:rsid w:val="00746569"/>
    <w:rsid w:val="00747125"/>
    <w:rsid w:val="007515AB"/>
    <w:rsid w:val="00751BDF"/>
    <w:rsid w:val="00754E9F"/>
    <w:rsid w:val="00755970"/>
    <w:rsid w:val="00762F20"/>
    <w:rsid w:val="0076346F"/>
    <w:rsid w:val="007648FB"/>
    <w:rsid w:val="00764D65"/>
    <w:rsid w:val="0076649A"/>
    <w:rsid w:val="007668A5"/>
    <w:rsid w:val="00771584"/>
    <w:rsid w:val="007724C3"/>
    <w:rsid w:val="00775066"/>
    <w:rsid w:val="007752B0"/>
    <w:rsid w:val="007773A1"/>
    <w:rsid w:val="00780C79"/>
    <w:rsid w:val="00782C04"/>
    <w:rsid w:val="00784A02"/>
    <w:rsid w:val="007853EA"/>
    <w:rsid w:val="00785CA4"/>
    <w:rsid w:val="00786C39"/>
    <w:rsid w:val="00787F35"/>
    <w:rsid w:val="0079093A"/>
    <w:rsid w:val="00791EA7"/>
    <w:rsid w:val="007923A1"/>
    <w:rsid w:val="007925A1"/>
    <w:rsid w:val="00793C41"/>
    <w:rsid w:val="0079503A"/>
    <w:rsid w:val="0079618D"/>
    <w:rsid w:val="0079692A"/>
    <w:rsid w:val="00796DB5"/>
    <w:rsid w:val="007A046C"/>
    <w:rsid w:val="007A123A"/>
    <w:rsid w:val="007A1826"/>
    <w:rsid w:val="007A1A09"/>
    <w:rsid w:val="007A409E"/>
    <w:rsid w:val="007A58A3"/>
    <w:rsid w:val="007A69A8"/>
    <w:rsid w:val="007A6DA6"/>
    <w:rsid w:val="007A70AA"/>
    <w:rsid w:val="007A7215"/>
    <w:rsid w:val="007A781A"/>
    <w:rsid w:val="007B1688"/>
    <w:rsid w:val="007B2297"/>
    <w:rsid w:val="007B624F"/>
    <w:rsid w:val="007B62AB"/>
    <w:rsid w:val="007B7BDC"/>
    <w:rsid w:val="007B7DD5"/>
    <w:rsid w:val="007C2629"/>
    <w:rsid w:val="007C27E2"/>
    <w:rsid w:val="007C2E69"/>
    <w:rsid w:val="007C4401"/>
    <w:rsid w:val="007C4B87"/>
    <w:rsid w:val="007D1E6E"/>
    <w:rsid w:val="007D319A"/>
    <w:rsid w:val="007D406E"/>
    <w:rsid w:val="007D41F7"/>
    <w:rsid w:val="007D4216"/>
    <w:rsid w:val="007D7806"/>
    <w:rsid w:val="007E0C3C"/>
    <w:rsid w:val="007E1875"/>
    <w:rsid w:val="007E32BA"/>
    <w:rsid w:val="007E7F6A"/>
    <w:rsid w:val="007F0399"/>
    <w:rsid w:val="007F0F0A"/>
    <w:rsid w:val="007F0FCB"/>
    <w:rsid w:val="007F11DC"/>
    <w:rsid w:val="007F3723"/>
    <w:rsid w:val="007F4CE7"/>
    <w:rsid w:val="007F532B"/>
    <w:rsid w:val="007F5DF7"/>
    <w:rsid w:val="007F5FFA"/>
    <w:rsid w:val="007F6C92"/>
    <w:rsid w:val="007F6E5C"/>
    <w:rsid w:val="007F7C86"/>
    <w:rsid w:val="0080074D"/>
    <w:rsid w:val="00800C26"/>
    <w:rsid w:val="00801FA1"/>
    <w:rsid w:val="00802120"/>
    <w:rsid w:val="008023F7"/>
    <w:rsid w:val="00803539"/>
    <w:rsid w:val="00804ED9"/>
    <w:rsid w:val="00805729"/>
    <w:rsid w:val="008068E4"/>
    <w:rsid w:val="00806A74"/>
    <w:rsid w:val="00810D09"/>
    <w:rsid w:val="0081202E"/>
    <w:rsid w:val="008134EC"/>
    <w:rsid w:val="00813D2D"/>
    <w:rsid w:val="00814535"/>
    <w:rsid w:val="00816FD7"/>
    <w:rsid w:val="008179D6"/>
    <w:rsid w:val="00817E93"/>
    <w:rsid w:val="0082127C"/>
    <w:rsid w:val="00821B8C"/>
    <w:rsid w:val="00822E92"/>
    <w:rsid w:val="00824311"/>
    <w:rsid w:val="00824776"/>
    <w:rsid w:val="00824C99"/>
    <w:rsid w:val="00826DB7"/>
    <w:rsid w:val="00827127"/>
    <w:rsid w:val="008323FF"/>
    <w:rsid w:val="008327F9"/>
    <w:rsid w:val="008345FE"/>
    <w:rsid w:val="00841D8E"/>
    <w:rsid w:val="00841FEE"/>
    <w:rsid w:val="0084279F"/>
    <w:rsid w:val="00844773"/>
    <w:rsid w:val="00845996"/>
    <w:rsid w:val="00846137"/>
    <w:rsid w:val="00846F20"/>
    <w:rsid w:val="008558F5"/>
    <w:rsid w:val="008608E0"/>
    <w:rsid w:val="008611FE"/>
    <w:rsid w:val="008614B7"/>
    <w:rsid w:val="0086320B"/>
    <w:rsid w:val="00863E05"/>
    <w:rsid w:val="00864725"/>
    <w:rsid w:val="0086491D"/>
    <w:rsid w:val="00866705"/>
    <w:rsid w:val="00867428"/>
    <w:rsid w:val="00867994"/>
    <w:rsid w:val="00870B10"/>
    <w:rsid w:val="0087399D"/>
    <w:rsid w:val="008741E4"/>
    <w:rsid w:val="00877142"/>
    <w:rsid w:val="00877867"/>
    <w:rsid w:val="008804CC"/>
    <w:rsid w:val="008834BF"/>
    <w:rsid w:val="008836DA"/>
    <w:rsid w:val="00883BFC"/>
    <w:rsid w:val="00884FA3"/>
    <w:rsid w:val="00885765"/>
    <w:rsid w:val="00887CA0"/>
    <w:rsid w:val="00890AAB"/>
    <w:rsid w:val="00890E76"/>
    <w:rsid w:val="008917EF"/>
    <w:rsid w:val="008918C4"/>
    <w:rsid w:val="00892D95"/>
    <w:rsid w:val="00894050"/>
    <w:rsid w:val="00895196"/>
    <w:rsid w:val="00896518"/>
    <w:rsid w:val="00896686"/>
    <w:rsid w:val="008968D7"/>
    <w:rsid w:val="00897AD4"/>
    <w:rsid w:val="008A0506"/>
    <w:rsid w:val="008A2D8D"/>
    <w:rsid w:val="008A31B6"/>
    <w:rsid w:val="008A3CB2"/>
    <w:rsid w:val="008A4F23"/>
    <w:rsid w:val="008A5535"/>
    <w:rsid w:val="008A7B85"/>
    <w:rsid w:val="008B0331"/>
    <w:rsid w:val="008B341C"/>
    <w:rsid w:val="008B37FC"/>
    <w:rsid w:val="008B41DD"/>
    <w:rsid w:val="008B4778"/>
    <w:rsid w:val="008B4DAE"/>
    <w:rsid w:val="008B5546"/>
    <w:rsid w:val="008B6758"/>
    <w:rsid w:val="008B7DA1"/>
    <w:rsid w:val="008C0075"/>
    <w:rsid w:val="008C0FAD"/>
    <w:rsid w:val="008C153E"/>
    <w:rsid w:val="008C2719"/>
    <w:rsid w:val="008C27AA"/>
    <w:rsid w:val="008C3242"/>
    <w:rsid w:val="008D0B74"/>
    <w:rsid w:val="008D0D71"/>
    <w:rsid w:val="008D2449"/>
    <w:rsid w:val="008D53EE"/>
    <w:rsid w:val="008E00D8"/>
    <w:rsid w:val="008E2DED"/>
    <w:rsid w:val="008E3635"/>
    <w:rsid w:val="008E66D4"/>
    <w:rsid w:val="008E6E92"/>
    <w:rsid w:val="008E7B38"/>
    <w:rsid w:val="008F09EB"/>
    <w:rsid w:val="008F0FE2"/>
    <w:rsid w:val="008F127B"/>
    <w:rsid w:val="008F1700"/>
    <w:rsid w:val="008F188B"/>
    <w:rsid w:val="008F2189"/>
    <w:rsid w:val="008F252D"/>
    <w:rsid w:val="008F2937"/>
    <w:rsid w:val="008F2EEC"/>
    <w:rsid w:val="008F38B1"/>
    <w:rsid w:val="008F5353"/>
    <w:rsid w:val="008F5EA0"/>
    <w:rsid w:val="008F6005"/>
    <w:rsid w:val="008F6FA9"/>
    <w:rsid w:val="00905196"/>
    <w:rsid w:val="0090651C"/>
    <w:rsid w:val="00906725"/>
    <w:rsid w:val="00907814"/>
    <w:rsid w:val="009100D2"/>
    <w:rsid w:val="00910E19"/>
    <w:rsid w:val="00911E94"/>
    <w:rsid w:val="009120D5"/>
    <w:rsid w:val="009128EA"/>
    <w:rsid w:val="00913D00"/>
    <w:rsid w:val="009143F5"/>
    <w:rsid w:val="00916414"/>
    <w:rsid w:val="00917A0E"/>
    <w:rsid w:val="00922317"/>
    <w:rsid w:val="009227B6"/>
    <w:rsid w:val="009227C9"/>
    <w:rsid w:val="00922D95"/>
    <w:rsid w:val="00923194"/>
    <w:rsid w:val="00923A91"/>
    <w:rsid w:val="009252CF"/>
    <w:rsid w:val="00925CFC"/>
    <w:rsid w:val="00926790"/>
    <w:rsid w:val="00926D77"/>
    <w:rsid w:val="00927791"/>
    <w:rsid w:val="009277B3"/>
    <w:rsid w:val="00930D09"/>
    <w:rsid w:val="00931211"/>
    <w:rsid w:val="009324D2"/>
    <w:rsid w:val="009334FC"/>
    <w:rsid w:val="00935DD0"/>
    <w:rsid w:val="00937574"/>
    <w:rsid w:val="00941EF9"/>
    <w:rsid w:val="00945291"/>
    <w:rsid w:val="009464F9"/>
    <w:rsid w:val="0094690D"/>
    <w:rsid w:val="00946BCD"/>
    <w:rsid w:val="00946DBD"/>
    <w:rsid w:val="00952C55"/>
    <w:rsid w:val="00953525"/>
    <w:rsid w:val="00955B30"/>
    <w:rsid w:val="0095713A"/>
    <w:rsid w:val="009611F7"/>
    <w:rsid w:val="00964694"/>
    <w:rsid w:val="00964CB5"/>
    <w:rsid w:val="00965496"/>
    <w:rsid w:val="00966FBF"/>
    <w:rsid w:val="00967EBD"/>
    <w:rsid w:val="0097073B"/>
    <w:rsid w:val="009707B0"/>
    <w:rsid w:val="00976CC8"/>
    <w:rsid w:val="00977D99"/>
    <w:rsid w:val="00980B0C"/>
    <w:rsid w:val="0098449A"/>
    <w:rsid w:val="00984591"/>
    <w:rsid w:val="00986690"/>
    <w:rsid w:val="00986791"/>
    <w:rsid w:val="00986896"/>
    <w:rsid w:val="0099104C"/>
    <w:rsid w:val="00991978"/>
    <w:rsid w:val="00991C86"/>
    <w:rsid w:val="00994B4E"/>
    <w:rsid w:val="00997B5F"/>
    <w:rsid w:val="009A02EC"/>
    <w:rsid w:val="009A06DA"/>
    <w:rsid w:val="009A161B"/>
    <w:rsid w:val="009A24D3"/>
    <w:rsid w:val="009A2C71"/>
    <w:rsid w:val="009A3CA1"/>
    <w:rsid w:val="009A467E"/>
    <w:rsid w:val="009A518B"/>
    <w:rsid w:val="009A69F9"/>
    <w:rsid w:val="009A6A58"/>
    <w:rsid w:val="009B0DB9"/>
    <w:rsid w:val="009B2241"/>
    <w:rsid w:val="009B3879"/>
    <w:rsid w:val="009B3E70"/>
    <w:rsid w:val="009B423A"/>
    <w:rsid w:val="009B50E9"/>
    <w:rsid w:val="009B69B3"/>
    <w:rsid w:val="009C1B0F"/>
    <w:rsid w:val="009C24AB"/>
    <w:rsid w:val="009C5316"/>
    <w:rsid w:val="009C6401"/>
    <w:rsid w:val="009C6D76"/>
    <w:rsid w:val="009C7214"/>
    <w:rsid w:val="009C7EA0"/>
    <w:rsid w:val="009D0386"/>
    <w:rsid w:val="009D3C21"/>
    <w:rsid w:val="009D4442"/>
    <w:rsid w:val="009D6556"/>
    <w:rsid w:val="009D69C7"/>
    <w:rsid w:val="009E0AAC"/>
    <w:rsid w:val="009E2980"/>
    <w:rsid w:val="009E2A72"/>
    <w:rsid w:val="009E2D5E"/>
    <w:rsid w:val="009E30C3"/>
    <w:rsid w:val="009F00C3"/>
    <w:rsid w:val="009F012A"/>
    <w:rsid w:val="009F37AF"/>
    <w:rsid w:val="009F495A"/>
    <w:rsid w:val="00A020D7"/>
    <w:rsid w:val="00A0262A"/>
    <w:rsid w:val="00A04148"/>
    <w:rsid w:val="00A046CF"/>
    <w:rsid w:val="00A058CF"/>
    <w:rsid w:val="00A10DDD"/>
    <w:rsid w:val="00A160D1"/>
    <w:rsid w:val="00A2442B"/>
    <w:rsid w:val="00A2657C"/>
    <w:rsid w:val="00A30686"/>
    <w:rsid w:val="00A33253"/>
    <w:rsid w:val="00A33AD2"/>
    <w:rsid w:val="00A33E33"/>
    <w:rsid w:val="00A3424F"/>
    <w:rsid w:val="00A3567D"/>
    <w:rsid w:val="00A366C8"/>
    <w:rsid w:val="00A408F0"/>
    <w:rsid w:val="00A413D7"/>
    <w:rsid w:val="00A429DC"/>
    <w:rsid w:val="00A4538E"/>
    <w:rsid w:val="00A461D6"/>
    <w:rsid w:val="00A47615"/>
    <w:rsid w:val="00A476EC"/>
    <w:rsid w:val="00A47EB9"/>
    <w:rsid w:val="00A50038"/>
    <w:rsid w:val="00A53490"/>
    <w:rsid w:val="00A53D25"/>
    <w:rsid w:val="00A54ADF"/>
    <w:rsid w:val="00A55019"/>
    <w:rsid w:val="00A55535"/>
    <w:rsid w:val="00A56BFE"/>
    <w:rsid w:val="00A57202"/>
    <w:rsid w:val="00A575D8"/>
    <w:rsid w:val="00A579E5"/>
    <w:rsid w:val="00A63321"/>
    <w:rsid w:val="00A66159"/>
    <w:rsid w:val="00A66C60"/>
    <w:rsid w:val="00A6718B"/>
    <w:rsid w:val="00A67B7E"/>
    <w:rsid w:val="00A67F18"/>
    <w:rsid w:val="00A67F1B"/>
    <w:rsid w:val="00A67F55"/>
    <w:rsid w:val="00A7148E"/>
    <w:rsid w:val="00A82E77"/>
    <w:rsid w:val="00A84000"/>
    <w:rsid w:val="00A84378"/>
    <w:rsid w:val="00A84674"/>
    <w:rsid w:val="00A85037"/>
    <w:rsid w:val="00A86EEC"/>
    <w:rsid w:val="00A87048"/>
    <w:rsid w:val="00A87B71"/>
    <w:rsid w:val="00A903C1"/>
    <w:rsid w:val="00A9359A"/>
    <w:rsid w:val="00A94032"/>
    <w:rsid w:val="00A94663"/>
    <w:rsid w:val="00A95B85"/>
    <w:rsid w:val="00A9606A"/>
    <w:rsid w:val="00A96773"/>
    <w:rsid w:val="00A96E63"/>
    <w:rsid w:val="00A97CBA"/>
    <w:rsid w:val="00A97D20"/>
    <w:rsid w:val="00AA063F"/>
    <w:rsid w:val="00AA2A66"/>
    <w:rsid w:val="00AA2DD4"/>
    <w:rsid w:val="00AA3C07"/>
    <w:rsid w:val="00AA3D70"/>
    <w:rsid w:val="00AA6607"/>
    <w:rsid w:val="00AA7F11"/>
    <w:rsid w:val="00AB02D0"/>
    <w:rsid w:val="00AB0E57"/>
    <w:rsid w:val="00AB2673"/>
    <w:rsid w:val="00AB5935"/>
    <w:rsid w:val="00AC0424"/>
    <w:rsid w:val="00AC418F"/>
    <w:rsid w:val="00AC5343"/>
    <w:rsid w:val="00AC671A"/>
    <w:rsid w:val="00AD1536"/>
    <w:rsid w:val="00AD23CB"/>
    <w:rsid w:val="00AD34CD"/>
    <w:rsid w:val="00AD7210"/>
    <w:rsid w:val="00AE1644"/>
    <w:rsid w:val="00AE41AC"/>
    <w:rsid w:val="00AE4CC3"/>
    <w:rsid w:val="00AE615F"/>
    <w:rsid w:val="00AF26E1"/>
    <w:rsid w:val="00AF6D1C"/>
    <w:rsid w:val="00AF76B1"/>
    <w:rsid w:val="00B00DC8"/>
    <w:rsid w:val="00B03578"/>
    <w:rsid w:val="00B04650"/>
    <w:rsid w:val="00B04DBC"/>
    <w:rsid w:val="00B073CD"/>
    <w:rsid w:val="00B07D30"/>
    <w:rsid w:val="00B07E69"/>
    <w:rsid w:val="00B10331"/>
    <w:rsid w:val="00B131F3"/>
    <w:rsid w:val="00B1325A"/>
    <w:rsid w:val="00B137D4"/>
    <w:rsid w:val="00B1422B"/>
    <w:rsid w:val="00B21028"/>
    <w:rsid w:val="00B21296"/>
    <w:rsid w:val="00B2139F"/>
    <w:rsid w:val="00B228E6"/>
    <w:rsid w:val="00B2396C"/>
    <w:rsid w:val="00B25C88"/>
    <w:rsid w:val="00B3025E"/>
    <w:rsid w:val="00B31577"/>
    <w:rsid w:val="00B315F7"/>
    <w:rsid w:val="00B32698"/>
    <w:rsid w:val="00B32CC1"/>
    <w:rsid w:val="00B356A0"/>
    <w:rsid w:val="00B36359"/>
    <w:rsid w:val="00B36CFF"/>
    <w:rsid w:val="00B37CB6"/>
    <w:rsid w:val="00B40178"/>
    <w:rsid w:val="00B40B2D"/>
    <w:rsid w:val="00B4120D"/>
    <w:rsid w:val="00B418C4"/>
    <w:rsid w:val="00B42F9A"/>
    <w:rsid w:val="00B43518"/>
    <w:rsid w:val="00B4359A"/>
    <w:rsid w:val="00B43C25"/>
    <w:rsid w:val="00B43D6F"/>
    <w:rsid w:val="00B44296"/>
    <w:rsid w:val="00B44443"/>
    <w:rsid w:val="00B44FBA"/>
    <w:rsid w:val="00B47028"/>
    <w:rsid w:val="00B478CA"/>
    <w:rsid w:val="00B52BEA"/>
    <w:rsid w:val="00B5566C"/>
    <w:rsid w:val="00B556A5"/>
    <w:rsid w:val="00B5722C"/>
    <w:rsid w:val="00B57B42"/>
    <w:rsid w:val="00B60695"/>
    <w:rsid w:val="00B6503E"/>
    <w:rsid w:val="00B67C16"/>
    <w:rsid w:val="00B70A33"/>
    <w:rsid w:val="00B71233"/>
    <w:rsid w:val="00B7143A"/>
    <w:rsid w:val="00B7289E"/>
    <w:rsid w:val="00B75B48"/>
    <w:rsid w:val="00B7673F"/>
    <w:rsid w:val="00B77C78"/>
    <w:rsid w:val="00B82E49"/>
    <w:rsid w:val="00B838F2"/>
    <w:rsid w:val="00B86AA1"/>
    <w:rsid w:val="00B87292"/>
    <w:rsid w:val="00B87DEA"/>
    <w:rsid w:val="00B90785"/>
    <w:rsid w:val="00B90F81"/>
    <w:rsid w:val="00B914B4"/>
    <w:rsid w:val="00B91B65"/>
    <w:rsid w:val="00B92726"/>
    <w:rsid w:val="00B9450E"/>
    <w:rsid w:val="00B95D8E"/>
    <w:rsid w:val="00BA18CB"/>
    <w:rsid w:val="00BA203F"/>
    <w:rsid w:val="00BA42C9"/>
    <w:rsid w:val="00BA4581"/>
    <w:rsid w:val="00BA5B93"/>
    <w:rsid w:val="00BA7EE1"/>
    <w:rsid w:val="00BB51D0"/>
    <w:rsid w:val="00BB5BE5"/>
    <w:rsid w:val="00BB5F97"/>
    <w:rsid w:val="00BB6391"/>
    <w:rsid w:val="00BB6D69"/>
    <w:rsid w:val="00BB7689"/>
    <w:rsid w:val="00BB7A45"/>
    <w:rsid w:val="00BC4C99"/>
    <w:rsid w:val="00BC5890"/>
    <w:rsid w:val="00BC5C11"/>
    <w:rsid w:val="00BC6031"/>
    <w:rsid w:val="00BC6D80"/>
    <w:rsid w:val="00BC6E52"/>
    <w:rsid w:val="00BD1915"/>
    <w:rsid w:val="00BD5A0A"/>
    <w:rsid w:val="00BD6E82"/>
    <w:rsid w:val="00BE1243"/>
    <w:rsid w:val="00BE2D15"/>
    <w:rsid w:val="00BE41F9"/>
    <w:rsid w:val="00BE4444"/>
    <w:rsid w:val="00BE5581"/>
    <w:rsid w:val="00BF06E2"/>
    <w:rsid w:val="00BF0E0E"/>
    <w:rsid w:val="00BF4171"/>
    <w:rsid w:val="00BF5952"/>
    <w:rsid w:val="00BF5E8B"/>
    <w:rsid w:val="00BF70FC"/>
    <w:rsid w:val="00BF7125"/>
    <w:rsid w:val="00BF7D30"/>
    <w:rsid w:val="00C00134"/>
    <w:rsid w:val="00C058E3"/>
    <w:rsid w:val="00C05E5E"/>
    <w:rsid w:val="00C0632A"/>
    <w:rsid w:val="00C06EF6"/>
    <w:rsid w:val="00C06F8F"/>
    <w:rsid w:val="00C1038E"/>
    <w:rsid w:val="00C10ECD"/>
    <w:rsid w:val="00C139E0"/>
    <w:rsid w:val="00C13B5C"/>
    <w:rsid w:val="00C14E70"/>
    <w:rsid w:val="00C168FA"/>
    <w:rsid w:val="00C16C82"/>
    <w:rsid w:val="00C174E2"/>
    <w:rsid w:val="00C21967"/>
    <w:rsid w:val="00C22FD4"/>
    <w:rsid w:val="00C24344"/>
    <w:rsid w:val="00C259D9"/>
    <w:rsid w:val="00C26B58"/>
    <w:rsid w:val="00C27F0C"/>
    <w:rsid w:val="00C34D72"/>
    <w:rsid w:val="00C34DB0"/>
    <w:rsid w:val="00C35604"/>
    <w:rsid w:val="00C42379"/>
    <w:rsid w:val="00C43337"/>
    <w:rsid w:val="00C444CF"/>
    <w:rsid w:val="00C46D61"/>
    <w:rsid w:val="00C500B9"/>
    <w:rsid w:val="00C5027B"/>
    <w:rsid w:val="00C50BA3"/>
    <w:rsid w:val="00C516CE"/>
    <w:rsid w:val="00C523E8"/>
    <w:rsid w:val="00C5259C"/>
    <w:rsid w:val="00C544ED"/>
    <w:rsid w:val="00C56B00"/>
    <w:rsid w:val="00C57449"/>
    <w:rsid w:val="00C57584"/>
    <w:rsid w:val="00C60865"/>
    <w:rsid w:val="00C62442"/>
    <w:rsid w:val="00C6317D"/>
    <w:rsid w:val="00C6488A"/>
    <w:rsid w:val="00C66C96"/>
    <w:rsid w:val="00C66E02"/>
    <w:rsid w:val="00C712AE"/>
    <w:rsid w:val="00C716F0"/>
    <w:rsid w:val="00C73BA3"/>
    <w:rsid w:val="00C80A8C"/>
    <w:rsid w:val="00C80B14"/>
    <w:rsid w:val="00C812F8"/>
    <w:rsid w:val="00C815D0"/>
    <w:rsid w:val="00C82F44"/>
    <w:rsid w:val="00C8335A"/>
    <w:rsid w:val="00C84331"/>
    <w:rsid w:val="00C85A7A"/>
    <w:rsid w:val="00C878BD"/>
    <w:rsid w:val="00C92735"/>
    <w:rsid w:val="00C929D1"/>
    <w:rsid w:val="00C94432"/>
    <w:rsid w:val="00C94A59"/>
    <w:rsid w:val="00C9541A"/>
    <w:rsid w:val="00C959E1"/>
    <w:rsid w:val="00CA25EC"/>
    <w:rsid w:val="00CB0619"/>
    <w:rsid w:val="00CB0802"/>
    <w:rsid w:val="00CB1DCF"/>
    <w:rsid w:val="00CB2EC2"/>
    <w:rsid w:val="00CB53BE"/>
    <w:rsid w:val="00CB6271"/>
    <w:rsid w:val="00CB720A"/>
    <w:rsid w:val="00CC0336"/>
    <w:rsid w:val="00CC0F07"/>
    <w:rsid w:val="00CC1687"/>
    <w:rsid w:val="00CC1A56"/>
    <w:rsid w:val="00CC24B0"/>
    <w:rsid w:val="00CC38AE"/>
    <w:rsid w:val="00CC5749"/>
    <w:rsid w:val="00CC5C5D"/>
    <w:rsid w:val="00CC6E63"/>
    <w:rsid w:val="00CC7215"/>
    <w:rsid w:val="00CD057E"/>
    <w:rsid w:val="00CD086B"/>
    <w:rsid w:val="00CD12E4"/>
    <w:rsid w:val="00CD2A54"/>
    <w:rsid w:val="00CD3B53"/>
    <w:rsid w:val="00CD4068"/>
    <w:rsid w:val="00CD6A67"/>
    <w:rsid w:val="00CD6D62"/>
    <w:rsid w:val="00CD7991"/>
    <w:rsid w:val="00CE01DD"/>
    <w:rsid w:val="00CE1874"/>
    <w:rsid w:val="00CE196D"/>
    <w:rsid w:val="00CE26F9"/>
    <w:rsid w:val="00CE2853"/>
    <w:rsid w:val="00CE2DE5"/>
    <w:rsid w:val="00CE416D"/>
    <w:rsid w:val="00CE701F"/>
    <w:rsid w:val="00CE75DA"/>
    <w:rsid w:val="00CF2EB6"/>
    <w:rsid w:val="00CF3A81"/>
    <w:rsid w:val="00CF4BE3"/>
    <w:rsid w:val="00CF4C5F"/>
    <w:rsid w:val="00CF51D4"/>
    <w:rsid w:val="00CF5327"/>
    <w:rsid w:val="00CF5AB1"/>
    <w:rsid w:val="00CF697F"/>
    <w:rsid w:val="00CF6BA0"/>
    <w:rsid w:val="00D00BDC"/>
    <w:rsid w:val="00D00F32"/>
    <w:rsid w:val="00D01235"/>
    <w:rsid w:val="00D01761"/>
    <w:rsid w:val="00D06167"/>
    <w:rsid w:val="00D07067"/>
    <w:rsid w:val="00D11002"/>
    <w:rsid w:val="00D1202A"/>
    <w:rsid w:val="00D12248"/>
    <w:rsid w:val="00D12BE8"/>
    <w:rsid w:val="00D1357F"/>
    <w:rsid w:val="00D1366D"/>
    <w:rsid w:val="00D14B82"/>
    <w:rsid w:val="00D15141"/>
    <w:rsid w:val="00D16563"/>
    <w:rsid w:val="00D16857"/>
    <w:rsid w:val="00D20183"/>
    <w:rsid w:val="00D234E4"/>
    <w:rsid w:val="00D23A5C"/>
    <w:rsid w:val="00D2486C"/>
    <w:rsid w:val="00D26F83"/>
    <w:rsid w:val="00D312E7"/>
    <w:rsid w:val="00D31A49"/>
    <w:rsid w:val="00D322AF"/>
    <w:rsid w:val="00D32367"/>
    <w:rsid w:val="00D3327A"/>
    <w:rsid w:val="00D4463F"/>
    <w:rsid w:val="00D449E8"/>
    <w:rsid w:val="00D45A9C"/>
    <w:rsid w:val="00D46746"/>
    <w:rsid w:val="00D51AF7"/>
    <w:rsid w:val="00D5236A"/>
    <w:rsid w:val="00D52EEF"/>
    <w:rsid w:val="00D53432"/>
    <w:rsid w:val="00D53ADF"/>
    <w:rsid w:val="00D559BC"/>
    <w:rsid w:val="00D56EBC"/>
    <w:rsid w:val="00D57B1B"/>
    <w:rsid w:val="00D6538B"/>
    <w:rsid w:val="00D71A7A"/>
    <w:rsid w:val="00D71ECF"/>
    <w:rsid w:val="00D73120"/>
    <w:rsid w:val="00D73590"/>
    <w:rsid w:val="00D74502"/>
    <w:rsid w:val="00D75480"/>
    <w:rsid w:val="00D75819"/>
    <w:rsid w:val="00D76941"/>
    <w:rsid w:val="00D800E0"/>
    <w:rsid w:val="00D835D8"/>
    <w:rsid w:val="00D85D68"/>
    <w:rsid w:val="00D863B8"/>
    <w:rsid w:val="00D86BB0"/>
    <w:rsid w:val="00D91789"/>
    <w:rsid w:val="00D929BA"/>
    <w:rsid w:val="00D933AC"/>
    <w:rsid w:val="00D93AB8"/>
    <w:rsid w:val="00D95F9B"/>
    <w:rsid w:val="00D965AD"/>
    <w:rsid w:val="00D96977"/>
    <w:rsid w:val="00D9732B"/>
    <w:rsid w:val="00DA0C61"/>
    <w:rsid w:val="00DA13B8"/>
    <w:rsid w:val="00DA2D93"/>
    <w:rsid w:val="00DA4985"/>
    <w:rsid w:val="00DA4AE1"/>
    <w:rsid w:val="00DA6139"/>
    <w:rsid w:val="00DA64D6"/>
    <w:rsid w:val="00DB04F3"/>
    <w:rsid w:val="00DB06E2"/>
    <w:rsid w:val="00DB20EB"/>
    <w:rsid w:val="00DB2637"/>
    <w:rsid w:val="00DB2717"/>
    <w:rsid w:val="00DB3496"/>
    <w:rsid w:val="00DB3877"/>
    <w:rsid w:val="00DB3E07"/>
    <w:rsid w:val="00DB46B7"/>
    <w:rsid w:val="00DB728C"/>
    <w:rsid w:val="00DC24C5"/>
    <w:rsid w:val="00DC2CAC"/>
    <w:rsid w:val="00DC2D1D"/>
    <w:rsid w:val="00DC4292"/>
    <w:rsid w:val="00DC4F02"/>
    <w:rsid w:val="00DC71B2"/>
    <w:rsid w:val="00DC7972"/>
    <w:rsid w:val="00DD01E4"/>
    <w:rsid w:val="00DD0AE6"/>
    <w:rsid w:val="00DD0F9A"/>
    <w:rsid w:val="00DD134E"/>
    <w:rsid w:val="00DD1DDA"/>
    <w:rsid w:val="00DD20B2"/>
    <w:rsid w:val="00DD3F9D"/>
    <w:rsid w:val="00DD4EB8"/>
    <w:rsid w:val="00DE0F67"/>
    <w:rsid w:val="00DE13D5"/>
    <w:rsid w:val="00DE1837"/>
    <w:rsid w:val="00DE2A7C"/>
    <w:rsid w:val="00DE463D"/>
    <w:rsid w:val="00DE579E"/>
    <w:rsid w:val="00DE67C1"/>
    <w:rsid w:val="00DF0D4E"/>
    <w:rsid w:val="00DF1A0F"/>
    <w:rsid w:val="00DF1B2B"/>
    <w:rsid w:val="00DF1E33"/>
    <w:rsid w:val="00DF247F"/>
    <w:rsid w:val="00DF2B4F"/>
    <w:rsid w:val="00DF4556"/>
    <w:rsid w:val="00DF4C30"/>
    <w:rsid w:val="00E0152F"/>
    <w:rsid w:val="00E0259F"/>
    <w:rsid w:val="00E06082"/>
    <w:rsid w:val="00E1063D"/>
    <w:rsid w:val="00E119AD"/>
    <w:rsid w:val="00E11FFC"/>
    <w:rsid w:val="00E120A9"/>
    <w:rsid w:val="00E12476"/>
    <w:rsid w:val="00E14494"/>
    <w:rsid w:val="00E14DA8"/>
    <w:rsid w:val="00E14F39"/>
    <w:rsid w:val="00E14FC0"/>
    <w:rsid w:val="00E20248"/>
    <w:rsid w:val="00E20769"/>
    <w:rsid w:val="00E20A49"/>
    <w:rsid w:val="00E22057"/>
    <w:rsid w:val="00E24CAD"/>
    <w:rsid w:val="00E25C42"/>
    <w:rsid w:val="00E26B2D"/>
    <w:rsid w:val="00E26FFF"/>
    <w:rsid w:val="00E31520"/>
    <w:rsid w:val="00E326DC"/>
    <w:rsid w:val="00E32B55"/>
    <w:rsid w:val="00E3633B"/>
    <w:rsid w:val="00E37321"/>
    <w:rsid w:val="00E37828"/>
    <w:rsid w:val="00E40D46"/>
    <w:rsid w:val="00E422E5"/>
    <w:rsid w:val="00E43659"/>
    <w:rsid w:val="00E43845"/>
    <w:rsid w:val="00E453D0"/>
    <w:rsid w:val="00E477F6"/>
    <w:rsid w:val="00E510C0"/>
    <w:rsid w:val="00E51660"/>
    <w:rsid w:val="00E52056"/>
    <w:rsid w:val="00E525A2"/>
    <w:rsid w:val="00E534BE"/>
    <w:rsid w:val="00E5451A"/>
    <w:rsid w:val="00E56822"/>
    <w:rsid w:val="00E576B0"/>
    <w:rsid w:val="00E6094F"/>
    <w:rsid w:val="00E63EDF"/>
    <w:rsid w:val="00E64FE5"/>
    <w:rsid w:val="00E66228"/>
    <w:rsid w:val="00E66F21"/>
    <w:rsid w:val="00E742BB"/>
    <w:rsid w:val="00E7473A"/>
    <w:rsid w:val="00E74E46"/>
    <w:rsid w:val="00E76EA9"/>
    <w:rsid w:val="00E77451"/>
    <w:rsid w:val="00E777F6"/>
    <w:rsid w:val="00E807DD"/>
    <w:rsid w:val="00E80815"/>
    <w:rsid w:val="00E808C5"/>
    <w:rsid w:val="00E816D9"/>
    <w:rsid w:val="00E82CFC"/>
    <w:rsid w:val="00E86F8B"/>
    <w:rsid w:val="00E925E9"/>
    <w:rsid w:val="00E92929"/>
    <w:rsid w:val="00E929C1"/>
    <w:rsid w:val="00E931CF"/>
    <w:rsid w:val="00E937BA"/>
    <w:rsid w:val="00E93DB4"/>
    <w:rsid w:val="00E94B2B"/>
    <w:rsid w:val="00E96017"/>
    <w:rsid w:val="00E961EB"/>
    <w:rsid w:val="00E96DBA"/>
    <w:rsid w:val="00EA04BD"/>
    <w:rsid w:val="00EA12C7"/>
    <w:rsid w:val="00EA27B6"/>
    <w:rsid w:val="00EA5AB8"/>
    <w:rsid w:val="00EA6581"/>
    <w:rsid w:val="00EB06F4"/>
    <w:rsid w:val="00EB08BC"/>
    <w:rsid w:val="00EB1803"/>
    <w:rsid w:val="00EB1EEA"/>
    <w:rsid w:val="00EB2267"/>
    <w:rsid w:val="00EB3A69"/>
    <w:rsid w:val="00EB4250"/>
    <w:rsid w:val="00EB513D"/>
    <w:rsid w:val="00EB750D"/>
    <w:rsid w:val="00EC0574"/>
    <w:rsid w:val="00EC16D6"/>
    <w:rsid w:val="00EC19BA"/>
    <w:rsid w:val="00EC2C74"/>
    <w:rsid w:val="00EC2CA2"/>
    <w:rsid w:val="00EC5B5D"/>
    <w:rsid w:val="00EC6ABD"/>
    <w:rsid w:val="00ED1B98"/>
    <w:rsid w:val="00ED1F3C"/>
    <w:rsid w:val="00ED235B"/>
    <w:rsid w:val="00ED306E"/>
    <w:rsid w:val="00ED4EEF"/>
    <w:rsid w:val="00ED5A19"/>
    <w:rsid w:val="00ED64D1"/>
    <w:rsid w:val="00ED7B79"/>
    <w:rsid w:val="00EE1C41"/>
    <w:rsid w:val="00EE24FD"/>
    <w:rsid w:val="00EE2743"/>
    <w:rsid w:val="00EE2A91"/>
    <w:rsid w:val="00EE5646"/>
    <w:rsid w:val="00EE6630"/>
    <w:rsid w:val="00EF01D0"/>
    <w:rsid w:val="00EF1AEF"/>
    <w:rsid w:val="00EF1FBC"/>
    <w:rsid w:val="00EF3A92"/>
    <w:rsid w:val="00EF4AD6"/>
    <w:rsid w:val="00EF5097"/>
    <w:rsid w:val="00EF55B5"/>
    <w:rsid w:val="00F00F07"/>
    <w:rsid w:val="00F0384F"/>
    <w:rsid w:val="00F044F9"/>
    <w:rsid w:val="00F1202A"/>
    <w:rsid w:val="00F12784"/>
    <w:rsid w:val="00F12E13"/>
    <w:rsid w:val="00F14087"/>
    <w:rsid w:val="00F1416B"/>
    <w:rsid w:val="00F14AF1"/>
    <w:rsid w:val="00F14DEF"/>
    <w:rsid w:val="00F15369"/>
    <w:rsid w:val="00F173E4"/>
    <w:rsid w:val="00F17F0B"/>
    <w:rsid w:val="00F2030E"/>
    <w:rsid w:val="00F22C94"/>
    <w:rsid w:val="00F22CE3"/>
    <w:rsid w:val="00F22DF9"/>
    <w:rsid w:val="00F23162"/>
    <w:rsid w:val="00F25541"/>
    <w:rsid w:val="00F2659B"/>
    <w:rsid w:val="00F26D15"/>
    <w:rsid w:val="00F26E04"/>
    <w:rsid w:val="00F276CD"/>
    <w:rsid w:val="00F27F9D"/>
    <w:rsid w:val="00F31850"/>
    <w:rsid w:val="00F31C21"/>
    <w:rsid w:val="00F31F3C"/>
    <w:rsid w:val="00F3378A"/>
    <w:rsid w:val="00F337B6"/>
    <w:rsid w:val="00F37788"/>
    <w:rsid w:val="00F37C44"/>
    <w:rsid w:val="00F40529"/>
    <w:rsid w:val="00F4060D"/>
    <w:rsid w:val="00F421BE"/>
    <w:rsid w:val="00F45E3F"/>
    <w:rsid w:val="00F46657"/>
    <w:rsid w:val="00F469A7"/>
    <w:rsid w:val="00F4795A"/>
    <w:rsid w:val="00F47B05"/>
    <w:rsid w:val="00F536A8"/>
    <w:rsid w:val="00F55328"/>
    <w:rsid w:val="00F55A1A"/>
    <w:rsid w:val="00F56641"/>
    <w:rsid w:val="00F56FE8"/>
    <w:rsid w:val="00F570BD"/>
    <w:rsid w:val="00F573C7"/>
    <w:rsid w:val="00F57857"/>
    <w:rsid w:val="00F62F47"/>
    <w:rsid w:val="00F631F9"/>
    <w:rsid w:val="00F6347E"/>
    <w:rsid w:val="00F63B18"/>
    <w:rsid w:val="00F64AE5"/>
    <w:rsid w:val="00F65B18"/>
    <w:rsid w:val="00F667B2"/>
    <w:rsid w:val="00F667C1"/>
    <w:rsid w:val="00F66C80"/>
    <w:rsid w:val="00F67EBB"/>
    <w:rsid w:val="00F70284"/>
    <w:rsid w:val="00F7192D"/>
    <w:rsid w:val="00F738BC"/>
    <w:rsid w:val="00F73A1A"/>
    <w:rsid w:val="00F75434"/>
    <w:rsid w:val="00F769A4"/>
    <w:rsid w:val="00F80038"/>
    <w:rsid w:val="00F80DB5"/>
    <w:rsid w:val="00F81A67"/>
    <w:rsid w:val="00F83EE7"/>
    <w:rsid w:val="00F8777D"/>
    <w:rsid w:val="00F9054C"/>
    <w:rsid w:val="00F90744"/>
    <w:rsid w:val="00F91065"/>
    <w:rsid w:val="00F92DAE"/>
    <w:rsid w:val="00F94765"/>
    <w:rsid w:val="00F95047"/>
    <w:rsid w:val="00F966EE"/>
    <w:rsid w:val="00F96873"/>
    <w:rsid w:val="00FA0D78"/>
    <w:rsid w:val="00FA2BBA"/>
    <w:rsid w:val="00FA388E"/>
    <w:rsid w:val="00FA44FB"/>
    <w:rsid w:val="00FA45B2"/>
    <w:rsid w:val="00FA4ECA"/>
    <w:rsid w:val="00FA59F5"/>
    <w:rsid w:val="00FA6414"/>
    <w:rsid w:val="00FA6455"/>
    <w:rsid w:val="00FA78BF"/>
    <w:rsid w:val="00FB0192"/>
    <w:rsid w:val="00FB3C7E"/>
    <w:rsid w:val="00FB46C5"/>
    <w:rsid w:val="00FB57E1"/>
    <w:rsid w:val="00FB7F9E"/>
    <w:rsid w:val="00FC121E"/>
    <w:rsid w:val="00FC12AA"/>
    <w:rsid w:val="00FC3BC7"/>
    <w:rsid w:val="00FC4AA6"/>
    <w:rsid w:val="00FC513E"/>
    <w:rsid w:val="00FC60DE"/>
    <w:rsid w:val="00FC60E5"/>
    <w:rsid w:val="00FC7E0D"/>
    <w:rsid w:val="00FD04B4"/>
    <w:rsid w:val="00FD1A4D"/>
    <w:rsid w:val="00FD21C3"/>
    <w:rsid w:val="00FD2E1D"/>
    <w:rsid w:val="00FD6E66"/>
    <w:rsid w:val="00FE04CF"/>
    <w:rsid w:val="00FE1749"/>
    <w:rsid w:val="00FE1B41"/>
    <w:rsid w:val="00FE2236"/>
    <w:rsid w:val="00FE2B90"/>
    <w:rsid w:val="00FE3243"/>
    <w:rsid w:val="00FE5EAF"/>
    <w:rsid w:val="00FE60CF"/>
    <w:rsid w:val="00FF0CDF"/>
    <w:rsid w:val="00FF0FCB"/>
    <w:rsid w:val="00FF23B8"/>
    <w:rsid w:val="00FF30B6"/>
    <w:rsid w:val="00FF5320"/>
    <w:rsid w:val="00FF57CD"/>
    <w:rsid w:val="00FF5857"/>
    <w:rsid w:val="00FF589A"/>
    <w:rsid w:val="00FF5E21"/>
    <w:rsid w:val="00FF5FFB"/>
    <w:rsid w:val="00FF740F"/>
    <w:rsid w:val="00FF7E9A"/>
    <w:rsid w:val="00FF7F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474C4A"/>
  <w15:docId w15:val="{837102A7-800E-46A4-9491-4AE939841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17E6"/>
    <w:pPr>
      <w:widowControl w:val="0"/>
      <w:autoSpaceDE w:val="0"/>
      <w:autoSpaceDN w:val="0"/>
      <w:adjustRightInd w:val="0"/>
      <w:spacing w:line="360" w:lineRule="auto"/>
    </w:pPr>
    <w:rPr>
      <w:rFonts w:ascii="Times New Roman" w:eastAsiaTheme="minorEastAsia" w:hAnsi="Times New Roman" w:cs="Arial"/>
      <w:sz w:val="24"/>
      <w:szCs w:val="20"/>
    </w:rPr>
  </w:style>
  <w:style w:type="paragraph" w:styleId="Nagwek1">
    <w:name w:val="heading 1"/>
    <w:basedOn w:val="Normalny"/>
    <w:next w:val="Normalny"/>
    <w:link w:val="Nagwek1Znak"/>
    <w:uiPriority w:val="99"/>
    <w:locked/>
    <w:rsid w:val="006D17E6"/>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semiHidden/>
    <w:unhideWhenUsed/>
    <w:qFormat/>
    <w:locked/>
    <w:rsid w:val="000A183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AKTUprzedmiotregulacjiustawylubrozporzdzenia">
    <w:name w:val="TYTUŁ_AKTU – przedmiot regulacji ustawy lub rozporządzenia"/>
    <w:next w:val="ARTartustawynprozporzdzenia"/>
    <w:uiPriority w:val="6"/>
    <w:qFormat/>
    <w:rsid w:val="006D17E6"/>
    <w:pPr>
      <w:keepNext/>
      <w:suppressAutoHyphens/>
      <w:spacing w:before="120" w:after="360" w:line="360" w:lineRule="auto"/>
      <w:jc w:val="center"/>
    </w:pPr>
    <w:rPr>
      <w:rFonts w:ascii="Times" w:eastAsiaTheme="minorEastAsia" w:hAnsi="Times" w:cs="Arial"/>
      <w:b/>
      <w:bCs/>
      <w:sz w:val="24"/>
      <w:szCs w:val="24"/>
    </w:rPr>
  </w:style>
  <w:style w:type="paragraph" w:customStyle="1" w:styleId="DATAAKTUdatauchwalenialubwydaniaaktu">
    <w:name w:val="DATA_AKTU – data uchwalenia lub wydania aktu"/>
    <w:next w:val="Normalny"/>
    <w:uiPriority w:val="6"/>
    <w:qFormat/>
    <w:rsid w:val="006D17E6"/>
    <w:pPr>
      <w:keepNext/>
      <w:suppressAutoHyphens/>
      <w:spacing w:before="120" w:after="120" w:line="360" w:lineRule="auto"/>
      <w:jc w:val="center"/>
    </w:pPr>
    <w:rPr>
      <w:rFonts w:ascii="Times" w:eastAsiaTheme="minorEastAsia" w:hAnsi="Times" w:cs="Arial"/>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6D17E6"/>
    <w:pPr>
      <w:keepNext/>
      <w:suppressAutoHyphens/>
      <w:spacing w:after="120" w:line="360" w:lineRule="auto"/>
      <w:jc w:val="center"/>
    </w:pPr>
    <w:rPr>
      <w:rFonts w:ascii="Times" w:eastAsia="Times New Roman" w:hAnsi="Times"/>
      <w:b/>
      <w:bCs/>
      <w:caps/>
      <w:spacing w:val="54"/>
      <w:kern w:val="24"/>
      <w:sz w:val="24"/>
      <w:szCs w:val="24"/>
    </w:rPr>
  </w:style>
  <w:style w:type="paragraph" w:customStyle="1" w:styleId="ODNONIKtreodnonika">
    <w:name w:val="ODNOŚNIK – treść odnośnika"/>
    <w:uiPriority w:val="99"/>
    <w:qFormat/>
    <w:rsid w:val="006D17E6"/>
    <w:pPr>
      <w:ind w:left="284" w:hanging="284"/>
      <w:jc w:val="both"/>
    </w:pPr>
    <w:rPr>
      <w:rFonts w:ascii="Times New Roman" w:eastAsiaTheme="minorEastAsia" w:hAnsi="Times New Roman" w:cs="Arial"/>
      <w:sz w:val="20"/>
      <w:szCs w:val="20"/>
    </w:rPr>
  </w:style>
  <w:style w:type="paragraph" w:customStyle="1" w:styleId="OZNPROJEKTUwskazaniedatylubwersjiprojektu">
    <w:name w:val="OZN_PROJEKTU – wskazanie daty lub wersji projektu"/>
    <w:next w:val="OZNRODZAKTUtznustawalubrozporzdzenieiorganwydajcy"/>
    <w:uiPriority w:val="5"/>
    <w:qFormat/>
    <w:rsid w:val="006D17E6"/>
    <w:pPr>
      <w:spacing w:line="360" w:lineRule="auto"/>
      <w:jc w:val="right"/>
    </w:pPr>
    <w:rPr>
      <w:rFonts w:ascii="Times New Roman" w:eastAsiaTheme="minorEastAsia" w:hAnsi="Times New Roman" w:cs="Arial"/>
      <w:sz w:val="24"/>
      <w:szCs w:val="20"/>
      <w:u w:val="single"/>
    </w:rPr>
  </w:style>
  <w:style w:type="character" w:styleId="Odwoanieprzypisudolnego">
    <w:name w:val="footnote reference"/>
    <w:uiPriority w:val="99"/>
    <w:rsid w:val="006D17E6"/>
    <w:rPr>
      <w:rFonts w:cs="Times New Roman"/>
      <w:vertAlign w:val="superscript"/>
    </w:rPr>
  </w:style>
  <w:style w:type="character" w:customStyle="1" w:styleId="Ppogrubienie">
    <w:name w:val="_P_ – pogrubienie"/>
    <w:basedOn w:val="Domylnaczcionkaakapitu"/>
    <w:uiPriority w:val="1"/>
    <w:qFormat/>
    <w:rsid w:val="006D17E6"/>
    <w:rPr>
      <w:b/>
    </w:rPr>
  </w:style>
  <w:style w:type="paragraph" w:styleId="Tekstdymka">
    <w:name w:val="Balloon Text"/>
    <w:basedOn w:val="Normalny"/>
    <w:link w:val="TekstdymkaZnak"/>
    <w:uiPriority w:val="99"/>
    <w:semiHidden/>
    <w:rsid w:val="006D17E6"/>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locked/>
    <w:rsid w:val="006D17E6"/>
    <w:rPr>
      <w:rFonts w:ascii="Tahoma" w:eastAsia="Times New Roman" w:hAnsi="Tahoma" w:cs="Tahoma"/>
      <w:kern w:val="1"/>
      <w:sz w:val="24"/>
      <w:szCs w:val="16"/>
      <w:lang w:eastAsia="ar-SA"/>
    </w:rPr>
  </w:style>
  <w:style w:type="character" w:styleId="Hipercze">
    <w:name w:val="Hyperlink"/>
    <w:basedOn w:val="Domylnaczcionkaakapitu"/>
    <w:uiPriority w:val="99"/>
    <w:unhideWhenUsed/>
    <w:rsid w:val="006D17E6"/>
    <w:rPr>
      <w:color w:val="0000FF" w:themeColor="hyperlink"/>
      <w:u w:val="single"/>
    </w:rPr>
  </w:style>
  <w:style w:type="character" w:styleId="Odwoaniedokomentarza">
    <w:name w:val="annotation reference"/>
    <w:basedOn w:val="Domylnaczcionkaakapitu"/>
    <w:uiPriority w:val="99"/>
    <w:semiHidden/>
    <w:rsid w:val="006D17E6"/>
    <w:rPr>
      <w:sz w:val="16"/>
      <w:szCs w:val="16"/>
    </w:rPr>
  </w:style>
  <w:style w:type="paragraph" w:styleId="Tekstkomentarza">
    <w:name w:val="annotation text"/>
    <w:basedOn w:val="Normalny"/>
    <w:link w:val="TekstkomentarzaZnak"/>
    <w:rsid w:val="006D17E6"/>
    <w:rPr>
      <w:rFonts w:ascii="Times" w:eastAsia="Times New Roman" w:hAnsi="Times" w:cs="Times New Roman"/>
      <w:szCs w:val="24"/>
    </w:rPr>
  </w:style>
  <w:style w:type="character" w:customStyle="1" w:styleId="TekstkomentarzaZnak">
    <w:name w:val="Tekst komentarza Znak"/>
    <w:basedOn w:val="Domylnaczcionkaakapitu"/>
    <w:link w:val="Tekstkomentarza"/>
    <w:locked/>
    <w:rsid w:val="006D17E6"/>
    <w:rPr>
      <w:rFonts w:ascii="Times" w:eastAsia="Times New Roman" w:hAnsi="Times"/>
      <w:sz w:val="24"/>
      <w:szCs w:val="24"/>
    </w:rPr>
  </w:style>
  <w:style w:type="paragraph" w:styleId="Tematkomentarza">
    <w:name w:val="annotation subject"/>
    <w:basedOn w:val="Tekstkomentarza"/>
    <w:next w:val="Tekstkomentarza"/>
    <w:link w:val="TematkomentarzaZnak"/>
    <w:uiPriority w:val="99"/>
    <w:semiHidden/>
    <w:rsid w:val="006D17E6"/>
    <w:rPr>
      <w:b/>
      <w:bCs/>
    </w:rPr>
  </w:style>
  <w:style w:type="character" w:customStyle="1" w:styleId="TematkomentarzaZnak">
    <w:name w:val="Temat komentarza Znak"/>
    <w:basedOn w:val="TekstkomentarzaZnak"/>
    <w:link w:val="Tematkomentarza"/>
    <w:uiPriority w:val="99"/>
    <w:semiHidden/>
    <w:locked/>
    <w:rsid w:val="006D17E6"/>
    <w:rPr>
      <w:rFonts w:ascii="Times" w:eastAsia="Times New Roman" w:hAnsi="Times"/>
      <w:b/>
      <w:bCs/>
      <w:sz w:val="24"/>
      <w:szCs w:val="24"/>
    </w:rPr>
  </w:style>
  <w:style w:type="character" w:customStyle="1" w:styleId="tabulatory">
    <w:name w:val="tabulatory"/>
    <w:basedOn w:val="Domylnaczcionkaakapitu"/>
    <w:uiPriority w:val="99"/>
    <w:rsid w:val="00B36359"/>
    <w:rPr>
      <w:rFonts w:cs="Times New Roman"/>
    </w:rPr>
  </w:style>
  <w:style w:type="paragraph" w:customStyle="1" w:styleId="ZUSTzmustartykuempunktem">
    <w:name w:val="Z/UST(§) – zm. ust. (§) artykułem (punktem)"/>
    <w:basedOn w:val="ZARTzmartartykuempunktem"/>
    <w:uiPriority w:val="30"/>
    <w:qFormat/>
    <w:rsid w:val="006D17E6"/>
  </w:style>
  <w:style w:type="paragraph" w:styleId="Akapitzlist">
    <w:name w:val="List Paragraph"/>
    <w:basedOn w:val="Normalny"/>
    <w:uiPriority w:val="34"/>
    <w:qFormat/>
    <w:rsid w:val="006D17E6"/>
    <w:pPr>
      <w:ind w:left="720"/>
      <w:contextualSpacing/>
    </w:pPr>
  </w:style>
  <w:style w:type="character" w:customStyle="1" w:styleId="BEZWERSALIKW">
    <w:name w:val="_BEZ_WERSALIKÓW_"/>
    <w:basedOn w:val="Domylnaczcionkaakapitu"/>
    <w:uiPriority w:val="4"/>
    <w:qFormat/>
    <w:rsid w:val="006D17E6"/>
    <w:rPr>
      <w:caps/>
    </w:rPr>
  </w:style>
  <w:style w:type="character" w:customStyle="1" w:styleId="IDindeksdolny">
    <w:name w:val="_ID_ – indeks dolny"/>
    <w:basedOn w:val="Domylnaczcionkaakapitu"/>
    <w:uiPriority w:val="3"/>
    <w:qFormat/>
    <w:rsid w:val="006D17E6"/>
    <w:rPr>
      <w:b w:val="0"/>
      <w:i w:val="0"/>
      <w:vanish w:val="0"/>
      <w:spacing w:val="0"/>
      <w:vertAlign w:val="subscript"/>
    </w:rPr>
  </w:style>
  <w:style w:type="character" w:customStyle="1" w:styleId="IDKindeksdolnyikursywa">
    <w:name w:val="_ID_K_ – indeks dolny i kursywa"/>
    <w:basedOn w:val="Domylnaczcionkaakapitu"/>
    <w:uiPriority w:val="3"/>
    <w:qFormat/>
    <w:rsid w:val="006D17E6"/>
    <w:rPr>
      <w:i/>
      <w:vanish w:val="0"/>
      <w:spacing w:val="0"/>
      <w:vertAlign w:val="subscript"/>
    </w:rPr>
  </w:style>
  <w:style w:type="character" w:customStyle="1" w:styleId="IDPindeksdolnyipogrubienie">
    <w:name w:val="_ID_P_ – indeks dolny i pogrubienie"/>
    <w:basedOn w:val="Domylnaczcionkaakapitu"/>
    <w:uiPriority w:val="3"/>
    <w:qFormat/>
    <w:rsid w:val="006D17E6"/>
    <w:rPr>
      <w:b/>
      <w:vanish w:val="0"/>
      <w:spacing w:val="0"/>
      <w:vertAlign w:val="subscript"/>
    </w:rPr>
  </w:style>
  <w:style w:type="character" w:customStyle="1" w:styleId="IDPKindeksdolnyipogrugieniekursywa">
    <w:name w:val="_ID_P_K_ – indeks dolny i pogrugienie kursywa"/>
    <w:basedOn w:val="Domylnaczcionkaakapitu"/>
    <w:uiPriority w:val="3"/>
    <w:qFormat/>
    <w:rsid w:val="006D17E6"/>
    <w:rPr>
      <w:b/>
      <w:i/>
      <w:vanish w:val="0"/>
      <w:spacing w:val="0"/>
      <w:vertAlign w:val="subscript"/>
    </w:rPr>
  </w:style>
  <w:style w:type="character" w:customStyle="1" w:styleId="IGindeksgrny">
    <w:name w:val="_IG_ – indeks górny"/>
    <w:basedOn w:val="Domylnaczcionkaakapitu"/>
    <w:uiPriority w:val="99"/>
    <w:qFormat/>
    <w:rsid w:val="006D17E6"/>
    <w:rPr>
      <w:b w:val="0"/>
      <w:i w:val="0"/>
      <w:vanish w:val="0"/>
      <w:spacing w:val="0"/>
      <w:vertAlign w:val="superscript"/>
    </w:rPr>
  </w:style>
  <w:style w:type="character" w:customStyle="1" w:styleId="IGKindeksgrnyikursywa">
    <w:name w:val="_IG_K_ – indeks górny i kursywa"/>
    <w:basedOn w:val="Domylnaczcionkaakapitu"/>
    <w:uiPriority w:val="2"/>
    <w:qFormat/>
    <w:rsid w:val="006D17E6"/>
    <w:rPr>
      <w:i/>
      <w:vanish w:val="0"/>
      <w:spacing w:val="0"/>
      <w:vertAlign w:val="superscript"/>
    </w:rPr>
  </w:style>
  <w:style w:type="character" w:customStyle="1" w:styleId="IGPindeksgrnyipogrubienie">
    <w:name w:val="_IG_P_ – indeks górny i pogrubienie"/>
    <w:basedOn w:val="Domylnaczcionkaakapitu"/>
    <w:uiPriority w:val="2"/>
    <w:qFormat/>
    <w:rsid w:val="006D17E6"/>
    <w:rPr>
      <w:b/>
      <w:vanish w:val="0"/>
      <w:spacing w:val="0"/>
      <w:vertAlign w:val="superscript"/>
    </w:rPr>
  </w:style>
  <w:style w:type="character" w:customStyle="1" w:styleId="IGPKindeksgrnyipogrubieniekursywa">
    <w:name w:val="_IG_P_K_ – indeks górny i pogrubienie kursywa"/>
    <w:basedOn w:val="Domylnaczcionkaakapitu"/>
    <w:uiPriority w:val="2"/>
    <w:qFormat/>
    <w:rsid w:val="006D17E6"/>
    <w:rPr>
      <w:b/>
      <w:i/>
      <w:vanish w:val="0"/>
      <w:spacing w:val="0"/>
      <w:vertAlign w:val="superscript"/>
    </w:rPr>
  </w:style>
  <w:style w:type="character" w:customStyle="1" w:styleId="IIGPindeksgrnyindeksugrnegoipogrubienie">
    <w:name w:val="_IIG_P_ – indeks górny indeksu górnego i pogrubienie"/>
    <w:basedOn w:val="Domylnaczcionkaakapitu"/>
    <w:uiPriority w:val="3"/>
    <w:qFormat/>
    <w:rsid w:val="006D17E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6D17E6"/>
    <w:rPr>
      <w:b w:val="0"/>
      <w:i w:val="0"/>
      <w:vanish w:val="0"/>
      <w:spacing w:val="0"/>
      <w:position w:val="6"/>
      <w:vertAlign w:val="superscript"/>
    </w:rPr>
  </w:style>
  <w:style w:type="character" w:customStyle="1" w:styleId="Kkursywa">
    <w:name w:val="_K_ – kursywa"/>
    <w:basedOn w:val="Domylnaczcionkaakapitu"/>
    <w:uiPriority w:val="1"/>
    <w:qFormat/>
    <w:rsid w:val="006D17E6"/>
    <w:rPr>
      <w:i/>
    </w:rPr>
  </w:style>
  <w:style w:type="character" w:customStyle="1" w:styleId="PKpogrubieniekursywa">
    <w:name w:val="_P_K_ – pogrubienie kursywa"/>
    <w:basedOn w:val="Domylnaczcionkaakapitu"/>
    <w:uiPriority w:val="1"/>
    <w:qFormat/>
    <w:rsid w:val="006D17E6"/>
    <w:rPr>
      <w:b/>
      <w:i/>
    </w:rPr>
  </w:style>
  <w:style w:type="character" w:customStyle="1" w:styleId="TEKSTOZNACZONYWDOKUMENCIERDOWYMJAKOUKRYTY">
    <w:name w:val="_TEKST_OZNACZONY_W_DOKUMENCIE_ŹRÓDŁOWYM_JAKO_UKRYTY_"/>
    <w:basedOn w:val="Domylnaczcionkaakapitu"/>
    <w:uiPriority w:val="4"/>
    <w:unhideWhenUsed/>
    <w:qFormat/>
    <w:rsid w:val="006D17E6"/>
    <w:rPr>
      <w:vanish w:val="0"/>
      <w:color w:val="FF0000"/>
      <w:u w:val="single" w:color="FF0000"/>
    </w:rPr>
  </w:style>
  <w:style w:type="paragraph" w:customStyle="1" w:styleId="PKTpunkt">
    <w:name w:val="PKT – punkt"/>
    <w:uiPriority w:val="13"/>
    <w:qFormat/>
    <w:rsid w:val="006D17E6"/>
    <w:pPr>
      <w:spacing w:line="360" w:lineRule="auto"/>
      <w:ind w:left="510" w:hanging="510"/>
      <w:jc w:val="both"/>
    </w:pPr>
    <w:rPr>
      <w:rFonts w:ascii="Times" w:eastAsiaTheme="minorEastAsia" w:hAnsi="Times" w:cs="Arial"/>
      <w:bCs/>
      <w:sz w:val="24"/>
      <w:szCs w:val="20"/>
    </w:rPr>
  </w:style>
  <w:style w:type="paragraph" w:customStyle="1" w:styleId="LITlitera">
    <w:name w:val="LIT – litera"/>
    <w:basedOn w:val="PKTpunkt"/>
    <w:uiPriority w:val="14"/>
    <w:qFormat/>
    <w:rsid w:val="006D17E6"/>
    <w:pPr>
      <w:ind w:left="986" w:hanging="476"/>
    </w:pPr>
  </w:style>
  <w:style w:type="paragraph" w:customStyle="1" w:styleId="TIRtiret">
    <w:name w:val="TIR – tiret"/>
    <w:basedOn w:val="LITlitera"/>
    <w:uiPriority w:val="15"/>
    <w:qFormat/>
    <w:rsid w:val="006D17E6"/>
    <w:pPr>
      <w:ind w:left="1384" w:hanging="397"/>
    </w:pPr>
  </w:style>
  <w:style w:type="paragraph" w:customStyle="1" w:styleId="2TIRpodwjnytiret">
    <w:name w:val="2TIR – podwójny tiret"/>
    <w:basedOn w:val="TIRtiret"/>
    <w:uiPriority w:val="73"/>
    <w:qFormat/>
    <w:rsid w:val="006D17E6"/>
    <w:pPr>
      <w:ind w:left="1780"/>
    </w:pPr>
  </w:style>
  <w:style w:type="paragraph" w:customStyle="1" w:styleId="ARTartustawynprozporzdzenia">
    <w:name w:val="ART(§) – art. ustawy (§ np. rozporządzenia)"/>
    <w:uiPriority w:val="11"/>
    <w:qFormat/>
    <w:rsid w:val="006D17E6"/>
    <w:pPr>
      <w:suppressAutoHyphens/>
      <w:autoSpaceDE w:val="0"/>
      <w:autoSpaceDN w:val="0"/>
      <w:adjustRightInd w:val="0"/>
      <w:spacing w:before="120" w:line="360" w:lineRule="auto"/>
      <w:ind w:firstLine="510"/>
      <w:jc w:val="both"/>
    </w:pPr>
    <w:rPr>
      <w:rFonts w:ascii="Times" w:eastAsiaTheme="minorEastAsia" w:hAnsi="Times" w:cs="Arial"/>
      <w:sz w:val="24"/>
      <w:szCs w:val="20"/>
    </w:rPr>
  </w:style>
  <w:style w:type="paragraph" w:styleId="Bezodstpw">
    <w:name w:val="No Spacing"/>
    <w:uiPriority w:val="1"/>
    <w:qFormat/>
    <w:rsid w:val="006D17E6"/>
    <w:pPr>
      <w:widowControl w:val="0"/>
      <w:suppressAutoHyphens/>
      <w:spacing w:line="360" w:lineRule="auto"/>
    </w:pPr>
    <w:rPr>
      <w:rFonts w:ascii="Times" w:eastAsia="Times New Roman" w:hAnsi="Times"/>
      <w:kern w:val="1"/>
      <w:sz w:val="24"/>
      <w:szCs w:val="24"/>
      <w:lang w:eastAsia="ar-SA"/>
    </w:rPr>
  </w:style>
  <w:style w:type="paragraph" w:customStyle="1" w:styleId="USTustnpkodeksu">
    <w:name w:val="UST(§) – ust. (§ np. kodeksu)"/>
    <w:basedOn w:val="ARTartustawynprozporzdzenia"/>
    <w:link w:val="USTustnpkodeksuZnak"/>
    <w:uiPriority w:val="12"/>
    <w:qFormat/>
    <w:rsid w:val="006D17E6"/>
    <w:pPr>
      <w:spacing w:before="0"/>
    </w:pPr>
    <w:rPr>
      <w:bCs/>
    </w:rPr>
  </w:style>
  <w:style w:type="paragraph" w:customStyle="1" w:styleId="CYTcytatnpprzysigi">
    <w:name w:val="CYT – cytat np. przysięgi"/>
    <w:basedOn w:val="USTustnpkodeksu"/>
    <w:next w:val="USTustnpkodeksu"/>
    <w:uiPriority w:val="18"/>
    <w:qFormat/>
    <w:rsid w:val="006D17E6"/>
    <w:pPr>
      <w:ind w:left="510" w:right="510" w:firstLine="0"/>
      <w:mirrorIndents/>
    </w:pPr>
  </w:style>
  <w:style w:type="paragraph" w:customStyle="1" w:styleId="CZWSPTIRczwsplnatiret">
    <w:name w:val="CZ_WSP_TIR – część wspólna tiret"/>
    <w:basedOn w:val="TIRtiret"/>
    <w:next w:val="USTustnpkodeksu"/>
    <w:uiPriority w:val="17"/>
    <w:qFormat/>
    <w:rsid w:val="006D17E6"/>
    <w:pPr>
      <w:ind w:left="987" w:firstLine="0"/>
    </w:pPr>
  </w:style>
  <w:style w:type="paragraph" w:customStyle="1" w:styleId="CZWSP2TIRczwsplnapodwjnychtiret">
    <w:name w:val="CZ_WSP_2TIR – część wspólna podwójnych tiret"/>
    <w:basedOn w:val="CZWSPTIRczwsplnatiret"/>
    <w:next w:val="TIRtiret"/>
    <w:uiPriority w:val="73"/>
    <w:qFormat/>
    <w:rsid w:val="006D17E6"/>
    <w:pPr>
      <w:ind w:left="1780"/>
    </w:pPr>
  </w:style>
  <w:style w:type="paragraph" w:customStyle="1" w:styleId="CZWSPLITczwsplnaliter">
    <w:name w:val="CZ_WSP_LIT – część wspólna liter"/>
    <w:basedOn w:val="LITlitera"/>
    <w:next w:val="USTustnpkodeksu"/>
    <w:uiPriority w:val="17"/>
    <w:qFormat/>
    <w:rsid w:val="006D17E6"/>
    <w:pPr>
      <w:ind w:left="510" w:firstLine="0"/>
    </w:pPr>
    <w:rPr>
      <w:szCs w:val="24"/>
    </w:rPr>
  </w:style>
  <w:style w:type="paragraph" w:customStyle="1" w:styleId="PKTODNONIKApunktodnonika">
    <w:name w:val="PKT_ODNOŚNIKA – punkt odnośnika"/>
    <w:basedOn w:val="ODNONIKtreodnonika"/>
    <w:uiPriority w:val="19"/>
    <w:qFormat/>
    <w:rsid w:val="006D17E6"/>
    <w:pPr>
      <w:ind w:left="568"/>
    </w:pPr>
  </w:style>
  <w:style w:type="paragraph" w:customStyle="1" w:styleId="LITODNONIKAliteraodnonika">
    <w:name w:val="LIT_ODNOŚNIKA – litera odnośnika"/>
    <w:basedOn w:val="PKTODNONIKApunktodnonika"/>
    <w:uiPriority w:val="20"/>
    <w:qFormat/>
    <w:rsid w:val="006D17E6"/>
    <w:pPr>
      <w:ind w:left="851"/>
    </w:pPr>
  </w:style>
  <w:style w:type="paragraph" w:customStyle="1" w:styleId="CZWSPLITODNONIKAczwspliterodnonika">
    <w:name w:val="CZ_WSP_LIT_ODNOŚNIKA – część wsp. liter odnośnika"/>
    <w:basedOn w:val="LITODNONIKAliteraodnonika"/>
    <w:uiPriority w:val="22"/>
    <w:qFormat/>
    <w:rsid w:val="006D17E6"/>
    <w:pPr>
      <w:ind w:left="567" w:firstLine="0"/>
    </w:pPr>
  </w:style>
  <w:style w:type="paragraph" w:customStyle="1" w:styleId="P1wTABELIpoziom1numeracjiwtabeli">
    <w:name w:val="P1_w_TABELI – poziom 1 numeracji w tabeli"/>
    <w:basedOn w:val="PKTpunkt"/>
    <w:uiPriority w:val="24"/>
    <w:qFormat/>
    <w:rsid w:val="006D17E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D17E6"/>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D17E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D17E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D17E6"/>
    <w:pPr>
      <w:ind w:left="1191"/>
    </w:pPr>
  </w:style>
  <w:style w:type="paragraph" w:customStyle="1" w:styleId="CZWSPPKTczwsplnapunktw">
    <w:name w:val="CZ_WSP_PKT – część wspólna punktów"/>
    <w:basedOn w:val="PKTpunkt"/>
    <w:next w:val="USTustnpkodeksu"/>
    <w:uiPriority w:val="16"/>
    <w:qFormat/>
    <w:rsid w:val="006D17E6"/>
    <w:pPr>
      <w:ind w:left="0" w:firstLine="0"/>
    </w:pPr>
  </w:style>
  <w:style w:type="paragraph" w:customStyle="1" w:styleId="CZWSPPKTODNONIKAczwsppunkwodnonika">
    <w:name w:val="CZ_WSP_PKT_ODNOŚNIKA – część wsp. punków odnośnika"/>
    <w:basedOn w:val="PKTODNONIKApunktodnonika"/>
    <w:uiPriority w:val="21"/>
    <w:qFormat/>
    <w:rsid w:val="006D17E6"/>
    <w:pPr>
      <w:ind w:left="284" w:firstLine="0"/>
    </w:pPr>
  </w:style>
  <w:style w:type="paragraph" w:customStyle="1" w:styleId="PKTOTJpunktobwieszczeniatekstujednolitegonp1">
    <w:name w:val="PKT_OTJ – punkt obwieszczenia tekstu jednolitego np. &quot;1.&quot;"/>
    <w:basedOn w:val="ARTartustawynprozporzdzenia"/>
    <w:uiPriority w:val="98"/>
    <w:semiHidden/>
    <w:qFormat/>
    <w:rsid w:val="006D17E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D17E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D17E6"/>
    <w:pPr>
      <w:ind w:left="-510" w:firstLine="0"/>
    </w:pPr>
  </w:style>
  <w:style w:type="paragraph" w:customStyle="1" w:styleId="CZKSIGAoznaczenieiprzedmiotczcilubksigi">
    <w:name w:val="CZĘŚĆ(KSIĘGA) – oznaczenie i przedmiot części lub księgi"/>
    <w:next w:val="ARTartustawynprozporzdzenia"/>
    <w:uiPriority w:val="8"/>
    <w:qFormat/>
    <w:rsid w:val="006D17E6"/>
    <w:pPr>
      <w:keepNext/>
      <w:suppressAutoHyphens/>
      <w:spacing w:before="120" w:line="360" w:lineRule="auto"/>
      <w:jc w:val="center"/>
    </w:pPr>
    <w:rPr>
      <w:rFonts w:ascii="Times" w:eastAsia="Times New Roman" w:hAnsi="Times"/>
      <w:b/>
      <w:bCs/>
      <w:caps/>
      <w:kern w:val="24"/>
      <w:sz w:val="24"/>
      <w:szCs w:val="24"/>
    </w:rPr>
  </w:style>
  <w:style w:type="paragraph" w:customStyle="1" w:styleId="DATAOTJdatawydaniaobwieszczeniatekstujednolitego">
    <w:name w:val="DATA_OTJ – data wydania obwieszczenia tekstu jednolitego"/>
    <w:basedOn w:val="DATAAKTUdatauchwalenialubwydaniaaktu"/>
    <w:uiPriority w:val="97"/>
    <w:semiHidden/>
    <w:qFormat/>
    <w:rsid w:val="006D17E6"/>
    <w:pPr>
      <w:ind w:left="-510"/>
    </w:pPr>
  </w:style>
  <w:style w:type="paragraph" w:customStyle="1" w:styleId="WMATFIZCHEMwzrmatfizlubchem">
    <w:name w:val="W_MAT(FIZ|CHEM) – wzór mat. (fiz. lub chem.)"/>
    <w:uiPriority w:val="18"/>
    <w:qFormat/>
    <w:rsid w:val="006D17E6"/>
    <w:pPr>
      <w:spacing w:line="360" w:lineRule="auto"/>
      <w:jc w:val="center"/>
    </w:pPr>
    <w:rPr>
      <w:rFonts w:ascii="Times New Roman" w:eastAsiaTheme="minorEastAsia" w:hAnsi="Times New Roman" w:cs="Arial"/>
      <w:sz w:val="24"/>
      <w:szCs w:val="20"/>
    </w:rPr>
  </w:style>
  <w:style w:type="paragraph" w:customStyle="1" w:styleId="LEGWMATFIZCHEMlegendawzorumatfizlubchem">
    <w:name w:val="LEG_W_MAT(FIZ|CHEM) – legenda wzoru mat. (fiz. lub chem.)"/>
    <w:basedOn w:val="WMATFIZCHEMwzrmatfizlubchem"/>
    <w:uiPriority w:val="19"/>
    <w:qFormat/>
    <w:rsid w:val="006D17E6"/>
    <w:pPr>
      <w:ind w:left="1304" w:hanging="794"/>
      <w:jc w:val="both"/>
    </w:pPr>
  </w:style>
  <w:style w:type="paragraph" w:styleId="Nagwek">
    <w:name w:val="header"/>
    <w:basedOn w:val="Normalny"/>
    <w:link w:val="NagwekZnak"/>
    <w:uiPriority w:val="99"/>
    <w:semiHidden/>
    <w:rsid w:val="006D17E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6D17E6"/>
    <w:rPr>
      <w:rFonts w:ascii="Times" w:eastAsia="Times New Roman" w:hAnsi="Times"/>
      <w:kern w:val="1"/>
      <w:sz w:val="24"/>
      <w:szCs w:val="24"/>
      <w:lang w:eastAsia="ar-SA"/>
    </w:rPr>
  </w:style>
  <w:style w:type="character" w:customStyle="1" w:styleId="Nagwek1Znak">
    <w:name w:val="Nagłówek 1 Znak"/>
    <w:basedOn w:val="Domylnaczcionkaakapitu"/>
    <w:link w:val="Nagwek1"/>
    <w:uiPriority w:val="99"/>
    <w:rsid w:val="006D17E6"/>
    <w:rPr>
      <w:rFonts w:asciiTheme="majorHAnsi" w:eastAsiaTheme="majorEastAsia" w:hAnsiTheme="majorHAnsi" w:cstheme="majorBidi"/>
      <w:b/>
      <w:bCs/>
      <w:color w:val="365F91" w:themeColor="accent1" w:themeShade="BF"/>
      <w:kern w:val="1"/>
      <w:sz w:val="28"/>
      <w:szCs w:val="28"/>
      <w:lang w:eastAsia="ar-SA"/>
    </w:rPr>
  </w:style>
  <w:style w:type="paragraph" w:customStyle="1" w:styleId="NAZORGWYDnazwaorganuwydajcegoprojektowanyakt">
    <w:name w:val="NAZ_ORG_WYD – nazwa organu wydającego projektowany akt"/>
    <w:basedOn w:val="OZNRODZAKTUtznustawalubrozporzdzenieiorganwydajcy"/>
    <w:uiPriority w:val="27"/>
    <w:qFormat/>
    <w:rsid w:val="006D17E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D17E6"/>
    <w:pPr>
      <w:ind w:left="0" w:right="4820"/>
      <w:jc w:val="left"/>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D17E6"/>
    <w:rPr>
      <w:bCs/>
    </w:rPr>
  </w:style>
  <w:style w:type="paragraph" w:customStyle="1" w:styleId="NOTATKILEGISLATORA">
    <w:name w:val="NOTATKI_LEGISLATORA"/>
    <w:basedOn w:val="Normalny"/>
    <w:uiPriority w:val="5"/>
    <w:qFormat/>
    <w:rsid w:val="006D17E6"/>
    <w:rPr>
      <w:b/>
      <w:i/>
    </w:rPr>
  </w:style>
  <w:style w:type="paragraph" w:customStyle="1" w:styleId="ODNONIKSPECtreodnonikadoodnonika">
    <w:name w:val="ODNOŚNIK_SPEC – treść odnośnika do odnośnika"/>
    <w:basedOn w:val="Normalny"/>
    <w:uiPriority w:val="19"/>
    <w:qFormat/>
    <w:rsid w:val="006D17E6"/>
    <w:pPr>
      <w:widowControl/>
      <w:autoSpaceDE/>
      <w:autoSpaceDN/>
      <w:adjustRightInd/>
      <w:spacing w:line="240" w:lineRule="auto"/>
      <w:ind w:left="283" w:hanging="170"/>
    </w:pPr>
    <w:rPr>
      <w:sz w:val="20"/>
    </w:rPr>
  </w:style>
  <w:style w:type="paragraph" w:customStyle="1" w:styleId="OZNPARAFYADNOTACJE">
    <w:name w:val="OZN_PARAFY(ADNOTACJE)"/>
    <w:basedOn w:val="ODNONIKtreodnonika"/>
    <w:uiPriority w:val="26"/>
    <w:qFormat/>
    <w:rsid w:val="006D17E6"/>
  </w:style>
  <w:style w:type="paragraph" w:customStyle="1" w:styleId="OZNZACZNIKAwskazanienrzacznika">
    <w:name w:val="OZN_ZAŁĄCZNIKA – wskazanie nr załącznika"/>
    <w:basedOn w:val="OZNPROJEKTUwskazaniedatylubwersjiprojektu"/>
    <w:uiPriority w:val="28"/>
    <w:qFormat/>
    <w:rsid w:val="006D17E6"/>
    <w:pPr>
      <w:keepNext/>
    </w:pPr>
    <w:rPr>
      <w:b/>
      <w:u w:val="none"/>
    </w:rPr>
  </w:style>
  <w:style w:type="paragraph" w:customStyle="1" w:styleId="P2wTABELIpoziom2numeracjiwtabeli">
    <w:name w:val="P2_w_TABELI – poziom 2 numeracji w tabeli"/>
    <w:basedOn w:val="P1wTABELIpoziom1numeracjiwtabeli"/>
    <w:uiPriority w:val="24"/>
    <w:qFormat/>
    <w:rsid w:val="006D17E6"/>
    <w:pPr>
      <w:ind w:left="794"/>
    </w:pPr>
  </w:style>
  <w:style w:type="paragraph" w:customStyle="1" w:styleId="P3wTABELIpoziom3numeracjiwtabeli">
    <w:name w:val="P3_w_TABELI – poziom 3 numeracji w tabeli"/>
    <w:basedOn w:val="P2wTABELIpoziom2numeracjiwtabeli"/>
    <w:uiPriority w:val="24"/>
    <w:qFormat/>
    <w:rsid w:val="006D17E6"/>
    <w:pPr>
      <w:ind w:left="1191"/>
    </w:pPr>
  </w:style>
  <w:style w:type="paragraph" w:customStyle="1" w:styleId="P4wTABELIpoziom4numeracjiwtabeli">
    <w:name w:val="P4_w_TABELI – poziom 4 numeracji w tabeli"/>
    <w:basedOn w:val="P3wTABELIpoziom3numeracjiwtabeli"/>
    <w:uiPriority w:val="24"/>
    <w:qFormat/>
    <w:rsid w:val="006D17E6"/>
    <w:pPr>
      <w:ind w:left="1588"/>
    </w:pPr>
  </w:style>
  <w:style w:type="paragraph" w:styleId="Podtytu">
    <w:name w:val="Subtitle"/>
    <w:basedOn w:val="Normalny"/>
    <w:next w:val="Normalny"/>
    <w:link w:val="PodtytuZnak"/>
    <w:uiPriority w:val="11"/>
    <w:qFormat/>
    <w:locked/>
    <w:rsid w:val="006D17E6"/>
    <w:pPr>
      <w:numPr>
        <w:ilvl w:val="1"/>
      </w:numPr>
      <w:spacing w:after="160"/>
    </w:pPr>
    <w:rPr>
      <w:rFonts w:asciiTheme="minorHAnsi"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6D17E6"/>
    <w:rPr>
      <w:rFonts w:asciiTheme="minorHAnsi" w:eastAsiaTheme="minorEastAsia" w:hAnsiTheme="minorHAnsi" w:cstheme="minorBidi"/>
      <w:color w:val="5A5A5A" w:themeColor="text1" w:themeTint="A5"/>
      <w:spacing w:val="15"/>
    </w:rPr>
  </w:style>
  <w:style w:type="paragraph" w:customStyle="1" w:styleId="ROZDZODDZOZNoznaczenierozdziauluboddziau">
    <w:name w:val="ROZDZ(ODDZ)_OZN – oznaczenie rozdziału lub oddziału"/>
    <w:next w:val="ARTartustawynprozporzdzenia"/>
    <w:uiPriority w:val="10"/>
    <w:qFormat/>
    <w:rsid w:val="006D17E6"/>
    <w:pPr>
      <w:keepNext/>
      <w:suppressAutoHyphens/>
      <w:spacing w:before="120" w:line="360" w:lineRule="auto"/>
      <w:jc w:val="center"/>
    </w:pPr>
    <w:rPr>
      <w:rFonts w:ascii="Times" w:eastAsiaTheme="minorEastAsia" w:hAnsi="Times" w:cs="Arial"/>
      <w:bCs/>
      <w:kern w:val="24"/>
      <w:sz w:val="24"/>
      <w:szCs w:val="24"/>
    </w:rPr>
  </w:style>
  <w:style w:type="paragraph" w:customStyle="1" w:styleId="ROZDZODDZPRZEDMprzedmiotregulacjirozdziauluboddziau">
    <w:name w:val="ROZDZ(ODDZ)_PRZEDM – przedmiot regulacji rozdziału lub oddziału"/>
    <w:next w:val="ARTartustawynprozporzdzenia"/>
    <w:uiPriority w:val="10"/>
    <w:qFormat/>
    <w:rsid w:val="006D17E6"/>
    <w:pPr>
      <w:keepNext/>
      <w:suppressAutoHyphens/>
      <w:spacing w:before="120" w:line="360" w:lineRule="auto"/>
      <w:jc w:val="center"/>
    </w:pPr>
    <w:rPr>
      <w:rFonts w:ascii="Times" w:eastAsiaTheme="minorEastAsia" w:hAnsi="Times"/>
      <w:b/>
      <w:bCs/>
      <w:sz w:val="24"/>
      <w:szCs w:val="24"/>
    </w:rPr>
  </w:style>
  <w:style w:type="paragraph" w:customStyle="1" w:styleId="SKARNsankcjakarnawszczeglnociwKodeksiekarnym">
    <w:name w:val="S_KARN – sankcja karna w szczególności w Kodeksie karnym"/>
    <w:basedOn w:val="USTustnpkodeksu"/>
    <w:next w:val="ARTartustawynprozporzdzenia"/>
    <w:uiPriority w:val="18"/>
    <w:qFormat/>
    <w:rsid w:val="006D17E6"/>
    <w:pPr>
      <w:ind w:left="510" w:firstLine="0"/>
    </w:pPr>
  </w:style>
  <w:style w:type="paragraph" w:styleId="Stopka">
    <w:name w:val="footer"/>
    <w:basedOn w:val="Normalny"/>
    <w:link w:val="StopkaZnak"/>
    <w:uiPriority w:val="99"/>
    <w:rsid w:val="006D17E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6D17E6"/>
    <w:rPr>
      <w:rFonts w:ascii="Times" w:eastAsia="Times New Roman" w:hAnsi="Times"/>
      <w:kern w:val="1"/>
      <w:sz w:val="24"/>
      <w:szCs w:val="24"/>
      <w:lang w:eastAsia="ar-SA"/>
    </w:rPr>
  </w:style>
  <w:style w:type="table" w:styleId="Tabela-Elegancki">
    <w:name w:val="Table Elegant"/>
    <w:basedOn w:val="Standardowy"/>
    <w:uiPriority w:val="99"/>
    <w:semiHidden/>
    <w:unhideWhenUsed/>
    <w:rsid w:val="006D17E6"/>
    <w:pPr>
      <w:widowControl w:val="0"/>
      <w:autoSpaceDE w:val="0"/>
      <w:autoSpaceDN w:val="0"/>
      <w:adjustRightInd w:val="0"/>
      <w:spacing w:line="360" w:lineRule="auto"/>
    </w:pPr>
    <w:rPr>
      <w:rFonts w:asciiTheme="minorHAnsi" w:eastAsiaTheme="minorHAnsi" w:hAnsiTheme="minorHAnsi" w:cstheme="minorBid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uiPriority w:val="39"/>
    <w:locked/>
    <w:rsid w:val="006D17E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1zszablonu">
    <w:name w:val="TABELA 1 z szablonu"/>
    <w:basedOn w:val="Tabela-Siatka"/>
    <w:uiPriority w:val="99"/>
    <w:rsid w:val="006D17E6"/>
    <w:rPr>
      <w:rFonts w:ascii="Times" w:eastAsia="Times New Roman" w:hAnsi="Times" w:cs="Times New Roman"/>
      <w:sz w:val="24"/>
      <w:szCs w:val="24"/>
      <w:lang w:eastAsia="pl-PL"/>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2zszablonu">
    <w:name w:val="TABELA 2 z szablonu"/>
    <w:basedOn w:val="Tabela-Elegancki"/>
    <w:uiPriority w:val="99"/>
    <w:rsid w:val="006D17E6"/>
    <w:pPr>
      <w:spacing w:line="240" w:lineRule="auto"/>
    </w:pPr>
    <w:rPr>
      <w:rFonts w:ascii="Times" w:eastAsia="Times New Roman" w:hAnsi="Times" w:cs="Times New Roman"/>
      <w:sz w:val="24"/>
      <w:szCs w:val="24"/>
      <w:lang w:eastAsia="pl-PL"/>
    </w:r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3zszablonu">
    <w:name w:val="TABELA 3 z szablonu"/>
    <w:basedOn w:val="TABELA2zszablonu"/>
    <w:uiPriority w:val="99"/>
    <w:rsid w:val="006D17E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styleId="Tekstpodstawowy">
    <w:name w:val="Body Text"/>
    <w:basedOn w:val="Normalny"/>
    <w:link w:val="TekstpodstawowyZnak"/>
    <w:rsid w:val="006D17E6"/>
    <w:pPr>
      <w:suppressAutoHyphens/>
      <w:spacing w:after="120" w:line="240" w:lineRule="auto"/>
    </w:pPr>
    <w:rPr>
      <w:rFonts w:eastAsia="Lucida Sans Unicode" w:cs="Times New Roman"/>
      <w:kern w:val="1"/>
      <w:szCs w:val="24"/>
    </w:rPr>
  </w:style>
  <w:style w:type="character" w:customStyle="1" w:styleId="TekstpodstawowyZnak">
    <w:name w:val="Tekst podstawowy Znak"/>
    <w:basedOn w:val="Domylnaczcionkaakapitu"/>
    <w:link w:val="Tekstpodstawowy"/>
    <w:rsid w:val="006D17E6"/>
    <w:rPr>
      <w:rFonts w:ascii="Times New Roman" w:eastAsia="Lucida Sans Unicode" w:hAnsi="Times New Roman"/>
      <w:kern w:val="1"/>
      <w:sz w:val="24"/>
      <w:szCs w:val="24"/>
    </w:rPr>
  </w:style>
  <w:style w:type="character" w:styleId="Tekstzastpczy">
    <w:name w:val="Placeholder Text"/>
    <w:basedOn w:val="Domylnaczcionkaakapitu"/>
    <w:uiPriority w:val="99"/>
    <w:semiHidden/>
    <w:rsid w:val="006D17E6"/>
    <w:rPr>
      <w:color w:val="808080"/>
    </w:rPr>
  </w:style>
  <w:style w:type="paragraph" w:customStyle="1" w:styleId="TEKSTOBWIESZCZENIENAZWAORGANUWYDAJCEGOOTJ">
    <w:name w:val="TEKST&quot;OBWIESZCZENIE&quot;(NAZWA_ORGANU_WYDAJĄCEGO_OTJ)"/>
    <w:basedOn w:val="OZNRODZAKTUtznustawalubrozporzdzenieiorganwydajcy"/>
    <w:uiPriority w:val="96"/>
    <w:semiHidden/>
    <w:qFormat/>
    <w:rsid w:val="006D17E6"/>
    <w:pPr>
      <w:ind w:left="-510"/>
    </w:pPr>
  </w:style>
  <w:style w:type="paragraph" w:customStyle="1" w:styleId="TEKSTwporozumieniu">
    <w:name w:val="TEKST&quot;w porozumieniu:&quot;"/>
    <w:next w:val="NAZORGWPOROZUMIENIUnazwaorganuwporozumieniuzktrymaktjestwydawany"/>
    <w:uiPriority w:val="27"/>
    <w:qFormat/>
    <w:rsid w:val="006D17E6"/>
    <w:pPr>
      <w:spacing w:line="360" w:lineRule="auto"/>
    </w:pPr>
    <w:rPr>
      <w:rFonts w:ascii="Times New Roman" w:eastAsiaTheme="minorEastAsia" w:hAnsi="Times New Roman" w:cs="Arial"/>
      <w:b/>
      <w:sz w:val="24"/>
      <w:szCs w:val="20"/>
    </w:rPr>
  </w:style>
  <w:style w:type="paragraph" w:customStyle="1" w:styleId="TEKSTZacznikido">
    <w:name w:val="TEKST&quot;Załącznik(i) do ...&quot;"/>
    <w:uiPriority w:val="28"/>
    <w:qFormat/>
    <w:rsid w:val="006D17E6"/>
    <w:pPr>
      <w:keepNext/>
      <w:spacing w:after="240"/>
      <w:ind w:left="5670"/>
      <w:contextualSpacing/>
    </w:pPr>
    <w:rPr>
      <w:rFonts w:ascii="Times New Roman" w:eastAsiaTheme="minorEastAsia" w:hAnsi="Times New Roman" w:cs="Arial"/>
      <w:sz w:val="24"/>
      <w:szCs w:val="20"/>
    </w:rPr>
  </w:style>
  <w:style w:type="paragraph" w:customStyle="1" w:styleId="TEKSTwTABELItekstzwcitympierwwierszem">
    <w:name w:val="TEKST_w_TABELI – tekst z wciętym pierw. wierszem"/>
    <w:basedOn w:val="Normalny"/>
    <w:uiPriority w:val="23"/>
    <w:qFormat/>
    <w:rsid w:val="006D17E6"/>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6D17E6"/>
    <w:pPr>
      <w:widowControl/>
      <w:suppressAutoHyphens/>
      <w:jc w:val="center"/>
    </w:pPr>
    <w:rPr>
      <w:rFonts w:ascii="Times" w:hAnsi="Times"/>
      <w:bCs/>
      <w:kern w:val="24"/>
    </w:rPr>
  </w:style>
  <w:style w:type="paragraph" w:customStyle="1" w:styleId="TYTDZOZNoznaczenietytuulubdziau">
    <w:name w:val="TYT(DZ)_OZN – oznaczenie tytułu lub działu"/>
    <w:next w:val="Normalny"/>
    <w:uiPriority w:val="9"/>
    <w:qFormat/>
    <w:rsid w:val="006D17E6"/>
    <w:pPr>
      <w:keepNext/>
      <w:spacing w:before="120" w:line="360" w:lineRule="auto"/>
      <w:jc w:val="center"/>
    </w:pPr>
    <w:rPr>
      <w:rFonts w:ascii="Times" w:eastAsiaTheme="minorEastAsia" w:hAnsi="Times" w:cs="Arial"/>
      <w:bCs/>
      <w:caps/>
      <w:kern w:val="24"/>
      <w:sz w:val="24"/>
      <w:szCs w:val="24"/>
    </w:rPr>
  </w:style>
  <w:style w:type="paragraph" w:customStyle="1" w:styleId="TYTDZPRZEDMprzedmiotregulacjitytuulubdziau">
    <w:name w:val="TYT(DZ)_PRZEDM – przedmiot regulacji tytułu lub działu"/>
    <w:next w:val="ARTartustawynprozporzdzenia"/>
    <w:uiPriority w:val="9"/>
    <w:qFormat/>
    <w:rsid w:val="006D17E6"/>
    <w:pPr>
      <w:keepNext/>
      <w:suppressAutoHyphens/>
      <w:spacing w:before="120" w:line="360" w:lineRule="auto"/>
      <w:jc w:val="center"/>
    </w:pPr>
    <w:rPr>
      <w:rFonts w:ascii="Times" w:eastAsia="Times New Roman" w:hAnsi="Times"/>
      <w:b/>
      <w:sz w:val="24"/>
      <w:szCs w:val="26"/>
    </w:rPr>
  </w:style>
  <w:style w:type="paragraph" w:customStyle="1" w:styleId="TYTTABELItytutabeli">
    <w:name w:val="TYT_TABELI – tytuł tabeli"/>
    <w:basedOn w:val="TYTDZOZNoznaczenietytuulubdziau"/>
    <w:uiPriority w:val="22"/>
    <w:qFormat/>
    <w:rsid w:val="006D17E6"/>
    <w:rPr>
      <w:b/>
    </w:r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D17E6"/>
    <w:pPr>
      <w:ind w:left="-510"/>
    </w:pPr>
  </w:style>
  <w:style w:type="paragraph" w:customStyle="1" w:styleId="Z2TIRzmpodwtirartykuempunktem">
    <w:name w:val="Z/2TIR – zm. podw. tir. artykułem (punktem)"/>
    <w:basedOn w:val="TIRtiret"/>
    <w:uiPriority w:val="73"/>
    <w:qFormat/>
    <w:rsid w:val="006D17E6"/>
    <w:pPr>
      <w:ind w:left="907"/>
    </w:pPr>
  </w:style>
  <w:style w:type="paragraph" w:customStyle="1" w:styleId="Z2TIRwPKTzmpodwtirwpktartykuempunktem">
    <w:name w:val="Z/2TIR_w_PKT – zm. podw. tir. w pkt artykułem (punktem)"/>
    <w:basedOn w:val="TIRtiret"/>
    <w:next w:val="Normalny"/>
    <w:uiPriority w:val="74"/>
    <w:qFormat/>
    <w:rsid w:val="006D17E6"/>
    <w:pPr>
      <w:ind w:left="2291"/>
    </w:pPr>
  </w:style>
  <w:style w:type="paragraph" w:customStyle="1" w:styleId="Z2TIRwLITzmpodwtirwlitartykuempunktem">
    <w:name w:val="Z/2TIR_w_LIT – zm. podw. tir. w lit. artykułem (punktem)"/>
    <w:basedOn w:val="Z2TIRwPKTzmpodwtirwpktartykuempunktem"/>
    <w:uiPriority w:val="74"/>
    <w:qFormat/>
    <w:rsid w:val="006D17E6"/>
    <w:pPr>
      <w:ind w:left="1780"/>
    </w:pPr>
  </w:style>
  <w:style w:type="paragraph" w:customStyle="1" w:styleId="Z2TIRwTIRzmpodwtirwtirartykuempunktem">
    <w:name w:val="Z/2TIR_w_TIR – zm. podw. tir. w tir. artykułem (punktem)"/>
    <w:basedOn w:val="Z2TIRwLITzmpodwtirwlitartykuempunktem"/>
    <w:uiPriority w:val="73"/>
    <w:qFormat/>
    <w:rsid w:val="006D17E6"/>
    <w:pPr>
      <w:ind w:left="1304"/>
    </w:pPr>
  </w:style>
  <w:style w:type="paragraph" w:customStyle="1" w:styleId="ZARTzmartartykuempunktem">
    <w:name w:val="Z/ART(§) – zm. art. (§) artykułem (punktem)"/>
    <w:basedOn w:val="ARTartustawynprozporzdzenia"/>
    <w:uiPriority w:val="30"/>
    <w:qFormat/>
    <w:rsid w:val="006D17E6"/>
    <w:pPr>
      <w:spacing w:before="0"/>
      <w:ind w:left="510"/>
    </w:pPr>
  </w:style>
  <w:style w:type="paragraph" w:customStyle="1" w:styleId="ZCYTzmcytatunpprzysigiartykuempunktem">
    <w:name w:val="Z/CYT – zm. cytatu np. przysięgi artykułem (punktem)"/>
    <w:basedOn w:val="CYTcytatnpprzysigi"/>
    <w:next w:val="Normalny"/>
    <w:uiPriority w:val="37"/>
    <w:qFormat/>
    <w:rsid w:val="006D17E6"/>
    <w:pPr>
      <w:ind w:left="1021"/>
    </w:pPr>
  </w:style>
  <w:style w:type="paragraph" w:customStyle="1" w:styleId="ZCZWSPPKTzmczciwsppktartykuempunktem">
    <w:name w:val="Z/CZ_WSP_PKT – zm. części wsp. pkt artykułem (punktem)"/>
    <w:basedOn w:val="CZWSPPKTczwsplnapunktw"/>
    <w:next w:val="ZARTzmartartykuempunktem"/>
    <w:uiPriority w:val="34"/>
    <w:qFormat/>
    <w:rsid w:val="006D17E6"/>
    <w:pPr>
      <w:ind w:left="51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D17E6"/>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6D17E6"/>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6D17E6"/>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D17E6"/>
    <w:pPr>
      <w:ind w:left="907" w:firstLine="0"/>
    </w:pPr>
  </w:style>
  <w:style w:type="paragraph" w:customStyle="1" w:styleId="ZCZWSPLITzmczciwsplitartykuempunktem">
    <w:name w:val="Z/CZ_WSP_LIT – zm. części wsp. lit. artykułem (punktem)"/>
    <w:basedOn w:val="ZCZWSPPKTzmczciwsppktartykuempunktem"/>
    <w:next w:val="PKTpunkt"/>
    <w:uiPriority w:val="35"/>
    <w:qFormat/>
    <w:rsid w:val="006D17E6"/>
  </w:style>
  <w:style w:type="paragraph" w:customStyle="1" w:styleId="ZODNONIKAzmtekstuodnonikaartykuempunktem">
    <w:name w:val="Z/ODNOŚNIKA – zm. tekstu odnośnika artykułem (punktem)"/>
    <w:basedOn w:val="ODNONIKtreodnonika"/>
    <w:uiPriority w:val="39"/>
    <w:qFormat/>
    <w:rsid w:val="006D17E6"/>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39"/>
    <w:qFormat/>
    <w:rsid w:val="006D17E6"/>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D17E6"/>
    <w:pPr>
      <w:ind w:left="510" w:firstLine="0"/>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D17E6"/>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D17E6"/>
    <w:pPr>
      <w:ind w:left="1021"/>
    </w:pPr>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D17E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D17E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D17E6"/>
    <w:pPr>
      <w:ind w:left="1304"/>
    </w:pPr>
  </w:style>
  <w:style w:type="paragraph" w:customStyle="1" w:styleId="ZCZWSPTIRzmczciwsptirartykuempunktem">
    <w:name w:val="Z/CZ_WSP_TIR – zm. części wsp. tir. artykułem (punktem)"/>
    <w:basedOn w:val="ZCZWSPPKTzmczciwsppktartykuempunktem"/>
    <w:next w:val="PKTpunkt"/>
    <w:uiPriority w:val="35"/>
    <w:qFormat/>
    <w:rsid w:val="006D17E6"/>
  </w:style>
  <w:style w:type="paragraph" w:customStyle="1" w:styleId="ZCZWSPTIRwLITzmczciwsptirwlitartykuempunktem">
    <w:name w:val="Z/CZ_WSP_TIR_w_LIT – zm. części wsp. tir. w lit. artykułem (punktem)"/>
    <w:basedOn w:val="CZWSPTIRczwsplnatiret"/>
    <w:next w:val="Normalny"/>
    <w:uiPriority w:val="36"/>
    <w:qFormat/>
    <w:rsid w:val="006D17E6"/>
  </w:style>
  <w:style w:type="paragraph" w:customStyle="1" w:styleId="ZCZWSPTIRwPKTzmczciwsptirwpktartykuempunktem">
    <w:name w:val="Z/CZ_WSP_TIR_w_PKT – zm. części wsp. tir. w pkt artykułem (punktem)"/>
    <w:basedOn w:val="CZWSPTIRczwsplnatiret"/>
    <w:next w:val="Normalny"/>
    <w:uiPriority w:val="36"/>
    <w:qFormat/>
    <w:rsid w:val="006D17E6"/>
    <w:pPr>
      <w:ind w:left="1497"/>
    </w:pPr>
  </w:style>
  <w:style w:type="paragraph" w:customStyle="1" w:styleId="ZCZCIKSIGIzmozniprzedmczciksigiartykuempunktem">
    <w:name w:val="Z/CZĘŚCI(KSIĘGI) – zm. ozn. i przedm. części (księgi) artykułem (punktem)"/>
    <w:basedOn w:val="CZKSIGAoznaczenieiprzedmiotczcilubksigi"/>
    <w:uiPriority w:val="28"/>
    <w:qFormat/>
    <w:rsid w:val="006D17E6"/>
    <w:pPr>
      <w:ind w:left="510"/>
    </w:pPr>
    <w:rPr>
      <w:b w:val="0"/>
    </w:rPr>
  </w:style>
  <w:style w:type="paragraph" w:customStyle="1" w:styleId="ZFRAGzmfragmentunpzdaniaartykuempunktem">
    <w:name w:val="Z/FRAG – zm. fragmentu (np. zdania) artykułem (punktem)"/>
    <w:basedOn w:val="ZARTzmartartykuempunktem"/>
    <w:next w:val="PKTpunkt"/>
    <w:uiPriority w:val="36"/>
    <w:qFormat/>
    <w:rsid w:val="006D17E6"/>
    <w:pPr>
      <w:ind w:firstLine="0"/>
    </w:pPr>
    <w:rPr>
      <w:rFonts w:ascii="Times New Roman" w:hAnsi="Times New Roman"/>
    </w:r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6D17E6"/>
    <w:pPr>
      <w:ind w:left="1815"/>
    </w:pPr>
  </w:style>
  <w:style w:type="paragraph" w:customStyle="1" w:styleId="ZLITzmlitartykuempunktem">
    <w:name w:val="Z/LIT – zm. lit. artykułem (punktem)"/>
    <w:basedOn w:val="LITlitera"/>
    <w:uiPriority w:val="32"/>
    <w:qFormat/>
    <w:rsid w:val="006D17E6"/>
  </w:style>
  <w:style w:type="paragraph" w:customStyle="1" w:styleId="ZLITODNONIKAzmlitodnonikaartykuempunktem">
    <w:name w:val="Z/LIT_ODNOŚNIKA – zm. lit. odnośnika artykułem (punktem)"/>
    <w:basedOn w:val="ZPKTODNONIKAzmpktodnonikaartykuempunktem"/>
    <w:next w:val="PKTpunkt"/>
    <w:uiPriority w:val="40"/>
    <w:qFormat/>
    <w:rsid w:val="006D17E6"/>
  </w:style>
  <w:style w:type="paragraph" w:customStyle="1" w:styleId="ZLITwPKTzmlitwpktartykuempunktem">
    <w:name w:val="Z/LIT_w_PKT – zm. lit. w pkt artykułem (punktem)"/>
    <w:basedOn w:val="LITlitera"/>
    <w:uiPriority w:val="32"/>
    <w:qFormat/>
    <w:rsid w:val="006D17E6"/>
    <w:pPr>
      <w:ind w:left="1497"/>
    </w:pPr>
  </w:style>
  <w:style w:type="paragraph" w:customStyle="1" w:styleId="ZLITwPKTODNONIKAzmlitwpktodnonikaartykuempunktem">
    <w:name w:val="Z/LIT_w_PKT_ODNOŚNIKA – zm. lit. w pkt odnośnika artykułem (punktem)"/>
    <w:basedOn w:val="ZLITODNONIKAzmlitodnonikaartykuempunktem"/>
    <w:uiPriority w:val="40"/>
    <w:qFormat/>
    <w:rsid w:val="006D17E6"/>
    <w:pPr>
      <w:ind w:left="1304"/>
    </w:p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D17E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D17E6"/>
    <w:pPr>
      <w:ind w:left="1701"/>
    </w:pPr>
  </w:style>
  <w:style w:type="paragraph" w:customStyle="1" w:styleId="ZNIEARTTEKSTzmtekstunieartykuowanego">
    <w:name w:val="Z/NIEART_TEKST – zm. tekstu nieartykułowanego"/>
    <w:basedOn w:val="NIEARTTEKSTtekstnieartykuowanynppodstprawnarozplubpreambua"/>
    <w:uiPriority w:val="37"/>
    <w:qFormat/>
    <w:rsid w:val="006D17E6"/>
    <w:pPr>
      <w:ind w:left="510"/>
    </w:pPr>
  </w:style>
  <w:style w:type="paragraph" w:customStyle="1" w:styleId="ZPKTzmpktartykuempunktem">
    <w:name w:val="Z/PKT – zm. pkt artykułem (punktem)"/>
    <w:basedOn w:val="PKTpunkt"/>
    <w:uiPriority w:val="31"/>
    <w:qFormat/>
    <w:rsid w:val="006D17E6"/>
    <w:pPr>
      <w:ind w:left="1020"/>
    </w:pPr>
  </w:style>
  <w:style w:type="paragraph" w:customStyle="1" w:styleId="ZROZDZODDZOZNzmoznrozdzoddzartykuempunktem">
    <w:name w:val="Z/ROZDZ(ODDZ)_OZN – zm. ozn. rozdz. (oddz.) artykułem (punktem)"/>
    <w:next w:val="Normalny"/>
    <w:uiPriority w:val="29"/>
    <w:qFormat/>
    <w:rsid w:val="006D17E6"/>
    <w:pPr>
      <w:keepNext/>
      <w:suppressAutoHyphens/>
      <w:spacing w:line="360" w:lineRule="auto"/>
      <w:ind w:left="510"/>
      <w:jc w:val="center"/>
    </w:pPr>
    <w:rPr>
      <w:rFonts w:ascii="Times" w:eastAsiaTheme="minorEastAsia" w:hAnsi="Times" w:cs="Arial"/>
      <w:bCs/>
      <w:kern w:val="24"/>
      <w:sz w:val="24"/>
      <w:szCs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6D17E6"/>
    <w:pPr>
      <w:spacing w:after="120"/>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D17E6"/>
    <w:pPr>
      <w:ind w:left="1021"/>
    </w:pPr>
  </w:style>
  <w:style w:type="paragraph" w:customStyle="1" w:styleId="ZTIRzmtirartykuempunktem">
    <w:name w:val="Z/TIR – zm. tir. artykułem (punktem)"/>
    <w:basedOn w:val="TIRtiret"/>
    <w:next w:val="PKTpunkt"/>
    <w:uiPriority w:val="33"/>
    <w:qFormat/>
    <w:rsid w:val="006D17E6"/>
    <w:pPr>
      <w:ind w:left="907"/>
    </w:pPr>
  </w:style>
  <w:style w:type="paragraph" w:customStyle="1" w:styleId="ZTIRwLITzmtirwlitartykuempunktem">
    <w:name w:val="Z/TIR_w_LIT – zm. tir. w lit. artykułem (punktem)"/>
    <w:basedOn w:val="TIRtiret"/>
    <w:uiPriority w:val="33"/>
    <w:qFormat/>
    <w:rsid w:val="006D17E6"/>
  </w:style>
  <w:style w:type="paragraph" w:customStyle="1" w:styleId="ZTIRwPKTzmtirwpktartykuempunktem">
    <w:name w:val="Z/TIR_w_PKT – zm. tir. w pkt artykułem (punktem)"/>
    <w:basedOn w:val="TIRtiret"/>
    <w:uiPriority w:val="33"/>
    <w:qFormat/>
    <w:rsid w:val="006D17E6"/>
    <w:pPr>
      <w:ind w:left="1894"/>
    </w:pPr>
  </w:style>
  <w:style w:type="paragraph" w:customStyle="1" w:styleId="ZTYTDZOZNzmozntytuudziauartykuempunktem">
    <w:name w:val="Z/TYT(DZ)_OZN – zm. ozn. tytułu (działu) artykułem (punktem)"/>
    <w:basedOn w:val="TYTDZOZNoznaczenietytuulubdziau"/>
    <w:next w:val="Normalny"/>
    <w:uiPriority w:val="28"/>
    <w:qFormat/>
    <w:rsid w:val="006D17E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D17E6"/>
    <w:pPr>
      <w:keepNext/>
      <w:suppressAutoHyphens/>
      <w:spacing w:line="360" w:lineRule="auto"/>
      <w:ind w:left="510"/>
      <w:jc w:val="center"/>
    </w:pPr>
    <w:rPr>
      <w:rFonts w:ascii="Times" w:eastAsia="Times New Roman" w:hAnsi="Times"/>
      <w:sz w:val="24"/>
      <w:szCs w:val="26"/>
    </w:rPr>
  </w:style>
  <w:style w:type="paragraph" w:customStyle="1" w:styleId="ZWMATFIZCHEMzmwzorumatfizlubchemartykuempunktem">
    <w:name w:val="Z/W_MAT(FIZ|CHEM) – zm. wzoru mat. (fiz. lub chem.) artykułem (punktem)"/>
    <w:basedOn w:val="WMATFIZCHEMwzrmatfizlubchem"/>
    <w:uiPriority w:val="38"/>
    <w:qFormat/>
    <w:rsid w:val="006D17E6"/>
    <w:pPr>
      <w:ind w:left="510"/>
    </w:pPr>
  </w:style>
  <w:style w:type="paragraph" w:customStyle="1" w:styleId="Z2TIR2TIRzmpodwtirpodwjnymtiret">
    <w:name w:val="Z_2TIR/2TIR – zm. podw. tir. podwójnym tiret"/>
    <w:basedOn w:val="TIRtiret"/>
    <w:uiPriority w:val="85"/>
    <w:qFormat/>
    <w:rsid w:val="006D17E6"/>
    <w:pPr>
      <w:ind w:left="2177"/>
    </w:pPr>
  </w:style>
  <w:style w:type="paragraph" w:customStyle="1" w:styleId="Z2TIR2TIRwLITzmpodwtirwlitpodwjnymtiret">
    <w:name w:val="Z_2TIR/2TIR_w_LIT – zm. podw. tir. w lit. podwójnym tiret"/>
    <w:basedOn w:val="TIRtiret"/>
    <w:uiPriority w:val="86"/>
    <w:qFormat/>
    <w:rsid w:val="006D17E6"/>
    <w:pPr>
      <w:ind w:left="3051"/>
    </w:pPr>
  </w:style>
  <w:style w:type="paragraph" w:customStyle="1" w:styleId="Z2TIR2TIRwPKTzmpodwtirwpktpodwjnymtiret">
    <w:name w:val="Z_2TIR/2TIR_w_PKT – zm. podw. tir. w pkt podwójnym tiret"/>
    <w:basedOn w:val="Z2TIR2TIRwLITzmpodwtirwlitpodwjnymtiret"/>
    <w:uiPriority w:val="86"/>
    <w:qFormat/>
    <w:rsid w:val="006D17E6"/>
    <w:pPr>
      <w:ind w:left="3561"/>
    </w:pPr>
    <w:rPr>
      <w:rFonts w:ascii="Times New Roman" w:hAnsi="Times New Roman"/>
      <w:lang w:val="en-US"/>
    </w:rPr>
  </w:style>
  <w:style w:type="paragraph" w:customStyle="1" w:styleId="Z2TIR2TIRwTIRzmpodwtirwtirpodwjnymtiret">
    <w:name w:val="Z_2TIR/2TIR_w_TIR – zm. podw. tir. w tir. podwójnym tiret"/>
    <w:basedOn w:val="TIRtiret"/>
    <w:uiPriority w:val="85"/>
    <w:qFormat/>
    <w:rsid w:val="006D17E6"/>
    <w:pPr>
      <w:ind w:left="2574"/>
    </w:pPr>
  </w:style>
  <w:style w:type="paragraph" w:customStyle="1" w:styleId="Z2TIRLITzmlitpodwjnymtiret">
    <w:name w:val="Z_2TIR/LIT – zm. lit. podwójnym tiret"/>
    <w:basedOn w:val="LITlitera"/>
    <w:uiPriority w:val="84"/>
    <w:qFormat/>
    <w:rsid w:val="006D17E6"/>
    <w:pPr>
      <w:ind w:left="2256"/>
    </w:pPr>
  </w:style>
  <w:style w:type="paragraph" w:customStyle="1" w:styleId="Z2TIRPKTzmpktpodwjnymtiret">
    <w:name w:val="Z_2TIR/PKT – zm. pkt podwójnym tiret"/>
    <w:basedOn w:val="Z2TIRLITzmlitpodwjnymtiret"/>
    <w:uiPriority w:val="83"/>
    <w:qFormat/>
    <w:rsid w:val="006D17E6"/>
    <w:pPr>
      <w:ind w:left="2290" w:hanging="510"/>
    </w:pPr>
    <w:rPr>
      <w:rFonts w:ascii="Times New Roman" w:hAnsi="Times New Roman"/>
    </w:rPr>
  </w:style>
  <w:style w:type="paragraph" w:customStyle="1" w:styleId="Z2TIRARTzmartpodwjnymtiret">
    <w:name w:val="Z_2TIR/ART(§) – zm. art. (§) podwójnym tiret"/>
    <w:basedOn w:val="Z2TIRPKTzmpktpodwjnymtiret"/>
    <w:uiPriority w:val="82"/>
    <w:qFormat/>
    <w:rsid w:val="006D17E6"/>
    <w:pPr>
      <w:ind w:left="1780" w:firstLine="510"/>
    </w:pPr>
  </w:style>
  <w:style w:type="paragraph" w:customStyle="1" w:styleId="ZLITCYTzmcytatunpprzysigiliter">
    <w:name w:val="Z_LIT/CYT – zm. cytatu np. przysięgi literą"/>
    <w:basedOn w:val="ZCYTzmcytatunpprzysigiartykuempunktem"/>
    <w:uiPriority w:val="53"/>
    <w:qFormat/>
    <w:rsid w:val="006D17E6"/>
    <w:pPr>
      <w:ind w:left="1497"/>
    </w:pPr>
  </w:style>
  <w:style w:type="paragraph" w:customStyle="1" w:styleId="ZTIRCYTzmcytatunpprzysigitiret">
    <w:name w:val="Z_TIR/CYT – zm. cytatu np. przysięgi tiret"/>
    <w:basedOn w:val="ZLITCYTzmcytatunpprzysigiliter"/>
    <w:next w:val="Normalny"/>
    <w:uiPriority w:val="61"/>
    <w:qFormat/>
    <w:rsid w:val="006D17E6"/>
    <w:pPr>
      <w:ind w:left="1894"/>
    </w:pPr>
  </w:style>
  <w:style w:type="paragraph" w:customStyle="1" w:styleId="Z2TIRCYTzmcytatunpprzysigipodwjnymtiret">
    <w:name w:val="Z_2TIR/CYT – zm. cytatu np. przysięgi podwójnym tiret"/>
    <w:basedOn w:val="ZTIRCYTzmcytatunpprzysigitiret"/>
    <w:next w:val="Normalny"/>
    <w:uiPriority w:val="90"/>
    <w:qFormat/>
    <w:rsid w:val="006D17E6"/>
    <w:pPr>
      <w:ind w:left="2291"/>
    </w:pPr>
  </w:style>
  <w:style w:type="paragraph" w:customStyle="1" w:styleId="Z2TIRCZWSPLITzmczciwsplitpodwjnymtiret">
    <w:name w:val="Z_2TIR/CZ_WSP_LIT – zm. części wsp. lit. podwójnym tiret"/>
    <w:basedOn w:val="CZWSPTIRczwsplnatiret"/>
    <w:next w:val="2TIRpodwjnytiret"/>
    <w:uiPriority w:val="87"/>
    <w:qFormat/>
    <w:rsid w:val="006D17E6"/>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D17E6"/>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D17E6"/>
    <w:pPr>
      <w:ind w:left="2654"/>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D17E6"/>
    <w:pPr>
      <w:ind w:left="3164" w:firstLine="0"/>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D17E6"/>
    <w:pPr>
      <w:ind w:left="2177"/>
    </w:pPr>
  </w:style>
  <w:style w:type="paragraph" w:customStyle="1" w:styleId="Z2TIRLITwPKTzmlitwpktpodwjnymtiret">
    <w:name w:val="Z_2TIR/LIT_w_PKT – zm. lit. w pkt podwójnym tiret"/>
    <w:basedOn w:val="Z2TIRLITzmlitpodwjnymtiret"/>
    <w:uiPriority w:val="84"/>
    <w:qFormat/>
    <w:rsid w:val="006D17E6"/>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qFormat/>
    <w:rsid w:val="006D17E6"/>
    <w:pPr>
      <w:ind w:left="2291" w:firstLine="0"/>
    </w:pPr>
  </w:style>
  <w:style w:type="paragraph" w:customStyle="1" w:styleId="Z2TIRCZWSPPKTzmczciwsppktpodwjnymtiret">
    <w:name w:val="Z_2TIR/CZ_WSP_PKT – zm. części wsp. pkt podwójnym tiret"/>
    <w:basedOn w:val="Z2TIRPKTzmpktpodwjnymtiret"/>
    <w:uiPriority w:val="86"/>
    <w:qFormat/>
    <w:rsid w:val="006D17E6"/>
    <w:pPr>
      <w:ind w:left="1780" w:firstLine="0"/>
    </w:pPr>
  </w:style>
  <w:style w:type="paragraph" w:customStyle="1" w:styleId="Z2TIRCZWSPTIRzmczciwsptirpodwjnymtiret">
    <w:name w:val="Z_2TIR/CZ_WSP_TIR – zm. części wsp. tir. podwójnym tiret"/>
    <w:basedOn w:val="Z2TIRCZWSPLITzmczciwsplitpodwjnymtiret"/>
    <w:next w:val="2TIRpodwjnytiret"/>
    <w:uiPriority w:val="87"/>
    <w:qFormat/>
    <w:rsid w:val="006D17E6"/>
  </w:style>
  <w:style w:type="paragraph" w:customStyle="1" w:styleId="Z2TIRCZWSPTIRwLITzmczciwsptirwlitpodwjnymtiret">
    <w:name w:val="Z_2TIR/CZ_WSP_TIR_w_LIT – zm. części wsp. tir. w lit. podwójnym tiret"/>
    <w:basedOn w:val="CZWSPTIRczwsplnatiret"/>
    <w:next w:val="2TIRpodwjnytiret"/>
    <w:uiPriority w:val="87"/>
    <w:qFormat/>
    <w:rsid w:val="006D17E6"/>
    <w:pPr>
      <w:ind w:left="2257"/>
    </w:pPr>
  </w:style>
  <w:style w:type="paragraph" w:customStyle="1" w:styleId="Z2TIRTIRwLITzmtirwlitpodwjnymtiret">
    <w:name w:val="Z_2TIR/TIR_w_LIT – zm. tir. w lit. podwójnym tiret"/>
    <w:basedOn w:val="TIRtiret"/>
    <w:uiPriority w:val="84"/>
    <w:qFormat/>
    <w:rsid w:val="006D17E6"/>
    <w:pPr>
      <w:ind w:left="2654"/>
    </w:pPr>
  </w:style>
  <w:style w:type="paragraph" w:customStyle="1" w:styleId="Z2TIRTIRwPKTzmtirwpktpodwjnymtiret">
    <w:name w:val="Z_2TIR/TIR_w_PKT – zm. tir. w pkt podwójnym tiret"/>
    <w:basedOn w:val="Z2TIRTIRwLITzmtirwlitpodwjnymtiret"/>
    <w:uiPriority w:val="84"/>
    <w:qFormat/>
    <w:rsid w:val="006D17E6"/>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qFormat/>
    <w:rsid w:val="006D17E6"/>
    <w:pPr>
      <w:ind w:left="2767" w:firstLine="0"/>
    </w:pPr>
  </w:style>
  <w:style w:type="paragraph" w:customStyle="1" w:styleId="ZTIRCZWSPPKTzmczciwsppkttiret">
    <w:name w:val="Z_TIR/CZ_WSP_PKT – zm. części wsp. pkt tiret"/>
    <w:basedOn w:val="CZWSPLITczwsplnaliter"/>
    <w:next w:val="TIRtiret"/>
    <w:uiPriority w:val="58"/>
    <w:qFormat/>
    <w:rsid w:val="006D17E6"/>
    <w:pPr>
      <w:ind w:left="1383"/>
    </w:pPr>
  </w:style>
  <w:style w:type="paragraph" w:customStyle="1" w:styleId="ZTIRFRAGMzmnpwprdowyliczeniatiret">
    <w:name w:val="Z_TIR/FRAGM – zm. np. wpr. do wyliczenia tiret"/>
    <w:basedOn w:val="ZTIRCZWSPPKTzmczciwsppkttiret"/>
    <w:next w:val="TIRtiret"/>
    <w:uiPriority w:val="60"/>
    <w:qFormat/>
    <w:rsid w:val="006D17E6"/>
    <w:rPr>
      <w:rFonts w:ascii="Times New Roman" w:hAnsi="Times New Roman"/>
    </w:rPr>
  </w:style>
  <w:style w:type="paragraph" w:customStyle="1" w:styleId="Z2TIRFRAGMzmnpwprdowyliczeniapodwjnymtiret">
    <w:name w:val="Z_2TIR/FRAGM – zm. np. wpr. do wyliczenia podwójnym tiret"/>
    <w:basedOn w:val="ZTIRFRAGMzmnpwprdowyliczeniatiret"/>
    <w:next w:val="2TIRpodwjnytiret"/>
    <w:uiPriority w:val="89"/>
    <w:qFormat/>
    <w:rsid w:val="006D17E6"/>
    <w:pPr>
      <w:ind w:left="1780"/>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6D17E6"/>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6D17E6"/>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6D17E6"/>
    <w:pPr>
      <w:ind w:left="3085"/>
    </w:pPr>
  </w:style>
  <w:style w:type="paragraph" w:customStyle="1" w:styleId="ZLITROZDZODDZOZNzmoznrozdzoddzliter">
    <w:name w:val="Z_LIT/ROZDZ(ODDZ)_OZN – zm. ozn. rozdz. (oddz.) literą"/>
    <w:basedOn w:val="ZROZDZODDZOZNzmoznrozdzoddzartykuempunktem"/>
    <w:next w:val="Normalny"/>
    <w:uiPriority w:val="45"/>
    <w:qFormat/>
    <w:rsid w:val="006D17E6"/>
    <w:pPr>
      <w:ind w:left="987"/>
    </w:pPr>
  </w:style>
  <w:style w:type="paragraph" w:customStyle="1" w:styleId="ZTIRROZDZODDZOZNzmoznrozdzoddztiret">
    <w:name w:val="Z_TIR/ROZDZ(ODDZ)_OZN – zm. ozn. rozdz. (oddz.) tiret"/>
    <w:basedOn w:val="ZLITROZDZODDZOZNzmoznrozdzoddzliter"/>
    <w:next w:val="Normalny"/>
    <w:uiPriority w:val="54"/>
    <w:qFormat/>
    <w:rsid w:val="006D17E6"/>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6D17E6"/>
    <w:pPr>
      <w:ind w:left="1780"/>
    </w:pPr>
  </w:style>
  <w:style w:type="paragraph" w:customStyle="1" w:styleId="ZLITROZDZODDZPRZEDMzmprzedmrozdzoddzliter">
    <w:name w:val="Z_LIT/ROZDZ(ODDZ)_PRZEDM – zm. przedm. rozdz. (oddz.) literą"/>
    <w:basedOn w:val="ZROZDZODDZPRZEDMzmprzedmrozdzoddzartykuempunktem"/>
    <w:next w:val="Normalny"/>
    <w:uiPriority w:val="45"/>
    <w:qFormat/>
    <w:rsid w:val="006D17E6"/>
    <w:pPr>
      <w:ind w:left="987"/>
    </w:pPr>
  </w:style>
  <w:style w:type="paragraph" w:customStyle="1" w:styleId="ZTIRROZDZODDZPRZEDMzmprzedmrozdzoddztiret">
    <w:name w:val="Z_TIR/ROZDZ(ODDZ)_PRZEDM – zm. przedm. rozdz. (oddz.) tiret"/>
    <w:basedOn w:val="ZLITROZDZODDZPRZEDMzmprzedmrozdzoddzliter"/>
    <w:uiPriority w:val="54"/>
    <w:qFormat/>
    <w:rsid w:val="006D17E6"/>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D17E6"/>
    <w:pPr>
      <w:ind w:left="1780"/>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6D17E6"/>
    <w:pPr>
      <w:ind w:left="2291" w:firstLine="0"/>
    </w:pPr>
  </w:style>
  <w:style w:type="paragraph" w:customStyle="1" w:styleId="Z2TIRTIRzmtirpodwjnymtiret">
    <w:name w:val="Z_2TIR/TIR – zm. tir. podwójnym tiret"/>
    <w:basedOn w:val="TIRtiret"/>
    <w:uiPriority w:val="84"/>
    <w:qFormat/>
    <w:rsid w:val="006D17E6"/>
    <w:pPr>
      <w:ind w:left="2177"/>
    </w:pPr>
  </w:style>
  <w:style w:type="paragraph" w:customStyle="1" w:styleId="Z2TIRUSTzmustpodwjnymtiret">
    <w:name w:val="Z_2TIR/UST(§) – zm. ust. (§) podwójnym tiret"/>
    <w:basedOn w:val="Z2TIRPKTzmpktpodwjnymtiret"/>
    <w:uiPriority w:val="82"/>
    <w:qFormat/>
    <w:rsid w:val="006D17E6"/>
    <w:pPr>
      <w:ind w:left="1780" w:firstLine="510"/>
    </w:pPr>
  </w:style>
  <w:style w:type="paragraph" w:customStyle="1" w:styleId="ZLITWMATFIZCHEMzmwzorumatfizlubchemliter">
    <w:name w:val="Z_LIT/W_MAT(FIZ|CHEM) – zm. wzoru mat. (fiz. lub chem.) literą"/>
    <w:basedOn w:val="ZWMATFIZCHEMzmwzorumatfizlubchemartykuempunktem"/>
    <w:next w:val="Normalny"/>
    <w:uiPriority w:val="53"/>
    <w:qFormat/>
    <w:rsid w:val="006D17E6"/>
    <w:pPr>
      <w:ind w:left="987"/>
    </w:pPr>
  </w:style>
  <w:style w:type="paragraph" w:customStyle="1" w:styleId="ZTIRWMATFIZCHEMzmwzorumatfizlubchemtiret">
    <w:name w:val="Z_TIR/W_MAT(FIZ|CHEM) – zm. wzoru mat. (fiz. lub chem.) tiret"/>
    <w:basedOn w:val="ZLITWMATFIZCHEMzmwzorumatfizlubchemliter"/>
    <w:next w:val="Normalny"/>
    <w:uiPriority w:val="62"/>
    <w:qFormat/>
    <w:rsid w:val="006D17E6"/>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6D17E6"/>
    <w:pPr>
      <w:ind w:left="1780"/>
    </w:pPr>
  </w:style>
  <w:style w:type="paragraph" w:customStyle="1" w:styleId="ZLIT2TIRzmpodwtirliter">
    <w:name w:val="Z_LIT/2TIR – zm. podw. tir. literą"/>
    <w:basedOn w:val="TIRtiret"/>
    <w:uiPriority w:val="75"/>
    <w:qFormat/>
    <w:rsid w:val="006D17E6"/>
  </w:style>
  <w:style w:type="paragraph" w:customStyle="1" w:styleId="ZLIT2TIRwTIRzmpodwtirwtirliter">
    <w:name w:val="Z_LIT/2TIR_w_TIR – zm. podw. tir. w tir. literą"/>
    <w:basedOn w:val="ZLIT2TIRzmpodwtirliter"/>
    <w:uiPriority w:val="75"/>
    <w:qFormat/>
    <w:rsid w:val="006D17E6"/>
    <w:pPr>
      <w:ind w:left="1780"/>
    </w:pPr>
  </w:style>
  <w:style w:type="paragraph" w:customStyle="1" w:styleId="ZLIT2TIRwLITzmpodwtirwlitliter">
    <w:name w:val="Z_LIT/2TIR_w_LIT – zm. podw. tir. w lit. literą"/>
    <w:basedOn w:val="ZLIT2TIRwTIRzmpodwtirwtirliter"/>
    <w:uiPriority w:val="76"/>
    <w:qFormat/>
    <w:rsid w:val="006D17E6"/>
    <w:pPr>
      <w:ind w:left="2257"/>
    </w:pPr>
  </w:style>
  <w:style w:type="paragraph" w:customStyle="1" w:styleId="ZLIT2TIRwPKTzmpodwtirwpktliter">
    <w:name w:val="Z_LIT/2TIR_w_PKT – zm. podw. tir. w pkt literą"/>
    <w:basedOn w:val="ZLIT2TIRwLITzmpodwtirwlitliter"/>
    <w:uiPriority w:val="76"/>
    <w:qFormat/>
    <w:rsid w:val="006D17E6"/>
    <w:pPr>
      <w:ind w:left="2767"/>
    </w:pPr>
  </w:style>
  <w:style w:type="paragraph" w:customStyle="1" w:styleId="ZLITUSTzmustliter">
    <w:name w:val="Z_LIT/UST(§) – zm. ust. (§) literą"/>
    <w:basedOn w:val="USTustnpkodeksu"/>
    <w:uiPriority w:val="46"/>
    <w:qFormat/>
    <w:rsid w:val="006D17E6"/>
    <w:pPr>
      <w:ind w:left="987"/>
    </w:pPr>
  </w:style>
  <w:style w:type="paragraph" w:customStyle="1" w:styleId="ZLITARTzmartliter">
    <w:name w:val="Z_LIT/ART(§) – zm. art. (§) literą"/>
    <w:basedOn w:val="ZLITUSTzmustliter"/>
    <w:uiPriority w:val="46"/>
    <w:qFormat/>
    <w:rsid w:val="006D17E6"/>
    <w:rPr>
      <w:rFonts w:ascii="Times New Roman" w:hAnsi="Times New Roman"/>
    </w:rPr>
  </w:style>
  <w:style w:type="paragraph" w:customStyle="1" w:styleId="ZLITCZWSPPKTzmczciwsppktliter">
    <w:name w:val="Z_LIT/CZ_WSP_PKT – zm. części wsp. pkt literą"/>
    <w:basedOn w:val="CZWSPLITczwsplnaliter"/>
    <w:next w:val="LITlitera"/>
    <w:uiPriority w:val="50"/>
    <w:qFormat/>
    <w:rsid w:val="006D17E6"/>
    <w:pPr>
      <w:ind w:left="987"/>
    </w:pPr>
  </w:style>
  <w:style w:type="paragraph" w:customStyle="1" w:styleId="ZLITCZWSP2TIRzmczciwsppodwtirliter">
    <w:name w:val="Z_LIT/CZ_WSP_2TIR – zm. części wsp. podw. tir. literą"/>
    <w:basedOn w:val="ZLITCZWSPPKTzmczciwsppktliter"/>
    <w:next w:val="LITlitera"/>
    <w:uiPriority w:val="76"/>
    <w:qFormat/>
    <w:rsid w:val="006D17E6"/>
  </w:style>
  <w:style w:type="paragraph" w:customStyle="1" w:styleId="ZLITCZWSP2TIRwLITzmczciwsppodwtirwlitliter">
    <w:name w:val="Z_LIT/CZ_WSP_2TIR_w_LIT – zm. części wsp. podw. tir. w lit. literą"/>
    <w:basedOn w:val="ZLIT2TIRwLITzmpodwtirwlitliter"/>
    <w:next w:val="LITlitera"/>
    <w:uiPriority w:val="77"/>
    <w:qFormat/>
    <w:rsid w:val="006D17E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D17E6"/>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6"/>
    <w:qFormat/>
    <w:rsid w:val="006D17E6"/>
    <w:pPr>
      <w:ind w:left="1383" w:firstLine="0"/>
    </w:pPr>
  </w:style>
  <w:style w:type="paragraph" w:customStyle="1" w:styleId="ZLITCZWSPLITzmczciwsplitliter">
    <w:name w:val="Z_LIT/CZ_WSP_LIT – zm. części wsp. lit. literą"/>
    <w:basedOn w:val="ZLITCZWSPPKTzmczciwsppktliter"/>
    <w:next w:val="LITlitera"/>
    <w:uiPriority w:val="51"/>
    <w:qFormat/>
    <w:rsid w:val="006D17E6"/>
  </w:style>
  <w:style w:type="paragraph" w:customStyle="1" w:styleId="ZLITCZWSPLITwPKTzmczciwsplitwpktliter">
    <w:name w:val="Z_LIT/CZ_WSP_LIT_w_PKT – zm. części wsp. lit. w pkt literą"/>
    <w:basedOn w:val="CZWSPLITczwsplnaliter"/>
    <w:next w:val="LITlitera"/>
    <w:uiPriority w:val="51"/>
    <w:qFormat/>
    <w:rsid w:val="006D17E6"/>
    <w:pPr>
      <w:ind w:left="1497"/>
    </w:pPr>
  </w:style>
  <w:style w:type="paragraph" w:customStyle="1" w:styleId="ZLITCZWSPTIRzmczciwsptirliter">
    <w:name w:val="Z_LIT/CZ_WSP_TIR – zm. części wsp. tir. literą"/>
    <w:basedOn w:val="ZLITCZWSPPKTzmczciwsppktliter"/>
    <w:next w:val="LITlitera"/>
    <w:uiPriority w:val="51"/>
    <w:qFormat/>
    <w:rsid w:val="006D17E6"/>
  </w:style>
  <w:style w:type="paragraph" w:customStyle="1" w:styleId="ZLITCZWSPTIRwLITzmczciwsptirwlitliter">
    <w:name w:val="Z_LIT/CZ_WSP_TIR_w_LIT – zm. części wsp. tir. w lit. literą"/>
    <w:basedOn w:val="CZWSPTIRczwsplnatiret"/>
    <w:next w:val="LITlitera"/>
    <w:uiPriority w:val="51"/>
    <w:qFormat/>
    <w:rsid w:val="006D17E6"/>
    <w:pPr>
      <w:ind w:left="1463"/>
    </w:pPr>
  </w:style>
  <w:style w:type="paragraph" w:customStyle="1" w:styleId="ZLITCZWSPTIRwPKTzmczciwsptirwpktliter">
    <w:name w:val="Z_LIT/CZ_WSP_TIR_w_PKT – zm. części wsp. tir. w pkt literą"/>
    <w:basedOn w:val="CZWSPTIRczwsplnatiret"/>
    <w:next w:val="LITlitera"/>
    <w:uiPriority w:val="51"/>
    <w:qFormat/>
    <w:rsid w:val="006D17E6"/>
    <w:pPr>
      <w:ind w:left="1973"/>
    </w:pPr>
  </w:style>
  <w:style w:type="paragraph" w:customStyle="1" w:styleId="ZLITFRAGzmlitfragmentunpzdanialiter">
    <w:name w:val="Z_LIT/FRAG – zm. lit. fragmentu (np. zdania) literą"/>
    <w:basedOn w:val="ZLITUSTzmustliter"/>
    <w:next w:val="LITlitera"/>
    <w:uiPriority w:val="52"/>
    <w:qFormat/>
    <w:rsid w:val="006D17E6"/>
    <w:pPr>
      <w:ind w:firstLine="0"/>
    </w:pPr>
    <w:rPr>
      <w:rFonts w:ascii="Times New Roman" w:hAnsi="Times New Roman"/>
    </w:rPr>
  </w:style>
  <w:style w:type="paragraph" w:customStyle="1" w:styleId="ZLITKSIGIzmozniprzedmksigiliter">
    <w:name w:val="Z_LIT/KSIĘGI – zm. ozn. i przedm. księgi literą"/>
    <w:basedOn w:val="ZCZCIKSIGIzmozniprzedmczciksigiartykuempunktem"/>
    <w:uiPriority w:val="44"/>
    <w:qFormat/>
    <w:rsid w:val="006D17E6"/>
    <w:pPr>
      <w:ind w:left="987"/>
    </w:pPr>
  </w:style>
  <w:style w:type="paragraph" w:customStyle="1" w:styleId="ZLITLITzmlitliter">
    <w:name w:val="Z_LIT/LIT – zm. lit. literą"/>
    <w:basedOn w:val="LITlitera"/>
    <w:uiPriority w:val="48"/>
    <w:qFormat/>
    <w:rsid w:val="006D17E6"/>
    <w:pPr>
      <w:ind w:left="1463"/>
    </w:pPr>
  </w:style>
  <w:style w:type="paragraph" w:customStyle="1" w:styleId="ZLITLITwPKTzmlitwpktliter">
    <w:name w:val="Z_LIT/LIT_w_PKT – zm. lit. w pkt literą"/>
    <w:basedOn w:val="LITlitera"/>
    <w:uiPriority w:val="48"/>
    <w:qFormat/>
    <w:rsid w:val="006D17E6"/>
    <w:pPr>
      <w:ind w:left="1973"/>
    </w:pPr>
  </w:style>
  <w:style w:type="paragraph" w:customStyle="1" w:styleId="ZLITPKTzmpktliter">
    <w:name w:val="Z_LIT/PKT – zm. pkt literą"/>
    <w:basedOn w:val="PKTpunkt"/>
    <w:uiPriority w:val="47"/>
    <w:qFormat/>
    <w:rsid w:val="006D17E6"/>
    <w:pPr>
      <w:ind w:left="1497"/>
    </w:pPr>
  </w:style>
  <w:style w:type="paragraph" w:customStyle="1" w:styleId="ZLITSKARNzmsankcjikarnejliter">
    <w:name w:val="Z_LIT/S_KARN – zm. sankcji karnej literą"/>
    <w:basedOn w:val="ZSKARNzmsankcjikarnejwszczeglnociwKodeksiekarnym"/>
    <w:uiPriority w:val="53"/>
    <w:qFormat/>
    <w:rsid w:val="006D17E6"/>
    <w:pPr>
      <w:ind w:left="1497"/>
    </w:pPr>
  </w:style>
  <w:style w:type="paragraph" w:customStyle="1" w:styleId="ZLITTIRzmtirliter">
    <w:name w:val="Z_LIT/TIR – zm. tir. literą"/>
    <w:basedOn w:val="TIRtiret"/>
    <w:uiPriority w:val="49"/>
    <w:qFormat/>
    <w:rsid w:val="006D17E6"/>
  </w:style>
  <w:style w:type="paragraph" w:customStyle="1" w:styleId="ZLITTIRwLITzmtirwlitliter">
    <w:name w:val="Z_LIT/TIR_w_LIT – zm. tir. w lit. literą"/>
    <w:basedOn w:val="TIRtiret"/>
    <w:uiPriority w:val="49"/>
    <w:qFormat/>
    <w:rsid w:val="006D17E6"/>
    <w:pPr>
      <w:ind w:left="1860"/>
    </w:pPr>
  </w:style>
  <w:style w:type="paragraph" w:customStyle="1" w:styleId="ZLITTIRwPKTzmtirwpktliter">
    <w:name w:val="Z_LIT/TIR_w_PKT – zm. tir. w pkt literą"/>
    <w:basedOn w:val="TIRtiret"/>
    <w:uiPriority w:val="49"/>
    <w:qFormat/>
    <w:rsid w:val="006D17E6"/>
    <w:pPr>
      <w:ind w:left="2370"/>
    </w:pPr>
  </w:style>
  <w:style w:type="paragraph" w:customStyle="1" w:styleId="ZLITTYTDZOZNzmozntytuudziauliter">
    <w:name w:val="Z_LIT/TYT(DZ)_OZN – zm. ozn. tytułu (działu) literą"/>
    <w:basedOn w:val="ZTYTDZOZNzmozntytuudziauartykuempunktem"/>
    <w:next w:val="Normalny"/>
    <w:uiPriority w:val="44"/>
    <w:qFormat/>
    <w:rsid w:val="006D17E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D17E6"/>
    <w:pPr>
      <w:ind w:left="987"/>
    </w:pPr>
  </w:style>
  <w:style w:type="paragraph" w:customStyle="1" w:styleId="ZTIR2TIRzmpodwtirtiret">
    <w:name w:val="Z_TIR/2TIR – zm. podw. tir. tiret"/>
    <w:basedOn w:val="TIRtiret"/>
    <w:uiPriority w:val="78"/>
    <w:qFormat/>
    <w:rsid w:val="006D17E6"/>
    <w:pPr>
      <w:ind w:left="1780"/>
    </w:pPr>
  </w:style>
  <w:style w:type="paragraph" w:customStyle="1" w:styleId="ZTIR2TIRwLITzmpodwtirwlittiret">
    <w:name w:val="Z_TIR/2TIR_w_LIT – zm. podw. tir. w lit. tiret"/>
    <w:basedOn w:val="TIRtiret"/>
    <w:uiPriority w:val="79"/>
    <w:qFormat/>
    <w:rsid w:val="006D17E6"/>
    <w:pPr>
      <w:ind w:left="2654"/>
    </w:pPr>
  </w:style>
  <w:style w:type="paragraph" w:customStyle="1" w:styleId="ZTIR2TIRwPKTzmpodwtirwpkttiret">
    <w:name w:val="Z_TIR/2TIR_w_PKT – zm. podw. tir. w pkt tiret"/>
    <w:basedOn w:val="ZTIR2TIRwLITzmpodwtirwlittiret"/>
    <w:uiPriority w:val="79"/>
    <w:qFormat/>
    <w:rsid w:val="006D17E6"/>
    <w:pPr>
      <w:ind w:left="3164"/>
    </w:pPr>
  </w:style>
  <w:style w:type="paragraph" w:customStyle="1" w:styleId="ZTIR2TIRwTIRzmpodwtirwtirtiret">
    <w:name w:val="Z_TIR/2TIR_w_TIR – zm. podw. tir. w tir. tiret"/>
    <w:basedOn w:val="TIRtiret"/>
    <w:uiPriority w:val="78"/>
    <w:qFormat/>
    <w:rsid w:val="006D17E6"/>
    <w:pPr>
      <w:ind w:left="2177"/>
    </w:pPr>
  </w:style>
  <w:style w:type="paragraph" w:customStyle="1" w:styleId="ZTIRPKTzmpkttiret">
    <w:name w:val="Z_TIR/PKT – zm. pkt tiret"/>
    <w:basedOn w:val="PKTpunkt"/>
    <w:uiPriority w:val="56"/>
    <w:qFormat/>
    <w:rsid w:val="006D17E6"/>
    <w:pPr>
      <w:ind w:left="1893"/>
    </w:pPr>
  </w:style>
  <w:style w:type="paragraph" w:customStyle="1" w:styleId="ZTIRARTzmarttiret">
    <w:name w:val="Z_TIR/ART(§) – zm. art. (§) tiret"/>
    <w:basedOn w:val="ZTIRPKTzmpkttiret"/>
    <w:uiPriority w:val="55"/>
    <w:qFormat/>
    <w:rsid w:val="006D17E6"/>
    <w:pPr>
      <w:ind w:left="1383" w:firstLine="510"/>
    </w:pPr>
    <w:rPr>
      <w:rFonts w:ascii="Times New Roman" w:hAnsi="Times New Roman"/>
    </w:rPr>
  </w:style>
  <w:style w:type="paragraph" w:customStyle="1" w:styleId="ZTIRCZWSP2TIRzmczciwsppodwtirtiret">
    <w:name w:val="Z_TIR/CZ_WSP_2TIR – zm. części wsp. podw. tir. tiret"/>
    <w:basedOn w:val="ZLITCZWSP2TIRzmczciwsppodwtirliter"/>
    <w:next w:val="TIRtiret"/>
    <w:uiPriority w:val="79"/>
    <w:qFormat/>
    <w:rsid w:val="006D17E6"/>
  </w:style>
  <w:style w:type="paragraph" w:customStyle="1" w:styleId="ZTIRCZWSP2TIRwLITzmczciwsppodwtirwlittiret">
    <w:name w:val="Z_TIR/CZ_WSP_2TIR_w_LIT – zm. części wsp. podw. tir. w lit. tiret"/>
    <w:basedOn w:val="CZWSPTIRczwsplnatiret"/>
    <w:next w:val="TIRtiret"/>
    <w:uiPriority w:val="80"/>
    <w:qFormat/>
    <w:rsid w:val="006D17E6"/>
    <w:pPr>
      <w:ind w:left="2257"/>
    </w:pPr>
  </w:style>
  <w:style w:type="paragraph" w:customStyle="1" w:styleId="ZTIRCZWSP2TIRwPKTzmczciwsppodwtirwpkttiret">
    <w:name w:val="Z_TIR/CZ_WSP_2TIR_w_PKT – zm. części wsp. podw. tir. w pkt tiret"/>
    <w:basedOn w:val="ZTIR2TIRwPKTzmpodwtirwpkttiret"/>
    <w:next w:val="TIRtiret"/>
    <w:uiPriority w:val="80"/>
    <w:qFormat/>
    <w:rsid w:val="006D17E6"/>
    <w:pPr>
      <w:ind w:left="2767" w:firstLine="0"/>
    </w:pPr>
  </w:style>
  <w:style w:type="paragraph" w:customStyle="1" w:styleId="ZTIRCZWSP2TIRwTIRzmczciwsppodwtirwtirtiret">
    <w:name w:val="Z_TIR/CZ_WSP_2TIR_w_TIR – zm. części wsp. podw. tir. w tir. tiret"/>
    <w:basedOn w:val="CZWSPTIRczwsplnatiret"/>
    <w:uiPriority w:val="79"/>
    <w:qFormat/>
    <w:rsid w:val="006D17E6"/>
    <w:pPr>
      <w:ind w:left="1780"/>
    </w:pPr>
  </w:style>
  <w:style w:type="paragraph" w:customStyle="1" w:styleId="ZTIRCZWSPLITzmczciwsplittiret">
    <w:name w:val="Z_TIR/CZ_WSP_LIT – zm. części wsp. lit. tiret"/>
    <w:basedOn w:val="ZTIRCZWSPPKTzmczciwsppkttiret"/>
    <w:next w:val="TIRtiret"/>
    <w:uiPriority w:val="59"/>
    <w:qFormat/>
    <w:rsid w:val="006D17E6"/>
  </w:style>
  <w:style w:type="paragraph" w:customStyle="1" w:styleId="ZTIRCZWSPLITwPKTzmczciwsplitwpkttiret">
    <w:name w:val="Z_TIR/CZ_WSP_LIT_w_PKT – zm. części wsp. lit. w pkt tiret"/>
    <w:basedOn w:val="CZWSPLITczwsplnaliter"/>
    <w:uiPriority w:val="59"/>
    <w:qFormat/>
    <w:rsid w:val="006D17E6"/>
    <w:pPr>
      <w:ind w:left="1860"/>
    </w:pPr>
  </w:style>
  <w:style w:type="paragraph" w:customStyle="1" w:styleId="ZTIRCZWSPTIRzmczciwsptirtiret">
    <w:name w:val="Z_TIR/CZ_WSP_TIR – zm. części wsp. tir. tiret"/>
    <w:basedOn w:val="ZTIRCZWSPPKTzmczciwsppkttiret"/>
    <w:next w:val="TIRtiret"/>
    <w:uiPriority w:val="60"/>
    <w:qFormat/>
    <w:rsid w:val="006D17E6"/>
  </w:style>
  <w:style w:type="paragraph" w:customStyle="1" w:styleId="ZTIRCZWSPTIRwLITzmczciwsptirwlittiret">
    <w:name w:val="Z_TIR/CZ_WSP_TIR_w_LIT – zm. części wsp. tir. w lit. tiret"/>
    <w:basedOn w:val="CZWSPTIRczwsplnatiret"/>
    <w:next w:val="TIRtiret"/>
    <w:uiPriority w:val="60"/>
    <w:qFormat/>
    <w:rsid w:val="006D17E6"/>
    <w:pPr>
      <w:ind w:left="1860"/>
    </w:pPr>
  </w:style>
  <w:style w:type="paragraph" w:customStyle="1" w:styleId="ZTIRTIRwLITzmtirwlittiret">
    <w:name w:val="Z_TIR/TIR_w_LIT – zm. tir. w lit. tiret"/>
    <w:basedOn w:val="TIRtiret"/>
    <w:uiPriority w:val="57"/>
    <w:qFormat/>
    <w:rsid w:val="006D17E6"/>
    <w:pPr>
      <w:ind w:left="2257"/>
    </w:pPr>
  </w:style>
  <w:style w:type="paragraph" w:customStyle="1" w:styleId="ZTIRTIRwPKTzmtirwpkttiret">
    <w:name w:val="Z_TIR/TIR_w_PKT – zm. tir. w pkt tiret"/>
    <w:basedOn w:val="ZTIRTIRwLITzmtirwlittiret"/>
    <w:uiPriority w:val="57"/>
    <w:qFormat/>
    <w:rsid w:val="006D17E6"/>
    <w:pPr>
      <w:ind w:left="2733"/>
    </w:pPr>
  </w:style>
  <w:style w:type="paragraph" w:customStyle="1" w:styleId="ZTIRCZWSPTIRwPKTzmczciwsptirtiret">
    <w:name w:val="Z_TIR/CZ_WSP_TIR_w_PKT – zm. części wsp. tir. tiret"/>
    <w:basedOn w:val="ZTIRTIRwPKTzmtirwpkttiret"/>
    <w:next w:val="TIRtiret"/>
    <w:uiPriority w:val="60"/>
    <w:qFormat/>
    <w:rsid w:val="006D17E6"/>
    <w:pPr>
      <w:ind w:left="2336" w:firstLine="0"/>
    </w:pPr>
  </w:style>
  <w:style w:type="paragraph" w:customStyle="1" w:styleId="ZTIRDZOZNzmozndziautiret">
    <w:name w:val="Z_TIR/DZ_OZN – zm. ozn. działu tiret"/>
    <w:basedOn w:val="ZLITTYTDZOZNzmozntytuudziauliter"/>
    <w:next w:val="Normalny"/>
    <w:uiPriority w:val="54"/>
    <w:qFormat/>
    <w:rsid w:val="006D17E6"/>
    <w:pPr>
      <w:ind w:left="1383"/>
    </w:pPr>
  </w:style>
  <w:style w:type="paragraph" w:customStyle="1" w:styleId="ZTIRDZPRZEDMzmprzedmdziautiret">
    <w:name w:val="Z_TIR/DZ_PRZEDM – zm. przedm. działu tiret"/>
    <w:basedOn w:val="ZLITTYTDZPRZEDMzmprzedmtytuudziauliter"/>
    <w:uiPriority w:val="54"/>
    <w:qFormat/>
    <w:rsid w:val="006D17E6"/>
    <w:pPr>
      <w:ind w:left="1383"/>
    </w:pPr>
  </w:style>
  <w:style w:type="paragraph" w:customStyle="1" w:styleId="ZTIRLITzmlittiret">
    <w:name w:val="Z_TIR/LIT – zm. lit. tiret"/>
    <w:basedOn w:val="LITlitera"/>
    <w:uiPriority w:val="57"/>
    <w:qFormat/>
    <w:rsid w:val="006D17E6"/>
    <w:pPr>
      <w:ind w:left="1859"/>
    </w:pPr>
  </w:style>
  <w:style w:type="paragraph" w:customStyle="1" w:styleId="ZTIRLITwPKTzmlitwpkttiret">
    <w:name w:val="Z_TIR/LIT_w_PKT – zm. lit. w pkt tiret"/>
    <w:basedOn w:val="LITlitera"/>
    <w:uiPriority w:val="57"/>
    <w:qFormat/>
    <w:rsid w:val="006D17E6"/>
    <w:pPr>
      <w:ind w:left="2336"/>
    </w:pPr>
  </w:style>
  <w:style w:type="paragraph" w:customStyle="1" w:styleId="ZTIRSKARNzmsankcjikarnejtiret">
    <w:name w:val="Z_TIR/S_KARN – zm. sankcji karnej tiret"/>
    <w:basedOn w:val="ZLITSKARNzmsankcjikarnejliter"/>
    <w:next w:val="ZTIRARTzmarttiret"/>
    <w:uiPriority w:val="61"/>
    <w:qFormat/>
    <w:rsid w:val="006D17E6"/>
    <w:pPr>
      <w:ind w:left="1894"/>
    </w:pPr>
  </w:style>
  <w:style w:type="paragraph" w:customStyle="1" w:styleId="ZTIRTIRzmtirtiret">
    <w:name w:val="Z_TIR/TIR – zm. tir. tiret"/>
    <w:basedOn w:val="TIRtiret"/>
    <w:uiPriority w:val="57"/>
    <w:qFormat/>
    <w:rsid w:val="006D17E6"/>
    <w:pPr>
      <w:ind w:left="1780"/>
    </w:pPr>
  </w:style>
  <w:style w:type="paragraph" w:customStyle="1" w:styleId="ZTIRUSTzmusttiret">
    <w:name w:val="Z_TIR/UST(§) – zm. ust. (§) tiret"/>
    <w:basedOn w:val="ZTIRARTzmarttiret"/>
    <w:uiPriority w:val="55"/>
    <w:qFormat/>
    <w:rsid w:val="006D17E6"/>
  </w:style>
  <w:style w:type="paragraph" w:customStyle="1" w:styleId="ZDANIENASTNOWYWIERSZnpzddrugienowywierszwust">
    <w:name w:val="ZDANIE_NAST_NOWY_WIERSZ – np. zd. drugie (nowy wiersz) w ust."/>
    <w:basedOn w:val="CZWSPPKTczwsplnapunktw"/>
    <w:next w:val="USTustnpkodeksu"/>
    <w:uiPriority w:val="17"/>
    <w:qFormat/>
    <w:rsid w:val="006D17E6"/>
  </w:style>
  <w:style w:type="paragraph" w:customStyle="1" w:styleId="ZZPKTzmianazmpkt">
    <w:name w:val="ZZ/PKT – zmiana zm. pkt"/>
    <w:basedOn w:val="ZPKTzmpktartykuempunktem"/>
    <w:uiPriority w:val="66"/>
    <w:qFormat/>
    <w:rsid w:val="006D17E6"/>
    <w:pPr>
      <w:ind w:left="2404"/>
    </w:pPr>
  </w:style>
  <w:style w:type="paragraph" w:customStyle="1" w:styleId="ZZLITzmianazmlit">
    <w:name w:val="ZZ/LIT – zmiana zm. lit."/>
    <w:basedOn w:val="ZZPKTzmianazmpkt"/>
    <w:uiPriority w:val="67"/>
    <w:qFormat/>
    <w:rsid w:val="006D17E6"/>
    <w:pPr>
      <w:ind w:left="2370" w:hanging="476"/>
    </w:pPr>
  </w:style>
  <w:style w:type="paragraph" w:customStyle="1" w:styleId="ZZTIRzmianazmtir">
    <w:name w:val="ZZ/TIR – zmiana zm. tir."/>
    <w:basedOn w:val="ZZLITzmianazmlit"/>
    <w:uiPriority w:val="67"/>
    <w:qFormat/>
    <w:rsid w:val="006D17E6"/>
    <w:pPr>
      <w:ind w:left="2291" w:hanging="397"/>
    </w:pPr>
  </w:style>
  <w:style w:type="paragraph" w:customStyle="1" w:styleId="ZZCZWSP2TIRzmianazmczciwsppodwtir">
    <w:name w:val="ZZ/CZ_WSP_2TIR – zmiana zm. części wsp. podw. tir."/>
    <w:basedOn w:val="ZZTIRzmianazmtir"/>
    <w:next w:val="Normalny"/>
    <w:uiPriority w:val="94"/>
    <w:qFormat/>
    <w:rsid w:val="006D17E6"/>
    <w:pPr>
      <w:ind w:left="1894" w:firstLine="0"/>
    </w:pPr>
  </w:style>
  <w:style w:type="paragraph" w:customStyle="1" w:styleId="ZZ2TIRzmianazmpodwtir">
    <w:name w:val="ZZ/2TIR – zmiana zm. podw. tir."/>
    <w:basedOn w:val="ZZCZWSP2TIRzmianazmczciwsppodwtir"/>
    <w:uiPriority w:val="93"/>
    <w:qFormat/>
    <w:rsid w:val="006D17E6"/>
    <w:pPr>
      <w:ind w:left="2291" w:hanging="397"/>
    </w:pPr>
  </w:style>
  <w:style w:type="paragraph" w:customStyle="1" w:styleId="ZZ2TIRwTIRzmianazmpodwtirwtir">
    <w:name w:val="ZZ/2TIR_w_TIR – zmiana zm. podw. tir. w tir."/>
    <w:basedOn w:val="ZZCZWSP2TIRzmianazmczciwsppodwtir"/>
    <w:uiPriority w:val="93"/>
    <w:qFormat/>
    <w:rsid w:val="006D17E6"/>
    <w:pPr>
      <w:ind w:left="2688" w:hanging="397"/>
    </w:pPr>
  </w:style>
  <w:style w:type="paragraph" w:customStyle="1" w:styleId="ZZ2TIRwLITzmianazmpodwtirwlit">
    <w:name w:val="ZZ/2TIR_w_LIT – zmiana zm. podw. tir. w lit."/>
    <w:basedOn w:val="ZZ2TIRwTIRzmianazmpodwtirwtir"/>
    <w:uiPriority w:val="94"/>
    <w:qFormat/>
    <w:rsid w:val="006D17E6"/>
    <w:pPr>
      <w:ind w:left="3164"/>
    </w:pPr>
  </w:style>
  <w:style w:type="paragraph" w:customStyle="1" w:styleId="ZZ2TIRwPKTzmianazmpodwtirwpkt">
    <w:name w:val="ZZ/2TIR_w_PKT – zmiana zm. podw. tir. w pkt"/>
    <w:basedOn w:val="ZZ2TIRwLITzmianazmpodwtirwlit"/>
    <w:uiPriority w:val="94"/>
    <w:qFormat/>
    <w:rsid w:val="006D17E6"/>
    <w:pPr>
      <w:ind w:left="3674"/>
    </w:pPr>
  </w:style>
  <w:style w:type="paragraph" w:customStyle="1" w:styleId="ZZARTzmianazmart">
    <w:name w:val="ZZ/ART(§) – zmiana zm. art. (§)"/>
    <w:basedOn w:val="ZARTzmartartykuempunktem"/>
    <w:uiPriority w:val="65"/>
    <w:qFormat/>
    <w:rsid w:val="006D17E6"/>
    <w:pPr>
      <w:ind w:left="1894"/>
    </w:pPr>
  </w:style>
  <w:style w:type="paragraph" w:customStyle="1" w:styleId="ZZCZWSPPKTzmianazmczciwsppkt">
    <w:name w:val="ZZ/CZ_WSP_PKT – zmiana. zm. części wsp. pkt"/>
    <w:basedOn w:val="ZZARTzmianazmart"/>
    <w:next w:val="ZPKTzmpktartykuempunktem"/>
    <w:uiPriority w:val="68"/>
    <w:qFormat/>
    <w:rsid w:val="006D17E6"/>
    <w:pPr>
      <w:ind w:firstLine="0"/>
    </w:pPr>
  </w:style>
  <w:style w:type="paragraph" w:customStyle="1" w:styleId="ZZFRAGzmianazmfragmentunpzdania">
    <w:name w:val="ZZ/FRAG – zmiana zm. fragmentu (np. zdania)"/>
    <w:basedOn w:val="ZZCZWSPPKTzmianazmczciwsppkt"/>
    <w:uiPriority w:val="70"/>
    <w:qFormat/>
    <w:rsid w:val="006D17E6"/>
  </w:style>
  <w:style w:type="paragraph" w:customStyle="1" w:styleId="ZZCYTzmianazmcytatunpprzysigi">
    <w:name w:val="ZZ/CYT – zmiana zm. cytatu np. przysięgi"/>
    <w:basedOn w:val="ZZFRAGzmianazmfragmentunpzdania"/>
    <w:next w:val="Normalny"/>
    <w:uiPriority w:val="71"/>
    <w:qFormat/>
    <w:rsid w:val="006D17E6"/>
    <w:pPr>
      <w:ind w:left="2404"/>
    </w:pPr>
  </w:style>
  <w:style w:type="paragraph" w:customStyle="1" w:styleId="ZZCZWSP2TIRwLITzmianazmczciwsppodwtirwlit">
    <w:name w:val="ZZ/CZ_WSP_2TIR_w_LIT – zmiana zm. części wsp. podw. tir. w lit."/>
    <w:basedOn w:val="ZZ2TIRwLITzmianazmpodwtirwlit"/>
    <w:uiPriority w:val="95"/>
    <w:qFormat/>
    <w:rsid w:val="006D17E6"/>
    <w:pPr>
      <w:ind w:left="2767"/>
    </w:pPr>
  </w:style>
  <w:style w:type="paragraph" w:customStyle="1" w:styleId="ZZCZWSP2TIRwPKTzmianazmczciwsppodwtirwpkt">
    <w:name w:val="ZZ/CZ_WSP_2TIR_w_PKT – zmiana zm. części wsp. podw. tir. w pkt"/>
    <w:basedOn w:val="ZZ2TIRwLITzmianazmpodwtirwlit"/>
    <w:uiPriority w:val="95"/>
    <w:qFormat/>
    <w:rsid w:val="006D17E6"/>
    <w:pPr>
      <w:ind w:left="3277" w:firstLine="0"/>
    </w:pPr>
  </w:style>
  <w:style w:type="paragraph" w:customStyle="1" w:styleId="ZZCZWSP2TIRwTIRzmianazmczciwsppodwtirwtir">
    <w:name w:val="ZZ/CZ_WSP_2TIR_w_TIR – zmiana zm. części wsp. podw. tir. w tir."/>
    <w:basedOn w:val="ZZ2TIRwLITzmianazmpodwtirwlit"/>
    <w:uiPriority w:val="94"/>
    <w:qFormat/>
    <w:rsid w:val="006D17E6"/>
    <w:pPr>
      <w:ind w:left="2291" w:firstLine="0"/>
    </w:pPr>
  </w:style>
  <w:style w:type="paragraph" w:customStyle="1" w:styleId="ZZCZWSPLITzmianazmczciwsplit">
    <w:name w:val="ZZ/CZ_WSP_LIT – zmiana. zm. części wsp. lit."/>
    <w:basedOn w:val="ZZCZWSPPKTzmianazmczciwsppkt"/>
    <w:uiPriority w:val="69"/>
    <w:qFormat/>
    <w:rsid w:val="006D17E6"/>
  </w:style>
  <w:style w:type="paragraph" w:customStyle="1" w:styleId="ZZLITwPKTzmianazmlitwpkt">
    <w:name w:val="ZZ/LIT_w_PKT – zmiana zm. lit. w pkt"/>
    <w:basedOn w:val="ZLITwPKTzmlitwpktartykuempunktem"/>
    <w:uiPriority w:val="67"/>
    <w:qFormat/>
    <w:rsid w:val="006D17E6"/>
    <w:pPr>
      <w:ind w:left="2880"/>
    </w:pPr>
  </w:style>
  <w:style w:type="paragraph" w:customStyle="1" w:styleId="ZZCZWSPLITwPKTzmianazmczciwsplitwpkt">
    <w:name w:val="ZZ/CZ_WSP_LIT_w_PKT – zmiana zm. części wsp. lit. w pkt"/>
    <w:basedOn w:val="ZZLITwPKTzmianazmlitwpkt"/>
    <w:uiPriority w:val="69"/>
    <w:qFormat/>
    <w:rsid w:val="006D17E6"/>
    <w:pPr>
      <w:ind w:left="2404" w:firstLine="0"/>
    </w:pPr>
  </w:style>
  <w:style w:type="paragraph" w:customStyle="1" w:styleId="ZZCZWSPTIRzmianazmczciwsptir">
    <w:name w:val="ZZ/CZ_WSP_TIR – zmiana. zm. części wsp. tir."/>
    <w:basedOn w:val="ZZCZWSPPKTzmianazmczciwsppkt"/>
    <w:uiPriority w:val="69"/>
    <w:qFormat/>
    <w:rsid w:val="006D17E6"/>
  </w:style>
  <w:style w:type="paragraph" w:customStyle="1" w:styleId="ZZTIRwLITzmianazmtirwlit">
    <w:name w:val="ZZ/TIR_w_LIT – zmiana zm. tir. w lit."/>
    <w:basedOn w:val="ZZTIRzmianazmtir"/>
    <w:uiPriority w:val="67"/>
    <w:qFormat/>
    <w:rsid w:val="006D17E6"/>
    <w:pPr>
      <w:ind w:left="2767"/>
    </w:pPr>
  </w:style>
  <w:style w:type="paragraph" w:customStyle="1" w:styleId="ZZCZWSPTIRwLITzmianazmczciwsptirwlit">
    <w:name w:val="ZZ/CZ_WSP_TIR_w_LIT – zmiana zm. części wsp. tir. w lit."/>
    <w:basedOn w:val="ZZTIRwLITzmianazmtirwlit"/>
    <w:uiPriority w:val="70"/>
    <w:qFormat/>
    <w:rsid w:val="006D17E6"/>
    <w:pPr>
      <w:ind w:left="2370" w:firstLine="0"/>
    </w:pPr>
  </w:style>
  <w:style w:type="paragraph" w:customStyle="1" w:styleId="ZZTIRwPKTzmianazmtirwpkt">
    <w:name w:val="ZZ/TIR_w_PKT – zmiana zm. tir. w pkt"/>
    <w:basedOn w:val="ZTIRwPKTzmtirwpktartykuempunktem"/>
    <w:uiPriority w:val="67"/>
    <w:qFormat/>
    <w:rsid w:val="006D17E6"/>
    <w:pPr>
      <w:ind w:left="3277"/>
    </w:pPr>
  </w:style>
  <w:style w:type="paragraph" w:customStyle="1" w:styleId="ZZCZWSPTIRwPKTzmianazmczciwsptirwpkt">
    <w:name w:val="ZZ/CZ_WSP_TIR_w_PKT – zmiana zm. części wsp. tir. w pkt"/>
    <w:basedOn w:val="ZZTIRwPKTzmianazmtirwpkt"/>
    <w:uiPriority w:val="70"/>
    <w:qFormat/>
    <w:rsid w:val="006D17E6"/>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D17E6"/>
    <w:pPr>
      <w:spacing w:before="0"/>
      <w:ind w:left="1894"/>
    </w:pPr>
  </w:style>
  <w:style w:type="paragraph" w:customStyle="1" w:styleId="ZZLEGWMATFIZCHEMzmlegendywzorumatfizlubchem">
    <w:name w:val="ZZ/LEG_W_MAT(FIZ|CHEM) – zm. legendy wzoru mat. (fiz. lub chem.)"/>
    <w:basedOn w:val="ZLEGWMATFIZCHEMzmlegendywzorumatfizlubchemartykuempunktem"/>
    <w:uiPriority w:val="72"/>
    <w:qFormat/>
    <w:rsid w:val="006D17E6"/>
    <w:pPr>
      <w:ind w:left="3198"/>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6D17E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D17E6"/>
    <w:pPr>
      <w:ind w:left="1894"/>
    </w:pPr>
  </w:style>
  <w:style w:type="paragraph" w:customStyle="1" w:styleId="ZZSKARNzmianazmsankcjikarnej">
    <w:name w:val="ZZ/S_KARN – zmiana zm. sankcji karnej"/>
    <w:basedOn w:val="ZZFRAGzmianazmfragmentunpzdania"/>
    <w:uiPriority w:val="71"/>
    <w:qFormat/>
    <w:rsid w:val="006D17E6"/>
    <w:pPr>
      <w:ind w:left="240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D17E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D17E6"/>
    <w:pPr>
      <w:ind w:left="1894"/>
    </w:pPr>
  </w:style>
  <w:style w:type="paragraph" w:customStyle="1" w:styleId="ZZUSTzmianazmust">
    <w:name w:val="ZZ/UST(§) – zmiana zm. ust. (§)"/>
    <w:basedOn w:val="ZZARTzmianazmart"/>
    <w:uiPriority w:val="65"/>
    <w:qFormat/>
    <w:rsid w:val="006D17E6"/>
  </w:style>
  <w:style w:type="paragraph" w:customStyle="1" w:styleId="ZZWMATFIZCHEMzmwzorumatfizlubchem">
    <w:name w:val="ZZ/W_MAT(FIZ|CHEM) – zm. wzoru mat. (fiz. lub chem.)"/>
    <w:basedOn w:val="ZWMATFIZCHEMzmwzorumatfizlubchemartykuempunktem"/>
    <w:uiPriority w:val="71"/>
    <w:qFormat/>
    <w:rsid w:val="006D17E6"/>
    <w:pPr>
      <w:ind w:left="2404"/>
    </w:pPr>
  </w:style>
  <w:style w:type="paragraph" w:styleId="NormalnyWeb">
    <w:name w:val="Normal (Web)"/>
    <w:basedOn w:val="Normalny"/>
    <w:uiPriority w:val="99"/>
    <w:semiHidden/>
    <w:unhideWhenUsed/>
    <w:rsid w:val="00F64AE5"/>
    <w:pPr>
      <w:widowControl/>
      <w:autoSpaceDE/>
      <w:autoSpaceDN/>
      <w:adjustRightInd/>
      <w:spacing w:before="100" w:beforeAutospacing="1" w:after="100" w:afterAutospacing="1" w:line="240" w:lineRule="auto"/>
    </w:pPr>
    <w:rPr>
      <w:rFonts w:cs="Times New Roman"/>
      <w:szCs w:val="24"/>
    </w:rPr>
  </w:style>
  <w:style w:type="paragraph" w:styleId="Tekstprzypisudolnego">
    <w:name w:val="footnote text"/>
    <w:basedOn w:val="Normalny"/>
    <w:link w:val="TekstprzypisudolnegoZnak"/>
    <w:uiPriority w:val="99"/>
    <w:unhideWhenUsed/>
    <w:rsid w:val="00E76EA9"/>
    <w:pPr>
      <w:widowControl/>
      <w:autoSpaceDE/>
      <w:autoSpaceDN/>
      <w:adjustRightInd/>
      <w:spacing w:before="60" w:after="60" w:line="240" w:lineRule="auto"/>
      <w:jc w:val="both"/>
    </w:pPr>
    <w:rPr>
      <w:rFonts w:eastAsia="Times New Roman" w:cs="Times New Roman"/>
      <w:sz w:val="20"/>
    </w:rPr>
  </w:style>
  <w:style w:type="character" w:customStyle="1" w:styleId="TekstprzypisudolnegoZnak">
    <w:name w:val="Tekst przypisu dolnego Znak"/>
    <w:basedOn w:val="Domylnaczcionkaakapitu"/>
    <w:link w:val="Tekstprzypisudolnego"/>
    <w:uiPriority w:val="99"/>
    <w:rsid w:val="00E76EA9"/>
    <w:rPr>
      <w:rFonts w:ascii="Times New Roman" w:eastAsia="Times New Roman" w:hAnsi="Times New Roman"/>
      <w:sz w:val="20"/>
      <w:szCs w:val="20"/>
    </w:rPr>
  </w:style>
  <w:style w:type="character" w:customStyle="1" w:styleId="USTustnpkodeksuZnak">
    <w:name w:val="UST(§) – ust. (§ np. kodeksu) Znak"/>
    <w:link w:val="USTustnpkodeksu"/>
    <w:uiPriority w:val="12"/>
    <w:locked/>
    <w:rsid w:val="00E76EA9"/>
    <w:rPr>
      <w:rFonts w:ascii="Times" w:eastAsiaTheme="minorEastAsia" w:hAnsi="Times" w:cs="Arial"/>
      <w:bCs/>
      <w:sz w:val="24"/>
      <w:szCs w:val="20"/>
    </w:rPr>
  </w:style>
  <w:style w:type="character" w:customStyle="1" w:styleId="apple-converted-space">
    <w:name w:val="apple-converted-space"/>
    <w:basedOn w:val="Domylnaczcionkaakapitu"/>
    <w:rsid w:val="00E76EA9"/>
  </w:style>
  <w:style w:type="character" w:styleId="Uwydatnienie">
    <w:name w:val="Emphasis"/>
    <w:basedOn w:val="Domylnaczcionkaakapitu"/>
    <w:uiPriority w:val="20"/>
    <w:qFormat/>
    <w:locked/>
    <w:rsid w:val="00E76EA9"/>
    <w:rPr>
      <w:i/>
      <w:iCs/>
    </w:rPr>
  </w:style>
  <w:style w:type="character" w:customStyle="1" w:styleId="Teksttreci">
    <w:name w:val="Tekst treści_"/>
    <w:basedOn w:val="Domylnaczcionkaakapitu"/>
    <w:link w:val="Teksttreci1"/>
    <w:uiPriority w:val="99"/>
    <w:rsid w:val="00E76EA9"/>
    <w:rPr>
      <w:rFonts w:ascii="Times New Roman" w:hAnsi="Times New Roman"/>
      <w:shd w:val="clear" w:color="auto" w:fill="FFFFFF"/>
    </w:rPr>
  </w:style>
  <w:style w:type="paragraph" w:customStyle="1" w:styleId="Teksttreci1">
    <w:name w:val="Tekst treści1"/>
    <w:basedOn w:val="Normalny"/>
    <w:link w:val="Teksttreci"/>
    <w:uiPriority w:val="99"/>
    <w:rsid w:val="00E76EA9"/>
    <w:pPr>
      <w:shd w:val="clear" w:color="auto" w:fill="FFFFFF"/>
      <w:autoSpaceDE/>
      <w:autoSpaceDN/>
      <w:adjustRightInd/>
      <w:spacing w:before="480" w:line="240" w:lineRule="atLeast"/>
      <w:jc w:val="right"/>
    </w:pPr>
    <w:rPr>
      <w:rFonts w:eastAsia="Calibri" w:cs="Times New Roman"/>
      <w:sz w:val="22"/>
      <w:szCs w:val="22"/>
    </w:rPr>
  </w:style>
  <w:style w:type="paragraph" w:styleId="HTML-wstpniesformatowany">
    <w:name w:val="HTML Preformatted"/>
    <w:basedOn w:val="Normalny"/>
    <w:link w:val="HTML-wstpniesformatowanyZnak"/>
    <w:uiPriority w:val="99"/>
    <w:unhideWhenUsed/>
    <w:rsid w:val="00E76E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urier New" w:eastAsia="Times New Roman" w:hAnsi="Courier New" w:cs="Courier New"/>
      <w:sz w:val="20"/>
    </w:rPr>
  </w:style>
  <w:style w:type="character" w:customStyle="1" w:styleId="HTML-wstpniesformatowanyZnak">
    <w:name w:val="HTML - wstępnie sformatowany Znak"/>
    <w:basedOn w:val="Domylnaczcionkaakapitu"/>
    <w:link w:val="HTML-wstpniesformatowany"/>
    <w:uiPriority w:val="99"/>
    <w:rsid w:val="00E76EA9"/>
    <w:rPr>
      <w:rFonts w:ascii="Courier New" w:eastAsia="Times New Roman" w:hAnsi="Courier New" w:cs="Courier New"/>
      <w:sz w:val="20"/>
      <w:szCs w:val="20"/>
    </w:rPr>
  </w:style>
  <w:style w:type="paragraph" w:styleId="Poprawka">
    <w:name w:val="Revision"/>
    <w:hidden/>
    <w:uiPriority w:val="99"/>
    <w:semiHidden/>
    <w:rsid w:val="006D10FE"/>
    <w:rPr>
      <w:rFonts w:ascii="Times New Roman" w:eastAsiaTheme="minorEastAsia" w:hAnsi="Times New Roman" w:cs="Arial"/>
      <w:sz w:val="24"/>
      <w:szCs w:val="20"/>
    </w:rPr>
  </w:style>
  <w:style w:type="character" w:customStyle="1" w:styleId="Nagwek3Znak">
    <w:name w:val="Nagłówek 3 Znak"/>
    <w:basedOn w:val="Domylnaczcionkaakapitu"/>
    <w:link w:val="Nagwek3"/>
    <w:semiHidden/>
    <w:rsid w:val="000A1838"/>
    <w:rPr>
      <w:rFonts w:asciiTheme="majorHAnsi" w:eastAsiaTheme="majorEastAsia" w:hAnsiTheme="majorHAnsi" w:cstheme="majorBidi"/>
      <w:color w:val="243F60" w:themeColor="accent1" w:themeShade="7F"/>
      <w:sz w:val="24"/>
      <w:szCs w:val="24"/>
    </w:rPr>
  </w:style>
  <w:style w:type="paragraph" w:customStyle="1" w:styleId="Akapitzlist1">
    <w:name w:val="Akapit z listą1"/>
    <w:basedOn w:val="Normalny"/>
    <w:rsid w:val="00F70284"/>
    <w:pPr>
      <w:widowControl/>
      <w:autoSpaceDE/>
      <w:autoSpaceDN/>
      <w:adjustRightInd/>
      <w:spacing w:line="240" w:lineRule="auto"/>
      <w:ind w:left="720"/>
      <w:contextualSpacing/>
    </w:pPr>
    <w:rPr>
      <w:rFonts w:eastAsia="Calibri" w:cs="Times New Roman"/>
      <w:szCs w:val="24"/>
    </w:rPr>
  </w:style>
  <w:style w:type="paragraph" w:customStyle="1" w:styleId="Default">
    <w:name w:val="Default"/>
    <w:rsid w:val="0012494B"/>
    <w:pPr>
      <w:autoSpaceDE w:val="0"/>
      <w:autoSpaceDN w:val="0"/>
      <w:adjustRightInd w:val="0"/>
    </w:pPr>
    <w:rPr>
      <w:rFonts w:ascii="Times New Roman" w:hAnsi="Times New Roman"/>
      <w:color w:val="000000"/>
      <w:sz w:val="24"/>
      <w:szCs w:val="24"/>
    </w:rPr>
  </w:style>
  <w:style w:type="paragraph" w:styleId="Tekstprzypisukocowego">
    <w:name w:val="endnote text"/>
    <w:basedOn w:val="Normalny"/>
    <w:link w:val="TekstprzypisukocowegoZnak"/>
    <w:uiPriority w:val="99"/>
    <w:semiHidden/>
    <w:unhideWhenUsed/>
    <w:rsid w:val="00E929C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E929C1"/>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E929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1444">
      <w:bodyDiv w:val="1"/>
      <w:marLeft w:val="0"/>
      <w:marRight w:val="0"/>
      <w:marTop w:val="0"/>
      <w:marBottom w:val="0"/>
      <w:divBdr>
        <w:top w:val="none" w:sz="0" w:space="0" w:color="auto"/>
        <w:left w:val="none" w:sz="0" w:space="0" w:color="auto"/>
        <w:bottom w:val="none" w:sz="0" w:space="0" w:color="auto"/>
        <w:right w:val="none" w:sz="0" w:space="0" w:color="auto"/>
      </w:divBdr>
    </w:div>
    <w:div w:id="74981353">
      <w:bodyDiv w:val="1"/>
      <w:marLeft w:val="0"/>
      <w:marRight w:val="0"/>
      <w:marTop w:val="0"/>
      <w:marBottom w:val="0"/>
      <w:divBdr>
        <w:top w:val="none" w:sz="0" w:space="0" w:color="auto"/>
        <w:left w:val="none" w:sz="0" w:space="0" w:color="auto"/>
        <w:bottom w:val="none" w:sz="0" w:space="0" w:color="auto"/>
        <w:right w:val="none" w:sz="0" w:space="0" w:color="auto"/>
      </w:divBdr>
    </w:div>
    <w:div w:id="95641223">
      <w:bodyDiv w:val="1"/>
      <w:marLeft w:val="0"/>
      <w:marRight w:val="0"/>
      <w:marTop w:val="0"/>
      <w:marBottom w:val="0"/>
      <w:divBdr>
        <w:top w:val="none" w:sz="0" w:space="0" w:color="auto"/>
        <w:left w:val="none" w:sz="0" w:space="0" w:color="auto"/>
        <w:bottom w:val="none" w:sz="0" w:space="0" w:color="auto"/>
        <w:right w:val="none" w:sz="0" w:space="0" w:color="auto"/>
      </w:divBdr>
    </w:div>
    <w:div w:id="265309128">
      <w:bodyDiv w:val="1"/>
      <w:marLeft w:val="0"/>
      <w:marRight w:val="0"/>
      <w:marTop w:val="0"/>
      <w:marBottom w:val="0"/>
      <w:divBdr>
        <w:top w:val="none" w:sz="0" w:space="0" w:color="auto"/>
        <w:left w:val="none" w:sz="0" w:space="0" w:color="auto"/>
        <w:bottom w:val="none" w:sz="0" w:space="0" w:color="auto"/>
        <w:right w:val="none" w:sz="0" w:space="0" w:color="auto"/>
      </w:divBdr>
    </w:div>
    <w:div w:id="278416838">
      <w:bodyDiv w:val="1"/>
      <w:marLeft w:val="0"/>
      <w:marRight w:val="0"/>
      <w:marTop w:val="0"/>
      <w:marBottom w:val="0"/>
      <w:divBdr>
        <w:top w:val="none" w:sz="0" w:space="0" w:color="auto"/>
        <w:left w:val="none" w:sz="0" w:space="0" w:color="auto"/>
        <w:bottom w:val="none" w:sz="0" w:space="0" w:color="auto"/>
        <w:right w:val="none" w:sz="0" w:space="0" w:color="auto"/>
      </w:divBdr>
    </w:div>
    <w:div w:id="302077918">
      <w:bodyDiv w:val="1"/>
      <w:marLeft w:val="0"/>
      <w:marRight w:val="0"/>
      <w:marTop w:val="0"/>
      <w:marBottom w:val="0"/>
      <w:divBdr>
        <w:top w:val="none" w:sz="0" w:space="0" w:color="auto"/>
        <w:left w:val="none" w:sz="0" w:space="0" w:color="auto"/>
        <w:bottom w:val="none" w:sz="0" w:space="0" w:color="auto"/>
        <w:right w:val="none" w:sz="0" w:space="0" w:color="auto"/>
      </w:divBdr>
    </w:div>
    <w:div w:id="598411686">
      <w:bodyDiv w:val="1"/>
      <w:marLeft w:val="0"/>
      <w:marRight w:val="0"/>
      <w:marTop w:val="0"/>
      <w:marBottom w:val="0"/>
      <w:divBdr>
        <w:top w:val="none" w:sz="0" w:space="0" w:color="auto"/>
        <w:left w:val="none" w:sz="0" w:space="0" w:color="auto"/>
        <w:bottom w:val="none" w:sz="0" w:space="0" w:color="auto"/>
        <w:right w:val="none" w:sz="0" w:space="0" w:color="auto"/>
      </w:divBdr>
    </w:div>
    <w:div w:id="618880172">
      <w:bodyDiv w:val="1"/>
      <w:marLeft w:val="0"/>
      <w:marRight w:val="0"/>
      <w:marTop w:val="0"/>
      <w:marBottom w:val="0"/>
      <w:divBdr>
        <w:top w:val="none" w:sz="0" w:space="0" w:color="auto"/>
        <w:left w:val="none" w:sz="0" w:space="0" w:color="auto"/>
        <w:bottom w:val="none" w:sz="0" w:space="0" w:color="auto"/>
        <w:right w:val="none" w:sz="0" w:space="0" w:color="auto"/>
      </w:divBdr>
      <w:divsChild>
        <w:div w:id="1982074752">
          <w:marLeft w:val="0"/>
          <w:marRight w:val="0"/>
          <w:marTop w:val="0"/>
          <w:marBottom w:val="0"/>
          <w:divBdr>
            <w:top w:val="none" w:sz="0" w:space="0" w:color="auto"/>
            <w:left w:val="none" w:sz="0" w:space="0" w:color="auto"/>
            <w:bottom w:val="none" w:sz="0" w:space="0" w:color="auto"/>
            <w:right w:val="none" w:sz="0" w:space="0" w:color="auto"/>
          </w:divBdr>
          <w:divsChild>
            <w:div w:id="2515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999817">
      <w:bodyDiv w:val="1"/>
      <w:marLeft w:val="0"/>
      <w:marRight w:val="0"/>
      <w:marTop w:val="0"/>
      <w:marBottom w:val="0"/>
      <w:divBdr>
        <w:top w:val="none" w:sz="0" w:space="0" w:color="auto"/>
        <w:left w:val="none" w:sz="0" w:space="0" w:color="auto"/>
        <w:bottom w:val="none" w:sz="0" w:space="0" w:color="auto"/>
        <w:right w:val="none" w:sz="0" w:space="0" w:color="auto"/>
      </w:divBdr>
    </w:div>
    <w:div w:id="745109401">
      <w:bodyDiv w:val="1"/>
      <w:marLeft w:val="0"/>
      <w:marRight w:val="0"/>
      <w:marTop w:val="0"/>
      <w:marBottom w:val="0"/>
      <w:divBdr>
        <w:top w:val="none" w:sz="0" w:space="0" w:color="auto"/>
        <w:left w:val="none" w:sz="0" w:space="0" w:color="auto"/>
        <w:bottom w:val="none" w:sz="0" w:space="0" w:color="auto"/>
        <w:right w:val="none" w:sz="0" w:space="0" w:color="auto"/>
      </w:divBdr>
    </w:div>
    <w:div w:id="774397460">
      <w:bodyDiv w:val="1"/>
      <w:marLeft w:val="0"/>
      <w:marRight w:val="0"/>
      <w:marTop w:val="0"/>
      <w:marBottom w:val="0"/>
      <w:divBdr>
        <w:top w:val="none" w:sz="0" w:space="0" w:color="auto"/>
        <w:left w:val="none" w:sz="0" w:space="0" w:color="auto"/>
        <w:bottom w:val="none" w:sz="0" w:space="0" w:color="auto"/>
        <w:right w:val="none" w:sz="0" w:space="0" w:color="auto"/>
      </w:divBdr>
      <w:divsChild>
        <w:div w:id="1978493317">
          <w:marLeft w:val="0"/>
          <w:marRight w:val="0"/>
          <w:marTop w:val="0"/>
          <w:marBottom w:val="0"/>
          <w:divBdr>
            <w:top w:val="none" w:sz="0" w:space="0" w:color="auto"/>
            <w:left w:val="none" w:sz="0" w:space="0" w:color="auto"/>
            <w:bottom w:val="none" w:sz="0" w:space="0" w:color="auto"/>
            <w:right w:val="none" w:sz="0" w:space="0" w:color="auto"/>
          </w:divBdr>
          <w:divsChild>
            <w:div w:id="145459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71253">
      <w:marLeft w:val="0"/>
      <w:marRight w:val="0"/>
      <w:marTop w:val="0"/>
      <w:marBottom w:val="0"/>
      <w:divBdr>
        <w:top w:val="none" w:sz="0" w:space="0" w:color="auto"/>
        <w:left w:val="none" w:sz="0" w:space="0" w:color="auto"/>
        <w:bottom w:val="none" w:sz="0" w:space="0" w:color="auto"/>
        <w:right w:val="none" w:sz="0" w:space="0" w:color="auto"/>
      </w:divBdr>
    </w:div>
    <w:div w:id="847671254">
      <w:marLeft w:val="0"/>
      <w:marRight w:val="0"/>
      <w:marTop w:val="0"/>
      <w:marBottom w:val="0"/>
      <w:divBdr>
        <w:top w:val="none" w:sz="0" w:space="0" w:color="auto"/>
        <w:left w:val="none" w:sz="0" w:space="0" w:color="auto"/>
        <w:bottom w:val="none" w:sz="0" w:space="0" w:color="auto"/>
        <w:right w:val="none" w:sz="0" w:space="0" w:color="auto"/>
      </w:divBdr>
    </w:div>
    <w:div w:id="861286709">
      <w:bodyDiv w:val="1"/>
      <w:marLeft w:val="0"/>
      <w:marRight w:val="0"/>
      <w:marTop w:val="0"/>
      <w:marBottom w:val="0"/>
      <w:divBdr>
        <w:top w:val="none" w:sz="0" w:space="0" w:color="auto"/>
        <w:left w:val="none" w:sz="0" w:space="0" w:color="auto"/>
        <w:bottom w:val="none" w:sz="0" w:space="0" w:color="auto"/>
        <w:right w:val="none" w:sz="0" w:space="0" w:color="auto"/>
      </w:divBdr>
    </w:div>
    <w:div w:id="865212874">
      <w:bodyDiv w:val="1"/>
      <w:marLeft w:val="0"/>
      <w:marRight w:val="0"/>
      <w:marTop w:val="0"/>
      <w:marBottom w:val="0"/>
      <w:divBdr>
        <w:top w:val="none" w:sz="0" w:space="0" w:color="auto"/>
        <w:left w:val="none" w:sz="0" w:space="0" w:color="auto"/>
        <w:bottom w:val="none" w:sz="0" w:space="0" w:color="auto"/>
        <w:right w:val="none" w:sz="0" w:space="0" w:color="auto"/>
      </w:divBdr>
    </w:div>
    <w:div w:id="904728506">
      <w:bodyDiv w:val="1"/>
      <w:marLeft w:val="0"/>
      <w:marRight w:val="0"/>
      <w:marTop w:val="0"/>
      <w:marBottom w:val="0"/>
      <w:divBdr>
        <w:top w:val="none" w:sz="0" w:space="0" w:color="auto"/>
        <w:left w:val="none" w:sz="0" w:space="0" w:color="auto"/>
        <w:bottom w:val="none" w:sz="0" w:space="0" w:color="auto"/>
        <w:right w:val="none" w:sz="0" w:space="0" w:color="auto"/>
      </w:divBdr>
    </w:div>
    <w:div w:id="1291473766">
      <w:bodyDiv w:val="1"/>
      <w:marLeft w:val="0"/>
      <w:marRight w:val="0"/>
      <w:marTop w:val="0"/>
      <w:marBottom w:val="0"/>
      <w:divBdr>
        <w:top w:val="none" w:sz="0" w:space="0" w:color="auto"/>
        <w:left w:val="none" w:sz="0" w:space="0" w:color="auto"/>
        <w:bottom w:val="none" w:sz="0" w:space="0" w:color="auto"/>
        <w:right w:val="none" w:sz="0" w:space="0" w:color="auto"/>
      </w:divBdr>
    </w:div>
    <w:div w:id="1348602383">
      <w:bodyDiv w:val="1"/>
      <w:marLeft w:val="0"/>
      <w:marRight w:val="0"/>
      <w:marTop w:val="0"/>
      <w:marBottom w:val="0"/>
      <w:divBdr>
        <w:top w:val="none" w:sz="0" w:space="0" w:color="auto"/>
        <w:left w:val="none" w:sz="0" w:space="0" w:color="auto"/>
        <w:bottom w:val="none" w:sz="0" w:space="0" w:color="auto"/>
        <w:right w:val="none" w:sz="0" w:space="0" w:color="auto"/>
      </w:divBdr>
    </w:div>
    <w:div w:id="1377851290">
      <w:bodyDiv w:val="1"/>
      <w:marLeft w:val="0"/>
      <w:marRight w:val="0"/>
      <w:marTop w:val="0"/>
      <w:marBottom w:val="0"/>
      <w:divBdr>
        <w:top w:val="none" w:sz="0" w:space="0" w:color="auto"/>
        <w:left w:val="none" w:sz="0" w:space="0" w:color="auto"/>
        <w:bottom w:val="none" w:sz="0" w:space="0" w:color="auto"/>
        <w:right w:val="none" w:sz="0" w:space="0" w:color="auto"/>
      </w:divBdr>
      <w:divsChild>
        <w:div w:id="972248466">
          <w:marLeft w:val="0"/>
          <w:marRight w:val="0"/>
          <w:marTop w:val="750"/>
          <w:marBottom w:val="300"/>
          <w:divBdr>
            <w:top w:val="none" w:sz="0" w:space="0" w:color="auto"/>
            <w:left w:val="none" w:sz="0" w:space="0" w:color="auto"/>
            <w:bottom w:val="none" w:sz="0" w:space="0" w:color="auto"/>
            <w:right w:val="none" w:sz="0" w:space="0" w:color="auto"/>
          </w:divBdr>
        </w:div>
      </w:divsChild>
    </w:div>
    <w:div w:id="1411736129">
      <w:bodyDiv w:val="1"/>
      <w:marLeft w:val="0"/>
      <w:marRight w:val="0"/>
      <w:marTop w:val="0"/>
      <w:marBottom w:val="0"/>
      <w:divBdr>
        <w:top w:val="none" w:sz="0" w:space="0" w:color="auto"/>
        <w:left w:val="none" w:sz="0" w:space="0" w:color="auto"/>
        <w:bottom w:val="none" w:sz="0" w:space="0" w:color="auto"/>
        <w:right w:val="none" w:sz="0" w:space="0" w:color="auto"/>
      </w:divBdr>
    </w:div>
    <w:div w:id="1468284339">
      <w:bodyDiv w:val="1"/>
      <w:marLeft w:val="0"/>
      <w:marRight w:val="0"/>
      <w:marTop w:val="0"/>
      <w:marBottom w:val="0"/>
      <w:divBdr>
        <w:top w:val="none" w:sz="0" w:space="0" w:color="auto"/>
        <w:left w:val="none" w:sz="0" w:space="0" w:color="auto"/>
        <w:bottom w:val="none" w:sz="0" w:space="0" w:color="auto"/>
        <w:right w:val="none" w:sz="0" w:space="0" w:color="auto"/>
      </w:divBdr>
    </w:div>
    <w:div w:id="1631592341">
      <w:bodyDiv w:val="1"/>
      <w:marLeft w:val="0"/>
      <w:marRight w:val="0"/>
      <w:marTop w:val="0"/>
      <w:marBottom w:val="0"/>
      <w:divBdr>
        <w:top w:val="none" w:sz="0" w:space="0" w:color="auto"/>
        <w:left w:val="none" w:sz="0" w:space="0" w:color="auto"/>
        <w:bottom w:val="none" w:sz="0" w:space="0" w:color="auto"/>
        <w:right w:val="none" w:sz="0" w:space="0" w:color="auto"/>
      </w:divBdr>
    </w:div>
    <w:div w:id="1797602180">
      <w:bodyDiv w:val="1"/>
      <w:marLeft w:val="0"/>
      <w:marRight w:val="0"/>
      <w:marTop w:val="0"/>
      <w:marBottom w:val="0"/>
      <w:divBdr>
        <w:top w:val="none" w:sz="0" w:space="0" w:color="auto"/>
        <w:left w:val="none" w:sz="0" w:space="0" w:color="auto"/>
        <w:bottom w:val="none" w:sz="0" w:space="0" w:color="auto"/>
        <w:right w:val="none" w:sz="0" w:space="0" w:color="auto"/>
      </w:divBdr>
    </w:div>
    <w:div w:id="1859661052">
      <w:bodyDiv w:val="1"/>
      <w:marLeft w:val="0"/>
      <w:marRight w:val="0"/>
      <w:marTop w:val="0"/>
      <w:marBottom w:val="0"/>
      <w:divBdr>
        <w:top w:val="none" w:sz="0" w:space="0" w:color="auto"/>
        <w:left w:val="none" w:sz="0" w:space="0" w:color="auto"/>
        <w:bottom w:val="none" w:sz="0" w:space="0" w:color="auto"/>
        <w:right w:val="none" w:sz="0" w:space="0" w:color="auto"/>
      </w:divBdr>
    </w:div>
    <w:div w:id="1877307139">
      <w:bodyDiv w:val="1"/>
      <w:marLeft w:val="0"/>
      <w:marRight w:val="0"/>
      <w:marTop w:val="0"/>
      <w:marBottom w:val="0"/>
      <w:divBdr>
        <w:top w:val="none" w:sz="0" w:space="0" w:color="auto"/>
        <w:left w:val="none" w:sz="0" w:space="0" w:color="auto"/>
        <w:bottom w:val="none" w:sz="0" w:space="0" w:color="auto"/>
        <w:right w:val="none" w:sz="0" w:space="0" w:color="auto"/>
      </w:divBdr>
    </w:div>
    <w:div w:id="1905288554">
      <w:bodyDiv w:val="1"/>
      <w:marLeft w:val="0"/>
      <w:marRight w:val="0"/>
      <w:marTop w:val="0"/>
      <w:marBottom w:val="0"/>
      <w:divBdr>
        <w:top w:val="none" w:sz="0" w:space="0" w:color="auto"/>
        <w:left w:val="none" w:sz="0" w:space="0" w:color="auto"/>
        <w:bottom w:val="none" w:sz="0" w:space="0" w:color="auto"/>
        <w:right w:val="none" w:sz="0" w:space="0" w:color="auto"/>
      </w:divBdr>
    </w:div>
    <w:div w:id="2068139157">
      <w:bodyDiv w:val="1"/>
      <w:marLeft w:val="0"/>
      <w:marRight w:val="0"/>
      <w:marTop w:val="0"/>
      <w:marBottom w:val="0"/>
      <w:divBdr>
        <w:top w:val="none" w:sz="0" w:space="0" w:color="auto"/>
        <w:left w:val="none" w:sz="0" w:space="0" w:color="auto"/>
        <w:bottom w:val="none" w:sz="0" w:space="0" w:color="auto"/>
        <w:right w:val="none" w:sz="0" w:space="0" w:color="auto"/>
      </w:divBdr>
      <w:divsChild>
        <w:div w:id="648558372">
          <w:marLeft w:val="0"/>
          <w:marRight w:val="0"/>
          <w:marTop w:val="0"/>
          <w:marBottom w:val="0"/>
          <w:divBdr>
            <w:top w:val="none" w:sz="0" w:space="0" w:color="auto"/>
            <w:left w:val="none" w:sz="0" w:space="0" w:color="auto"/>
            <w:bottom w:val="none" w:sz="0" w:space="0" w:color="auto"/>
            <w:right w:val="none" w:sz="0" w:space="0" w:color="auto"/>
          </w:divBdr>
          <w:divsChild>
            <w:div w:id="18466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564506">
      <w:bodyDiv w:val="1"/>
      <w:marLeft w:val="0"/>
      <w:marRight w:val="0"/>
      <w:marTop w:val="0"/>
      <w:marBottom w:val="0"/>
      <w:divBdr>
        <w:top w:val="none" w:sz="0" w:space="0" w:color="auto"/>
        <w:left w:val="none" w:sz="0" w:space="0" w:color="auto"/>
        <w:bottom w:val="none" w:sz="0" w:space="0" w:color="auto"/>
        <w:right w:val="none" w:sz="0" w:space="0" w:color="auto"/>
      </w:divBdr>
    </w:div>
    <w:div w:id="214712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3778D-CEC5-45A9-8612-18ECEC7C8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5206</Words>
  <Characters>31240</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Mieszalska Justyna</dc:creator>
  <cp:lastModifiedBy>Olszak Krzysztof</cp:lastModifiedBy>
  <cp:revision>10</cp:revision>
  <cp:lastPrinted>2026-09-24T07:05:00Z</cp:lastPrinted>
  <dcterms:created xsi:type="dcterms:W3CDTF">2026-09-28T13:24:00Z</dcterms:created>
  <dcterms:modified xsi:type="dcterms:W3CDTF">2026-09-29T09:23:00Z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UxC4dwLulzfINJ8nQH+xvX5LNGipWa4BRSZhPgxsCvlL1ZtPoScmh69C6dkcPoa7q6EAFjqtlzoQ87oCgqFkyw==</vt:lpwstr>
  </property>
  <property fmtid="{D5CDD505-2E9C-101B-9397-08002B2CF9AE}" pid="4" name="MFClassificationDate">
    <vt:lpwstr>2022-06-15T14:37:33.2868118+02:00</vt:lpwstr>
  </property>
  <property fmtid="{D5CDD505-2E9C-101B-9397-08002B2CF9AE}" pid="5" name="MFClassifiedBySID">
    <vt:lpwstr>UxC4dwLulzfINJ8nQH+xvX5LNGipWa4BRSZhPgxsCvm42mrIC/DSDv0ggS+FjUN/2v1BBotkLlY5aAiEhoi6uaXCxJIfC1uErQqZwBtR8hkeXFhSprCrfzQQDGp2MOof</vt:lpwstr>
  </property>
  <property fmtid="{D5CDD505-2E9C-101B-9397-08002B2CF9AE}" pid="6" name="MFGRNItemId">
    <vt:lpwstr>GRN-dffcc609-387b-45fd-8536-b4e5853cf231</vt:lpwstr>
  </property>
  <property fmtid="{D5CDD505-2E9C-101B-9397-08002B2CF9AE}" pid="7" name="MFHash">
    <vt:lpwstr>EBv4e//prmgKpZTFSY1HHq5HNBcgJXf7rTSgOS7/mZk=</vt:lpwstr>
  </property>
  <property fmtid="{D5CDD505-2E9C-101B-9397-08002B2CF9AE}" pid="8" name="MFVisualMarkingsSettings">
    <vt:lpwstr>HeaderAlignment=1;FooterAlignment=1</vt:lpwstr>
  </property>
  <property fmtid="{D5CDD505-2E9C-101B-9397-08002B2CF9AE}" pid="9" name="DLPManualFileClassification">
    <vt:lpwstr>{2755b7d9-e53d-4779-a40c-03797dcf43b3}</vt:lpwstr>
  </property>
  <property fmtid="{D5CDD505-2E9C-101B-9397-08002B2CF9AE}" pid="10" name="MFRefresh">
    <vt:lpwstr>False</vt:lpwstr>
  </property>
</Properties>
</file>