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E11E" w14:textId="1B5C13B4" w:rsidR="00663CF8" w:rsidRPr="00B6315A" w:rsidRDefault="00663CF8" w:rsidP="00B6315A">
      <w:pPr>
        <w:spacing w:after="240" w:line="360" w:lineRule="auto"/>
        <w:jc w:val="center"/>
        <w:rPr>
          <w:rFonts w:ascii="Times New Roman" w:hAnsi="Times New Roman" w:cs="Times New Roman"/>
          <w:caps/>
          <w:sz w:val="24"/>
          <w:szCs w:val="24"/>
        </w:rPr>
      </w:pPr>
      <w:r w:rsidRPr="00B6315A">
        <w:rPr>
          <w:rFonts w:ascii="Times New Roman" w:hAnsi="Times New Roman" w:cs="Times New Roman"/>
          <w:caps/>
          <w:szCs w:val="24"/>
        </w:rPr>
        <w:t>Uzasadnienie</w:t>
      </w:r>
    </w:p>
    <w:p w14:paraId="1A6FD998" w14:textId="4704448E" w:rsidR="00663CF8" w:rsidRPr="00663CF8" w:rsidRDefault="00663CF8" w:rsidP="00663CF8">
      <w:pPr>
        <w:pStyle w:val="NIEARTTEKSTtekstnieartykuowanynppodstprawnarozplubpreambua"/>
      </w:pPr>
      <w:r w:rsidRPr="00663CF8">
        <w:t>I. Regulacje dotyczące zasad zatrudniania i wynagradzania personelu medycznego</w:t>
      </w:r>
    </w:p>
    <w:p w14:paraId="4FFB64D3" w14:textId="641FD69E" w:rsidR="00663CF8" w:rsidRPr="00663CF8" w:rsidRDefault="00663CF8" w:rsidP="00663CF8">
      <w:pPr>
        <w:pStyle w:val="NIEARTTEKSTtekstnieartykuowanynppodstprawnarozplubpreambua"/>
      </w:pPr>
      <w:r w:rsidRPr="00663CF8">
        <w:t xml:space="preserve">Najistotniejszą zmianą o charakterze systemowym wprowadzaną w projektowanej ustawie jest uregulowanie zasad zatrudniania i wynagradzania osób wykonujących zawody medyczne, zwanych dalej „pracownikami medycznymi”, w zakresie, w jakim osoby te uczestniczą w udzielaniu świadczeń opieki zdrowotnej przez świadczeniodawców związanych umowami o udzielanie takich świadczeń z Narodowym Funduszem Zdrowia, zwanym dalej „NFZ”.  </w:t>
      </w:r>
    </w:p>
    <w:p w14:paraId="7A57CCDD" w14:textId="4BFCE689" w:rsidR="00663CF8" w:rsidRPr="00663CF8" w:rsidRDefault="00663CF8" w:rsidP="00663CF8">
      <w:pPr>
        <w:pStyle w:val="NIEARTTEKSTtekstnieartykuowanynppodstprawnarozplubpreambua"/>
      </w:pPr>
      <w:r w:rsidRPr="00663CF8">
        <w:t xml:space="preserve">Jednym z głównych problemów polskiego systemu opieki zdrowotnej i istotnym źródłem dysfunkcji tego systemu są ograniczone zasoby kadrowe. Zgodnie z najnowszym raportem Komisji Europejskiej </w:t>
      </w:r>
      <w:r w:rsidR="008C68DC">
        <w:t>„</w:t>
      </w:r>
      <w:r w:rsidRPr="00663CF8">
        <w:t xml:space="preserve">State of Health in the EU </w:t>
      </w:r>
      <w:r w:rsidR="008C68DC">
        <w:t>–</w:t>
      </w:r>
      <w:r w:rsidRPr="00663CF8">
        <w:t xml:space="preserve"> Poland </w:t>
      </w:r>
      <w:r w:rsidR="008C68DC">
        <w:t>–</w:t>
      </w:r>
      <w:r w:rsidRPr="00663CF8">
        <w:t xml:space="preserve"> Country Health Profile 2025” Rzeczpospolita Polska znajduje się w grupie państw członkowskich Unii Europejskiej o najniższym wskaźniku liczby lekarzy (6 miejsce od końca) i pielęgniarek (4 miejsce od końca) w przeliczeniu na 1000 mieszkańców. </w:t>
      </w:r>
    </w:p>
    <w:p w14:paraId="155B2ECD" w14:textId="4024E44B" w:rsidR="00663CF8" w:rsidRPr="00663CF8" w:rsidRDefault="00663CF8" w:rsidP="00663CF8">
      <w:pPr>
        <w:pStyle w:val="NIEARTTEKSTtekstnieartykuowanynppodstprawnarozplubpreambua"/>
      </w:pPr>
      <w:r w:rsidRPr="00663CF8">
        <w:t>Taki stan rzeczy prowadzi do patologicznych zjawisk, mających swoje źródło w dysproporcji pozycji negocjacyjnej pracowników medycznych (przede wszystkim lekarzy i pielęgniarek) i świadczeniodawców opieki zdrowotnej, na niekorzyść tych ostatnich. Powszechną cechą polskiego systemu opieki zdrowotnej stało się zjawisko zatrudniania pracowników medycznych w wielu podmiotach leczniczych jednocześnie, na niewielką część etatu/równoważnika etatu oraz zjawisko wzajemnego przelicytowywania się świadczeniodawców w poszukiwaniu brakujących kadr medycznych. Prowadzi to nie tylko do niekontrolowanego wzrostu wysokości stawek oferowanych pracownikom medycznym (w</w:t>
      </w:r>
      <w:r w:rsidR="006D5440">
        <w:t> </w:t>
      </w:r>
      <w:r w:rsidRPr="00663CF8">
        <w:t>tym zwłaszcza lekarzom z poszukiwanymi specjalizacjami zatrudnianym na podstawie umów cywilnoprawnych, niejednokrotnie u wielu świadczeniodawców jednocześnie, w</w:t>
      </w:r>
      <w:r w:rsidR="006D5440">
        <w:t> </w:t>
      </w:r>
      <w:r w:rsidRPr="00663CF8">
        <w:t xml:space="preserve">niewielkim wymiarze czasu pracy), ale jednocześnie pociąga za sobą także negatywne konsekwencje z punktu widzenia zapewniania ciągłości opieki nad pacjentem oraz jego bezpieczeństwa. </w:t>
      </w:r>
    </w:p>
    <w:p w14:paraId="661F3354" w14:textId="77777777" w:rsidR="00663CF8" w:rsidRPr="00663CF8" w:rsidRDefault="00663CF8" w:rsidP="00663CF8">
      <w:pPr>
        <w:pStyle w:val="NIEARTTEKSTtekstnieartykuowanynppodstprawnarozplubpreambua"/>
      </w:pPr>
      <w:r w:rsidRPr="00663CF8">
        <w:t xml:space="preserve">Powyższa sytuacja wymaga pilnej interwencji ustawodawcy, zmierzającej do uregulowania zasad zatrudniania pracowników medycznych w podmiotach leczniczych udzielających świadczeń opieki zdrowotnej w ramach umów z NFZ, w celu ograniczenia dalszej inflacji kosztów tych świadczeń, jako pochodnej niekontrolowanego wzrostu </w:t>
      </w:r>
      <w:r w:rsidRPr="00663CF8">
        <w:lastRenderedPageBreak/>
        <w:t xml:space="preserve">wysokości wynagrodzeń pracowników medycznych, jak również w celu poprawy jakości i dostępności świadczeń opieki zdrowotnej. </w:t>
      </w:r>
    </w:p>
    <w:p w14:paraId="56011AF2" w14:textId="53100B91" w:rsidR="00663CF8" w:rsidRPr="00663CF8" w:rsidRDefault="00663CF8" w:rsidP="00663CF8">
      <w:pPr>
        <w:pStyle w:val="NIEARTTEKSTtekstnieartykuowanynppodstprawnarozplubpreambua"/>
      </w:pPr>
      <w:r w:rsidRPr="00663CF8">
        <w:t>Projekt przewiduje wprowadzenie w ustawie z dnia 27 sierpnia 2004 r. o świadczeniach opieki zdrowotnej finansowanych ze środków publicznych (Dz. U. z 2025 r. poz. 1461, z późn. zm.), zwanej dalej „ustawą o świadczeniach”, nowego artykułu 132aa, zawierającego szereg regulacji określających zasady zatrudniania pracowników medycznych udzielających świadczeń zdrowotnych objętych umową z NFZ, zarówno w ramach stosunku pracy</w:t>
      </w:r>
      <w:r w:rsidR="009F0DF3">
        <w:t>,</w:t>
      </w:r>
      <w:r w:rsidRPr="00663CF8">
        <w:t xml:space="preserve"> jak i na podstawie umów cywilnoprawnych.</w:t>
      </w:r>
    </w:p>
    <w:p w14:paraId="15003CC5" w14:textId="5384A857" w:rsidR="0089154E" w:rsidRDefault="00663CF8" w:rsidP="00DA7D18">
      <w:pPr>
        <w:pStyle w:val="NIEARTTEKSTtekstnieartykuowanynppodstprawnarozplubpreambua"/>
      </w:pPr>
      <w:r w:rsidRPr="00663CF8">
        <w:t xml:space="preserve">W art. 132aa ust. 1 wprowadzono ograniczenie maksymalnego łącznego wymiaru czasu </w:t>
      </w:r>
      <w:r w:rsidR="00B24991">
        <w:t xml:space="preserve">zatrudnienia </w:t>
      </w:r>
      <w:r w:rsidR="00B24991" w:rsidRPr="00663CF8">
        <w:t>pracownika medycznego</w:t>
      </w:r>
      <w:r w:rsidR="00B24991">
        <w:t xml:space="preserve">, zdefiniowanego w tym przepisie </w:t>
      </w:r>
      <w:r w:rsidR="00B24991" w:rsidRPr="000577CC">
        <w:rPr>
          <w:rFonts w:eastAsia="Times New Roman"/>
        </w:rPr>
        <w:t xml:space="preserve">jako czas pracy lub jego równoważnik </w:t>
      </w:r>
      <w:r w:rsidR="00DC26A5">
        <w:rPr>
          <w:rFonts w:eastAsia="Times New Roman"/>
        </w:rPr>
        <w:t>–</w:t>
      </w:r>
      <w:r w:rsidR="00B24991">
        <w:rPr>
          <w:rFonts w:eastAsia="Times New Roman"/>
        </w:rPr>
        <w:t xml:space="preserve"> </w:t>
      </w:r>
      <w:r w:rsidR="00B24991" w:rsidRPr="000577CC">
        <w:rPr>
          <w:rFonts w:eastAsia="Times New Roman"/>
        </w:rPr>
        <w:t>w przypadku umowy cywilnoprawnej lub innego aktu, na podstawie których powstaje stosunek inny niż stosunek pracy albo stosunek służbowy</w:t>
      </w:r>
      <w:r w:rsidR="00B24991">
        <w:rPr>
          <w:rFonts w:eastAsia="Times New Roman"/>
        </w:rPr>
        <w:t xml:space="preserve">, </w:t>
      </w:r>
      <w:r w:rsidRPr="00663CF8">
        <w:t>u wszystkich zatrudniających go świadczeniodawców</w:t>
      </w:r>
      <w:r w:rsidR="00B24991">
        <w:t>,</w:t>
      </w:r>
      <w:r w:rsidR="0089154E">
        <w:t xml:space="preserve"> </w:t>
      </w:r>
      <w:r w:rsidR="00B24991">
        <w:t>włączając w to czas zatrudnienia</w:t>
      </w:r>
      <w:r w:rsidR="00EB74B4">
        <w:t xml:space="preserve"> w ramach </w:t>
      </w:r>
      <w:r w:rsidR="00B24991">
        <w:t>indywidualnej</w:t>
      </w:r>
      <w:r w:rsidR="00EB74B4">
        <w:t xml:space="preserve"> praktyki</w:t>
      </w:r>
      <w:r w:rsidR="00FC61B1">
        <w:t xml:space="preserve"> zawodowej</w:t>
      </w:r>
      <w:r w:rsidRPr="00663CF8">
        <w:t>, który nie będzie mógł przekraczać równowartości dwukrotności pełnego wymiaru czasu pracy</w:t>
      </w:r>
      <w:r w:rsidR="00B24991">
        <w:t>.</w:t>
      </w:r>
      <w:r w:rsidRPr="00663CF8">
        <w:t xml:space="preserve"> </w:t>
      </w:r>
      <w:r w:rsidR="0089154E" w:rsidRPr="0089154E">
        <w:t xml:space="preserve">Jednocześnie w ust. 2 doprecyzowano sposób wyliczenia pełnego wymiaru czasu pracy dla miesiąca kalendarzowego, który określono jako iloczyn 8 godzin i liczby dni w danym miesiącu kalendarzowym przypadających od poniedziałku do piątku, przy czym każde święto określone w przepisach o dniach wolnych od pracy przypadające w danym miesiącu w innym dniu niż niedziela będzie obniżało pełen wymiar czasu pracy o 8 godzin. Autonomiczne określenie metody wyliczania pełnego wymiaru czasu pracy w projektowanym art. 132aa ust. 2 zamiast odesłania w tym zakresie do art. 129 § 1 </w:t>
      </w:r>
      <w:r w:rsidR="00295B5A">
        <w:t xml:space="preserve">ustawy </w:t>
      </w:r>
      <w:r w:rsidR="00295B5A" w:rsidRPr="00295B5A">
        <w:t>z dnia 26 czerwca 1974 r.</w:t>
      </w:r>
      <w:r w:rsidR="00295B5A">
        <w:t xml:space="preserve"> – </w:t>
      </w:r>
      <w:r w:rsidR="0089154E" w:rsidRPr="0089154E">
        <w:t>Kodeks pracy</w:t>
      </w:r>
      <w:r w:rsidR="00295B5A">
        <w:t xml:space="preserve"> (Dz. U. z </w:t>
      </w:r>
      <w:r w:rsidR="00CC7C80">
        <w:t>2026 r. poz. 1245</w:t>
      </w:r>
      <w:r w:rsidR="00295B5A">
        <w:t>), zwanej dalej „Kodeksem pracy”</w:t>
      </w:r>
      <w:r w:rsidR="0089154E" w:rsidRPr="0089154E">
        <w:t xml:space="preserve"> </w:t>
      </w:r>
      <w:r w:rsidR="00DC26A5">
        <w:t>–</w:t>
      </w:r>
      <w:r w:rsidR="0089154E" w:rsidRPr="0089154E">
        <w:t xml:space="preserve"> jest uzasadnione potrzebą stworzenia przepisu, który w ramach jednej ustawy jednoznacznie określał będzie sposób ustalenia maksymalnego limitu godzin pracy w poszczególnych miesiącach. Przepis art. 132aa</w:t>
      </w:r>
      <w:r w:rsidR="00F87E93" w:rsidRPr="0089154E">
        <w:t xml:space="preserve"> jest </w:t>
      </w:r>
      <w:r w:rsidR="00F87E93">
        <w:t>a</w:t>
      </w:r>
      <w:r w:rsidR="0089154E" w:rsidRPr="0089154E">
        <w:t>dresowany bowiem nie tylko do podmiotów profesjonalnie zajmujących się zatrudnianiem personelu (podmiotów leczniczych), ale również do poszczególnych medyków. Jednocześnie należy wskazać, że przepis art. 129 § 1 Kodeksu pracy nie stanowi pełnej regulacji, bowiem odsyła do przepisów modyfikujących, tj. art. 135</w:t>
      </w:r>
      <w:r w:rsidR="00DC26A5">
        <w:t>–</w:t>
      </w:r>
      <w:r w:rsidR="0089154E" w:rsidRPr="0089154E">
        <w:t xml:space="preserve">138, </w:t>
      </w:r>
      <w:r w:rsidR="009F0DF3">
        <w:t xml:space="preserve">art. </w:t>
      </w:r>
      <w:r w:rsidR="0089154E" w:rsidRPr="0089154E">
        <w:t xml:space="preserve">143 i </w:t>
      </w:r>
      <w:r w:rsidR="009F0DF3">
        <w:t xml:space="preserve">art. </w:t>
      </w:r>
      <w:r w:rsidR="0089154E" w:rsidRPr="0089154E">
        <w:t xml:space="preserve">144 Kodeksu pracy, a także jest uzupełniany przez art. 130 tej ustawy. Powyższe przepisy modyfikujące nie powinny obejmować sytuacji osób wykonujących zawód medyczny w rozumieniu art. 2 ust. 1 pkt 2 ustawy z dnia 15 kwietnia 2011 r. o działalności leczniczej, bowiem ich sytuację regulują już przepisy szczegółowe </w:t>
      </w:r>
      <w:r w:rsidR="0089154E" w:rsidRPr="0089154E">
        <w:lastRenderedPageBreak/>
        <w:t>Działu III tej ustawy (tj. art. 93</w:t>
      </w:r>
      <w:r w:rsidR="001442FB">
        <w:t>–</w:t>
      </w:r>
      <w:r w:rsidR="0089154E" w:rsidRPr="0089154E">
        <w:t xml:space="preserve">99b ustawy o działalności leczniczej). Zastosowanie w art. 132aa ust. 2 odesłania wewnątrzsystemowego do art. 129 § 1 Kodeksu pracy wywołałoby więc stan kolizji norm prawnych i niepewność interpretacyjną w stosowaniu wprowadzonego przepisu prawa. </w:t>
      </w:r>
    </w:p>
    <w:p w14:paraId="56DA4E50" w14:textId="0E938200" w:rsidR="00EB74B4" w:rsidRDefault="00EB74B4" w:rsidP="00663CF8">
      <w:pPr>
        <w:pStyle w:val="NIEARTTEKSTtekstnieartykuowanynppodstprawnarozplubpreambua"/>
      </w:pPr>
      <w:r>
        <w:t>W art. 132aa ust. 3 zawarto wyłącz</w:t>
      </w:r>
      <w:r w:rsidR="00D52982">
        <w:t>enie</w:t>
      </w:r>
      <w:r>
        <w:t xml:space="preserve">, zgodnie z którym do łącznego wymiaru </w:t>
      </w:r>
      <w:r w:rsidRPr="00355BD0">
        <w:t>czasu pra</w:t>
      </w:r>
      <w:r>
        <w:t>cy nie włącza się c</w:t>
      </w:r>
      <w:r w:rsidRPr="00355BD0">
        <w:t>zas</w:t>
      </w:r>
      <w:r>
        <w:t xml:space="preserve">u </w:t>
      </w:r>
      <w:r w:rsidRPr="00355BD0">
        <w:t>pozostawania poza podmiotem leczniczym w gotowości do udzielania świadczeń zdrowotnych</w:t>
      </w:r>
      <w:r>
        <w:t>.</w:t>
      </w:r>
    </w:p>
    <w:p w14:paraId="1CD07A34" w14:textId="233AE18E" w:rsidR="00EB74B4" w:rsidRPr="00EB74B4" w:rsidRDefault="00EB74B4" w:rsidP="0016767D">
      <w:pPr>
        <w:pStyle w:val="NIEARTTEKSTtekstnieartykuowanynppodstprawnarozplubpreambua"/>
      </w:pPr>
      <w:r>
        <w:t>W</w:t>
      </w:r>
      <w:r w:rsidR="00663CF8" w:rsidRPr="00663CF8">
        <w:t xml:space="preserve"> ust. </w:t>
      </w:r>
      <w:r>
        <w:t>4</w:t>
      </w:r>
      <w:r w:rsidR="00663CF8" w:rsidRPr="00663CF8">
        <w:t xml:space="preserve"> wprowadzono obowiązek składania przez pracownika medycznego, przed podjęciem zatrudnienia u danego świadczeniodawcy, </w:t>
      </w:r>
      <w:r w:rsidR="00A326AA">
        <w:t xml:space="preserve">jego kierownikowi, </w:t>
      </w:r>
      <w:r w:rsidR="00663CF8" w:rsidRPr="00663CF8">
        <w:t xml:space="preserve">oświadczenia o łącznym wymiarze czasu </w:t>
      </w:r>
      <w:r w:rsidR="00A326AA">
        <w:t>zatrudnienia</w:t>
      </w:r>
      <w:r w:rsidR="00663CF8" w:rsidRPr="00663CF8">
        <w:t xml:space="preserve"> u wszystkich zatrudniających go świadczeniodawców</w:t>
      </w:r>
      <w:r w:rsidR="00FC61B1">
        <w:t xml:space="preserve"> </w:t>
      </w:r>
      <w:r w:rsidR="00FC61B1" w:rsidRPr="00FC61B1">
        <w:t>lub w ramach praktyki, o której mowa w art. 5 ust. 2 ustawy z dnia 15 kwietnia 2011 r. o działalności leczniczej</w:t>
      </w:r>
      <w:r w:rsidR="009F0DF3">
        <w:t>,</w:t>
      </w:r>
      <w:r w:rsidR="00FC61B1" w:rsidRPr="00FC61B1">
        <w:t xml:space="preserve"> bez zbędnej zwłoki, ale niepóźniej niż w terminie 7 dni od dnia wyrażenia przez nią zgody na tę zmianę</w:t>
      </w:r>
      <w:r>
        <w:t>.</w:t>
      </w:r>
      <w:r w:rsidR="0016767D">
        <w:t xml:space="preserve"> Natomiast w</w:t>
      </w:r>
      <w:r>
        <w:t xml:space="preserve"> ust. 5 zawarto obowiązek składania przez </w:t>
      </w:r>
      <w:r>
        <w:rPr>
          <w:rFonts w:cs="Times"/>
        </w:rPr>
        <w:t xml:space="preserve">pracownika medycznego ponownego oświadczenia o łącznym wymiarze czasu </w:t>
      </w:r>
      <w:r w:rsidR="00A326AA">
        <w:rPr>
          <w:rFonts w:cs="Times"/>
        </w:rPr>
        <w:t>zatrudnienia</w:t>
      </w:r>
      <w:r>
        <w:t xml:space="preserve">, </w:t>
      </w:r>
      <w:r>
        <w:rPr>
          <w:rFonts w:eastAsia="Times New Roman"/>
        </w:rPr>
        <w:t>w przypadku zmiany tego wymiaru.</w:t>
      </w:r>
      <w:r>
        <w:t xml:space="preserve"> </w:t>
      </w:r>
    </w:p>
    <w:p w14:paraId="3C6B0E3E" w14:textId="24EBD729" w:rsidR="00EB74B4" w:rsidRDefault="00663CF8" w:rsidP="00EB74B4">
      <w:pPr>
        <w:pStyle w:val="NIEARTTEKSTtekstnieartykuowanynppodstprawnarozplubpreambua"/>
      </w:pPr>
      <w:r w:rsidRPr="00663CF8">
        <w:t xml:space="preserve">W art. 132aa ust. </w:t>
      </w:r>
      <w:r w:rsidR="00EB74B4">
        <w:t xml:space="preserve">6 </w:t>
      </w:r>
      <w:r w:rsidRPr="00663CF8">
        <w:t xml:space="preserve">wprowadzono zasadę, że świadczenia zdrowotne z zakresu leczenia szpitalnego lub ambulatoryjnej opieki specjalistycznej, u świadczeniodawcy mającego umowę z NFZ o udzielanie świadczeń opieki zdrowotnej z zakresu leczenia szpitalnego, mogą być udzielane przez pracownika medycznego </w:t>
      </w:r>
      <w:r w:rsidR="00EB74B4">
        <w:t xml:space="preserve">(będącego: </w:t>
      </w:r>
      <w:r w:rsidR="00EB74B4" w:rsidRPr="00324262">
        <w:t>lekarz</w:t>
      </w:r>
      <w:r w:rsidR="00EB74B4">
        <w:t>em</w:t>
      </w:r>
      <w:r w:rsidR="00EB74B4" w:rsidRPr="00324262">
        <w:t>, pielęgniar</w:t>
      </w:r>
      <w:r w:rsidR="00EB74B4">
        <w:t>ką</w:t>
      </w:r>
      <w:r w:rsidR="00EB74B4" w:rsidRPr="00324262">
        <w:t>, położn</w:t>
      </w:r>
      <w:r w:rsidR="00EB74B4">
        <w:t>ą</w:t>
      </w:r>
      <w:r w:rsidR="00EB74B4" w:rsidRPr="00324262">
        <w:t>, fizjoterapeut</w:t>
      </w:r>
      <w:r w:rsidR="00EB74B4">
        <w:t>ą lub</w:t>
      </w:r>
      <w:r w:rsidR="00EB74B4" w:rsidRPr="00324262">
        <w:t xml:space="preserve"> ratownik</w:t>
      </w:r>
      <w:r w:rsidR="00EB74B4">
        <w:t>iem</w:t>
      </w:r>
      <w:r w:rsidR="00EB74B4" w:rsidRPr="00324262">
        <w:t xml:space="preserve"> medyczn</w:t>
      </w:r>
      <w:r w:rsidR="00EB74B4">
        <w:t>ym)</w:t>
      </w:r>
      <w:r w:rsidR="00EB74B4" w:rsidRPr="00324262">
        <w:t xml:space="preserve"> </w:t>
      </w:r>
      <w:r w:rsidRPr="00663CF8">
        <w:t xml:space="preserve">w wymiarze </w:t>
      </w:r>
      <w:r w:rsidR="00A326AA">
        <w:t xml:space="preserve">czasu zatrudnienia </w:t>
      </w:r>
      <w:r w:rsidRPr="00663CF8">
        <w:t xml:space="preserve">niemniejszym niż połowa </w:t>
      </w:r>
      <w:r w:rsidR="00A326AA">
        <w:t xml:space="preserve">pełnego </w:t>
      </w:r>
      <w:r w:rsidRPr="00663CF8">
        <w:t xml:space="preserve">wymiaru czasu </w:t>
      </w:r>
      <w:r w:rsidR="00A326AA">
        <w:t>pracy</w:t>
      </w:r>
      <w:r w:rsidRPr="00663CF8">
        <w:t>. Tym samym określa się minimalny wymiar zatrudnienia przy udzielaniu świadczeń z zakresu leczenia szpitalnego i ambulatoryjnej opieki specjalistycznej (w poradniach przyszpitalnych)</w:t>
      </w:r>
      <w:r w:rsidR="00EB74B4">
        <w:t>. Jednocześnie w</w:t>
      </w:r>
      <w:r w:rsidR="00DC26A5">
        <w:t xml:space="preserve"> </w:t>
      </w:r>
      <w:r w:rsidR="00EB74B4">
        <w:t>art. 132aa ust. 7 wprowadzono wyłączenie spod powyższego wymogu w odniesieniu do świadczeń z zakresu ambulatoryjnej opieki specjalistycznej</w:t>
      </w:r>
      <w:r w:rsidR="00EB74B4" w:rsidRPr="005D3F6D">
        <w:t>,</w:t>
      </w:r>
      <w:r w:rsidR="00EB74B4">
        <w:t xml:space="preserve"> w przypadku gdy wymiar czasu </w:t>
      </w:r>
      <w:r w:rsidR="00A326AA">
        <w:t>zatrudnienia</w:t>
      </w:r>
      <w:r w:rsidR="00EB74B4">
        <w:t xml:space="preserve"> danego pracownika medycznego niższy niż ½ pełnego wymiaru </w:t>
      </w:r>
      <w:r w:rsidR="00A326AA">
        <w:t xml:space="preserve">czasu pracy </w:t>
      </w:r>
      <w:r w:rsidR="00EB74B4">
        <w:t xml:space="preserve">wynika z harmonogramu stanowiącego załącznik do umowy o udzielanie świadczeń opieki zdrowotnej. </w:t>
      </w:r>
    </w:p>
    <w:p w14:paraId="206654B9" w14:textId="1E430DE2" w:rsidR="007A5A77" w:rsidRPr="007A5A77" w:rsidRDefault="00663CF8" w:rsidP="0096774D">
      <w:pPr>
        <w:pStyle w:val="NIEARTTEKSTtekstnieartykuowanynppodstprawnarozplubpreambua"/>
      </w:pPr>
      <w:r w:rsidRPr="00663CF8">
        <w:t xml:space="preserve">Natomiast w ust. </w:t>
      </w:r>
      <w:r w:rsidR="00EB74B4">
        <w:t>8</w:t>
      </w:r>
      <w:r w:rsidRPr="00663CF8">
        <w:t xml:space="preserve"> wprowadzono wyjątek od powyższego wymogu dotyczącego minimalnego wymiaru zatrudnienia, w odniesieniu do pracowników medycznych zatrudnionych wyłącznie u jednego świadczeniodawcy,</w:t>
      </w:r>
      <w:r w:rsidR="0096774D">
        <w:t xml:space="preserve"> </w:t>
      </w:r>
      <w:r w:rsidR="0096774D" w:rsidRPr="00663CF8">
        <w:t xml:space="preserve">o którym mowa w ust. </w:t>
      </w:r>
      <w:r w:rsidR="0096774D">
        <w:t>6,</w:t>
      </w:r>
      <w:r w:rsidRPr="00663CF8">
        <w:t xml:space="preserve"> pod warunkiem złożenia oświadczeni</w:t>
      </w:r>
      <w:r w:rsidR="00583A46">
        <w:t>a</w:t>
      </w:r>
      <w:r w:rsidR="0096774D">
        <w:t xml:space="preserve"> potwierdzającego tę okoliczność.</w:t>
      </w:r>
      <w:r w:rsidRPr="00663CF8">
        <w:t xml:space="preserve"> </w:t>
      </w:r>
    </w:p>
    <w:p w14:paraId="6D729608" w14:textId="42365C9D" w:rsidR="0096774D" w:rsidRDefault="00663CF8" w:rsidP="00663CF8">
      <w:pPr>
        <w:pStyle w:val="NIEARTTEKSTtekstnieartykuowanynppodstprawnarozplubpreambua"/>
      </w:pPr>
      <w:r w:rsidRPr="00663CF8">
        <w:lastRenderedPageBreak/>
        <w:t xml:space="preserve">W art. 132aa ust. </w:t>
      </w:r>
      <w:r w:rsidR="0096774D">
        <w:t>9</w:t>
      </w:r>
      <w:r w:rsidRPr="00663CF8">
        <w:t xml:space="preserve"> zawarto przepis uzależniający możliwość zatrudnienia pracownika medycznego udzielającego świadczeń zdrowotnych z zakresu leczenia szpitalnego lub ambulatoryjnej opieki specjalistycznej, u świadczeniodawcy realizującego umowę z NFZ w zakresie leczenia szpitalnego, przez innego takiego świadczeniodawcę, od uzyskania zgody </w:t>
      </w:r>
      <w:r w:rsidR="0096774D">
        <w:t xml:space="preserve">wszystkich aktualnie zatrudniających go świadczeniodawców </w:t>
      </w:r>
      <w:r w:rsidRPr="00663CF8">
        <w:t xml:space="preserve">i jednocześnie dopuszczający takie kolejne zatrudnienie w wymiarze co najmniej połowy </w:t>
      </w:r>
      <w:r w:rsidR="003C280C">
        <w:t xml:space="preserve">pełnego </w:t>
      </w:r>
      <w:r w:rsidRPr="00663CF8">
        <w:t>wymiaru czasu pracy lub jego równoważnika.</w:t>
      </w:r>
      <w:r w:rsidR="004277B9">
        <w:t xml:space="preserve"> </w:t>
      </w:r>
    </w:p>
    <w:p w14:paraId="44591358" w14:textId="649125E4" w:rsidR="00211BBB" w:rsidRPr="008A4D52" w:rsidRDefault="0096774D" w:rsidP="003C280C">
      <w:pPr>
        <w:pStyle w:val="NIEARTTEKSTtekstnieartykuowanynppodstprawnarozplubpreambua"/>
      </w:pPr>
      <w:r>
        <w:t xml:space="preserve">W art. 132aa ust. 10 uregulowano zasady, którymi kierownik podmiotu leczniczego powinien kierować się, odmawiając zgody na zatrudnienie u innego świadczeniodawcy. W celu </w:t>
      </w:r>
      <w:r w:rsidR="004277B9" w:rsidRPr="004277B9">
        <w:t>zabezpieczenia interesu osoby wykonującej zawód medyczny wprowadza się tryb, zgodnie z którym kierownik podmiotu leczniczego będzie mógł odmówić zgody wyłącznie w przypadku, gdy będzie to uzasadnione niezaspokojonymi potrzebami kadrowymi tego podmiotu w zakresie udzielania świadczeń, o których mowa w ust. 3. Odmowa zgody będzie wymagała uzasadnienia na piśmie</w:t>
      </w:r>
      <w:r w:rsidR="003C280C">
        <w:t>, przy</w:t>
      </w:r>
      <w:r w:rsidR="003C280C">
        <w:rPr>
          <w:rFonts w:eastAsia="Times New Roman"/>
        </w:rPr>
        <w:t xml:space="preserve"> którym kierownik podmiotu leczniczego powinien jednocześnie przedstawić osobie wnioskującej o zgodę ofertę zwiększenia jej wymiaru czasu zatrudnienia</w:t>
      </w:r>
      <w:r w:rsidR="003C280C">
        <w:t xml:space="preserve"> do poziomu zaspokającego potrzeby kadrowe podmiotu leczniczego</w:t>
      </w:r>
      <w:r w:rsidR="00DC26A5">
        <w:t xml:space="preserve">. </w:t>
      </w:r>
      <w:r w:rsidR="003C280C">
        <w:t>Co oczywiste oferta ta nie będzie mogła wykraczać poza wprowadzony w projektowanych przepisach limit maksymalnego łącznego czasu zatrudnienia dla danego pracownika medycznego, określony w art. 132aa ust. 1</w:t>
      </w:r>
      <w:r w:rsidR="0089154E">
        <w:t xml:space="preserve"> oraz limitów wynikających z prawa pracy</w:t>
      </w:r>
      <w:r w:rsidR="003C280C">
        <w:t xml:space="preserve">. </w:t>
      </w:r>
      <w:r w:rsidR="004277B9" w:rsidRPr="004277B9">
        <w:t>Kierownik podmiotu leczniczego będzie obowiązany zająć stanowisko w terminie 14 dni od dnia otrzymania wniosku o wyrażenie zgody</w:t>
      </w:r>
      <w:r w:rsidR="009F0DF3">
        <w:t>,</w:t>
      </w:r>
      <w:r>
        <w:t xml:space="preserve"> a</w:t>
      </w:r>
      <w:r w:rsidR="004277B9" w:rsidRPr="004277B9">
        <w:t xml:space="preserve"> niezajęcie stanowiska w tym terminie będzie oznacza</w:t>
      </w:r>
      <w:r w:rsidR="0016767D">
        <w:t>ło</w:t>
      </w:r>
      <w:r w:rsidR="004277B9" w:rsidRPr="004277B9">
        <w:t xml:space="preserve"> wyrażenie zgody.</w:t>
      </w:r>
      <w:r w:rsidR="00DC26A5">
        <w:t xml:space="preserve"> </w:t>
      </w:r>
      <w:r w:rsidR="00D72D69">
        <w:t xml:space="preserve">W art. 132aa ust. 11 </w:t>
      </w:r>
      <w:r w:rsidR="002C064C">
        <w:t>uregulowano sposób post</w:t>
      </w:r>
      <w:r w:rsidR="00D52982">
        <w:t>ę</w:t>
      </w:r>
      <w:r w:rsidR="002C064C">
        <w:t xml:space="preserve">powania w przypadku wystąpienia o zgodę na zatrudnienie u innego świadczeniodawcy przez pracownika medycznego zatrudnionego w wymiarze mniejszym niż połowa pełnego wymiaru czasu </w:t>
      </w:r>
      <w:r w:rsidR="003C280C">
        <w:t>zatrudnienia</w:t>
      </w:r>
      <w:r w:rsidR="0016767D">
        <w:t>, u jednego świadczeniodawcy</w:t>
      </w:r>
      <w:r w:rsidR="002C064C">
        <w:t xml:space="preserve">. W takim przypadku </w:t>
      </w:r>
      <w:r w:rsidR="00D72D69">
        <w:t xml:space="preserve">kierownik podmiotu leczniczego </w:t>
      </w:r>
      <w:r w:rsidR="003C280C" w:rsidRPr="003B385C">
        <w:rPr>
          <w:rFonts w:eastAsia="Times New Roman"/>
        </w:rPr>
        <w:t>składa t</w:t>
      </w:r>
      <w:r w:rsidR="003C280C">
        <w:rPr>
          <w:rFonts w:eastAsia="Times New Roman"/>
        </w:rPr>
        <w:t>akiej</w:t>
      </w:r>
      <w:r w:rsidR="003C280C" w:rsidRPr="003B385C">
        <w:rPr>
          <w:rFonts w:eastAsia="Times New Roman"/>
        </w:rPr>
        <w:t xml:space="preserve"> osobie ofertę zwiększenia </w:t>
      </w:r>
      <w:r w:rsidR="003C280C">
        <w:rPr>
          <w:rFonts w:eastAsia="Times New Roman"/>
        </w:rPr>
        <w:t xml:space="preserve">jej </w:t>
      </w:r>
      <w:r w:rsidR="003C280C" w:rsidRPr="003B385C">
        <w:rPr>
          <w:rFonts w:eastAsia="Times New Roman"/>
        </w:rPr>
        <w:t xml:space="preserve">wymiaru zatrudnienia do co najmniej </w:t>
      </w:r>
      <w:r w:rsidR="003C280C" w:rsidRPr="003B385C">
        <w:t>połowy pełnego wymiaru czasu</w:t>
      </w:r>
      <w:r w:rsidR="003C280C">
        <w:t xml:space="preserve"> pracy</w:t>
      </w:r>
      <w:r w:rsidR="003C280C" w:rsidRPr="003B385C">
        <w:t>, a w przypadku</w:t>
      </w:r>
      <w:r w:rsidR="003C280C">
        <w:rPr>
          <w:rFonts w:eastAsia="Times New Roman"/>
        </w:rPr>
        <w:t xml:space="preserve"> </w:t>
      </w:r>
      <w:r w:rsidR="003C280C" w:rsidRPr="003B385C">
        <w:t>przyjęcia nowych warunków zatrudnienia i</w:t>
      </w:r>
      <w:r w:rsidR="003C280C" w:rsidRPr="003C280C">
        <w:t xml:space="preserve"> podtrzymania wniosku o zgodę</w:t>
      </w:r>
      <w:r w:rsidR="003C280C">
        <w:t xml:space="preserve"> </w:t>
      </w:r>
      <w:r w:rsidR="003C280C" w:rsidRPr="003C280C">
        <w:t>wyraża zgodę albo</w:t>
      </w:r>
      <w:r w:rsidR="003C280C">
        <w:t xml:space="preserve">, w przypadku odmowy </w:t>
      </w:r>
      <w:r w:rsidR="003C280C" w:rsidRPr="00D30C35">
        <w:t>przyjęcia nowych warunk</w:t>
      </w:r>
      <w:r w:rsidR="003C280C">
        <w:t xml:space="preserve">ów i </w:t>
      </w:r>
      <w:r w:rsidR="003C280C" w:rsidRPr="003B385C">
        <w:t>podtrzymania wniosku</w:t>
      </w:r>
      <w:r w:rsidR="003C280C">
        <w:t xml:space="preserve">, </w:t>
      </w:r>
      <w:r w:rsidR="003C280C" w:rsidRPr="003C280C">
        <w:rPr>
          <w:rFonts w:eastAsia="Times New Roman"/>
        </w:rPr>
        <w:t>odmawia udzielania</w:t>
      </w:r>
      <w:r w:rsidR="003C280C">
        <w:rPr>
          <w:rFonts w:eastAsia="Times New Roman"/>
        </w:rPr>
        <w:t xml:space="preserve"> zgody i wypowiada umowę o prac</w:t>
      </w:r>
      <w:r w:rsidR="00F87E93">
        <w:rPr>
          <w:rFonts w:eastAsia="Times New Roman"/>
        </w:rPr>
        <w:t>ę</w:t>
      </w:r>
      <w:r w:rsidR="003C280C">
        <w:rPr>
          <w:rFonts w:eastAsia="Times New Roman"/>
        </w:rPr>
        <w:t xml:space="preserve"> lub inną umowę, </w:t>
      </w:r>
      <w:r w:rsidR="003C280C" w:rsidRPr="005B27ED">
        <w:t>na podstawie któr</w:t>
      </w:r>
      <w:r w:rsidR="003C280C">
        <w:t>ej</w:t>
      </w:r>
      <w:r w:rsidR="003C280C" w:rsidRPr="005B27ED">
        <w:t xml:space="preserve"> powst</w:t>
      </w:r>
      <w:r w:rsidR="003C280C">
        <w:t>ał</w:t>
      </w:r>
      <w:r w:rsidR="003C280C" w:rsidRPr="005B27ED">
        <w:t xml:space="preserve"> stosunek inny niż stosunek pracy</w:t>
      </w:r>
      <w:r w:rsidR="009F0DF3">
        <w:t>,</w:t>
      </w:r>
      <w:r w:rsidR="003C280C" w:rsidRPr="005B27ED">
        <w:t xml:space="preserve"> </w:t>
      </w:r>
      <w:r w:rsidR="003C280C">
        <w:t>lub podejmuje działania niezbędne do zakończenia zatrudnienia powstałego na podstawie innego aktu</w:t>
      </w:r>
      <w:r w:rsidR="00DC26A5">
        <w:t xml:space="preserve">. </w:t>
      </w:r>
      <w:r w:rsidR="008A4D52">
        <w:t xml:space="preserve">W art. 132aa ust. 12 zawarto regulację na wypadek powstania sytuacji, w której kierownik podmiotu leczniczego nie zareaguje na wniosek pracownika medycznego o wyrażenie omawianej zgody. W takiej sytuacji będzie on </w:t>
      </w:r>
      <w:r w:rsidR="008A4D52">
        <w:lastRenderedPageBreak/>
        <w:t xml:space="preserve">mógł, </w:t>
      </w:r>
      <w:r w:rsidR="008A4D52">
        <w:rPr>
          <w:rFonts w:eastAsia="Times New Roman"/>
        </w:rPr>
        <w:t>przed zatrudnieniem przez kolejnego świadczeniodawcę, złożyć oświadczenie, że mimo złożenia wniosku o wyrażeni</w:t>
      </w:r>
      <w:r w:rsidR="009F0DF3">
        <w:rPr>
          <w:rFonts w:eastAsia="Times New Roman"/>
        </w:rPr>
        <w:t>e</w:t>
      </w:r>
      <w:r w:rsidR="008A4D52">
        <w:rPr>
          <w:rFonts w:eastAsia="Times New Roman"/>
        </w:rPr>
        <w:t xml:space="preserve"> zgody kierownik</w:t>
      </w:r>
      <w:r w:rsidR="008A4D52" w:rsidRPr="0055126B">
        <w:rPr>
          <w:rFonts w:eastAsia="Times New Roman"/>
        </w:rPr>
        <w:t xml:space="preserve"> podmiotu leczniczego</w:t>
      </w:r>
      <w:r w:rsidR="008A4D52">
        <w:rPr>
          <w:rFonts w:eastAsia="Times New Roman"/>
        </w:rPr>
        <w:t xml:space="preserve"> nie zajął stanowiska w ustalonym terminie, przy czym takie oświadczenie będzie wówczas zastępować </w:t>
      </w:r>
      <w:r w:rsidR="007348F1">
        <w:rPr>
          <w:rFonts w:eastAsia="Times New Roman"/>
        </w:rPr>
        <w:t xml:space="preserve">wymaganą </w:t>
      </w:r>
      <w:r w:rsidR="008A4D52">
        <w:rPr>
          <w:rFonts w:eastAsia="Times New Roman"/>
        </w:rPr>
        <w:t>zgodę</w:t>
      </w:r>
      <w:r w:rsidR="008A4D52">
        <w:t>.</w:t>
      </w:r>
    </w:p>
    <w:p w14:paraId="71D266B9" w14:textId="657C89CE" w:rsidR="007A5A77" w:rsidRPr="007A5A77" w:rsidRDefault="00211BBB" w:rsidP="007A5A77">
      <w:pPr>
        <w:pStyle w:val="NIEARTTEKSTtekstnieartykuowanynppodstprawnarozplubpreambua"/>
      </w:pPr>
      <w:r>
        <w:t>Przedstawiony wyżej</w:t>
      </w:r>
      <w:r w:rsidR="00C44293">
        <w:t xml:space="preserve"> </w:t>
      </w:r>
      <w:r w:rsidR="007A5A77">
        <w:t>mechanizm warunkowego nawiązywania u kolejnego świadczeniodawcy zatrudnienia przez osobę wykonującą zawód medyczny jest uzasadniony koniecznością zabezpieczenia potrzeb kadrowych świadczeniodawców, u których dana osoba jest już zatrudniona. Z</w:t>
      </w:r>
      <w:r w:rsidR="007A5A77" w:rsidRPr="00CC03E0">
        <w:t>naczne rozproszenie aktywności zawodowych osób wykonujących zawody medyczne pomiędzy różnych świadczeniodawców w sposób istotny wpływa na jakość sprawowanej opieki medycznej nad pacjentami leczonymi w zakładzie leczniczym danego świadczeniodawcy. Regularna i znaczna w skali miesiąca lub tygodnia rotacja personelu medycznego, wynikająca z polityki zatrudnienia medyków jedynie w wymiarze cząstkowych etatów (lub ich równoważników – w przypadku umów na podstawie innej niż stosunek pracy), utrudnia, a czasami nawet wręcz uniemożliwia, holistyczne realizowanie procesu leczniczego niezbędnego dla konkretnego pacjenta. Często zmieniający się personel medyczny musi zapoznawać się z postępami w procesie leczenia, w tym z udzielonym przez inne osoby świadczeniami opieki zdrowotnej, co w warunkach presji czasowej i obniżonej jakości sporządzania dokumentacji medycznej w danym zakładzie leczniczym sprowadza na pacjentów zbędne ryzyko błędów medycznych. Tymczasem osoba wykonująca zawód medyczny, zatrudniona w odpowiednim wymiarze czasu pracy, ma zapewnioną możliwość poznania danego przypadku chorobowego i całościowego partycypowania w procesie leczniczym. Współdzielenie z</w:t>
      </w:r>
      <w:r w:rsidR="00E41BC7">
        <w:t>a</w:t>
      </w:r>
      <w:r w:rsidR="007A5A77" w:rsidRPr="00CC03E0">
        <w:t>dań z mniejszą liczbą osób współpracujących w ramach zakładu leczniczego danego świadczeniodawcy sprzyja ponadto rzetelnej i skutecznej wymianie informacji i synchronizacji udzielania świadczeń opieki zdrowotnej przez różnych medyków.</w:t>
      </w:r>
      <w:r w:rsidR="007A5A77">
        <w:t xml:space="preserve"> Ochrona wartości prawnych, jakimi są życie i zdrowi</w:t>
      </w:r>
      <w:r w:rsidR="00E41BC7">
        <w:t>e</w:t>
      </w:r>
      <w:r w:rsidR="007A5A77">
        <w:t xml:space="preserve"> człowieka, uzasadnia zatem nawiązywani</w:t>
      </w:r>
      <w:r w:rsidR="00E41BC7">
        <w:t>e</w:t>
      </w:r>
      <w:r w:rsidR="007A5A77">
        <w:t xml:space="preserve"> kolejnych stosunków zatrudnieniowych przez osobę wykonującą zawód medyczny od uzyskania zgody od wszystkich zatrudniających ją świadczeniodawców. Dopiero potwierdzenie przez nich, że dana osoba deklarując</w:t>
      </w:r>
      <w:r w:rsidR="009F0DF3">
        <w:t>a</w:t>
      </w:r>
      <w:r w:rsidR="007A5A77">
        <w:t xml:space="preserve"> gotowość pracy u kolejnego świadczeniodawcy, nie jest potrzebna do zaspokojeni</w:t>
      </w:r>
      <w:r w:rsidR="009F0DF3">
        <w:t>a</w:t>
      </w:r>
      <w:r w:rsidR="007A5A77">
        <w:t xml:space="preserve"> potrzeb kadrowych</w:t>
      </w:r>
      <w:r w:rsidR="007348F1">
        <w:t xml:space="preserve"> wymaganych dla zapewnienia właściwej opieki nad pacjentem</w:t>
      </w:r>
      <w:r w:rsidR="00DC26A5">
        <w:t xml:space="preserve"> </w:t>
      </w:r>
      <w:r w:rsidR="007348F1">
        <w:t>w kierowanych przez nich podmiotach leczniczych</w:t>
      </w:r>
      <w:r w:rsidR="007A5A77">
        <w:t xml:space="preserve">, pozwoli na racjonalną alokację </w:t>
      </w:r>
      <w:r w:rsidR="007348F1">
        <w:t xml:space="preserve">dodatkowego, niewykorzystanego w pełni potencjału </w:t>
      </w:r>
      <w:r w:rsidR="007A5A77">
        <w:t xml:space="preserve">danego </w:t>
      </w:r>
      <w:r w:rsidR="007348F1">
        <w:t xml:space="preserve">pracownika </w:t>
      </w:r>
      <w:r w:rsidR="007A5A77">
        <w:t>medy</w:t>
      </w:r>
      <w:r w:rsidR="007348F1">
        <w:t>cznego</w:t>
      </w:r>
      <w:r w:rsidR="007A5A77">
        <w:t xml:space="preserve">. </w:t>
      </w:r>
    </w:p>
    <w:p w14:paraId="645D4A69" w14:textId="75BF8C95" w:rsidR="00071835" w:rsidRDefault="00663CF8" w:rsidP="000F646A">
      <w:pPr>
        <w:pStyle w:val="NIEARTTEKSTtekstnieartykuowanynppodstprawnarozplubpreambua"/>
        <w:rPr>
          <w:rFonts w:eastAsia="Times New Roman"/>
        </w:rPr>
      </w:pPr>
      <w:r w:rsidRPr="00663CF8">
        <w:lastRenderedPageBreak/>
        <w:t xml:space="preserve">W art. 132aa ust. </w:t>
      </w:r>
      <w:r w:rsidR="003F1A9E">
        <w:t>13</w:t>
      </w:r>
      <w:r w:rsidRPr="00663CF8">
        <w:t xml:space="preserve"> wprowadzono wyjątek od wymogów zawartych w ust. </w:t>
      </w:r>
      <w:r w:rsidR="00AC7050">
        <w:t>6</w:t>
      </w:r>
      <w:r w:rsidR="006D5440">
        <w:t>–</w:t>
      </w:r>
      <w:r w:rsidR="00AC7050">
        <w:t>12</w:t>
      </w:r>
      <w:r w:rsidRPr="00663CF8">
        <w:t xml:space="preserve">, które nie będą miały zastosowania do świadczeń opieki zdrowotnej </w:t>
      </w:r>
      <w:r w:rsidR="00AC7050">
        <w:t xml:space="preserve">udzielanych </w:t>
      </w:r>
      <w:r w:rsidR="00AC7050">
        <w:rPr>
          <w:rFonts w:eastAsia="Times New Roman"/>
        </w:rPr>
        <w:t xml:space="preserve">w </w:t>
      </w:r>
      <w:r w:rsidR="00AC7050" w:rsidRPr="00BB1A86">
        <w:rPr>
          <w:rFonts w:eastAsia="Times New Roman"/>
        </w:rPr>
        <w:t xml:space="preserve">czasie pełnienia dyżuru medycznego, o którym mowa w art. 95 ust. 1 </w:t>
      </w:r>
      <w:r w:rsidR="00AC7050">
        <w:rPr>
          <w:rFonts w:eastAsia="Times New Roman"/>
        </w:rPr>
        <w:t xml:space="preserve">i 1a </w:t>
      </w:r>
      <w:r w:rsidR="00AC7050" w:rsidRPr="00BB1A86">
        <w:rPr>
          <w:rFonts w:eastAsia="Times New Roman"/>
        </w:rPr>
        <w:t>ustawy z dnia 15 kwietnia 2011 r. o działalności leczniczej</w:t>
      </w:r>
      <w:r w:rsidR="00A772C6">
        <w:rPr>
          <w:rFonts w:eastAsia="Times New Roman"/>
        </w:rPr>
        <w:t>,</w:t>
      </w:r>
      <w:r w:rsidR="00AC7050" w:rsidRPr="00BB1A86">
        <w:rPr>
          <w:rFonts w:eastAsia="Times New Roman"/>
        </w:rPr>
        <w:t xml:space="preserve"> albo udzielanych poza normalnymi godzinami pracy w podmiocie leczniczym wykonującym działalność leczniczą w rodzaju stacjonarne i całodobowe świadczenia zdrowotne w ramach pracy zmianowej lub systemu czasu pracy, o którym mowa w art. 94 ustawy o działalności leczniczej</w:t>
      </w:r>
      <w:r w:rsidR="00AC7050">
        <w:rPr>
          <w:rFonts w:eastAsia="Times New Roman"/>
        </w:rPr>
        <w:t>, z wyłączeniem planowych świadczeń zabiegowych</w:t>
      </w:r>
      <w:r w:rsidR="00AC7050" w:rsidRPr="00BB1A86">
        <w:rPr>
          <w:rFonts w:eastAsia="Times New Roman"/>
        </w:rPr>
        <w:t xml:space="preserve">. </w:t>
      </w:r>
      <w:r w:rsidRPr="00663CF8">
        <w:t xml:space="preserve">Natomiast w art. 132aa ust. </w:t>
      </w:r>
      <w:r w:rsidR="007E71AF">
        <w:t>14</w:t>
      </w:r>
      <w:r w:rsidR="001442FB">
        <w:t>–</w:t>
      </w:r>
      <w:r w:rsidR="004474C6">
        <w:t xml:space="preserve">16 </w:t>
      </w:r>
      <w:r w:rsidRPr="00663CF8">
        <w:t>wprowadzono możliwość wyrażenia zgod</w:t>
      </w:r>
      <w:r w:rsidR="00583A46">
        <w:t>y</w:t>
      </w:r>
      <w:r w:rsidRPr="00663CF8">
        <w:t xml:space="preserve"> na czasowe odstąpienie od wymogów określonych w 1</w:t>
      </w:r>
      <w:r w:rsidR="00583A46">
        <w:t>–</w:t>
      </w:r>
      <w:r w:rsidRPr="00663CF8">
        <w:t>6 przez Prezesa NFZ, w przypadku braku dostępności pracowników medycznych w danej dziedzinie lub potrzeby zabezpieczenia dyżuru medycznego</w:t>
      </w:r>
      <w:r w:rsidR="007E71AF">
        <w:t>, określając jednocześnie</w:t>
      </w:r>
      <w:r w:rsidR="007E71AF" w:rsidRPr="0055126B">
        <w:rPr>
          <w:rFonts w:eastAsia="Times New Roman"/>
        </w:rPr>
        <w:t xml:space="preserve"> 14</w:t>
      </w:r>
      <w:r w:rsidR="007E71AF">
        <w:rPr>
          <w:rFonts w:eastAsia="Times New Roman"/>
        </w:rPr>
        <w:t>-dniowy</w:t>
      </w:r>
      <w:r w:rsidR="007E71AF" w:rsidRPr="0055126B">
        <w:rPr>
          <w:rFonts w:eastAsia="Times New Roman"/>
        </w:rPr>
        <w:t xml:space="preserve"> </w:t>
      </w:r>
      <w:r w:rsidR="007E71AF">
        <w:rPr>
          <w:rFonts w:eastAsia="Times New Roman"/>
        </w:rPr>
        <w:t xml:space="preserve">termin na </w:t>
      </w:r>
      <w:r w:rsidR="007E71AF" w:rsidRPr="0055126B">
        <w:rPr>
          <w:rFonts w:eastAsia="Times New Roman"/>
        </w:rPr>
        <w:t xml:space="preserve">wyrażenie </w:t>
      </w:r>
      <w:r w:rsidR="007E71AF">
        <w:rPr>
          <w:rFonts w:eastAsia="Times New Roman"/>
        </w:rPr>
        <w:t xml:space="preserve">takiej </w:t>
      </w:r>
      <w:r w:rsidR="007E71AF" w:rsidRPr="0055126B">
        <w:rPr>
          <w:rFonts w:eastAsia="Times New Roman"/>
        </w:rPr>
        <w:t>zgody</w:t>
      </w:r>
      <w:r w:rsidR="007E71AF">
        <w:rPr>
          <w:rFonts w:eastAsia="Times New Roman"/>
        </w:rPr>
        <w:t xml:space="preserve"> i obwarowując jej odmowę obowiązkiem</w:t>
      </w:r>
      <w:r w:rsidR="007E71AF" w:rsidRPr="0055126B">
        <w:rPr>
          <w:rFonts w:eastAsia="Times New Roman"/>
        </w:rPr>
        <w:t xml:space="preserve"> uzasadnienia na piśmie</w:t>
      </w:r>
      <w:r w:rsidR="007E71AF">
        <w:rPr>
          <w:rFonts w:eastAsia="Times New Roman"/>
        </w:rPr>
        <w:t xml:space="preserve">. </w:t>
      </w:r>
      <w:r w:rsidR="005F1ED3">
        <w:rPr>
          <w:rFonts w:eastAsia="Times New Roman"/>
        </w:rPr>
        <w:t>N</w:t>
      </w:r>
      <w:r w:rsidR="0016767D">
        <w:rPr>
          <w:rFonts w:eastAsia="Times New Roman"/>
        </w:rPr>
        <w:t>iezajęcie stanowiska we wskazanym terminie 14 dni oznaczać będzie wyrażenie zgody.</w:t>
      </w:r>
      <w:r w:rsidR="00C416FD">
        <w:rPr>
          <w:rFonts w:eastAsia="Times New Roman"/>
        </w:rPr>
        <w:t xml:space="preserve"> </w:t>
      </w:r>
      <w:r w:rsidR="004474C6">
        <w:rPr>
          <w:rFonts w:eastAsia="Times New Roman"/>
        </w:rPr>
        <w:t xml:space="preserve">Przewidziano także możliwość cofnięcia omawianej zgody przez Prezesa NFZ w razie stwierdzenia po wydaniu zgody, że nie zachodziły wymagane przesłanki dla jej wydania. </w:t>
      </w:r>
      <w:r w:rsidR="00C416FD">
        <w:rPr>
          <w:rFonts w:eastAsia="Times New Roman"/>
        </w:rPr>
        <w:t>Do</w:t>
      </w:r>
      <w:r w:rsidR="00C44293">
        <w:rPr>
          <w:rFonts w:eastAsia="Times New Roman"/>
        </w:rPr>
        <w:t>datkowo doprecyzow</w:t>
      </w:r>
      <w:r w:rsidR="00067FC9">
        <w:rPr>
          <w:rFonts w:eastAsia="Times New Roman"/>
        </w:rPr>
        <w:t>ano</w:t>
      </w:r>
      <w:r w:rsidR="00C44293">
        <w:rPr>
          <w:rFonts w:eastAsia="Times New Roman"/>
        </w:rPr>
        <w:t>, że do</w:t>
      </w:r>
      <w:r w:rsidR="00C416FD">
        <w:rPr>
          <w:rFonts w:eastAsia="Times New Roman"/>
        </w:rPr>
        <w:t xml:space="preserve"> post</w:t>
      </w:r>
      <w:r w:rsidR="00D52982">
        <w:rPr>
          <w:rFonts w:eastAsia="Times New Roman"/>
        </w:rPr>
        <w:t>ę</w:t>
      </w:r>
      <w:r w:rsidR="00C416FD">
        <w:rPr>
          <w:rFonts w:eastAsia="Times New Roman"/>
        </w:rPr>
        <w:t xml:space="preserve">powania w sprawie wydania przedmiotowej zgody Prezesa NFZ nie </w:t>
      </w:r>
      <w:r w:rsidR="005F1ED3">
        <w:rPr>
          <w:rFonts w:eastAsia="Times New Roman"/>
        </w:rPr>
        <w:t>stosuje się przepisów</w:t>
      </w:r>
      <w:r w:rsidR="00C416FD">
        <w:rPr>
          <w:rFonts w:eastAsia="Times New Roman"/>
        </w:rPr>
        <w:t xml:space="preserve"> </w:t>
      </w:r>
      <w:r w:rsidR="005F1ED3">
        <w:rPr>
          <w:rFonts w:eastAsia="Times New Roman"/>
        </w:rPr>
        <w:t>Kodeksu postępowania administracyjnego (</w:t>
      </w:r>
      <w:r w:rsidR="00C416FD">
        <w:rPr>
          <w:rFonts w:eastAsia="Times New Roman"/>
        </w:rPr>
        <w:t>KPA</w:t>
      </w:r>
      <w:r w:rsidR="005F1ED3">
        <w:rPr>
          <w:rFonts w:eastAsia="Times New Roman"/>
        </w:rPr>
        <w:t>)</w:t>
      </w:r>
      <w:r w:rsidR="00C44293">
        <w:rPr>
          <w:rFonts w:eastAsia="Times New Roman"/>
        </w:rPr>
        <w:t xml:space="preserve">, </w:t>
      </w:r>
      <w:r w:rsidR="00067FC9">
        <w:rPr>
          <w:rFonts w:eastAsia="Times New Roman"/>
        </w:rPr>
        <w:t>co oznacza że</w:t>
      </w:r>
      <w:r w:rsidR="00C44293">
        <w:rPr>
          <w:rFonts w:eastAsia="Times New Roman"/>
        </w:rPr>
        <w:t xml:space="preserve"> zgoda albo jej odmowa udzielane będą </w:t>
      </w:r>
      <w:r w:rsidR="00067FC9">
        <w:rPr>
          <w:rFonts w:eastAsia="Times New Roman"/>
        </w:rPr>
        <w:t xml:space="preserve">na zasadach </w:t>
      </w:r>
      <w:r w:rsidR="00C44293">
        <w:rPr>
          <w:rFonts w:eastAsia="Times New Roman"/>
        </w:rPr>
        <w:t xml:space="preserve">oświadczeń woli stron </w:t>
      </w:r>
      <w:r w:rsidR="00067FC9">
        <w:rPr>
          <w:rFonts w:eastAsia="Times New Roman"/>
        </w:rPr>
        <w:t xml:space="preserve">w ramach </w:t>
      </w:r>
      <w:r w:rsidR="00C44293">
        <w:rPr>
          <w:rFonts w:eastAsia="Times New Roman"/>
        </w:rPr>
        <w:t>obowiązującej umowy o udzielanie świadczeń opieki zdrowotnej</w:t>
      </w:r>
      <w:r w:rsidR="00C416FD">
        <w:rPr>
          <w:rFonts w:eastAsia="Times New Roman"/>
        </w:rPr>
        <w:t>.</w:t>
      </w:r>
    </w:p>
    <w:p w14:paraId="427FECCF" w14:textId="06C64307" w:rsidR="00663CF8" w:rsidRPr="00071835" w:rsidRDefault="00071835" w:rsidP="00071835">
      <w:pPr>
        <w:pStyle w:val="NIEARTTEKSTtekstnieartykuowanynppodstprawnarozplubpreambua"/>
      </w:pPr>
      <w:r>
        <w:rPr>
          <w:rFonts w:eastAsia="Times New Roman"/>
        </w:rPr>
        <w:t>W art. 132aa ust. 1</w:t>
      </w:r>
      <w:r w:rsidR="00C416FD">
        <w:rPr>
          <w:rFonts w:eastAsia="Times New Roman"/>
        </w:rPr>
        <w:t>7</w:t>
      </w:r>
      <w:r>
        <w:rPr>
          <w:rFonts w:eastAsia="Times New Roman"/>
        </w:rPr>
        <w:t xml:space="preserve"> zawarto rozwiązanie o charakterze nadzwyczajnym, zgodnie z którym </w:t>
      </w:r>
      <w:r w:rsidR="00371BD9">
        <w:rPr>
          <w:rFonts w:eastAsia="Times New Roman"/>
        </w:rPr>
        <w:t xml:space="preserve">w </w:t>
      </w:r>
      <w:r>
        <w:rPr>
          <w:rFonts w:eastAsia="Times New Roman"/>
        </w:rPr>
        <w:t>przypadk</w:t>
      </w:r>
      <w:r w:rsidR="00F87E93">
        <w:rPr>
          <w:rFonts w:eastAsia="Times New Roman"/>
        </w:rPr>
        <w:t>u</w:t>
      </w:r>
      <w:r>
        <w:rPr>
          <w:rFonts w:eastAsia="Times New Roman"/>
        </w:rPr>
        <w:t xml:space="preserve"> nagłej śmierci lub długotrwałej choroby</w:t>
      </w:r>
      <w:r w:rsidR="005F1ED3">
        <w:rPr>
          <w:rFonts w:eastAsia="Times New Roman"/>
        </w:rPr>
        <w:t xml:space="preserve"> lub usprawiedliwionej nieobecności</w:t>
      </w:r>
      <w:r>
        <w:rPr>
          <w:rFonts w:eastAsia="Times New Roman"/>
        </w:rPr>
        <w:t xml:space="preserve"> pracownika medycznego lub w przypadku działania siły wyższej, kierownik podmiotu leczniczego </w:t>
      </w:r>
      <w:r>
        <w:t>będzie mógł odstąpić od wymogów określonych w ust. 1</w:t>
      </w:r>
      <w:r w:rsidR="00A772C6">
        <w:t>–</w:t>
      </w:r>
      <w:r>
        <w:t xml:space="preserve">6 na, okres </w:t>
      </w:r>
      <w:r w:rsidR="005F1ED3">
        <w:t>21</w:t>
      </w:r>
      <w:r>
        <w:t xml:space="preserve"> dni od dnia wystąpienia jednej z powyższych okoliczności. </w:t>
      </w:r>
    </w:p>
    <w:p w14:paraId="3AEF6758" w14:textId="7F061032" w:rsidR="00663CF8" w:rsidRPr="00663CF8" w:rsidRDefault="00663CF8" w:rsidP="00663CF8">
      <w:pPr>
        <w:pStyle w:val="NIEARTTEKSTtekstnieartykuowanynppodstprawnarozplubpreambua"/>
      </w:pPr>
      <w:r w:rsidRPr="00663CF8">
        <w:t xml:space="preserve">W art. 132aa ust. </w:t>
      </w:r>
      <w:r w:rsidR="00071835">
        <w:t>1</w:t>
      </w:r>
      <w:r w:rsidR="00C416FD">
        <w:t>8</w:t>
      </w:r>
      <w:r w:rsidRPr="00663CF8">
        <w:t xml:space="preserve"> i 1</w:t>
      </w:r>
      <w:r w:rsidR="00C416FD">
        <w:t>9</w:t>
      </w:r>
      <w:r w:rsidRPr="00663CF8">
        <w:t xml:space="preserve"> określono wymogi dotyczące minimalnej zawartości umów, na podstawie których są zatrudnieni pracownicy medyczni udzielający świadczeń zdrowotnych objętych umową z NFZ. </w:t>
      </w:r>
      <w:r w:rsidR="00C416FD">
        <w:t>Umowy o pracę</w:t>
      </w:r>
      <w:r w:rsidRPr="00663CF8">
        <w:t xml:space="preserve"> będą obligatoryjnie określać rodzaj</w:t>
      </w:r>
      <w:r w:rsidR="00067FC9">
        <w:t>,</w:t>
      </w:r>
      <w:r w:rsidRPr="00663CF8">
        <w:t xml:space="preserve"> </w:t>
      </w:r>
      <w:r w:rsidR="00F428AF" w:rsidRPr="00F428AF">
        <w:t>a jeżeli jest to uzasadnione rodzajem pracy</w:t>
      </w:r>
      <w:r w:rsidR="00067FC9">
        <w:t>,</w:t>
      </w:r>
      <w:r w:rsidR="00F428AF" w:rsidRPr="00F428AF">
        <w:t xml:space="preserve"> także</w:t>
      </w:r>
      <w:r w:rsidR="00F428AF">
        <w:t xml:space="preserve"> </w:t>
      </w:r>
      <w:r w:rsidRPr="00663CF8">
        <w:t>liczbę wykonywanych zadań związanych z udzielaniem świadczeń opieki zdrowotnej</w:t>
      </w:r>
      <w:r w:rsidR="00F428AF">
        <w:t xml:space="preserve"> </w:t>
      </w:r>
      <w:r w:rsidR="00F428AF" w:rsidRPr="00F428AF">
        <w:t xml:space="preserve">oraz maksymalny miesięczny wymiar czasu </w:t>
      </w:r>
      <w:r w:rsidR="00067FC9">
        <w:t>zatrudnienia</w:t>
      </w:r>
      <w:r w:rsidR="00F428AF" w:rsidRPr="00F428AF">
        <w:t xml:space="preserve"> i</w:t>
      </w:r>
      <w:r w:rsidR="00F87E93">
        <w:t> </w:t>
      </w:r>
      <w:r w:rsidR="00F428AF" w:rsidRPr="00F428AF">
        <w:t xml:space="preserve">maksymalne miesięczne wynagrodzenie w przyjętym okresie rozliczeniowym niedłuższym niż 4 miesiące. </w:t>
      </w:r>
      <w:r w:rsidR="00C416FD">
        <w:t xml:space="preserve">Natomiast </w:t>
      </w:r>
      <w:r w:rsidRPr="00663CF8">
        <w:t xml:space="preserve">w przypadku umów innych niż umowa o pracę wymagane będzie </w:t>
      </w:r>
      <w:r w:rsidR="00E023E4">
        <w:rPr>
          <w:rFonts w:eastAsia="Times New Roman"/>
        </w:rPr>
        <w:t xml:space="preserve">w szczególności </w:t>
      </w:r>
      <w:r w:rsidRPr="00663CF8">
        <w:t>określenie</w:t>
      </w:r>
      <w:r w:rsidR="00C416FD">
        <w:t xml:space="preserve"> </w:t>
      </w:r>
      <w:r w:rsidR="00C416FD">
        <w:rPr>
          <w:rFonts w:eastAsia="Times New Roman"/>
        </w:rPr>
        <w:t>łącznej liczby</w:t>
      </w:r>
      <w:r w:rsidR="00C416FD" w:rsidRPr="005B27ED">
        <w:rPr>
          <w:rFonts w:eastAsia="Times New Roman"/>
        </w:rPr>
        <w:t xml:space="preserve"> godzin udzielania świadczeń opieki zdrowotnej</w:t>
      </w:r>
      <w:r w:rsidR="00C416FD">
        <w:rPr>
          <w:rFonts w:eastAsia="Times New Roman"/>
        </w:rPr>
        <w:t xml:space="preserve">, stawki </w:t>
      </w:r>
      <w:r w:rsidR="00C416FD">
        <w:rPr>
          <w:rFonts w:eastAsia="Times New Roman"/>
        </w:rPr>
        <w:lastRenderedPageBreak/>
        <w:t>godzinowej brutto oraz</w:t>
      </w:r>
      <w:r w:rsidR="00C416FD" w:rsidRPr="00D64ECD">
        <w:t xml:space="preserve"> </w:t>
      </w:r>
      <w:r w:rsidR="00C416FD" w:rsidRPr="00D64ECD">
        <w:rPr>
          <w:rFonts w:eastAsia="Times New Roman"/>
        </w:rPr>
        <w:t>maksymaln</w:t>
      </w:r>
      <w:r w:rsidR="00C416FD">
        <w:rPr>
          <w:rFonts w:eastAsia="Times New Roman"/>
        </w:rPr>
        <w:t>ego</w:t>
      </w:r>
      <w:r w:rsidR="00C416FD" w:rsidRPr="00D64ECD">
        <w:rPr>
          <w:rFonts w:eastAsia="Times New Roman"/>
        </w:rPr>
        <w:t xml:space="preserve"> miesięczn</w:t>
      </w:r>
      <w:r w:rsidR="00C416FD">
        <w:rPr>
          <w:rFonts w:eastAsia="Times New Roman"/>
        </w:rPr>
        <w:t xml:space="preserve">ego </w:t>
      </w:r>
      <w:r w:rsidR="00C416FD" w:rsidRPr="00D64ECD">
        <w:rPr>
          <w:rFonts w:eastAsia="Times New Roman"/>
        </w:rPr>
        <w:t>wymiar</w:t>
      </w:r>
      <w:r w:rsidR="00C416FD">
        <w:rPr>
          <w:rFonts w:eastAsia="Times New Roman"/>
        </w:rPr>
        <w:t>u</w:t>
      </w:r>
      <w:r w:rsidR="00C416FD" w:rsidRPr="00D64ECD">
        <w:rPr>
          <w:rFonts w:eastAsia="Times New Roman"/>
        </w:rPr>
        <w:t xml:space="preserve"> </w:t>
      </w:r>
      <w:r w:rsidR="00C416FD">
        <w:rPr>
          <w:rFonts w:eastAsia="Times New Roman"/>
        </w:rPr>
        <w:t xml:space="preserve">zatrudnienia </w:t>
      </w:r>
      <w:r w:rsidR="00C416FD" w:rsidRPr="00D64ECD">
        <w:rPr>
          <w:rFonts w:eastAsia="Times New Roman"/>
        </w:rPr>
        <w:t>i maksymaln</w:t>
      </w:r>
      <w:r w:rsidR="00C416FD">
        <w:rPr>
          <w:rFonts w:eastAsia="Times New Roman"/>
        </w:rPr>
        <w:t>ego miesięcznego wynagrodzenia.</w:t>
      </w:r>
      <w:r w:rsidR="00E023E4">
        <w:rPr>
          <w:rFonts w:eastAsia="Times New Roman"/>
        </w:rPr>
        <w:t xml:space="preserve"> </w:t>
      </w:r>
      <w:r w:rsidRPr="00663CF8">
        <w:t xml:space="preserve">Celem powyższych rozwiązań jest zagwarantowanie, że pracownicy medyczni (w szczególności lekarze i pielęgniarki pracujący w oddziałach szpitalnych i poradniach przyszpitalnych) będą związani z jednym podstawowym miejscem pracy, co z jednej strony zagwarantuje odpowiednią opiekę pacjentom tych jednostek, a jednocześnie proponowane rozwiązania ograniczą presję płacową wywieraną przez tę grupę zawodową na świadczeniodawców opieki zdrowotnej, w związku z możliwością nieograniczonej migracji do innych podmiotów leczniczych oraz negocjowania warunków płacowych przez podmioty pośredniczące w zatrudnianiu pracowników medycznych. Obligatoryjne uszczegółowienie zawieranych umów z pracownikami medycznymi poprawi możliwość kontroli nad realizacją powierzanych im zadań związanych z udzielaniem świadczeń zdrowotnych objętych umowami z NFZ.  </w:t>
      </w:r>
    </w:p>
    <w:p w14:paraId="0D5C7EA0" w14:textId="59EB4D55" w:rsidR="00663CF8" w:rsidRPr="00663CF8" w:rsidRDefault="00663CF8" w:rsidP="00663CF8">
      <w:pPr>
        <w:pStyle w:val="NIEARTTEKSTtekstnieartykuowanynppodstprawnarozplubpreambua"/>
      </w:pPr>
      <w:r w:rsidRPr="00663CF8">
        <w:t>Projektowana ustawa zawiera również szereg regulacji zmierzających do ograniczenia wysokości środków NFZ przeznaczanych na pokrycie kosztów wynagrodzeń pracowników medycznych, z tytułu udzielania świadczeń zdrowotnych objętych umową o udzielanie świadczeń opieki zdrowotnej, które zawarto w nowym artykule 132ab ustawy o świadczeniach.</w:t>
      </w:r>
    </w:p>
    <w:p w14:paraId="11F124FE" w14:textId="26A85842" w:rsidR="007A01DC" w:rsidRPr="007A01DC" w:rsidRDefault="00663CF8" w:rsidP="007A01DC">
      <w:pPr>
        <w:pStyle w:val="NIEARTTEKSTtekstnieartykuowanynppodstprawnarozplubpreambua"/>
      </w:pPr>
      <w:r w:rsidRPr="00663CF8">
        <w:t xml:space="preserve">W art. 132ab ust. 1 wprowadzono limit wysokości wynagrodzenia pracowników medycznych zatrudnionych na podstawie umów o pracę jak i umów cywilnoprawnych, z tytułu udzielania świadczeń zdrowotnych, w postaci maksymalnej stawki godzinowej, w wysokości 1/20 minimalnego wynagrodzenia. </w:t>
      </w:r>
      <w:r w:rsidR="00DD20DC">
        <w:t>Natomiast zgodnie z ust. 2</w:t>
      </w:r>
      <w:r w:rsidR="001442FB">
        <w:t>–</w:t>
      </w:r>
      <w:r w:rsidR="00193A40">
        <w:t>4</w:t>
      </w:r>
      <w:r w:rsidR="00DD20DC">
        <w:t xml:space="preserve"> świadczeniodawca będzie mógł przyznać pracownikowi medycznemu wynagrodzenie dodatkowe, </w:t>
      </w:r>
      <w:r w:rsidR="00DD20DC" w:rsidRPr="00DF0C34">
        <w:rPr>
          <w:rFonts w:eastAsia="Times New Roman"/>
        </w:rPr>
        <w:t xml:space="preserve">w związku z przysługującymi </w:t>
      </w:r>
      <w:r w:rsidR="00DD20DC">
        <w:rPr>
          <w:rFonts w:eastAsia="Times New Roman"/>
        </w:rPr>
        <w:t xml:space="preserve">danej </w:t>
      </w:r>
      <w:r w:rsidR="00DD20DC" w:rsidRPr="00DF0C34">
        <w:rPr>
          <w:rFonts w:eastAsia="Times New Roman"/>
        </w:rPr>
        <w:t>osobie</w:t>
      </w:r>
      <w:r w:rsidR="00DD20DC">
        <w:rPr>
          <w:rFonts w:eastAsia="Times New Roman"/>
        </w:rPr>
        <w:t xml:space="preserve"> </w:t>
      </w:r>
      <w:r w:rsidR="00DD20DC" w:rsidRPr="00DF0C34">
        <w:rPr>
          <w:rFonts w:eastAsia="Times New Roman"/>
        </w:rPr>
        <w:t xml:space="preserve">dodatkami </w:t>
      </w:r>
      <w:r w:rsidR="00C416FD">
        <w:rPr>
          <w:rFonts w:eastAsia="Times New Roman"/>
        </w:rPr>
        <w:t xml:space="preserve">motywacyjnymi, dodatkami </w:t>
      </w:r>
      <w:r w:rsidR="00F428AF">
        <w:rPr>
          <w:rFonts w:eastAsia="Times New Roman"/>
        </w:rPr>
        <w:t xml:space="preserve">wynikającymi z ustawy </w:t>
      </w:r>
      <w:r w:rsidR="00DD20DC">
        <w:rPr>
          <w:rFonts w:eastAsia="Times New Roman"/>
        </w:rPr>
        <w:t>ustalonymi do wysokości określonej w ustawie</w:t>
      </w:r>
      <w:r w:rsidR="00C416FD">
        <w:rPr>
          <w:rFonts w:eastAsia="Times New Roman"/>
        </w:rPr>
        <w:t xml:space="preserve">, dodatkami za wysługę lat </w:t>
      </w:r>
      <w:r w:rsidR="00DD20DC">
        <w:rPr>
          <w:rFonts w:eastAsia="Times New Roman"/>
        </w:rPr>
        <w:t xml:space="preserve">oraz </w:t>
      </w:r>
      <w:r w:rsidR="00DD20DC" w:rsidRPr="004A3C35">
        <w:rPr>
          <w:rFonts w:eastAsia="Times New Roman"/>
        </w:rPr>
        <w:t xml:space="preserve">w związku z wykonaniem określonych w umowie zadań innych niż </w:t>
      </w:r>
      <w:r w:rsidR="00DD20DC" w:rsidRPr="006C2823">
        <w:rPr>
          <w:rFonts w:eastAsia="Times New Roman"/>
        </w:rPr>
        <w:t>udzielani</w:t>
      </w:r>
      <w:r w:rsidR="00DD20DC">
        <w:rPr>
          <w:rFonts w:eastAsia="Times New Roman"/>
        </w:rPr>
        <w:t>e</w:t>
      </w:r>
      <w:r w:rsidR="00DD20DC" w:rsidRPr="006C2823">
        <w:rPr>
          <w:rFonts w:eastAsia="Times New Roman"/>
        </w:rPr>
        <w:t xml:space="preserve"> świadczeń zdrowotnych</w:t>
      </w:r>
      <w:r w:rsidR="00DD20DC" w:rsidRPr="004A3C35">
        <w:rPr>
          <w:rFonts w:eastAsia="Times New Roman"/>
        </w:rPr>
        <w:t xml:space="preserve"> </w:t>
      </w:r>
      <w:r w:rsidR="00DD20DC">
        <w:rPr>
          <w:rFonts w:eastAsia="Times New Roman"/>
        </w:rPr>
        <w:t xml:space="preserve">(jak wykonywanie funkcji </w:t>
      </w:r>
      <w:r w:rsidR="00DD20DC" w:rsidRPr="004A3C35">
        <w:rPr>
          <w:rFonts w:eastAsia="Times New Roman"/>
        </w:rPr>
        <w:t>kierowniczych</w:t>
      </w:r>
      <w:r w:rsidR="00DD20DC">
        <w:rPr>
          <w:rFonts w:eastAsia="Times New Roman"/>
        </w:rPr>
        <w:t xml:space="preserve"> w </w:t>
      </w:r>
      <w:r w:rsidR="00DD20DC" w:rsidRPr="005F3F5A">
        <w:rPr>
          <w:rFonts w:eastAsia="Times New Roman"/>
        </w:rPr>
        <w:t>jednostkach lub komórkach organizacyjnych zakładu leczniczego</w:t>
      </w:r>
      <w:r w:rsidR="00DD20DC">
        <w:rPr>
          <w:rFonts w:eastAsia="Times New Roman"/>
        </w:rPr>
        <w:t xml:space="preserve">, wykonywanie zadań </w:t>
      </w:r>
      <w:r w:rsidR="00DD20DC" w:rsidRPr="004A3C35">
        <w:rPr>
          <w:rFonts w:eastAsia="Times New Roman"/>
        </w:rPr>
        <w:t>dydaktycznych</w:t>
      </w:r>
      <w:r w:rsidR="00DD20DC">
        <w:rPr>
          <w:rFonts w:eastAsia="Times New Roman"/>
        </w:rPr>
        <w:t xml:space="preserve"> lub</w:t>
      </w:r>
      <w:r w:rsidR="00DD20DC" w:rsidRPr="004A3C35">
        <w:rPr>
          <w:rFonts w:eastAsia="Times New Roman"/>
        </w:rPr>
        <w:t xml:space="preserve"> naukowych</w:t>
      </w:r>
      <w:r w:rsidR="00DD20DC">
        <w:rPr>
          <w:rFonts w:eastAsia="Times New Roman"/>
        </w:rPr>
        <w:t>).</w:t>
      </w:r>
      <w:r w:rsidR="00DD20DC">
        <w:t xml:space="preserve"> </w:t>
      </w:r>
      <w:r w:rsidR="007A01DC" w:rsidRPr="007A01DC">
        <w:t xml:space="preserve">W przypadku przyznania dodatku motywacyjnego maksymalne średniomiesięczne wynagrodzenie pracownika medycznego będzie określane z zastosowaniem limitu ośmiokrotności minimalnego wynagrodzenia za pracę (zgodnie z art. 132ab ust. </w:t>
      </w:r>
      <w:r w:rsidR="00193A40">
        <w:t>7</w:t>
      </w:r>
      <w:r w:rsidR="007A01DC" w:rsidRPr="007A01DC">
        <w:t xml:space="preserve">), podczas gdy w przypadku innych dodatków należnych pracownikowi medycznemu na podstawie norm rangi ustawowej, zastosowanie znajdzie limit dwunastokrotności minimalnego wynagrodzenia (o którym mowa </w:t>
      </w:r>
      <w:r w:rsidR="007A01DC" w:rsidRPr="007A01DC">
        <w:lastRenderedPageBreak/>
        <w:t xml:space="preserve">w art. 132ab ust. </w:t>
      </w:r>
      <w:r w:rsidR="00193A40">
        <w:t>8</w:t>
      </w:r>
      <w:r w:rsidR="007A01DC" w:rsidRPr="007A01DC">
        <w:t>) – art. 132ab ust. 2. W myśl art. 132ab ust. 3 świadczeniodawca, będący podmiotem leczniczym innym niż:</w:t>
      </w:r>
    </w:p>
    <w:p w14:paraId="6B24F21F" w14:textId="5AD73D01" w:rsidR="007A01DC" w:rsidRPr="007A01DC" w:rsidRDefault="007A01DC" w:rsidP="007A01DC">
      <w:pPr>
        <w:pStyle w:val="NIEARTTEKSTtekstnieartykuowanynppodstprawnarozplubpreambua"/>
        <w:numPr>
          <w:ilvl w:val="0"/>
          <w:numId w:val="31"/>
        </w:numPr>
      </w:pPr>
      <w:r w:rsidRPr="007A01DC">
        <w:t xml:space="preserve">samodzielny publiczny zakład opieki zdrowotnej, </w:t>
      </w:r>
    </w:p>
    <w:p w14:paraId="036984E7" w14:textId="6D140A61" w:rsidR="007A01DC" w:rsidRPr="007A01DC" w:rsidRDefault="007A01DC" w:rsidP="007A01DC">
      <w:pPr>
        <w:pStyle w:val="NIEARTTEKSTtekstnieartykuowanynppodstprawnarozplubpreambua"/>
        <w:numPr>
          <w:ilvl w:val="0"/>
          <w:numId w:val="31"/>
        </w:numPr>
      </w:pPr>
      <w:r w:rsidRPr="007A01DC">
        <w:t>jednostka budżetowa, w tym państwowa jednostka budżetowa tworzona i nadzorowana przez Ministra Obrony Narodowej, ministra właściwego do spraw wewnętrznych, Ministra Sprawiedliwości lub Szefa Agencji Bezpieczeństwa Wewnętrznego, posiadająca w strukturze organizacyjnej ambulatorium, ambulatorium z izbą chorych lub lekarza podstawowej opieki zdrowotnej, pielęgniarkę podstawowej opieki zdrowotnej lub położną podstawowej opieki zdrowotnej</w:t>
      </w:r>
    </w:p>
    <w:p w14:paraId="0D4E0D04" w14:textId="1C48F41F" w:rsidR="00DD20DC" w:rsidRPr="005F1ED3" w:rsidRDefault="00DC26A5" w:rsidP="007A01DC">
      <w:pPr>
        <w:pStyle w:val="NIEARTTEKSTtekstnieartykuowanynppodstprawnarozplubpreambua"/>
      </w:pPr>
      <w:r>
        <w:t>–</w:t>
      </w:r>
      <w:r w:rsidR="007A01DC" w:rsidRPr="007A01DC">
        <w:t xml:space="preserve"> będą mogli przyznać pracownikom medycznym dodatek za wysługę lat w wysokości niewyższej niż określona w art. 65 ustawy z dnia 15 kwietnia 2011 r. o działalności leczniczej. Tym sposobem zostanie zapewniona równość wobec prawa (art. 32 Konstytucji RP) pracowników medycznych świadczeniodawców należących do różnych kategorii podmiotów leczniczych. Dodatek za wysługę lat, o którym mowa w art. 65 ustawy z dnia 15 kwietnia 2011 r. o działalności leczniczej, będzie podlegał limitowi dwunastokrotności minimalnego wynagrodzenia (o którym mowa w art. 132ab ust. </w:t>
      </w:r>
      <w:r w:rsidR="00193A40">
        <w:t>8</w:t>
      </w:r>
      <w:r w:rsidR="007A01DC" w:rsidRPr="007A01DC">
        <w:t>).</w:t>
      </w:r>
    </w:p>
    <w:p w14:paraId="4A04480B" w14:textId="35C9F818" w:rsidR="00DD20DC" w:rsidRDefault="00DD20DC" w:rsidP="000F4578">
      <w:pPr>
        <w:pStyle w:val="NIEARTTEKSTtekstnieartykuowanynppodstprawnarozplubpreambua"/>
      </w:pPr>
      <w:r>
        <w:t xml:space="preserve">Natomiast zgodnie z art. 132ab ust. </w:t>
      </w:r>
      <w:r w:rsidR="00193A40">
        <w:t>5</w:t>
      </w:r>
      <w:r>
        <w:t xml:space="preserve"> </w:t>
      </w:r>
      <w:r w:rsidRPr="00663CF8">
        <w:t>wynagrodzenie dodatkowe, przekraczające maksymalną stawkę godzinową, będzie mogło zostać przyznane także w związku z wykonaniem przez pracownika medycznego określonych w umowie zadań związanych z udzielaniem świadczeń zdrowotnych</w:t>
      </w:r>
      <w:r>
        <w:t xml:space="preserve"> </w:t>
      </w:r>
      <w:r w:rsidR="001442FB">
        <w:t>–</w:t>
      </w:r>
      <w:r>
        <w:t xml:space="preserve"> </w:t>
      </w:r>
      <w:r>
        <w:rPr>
          <w:rFonts w:eastAsia="Times New Roman"/>
        </w:rPr>
        <w:t>w zakresie transplantologii klinicznej, świadczeń wysokospecjalistycznych lub świadczeń udzielanych w centrach urazowych.</w:t>
      </w:r>
    </w:p>
    <w:p w14:paraId="54806548" w14:textId="3DF8E10C" w:rsidR="00D4485D" w:rsidRPr="00D4485D" w:rsidRDefault="00663CF8" w:rsidP="00D4485D">
      <w:pPr>
        <w:pStyle w:val="NIEARTTEKSTtekstnieartykuowanynppodstprawnarozplubpreambua"/>
      </w:pPr>
      <w:r w:rsidRPr="00663CF8">
        <w:t xml:space="preserve">Art. 132ab ust. </w:t>
      </w:r>
      <w:r w:rsidR="00193A40">
        <w:t>7</w:t>
      </w:r>
      <w:r w:rsidRPr="00663CF8">
        <w:t xml:space="preserve"> określa maksymalne </w:t>
      </w:r>
      <w:r w:rsidR="00DD20DC" w:rsidRPr="00294CA5">
        <w:rPr>
          <w:rFonts w:eastAsia="Times New Roman"/>
        </w:rPr>
        <w:t>średniomiesięczne wynagrodzenie w przyjętym okresie rozliczeniowym niedłuższym niż 4 miesiące</w:t>
      </w:r>
      <w:r w:rsidR="00DD20DC">
        <w:rPr>
          <w:rFonts w:eastAsia="Times New Roman"/>
        </w:rPr>
        <w:t xml:space="preserve">, </w:t>
      </w:r>
      <w:r w:rsidRPr="00663CF8">
        <w:t xml:space="preserve">z tytułu udzielania świadczeń zdrowotnych objętych umową z NFZ, zarówno w ramach umów o pracę jak i umów cywilnoprawnych, w wysokości iloczynu ułamka odpowiadającego wymiarowi czasu </w:t>
      </w:r>
      <w:r w:rsidR="009D19F6">
        <w:t>zatrudnienia</w:t>
      </w:r>
      <w:r w:rsidRPr="00663CF8">
        <w:t>, określ</w:t>
      </w:r>
      <w:r w:rsidR="0045299B">
        <w:t>o</w:t>
      </w:r>
      <w:r w:rsidRPr="00663CF8">
        <w:t>nemu w umowie zawartej ze świadczeniodawcą i kwoty ośmiokrotności minimalnego wynagrodzenia za pracę</w:t>
      </w:r>
      <w:r w:rsidR="00D4485D">
        <w:t xml:space="preserve">. Natomiast jednocześnie </w:t>
      </w:r>
      <w:r w:rsidR="00D4485D">
        <w:rPr>
          <w:rFonts w:eastAsia="Times New Roman"/>
        </w:rPr>
        <w:t xml:space="preserve">łączna kwota </w:t>
      </w:r>
      <w:r w:rsidR="00D4485D" w:rsidRPr="00D53CBD">
        <w:rPr>
          <w:rFonts w:eastAsia="Times New Roman"/>
        </w:rPr>
        <w:t xml:space="preserve">wynagrodzenia pobieranego z </w:t>
      </w:r>
      <w:r w:rsidR="00D4485D">
        <w:rPr>
          <w:rFonts w:eastAsia="Times New Roman"/>
        </w:rPr>
        <w:t xml:space="preserve">tytułu umów zawartych ze świadczeniodawcami, </w:t>
      </w:r>
      <w:r w:rsidR="00D4485D" w:rsidRPr="00E128FD">
        <w:rPr>
          <w:rFonts w:eastAsia="Times New Roman"/>
        </w:rPr>
        <w:t>realizującymi umowę o udzielanie świadczeń opieki zdrowotnej</w:t>
      </w:r>
      <w:r w:rsidR="00D4485D">
        <w:rPr>
          <w:rFonts w:eastAsia="Times New Roman"/>
        </w:rPr>
        <w:t>,</w:t>
      </w:r>
      <w:r w:rsidR="00D4485D" w:rsidRPr="00E128FD">
        <w:rPr>
          <w:rFonts w:eastAsia="Times New Roman"/>
        </w:rPr>
        <w:t xml:space="preserve"> </w:t>
      </w:r>
      <w:r w:rsidR="00D4485D">
        <w:rPr>
          <w:rFonts w:eastAsia="Times New Roman"/>
        </w:rPr>
        <w:t xml:space="preserve">z uwzględnieniem łącznego </w:t>
      </w:r>
      <w:r w:rsidR="009D19F6">
        <w:rPr>
          <w:rFonts w:eastAsia="Times New Roman"/>
        </w:rPr>
        <w:t xml:space="preserve">maksymalnego </w:t>
      </w:r>
      <w:r w:rsidR="00D4485D">
        <w:rPr>
          <w:rFonts w:eastAsia="Times New Roman"/>
        </w:rPr>
        <w:t xml:space="preserve">wymiaru czasu </w:t>
      </w:r>
      <w:r w:rsidR="009D19F6">
        <w:rPr>
          <w:rFonts w:eastAsia="Times New Roman"/>
        </w:rPr>
        <w:t>zatrudnienia</w:t>
      </w:r>
      <w:r w:rsidR="00D4485D">
        <w:rPr>
          <w:rFonts w:eastAsia="Times New Roman"/>
        </w:rPr>
        <w:t xml:space="preserve">, o którym mowa w art. 132aa ust. 1, </w:t>
      </w:r>
      <w:r w:rsidR="00D4485D" w:rsidRPr="00FF74E3">
        <w:rPr>
          <w:rFonts w:eastAsia="Times New Roman"/>
        </w:rPr>
        <w:t xml:space="preserve">nie może przekroczyć </w:t>
      </w:r>
      <w:r w:rsidR="00D4485D" w:rsidRPr="005F7276">
        <w:rPr>
          <w:rFonts w:eastAsia="Times New Roman"/>
        </w:rPr>
        <w:lastRenderedPageBreak/>
        <w:t>średniomiesięcznie</w:t>
      </w:r>
      <w:r w:rsidR="00D4485D" w:rsidRPr="00FF74E3">
        <w:rPr>
          <w:rFonts w:eastAsia="Times New Roman"/>
        </w:rPr>
        <w:t xml:space="preserve"> kwoty </w:t>
      </w:r>
      <w:r w:rsidR="00D4485D">
        <w:rPr>
          <w:rFonts w:eastAsia="Times New Roman"/>
        </w:rPr>
        <w:t>szesnasto</w:t>
      </w:r>
      <w:r w:rsidR="00D4485D" w:rsidRPr="00FF74E3">
        <w:rPr>
          <w:rFonts w:eastAsia="Times New Roman"/>
        </w:rPr>
        <w:t xml:space="preserve">krotności minimalnego wynagrodzenia </w:t>
      </w:r>
      <w:r w:rsidR="00D4485D" w:rsidRPr="002A6527">
        <w:rPr>
          <w:rFonts w:eastAsia="Times New Roman"/>
        </w:rPr>
        <w:t>w przyjętym okresie rozliczeniowym niedłuższym niż 4 miesiące</w:t>
      </w:r>
      <w:r w:rsidR="00D4485D">
        <w:rPr>
          <w:rFonts w:eastAsia="Times New Roman"/>
        </w:rPr>
        <w:t>.</w:t>
      </w:r>
    </w:p>
    <w:p w14:paraId="06EB3607" w14:textId="6217871E" w:rsidR="00602FEF" w:rsidRDefault="00663CF8" w:rsidP="00602FEF">
      <w:pPr>
        <w:pStyle w:val="NIEARTTEKSTtekstnieartykuowanynppodstprawnarozplubpreambua"/>
      </w:pPr>
      <w:r w:rsidRPr="00663CF8">
        <w:t>W art. 132ab ust.</w:t>
      </w:r>
      <w:r w:rsidR="009D19F6">
        <w:t xml:space="preserve"> </w:t>
      </w:r>
      <w:r w:rsidR="00193A40">
        <w:t>8</w:t>
      </w:r>
      <w:r w:rsidR="00E023E4">
        <w:t xml:space="preserve"> </w:t>
      </w:r>
      <w:r w:rsidRPr="00663CF8">
        <w:t xml:space="preserve">określono maksymalny limit </w:t>
      </w:r>
      <w:r w:rsidR="00D4485D" w:rsidRPr="00294CA5">
        <w:rPr>
          <w:rFonts w:eastAsia="Times New Roman"/>
        </w:rPr>
        <w:t>średniomiesięczne</w:t>
      </w:r>
      <w:r w:rsidR="00D4485D">
        <w:t xml:space="preserve">go </w:t>
      </w:r>
      <w:r w:rsidRPr="00663CF8">
        <w:t xml:space="preserve">wynagrodzenia w przypadku przyznania wynagrodzenia dodatkowego z tytułu zadań określonych w ust. 3 lub </w:t>
      </w:r>
      <w:r w:rsidR="009D19F6">
        <w:t>4</w:t>
      </w:r>
      <w:r w:rsidR="00602FEF">
        <w:t xml:space="preserve">, w wysokości 12-krotności minimalnego wynagrodzenia, jednak z zastrzeżeniem, że </w:t>
      </w:r>
      <w:r w:rsidR="00602FEF" w:rsidRPr="00602FEF">
        <w:t xml:space="preserve">łączna kwota wynagrodzenia pobieranego z tytułu umów zawartych ze świadczeniodawcami, z uwzględnieniem łącznego </w:t>
      </w:r>
      <w:r w:rsidR="00602FEF">
        <w:t xml:space="preserve">maksymalnego </w:t>
      </w:r>
      <w:r w:rsidR="00602FEF" w:rsidRPr="00602FEF">
        <w:t xml:space="preserve">wymiaru czasu </w:t>
      </w:r>
      <w:r w:rsidR="009D19F6">
        <w:t>zatrudnienia</w:t>
      </w:r>
      <w:r w:rsidR="00602FEF">
        <w:t xml:space="preserve"> </w:t>
      </w:r>
      <w:r w:rsidR="00602FEF" w:rsidRPr="00602FEF">
        <w:t>nie może przekroczyć kwoty szesnastokrotności minimalnego wynagrodzenia</w:t>
      </w:r>
      <w:r w:rsidR="00602FEF">
        <w:t>.</w:t>
      </w:r>
    </w:p>
    <w:p w14:paraId="531D0D95" w14:textId="2510BD21" w:rsidR="0037642A" w:rsidRDefault="00D4485D" w:rsidP="0037642A">
      <w:pPr>
        <w:pStyle w:val="ARTartustawynprozporzdzenia"/>
        <w:rPr>
          <w:rFonts w:eastAsia="Times New Roman"/>
        </w:rPr>
      </w:pPr>
      <w:r>
        <w:t xml:space="preserve">W art. 132ab ust. </w:t>
      </w:r>
      <w:r w:rsidR="00193A40">
        <w:t>9</w:t>
      </w:r>
      <w:r>
        <w:t xml:space="preserve"> zawarto wyłączenie, zgodnie z którym </w:t>
      </w:r>
      <w:r>
        <w:rPr>
          <w:rFonts w:eastAsia="Times New Roman"/>
        </w:rPr>
        <w:t>m</w:t>
      </w:r>
      <w:r w:rsidRPr="00695DCA">
        <w:rPr>
          <w:rFonts w:eastAsia="Times New Roman"/>
        </w:rPr>
        <w:t xml:space="preserve">aksymalne wynagrodzenie średniomiesięczne oraz maksymalna stawka godzinowa wynagrodzenia zasadniczego nie obejmują nagrody jubileuszowej, </w:t>
      </w:r>
      <w:r w:rsidR="00E023E4">
        <w:rPr>
          <w:rFonts w:eastAsia="Times New Roman"/>
        </w:rPr>
        <w:t>oraz świadczeń związanych z rozwiązaniem stosunku pracy</w:t>
      </w:r>
      <w:r w:rsidR="00A772C6">
        <w:rPr>
          <w:rFonts w:eastAsia="Times New Roman"/>
        </w:rPr>
        <w:t>,</w:t>
      </w:r>
      <w:r w:rsidR="00E023E4">
        <w:rPr>
          <w:rFonts w:eastAsia="Times New Roman"/>
        </w:rPr>
        <w:t xml:space="preserve"> tj. </w:t>
      </w:r>
      <w:r w:rsidRPr="00695DCA">
        <w:rPr>
          <w:rFonts w:eastAsia="Times New Roman"/>
        </w:rPr>
        <w:t xml:space="preserve">odprawy rentowej i emerytalnej, ekwiwalentu pieniężnego za nie wykorzystany urlop wypoczynkowy, </w:t>
      </w:r>
      <w:r w:rsidR="00E023E4">
        <w:rPr>
          <w:rFonts w:eastAsia="Times New Roman"/>
        </w:rPr>
        <w:t xml:space="preserve">a także </w:t>
      </w:r>
      <w:r w:rsidRPr="00695DCA">
        <w:rPr>
          <w:rFonts w:eastAsia="Times New Roman"/>
        </w:rPr>
        <w:t>świadczeń odszkodowawczych wynikających ze stosunku pracy ustalonych do wysokości określonej w ustawie oraz dodatkowego wynagrodzenia rocznego w podmiotach leczniczych działających w formie jednostki budżetowej</w:t>
      </w:r>
      <w:r>
        <w:rPr>
          <w:rFonts w:eastAsia="Times New Roman"/>
        </w:rPr>
        <w:t>.</w:t>
      </w:r>
    </w:p>
    <w:p w14:paraId="7D0DF405" w14:textId="098787D3" w:rsidR="006C7992" w:rsidRDefault="00D4485D" w:rsidP="00B6315A">
      <w:pPr>
        <w:pStyle w:val="ARTartustawynprozporzdzenia"/>
      </w:pPr>
      <w:r>
        <w:rPr>
          <w:rFonts w:eastAsia="Times New Roman"/>
        </w:rPr>
        <w:t>W art. 132ab ust. 1</w:t>
      </w:r>
      <w:r w:rsidR="00193A40">
        <w:rPr>
          <w:rFonts w:eastAsia="Times New Roman"/>
        </w:rPr>
        <w:t>0</w:t>
      </w:r>
      <w:r>
        <w:rPr>
          <w:rFonts w:eastAsia="Times New Roman"/>
        </w:rPr>
        <w:t xml:space="preserve"> nałożono na pracownika medycznego obowiązek składania, przed </w:t>
      </w:r>
      <w:r w:rsidR="009D19F6">
        <w:rPr>
          <w:rFonts w:eastAsia="Times New Roman"/>
        </w:rPr>
        <w:t xml:space="preserve">podjęciem </w:t>
      </w:r>
      <w:r>
        <w:rPr>
          <w:rFonts w:eastAsia="Times New Roman"/>
        </w:rPr>
        <w:t>zatrudnieni</w:t>
      </w:r>
      <w:r w:rsidR="009D19F6">
        <w:rPr>
          <w:rFonts w:eastAsia="Times New Roman"/>
        </w:rPr>
        <w:t>a</w:t>
      </w:r>
      <w:r>
        <w:rPr>
          <w:rFonts w:eastAsia="Times New Roman"/>
        </w:rPr>
        <w:t xml:space="preserve">, oświadczenia </w:t>
      </w:r>
      <w:r w:rsidRPr="005E0230">
        <w:rPr>
          <w:rFonts w:eastAsia="Times New Roman"/>
        </w:rPr>
        <w:t>o łącznym</w:t>
      </w:r>
      <w:r>
        <w:rPr>
          <w:rFonts w:eastAsia="Times New Roman"/>
        </w:rPr>
        <w:t xml:space="preserve"> maksymalnym średniomiesięcznym wynagrodzeniu </w:t>
      </w:r>
      <w:r w:rsidRPr="00FF74E3">
        <w:rPr>
          <w:rFonts w:eastAsia="Times New Roman"/>
        </w:rPr>
        <w:t>z tytułu udzielania świadczeń</w:t>
      </w:r>
      <w:r>
        <w:rPr>
          <w:rFonts w:eastAsia="Times New Roman"/>
        </w:rPr>
        <w:t xml:space="preserve"> </w:t>
      </w:r>
      <w:r w:rsidRPr="00FF74E3">
        <w:rPr>
          <w:rFonts w:eastAsia="Times New Roman"/>
        </w:rPr>
        <w:t>zdrowotnych</w:t>
      </w:r>
      <w:r>
        <w:rPr>
          <w:rFonts w:eastAsia="Times New Roman"/>
        </w:rPr>
        <w:t xml:space="preserve"> </w:t>
      </w:r>
      <w:r w:rsidRPr="005F3F5A">
        <w:rPr>
          <w:rFonts w:eastAsia="Times New Roman"/>
        </w:rPr>
        <w:t>oraz z tytułu wykonywania zadań innych niż udzielanie świadczeń zdrowotnych</w:t>
      </w:r>
      <w:r w:rsidRPr="005E0230">
        <w:rPr>
          <w:rFonts w:eastAsia="Times New Roman"/>
        </w:rPr>
        <w:t xml:space="preserve">, </w:t>
      </w:r>
      <w:r>
        <w:rPr>
          <w:rFonts w:eastAsia="Times New Roman"/>
        </w:rPr>
        <w:t>określonym</w:t>
      </w:r>
      <w:r w:rsidRPr="005E0230">
        <w:rPr>
          <w:rFonts w:eastAsia="Times New Roman"/>
        </w:rPr>
        <w:t xml:space="preserve"> </w:t>
      </w:r>
      <w:r>
        <w:rPr>
          <w:rFonts w:eastAsia="Times New Roman"/>
        </w:rPr>
        <w:t>w</w:t>
      </w:r>
      <w:r w:rsidRPr="005E0230">
        <w:rPr>
          <w:rFonts w:eastAsia="Times New Roman"/>
        </w:rPr>
        <w:t xml:space="preserve"> um</w:t>
      </w:r>
      <w:r>
        <w:rPr>
          <w:rFonts w:eastAsia="Times New Roman"/>
        </w:rPr>
        <w:t>owach</w:t>
      </w:r>
      <w:r w:rsidRPr="005E0230">
        <w:rPr>
          <w:rFonts w:eastAsia="Times New Roman"/>
        </w:rPr>
        <w:t xml:space="preserve"> zawartych z zatrudniającymi </w:t>
      </w:r>
      <w:r>
        <w:rPr>
          <w:rFonts w:eastAsia="Times New Roman"/>
        </w:rPr>
        <w:t>go</w:t>
      </w:r>
      <w:r w:rsidRPr="005E0230">
        <w:rPr>
          <w:rFonts w:eastAsia="Times New Roman"/>
        </w:rPr>
        <w:t xml:space="preserve"> świadczeniodawcami</w:t>
      </w:r>
      <w:r>
        <w:rPr>
          <w:rFonts w:eastAsia="Times New Roman"/>
        </w:rPr>
        <w:t xml:space="preserve">, realizującymi umowę o udzielanie świadczeń opieki zdrowotnej. Natomiast </w:t>
      </w:r>
      <w:r w:rsidR="00850448">
        <w:rPr>
          <w:rFonts w:eastAsia="Times New Roman"/>
        </w:rPr>
        <w:t>zgodnie z ust. 1</w:t>
      </w:r>
      <w:r w:rsidR="00193A40">
        <w:rPr>
          <w:rFonts w:eastAsia="Times New Roman"/>
        </w:rPr>
        <w:t>1</w:t>
      </w:r>
      <w:r w:rsidR="00850448">
        <w:rPr>
          <w:rFonts w:eastAsia="Times New Roman"/>
        </w:rPr>
        <w:t xml:space="preserve"> pracownik medyczny powinien </w:t>
      </w:r>
      <w:r w:rsidR="00850448">
        <w:t xml:space="preserve">złożyć kierownikowi zatrudniającego go podmiotu leczniczego oświadczenie </w:t>
      </w:r>
      <w:r w:rsidR="00850448" w:rsidRPr="009A24AA">
        <w:t>o zmianie okoliczności, która ma wpływ na</w:t>
      </w:r>
      <w:r w:rsidR="00850448">
        <w:t xml:space="preserve"> jego łączne maksymalne </w:t>
      </w:r>
      <w:r w:rsidR="00850448">
        <w:rPr>
          <w:rFonts w:eastAsia="Times New Roman"/>
        </w:rPr>
        <w:t>wynagrodzenie średniomiesięczne, w terminie 7 dni od dnia wystąpienia tej zmiany. W takiej sytuacji kierownik podmiotu leczniczego</w:t>
      </w:r>
      <w:r w:rsidR="00850448">
        <w:t xml:space="preserve">, niepóźniej niż </w:t>
      </w:r>
      <w:r w:rsidR="00850448">
        <w:rPr>
          <w:rFonts w:eastAsia="Times New Roman"/>
        </w:rPr>
        <w:t>w terminie 3 dni</w:t>
      </w:r>
      <w:r w:rsidR="00E023E4">
        <w:rPr>
          <w:rFonts w:eastAsia="Times New Roman"/>
        </w:rPr>
        <w:t xml:space="preserve"> roboczych</w:t>
      </w:r>
      <w:r w:rsidR="00850448">
        <w:rPr>
          <w:rFonts w:eastAsia="Times New Roman"/>
        </w:rPr>
        <w:t>, przedstawia zmiany do umowy o pracę,</w:t>
      </w:r>
      <w:r w:rsidR="00850448" w:rsidRPr="00691AB4">
        <w:rPr>
          <w:rFonts w:eastAsia="Times New Roman"/>
        </w:rPr>
        <w:t xml:space="preserve"> </w:t>
      </w:r>
      <w:r w:rsidR="00850448">
        <w:rPr>
          <w:rFonts w:eastAsia="Times New Roman"/>
        </w:rPr>
        <w:t xml:space="preserve">umowy lub </w:t>
      </w:r>
      <w:r w:rsidR="00850448" w:rsidRPr="00691AB4">
        <w:rPr>
          <w:rFonts w:eastAsia="Times New Roman"/>
        </w:rPr>
        <w:t>innego aktu, na podstawie których powsta</w:t>
      </w:r>
      <w:r w:rsidR="00850448">
        <w:rPr>
          <w:rFonts w:eastAsia="Times New Roman"/>
        </w:rPr>
        <w:t>ł</w:t>
      </w:r>
      <w:r w:rsidR="00850448" w:rsidRPr="00691AB4">
        <w:rPr>
          <w:rFonts w:eastAsia="Times New Roman"/>
        </w:rPr>
        <w:t xml:space="preserve"> stosunek inny niż stosunek pracy albo stosunek służbowy</w:t>
      </w:r>
      <w:r w:rsidR="00850448">
        <w:rPr>
          <w:rFonts w:eastAsia="Times New Roman"/>
        </w:rPr>
        <w:t xml:space="preserve">, niezbędne do zachowania </w:t>
      </w:r>
      <w:r w:rsidR="00850448">
        <w:t>łączne</w:t>
      </w:r>
      <w:r w:rsidR="00F87E93">
        <w:t>go</w:t>
      </w:r>
      <w:r w:rsidR="00850448">
        <w:t xml:space="preserve"> maksymalne</w:t>
      </w:r>
      <w:r w:rsidR="00F87E93">
        <w:t>go</w:t>
      </w:r>
      <w:r w:rsidR="00850448">
        <w:t xml:space="preserve"> </w:t>
      </w:r>
      <w:r w:rsidR="00850448">
        <w:rPr>
          <w:rFonts w:eastAsia="Times New Roman"/>
        </w:rPr>
        <w:t>wynagrodzeni</w:t>
      </w:r>
      <w:r w:rsidR="00F87E93">
        <w:rPr>
          <w:rFonts w:eastAsia="Times New Roman"/>
        </w:rPr>
        <w:t>a</w:t>
      </w:r>
      <w:r w:rsidR="00850448">
        <w:rPr>
          <w:rFonts w:eastAsia="Times New Roman"/>
        </w:rPr>
        <w:t xml:space="preserve"> danej osoby. W przypadku braku zgody tej osoby na nowe warunki zatrudnienia w terminie 3 dni</w:t>
      </w:r>
      <w:r w:rsidR="00E023E4">
        <w:rPr>
          <w:rFonts w:eastAsia="Times New Roman"/>
        </w:rPr>
        <w:t xml:space="preserve"> roboczych</w:t>
      </w:r>
      <w:r w:rsidR="00850448">
        <w:rPr>
          <w:rFonts w:eastAsia="Times New Roman"/>
        </w:rPr>
        <w:t xml:space="preserve">, kierownik podmiotu leczniczego wypowiada umowę o pracę lub umowę, na podstawie której powstał </w:t>
      </w:r>
      <w:r w:rsidR="00850448" w:rsidRPr="00691AB4">
        <w:rPr>
          <w:rFonts w:eastAsia="Times New Roman"/>
        </w:rPr>
        <w:t>stosunek inny niż stosunek pracy albo stosunek służbowy</w:t>
      </w:r>
      <w:r w:rsidR="00850448">
        <w:rPr>
          <w:rFonts w:eastAsia="Times New Roman"/>
        </w:rPr>
        <w:t xml:space="preserve">, bez zachowania okresu wypowiedzenia, lub podejmuje niezbędne działania do niezwłocznego uchylenia innego aktu, na podstawie którego powstał stosunek inny niż </w:t>
      </w:r>
      <w:r w:rsidR="00850448" w:rsidRPr="00691AB4">
        <w:rPr>
          <w:rFonts w:eastAsia="Times New Roman"/>
        </w:rPr>
        <w:t>stosunek pracy albo stosunek służbowy</w:t>
      </w:r>
      <w:r w:rsidR="00850448">
        <w:rPr>
          <w:rFonts w:eastAsia="Times New Roman"/>
        </w:rPr>
        <w:t xml:space="preserve">. </w:t>
      </w:r>
      <w:r w:rsidR="00663CF8" w:rsidRPr="00663CF8">
        <w:t>W</w:t>
      </w:r>
      <w:r w:rsidR="005F1ED3">
        <w:t> </w:t>
      </w:r>
      <w:r w:rsidR="00663CF8" w:rsidRPr="00663CF8">
        <w:t xml:space="preserve">art. </w:t>
      </w:r>
      <w:r w:rsidR="00663CF8" w:rsidRPr="00663CF8">
        <w:lastRenderedPageBreak/>
        <w:t xml:space="preserve">132ab ust. </w:t>
      </w:r>
      <w:r w:rsidR="00663CF8">
        <w:t>1</w:t>
      </w:r>
      <w:r w:rsidR="00193A40">
        <w:t>2</w:t>
      </w:r>
      <w:r w:rsidR="00663CF8" w:rsidRPr="00663CF8">
        <w:t xml:space="preserve"> wprowadzono bezwzględny zakaz określania wynagrodzenia pracownika medycznego </w:t>
      </w:r>
      <w:r w:rsidR="00493763">
        <w:t xml:space="preserve">z </w:t>
      </w:r>
      <w:r w:rsidR="00663CF8" w:rsidRPr="00663CF8">
        <w:t>tytułu udzielania świadczeń zdrowotnych objętych umową o udzielanie świadczeń opieki zdrowotnej, jako stawki procentowej kwoty uzyskiwanej przez świadczeniodawcę od NFZ z tytułu realizacji tej umowy.</w:t>
      </w:r>
    </w:p>
    <w:p w14:paraId="28A3D15E" w14:textId="2F726F7D" w:rsidR="006C7992" w:rsidRPr="00E023E4" w:rsidRDefault="006C7992" w:rsidP="00B6315A">
      <w:pPr>
        <w:pStyle w:val="NIEARTTEKSTtekstnieartykuowanynppodstprawnarozplubpreambua"/>
        <w:rPr>
          <w:rFonts w:eastAsia="Times New Roman"/>
        </w:rPr>
      </w:pPr>
      <w:r>
        <w:t xml:space="preserve">W dodawanym </w:t>
      </w:r>
      <w:r>
        <w:rPr>
          <w:rFonts w:eastAsia="Times New Roman"/>
        </w:rPr>
        <w:t xml:space="preserve">art. 132ac wprowadzono </w:t>
      </w:r>
      <w:r w:rsidR="00422092">
        <w:rPr>
          <w:rFonts w:eastAsia="Times New Roman"/>
        </w:rPr>
        <w:t xml:space="preserve">przepis stanowiący, iż </w:t>
      </w:r>
      <w:r>
        <w:rPr>
          <w:rFonts w:eastAsia="Times New Roman"/>
        </w:rPr>
        <w:t>ośw</w:t>
      </w:r>
      <w:r w:rsidRPr="00F250BB">
        <w:rPr>
          <w:rFonts w:eastAsia="Times New Roman"/>
        </w:rPr>
        <w:t>iadczenia, o których mowa</w:t>
      </w:r>
      <w:r w:rsidR="00422092">
        <w:rPr>
          <w:rFonts w:eastAsia="Times New Roman"/>
        </w:rPr>
        <w:t xml:space="preserve"> </w:t>
      </w:r>
      <w:r w:rsidRPr="00F250BB">
        <w:rPr>
          <w:rFonts w:eastAsia="Times New Roman"/>
        </w:rPr>
        <w:t>w art.</w:t>
      </w:r>
      <w:r>
        <w:rPr>
          <w:rFonts w:eastAsia="Times New Roman"/>
        </w:rPr>
        <w:t>132aa ust. 4, 8 i 12 oraz art. 132ab ust. 1</w:t>
      </w:r>
      <w:r w:rsidR="00193A40">
        <w:rPr>
          <w:rFonts w:eastAsia="Times New Roman"/>
        </w:rPr>
        <w:t>0</w:t>
      </w:r>
      <w:r>
        <w:rPr>
          <w:rFonts w:eastAsia="Times New Roman"/>
        </w:rPr>
        <w:t xml:space="preserve"> i 1</w:t>
      </w:r>
      <w:r w:rsidR="00193A40">
        <w:rPr>
          <w:rFonts w:eastAsia="Times New Roman"/>
        </w:rPr>
        <w:t>1</w:t>
      </w:r>
      <w:r w:rsidRPr="00F250BB">
        <w:rPr>
          <w:rFonts w:eastAsia="Times New Roman"/>
        </w:rPr>
        <w:t xml:space="preserve">, </w:t>
      </w:r>
      <w:r w:rsidR="00422092">
        <w:rPr>
          <w:rFonts w:eastAsia="Times New Roman"/>
        </w:rPr>
        <w:t xml:space="preserve">są </w:t>
      </w:r>
      <w:r w:rsidRPr="00F250BB">
        <w:rPr>
          <w:rFonts w:eastAsia="Times New Roman"/>
        </w:rPr>
        <w:t>składa</w:t>
      </w:r>
      <w:r w:rsidR="00422092">
        <w:rPr>
          <w:rFonts w:eastAsia="Times New Roman"/>
        </w:rPr>
        <w:t>ne</w:t>
      </w:r>
      <w:r w:rsidRPr="00F250BB">
        <w:rPr>
          <w:rFonts w:eastAsia="Times New Roman"/>
        </w:rPr>
        <w:t xml:space="preserve"> pod rygorem </w:t>
      </w:r>
      <w:r w:rsidRPr="00B6315A">
        <w:t>odpowiedzialności</w:t>
      </w:r>
      <w:r w:rsidRPr="00F250BB">
        <w:rPr>
          <w:rFonts w:eastAsia="Times New Roman"/>
        </w:rPr>
        <w:t xml:space="preserve"> karnej za składanie fałszywych oświadczeń</w:t>
      </w:r>
      <w:r w:rsidR="00422092">
        <w:rPr>
          <w:rFonts w:eastAsia="Times New Roman"/>
        </w:rPr>
        <w:t>. Jednocześnie w ust. 2 określono, że oświadczenia te powinny być przechowywane</w:t>
      </w:r>
      <w:r w:rsidR="00422092" w:rsidRPr="006E1D5F">
        <w:rPr>
          <w:rFonts w:eastAsia="Times New Roman"/>
        </w:rPr>
        <w:t xml:space="preserve"> przez okres 10 lat</w:t>
      </w:r>
      <w:r w:rsidR="00422092">
        <w:rPr>
          <w:rFonts w:eastAsia="Times New Roman"/>
        </w:rPr>
        <w:t xml:space="preserve">, </w:t>
      </w:r>
      <w:r w:rsidR="00422092" w:rsidRPr="006E1D5F">
        <w:rPr>
          <w:rFonts w:eastAsia="Times New Roman"/>
        </w:rPr>
        <w:t>w sposób gwarantujący zachowanie ich poufności, integralności, kompletności oraz dostępności, w warunkach niegrożących uszkodzeniem lub zniszczeniem</w:t>
      </w:r>
      <w:r w:rsidR="00422092">
        <w:rPr>
          <w:rFonts w:eastAsia="Times New Roman"/>
        </w:rPr>
        <w:t>.</w:t>
      </w:r>
    </w:p>
    <w:p w14:paraId="21C2598A" w14:textId="77777777" w:rsidR="00663CF8" w:rsidRPr="00663CF8" w:rsidRDefault="00663CF8" w:rsidP="00663CF8">
      <w:pPr>
        <w:pStyle w:val="NIEARTTEKSTtekstnieartykuowanynppodstprawnarozplubpreambua"/>
      </w:pPr>
      <w:r w:rsidRPr="00663CF8">
        <w:t>Celem powyższych rozwiązań legislacyjnych jest:</w:t>
      </w:r>
    </w:p>
    <w:p w14:paraId="37F1B470" w14:textId="126A0888" w:rsidR="00663CF8" w:rsidRPr="00663CF8" w:rsidRDefault="00663CF8" w:rsidP="00663CF8">
      <w:pPr>
        <w:pStyle w:val="NIEARTTEKSTtekstnieartykuowanynppodstprawnarozplubpreambua"/>
        <w:numPr>
          <w:ilvl w:val="0"/>
          <w:numId w:val="29"/>
        </w:numPr>
      </w:pPr>
      <w:r w:rsidRPr="00663CF8">
        <w:t>wyeliminowanie szkodliwej praktyki, w sposób nieuzasadniony prowadzącej do automatycznego wzrostu wynagrodzenia pracowników medycznych w konsekwencji każdorazowego po</w:t>
      </w:r>
      <w:r w:rsidR="00A801C0">
        <w:t>d</w:t>
      </w:r>
      <w:r w:rsidRPr="00663CF8">
        <w:t>niesienia wyceny świadczeń,</w:t>
      </w:r>
    </w:p>
    <w:p w14:paraId="4EA3F418" w14:textId="4B05D9E4" w:rsidR="00663CF8" w:rsidRPr="00663CF8" w:rsidRDefault="00663CF8" w:rsidP="00663CF8">
      <w:pPr>
        <w:pStyle w:val="NIEARTTEKSTtekstnieartykuowanynppodstprawnarozplubpreambua"/>
        <w:numPr>
          <w:ilvl w:val="0"/>
          <w:numId w:val="29"/>
        </w:numPr>
      </w:pPr>
      <w:r w:rsidRPr="00663CF8">
        <w:t>powstrzymanie spirali płacowej w publicznej opiece zdrowotnej, powodującej zadłużanie się podmiotów leczniczych oraz zwiększający deficyt w finansach NFZ,</w:t>
      </w:r>
    </w:p>
    <w:p w14:paraId="02D81A88" w14:textId="77777777" w:rsidR="00663CF8" w:rsidRPr="00663CF8" w:rsidRDefault="00663CF8" w:rsidP="00663CF8">
      <w:pPr>
        <w:pStyle w:val="NIEARTTEKSTtekstnieartykuowanynppodstprawnarozplubpreambua"/>
        <w:numPr>
          <w:ilvl w:val="0"/>
          <w:numId w:val="29"/>
        </w:numPr>
      </w:pPr>
      <w:r w:rsidRPr="00663CF8">
        <w:t xml:space="preserve">zwiększenie liczby możliwych do sfinansowania przez NFZ świadczeń opieki zdrowotnej, w ramach ograniczonych środków pozostających w jego dyspozycji. </w:t>
      </w:r>
    </w:p>
    <w:p w14:paraId="377E96C5" w14:textId="77777777" w:rsidR="00663CF8" w:rsidRPr="00663CF8" w:rsidRDefault="00663CF8" w:rsidP="00663CF8">
      <w:pPr>
        <w:pStyle w:val="NIEARTTEKSTtekstnieartykuowanynppodstprawnarozplubpreambua"/>
      </w:pPr>
      <w:r w:rsidRPr="00663CF8">
        <w:t>II. Regulacje dotyczące kompetencji kontrolnych NFZ</w:t>
      </w:r>
    </w:p>
    <w:p w14:paraId="30AF1625" w14:textId="2F635FFF" w:rsidR="00663CF8" w:rsidRPr="00663CF8" w:rsidRDefault="00663CF8" w:rsidP="00663CF8">
      <w:pPr>
        <w:pStyle w:val="NIEARTTEKSTtekstnieartykuowanynppodstprawnarozplubpreambua"/>
      </w:pPr>
      <w:r w:rsidRPr="00663CF8">
        <w:t>Obecne brzmienie przepisów art. 48e</w:t>
      </w:r>
      <w:r w:rsidR="00AB59B3">
        <w:t xml:space="preserve"> ustawy o świadczeniach</w:t>
      </w:r>
      <w:r w:rsidRPr="00663CF8">
        <w:t xml:space="preserve"> prowadzi do powstania rozbieżności interpretacyjnych w zakresie organu właściwego do wykonywania czynności kontrolnych wobec świadczeniodawców realizujących programy pilotażowe, w szczególności w zakresie kontroli prawidłowości realizowania i rozliczania programów pilotażowych, na co zwróciła uwagę Wielkopolska Delegatura Najwyższej Izby Kontroli w Poznaniu w toku kontroli nr P/25/078 pn. Środowiskowa opieka psychiatryczna dla osób dorosłych. Powyższe uzasadnia podjęcie inicjatywy ustawodawczej zmierzającej do doprecyzowania przepisów ustawy poprzez jednoznaczne określenie zakresu kompetencji kontrolnych NFZ wobec programów pilotażowych, co zapewni spójność regulacji ustawowych oraz jednoznaczne określenie organu właściwego do wykonywania czynności kontrolnych programów pilotażowych.</w:t>
      </w:r>
      <w:r w:rsidR="00204B43" w:rsidRPr="00204B43">
        <w:t xml:space="preserve"> Wprowadzony w art. 48e ust. 6 obowiązek poddania się przez realizatora programu pilotażowego kontroli NFZ wymaga wprowadzenia do umów o realizację programu </w:t>
      </w:r>
      <w:r w:rsidR="00204B43" w:rsidRPr="00204B43">
        <w:lastRenderedPageBreak/>
        <w:t>pilotażowego postanowienia zobowiązującego realizatora programu do poddania się przez realizatora programu kontroli Funduszu w zakresie określonym w art. 61a ust. 1 i 1a ustawy. Wynika to z faktu odmienności umów o udzielanie świadczeń opieki zdrowotnej i umów o realizację programu pilotażowego, w odniesieniu do których przepisy nie regulują powyższych kwestii. Regulacja taka jest zgodna z brzmieniem umów zawieranych przez NFZ z realizatorami programów pilotażowych pozostających w zakresie kompetencji NFZ. Projektowane brzmienie przepisu zabezpiecza kompleksowość regulacji w zakresie programów pilotażowych ustanawianych przez Ministra Zdrowia.</w:t>
      </w:r>
      <w:r w:rsidR="006D5440">
        <w:t xml:space="preserve"> </w:t>
      </w:r>
      <w:r w:rsidR="00011BE3">
        <w:t>Projektowany a</w:t>
      </w:r>
      <w:r w:rsidRPr="00663CF8">
        <w:t xml:space="preserve">rt. 61a ust. 1a przewiduje nowy obszar kompetencyjny </w:t>
      </w:r>
      <w:r w:rsidR="00011BE3">
        <w:t>NFZ</w:t>
      </w:r>
      <w:r w:rsidRPr="00663CF8">
        <w:t xml:space="preserve">, dotyczący możliwości poddawania ocenie nie tylko zasadności środków, które </w:t>
      </w:r>
      <w:r w:rsidR="00011BE3">
        <w:t>NFZ</w:t>
      </w:r>
      <w:r w:rsidR="00011BE3" w:rsidRPr="00663CF8">
        <w:t xml:space="preserve"> </w:t>
      </w:r>
      <w:r w:rsidRPr="00663CF8">
        <w:t xml:space="preserve">wydatkował pod postacią refundacji świadczeń opieki zdrowotnej w odniesieniu do świadczeniodawców albo leków, wyrobów medycznych i środków spożywczych specjalnego przeznaczenia żywieniowego w odniesieniu do aptek ogólnodostępnych, ale również sposobu wykorzystania tych środków. Zasadniczą ideą refundacji ze środków publicznych przyjętą w polskim systemie ochrony zdrowia jest zwrot kosztów poniesionych przez kontrahenta NFZ, który podejmuje decyzję o zawarciu cywilnoprawnej umowy, na mocy której udziela świadczeń na rzecz osoby trzeciej – świadczeniobiorcy. Z uwagi na powyższą konstrukcję, dla </w:t>
      </w:r>
      <w:r w:rsidR="00011BE3">
        <w:t>NFZ</w:t>
      </w:r>
      <w:r w:rsidR="00011BE3" w:rsidRPr="00663CF8">
        <w:t xml:space="preserve"> </w:t>
      </w:r>
      <w:r w:rsidRPr="00663CF8">
        <w:t xml:space="preserve">nie jest obojętny sposób zarządzania uzyskanymi środkami finansowymi, niektóre bowiem praktyki mogą ujawniać zdolność do wypracowywania daleko idących w swej skali zysków, co przeczy powyższej idei zwrotu kosztów. Takie ustalenie z kolei zarówno w relacji do świadczeniodawcy czy apteki może obnażać funkcjonowanie niepożądanej praktyki jak przykładowo upcoding u świadczeniodawcy, czy też zawyżania kosztów sporządzania leków recepturowych w aptekach ogólnodostępnych. Projektowany przepis dotyczący kontroli prawidłowości wykorzystania środków publicznych zgodnie z przepisami prawa i wymaganiami określonymi przez Prezesa Funduszu umożliwi również zapewnienie skutecznego nadzoru nad sposobem wydatkowania środków w zakresie wydatków przeznaczanych na wynagrodzenia. Projektowane rozwiązania przewidujące limity wynagrodzeń wymagają zapewnienia Prezesowi </w:t>
      </w:r>
      <w:r w:rsidR="00F0014B">
        <w:t>NFZ</w:t>
      </w:r>
      <w:r w:rsidR="00F0014B" w:rsidRPr="00663CF8">
        <w:t xml:space="preserve"> </w:t>
      </w:r>
      <w:r w:rsidRPr="00663CF8">
        <w:t xml:space="preserve">odpowiednich instrumentów kontrolnych umożliwiających przestrzeganie tych regulacji. </w:t>
      </w:r>
    </w:p>
    <w:p w14:paraId="47F1514C" w14:textId="126696ED" w:rsidR="00663CF8" w:rsidRPr="00663CF8" w:rsidRDefault="00663CF8" w:rsidP="00F478C6">
      <w:pPr>
        <w:pStyle w:val="NIEARTTEKSTtekstnieartykuowanynppodstprawnarozplubpreambua"/>
      </w:pPr>
      <w:r w:rsidRPr="00663CF8">
        <w:t xml:space="preserve">Projektowany art. 61ba ma na celu wyjście naprzeciw zdefiniowanym w systemie ochrony zdrowia niepożądanym zjawiskom nadmiernego, a czasem fikcyjnego zaangażowania </w:t>
      </w:r>
      <w:r w:rsidR="00204B43" w:rsidRPr="00D42A8E">
        <w:rPr>
          <w:rFonts w:ascii="Times New Roman" w:eastAsia="Calibri" w:hAnsi="Times New Roman" w:cs="Times New Roman"/>
          <w:sz w:val="22"/>
          <w:szCs w:val="22"/>
        </w:rPr>
        <w:t xml:space="preserve">osób wykonujących zawód medyczny w rozumieniu art. 2 ust. 1 pkt 2 ustawy z dnia 15 kwietnia 2011 r. o działalności leczniczej, </w:t>
      </w:r>
      <w:r w:rsidRPr="00663CF8">
        <w:t xml:space="preserve">którzy funkcjonują zarówno w systemie powszechnego ubezpieczenia zdrowotnego, jak również w sektorze komercyjnym. Warunkiem koniecznym zbadania i </w:t>
      </w:r>
      <w:r w:rsidRPr="00663CF8">
        <w:lastRenderedPageBreak/>
        <w:t xml:space="preserve">dokonania oceny tych zjawisk jest stworzenie podstaw prawnych do pozyskiwania źródeł dowodowych od podmiotów </w:t>
      </w:r>
      <w:r w:rsidR="00204B43">
        <w:t>wykonujących działalność</w:t>
      </w:r>
      <w:r w:rsidR="00204B43" w:rsidRPr="00663CF8" w:rsidDel="00204B43">
        <w:t xml:space="preserve"> </w:t>
      </w:r>
      <w:r w:rsidR="00D469F2">
        <w:t>posiadających umowę o udzielenie świadczeń zdrowotnych oraz równocześnie</w:t>
      </w:r>
      <w:r w:rsidRPr="00663CF8">
        <w:t xml:space="preserve"> udzielających świadczeń zdrowotnych w sektorze komercyjnym, co umożliwi NFZ weryfikacj</w:t>
      </w:r>
      <w:r w:rsidR="00E41BC7">
        <w:t>ę</w:t>
      </w:r>
      <w:r w:rsidRPr="00663CF8">
        <w:t xml:space="preserve"> rzeczywistej dostępności osób wykonujących zawody medyczne w ramach umów o udzielanie świadczeń zdrowotnych. Formułowanie wniosków wyłącznie w obszarze potencjału zgłoszonego do umowy o udzielanie świadczeń</w:t>
      </w:r>
      <w:r w:rsidR="00E73E8B">
        <w:t xml:space="preserve"> zdrowotnych</w:t>
      </w:r>
      <w:r w:rsidRPr="00663CF8">
        <w:t>, bez wiedzy o aktywności zawodowej poza systemem, nie stwarza możliwości ustalenia pełnego obrazu, rzeczywistej i racjonalnej dostępności pracownika medycznego w systemie powszechnego ubezpieczenia zdrowotnego.</w:t>
      </w:r>
      <w:r w:rsidR="00F478C6" w:rsidRPr="00F478C6">
        <w:rPr>
          <w:rFonts w:ascii="Segoe UI" w:eastAsia="Times New Roman" w:hAnsi="Segoe UI" w:cs="Segoe UI"/>
          <w:sz w:val="21"/>
          <w:szCs w:val="21"/>
        </w:rPr>
        <w:t xml:space="preserve"> </w:t>
      </w:r>
      <w:r w:rsidR="00F478C6" w:rsidRPr="003B385C">
        <w:t>Z tego względu projektowany przepis przewiduje uprawnienie Prezesa Funduszu do nieodpłatnego dostępu do dokumentacji osób wykonujących zawód medyczny, obejmującej informacje dotyczące podstawy wykonywania pracy lub świadczenia usług, kwalifikacji i uprawnień zawodowych oraz ewidencji czasu pracy lub świadczenia usług na rzecz świadczeniodawcy.</w:t>
      </w:r>
      <w:r w:rsidRPr="00DC26A5">
        <w:t xml:space="preserve"> </w:t>
      </w:r>
      <w:r w:rsidR="00F478C6" w:rsidRPr="003B385C">
        <w:t>Jednocześnie, w zakresie świadczeń opieki zdrowotnej nieobjętych umową z Funduszem, przewidziano możliwość udostępniania dokumentacji medycznej wyłącznie w zakresie niezbędnym do weryfikacji dokumentacji dotyczącej podstawy wykonywania pracy lub świadczenia usług, kwalifikacji i uprawnień zawodowych oraz ewidencji czasu pracy lub świadczenia usług na rzecz świadczeniodawcy</w:t>
      </w:r>
      <w:r w:rsidR="0055797B" w:rsidRPr="00DC26A5">
        <w:t>.</w:t>
      </w:r>
      <w:r w:rsidR="0055797B">
        <w:t xml:space="preserve"> </w:t>
      </w:r>
      <w:r w:rsidR="00204B43" w:rsidRPr="00C2482F">
        <w:t xml:space="preserve">Celem gromadzenia tych danych jest wyłącznie uzyskanie kompleksowej wiedzy na temat aktywności zawodowej </w:t>
      </w:r>
      <w:r w:rsidR="00204B43" w:rsidRPr="00D42A8E">
        <w:rPr>
          <w:rFonts w:ascii="Times New Roman" w:eastAsia="Calibri" w:hAnsi="Times New Roman" w:cs="Times New Roman"/>
          <w:sz w:val="22"/>
          <w:szCs w:val="22"/>
        </w:rPr>
        <w:t xml:space="preserve">osób wykonujących zawód </w:t>
      </w:r>
      <w:r w:rsidR="00204B43" w:rsidRPr="00C2482F">
        <w:t>medyczn</w:t>
      </w:r>
      <w:r w:rsidR="00204B43">
        <w:t>y</w:t>
      </w:r>
      <w:r w:rsidR="00204B43" w:rsidRPr="00C2482F">
        <w:t xml:space="preserve">. Informacje te mają charakter analityczny i wspierają </w:t>
      </w:r>
      <w:r w:rsidR="00204B43" w:rsidRPr="00204B43">
        <w:t>procesy monitorowania zaangażowania</w:t>
      </w:r>
      <w:r w:rsidR="00204B43">
        <w:t xml:space="preserve"> </w:t>
      </w:r>
      <w:r w:rsidR="00204B43" w:rsidRPr="00C2482F">
        <w:t>zasobów kadrowych w systemie ochrony zdrowia.</w:t>
      </w:r>
      <w:r w:rsidR="00204B43">
        <w:t xml:space="preserve"> </w:t>
      </w:r>
      <w:r w:rsidR="00204B43" w:rsidRPr="00C2482F">
        <w:t>Przepis ten stanowi naturalną konsekwencję przenikania się procesów udzielania świadczeń w ramach powszechnego ubezpieczenia oraz komercyjnych. Należy podkreślić, że działania Funduszu nie są ukierunkowane na prowadzenie postępowań kontrolnych wobec podmiotów komercyjnych. Celem jest wyłącznie pozyskanie informacji umożliwiających pełniejsze rozpoznanie zaangażowania zawodowego personelu medycznego. Jest to zatem inicjatywa o charakterze informacyjnym i analitycznym, zasadniczo odmienna od działań kontrolnych zarówno pod względem celu, jak i zakresu kompetencji.</w:t>
      </w:r>
      <w:r w:rsidR="00204B43">
        <w:t xml:space="preserve"> </w:t>
      </w:r>
      <w:r w:rsidR="00204B43" w:rsidRPr="00C2482F">
        <w:t xml:space="preserve">Projektowany przepis jest dopełnieniem regulacji wprowadzonych ustawą z dnia 19 czerwca 2026 r. o zmianie ustawy </w:t>
      </w:r>
      <w:r w:rsidR="000F4578" w:rsidRPr="00C2482F">
        <w:t>o świadczeniach</w:t>
      </w:r>
      <w:r w:rsidR="00204B43" w:rsidRPr="00C2482F">
        <w:t xml:space="preserve"> opieki zdrowotnej finansowanych ze środków publicznych oraz ustawy o działalności leczniczej (Dz. U. poz. 972), która weszła w życie dnia 5 sierpnia 2026 roku. Gdyby projektowaną regulacj</w:t>
      </w:r>
      <w:r w:rsidR="00F87E93">
        <w:t>ę</w:t>
      </w:r>
      <w:r w:rsidR="00204B43" w:rsidRPr="00C2482F">
        <w:t xml:space="preserve"> ograniczyć wyłącznie do weryfikacji zaangażowania </w:t>
      </w:r>
      <w:r w:rsidR="00204B43" w:rsidRPr="00D42A8E">
        <w:rPr>
          <w:rFonts w:ascii="Times New Roman" w:eastAsia="Calibri" w:hAnsi="Times New Roman" w:cs="Times New Roman"/>
          <w:sz w:val="22"/>
          <w:szCs w:val="22"/>
        </w:rPr>
        <w:t xml:space="preserve">osób wykonujących zawód </w:t>
      </w:r>
      <w:r w:rsidR="00204B43" w:rsidRPr="00C2482F">
        <w:t>medyczny</w:t>
      </w:r>
      <w:r w:rsidR="00204B43">
        <w:t xml:space="preserve"> </w:t>
      </w:r>
      <w:r w:rsidR="00204B43" w:rsidRPr="00C2482F">
        <w:t xml:space="preserve">w sferze ubezpieczenia zdrowotnego, Fundusz czyniłby ustalenia jedynie fragmentaryczne niedające możliwości całościowej oceny koniecznej z </w:t>
      </w:r>
      <w:r w:rsidR="00204B43" w:rsidRPr="00C2482F">
        <w:lastRenderedPageBreak/>
        <w:t>perspektywy jakości świadczeń i bezpieczeństwa pacjentów</w:t>
      </w:r>
      <w:r w:rsidR="00204B43">
        <w:t xml:space="preserve">. </w:t>
      </w:r>
      <w:r w:rsidRPr="00663CF8">
        <w:t xml:space="preserve">Zmiana ta wynika z konieczności zapewnienia odpowiedniego standardu bezpieczeństwa świadczeniobiorców, którego istotnym wyznacznikiem jest dostępność personelu medycznego w określonej komórce organizacyjnej podmiotu </w:t>
      </w:r>
      <w:r w:rsidR="00204B43">
        <w:t>wykonującego działalność leczniczą</w:t>
      </w:r>
      <w:r w:rsidRPr="00663CF8">
        <w:t xml:space="preserve">, w szczególności szpitala.   </w:t>
      </w:r>
    </w:p>
    <w:p w14:paraId="0FC8B1DF" w14:textId="04B8BB0C" w:rsidR="00663CF8" w:rsidRPr="00663CF8" w:rsidRDefault="00025041" w:rsidP="00663CF8">
      <w:pPr>
        <w:pStyle w:val="NIEARTTEKSTtekstnieartykuowanynppodstprawnarozplubpreambua"/>
      </w:pPr>
      <w:r>
        <w:t>Projektowany a</w:t>
      </w:r>
      <w:r w:rsidR="00663CF8" w:rsidRPr="00663CF8">
        <w:t>rt. 61d ust. 5a przewiduje zrównanie rozwiązań proceduralnych z przyjętymi w ustawie z dnia 6 marca 2018 r. – Prawo przedsiębiorców</w:t>
      </w:r>
      <w:r w:rsidR="001F3F3A">
        <w:t xml:space="preserve"> </w:t>
      </w:r>
      <w:r w:rsidR="001F3F3A" w:rsidRPr="001F3F3A">
        <w:t>(Dz.U. z 2025 r. poz. 1480</w:t>
      </w:r>
      <w:r w:rsidR="001F3F3A">
        <w:t>, z późn. zm.</w:t>
      </w:r>
      <w:r w:rsidR="001F3F3A" w:rsidRPr="001F3F3A">
        <w:t>)</w:t>
      </w:r>
      <w:r w:rsidR="00663CF8" w:rsidRPr="00663CF8">
        <w:t xml:space="preserve"> przez wprowadzenie możliwości zrealizowania ponownej kontroli, w </w:t>
      </w:r>
      <w:r w:rsidR="000F4578" w:rsidRPr="00663CF8">
        <w:t>sytuacji,</w:t>
      </w:r>
      <w:r w:rsidR="00663CF8" w:rsidRPr="00663CF8">
        <w:t xml:space="preserve"> gdyby pierwsze postępowanie kontrolne było dotknięte istotną wadą prawną. Powyższe staje się uzasadnione w obliczu konieczności ochrony adresatów kontroli – świadczeniodawców, aptek ogólnodostępnych, osób uprawnionych do ordynacji produktów refundowanych oraz podmiotów realizujących świadczenia związane z przeciwdziałaniem C</w:t>
      </w:r>
      <w:r w:rsidR="001442FB">
        <w:t>OVID</w:t>
      </w:r>
      <w:r w:rsidR="00B72C42">
        <w:t>-</w:t>
      </w:r>
      <w:r w:rsidR="00663CF8" w:rsidRPr="00663CF8">
        <w:t xml:space="preserve">19, przed sytuacją, w której wadliwa prawnie kontrola ma charakter niewzruszalny. Przepis przewiduje bardzo precyzyjne przesłanki, które wykluczają uznaniowość w przypadku uzasadnienia do ich stosowania. </w:t>
      </w:r>
    </w:p>
    <w:p w14:paraId="215C62A6" w14:textId="65EC91DC" w:rsidR="00663CF8" w:rsidRPr="00663CF8" w:rsidRDefault="00663CF8" w:rsidP="00663CF8">
      <w:pPr>
        <w:pStyle w:val="NIEARTTEKSTtekstnieartykuowanynppodstprawnarozplubpreambua"/>
      </w:pPr>
      <w:r w:rsidRPr="00663CF8">
        <w:t>Projektowany przepis art. 61e ust. 2 ustawy przewiduje stworzenie podstaw prawnych do kształtowania zespołów kontrolerskich, z udziałem osób posiadających pożądane kwalifikacje, wykonujących czynności w ramach umów cywilnopraw</w:t>
      </w:r>
      <w:r w:rsidR="0045299B">
        <w:t>n</w:t>
      </w:r>
      <w:r w:rsidRPr="00663CF8">
        <w:t xml:space="preserve">ych, a nie wyłącznie pozostających w stosunku pracy. Powyższe rozwiązanie przyczyni się do zwiększenia efektywności kontroli, ponieważ umożliwi zawieranie umów cywilnoprawnych z osobami mającymi wykształcenie lub umiejętności niezbędne z perspektywy potrzeb określonego postępowania kontrolnego, a nie stałego funkcjonowania Departamentu Kontroli NFZ. Niektóre postępowania kontrolne mogą dotyczyć wyspecjalizowanych obszarów świadczeń zdrowotnych lub usług farmaceutycznych, co może wymagać powołania zespołu kontrolującego z udziałem osoby posiadającej szczególne kompetencje, wiedzę lub doświadczenie. Nie zawsze możliwe jest pozyskanie takich specjalistów w ramach zatrudnienia etatowego, dlatego zasadne jest stworzenie podstaw prawnych umożliwiających ich zaangażowanie również na podstawie umów cywilnoprawnych. W przypadku osób, o których mowa w tym przepisie, źródłem uprawnienia do realizacji czynności kontrolnych każdorazowo będzie upoważnienie do kontroli udzielone przez Prezesa NFZ, a nie sama umowa cywilnoprawna.   </w:t>
      </w:r>
    </w:p>
    <w:p w14:paraId="70413B57" w14:textId="3DEC70A2" w:rsidR="00663CF8" w:rsidRPr="00663CF8" w:rsidRDefault="00204B43" w:rsidP="000F4578">
      <w:pPr>
        <w:pStyle w:val="NIEARTTEKSTtekstnieartykuowanynppodstprawnarozplubpreambua"/>
      </w:pPr>
      <w:r>
        <w:t>A</w:t>
      </w:r>
      <w:r w:rsidR="00663CF8" w:rsidRPr="00663CF8">
        <w:t>rt. 61g ust. 1</w:t>
      </w:r>
      <w:r w:rsidRPr="00204B43">
        <w:t xml:space="preserve"> </w:t>
      </w:r>
      <w:r w:rsidRPr="00F02FF0">
        <w:t xml:space="preserve">zakłada co do zasady utrzymanie obowiązku zawiadomienia o zamiarze wszczęcia kontroli z 7-dniowym wyprzedzeniem. Rozwiązanie to zachowuje gwarancyjny charakter procedury kontrolnej i zapewnia podmiotom kontrolowanym odpowiedni czas na </w:t>
      </w:r>
      <w:r w:rsidRPr="00F02FF0">
        <w:lastRenderedPageBreak/>
        <w:t>przygotowanie się do czynności kontrolnych. Jednocześnie doprecyzowano wyjątek od tej zasady, który umożliwi przeprowadzenie kontroli bez zachowania wskazanego terminu</w:t>
      </w:r>
      <w:r>
        <w:t xml:space="preserve"> w przypadku </w:t>
      </w:r>
      <w:r w:rsidRPr="00F02FF0">
        <w:t>kontrol</w:t>
      </w:r>
      <w:r>
        <w:t>i</w:t>
      </w:r>
      <w:r w:rsidRPr="00F02FF0">
        <w:t xml:space="preserve"> realizacji umowy na wydawanie refundowanego leku, środka spożywczego specjalnego przeznaczenia żywieniowego oraz wyrobu medycznego na </w:t>
      </w:r>
      <w:r w:rsidRPr="00053F07">
        <w:rPr>
          <w:szCs w:val="24"/>
        </w:rPr>
        <w:t>receptę.</w:t>
      </w:r>
      <w:r w:rsidRPr="00D42A8E">
        <w:rPr>
          <w:rFonts w:ascii="Segoe UI" w:eastAsia="Times New Roman" w:hAnsi="Segoe UI" w:cs="Segoe UI"/>
          <w:szCs w:val="24"/>
        </w:rPr>
        <w:t xml:space="preserve"> </w:t>
      </w:r>
      <w:r w:rsidRPr="00D42A8E">
        <w:rPr>
          <w:rFonts w:ascii="Times New Roman" w:eastAsia="Times New Roman" w:hAnsi="Times New Roman" w:cs="Times New Roman"/>
          <w:szCs w:val="24"/>
        </w:rPr>
        <w:t>Odstąpienie od wskazanego progu pozwala również na koncentrację na ryzyku wystąpienia nieprawidłowości oraz ochronie środków publicznych, niezależnie od wstępnie oszacowanej wartości potencjalnych skutków finansowych. Rozwiązanie to sprzyja efektywniejszej realizacji funkcji nadzorczych i kontrolnych Funduszu oraz ogranicza ryzyko obchodzenia przepisów poprzez utrzymywanie wartości pojedynczych nieprawidłowości poniżej ustawowego limitu.</w:t>
      </w:r>
      <w:r>
        <w:rPr>
          <w:rFonts w:ascii="Times New Roman" w:eastAsia="Times New Roman" w:hAnsi="Times New Roman" w:cs="Times New Roman"/>
          <w:szCs w:val="24"/>
        </w:rPr>
        <w:t xml:space="preserve"> </w:t>
      </w:r>
      <w:r w:rsidRPr="00F02FF0">
        <w:t>Przyjęte rozwiązanie pozwala zachować równowagę między ochroną praw podmiotów kontrolowanych a potrzebą zapewnienia efektywności działań kontrolnych NFZ. Utrzymanie 7-dniowego terminu zawiadomienia jako reguły wzmacnia pewność i przejrzystość procedury, natomiast przewidziany wyjątek zwiększa skuteczność kontroli, umożliwiając pozyskanie materiału dowodowego odzwierciedlającego rzeczywisty stan faktyczny oraz dokonanie ustaleń zgodnych z prawdą obiektywną.</w:t>
      </w:r>
    </w:p>
    <w:p w14:paraId="118E6BEC" w14:textId="32A9D650" w:rsidR="00663CF8" w:rsidRDefault="00663CF8" w:rsidP="00663CF8">
      <w:pPr>
        <w:pStyle w:val="NIEARTTEKSTtekstnieartykuowanynppodstprawnarozplubpreambua"/>
      </w:pPr>
      <w:r w:rsidRPr="00663CF8">
        <w:t>Przepis art. 61j ust. 2 przewiduje zracjonalizowanie i uproszczenie zasad zapoznawania się z dokumentacją medyczną, stanowiącą źródło dowodowe w postępowaniach kontrolnych dotyczących świadczeń zdrowotnych udzielonych w ramach realizacji umów o udzielani</w:t>
      </w:r>
      <w:r w:rsidR="005D0A8D">
        <w:t>e</w:t>
      </w:r>
      <w:r w:rsidRPr="00663CF8">
        <w:t xml:space="preserve"> świadczeń </w:t>
      </w:r>
      <w:r w:rsidR="00201C8D">
        <w:t>opieki zdrowotnej</w:t>
      </w:r>
      <w:r w:rsidRPr="00663CF8">
        <w:t>. Projektowane rozwiązanie obejmie przypadki, w których ustalenia dokonywane na podstawie dokumentacji nie wymagają wiedzy specjalistycznej i oceny medycznej, lecz jedynie stwierdzenia faktów wynikających z jej treści, w szczególności weryfikację dokumentacji wyłącznie pod względem formalnym, w zakresie rygorów wynikających z rozporządzenia Ministra Zdrowia z dnia 6 kwietnia 2020 r. w sprawie rodzajów, zakresu i wzorów dokumentacji medycznej oraz sposobu jej przetwarzania (Dz.</w:t>
      </w:r>
      <w:r w:rsidR="005D0A8D">
        <w:t xml:space="preserve"> </w:t>
      </w:r>
      <w:r w:rsidRPr="00663CF8">
        <w:t xml:space="preserve">U. poz. 666). W zakresie weryfikacji postępowania diagnostyczno-terapeutycznego obowiązuje regulacja art. 61j ust. 3 ustawy, która przewiduje rygory dotyczące wykształcenia medycznego lub wykonywania zawodu medycznego przez pracownika NFZ, który wyprowadza wnioski z analizy dokumentacji medycznej. Powyższa zmiana przyczyni się do zwiększenia możliwości bardziej efektywnego wykorzystywania potencjału pracowników NFZ w zakresie badania i wyprowadzania wniosków z ww. dokumentacji. </w:t>
      </w:r>
    </w:p>
    <w:p w14:paraId="619126D0" w14:textId="388F7E46" w:rsidR="00204B43" w:rsidRPr="00204B43" w:rsidRDefault="00204B43" w:rsidP="00204B43">
      <w:pPr>
        <w:pStyle w:val="ARTartustawynprozporzdzenia"/>
      </w:pPr>
      <w:r>
        <w:t xml:space="preserve">Projektowany przepis art. 61l ust. 2 </w:t>
      </w:r>
      <w:r w:rsidRPr="00C67025">
        <w:t xml:space="preserve">ma charakter doprecyzowujący i służy jednoznacznemu określeniu okresu, w którym kierownik podmiotu kontrolowanego lub osoba </w:t>
      </w:r>
      <w:r w:rsidRPr="00C67025">
        <w:lastRenderedPageBreak/>
        <w:t>przez niego upoważniona może korzystać z prawa wglądu do akt kontroli oraz sporządzania z nich odpisów i kopii.</w:t>
      </w:r>
      <w:r w:rsidRPr="00270346">
        <w:rPr>
          <w:rFonts w:ascii="Segoe UI" w:eastAsia="Times New Roman" w:hAnsi="Segoe UI" w:cs="Segoe UI"/>
          <w:sz w:val="21"/>
          <w:szCs w:val="21"/>
        </w:rPr>
        <w:t xml:space="preserve"> </w:t>
      </w:r>
      <w:r w:rsidRPr="00270346">
        <w:t>Wprowadzenie wyraźnego wskazania</w:t>
      </w:r>
      <w:r>
        <w:t xml:space="preserve"> ram czasowych dostępu do akt kontroli </w:t>
      </w:r>
      <w:r w:rsidRPr="00270346">
        <w:t>zapewni pełną przejrzystość regulacji i wyeliminuje wątpliwości dotyczące momentu powstania oraz wygaśnięcia prawa dostępu do akt kontroli.</w:t>
      </w:r>
      <w:r w:rsidRPr="00270346">
        <w:rPr>
          <w:rFonts w:ascii="Segoe UI" w:eastAsia="Times New Roman" w:hAnsi="Segoe UI" w:cs="Segoe UI"/>
          <w:sz w:val="21"/>
          <w:szCs w:val="21"/>
        </w:rPr>
        <w:t xml:space="preserve"> </w:t>
      </w:r>
      <w:r w:rsidRPr="00270346">
        <w:t>Proponowane doprecyzowanie wzmacnia realizację zasady transparentności działań kontrolnych</w:t>
      </w:r>
      <w:r>
        <w:t>, bowiem u</w:t>
      </w:r>
      <w:r w:rsidRPr="00270346">
        <w:t>możliwia oparcie stanowiska podmiotu kontrolowanego na pełnej wiedzy o materiale dowodowym zgromadzonym w aktach kontroli.</w:t>
      </w:r>
      <w:r>
        <w:rPr>
          <w:rFonts w:ascii="Segoe UI" w:eastAsia="Times New Roman" w:hAnsi="Segoe UI" w:cs="Segoe UI"/>
          <w:sz w:val="21"/>
          <w:szCs w:val="21"/>
        </w:rPr>
        <w:t xml:space="preserve"> </w:t>
      </w:r>
      <w:r w:rsidRPr="00270346">
        <w:t xml:space="preserve">W konsekwencji </w:t>
      </w:r>
      <w:r>
        <w:t xml:space="preserve">rozwiązanie to </w:t>
      </w:r>
      <w:r w:rsidRPr="00270346">
        <w:t>przyczyni się do zwiększenia pewności prawa oraz jednolitego stosowania przepisów dotyczących kontroli prowadzonych przez Narodowy Fundusz Zdrowia.</w:t>
      </w:r>
    </w:p>
    <w:p w14:paraId="1FCF0531" w14:textId="1D3DFBA6" w:rsidR="00663CF8" w:rsidRPr="00663CF8" w:rsidRDefault="006544D7" w:rsidP="007E2CFB">
      <w:pPr>
        <w:pStyle w:val="NIEARTTEKSTtekstnieartykuowanynppodstprawnarozplubpreambua"/>
      </w:pPr>
      <w:r>
        <w:t>Projektowany p</w:t>
      </w:r>
      <w:r w:rsidR="00663CF8" w:rsidRPr="00663CF8">
        <w:t xml:space="preserve">rzepis art. 61o ust. 4 realizuje postulat zwiększenia wiarygodności pozyskiwanych w trybie wyjaśnień dowodów, które w związku z wprowadzonym rygorem odpowiedzialności karnej przyczynią się do realizacji w procesie kontroli zasady prawdy obiektywnej. Wyjaśnienia podmiotów kontrolowanych są bardzo istotnym źródłem dowodowym w praktyce kontrolnej </w:t>
      </w:r>
      <w:r w:rsidR="00D01B17">
        <w:t>NFZ</w:t>
      </w:r>
      <w:r w:rsidR="00663CF8" w:rsidRPr="00663CF8">
        <w:t xml:space="preserve">, stąd konieczność wzmocnienia ich autentyczności. </w:t>
      </w:r>
      <w:r w:rsidR="00204B43" w:rsidRPr="00114450">
        <w:t>Możliwość odebrania oświadczenia pod rygorem odpowiedzialności karnej zwiększa gwarancję rzetelności i kompletności przekazywanych informacji, co ma istotne znaczenie dla prawidłowej oceny sposobu realizacji świadczeń opieki zdrowotnej finansowanych ze środków publicznych oraz gospodarowania środkami publicznymi</w:t>
      </w:r>
      <w:r w:rsidR="00204B43" w:rsidRPr="00DC26A5">
        <w:t>.</w:t>
      </w:r>
      <w:r w:rsidR="007E2CFB" w:rsidRPr="00DC26A5">
        <w:rPr>
          <w:rFonts w:ascii="Segoe UI" w:eastAsia="Times New Roman" w:hAnsi="Segoe UI" w:cs="Segoe UI"/>
          <w:sz w:val="21"/>
          <w:szCs w:val="21"/>
        </w:rPr>
        <w:t xml:space="preserve"> </w:t>
      </w:r>
      <w:r w:rsidR="007E2CFB" w:rsidRPr="003B385C">
        <w:t xml:space="preserve">Jednocześnie projektowane przepisy przewidują odpowiednie gwarancje ochrony praw osób składających wyjaśnienia. Odmowa udzielenia wyjaśnień będzie dopuszczalna w przypadku, gdy dotyczą one faktów lub okoliczności, których ujawnienie mogłoby narazić na odpowiedzialność karną lub majątkową osobę wezwaną do złożenia wyjaśnień albo osobę jej bliską w rozumieniu art. 115 § 11 ustawy z dnia 6 czerwca 1997 r. </w:t>
      </w:r>
      <w:r w:rsidR="00DC26A5">
        <w:t>–</w:t>
      </w:r>
      <w:r w:rsidR="007E2CFB" w:rsidRPr="003B385C">
        <w:t xml:space="preserve"> Kodeks karny. Rozwiązanie to służy zachowaniu właściwej równowagi pomiędzy potrzebą zapewnienia rzetelnego materiału dowodowego na potrzeby kontroli a ochroną praw i interesów osób uczestniczących w czynnościach wyjaśniających.</w:t>
      </w:r>
      <w:r w:rsidR="00DC26A5">
        <w:t xml:space="preserve"> </w:t>
      </w:r>
      <w:r w:rsidR="00663CF8" w:rsidRPr="00663CF8">
        <w:t xml:space="preserve">Brzmienie oświadczenia zastępuje pouczenie organu o odpowiedzialności karnej za składanie fałszywych zeznań, a zatem jest to regulacja wypełniające dyspozycje przepisu art. 233 § 6 </w:t>
      </w:r>
      <w:r w:rsidR="00CE28B6">
        <w:t xml:space="preserve">Kodeksu </w:t>
      </w:r>
      <w:r w:rsidR="00663CF8" w:rsidRPr="00663CF8">
        <w:t>k</w:t>
      </w:r>
      <w:r w:rsidR="00CE28B6">
        <w:t>arnego</w:t>
      </w:r>
      <w:r w:rsidR="00663CF8" w:rsidRPr="00663CF8">
        <w:t xml:space="preserve">. </w:t>
      </w:r>
      <w:r w:rsidR="00204B43" w:rsidRPr="00300ACE">
        <w:t xml:space="preserve">Projektowane rozwiązanie nie stanowi nowej konstrukcji prawnej w ustawie o świadczeniach opieki zdrowotnej finansowanych ze środków publicznych. Ustawa posługuje się już mechanizmem składania oświadczeń pod rygorem odpowiedzialności karnej, o którym mowa w art. 233 § 6 Kodeksu karnego. Przykładem jest art. 61s ust. 8a ustawy, przewidujący obowiązek złożenia oświadczenia zawierającego klauzulę o świadomości odpowiedzialności karnej za złożenie fałszywego oświadczenia. Wprowadzenie analogicznego rozwiązania na </w:t>
      </w:r>
      <w:r w:rsidR="00204B43" w:rsidRPr="00300ACE">
        <w:lastRenderedPageBreak/>
        <w:t>potrzeby postępowania kontrolnego zapewnia spójność wewnętrzną ustawy oraz jednolitość stosowanych w niej instrumentów prawnych służących potwierdzaniu prawdziwości przekazywanych informacji.</w:t>
      </w:r>
    </w:p>
    <w:p w14:paraId="6406F513" w14:textId="26B3EAAC" w:rsidR="00663CF8" w:rsidRPr="00663CF8" w:rsidRDefault="000B0420" w:rsidP="00663CF8">
      <w:pPr>
        <w:pStyle w:val="NIEARTTEKSTtekstnieartykuowanynppodstprawnarozplubpreambua"/>
      </w:pPr>
      <w:r>
        <w:t>Projektowany a</w:t>
      </w:r>
      <w:r w:rsidR="00663CF8" w:rsidRPr="00663CF8">
        <w:t xml:space="preserve">rt. 61v ust. 1 pkt </w:t>
      </w:r>
      <w:r>
        <w:t>4</w:t>
      </w:r>
      <w:r w:rsidR="00663CF8" w:rsidRPr="00663CF8">
        <w:t xml:space="preserve"> realizuje nową przesłank</w:t>
      </w:r>
      <w:bookmarkStart w:id="0" w:name="_Hlk235099422"/>
      <w:r w:rsidR="00663CF8" w:rsidRPr="00663CF8">
        <w:t>ę uprawniającą NFZ do inicjacji kontroli na podstawie legitymacji kontrolerskiej zorientowanej na prewencję przed nierównym i uprzywilejowanym traktowaniem świadczeniobiorców w zakresie dostępu do świadczeń gwarantowanych. Przepis ten stwarza możliwość reakcji wobec sytuacji, gdy kryteria inne niż medyczn</w:t>
      </w:r>
      <w:r w:rsidR="00E41BC7">
        <w:t>e</w:t>
      </w:r>
      <w:r w:rsidR="00663CF8" w:rsidRPr="00663CF8">
        <w:t xml:space="preserve"> determinują uzasadnienie lub czas realizacji interwencji medycznej w odróżnieniu od innych świadczeniobiorców. </w:t>
      </w:r>
      <w:bookmarkEnd w:id="0"/>
    </w:p>
    <w:p w14:paraId="79F4D6A8" w14:textId="10D0CAFB" w:rsidR="00663CF8" w:rsidRPr="00663CF8" w:rsidRDefault="000B0420" w:rsidP="00663CF8">
      <w:pPr>
        <w:pStyle w:val="NIEARTTEKSTtekstnieartykuowanynppodstprawnarozplubpreambua"/>
      </w:pPr>
      <w:r>
        <w:t>Projektowany p</w:t>
      </w:r>
      <w:r w:rsidR="00663CF8" w:rsidRPr="00663CF8">
        <w:t xml:space="preserve">rzepis art. 61w ust. 1 ustawy </w:t>
      </w:r>
      <w:r>
        <w:t xml:space="preserve">o świadczeniach </w:t>
      </w:r>
      <w:r w:rsidR="00663CF8" w:rsidRPr="00663CF8">
        <w:t>wpisuje się w konstrukcję działu IIIA ustawy, która reguluje wyłącznie kompetencje Prezesa NFZ w zakresie aktywności kontrolnej publicznego płatnika świadczeń. Z tego względu zasadne jest przyznanie uprawnienia do realizacji czynności sprawdzających temu samemu organ</w:t>
      </w:r>
      <w:r w:rsidR="00E41BC7">
        <w:t>owi</w:t>
      </w:r>
      <w:r w:rsidR="00663CF8" w:rsidRPr="00663CF8">
        <w:t xml:space="preserve"> NFZ. Skupienie kompetencji do prowadz</w:t>
      </w:r>
      <w:r w:rsidR="00E41BC7">
        <w:t>e</w:t>
      </w:r>
      <w:r w:rsidR="00663CF8" w:rsidRPr="00663CF8">
        <w:t xml:space="preserve">nia czynności sprawdzających u Prezesa </w:t>
      </w:r>
      <w:r w:rsidR="00291975">
        <w:t>NFZ</w:t>
      </w:r>
      <w:r w:rsidR="00291975" w:rsidRPr="00663CF8">
        <w:t xml:space="preserve"> </w:t>
      </w:r>
      <w:r w:rsidR="00663CF8" w:rsidRPr="00663CF8">
        <w:t xml:space="preserve">przyczyni się do realizacji tego uprawnienia jednolicie i spójnie wobec wszystkich uczestników systemu ochrony zdrowia na terenie całego kraju. Powyższe spowoduje, że adresaci czynności sprawdzających bez względu na województwo, w którym udzielają świadczeń zdrowotnych, będą mieli prowadzone postępowanie wedle jednolitej metodyki i tożsamych kryteriów ocen. </w:t>
      </w:r>
    </w:p>
    <w:p w14:paraId="40DBD56E" w14:textId="73EC1AA5" w:rsidR="00663CF8" w:rsidRDefault="00663CF8" w:rsidP="00663CF8">
      <w:pPr>
        <w:pStyle w:val="NIEARTTEKSTtekstnieartykuowanynppodstprawnarozplubpreambua"/>
      </w:pPr>
      <w:r w:rsidRPr="00663CF8">
        <w:t xml:space="preserve">Zmiany w art. 61y dotyczące zasad prowadzenia egzaminu kontrolerskiego wynikają z ewolucji korpusu kontrolerskiego </w:t>
      </w:r>
      <w:r w:rsidR="004C456E">
        <w:t>NFZ</w:t>
      </w:r>
      <w:r w:rsidRPr="00663CF8">
        <w:t>, która została ukształtowana na podstawie wyników egzaminów przez osta</w:t>
      </w:r>
      <w:r w:rsidR="0045299B">
        <w:t>t</w:t>
      </w:r>
      <w:r w:rsidRPr="00663CF8">
        <w:t>nie 6 lat. Zmiana umożliwi Prezesowi NFZ elastyczne podejście do organizacji egzaminu kontrolerskiego, zgodne z potrzebami kadrowymi komórki organizacyjnej realizującej zadania kontrolne. Prezes będzie mógł również określać limit osób, które mogą zostać powołane w danym roku w każdej wewnętrznej komórce organizacyjnej NFZ, która prowadzi kontrolę. Kolejność powoływania uzależniona będzie od wyniku egzaminu kwalifikacyjnego, co jest kryterium obiektywnym i jakościowym. Osoby, które złożyły z wynikiem pozytywnym egzamin kwalifikacyjny i z uwagi na limit miejsc w danym roku nie zostały powołane na stanowisko kontrolera, w kolejnych latach powoływane będą w pierwszej kolejności w ramach określonego limitu. Zmiana reguł egzaminu kontrolerskiego przyczyni się do dynamicznego rozwoju formacji korpusu kontrolerskiego, będzie bowiem uwzględniał potrzeby kadrowe komórki organizacyjnej realizującej zadania kontrolne, a także zwiększy elastyczność Prezesa NFZ w zakresie określania limitów i terminów egzaminu.</w:t>
      </w:r>
    </w:p>
    <w:p w14:paraId="7F9F987F" w14:textId="1794A263" w:rsidR="00BB3F54" w:rsidRPr="00BB3F54" w:rsidRDefault="00BB3F54" w:rsidP="00BB3F54">
      <w:pPr>
        <w:pStyle w:val="ARTartustawynprozporzdzenia"/>
      </w:pPr>
      <w:r w:rsidRPr="00BB3F54">
        <w:lastRenderedPageBreak/>
        <w:t>Projektowana zmiana przepisu art. 97 ust. 3e ma na celu uelastycznienie wysokości odpisu z NFZ dla Agencji Badań Medycznych</w:t>
      </w:r>
      <w:r>
        <w:t xml:space="preserve"> (ABM)</w:t>
      </w:r>
      <w:r w:rsidRPr="00BB3F54">
        <w:t xml:space="preserve"> tak by był on dostosowany do realnych i racjonalnych potrzeb </w:t>
      </w:r>
      <w:r>
        <w:t>ABM</w:t>
      </w:r>
      <w:r w:rsidRPr="00BB3F54">
        <w:t xml:space="preserve">. Obecnie obowiązujące rozwiązanie przewiduje odpis w sztywnej wysokości 0,3% przychodów ze składek należnych NFZ, niezależnie od rzeczywistych potrzeb finansowych </w:t>
      </w:r>
      <w:r>
        <w:t>ABM</w:t>
      </w:r>
      <w:r w:rsidRPr="00BB3F54">
        <w:t xml:space="preserve">. Proponowana zmiana umożliwi dostosowanie wysokości odpisu do faktycznego zapotrzebowania finansowego </w:t>
      </w:r>
      <w:r>
        <w:t>ABM</w:t>
      </w:r>
      <w:r w:rsidRPr="00BB3F54">
        <w:t>, ustalanego corocznie w toku prac budżetowych nad planem ABM, przy uwzględnieniu przychodów i kosztów tej jednostki, wynikającego z realizowanych zadań oraz planowanych wydatków.</w:t>
      </w:r>
    </w:p>
    <w:p w14:paraId="4C97B41A" w14:textId="3ADB2BA2" w:rsidR="00663CF8" w:rsidRPr="00663CF8" w:rsidRDefault="00663CF8" w:rsidP="00663CF8">
      <w:pPr>
        <w:pStyle w:val="NIEARTTEKSTtekstnieartykuowanynppodstprawnarozplubpreambua"/>
      </w:pPr>
      <w:r w:rsidRPr="00663CF8">
        <w:t xml:space="preserve">Projektowana zmiana art. 107 ust. 2 ma na celu zapewnienie spójności w strukturze NFZ przez powierzenie Prezesowi </w:t>
      </w:r>
      <w:r w:rsidR="00E10A96">
        <w:t>NFZ</w:t>
      </w:r>
      <w:r w:rsidR="00E10A96" w:rsidRPr="00663CF8">
        <w:t xml:space="preserve"> </w:t>
      </w:r>
      <w:r w:rsidRPr="00663CF8">
        <w:t xml:space="preserve">kompetencji do powoływania i odwoływania dyrektorów oddziałów wojewódzkich </w:t>
      </w:r>
      <w:r w:rsidR="00E10A96">
        <w:t>NFZ</w:t>
      </w:r>
      <w:r w:rsidRPr="00663CF8">
        <w:t xml:space="preserve">, dalej jako: „OW”. OW NFZ wykonują zadania </w:t>
      </w:r>
      <w:r w:rsidR="00E10A96">
        <w:t>NFZ</w:t>
      </w:r>
      <w:r w:rsidR="00E10A96" w:rsidRPr="00663CF8">
        <w:t xml:space="preserve"> </w:t>
      </w:r>
      <w:r w:rsidRPr="00663CF8">
        <w:t xml:space="preserve">na obszarze właściwości miejscowej. Dyrektor </w:t>
      </w:r>
      <w:r w:rsidR="00750623">
        <w:t>OW NFZ</w:t>
      </w:r>
      <w:r w:rsidRPr="00663CF8">
        <w:t xml:space="preserve"> realizuje zadania przypisane NFZ, działa w ramach jego struktury organizacyjnej oraz podlega Prezesowi </w:t>
      </w:r>
      <w:r w:rsidR="00750623">
        <w:t>NFZ</w:t>
      </w:r>
      <w:r w:rsidRPr="00663CF8">
        <w:t xml:space="preserve">, który odpowiada za całokształt działalności </w:t>
      </w:r>
      <w:r w:rsidR="00750623">
        <w:t>NFZ</w:t>
      </w:r>
      <w:r w:rsidRPr="00663CF8">
        <w:t xml:space="preserve">. Konsekwencją tej zależności organizacyjnej powinno być powiązanie odpowiedzialności za funkcjonowanie NFZ z kompetencjami kadrowymi dotyczącymi dyrektorów </w:t>
      </w:r>
      <w:r w:rsidR="00750623">
        <w:t>OW NFZ</w:t>
      </w:r>
      <w:r w:rsidRPr="00663CF8">
        <w:t xml:space="preserve">, co umożliwi scentralizowanie polityki kadrowej w rękach organu odpowiedzialnego za funkcjonowanie całej instytucji oraz realizację jej ustawowych zadań, a także wzmocni przejrzystość odpowiedzialności za funkcjonowanie całego </w:t>
      </w:r>
      <w:r w:rsidR="00A815C8">
        <w:t>NFZ</w:t>
      </w:r>
      <w:r w:rsidRPr="00663CF8">
        <w:t>.</w:t>
      </w:r>
    </w:p>
    <w:p w14:paraId="72E52CCC" w14:textId="67FFFEA3" w:rsidR="00663CF8" w:rsidRPr="00663CF8" w:rsidRDefault="00663CF8" w:rsidP="00663CF8">
      <w:pPr>
        <w:pStyle w:val="NIEARTTEKSTtekstnieartykuowanynppodstprawnarozplubpreambua"/>
      </w:pPr>
      <w:r w:rsidRPr="00663CF8">
        <w:t>Art. 102 ust</w:t>
      </w:r>
      <w:r w:rsidR="00F87E93">
        <w:t>.</w:t>
      </w:r>
      <w:r w:rsidRPr="00663CF8">
        <w:t xml:space="preserve"> 5 pkt 16 oraz art. 106 ust. 1 pkt 12 mają charakter porządkujący i doprecyzowujący, a ich celem jest zapewnienie spójności regulacji. </w:t>
      </w:r>
    </w:p>
    <w:p w14:paraId="5CF488C4" w14:textId="2B7F630A" w:rsidR="00663CF8" w:rsidRPr="00AA14E9" w:rsidRDefault="00663CF8" w:rsidP="00663CF8">
      <w:pPr>
        <w:pStyle w:val="NIEARTTEKSTtekstnieartykuowanynppodstprawnarozplubpreambua"/>
        <w:rPr>
          <w:szCs w:val="24"/>
        </w:rPr>
      </w:pPr>
      <w:r w:rsidRPr="00663CF8">
        <w:t xml:space="preserve">Zmiana przepisu art. 107 ust. 5 pkt 8 ustawy ma charakter porządkujący i precyzujący dotychczasowe </w:t>
      </w:r>
      <w:r w:rsidR="006D5440">
        <w:t>prze</w:t>
      </w:r>
      <w:r w:rsidRPr="00663CF8">
        <w:t>pisy regulujące, w jakich obszarach dyrektorzy oddziałów wojewódzkich mogą realizować monitorowanie umów o udzielanie świadczeń zdrowotnych, co przyczyni się do jednolitości postępowania w skali całego kraju. Projektowany przepis art. 107 ust. 5 pkt 8 wskazuje jakie aspekty realizacji umowy o udzielanie świadczeń mogą być przedmiotem monitorowania na poziomie dyrektora OW NFZ, które stanowi uzupełniającą prerogatywę kontrolną Prezesa NFZ. W ramach powyższego przepisu kompetencję monitorowania rozciągnięto również na realizację zawieranych z podmiotami prowadzącymi apteki ogólnodostępne umów na wydawani</w:t>
      </w:r>
      <w:r w:rsidR="00F87E93">
        <w:t>e</w:t>
      </w:r>
      <w:r w:rsidRPr="00663CF8">
        <w:t xml:space="preserve"> produktów refundowanych, a także na ordynację osób uprawnionych do preskrypcji produktów refundowanych. </w:t>
      </w:r>
      <w:r w:rsidR="00AA14E9" w:rsidRPr="00D52E1C">
        <w:rPr>
          <w:szCs w:val="24"/>
        </w:rPr>
        <w:t xml:space="preserve">Projektowany przepis określa zakres monitorowania realizowanego przez Fundusz, nie odnosząc się do zakresu danych osobowych </w:t>
      </w:r>
      <w:r w:rsidR="00AA14E9" w:rsidRPr="00D52E1C">
        <w:rPr>
          <w:szCs w:val="24"/>
        </w:rPr>
        <w:lastRenderedPageBreak/>
        <w:t>podlegających przetwarzaniu, który został uregulowany odrębnie w art. 188 i nast. ustawy o świadczeniach opieki zdrowotnej finansowanych ze środków publicznych</w:t>
      </w:r>
      <w:r w:rsidR="00AA14E9">
        <w:rPr>
          <w:szCs w:val="24"/>
        </w:rPr>
        <w:t>.</w:t>
      </w:r>
    </w:p>
    <w:p w14:paraId="2C2FAE62" w14:textId="43C71644" w:rsidR="00663CF8" w:rsidRPr="00663CF8" w:rsidRDefault="00663CF8" w:rsidP="00663CF8">
      <w:pPr>
        <w:pStyle w:val="NIEARTTEKSTtekstnieartykuowanynppodstprawnarozplubpreambua"/>
      </w:pPr>
      <w:r w:rsidRPr="00663CF8">
        <w:t>Nowe brzmienie przepisu art. 112 ma na celu stworzenie mechanizmów prawnych umożliwiających NFZ pozyskiwanie pracowników o wymaganych wysokich kompetencjach, w szczególności pracowników z wykształceniem medycznym, co z uwagi na obowiązujące ograniczenia w tym zakresie, ma wpływ na realizację zadań kontrolnych realizowanych przez NFZ. Modyfikacja obejmuje art. 112 ust. 1 przez uposażenie Prezesa NFZ w kompetencje dokonywania krytycznej oceny i wyrażania zgody albo jej odmowy w stosunku do pracownika, który ma inne aktywności zawodowe w obszarze sektora ochrony zdrowia. Wprowadzenie powyższych zmian umożliwi pracownikom NFZ, w tym z wykształceniem medycznym, podejmowanie dodatkowego zatrudnienia lub działalności gospodarczej w zakresie niekolidującym z zadaniami realizowanymi w NFZ oraz nietworzącym konfliktu interesów. Stworzenie możliwości pracy w NFZ i uzyskiwania jednocześnie dochodów na ry</w:t>
      </w:r>
      <w:r w:rsidR="0045299B">
        <w:t>n</w:t>
      </w:r>
      <w:r w:rsidRPr="00663CF8">
        <w:t>ku pracy w ramach innej aktywności zawodowej przyczyni się do zwiększenia konkurencyjności NFZ jako pracodawcy.</w:t>
      </w:r>
    </w:p>
    <w:p w14:paraId="3C419DA6" w14:textId="51074934" w:rsidR="00663CF8" w:rsidRPr="0034745F" w:rsidRDefault="00ED5540" w:rsidP="0034745F">
      <w:pPr>
        <w:pStyle w:val="NIEARTTEKSTtekstnieartykuowanynppodstprawnarozplubpreambua"/>
      </w:pPr>
      <w:r w:rsidRPr="003B385C">
        <w:t>Projektowany p</w:t>
      </w:r>
      <w:r w:rsidR="00663CF8" w:rsidRPr="003B385C">
        <w:t xml:space="preserve">rzepis art. 192a ust. 1 wprowadza obowiązek udostępniania </w:t>
      </w:r>
      <w:r w:rsidR="0034745F" w:rsidRPr="003B385C">
        <w:t>przez świadczeniodawców, którzy nie posiadają umowy o udzielanie świadczeń opieki zdrowotnej,</w:t>
      </w:r>
      <w:r w:rsidR="0034745F" w:rsidRPr="003B385C">
        <w:rPr>
          <w:rFonts w:ascii="Segoe UI" w:eastAsia="Times New Roman" w:hAnsi="Segoe UI" w:cs="Segoe UI"/>
          <w:sz w:val="21"/>
          <w:szCs w:val="21"/>
        </w:rPr>
        <w:t xml:space="preserve"> </w:t>
      </w:r>
      <w:r w:rsidR="0034745F" w:rsidRPr="003B385C">
        <w:t>dokumentacji medycznej oraz dokumentacji osób wykonujących zawód medyczny</w:t>
      </w:r>
      <w:r w:rsidR="0034745F" w:rsidRPr="003B385C">
        <w:rPr>
          <w:rFonts w:eastAsia="Calibri"/>
          <w:szCs w:val="24"/>
        </w:rPr>
        <w:t xml:space="preserve"> w rozumieniu art. 2 ust. 1 pkt 2 ustawy z dnia</w:t>
      </w:r>
      <w:r w:rsidR="0034745F" w:rsidRPr="003B385C">
        <w:rPr>
          <w:rFonts w:eastAsia="Calibri"/>
        </w:rPr>
        <w:t xml:space="preserve"> 15 kwietnia 2011 r. o działalności leczniczej</w:t>
      </w:r>
      <w:r w:rsidR="0034745F" w:rsidRPr="003B385C" w:rsidDel="00B75AC2">
        <w:rPr>
          <w:rFonts w:eastAsia="Calibri"/>
        </w:rPr>
        <w:t xml:space="preserve"> </w:t>
      </w:r>
      <w:r w:rsidR="0034745F" w:rsidRPr="003B385C">
        <w:rPr>
          <w:rFonts w:eastAsia="Calibri"/>
        </w:rPr>
        <w:t>udzielających świadczeń opieki zdrowotnej, obejmującej informacje dotyczące nawiązania, wykonywania i zakończenia stosunku pracy, stosunku służbowego lub innego stosunku prawnego stanowiącego podstawę udzielania świadczeń zdrowotnych, a także kwalifikacji, uprawnień zawodowych oraz ewidencjonowania czasu pracy lub świadczenia usług. Rozwiązanie to uwzględnia fakt</w:t>
      </w:r>
      <w:r w:rsidR="0034745F" w:rsidRPr="003B385C">
        <w:t xml:space="preserve"> przenikania się w praktyce sektora publicznego z komercyjnym i wzajemnego od</w:t>
      </w:r>
      <w:r w:rsidR="00F87E93">
        <w:t>d</w:t>
      </w:r>
      <w:r w:rsidR="0034745F" w:rsidRPr="003B385C">
        <w:t>ziaływania</w:t>
      </w:r>
      <w:r w:rsidR="0034745F">
        <w:t>.</w:t>
      </w:r>
      <w:r w:rsidR="0034745F">
        <w:rPr>
          <w:rFonts w:eastAsia="Calibri"/>
        </w:rPr>
        <w:t xml:space="preserve"> </w:t>
      </w:r>
      <w:r w:rsidR="00663CF8" w:rsidRPr="00663CF8">
        <w:t>Przykładem może być dokumentacja medyczna wytworzona na okoliczność komercyjnej porady, z której wynikać będzie uzasadnienie do preskrypcji lekarskiej recepty z poziomem odpłatności skutkującym refundacją ze strony NFZ. Aspekt dokumentacji pracowniczej realizuje postulat weryfikacji rzeczywistej dostępności personelu w ramach umów o udzielanie świadczeń zdrowotnych, którzy jednocześnie udzielają świadczeń w sektorze komercyjnym.</w:t>
      </w:r>
      <w:r w:rsidR="0034745F">
        <w:t xml:space="preserve"> </w:t>
      </w:r>
      <w:r w:rsidR="00AA14E9" w:rsidRPr="00D52E1C">
        <w:rPr>
          <w:szCs w:val="24"/>
        </w:rPr>
        <w:t>Pozyskiwanie przez Fundusz informacji i danych pozostaje ograniczone do zakresu niezbędnego do wykonywania ustawowych zadań i nie wykracza poza kompetencje przyznane Funduszowi na mocy obowiązujących przepisów</w:t>
      </w:r>
      <w:r w:rsidR="00AA14E9">
        <w:rPr>
          <w:szCs w:val="24"/>
        </w:rPr>
        <w:t>.</w:t>
      </w:r>
    </w:p>
    <w:p w14:paraId="3C49BE0D" w14:textId="77777777" w:rsidR="00663CF8" w:rsidRPr="00663CF8" w:rsidRDefault="00663CF8" w:rsidP="00663CF8">
      <w:pPr>
        <w:pStyle w:val="NIEARTTEKSTtekstnieartykuowanynppodstprawnarozplubpreambua"/>
      </w:pPr>
      <w:r w:rsidRPr="00663CF8">
        <w:lastRenderedPageBreak/>
        <w:t>III. Pozostałe zmiany w ustawie o świadczeniach</w:t>
      </w:r>
    </w:p>
    <w:p w14:paraId="740CBCE8" w14:textId="47ADFEF4" w:rsidR="00663CF8" w:rsidRPr="00663CF8" w:rsidRDefault="00663CF8" w:rsidP="00663CF8">
      <w:pPr>
        <w:pStyle w:val="NIEARTTEKSTtekstnieartykuowanynppodstprawnarozplubpreambua"/>
      </w:pPr>
      <w:r w:rsidRPr="00663CF8">
        <w:t>Projektowana ustawa wprowadza także zmiany w przepisach regulujących proces taryfikacji świadczeń opieki zdrowotnej, które pozwolą na szybsze reagowanie na zmieniające się uwarunkowania związane z kosztami udzielania świadczeń oraz ogranicz</w:t>
      </w:r>
      <w:r w:rsidR="00A772C6">
        <w:t>ą</w:t>
      </w:r>
      <w:r w:rsidRPr="00663CF8">
        <w:t xml:space="preserve"> ryzyko utrzymywania przez dłuższy czas taryf, które nie odzwierciedlają rzeczywistych kosztów ich realizacji. Dotyczy to w szczególności przypadków, w których informacje pochodzące od świadczeniodawców, </w:t>
      </w:r>
      <w:r w:rsidR="00023845">
        <w:t>NFZ</w:t>
      </w:r>
      <w:r w:rsidRPr="00663CF8">
        <w:t>, organów administracji publicznej lub wyniki analiz wskazują na istotne niedoszacowanie lub przeszacowanie wartości taryfy świadczeń.</w:t>
      </w:r>
    </w:p>
    <w:p w14:paraId="27B7F55D" w14:textId="77777777" w:rsidR="00663CF8" w:rsidRPr="00663CF8" w:rsidRDefault="00663CF8" w:rsidP="00663CF8">
      <w:pPr>
        <w:pStyle w:val="NIEARTTEKSTtekstnieartykuowanynppodstprawnarozplubpreambua"/>
      </w:pPr>
      <w:r w:rsidRPr="00663CF8">
        <w:t>Przyznanie Prezesowi Agencji Oceny Technologii Medycznych i Taryfikacji, zwanej dalej „Agencją”, kompetencji do inicjowania zmiany taryf poza planem taryfikacji zwiększy elastyczność systemu taryfikacji i umożliwi podejmowanie działań w oparciu o aktualne dane oraz rzeczywiste potrzeby systemu ochrony zdrowia. Jednocześnie rozwiązanie to nie oznacza automatycznej zmiany taryfy, lecz jedynie umożliwia wszczęcie postępowania taryfikacyjnego, które będzie prowadzone zgodnie z obowiązującymi przepisami, z zachowaniem wymaganych procedur oraz standardów analitycznych.</w:t>
      </w:r>
    </w:p>
    <w:p w14:paraId="574CA59C" w14:textId="791A9EB8" w:rsidR="00663CF8" w:rsidRPr="00663CF8" w:rsidRDefault="00663CF8" w:rsidP="00663CF8">
      <w:pPr>
        <w:pStyle w:val="NIEARTTEKSTtekstnieartykuowanynppodstprawnarozplubpreambua"/>
      </w:pPr>
      <w:r w:rsidRPr="00663CF8">
        <w:t xml:space="preserve">Kolejna zmiana dotyczy ograniczenia zawartości raportu w sprawie ustalenia taryfy świadczeń. Proponowane rozwiązanie ma na celu ograniczenie elementów, które nie mają bezpośredniego wpływu na wybór metody ustalenia taryfy ani na jej wysokość. Pozwoli to skoncentrować prace analityczne na danych kosztowych, podaży i popycie, skutkach finansowych oraz wpływie projektowanej taryfy na strukturę udzielanych świadczeń. W odniesieniu do opisu świadczenia i danych epidemiologicznych należy zauważyć, że informacje te są w znacznej części analizowane już na etapie kwalifikacji świadczenia do wykazu świadczeń gwarantowanych. Ich ponowne, przekrojowe opracowywanie w ramach każdego postępowania taryfikacyjnego prowadzi więc do dublowania wcześniej wykonanych analiz. Rezygnacja z pełnego opisu nie oznaczała pominięcia kontekstu klinicznego i epidemiologicznego. W raporcie można pozostawić zwięzłą charakterystykę przedmiotu taryfikacji oraz odesłanie do dokumentacji sporządzonej na etapie kwalifikacji świadczenia do koszyka świadczeń gwarantowanych. Pogłębiona analiza epidemiologiczna byłaby przygotowywana w przypadkach, w których od czasu kwalifikacji nastąpiła istotna zmiana zapadalności, chorobowości, śmiertelności, sposobu leczenia albo populacji objętej świadczeniem, mogąca mieć znaczenie dla ustalenia taryfy. Podobne zastrzeżenia dotyczą obligatoryjnej analizy sposobu i poziomu finansowania świadczenia w innych krajach. </w:t>
      </w:r>
      <w:r w:rsidRPr="00663CF8">
        <w:lastRenderedPageBreak/>
        <w:t xml:space="preserve">Bezpośrednia porównywalność takich danych jest ograniczona ze względu na różnice w zakresie świadczeń finansowanych </w:t>
      </w:r>
      <w:r w:rsidR="002F0CDC">
        <w:t>ze środków publicznych</w:t>
      </w:r>
      <w:r w:rsidRPr="00663CF8">
        <w:t xml:space="preserve">, organizacji systemów ochrony zdrowia, jednostkach i mechanizmach rozliczeniowych, sposobie uwzględniania kosztów pośrednich, dopłatach pacjentów, poziomie wynagrodzeń i cen, a także stosowanych kursach walut i parytetach siły nabywczej. Kwoty finansowania zagranicznego rzadko mogą być zatem bezpośrednio wykorzystane do ustalenia taryfy w warunkach polskiego systemu. Zasadne jest zatem, aby analiza rozwiązań zagranicznych miała charakter fakultatywny i była sporządzana tylko o ile dostępne dane są wiarygodne i porównywalne a sposób finansowania świadczenia w innym kraju może mieć rzeczywiste znaczenie dla ustalenia taryfy. Proponowana zmiana pozwoli lepiej dostosować zakres prowadzonych analiz do celu postępowania taryfikacyjnego, zgodnie z zasadą proporcjonalności, oraz ograniczyć powtarzanie informacji, które są dostępne w innych dokumentach systemu ochrony zdrowia. </w:t>
      </w:r>
    </w:p>
    <w:p w14:paraId="327A2DAF" w14:textId="0ABBE564" w:rsidR="00663CF8" w:rsidRPr="00663CF8" w:rsidRDefault="00663CF8" w:rsidP="00663CF8">
      <w:pPr>
        <w:pStyle w:val="NIEARTTEKSTtekstnieartykuowanynppodstprawnarozplubpreambua"/>
        <w:rPr>
          <w:b/>
        </w:rPr>
      </w:pPr>
      <w:r w:rsidRPr="00663CF8">
        <w:t>Kolejna zmiana ma na celu przyznanie Agencji uprawnienia do weryfikacji prawidłowości wdrożenia i stosowania standardu rachunku kosztów w podmiotach leczniczych, zgodnie z przepisami rozporządzenia Ministra Zdrowia z dnia 26 października 2020 r. w sprawie zaleceń dotyczących standardu rachunku kosztów u świadczeniodawców</w:t>
      </w:r>
      <w:r w:rsidR="002F0CDC">
        <w:t xml:space="preserve"> (Dz. U. poz. 2045)</w:t>
      </w:r>
      <w:r w:rsidRPr="00663CF8">
        <w:t>.</w:t>
      </w:r>
      <w:r w:rsidRPr="00663CF8">
        <w:rPr>
          <w:b/>
        </w:rPr>
        <w:t xml:space="preserve"> </w:t>
      </w:r>
      <w:r w:rsidRPr="00663CF8">
        <w:t>Jest to uzasadnione koniecznością zapewnienia jednolitego i prawidłowego stosowania standardu rachunku kosztów, który stanowi podstawowe narzędzie pozyskiwania wiarygodnych danych o kosztach udzielania świadczeń opieki zdrowotnej. Dane te są wykorzystywane zarówno przez podmioty lecznicze do zarządzania swoją działalnością, jak i przez Agencję w procesie taryfikacji świadczeń opieki zdrowotnej oraz innych analizach. Jakość, kompletność i porównywalność danych kosztowych mają bezpośredni wpływ na rzetelność analiz ekonomicznych oraz adekwatność ustalanych taryf świadczeń.</w:t>
      </w:r>
      <w:r w:rsidRPr="00663CF8">
        <w:rPr>
          <w:b/>
        </w:rPr>
        <w:t xml:space="preserve"> </w:t>
      </w:r>
      <w:r w:rsidRPr="00663CF8">
        <w:t>Potrzeba wyposażenia Agencji w kompetencje do weryfikacji wdrożenia standardu rachunku kosztów wynika również z faktu, że standard ten obowiązuje świadczeniodawców od pięciu lat, a</w:t>
      </w:r>
      <w:r w:rsidR="00116000">
        <w:t> </w:t>
      </w:r>
      <w:r w:rsidRPr="00663CF8">
        <w:t>podmioty lecznicze miały odpowiednio długi okres na dostosowanie swoich systemów ewidencji kosztów i procesów organizacyjnych do wymogów określonych w przepisach. W</w:t>
      </w:r>
      <w:r w:rsidR="00116000">
        <w:t> </w:t>
      </w:r>
      <w:r w:rsidRPr="00663CF8">
        <w:t xml:space="preserve">tym czasie Agencja realizowała szeroko zakrojone działania wspierające wdrożenie standardu rachunku kosztów, obejmujące organizację szkoleń, webinariów i konsultacji, opracowywanie materiałów instruktażowych, wyjaśnień i odpowiedzi na najczęściej pojawiające się pytania, publikowanie dobrych praktyk oraz bieżące wsparcie merytoryczne dla świadczeniodawców. Działania te miały na celu nie tylko ułatwienie wdrożenia nowych rozwiązań, ale również wypracowanie jednolitego sposobu stosowania standardu rachunku </w:t>
      </w:r>
      <w:r w:rsidRPr="00663CF8">
        <w:lastRenderedPageBreak/>
        <w:t>kosztów w całym systemie publicznej ochrony zdrowia.</w:t>
      </w:r>
      <w:r w:rsidRPr="00663CF8">
        <w:rPr>
          <w:b/>
        </w:rPr>
        <w:t xml:space="preserve"> </w:t>
      </w:r>
      <w:r w:rsidRPr="00663CF8">
        <w:t>Prawidłowo prowadzony rachunek kosztów stanowi istotne narzędzie zarządcze, umożliwiające efektywne planowanie działalności, monitorowanie kosztów, ocenę rentowności poszczególnych rodzajów działalności, racjonalizację wykorzystania zasobów oraz podejmowanie decyzji opartych na rzetelnych danych finansowych. Jednocześnie zapewnia wiarygodne informacje niezbędne do prowadzenia procesu taryfikacji świadczeń opieki zdrowotnej, co przekłada się na większą adekwatność ich finansowania i bardziej efektywne gospodarowanie środkami publicznymi.</w:t>
      </w:r>
      <w:r w:rsidRPr="00663CF8">
        <w:rPr>
          <w:b/>
        </w:rPr>
        <w:t xml:space="preserve"> </w:t>
      </w:r>
      <w:r w:rsidRPr="00663CF8">
        <w:t>Nadanie Agencji kompetencji weryfikacyjnych przyczyni się do ujednolicenia stosowania standardu rachunku kosztów, poprawy jakości i porównywalności danych kosztowych oraz zwiększenia transparentności procesu taryfikacji. W konsekwencji wpłynie na poprawę jakości zarządzania w podmiotach leczniczych, zwiększenie efektywności wykorzystania środków publicznych oraz wzmocnienie podstaw analitycznych służących podejmowaniu decyzji w systemie ochrony zdrowia.</w:t>
      </w:r>
    </w:p>
    <w:p w14:paraId="515AE7EE" w14:textId="5F009402" w:rsidR="00870FCD" w:rsidRDefault="00A4631C" w:rsidP="00870FCD">
      <w:pPr>
        <w:pStyle w:val="NIEARTTEKSTtekstnieartykuowanynppodstprawnarozplubpreambua"/>
      </w:pPr>
      <w:r>
        <w:t>Istotnym elementem projektowanego rozwiązania jest wprowadzenie mechanizmu naprawczego poprzedzającego możliwość zastosowania kary umownej. W przypadku stwierdzenia nieprawidłowości Agencja wzywa świadczeniodawcę do ich usunięcia w terminie 3 miesięcy. Dopiero w przypadku nieusunięcia stwierdzonych nieprawidłowości albo nieprzekazania informacji o ich usunięciu Prezes NFZ może nałożyć na świadczeniodawcę karę umowną. Rozwiązanie to zapewnia świadczeniodawcy możliwość usunięcia stwierdzonych uchybień przed zastosowaniem sankcji.</w:t>
      </w:r>
    </w:p>
    <w:p w14:paraId="07B148B0" w14:textId="0D47EF02" w:rsidR="00A71007" w:rsidRPr="005F1ED3" w:rsidRDefault="00A71007" w:rsidP="001C3BF3">
      <w:pPr>
        <w:pStyle w:val="ARTartustawynprozporzdzenia"/>
      </w:pPr>
      <w:r w:rsidRPr="005F1ED3">
        <w:t>Projektowane zmiany w art. 132b ustawy o świadczeniach polegają na rezygnacji z dotychczasowego obligatoryjnego udzielania świadczeń z zakresu nocnej i świątecznej opieki zdrowotnej przez świadczeniodawców zakwalifikowanych do poziomu 1</w:t>
      </w:r>
      <w:r w:rsidR="006D5440">
        <w:t>–</w:t>
      </w:r>
      <w:r w:rsidRPr="005F1ED3">
        <w:t xml:space="preserve">3 i 5 systemu podstawowego szpitalnego zabezpieczenia świadczeń opieki zdrowotnej (PSZ). Zamiast tego wprowadzono dla tych podmiotów </w:t>
      </w:r>
      <w:r w:rsidR="00495162" w:rsidRPr="005F1ED3">
        <w:t xml:space="preserve">(oraz dodatkowo także dla szpitali zakwalifikowanych do poziomu 6 PSZ) </w:t>
      </w:r>
      <w:r w:rsidRPr="005F1ED3">
        <w:t>możliwość udzielania takich świadczeń, po złożeniu wniosku do Prezesa NFZ. Tym samym świadczeniodawcy działający w ramach PSZ zachowają pierwszeństwo w zakresie udzielania świadczeń nocnej i świątecznej opieki zdrowotnej, natomiast w dalszym ciągu, w przypadku niewystarczającego zabezpieczenia tych świadczeń, będą one przedmiotem post</w:t>
      </w:r>
      <w:r w:rsidR="007C2479">
        <w:t>ę</w:t>
      </w:r>
      <w:r w:rsidRPr="005F1ED3">
        <w:t xml:space="preserve">powań konkursowych, na ogólnych zasadach. Dodatkowym argumentem przemawiającym za rezygnacją ze ścisłego powiązania udzielania omawianych świadczeń nocnej i świątecznej opieki zdrowotnej ze szpitalami działającymi w ramach PSZ </w:t>
      </w:r>
      <w:r w:rsidR="00A772C6">
        <w:t>jest</w:t>
      </w:r>
      <w:r w:rsidR="00A772C6" w:rsidRPr="005F1ED3">
        <w:t xml:space="preserve"> </w:t>
      </w:r>
      <w:r w:rsidRPr="005F1ED3">
        <w:t xml:space="preserve">fakt, iż </w:t>
      </w:r>
      <w:r w:rsidRPr="005F1ED3">
        <w:lastRenderedPageBreak/>
        <w:t>podmioty te niejednokrotnie, nie</w:t>
      </w:r>
      <w:r w:rsidR="00A772C6">
        <w:t xml:space="preserve"> </w:t>
      </w:r>
      <w:r w:rsidRPr="005F1ED3">
        <w:t xml:space="preserve">będąc w stanie w inny sposób spełnić obowiązku udzielania tych świadczeń, korzystały z usług podwykonawców, co nie będzie możliwe w świetle nowych regulacji zawartych w zmienianym art. 26 ustawy o działalności leczniczej. </w:t>
      </w:r>
    </w:p>
    <w:p w14:paraId="623F6466" w14:textId="1BA8E470" w:rsidR="00EA0FED" w:rsidRPr="00EA0FED" w:rsidRDefault="00FD3D44" w:rsidP="008F61E3">
      <w:pPr>
        <w:pStyle w:val="ARTartustawynprozporzdzenia"/>
        <w:ind w:firstLine="0"/>
      </w:pPr>
      <w:r w:rsidRPr="00663CF8">
        <w:t xml:space="preserve">W projektowanej ustawie proponuje się również </w:t>
      </w:r>
      <w:r>
        <w:t>zmianę</w:t>
      </w:r>
      <w:r w:rsidRPr="00663CF8">
        <w:t xml:space="preserve"> art. 193 ustawy o świadczeniach</w:t>
      </w:r>
      <w:r>
        <w:t>, polegając</w:t>
      </w:r>
      <w:r w:rsidR="00E41BC7">
        <w:t>ą</w:t>
      </w:r>
      <w:r>
        <w:t xml:space="preserve"> na dodaniu</w:t>
      </w:r>
      <w:r w:rsidRPr="00663CF8">
        <w:t xml:space="preserve"> </w:t>
      </w:r>
      <w:r>
        <w:t>normy sankcjonującej dla</w:t>
      </w:r>
      <w:r w:rsidRPr="00115BCA">
        <w:t xml:space="preserve"> </w:t>
      </w:r>
      <w:r>
        <w:t xml:space="preserve">przypadków </w:t>
      </w:r>
      <w:r w:rsidRPr="00663CF8">
        <w:t>naruszeni</w:t>
      </w:r>
      <w:r>
        <w:t>a</w:t>
      </w:r>
      <w:r w:rsidRPr="00663CF8">
        <w:t xml:space="preserve"> obowiązków i ograniczeń nakładanych na podmioty lecznicze w zakresie zasad zatrudniania i wynagradzania oraz przekazywania NFZ określonych danych.</w:t>
      </w:r>
      <w:r>
        <w:t xml:space="preserve"> Dotychczasowy art. 193 ustawy o świadczeniach stanie się ustępem 1, do którego dodaje się w tym celu </w:t>
      </w:r>
      <w:r w:rsidRPr="00663CF8">
        <w:t>pkt 8</w:t>
      </w:r>
      <w:r>
        <w:t>–</w:t>
      </w:r>
      <w:r w:rsidRPr="00663CF8">
        <w:t>11</w:t>
      </w:r>
      <w:r>
        <w:t>. Ponadto, obowiązki realizowane przez kierownika podmiotu leczniczego zostaną zabezpieczone sankcją grzywny do wysokości 30.000 zł (dodawany w art. 193 ustawy o świadczeniach ustęp 2). Kwalifikacja sankcji za wykroczenia wobec tych obowiązków jest uzasadniona względami proporcjonalności</w:t>
      </w:r>
      <w:r w:rsidR="00A470CF">
        <w:t xml:space="preserve"> </w:t>
      </w:r>
      <w:r w:rsidR="001442FB">
        <w:t>–</w:t>
      </w:r>
      <w:r w:rsidR="00A470CF">
        <w:t xml:space="preserve"> </w:t>
      </w:r>
      <w:r>
        <w:t xml:space="preserve">wartości życia i zdrowia ludzkiego są zabezpieczone na gruncie ustawy </w:t>
      </w:r>
      <w:r w:rsidRPr="00115BCA">
        <w:t>z dnia 20 maja 1971 r.</w:t>
      </w:r>
      <w:r>
        <w:t xml:space="preserve"> – Kodeks wykroczeń (Dz. U. z 2025 r. poz. 734</w:t>
      </w:r>
      <w:r w:rsidR="006D5440">
        <w:t>, z pó</w:t>
      </w:r>
      <w:r w:rsidR="00F87E93">
        <w:t>ź</w:t>
      </w:r>
      <w:r w:rsidR="006D5440">
        <w:t xml:space="preserve">n. </w:t>
      </w:r>
      <w:r>
        <w:t>zm.) sankcją grzywny do kwoty 30.000 zł (zob. art. 24 ust. 2 Kodek</w:t>
      </w:r>
      <w:r w:rsidR="00E41BC7">
        <w:t>su</w:t>
      </w:r>
      <w:r>
        <w:t xml:space="preserve"> wykroczeń)</w:t>
      </w:r>
      <w:r w:rsidR="00A470CF">
        <w:t xml:space="preserve"> </w:t>
      </w:r>
      <w:r w:rsidR="006D5440">
        <w:t>–</w:t>
      </w:r>
      <w:r w:rsidR="00F746F3">
        <w:t xml:space="preserve"> </w:t>
      </w:r>
      <w:r>
        <w:t>co uzasadni</w:t>
      </w:r>
      <w:r w:rsidR="00F746F3">
        <w:t>a</w:t>
      </w:r>
      <w:r>
        <w:t xml:space="preserve"> analogiczne zabezpieczenie realizacji obowiązków nakładanych przez ustawę o świadczeniach na kierowników podmiotów leczniczych, a uzasadnionych przez ochronę tych samych wartości prawnych. </w:t>
      </w:r>
      <w:r w:rsidR="00EA0FED">
        <w:t>Kara</w:t>
      </w:r>
      <w:r w:rsidR="00DF0646">
        <w:t xml:space="preserve"> </w:t>
      </w:r>
      <w:r w:rsidR="00EA0FED">
        <w:t xml:space="preserve">grzywny przewidziana w projektowanym art. 193 pkt 14 </w:t>
      </w:r>
      <w:r w:rsidR="00EA0FED" w:rsidRPr="00EA0FED">
        <w:t>ma na celu zapewnienie skuteczności realizacji obowiązku określonego w</w:t>
      </w:r>
      <w:r w:rsidR="00EA0FED">
        <w:t xml:space="preserve"> </w:t>
      </w:r>
      <w:r w:rsidR="00EA0FED" w:rsidRPr="00EA0FED">
        <w:t>art. 56 ust. 4 ustawy z dnia 28 kwietnia 2011 r. o systemie informacji w ochronie zdrowia,</w:t>
      </w:r>
      <w:r w:rsidR="00EA0FED">
        <w:t xml:space="preserve"> </w:t>
      </w:r>
      <w:r w:rsidR="00EA0FED" w:rsidRPr="00EA0FED">
        <w:t>zgodnie z którym usługodawcy są obowiązani zapewnić możliwość wymiany danych</w:t>
      </w:r>
      <w:r w:rsidR="00EA0FED">
        <w:t xml:space="preserve"> </w:t>
      </w:r>
      <w:r w:rsidR="00EA0FED" w:rsidRPr="00EA0FED">
        <w:t>zawartych w elektronicznej dokumentacji medycznej za pośrednictwem Systemu</w:t>
      </w:r>
      <w:r w:rsidR="00EA0FED">
        <w:t xml:space="preserve"> </w:t>
      </w:r>
      <w:r w:rsidR="00EA0FED" w:rsidRPr="00EA0FED">
        <w:t>Informacji Medycznej (SIM). Obecnie ustawa nie przewiduje sankcji za niewykonanie tego</w:t>
      </w:r>
      <w:r w:rsidR="00EA0FED">
        <w:t xml:space="preserve"> </w:t>
      </w:r>
      <w:r w:rsidR="00EA0FED" w:rsidRPr="00EA0FED">
        <w:t>obowiązku, co ogranicza możliwość jego skutecznego egzekwowania.</w:t>
      </w:r>
      <w:r w:rsidR="00EA0FED">
        <w:t xml:space="preserve"> </w:t>
      </w:r>
      <w:r w:rsidR="00EA0FED" w:rsidRPr="00EA0FED">
        <w:t>Wprowadzenie odpowiedzialności za niedopełnienie obowiązku ma na celu zwiększenie</w:t>
      </w:r>
      <w:r w:rsidR="00EA0FED">
        <w:t xml:space="preserve"> </w:t>
      </w:r>
      <w:r w:rsidR="00EA0FED" w:rsidRPr="00EA0FED">
        <w:t>stopnia realizacji obowiązków związanych z wymianą elektronicznej dokumentacj</w:t>
      </w:r>
      <w:r w:rsidR="00EA0FED">
        <w:t xml:space="preserve">i </w:t>
      </w:r>
      <w:r w:rsidR="00EA0FED" w:rsidRPr="00EA0FED">
        <w:t>medycznej, co jest niezbędne dla zapewnienia interoperacyjności systemów</w:t>
      </w:r>
      <w:r w:rsidR="00EA0FED">
        <w:t xml:space="preserve"> </w:t>
      </w:r>
      <w:r w:rsidR="00EA0FED" w:rsidRPr="00EA0FED">
        <w:t>teleinformatycznych w ochronie zdrowia, poprawy ciągłości leczenia oraz zwiększenia</w:t>
      </w:r>
      <w:r w:rsidR="00EA0FED">
        <w:t xml:space="preserve"> </w:t>
      </w:r>
      <w:r w:rsidR="00EA0FED" w:rsidRPr="00EA0FED">
        <w:t>dostępności danych medycznych dla uprawnionych podmiot</w:t>
      </w:r>
      <w:r w:rsidR="00EA0FED">
        <w:t>ów.</w:t>
      </w:r>
    </w:p>
    <w:p w14:paraId="37ABEF59" w14:textId="1CB823B5" w:rsidR="00663CF8" w:rsidRPr="008C2286" w:rsidRDefault="00663CF8" w:rsidP="00663CF8">
      <w:pPr>
        <w:pStyle w:val="NIEARTTEKSTtekstnieartykuowanynppodstprawnarozplubpreambua"/>
        <w:rPr>
          <w:u w:val="single"/>
        </w:rPr>
      </w:pPr>
      <w:r w:rsidRPr="005F1ED3">
        <w:rPr>
          <w:u w:val="single"/>
        </w:rPr>
        <w:t xml:space="preserve">Zmiany w ustawie </w:t>
      </w:r>
      <w:r w:rsidR="0054062D" w:rsidRPr="005F1ED3">
        <w:rPr>
          <w:rFonts w:ascii="Times New Roman" w:hAnsi="Times New Roman" w:cs="Times New Roman"/>
          <w:szCs w:val="24"/>
          <w:u w:val="single"/>
        </w:rPr>
        <w:t>z dnia 15 kwietnia 2011 r. o działalności leczniczej</w:t>
      </w:r>
    </w:p>
    <w:p w14:paraId="5A0A0591" w14:textId="6626C83C" w:rsidR="00663CF8" w:rsidRPr="00663CF8" w:rsidRDefault="00663CF8" w:rsidP="00663CF8">
      <w:pPr>
        <w:pStyle w:val="NIEARTTEKSTtekstnieartykuowanynppodstprawnarozplubpreambua"/>
      </w:pPr>
      <w:r w:rsidRPr="00663CF8">
        <w:t xml:space="preserve">Obecnie częstym zjawiskiem jest tzw. leasing pracowniczy. Podmioty lecznicze, głównie samodzielne publiczne zakłady opieki zdrowotnej udzielają zamówień na świadczenia zdrowotne, na podstawie przepisów art. 26–27 ustawy z dnia 15 kwietnia 2011 r. o działalności leczniczej innym podmiotom leczniczym, głównie spółkom, które zapewniają wyłącznie </w:t>
      </w:r>
      <w:r w:rsidRPr="00663CF8">
        <w:lastRenderedPageBreak/>
        <w:t>pracowników (osoby wykonujące zawody medycz</w:t>
      </w:r>
      <w:r w:rsidR="00BC0B1A">
        <w:t>n</w:t>
      </w:r>
      <w:r w:rsidRPr="00663CF8">
        <w:t>e). Podmioty te (przyjmujące zamówienie) formalnie są podmiotami leczniczymi, choć nie wykonują działalności leczniczej; faktycznie są pośrednikami zatrudnienia. Rozwiązanie to pozwala na ominięcie przepisów dotyczących pracy. Jeżeli stroną umowy jest osoba (fizyczna), np. lekarz</w:t>
      </w:r>
      <w:r w:rsidR="00A772C6">
        <w:t>,</w:t>
      </w:r>
      <w:r w:rsidRPr="00663CF8">
        <w:t xml:space="preserve"> wówczas łatwiej zidentyfikować jego łączny czas pracy. W przypadku gdy podwykonawcą jest osoba prawna (spółka kapitałowa) – ograniczenia dotyczące czasu pracy jej nie obowiązują. </w:t>
      </w:r>
    </w:p>
    <w:p w14:paraId="4D847C84" w14:textId="395065D1" w:rsidR="00663CF8" w:rsidRPr="00663CF8" w:rsidRDefault="00663CF8" w:rsidP="00663CF8">
      <w:pPr>
        <w:pStyle w:val="NIEARTTEKSTtekstnieartykuowanynppodstprawnarozplubpreambua"/>
      </w:pPr>
      <w:r w:rsidRPr="00663CF8">
        <w:t xml:space="preserve">W ustawie </w:t>
      </w:r>
      <w:r w:rsidR="00D55352" w:rsidRPr="00663CF8">
        <w:t xml:space="preserve">z dnia 15 kwietnia 2011 r. </w:t>
      </w:r>
      <w:r w:rsidRPr="00663CF8">
        <w:t>o działalności leczniczej proponuje się wprowadzenie zmian w zakresie zawierania umów na udzielanie świadczeń zdrowotnych. Zgodnie z przedkładanymi propozycjami stronami tej umowy będą podmiot leczniczy (niezależnie od formy prawnej oraz formy własności), także podmioty lecznicze, które nie udzielają świadczeń zdrowotnych finansowanych ze środków publicznych (udzielający zamówienia) oraz osoba legitymująca się nabyciem fachowych kwalifikacji do udzielania świadczeń zdrowotnych w określonym zakresie lub określonej dziedzinie medycyny, w szczególności lekarz, lekarz dentysta, pielęgniarka, położna, fizjoterapeuta lub diagnosta laboratoryjny</w:t>
      </w:r>
      <w:r w:rsidR="00201C8D">
        <w:t>,</w:t>
      </w:r>
      <w:r w:rsidRPr="00663CF8">
        <w:t xml:space="preserve"> wykonujący działalność leczniczą w ramach jednoosobowej działalności gospodarczej, jako indywidualna praktyka zawodowa lub indywidualna specjalistyczna praktyka zawodowa, wyłącznie w zakładzie leczniczym na podstawie umowy z podmiotem leczniczym prowadzącym ten zakład</w:t>
      </w:r>
      <w:r w:rsidR="00BC6434">
        <w:t xml:space="preserve"> oraz indywidualna praktyka zawodowa wyłącznie w miejscu wezwania, indywidualna specjalistyczna praktyka zawodowa wyłącznie w miejscu wezwania,</w:t>
      </w:r>
      <w:r w:rsidRPr="00663CF8">
        <w:t xml:space="preserve"> zwana</w:t>
      </w:r>
      <w:r w:rsidR="00D55352">
        <w:t xml:space="preserve"> dalej</w:t>
      </w:r>
      <w:r w:rsidRPr="00663CF8">
        <w:t xml:space="preserve"> </w:t>
      </w:r>
      <w:r w:rsidR="00D55352">
        <w:t>„</w:t>
      </w:r>
      <w:r w:rsidRPr="00663CF8">
        <w:t>przyjmującym zamówienie</w:t>
      </w:r>
      <w:r w:rsidR="00D55352">
        <w:t>”</w:t>
      </w:r>
      <w:r w:rsidRPr="00663CF8">
        <w:t>. Przyjmującym zamówienie będzie mogła być jedynie osoba fizyczna, co wyeliminuje nadużycia związane z zawieraniem podobnych umów (na podstawie obecnie obowiązujących przepisów art. 26</w:t>
      </w:r>
      <w:r w:rsidR="00D55352">
        <w:t>–</w:t>
      </w:r>
      <w:r w:rsidRPr="00663CF8">
        <w:t xml:space="preserve">27 ustawy </w:t>
      </w:r>
      <w:r w:rsidR="001E220B" w:rsidRPr="00663CF8">
        <w:t xml:space="preserve">z dnia 15 kwietnia 2011 r. </w:t>
      </w:r>
      <w:r w:rsidRPr="00663CF8">
        <w:t>o działalności leczniczej) polegające na tworzeniu fikcyjnych podmiotów leczniczych (w celu ominięcia przepisów dotyczących czasu pracy osób wykonujących zawody medyczne).</w:t>
      </w:r>
    </w:p>
    <w:p w14:paraId="6EA9C2EB" w14:textId="4E697319" w:rsidR="00663CF8" w:rsidRDefault="00663CF8" w:rsidP="00663CF8">
      <w:pPr>
        <w:pStyle w:val="NIEARTTEKSTtekstnieartykuowanynppodstprawnarozplubpreambua"/>
      </w:pPr>
      <w:r w:rsidRPr="00663CF8">
        <w:t>Wyjątkowo przyjmującym zamówienie będą mogły być podmioty lecznicze, jeżeli będą udzielały świadczeń zdrowotnych będących przedmiotem ww. umowy w swoim zakładzie leczniczym</w:t>
      </w:r>
      <w:r w:rsidR="00BC6434">
        <w:t xml:space="preserve"> lub w miejscu wezwania</w:t>
      </w:r>
      <w:r w:rsidRPr="00663CF8">
        <w:t>, a nie w zakładzie leczniczym udzielającego zamówienia. Wyjątek ten umożliwi kontynuowanie i zawieranie umów z podmiotami leczniczymi prowadzącymi np. laboratoria czy świadczenia zdrowotne z zakresu radiologii.</w:t>
      </w:r>
    </w:p>
    <w:p w14:paraId="0F4D123E" w14:textId="5C5EE78E" w:rsidR="007C60BA" w:rsidRPr="007C60BA" w:rsidRDefault="007C60BA" w:rsidP="00D52E1C">
      <w:pPr>
        <w:pStyle w:val="ARTartustawynprozporzdzenia"/>
      </w:pPr>
      <w:r w:rsidRPr="007C60BA">
        <w:t>Proponowane nowe przepisy w zakresie zawierania umów</w:t>
      </w:r>
      <w:r w:rsidR="007C2479">
        <w:t xml:space="preserve"> o</w:t>
      </w:r>
      <w:r w:rsidRPr="007C60BA">
        <w:t> udzielani</w:t>
      </w:r>
      <w:r w:rsidR="007C2479">
        <w:t>e</w:t>
      </w:r>
      <w:r w:rsidRPr="007C60BA">
        <w:t xml:space="preserve"> świadczeń zdrowotnych w określonym zakresie lub określonej dziedzinie medycyny mają dotyczyć </w:t>
      </w:r>
      <w:r w:rsidRPr="007C60BA">
        <w:lastRenderedPageBreak/>
        <w:t>wszystkich podmiotów wykonujących działalność leczniczą, również prywatnych, w tym niedysponujący</w:t>
      </w:r>
      <w:r w:rsidR="007C2479">
        <w:t>ch</w:t>
      </w:r>
      <w:r w:rsidRPr="007C60BA">
        <w:t xml:space="preserve"> środkami publicznymi. Rozwiązanie to ma na celu uszczelnienie systemu ochrony zdrowia w zakresie stosowania jednolitych zasad regulujących relacje</w:t>
      </w:r>
      <w:r w:rsidR="007C2479">
        <w:t xml:space="preserve"> między</w:t>
      </w:r>
      <w:r w:rsidRPr="007C60BA">
        <w:t xml:space="preserve"> ww. podmiotami. Proponowane przepisy przyczynią się do jawności w systemie ochrony zdrowi</w:t>
      </w:r>
      <w:r w:rsidR="007C2479">
        <w:t>a</w:t>
      </w:r>
      <w:r w:rsidRPr="007C60BA">
        <w:t>. Ponadto są spójne z regulacjami zawartymi w procedowanym równolegle projekcie ustawy o zmianie ustawy o działalności leczniczej i ustawy o systemie informacji w ochronie zdrowia (UD434).</w:t>
      </w:r>
    </w:p>
    <w:p w14:paraId="01A7B1F4" w14:textId="23DF71C4" w:rsidR="00663CF8" w:rsidRPr="00663CF8" w:rsidRDefault="00663CF8" w:rsidP="00663CF8">
      <w:pPr>
        <w:pStyle w:val="NIEARTTEKSTtekstnieartykuowanynppodstprawnarozplubpreambua"/>
      </w:pPr>
      <w:r w:rsidRPr="00663CF8">
        <w:t>Omawiane umowy są i będą specyficzną formą zamówienia o charakterze publicznym, do którego jednak nie mają zastosowania przepisy ustawy</w:t>
      </w:r>
      <w:r w:rsidR="00E665B8">
        <w:t xml:space="preserve"> </w:t>
      </w:r>
      <w:r w:rsidR="00E665B8" w:rsidRPr="00E665B8">
        <w:t>z dnia 11 września 2019 r.</w:t>
      </w:r>
      <w:r w:rsidR="00E665B8">
        <w:t xml:space="preserve"> –</w:t>
      </w:r>
      <w:r w:rsidRPr="00663CF8">
        <w:t xml:space="preserve"> Prawo zamówień publicznych</w:t>
      </w:r>
      <w:r w:rsidR="00E665B8">
        <w:t xml:space="preserve"> </w:t>
      </w:r>
      <w:r w:rsidR="00E665B8" w:rsidRPr="00E665B8">
        <w:t>(Dz.</w:t>
      </w:r>
      <w:r w:rsidR="00A772C6">
        <w:t xml:space="preserve"> </w:t>
      </w:r>
      <w:r w:rsidR="00E665B8" w:rsidRPr="00E665B8">
        <w:t>U. z 2026 r. poz. 793)</w:t>
      </w:r>
      <w:r w:rsidRPr="00663CF8">
        <w:t xml:space="preserve">. </w:t>
      </w:r>
    </w:p>
    <w:p w14:paraId="1962856E" w14:textId="10EAE926" w:rsidR="00663CF8" w:rsidRPr="00663CF8" w:rsidRDefault="00663CF8" w:rsidP="00663CF8">
      <w:pPr>
        <w:pStyle w:val="NIEARTTEKSTtekstnieartykuowanynppodstprawnarozplubpreambua"/>
      </w:pPr>
      <w:r w:rsidRPr="00663CF8">
        <w:t>Przyjmujący zamówienie będzie wyłaniany w trybie konkursu ofert</w:t>
      </w:r>
      <w:r w:rsidR="00201C8D">
        <w:t>.</w:t>
      </w:r>
    </w:p>
    <w:p w14:paraId="73A591BE" w14:textId="77777777" w:rsidR="00663CF8" w:rsidRPr="00663CF8" w:rsidRDefault="00663CF8" w:rsidP="00663CF8">
      <w:pPr>
        <w:pStyle w:val="NIEARTTEKSTtekstnieartykuowanynppodstprawnarozplubpreambua"/>
      </w:pPr>
      <w:r w:rsidRPr="00663CF8">
        <w:t>Ponadto zaproponowano zmiany polegające na dodaniu nowych elementów ww. umowy, tj. określenie:</w:t>
      </w:r>
    </w:p>
    <w:p w14:paraId="31D527FD" w14:textId="3FE60A41" w:rsidR="00663CF8" w:rsidRPr="00663CF8" w:rsidRDefault="00663CF8" w:rsidP="00B6315A">
      <w:pPr>
        <w:pStyle w:val="NIEARTTEKSTtekstnieartykuowanynppodstprawnarozplubpreambua"/>
        <w:numPr>
          <w:ilvl w:val="0"/>
          <w:numId w:val="32"/>
        </w:numPr>
        <w:ind w:left="426" w:hanging="426"/>
      </w:pPr>
      <w:r w:rsidRPr="00663CF8">
        <w:t>zakresu i liczby świadczeń zdrowotnych;</w:t>
      </w:r>
    </w:p>
    <w:p w14:paraId="596BDDD0" w14:textId="77242704" w:rsidR="00663CF8" w:rsidRPr="00663CF8" w:rsidRDefault="00663CF8" w:rsidP="00B6315A">
      <w:pPr>
        <w:pStyle w:val="NIEARTTEKSTtekstnieartykuowanynppodstprawnarozplubpreambua"/>
        <w:numPr>
          <w:ilvl w:val="0"/>
          <w:numId w:val="32"/>
        </w:numPr>
        <w:ind w:left="426" w:hanging="426"/>
      </w:pPr>
      <w:r w:rsidRPr="00663CF8">
        <w:t>łącznej liczby godzin udzielania świadczeń zdrowotnych;</w:t>
      </w:r>
    </w:p>
    <w:p w14:paraId="1A296AA7" w14:textId="40F9C8A0" w:rsidR="00663CF8" w:rsidRPr="00663CF8" w:rsidRDefault="00663CF8" w:rsidP="00B6315A">
      <w:pPr>
        <w:pStyle w:val="NIEARTTEKSTtekstnieartykuowanynppodstprawnarozplubpreambua"/>
        <w:numPr>
          <w:ilvl w:val="0"/>
          <w:numId w:val="32"/>
        </w:numPr>
        <w:ind w:left="426" w:hanging="426"/>
      </w:pPr>
      <w:r w:rsidRPr="00663CF8">
        <w:t>równoważnika wymiaru czasu pracy u wszystkich zatrudniających na podstawie umowy o pracę oraz udzielających zamówienia na świadczenia zdrowotne, który nie może przekroczyć równowartości dwukrotności pełnego wymiaru czasu pracy.</w:t>
      </w:r>
    </w:p>
    <w:p w14:paraId="41ED4656" w14:textId="77777777" w:rsidR="00663CF8" w:rsidRPr="00663CF8" w:rsidRDefault="00663CF8" w:rsidP="00663CF8">
      <w:pPr>
        <w:pStyle w:val="NIEARTTEKSTtekstnieartykuowanynppodstprawnarozplubpreambua"/>
      </w:pPr>
      <w:r w:rsidRPr="00663CF8">
        <w:t>Powyższe zmiany wpłyną pozytywnie na eliminację nieprawidłowości związanych z zawieraniem omawianych umów oraz nadużyć w zakresie gospodarowania środkami publicznymi.</w:t>
      </w:r>
    </w:p>
    <w:p w14:paraId="46B01786" w14:textId="3A7F0F37" w:rsidR="00663CF8" w:rsidRPr="00663CF8" w:rsidRDefault="00663CF8" w:rsidP="00663CF8">
      <w:pPr>
        <w:pStyle w:val="NIEARTTEKSTtekstnieartykuowanynppodstprawnarozplubpreambua"/>
      </w:pPr>
      <w:r w:rsidRPr="00663CF8">
        <w:t xml:space="preserve">Omawiane regulacje są elementem większej całości, tj. pakietu rozwiązań mających wzmocnić przejrzystość w systemie opieki zdrowotnej. Ponadto </w:t>
      </w:r>
      <w:r w:rsidR="00E665B8">
        <w:t>p</w:t>
      </w:r>
      <w:r w:rsidRPr="00663CF8">
        <w:t>roponowane rozwiązania uniemożliwią zawierani</w:t>
      </w:r>
      <w:r w:rsidR="00BC0B1A">
        <w:t>e</w:t>
      </w:r>
      <w:r w:rsidRPr="00663CF8">
        <w:t xml:space="preserve"> umów na udzielanie świadczeń zdrowotnych przez (fikcyjne) podmioty lecznicze. </w:t>
      </w:r>
    </w:p>
    <w:p w14:paraId="6C83580D" w14:textId="3777850D" w:rsidR="00663CF8" w:rsidRPr="00663CF8" w:rsidRDefault="00663CF8" w:rsidP="00B6315A">
      <w:pPr>
        <w:pStyle w:val="NIEARTTEKSTtekstnieartykuowanynppodstprawnarozplubpreambua"/>
        <w:keepNext/>
        <w:keepLines/>
        <w:rPr>
          <w:u w:val="single"/>
        </w:rPr>
      </w:pPr>
      <w:r w:rsidRPr="00663CF8">
        <w:rPr>
          <w:u w:val="single"/>
        </w:rPr>
        <w:t xml:space="preserve">Zmiany w ustawie </w:t>
      </w:r>
      <w:r w:rsidR="00E665B8" w:rsidRPr="00E665B8">
        <w:rPr>
          <w:u w:val="single"/>
        </w:rPr>
        <w:t>z dnia 6 listopada 2008 r. o prawach pacjenta i Rzeczniku Praw Pacjenta (Dz. U. z 2024 r. poz. 581</w:t>
      </w:r>
      <w:r w:rsidR="00E665B8">
        <w:rPr>
          <w:u w:val="single"/>
        </w:rPr>
        <w:t>, z późn. zm.)</w:t>
      </w:r>
    </w:p>
    <w:p w14:paraId="05D5EBE7" w14:textId="160BE8FD" w:rsidR="00663CF8" w:rsidRPr="00663CF8" w:rsidRDefault="00663CF8" w:rsidP="00AD2949">
      <w:pPr>
        <w:pStyle w:val="NIEARTTEKSTtekstnieartykuowanynppodstprawnarozplubpreambua"/>
      </w:pPr>
      <w:r w:rsidRPr="00663CF8">
        <w:t xml:space="preserve">Projekt ustawy przewiduje dodanie w ustawie z dnia 6 listopada 2008 r. o prawach pacjenta i Rzeczniku Praw Pacjenta art. 8a określającego, że każdy pacjent ma prawo do równego traktowania. Należy wskazać, że zgodnie z Konstytucją RP – każdy ma prawo do </w:t>
      </w:r>
      <w:r w:rsidRPr="00663CF8">
        <w:lastRenderedPageBreak/>
        <w:t>ochrony zdrowia (art. 68 ust. 1)</w:t>
      </w:r>
      <w:r w:rsidR="001442FB">
        <w:t>,</w:t>
      </w:r>
      <w:r w:rsidRPr="00663CF8">
        <w:t xml:space="preserve"> a wszyscy wobec prawa są równi oraz nikt nie może być dyskryminowany w życiu politycznym, społecznym lub gospodarczym z jakiejkolwiek przyczyny (art. 32 ust. 1 i 2). Działalność lecznicza, w ramach której dochodzi do realizacji praw pacjenta, jest działalnoś</w:t>
      </w:r>
      <w:r w:rsidR="00493763">
        <w:t>cią</w:t>
      </w:r>
      <w:r w:rsidRPr="00663CF8">
        <w:t xml:space="preserve"> regulowaną, której zasady i warunki prowadzenia reguluje ustawa o działalności leczniczej; działalność ta ma szczególne znaczenie ze względu na bezpieczeństwo obywateli oraz ważny interes publiczny. Gwarantowane konstytucyjnie prawo do ochrony zdrowia stanowi jedno z najistotniejszych praw człowieka i nakłada na władze publiczne obowiązek podejmowania takich działań, które są konieczne dla należytej ochrony i realizacji tego prawa. W wypadku systemu ochrony zdrowia obowiązkiem państwa jest podjęcie adekwatnych działań, które z jednej strony będą tworzyć ramy prawne i warunki organizacyjne dla prawidłowego udzielania świadczeń zdrowotnych, a z drugiej – będą kreowały dla pacjentów gwarancje dostępu do odpowiednich działań medycznych odpowiedniej jakości w adekwatnym czasie do zagrożenia zdrowotnego. W konsekwencji można twierdzić, że państwo (władza publiczna) jest odpowiedzialn</w:t>
      </w:r>
      <w:r w:rsidR="001442FB">
        <w:t>e</w:t>
      </w:r>
      <w:r w:rsidRPr="00663CF8">
        <w:t xml:space="preserve"> za stworzenie takich uwarunkowań prawno-organizacyjnych systemu opieki zdrowotnej, które będą pozwalały na należytą ochronę życia, zdrowia oraz innych dóbr prawnych pacjentów. Za niedopuszczalne należy uznać jakiekolwiek formy dyskryminacji pacjentów oraz pozaprawnego różnicowania i ograniczania ich pozycji oraz uprawnień w dostępie do leczenia czy diagnostyki. Za przejaw takich działań należy uznać między innymi pozaprawne uprzywilejowanie (faworyzowanie) innych pacjentów w kolejce do leczenia, krótszym oczekiwaniu na diagnostykę czy w zakresie zapewnienia im lepszych warunków czy standardów udzielanych świadczeń zdrowotnych. Konstytucyjna zasada równości jest podstawową wartością w dostępie do świadczeń opieki zdrowotnej finansowanych ze środków publicznych, a projektowany przepis ma w tym względzie charakter gwarancyjny, gdyż stanowi rozwinięcie obowiązujących powszechnie norm konstytucyjnych na gruncie ustawy o prawach pacjenta i Rzeczniku Praw Pacjenta, który ma mieć charakter powszechny </w:t>
      </w:r>
      <w:r w:rsidR="001E220B">
        <w:t>–</w:t>
      </w:r>
      <w:r w:rsidR="001E220B" w:rsidRPr="00663CF8">
        <w:t xml:space="preserve"> </w:t>
      </w:r>
      <w:r w:rsidRPr="00663CF8">
        <w:t xml:space="preserve">niezależny od sposobu finansowania świadczeń zdrowotnych, rodzaju działalności leczniczej i ma obowiązywać zgodnie z właściwością podmioty wymienione w art. 2 ustawy z dnia 6 listopada 2008 r. o prawach pacjenta i Rzeczniku Praw Pacjenta. Projektowany przepis nakłada także na podmioty lecznicze obowiązek podejmowania działań na rzecz realizacji zasady równości pacjentów w ramach wykonywanej działalności leczniczej. </w:t>
      </w:r>
      <w:r w:rsidR="008E6D03" w:rsidRPr="008E6D03">
        <w:t>Nadto przepis wskazuje, jakie zachowania mog</w:t>
      </w:r>
      <w:r w:rsidR="00BC30CF">
        <w:t xml:space="preserve">ą </w:t>
      </w:r>
      <w:r w:rsidR="008E6D03" w:rsidRPr="008E6D03">
        <w:t xml:space="preserve">stanowić przejaw dyskryminacji (np. gorsze warunki leczenia) i z jakich powodów (np. ze </w:t>
      </w:r>
      <w:r w:rsidR="008E6D03" w:rsidRPr="008E6D03">
        <w:lastRenderedPageBreak/>
        <w:t>względu na rasę, pochodzenie</w:t>
      </w:r>
      <w:r w:rsidR="008E6D03">
        <w:t xml:space="preserve"> </w:t>
      </w:r>
      <w:r w:rsidR="008E6D03" w:rsidRPr="008E6D03">
        <w:t>etniczne, obywatelstwo, narodowość, wyznanie, orientacj</w:t>
      </w:r>
      <w:r w:rsidR="007C2479">
        <w:t>ę</w:t>
      </w:r>
      <w:r w:rsidR="008E6D03" w:rsidRPr="008E6D03">
        <w:t xml:space="preserve"> seksualną, niepełnosprawność, płeć, wiek, przynależność polityczną czy też stan cywilny).</w:t>
      </w:r>
      <w:r w:rsidRPr="00663CF8">
        <w:t xml:space="preserve"> </w:t>
      </w:r>
    </w:p>
    <w:p w14:paraId="057FAE51" w14:textId="3D345CB3" w:rsidR="008C2286" w:rsidRPr="005F1ED3" w:rsidDel="008C2286" w:rsidRDefault="008C2286" w:rsidP="005F1ED3">
      <w:pPr>
        <w:pStyle w:val="ARTartustawynprozporzdzenia"/>
        <w:rPr>
          <w:u w:val="single"/>
        </w:rPr>
      </w:pPr>
      <w:r w:rsidRPr="005F1ED3">
        <w:rPr>
          <w:u w:val="single"/>
        </w:rPr>
        <w:t>Przepisy przejściowe i końcowe</w:t>
      </w:r>
    </w:p>
    <w:p w14:paraId="1A7BD9E7" w14:textId="61F5EDA0" w:rsidR="00BB54FA" w:rsidRPr="000417A0" w:rsidRDefault="00A470CF" w:rsidP="003211F8">
      <w:pPr>
        <w:pStyle w:val="USTustnpkodeksu"/>
        <w:rPr>
          <w:rFonts w:ascii="Times New Roman" w:hAnsi="Times New Roman" w:cs="Times New Roman"/>
          <w:szCs w:val="24"/>
        </w:rPr>
      </w:pPr>
      <w:r w:rsidRPr="000417A0">
        <w:rPr>
          <w:rFonts w:ascii="Times New Roman" w:hAnsi="Times New Roman" w:cs="Times New Roman"/>
          <w:szCs w:val="24"/>
        </w:rPr>
        <w:t xml:space="preserve">W art. 4 projektu zawarto regulację przejściową stanowiącą, że </w:t>
      </w:r>
      <w:r w:rsidR="001C3BF3" w:rsidRPr="000417A0">
        <w:rPr>
          <w:rFonts w:ascii="Times New Roman" w:hAnsi="Times New Roman" w:cs="Times New Roman"/>
          <w:szCs w:val="24"/>
        </w:rPr>
        <w:t>umowy i inne akty, na podstawie których zatrudnieni są pracownicy medyczni udzielający świadczeń opieki zdrowotnej, niespełniające warunków zawartych w nowych przepisach, podlegają dostosowaniu do tych wymogów, w terminie</w:t>
      </w:r>
      <w:r w:rsidR="00066D7D" w:rsidRPr="000417A0">
        <w:rPr>
          <w:rFonts w:ascii="Times New Roman" w:hAnsi="Times New Roman" w:cs="Times New Roman"/>
          <w:szCs w:val="24"/>
        </w:rPr>
        <w:t xml:space="preserve"> niedłuższym niż </w:t>
      </w:r>
      <w:r w:rsidR="003211F8">
        <w:rPr>
          <w:rFonts w:ascii="Times New Roman" w:hAnsi="Times New Roman" w:cs="Times New Roman"/>
          <w:szCs w:val="24"/>
        </w:rPr>
        <w:t>6</w:t>
      </w:r>
      <w:r w:rsidR="001C3BF3" w:rsidRPr="000417A0">
        <w:rPr>
          <w:rFonts w:ascii="Times New Roman" w:hAnsi="Times New Roman" w:cs="Times New Roman"/>
          <w:szCs w:val="24"/>
        </w:rPr>
        <w:t xml:space="preserve"> miesięcy od dnia wejścia w życie ustawy. </w:t>
      </w:r>
      <w:r w:rsidR="003211F8">
        <w:rPr>
          <w:rFonts w:ascii="Times New Roman" w:hAnsi="Times New Roman" w:cs="Times New Roman"/>
          <w:szCs w:val="24"/>
        </w:rPr>
        <w:t>W</w:t>
      </w:r>
      <w:r w:rsidR="001C3BF3" w:rsidRPr="000417A0">
        <w:rPr>
          <w:rFonts w:ascii="Times New Roman" w:hAnsi="Times New Roman" w:cs="Times New Roman"/>
          <w:szCs w:val="24"/>
        </w:rPr>
        <w:t xml:space="preserve"> przypadku braku niezbędnego dostosowania takie umowy </w:t>
      </w:r>
      <w:r w:rsidR="003211F8">
        <w:rPr>
          <w:rFonts w:ascii="Times New Roman" w:hAnsi="Times New Roman" w:cs="Times New Roman"/>
          <w:szCs w:val="24"/>
        </w:rPr>
        <w:t xml:space="preserve">lub inne akty </w:t>
      </w:r>
      <w:r w:rsidR="001C3BF3" w:rsidRPr="000417A0">
        <w:rPr>
          <w:rFonts w:ascii="Times New Roman" w:hAnsi="Times New Roman" w:cs="Times New Roman"/>
          <w:szCs w:val="24"/>
        </w:rPr>
        <w:t xml:space="preserve">powinny </w:t>
      </w:r>
      <w:r w:rsidR="003211F8">
        <w:rPr>
          <w:rFonts w:ascii="Times New Roman" w:hAnsi="Times New Roman" w:cs="Times New Roman"/>
          <w:szCs w:val="24"/>
        </w:rPr>
        <w:t>zostać rozwiązane lub uchylone</w:t>
      </w:r>
      <w:r w:rsidR="001C3BF3" w:rsidRPr="000417A0">
        <w:rPr>
          <w:rFonts w:ascii="Times New Roman" w:hAnsi="Times New Roman" w:cs="Times New Roman"/>
          <w:szCs w:val="24"/>
        </w:rPr>
        <w:t>.</w:t>
      </w:r>
      <w:r w:rsidR="00BA2A27" w:rsidRPr="000417A0">
        <w:rPr>
          <w:rFonts w:ascii="Times New Roman" w:hAnsi="Times New Roman" w:cs="Times New Roman"/>
          <w:szCs w:val="24"/>
        </w:rPr>
        <w:t xml:space="preserve"> </w:t>
      </w:r>
    </w:p>
    <w:p w14:paraId="6315C5A6" w14:textId="7AA3E05E" w:rsidR="009B15AD" w:rsidRPr="000417A0" w:rsidRDefault="00BA2A27" w:rsidP="00AD2949">
      <w:pPr>
        <w:pStyle w:val="USTustnpkodeksu"/>
      </w:pPr>
      <w:r w:rsidRPr="000417A0">
        <w:t xml:space="preserve">Celem dostosowania umów </w:t>
      </w:r>
      <w:r w:rsidR="009B15AD" w:rsidRPr="000417A0">
        <w:t>oraz innych aktów</w:t>
      </w:r>
      <w:r w:rsidR="003211F8">
        <w:t xml:space="preserve"> do nowych wymagań ustawowych</w:t>
      </w:r>
      <w:r w:rsidR="009B15AD" w:rsidRPr="000417A0">
        <w:t xml:space="preserve"> </w:t>
      </w:r>
      <w:r w:rsidRPr="000417A0">
        <w:t>pracownicy medyczni zostaną zobowiązani do złożenia oświadczeń, o których mowa w dodawanych art.132aa ust. 4 i 8 oraz art. 132ab ust. 1</w:t>
      </w:r>
      <w:r w:rsidR="00BB54FA" w:rsidRPr="000417A0">
        <w:t>0</w:t>
      </w:r>
      <w:r w:rsidRPr="000417A0">
        <w:t xml:space="preserve"> ustawy o świadczeniach, w terminie 7 dni od dnia otrzymania wezwania od kierownika </w:t>
      </w:r>
      <w:r w:rsidR="00686F8C" w:rsidRPr="000417A0">
        <w:t xml:space="preserve">zatrudniającego ich </w:t>
      </w:r>
      <w:r w:rsidRPr="000417A0">
        <w:t xml:space="preserve">podmiotu leczniczego. </w:t>
      </w:r>
      <w:r w:rsidR="00116000" w:rsidRPr="000417A0">
        <w:t>Jednocześnie</w:t>
      </w:r>
      <w:r w:rsidR="00686F8C" w:rsidRPr="000417A0">
        <w:t xml:space="preserve"> w celu</w:t>
      </w:r>
      <w:r w:rsidRPr="000417A0">
        <w:t xml:space="preserve"> dostos</w:t>
      </w:r>
      <w:r w:rsidR="00686F8C" w:rsidRPr="000417A0">
        <w:t>o</w:t>
      </w:r>
      <w:r w:rsidRPr="000417A0">
        <w:t>w</w:t>
      </w:r>
      <w:r w:rsidR="00686F8C" w:rsidRPr="000417A0">
        <w:t xml:space="preserve">ania umów z osobami, o których mowa w dodawanym </w:t>
      </w:r>
      <w:r w:rsidRPr="000417A0">
        <w:t>art. 132aa ust. 6 ustawy</w:t>
      </w:r>
      <w:r w:rsidR="00686F8C" w:rsidRPr="000417A0">
        <w:t xml:space="preserve"> o świadczeniach, </w:t>
      </w:r>
      <w:r w:rsidRPr="000417A0">
        <w:t>zatrudnion</w:t>
      </w:r>
      <w:r w:rsidR="00686F8C" w:rsidRPr="000417A0">
        <w:t>ymi</w:t>
      </w:r>
      <w:r w:rsidRPr="000417A0">
        <w:t xml:space="preserve"> przez więcej niż jednego świadczeniodawcę,</w:t>
      </w:r>
      <w:r w:rsidR="00686F8C" w:rsidRPr="000417A0">
        <w:t xml:space="preserve"> osoby te powinny</w:t>
      </w:r>
      <w:r w:rsidRPr="000417A0">
        <w:t xml:space="preserve"> </w:t>
      </w:r>
      <w:r w:rsidR="00686F8C" w:rsidRPr="000417A0">
        <w:t>złożyć także</w:t>
      </w:r>
      <w:r w:rsidRPr="000417A0">
        <w:t xml:space="preserve"> oświadczenie o wyborze jednego z zatrudniających j</w:t>
      </w:r>
      <w:r w:rsidR="00E50BC1" w:rsidRPr="000417A0">
        <w:t>e</w:t>
      </w:r>
      <w:r w:rsidRPr="000417A0">
        <w:t xml:space="preserve"> świadczeniodawców jako świadczeniodawcy podstawowego</w:t>
      </w:r>
      <w:r w:rsidR="00AD2949" w:rsidRPr="000417A0">
        <w:t>.</w:t>
      </w:r>
    </w:p>
    <w:p w14:paraId="59EE84B6" w14:textId="32AA0A69" w:rsidR="009B15AD" w:rsidRPr="000417A0" w:rsidRDefault="00F428AF" w:rsidP="005F1ED3">
      <w:pPr>
        <w:pStyle w:val="USTustnpkodeksu"/>
      </w:pPr>
      <w:r w:rsidRPr="000417A0">
        <w:t xml:space="preserve">W art. 4 </w:t>
      </w:r>
      <w:r w:rsidR="003211F8">
        <w:t xml:space="preserve">ust. 4 </w:t>
      </w:r>
      <w:r w:rsidRPr="000417A0">
        <w:t xml:space="preserve">projektu </w:t>
      </w:r>
      <w:r w:rsidR="009B15AD" w:rsidRPr="000417A0">
        <w:t>wprowadzono 14-dniowy termin dla świadczeniodawcy wybranego jako świadczeniodawca podstawowy na rozpatrzenie wniosku pracownika medycznego o wyrażenie zgody na zatrudnienie u innego świadczeniodawcy</w:t>
      </w:r>
      <w:r w:rsidR="00AD2949" w:rsidRPr="000417A0">
        <w:t>, o której mowa w projektowanym art. 132aa ust. 9 ustawy o świadczeniach</w:t>
      </w:r>
      <w:r w:rsidR="009B15AD" w:rsidRPr="000417A0">
        <w:t xml:space="preserve">. </w:t>
      </w:r>
    </w:p>
    <w:p w14:paraId="38CEB490" w14:textId="6C2E7DA2" w:rsidR="009B15AD" w:rsidRPr="000417A0" w:rsidRDefault="009B15AD" w:rsidP="005F1ED3">
      <w:pPr>
        <w:pStyle w:val="USTustnpkodeksu"/>
      </w:pPr>
      <w:r w:rsidRPr="000417A0">
        <w:t>W ust. 5 uregulowano sposób postępowania w przypadku braku tej zgody. W takiej sytuacji pracownik medyczny winien:</w:t>
      </w:r>
    </w:p>
    <w:p w14:paraId="6FF2F23A" w14:textId="405E3E94" w:rsidR="009B15AD" w:rsidRPr="000417A0" w:rsidRDefault="009B15AD" w:rsidP="009B15AD">
      <w:pPr>
        <w:pStyle w:val="PKTpunkt"/>
        <w:rPr>
          <w:rFonts w:eastAsia="Times New Roman"/>
        </w:rPr>
      </w:pPr>
      <w:r w:rsidRPr="000417A0">
        <w:rPr>
          <w:rFonts w:eastAsia="Times New Roman"/>
        </w:rPr>
        <w:t>1)</w:t>
      </w:r>
      <w:r w:rsidR="00802CB9" w:rsidRPr="000417A0">
        <w:rPr>
          <w:rFonts w:eastAsia="Times New Roman"/>
        </w:rPr>
        <w:tab/>
      </w:r>
      <w:r w:rsidRPr="000417A0">
        <w:rPr>
          <w:rFonts w:eastAsia="Times New Roman"/>
        </w:rPr>
        <w:t>rozwiązać umowę o pracę z zachowaniem okresu wypowiedzenia niedłuższego niż określony w art. 36</w:t>
      </w:r>
      <w:r w:rsidRPr="000417A0">
        <w:t xml:space="preserve"> </w:t>
      </w:r>
      <w:r w:rsidRPr="000417A0">
        <w:rPr>
          <w:rFonts w:eastAsia="Times New Roman"/>
        </w:rPr>
        <w:t>§ 1 Kodeks</w:t>
      </w:r>
      <w:r w:rsidR="000417A0">
        <w:rPr>
          <w:rFonts w:eastAsia="Times New Roman"/>
        </w:rPr>
        <w:t>u</w:t>
      </w:r>
      <w:r w:rsidRPr="000417A0">
        <w:rPr>
          <w:rFonts w:eastAsia="Times New Roman"/>
        </w:rPr>
        <w:t xml:space="preserve"> pracy lub</w:t>
      </w:r>
    </w:p>
    <w:p w14:paraId="56439115" w14:textId="7A9384D6" w:rsidR="009B15AD" w:rsidRPr="000417A0" w:rsidRDefault="009B15AD" w:rsidP="009B15AD">
      <w:pPr>
        <w:pStyle w:val="PKTpunkt"/>
        <w:rPr>
          <w:rFonts w:eastAsia="Times New Roman"/>
        </w:rPr>
      </w:pPr>
      <w:r w:rsidRPr="000417A0">
        <w:rPr>
          <w:rFonts w:eastAsia="Times New Roman"/>
        </w:rPr>
        <w:t>2)</w:t>
      </w:r>
      <w:r w:rsidRPr="000417A0">
        <w:rPr>
          <w:rFonts w:eastAsia="Times New Roman"/>
        </w:rPr>
        <w:tab/>
        <w:t xml:space="preserve">wypowiedzieć umowę cywilnoprawną z zachowaniem okresu wypowiedzenia niedłuższego niż miesiąc, lub </w:t>
      </w:r>
    </w:p>
    <w:p w14:paraId="7921AFC3" w14:textId="085BF41E" w:rsidR="009B15AD" w:rsidRPr="000417A0" w:rsidRDefault="009B15AD" w:rsidP="009B15AD">
      <w:pPr>
        <w:pStyle w:val="PKTpunkt"/>
      </w:pPr>
      <w:r w:rsidRPr="000417A0">
        <w:rPr>
          <w:rFonts w:eastAsia="Times New Roman"/>
        </w:rPr>
        <w:t>3)</w:t>
      </w:r>
      <w:r w:rsidRPr="000417A0">
        <w:rPr>
          <w:rFonts w:eastAsia="Times New Roman"/>
        </w:rPr>
        <w:tab/>
        <w:t xml:space="preserve">podjąć niezwłocznie działania niezbędne do uchylenia innego aktu, na podstawie którego powstał stosunek służbowy, </w:t>
      </w:r>
      <w:r w:rsidR="004C10F7" w:rsidRPr="000417A0">
        <w:rPr>
          <w:rFonts w:eastAsia="Times New Roman"/>
        </w:rPr>
        <w:t xml:space="preserve">przy czym jednocześnie </w:t>
      </w:r>
      <w:r w:rsidRPr="000417A0">
        <w:rPr>
          <w:rFonts w:eastAsia="Times New Roman"/>
        </w:rPr>
        <w:t>właściwy</w:t>
      </w:r>
      <w:r w:rsidR="004C10F7" w:rsidRPr="000417A0">
        <w:rPr>
          <w:rFonts w:eastAsia="Times New Roman"/>
        </w:rPr>
        <w:t xml:space="preserve"> organ</w:t>
      </w:r>
      <w:r w:rsidRPr="000417A0">
        <w:rPr>
          <w:rFonts w:eastAsia="Times New Roman"/>
        </w:rPr>
        <w:t xml:space="preserve"> </w:t>
      </w:r>
      <w:r w:rsidR="004C10F7" w:rsidRPr="000417A0">
        <w:rPr>
          <w:rFonts w:eastAsia="Times New Roman"/>
        </w:rPr>
        <w:t xml:space="preserve">obowiązany będzie do </w:t>
      </w:r>
      <w:r w:rsidRPr="000417A0">
        <w:rPr>
          <w:rFonts w:eastAsia="Times New Roman"/>
        </w:rPr>
        <w:t>uchyl</w:t>
      </w:r>
      <w:r w:rsidR="004C10F7" w:rsidRPr="000417A0">
        <w:rPr>
          <w:rFonts w:eastAsia="Times New Roman"/>
        </w:rPr>
        <w:t>enia</w:t>
      </w:r>
      <w:r w:rsidRPr="000417A0">
        <w:rPr>
          <w:rFonts w:eastAsia="Times New Roman"/>
        </w:rPr>
        <w:t xml:space="preserve"> te</w:t>
      </w:r>
      <w:r w:rsidR="004C10F7" w:rsidRPr="000417A0">
        <w:rPr>
          <w:rFonts w:eastAsia="Times New Roman"/>
        </w:rPr>
        <w:t>go</w:t>
      </w:r>
      <w:r w:rsidRPr="000417A0">
        <w:rPr>
          <w:rFonts w:eastAsia="Times New Roman"/>
        </w:rPr>
        <w:t xml:space="preserve"> akt</w:t>
      </w:r>
      <w:r w:rsidR="004C10F7" w:rsidRPr="000417A0">
        <w:rPr>
          <w:rFonts w:eastAsia="Times New Roman"/>
        </w:rPr>
        <w:t>u</w:t>
      </w:r>
      <w:r w:rsidR="00AD2949" w:rsidRPr="000417A0">
        <w:rPr>
          <w:rFonts w:eastAsia="Times New Roman"/>
        </w:rPr>
        <w:t>,</w:t>
      </w:r>
      <w:r w:rsidRPr="000417A0">
        <w:rPr>
          <w:rFonts w:eastAsia="Times New Roman"/>
        </w:rPr>
        <w:t xml:space="preserve"> w terminie niedłuższym niż 3 miesiące od dnia powiadomienia o braku zgody świadczeniodawcy podstawowego. </w:t>
      </w:r>
    </w:p>
    <w:p w14:paraId="277A45C9" w14:textId="7A934FC5" w:rsidR="004C10F7" w:rsidRPr="000417A0" w:rsidRDefault="004C10F7" w:rsidP="00B6315A">
      <w:pPr>
        <w:pStyle w:val="USTustnpkodeksu"/>
      </w:pPr>
      <w:r w:rsidRPr="000417A0">
        <w:t>Natomiast w ust. 6 uregulowano sposób post</w:t>
      </w:r>
      <w:r w:rsidR="00D52982">
        <w:t>ę</w:t>
      </w:r>
      <w:r w:rsidRPr="000417A0">
        <w:t xml:space="preserve">powania świadczeniodawcy w przypadku braku dostosowania umów lub innych aktów do nowych wymogów wprowadzonych na mocy </w:t>
      </w:r>
      <w:r w:rsidRPr="000417A0">
        <w:lastRenderedPageBreak/>
        <w:t>projektowanych przepisów</w:t>
      </w:r>
      <w:r w:rsidR="00066D7D" w:rsidRPr="000417A0">
        <w:t>, a więc zarówno w przypadku braku złożenia wypowiedzenia</w:t>
      </w:r>
      <w:r w:rsidR="00BC30CF">
        <w:t>,</w:t>
      </w:r>
      <w:r w:rsidR="00066D7D" w:rsidRPr="000417A0">
        <w:t xml:space="preserve"> o którym mowa w ust. 5</w:t>
      </w:r>
      <w:r w:rsidR="00BC30CF">
        <w:t>,</w:t>
      </w:r>
      <w:r w:rsidR="00066D7D" w:rsidRPr="000417A0">
        <w:t xml:space="preserve"> jak i w przypadku braku możliwości dostosowania stosunku zatrudnienia do nowych wymogów i upływu </w:t>
      </w:r>
      <w:r w:rsidR="003211F8">
        <w:t>6</w:t>
      </w:r>
      <w:r w:rsidR="008F61E3">
        <w:t>-</w:t>
      </w:r>
      <w:r w:rsidR="00066D7D" w:rsidRPr="000417A0">
        <w:t>miesięcznego okresu dostosowawczego</w:t>
      </w:r>
      <w:r w:rsidRPr="000417A0">
        <w:t>. K</w:t>
      </w:r>
      <w:r w:rsidRPr="000417A0">
        <w:rPr>
          <w:rFonts w:eastAsia="Times New Roman"/>
        </w:rPr>
        <w:t>ierownik właściwego podmiotu leczniczego winien w takim przypadku:</w:t>
      </w:r>
    </w:p>
    <w:p w14:paraId="18D3F5EE" w14:textId="006842F7" w:rsidR="004C10F7" w:rsidRPr="000417A0" w:rsidRDefault="004C10F7" w:rsidP="004C10F7">
      <w:pPr>
        <w:pStyle w:val="PKTpunkt"/>
        <w:rPr>
          <w:rFonts w:eastAsia="Times New Roman"/>
        </w:rPr>
      </w:pPr>
      <w:r w:rsidRPr="000417A0">
        <w:rPr>
          <w:rFonts w:eastAsia="Times New Roman"/>
        </w:rPr>
        <w:t>1)</w:t>
      </w:r>
      <w:r w:rsidRPr="000417A0">
        <w:rPr>
          <w:rFonts w:eastAsia="Times New Roman"/>
        </w:rPr>
        <w:tab/>
        <w:t>rozwiązać umowę o pracę z zachowaniem okresu wypowiedzenia niedłuższego niż określony w art. 36</w:t>
      </w:r>
      <w:r w:rsidRPr="000417A0">
        <w:t xml:space="preserve"> </w:t>
      </w:r>
      <w:r w:rsidRPr="000417A0">
        <w:rPr>
          <w:rFonts w:eastAsia="Times New Roman"/>
        </w:rPr>
        <w:t>§ 1 Kodeks</w:t>
      </w:r>
      <w:r w:rsidR="000417A0">
        <w:rPr>
          <w:rFonts w:eastAsia="Times New Roman"/>
        </w:rPr>
        <w:t>u</w:t>
      </w:r>
      <w:r w:rsidRPr="000417A0">
        <w:rPr>
          <w:rFonts w:eastAsia="Times New Roman"/>
        </w:rPr>
        <w:t xml:space="preserve"> pracy lub</w:t>
      </w:r>
    </w:p>
    <w:p w14:paraId="168E70FF" w14:textId="3ADD9DBA" w:rsidR="004C10F7" w:rsidRPr="000417A0" w:rsidRDefault="004C10F7" w:rsidP="004C10F7">
      <w:pPr>
        <w:pStyle w:val="PKTpunkt"/>
        <w:rPr>
          <w:rFonts w:eastAsia="Times New Roman"/>
        </w:rPr>
      </w:pPr>
      <w:r w:rsidRPr="000417A0">
        <w:rPr>
          <w:rFonts w:eastAsia="Times New Roman"/>
        </w:rPr>
        <w:t>2)</w:t>
      </w:r>
      <w:r w:rsidRPr="000417A0">
        <w:rPr>
          <w:rFonts w:eastAsia="Times New Roman"/>
        </w:rPr>
        <w:tab/>
        <w:t>wypowiedzieć</w:t>
      </w:r>
      <w:r w:rsidRPr="000417A0" w:rsidDel="00855208">
        <w:rPr>
          <w:rFonts w:eastAsia="Times New Roman"/>
        </w:rPr>
        <w:t xml:space="preserve"> </w:t>
      </w:r>
      <w:r w:rsidRPr="000417A0">
        <w:rPr>
          <w:rFonts w:eastAsia="Times New Roman"/>
        </w:rPr>
        <w:t xml:space="preserve">umowę cywilnoprawną z pracownikiem medycznym zatrudnionym na takiej podstawie, z zachowaniem okresu wypowiedzenia niedłuższego niż miesiąc, lub </w:t>
      </w:r>
    </w:p>
    <w:p w14:paraId="71096BE7" w14:textId="62F8B18D" w:rsidR="00AD2949" w:rsidRPr="000417A0" w:rsidRDefault="004C10F7" w:rsidP="00AD2949">
      <w:pPr>
        <w:pStyle w:val="PKTpunkt"/>
        <w:rPr>
          <w:rFonts w:eastAsia="Times New Roman"/>
        </w:rPr>
      </w:pPr>
      <w:r w:rsidRPr="000417A0">
        <w:rPr>
          <w:rFonts w:eastAsia="Times New Roman"/>
        </w:rPr>
        <w:t>3)</w:t>
      </w:r>
      <w:r w:rsidRPr="000417A0">
        <w:rPr>
          <w:rFonts w:eastAsia="Times New Roman"/>
        </w:rPr>
        <w:tab/>
        <w:t>podjąć niezwłocznie działania niezbędne do uchylenia innego aktu, na podstawie którego powstał stosunek służbowy, natomiast właściwy winien uchylić ten akt w terminie niedłuższym niż 3 miesiące od dnia zawiadomienia przez kierownika podmiotu leczniczego</w:t>
      </w:r>
      <w:r w:rsidR="00AD2949" w:rsidRPr="000417A0">
        <w:rPr>
          <w:rFonts w:eastAsia="Times New Roman"/>
        </w:rPr>
        <w:t>.</w:t>
      </w:r>
    </w:p>
    <w:p w14:paraId="3695290B" w14:textId="79C0534C" w:rsidR="00AD2949" w:rsidRDefault="00AD2949" w:rsidP="00B6315A">
      <w:pPr>
        <w:pStyle w:val="USTustnpkodeksu"/>
        <w:rPr>
          <w:b/>
        </w:rPr>
      </w:pPr>
      <w:r w:rsidRPr="000417A0">
        <w:t xml:space="preserve">Przyjęta </w:t>
      </w:r>
      <w:r w:rsidRPr="000417A0">
        <w:rPr>
          <w:bCs w:val="0"/>
        </w:rPr>
        <w:t>różnica między maksymalnymi okresami wypowiedzenia umów o pracę i stosunków służbowych a umowami cywilnoprawnymi jest podyktowana tym, że te ostatnie z istoty swojej charakteryzują się większą elastycznoś</w:t>
      </w:r>
      <w:r w:rsidR="00F87E93">
        <w:rPr>
          <w:bCs w:val="0"/>
        </w:rPr>
        <w:t>cią</w:t>
      </w:r>
      <w:r w:rsidRPr="000417A0">
        <w:rPr>
          <w:bCs w:val="0"/>
        </w:rPr>
        <w:t xml:space="preserve"> i nie są objęte normami ochronnymi prawa pracy.</w:t>
      </w:r>
      <w:r w:rsidRPr="000417A0">
        <w:rPr>
          <w:b/>
        </w:rPr>
        <w:t xml:space="preserve">  </w:t>
      </w:r>
    </w:p>
    <w:p w14:paraId="60A1CCC1" w14:textId="62488C15" w:rsidR="003211F8" w:rsidRPr="003211F8" w:rsidRDefault="003211F8" w:rsidP="00B6315A">
      <w:pPr>
        <w:pStyle w:val="USTustnpkodeksu"/>
        <w:rPr>
          <w:bCs w:val="0"/>
        </w:rPr>
      </w:pPr>
      <w:r w:rsidRPr="008F61E3">
        <w:rPr>
          <w:bCs w:val="0"/>
        </w:rPr>
        <w:t xml:space="preserve">W art. 4 ust. 7 zawarto </w:t>
      </w:r>
      <w:r>
        <w:rPr>
          <w:bCs w:val="0"/>
        </w:rPr>
        <w:t xml:space="preserve">przepis doprecyzowujący, że </w:t>
      </w:r>
      <w:r>
        <w:t xml:space="preserve">czynności wskazane </w:t>
      </w:r>
      <w:r w:rsidRPr="00CE696D">
        <w:t>w ust. 6</w:t>
      </w:r>
      <w:r>
        <w:t xml:space="preserve"> powinny zostać </w:t>
      </w:r>
      <w:r w:rsidR="00FE418E">
        <w:t>podjęte przez kierownika podmiotu leczniczego</w:t>
      </w:r>
      <w:r w:rsidRPr="00CE696D">
        <w:t xml:space="preserve"> w terminie umożliwiającym rozwiązanie umów albo uchylenie innych aktów będących podstawą zatrudnienia </w:t>
      </w:r>
      <w:r w:rsidR="00FE418E">
        <w:t>danej</w:t>
      </w:r>
      <w:r w:rsidRPr="00CE696D">
        <w:t xml:space="preserve"> osoby nie</w:t>
      </w:r>
      <w:r w:rsidR="00FE418E">
        <w:t xml:space="preserve"> </w:t>
      </w:r>
      <w:r w:rsidRPr="00CE696D">
        <w:t>później niż w terminie</w:t>
      </w:r>
      <w:r w:rsidR="00FE418E">
        <w:t xml:space="preserve"> 6 miesięcy, określonym </w:t>
      </w:r>
      <w:r w:rsidRPr="00CE696D">
        <w:t>w ust. 1</w:t>
      </w:r>
      <w:r w:rsidR="00FE418E">
        <w:t>.</w:t>
      </w:r>
    </w:p>
    <w:p w14:paraId="7207E6EF" w14:textId="15762C9F" w:rsidR="009B15AD" w:rsidRPr="000417A0" w:rsidRDefault="00EA4557" w:rsidP="00AD2949">
      <w:pPr>
        <w:pStyle w:val="USTustnpkodeksu"/>
      </w:pPr>
      <w:r w:rsidRPr="000417A0">
        <w:t xml:space="preserve">W ust. </w:t>
      </w:r>
      <w:r w:rsidR="003211F8">
        <w:t>8</w:t>
      </w:r>
      <w:r w:rsidRPr="000417A0">
        <w:t xml:space="preserve"> zawarto zastrzeżenie o niestosowaniu do wypowiedzenia umowy o pracę oraz do wypowiedzenia wynikających z umowy warunków pracy i płacy dokonywanych w związku z dostosowywaniem stosunków pracy do wymogów określonych w projektowanych art. 132aa i </w:t>
      </w:r>
      <w:r w:rsidR="001442FB">
        <w:t xml:space="preserve">art. </w:t>
      </w:r>
      <w:r w:rsidRPr="000417A0">
        <w:t xml:space="preserve">132ab ustawy o świadczeniach przepisów art. 38, </w:t>
      </w:r>
      <w:r w:rsidR="001442FB">
        <w:t xml:space="preserve">art. </w:t>
      </w:r>
      <w:r w:rsidRPr="000417A0">
        <w:t xml:space="preserve">39 i </w:t>
      </w:r>
      <w:r w:rsidR="001442FB">
        <w:t xml:space="preserve">art. </w:t>
      </w:r>
      <w:r w:rsidRPr="000417A0">
        <w:t>41 ustawy z dnia 26 czerwca 1974 r. – Kodeks pracy oraz przepisów szczególnych dotyczących ochrony pracowników przed wypowiedzeniem lub rozwiązaniem umowy o pracę.</w:t>
      </w:r>
    </w:p>
    <w:p w14:paraId="062DB487" w14:textId="4A861321" w:rsidR="001C3BF3" w:rsidRPr="000417A0" w:rsidRDefault="00F428AF" w:rsidP="00AD2949">
      <w:pPr>
        <w:pStyle w:val="USTustnpkodeksu"/>
      </w:pPr>
      <w:r w:rsidRPr="000417A0">
        <w:t xml:space="preserve">W ust. </w:t>
      </w:r>
      <w:r w:rsidR="00FE418E">
        <w:t>9</w:t>
      </w:r>
      <w:r w:rsidRPr="000417A0">
        <w:t xml:space="preserve"> </w:t>
      </w:r>
      <w:r w:rsidR="00EA4557" w:rsidRPr="000417A0">
        <w:t xml:space="preserve">ustanowiono </w:t>
      </w:r>
      <w:r w:rsidR="00FE418E">
        <w:t>6</w:t>
      </w:r>
      <w:r w:rsidR="00EA4557" w:rsidRPr="000417A0">
        <w:t xml:space="preserve">-miesięczny </w:t>
      </w:r>
      <w:r w:rsidRPr="000417A0">
        <w:t xml:space="preserve">termin </w:t>
      </w:r>
      <w:r w:rsidR="00EA4557" w:rsidRPr="000417A0">
        <w:t xml:space="preserve">na dostosowanie postanowień układów zbiorowych pracy, innych niż układy zbiorowe pracy porozumień zbiorowych oraz regulaminów wynagradzania do wymogów określonych w </w:t>
      </w:r>
      <w:r w:rsidR="00AD2949" w:rsidRPr="000417A0">
        <w:t xml:space="preserve">projektowanych </w:t>
      </w:r>
      <w:r w:rsidR="00EA4557" w:rsidRPr="000417A0">
        <w:t xml:space="preserve">art. 132aa i </w:t>
      </w:r>
      <w:r w:rsidR="001442FB">
        <w:t xml:space="preserve">art. </w:t>
      </w:r>
      <w:r w:rsidR="00EA4557" w:rsidRPr="000417A0">
        <w:t>132ab</w:t>
      </w:r>
      <w:r w:rsidR="00AD2949" w:rsidRPr="000417A0">
        <w:t xml:space="preserve"> ustawy o świadczeniach</w:t>
      </w:r>
      <w:r w:rsidR="00FE418E">
        <w:t xml:space="preserve">, natomiast w ust. 10 zawarto przepis, zgodnie z którym w przypadku niedostosowania takich dokumentów we wskazanym terminie tracą one moc z jego upływem. </w:t>
      </w:r>
    </w:p>
    <w:p w14:paraId="470A9795" w14:textId="3B371EF2" w:rsidR="00896A71" w:rsidRPr="003C13FD" w:rsidRDefault="00845A24" w:rsidP="00896A71">
      <w:pPr>
        <w:pStyle w:val="ARTartustawynprozporzdzenia"/>
        <w:rPr>
          <w:rFonts w:ascii="Times New Roman" w:hAnsi="Times New Roman" w:cs="Times New Roman"/>
        </w:rPr>
      </w:pPr>
      <w:r w:rsidRPr="003C13FD">
        <w:lastRenderedPageBreak/>
        <w:t xml:space="preserve">W art. 5 projektu zawarto przepis stanowiący, że </w:t>
      </w:r>
      <w:r w:rsidR="00495162" w:rsidRPr="003C13FD">
        <w:t xml:space="preserve">do zakończenia trwającego obecnie okresu kwalifikacji do PSZ </w:t>
      </w:r>
      <w:r w:rsidRPr="003C13FD">
        <w:rPr>
          <w:rFonts w:ascii="Times New Roman" w:hAnsi="Times New Roman" w:cs="Times New Roman"/>
        </w:rPr>
        <w:t>świadczeniodawca</w:t>
      </w:r>
      <w:r w:rsidR="009D19F6">
        <w:rPr>
          <w:rFonts w:ascii="Times New Roman" w:hAnsi="Times New Roman" w:cs="Times New Roman"/>
        </w:rPr>
        <w:t xml:space="preserve"> działający w ramach tego systemu, realizujący zakres </w:t>
      </w:r>
      <w:r w:rsidR="009D19F6" w:rsidRPr="003C13FD">
        <w:rPr>
          <w:rFonts w:ascii="Times New Roman" w:hAnsi="Times New Roman" w:cs="Times New Roman"/>
        </w:rPr>
        <w:t>świadczeń nocnej i świątecznej opieki zdrowotnej</w:t>
      </w:r>
      <w:r w:rsidR="009D19F6">
        <w:rPr>
          <w:rFonts w:ascii="Times New Roman" w:hAnsi="Times New Roman" w:cs="Times New Roman"/>
        </w:rPr>
        <w:t xml:space="preserve">, </w:t>
      </w:r>
      <w:r w:rsidRPr="003C13FD">
        <w:rPr>
          <w:rFonts w:ascii="Times New Roman" w:hAnsi="Times New Roman" w:cs="Times New Roman"/>
        </w:rPr>
        <w:t xml:space="preserve">może zaprzestać udzielania </w:t>
      </w:r>
      <w:r w:rsidR="009D19F6">
        <w:rPr>
          <w:rFonts w:ascii="Times New Roman" w:hAnsi="Times New Roman" w:cs="Times New Roman"/>
        </w:rPr>
        <w:t xml:space="preserve">tych świadczeń </w:t>
      </w:r>
      <w:r w:rsidRPr="003C13FD">
        <w:rPr>
          <w:rFonts w:ascii="Times New Roman" w:hAnsi="Times New Roman" w:cs="Times New Roman"/>
        </w:rPr>
        <w:t xml:space="preserve">po upływie 3 miesięcy od dnia przekazania przez niego dyrektorowi właściwego oddziału wojewódzkiego Narodowego Funduszu Zdrowia informacji o zamiarze zaprzestania </w:t>
      </w:r>
      <w:r w:rsidR="009D19F6">
        <w:rPr>
          <w:rFonts w:ascii="Times New Roman" w:hAnsi="Times New Roman" w:cs="Times New Roman"/>
        </w:rPr>
        <w:t xml:space="preserve">ich </w:t>
      </w:r>
      <w:r w:rsidRPr="003C13FD">
        <w:rPr>
          <w:rFonts w:ascii="Times New Roman" w:hAnsi="Times New Roman" w:cs="Times New Roman"/>
        </w:rPr>
        <w:t>udzielania.</w:t>
      </w:r>
    </w:p>
    <w:p w14:paraId="18E781E2" w14:textId="03222255" w:rsidR="008C2286" w:rsidRDefault="008C2286" w:rsidP="005F1ED3">
      <w:pPr>
        <w:pStyle w:val="NIEARTTEKSTtekstnieartykuowanynppodstprawnarozplubpreambua"/>
      </w:pPr>
      <w:r w:rsidRPr="00663CF8">
        <w:t xml:space="preserve">Projektowana ustawa powinna wejść w życie po upływie </w:t>
      </w:r>
      <w:r w:rsidR="00103BEE">
        <w:t>miesiąca</w:t>
      </w:r>
      <w:r w:rsidRPr="00663CF8">
        <w:t xml:space="preserve"> od dnia ogłoszenia. Odstąpienie od określonej w art. 68b ust. 1 ustawy z dnia 6 marca 2018 r. – Prawo przedsiębiorców zasady wyznaczania terminu wejścia w życie projektów ustaw, które określają zasady podejmowania, wykonywania lub zakończenia działalności gospodarczej, jest uzasadnione ważnym interesem publicznym. Projektowane przepisy dążą bowiem do zwiększenia bezpieczeństwa pacjentów oraz całościowej poprawy funkcjonowania systemu opieki zdrowotnej, co przełoży się na jeden z kluczowych aspektów życia publicznego. Przepisy te mają jednocześnie na celu urealnienie części nakładów na system opieki zdrowotnej w sposób zakładany w projekcie, co będzie miało istotny pozytywny wpływ na fiskalny interes państwa oraz jego wizerunek wśród obywateli.</w:t>
      </w:r>
    </w:p>
    <w:p w14:paraId="5AA15A88" w14:textId="29268D61" w:rsidR="00663CF8" w:rsidRPr="00896A71" w:rsidRDefault="00663CF8" w:rsidP="00896A71">
      <w:pPr>
        <w:pStyle w:val="ARTartustawynprozporzdzenia"/>
        <w:rPr>
          <w:color w:val="1F497D" w:themeColor="text2"/>
        </w:rPr>
      </w:pPr>
      <w:r w:rsidRPr="00663CF8">
        <w:t xml:space="preserve">Projekt nie ma wpływu na działalność mikroprzedsiębiorców oraz małych przedsiębiorców i jednocześnie może wywrzeć pozytywny wpływ na działalność podmiotów leczniczych należących do sektora dużych i średnich przedsiębiorców przez obniżenie presji płacowej ze strony pracowników medycznych. Jednocześnie projekt nakłada na podmioty lecznicze udzielające świadczeń zdrowotnych w sektorze komercyjnym określone obowiązki informacyjne wobec NFZ. </w:t>
      </w:r>
    </w:p>
    <w:p w14:paraId="7B1B0D03" w14:textId="77777777" w:rsidR="00663CF8" w:rsidRPr="00663CF8" w:rsidRDefault="00663CF8" w:rsidP="00663CF8">
      <w:pPr>
        <w:pStyle w:val="NIEARTTEKSTtekstnieartykuowanynppodstprawnarozplubpreambua"/>
      </w:pPr>
      <w:r w:rsidRPr="00663CF8">
        <w:t xml:space="preserve">W ocenie projektodawcy projekt ustawy jest zgodny z prawem Unii Europejskiej. </w:t>
      </w:r>
    </w:p>
    <w:p w14:paraId="57CF24B9" w14:textId="77777777" w:rsidR="00663CF8" w:rsidRPr="00663CF8" w:rsidRDefault="00663CF8" w:rsidP="00663CF8">
      <w:pPr>
        <w:pStyle w:val="NIEARTTEKSTtekstnieartykuowanynppodstprawnarozplubpreambua"/>
      </w:pPr>
      <w:r w:rsidRPr="00663CF8">
        <w:t>Projekt ustawy nie zawiera przepisów technicznych, a zatem nie podlega notyfikacji, zgodnie z trybem przewidzianym w przepisach rozporządzenia Rady Ministrów z dnia 23 grudnia 2002 r. w sprawie sposobu funkcjonowania krajowego systemu notyfikacji norm i aktów prawnych (Dz. U. poz. 2039, z późn. zm.).</w:t>
      </w:r>
    </w:p>
    <w:p w14:paraId="40C0B821" w14:textId="4F8BC51C" w:rsidR="00663CF8" w:rsidRPr="00663CF8" w:rsidRDefault="00663CF8" w:rsidP="00663CF8">
      <w:pPr>
        <w:pStyle w:val="NIEARTTEKSTtekstnieartykuowanynppodstprawnarozplubpreambua"/>
      </w:pPr>
      <w:r w:rsidRPr="00663CF8">
        <w:t xml:space="preserve">Projekt ustawy nie wymaga przedłożenia właściwym </w:t>
      </w:r>
      <w:r w:rsidR="001442FB" w:rsidRPr="00663CF8">
        <w:t xml:space="preserve">organom i </w:t>
      </w:r>
      <w:r w:rsidRPr="00663CF8">
        <w:t>instytucjom Unii Europejskiej, w tym Europejskiemu Bankowi Centralnemu, w celu uzyskania opinii, dokonania powiadomienia, konsultacji albo uzgodnienia.</w:t>
      </w:r>
    </w:p>
    <w:p w14:paraId="3C64AB8C" w14:textId="77777777" w:rsidR="00663CF8" w:rsidRPr="00663CF8" w:rsidRDefault="00663CF8" w:rsidP="00663CF8">
      <w:pPr>
        <w:pStyle w:val="NIEARTTEKSTtekstnieartykuowanynppodstprawnarozplubpreambua"/>
      </w:pPr>
      <w:r w:rsidRPr="00663CF8">
        <w:lastRenderedPageBreak/>
        <w:t>Projekt ustawy nie zawiera wymogów nakładanych na usługodawców podlegających notyfikacji, o której mowa w art. 15 ust. 7 lub art. 39 ust. 4 dyrektywy 2006/123/WE Parlamentu Europejskiego i Rady z dnia 12 grudnia 2006 r. dotyczącej usług na rynku wewnętrznym (Dz. Urz. UE L 376 z 27.12.2006, str. 36).</w:t>
      </w:r>
    </w:p>
    <w:p w14:paraId="7D15E05D" w14:textId="40159FC9" w:rsidR="00663CF8" w:rsidRPr="00663CF8" w:rsidRDefault="00663CF8" w:rsidP="00663CF8">
      <w:pPr>
        <w:pStyle w:val="NIEARTTEKSTtekstnieartykuowanynppodstprawnarozplubpreambua"/>
      </w:pPr>
      <w:r w:rsidRPr="00663CF8">
        <w:t>Projekt ustawy nie wywiera wpływu na obszar danych osobowych. W związku z tym, nie przeprowadzono oceny skutków ochrony danych osobowych, o której mowa w art. 35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w:t>
      </w:r>
    </w:p>
    <w:p w14:paraId="01ECB384" w14:textId="75607699" w:rsidR="00011172" w:rsidRPr="00011172" w:rsidRDefault="00663CF8" w:rsidP="00E6349F">
      <w:pPr>
        <w:pStyle w:val="NIEARTTEKSTtekstnieartykuowanynppodstprawnarozplubpreambua"/>
      </w:pPr>
      <w:r w:rsidRPr="00663CF8">
        <w:t>Nie ma możliwości podjęcia alternatywnych w stosunku do projektowanej ustawy środków umożliwiających osiągnięcie zamierzonego celu.</w:t>
      </w:r>
    </w:p>
    <w:sectPr w:rsidR="00011172" w:rsidRPr="00011172" w:rsidSect="001A7F15">
      <w:foot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4E90E" w14:textId="77777777" w:rsidR="00F22843" w:rsidRDefault="00F22843">
      <w:r>
        <w:separator/>
      </w:r>
    </w:p>
  </w:endnote>
  <w:endnote w:type="continuationSeparator" w:id="0">
    <w:p w14:paraId="2FCA7D63" w14:textId="77777777" w:rsidR="00F22843" w:rsidRDefault="00F22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601868009"/>
      <w:docPartObj>
        <w:docPartGallery w:val="Page Numbers (Bottom of Page)"/>
        <w:docPartUnique/>
      </w:docPartObj>
    </w:sdtPr>
    <w:sdtEndPr/>
    <w:sdtContent>
      <w:p w14:paraId="14E39CE2" w14:textId="72FD3E43" w:rsidR="00E6349F" w:rsidRPr="00E6349F" w:rsidRDefault="00E6349F" w:rsidP="00E6349F">
        <w:pPr>
          <w:pStyle w:val="Stopka"/>
          <w:jc w:val="center"/>
          <w:rPr>
            <w:sz w:val="24"/>
          </w:rPr>
        </w:pPr>
        <w:r w:rsidRPr="00E6349F">
          <w:rPr>
            <w:sz w:val="24"/>
          </w:rPr>
          <w:fldChar w:fldCharType="begin"/>
        </w:r>
        <w:r w:rsidRPr="00E6349F">
          <w:rPr>
            <w:sz w:val="24"/>
          </w:rPr>
          <w:instrText>PAGE   \* MERGEFORMAT</w:instrText>
        </w:r>
        <w:r w:rsidRPr="00E6349F">
          <w:rPr>
            <w:sz w:val="24"/>
          </w:rPr>
          <w:fldChar w:fldCharType="separate"/>
        </w:r>
        <w:r w:rsidRPr="00E6349F">
          <w:rPr>
            <w:sz w:val="24"/>
          </w:rPr>
          <w:t>2</w:t>
        </w:r>
        <w:r w:rsidRPr="00E6349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62C29" w14:textId="77777777" w:rsidR="00F22843" w:rsidRDefault="00F22843">
      <w:r>
        <w:separator/>
      </w:r>
    </w:p>
  </w:footnote>
  <w:footnote w:type="continuationSeparator" w:id="0">
    <w:p w14:paraId="74B50B0D" w14:textId="77777777" w:rsidR="00F22843" w:rsidRDefault="00F228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C36"/>
    <w:multiLevelType w:val="hybridMultilevel"/>
    <w:tmpl w:val="45B8F14A"/>
    <w:lvl w:ilvl="0" w:tplc="F81E573E">
      <w:start w:val="1"/>
      <w:numFmt w:val="decimal"/>
      <w:lvlText w:val="%1)"/>
      <w:lvlJc w:val="left"/>
      <w:pPr>
        <w:ind w:left="1380" w:hanging="360"/>
      </w:pPr>
      <w:rPr>
        <w:rFonts w:eastAsia="Times New Roman"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 w15:restartNumberingAfterBreak="0">
    <w:nsid w:val="095F3D43"/>
    <w:multiLevelType w:val="hybridMultilevel"/>
    <w:tmpl w:val="D22EB36C"/>
    <w:lvl w:ilvl="0" w:tplc="7EBED8F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FDD3E77"/>
    <w:multiLevelType w:val="hybridMultilevel"/>
    <w:tmpl w:val="97D8DC9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5366D9D"/>
    <w:multiLevelType w:val="hybridMultilevel"/>
    <w:tmpl w:val="400C9748"/>
    <w:lvl w:ilvl="0" w:tplc="441680B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16601007"/>
    <w:multiLevelType w:val="hybridMultilevel"/>
    <w:tmpl w:val="3398C5F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AB965A3"/>
    <w:multiLevelType w:val="hybridMultilevel"/>
    <w:tmpl w:val="FCE80472"/>
    <w:lvl w:ilvl="0" w:tplc="04150011">
      <w:start w:val="1"/>
      <w:numFmt w:val="decimal"/>
      <w:lvlText w:val="%1)"/>
      <w:lvlJc w:val="left"/>
      <w:pPr>
        <w:ind w:left="2511" w:hanging="1095"/>
      </w:pPr>
    </w:lvl>
    <w:lvl w:ilvl="1" w:tplc="FFFFFFFF">
      <w:start w:val="1"/>
      <w:numFmt w:val="lowerLetter"/>
      <w:lvlText w:val="%2."/>
      <w:lvlJc w:val="left"/>
      <w:pPr>
        <w:ind w:left="2496" w:hanging="360"/>
      </w:pPr>
    </w:lvl>
    <w:lvl w:ilvl="2" w:tplc="FFFFFFFF">
      <w:start w:val="1"/>
      <w:numFmt w:val="lowerRoman"/>
      <w:lvlText w:val="%3."/>
      <w:lvlJc w:val="right"/>
      <w:pPr>
        <w:ind w:left="3216" w:hanging="180"/>
      </w:pPr>
    </w:lvl>
    <w:lvl w:ilvl="3" w:tplc="FFFFFFFF">
      <w:start w:val="1"/>
      <w:numFmt w:val="decimal"/>
      <w:lvlText w:val="%4."/>
      <w:lvlJc w:val="left"/>
      <w:pPr>
        <w:ind w:left="3936" w:hanging="360"/>
      </w:pPr>
    </w:lvl>
    <w:lvl w:ilvl="4" w:tplc="FFFFFFFF">
      <w:start w:val="1"/>
      <w:numFmt w:val="lowerLetter"/>
      <w:lvlText w:val="%5."/>
      <w:lvlJc w:val="left"/>
      <w:pPr>
        <w:ind w:left="4656" w:hanging="360"/>
      </w:pPr>
    </w:lvl>
    <w:lvl w:ilvl="5" w:tplc="FFFFFFFF">
      <w:start w:val="1"/>
      <w:numFmt w:val="lowerRoman"/>
      <w:lvlText w:val="%6."/>
      <w:lvlJc w:val="right"/>
      <w:pPr>
        <w:ind w:left="5376" w:hanging="180"/>
      </w:pPr>
    </w:lvl>
    <w:lvl w:ilvl="6" w:tplc="FFFFFFFF">
      <w:start w:val="1"/>
      <w:numFmt w:val="decimal"/>
      <w:lvlText w:val="%7."/>
      <w:lvlJc w:val="left"/>
      <w:pPr>
        <w:ind w:left="6096" w:hanging="360"/>
      </w:pPr>
    </w:lvl>
    <w:lvl w:ilvl="7" w:tplc="FFFFFFFF">
      <w:start w:val="1"/>
      <w:numFmt w:val="lowerLetter"/>
      <w:lvlText w:val="%8."/>
      <w:lvlJc w:val="left"/>
      <w:pPr>
        <w:ind w:left="6816" w:hanging="360"/>
      </w:pPr>
    </w:lvl>
    <w:lvl w:ilvl="8" w:tplc="FFFFFFFF">
      <w:start w:val="1"/>
      <w:numFmt w:val="lowerRoman"/>
      <w:lvlText w:val="%9."/>
      <w:lvlJc w:val="right"/>
      <w:pPr>
        <w:ind w:left="7536" w:hanging="180"/>
      </w:pPr>
    </w:lvl>
  </w:abstractNum>
  <w:abstractNum w:abstractNumId="6" w15:restartNumberingAfterBreak="0">
    <w:nsid w:val="1DEE649E"/>
    <w:multiLevelType w:val="hybridMultilevel"/>
    <w:tmpl w:val="F188B8B4"/>
    <w:lvl w:ilvl="0" w:tplc="A516C7C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206C789C"/>
    <w:multiLevelType w:val="hybridMultilevel"/>
    <w:tmpl w:val="73BA3694"/>
    <w:lvl w:ilvl="0" w:tplc="561270A2">
      <w:start w:val="1"/>
      <w:numFmt w:val="decimal"/>
      <w:lvlText w:val="%1."/>
      <w:lvlJc w:val="left"/>
      <w:pPr>
        <w:ind w:left="720" w:hanging="360"/>
      </w:pPr>
    </w:lvl>
    <w:lvl w:ilvl="1" w:tplc="6A000B90">
      <w:start w:val="1"/>
      <w:numFmt w:val="decimal"/>
      <w:lvlText w:val="%2."/>
      <w:lvlJc w:val="left"/>
      <w:pPr>
        <w:ind w:left="720" w:hanging="360"/>
      </w:pPr>
    </w:lvl>
    <w:lvl w:ilvl="2" w:tplc="D772B266">
      <w:start w:val="1"/>
      <w:numFmt w:val="decimal"/>
      <w:lvlText w:val="%3."/>
      <w:lvlJc w:val="left"/>
      <w:pPr>
        <w:ind w:left="720" w:hanging="360"/>
      </w:pPr>
    </w:lvl>
    <w:lvl w:ilvl="3" w:tplc="80DAC4DC">
      <w:start w:val="1"/>
      <w:numFmt w:val="decimal"/>
      <w:lvlText w:val="%4."/>
      <w:lvlJc w:val="left"/>
      <w:pPr>
        <w:ind w:left="720" w:hanging="360"/>
      </w:pPr>
    </w:lvl>
    <w:lvl w:ilvl="4" w:tplc="A15CEDF4">
      <w:start w:val="1"/>
      <w:numFmt w:val="decimal"/>
      <w:lvlText w:val="%5."/>
      <w:lvlJc w:val="left"/>
      <w:pPr>
        <w:ind w:left="720" w:hanging="360"/>
      </w:pPr>
    </w:lvl>
    <w:lvl w:ilvl="5" w:tplc="72D001A0">
      <w:start w:val="1"/>
      <w:numFmt w:val="decimal"/>
      <w:lvlText w:val="%6."/>
      <w:lvlJc w:val="left"/>
      <w:pPr>
        <w:ind w:left="720" w:hanging="360"/>
      </w:pPr>
    </w:lvl>
    <w:lvl w:ilvl="6" w:tplc="C9A0AC78">
      <w:start w:val="1"/>
      <w:numFmt w:val="decimal"/>
      <w:lvlText w:val="%7."/>
      <w:lvlJc w:val="left"/>
      <w:pPr>
        <w:ind w:left="720" w:hanging="360"/>
      </w:pPr>
    </w:lvl>
    <w:lvl w:ilvl="7" w:tplc="2B2C9106">
      <w:start w:val="1"/>
      <w:numFmt w:val="decimal"/>
      <w:lvlText w:val="%8."/>
      <w:lvlJc w:val="left"/>
      <w:pPr>
        <w:ind w:left="720" w:hanging="360"/>
      </w:pPr>
    </w:lvl>
    <w:lvl w:ilvl="8" w:tplc="F6D03D1A">
      <w:start w:val="1"/>
      <w:numFmt w:val="decimal"/>
      <w:lvlText w:val="%9."/>
      <w:lvlJc w:val="left"/>
      <w:pPr>
        <w:ind w:left="720" w:hanging="360"/>
      </w:pPr>
    </w:lvl>
  </w:abstractNum>
  <w:abstractNum w:abstractNumId="8" w15:restartNumberingAfterBreak="0">
    <w:nsid w:val="248B26AE"/>
    <w:multiLevelType w:val="hybridMultilevel"/>
    <w:tmpl w:val="CCF8DD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EF197A"/>
    <w:multiLevelType w:val="hybridMultilevel"/>
    <w:tmpl w:val="BE1CB088"/>
    <w:lvl w:ilvl="0" w:tplc="CDFCB27C">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10" w15:restartNumberingAfterBreak="0">
    <w:nsid w:val="259864FD"/>
    <w:multiLevelType w:val="hybridMultilevel"/>
    <w:tmpl w:val="1506DD34"/>
    <w:lvl w:ilvl="0" w:tplc="0415000F">
      <w:start w:val="1"/>
      <w:numFmt w:val="decimal"/>
      <w:lvlText w:val="%1."/>
      <w:lvlJc w:val="left"/>
      <w:pPr>
        <w:ind w:left="1296" w:hanging="360"/>
      </w:pPr>
    </w:lvl>
    <w:lvl w:ilvl="1" w:tplc="FFFFFFFF">
      <w:start w:val="1"/>
      <w:numFmt w:val="bullet"/>
      <w:lvlText w:val="o"/>
      <w:lvlJc w:val="left"/>
      <w:pPr>
        <w:ind w:left="2016" w:hanging="360"/>
      </w:pPr>
      <w:rPr>
        <w:rFonts w:ascii="Courier New" w:hAnsi="Courier New" w:cs="Courier New" w:hint="default"/>
      </w:rPr>
    </w:lvl>
    <w:lvl w:ilvl="2" w:tplc="FFFFFFFF">
      <w:start w:val="1"/>
      <w:numFmt w:val="bullet"/>
      <w:lvlText w:val=""/>
      <w:lvlJc w:val="left"/>
      <w:pPr>
        <w:ind w:left="2736" w:hanging="360"/>
      </w:pPr>
      <w:rPr>
        <w:rFonts w:ascii="Wingdings" w:hAnsi="Wingdings" w:hint="default"/>
      </w:rPr>
    </w:lvl>
    <w:lvl w:ilvl="3" w:tplc="FFFFFFFF">
      <w:start w:val="1"/>
      <w:numFmt w:val="bullet"/>
      <w:lvlText w:val=""/>
      <w:lvlJc w:val="left"/>
      <w:pPr>
        <w:ind w:left="3456" w:hanging="360"/>
      </w:pPr>
      <w:rPr>
        <w:rFonts w:ascii="Symbol" w:hAnsi="Symbol" w:hint="default"/>
      </w:rPr>
    </w:lvl>
    <w:lvl w:ilvl="4" w:tplc="FFFFFFFF">
      <w:start w:val="1"/>
      <w:numFmt w:val="bullet"/>
      <w:lvlText w:val="o"/>
      <w:lvlJc w:val="left"/>
      <w:pPr>
        <w:ind w:left="4176" w:hanging="360"/>
      </w:pPr>
      <w:rPr>
        <w:rFonts w:ascii="Courier New" w:hAnsi="Courier New" w:cs="Courier New" w:hint="default"/>
      </w:rPr>
    </w:lvl>
    <w:lvl w:ilvl="5" w:tplc="FFFFFFFF">
      <w:start w:val="1"/>
      <w:numFmt w:val="bullet"/>
      <w:lvlText w:val=""/>
      <w:lvlJc w:val="left"/>
      <w:pPr>
        <w:ind w:left="4896" w:hanging="360"/>
      </w:pPr>
      <w:rPr>
        <w:rFonts w:ascii="Wingdings" w:hAnsi="Wingdings" w:hint="default"/>
      </w:rPr>
    </w:lvl>
    <w:lvl w:ilvl="6" w:tplc="FFFFFFFF">
      <w:start w:val="1"/>
      <w:numFmt w:val="bullet"/>
      <w:lvlText w:val=""/>
      <w:lvlJc w:val="left"/>
      <w:pPr>
        <w:ind w:left="5616" w:hanging="360"/>
      </w:pPr>
      <w:rPr>
        <w:rFonts w:ascii="Symbol" w:hAnsi="Symbol" w:hint="default"/>
      </w:rPr>
    </w:lvl>
    <w:lvl w:ilvl="7" w:tplc="FFFFFFFF">
      <w:start w:val="1"/>
      <w:numFmt w:val="bullet"/>
      <w:lvlText w:val="o"/>
      <w:lvlJc w:val="left"/>
      <w:pPr>
        <w:ind w:left="6336" w:hanging="360"/>
      </w:pPr>
      <w:rPr>
        <w:rFonts w:ascii="Courier New" w:hAnsi="Courier New" w:cs="Courier New" w:hint="default"/>
      </w:rPr>
    </w:lvl>
    <w:lvl w:ilvl="8" w:tplc="FFFFFFFF">
      <w:start w:val="1"/>
      <w:numFmt w:val="bullet"/>
      <w:lvlText w:val=""/>
      <w:lvlJc w:val="left"/>
      <w:pPr>
        <w:ind w:left="7056" w:hanging="360"/>
      </w:pPr>
      <w:rPr>
        <w:rFonts w:ascii="Wingdings" w:hAnsi="Wingdings" w:hint="default"/>
      </w:rPr>
    </w:lvl>
  </w:abstractNum>
  <w:abstractNum w:abstractNumId="11" w15:restartNumberingAfterBreak="0">
    <w:nsid w:val="27580E67"/>
    <w:multiLevelType w:val="hybridMultilevel"/>
    <w:tmpl w:val="CACC9344"/>
    <w:lvl w:ilvl="0" w:tplc="B8B45434">
      <w:start w:val="1"/>
      <w:numFmt w:val="lowerLetter"/>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12" w15:restartNumberingAfterBreak="0">
    <w:nsid w:val="2D2822BF"/>
    <w:multiLevelType w:val="hybridMultilevel"/>
    <w:tmpl w:val="8DCAEBE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3" w15:restartNumberingAfterBreak="0">
    <w:nsid w:val="2E6047A3"/>
    <w:multiLevelType w:val="hybridMultilevel"/>
    <w:tmpl w:val="FA16E2D8"/>
    <w:lvl w:ilvl="0" w:tplc="FBCA2FF0">
      <w:start w:val="1"/>
      <w:numFmt w:val="decimal"/>
      <w:lvlText w:val="%1."/>
      <w:lvlJc w:val="left"/>
      <w:pPr>
        <w:ind w:left="1020" w:hanging="360"/>
      </w:pPr>
    </w:lvl>
    <w:lvl w:ilvl="1" w:tplc="701A3200">
      <w:start w:val="1"/>
      <w:numFmt w:val="decimal"/>
      <w:lvlText w:val="%2."/>
      <w:lvlJc w:val="left"/>
      <w:pPr>
        <w:ind w:left="1020" w:hanging="360"/>
      </w:pPr>
    </w:lvl>
    <w:lvl w:ilvl="2" w:tplc="AA425820">
      <w:start w:val="1"/>
      <w:numFmt w:val="decimal"/>
      <w:lvlText w:val="%3."/>
      <w:lvlJc w:val="left"/>
      <w:pPr>
        <w:ind w:left="1020" w:hanging="360"/>
      </w:pPr>
    </w:lvl>
    <w:lvl w:ilvl="3" w:tplc="53DA23AC">
      <w:start w:val="1"/>
      <w:numFmt w:val="decimal"/>
      <w:lvlText w:val="%4."/>
      <w:lvlJc w:val="left"/>
      <w:pPr>
        <w:ind w:left="1020" w:hanging="360"/>
      </w:pPr>
    </w:lvl>
    <w:lvl w:ilvl="4" w:tplc="C03EA58A">
      <w:start w:val="1"/>
      <w:numFmt w:val="decimal"/>
      <w:lvlText w:val="%5."/>
      <w:lvlJc w:val="left"/>
      <w:pPr>
        <w:ind w:left="1020" w:hanging="360"/>
      </w:pPr>
    </w:lvl>
    <w:lvl w:ilvl="5" w:tplc="339E8BBA">
      <w:start w:val="1"/>
      <w:numFmt w:val="decimal"/>
      <w:lvlText w:val="%6."/>
      <w:lvlJc w:val="left"/>
      <w:pPr>
        <w:ind w:left="1020" w:hanging="360"/>
      </w:pPr>
    </w:lvl>
    <w:lvl w:ilvl="6" w:tplc="D71876A2">
      <w:start w:val="1"/>
      <w:numFmt w:val="decimal"/>
      <w:lvlText w:val="%7."/>
      <w:lvlJc w:val="left"/>
      <w:pPr>
        <w:ind w:left="1020" w:hanging="360"/>
      </w:pPr>
    </w:lvl>
    <w:lvl w:ilvl="7" w:tplc="83D65050">
      <w:start w:val="1"/>
      <w:numFmt w:val="decimal"/>
      <w:lvlText w:val="%8."/>
      <w:lvlJc w:val="left"/>
      <w:pPr>
        <w:ind w:left="1020" w:hanging="360"/>
      </w:pPr>
    </w:lvl>
    <w:lvl w:ilvl="8" w:tplc="8A429E76">
      <w:start w:val="1"/>
      <w:numFmt w:val="decimal"/>
      <w:lvlText w:val="%9."/>
      <w:lvlJc w:val="left"/>
      <w:pPr>
        <w:ind w:left="1020" w:hanging="360"/>
      </w:pPr>
    </w:lvl>
  </w:abstractNum>
  <w:abstractNum w:abstractNumId="14" w15:restartNumberingAfterBreak="0">
    <w:nsid w:val="3D052901"/>
    <w:multiLevelType w:val="hybridMultilevel"/>
    <w:tmpl w:val="A0F2FE5C"/>
    <w:lvl w:ilvl="0" w:tplc="AA529166">
      <w:start w:val="1"/>
      <w:numFmt w:val="decimal"/>
      <w:lvlText w:val="%1."/>
      <w:lvlJc w:val="left"/>
      <w:pPr>
        <w:ind w:left="1020" w:hanging="360"/>
      </w:pPr>
    </w:lvl>
    <w:lvl w:ilvl="1" w:tplc="A1C0ECEE">
      <w:start w:val="1"/>
      <w:numFmt w:val="decimal"/>
      <w:lvlText w:val="%2."/>
      <w:lvlJc w:val="left"/>
      <w:pPr>
        <w:ind w:left="1020" w:hanging="360"/>
      </w:pPr>
    </w:lvl>
    <w:lvl w:ilvl="2" w:tplc="E50E1176">
      <w:start w:val="1"/>
      <w:numFmt w:val="decimal"/>
      <w:lvlText w:val="%3."/>
      <w:lvlJc w:val="left"/>
      <w:pPr>
        <w:ind w:left="1020" w:hanging="360"/>
      </w:pPr>
    </w:lvl>
    <w:lvl w:ilvl="3" w:tplc="2206B8F2">
      <w:start w:val="1"/>
      <w:numFmt w:val="decimal"/>
      <w:lvlText w:val="%4."/>
      <w:lvlJc w:val="left"/>
      <w:pPr>
        <w:ind w:left="1020" w:hanging="360"/>
      </w:pPr>
    </w:lvl>
    <w:lvl w:ilvl="4" w:tplc="AD8437D4">
      <w:start w:val="1"/>
      <w:numFmt w:val="decimal"/>
      <w:lvlText w:val="%5."/>
      <w:lvlJc w:val="left"/>
      <w:pPr>
        <w:ind w:left="1020" w:hanging="360"/>
      </w:pPr>
    </w:lvl>
    <w:lvl w:ilvl="5" w:tplc="0F56B3F8">
      <w:start w:val="1"/>
      <w:numFmt w:val="decimal"/>
      <w:lvlText w:val="%6."/>
      <w:lvlJc w:val="left"/>
      <w:pPr>
        <w:ind w:left="1020" w:hanging="360"/>
      </w:pPr>
    </w:lvl>
    <w:lvl w:ilvl="6" w:tplc="9D8C9B26">
      <w:start w:val="1"/>
      <w:numFmt w:val="decimal"/>
      <w:lvlText w:val="%7."/>
      <w:lvlJc w:val="left"/>
      <w:pPr>
        <w:ind w:left="1020" w:hanging="360"/>
      </w:pPr>
    </w:lvl>
    <w:lvl w:ilvl="7" w:tplc="7E0855D4">
      <w:start w:val="1"/>
      <w:numFmt w:val="decimal"/>
      <w:lvlText w:val="%8."/>
      <w:lvlJc w:val="left"/>
      <w:pPr>
        <w:ind w:left="1020" w:hanging="360"/>
      </w:pPr>
    </w:lvl>
    <w:lvl w:ilvl="8" w:tplc="3E2C7F24">
      <w:start w:val="1"/>
      <w:numFmt w:val="decimal"/>
      <w:lvlText w:val="%9."/>
      <w:lvlJc w:val="left"/>
      <w:pPr>
        <w:ind w:left="1020" w:hanging="360"/>
      </w:pPr>
    </w:lvl>
  </w:abstractNum>
  <w:abstractNum w:abstractNumId="15" w15:restartNumberingAfterBreak="0">
    <w:nsid w:val="4064006F"/>
    <w:multiLevelType w:val="hybridMultilevel"/>
    <w:tmpl w:val="95C093C6"/>
    <w:lvl w:ilvl="0" w:tplc="04150011">
      <w:start w:val="1"/>
      <w:numFmt w:val="decimal"/>
      <w:lvlText w:val="%1)"/>
      <w:lvlJc w:val="left"/>
      <w:pPr>
        <w:ind w:left="870" w:hanging="360"/>
      </w:pPr>
    </w:lvl>
    <w:lvl w:ilvl="1" w:tplc="FFFFFFFF">
      <w:start w:val="1"/>
      <w:numFmt w:val="lowerLetter"/>
      <w:lvlText w:val="%2."/>
      <w:lvlJc w:val="left"/>
      <w:pPr>
        <w:ind w:left="1590" w:hanging="360"/>
      </w:pPr>
    </w:lvl>
    <w:lvl w:ilvl="2" w:tplc="FFFFFFFF">
      <w:start w:val="1"/>
      <w:numFmt w:val="lowerRoman"/>
      <w:lvlText w:val="%3."/>
      <w:lvlJc w:val="right"/>
      <w:pPr>
        <w:ind w:left="2310" w:hanging="180"/>
      </w:pPr>
    </w:lvl>
    <w:lvl w:ilvl="3" w:tplc="FFFFFFFF">
      <w:start w:val="1"/>
      <w:numFmt w:val="decimal"/>
      <w:lvlText w:val="%4."/>
      <w:lvlJc w:val="left"/>
      <w:pPr>
        <w:ind w:left="3030" w:hanging="360"/>
      </w:pPr>
    </w:lvl>
    <w:lvl w:ilvl="4" w:tplc="FFFFFFFF">
      <w:start w:val="1"/>
      <w:numFmt w:val="lowerLetter"/>
      <w:lvlText w:val="%5."/>
      <w:lvlJc w:val="left"/>
      <w:pPr>
        <w:ind w:left="3750" w:hanging="360"/>
      </w:pPr>
    </w:lvl>
    <w:lvl w:ilvl="5" w:tplc="FFFFFFFF">
      <w:start w:val="1"/>
      <w:numFmt w:val="lowerRoman"/>
      <w:lvlText w:val="%6."/>
      <w:lvlJc w:val="right"/>
      <w:pPr>
        <w:ind w:left="4470" w:hanging="180"/>
      </w:pPr>
    </w:lvl>
    <w:lvl w:ilvl="6" w:tplc="FFFFFFFF">
      <w:start w:val="1"/>
      <w:numFmt w:val="decimal"/>
      <w:lvlText w:val="%7."/>
      <w:lvlJc w:val="left"/>
      <w:pPr>
        <w:ind w:left="5190" w:hanging="360"/>
      </w:pPr>
    </w:lvl>
    <w:lvl w:ilvl="7" w:tplc="FFFFFFFF">
      <w:start w:val="1"/>
      <w:numFmt w:val="lowerLetter"/>
      <w:lvlText w:val="%8."/>
      <w:lvlJc w:val="left"/>
      <w:pPr>
        <w:ind w:left="5910" w:hanging="360"/>
      </w:pPr>
    </w:lvl>
    <w:lvl w:ilvl="8" w:tplc="FFFFFFFF">
      <w:start w:val="1"/>
      <w:numFmt w:val="lowerRoman"/>
      <w:lvlText w:val="%9."/>
      <w:lvlJc w:val="right"/>
      <w:pPr>
        <w:ind w:left="6630" w:hanging="180"/>
      </w:pPr>
    </w:lvl>
  </w:abstractNum>
  <w:abstractNum w:abstractNumId="16" w15:restartNumberingAfterBreak="0">
    <w:nsid w:val="460312DA"/>
    <w:multiLevelType w:val="hybridMultilevel"/>
    <w:tmpl w:val="6E066EA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4FAA689A"/>
    <w:multiLevelType w:val="hybridMultilevel"/>
    <w:tmpl w:val="4064B25E"/>
    <w:lvl w:ilvl="0" w:tplc="E230E3E4">
      <w:start w:val="1"/>
      <w:numFmt w:val="decimal"/>
      <w:lvlText w:val="%1)"/>
      <w:lvlJc w:val="left"/>
      <w:pPr>
        <w:ind w:left="870" w:hanging="360"/>
      </w:pPr>
      <w:rPr>
        <w:rFonts w:eastAsia="Times New Roman"/>
      </w:r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18" w15:restartNumberingAfterBreak="0">
    <w:nsid w:val="598B6574"/>
    <w:multiLevelType w:val="hybridMultilevel"/>
    <w:tmpl w:val="9A7AB7E0"/>
    <w:lvl w:ilvl="0" w:tplc="890646C0">
      <w:start w:val="1"/>
      <w:numFmt w:val="decimal"/>
      <w:lvlText w:val="%1."/>
      <w:lvlJc w:val="left"/>
      <w:pPr>
        <w:ind w:left="1020" w:hanging="360"/>
      </w:pPr>
    </w:lvl>
    <w:lvl w:ilvl="1" w:tplc="8DB82E5A">
      <w:start w:val="1"/>
      <w:numFmt w:val="decimal"/>
      <w:lvlText w:val="%2."/>
      <w:lvlJc w:val="left"/>
      <w:pPr>
        <w:ind w:left="1020" w:hanging="360"/>
      </w:pPr>
    </w:lvl>
    <w:lvl w:ilvl="2" w:tplc="77B6DB44">
      <w:start w:val="1"/>
      <w:numFmt w:val="decimal"/>
      <w:lvlText w:val="%3."/>
      <w:lvlJc w:val="left"/>
      <w:pPr>
        <w:ind w:left="1020" w:hanging="360"/>
      </w:pPr>
    </w:lvl>
    <w:lvl w:ilvl="3" w:tplc="55D685AE">
      <w:start w:val="1"/>
      <w:numFmt w:val="decimal"/>
      <w:lvlText w:val="%4."/>
      <w:lvlJc w:val="left"/>
      <w:pPr>
        <w:ind w:left="1020" w:hanging="360"/>
      </w:pPr>
    </w:lvl>
    <w:lvl w:ilvl="4" w:tplc="D1345786">
      <w:start w:val="1"/>
      <w:numFmt w:val="decimal"/>
      <w:lvlText w:val="%5."/>
      <w:lvlJc w:val="left"/>
      <w:pPr>
        <w:ind w:left="1020" w:hanging="360"/>
      </w:pPr>
    </w:lvl>
    <w:lvl w:ilvl="5" w:tplc="3416A7CE">
      <w:start w:val="1"/>
      <w:numFmt w:val="decimal"/>
      <w:lvlText w:val="%6."/>
      <w:lvlJc w:val="left"/>
      <w:pPr>
        <w:ind w:left="1020" w:hanging="360"/>
      </w:pPr>
    </w:lvl>
    <w:lvl w:ilvl="6" w:tplc="01CE87C2">
      <w:start w:val="1"/>
      <w:numFmt w:val="decimal"/>
      <w:lvlText w:val="%7."/>
      <w:lvlJc w:val="left"/>
      <w:pPr>
        <w:ind w:left="1020" w:hanging="360"/>
      </w:pPr>
    </w:lvl>
    <w:lvl w:ilvl="7" w:tplc="BD7A62EC">
      <w:start w:val="1"/>
      <w:numFmt w:val="decimal"/>
      <w:lvlText w:val="%8."/>
      <w:lvlJc w:val="left"/>
      <w:pPr>
        <w:ind w:left="1020" w:hanging="360"/>
      </w:pPr>
    </w:lvl>
    <w:lvl w:ilvl="8" w:tplc="93AEFE48">
      <w:start w:val="1"/>
      <w:numFmt w:val="decimal"/>
      <w:lvlText w:val="%9."/>
      <w:lvlJc w:val="left"/>
      <w:pPr>
        <w:ind w:left="1020" w:hanging="360"/>
      </w:pPr>
    </w:lvl>
  </w:abstractNum>
  <w:abstractNum w:abstractNumId="19" w15:restartNumberingAfterBreak="0">
    <w:nsid w:val="639219DF"/>
    <w:multiLevelType w:val="hybridMultilevel"/>
    <w:tmpl w:val="743EF3F0"/>
    <w:lvl w:ilvl="0" w:tplc="EC541728">
      <w:start w:val="1"/>
      <w:numFmt w:val="decimal"/>
      <w:lvlText w:val="%1)"/>
      <w:lvlJc w:val="left"/>
      <w:pPr>
        <w:ind w:left="1020" w:hanging="360"/>
      </w:pPr>
    </w:lvl>
    <w:lvl w:ilvl="1" w:tplc="AB80DFC8">
      <w:start w:val="1"/>
      <w:numFmt w:val="decimal"/>
      <w:lvlText w:val="%2)"/>
      <w:lvlJc w:val="left"/>
      <w:pPr>
        <w:ind w:left="1020" w:hanging="360"/>
      </w:pPr>
    </w:lvl>
    <w:lvl w:ilvl="2" w:tplc="9E386294">
      <w:start w:val="1"/>
      <w:numFmt w:val="decimal"/>
      <w:lvlText w:val="%3)"/>
      <w:lvlJc w:val="left"/>
      <w:pPr>
        <w:ind w:left="1020" w:hanging="360"/>
      </w:pPr>
    </w:lvl>
    <w:lvl w:ilvl="3" w:tplc="30B29EE2">
      <w:start w:val="1"/>
      <w:numFmt w:val="decimal"/>
      <w:lvlText w:val="%4)"/>
      <w:lvlJc w:val="left"/>
      <w:pPr>
        <w:ind w:left="1020" w:hanging="360"/>
      </w:pPr>
    </w:lvl>
    <w:lvl w:ilvl="4" w:tplc="C31460D6">
      <w:start w:val="1"/>
      <w:numFmt w:val="decimal"/>
      <w:lvlText w:val="%5)"/>
      <w:lvlJc w:val="left"/>
      <w:pPr>
        <w:ind w:left="1020" w:hanging="360"/>
      </w:pPr>
    </w:lvl>
    <w:lvl w:ilvl="5" w:tplc="61A20E74">
      <w:start w:val="1"/>
      <w:numFmt w:val="decimal"/>
      <w:lvlText w:val="%6)"/>
      <w:lvlJc w:val="left"/>
      <w:pPr>
        <w:ind w:left="1020" w:hanging="360"/>
      </w:pPr>
    </w:lvl>
    <w:lvl w:ilvl="6" w:tplc="CCE4F472">
      <w:start w:val="1"/>
      <w:numFmt w:val="decimal"/>
      <w:lvlText w:val="%7)"/>
      <w:lvlJc w:val="left"/>
      <w:pPr>
        <w:ind w:left="1020" w:hanging="360"/>
      </w:pPr>
    </w:lvl>
    <w:lvl w:ilvl="7" w:tplc="6042244C">
      <w:start w:val="1"/>
      <w:numFmt w:val="decimal"/>
      <w:lvlText w:val="%8)"/>
      <w:lvlJc w:val="left"/>
      <w:pPr>
        <w:ind w:left="1020" w:hanging="360"/>
      </w:pPr>
    </w:lvl>
    <w:lvl w:ilvl="8" w:tplc="BD06378E">
      <w:start w:val="1"/>
      <w:numFmt w:val="decimal"/>
      <w:lvlText w:val="%9)"/>
      <w:lvlJc w:val="left"/>
      <w:pPr>
        <w:ind w:left="1020" w:hanging="360"/>
      </w:pPr>
    </w:lvl>
  </w:abstractNum>
  <w:abstractNum w:abstractNumId="20" w15:restartNumberingAfterBreak="0">
    <w:nsid w:val="64212384"/>
    <w:multiLevelType w:val="hybridMultilevel"/>
    <w:tmpl w:val="937439A4"/>
    <w:lvl w:ilvl="0" w:tplc="01E4E0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8E31967"/>
    <w:multiLevelType w:val="multilevel"/>
    <w:tmpl w:val="58A2D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99D775C"/>
    <w:multiLevelType w:val="hybridMultilevel"/>
    <w:tmpl w:val="A4EEABAE"/>
    <w:lvl w:ilvl="0" w:tplc="BD166924">
      <w:start w:val="1"/>
      <w:numFmt w:val="decimal"/>
      <w:lvlText w:val="%1."/>
      <w:lvlJc w:val="left"/>
      <w:pPr>
        <w:ind w:left="1020" w:hanging="360"/>
      </w:pPr>
    </w:lvl>
    <w:lvl w:ilvl="1" w:tplc="1206D970">
      <w:start w:val="1"/>
      <w:numFmt w:val="decimal"/>
      <w:lvlText w:val="%2."/>
      <w:lvlJc w:val="left"/>
      <w:pPr>
        <w:ind w:left="1020" w:hanging="360"/>
      </w:pPr>
    </w:lvl>
    <w:lvl w:ilvl="2" w:tplc="384AF45A">
      <w:start w:val="1"/>
      <w:numFmt w:val="decimal"/>
      <w:lvlText w:val="%3."/>
      <w:lvlJc w:val="left"/>
      <w:pPr>
        <w:ind w:left="1020" w:hanging="360"/>
      </w:pPr>
    </w:lvl>
    <w:lvl w:ilvl="3" w:tplc="DCFC424E">
      <w:start w:val="1"/>
      <w:numFmt w:val="decimal"/>
      <w:lvlText w:val="%4."/>
      <w:lvlJc w:val="left"/>
      <w:pPr>
        <w:ind w:left="1020" w:hanging="360"/>
      </w:pPr>
    </w:lvl>
    <w:lvl w:ilvl="4" w:tplc="039EFBD2">
      <w:start w:val="1"/>
      <w:numFmt w:val="decimal"/>
      <w:lvlText w:val="%5."/>
      <w:lvlJc w:val="left"/>
      <w:pPr>
        <w:ind w:left="1020" w:hanging="360"/>
      </w:pPr>
    </w:lvl>
    <w:lvl w:ilvl="5" w:tplc="4ACCFD52">
      <w:start w:val="1"/>
      <w:numFmt w:val="decimal"/>
      <w:lvlText w:val="%6."/>
      <w:lvlJc w:val="left"/>
      <w:pPr>
        <w:ind w:left="1020" w:hanging="360"/>
      </w:pPr>
    </w:lvl>
    <w:lvl w:ilvl="6" w:tplc="EEBAFBF8">
      <w:start w:val="1"/>
      <w:numFmt w:val="decimal"/>
      <w:lvlText w:val="%7."/>
      <w:lvlJc w:val="left"/>
      <w:pPr>
        <w:ind w:left="1020" w:hanging="360"/>
      </w:pPr>
    </w:lvl>
    <w:lvl w:ilvl="7" w:tplc="10922060">
      <w:start w:val="1"/>
      <w:numFmt w:val="decimal"/>
      <w:lvlText w:val="%8."/>
      <w:lvlJc w:val="left"/>
      <w:pPr>
        <w:ind w:left="1020" w:hanging="360"/>
      </w:pPr>
    </w:lvl>
    <w:lvl w:ilvl="8" w:tplc="79A8A614">
      <w:start w:val="1"/>
      <w:numFmt w:val="decimal"/>
      <w:lvlText w:val="%9."/>
      <w:lvlJc w:val="left"/>
      <w:pPr>
        <w:ind w:left="1020" w:hanging="360"/>
      </w:pPr>
    </w:lvl>
  </w:abstractNum>
  <w:abstractNum w:abstractNumId="23" w15:restartNumberingAfterBreak="0">
    <w:nsid w:val="6AB61A22"/>
    <w:multiLevelType w:val="hybridMultilevel"/>
    <w:tmpl w:val="7CD0BAF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4" w15:restartNumberingAfterBreak="0">
    <w:nsid w:val="70A12E81"/>
    <w:multiLevelType w:val="hybridMultilevel"/>
    <w:tmpl w:val="C1F2FF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1150CCA"/>
    <w:multiLevelType w:val="hybridMultilevel"/>
    <w:tmpl w:val="8100563C"/>
    <w:lvl w:ilvl="0" w:tplc="04150017">
      <w:start w:val="1"/>
      <w:numFmt w:val="lowerLetter"/>
      <w:lvlText w:val="%1)"/>
      <w:lvlJc w:val="left"/>
      <w:pPr>
        <w:ind w:left="1230" w:hanging="360"/>
      </w:pPr>
    </w:lvl>
    <w:lvl w:ilvl="1" w:tplc="04150019">
      <w:start w:val="1"/>
      <w:numFmt w:val="lowerLetter"/>
      <w:lvlText w:val="%2."/>
      <w:lvlJc w:val="left"/>
      <w:pPr>
        <w:ind w:left="1950" w:hanging="360"/>
      </w:pPr>
    </w:lvl>
    <w:lvl w:ilvl="2" w:tplc="0415001B">
      <w:start w:val="1"/>
      <w:numFmt w:val="lowerRoman"/>
      <w:lvlText w:val="%3."/>
      <w:lvlJc w:val="right"/>
      <w:pPr>
        <w:ind w:left="2670" w:hanging="180"/>
      </w:pPr>
    </w:lvl>
    <w:lvl w:ilvl="3" w:tplc="0415000F">
      <w:start w:val="1"/>
      <w:numFmt w:val="decimal"/>
      <w:lvlText w:val="%4."/>
      <w:lvlJc w:val="left"/>
      <w:pPr>
        <w:ind w:left="3390" w:hanging="360"/>
      </w:pPr>
    </w:lvl>
    <w:lvl w:ilvl="4" w:tplc="04150019">
      <w:start w:val="1"/>
      <w:numFmt w:val="lowerLetter"/>
      <w:lvlText w:val="%5."/>
      <w:lvlJc w:val="left"/>
      <w:pPr>
        <w:ind w:left="4110" w:hanging="360"/>
      </w:pPr>
    </w:lvl>
    <w:lvl w:ilvl="5" w:tplc="0415001B">
      <w:start w:val="1"/>
      <w:numFmt w:val="lowerRoman"/>
      <w:lvlText w:val="%6."/>
      <w:lvlJc w:val="right"/>
      <w:pPr>
        <w:ind w:left="4830" w:hanging="180"/>
      </w:pPr>
    </w:lvl>
    <w:lvl w:ilvl="6" w:tplc="0415000F">
      <w:start w:val="1"/>
      <w:numFmt w:val="decimal"/>
      <w:lvlText w:val="%7."/>
      <w:lvlJc w:val="left"/>
      <w:pPr>
        <w:ind w:left="5550" w:hanging="360"/>
      </w:pPr>
    </w:lvl>
    <w:lvl w:ilvl="7" w:tplc="04150019">
      <w:start w:val="1"/>
      <w:numFmt w:val="lowerLetter"/>
      <w:lvlText w:val="%8."/>
      <w:lvlJc w:val="left"/>
      <w:pPr>
        <w:ind w:left="6270" w:hanging="360"/>
      </w:pPr>
    </w:lvl>
    <w:lvl w:ilvl="8" w:tplc="0415001B">
      <w:start w:val="1"/>
      <w:numFmt w:val="lowerRoman"/>
      <w:lvlText w:val="%9."/>
      <w:lvlJc w:val="right"/>
      <w:pPr>
        <w:ind w:left="6990" w:hanging="180"/>
      </w:pPr>
    </w:lvl>
  </w:abstractNum>
  <w:abstractNum w:abstractNumId="26" w15:restartNumberingAfterBreak="0">
    <w:nsid w:val="71DF3817"/>
    <w:multiLevelType w:val="hybridMultilevel"/>
    <w:tmpl w:val="B9BAA10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73236914"/>
    <w:multiLevelType w:val="multilevel"/>
    <w:tmpl w:val="E16A23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65E4C27"/>
    <w:multiLevelType w:val="hybridMultilevel"/>
    <w:tmpl w:val="F2F8A6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E46E04"/>
    <w:multiLevelType w:val="hybridMultilevel"/>
    <w:tmpl w:val="D8DA9D2E"/>
    <w:lvl w:ilvl="0" w:tplc="9B0A6B3A">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1866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90038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38910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48234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7787915">
    <w:abstractNumId w:val="10"/>
    <w:lvlOverride w:ilvl="0">
      <w:startOverride w:val="1"/>
    </w:lvlOverride>
    <w:lvlOverride w:ilvl="1"/>
    <w:lvlOverride w:ilvl="2"/>
    <w:lvlOverride w:ilvl="3"/>
    <w:lvlOverride w:ilvl="4"/>
    <w:lvlOverride w:ilvl="5"/>
    <w:lvlOverride w:ilvl="6"/>
    <w:lvlOverride w:ilvl="7"/>
    <w:lvlOverride w:ilvl="8"/>
  </w:num>
  <w:num w:numId="6" w16cid:durableId="2027886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97751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6648753">
    <w:abstractNumId w:val="19"/>
  </w:num>
  <w:num w:numId="9" w16cid:durableId="514421048">
    <w:abstractNumId w:val="11"/>
  </w:num>
  <w:num w:numId="10" w16cid:durableId="1735741483">
    <w:abstractNumId w:val="24"/>
  </w:num>
  <w:num w:numId="11" w16cid:durableId="504978950">
    <w:abstractNumId w:val="20"/>
  </w:num>
  <w:num w:numId="12" w16cid:durableId="1229534703">
    <w:abstractNumId w:val="6"/>
  </w:num>
  <w:num w:numId="13" w16cid:durableId="390857378">
    <w:abstractNumId w:val="26"/>
  </w:num>
  <w:num w:numId="14" w16cid:durableId="1392734960">
    <w:abstractNumId w:val="16"/>
  </w:num>
  <w:num w:numId="15" w16cid:durableId="2096707747">
    <w:abstractNumId w:val="28"/>
  </w:num>
  <w:num w:numId="16" w16cid:durableId="15884725">
    <w:abstractNumId w:val="2"/>
  </w:num>
  <w:num w:numId="17" w16cid:durableId="813646324">
    <w:abstractNumId w:val="29"/>
  </w:num>
  <w:num w:numId="18" w16cid:durableId="2071074247">
    <w:abstractNumId w:val="5"/>
  </w:num>
  <w:num w:numId="19" w16cid:durableId="535042373">
    <w:abstractNumId w:val="9"/>
  </w:num>
  <w:num w:numId="20" w16cid:durableId="1584336237">
    <w:abstractNumId w:val="12"/>
  </w:num>
  <w:num w:numId="21" w16cid:durableId="730537588">
    <w:abstractNumId w:val="8"/>
  </w:num>
  <w:num w:numId="22" w16cid:durableId="1495802136">
    <w:abstractNumId w:val="14"/>
  </w:num>
  <w:num w:numId="23" w16cid:durableId="1829861507">
    <w:abstractNumId w:val="18"/>
  </w:num>
  <w:num w:numId="24" w16cid:durableId="577520159">
    <w:abstractNumId w:val="7"/>
  </w:num>
  <w:num w:numId="25" w16cid:durableId="1509904859">
    <w:abstractNumId w:val="22"/>
  </w:num>
  <w:num w:numId="26" w16cid:durableId="17422197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7253569">
    <w:abstractNumId w:val="13"/>
  </w:num>
  <w:num w:numId="28" w16cid:durableId="637607564">
    <w:abstractNumId w:val="4"/>
  </w:num>
  <w:num w:numId="29" w16cid:durableId="1282805316">
    <w:abstractNumId w:val="1"/>
  </w:num>
  <w:num w:numId="30" w16cid:durableId="965283632">
    <w:abstractNumId w:val="0"/>
  </w:num>
  <w:num w:numId="31" w16cid:durableId="10296463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8318748">
    <w:abstractNumId w:val="23"/>
  </w:num>
  <w:num w:numId="33" w16cid:durableId="83646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172"/>
    <w:rsid w:val="0000059E"/>
    <w:rsid w:val="000012DA"/>
    <w:rsid w:val="0000246E"/>
    <w:rsid w:val="00002C6D"/>
    <w:rsid w:val="00003862"/>
    <w:rsid w:val="00003E92"/>
    <w:rsid w:val="0000475B"/>
    <w:rsid w:val="0000603B"/>
    <w:rsid w:val="00006816"/>
    <w:rsid w:val="000068FD"/>
    <w:rsid w:val="00007854"/>
    <w:rsid w:val="00011172"/>
    <w:rsid w:val="00011499"/>
    <w:rsid w:val="00011BE3"/>
    <w:rsid w:val="00012A35"/>
    <w:rsid w:val="00013BBB"/>
    <w:rsid w:val="00016099"/>
    <w:rsid w:val="0001698F"/>
    <w:rsid w:val="00016EA6"/>
    <w:rsid w:val="00017DC2"/>
    <w:rsid w:val="000203D2"/>
    <w:rsid w:val="00021522"/>
    <w:rsid w:val="00021692"/>
    <w:rsid w:val="0002340E"/>
    <w:rsid w:val="00023471"/>
    <w:rsid w:val="00023845"/>
    <w:rsid w:val="00023F13"/>
    <w:rsid w:val="00025041"/>
    <w:rsid w:val="000259A0"/>
    <w:rsid w:val="00025A52"/>
    <w:rsid w:val="000270A6"/>
    <w:rsid w:val="00030634"/>
    <w:rsid w:val="000319C1"/>
    <w:rsid w:val="00031A8B"/>
    <w:rsid w:val="00031BCA"/>
    <w:rsid w:val="00031E11"/>
    <w:rsid w:val="00031E4C"/>
    <w:rsid w:val="00032DA5"/>
    <w:rsid w:val="000330FA"/>
    <w:rsid w:val="0003362F"/>
    <w:rsid w:val="00035B40"/>
    <w:rsid w:val="000362E0"/>
    <w:rsid w:val="00036B63"/>
    <w:rsid w:val="00037E1A"/>
    <w:rsid w:val="00041606"/>
    <w:rsid w:val="000417A0"/>
    <w:rsid w:val="00042D86"/>
    <w:rsid w:val="00043495"/>
    <w:rsid w:val="000440A2"/>
    <w:rsid w:val="00046A75"/>
    <w:rsid w:val="00046FF2"/>
    <w:rsid w:val="00047312"/>
    <w:rsid w:val="00050043"/>
    <w:rsid w:val="000508BD"/>
    <w:rsid w:val="00051139"/>
    <w:rsid w:val="000517AB"/>
    <w:rsid w:val="00052755"/>
    <w:rsid w:val="0005339C"/>
    <w:rsid w:val="00054FFF"/>
    <w:rsid w:val="0005571B"/>
    <w:rsid w:val="0005678B"/>
    <w:rsid w:val="000577DA"/>
    <w:rsid w:val="00057AB3"/>
    <w:rsid w:val="00060076"/>
    <w:rsid w:val="00060432"/>
    <w:rsid w:val="00060D87"/>
    <w:rsid w:val="000615A5"/>
    <w:rsid w:val="00061BC3"/>
    <w:rsid w:val="00062512"/>
    <w:rsid w:val="00063BFE"/>
    <w:rsid w:val="00064536"/>
    <w:rsid w:val="00064E4C"/>
    <w:rsid w:val="00065BDE"/>
    <w:rsid w:val="00066901"/>
    <w:rsid w:val="00066D7D"/>
    <w:rsid w:val="000674D7"/>
    <w:rsid w:val="00067FC9"/>
    <w:rsid w:val="00070205"/>
    <w:rsid w:val="000716A3"/>
    <w:rsid w:val="00071835"/>
    <w:rsid w:val="00071BEE"/>
    <w:rsid w:val="000725EF"/>
    <w:rsid w:val="000736CD"/>
    <w:rsid w:val="000747F4"/>
    <w:rsid w:val="0007533B"/>
    <w:rsid w:val="0007545D"/>
    <w:rsid w:val="00075EBE"/>
    <w:rsid w:val="000760BF"/>
    <w:rsid w:val="0007613E"/>
    <w:rsid w:val="00076BFC"/>
    <w:rsid w:val="00077FC6"/>
    <w:rsid w:val="000814A7"/>
    <w:rsid w:val="00081A78"/>
    <w:rsid w:val="000825AC"/>
    <w:rsid w:val="000835C3"/>
    <w:rsid w:val="000839F8"/>
    <w:rsid w:val="00084437"/>
    <w:rsid w:val="00084B09"/>
    <w:rsid w:val="0008557B"/>
    <w:rsid w:val="00085B88"/>
    <w:rsid w:val="00085CE7"/>
    <w:rsid w:val="00086E7A"/>
    <w:rsid w:val="00087674"/>
    <w:rsid w:val="00087AC2"/>
    <w:rsid w:val="00087DB5"/>
    <w:rsid w:val="000906EE"/>
    <w:rsid w:val="00091BA2"/>
    <w:rsid w:val="000944EF"/>
    <w:rsid w:val="000959D2"/>
    <w:rsid w:val="0009732D"/>
    <w:rsid w:val="000973F0"/>
    <w:rsid w:val="000A0602"/>
    <w:rsid w:val="000A1296"/>
    <w:rsid w:val="000A13EE"/>
    <w:rsid w:val="000A1C27"/>
    <w:rsid w:val="000A1DAD"/>
    <w:rsid w:val="000A2649"/>
    <w:rsid w:val="000A323B"/>
    <w:rsid w:val="000A38F4"/>
    <w:rsid w:val="000A3EE7"/>
    <w:rsid w:val="000B0420"/>
    <w:rsid w:val="000B098E"/>
    <w:rsid w:val="000B1022"/>
    <w:rsid w:val="000B174C"/>
    <w:rsid w:val="000B298D"/>
    <w:rsid w:val="000B5B2D"/>
    <w:rsid w:val="000B5DCE"/>
    <w:rsid w:val="000C05BA"/>
    <w:rsid w:val="000C0E8F"/>
    <w:rsid w:val="000C0F16"/>
    <w:rsid w:val="000C2EA5"/>
    <w:rsid w:val="000C39A0"/>
    <w:rsid w:val="000C3DB2"/>
    <w:rsid w:val="000C3DE9"/>
    <w:rsid w:val="000C3F54"/>
    <w:rsid w:val="000C4691"/>
    <w:rsid w:val="000C4BC4"/>
    <w:rsid w:val="000C58FB"/>
    <w:rsid w:val="000C5C4B"/>
    <w:rsid w:val="000C7E00"/>
    <w:rsid w:val="000D0110"/>
    <w:rsid w:val="000D2468"/>
    <w:rsid w:val="000D2AC6"/>
    <w:rsid w:val="000D2B7E"/>
    <w:rsid w:val="000D318A"/>
    <w:rsid w:val="000D46F0"/>
    <w:rsid w:val="000D6173"/>
    <w:rsid w:val="000D6921"/>
    <w:rsid w:val="000D6F83"/>
    <w:rsid w:val="000D7A40"/>
    <w:rsid w:val="000E0443"/>
    <w:rsid w:val="000E07C1"/>
    <w:rsid w:val="000E25CC"/>
    <w:rsid w:val="000E278B"/>
    <w:rsid w:val="000E3694"/>
    <w:rsid w:val="000E44EF"/>
    <w:rsid w:val="000E490F"/>
    <w:rsid w:val="000E5D76"/>
    <w:rsid w:val="000E6241"/>
    <w:rsid w:val="000E665A"/>
    <w:rsid w:val="000F2860"/>
    <w:rsid w:val="000F2BE3"/>
    <w:rsid w:val="000F3D0D"/>
    <w:rsid w:val="000F4578"/>
    <w:rsid w:val="000F5118"/>
    <w:rsid w:val="000F5610"/>
    <w:rsid w:val="000F582D"/>
    <w:rsid w:val="000F5D13"/>
    <w:rsid w:val="000F6019"/>
    <w:rsid w:val="000F646A"/>
    <w:rsid w:val="000F6ED4"/>
    <w:rsid w:val="000F7A6E"/>
    <w:rsid w:val="001001B0"/>
    <w:rsid w:val="00103BEE"/>
    <w:rsid w:val="001042BA"/>
    <w:rsid w:val="001048A6"/>
    <w:rsid w:val="00105808"/>
    <w:rsid w:val="001065D4"/>
    <w:rsid w:val="00106D03"/>
    <w:rsid w:val="00106FB4"/>
    <w:rsid w:val="00110465"/>
    <w:rsid w:val="00110628"/>
    <w:rsid w:val="00111698"/>
    <w:rsid w:val="0011245A"/>
    <w:rsid w:val="0011493E"/>
    <w:rsid w:val="00115B72"/>
    <w:rsid w:val="00116000"/>
    <w:rsid w:val="0011615B"/>
    <w:rsid w:val="00117A4B"/>
    <w:rsid w:val="001209EC"/>
    <w:rsid w:val="00120A9E"/>
    <w:rsid w:val="00121986"/>
    <w:rsid w:val="00121ED2"/>
    <w:rsid w:val="00122444"/>
    <w:rsid w:val="00123CEB"/>
    <w:rsid w:val="00125885"/>
    <w:rsid w:val="00125A9C"/>
    <w:rsid w:val="00125EB3"/>
    <w:rsid w:val="00126050"/>
    <w:rsid w:val="001270A2"/>
    <w:rsid w:val="00131237"/>
    <w:rsid w:val="0013149D"/>
    <w:rsid w:val="00131878"/>
    <w:rsid w:val="001322BF"/>
    <w:rsid w:val="001329AC"/>
    <w:rsid w:val="00133029"/>
    <w:rsid w:val="00133321"/>
    <w:rsid w:val="00134902"/>
    <w:rsid w:val="00134ACB"/>
    <w:rsid w:val="00134CA0"/>
    <w:rsid w:val="00135681"/>
    <w:rsid w:val="00140126"/>
    <w:rsid w:val="0014026F"/>
    <w:rsid w:val="00140561"/>
    <w:rsid w:val="00141000"/>
    <w:rsid w:val="0014132E"/>
    <w:rsid w:val="001417BC"/>
    <w:rsid w:val="00142D2F"/>
    <w:rsid w:val="001442FB"/>
    <w:rsid w:val="00147A47"/>
    <w:rsid w:val="00147AA1"/>
    <w:rsid w:val="00151A21"/>
    <w:rsid w:val="001520CF"/>
    <w:rsid w:val="0015285E"/>
    <w:rsid w:val="0015476D"/>
    <w:rsid w:val="0015588D"/>
    <w:rsid w:val="0015667C"/>
    <w:rsid w:val="00157110"/>
    <w:rsid w:val="0015742A"/>
    <w:rsid w:val="00157DA1"/>
    <w:rsid w:val="00160638"/>
    <w:rsid w:val="001608BB"/>
    <w:rsid w:val="00160A30"/>
    <w:rsid w:val="00160F10"/>
    <w:rsid w:val="0016117F"/>
    <w:rsid w:val="00163147"/>
    <w:rsid w:val="001645F2"/>
    <w:rsid w:val="00164C57"/>
    <w:rsid w:val="00164C9D"/>
    <w:rsid w:val="001655A6"/>
    <w:rsid w:val="0016561A"/>
    <w:rsid w:val="0016767D"/>
    <w:rsid w:val="00170963"/>
    <w:rsid w:val="00171B09"/>
    <w:rsid w:val="00172F7A"/>
    <w:rsid w:val="00173150"/>
    <w:rsid w:val="00173390"/>
    <w:rsid w:val="001736F0"/>
    <w:rsid w:val="00173BB3"/>
    <w:rsid w:val="001740D0"/>
    <w:rsid w:val="001740D5"/>
    <w:rsid w:val="00174F2C"/>
    <w:rsid w:val="00175CF4"/>
    <w:rsid w:val="00175F8C"/>
    <w:rsid w:val="00175FCA"/>
    <w:rsid w:val="00180F2A"/>
    <w:rsid w:val="001821D9"/>
    <w:rsid w:val="00184B91"/>
    <w:rsid w:val="00184D4A"/>
    <w:rsid w:val="00186141"/>
    <w:rsid w:val="00186EC1"/>
    <w:rsid w:val="0019081A"/>
    <w:rsid w:val="00191C40"/>
    <w:rsid w:val="00191E1F"/>
    <w:rsid w:val="00193663"/>
    <w:rsid w:val="00193A40"/>
    <w:rsid w:val="001941A6"/>
    <w:rsid w:val="0019473B"/>
    <w:rsid w:val="001952B1"/>
    <w:rsid w:val="001954E9"/>
    <w:rsid w:val="00196E39"/>
    <w:rsid w:val="00197026"/>
    <w:rsid w:val="00197649"/>
    <w:rsid w:val="001A01FB"/>
    <w:rsid w:val="001A10E9"/>
    <w:rsid w:val="001A173D"/>
    <w:rsid w:val="001A183D"/>
    <w:rsid w:val="001A1EDE"/>
    <w:rsid w:val="001A2B65"/>
    <w:rsid w:val="001A2BDF"/>
    <w:rsid w:val="001A3CD3"/>
    <w:rsid w:val="001A5939"/>
    <w:rsid w:val="001A5BEF"/>
    <w:rsid w:val="001A68FA"/>
    <w:rsid w:val="001A7F15"/>
    <w:rsid w:val="001B1E00"/>
    <w:rsid w:val="001B342E"/>
    <w:rsid w:val="001B59F8"/>
    <w:rsid w:val="001C1832"/>
    <w:rsid w:val="001C188C"/>
    <w:rsid w:val="001C1F92"/>
    <w:rsid w:val="001C31E5"/>
    <w:rsid w:val="001C3BF3"/>
    <w:rsid w:val="001C4D8A"/>
    <w:rsid w:val="001C4FDD"/>
    <w:rsid w:val="001C5AAA"/>
    <w:rsid w:val="001C70B8"/>
    <w:rsid w:val="001C74F0"/>
    <w:rsid w:val="001C767C"/>
    <w:rsid w:val="001C7EF8"/>
    <w:rsid w:val="001D125D"/>
    <w:rsid w:val="001D1783"/>
    <w:rsid w:val="001D2578"/>
    <w:rsid w:val="001D3BB2"/>
    <w:rsid w:val="001D3BFB"/>
    <w:rsid w:val="001D40E6"/>
    <w:rsid w:val="001D50D2"/>
    <w:rsid w:val="001D53CD"/>
    <w:rsid w:val="001D55A3"/>
    <w:rsid w:val="001D5AF5"/>
    <w:rsid w:val="001D5E10"/>
    <w:rsid w:val="001D7D33"/>
    <w:rsid w:val="001D7F53"/>
    <w:rsid w:val="001E134B"/>
    <w:rsid w:val="001E1A50"/>
    <w:rsid w:val="001E1E73"/>
    <w:rsid w:val="001E220B"/>
    <w:rsid w:val="001E25C0"/>
    <w:rsid w:val="001E4441"/>
    <w:rsid w:val="001E4C58"/>
    <w:rsid w:val="001E4E0C"/>
    <w:rsid w:val="001E526D"/>
    <w:rsid w:val="001E5655"/>
    <w:rsid w:val="001E6B0F"/>
    <w:rsid w:val="001E7295"/>
    <w:rsid w:val="001F1512"/>
    <w:rsid w:val="001F1832"/>
    <w:rsid w:val="001F220F"/>
    <w:rsid w:val="001F25B3"/>
    <w:rsid w:val="001F2885"/>
    <w:rsid w:val="001F3F3A"/>
    <w:rsid w:val="001F445F"/>
    <w:rsid w:val="001F4ACF"/>
    <w:rsid w:val="001F58AE"/>
    <w:rsid w:val="001F5ECB"/>
    <w:rsid w:val="001F6616"/>
    <w:rsid w:val="001F7EF5"/>
    <w:rsid w:val="00201C8D"/>
    <w:rsid w:val="00202BD4"/>
    <w:rsid w:val="00202E9F"/>
    <w:rsid w:val="00202F3F"/>
    <w:rsid w:val="002032C0"/>
    <w:rsid w:val="002039E9"/>
    <w:rsid w:val="00204A97"/>
    <w:rsid w:val="00204B43"/>
    <w:rsid w:val="00207F04"/>
    <w:rsid w:val="00210498"/>
    <w:rsid w:val="002114EF"/>
    <w:rsid w:val="0021167A"/>
    <w:rsid w:val="00211BBB"/>
    <w:rsid w:val="00211BF5"/>
    <w:rsid w:val="00214307"/>
    <w:rsid w:val="00214969"/>
    <w:rsid w:val="00216522"/>
    <w:rsid w:val="002166AD"/>
    <w:rsid w:val="00217871"/>
    <w:rsid w:val="0021792D"/>
    <w:rsid w:val="00220FB5"/>
    <w:rsid w:val="0022182B"/>
    <w:rsid w:val="00221ED8"/>
    <w:rsid w:val="002231EA"/>
    <w:rsid w:val="00223E2E"/>
    <w:rsid w:val="00223FDF"/>
    <w:rsid w:val="00224363"/>
    <w:rsid w:val="00224836"/>
    <w:rsid w:val="002253D1"/>
    <w:rsid w:val="002261A9"/>
    <w:rsid w:val="0022692F"/>
    <w:rsid w:val="00227730"/>
    <w:rsid w:val="002279C0"/>
    <w:rsid w:val="00227AEA"/>
    <w:rsid w:val="00230B57"/>
    <w:rsid w:val="00233851"/>
    <w:rsid w:val="002357CA"/>
    <w:rsid w:val="00236B80"/>
    <w:rsid w:val="0023727E"/>
    <w:rsid w:val="00237999"/>
    <w:rsid w:val="0024153F"/>
    <w:rsid w:val="00242081"/>
    <w:rsid w:val="00243777"/>
    <w:rsid w:val="002441CD"/>
    <w:rsid w:val="00247B50"/>
    <w:rsid w:val="002501A3"/>
    <w:rsid w:val="002504BF"/>
    <w:rsid w:val="00250D1E"/>
    <w:rsid w:val="0025166C"/>
    <w:rsid w:val="00252FEE"/>
    <w:rsid w:val="00253337"/>
    <w:rsid w:val="002555D4"/>
    <w:rsid w:val="00255CAA"/>
    <w:rsid w:val="002564FB"/>
    <w:rsid w:val="00260DA3"/>
    <w:rsid w:val="00261A16"/>
    <w:rsid w:val="00262EFB"/>
    <w:rsid w:val="00263522"/>
    <w:rsid w:val="00264EC6"/>
    <w:rsid w:val="00265CBC"/>
    <w:rsid w:val="00267CC7"/>
    <w:rsid w:val="00271013"/>
    <w:rsid w:val="00271C34"/>
    <w:rsid w:val="00272542"/>
    <w:rsid w:val="00273FE4"/>
    <w:rsid w:val="002765B4"/>
    <w:rsid w:val="00276A94"/>
    <w:rsid w:val="0027767B"/>
    <w:rsid w:val="00281D3F"/>
    <w:rsid w:val="00282150"/>
    <w:rsid w:val="00282C33"/>
    <w:rsid w:val="002838A6"/>
    <w:rsid w:val="002843EA"/>
    <w:rsid w:val="00284E2A"/>
    <w:rsid w:val="00285B2F"/>
    <w:rsid w:val="00291975"/>
    <w:rsid w:val="00291BF4"/>
    <w:rsid w:val="00292229"/>
    <w:rsid w:val="00292413"/>
    <w:rsid w:val="00292CB9"/>
    <w:rsid w:val="002930A6"/>
    <w:rsid w:val="0029405D"/>
    <w:rsid w:val="00294B21"/>
    <w:rsid w:val="00294BBF"/>
    <w:rsid w:val="00294FA6"/>
    <w:rsid w:val="00295A6F"/>
    <w:rsid w:val="00295B5A"/>
    <w:rsid w:val="00295D5A"/>
    <w:rsid w:val="002964E1"/>
    <w:rsid w:val="00296ACD"/>
    <w:rsid w:val="00297797"/>
    <w:rsid w:val="002A09D2"/>
    <w:rsid w:val="002A14D8"/>
    <w:rsid w:val="002A1A5A"/>
    <w:rsid w:val="002A20C4"/>
    <w:rsid w:val="002A36D9"/>
    <w:rsid w:val="002A4A1E"/>
    <w:rsid w:val="002A52B2"/>
    <w:rsid w:val="002A5678"/>
    <w:rsid w:val="002A570F"/>
    <w:rsid w:val="002A7292"/>
    <w:rsid w:val="002A7358"/>
    <w:rsid w:val="002A7902"/>
    <w:rsid w:val="002B03D0"/>
    <w:rsid w:val="002B0F6B"/>
    <w:rsid w:val="002B23B8"/>
    <w:rsid w:val="002B3926"/>
    <w:rsid w:val="002B4429"/>
    <w:rsid w:val="002B4526"/>
    <w:rsid w:val="002B68A6"/>
    <w:rsid w:val="002B7FAF"/>
    <w:rsid w:val="002C064C"/>
    <w:rsid w:val="002C0B51"/>
    <w:rsid w:val="002C0F35"/>
    <w:rsid w:val="002C2A3E"/>
    <w:rsid w:val="002C3F3D"/>
    <w:rsid w:val="002C4A0B"/>
    <w:rsid w:val="002C50D4"/>
    <w:rsid w:val="002C5584"/>
    <w:rsid w:val="002C5965"/>
    <w:rsid w:val="002C7431"/>
    <w:rsid w:val="002D0B53"/>
    <w:rsid w:val="002D0C4F"/>
    <w:rsid w:val="002D11EE"/>
    <w:rsid w:val="002D1364"/>
    <w:rsid w:val="002D21C0"/>
    <w:rsid w:val="002D4D30"/>
    <w:rsid w:val="002D5000"/>
    <w:rsid w:val="002D55F4"/>
    <w:rsid w:val="002D598D"/>
    <w:rsid w:val="002D66D9"/>
    <w:rsid w:val="002D7188"/>
    <w:rsid w:val="002E1DE3"/>
    <w:rsid w:val="002E2AB6"/>
    <w:rsid w:val="002E3650"/>
    <w:rsid w:val="002E37EA"/>
    <w:rsid w:val="002E3F34"/>
    <w:rsid w:val="002E478C"/>
    <w:rsid w:val="002E5F42"/>
    <w:rsid w:val="002E5F79"/>
    <w:rsid w:val="002E64FA"/>
    <w:rsid w:val="002E725C"/>
    <w:rsid w:val="002E7B1F"/>
    <w:rsid w:val="002E7FAB"/>
    <w:rsid w:val="002F030C"/>
    <w:rsid w:val="002F0A00"/>
    <w:rsid w:val="002F0BDC"/>
    <w:rsid w:val="002F0CDC"/>
    <w:rsid w:val="002F0CFA"/>
    <w:rsid w:val="002F1903"/>
    <w:rsid w:val="002F34BE"/>
    <w:rsid w:val="002F669F"/>
    <w:rsid w:val="00300F95"/>
    <w:rsid w:val="003015B1"/>
    <w:rsid w:val="00301851"/>
    <w:rsid w:val="00301C97"/>
    <w:rsid w:val="00306B7C"/>
    <w:rsid w:val="0031004C"/>
    <w:rsid w:val="003105F6"/>
    <w:rsid w:val="00311297"/>
    <w:rsid w:val="003113BE"/>
    <w:rsid w:val="00311A84"/>
    <w:rsid w:val="003122CA"/>
    <w:rsid w:val="003129EE"/>
    <w:rsid w:val="003148FD"/>
    <w:rsid w:val="00316ACC"/>
    <w:rsid w:val="00317C94"/>
    <w:rsid w:val="003202B9"/>
    <w:rsid w:val="00321080"/>
    <w:rsid w:val="003211F8"/>
    <w:rsid w:val="00321BDA"/>
    <w:rsid w:val="003220E7"/>
    <w:rsid w:val="00322198"/>
    <w:rsid w:val="00322D45"/>
    <w:rsid w:val="003250A7"/>
    <w:rsid w:val="003254C6"/>
    <w:rsid w:val="0032569A"/>
    <w:rsid w:val="0032595C"/>
    <w:rsid w:val="003259C8"/>
    <w:rsid w:val="00325A1F"/>
    <w:rsid w:val="003268F9"/>
    <w:rsid w:val="00326A12"/>
    <w:rsid w:val="00326E84"/>
    <w:rsid w:val="00330BAF"/>
    <w:rsid w:val="00334E3A"/>
    <w:rsid w:val="00335B15"/>
    <w:rsid w:val="003361DD"/>
    <w:rsid w:val="00337358"/>
    <w:rsid w:val="00337F26"/>
    <w:rsid w:val="00340E7A"/>
    <w:rsid w:val="00341073"/>
    <w:rsid w:val="00341289"/>
    <w:rsid w:val="00341637"/>
    <w:rsid w:val="00341A6A"/>
    <w:rsid w:val="00341FC4"/>
    <w:rsid w:val="003424AF"/>
    <w:rsid w:val="00343AE7"/>
    <w:rsid w:val="00344EA8"/>
    <w:rsid w:val="00344F19"/>
    <w:rsid w:val="00345B9C"/>
    <w:rsid w:val="003464EB"/>
    <w:rsid w:val="00346D16"/>
    <w:rsid w:val="00346DBB"/>
    <w:rsid w:val="0034745F"/>
    <w:rsid w:val="003476A0"/>
    <w:rsid w:val="00352DAE"/>
    <w:rsid w:val="003536F4"/>
    <w:rsid w:val="00353FFF"/>
    <w:rsid w:val="00354810"/>
    <w:rsid w:val="00354EB9"/>
    <w:rsid w:val="003602AE"/>
    <w:rsid w:val="00360929"/>
    <w:rsid w:val="00360995"/>
    <w:rsid w:val="003609AF"/>
    <w:rsid w:val="00362E96"/>
    <w:rsid w:val="003647D5"/>
    <w:rsid w:val="00365A00"/>
    <w:rsid w:val="00365B6F"/>
    <w:rsid w:val="00366B88"/>
    <w:rsid w:val="00366E32"/>
    <w:rsid w:val="003674B0"/>
    <w:rsid w:val="00370644"/>
    <w:rsid w:val="00370F42"/>
    <w:rsid w:val="00371665"/>
    <w:rsid w:val="00371BD9"/>
    <w:rsid w:val="00371F9D"/>
    <w:rsid w:val="0037642A"/>
    <w:rsid w:val="0037727C"/>
    <w:rsid w:val="00377E70"/>
    <w:rsid w:val="003803C7"/>
    <w:rsid w:val="00380904"/>
    <w:rsid w:val="00380C51"/>
    <w:rsid w:val="00381258"/>
    <w:rsid w:val="003813F7"/>
    <w:rsid w:val="003823EE"/>
    <w:rsid w:val="00382960"/>
    <w:rsid w:val="00382E48"/>
    <w:rsid w:val="00382FF4"/>
    <w:rsid w:val="00383826"/>
    <w:rsid w:val="003842CB"/>
    <w:rsid w:val="003846F7"/>
    <w:rsid w:val="00384922"/>
    <w:rsid w:val="003851ED"/>
    <w:rsid w:val="00385B39"/>
    <w:rsid w:val="00386785"/>
    <w:rsid w:val="0038717D"/>
    <w:rsid w:val="00390E89"/>
    <w:rsid w:val="00391B1A"/>
    <w:rsid w:val="00391E52"/>
    <w:rsid w:val="003926A9"/>
    <w:rsid w:val="00392D02"/>
    <w:rsid w:val="00393DFF"/>
    <w:rsid w:val="00394423"/>
    <w:rsid w:val="0039536F"/>
    <w:rsid w:val="00395CBC"/>
    <w:rsid w:val="00396176"/>
    <w:rsid w:val="00396942"/>
    <w:rsid w:val="00396B49"/>
    <w:rsid w:val="00396E3E"/>
    <w:rsid w:val="00397D8F"/>
    <w:rsid w:val="003A0356"/>
    <w:rsid w:val="003A086C"/>
    <w:rsid w:val="003A306E"/>
    <w:rsid w:val="003A3D74"/>
    <w:rsid w:val="003A4762"/>
    <w:rsid w:val="003A60DC"/>
    <w:rsid w:val="003A6A46"/>
    <w:rsid w:val="003A7A63"/>
    <w:rsid w:val="003A7CA6"/>
    <w:rsid w:val="003B000C"/>
    <w:rsid w:val="003B0F1D"/>
    <w:rsid w:val="003B2A1D"/>
    <w:rsid w:val="003B385C"/>
    <w:rsid w:val="003B390E"/>
    <w:rsid w:val="003B4A57"/>
    <w:rsid w:val="003B66B6"/>
    <w:rsid w:val="003B70EA"/>
    <w:rsid w:val="003B7BF1"/>
    <w:rsid w:val="003C0AD9"/>
    <w:rsid w:val="003C0ED0"/>
    <w:rsid w:val="003C13FD"/>
    <w:rsid w:val="003C1D49"/>
    <w:rsid w:val="003C23CB"/>
    <w:rsid w:val="003C280C"/>
    <w:rsid w:val="003C35C4"/>
    <w:rsid w:val="003C68ED"/>
    <w:rsid w:val="003D0278"/>
    <w:rsid w:val="003D12C2"/>
    <w:rsid w:val="003D1571"/>
    <w:rsid w:val="003D31B9"/>
    <w:rsid w:val="003D3867"/>
    <w:rsid w:val="003D38D0"/>
    <w:rsid w:val="003D478A"/>
    <w:rsid w:val="003D7C5B"/>
    <w:rsid w:val="003E0D1A"/>
    <w:rsid w:val="003E1C2E"/>
    <w:rsid w:val="003E1F13"/>
    <w:rsid w:val="003E2449"/>
    <w:rsid w:val="003E26FA"/>
    <w:rsid w:val="003E2DA3"/>
    <w:rsid w:val="003E4BD2"/>
    <w:rsid w:val="003E5545"/>
    <w:rsid w:val="003E6C99"/>
    <w:rsid w:val="003E7357"/>
    <w:rsid w:val="003F020D"/>
    <w:rsid w:val="003F03D9"/>
    <w:rsid w:val="003F1A9E"/>
    <w:rsid w:val="003F2FBE"/>
    <w:rsid w:val="003F318D"/>
    <w:rsid w:val="003F45C9"/>
    <w:rsid w:val="003F5BAE"/>
    <w:rsid w:val="003F6ED7"/>
    <w:rsid w:val="003F7A72"/>
    <w:rsid w:val="004002D0"/>
    <w:rsid w:val="00401C84"/>
    <w:rsid w:val="00403210"/>
    <w:rsid w:val="004035BB"/>
    <w:rsid w:val="004035EB"/>
    <w:rsid w:val="004040D0"/>
    <w:rsid w:val="00405840"/>
    <w:rsid w:val="00405B14"/>
    <w:rsid w:val="00406490"/>
    <w:rsid w:val="00407332"/>
    <w:rsid w:val="0040744C"/>
    <w:rsid w:val="00407828"/>
    <w:rsid w:val="00413D8E"/>
    <w:rsid w:val="004140F2"/>
    <w:rsid w:val="00414BBB"/>
    <w:rsid w:val="004151FC"/>
    <w:rsid w:val="004157FE"/>
    <w:rsid w:val="00416739"/>
    <w:rsid w:val="00416832"/>
    <w:rsid w:val="00417B22"/>
    <w:rsid w:val="00421085"/>
    <w:rsid w:val="00422092"/>
    <w:rsid w:val="0042465E"/>
    <w:rsid w:val="00424DF7"/>
    <w:rsid w:val="00425D81"/>
    <w:rsid w:val="004277B9"/>
    <w:rsid w:val="00430830"/>
    <w:rsid w:val="0043098A"/>
    <w:rsid w:val="00430D40"/>
    <w:rsid w:val="004320D4"/>
    <w:rsid w:val="00432B76"/>
    <w:rsid w:val="00432C8A"/>
    <w:rsid w:val="00434D01"/>
    <w:rsid w:val="00435D26"/>
    <w:rsid w:val="00437C22"/>
    <w:rsid w:val="00437CCC"/>
    <w:rsid w:val="0044003E"/>
    <w:rsid w:val="0044046C"/>
    <w:rsid w:val="00440C99"/>
    <w:rsid w:val="0044175C"/>
    <w:rsid w:val="004417A5"/>
    <w:rsid w:val="00442198"/>
    <w:rsid w:val="00443288"/>
    <w:rsid w:val="004438F8"/>
    <w:rsid w:val="0044435F"/>
    <w:rsid w:val="00445F4D"/>
    <w:rsid w:val="004461B7"/>
    <w:rsid w:val="004474C6"/>
    <w:rsid w:val="0044756F"/>
    <w:rsid w:val="00447A57"/>
    <w:rsid w:val="004504C0"/>
    <w:rsid w:val="0045299B"/>
    <w:rsid w:val="00453020"/>
    <w:rsid w:val="00453EEC"/>
    <w:rsid w:val="004550FB"/>
    <w:rsid w:val="00456092"/>
    <w:rsid w:val="0045620F"/>
    <w:rsid w:val="00457E00"/>
    <w:rsid w:val="00460BFC"/>
    <w:rsid w:val="00460F82"/>
    <w:rsid w:val="0046111A"/>
    <w:rsid w:val="004615EB"/>
    <w:rsid w:val="004624A8"/>
    <w:rsid w:val="00462536"/>
    <w:rsid w:val="00462580"/>
    <w:rsid w:val="00462946"/>
    <w:rsid w:val="00462D69"/>
    <w:rsid w:val="00463F43"/>
    <w:rsid w:val="00464B94"/>
    <w:rsid w:val="004653A8"/>
    <w:rsid w:val="00465A0B"/>
    <w:rsid w:val="00465CB7"/>
    <w:rsid w:val="00466E74"/>
    <w:rsid w:val="0047077C"/>
    <w:rsid w:val="00470B05"/>
    <w:rsid w:val="00471EDA"/>
    <w:rsid w:val="0047207C"/>
    <w:rsid w:val="0047285C"/>
    <w:rsid w:val="00472CD6"/>
    <w:rsid w:val="004743DE"/>
    <w:rsid w:val="00474E3C"/>
    <w:rsid w:val="00475E20"/>
    <w:rsid w:val="00477EF4"/>
    <w:rsid w:val="00480A58"/>
    <w:rsid w:val="00481093"/>
    <w:rsid w:val="00482151"/>
    <w:rsid w:val="0048264A"/>
    <w:rsid w:val="00482D6D"/>
    <w:rsid w:val="004836E6"/>
    <w:rsid w:val="00484F81"/>
    <w:rsid w:val="00485FAD"/>
    <w:rsid w:val="0048718B"/>
    <w:rsid w:val="00487A11"/>
    <w:rsid w:val="00487AED"/>
    <w:rsid w:val="0049009C"/>
    <w:rsid w:val="00491EDF"/>
    <w:rsid w:val="00492A3F"/>
    <w:rsid w:val="00492B9E"/>
    <w:rsid w:val="00493763"/>
    <w:rsid w:val="00494C2B"/>
    <w:rsid w:val="00494F62"/>
    <w:rsid w:val="00495162"/>
    <w:rsid w:val="004A0461"/>
    <w:rsid w:val="004A0621"/>
    <w:rsid w:val="004A1A82"/>
    <w:rsid w:val="004A1F65"/>
    <w:rsid w:val="004A2001"/>
    <w:rsid w:val="004A32B9"/>
    <w:rsid w:val="004A3590"/>
    <w:rsid w:val="004A3609"/>
    <w:rsid w:val="004A6539"/>
    <w:rsid w:val="004A654F"/>
    <w:rsid w:val="004A665A"/>
    <w:rsid w:val="004B00A7"/>
    <w:rsid w:val="004B0BBC"/>
    <w:rsid w:val="004B2155"/>
    <w:rsid w:val="004B25E2"/>
    <w:rsid w:val="004B34D7"/>
    <w:rsid w:val="004B3788"/>
    <w:rsid w:val="004B3D93"/>
    <w:rsid w:val="004B3E7C"/>
    <w:rsid w:val="004B416C"/>
    <w:rsid w:val="004B5037"/>
    <w:rsid w:val="004B52F4"/>
    <w:rsid w:val="004B5B2F"/>
    <w:rsid w:val="004B5B9E"/>
    <w:rsid w:val="004B626A"/>
    <w:rsid w:val="004B660E"/>
    <w:rsid w:val="004B7E59"/>
    <w:rsid w:val="004C05BD"/>
    <w:rsid w:val="004C10F7"/>
    <w:rsid w:val="004C3B06"/>
    <w:rsid w:val="004C3F97"/>
    <w:rsid w:val="004C456E"/>
    <w:rsid w:val="004C58E1"/>
    <w:rsid w:val="004C5922"/>
    <w:rsid w:val="004C5ECE"/>
    <w:rsid w:val="004C6882"/>
    <w:rsid w:val="004C6AFD"/>
    <w:rsid w:val="004C6FE0"/>
    <w:rsid w:val="004C7EE7"/>
    <w:rsid w:val="004D1E4F"/>
    <w:rsid w:val="004D2327"/>
    <w:rsid w:val="004D2DEE"/>
    <w:rsid w:val="004D2E1F"/>
    <w:rsid w:val="004D6EE7"/>
    <w:rsid w:val="004D7FD9"/>
    <w:rsid w:val="004E0097"/>
    <w:rsid w:val="004E1324"/>
    <w:rsid w:val="004E19A5"/>
    <w:rsid w:val="004E37E5"/>
    <w:rsid w:val="004E3FDB"/>
    <w:rsid w:val="004E55C5"/>
    <w:rsid w:val="004E5883"/>
    <w:rsid w:val="004E7534"/>
    <w:rsid w:val="004F1F4A"/>
    <w:rsid w:val="004F296D"/>
    <w:rsid w:val="004F508B"/>
    <w:rsid w:val="004F695F"/>
    <w:rsid w:val="004F6CA4"/>
    <w:rsid w:val="00500752"/>
    <w:rsid w:val="00501A50"/>
    <w:rsid w:val="0050222D"/>
    <w:rsid w:val="00503AF3"/>
    <w:rsid w:val="00503D6D"/>
    <w:rsid w:val="00505263"/>
    <w:rsid w:val="005056F4"/>
    <w:rsid w:val="0050696D"/>
    <w:rsid w:val="0051094B"/>
    <w:rsid w:val="005110D7"/>
    <w:rsid w:val="0051158C"/>
    <w:rsid w:val="00511D99"/>
    <w:rsid w:val="005128D3"/>
    <w:rsid w:val="0051394E"/>
    <w:rsid w:val="005147E8"/>
    <w:rsid w:val="0051531E"/>
    <w:rsid w:val="00515825"/>
    <w:rsid w:val="005158F2"/>
    <w:rsid w:val="005173DD"/>
    <w:rsid w:val="00517D1D"/>
    <w:rsid w:val="0052150B"/>
    <w:rsid w:val="00521BC9"/>
    <w:rsid w:val="005231FB"/>
    <w:rsid w:val="0052326F"/>
    <w:rsid w:val="00524813"/>
    <w:rsid w:val="00524CDF"/>
    <w:rsid w:val="00526086"/>
    <w:rsid w:val="00526DFC"/>
    <w:rsid w:val="00526F43"/>
    <w:rsid w:val="00527651"/>
    <w:rsid w:val="005309B7"/>
    <w:rsid w:val="00533E0F"/>
    <w:rsid w:val="00536161"/>
    <w:rsid w:val="005361F7"/>
    <w:rsid w:val="005362B9"/>
    <w:rsid w:val="005363AB"/>
    <w:rsid w:val="00536466"/>
    <w:rsid w:val="00536A69"/>
    <w:rsid w:val="0054062D"/>
    <w:rsid w:val="005429E1"/>
    <w:rsid w:val="00544EF4"/>
    <w:rsid w:val="00545E53"/>
    <w:rsid w:val="005479D9"/>
    <w:rsid w:val="005479E2"/>
    <w:rsid w:val="005513C5"/>
    <w:rsid w:val="00552481"/>
    <w:rsid w:val="00554449"/>
    <w:rsid w:val="00556AD2"/>
    <w:rsid w:val="005572BD"/>
    <w:rsid w:val="0055797B"/>
    <w:rsid w:val="00557A12"/>
    <w:rsid w:val="00560AC7"/>
    <w:rsid w:val="00561AFB"/>
    <w:rsid w:val="00561FA8"/>
    <w:rsid w:val="005635ED"/>
    <w:rsid w:val="00565253"/>
    <w:rsid w:val="00567243"/>
    <w:rsid w:val="00567ED5"/>
    <w:rsid w:val="00570191"/>
    <w:rsid w:val="00570570"/>
    <w:rsid w:val="005722B7"/>
    <w:rsid w:val="00572512"/>
    <w:rsid w:val="00573EE6"/>
    <w:rsid w:val="00574F67"/>
    <w:rsid w:val="0057547F"/>
    <w:rsid w:val="005754EE"/>
    <w:rsid w:val="005758A5"/>
    <w:rsid w:val="0057617E"/>
    <w:rsid w:val="00576497"/>
    <w:rsid w:val="005774CD"/>
    <w:rsid w:val="005805D4"/>
    <w:rsid w:val="00581818"/>
    <w:rsid w:val="0058262F"/>
    <w:rsid w:val="0058285B"/>
    <w:rsid w:val="0058296B"/>
    <w:rsid w:val="00582B0A"/>
    <w:rsid w:val="0058303D"/>
    <w:rsid w:val="005835E7"/>
    <w:rsid w:val="0058397F"/>
    <w:rsid w:val="00583A46"/>
    <w:rsid w:val="00583BF8"/>
    <w:rsid w:val="00583E20"/>
    <w:rsid w:val="00583FEC"/>
    <w:rsid w:val="00585F33"/>
    <w:rsid w:val="00586D8E"/>
    <w:rsid w:val="005872BC"/>
    <w:rsid w:val="0058778A"/>
    <w:rsid w:val="00587F2E"/>
    <w:rsid w:val="00591124"/>
    <w:rsid w:val="00591346"/>
    <w:rsid w:val="00591529"/>
    <w:rsid w:val="00591ED0"/>
    <w:rsid w:val="00593C7E"/>
    <w:rsid w:val="00594C1A"/>
    <w:rsid w:val="005960C2"/>
    <w:rsid w:val="00596EAC"/>
    <w:rsid w:val="00597024"/>
    <w:rsid w:val="005A0274"/>
    <w:rsid w:val="005A095C"/>
    <w:rsid w:val="005A2CD2"/>
    <w:rsid w:val="005A2F66"/>
    <w:rsid w:val="005A4585"/>
    <w:rsid w:val="005A6465"/>
    <w:rsid w:val="005A669D"/>
    <w:rsid w:val="005A7168"/>
    <w:rsid w:val="005A75D8"/>
    <w:rsid w:val="005B4532"/>
    <w:rsid w:val="005B47C8"/>
    <w:rsid w:val="005B596A"/>
    <w:rsid w:val="005B713E"/>
    <w:rsid w:val="005C03B6"/>
    <w:rsid w:val="005C04C6"/>
    <w:rsid w:val="005C20BB"/>
    <w:rsid w:val="005C21BE"/>
    <w:rsid w:val="005C2CB5"/>
    <w:rsid w:val="005C348E"/>
    <w:rsid w:val="005C68E1"/>
    <w:rsid w:val="005C7E31"/>
    <w:rsid w:val="005D0A8D"/>
    <w:rsid w:val="005D11D7"/>
    <w:rsid w:val="005D2C90"/>
    <w:rsid w:val="005D3763"/>
    <w:rsid w:val="005D3E18"/>
    <w:rsid w:val="005D4FA9"/>
    <w:rsid w:val="005D55E1"/>
    <w:rsid w:val="005E00F9"/>
    <w:rsid w:val="005E0230"/>
    <w:rsid w:val="005E19F7"/>
    <w:rsid w:val="005E1CF2"/>
    <w:rsid w:val="005E2977"/>
    <w:rsid w:val="005E49B4"/>
    <w:rsid w:val="005E4B56"/>
    <w:rsid w:val="005E4F04"/>
    <w:rsid w:val="005E62C2"/>
    <w:rsid w:val="005E6C71"/>
    <w:rsid w:val="005F0963"/>
    <w:rsid w:val="005F0DB4"/>
    <w:rsid w:val="005F1ED3"/>
    <w:rsid w:val="005F2824"/>
    <w:rsid w:val="005F2AD6"/>
    <w:rsid w:val="005F2EBA"/>
    <w:rsid w:val="005F35ED"/>
    <w:rsid w:val="005F59D2"/>
    <w:rsid w:val="005F6A7A"/>
    <w:rsid w:val="005F7812"/>
    <w:rsid w:val="005F7A88"/>
    <w:rsid w:val="0060278A"/>
    <w:rsid w:val="00602A6C"/>
    <w:rsid w:val="00602FEF"/>
    <w:rsid w:val="00603200"/>
    <w:rsid w:val="006033FB"/>
    <w:rsid w:val="00603A1A"/>
    <w:rsid w:val="006046D5"/>
    <w:rsid w:val="00606029"/>
    <w:rsid w:val="00607A93"/>
    <w:rsid w:val="006109BD"/>
    <w:rsid w:val="00610C08"/>
    <w:rsid w:val="00611F74"/>
    <w:rsid w:val="006126B5"/>
    <w:rsid w:val="00615772"/>
    <w:rsid w:val="00615CA1"/>
    <w:rsid w:val="0061670B"/>
    <w:rsid w:val="00617906"/>
    <w:rsid w:val="00620585"/>
    <w:rsid w:val="006207C5"/>
    <w:rsid w:val="00620E70"/>
    <w:rsid w:val="00621256"/>
    <w:rsid w:val="00621AB2"/>
    <w:rsid w:val="00621FCC"/>
    <w:rsid w:val="00622E4B"/>
    <w:rsid w:val="00625FD3"/>
    <w:rsid w:val="00626A38"/>
    <w:rsid w:val="006271B0"/>
    <w:rsid w:val="00627E36"/>
    <w:rsid w:val="00630342"/>
    <w:rsid w:val="00632CEA"/>
    <w:rsid w:val="006333DA"/>
    <w:rsid w:val="00633452"/>
    <w:rsid w:val="0063415D"/>
    <w:rsid w:val="00635134"/>
    <w:rsid w:val="006356E2"/>
    <w:rsid w:val="006376B0"/>
    <w:rsid w:val="0064014E"/>
    <w:rsid w:val="00640854"/>
    <w:rsid w:val="006417B9"/>
    <w:rsid w:val="00642411"/>
    <w:rsid w:val="00642A65"/>
    <w:rsid w:val="00644E04"/>
    <w:rsid w:val="006452C6"/>
    <w:rsid w:val="00645DCE"/>
    <w:rsid w:val="00646384"/>
    <w:rsid w:val="006465AC"/>
    <w:rsid w:val="006465BF"/>
    <w:rsid w:val="00650092"/>
    <w:rsid w:val="006509F5"/>
    <w:rsid w:val="00650E69"/>
    <w:rsid w:val="00652E56"/>
    <w:rsid w:val="00653750"/>
    <w:rsid w:val="00653B22"/>
    <w:rsid w:val="006544D7"/>
    <w:rsid w:val="00655E35"/>
    <w:rsid w:val="00656600"/>
    <w:rsid w:val="00657762"/>
    <w:rsid w:val="00657BF4"/>
    <w:rsid w:val="00660095"/>
    <w:rsid w:val="006603FB"/>
    <w:rsid w:val="006608DD"/>
    <w:rsid w:val="006608DF"/>
    <w:rsid w:val="0066123A"/>
    <w:rsid w:val="00661F97"/>
    <w:rsid w:val="00662318"/>
    <w:rsid w:val="006623AC"/>
    <w:rsid w:val="006627FE"/>
    <w:rsid w:val="006628E2"/>
    <w:rsid w:val="00662DA4"/>
    <w:rsid w:val="00663CF8"/>
    <w:rsid w:val="00666077"/>
    <w:rsid w:val="0066624C"/>
    <w:rsid w:val="006677C2"/>
    <w:rsid w:val="006678AF"/>
    <w:rsid w:val="00667DFE"/>
    <w:rsid w:val="006701EF"/>
    <w:rsid w:val="00671C7C"/>
    <w:rsid w:val="00673BA5"/>
    <w:rsid w:val="006759CC"/>
    <w:rsid w:val="00675FAC"/>
    <w:rsid w:val="006764CD"/>
    <w:rsid w:val="0067732E"/>
    <w:rsid w:val="0067759F"/>
    <w:rsid w:val="00677AEB"/>
    <w:rsid w:val="00680058"/>
    <w:rsid w:val="0068107E"/>
    <w:rsid w:val="00681D97"/>
    <w:rsid w:val="00681F9F"/>
    <w:rsid w:val="00683B7F"/>
    <w:rsid w:val="006840EA"/>
    <w:rsid w:val="006844E2"/>
    <w:rsid w:val="00685267"/>
    <w:rsid w:val="00686339"/>
    <w:rsid w:val="00686F8C"/>
    <w:rsid w:val="006870E2"/>
    <w:rsid w:val="006872AE"/>
    <w:rsid w:val="0068772D"/>
    <w:rsid w:val="00687B75"/>
    <w:rsid w:val="00690082"/>
    <w:rsid w:val="00690252"/>
    <w:rsid w:val="0069125D"/>
    <w:rsid w:val="00691AB4"/>
    <w:rsid w:val="006946BB"/>
    <w:rsid w:val="006969FA"/>
    <w:rsid w:val="006A35D5"/>
    <w:rsid w:val="006A5C32"/>
    <w:rsid w:val="006A6620"/>
    <w:rsid w:val="006A748A"/>
    <w:rsid w:val="006A773E"/>
    <w:rsid w:val="006A7D92"/>
    <w:rsid w:val="006B0353"/>
    <w:rsid w:val="006B0809"/>
    <w:rsid w:val="006B4D1D"/>
    <w:rsid w:val="006C419E"/>
    <w:rsid w:val="006C4A31"/>
    <w:rsid w:val="006C4A60"/>
    <w:rsid w:val="006C4C26"/>
    <w:rsid w:val="006C5AC2"/>
    <w:rsid w:val="006C6AFB"/>
    <w:rsid w:val="006C7992"/>
    <w:rsid w:val="006C7D17"/>
    <w:rsid w:val="006D0FBA"/>
    <w:rsid w:val="006D2735"/>
    <w:rsid w:val="006D2C6B"/>
    <w:rsid w:val="006D365A"/>
    <w:rsid w:val="006D3CB3"/>
    <w:rsid w:val="006D45B2"/>
    <w:rsid w:val="006D5440"/>
    <w:rsid w:val="006D7A56"/>
    <w:rsid w:val="006E0E9C"/>
    <w:rsid w:val="006E0FCC"/>
    <w:rsid w:val="006E1E96"/>
    <w:rsid w:val="006E3A7C"/>
    <w:rsid w:val="006E3DB5"/>
    <w:rsid w:val="006E40D6"/>
    <w:rsid w:val="006E441C"/>
    <w:rsid w:val="006E4599"/>
    <w:rsid w:val="006E5E21"/>
    <w:rsid w:val="006E722D"/>
    <w:rsid w:val="006F0A68"/>
    <w:rsid w:val="006F133A"/>
    <w:rsid w:val="006F2648"/>
    <w:rsid w:val="006F2F10"/>
    <w:rsid w:val="006F45BA"/>
    <w:rsid w:val="006F482B"/>
    <w:rsid w:val="006F486C"/>
    <w:rsid w:val="006F4BE8"/>
    <w:rsid w:val="006F5B6C"/>
    <w:rsid w:val="006F5CA7"/>
    <w:rsid w:val="006F6311"/>
    <w:rsid w:val="0070065E"/>
    <w:rsid w:val="00701952"/>
    <w:rsid w:val="00702549"/>
    <w:rsid w:val="00702556"/>
    <w:rsid w:val="0070277E"/>
    <w:rsid w:val="00704156"/>
    <w:rsid w:val="00704E39"/>
    <w:rsid w:val="00705FA5"/>
    <w:rsid w:val="007069FC"/>
    <w:rsid w:val="007079B4"/>
    <w:rsid w:val="00711221"/>
    <w:rsid w:val="007125D6"/>
    <w:rsid w:val="00712675"/>
    <w:rsid w:val="00712C4D"/>
    <w:rsid w:val="00713808"/>
    <w:rsid w:val="007151B6"/>
    <w:rsid w:val="0071520D"/>
    <w:rsid w:val="00715519"/>
    <w:rsid w:val="007156D3"/>
    <w:rsid w:val="00715EDB"/>
    <w:rsid w:val="007160D5"/>
    <w:rsid w:val="007163FB"/>
    <w:rsid w:val="00717C2E"/>
    <w:rsid w:val="007204FA"/>
    <w:rsid w:val="00720D40"/>
    <w:rsid w:val="00720E9F"/>
    <w:rsid w:val="007213B3"/>
    <w:rsid w:val="007217FE"/>
    <w:rsid w:val="00722EE0"/>
    <w:rsid w:val="0072457F"/>
    <w:rsid w:val="007245C4"/>
    <w:rsid w:val="00724947"/>
    <w:rsid w:val="00725406"/>
    <w:rsid w:val="00725818"/>
    <w:rsid w:val="0072621B"/>
    <w:rsid w:val="00730555"/>
    <w:rsid w:val="007310EF"/>
    <w:rsid w:val="007312CC"/>
    <w:rsid w:val="00731E90"/>
    <w:rsid w:val="007327F0"/>
    <w:rsid w:val="00734171"/>
    <w:rsid w:val="007348F1"/>
    <w:rsid w:val="00734C56"/>
    <w:rsid w:val="00735ED0"/>
    <w:rsid w:val="00735F4A"/>
    <w:rsid w:val="00736A64"/>
    <w:rsid w:val="00736A85"/>
    <w:rsid w:val="007371A8"/>
    <w:rsid w:val="00737A9D"/>
    <w:rsid w:val="00737F6A"/>
    <w:rsid w:val="007410B6"/>
    <w:rsid w:val="00741D0C"/>
    <w:rsid w:val="00741D49"/>
    <w:rsid w:val="00743A20"/>
    <w:rsid w:val="0074483B"/>
    <w:rsid w:val="00744C6F"/>
    <w:rsid w:val="007457F6"/>
    <w:rsid w:val="00745835"/>
    <w:rsid w:val="00745ABB"/>
    <w:rsid w:val="007465E1"/>
    <w:rsid w:val="00746E38"/>
    <w:rsid w:val="007470DB"/>
    <w:rsid w:val="00747CD5"/>
    <w:rsid w:val="00750623"/>
    <w:rsid w:val="00751421"/>
    <w:rsid w:val="00751928"/>
    <w:rsid w:val="00753B49"/>
    <w:rsid w:val="00753B51"/>
    <w:rsid w:val="00753D91"/>
    <w:rsid w:val="00754ACE"/>
    <w:rsid w:val="00756629"/>
    <w:rsid w:val="0075751F"/>
    <w:rsid w:val="007575D2"/>
    <w:rsid w:val="0075793E"/>
    <w:rsid w:val="00757B4F"/>
    <w:rsid w:val="00757B6A"/>
    <w:rsid w:val="007609AA"/>
    <w:rsid w:val="00761001"/>
    <w:rsid w:val="007610E0"/>
    <w:rsid w:val="007621AA"/>
    <w:rsid w:val="0076260A"/>
    <w:rsid w:val="00762E8C"/>
    <w:rsid w:val="00764A67"/>
    <w:rsid w:val="0076694B"/>
    <w:rsid w:val="00770276"/>
    <w:rsid w:val="00770F6B"/>
    <w:rsid w:val="00771883"/>
    <w:rsid w:val="00771E31"/>
    <w:rsid w:val="00773BE8"/>
    <w:rsid w:val="00774B64"/>
    <w:rsid w:val="007759CD"/>
    <w:rsid w:val="00775FB0"/>
    <w:rsid w:val="00776DC2"/>
    <w:rsid w:val="00780122"/>
    <w:rsid w:val="00781628"/>
    <w:rsid w:val="0078214B"/>
    <w:rsid w:val="00782B02"/>
    <w:rsid w:val="00782F32"/>
    <w:rsid w:val="00783A39"/>
    <w:rsid w:val="007845AB"/>
    <w:rsid w:val="0078498A"/>
    <w:rsid w:val="007852B0"/>
    <w:rsid w:val="00785640"/>
    <w:rsid w:val="0078734B"/>
    <w:rsid w:val="007878FE"/>
    <w:rsid w:val="00787C77"/>
    <w:rsid w:val="0079037B"/>
    <w:rsid w:val="0079131A"/>
    <w:rsid w:val="00792207"/>
    <w:rsid w:val="00792B64"/>
    <w:rsid w:val="00792E29"/>
    <w:rsid w:val="00793601"/>
    <w:rsid w:val="0079379A"/>
    <w:rsid w:val="007937EA"/>
    <w:rsid w:val="00793A46"/>
    <w:rsid w:val="00794330"/>
    <w:rsid w:val="007944E1"/>
    <w:rsid w:val="00794953"/>
    <w:rsid w:val="00795418"/>
    <w:rsid w:val="0079612A"/>
    <w:rsid w:val="007A01DC"/>
    <w:rsid w:val="007A0531"/>
    <w:rsid w:val="007A0AC8"/>
    <w:rsid w:val="007A1F2F"/>
    <w:rsid w:val="007A2A5C"/>
    <w:rsid w:val="007A3F10"/>
    <w:rsid w:val="007A5150"/>
    <w:rsid w:val="007A5373"/>
    <w:rsid w:val="007A5A77"/>
    <w:rsid w:val="007A5EC5"/>
    <w:rsid w:val="007A789F"/>
    <w:rsid w:val="007B149C"/>
    <w:rsid w:val="007B15DE"/>
    <w:rsid w:val="007B19FF"/>
    <w:rsid w:val="007B1E9F"/>
    <w:rsid w:val="007B251C"/>
    <w:rsid w:val="007B5C23"/>
    <w:rsid w:val="007B6BFC"/>
    <w:rsid w:val="007B7453"/>
    <w:rsid w:val="007B75BC"/>
    <w:rsid w:val="007B76EE"/>
    <w:rsid w:val="007B79BC"/>
    <w:rsid w:val="007C0BD6"/>
    <w:rsid w:val="007C0F30"/>
    <w:rsid w:val="007C1EB8"/>
    <w:rsid w:val="007C2479"/>
    <w:rsid w:val="007C357E"/>
    <w:rsid w:val="007C3806"/>
    <w:rsid w:val="007C5BB7"/>
    <w:rsid w:val="007C604A"/>
    <w:rsid w:val="007C60BA"/>
    <w:rsid w:val="007D07D5"/>
    <w:rsid w:val="007D168B"/>
    <w:rsid w:val="007D1C64"/>
    <w:rsid w:val="007D32DD"/>
    <w:rsid w:val="007D5A78"/>
    <w:rsid w:val="007D6CFE"/>
    <w:rsid w:val="007D6DCE"/>
    <w:rsid w:val="007D72C4"/>
    <w:rsid w:val="007D74EC"/>
    <w:rsid w:val="007E067D"/>
    <w:rsid w:val="007E1AA9"/>
    <w:rsid w:val="007E2CFB"/>
    <w:rsid w:val="007E2CFE"/>
    <w:rsid w:val="007E545A"/>
    <w:rsid w:val="007E55B2"/>
    <w:rsid w:val="007E55FD"/>
    <w:rsid w:val="007E59C9"/>
    <w:rsid w:val="007E5D8E"/>
    <w:rsid w:val="007E6CF0"/>
    <w:rsid w:val="007E71AF"/>
    <w:rsid w:val="007F0072"/>
    <w:rsid w:val="007F1326"/>
    <w:rsid w:val="007F2EB6"/>
    <w:rsid w:val="007F32D9"/>
    <w:rsid w:val="007F4874"/>
    <w:rsid w:val="007F54C3"/>
    <w:rsid w:val="00802949"/>
    <w:rsid w:val="00802CB9"/>
    <w:rsid w:val="0080301E"/>
    <w:rsid w:val="0080365F"/>
    <w:rsid w:val="008050C7"/>
    <w:rsid w:val="008057C8"/>
    <w:rsid w:val="00805D4A"/>
    <w:rsid w:val="00805EBB"/>
    <w:rsid w:val="00812BE5"/>
    <w:rsid w:val="00814A94"/>
    <w:rsid w:val="00815473"/>
    <w:rsid w:val="00817429"/>
    <w:rsid w:val="00817805"/>
    <w:rsid w:val="00820D9A"/>
    <w:rsid w:val="00820DB5"/>
    <w:rsid w:val="00821514"/>
    <w:rsid w:val="00821E35"/>
    <w:rsid w:val="00823E75"/>
    <w:rsid w:val="00824591"/>
    <w:rsid w:val="0082493B"/>
    <w:rsid w:val="00824AED"/>
    <w:rsid w:val="00826249"/>
    <w:rsid w:val="00827820"/>
    <w:rsid w:val="0083052A"/>
    <w:rsid w:val="00831B8B"/>
    <w:rsid w:val="00832642"/>
    <w:rsid w:val="0083266C"/>
    <w:rsid w:val="008332C2"/>
    <w:rsid w:val="008335AE"/>
    <w:rsid w:val="0083405D"/>
    <w:rsid w:val="008352D4"/>
    <w:rsid w:val="00836C3B"/>
    <w:rsid w:val="00836DB9"/>
    <w:rsid w:val="00837C67"/>
    <w:rsid w:val="00837D04"/>
    <w:rsid w:val="008415B0"/>
    <w:rsid w:val="00842028"/>
    <w:rsid w:val="00842C6A"/>
    <w:rsid w:val="0084305A"/>
    <w:rsid w:val="008436B8"/>
    <w:rsid w:val="00844CDA"/>
    <w:rsid w:val="00845A24"/>
    <w:rsid w:val="008460B6"/>
    <w:rsid w:val="00846725"/>
    <w:rsid w:val="00847128"/>
    <w:rsid w:val="00850448"/>
    <w:rsid w:val="00850699"/>
    <w:rsid w:val="00850C9D"/>
    <w:rsid w:val="0085135C"/>
    <w:rsid w:val="0085266A"/>
    <w:rsid w:val="00852B59"/>
    <w:rsid w:val="00852E55"/>
    <w:rsid w:val="0085325F"/>
    <w:rsid w:val="00853A54"/>
    <w:rsid w:val="00855D3A"/>
    <w:rsid w:val="00856272"/>
    <w:rsid w:val="008563FF"/>
    <w:rsid w:val="00856611"/>
    <w:rsid w:val="0086018B"/>
    <w:rsid w:val="008611DD"/>
    <w:rsid w:val="008620DE"/>
    <w:rsid w:val="00862952"/>
    <w:rsid w:val="008635E4"/>
    <w:rsid w:val="008636CD"/>
    <w:rsid w:val="008636F4"/>
    <w:rsid w:val="00863DBF"/>
    <w:rsid w:val="008641C5"/>
    <w:rsid w:val="0086450D"/>
    <w:rsid w:val="008651AF"/>
    <w:rsid w:val="0086578D"/>
    <w:rsid w:val="00865EB3"/>
    <w:rsid w:val="00865F15"/>
    <w:rsid w:val="00866867"/>
    <w:rsid w:val="00867584"/>
    <w:rsid w:val="0087031A"/>
    <w:rsid w:val="00870E5B"/>
    <w:rsid w:val="00870FCD"/>
    <w:rsid w:val="008711B5"/>
    <w:rsid w:val="00872257"/>
    <w:rsid w:val="008726AF"/>
    <w:rsid w:val="00874240"/>
    <w:rsid w:val="008753BF"/>
    <w:rsid w:val="008753E6"/>
    <w:rsid w:val="00875AA8"/>
    <w:rsid w:val="0087738C"/>
    <w:rsid w:val="008802AF"/>
    <w:rsid w:val="00880F05"/>
    <w:rsid w:val="00881926"/>
    <w:rsid w:val="0088318F"/>
    <w:rsid w:val="0088331D"/>
    <w:rsid w:val="008852B0"/>
    <w:rsid w:val="00885447"/>
    <w:rsid w:val="00885AE7"/>
    <w:rsid w:val="00886202"/>
    <w:rsid w:val="00886B60"/>
    <w:rsid w:val="00887889"/>
    <w:rsid w:val="0089027F"/>
    <w:rsid w:val="00890A08"/>
    <w:rsid w:val="0089154E"/>
    <w:rsid w:val="008920FF"/>
    <w:rsid w:val="008926E8"/>
    <w:rsid w:val="00893DD9"/>
    <w:rsid w:val="00894C39"/>
    <w:rsid w:val="00894D0F"/>
    <w:rsid w:val="00894F19"/>
    <w:rsid w:val="00895DD3"/>
    <w:rsid w:val="00896A10"/>
    <w:rsid w:val="00896A71"/>
    <w:rsid w:val="008971B5"/>
    <w:rsid w:val="008A0A90"/>
    <w:rsid w:val="008A3207"/>
    <w:rsid w:val="008A4576"/>
    <w:rsid w:val="008A47B4"/>
    <w:rsid w:val="008A4D52"/>
    <w:rsid w:val="008A570E"/>
    <w:rsid w:val="008A5D26"/>
    <w:rsid w:val="008A6B13"/>
    <w:rsid w:val="008A6ECB"/>
    <w:rsid w:val="008B0BF9"/>
    <w:rsid w:val="008B0F06"/>
    <w:rsid w:val="008B263E"/>
    <w:rsid w:val="008B2866"/>
    <w:rsid w:val="008B3859"/>
    <w:rsid w:val="008B40A3"/>
    <w:rsid w:val="008B436D"/>
    <w:rsid w:val="008B45AD"/>
    <w:rsid w:val="008B4E49"/>
    <w:rsid w:val="008B592A"/>
    <w:rsid w:val="008B5FCB"/>
    <w:rsid w:val="008B7712"/>
    <w:rsid w:val="008B7ADD"/>
    <w:rsid w:val="008B7B26"/>
    <w:rsid w:val="008B7C79"/>
    <w:rsid w:val="008C0625"/>
    <w:rsid w:val="008C2286"/>
    <w:rsid w:val="008C25FE"/>
    <w:rsid w:val="008C2DCC"/>
    <w:rsid w:val="008C34B6"/>
    <w:rsid w:val="008C3524"/>
    <w:rsid w:val="008C3B1F"/>
    <w:rsid w:val="008C4061"/>
    <w:rsid w:val="008C4229"/>
    <w:rsid w:val="008C4858"/>
    <w:rsid w:val="008C510F"/>
    <w:rsid w:val="008C5BE0"/>
    <w:rsid w:val="008C68DC"/>
    <w:rsid w:val="008C7232"/>
    <w:rsid w:val="008C7233"/>
    <w:rsid w:val="008C7577"/>
    <w:rsid w:val="008C7B5F"/>
    <w:rsid w:val="008D064A"/>
    <w:rsid w:val="008D1A4B"/>
    <w:rsid w:val="008D217B"/>
    <w:rsid w:val="008D2434"/>
    <w:rsid w:val="008D28B3"/>
    <w:rsid w:val="008D3B08"/>
    <w:rsid w:val="008D4948"/>
    <w:rsid w:val="008D5AA3"/>
    <w:rsid w:val="008D5C42"/>
    <w:rsid w:val="008D71CA"/>
    <w:rsid w:val="008D7F33"/>
    <w:rsid w:val="008E171D"/>
    <w:rsid w:val="008E2785"/>
    <w:rsid w:val="008E353C"/>
    <w:rsid w:val="008E4F2A"/>
    <w:rsid w:val="008E5A6F"/>
    <w:rsid w:val="008E618B"/>
    <w:rsid w:val="008E6D03"/>
    <w:rsid w:val="008E6D59"/>
    <w:rsid w:val="008E78A3"/>
    <w:rsid w:val="008F0654"/>
    <w:rsid w:val="008F06CB"/>
    <w:rsid w:val="008F0A64"/>
    <w:rsid w:val="008F2995"/>
    <w:rsid w:val="008F2E83"/>
    <w:rsid w:val="008F2F55"/>
    <w:rsid w:val="008F30B1"/>
    <w:rsid w:val="008F612A"/>
    <w:rsid w:val="008F61E3"/>
    <w:rsid w:val="008F6ABC"/>
    <w:rsid w:val="008F6D12"/>
    <w:rsid w:val="008F6F2C"/>
    <w:rsid w:val="00900D90"/>
    <w:rsid w:val="0090293D"/>
    <w:rsid w:val="009034DE"/>
    <w:rsid w:val="0090374B"/>
    <w:rsid w:val="00903E2A"/>
    <w:rsid w:val="009040E0"/>
    <w:rsid w:val="00905396"/>
    <w:rsid w:val="00905BD2"/>
    <w:rsid w:val="0090605D"/>
    <w:rsid w:val="00906419"/>
    <w:rsid w:val="009071A2"/>
    <w:rsid w:val="00912889"/>
    <w:rsid w:val="00913A42"/>
    <w:rsid w:val="00914167"/>
    <w:rsid w:val="009143DB"/>
    <w:rsid w:val="00915065"/>
    <w:rsid w:val="00915271"/>
    <w:rsid w:val="00916488"/>
    <w:rsid w:val="009165BA"/>
    <w:rsid w:val="00917CE5"/>
    <w:rsid w:val="00920066"/>
    <w:rsid w:val="009217C0"/>
    <w:rsid w:val="00925241"/>
    <w:rsid w:val="00925362"/>
    <w:rsid w:val="00925CEC"/>
    <w:rsid w:val="00925E6B"/>
    <w:rsid w:val="00926A3F"/>
    <w:rsid w:val="0092794E"/>
    <w:rsid w:val="0093047A"/>
    <w:rsid w:val="00930D30"/>
    <w:rsid w:val="00933189"/>
    <w:rsid w:val="009332A2"/>
    <w:rsid w:val="00933F09"/>
    <w:rsid w:val="0093616C"/>
    <w:rsid w:val="00937598"/>
    <w:rsid w:val="0093790B"/>
    <w:rsid w:val="00940B36"/>
    <w:rsid w:val="00942C3C"/>
    <w:rsid w:val="00943751"/>
    <w:rsid w:val="00944CA2"/>
    <w:rsid w:val="00945487"/>
    <w:rsid w:val="00946DD0"/>
    <w:rsid w:val="0095090A"/>
    <w:rsid w:val="009509E6"/>
    <w:rsid w:val="00952018"/>
    <w:rsid w:val="00952800"/>
    <w:rsid w:val="0095300D"/>
    <w:rsid w:val="00954074"/>
    <w:rsid w:val="009563FF"/>
    <w:rsid w:val="00956812"/>
    <w:rsid w:val="009568DC"/>
    <w:rsid w:val="00956C6E"/>
    <w:rsid w:val="0095719A"/>
    <w:rsid w:val="009623E9"/>
    <w:rsid w:val="00963EEB"/>
    <w:rsid w:val="009648BC"/>
    <w:rsid w:val="00964B6A"/>
    <w:rsid w:val="00964C2F"/>
    <w:rsid w:val="00965F88"/>
    <w:rsid w:val="0096774D"/>
    <w:rsid w:val="00973928"/>
    <w:rsid w:val="00973BD6"/>
    <w:rsid w:val="00974260"/>
    <w:rsid w:val="00974893"/>
    <w:rsid w:val="00974966"/>
    <w:rsid w:val="00975D71"/>
    <w:rsid w:val="009766F9"/>
    <w:rsid w:val="00976828"/>
    <w:rsid w:val="0097720C"/>
    <w:rsid w:val="00982FE5"/>
    <w:rsid w:val="00984E03"/>
    <w:rsid w:val="00985CD9"/>
    <w:rsid w:val="00987073"/>
    <w:rsid w:val="00987E85"/>
    <w:rsid w:val="00990EA9"/>
    <w:rsid w:val="00991BB1"/>
    <w:rsid w:val="0099201F"/>
    <w:rsid w:val="0099285C"/>
    <w:rsid w:val="00993DD8"/>
    <w:rsid w:val="009940F9"/>
    <w:rsid w:val="00996473"/>
    <w:rsid w:val="00997497"/>
    <w:rsid w:val="009A04EC"/>
    <w:rsid w:val="009A0D12"/>
    <w:rsid w:val="009A1987"/>
    <w:rsid w:val="009A24AA"/>
    <w:rsid w:val="009A2BEE"/>
    <w:rsid w:val="009A5289"/>
    <w:rsid w:val="009A54F9"/>
    <w:rsid w:val="009A7A53"/>
    <w:rsid w:val="009B0402"/>
    <w:rsid w:val="009B0B75"/>
    <w:rsid w:val="009B15AD"/>
    <w:rsid w:val="009B16DF"/>
    <w:rsid w:val="009B3090"/>
    <w:rsid w:val="009B4064"/>
    <w:rsid w:val="009B4CB2"/>
    <w:rsid w:val="009B57E3"/>
    <w:rsid w:val="009B5B80"/>
    <w:rsid w:val="009B6039"/>
    <w:rsid w:val="009B6638"/>
    <w:rsid w:val="009B6701"/>
    <w:rsid w:val="009B6EF7"/>
    <w:rsid w:val="009B7000"/>
    <w:rsid w:val="009B739C"/>
    <w:rsid w:val="009C0262"/>
    <w:rsid w:val="009C04EC"/>
    <w:rsid w:val="009C1C96"/>
    <w:rsid w:val="009C328C"/>
    <w:rsid w:val="009C4444"/>
    <w:rsid w:val="009C510C"/>
    <w:rsid w:val="009C74AD"/>
    <w:rsid w:val="009C775C"/>
    <w:rsid w:val="009C79AD"/>
    <w:rsid w:val="009C7CA6"/>
    <w:rsid w:val="009D0D56"/>
    <w:rsid w:val="009D13BF"/>
    <w:rsid w:val="009D19F6"/>
    <w:rsid w:val="009D2698"/>
    <w:rsid w:val="009D3316"/>
    <w:rsid w:val="009D4BCE"/>
    <w:rsid w:val="009D55AA"/>
    <w:rsid w:val="009E080E"/>
    <w:rsid w:val="009E128D"/>
    <w:rsid w:val="009E23CC"/>
    <w:rsid w:val="009E2E10"/>
    <w:rsid w:val="009E3E77"/>
    <w:rsid w:val="009E3FAB"/>
    <w:rsid w:val="009E4CCA"/>
    <w:rsid w:val="009E4D2A"/>
    <w:rsid w:val="009E5085"/>
    <w:rsid w:val="009E552B"/>
    <w:rsid w:val="009E5B3F"/>
    <w:rsid w:val="009E7D90"/>
    <w:rsid w:val="009F0223"/>
    <w:rsid w:val="009F0DF3"/>
    <w:rsid w:val="009F11BC"/>
    <w:rsid w:val="009F1AB0"/>
    <w:rsid w:val="009F30D1"/>
    <w:rsid w:val="009F3766"/>
    <w:rsid w:val="009F3E17"/>
    <w:rsid w:val="009F501D"/>
    <w:rsid w:val="009F5E37"/>
    <w:rsid w:val="009F7AB8"/>
    <w:rsid w:val="009F7EF3"/>
    <w:rsid w:val="009F7FF2"/>
    <w:rsid w:val="00A0020F"/>
    <w:rsid w:val="00A02306"/>
    <w:rsid w:val="00A02A32"/>
    <w:rsid w:val="00A039D5"/>
    <w:rsid w:val="00A046AD"/>
    <w:rsid w:val="00A079C1"/>
    <w:rsid w:val="00A07FAB"/>
    <w:rsid w:val="00A10A29"/>
    <w:rsid w:val="00A11E54"/>
    <w:rsid w:val="00A12520"/>
    <w:rsid w:val="00A12EE8"/>
    <w:rsid w:val="00A130FD"/>
    <w:rsid w:val="00A13D6D"/>
    <w:rsid w:val="00A14769"/>
    <w:rsid w:val="00A1552E"/>
    <w:rsid w:val="00A16151"/>
    <w:rsid w:val="00A164A5"/>
    <w:rsid w:val="00A16EC6"/>
    <w:rsid w:val="00A17C06"/>
    <w:rsid w:val="00A17F04"/>
    <w:rsid w:val="00A2126E"/>
    <w:rsid w:val="00A21706"/>
    <w:rsid w:val="00A21E3F"/>
    <w:rsid w:val="00A22BE7"/>
    <w:rsid w:val="00A24FCC"/>
    <w:rsid w:val="00A25906"/>
    <w:rsid w:val="00A26A90"/>
    <w:rsid w:val="00A26B27"/>
    <w:rsid w:val="00A3072C"/>
    <w:rsid w:val="00A30E4F"/>
    <w:rsid w:val="00A30FF8"/>
    <w:rsid w:val="00A32253"/>
    <w:rsid w:val="00A326AA"/>
    <w:rsid w:val="00A3310E"/>
    <w:rsid w:val="00A333A0"/>
    <w:rsid w:val="00A35D0B"/>
    <w:rsid w:val="00A3763D"/>
    <w:rsid w:val="00A37E70"/>
    <w:rsid w:val="00A40F35"/>
    <w:rsid w:val="00A40F3D"/>
    <w:rsid w:val="00A41F91"/>
    <w:rsid w:val="00A420B7"/>
    <w:rsid w:val="00A437E1"/>
    <w:rsid w:val="00A43FCB"/>
    <w:rsid w:val="00A45030"/>
    <w:rsid w:val="00A451C1"/>
    <w:rsid w:val="00A4631C"/>
    <w:rsid w:val="00A4685E"/>
    <w:rsid w:val="00A46F89"/>
    <w:rsid w:val="00A470CF"/>
    <w:rsid w:val="00A47A87"/>
    <w:rsid w:val="00A47F65"/>
    <w:rsid w:val="00A50CD4"/>
    <w:rsid w:val="00A51191"/>
    <w:rsid w:val="00A513A7"/>
    <w:rsid w:val="00A52368"/>
    <w:rsid w:val="00A524D3"/>
    <w:rsid w:val="00A53EE3"/>
    <w:rsid w:val="00A5595A"/>
    <w:rsid w:val="00A56D62"/>
    <w:rsid w:val="00A56F07"/>
    <w:rsid w:val="00A5762C"/>
    <w:rsid w:val="00A600FC"/>
    <w:rsid w:val="00A60BCA"/>
    <w:rsid w:val="00A638DA"/>
    <w:rsid w:val="00A643F5"/>
    <w:rsid w:val="00A65B41"/>
    <w:rsid w:val="00A65E00"/>
    <w:rsid w:val="00A669E8"/>
    <w:rsid w:val="00A66A78"/>
    <w:rsid w:val="00A704CF"/>
    <w:rsid w:val="00A7069F"/>
    <w:rsid w:val="00A71007"/>
    <w:rsid w:val="00A71743"/>
    <w:rsid w:val="00A735AA"/>
    <w:rsid w:val="00A7436E"/>
    <w:rsid w:val="00A74DDE"/>
    <w:rsid w:val="00A74E96"/>
    <w:rsid w:val="00A750B5"/>
    <w:rsid w:val="00A75A8E"/>
    <w:rsid w:val="00A76D85"/>
    <w:rsid w:val="00A7718E"/>
    <w:rsid w:val="00A772C6"/>
    <w:rsid w:val="00A801C0"/>
    <w:rsid w:val="00A801FE"/>
    <w:rsid w:val="00A804F6"/>
    <w:rsid w:val="00A80907"/>
    <w:rsid w:val="00A815C8"/>
    <w:rsid w:val="00A824DD"/>
    <w:rsid w:val="00A83676"/>
    <w:rsid w:val="00A83B7B"/>
    <w:rsid w:val="00A84274"/>
    <w:rsid w:val="00A850F3"/>
    <w:rsid w:val="00A85A47"/>
    <w:rsid w:val="00A85BC3"/>
    <w:rsid w:val="00A85D0B"/>
    <w:rsid w:val="00A864E3"/>
    <w:rsid w:val="00A9180D"/>
    <w:rsid w:val="00A94574"/>
    <w:rsid w:val="00A95936"/>
    <w:rsid w:val="00A96265"/>
    <w:rsid w:val="00A963CD"/>
    <w:rsid w:val="00A97084"/>
    <w:rsid w:val="00AA016D"/>
    <w:rsid w:val="00AA087C"/>
    <w:rsid w:val="00AA092E"/>
    <w:rsid w:val="00AA14E9"/>
    <w:rsid w:val="00AA1C2C"/>
    <w:rsid w:val="00AA35F6"/>
    <w:rsid w:val="00AA3793"/>
    <w:rsid w:val="00AA45D3"/>
    <w:rsid w:val="00AA45FB"/>
    <w:rsid w:val="00AA667C"/>
    <w:rsid w:val="00AA6E91"/>
    <w:rsid w:val="00AA7439"/>
    <w:rsid w:val="00AB047E"/>
    <w:rsid w:val="00AB0746"/>
    <w:rsid w:val="00AB084B"/>
    <w:rsid w:val="00AB08C8"/>
    <w:rsid w:val="00AB0B0A"/>
    <w:rsid w:val="00AB0BB7"/>
    <w:rsid w:val="00AB1283"/>
    <w:rsid w:val="00AB15D9"/>
    <w:rsid w:val="00AB1FC7"/>
    <w:rsid w:val="00AB22C6"/>
    <w:rsid w:val="00AB2690"/>
    <w:rsid w:val="00AB2AD0"/>
    <w:rsid w:val="00AB4A5C"/>
    <w:rsid w:val="00AB59B3"/>
    <w:rsid w:val="00AB6177"/>
    <w:rsid w:val="00AB61DE"/>
    <w:rsid w:val="00AB62E4"/>
    <w:rsid w:val="00AB67FC"/>
    <w:rsid w:val="00AB6844"/>
    <w:rsid w:val="00AC00F0"/>
    <w:rsid w:val="00AC00F2"/>
    <w:rsid w:val="00AC1056"/>
    <w:rsid w:val="00AC207C"/>
    <w:rsid w:val="00AC254F"/>
    <w:rsid w:val="00AC31B5"/>
    <w:rsid w:val="00AC3AF0"/>
    <w:rsid w:val="00AC4EA1"/>
    <w:rsid w:val="00AC505A"/>
    <w:rsid w:val="00AC5381"/>
    <w:rsid w:val="00AC5920"/>
    <w:rsid w:val="00AC6184"/>
    <w:rsid w:val="00AC7050"/>
    <w:rsid w:val="00AC7A6B"/>
    <w:rsid w:val="00AD0521"/>
    <w:rsid w:val="00AD073B"/>
    <w:rsid w:val="00AD0E65"/>
    <w:rsid w:val="00AD1AE8"/>
    <w:rsid w:val="00AD2745"/>
    <w:rsid w:val="00AD2949"/>
    <w:rsid w:val="00AD2BF2"/>
    <w:rsid w:val="00AD37C4"/>
    <w:rsid w:val="00AD38C5"/>
    <w:rsid w:val="00AD3A12"/>
    <w:rsid w:val="00AD3F90"/>
    <w:rsid w:val="00AD4146"/>
    <w:rsid w:val="00AD4E90"/>
    <w:rsid w:val="00AD5422"/>
    <w:rsid w:val="00AE0122"/>
    <w:rsid w:val="00AE18AF"/>
    <w:rsid w:val="00AE4176"/>
    <w:rsid w:val="00AE4179"/>
    <w:rsid w:val="00AE4425"/>
    <w:rsid w:val="00AE4481"/>
    <w:rsid w:val="00AE4FBE"/>
    <w:rsid w:val="00AE54B9"/>
    <w:rsid w:val="00AE650F"/>
    <w:rsid w:val="00AE6555"/>
    <w:rsid w:val="00AE7D16"/>
    <w:rsid w:val="00AF0147"/>
    <w:rsid w:val="00AF0E27"/>
    <w:rsid w:val="00AF3259"/>
    <w:rsid w:val="00AF4CAA"/>
    <w:rsid w:val="00AF571A"/>
    <w:rsid w:val="00AF60A0"/>
    <w:rsid w:val="00AF67FC"/>
    <w:rsid w:val="00AF7DF5"/>
    <w:rsid w:val="00AF7F84"/>
    <w:rsid w:val="00B006E5"/>
    <w:rsid w:val="00B024C2"/>
    <w:rsid w:val="00B0264D"/>
    <w:rsid w:val="00B033E6"/>
    <w:rsid w:val="00B03792"/>
    <w:rsid w:val="00B03DD3"/>
    <w:rsid w:val="00B05BD3"/>
    <w:rsid w:val="00B0609E"/>
    <w:rsid w:val="00B07700"/>
    <w:rsid w:val="00B10ACC"/>
    <w:rsid w:val="00B127A0"/>
    <w:rsid w:val="00B137CF"/>
    <w:rsid w:val="00B138B7"/>
    <w:rsid w:val="00B13921"/>
    <w:rsid w:val="00B14999"/>
    <w:rsid w:val="00B14D57"/>
    <w:rsid w:val="00B151FE"/>
    <w:rsid w:val="00B1528C"/>
    <w:rsid w:val="00B153A9"/>
    <w:rsid w:val="00B168A6"/>
    <w:rsid w:val="00B16A03"/>
    <w:rsid w:val="00B16ACD"/>
    <w:rsid w:val="00B16EA1"/>
    <w:rsid w:val="00B171AD"/>
    <w:rsid w:val="00B20F0E"/>
    <w:rsid w:val="00B21487"/>
    <w:rsid w:val="00B23024"/>
    <w:rsid w:val="00B232D1"/>
    <w:rsid w:val="00B24991"/>
    <w:rsid w:val="00B24C93"/>
    <w:rsid w:val="00B24DB5"/>
    <w:rsid w:val="00B25776"/>
    <w:rsid w:val="00B261B2"/>
    <w:rsid w:val="00B31F9E"/>
    <w:rsid w:val="00B3246E"/>
    <w:rsid w:val="00B3268F"/>
    <w:rsid w:val="00B32C2C"/>
    <w:rsid w:val="00B33A1A"/>
    <w:rsid w:val="00B33E6C"/>
    <w:rsid w:val="00B348D5"/>
    <w:rsid w:val="00B35A46"/>
    <w:rsid w:val="00B371CC"/>
    <w:rsid w:val="00B37D52"/>
    <w:rsid w:val="00B40F24"/>
    <w:rsid w:val="00B414C7"/>
    <w:rsid w:val="00B41CD9"/>
    <w:rsid w:val="00B42005"/>
    <w:rsid w:val="00B424DE"/>
    <w:rsid w:val="00B427E6"/>
    <w:rsid w:val="00B428A6"/>
    <w:rsid w:val="00B43825"/>
    <w:rsid w:val="00B43C1E"/>
    <w:rsid w:val="00B43E1F"/>
    <w:rsid w:val="00B4579C"/>
    <w:rsid w:val="00B45FBC"/>
    <w:rsid w:val="00B509B9"/>
    <w:rsid w:val="00B5117C"/>
    <w:rsid w:val="00B51A7D"/>
    <w:rsid w:val="00B52557"/>
    <w:rsid w:val="00B535C2"/>
    <w:rsid w:val="00B55544"/>
    <w:rsid w:val="00B56AF9"/>
    <w:rsid w:val="00B603BF"/>
    <w:rsid w:val="00B62AF7"/>
    <w:rsid w:val="00B62FA1"/>
    <w:rsid w:val="00B6315A"/>
    <w:rsid w:val="00B642FC"/>
    <w:rsid w:val="00B64D26"/>
    <w:rsid w:val="00B64F0D"/>
    <w:rsid w:val="00B64FBB"/>
    <w:rsid w:val="00B65EBE"/>
    <w:rsid w:val="00B6680A"/>
    <w:rsid w:val="00B67055"/>
    <w:rsid w:val="00B67697"/>
    <w:rsid w:val="00B70E22"/>
    <w:rsid w:val="00B72C42"/>
    <w:rsid w:val="00B7312E"/>
    <w:rsid w:val="00B7403D"/>
    <w:rsid w:val="00B7412E"/>
    <w:rsid w:val="00B74F49"/>
    <w:rsid w:val="00B75164"/>
    <w:rsid w:val="00B762DD"/>
    <w:rsid w:val="00B774CB"/>
    <w:rsid w:val="00B80402"/>
    <w:rsid w:val="00B80779"/>
    <w:rsid w:val="00B809FE"/>
    <w:rsid w:val="00B80B9A"/>
    <w:rsid w:val="00B80FDC"/>
    <w:rsid w:val="00B830B5"/>
    <w:rsid w:val="00B830B7"/>
    <w:rsid w:val="00B848EA"/>
    <w:rsid w:val="00B84B2B"/>
    <w:rsid w:val="00B8642E"/>
    <w:rsid w:val="00B86B08"/>
    <w:rsid w:val="00B87306"/>
    <w:rsid w:val="00B8775D"/>
    <w:rsid w:val="00B90500"/>
    <w:rsid w:val="00B90AFF"/>
    <w:rsid w:val="00B90C88"/>
    <w:rsid w:val="00B9176C"/>
    <w:rsid w:val="00B930FE"/>
    <w:rsid w:val="00B935A4"/>
    <w:rsid w:val="00B9370F"/>
    <w:rsid w:val="00B93CE0"/>
    <w:rsid w:val="00B947FB"/>
    <w:rsid w:val="00B975AC"/>
    <w:rsid w:val="00B97B7E"/>
    <w:rsid w:val="00BA19D4"/>
    <w:rsid w:val="00BA2A27"/>
    <w:rsid w:val="00BA3844"/>
    <w:rsid w:val="00BA561A"/>
    <w:rsid w:val="00BB0DC6"/>
    <w:rsid w:val="00BB15E4"/>
    <w:rsid w:val="00BB1E19"/>
    <w:rsid w:val="00BB21D1"/>
    <w:rsid w:val="00BB27C2"/>
    <w:rsid w:val="00BB32F2"/>
    <w:rsid w:val="00BB36BB"/>
    <w:rsid w:val="00BB397D"/>
    <w:rsid w:val="00BB3F54"/>
    <w:rsid w:val="00BB3F98"/>
    <w:rsid w:val="00BB411E"/>
    <w:rsid w:val="00BB4338"/>
    <w:rsid w:val="00BB44E3"/>
    <w:rsid w:val="00BB54FA"/>
    <w:rsid w:val="00BB5E5F"/>
    <w:rsid w:val="00BB6C0E"/>
    <w:rsid w:val="00BB7B38"/>
    <w:rsid w:val="00BC0B1A"/>
    <w:rsid w:val="00BC0E74"/>
    <w:rsid w:val="00BC0E87"/>
    <w:rsid w:val="00BC1019"/>
    <w:rsid w:val="00BC11E5"/>
    <w:rsid w:val="00BC16DB"/>
    <w:rsid w:val="00BC30CF"/>
    <w:rsid w:val="00BC3BD6"/>
    <w:rsid w:val="00BC4BC6"/>
    <w:rsid w:val="00BC52FD"/>
    <w:rsid w:val="00BC6434"/>
    <w:rsid w:val="00BC6E62"/>
    <w:rsid w:val="00BC733C"/>
    <w:rsid w:val="00BC7443"/>
    <w:rsid w:val="00BD015A"/>
    <w:rsid w:val="00BD0648"/>
    <w:rsid w:val="00BD1040"/>
    <w:rsid w:val="00BD34AA"/>
    <w:rsid w:val="00BD44E3"/>
    <w:rsid w:val="00BD49E7"/>
    <w:rsid w:val="00BD503B"/>
    <w:rsid w:val="00BD7716"/>
    <w:rsid w:val="00BE04D1"/>
    <w:rsid w:val="00BE0C44"/>
    <w:rsid w:val="00BE1B8B"/>
    <w:rsid w:val="00BE28CC"/>
    <w:rsid w:val="00BE2A18"/>
    <w:rsid w:val="00BE2C01"/>
    <w:rsid w:val="00BE2F31"/>
    <w:rsid w:val="00BE3CB1"/>
    <w:rsid w:val="00BE41EC"/>
    <w:rsid w:val="00BE485B"/>
    <w:rsid w:val="00BE4FD3"/>
    <w:rsid w:val="00BE56FB"/>
    <w:rsid w:val="00BE62DC"/>
    <w:rsid w:val="00BE7E21"/>
    <w:rsid w:val="00BF065C"/>
    <w:rsid w:val="00BF2BF3"/>
    <w:rsid w:val="00BF3400"/>
    <w:rsid w:val="00BF3C37"/>
    <w:rsid w:val="00BF3DDE"/>
    <w:rsid w:val="00BF43A4"/>
    <w:rsid w:val="00BF528F"/>
    <w:rsid w:val="00BF5AAE"/>
    <w:rsid w:val="00BF6589"/>
    <w:rsid w:val="00BF6F7F"/>
    <w:rsid w:val="00C004B4"/>
    <w:rsid w:val="00C00647"/>
    <w:rsid w:val="00C02764"/>
    <w:rsid w:val="00C04C1A"/>
    <w:rsid w:val="00C04CEF"/>
    <w:rsid w:val="00C058CD"/>
    <w:rsid w:val="00C0662F"/>
    <w:rsid w:val="00C11943"/>
    <w:rsid w:val="00C12E96"/>
    <w:rsid w:val="00C14763"/>
    <w:rsid w:val="00C14C55"/>
    <w:rsid w:val="00C16141"/>
    <w:rsid w:val="00C1636C"/>
    <w:rsid w:val="00C16421"/>
    <w:rsid w:val="00C17203"/>
    <w:rsid w:val="00C20CA9"/>
    <w:rsid w:val="00C2363F"/>
    <w:rsid w:val="00C236C8"/>
    <w:rsid w:val="00C2431E"/>
    <w:rsid w:val="00C260B1"/>
    <w:rsid w:val="00C263AE"/>
    <w:rsid w:val="00C26E56"/>
    <w:rsid w:val="00C30C98"/>
    <w:rsid w:val="00C31406"/>
    <w:rsid w:val="00C31BF8"/>
    <w:rsid w:val="00C32558"/>
    <w:rsid w:val="00C33BBC"/>
    <w:rsid w:val="00C33DAA"/>
    <w:rsid w:val="00C37194"/>
    <w:rsid w:val="00C400EB"/>
    <w:rsid w:val="00C4023D"/>
    <w:rsid w:val="00C40637"/>
    <w:rsid w:val="00C409C1"/>
    <w:rsid w:val="00C40F6C"/>
    <w:rsid w:val="00C416FD"/>
    <w:rsid w:val="00C4349D"/>
    <w:rsid w:val="00C43821"/>
    <w:rsid w:val="00C44293"/>
    <w:rsid w:val="00C44426"/>
    <w:rsid w:val="00C445F3"/>
    <w:rsid w:val="00C44ECA"/>
    <w:rsid w:val="00C451F4"/>
    <w:rsid w:val="00C45EB1"/>
    <w:rsid w:val="00C462DD"/>
    <w:rsid w:val="00C478B5"/>
    <w:rsid w:val="00C5074A"/>
    <w:rsid w:val="00C50E47"/>
    <w:rsid w:val="00C51708"/>
    <w:rsid w:val="00C54A3A"/>
    <w:rsid w:val="00C553F8"/>
    <w:rsid w:val="00C55566"/>
    <w:rsid w:val="00C56448"/>
    <w:rsid w:val="00C60EAF"/>
    <w:rsid w:val="00C614EB"/>
    <w:rsid w:val="00C6318E"/>
    <w:rsid w:val="00C634EF"/>
    <w:rsid w:val="00C643EE"/>
    <w:rsid w:val="00C65671"/>
    <w:rsid w:val="00C667BE"/>
    <w:rsid w:val="00C67410"/>
    <w:rsid w:val="00C6766B"/>
    <w:rsid w:val="00C72223"/>
    <w:rsid w:val="00C7349C"/>
    <w:rsid w:val="00C76417"/>
    <w:rsid w:val="00C76D96"/>
    <w:rsid w:val="00C7726F"/>
    <w:rsid w:val="00C77664"/>
    <w:rsid w:val="00C8005D"/>
    <w:rsid w:val="00C8203C"/>
    <w:rsid w:val="00C823DA"/>
    <w:rsid w:val="00C8259F"/>
    <w:rsid w:val="00C82616"/>
    <w:rsid w:val="00C82746"/>
    <w:rsid w:val="00C8312F"/>
    <w:rsid w:val="00C84C47"/>
    <w:rsid w:val="00C858A4"/>
    <w:rsid w:val="00C85FAE"/>
    <w:rsid w:val="00C8669B"/>
    <w:rsid w:val="00C86AFA"/>
    <w:rsid w:val="00C8734A"/>
    <w:rsid w:val="00C91CCD"/>
    <w:rsid w:val="00C94A29"/>
    <w:rsid w:val="00C953CF"/>
    <w:rsid w:val="00C96DD2"/>
    <w:rsid w:val="00CA09FA"/>
    <w:rsid w:val="00CA1FF4"/>
    <w:rsid w:val="00CA24E6"/>
    <w:rsid w:val="00CA26A6"/>
    <w:rsid w:val="00CA3418"/>
    <w:rsid w:val="00CA5832"/>
    <w:rsid w:val="00CA5E3D"/>
    <w:rsid w:val="00CA6EC1"/>
    <w:rsid w:val="00CB1509"/>
    <w:rsid w:val="00CB1855"/>
    <w:rsid w:val="00CB18D0"/>
    <w:rsid w:val="00CB1C8A"/>
    <w:rsid w:val="00CB1ED0"/>
    <w:rsid w:val="00CB2066"/>
    <w:rsid w:val="00CB24F5"/>
    <w:rsid w:val="00CB2663"/>
    <w:rsid w:val="00CB3A1E"/>
    <w:rsid w:val="00CB3BBE"/>
    <w:rsid w:val="00CB59E9"/>
    <w:rsid w:val="00CB70AE"/>
    <w:rsid w:val="00CB72F8"/>
    <w:rsid w:val="00CC0214"/>
    <w:rsid w:val="00CC066C"/>
    <w:rsid w:val="00CC0BAC"/>
    <w:rsid w:val="00CC0D6A"/>
    <w:rsid w:val="00CC14BA"/>
    <w:rsid w:val="00CC16DC"/>
    <w:rsid w:val="00CC1FC5"/>
    <w:rsid w:val="00CC3831"/>
    <w:rsid w:val="00CC3E3D"/>
    <w:rsid w:val="00CC3F34"/>
    <w:rsid w:val="00CC3F97"/>
    <w:rsid w:val="00CC4471"/>
    <w:rsid w:val="00CC519B"/>
    <w:rsid w:val="00CC668B"/>
    <w:rsid w:val="00CC7C80"/>
    <w:rsid w:val="00CD12C1"/>
    <w:rsid w:val="00CD1C57"/>
    <w:rsid w:val="00CD214E"/>
    <w:rsid w:val="00CD46FA"/>
    <w:rsid w:val="00CD4DC2"/>
    <w:rsid w:val="00CD5973"/>
    <w:rsid w:val="00CD79CA"/>
    <w:rsid w:val="00CE033B"/>
    <w:rsid w:val="00CE037F"/>
    <w:rsid w:val="00CE0CC4"/>
    <w:rsid w:val="00CE1ED0"/>
    <w:rsid w:val="00CE28B6"/>
    <w:rsid w:val="00CE2ADF"/>
    <w:rsid w:val="00CE2B82"/>
    <w:rsid w:val="00CE31A6"/>
    <w:rsid w:val="00CE582C"/>
    <w:rsid w:val="00CF09AA"/>
    <w:rsid w:val="00CF1F27"/>
    <w:rsid w:val="00CF31BF"/>
    <w:rsid w:val="00CF3517"/>
    <w:rsid w:val="00CF4813"/>
    <w:rsid w:val="00CF5233"/>
    <w:rsid w:val="00CF748B"/>
    <w:rsid w:val="00D00FE7"/>
    <w:rsid w:val="00D0101C"/>
    <w:rsid w:val="00D01B17"/>
    <w:rsid w:val="00D02437"/>
    <w:rsid w:val="00D024D4"/>
    <w:rsid w:val="00D029B8"/>
    <w:rsid w:val="00D02F60"/>
    <w:rsid w:val="00D03D2B"/>
    <w:rsid w:val="00D0464E"/>
    <w:rsid w:val="00D04A96"/>
    <w:rsid w:val="00D05002"/>
    <w:rsid w:val="00D051FD"/>
    <w:rsid w:val="00D07A7B"/>
    <w:rsid w:val="00D10E06"/>
    <w:rsid w:val="00D12E27"/>
    <w:rsid w:val="00D12F88"/>
    <w:rsid w:val="00D145F1"/>
    <w:rsid w:val="00D15197"/>
    <w:rsid w:val="00D15A78"/>
    <w:rsid w:val="00D16362"/>
    <w:rsid w:val="00D16820"/>
    <w:rsid w:val="00D169C8"/>
    <w:rsid w:val="00D1793F"/>
    <w:rsid w:val="00D2048A"/>
    <w:rsid w:val="00D22274"/>
    <w:rsid w:val="00D22679"/>
    <w:rsid w:val="00D22AF5"/>
    <w:rsid w:val="00D235EA"/>
    <w:rsid w:val="00D247A9"/>
    <w:rsid w:val="00D2622C"/>
    <w:rsid w:val="00D271CB"/>
    <w:rsid w:val="00D3003F"/>
    <w:rsid w:val="00D3110B"/>
    <w:rsid w:val="00D32721"/>
    <w:rsid w:val="00D3281F"/>
    <w:rsid w:val="00D328DC"/>
    <w:rsid w:val="00D33387"/>
    <w:rsid w:val="00D402FB"/>
    <w:rsid w:val="00D4104F"/>
    <w:rsid w:val="00D417EB"/>
    <w:rsid w:val="00D42790"/>
    <w:rsid w:val="00D42F3D"/>
    <w:rsid w:val="00D4485D"/>
    <w:rsid w:val="00D46445"/>
    <w:rsid w:val="00D46809"/>
    <w:rsid w:val="00D469F2"/>
    <w:rsid w:val="00D476B7"/>
    <w:rsid w:val="00D47D7A"/>
    <w:rsid w:val="00D505E9"/>
    <w:rsid w:val="00D50ABD"/>
    <w:rsid w:val="00D51421"/>
    <w:rsid w:val="00D51621"/>
    <w:rsid w:val="00D52982"/>
    <w:rsid w:val="00D52E1C"/>
    <w:rsid w:val="00D52E47"/>
    <w:rsid w:val="00D53CBD"/>
    <w:rsid w:val="00D54159"/>
    <w:rsid w:val="00D55290"/>
    <w:rsid w:val="00D55352"/>
    <w:rsid w:val="00D55763"/>
    <w:rsid w:val="00D56EC5"/>
    <w:rsid w:val="00D57791"/>
    <w:rsid w:val="00D57DFC"/>
    <w:rsid w:val="00D6046A"/>
    <w:rsid w:val="00D60DC7"/>
    <w:rsid w:val="00D61D93"/>
    <w:rsid w:val="00D620B9"/>
    <w:rsid w:val="00D62630"/>
    <w:rsid w:val="00D62870"/>
    <w:rsid w:val="00D62953"/>
    <w:rsid w:val="00D62D73"/>
    <w:rsid w:val="00D63DBC"/>
    <w:rsid w:val="00D655D9"/>
    <w:rsid w:val="00D65872"/>
    <w:rsid w:val="00D668BE"/>
    <w:rsid w:val="00D66B07"/>
    <w:rsid w:val="00D66C7D"/>
    <w:rsid w:val="00D676F3"/>
    <w:rsid w:val="00D7014B"/>
    <w:rsid w:val="00D70EF5"/>
    <w:rsid w:val="00D71024"/>
    <w:rsid w:val="00D713C4"/>
    <w:rsid w:val="00D715A5"/>
    <w:rsid w:val="00D71A25"/>
    <w:rsid w:val="00D71FCF"/>
    <w:rsid w:val="00D72A54"/>
    <w:rsid w:val="00D72CC1"/>
    <w:rsid w:val="00D72D69"/>
    <w:rsid w:val="00D74BA5"/>
    <w:rsid w:val="00D76EC9"/>
    <w:rsid w:val="00D771F2"/>
    <w:rsid w:val="00D774E2"/>
    <w:rsid w:val="00D8010C"/>
    <w:rsid w:val="00D80E7D"/>
    <w:rsid w:val="00D81397"/>
    <w:rsid w:val="00D81713"/>
    <w:rsid w:val="00D841B3"/>
    <w:rsid w:val="00D848B9"/>
    <w:rsid w:val="00D90E69"/>
    <w:rsid w:val="00D91368"/>
    <w:rsid w:val="00D93106"/>
    <w:rsid w:val="00D933E9"/>
    <w:rsid w:val="00D9505D"/>
    <w:rsid w:val="00D953D0"/>
    <w:rsid w:val="00D95744"/>
    <w:rsid w:val="00D959F5"/>
    <w:rsid w:val="00D96884"/>
    <w:rsid w:val="00D96E3C"/>
    <w:rsid w:val="00DA2F56"/>
    <w:rsid w:val="00DA3B45"/>
    <w:rsid w:val="00DA3FDD"/>
    <w:rsid w:val="00DA46AC"/>
    <w:rsid w:val="00DA4A02"/>
    <w:rsid w:val="00DA614D"/>
    <w:rsid w:val="00DA6215"/>
    <w:rsid w:val="00DA6DCB"/>
    <w:rsid w:val="00DA7017"/>
    <w:rsid w:val="00DA7028"/>
    <w:rsid w:val="00DA710C"/>
    <w:rsid w:val="00DA7D18"/>
    <w:rsid w:val="00DB1AD2"/>
    <w:rsid w:val="00DB2A02"/>
    <w:rsid w:val="00DB2B58"/>
    <w:rsid w:val="00DB3FF7"/>
    <w:rsid w:val="00DB428A"/>
    <w:rsid w:val="00DB473A"/>
    <w:rsid w:val="00DB5206"/>
    <w:rsid w:val="00DB54AB"/>
    <w:rsid w:val="00DB6195"/>
    <w:rsid w:val="00DB6276"/>
    <w:rsid w:val="00DB63F5"/>
    <w:rsid w:val="00DB684E"/>
    <w:rsid w:val="00DC04CF"/>
    <w:rsid w:val="00DC1C6B"/>
    <w:rsid w:val="00DC26A5"/>
    <w:rsid w:val="00DC2C2E"/>
    <w:rsid w:val="00DC4AF0"/>
    <w:rsid w:val="00DC50DB"/>
    <w:rsid w:val="00DC7886"/>
    <w:rsid w:val="00DC7D7C"/>
    <w:rsid w:val="00DD0CF2"/>
    <w:rsid w:val="00DD20DC"/>
    <w:rsid w:val="00DD2795"/>
    <w:rsid w:val="00DD5356"/>
    <w:rsid w:val="00DD6393"/>
    <w:rsid w:val="00DD6959"/>
    <w:rsid w:val="00DD6B91"/>
    <w:rsid w:val="00DE0169"/>
    <w:rsid w:val="00DE1554"/>
    <w:rsid w:val="00DE2901"/>
    <w:rsid w:val="00DE31BD"/>
    <w:rsid w:val="00DE590F"/>
    <w:rsid w:val="00DE6C60"/>
    <w:rsid w:val="00DE7DC1"/>
    <w:rsid w:val="00DF019B"/>
    <w:rsid w:val="00DF0646"/>
    <w:rsid w:val="00DF0715"/>
    <w:rsid w:val="00DF0C34"/>
    <w:rsid w:val="00DF29C3"/>
    <w:rsid w:val="00DF347D"/>
    <w:rsid w:val="00DF3DF3"/>
    <w:rsid w:val="00DF3F7E"/>
    <w:rsid w:val="00DF4D9C"/>
    <w:rsid w:val="00DF6A08"/>
    <w:rsid w:val="00DF7648"/>
    <w:rsid w:val="00E00E29"/>
    <w:rsid w:val="00E023E4"/>
    <w:rsid w:val="00E02BAB"/>
    <w:rsid w:val="00E03F0B"/>
    <w:rsid w:val="00E040B7"/>
    <w:rsid w:val="00E04CEB"/>
    <w:rsid w:val="00E060BC"/>
    <w:rsid w:val="00E071BA"/>
    <w:rsid w:val="00E07634"/>
    <w:rsid w:val="00E07A87"/>
    <w:rsid w:val="00E10A96"/>
    <w:rsid w:val="00E10E1B"/>
    <w:rsid w:val="00E10EAB"/>
    <w:rsid w:val="00E11420"/>
    <w:rsid w:val="00E11B62"/>
    <w:rsid w:val="00E132FB"/>
    <w:rsid w:val="00E1655F"/>
    <w:rsid w:val="00E170B7"/>
    <w:rsid w:val="00E177DD"/>
    <w:rsid w:val="00E17990"/>
    <w:rsid w:val="00E20900"/>
    <w:rsid w:val="00E20C7F"/>
    <w:rsid w:val="00E21376"/>
    <w:rsid w:val="00E2204A"/>
    <w:rsid w:val="00E22538"/>
    <w:rsid w:val="00E22CF4"/>
    <w:rsid w:val="00E23427"/>
    <w:rsid w:val="00E2396E"/>
    <w:rsid w:val="00E2410F"/>
    <w:rsid w:val="00E246D9"/>
    <w:rsid w:val="00E24728"/>
    <w:rsid w:val="00E25557"/>
    <w:rsid w:val="00E2639E"/>
    <w:rsid w:val="00E276AC"/>
    <w:rsid w:val="00E30A10"/>
    <w:rsid w:val="00E31EB4"/>
    <w:rsid w:val="00E31F4D"/>
    <w:rsid w:val="00E32B49"/>
    <w:rsid w:val="00E32BB6"/>
    <w:rsid w:val="00E335B4"/>
    <w:rsid w:val="00E3364E"/>
    <w:rsid w:val="00E34A35"/>
    <w:rsid w:val="00E35BCE"/>
    <w:rsid w:val="00E36483"/>
    <w:rsid w:val="00E370C8"/>
    <w:rsid w:val="00E37C2F"/>
    <w:rsid w:val="00E4021B"/>
    <w:rsid w:val="00E41204"/>
    <w:rsid w:val="00E41BC7"/>
    <w:rsid w:val="00E41C28"/>
    <w:rsid w:val="00E426D8"/>
    <w:rsid w:val="00E4321C"/>
    <w:rsid w:val="00E44A70"/>
    <w:rsid w:val="00E44C8E"/>
    <w:rsid w:val="00E45E22"/>
    <w:rsid w:val="00E46308"/>
    <w:rsid w:val="00E46B79"/>
    <w:rsid w:val="00E47970"/>
    <w:rsid w:val="00E47D03"/>
    <w:rsid w:val="00E50491"/>
    <w:rsid w:val="00E50753"/>
    <w:rsid w:val="00E50BC1"/>
    <w:rsid w:val="00E51436"/>
    <w:rsid w:val="00E51E17"/>
    <w:rsid w:val="00E52D82"/>
    <w:rsid w:val="00E52DAB"/>
    <w:rsid w:val="00E539B0"/>
    <w:rsid w:val="00E53FC3"/>
    <w:rsid w:val="00E55994"/>
    <w:rsid w:val="00E56064"/>
    <w:rsid w:val="00E60606"/>
    <w:rsid w:val="00E606DD"/>
    <w:rsid w:val="00E60C66"/>
    <w:rsid w:val="00E61464"/>
    <w:rsid w:val="00E6164D"/>
    <w:rsid w:val="00E6173A"/>
    <w:rsid w:val="00E618C9"/>
    <w:rsid w:val="00E6243C"/>
    <w:rsid w:val="00E62774"/>
    <w:rsid w:val="00E6307C"/>
    <w:rsid w:val="00E63326"/>
    <w:rsid w:val="00E6349F"/>
    <w:rsid w:val="00E636FA"/>
    <w:rsid w:val="00E665B8"/>
    <w:rsid w:val="00E66C50"/>
    <w:rsid w:val="00E67900"/>
    <w:rsid w:val="00E679D3"/>
    <w:rsid w:val="00E7031C"/>
    <w:rsid w:val="00E71208"/>
    <w:rsid w:val="00E71444"/>
    <w:rsid w:val="00E71C91"/>
    <w:rsid w:val="00E71D12"/>
    <w:rsid w:val="00E7207B"/>
    <w:rsid w:val="00E720A1"/>
    <w:rsid w:val="00E73E8B"/>
    <w:rsid w:val="00E75951"/>
    <w:rsid w:val="00E75DDA"/>
    <w:rsid w:val="00E766EA"/>
    <w:rsid w:val="00E767E2"/>
    <w:rsid w:val="00E7722E"/>
    <w:rsid w:val="00E773E8"/>
    <w:rsid w:val="00E82500"/>
    <w:rsid w:val="00E83ADD"/>
    <w:rsid w:val="00E83FC9"/>
    <w:rsid w:val="00E84F38"/>
    <w:rsid w:val="00E85623"/>
    <w:rsid w:val="00E85D5B"/>
    <w:rsid w:val="00E85DA0"/>
    <w:rsid w:val="00E87441"/>
    <w:rsid w:val="00E87A5D"/>
    <w:rsid w:val="00E905C1"/>
    <w:rsid w:val="00E90D38"/>
    <w:rsid w:val="00E918BC"/>
    <w:rsid w:val="00E91FAE"/>
    <w:rsid w:val="00E92DBD"/>
    <w:rsid w:val="00E92DFC"/>
    <w:rsid w:val="00E937EF"/>
    <w:rsid w:val="00E94164"/>
    <w:rsid w:val="00E96E3F"/>
    <w:rsid w:val="00E97060"/>
    <w:rsid w:val="00EA0FED"/>
    <w:rsid w:val="00EA218B"/>
    <w:rsid w:val="00EA23DB"/>
    <w:rsid w:val="00EA24F8"/>
    <w:rsid w:val="00EA270C"/>
    <w:rsid w:val="00EA2EEB"/>
    <w:rsid w:val="00EA4557"/>
    <w:rsid w:val="00EA4974"/>
    <w:rsid w:val="00EA532E"/>
    <w:rsid w:val="00EA76FF"/>
    <w:rsid w:val="00EB06D9"/>
    <w:rsid w:val="00EB192B"/>
    <w:rsid w:val="00EB19ED"/>
    <w:rsid w:val="00EB1CAB"/>
    <w:rsid w:val="00EB209F"/>
    <w:rsid w:val="00EB275C"/>
    <w:rsid w:val="00EB62C1"/>
    <w:rsid w:val="00EB74B4"/>
    <w:rsid w:val="00EC0F5A"/>
    <w:rsid w:val="00EC359D"/>
    <w:rsid w:val="00EC4265"/>
    <w:rsid w:val="00EC4CEB"/>
    <w:rsid w:val="00EC4D31"/>
    <w:rsid w:val="00EC659E"/>
    <w:rsid w:val="00ED0037"/>
    <w:rsid w:val="00ED2072"/>
    <w:rsid w:val="00ED2716"/>
    <w:rsid w:val="00ED2AE0"/>
    <w:rsid w:val="00ED377B"/>
    <w:rsid w:val="00ED3A70"/>
    <w:rsid w:val="00ED5540"/>
    <w:rsid w:val="00ED5553"/>
    <w:rsid w:val="00ED58EC"/>
    <w:rsid w:val="00ED5E36"/>
    <w:rsid w:val="00ED6961"/>
    <w:rsid w:val="00ED7B7C"/>
    <w:rsid w:val="00EE0377"/>
    <w:rsid w:val="00EE2C11"/>
    <w:rsid w:val="00EE58FB"/>
    <w:rsid w:val="00EE787E"/>
    <w:rsid w:val="00EE7A56"/>
    <w:rsid w:val="00EF06CB"/>
    <w:rsid w:val="00EF07C2"/>
    <w:rsid w:val="00EF07DC"/>
    <w:rsid w:val="00EF0B96"/>
    <w:rsid w:val="00EF3486"/>
    <w:rsid w:val="00EF3A15"/>
    <w:rsid w:val="00EF47AF"/>
    <w:rsid w:val="00EF53B6"/>
    <w:rsid w:val="00EF5428"/>
    <w:rsid w:val="00EF67C8"/>
    <w:rsid w:val="00EF7D82"/>
    <w:rsid w:val="00F0014B"/>
    <w:rsid w:val="00F00B73"/>
    <w:rsid w:val="00F02C9D"/>
    <w:rsid w:val="00F033FA"/>
    <w:rsid w:val="00F05D31"/>
    <w:rsid w:val="00F0648D"/>
    <w:rsid w:val="00F06B03"/>
    <w:rsid w:val="00F07DD9"/>
    <w:rsid w:val="00F11284"/>
    <w:rsid w:val="00F115CA"/>
    <w:rsid w:val="00F1190C"/>
    <w:rsid w:val="00F11D49"/>
    <w:rsid w:val="00F12B8D"/>
    <w:rsid w:val="00F14817"/>
    <w:rsid w:val="00F1488D"/>
    <w:rsid w:val="00F148F2"/>
    <w:rsid w:val="00F14BCF"/>
    <w:rsid w:val="00F14EBA"/>
    <w:rsid w:val="00F1510F"/>
    <w:rsid w:val="00F1533A"/>
    <w:rsid w:val="00F15E5A"/>
    <w:rsid w:val="00F1684D"/>
    <w:rsid w:val="00F17F0A"/>
    <w:rsid w:val="00F2091C"/>
    <w:rsid w:val="00F21A82"/>
    <w:rsid w:val="00F224B5"/>
    <w:rsid w:val="00F22843"/>
    <w:rsid w:val="00F24BB9"/>
    <w:rsid w:val="00F2637D"/>
    <w:rsid w:val="00F2668F"/>
    <w:rsid w:val="00F26ABD"/>
    <w:rsid w:val="00F2742F"/>
    <w:rsid w:val="00F2753B"/>
    <w:rsid w:val="00F30F31"/>
    <w:rsid w:val="00F319BE"/>
    <w:rsid w:val="00F33F8B"/>
    <w:rsid w:val="00F340B2"/>
    <w:rsid w:val="00F366AC"/>
    <w:rsid w:val="00F41F82"/>
    <w:rsid w:val="00F428AF"/>
    <w:rsid w:val="00F432A9"/>
    <w:rsid w:val="00F43390"/>
    <w:rsid w:val="00F43433"/>
    <w:rsid w:val="00F439D6"/>
    <w:rsid w:val="00F43AE3"/>
    <w:rsid w:val="00F443B2"/>
    <w:rsid w:val="00F45663"/>
    <w:rsid w:val="00F458D8"/>
    <w:rsid w:val="00F4598A"/>
    <w:rsid w:val="00F4614F"/>
    <w:rsid w:val="00F478C6"/>
    <w:rsid w:val="00F50237"/>
    <w:rsid w:val="00F50C1A"/>
    <w:rsid w:val="00F50FB1"/>
    <w:rsid w:val="00F517B5"/>
    <w:rsid w:val="00F51E65"/>
    <w:rsid w:val="00F51EA9"/>
    <w:rsid w:val="00F53596"/>
    <w:rsid w:val="00F549E9"/>
    <w:rsid w:val="00F54E8A"/>
    <w:rsid w:val="00F55861"/>
    <w:rsid w:val="00F55BA8"/>
    <w:rsid w:val="00F55DB1"/>
    <w:rsid w:val="00F56ACA"/>
    <w:rsid w:val="00F57B45"/>
    <w:rsid w:val="00F600FE"/>
    <w:rsid w:val="00F6155C"/>
    <w:rsid w:val="00F62E4D"/>
    <w:rsid w:val="00F656C3"/>
    <w:rsid w:val="00F66B34"/>
    <w:rsid w:val="00F66C29"/>
    <w:rsid w:val="00F675B9"/>
    <w:rsid w:val="00F7029C"/>
    <w:rsid w:val="00F7087F"/>
    <w:rsid w:val="00F711C9"/>
    <w:rsid w:val="00F7144D"/>
    <w:rsid w:val="00F714B6"/>
    <w:rsid w:val="00F726DA"/>
    <w:rsid w:val="00F72869"/>
    <w:rsid w:val="00F72B20"/>
    <w:rsid w:val="00F72FBC"/>
    <w:rsid w:val="00F73DFC"/>
    <w:rsid w:val="00F746F3"/>
    <w:rsid w:val="00F74C59"/>
    <w:rsid w:val="00F75C3A"/>
    <w:rsid w:val="00F7764D"/>
    <w:rsid w:val="00F8000A"/>
    <w:rsid w:val="00F80C46"/>
    <w:rsid w:val="00F82E30"/>
    <w:rsid w:val="00F831CB"/>
    <w:rsid w:val="00F8339E"/>
    <w:rsid w:val="00F834F5"/>
    <w:rsid w:val="00F848A3"/>
    <w:rsid w:val="00F84ACF"/>
    <w:rsid w:val="00F84FC7"/>
    <w:rsid w:val="00F85742"/>
    <w:rsid w:val="00F85BF8"/>
    <w:rsid w:val="00F8656B"/>
    <w:rsid w:val="00F871CE"/>
    <w:rsid w:val="00F875AC"/>
    <w:rsid w:val="00F87802"/>
    <w:rsid w:val="00F87E93"/>
    <w:rsid w:val="00F92C0A"/>
    <w:rsid w:val="00F936D2"/>
    <w:rsid w:val="00F9415B"/>
    <w:rsid w:val="00F94AD5"/>
    <w:rsid w:val="00F956BF"/>
    <w:rsid w:val="00FA0337"/>
    <w:rsid w:val="00FA13C2"/>
    <w:rsid w:val="00FA37F8"/>
    <w:rsid w:val="00FA4382"/>
    <w:rsid w:val="00FA5923"/>
    <w:rsid w:val="00FA5EC2"/>
    <w:rsid w:val="00FA684E"/>
    <w:rsid w:val="00FA7286"/>
    <w:rsid w:val="00FA7F91"/>
    <w:rsid w:val="00FB121C"/>
    <w:rsid w:val="00FB1CDD"/>
    <w:rsid w:val="00FB1FBF"/>
    <w:rsid w:val="00FB2C2F"/>
    <w:rsid w:val="00FB305C"/>
    <w:rsid w:val="00FB471A"/>
    <w:rsid w:val="00FB7252"/>
    <w:rsid w:val="00FC06CA"/>
    <w:rsid w:val="00FC2E3D"/>
    <w:rsid w:val="00FC3A2F"/>
    <w:rsid w:val="00FC3BDE"/>
    <w:rsid w:val="00FC422A"/>
    <w:rsid w:val="00FC61B1"/>
    <w:rsid w:val="00FC69F1"/>
    <w:rsid w:val="00FD1DBE"/>
    <w:rsid w:val="00FD25A7"/>
    <w:rsid w:val="00FD27B6"/>
    <w:rsid w:val="00FD2EC4"/>
    <w:rsid w:val="00FD3160"/>
    <w:rsid w:val="00FD3689"/>
    <w:rsid w:val="00FD3D44"/>
    <w:rsid w:val="00FD42A3"/>
    <w:rsid w:val="00FD4600"/>
    <w:rsid w:val="00FD5645"/>
    <w:rsid w:val="00FD7468"/>
    <w:rsid w:val="00FD790A"/>
    <w:rsid w:val="00FD7CE0"/>
    <w:rsid w:val="00FE0B3B"/>
    <w:rsid w:val="00FE1358"/>
    <w:rsid w:val="00FE1BE2"/>
    <w:rsid w:val="00FE418E"/>
    <w:rsid w:val="00FE4F9E"/>
    <w:rsid w:val="00FE58F7"/>
    <w:rsid w:val="00FE6340"/>
    <w:rsid w:val="00FE66BE"/>
    <w:rsid w:val="00FE6DE4"/>
    <w:rsid w:val="00FE730A"/>
    <w:rsid w:val="00FF0963"/>
    <w:rsid w:val="00FF0D59"/>
    <w:rsid w:val="00FF13FE"/>
    <w:rsid w:val="00FF1DD7"/>
    <w:rsid w:val="00FF2486"/>
    <w:rsid w:val="00FF4453"/>
    <w:rsid w:val="00FF6B93"/>
    <w:rsid w:val="00FF7DBF"/>
  </w:rsids>
  <m:mathPr>
    <m:mathFont m:val="Cambria Math"/>
    <m:brkBin m:val="before"/>
    <m:brkBinSub m:val="--"/>
    <m:smallFrac/>
    <m:dispDef/>
    <m:lMargin m:val="0"/>
    <m:rMargin m:val="0"/>
    <m:defJc m:val="centerGroup"/>
    <m:wrapIndent m:val="1440"/>
    <m:intLim m:val="subSup"/>
    <m:naryLim m:val="undOvr"/>
  </m:mathPr>
  <w:themeFontLang w:val="pl-PL" w:bidi="as-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E9218B"/>
  <w15:docId w15:val="{0F5F9FD1-BE35-4347-A519-C226DCCC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uiPriority="0"/>
    <w:lsdException w:name="header" w:uiPriority="0"/>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uiPriority="0"/>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iPriority="0"/>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uiPriority="21" w:qFormat="1"/>
    <w:lsdException w:name="Subtle Reference" w:semiHidden="1"/>
    <w:lsdException w:name="Intense Reference" w:semiHidden="1" w:uiPriority="32" w:qFormat="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ny">
    <w:name w:val="Normal"/>
    <w:qFormat/>
    <w:rsid w:val="00011172"/>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gwek1">
    <w:name w:val="heading 1"/>
    <w:basedOn w:val="Normalny"/>
    <w:next w:val="Normalny"/>
    <w:link w:val="Nagwek1Znak"/>
    <w:uiPriority w:val="99"/>
    <w:qFormat/>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semiHidden/>
    <w:unhideWhenUsed/>
    <w:qFormat/>
    <w:rsid w:val="0001117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link w:val="Nagwek3Znak"/>
    <w:uiPriority w:val="9"/>
    <w:semiHidden/>
    <w:unhideWhenUsed/>
    <w:qFormat/>
    <w:rsid w:val="00011172"/>
    <w:pPr>
      <w:keepNext/>
      <w:keepLines/>
      <w:spacing w:before="160" w:after="80"/>
      <w:outlineLvl w:val="2"/>
    </w:pPr>
    <w:rPr>
      <w:rFonts w:eastAsiaTheme="majorEastAsia" w:cstheme="majorBidi"/>
      <w:color w:val="365F91" w:themeColor="accent1" w:themeShade="BF"/>
      <w:sz w:val="28"/>
      <w:szCs w:val="28"/>
    </w:rPr>
  </w:style>
  <w:style w:type="paragraph" w:styleId="Nagwek4">
    <w:name w:val="heading 4"/>
    <w:basedOn w:val="Normalny"/>
    <w:next w:val="Normalny"/>
    <w:link w:val="Nagwek4Znak"/>
    <w:uiPriority w:val="9"/>
    <w:semiHidden/>
    <w:unhideWhenUsed/>
    <w:qFormat/>
    <w:rsid w:val="00011172"/>
    <w:pPr>
      <w:keepNext/>
      <w:keepLines/>
      <w:spacing w:before="80" w:after="40"/>
      <w:outlineLvl w:val="3"/>
    </w:pPr>
    <w:rPr>
      <w:rFonts w:eastAsiaTheme="majorEastAsia" w:cstheme="majorBidi"/>
      <w:i/>
      <w:iCs/>
      <w:color w:val="365F91" w:themeColor="accent1" w:themeShade="BF"/>
    </w:rPr>
  </w:style>
  <w:style w:type="paragraph" w:styleId="Nagwek5">
    <w:name w:val="heading 5"/>
    <w:basedOn w:val="Normalny"/>
    <w:next w:val="Normalny"/>
    <w:link w:val="Nagwek5Znak"/>
    <w:uiPriority w:val="9"/>
    <w:semiHidden/>
    <w:unhideWhenUsed/>
    <w:qFormat/>
    <w:rsid w:val="00011172"/>
    <w:pPr>
      <w:keepNext/>
      <w:keepLines/>
      <w:spacing w:before="80" w:after="40"/>
      <w:outlineLvl w:val="4"/>
    </w:pPr>
    <w:rPr>
      <w:rFonts w:eastAsiaTheme="majorEastAsia" w:cstheme="majorBidi"/>
      <w:color w:val="365F91" w:themeColor="accent1" w:themeShade="BF"/>
    </w:rPr>
  </w:style>
  <w:style w:type="paragraph" w:styleId="Nagwek6">
    <w:name w:val="heading 6"/>
    <w:basedOn w:val="Normalny"/>
    <w:next w:val="Normalny"/>
    <w:link w:val="Nagwek6Znak"/>
    <w:uiPriority w:val="9"/>
    <w:semiHidden/>
    <w:unhideWhenUsed/>
    <w:qFormat/>
    <w:rsid w:val="0001117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1117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1117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1117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uiPriority w:val="15"/>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qFormat/>
    <w:rsid w:val="006A748A"/>
    <w:pPr>
      <w:ind w:left="1893"/>
    </w:pPr>
  </w:style>
  <w:style w:type="paragraph" w:customStyle="1" w:styleId="ZTIRLITwPKTzmlitwpkttiret">
    <w:name w:val="Z_TIR/LIT_w_PKT – zm. lit. w pkt tiret"/>
    <w:basedOn w:val="LITlitera"/>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rsid w:val="00023F13"/>
    <w:rPr>
      <w:b/>
      <w:bCs/>
    </w:rPr>
  </w:style>
  <w:style w:type="character" w:customStyle="1" w:styleId="TematkomentarzaZnak">
    <w:name w:val="Temat komentarza Znak"/>
    <w:basedOn w:val="TekstkomentarzaZnak"/>
    <w:link w:val="Tematkomentarza"/>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15"/>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semiHidden/>
    <w:rsid w:val="00011172"/>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Nagwek3Znak">
    <w:name w:val="Nagłówek 3 Znak"/>
    <w:basedOn w:val="Domylnaczcionkaakapitu"/>
    <w:link w:val="Nagwek3"/>
    <w:uiPriority w:val="9"/>
    <w:semiHidden/>
    <w:rsid w:val="00011172"/>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Nagwek4Znak">
    <w:name w:val="Nagłówek 4 Znak"/>
    <w:basedOn w:val="Domylnaczcionkaakapitu"/>
    <w:link w:val="Nagwek4"/>
    <w:uiPriority w:val="9"/>
    <w:semiHidden/>
    <w:rsid w:val="00011172"/>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character" w:customStyle="1" w:styleId="Nagwek5Znak">
    <w:name w:val="Nagłówek 5 Znak"/>
    <w:basedOn w:val="Domylnaczcionkaakapitu"/>
    <w:link w:val="Nagwek5"/>
    <w:uiPriority w:val="9"/>
    <w:semiHidden/>
    <w:rsid w:val="00011172"/>
    <w:rPr>
      <w:rFonts w:asciiTheme="minorHAnsi" w:eastAsiaTheme="majorEastAsia" w:hAnsiTheme="minorHAnsi" w:cstheme="majorBidi"/>
      <w:color w:val="365F91" w:themeColor="accent1" w:themeShade="BF"/>
      <w:kern w:val="2"/>
      <w:sz w:val="22"/>
      <w:szCs w:val="22"/>
      <w:lang w:eastAsia="en-US"/>
      <w14:ligatures w14:val="standardContextual"/>
    </w:rPr>
  </w:style>
  <w:style w:type="character" w:customStyle="1" w:styleId="Nagwek6Znak">
    <w:name w:val="Nagłówek 6 Znak"/>
    <w:basedOn w:val="Domylnaczcionkaakapitu"/>
    <w:link w:val="Nagwek6"/>
    <w:uiPriority w:val="9"/>
    <w:semiHidden/>
    <w:rsid w:val="00011172"/>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Nagwek7Znak">
    <w:name w:val="Nagłówek 7 Znak"/>
    <w:basedOn w:val="Domylnaczcionkaakapitu"/>
    <w:link w:val="Nagwek7"/>
    <w:uiPriority w:val="9"/>
    <w:semiHidden/>
    <w:rsid w:val="00011172"/>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Nagwek8Znak">
    <w:name w:val="Nagłówek 8 Znak"/>
    <w:basedOn w:val="Domylnaczcionkaakapitu"/>
    <w:link w:val="Nagwek8"/>
    <w:uiPriority w:val="9"/>
    <w:semiHidden/>
    <w:rsid w:val="00011172"/>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Nagwek9Znak">
    <w:name w:val="Nagłówek 9 Znak"/>
    <w:basedOn w:val="Domylnaczcionkaakapitu"/>
    <w:link w:val="Nagwek9"/>
    <w:uiPriority w:val="9"/>
    <w:semiHidden/>
    <w:rsid w:val="00011172"/>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Tytu">
    <w:name w:val="Title"/>
    <w:basedOn w:val="Normalny"/>
    <w:next w:val="Normalny"/>
    <w:link w:val="TytuZnak"/>
    <w:uiPriority w:val="10"/>
    <w:qFormat/>
    <w:rsid w:val="00011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11172"/>
    <w:rPr>
      <w:rFonts w:asciiTheme="majorHAnsi" w:eastAsiaTheme="majorEastAsia" w:hAnsiTheme="majorHAnsi" w:cstheme="majorBidi"/>
      <w:spacing w:val="-10"/>
      <w:kern w:val="28"/>
      <w:sz w:val="56"/>
      <w:szCs w:val="56"/>
      <w:lang w:eastAsia="en-US"/>
      <w14:ligatures w14:val="standardContextual"/>
    </w:rPr>
  </w:style>
  <w:style w:type="paragraph" w:styleId="Podtytu">
    <w:name w:val="Subtitle"/>
    <w:basedOn w:val="Normalny"/>
    <w:next w:val="Normalny"/>
    <w:link w:val="PodtytuZnak"/>
    <w:uiPriority w:val="99"/>
    <w:qFormat/>
    <w:rsid w:val="0001117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99"/>
    <w:rsid w:val="00011172"/>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ytat">
    <w:name w:val="Quote"/>
    <w:basedOn w:val="Normalny"/>
    <w:next w:val="Normalny"/>
    <w:link w:val="CytatZnak"/>
    <w:uiPriority w:val="29"/>
    <w:qFormat/>
    <w:rsid w:val="00011172"/>
    <w:pPr>
      <w:spacing w:before="160"/>
      <w:jc w:val="center"/>
    </w:pPr>
    <w:rPr>
      <w:i/>
      <w:iCs/>
      <w:color w:val="404040" w:themeColor="text1" w:themeTint="BF"/>
    </w:rPr>
  </w:style>
  <w:style w:type="character" w:customStyle="1" w:styleId="CytatZnak">
    <w:name w:val="Cytat Znak"/>
    <w:basedOn w:val="Domylnaczcionkaakapitu"/>
    <w:link w:val="Cytat"/>
    <w:uiPriority w:val="29"/>
    <w:rsid w:val="00011172"/>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Akapitzlist">
    <w:name w:val="List Paragraph"/>
    <w:aliases w:val="aotm_załączniki,Styl moj,Akapit z listą1,Akapit z listą11,Bullet1,Table Legend,List Paragraph1,podpunkt ankietyy,5 - W tabeli,Bullet List,BulletPoints,Dot pt,F5 List Paragraph,No Spacing1,List Paragraph Char Char Char"/>
    <w:basedOn w:val="Normalny"/>
    <w:uiPriority w:val="34"/>
    <w:qFormat/>
    <w:rsid w:val="00011172"/>
    <w:pPr>
      <w:ind w:left="720"/>
      <w:contextualSpacing/>
    </w:pPr>
  </w:style>
  <w:style w:type="character" w:styleId="Wyrnienieintensywne">
    <w:name w:val="Intense Emphasis"/>
    <w:basedOn w:val="Domylnaczcionkaakapitu"/>
    <w:uiPriority w:val="21"/>
    <w:qFormat/>
    <w:rsid w:val="00011172"/>
    <w:rPr>
      <w:i/>
      <w:iCs/>
      <w:color w:val="365F91" w:themeColor="accent1" w:themeShade="BF"/>
    </w:rPr>
  </w:style>
  <w:style w:type="paragraph" w:styleId="Cytatintensywny">
    <w:name w:val="Intense Quote"/>
    <w:basedOn w:val="Normalny"/>
    <w:next w:val="Normalny"/>
    <w:link w:val="CytatintensywnyZnak"/>
    <w:uiPriority w:val="30"/>
    <w:qFormat/>
    <w:rsid w:val="0001117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ytatintensywnyZnak">
    <w:name w:val="Cytat intensywny Znak"/>
    <w:basedOn w:val="Domylnaczcionkaakapitu"/>
    <w:link w:val="Cytatintensywny"/>
    <w:uiPriority w:val="30"/>
    <w:rsid w:val="00011172"/>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Odwoanieintensywne">
    <w:name w:val="Intense Reference"/>
    <w:basedOn w:val="Domylnaczcionkaakapitu"/>
    <w:uiPriority w:val="32"/>
    <w:qFormat/>
    <w:rsid w:val="00011172"/>
    <w:rPr>
      <w:b/>
      <w:bCs/>
      <w:smallCaps/>
      <w:color w:val="365F91" w:themeColor="accent1" w:themeShade="BF"/>
      <w:spacing w:val="5"/>
    </w:rPr>
  </w:style>
  <w:style w:type="paragraph" w:styleId="Listapunktowana">
    <w:name w:val="List Bullet"/>
    <w:basedOn w:val="Normalny"/>
    <w:uiPriority w:val="99"/>
    <w:unhideWhenUsed/>
    <w:rsid w:val="00011172"/>
    <w:pPr>
      <w:widowControl w:val="0"/>
      <w:tabs>
        <w:tab w:val="num" w:pos="360"/>
      </w:tabs>
      <w:autoSpaceDE w:val="0"/>
      <w:autoSpaceDN w:val="0"/>
      <w:adjustRightInd w:val="0"/>
      <w:spacing w:after="0" w:line="360" w:lineRule="auto"/>
      <w:ind w:left="360" w:hanging="360"/>
      <w:contextualSpacing/>
    </w:pPr>
    <w:rPr>
      <w:rFonts w:ascii="Times New Roman" w:eastAsia="Times New Roman" w:hAnsi="Times New Roman" w:cs="Arial"/>
      <w:kern w:val="0"/>
      <w:sz w:val="24"/>
      <w:szCs w:val="20"/>
      <w:lang w:eastAsia="pl-PL"/>
      <w14:ligatures w14:val="none"/>
    </w:rPr>
  </w:style>
  <w:style w:type="paragraph" w:styleId="Tekstprzypisukocowego">
    <w:name w:val="endnote text"/>
    <w:basedOn w:val="Normalny"/>
    <w:link w:val="TekstprzypisukocowegoZnak"/>
    <w:uiPriority w:val="99"/>
    <w:semiHidden/>
    <w:unhideWhenUsed/>
    <w:rsid w:val="00011172"/>
    <w:pPr>
      <w:widowControl w:val="0"/>
      <w:autoSpaceDE w:val="0"/>
      <w:autoSpaceDN w:val="0"/>
      <w:adjustRightInd w:val="0"/>
      <w:spacing w:after="0" w:line="240" w:lineRule="auto"/>
    </w:pPr>
    <w:rPr>
      <w:rFonts w:ascii="Times New Roman" w:eastAsia="Times New Roman" w:hAnsi="Times New Roman" w:cs="Arial"/>
      <w:kern w:val="0"/>
      <w:sz w:val="20"/>
      <w:szCs w:val="20"/>
      <w:lang w:eastAsia="pl-PL"/>
      <w14:ligatures w14:val="none"/>
    </w:rPr>
  </w:style>
  <w:style w:type="character" w:customStyle="1" w:styleId="TekstprzypisukocowegoZnak">
    <w:name w:val="Tekst przypisu końcowego Znak"/>
    <w:basedOn w:val="Domylnaczcionkaakapitu"/>
    <w:link w:val="Tekstprzypisukocowego"/>
    <w:uiPriority w:val="99"/>
    <w:semiHidden/>
    <w:rsid w:val="00011172"/>
    <w:rPr>
      <w:rFonts w:ascii="Times New Roman" w:hAnsi="Times New Roman" w:cs="Arial"/>
      <w:sz w:val="20"/>
      <w:szCs w:val="20"/>
    </w:rPr>
  </w:style>
  <w:style w:type="character" w:styleId="Odwoanieprzypisukocowego">
    <w:name w:val="endnote reference"/>
    <w:basedOn w:val="Domylnaczcionkaakapitu"/>
    <w:uiPriority w:val="99"/>
    <w:semiHidden/>
    <w:unhideWhenUsed/>
    <w:rsid w:val="00011172"/>
    <w:rPr>
      <w:vertAlign w:val="superscript"/>
    </w:rPr>
  </w:style>
  <w:style w:type="character" w:styleId="Nierozpoznanawzmianka">
    <w:name w:val="Unresolved Mention"/>
    <w:basedOn w:val="Domylnaczcionkaakapitu"/>
    <w:rsid w:val="00011172"/>
    <w:rPr>
      <w:color w:val="605E5C"/>
      <w:shd w:val="clear" w:color="auto" w:fill="E1DFDD"/>
    </w:rPr>
  </w:style>
  <w:style w:type="character" w:styleId="Hipercze">
    <w:name w:val="Hyperlink"/>
    <w:basedOn w:val="Domylnaczcionkaakapitu"/>
    <w:uiPriority w:val="99"/>
    <w:unhideWhenUsed/>
    <w:rsid w:val="00011172"/>
    <w:rPr>
      <w:color w:val="0000FF" w:themeColor="hyperlink"/>
      <w:u w:val="single"/>
    </w:rPr>
  </w:style>
  <w:style w:type="paragraph" w:styleId="Poprawka">
    <w:name w:val="Revision"/>
    <w:hidden/>
    <w:uiPriority w:val="99"/>
    <w:semiHidden/>
    <w:rsid w:val="00011172"/>
    <w:pPr>
      <w:spacing w:line="240" w:lineRule="auto"/>
    </w:pPr>
    <w:rPr>
      <w:rFonts w:asciiTheme="minorHAnsi" w:eastAsiaTheme="minorHAnsi" w:hAnsiTheme="minorHAnsi" w:cstheme="minorBidi"/>
      <w:kern w:val="2"/>
      <w:sz w:val="22"/>
      <w:szCs w:val="22"/>
      <w:lang w:eastAsia="en-US"/>
      <w14:ligatures w14:val="standardContextual"/>
    </w:rPr>
  </w:style>
  <w:style w:type="table" w:styleId="rednialista2akcent1">
    <w:name w:val="Medium List 2 Accent 1"/>
    <w:basedOn w:val="Standardowy"/>
    <w:uiPriority w:val="66"/>
    <w:semiHidden/>
    <w:unhideWhenUsed/>
    <w:locked/>
    <w:rsid w:val="0001117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nyWeb">
    <w:name w:val="Normal (Web)"/>
    <w:basedOn w:val="Normalny"/>
    <w:uiPriority w:val="99"/>
    <w:semiHidden/>
    <w:unhideWhenUsed/>
    <w:rsid w:val="00011172"/>
    <w:rPr>
      <w:rFonts w:ascii="Times New Roman" w:hAnsi="Times New Roman" w:cs="Times New Roman"/>
      <w:sz w:val="24"/>
      <w:szCs w:val="24"/>
    </w:rPr>
  </w:style>
  <w:style w:type="character" w:styleId="UyteHipercze">
    <w:name w:val="FollowedHyperlink"/>
    <w:basedOn w:val="Domylnaczcionkaakapitu"/>
    <w:uiPriority w:val="99"/>
    <w:semiHidden/>
    <w:rsid w:val="005C20BB"/>
    <w:rPr>
      <w:color w:val="800080" w:themeColor="followedHyperlink"/>
      <w:u w:val="single"/>
    </w:rPr>
  </w:style>
  <w:style w:type="paragraph" w:customStyle="1" w:styleId="CommentSubject">
    <w:name w:val="Comment Subject"/>
    <w:basedOn w:val="Normalny"/>
    <w:next w:val="Normalny"/>
    <w:link w:val="CommentSubjectChar"/>
    <w:uiPriority w:val="99"/>
    <w:semiHidden/>
    <w:unhideWhenUsed/>
    <w:rsid w:val="00A1552E"/>
    <w:pPr>
      <w:spacing w:line="240" w:lineRule="auto"/>
    </w:pPr>
    <w:rPr>
      <w:b/>
      <w:bCs/>
      <w:sz w:val="20"/>
      <w:szCs w:val="20"/>
    </w:rPr>
  </w:style>
  <w:style w:type="character" w:customStyle="1" w:styleId="CommentSubjectChar">
    <w:name w:val="Comment Subject Char"/>
    <w:basedOn w:val="Domylnaczcionkaakapitu"/>
    <w:link w:val="CommentSubject"/>
    <w:uiPriority w:val="99"/>
    <w:semiHidden/>
    <w:rsid w:val="00A1552E"/>
    <w:rPr>
      <w:rFonts w:asciiTheme="minorHAnsi" w:eastAsiaTheme="minorHAnsi" w:hAnsiTheme="minorHAnsi" w:cstheme="minorBidi"/>
      <w:b/>
      <w:bCs/>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28816">
      <w:bodyDiv w:val="1"/>
      <w:marLeft w:val="0"/>
      <w:marRight w:val="0"/>
      <w:marTop w:val="0"/>
      <w:marBottom w:val="0"/>
      <w:divBdr>
        <w:top w:val="none" w:sz="0" w:space="0" w:color="auto"/>
        <w:left w:val="none" w:sz="0" w:space="0" w:color="auto"/>
        <w:bottom w:val="none" w:sz="0" w:space="0" w:color="auto"/>
        <w:right w:val="none" w:sz="0" w:space="0" w:color="auto"/>
      </w:divBdr>
      <w:divsChild>
        <w:div w:id="426075541">
          <w:marLeft w:val="0"/>
          <w:marRight w:val="0"/>
          <w:marTop w:val="105"/>
          <w:marBottom w:val="0"/>
          <w:divBdr>
            <w:top w:val="none" w:sz="0" w:space="0" w:color="auto"/>
            <w:left w:val="none" w:sz="0" w:space="0" w:color="auto"/>
            <w:bottom w:val="none" w:sz="0" w:space="0" w:color="auto"/>
            <w:right w:val="none" w:sz="0" w:space="0" w:color="auto"/>
          </w:divBdr>
        </w:div>
        <w:div w:id="439181629">
          <w:marLeft w:val="0"/>
          <w:marRight w:val="0"/>
          <w:marTop w:val="0"/>
          <w:marBottom w:val="0"/>
          <w:divBdr>
            <w:top w:val="none" w:sz="0" w:space="0" w:color="auto"/>
            <w:left w:val="none" w:sz="0" w:space="0" w:color="auto"/>
            <w:bottom w:val="none" w:sz="0" w:space="0" w:color="auto"/>
            <w:right w:val="none" w:sz="0" w:space="0" w:color="auto"/>
          </w:divBdr>
          <w:divsChild>
            <w:div w:id="2101444097">
              <w:marLeft w:val="255"/>
              <w:marRight w:val="0"/>
              <w:marTop w:val="0"/>
              <w:marBottom w:val="0"/>
              <w:divBdr>
                <w:top w:val="none" w:sz="0" w:space="0" w:color="auto"/>
                <w:left w:val="none" w:sz="0" w:space="0" w:color="auto"/>
                <w:bottom w:val="none" w:sz="0" w:space="0" w:color="auto"/>
                <w:right w:val="none" w:sz="0" w:space="0" w:color="auto"/>
              </w:divBdr>
            </w:div>
          </w:divsChild>
        </w:div>
        <w:div w:id="624699498">
          <w:marLeft w:val="0"/>
          <w:marRight w:val="0"/>
          <w:marTop w:val="0"/>
          <w:marBottom w:val="0"/>
          <w:divBdr>
            <w:top w:val="none" w:sz="0" w:space="0" w:color="auto"/>
            <w:left w:val="none" w:sz="0" w:space="0" w:color="auto"/>
            <w:bottom w:val="none" w:sz="0" w:space="0" w:color="auto"/>
            <w:right w:val="none" w:sz="0" w:space="0" w:color="auto"/>
          </w:divBdr>
          <w:divsChild>
            <w:div w:id="884215610">
              <w:marLeft w:val="255"/>
              <w:marRight w:val="0"/>
              <w:marTop w:val="0"/>
              <w:marBottom w:val="0"/>
              <w:divBdr>
                <w:top w:val="none" w:sz="0" w:space="0" w:color="auto"/>
                <w:left w:val="none" w:sz="0" w:space="0" w:color="auto"/>
                <w:bottom w:val="none" w:sz="0" w:space="0" w:color="auto"/>
                <w:right w:val="none" w:sz="0" w:space="0" w:color="auto"/>
              </w:divBdr>
            </w:div>
          </w:divsChild>
        </w:div>
        <w:div w:id="1542784879">
          <w:marLeft w:val="0"/>
          <w:marRight w:val="0"/>
          <w:marTop w:val="0"/>
          <w:marBottom w:val="0"/>
          <w:divBdr>
            <w:top w:val="none" w:sz="0" w:space="0" w:color="auto"/>
            <w:left w:val="none" w:sz="0" w:space="0" w:color="auto"/>
            <w:bottom w:val="none" w:sz="0" w:space="0" w:color="auto"/>
            <w:right w:val="none" w:sz="0" w:space="0" w:color="auto"/>
          </w:divBdr>
          <w:divsChild>
            <w:div w:id="820002412">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28657360">
      <w:bodyDiv w:val="1"/>
      <w:marLeft w:val="0"/>
      <w:marRight w:val="0"/>
      <w:marTop w:val="0"/>
      <w:marBottom w:val="0"/>
      <w:divBdr>
        <w:top w:val="none" w:sz="0" w:space="0" w:color="auto"/>
        <w:left w:val="none" w:sz="0" w:space="0" w:color="auto"/>
        <w:bottom w:val="none" w:sz="0" w:space="0" w:color="auto"/>
        <w:right w:val="none" w:sz="0" w:space="0" w:color="auto"/>
      </w:divBdr>
    </w:div>
    <w:div w:id="343555074">
      <w:bodyDiv w:val="1"/>
      <w:marLeft w:val="0"/>
      <w:marRight w:val="0"/>
      <w:marTop w:val="0"/>
      <w:marBottom w:val="0"/>
      <w:divBdr>
        <w:top w:val="none" w:sz="0" w:space="0" w:color="auto"/>
        <w:left w:val="none" w:sz="0" w:space="0" w:color="auto"/>
        <w:bottom w:val="none" w:sz="0" w:space="0" w:color="auto"/>
        <w:right w:val="none" w:sz="0" w:space="0" w:color="auto"/>
      </w:divBdr>
    </w:div>
    <w:div w:id="344672893">
      <w:bodyDiv w:val="1"/>
      <w:marLeft w:val="0"/>
      <w:marRight w:val="0"/>
      <w:marTop w:val="0"/>
      <w:marBottom w:val="0"/>
      <w:divBdr>
        <w:top w:val="none" w:sz="0" w:space="0" w:color="auto"/>
        <w:left w:val="none" w:sz="0" w:space="0" w:color="auto"/>
        <w:bottom w:val="none" w:sz="0" w:space="0" w:color="auto"/>
        <w:right w:val="none" w:sz="0" w:space="0" w:color="auto"/>
      </w:divBdr>
    </w:div>
    <w:div w:id="774790914">
      <w:bodyDiv w:val="1"/>
      <w:marLeft w:val="0"/>
      <w:marRight w:val="0"/>
      <w:marTop w:val="0"/>
      <w:marBottom w:val="0"/>
      <w:divBdr>
        <w:top w:val="none" w:sz="0" w:space="0" w:color="auto"/>
        <w:left w:val="none" w:sz="0" w:space="0" w:color="auto"/>
        <w:bottom w:val="none" w:sz="0" w:space="0" w:color="auto"/>
        <w:right w:val="none" w:sz="0" w:space="0" w:color="auto"/>
      </w:divBdr>
      <w:divsChild>
        <w:div w:id="598374634">
          <w:marLeft w:val="0"/>
          <w:marRight w:val="0"/>
          <w:marTop w:val="105"/>
          <w:marBottom w:val="0"/>
          <w:divBdr>
            <w:top w:val="none" w:sz="0" w:space="0" w:color="auto"/>
            <w:left w:val="none" w:sz="0" w:space="0" w:color="auto"/>
            <w:bottom w:val="none" w:sz="0" w:space="0" w:color="auto"/>
            <w:right w:val="none" w:sz="0" w:space="0" w:color="auto"/>
          </w:divBdr>
        </w:div>
        <w:div w:id="894313028">
          <w:marLeft w:val="0"/>
          <w:marRight w:val="0"/>
          <w:marTop w:val="0"/>
          <w:marBottom w:val="0"/>
          <w:divBdr>
            <w:top w:val="none" w:sz="0" w:space="0" w:color="auto"/>
            <w:left w:val="none" w:sz="0" w:space="0" w:color="auto"/>
            <w:bottom w:val="none" w:sz="0" w:space="0" w:color="auto"/>
            <w:right w:val="none" w:sz="0" w:space="0" w:color="auto"/>
          </w:divBdr>
          <w:divsChild>
            <w:div w:id="1944652996">
              <w:marLeft w:val="255"/>
              <w:marRight w:val="0"/>
              <w:marTop w:val="0"/>
              <w:marBottom w:val="0"/>
              <w:divBdr>
                <w:top w:val="none" w:sz="0" w:space="0" w:color="auto"/>
                <w:left w:val="none" w:sz="0" w:space="0" w:color="auto"/>
                <w:bottom w:val="none" w:sz="0" w:space="0" w:color="auto"/>
                <w:right w:val="none" w:sz="0" w:space="0" w:color="auto"/>
              </w:divBdr>
            </w:div>
          </w:divsChild>
        </w:div>
        <w:div w:id="1296565875">
          <w:marLeft w:val="0"/>
          <w:marRight w:val="0"/>
          <w:marTop w:val="0"/>
          <w:marBottom w:val="0"/>
          <w:divBdr>
            <w:top w:val="none" w:sz="0" w:space="0" w:color="auto"/>
            <w:left w:val="none" w:sz="0" w:space="0" w:color="auto"/>
            <w:bottom w:val="none" w:sz="0" w:space="0" w:color="auto"/>
            <w:right w:val="none" w:sz="0" w:space="0" w:color="auto"/>
          </w:divBdr>
          <w:divsChild>
            <w:div w:id="1695883035">
              <w:marLeft w:val="255"/>
              <w:marRight w:val="0"/>
              <w:marTop w:val="0"/>
              <w:marBottom w:val="0"/>
              <w:divBdr>
                <w:top w:val="none" w:sz="0" w:space="0" w:color="auto"/>
                <w:left w:val="none" w:sz="0" w:space="0" w:color="auto"/>
                <w:bottom w:val="none" w:sz="0" w:space="0" w:color="auto"/>
                <w:right w:val="none" w:sz="0" w:space="0" w:color="auto"/>
              </w:divBdr>
            </w:div>
          </w:divsChild>
        </w:div>
        <w:div w:id="1350984405">
          <w:marLeft w:val="0"/>
          <w:marRight w:val="0"/>
          <w:marTop w:val="0"/>
          <w:marBottom w:val="0"/>
          <w:divBdr>
            <w:top w:val="none" w:sz="0" w:space="0" w:color="auto"/>
            <w:left w:val="none" w:sz="0" w:space="0" w:color="auto"/>
            <w:bottom w:val="none" w:sz="0" w:space="0" w:color="auto"/>
            <w:right w:val="none" w:sz="0" w:space="0" w:color="auto"/>
          </w:divBdr>
          <w:divsChild>
            <w:div w:id="72930257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szak\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47E36-43CD-4CD4-B6A6-DE01A0EE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29</Pages>
  <Words>10422</Words>
  <Characters>62533</Characters>
  <Application>Microsoft Office Word</Application>
  <DocSecurity>0</DocSecurity>
  <Lines>521</Lines>
  <Paragraphs>145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Rudek Przemysław</dc:creator>
  <cp:keywords/>
  <dc:description/>
  <cp:lastModifiedBy>Wójcik Aleksandra</cp:lastModifiedBy>
  <cp:revision>2</cp:revision>
  <cp:lastPrinted>2012-04-23T06:39:00Z</cp:lastPrinted>
  <dcterms:created xsi:type="dcterms:W3CDTF">2026-09-28T06:30:00Z</dcterms:created>
  <dcterms:modified xsi:type="dcterms:W3CDTF">2026-09-28T06:30:00Z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