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E2335" w14:textId="452CB46F" w:rsidR="00395ECA" w:rsidRPr="00190D04" w:rsidRDefault="00395ECA" w:rsidP="00B236FD">
      <w:pPr>
        <w:spacing w:line="276" w:lineRule="auto"/>
        <w:jc w:val="center"/>
        <w:rPr>
          <w:rFonts w:ascii="Times New Roman" w:hAnsi="Times New Roman" w:cs="Times New Roman"/>
          <w:bCs/>
          <w:u w:val="single"/>
        </w:rPr>
      </w:pPr>
      <w:r w:rsidRPr="00190D04">
        <w:rPr>
          <w:rFonts w:ascii="Times New Roman" w:hAnsi="Times New Roman" w:cs="Times New Roman"/>
          <w:bCs/>
          <w:caps/>
        </w:rPr>
        <w:t>Uzasadnienie</w:t>
      </w:r>
    </w:p>
    <w:p w14:paraId="28896171" w14:textId="61F27333" w:rsidR="008D2BC0" w:rsidRPr="00D74B77" w:rsidRDefault="008D2BC0" w:rsidP="00C87D87">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 xml:space="preserve">Kontekst i cel wprowadzanego rozwiązania </w:t>
      </w:r>
    </w:p>
    <w:p w14:paraId="012F962B" w14:textId="13A4A5FF" w:rsidR="00395ECA" w:rsidRPr="00D74B77" w:rsidRDefault="00395ECA" w:rsidP="00B236FD">
      <w:pPr>
        <w:spacing w:line="276" w:lineRule="auto"/>
        <w:jc w:val="both"/>
        <w:rPr>
          <w:rFonts w:ascii="Times New Roman" w:hAnsi="Times New Roman" w:cs="Times New Roman"/>
        </w:rPr>
      </w:pPr>
      <w:r w:rsidRPr="00D74B77">
        <w:rPr>
          <w:rFonts w:ascii="Times New Roman" w:hAnsi="Times New Roman" w:cs="Times New Roman"/>
        </w:rPr>
        <w:t xml:space="preserve">Wysokie koszty energii elektrycznej stanowią jedno z najpoważniejszych zagrożeń dla </w:t>
      </w:r>
      <w:r w:rsidR="00AD5A78" w:rsidRPr="00D74B77">
        <w:rPr>
          <w:rFonts w:ascii="Times New Roman" w:hAnsi="Times New Roman" w:cs="Times New Roman"/>
        </w:rPr>
        <w:t>k</w:t>
      </w:r>
      <w:r w:rsidRPr="00D74B77">
        <w:rPr>
          <w:rFonts w:ascii="Times New Roman" w:hAnsi="Times New Roman" w:cs="Times New Roman"/>
        </w:rPr>
        <w:t>onkurencyjności polskiego sektora energochłonnego rywalizującego na rynkach globalnych. Koszty energii w Europie są nawet 2-3 krotnie wyższe od kosztów ponoszonych przez podmioty działające w</w:t>
      </w:r>
      <w:r w:rsidR="009C5BAB" w:rsidRPr="00D74B77">
        <w:rPr>
          <w:rFonts w:ascii="Times New Roman" w:hAnsi="Times New Roman" w:cs="Times New Roman"/>
        </w:rPr>
        <w:t> </w:t>
      </w:r>
      <w:r w:rsidRPr="00D74B77">
        <w:rPr>
          <w:rFonts w:ascii="Times New Roman" w:hAnsi="Times New Roman" w:cs="Times New Roman"/>
        </w:rPr>
        <w:t xml:space="preserve">krajach azjatyckich czy </w:t>
      </w:r>
      <w:r w:rsidR="009C5BAB" w:rsidRPr="00D74B77">
        <w:rPr>
          <w:rFonts w:ascii="Times New Roman" w:hAnsi="Times New Roman" w:cs="Times New Roman"/>
        </w:rPr>
        <w:t xml:space="preserve">w </w:t>
      </w:r>
      <w:r w:rsidRPr="00D74B77">
        <w:rPr>
          <w:rFonts w:ascii="Times New Roman" w:hAnsi="Times New Roman" w:cs="Times New Roman"/>
        </w:rPr>
        <w:t>USA.</w:t>
      </w:r>
    </w:p>
    <w:p w14:paraId="19A0AC77" w14:textId="70A50BB1" w:rsidR="00395ECA" w:rsidRPr="00D74B77" w:rsidRDefault="003902A4" w:rsidP="00B236FD">
      <w:pPr>
        <w:spacing w:line="276" w:lineRule="auto"/>
        <w:jc w:val="both"/>
        <w:rPr>
          <w:rFonts w:ascii="Times New Roman" w:hAnsi="Times New Roman" w:cs="Times New Roman"/>
        </w:rPr>
      </w:pPr>
      <w:r w:rsidRPr="00D74B77">
        <w:rPr>
          <w:rFonts w:ascii="Times New Roman" w:hAnsi="Times New Roman" w:cs="Times New Roman"/>
        </w:rPr>
        <w:t>Na forum</w:t>
      </w:r>
      <w:r w:rsidR="00395ECA" w:rsidRPr="00D74B77">
        <w:rPr>
          <w:rFonts w:ascii="Times New Roman" w:hAnsi="Times New Roman" w:cs="Times New Roman"/>
        </w:rPr>
        <w:t xml:space="preserve"> </w:t>
      </w:r>
      <w:r w:rsidRPr="00D74B77">
        <w:rPr>
          <w:rFonts w:ascii="Times New Roman" w:hAnsi="Times New Roman" w:cs="Times New Roman"/>
        </w:rPr>
        <w:t xml:space="preserve">Unii Europejskiej </w:t>
      </w:r>
      <w:r w:rsidR="00395ECA" w:rsidRPr="00D74B77">
        <w:rPr>
          <w:rFonts w:ascii="Times New Roman" w:hAnsi="Times New Roman" w:cs="Times New Roman"/>
        </w:rPr>
        <w:t>polskie przedsiębiorstwa znajdują się w bardzo trudnym położeniu, ponosząc jedne z</w:t>
      </w:r>
      <w:r w:rsidR="009C5BAB" w:rsidRPr="00D74B77">
        <w:rPr>
          <w:rFonts w:ascii="Times New Roman" w:hAnsi="Times New Roman" w:cs="Times New Roman"/>
        </w:rPr>
        <w:t xml:space="preserve"> </w:t>
      </w:r>
      <w:r w:rsidR="00395ECA" w:rsidRPr="00D74B77">
        <w:rPr>
          <w:rFonts w:ascii="Times New Roman" w:hAnsi="Times New Roman" w:cs="Times New Roman"/>
        </w:rPr>
        <w:t>najwyższych kosztów energii w regionie. Według najnowszych danych Eurostatu w 2. połowie 2025 r. najwyższe ceny energii w Euro/MWh dla wskazanej grupy największych przedsiębiorców odnotowano w Polsce (171,6), Irlandii (159,2) i na Węgrzech (158,5). Należy jednocześnie podkreślić, że utrzymujące się bardzo wysokie ceny energii w Polsce w 2025 r. nieznacznie spadły w stosunku do 2 połowy 2024 r., gdy wynosiły 185,6 Euro/MWh. Dane Eurostatu za I półrocze 2026 r. są niedostępne na dzień sporządzenia oceny skutków regulacji, prawdopodobnie będą dostępne w październiku 2026 r.</w:t>
      </w:r>
      <w:r w:rsidR="00DE143E" w:rsidRPr="00D74B77">
        <w:rPr>
          <w:rFonts w:ascii="Times New Roman" w:hAnsi="Times New Roman" w:cs="Times New Roman"/>
        </w:rPr>
        <w:t xml:space="preserve"> Średnia roczna cena sprzedaży energii elektrycznej na rynku konkurencyjnym podawana przez Urząd Regulacji Energetyki na rok 2025, zgodnie z Informacją Prezesa URE nr 14/2026 z dnia 26 marca 2026 r. wyniosła 458,24 zł/MWh, natomiast w I kwartale 2026 r. cena ta wyniosła 486,14 zł/MWh.</w:t>
      </w:r>
    </w:p>
    <w:p w14:paraId="18C3CBAC" w14:textId="7E4FFAF5" w:rsidR="00395ECA" w:rsidRPr="00D74B77" w:rsidRDefault="00395ECA" w:rsidP="00B236FD">
      <w:pPr>
        <w:spacing w:line="276" w:lineRule="auto"/>
        <w:jc w:val="both"/>
        <w:rPr>
          <w:rFonts w:ascii="Times New Roman" w:hAnsi="Times New Roman" w:cs="Times New Roman"/>
        </w:rPr>
      </w:pPr>
      <w:r w:rsidRPr="00D74B77">
        <w:rPr>
          <w:rFonts w:ascii="Times New Roman" w:hAnsi="Times New Roman" w:cs="Times New Roman"/>
        </w:rPr>
        <w:t>Sektory energochłonne, zwłaszcza te</w:t>
      </w:r>
      <w:r w:rsidR="003902A4" w:rsidRPr="00D74B77">
        <w:rPr>
          <w:rFonts w:ascii="Times New Roman" w:hAnsi="Times New Roman" w:cs="Times New Roman"/>
        </w:rPr>
        <w:t>,</w:t>
      </w:r>
      <w:r w:rsidRPr="00D74B77">
        <w:rPr>
          <w:rFonts w:ascii="Times New Roman" w:hAnsi="Times New Roman" w:cs="Times New Roman"/>
        </w:rPr>
        <w:t xml:space="preserve"> które </w:t>
      </w:r>
      <w:r w:rsidR="003902A4" w:rsidRPr="00D74B77">
        <w:rPr>
          <w:rFonts w:ascii="Times New Roman" w:hAnsi="Times New Roman" w:cs="Times New Roman"/>
        </w:rPr>
        <w:t xml:space="preserve">konkurują </w:t>
      </w:r>
      <w:r w:rsidRPr="00D74B77">
        <w:rPr>
          <w:rFonts w:ascii="Times New Roman" w:hAnsi="Times New Roman" w:cs="Times New Roman"/>
        </w:rPr>
        <w:t>na rynkach globalnych, mierzą się obecnie z</w:t>
      </w:r>
      <w:r w:rsidR="009C5BAB" w:rsidRPr="00D74B77">
        <w:rPr>
          <w:rFonts w:ascii="Times New Roman" w:hAnsi="Times New Roman" w:cs="Times New Roman"/>
        </w:rPr>
        <w:t> </w:t>
      </w:r>
      <w:r w:rsidRPr="00D74B77">
        <w:rPr>
          <w:rFonts w:ascii="Times New Roman" w:hAnsi="Times New Roman" w:cs="Times New Roman"/>
        </w:rPr>
        <w:t xml:space="preserve">ogromnymi trudnościami. Rywalizacja z podmiotami z krajów trzecich, nieobciążonymi w takim stopniu kosztami polityki klimatycznej oraz korzystającymi z dostępu do tanich surowców energetycznych, a także z podmiotami z innych krajów </w:t>
      </w:r>
      <w:r w:rsidR="003902A4" w:rsidRPr="00D74B77">
        <w:rPr>
          <w:rFonts w:ascii="Times New Roman" w:hAnsi="Times New Roman" w:cs="Times New Roman"/>
        </w:rPr>
        <w:t>UE</w:t>
      </w:r>
      <w:r w:rsidRPr="00D74B77">
        <w:rPr>
          <w:rFonts w:ascii="Times New Roman" w:hAnsi="Times New Roman" w:cs="Times New Roman"/>
        </w:rPr>
        <w:t xml:space="preserve">, które </w:t>
      </w:r>
      <w:r w:rsidR="003902A4" w:rsidRPr="00D74B77">
        <w:rPr>
          <w:rFonts w:ascii="Times New Roman" w:hAnsi="Times New Roman" w:cs="Times New Roman"/>
        </w:rPr>
        <w:t xml:space="preserve">w większym zakresie </w:t>
      </w:r>
      <w:r w:rsidRPr="00D74B77">
        <w:rPr>
          <w:rFonts w:ascii="Times New Roman" w:hAnsi="Times New Roman" w:cs="Times New Roman"/>
        </w:rPr>
        <w:t>wspierają przemysł energochłonny w zakresie kosztów energii, staje się niemożliwa i prowadzi do postępującej redukcji działalności produkcyjnej w Polsce.</w:t>
      </w:r>
    </w:p>
    <w:p w14:paraId="2A6947B9" w14:textId="085B2A21" w:rsidR="00395ECA" w:rsidRPr="00D74B77" w:rsidRDefault="00395ECA" w:rsidP="00B236FD">
      <w:pPr>
        <w:spacing w:line="276" w:lineRule="auto"/>
        <w:jc w:val="both"/>
        <w:rPr>
          <w:rFonts w:ascii="Times New Roman" w:hAnsi="Times New Roman" w:cs="Times New Roman"/>
        </w:rPr>
      </w:pPr>
      <w:r w:rsidRPr="00D74B77">
        <w:rPr>
          <w:rFonts w:ascii="Times New Roman" w:hAnsi="Times New Roman" w:cs="Times New Roman"/>
        </w:rPr>
        <w:t>Sytuacja ta stanowi istotne zagrożenie dla krajowej gospodarki, rynku pracy, społeczeństwa, a nawet bezpieczeństwa narodowego. Odnotowane w latach 2022-2024 spadki produkcji przemysłowej były mniejsze od tych, które wystąpiły w czasie kulminacji epidemii C</w:t>
      </w:r>
      <w:r w:rsidR="009C5BAB" w:rsidRPr="00D74B77">
        <w:rPr>
          <w:rFonts w:ascii="Times New Roman" w:hAnsi="Times New Roman" w:cs="Times New Roman"/>
        </w:rPr>
        <w:t>OVID</w:t>
      </w:r>
      <w:r w:rsidRPr="00D74B77">
        <w:rPr>
          <w:rFonts w:ascii="Times New Roman" w:hAnsi="Times New Roman" w:cs="Times New Roman"/>
        </w:rPr>
        <w:t>-19 w 2020 r. Jednakże zauważalne jest wyraźne spowolnienie produkcji przemysłowej.</w:t>
      </w:r>
      <w:r w:rsidR="00417AE9" w:rsidRPr="00D74B77">
        <w:rPr>
          <w:rFonts w:ascii="Times New Roman" w:hAnsi="Times New Roman" w:cs="Times New Roman"/>
        </w:rPr>
        <w:t xml:space="preserve"> </w:t>
      </w:r>
    </w:p>
    <w:p w14:paraId="17CF9F84" w14:textId="13CAE6DF" w:rsidR="00395ECA" w:rsidRPr="00D74B77" w:rsidRDefault="00395ECA" w:rsidP="00B236FD">
      <w:pPr>
        <w:spacing w:line="276" w:lineRule="auto"/>
        <w:jc w:val="both"/>
        <w:rPr>
          <w:rFonts w:ascii="Times New Roman" w:hAnsi="Times New Roman" w:cs="Times New Roman"/>
        </w:rPr>
      </w:pPr>
      <w:r w:rsidRPr="00D74B77">
        <w:rPr>
          <w:rFonts w:ascii="Times New Roman" w:hAnsi="Times New Roman" w:cs="Times New Roman"/>
        </w:rPr>
        <w:t>Sytuacja ta stanowi wyzwanie zwłaszcza dla sektorów, które są szczególnie powiązane z handlem międzynarodowym i w których tworzenie wartości jest w dużym stopniu uzależnione od energii elektrycznej. Wysokie ceny energii elektrycznej zwiększają ryzyko przeniesienia tych sektorów poza Unię Europejską. Ponadto wysokie koszty energii elektrycznej mogą zniechęcać do elektryfikacji procesów produkcji, która ma zasadnicze znaczenie dla pomyślnej dekarbonizacji gospodarki U</w:t>
      </w:r>
      <w:r w:rsidR="003902A4" w:rsidRPr="00D74B77">
        <w:rPr>
          <w:rFonts w:ascii="Times New Roman" w:hAnsi="Times New Roman" w:cs="Times New Roman"/>
        </w:rPr>
        <w:t>E</w:t>
      </w:r>
      <w:r w:rsidRPr="00D74B77">
        <w:rPr>
          <w:rFonts w:ascii="Times New Roman" w:hAnsi="Times New Roman" w:cs="Times New Roman"/>
        </w:rPr>
        <w:t>. Aby ograniczyć to ryzyko i negatywny wpływ na środowisko, państwa członkowskie mogą obniżyć ceny energii elektrycznej dla przedsiębiorstw prowadzących działalność w określonych sektorach gospodarki.</w:t>
      </w:r>
    </w:p>
    <w:p w14:paraId="132749BF" w14:textId="77777777" w:rsidR="00395ECA" w:rsidRPr="00D74B77" w:rsidRDefault="00395ECA" w:rsidP="00B236FD">
      <w:pPr>
        <w:spacing w:line="276" w:lineRule="auto"/>
        <w:jc w:val="both"/>
        <w:rPr>
          <w:rFonts w:ascii="Times New Roman" w:hAnsi="Times New Roman" w:cs="Times New Roman"/>
        </w:rPr>
      </w:pPr>
      <w:r w:rsidRPr="00D74B77">
        <w:rPr>
          <w:rFonts w:ascii="Times New Roman" w:hAnsi="Times New Roman" w:cs="Times New Roman"/>
        </w:rPr>
        <w:t>Konieczne jest również podjęcie długoterminowych działań, mających na celu ograniczenie wyżej wskazanych ryzyk. Z tego względu, istotne jest pobudzenie ukierunkowanej aktywności inwestycyjnej przedsiębiorstw oraz stworzenie możliwości szerszej współpracy z podmiotami trzecimi dysponującymi doświadczeniem w realizacji przedsięwzięć związanych z transformacją energetyczną. Kluczowe jest stworzenie warunków sprzyjających nie tylko krótkoterminowemu utrzymaniu konkurencyjności przedsiębiorstw, ale zapewnienie trwałych efektów transformacji energetycznej, sprzyjających wzmacnianiu potencjału rozwojowego gospodarki, przy jednoczesnym zapewnieniu spójności realizowanych działań inwestycyjnych z faktycznymi potrzebami systemu elektroenergetycznego.</w:t>
      </w:r>
    </w:p>
    <w:p w14:paraId="6544E01A" w14:textId="77777777" w:rsidR="00395ECA" w:rsidRPr="00D74B77" w:rsidRDefault="00395ECA" w:rsidP="00B236FD">
      <w:pPr>
        <w:spacing w:line="276" w:lineRule="auto"/>
        <w:jc w:val="both"/>
        <w:rPr>
          <w:rFonts w:ascii="Times New Roman" w:hAnsi="Times New Roman" w:cs="Times New Roman"/>
        </w:rPr>
      </w:pPr>
      <w:r w:rsidRPr="00D74B77">
        <w:rPr>
          <w:rFonts w:ascii="Times New Roman" w:hAnsi="Times New Roman" w:cs="Times New Roman"/>
        </w:rPr>
        <w:lastRenderedPageBreak/>
        <w:t>Problemy europejskiego sektora energochłonnego zostały dostrzeżone przez Komisję Europejską, co skutkowało przyjęciem 26 lutego 2025 r. komunikatu „Pakt dla czystego przemysłu: wspólny plan działania na rzecz konkurencyjności i dekarbonizacji - Pakt dla czystego przemysłu (COM(2025) 85 final). Następnie 25 czerwca 2025 r. Komisja Europejska wydała komunikat „Ramy środków pomocy państwa na rzecz wsparcia Paktu dla czystego przemysłu (ramy pomocy państwa na potrzeby Paktu dla czystego przemysłu)” (C/2025/7600) tzw. Clean Industrial Deal State Aid Framework (CISAF). Jest to dokument określający ramowe zasady udzielania przez państwa członkowskie UE pomocy publicznej przyspieszającej wdrażanie założeń Clean Industrial Deal.</w:t>
      </w:r>
    </w:p>
    <w:p w14:paraId="0F901809" w14:textId="624339AD" w:rsidR="00395ECA" w:rsidRPr="00D74B77" w:rsidRDefault="002B1F60" w:rsidP="00B236FD">
      <w:pPr>
        <w:spacing w:line="276" w:lineRule="auto"/>
        <w:jc w:val="both"/>
        <w:rPr>
          <w:rFonts w:ascii="Times New Roman" w:hAnsi="Times New Roman" w:cs="Times New Roman"/>
        </w:rPr>
      </w:pPr>
      <w:r w:rsidRPr="00D74B77">
        <w:rPr>
          <w:rFonts w:ascii="Times New Roman" w:hAnsi="Times New Roman" w:cs="Times New Roman"/>
        </w:rPr>
        <w:t xml:space="preserve">Celem </w:t>
      </w:r>
      <w:r w:rsidR="00AD5A78" w:rsidRPr="00D74B77">
        <w:rPr>
          <w:rFonts w:ascii="Times New Roman" w:hAnsi="Times New Roman" w:cs="Times New Roman"/>
        </w:rPr>
        <w:t xml:space="preserve">CISAF </w:t>
      </w:r>
      <w:r w:rsidRPr="00D74B77">
        <w:rPr>
          <w:rFonts w:ascii="Times New Roman" w:hAnsi="Times New Roman" w:cs="Times New Roman"/>
        </w:rPr>
        <w:t xml:space="preserve">jest </w:t>
      </w:r>
      <w:r w:rsidR="00395ECA" w:rsidRPr="00D74B77">
        <w:rPr>
          <w:rFonts w:ascii="Times New Roman" w:hAnsi="Times New Roman" w:cs="Times New Roman"/>
        </w:rPr>
        <w:t>uzupełnienie Paktu dla czystego przemysłu poprzez określenie, w jaki sposób państwa członkowskie mogą opracować środki pomocy państwa, aby wspierać wyznaczone przez siebie cele związane z Paktem dla czystego przemysłu.</w:t>
      </w:r>
      <w:r w:rsidR="00AD5A78" w:rsidRPr="00D74B77">
        <w:rPr>
          <w:rFonts w:ascii="Times New Roman" w:hAnsi="Times New Roman" w:cs="Times New Roman"/>
        </w:rPr>
        <w:t xml:space="preserve"> </w:t>
      </w:r>
      <w:r w:rsidR="00395ECA" w:rsidRPr="00D74B77">
        <w:rPr>
          <w:rFonts w:ascii="Times New Roman" w:hAnsi="Times New Roman" w:cs="Times New Roman"/>
        </w:rPr>
        <w:t xml:space="preserve"> W Pakcie dla czystego przemysłu określono działania służące poprawie dostępu do przystępnej cenowo energii, zwiększeniu popytu na produkty z zakresu czystych technologii i podaży takich produktów, odblokowaniu inwestycji publicznych i prywatnych, wzmocnieniu gospodarki o obiegu zamkniętym, rozwijaniu partnerstw międzynarodowych oraz zapewnieniu umiejętności i wysokiej jakości miejsc pracy na rzecz sprawiedliwości społecznej. Stanowi on kompleksową strategię rozwijania w Unii konkurencyjnego, odpornego i niskoemisyjnego przemysłu, stwarzając możliwości dla inwestorów i przyczyniając się do spójności społecznej i</w:t>
      </w:r>
      <w:r w:rsidR="009C5BAB" w:rsidRPr="00D74B77">
        <w:rPr>
          <w:rFonts w:ascii="Times New Roman" w:hAnsi="Times New Roman" w:cs="Times New Roman"/>
        </w:rPr>
        <w:t> </w:t>
      </w:r>
      <w:r w:rsidR="00395ECA" w:rsidRPr="00D74B77">
        <w:rPr>
          <w:rFonts w:ascii="Times New Roman" w:hAnsi="Times New Roman" w:cs="Times New Roman"/>
        </w:rPr>
        <w:t>sprawiedliwości we wszystkich regionach. Pakt dla czystego przemysłu stanowi zobowiązanie do przyspieszenia dekarbonizacji, reindustrializacji i innowacji, by procesy te zachodziły równocześnie i</w:t>
      </w:r>
      <w:r w:rsidR="009C5BAB" w:rsidRPr="00D74B77">
        <w:rPr>
          <w:rFonts w:ascii="Times New Roman" w:hAnsi="Times New Roman" w:cs="Times New Roman"/>
        </w:rPr>
        <w:t> </w:t>
      </w:r>
      <w:r w:rsidR="00395ECA" w:rsidRPr="00D74B77">
        <w:rPr>
          <w:rFonts w:ascii="Times New Roman" w:hAnsi="Times New Roman" w:cs="Times New Roman"/>
        </w:rPr>
        <w:t>obejmowały cały kontynent, a także do wzmocnienia odporności Europy. Zapewnia on europejskiemu przemysłowi silne argumenty przemawiające za dużymi, neutralnymi dla klimatu inwestycjami w</w:t>
      </w:r>
      <w:r w:rsidR="009C5BAB" w:rsidRPr="00D74B77">
        <w:rPr>
          <w:rFonts w:ascii="Times New Roman" w:hAnsi="Times New Roman" w:cs="Times New Roman"/>
        </w:rPr>
        <w:t> </w:t>
      </w:r>
      <w:r w:rsidR="00395ECA" w:rsidRPr="00D74B77">
        <w:rPr>
          <w:rFonts w:ascii="Times New Roman" w:hAnsi="Times New Roman" w:cs="Times New Roman"/>
        </w:rPr>
        <w:t>energochłonne gałęzie przemysłu i czyste technologie. Podkreślono w nim potrzebę odblokowania inwestycji w celu zapewnienia wystarczających mocy produkcyjnych w Unii, stworzenia pionierskich rynków czystych technologii, zredukowania wysokich cen energii, zapewnienia przedsiębiorstwom odpowiednich warunków do rozwoju, konkurowania i zajmowania wiodącej pozycji na świecie, a także wyeliminowania zakłóceń spowodowanych przez subsydia zagraniczne.</w:t>
      </w:r>
    </w:p>
    <w:p w14:paraId="3D2C96C8" w14:textId="46E3606F" w:rsidR="00AD5A78" w:rsidRPr="00D74B77" w:rsidRDefault="00AD5A78" w:rsidP="00B236FD">
      <w:pPr>
        <w:spacing w:line="276" w:lineRule="auto"/>
        <w:jc w:val="both"/>
        <w:rPr>
          <w:rFonts w:ascii="Times New Roman" w:hAnsi="Times New Roman" w:cs="Times New Roman"/>
        </w:rPr>
      </w:pPr>
      <w:r w:rsidRPr="00D74B77">
        <w:rPr>
          <w:rFonts w:ascii="Times New Roman" w:hAnsi="Times New Roman" w:cs="Times New Roman"/>
        </w:rPr>
        <w:t>Należy oczekiwać, że środki określone w Pakcie dla czystego przemysłu przekształcą gospodarkę Unii zgodnie z</w:t>
      </w:r>
      <w:r w:rsidR="009C5BAB" w:rsidRPr="00D74B77">
        <w:rPr>
          <w:rFonts w:ascii="Times New Roman" w:hAnsi="Times New Roman" w:cs="Times New Roman"/>
        </w:rPr>
        <w:t xml:space="preserve"> </w:t>
      </w:r>
      <w:r w:rsidRPr="00D74B77">
        <w:rPr>
          <w:rFonts w:ascii="Times New Roman" w:hAnsi="Times New Roman" w:cs="Times New Roman"/>
        </w:rPr>
        <w:t>ambitnymi celami klimatycznymi UE. Dopóki dekarbonizacja unijnego systemu elektroenergetycznego nie przełoży się w pełni na niższe ceny energii elektrycznej, przemysł w Unii nadal będzie ponosił wyższe koszty w porównaniu z</w:t>
      </w:r>
      <w:r w:rsidR="009C5BAB" w:rsidRPr="00D74B77">
        <w:rPr>
          <w:rFonts w:ascii="Times New Roman" w:hAnsi="Times New Roman" w:cs="Times New Roman"/>
        </w:rPr>
        <w:t xml:space="preserve"> </w:t>
      </w:r>
      <w:r w:rsidRPr="00D74B77">
        <w:rPr>
          <w:rFonts w:ascii="Times New Roman" w:hAnsi="Times New Roman" w:cs="Times New Roman"/>
        </w:rPr>
        <w:t>konkurentami w jurysdykcjach o mniej ambitnej polityce klimatycznej.</w:t>
      </w:r>
    </w:p>
    <w:p w14:paraId="72A142EE" w14:textId="77777777" w:rsidR="00AD5A78" w:rsidRPr="00D74B77" w:rsidRDefault="00AD5A78" w:rsidP="00B236FD">
      <w:pPr>
        <w:spacing w:line="276" w:lineRule="auto"/>
        <w:jc w:val="both"/>
        <w:rPr>
          <w:rFonts w:ascii="Times New Roman" w:hAnsi="Times New Roman" w:cs="Times New Roman"/>
          <w:bCs/>
        </w:rPr>
      </w:pPr>
      <w:r w:rsidRPr="00D74B77">
        <w:rPr>
          <w:rFonts w:ascii="Times New Roman" w:hAnsi="Times New Roman" w:cs="Times New Roman"/>
        </w:rPr>
        <w:t xml:space="preserve">CISAF komunikuje warunki, na jakich państwa członkowskie UE mogą udzielać pomocy publicznej </w:t>
      </w:r>
      <w:r w:rsidRPr="00D74B77">
        <w:rPr>
          <w:rFonts w:ascii="Times New Roman" w:hAnsi="Times New Roman" w:cs="Times New Roman"/>
          <w:bCs/>
        </w:rPr>
        <w:t>wspierając transformację energetyczną oraz rozwój czystego przemysłu. Projektowana ustawa przewiduje wdrożenie instrumentów, które zgodnie z CISAF będą jednocześnie:</w:t>
      </w:r>
    </w:p>
    <w:p w14:paraId="2F91A138" w14:textId="77777777" w:rsidR="00AD5A78" w:rsidRPr="00D74B77" w:rsidRDefault="00AD5A78" w:rsidP="00B236FD">
      <w:pPr>
        <w:numPr>
          <w:ilvl w:val="0"/>
          <w:numId w:val="1"/>
        </w:numPr>
        <w:spacing w:line="276" w:lineRule="auto"/>
        <w:jc w:val="both"/>
        <w:rPr>
          <w:rFonts w:ascii="Times New Roman" w:hAnsi="Times New Roman" w:cs="Times New Roman"/>
          <w:bCs/>
        </w:rPr>
      </w:pPr>
      <w:r w:rsidRPr="00D74B77">
        <w:rPr>
          <w:rFonts w:ascii="Times New Roman" w:hAnsi="Times New Roman" w:cs="Times New Roman"/>
          <w:bCs/>
        </w:rPr>
        <w:t>ograniczać koszty energii dla przemysłu energochłonnego,</w:t>
      </w:r>
    </w:p>
    <w:p w14:paraId="00E2A575" w14:textId="77777777" w:rsidR="00AD5A78" w:rsidRPr="00D74B77" w:rsidRDefault="00AD5A78" w:rsidP="00B236FD">
      <w:pPr>
        <w:numPr>
          <w:ilvl w:val="0"/>
          <w:numId w:val="1"/>
        </w:numPr>
        <w:spacing w:line="276" w:lineRule="auto"/>
        <w:jc w:val="both"/>
        <w:rPr>
          <w:rFonts w:ascii="Times New Roman" w:hAnsi="Times New Roman" w:cs="Times New Roman"/>
          <w:bCs/>
        </w:rPr>
      </w:pPr>
      <w:r w:rsidRPr="00D74B77">
        <w:rPr>
          <w:rFonts w:ascii="Times New Roman" w:hAnsi="Times New Roman" w:cs="Times New Roman"/>
          <w:bCs/>
        </w:rPr>
        <w:t>stymulować inwestycje w czyste technologie,</w:t>
      </w:r>
    </w:p>
    <w:p w14:paraId="11F23141" w14:textId="4D1C94D5" w:rsidR="00AD5A78" w:rsidRPr="00D74B77" w:rsidRDefault="002B1F60" w:rsidP="00B236FD">
      <w:pPr>
        <w:numPr>
          <w:ilvl w:val="0"/>
          <w:numId w:val="1"/>
        </w:numPr>
        <w:spacing w:line="276" w:lineRule="auto"/>
        <w:jc w:val="both"/>
        <w:rPr>
          <w:rFonts w:ascii="Times New Roman" w:hAnsi="Times New Roman" w:cs="Times New Roman"/>
        </w:rPr>
      </w:pPr>
      <w:r w:rsidRPr="00D74B77">
        <w:rPr>
          <w:rFonts w:ascii="Times New Roman" w:hAnsi="Times New Roman" w:cs="Times New Roman"/>
          <w:bCs/>
        </w:rPr>
        <w:t>wspierać wykorzystanie rozwiązań obniżających emisyjność przemysłu</w:t>
      </w:r>
      <w:r w:rsidR="00AD5A78" w:rsidRPr="00D74B77">
        <w:rPr>
          <w:rFonts w:ascii="Times New Roman" w:hAnsi="Times New Roman" w:cs="Times New Roman"/>
        </w:rPr>
        <w:t>.</w:t>
      </w:r>
    </w:p>
    <w:p w14:paraId="1358437D" w14:textId="13ECC720" w:rsidR="00AD5A78" w:rsidRPr="00D74B77" w:rsidRDefault="00AD5A78" w:rsidP="00B236FD">
      <w:pPr>
        <w:spacing w:line="276" w:lineRule="auto"/>
        <w:jc w:val="both"/>
        <w:rPr>
          <w:rFonts w:ascii="Times New Roman" w:hAnsi="Times New Roman" w:cs="Times New Roman"/>
        </w:rPr>
      </w:pPr>
      <w:r w:rsidRPr="00D74B77">
        <w:rPr>
          <w:rFonts w:ascii="Times New Roman" w:hAnsi="Times New Roman" w:cs="Times New Roman"/>
          <w:bCs/>
        </w:rPr>
        <w:t xml:space="preserve">Rozwiązania proponowane w ustawie wspomogą </w:t>
      </w:r>
      <w:r w:rsidRPr="00D74B77">
        <w:rPr>
          <w:rFonts w:ascii="Times New Roman" w:hAnsi="Times New Roman" w:cs="Times New Roman"/>
        </w:rPr>
        <w:t xml:space="preserve">przedsiębiorstwa i będą służyły przyspieszeniu transformacji energetycznej w celu przekształcania gospodarki Pomoc publiczna udzielana w ramach CISAF ma </w:t>
      </w:r>
      <w:r w:rsidR="00551A80" w:rsidRPr="00D74B77">
        <w:rPr>
          <w:rFonts w:ascii="Times New Roman" w:hAnsi="Times New Roman" w:cs="Times New Roman"/>
        </w:rPr>
        <w:t xml:space="preserve">m.in. </w:t>
      </w:r>
      <w:r w:rsidRPr="00D74B77">
        <w:rPr>
          <w:rFonts w:ascii="Times New Roman" w:hAnsi="Times New Roman" w:cs="Times New Roman"/>
        </w:rPr>
        <w:t xml:space="preserve">stymulować dekarbonizację unijnego systemu elektroenergetycznego, tak by przełożyła się w pełni na niższe ceny energii elektrycznej, co wymaga rozwoju przedsięwzięć mających wpływ na dekarbonizację europejskiej gospodarki. Działania te powinny być realizowane m.in. poprzez tymczasowe obniżenie cen energii dla przemysłu energochłonnego </w:t>
      </w:r>
      <w:r w:rsidR="000432B5" w:rsidRPr="00D74B77">
        <w:rPr>
          <w:rFonts w:ascii="Times New Roman" w:hAnsi="Times New Roman" w:cs="Times New Roman"/>
        </w:rPr>
        <w:t xml:space="preserve">określone w </w:t>
      </w:r>
      <w:r w:rsidRPr="00D74B77">
        <w:rPr>
          <w:rFonts w:ascii="Times New Roman" w:hAnsi="Times New Roman" w:cs="Times New Roman"/>
        </w:rPr>
        <w:t xml:space="preserve">sekcja 4.5 CISAF, co będzie skutkowało tworzeniem nowych miejsc pracy i poprawą warunków dla rozwoju firm. </w:t>
      </w:r>
    </w:p>
    <w:p w14:paraId="02CEB42A" w14:textId="3974079C" w:rsidR="002B1F60" w:rsidRPr="00D74B77" w:rsidRDefault="002B1F60" w:rsidP="00B236FD">
      <w:pPr>
        <w:spacing w:line="276" w:lineRule="auto"/>
        <w:jc w:val="both"/>
        <w:rPr>
          <w:rFonts w:ascii="Times New Roman" w:hAnsi="Times New Roman" w:cs="Times New Roman"/>
        </w:rPr>
      </w:pPr>
      <w:r w:rsidRPr="00D74B77">
        <w:rPr>
          <w:rFonts w:ascii="Times New Roman" w:hAnsi="Times New Roman" w:cs="Times New Roman"/>
        </w:rPr>
        <w:lastRenderedPageBreak/>
        <w:t xml:space="preserve">Co istotne, </w:t>
      </w:r>
      <w:r w:rsidR="00FC3F68" w:rsidRPr="00D74B77">
        <w:rPr>
          <w:rFonts w:ascii="Times New Roman" w:hAnsi="Times New Roman" w:cs="Times New Roman"/>
        </w:rPr>
        <w:t xml:space="preserve">projektowany </w:t>
      </w:r>
      <w:r w:rsidRPr="00D74B77">
        <w:rPr>
          <w:rFonts w:ascii="Times New Roman" w:hAnsi="Times New Roman" w:cs="Times New Roman"/>
        </w:rPr>
        <w:t xml:space="preserve">mechanizm poprzez realizację inwestycji </w:t>
      </w:r>
      <w:r w:rsidR="00FC3F68" w:rsidRPr="00D74B77">
        <w:rPr>
          <w:rFonts w:ascii="Times New Roman" w:hAnsi="Times New Roman" w:cs="Times New Roman"/>
        </w:rPr>
        <w:t xml:space="preserve">będzie bezpośrednio </w:t>
      </w:r>
      <w:r w:rsidRPr="00D74B77">
        <w:rPr>
          <w:rFonts w:ascii="Times New Roman" w:hAnsi="Times New Roman" w:cs="Times New Roman"/>
        </w:rPr>
        <w:t>wspierać bezpieczeństwo energetyczne Polski i Krajowego Systemu Elektroenergetycznego. Zapewnią to odpowiedn</w:t>
      </w:r>
      <w:r w:rsidR="00FC3F68" w:rsidRPr="00D74B77">
        <w:rPr>
          <w:rFonts w:ascii="Times New Roman" w:hAnsi="Times New Roman" w:cs="Times New Roman"/>
        </w:rPr>
        <w:t>ie kryteria dla zgłaszanych projektów, które bezpośrednią wpłyną m.in. na poprawę obserwowalności, efektywności energetycznej, elastyczności czy jakości bilansowania.</w:t>
      </w:r>
      <w:r w:rsidR="00417AE9" w:rsidRPr="00D74B77">
        <w:rPr>
          <w:rFonts w:ascii="Times New Roman" w:hAnsi="Times New Roman" w:cs="Times New Roman"/>
        </w:rPr>
        <w:t xml:space="preserve"> </w:t>
      </w:r>
    </w:p>
    <w:p w14:paraId="02E2EB49" w14:textId="434A5DDC" w:rsidR="00417AE9" w:rsidRPr="00D74B77" w:rsidRDefault="00417AE9" w:rsidP="00B236FD">
      <w:pPr>
        <w:spacing w:line="276" w:lineRule="auto"/>
        <w:jc w:val="both"/>
        <w:rPr>
          <w:rFonts w:ascii="Times New Roman" w:hAnsi="Times New Roman" w:cs="Times New Roman"/>
        </w:rPr>
      </w:pPr>
      <w:r w:rsidRPr="00D74B77">
        <w:rPr>
          <w:rFonts w:ascii="Times New Roman" w:hAnsi="Times New Roman" w:cs="Times New Roman"/>
        </w:rPr>
        <w:t xml:space="preserve">Oprócz CISAF, zostały przyjęte przez Komisję Europejską 29 kwietnia 2026 roku Wytyczne Komisji Europejskiej dotyczące METSAF (Middle East Crisis Temporary State Aid Framework), czyli Tymczasowych ram pomocy państwa w związku z kryzysem na Bliskim Wschodzie. Jest to specjalny instrument kryzysowy, którego głównym celem jest łagodzenie negatywnych skutków gospodarczych – takich jak gwałtowne skoki cen energii, paliw i nawozów oraz zakłócenia łańcuchów dostaw – wywołanych działaniami wojennymi w regionie Bliskiego Wschodu (w tym blokadą Cieśniny Ormuz). Przepisy te mają charakter wybitnie tymczasowy i obowiązują z mocą wsteczną od 1 marca 2026 roku do 31 grudnia 2026 roku. METSAF modyfikuje działające równolegle reguły Paktu dla czystego przemysłu (Clean Industrial Deal State Aid Framework – CISAF). Podwyższono limit dopłat do cen energii elektrycznej z 50% do 70%. Projektowane przepisy umożliwiają również stosowanie wytycznych METSAF odpowiadają na znaczne pogorszenie się globalnego rynku paliw ze względu na toczące się konflikty na Bliskim Wschodzie, zablokowaną Cieśninę Ormuz oraz niszczenie krytycznej infrastruktury energetycznej w regionie. Ze względu na korelację cen gazu ziemnego z ceną energii elektrycznej, przemysł energochłonny może negatywnie odczuć rynkowe pogorszenie. </w:t>
      </w:r>
    </w:p>
    <w:p w14:paraId="6D626B11" w14:textId="038D506B" w:rsidR="00B94D06" w:rsidRPr="00D74B77" w:rsidRDefault="00B94D06" w:rsidP="00B236FD">
      <w:pPr>
        <w:spacing w:line="276" w:lineRule="auto"/>
        <w:jc w:val="both"/>
        <w:rPr>
          <w:rFonts w:ascii="Times New Roman" w:hAnsi="Times New Roman" w:cs="Times New Roman"/>
        </w:rPr>
      </w:pPr>
      <w:r w:rsidRPr="00D74B77">
        <w:rPr>
          <w:rFonts w:ascii="Times New Roman" w:hAnsi="Times New Roman" w:cs="Times New Roman"/>
        </w:rPr>
        <w:t>Projektowana ustawa określa zasady, formę, warunki i tryb udzielania wsparcia dla przedsiębiorców sektorów energochłonnych z tytułu ponoszenia kosztów energii elektrycznej, zwanego dalej „wsparciem” oraz sposób obliczania wysokości wsparcia. Wsparcie stanowi pomoc publiczną dla przedsiębiorcy w rozumieniu przepisów ustawy z dnia 6 marca 2018 r. - Prawo przedsiębiorców (Dz. U. z 2025 r. poz. 1480, 1795 i 1826).</w:t>
      </w:r>
    </w:p>
    <w:p w14:paraId="4A73FAD3" w14:textId="31B85FA0" w:rsidR="00E80889" w:rsidRPr="00D74B77" w:rsidRDefault="00E80889" w:rsidP="00B236FD">
      <w:pPr>
        <w:spacing w:line="276" w:lineRule="auto"/>
        <w:jc w:val="both"/>
        <w:rPr>
          <w:rFonts w:ascii="Times New Roman" w:hAnsi="Times New Roman" w:cs="Times New Roman"/>
        </w:rPr>
      </w:pPr>
      <w:r w:rsidRPr="00D74B77">
        <w:rPr>
          <w:rFonts w:ascii="Times New Roman" w:hAnsi="Times New Roman" w:cs="Times New Roman"/>
        </w:rPr>
        <w:t xml:space="preserve">Wsparcie będzie udzielane ze środków budżetu państwa przez ministra właściwego do spraw gospodarki, który w projekcie ustawy jest podmiotem udzielającym pomocy w rozumieniu art. 1 pkt 12 ustawy z dnia 30 kwietnia 2004 r. o postępowaniu w sprawach dotyczących pomocy publicznej (Dz. U. z 2026 r. poz. 500). </w:t>
      </w:r>
    </w:p>
    <w:p w14:paraId="44749902" w14:textId="7CB6FBFE" w:rsidR="00C87D87" w:rsidRPr="00D74B77" w:rsidRDefault="00C87D87" w:rsidP="00B236FD">
      <w:pPr>
        <w:spacing w:line="276" w:lineRule="auto"/>
        <w:jc w:val="both"/>
        <w:rPr>
          <w:rFonts w:ascii="Times New Roman" w:hAnsi="Times New Roman" w:cs="Times New Roman"/>
        </w:rPr>
      </w:pPr>
      <w:r w:rsidRPr="00D74B77">
        <w:rPr>
          <w:rFonts w:ascii="Times New Roman" w:hAnsi="Times New Roman" w:cs="Times New Roman"/>
        </w:rPr>
        <w:t>Projektowane rozwiązanie realizuje Strategię Produktywności 2030.</w:t>
      </w:r>
    </w:p>
    <w:p w14:paraId="43ADEFE3" w14:textId="77777777" w:rsidR="009C77D5" w:rsidRPr="00D74B77" w:rsidRDefault="009C77D5" w:rsidP="009C77D5">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 xml:space="preserve">Cena RK (art. 2) </w:t>
      </w:r>
    </w:p>
    <w:p w14:paraId="02D8A6F8" w14:textId="77C9FD6C" w:rsidR="009C77D5" w:rsidRPr="00D74B77" w:rsidRDefault="009C77D5" w:rsidP="009C77D5">
      <w:pPr>
        <w:spacing w:line="276" w:lineRule="auto"/>
        <w:jc w:val="both"/>
        <w:rPr>
          <w:rFonts w:ascii="Times New Roman" w:hAnsi="Times New Roman" w:cs="Times New Roman"/>
        </w:rPr>
      </w:pPr>
      <w:r w:rsidRPr="00D74B77">
        <w:rPr>
          <w:rFonts w:ascii="Times New Roman" w:hAnsi="Times New Roman" w:cs="Times New Roman"/>
        </w:rPr>
        <w:t>Do wyliczenia pomocy publicznej na podstawie projektowanej ustawy wybrano średnią arytmetyczną średnich cen sprzedaży energii elektrycznej na rynku konkurencyjnym</w:t>
      </w:r>
      <w:r w:rsidR="00E80889" w:rsidRPr="00D74B77">
        <w:t xml:space="preserve"> </w:t>
      </w:r>
      <w:r w:rsidR="00E80889" w:rsidRPr="00D74B77">
        <w:rPr>
          <w:rFonts w:ascii="Times New Roman" w:hAnsi="Times New Roman" w:cs="Times New Roman"/>
        </w:rPr>
        <w:t>w danym roku kalendarzowym</w:t>
      </w:r>
      <w:r w:rsidRPr="00D74B77">
        <w:rPr>
          <w:rFonts w:ascii="Times New Roman" w:hAnsi="Times New Roman" w:cs="Times New Roman"/>
        </w:rPr>
        <w:t>, publikowaną przez Prezesa Urzędu Regulacji Energetyki w ujęciu kwartalnym (wymaganym przepisami art. 23 ust. 2 pkt 18a ustawy Prawo energetyczne), dalej cena RK. Dobór ww. ceny jako referencyjnej ceny energii elektrycznej w mechanizmie przewidzianym ustawą wynika z najwłaściwszego odzwierciedlenia rzeczywistych kontraktacji energii elektrycznej przez przedsiębiorstwa energochłonne oraz wiarygodności jej źródła.</w:t>
      </w:r>
    </w:p>
    <w:p w14:paraId="54B12242" w14:textId="08F42203" w:rsidR="00B94D06" w:rsidRPr="00D74B77" w:rsidRDefault="00B94D06" w:rsidP="00B236FD">
      <w:pPr>
        <w:spacing w:line="276" w:lineRule="auto"/>
        <w:jc w:val="both"/>
        <w:rPr>
          <w:rFonts w:ascii="Times New Roman" w:hAnsi="Times New Roman" w:cs="Times New Roman"/>
          <w:b/>
          <w:u w:val="single"/>
        </w:rPr>
      </w:pPr>
      <w:r w:rsidRPr="00D74B77">
        <w:rPr>
          <w:rFonts w:ascii="Times New Roman" w:hAnsi="Times New Roman" w:cs="Times New Roman"/>
          <w:b/>
          <w:u w:val="single"/>
        </w:rPr>
        <w:t xml:space="preserve">Wysokość </w:t>
      </w:r>
      <w:r w:rsidR="00EC1B82" w:rsidRPr="00D74B77">
        <w:rPr>
          <w:rFonts w:ascii="Times New Roman" w:hAnsi="Times New Roman" w:cs="Times New Roman"/>
          <w:b/>
          <w:u w:val="single"/>
        </w:rPr>
        <w:t>wsparcia</w:t>
      </w:r>
      <w:r w:rsidR="00807C93" w:rsidRPr="00D74B77">
        <w:rPr>
          <w:rFonts w:ascii="Times New Roman" w:hAnsi="Times New Roman" w:cs="Times New Roman"/>
          <w:b/>
          <w:u w:val="single"/>
        </w:rPr>
        <w:t xml:space="preserve"> (art. 3</w:t>
      </w:r>
      <w:r w:rsidR="00781E7B" w:rsidRPr="00D74B77">
        <w:rPr>
          <w:rFonts w:ascii="Times New Roman" w:hAnsi="Times New Roman" w:cs="Times New Roman"/>
          <w:b/>
          <w:u w:val="single"/>
        </w:rPr>
        <w:t>)</w:t>
      </w:r>
    </w:p>
    <w:p w14:paraId="53B1BE4B" w14:textId="758C7359" w:rsidR="00281F84" w:rsidRPr="00D74B77" w:rsidRDefault="00745167" w:rsidP="00B236FD">
      <w:pPr>
        <w:spacing w:line="276" w:lineRule="auto"/>
        <w:jc w:val="both"/>
        <w:rPr>
          <w:rFonts w:ascii="Times New Roman" w:hAnsi="Times New Roman" w:cs="Times New Roman"/>
          <w:bCs/>
        </w:rPr>
      </w:pPr>
      <w:r w:rsidRPr="00D74B77">
        <w:rPr>
          <w:rFonts w:ascii="Times New Roman" w:hAnsi="Times New Roman" w:cs="Times New Roman"/>
          <w:bCs/>
        </w:rPr>
        <w:t>W art. 3 projektowanej ustawy zaproponowan</w:t>
      </w:r>
      <w:r w:rsidR="00E071A6" w:rsidRPr="00D74B77">
        <w:rPr>
          <w:rFonts w:ascii="Times New Roman" w:hAnsi="Times New Roman" w:cs="Times New Roman"/>
          <w:bCs/>
        </w:rPr>
        <w:t>o</w:t>
      </w:r>
      <w:r w:rsidR="00E80889" w:rsidRPr="00D74B77">
        <w:rPr>
          <w:rFonts w:ascii="Times New Roman" w:hAnsi="Times New Roman" w:cs="Times New Roman"/>
          <w:bCs/>
        </w:rPr>
        <w:t>,</w:t>
      </w:r>
      <w:r w:rsidRPr="00D74B77">
        <w:rPr>
          <w:rFonts w:ascii="Times New Roman" w:hAnsi="Times New Roman" w:cs="Times New Roman"/>
          <w:bCs/>
        </w:rPr>
        <w:t xml:space="preserve"> aby </w:t>
      </w:r>
      <w:r w:rsidR="00281F84" w:rsidRPr="00D74B77">
        <w:rPr>
          <w:rFonts w:ascii="Times New Roman" w:hAnsi="Times New Roman" w:cs="Times New Roman"/>
          <w:bCs/>
        </w:rPr>
        <w:t>wsparciem mo</w:t>
      </w:r>
      <w:r w:rsidRPr="00D74B77">
        <w:rPr>
          <w:rFonts w:ascii="Times New Roman" w:hAnsi="Times New Roman" w:cs="Times New Roman"/>
          <w:bCs/>
        </w:rPr>
        <w:t xml:space="preserve">gło </w:t>
      </w:r>
      <w:r w:rsidR="00281F84" w:rsidRPr="00D74B77">
        <w:rPr>
          <w:rFonts w:ascii="Times New Roman" w:hAnsi="Times New Roman" w:cs="Times New Roman"/>
          <w:bCs/>
        </w:rPr>
        <w:t>być objęte zużycie energii elektrycznej w ilości nie wyższej niż 50</w:t>
      </w:r>
      <w:r w:rsidR="009C5BAB" w:rsidRPr="00D74B77">
        <w:rPr>
          <w:rFonts w:ascii="Times New Roman" w:hAnsi="Times New Roman" w:cs="Times New Roman"/>
          <w:bCs/>
        </w:rPr>
        <w:t xml:space="preserve"> </w:t>
      </w:r>
      <w:r w:rsidR="00281F84" w:rsidRPr="00D74B77">
        <w:rPr>
          <w:rFonts w:ascii="Times New Roman" w:hAnsi="Times New Roman" w:cs="Times New Roman"/>
          <w:bCs/>
        </w:rPr>
        <w:t>% rocznej ilości zużytej energii elektrycznej przez przedsiębiorcę w okresie kwalifikowanym.</w:t>
      </w:r>
      <w:r w:rsidR="00C87D87" w:rsidRPr="00D74B77">
        <w:rPr>
          <w:rFonts w:ascii="Times New Roman" w:hAnsi="Times New Roman" w:cs="Times New Roman"/>
          <w:bCs/>
        </w:rPr>
        <w:t xml:space="preserve"> </w:t>
      </w:r>
      <w:r w:rsidRPr="00D74B77">
        <w:rPr>
          <w:rFonts w:ascii="Times New Roman" w:hAnsi="Times New Roman" w:cs="Times New Roman"/>
          <w:bCs/>
        </w:rPr>
        <w:t xml:space="preserve">Założenie to jest zgodne z Komunikatem CISAF. </w:t>
      </w:r>
      <w:r w:rsidR="00C87D87" w:rsidRPr="00D74B77">
        <w:rPr>
          <w:rFonts w:ascii="Times New Roman" w:hAnsi="Times New Roman" w:cs="Times New Roman"/>
          <w:bCs/>
        </w:rPr>
        <w:t xml:space="preserve">Wsparcie jest udzielane na okres nie dłuższy niż </w:t>
      </w:r>
      <w:r w:rsidR="00D74B77">
        <w:rPr>
          <w:rFonts w:ascii="Times New Roman" w:hAnsi="Times New Roman" w:cs="Times New Roman"/>
          <w:bCs/>
        </w:rPr>
        <w:t xml:space="preserve">na </w:t>
      </w:r>
      <w:r w:rsidR="00C87D87" w:rsidRPr="00D74B77">
        <w:rPr>
          <w:rFonts w:ascii="Times New Roman" w:hAnsi="Times New Roman" w:cs="Times New Roman"/>
          <w:bCs/>
        </w:rPr>
        <w:t xml:space="preserve">3 </w:t>
      </w:r>
      <w:r w:rsidR="00D74B77">
        <w:rPr>
          <w:rFonts w:ascii="Times New Roman" w:hAnsi="Times New Roman" w:cs="Times New Roman"/>
          <w:bCs/>
        </w:rPr>
        <w:t xml:space="preserve">kolejne </w:t>
      </w:r>
      <w:r w:rsidR="00C87D87" w:rsidRPr="00D74B77">
        <w:rPr>
          <w:rFonts w:ascii="Times New Roman" w:hAnsi="Times New Roman" w:cs="Times New Roman"/>
          <w:bCs/>
        </w:rPr>
        <w:t>lata. Wsparcie może być udzielone do wyczerpania środków finansowych przeznaczonych na udzielanie wsparcia, nie dłużej niż do 2030 r.</w:t>
      </w:r>
    </w:p>
    <w:p w14:paraId="5DA92FA8" w14:textId="1AF32EB6" w:rsidR="00281F84" w:rsidRPr="00D74B77" w:rsidRDefault="004E4871" w:rsidP="00B236FD">
      <w:pPr>
        <w:spacing w:line="276" w:lineRule="auto"/>
        <w:jc w:val="both"/>
        <w:rPr>
          <w:rFonts w:ascii="Times New Roman" w:hAnsi="Times New Roman" w:cs="Times New Roman"/>
          <w:bCs/>
        </w:rPr>
      </w:pPr>
      <w:r w:rsidRPr="00D74B77">
        <w:rPr>
          <w:rFonts w:ascii="Times New Roman" w:hAnsi="Times New Roman" w:cs="Times New Roman"/>
          <w:bCs/>
        </w:rPr>
        <w:lastRenderedPageBreak/>
        <w:t>W celu weryfikacji projektowanych założeń ustawowych dla wsparcia p</w:t>
      </w:r>
      <w:r w:rsidR="00EC1B82" w:rsidRPr="00D74B77">
        <w:rPr>
          <w:rFonts w:ascii="Times New Roman" w:hAnsi="Times New Roman" w:cs="Times New Roman"/>
          <w:bCs/>
        </w:rPr>
        <w:t>odczas składania wniosku o</w:t>
      </w:r>
      <w:r w:rsidR="009C5BAB" w:rsidRPr="00D74B77">
        <w:rPr>
          <w:rFonts w:ascii="Times New Roman" w:hAnsi="Times New Roman" w:cs="Times New Roman"/>
          <w:bCs/>
        </w:rPr>
        <w:t> </w:t>
      </w:r>
      <w:r w:rsidR="00EC1B82" w:rsidRPr="00D74B77">
        <w:rPr>
          <w:rFonts w:ascii="Times New Roman" w:hAnsi="Times New Roman" w:cs="Times New Roman"/>
          <w:bCs/>
        </w:rPr>
        <w:t>udzielenie wsparcia przedsiębiorca będzie zobowiązany przedstawić informację na temat zużytej energii elektrycznej w roku kalendarzowym poprzedzającym rok złożenia wniosku o udzielenie wsparcia oraz prognoz zużycia energii elektrycznej w każdym kolejnym roku objętym wsparciem</w:t>
      </w:r>
      <w:r w:rsidRPr="00D74B77">
        <w:rPr>
          <w:rFonts w:ascii="Times New Roman" w:hAnsi="Times New Roman" w:cs="Times New Roman"/>
          <w:bCs/>
        </w:rPr>
        <w:t xml:space="preserve"> (art. 13 ust. 2 pkt 8 projektu)</w:t>
      </w:r>
      <w:r w:rsidR="00EC1B82" w:rsidRPr="00D74B77">
        <w:rPr>
          <w:rFonts w:ascii="Times New Roman" w:hAnsi="Times New Roman" w:cs="Times New Roman"/>
          <w:bCs/>
        </w:rPr>
        <w:t xml:space="preserve">. Na podstawie tych informacji wyliczana będzie </w:t>
      </w:r>
      <w:r w:rsidR="002B6098" w:rsidRPr="00D74B77">
        <w:rPr>
          <w:rFonts w:ascii="Times New Roman" w:hAnsi="Times New Roman" w:cs="Times New Roman"/>
          <w:bCs/>
        </w:rPr>
        <w:t xml:space="preserve">łączna </w:t>
      </w:r>
      <w:r w:rsidR="005234D8" w:rsidRPr="00D74B77">
        <w:rPr>
          <w:rFonts w:ascii="Times New Roman" w:hAnsi="Times New Roman" w:cs="Times New Roman"/>
          <w:bCs/>
        </w:rPr>
        <w:t>wysokość wsparcia, na którą będzie podpisywana umowa z przedsiębiorcą. Jednocześnie łączna wysokość wypłacanego wsparcia nie będzie mogła przekroczyć trzykrotności wysokości wsparcia ustalonego na podstawie rzeczywistego zużycia energii elektrycznej w roku kalendarzowym poprzedzającym rok złożenia wniosku o udzielenie wsparcia. W kolejnych latach przedsiębiorca będzie składał wniosek o</w:t>
      </w:r>
      <w:r w:rsidR="009C5BAB" w:rsidRPr="00D74B77">
        <w:rPr>
          <w:rFonts w:ascii="Times New Roman" w:hAnsi="Times New Roman" w:cs="Times New Roman"/>
          <w:bCs/>
        </w:rPr>
        <w:t> </w:t>
      </w:r>
      <w:r w:rsidR="005234D8" w:rsidRPr="00D74B77">
        <w:rPr>
          <w:rFonts w:ascii="Times New Roman" w:hAnsi="Times New Roman" w:cs="Times New Roman"/>
          <w:bCs/>
        </w:rPr>
        <w:t xml:space="preserve">wypłatę wsparcia </w:t>
      </w:r>
      <w:r w:rsidR="009406CC" w:rsidRPr="00D74B77">
        <w:rPr>
          <w:rFonts w:ascii="Times New Roman" w:hAnsi="Times New Roman" w:cs="Times New Roman"/>
          <w:bCs/>
        </w:rPr>
        <w:t xml:space="preserve">na podstawie rzeczywistego zużycia energii elektrycznej w roku poprzedzającym rok złożenia wniosku o wypłatę wsparcia. </w:t>
      </w:r>
      <w:r w:rsidR="00807C93" w:rsidRPr="00D74B77">
        <w:rPr>
          <w:rFonts w:ascii="Times New Roman" w:hAnsi="Times New Roman" w:cs="Times New Roman"/>
          <w:bCs/>
        </w:rPr>
        <w:t xml:space="preserve">Szczegółowe kryteria i warunki udzielenia wsparcia a także wypłaty </w:t>
      </w:r>
      <w:r w:rsidRPr="00D74B77">
        <w:rPr>
          <w:rFonts w:ascii="Times New Roman" w:hAnsi="Times New Roman" w:cs="Times New Roman"/>
          <w:bCs/>
        </w:rPr>
        <w:t>wsparcia</w:t>
      </w:r>
      <w:r w:rsidR="00807C93" w:rsidRPr="00D74B77">
        <w:rPr>
          <w:rFonts w:ascii="Times New Roman" w:hAnsi="Times New Roman" w:cs="Times New Roman"/>
          <w:bCs/>
        </w:rPr>
        <w:t xml:space="preserve"> zostaną określone w rządowym programie pomocy.</w:t>
      </w:r>
    </w:p>
    <w:p w14:paraId="50759A19" w14:textId="2071981A" w:rsidR="005B635B" w:rsidRPr="00D74B77" w:rsidRDefault="005B635B" w:rsidP="00B236FD">
      <w:pPr>
        <w:spacing w:line="276" w:lineRule="auto"/>
        <w:jc w:val="both"/>
        <w:rPr>
          <w:rFonts w:ascii="Times New Roman" w:hAnsi="Times New Roman" w:cs="Times New Roman"/>
          <w:bCs/>
        </w:rPr>
      </w:pPr>
      <w:r w:rsidRPr="00D74B77">
        <w:rPr>
          <w:rFonts w:ascii="Times New Roman" w:hAnsi="Times New Roman" w:cs="Times New Roman"/>
          <w:bCs/>
        </w:rPr>
        <w:t>Wysokość wsparcia nie może skutkować przekroczeniem 50</w:t>
      </w:r>
      <w:r w:rsidR="009C5BAB" w:rsidRPr="00D74B77">
        <w:rPr>
          <w:rFonts w:ascii="Times New Roman" w:hAnsi="Times New Roman" w:cs="Times New Roman"/>
          <w:bCs/>
        </w:rPr>
        <w:t xml:space="preserve"> </w:t>
      </w:r>
      <w:r w:rsidRPr="00D74B77">
        <w:rPr>
          <w:rFonts w:ascii="Times New Roman" w:hAnsi="Times New Roman" w:cs="Times New Roman"/>
          <w:bCs/>
        </w:rPr>
        <w:t xml:space="preserve">% </w:t>
      </w:r>
      <w:r w:rsidR="009C77D5" w:rsidRPr="00D74B77">
        <w:rPr>
          <w:rFonts w:ascii="Times New Roman" w:hAnsi="Times New Roman" w:cs="Times New Roman"/>
          <w:bCs/>
        </w:rPr>
        <w:t>ceny RK</w:t>
      </w:r>
      <w:r w:rsidRPr="00D74B77">
        <w:rPr>
          <w:rFonts w:ascii="Times New Roman" w:hAnsi="Times New Roman" w:cs="Times New Roman"/>
          <w:bCs/>
        </w:rPr>
        <w:t xml:space="preserve">, </w:t>
      </w:r>
      <w:r w:rsidR="00281F84" w:rsidRPr="00D74B77">
        <w:rPr>
          <w:rFonts w:ascii="Times New Roman" w:hAnsi="Times New Roman" w:cs="Times New Roman"/>
          <w:bCs/>
        </w:rPr>
        <w:t>w</w:t>
      </w:r>
      <w:r w:rsidRPr="00D74B77">
        <w:rPr>
          <w:rFonts w:ascii="Times New Roman" w:hAnsi="Times New Roman" w:cs="Times New Roman"/>
          <w:bCs/>
        </w:rPr>
        <w:t xml:space="preserve"> okres</w:t>
      </w:r>
      <w:r w:rsidR="00281F84" w:rsidRPr="00D74B77">
        <w:rPr>
          <w:rFonts w:ascii="Times New Roman" w:hAnsi="Times New Roman" w:cs="Times New Roman"/>
          <w:bCs/>
        </w:rPr>
        <w:t xml:space="preserve">ie </w:t>
      </w:r>
      <w:r w:rsidR="00D644BA" w:rsidRPr="00D74B77">
        <w:rPr>
          <w:rFonts w:ascii="Times New Roman" w:hAnsi="Times New Roman" w:cs="Times New Roman"/>
          <w:bCs/>
        </w:rPr>
        <w:t>kwalifikowanym</w:t>
      </w:r>
      <w:r w:rsidR="00281F84" w:rsidRPr="00D74B77">
        <w:rPr>
          <w:rFonts w:ascii="Times New Roman" w:hAnsi="Times New Roman" w:cs="Times New Roman"/>
          <w:bCs/>
        </w:rPr>
        <w:t>.</w:t>
      </w:r>
    </w:p>
    <w:p w14:paraId="7E51C601" w14:textId="0C66F9FC" w:rsidR="00E52773" w:rsidRPr="00D74B77" w:rsidRDefault="009406CC" w:rsidP="00B236FD">
      <w:pPr>
        <w:spacing w:line="276" w:lineRule="auto"/>
        <w:jc w:val="both"/>
        <w:rPr>
          <w:rFonts w:ascii="Times New Roman" w:hAnsi="Times New Roman" w:cs="Times New Roman"/>
          <w:bCs/>
        </w:rPr>
      </w:pPr>
      <w:r w:rsidRPr="00D74B77">
        <w:rPr>
          <w:rFonts w:ascii="Times New Roman" w:hAnsi="Times New Roman" w:cs="Times New Roman"/>
          <w:bCs/>
        </w:rPr>
        <w:t>Wysokość wsparcia, zgodnie z Komunikatem CISAF, nie może skutkować uzyskaniem ceny energii elektrycznej poniżej 50</w:t>
      </w:r>
      <w:r w:rsidR="009C5BAB" w:rsidRPr="00D74B77">
        <w:rPr>
          <w:rFonts w:ascii="Times New Roman" w:hAnsi="Times New Roman" w:cs="Times New Roman"/>
          <w:bCs/>
        </w:rPr>
        <w:t xml:space="preserve"> </w:t>
      </w:r>
      <w:r w:rsidRPr="00D74B77">
        <w:rPr>
          <w:rFonts w:ascii="Times New Roman" w:hAnsi="Times New Roman" w:cs="Times New Roman"/>
          <w:bCs/>
        </w:rPr>
        <w:t xml:space="preserve">EUR/MWh. W celu </w:t>
      </w:r>
      <w:r w:rsidR="00E52773" w:rsidRPr="00D74B77">
        <w:rPr>
          <w:rFonts w:ascii="Times New Roman" w:hAnsi="Times New Roman" w:cs="Times New Roman"/>
          <w:bCs/>
        </w:rPr>
        <w:t xml:space="preserve">dokonania </w:t>
      </w:r>
      <w:r w:rsidRPr="00D74B77">
        <w:rPr>
          <w:rFonts w:ascii="Times New Roman" w:hAnsi="Times New Roman" w:cs="Times New Roman"/>
          <w:bCs/>
        </w:rPr>
        <w:t xml:space="preserve">porównania </w:t>
      </w:r>
      <w:r w:rsidR="005B635B" w:rsidRPr="00D74B77">
        <w:rPr>
          <w:rFonts w:ascii="Times New Roman" w:hAnsi="Times New Roman" w:cs="Times New Roman"/>
          <w:bCs/>
        </w:rPr>
        <w:t>50</w:t>
      </w:r>
      <w:r w:rsidR="009C5BAB" w:rsidRPr="00D74B77">
        <w:rPr>
          <w:rFonts w:ascii="Times New Roman" w:hAnsi="Times New Roman" w:cs="Times New Roman"/>
          <w:bCs/>
        </w:rPr>
        <w:t xml:space="preserve"> </w:t>
      </w:r>
      <w:r w:rsidR="005B635B" w:rsidRPr="00D74B77">
        <w:rPr>
          <w:rFonts w:ascii="Times New Roman" w:hAnsi="Times New Roman" w:cs="Times New Roman"/>
          <w:bCs/>
        </w:rPr>
        <w:t>% ceny R</w:t>
      </w:r>
      <w:r w:rsidR="002B6098" w:rsidRPr="00D74B77">
        <w:rPr>
          <w:rFonts w:ascii="Times New Roman" w:hAnsi="Times New Roman" w:cs="Times New Roman"/>
          <w:bCs/>
        </w:rPr>
        <w:t>K</w:t>
      </w:r>
      <w:r w:rsidR="00807C93" w:rsidRPr="00D74B77">
        <w:rPr>
          <w:rFonts w:ascii="Times New Roman" w:hAnsi="Times New Roman" w:cs="Times New Roman"/>
          <w:bCs/>
        </w:rPr>
        <w:t xml:space="preserve"> w okresie kwalifikowanym</w:t>
      </w:r>
      <w:r w:rsidR="005B635B" w:rsidRPr="00D74B77">
        <w:rPr>
          <w:rFonts w:ascii="Times New Roman" w:hAnsi="Times New Roman" w:cs="Times New Roman"/>
          <w:bCs/>
        </w:rPr>
        <w:t xml:space="preserve"> </w:t>
      </w:r>
      <w:r w:rsidR="00807C93" w:rsidRPr="00D74B77">
        <w:rPr>
          <w:rFonts w:ascii="Times New Roman" w:hAnsi="Times New Roman" w:cs="Times New Roman"/>
          <w:bCs/>
        </w:rPr>
        <w:t xml:space="preserve">wyrażonej w złotówkach </w:t>
      </w:r>
      <w:r w:rsidR="005B635B" w:rsidRPr="00D74B77">
        <w:rPr>
          <w:rFonts w:ascii="Times New Roman" w:hAnsi="Times New Roman" w:cs="Times New Roman"/>
          <w:bCs/>
        </w:rPr>
        <w:t xml:space="preserve">a </w:t>
      </w:r>
      <w:r w:rsidRPr="00D74B77">
        <w:rPr>
          <w:rFonts w:ascii="Times New Roman" w:hAnsi="Times New Roman" w:cs="Times New Roman"/>
          <w:bCs/>
        </w:rPr>
        <w:t>limit</w:t>
      </w:r>
      <w:r w:rsidR="005B635B" w:rsidRPr="00D74B77">
        <w:rPr>
          <w:rFonts w:ascii="Times New Roman" w:hAnsi="Times New Roman" w:cs="Times New Roman"/>
          <w:bCs/>
        </w:rPr>
        <w:t>em</w:t>
      </w:r>
      <w:r w:rsidRPr="00D74B77">
        <w:rPr>
          <w:rFonts w:ascii="Times New Roman" w:hAnsi="Times New Roman" w:cs="Times New Roman"/>
          <w:bCs/>
        </w:rPr>
        <w:t xml:space="preserve"> 50 EUR/MWh</w:t>
      </w:r>
      <w:r w:rsidR="005B635B" w:rsidRPr="00D74B77">
        <w:rPr>
          <w:rFonts w:ascii="Times New Roman" w:hAnsi="Times New Roman" w:cs="Times New Roman"/>
          <w:bCs/>
        </w:rPr>
        <w:t xml:space="preserve">, </w:t>
      </w:r>
      <w:r w:rsidR="00807C93" w:rsidRPr="00D74B77">
        <w:rPr>
          <w:rFonts w:ascii="Times New Roman" w:hAnsi="Times New Roman" w:cs="Times New Roman"/>
          <w:bCs/>
        </w:rPr>
        <w:t xml:space="preserve">zostanie dokonane przeliczenie kursowe </w:t>
      </w:r>
      <w:r w:rsidR="00E52773" w:rsidRPr="00D74B77">
        <w:rPr>
          <w:rFonts w:ascii="Times New Roman" w:hAnsi="Times New Roman" w:cs="Times New Roman"/>
          <w:bCs/>
        </w:rPr>
        <w:t xml:space="preserve">według </w:t>
      </w:r>
      <w:r w:rsidR="002B6098" w:rsidRPr="00D74B77">
        <w:rPr>
          <w:rFonts w:ascii="Times New Roman" w:hAnsi="Times New Roman" w:cs="Times New Roman"/>
          <w:bCs/>
        </w:rPr>
        <w:t xml:space="preserve">średniego </w:t>
      </w:r>
      <w:r w:rsidR="00E52773" w:rsidRPr="00D74B77">
        <w:rPr>
          <w:rFonts w:ascii="Times New Roman" w:hAnsi="Times New Roman" w:cs="Times New Roman"/>
          <w:bCs/>
        </w:rPr>
        <w:t>kursu euro ogłaszanego przez Narodowy Bank Polski</w:t>
      </w:r>
      <w:r w:rsidR="00807C93" w:rsidRPr="00D74B77">
        <w:rPr>
          <w:rFonts w:ascii="Times New Roman" w:hAnsi="Times New Roman" w:cs="Times New Roman"/>
          <w:bCs/>
        </w:rPr>
        <w:t xml:space="preserve"> na ostatni dzień okresu kwalifikowanego.</w:t>
      </w:r>
    </w:p>
    <w:p w14:paraId="20295538" w14:textId="6DFB7308" w:rsidR="005B635B" w:rsidRPr="00D74B77" w:rsidRDefault="005B635B"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 xml:space="preserve">Warunki przyznania </w:t>
      </w:r>
      <w:r w:rsidR="00D644BA" w:rsidRPr="00D74B77">
        <w:rPr>
          <w:rFonts w:ascii="Times New Roman" w:hAnsi="Times New Roman" w:cs="Times New Roman"/>
          <w:b/>
          <w:bCs/>
          <w:u w:val="single"/>
        </w:rPr>
        <w:t>wsparcia</w:t>
      </w:r>
      <w:r w:rsidR="00807C93" w:rsidRPr="00D74B77">
        <w:rPr>
          <w:rFonts w:ascii="Times New Roman" w:hAnsi="Times New Roman" w:cs="Times New Roman"/>
          <w:b/>
          <w:bCs/>
          <w:u w:val="single"/>
        </w:rPr>
        <w:t xml:space="preserve"> (art. 3 ust. 7 i 8, art. 8</w:t>
      </w:r>
      <w:r w:rsidR="00A232EB" w:rsidRPr="00D74B77">
        <w:rPr>
          <w:rFonts w:ascii="Times New Roman" w:hAnsi="Times New Roman" w:cs="Times New Roman"/>
          <w:b/>
          <w:bCs/>
          <w:u w:val="single"/>
        </w:rPr>
        <w:t>, art. 21</w:t>
      </w:r>
      <w:r w:rsidR="00807C93" w:rsidRPr="00D74B77">
        <w:rPr>
          <w:rFonts w:ascii="Times New Roman" w:hAnsi="Times New Roman" w:cs="Times New Roman"/>
          <w:b/>
          <w:bCs/>
          <w:u w:val="single"/>
        </w:rPr>
        <w:t>)</w:t>
      </w:r>
    </w:p>
    <w:p w14:paraId="6CB70ABA" w14:textId="2D331302" w:rsidR="005B635B" w:rsidRPr="00D74B77" w:rsidRDefault="002B6098" w:rsidP="00B236FD">
      <w:pPr>
        <w:spacing w:line="276" w:lineRule="auto"/>
        <w:jc w:val="both"/>
        <w:rPr>
          <w:rFonts w:ascii="Times New Roman" w:hAnsi="Times New Roman" w:cs="Times New Roman"/>
        </w:rPr>
      </w:pPr>
      <w:r w:rsidRPr="00D74B77">
        <w:rPr>
          <w:rFonts w:ascii="Times New Roman" w:hAnsi="Times New Roman"/>
          <w:spacing w:val="-2"/>
        </w:rPr>
        <w:t>Środki w wysokości c</w:t>
      </w:r>
      <w:r w:rsidR="005B635B" w:rsidRPr="00D74B77">
        <w:rPr>
          <w:rFonts w:ascii="Times New Roman" w:hAnsi="Times New Roman"/>
          <w:spacing w:val="-2"/>
        </w:rPr>
        <w:t>o najmniej 50</w:t>
      </w:r>
      <w:r w:rsidR="009C5BAB" w:rsidRPr="00D74B77">
        <w:rPr>
          <w:rFonts w:ascii="Times New Roman" w:hAnsi="Times New Roman"/>
          <w:spacing w:val="-2"/>
        </w:rPr>
        <w:t xml:space="preserve"> </w:t>
      </w:r>
      <w:r w:rsidR="005B635B" w:rsidRPr="00D74B77">
        <w:rPr>
          <w:rFonts w:ascii="Times New Roman" w:hAnsi="Times New Roman"/>
          <w:spacing w:val="-2"/>
        </w:rPr>
        <w:t xml:space="preserve">% </w:t>
      </w:r>
      <w:r w:rsidRPr="00D74B77">
        <w:rPr>
          <w:rFonts w:ascii="Times New Roman" w:hAnsi="Times New Roman"/>
          <w:spacing w:val="-2"/>
        </w:rPr>
        <w:t xml:space="preserve">wsparcia przedsiębiorca jest obowiązany do przeznaczenia </w:t>
      </w:r>
      <w:r w:rsidR="005B635B" w:rsidRPr="00D74B77">
        <w:rPr>
          <w:rFonts w:ascii="Times New Roman" w:hAnsi="Times New Roman"/>
          <w:spacing w:val="-2"/>
        </w:rPr>
        <w:t>na inwestycje w nowe lub zmodernizowane aktywa realizowane przez beneficjentów wsparcia lub poprzez podmioty trzecie.</w:t>
      </w:r>
      <w:r w:rsidR="005B635B" w:rsidRPr="00D74B77">
        <w:rPr>
          <w:rFonts w:ascii="Times New Roman" w:hAnsi="Times New Roman" w:cs="Times New Roman"/>
        </w:rPr>
        <w:t xml:space="preserve"> Inwestycja powinna zostać oddana do użytkowania </w:t>
      </w:r>
      <w:r w:rsidR="00C95EC0" w:rsidRPr="00D74B77">
        <w:rPr>
          <w:rFonts w:ascii="Times New Roman" w:hAnsi="Times New Roman" w:cs="Times New Roman"/>
        </w:rPr>
        <w:t>nie później</w:t>
      </w:r>
      <w:r w:rsidR="005B635B" w:rsidRPr="00D74B77">
        <w:rPr>
          <w:rFonts w:ascii="Times New Roman" w:hAnsi="Times New Roman" w:cs="Times New Roman"/>
        </w:rPr>
        <w:t xml:space="preserve"> niż w terminie 48 miesięcy od dnia udzielenia wsparcia. </w:t>
      </w:r>
      <w:r w:rsidR="00C95EC0" w:rsidRPr="00D74B77">
        <w:rPr>
          <w:rFonts w:ascii="Times New Roman" w:hAnsi="Times New Roman" w:cs="Times New Roman"/>
        </w:rPr>
        <w:t>Przedsiębiorca planując inwestycje na etapie składania wniosku powinien przewidzieć 48 miesięczny termin realizacji jednakże jeżeli w trakcie realizacji inwestycji zaistnieje okoliczność nieprzewidziana, w</w:t>
      </w:r>
      <w:r w:rsidR="005B635B" w:rsidRPr="00D74B77">
        <w:rPr>
          <w:rFonts w:ascii="Times New Roman" w:hAnsi="Times New Roman" w:cs="Times New Roman"/>
        </w:rPr>
        <w:t xml:space="preserve"> sytuacji gdy inwestycja jest z przyczyn technicznych </w:t>
      </w:r>
      <w:r w:rsidR="00272293" w:rsidRPr="00D74B77">
        <w:rPr>
          <w:rFonts w:ascii="Times New Roman" w:hAnsi="Times New Roman" w:cs="Times New Roman"/>
        </w:rPr>
        <w:t>o</w:t>
      </w:r>
      <w:r w:rsidR="009C5BAB" w:rsidRPr="00D74B77">
        <w:rPr>
          <w:rFonts w:ascii="Times New Roman" w:hAnsi="Times New Roman" w:cs="Times New Roman"/>
        </w:rPr>
        <w:t> </w:t>
      </w:r>
      <w:r w:rsidR="00272293" w:rsidRPr="00D74B77">
        <w:rPr>
          <w:rFonts w:ascii="Times New Roman" w:hAnsi="Times New Roman" w:cs="Times New Roman"/>
        </w:rPr>
        <w:t xml:space="preserve">obiektywnym charakterze </w:t>
      </w:r>
      <w:r w:rsidR="005B635B" w:rsidRPr="00D74B77">
        <w:rPr>
          <w:rFonts w:ascii="Times New Roman" w:hAnsi="Times New Roman" w:cs="Times New Roman"/>
        </w:rPr>
        <w:t xml:space="preserve">niemożliwa do oddania do użytkowania w terminie 48 miesięcy od dnia udzielenia wsparcia oraz inwestycja ma istotne znaczenie dla bezpieczeństwa energetycznego, obniżenia energochłonności lub jednostkowej ceny energii, dopuszcza się aby inwestycja była oddana do użytkowania w innym terminie, ale nie później niż 60 miesięcy od dnia otrzymania wsparcia. </w:t>
      </w:r>
      <w:r w:rsidR="00D644BA" w:rsidRPr="00D74B77">
        <w:rPr>
          <w:rFonts w:ascii="Times New Roman" w:hAnsi="Times New Roman" w:cs="Times New Roman"/>
        </w:rPr>
        <w:t xml:space="preserve">Szczegółowy katalog inwestycji zostanie określony w rządowym programie pomocy.  </w:t>
      </w:r>
      <w:r w:rsidR="00C841EB" w:rsidRPr="00D74B77">
        <w:rPr>
          <w:rFonts w:ascii="Times New Roman" w:hAnsi="Times New Roman" w:cs="Times New Roman"/>
        </w:rPr>
        <w:t>Powyżej opisane warunki dotyczące terminu oddania do użytku inwestycji są bezpośrednim odzwierciedleniem treści Komunikatu CISAF. Ograniczenie terminu do 60 miesięcy od dnia otrzymania wsparcia wynika z</w:t>
      </w:r>
      <w:r w:rsidR="009C5BAB" w:rsidRPr="00D74B77">
        <w:rPr>
          <w:rFonts w:ascii="Times New Roman" w:hAnsi="Times New Roman" w:cs="Times New Roman"/>
        </w:rPr>
        <w:t> </w:t>
      </w:r>
      <w:r w:rsidR="00C841EB" w:rsidRPr="00D74B77">
        <w:rPr>
          <w:rFonts w:ascii="Times New Roman" w:hAnsi="Times New Roman" w:cs="Times New Roman"/>
        </w:rPr>
        <w:t>konieczności zaplanowania zakończenia trwania programu oraz zaangażowania Operatora pomocy w</w:t>
      </w:r>
      <w:r w:rsidR="009C5BAB" w:rsidRPr="00D74B77">
        <w:rPr>
          <w:rFonts w:ascii="Times New Roman" w:hAnsi="Times New Roman" w:cs="Times New Roman"/>
        </w:rPr>
        <w:t> </w:t>
      </w:r>
      <w:r w:rsidR="00C841EB" w:rsidRPr="00D74B77">
        <w:rPr>
          <w:rFonts w:ascii="Times New Roman" w:hAnsi="Times New Roman" w:cs="Times New Roman"/>
        </w:rPr>
        <w:t>jego realizację.</w:t>
      </w:r>
      <w:r w:rsidR="00C95EC0" w:rsidRPr="00D74B77">
        <w:rPr>
          <w:rFonts w:ascii="Times New Roman" w:hAnsi="Times New Roman" w:cs="Times New Roman"/>
        </w:rPr>
        <w:t xml:space="preserve"> Brak zrealizowania inwestycji w terminie będzie skutkować koniecznością zwrotu pomocy publicznej. </w:t>
      </w:r>
    </w:p>
    <w:p w14:paraId="62FD3EF0" w14:textId="59764A61" w:rsidR="00781E7B" w:rsidRPr="00D74B77" w:rsidRDefault="00BC7044" w:rsidP="00B236FD">
      <w:pPr>
        <w:spacing w:line="276" w:lineRule="auto"/>
        <w:jc w:val="both"/>
        <w:rPr>
          <w:rFonts w:ascii="Times New Roman" w:hAnsi="Times New Roman"/>
          <w:spacing w:val="-2"/>
        </w:rPr>
      </w:pPr>
      <w:r w:rsidRPr="00D74B77">
        <w:rPr>
          <w:rFonts w:ascii="Times New Roman" w:hAnsi="Times New Roman"/>
          <w:spacing w:val="-2"/>
        </w:rPr>
        <w:t xml:space="preserve">(art. 8) </w:t>
      </w:r>
      <w:r w:rsidR="00781E7B" w:rsidRPr="00D74B77">
        <w:rPr>
          <w:rFonts w:ascii="Times New Roman" w:hAnsi="Times New Roman"/>
          <w:spacing w:val="-2"/>
        </w:rPr>
        <w:t>W celu zwiększenia prawdopodobieństwa realizacji inwestycji i jednocześnie zmniejszenia prawdopodobieństwa obowiązku zwrotu udzielonej pomocy publicznej, postawiono warunek udzielenia wsparcia w postaci udziału środków własnych przedsiębiorcy lub zewnętrznych źródeł finansowania wynoszący co najmniej 20 % wysokości kosztów kwalifikowanych inwestycji wskazanej we wniosku.</w:t>
      </w:r>
    </w:p>
    <w:p w14:paraId="4523630D" w14:textId="02E186C7" w:rsidR="005B635B" w:rsidRPr="00D74B77" w:rsidRDefault="00BC7044" w:rsidP="00B236FD">
      <w:pPr>
        <w:spacing w:line="276" w:lineRule="auto"/>
        <w:jc w:val="both"/>
        <w:rPr>
          <w:rFonts w:ascii="Times New Roman" w:hAnsi="Times New Roman"/>
          <w:spacing w:val="-2"/>
        </w:rPr>
      </w:pPr>
      <w:r w:rsidRPr="00D74B77">
        <w:rPr>
          <w:rFonts w:ascii="Times New Roman" w:hAnsi="Times New Roman"/>
          <w:spacing w:val="-2"/>
        </w:rPr>
        <w:t xml:space="preserve">(art. 21) </w:t>
      </w:r>
      <w:r w:rsidR="005B635B" w:rsidRPr="00D74B77">
        <w:rPr>
          <w:rFonts w:ascii="Times New Roman" w:hAnsi="Times New Roman"/>
          <w:spacing w:val="-2"/>
        </w:rPr>
        <w:t xml:space="preserve">W celu </w:t>
      </w:r>
      <w:r w:rsidR="009C77D5" w:rsidRPr="00D74B77">
        <w:rPr>
          <w:rFonts w:ascii="Times New Roman" w:hAnsi="Times New Roman"/>
          <w:spacing w:val="-2"/>
        </w:rPr>
        <w:t>wsparcia procesu odzyskiwania należności</w:t>
      </w:r>
      <w:r w:rsidR="005B635B" w:rsidRPr="00D74B77">
        <w:rPr>
          <w:rFonts w:ascii="Times New Roman" w:hAnsi="Times New Roman"/>
          <w:spacing w:val="-2"/>
        </w:rPr>
        <w:t xml:space="preserve"> Skarbu Państwa </w:t>
      </w:r>
      <w:r w:rsidR="009C77D5" w:rsidRPr="00D74B77">
        <w:rPr>
          <w:rFonts w:ascii="Times New Roman" w:hAnsi="Times New Roman"/>
          <w:spacing w:val="-2"/>
        </w:rPr>
        <w:t xml:space="preserve">przedsiębiorca zobowiązany jest do złożenia </w:t>
      </w:r>
      <w:r w:rsidR="005B635B" w:rsidRPr="00D74B77">
        <w:rPr>
          <w:rFonts w:ascii="Times New Roman" w:hAnsi="Times New Roman"/>
          <w:spacing w:val="-2"/>
        </w:rPr>
        <w:t>oświadczenia o poddaniu się egzekucji wprost spełniające</w:t>
      </w:r>
      <w:r w:rsidR="00807C93" w:rsidRPr="00D74B77">
        <w:rPr>
          <w:rFonts w:ascii="Times New Roman" w:hAnsi="Times New Roman"/>
          <w:spacing w:val="-2"/>
        </w:rPr>
        <w:t>j</w:t>
      </w:r>
      <w:r w:rsidR="005B635B" w:rsidRPr="00D74B77">
        <w:rPr>
          <w:rFonts w:ascii="Times New Roman" w:hAnsi="Times New Roman"/>
          <w:spacing w:val="-2"/>
        </w:rPr>
        <w:t xml:space="preserve"> warunki określone w art. 777 § 1 pkt 4-6 ustawy z dnia 17 listopada 1964 r. - Kodeks postępowania cywilnego (Dz. U. z 2026 r. poz. 468, 473 i 830)</w:t>
      </w:r>
      <w:r w:rsidRPr="00D74B77">
        <w:rPr>
          <w:rFonts w:ascii="Times New Roman" w:hAnsi="Times New Roman"/>
          <w:spacing w:val="-2"/>
        </w:rPr>
        <w:t>, w wysokości 120 % łącznej kwoty udzielonego wsparcia.</w:t>
      </w:r>
    </w:p>
    <w:p w14:paraId="0CEC6E57" w14:textId="6F5C8FCE" w:rsidR="00B236FD" w:rsidRPr="00D74B77" w:rsidRDefault="00B236FD"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 xml:space="preserve">Kumulacja </w:t>
      </w:r>
      <w:r w:rsidR="00272293" w:rsidRPr="00D74B77">
        <w:rPr>
          <w:rFonts w:ascii="Times New Roman" w:hAnsi="Times New Roman" w:cs="Times New Roman"/>
          <w:b/>
          <w:bCs/>
          <w:u w:val="single"/>
        </w:rPr>
        <w:t xml:space="preserve">pomocy </w:t>
      </w:r>
      <w:r w:rsidRPr="00D74B77">
        <w:rPr>
          <w:rFonts w:ascii="Times New Roman" w:hAnsi="Times New Roman" w:cs="Times New Roman"/>
          <w:b/>
          <w:bCs/>
          <w:u w:val="single"/>
        </w:rPr>
        <w:t>(art. 4)</w:t>
      </w:r>
    </w:p>
    <w:p w14:paraId="459F7137" w14:textId="71341E46" w:rsidR="00BC7044" w:rsidRPr="00D74B77" w:rsidRDefault="00BC7044" w:rsidP="00BC7044">
      <w:pPr>
        <w:spacing w:line="276" w:lineRule="auto"/>
        <w:jc w:val="both"/>
        <w:rPr>
          <w:rFonts w:ascii="Times New Roman" w:hAnsi="Times New Roman" w:cs="Times New Roman"/>
        </w:rPr>
      </w:pPr>
      <w:r w:rsidRPr="00D74B77">
        <w:rPr>
          <w:rFonts w:ascii="Times New Roman" w:hAnsi="Times New Roman" w:cs="Times New Roman"/>
        </w:rPr>
        <w:lastRenderedPageBreak/>
        <w:t>Projektowany art. 4 określa zasady łączenia wsparcia z rekompensatami pośrednich kosztów emisji przyznawanymi na podstawie ustawy z dnia 19 lipca 2019 r. o systemie rekompensat dla sektorów i podsektorów energochłonnych oraz z inną pomocą publiczną i pomocą de minimis. Celem regulacji jest umożliwienie kumulacji tych form wsparcia w granicach dopuszczalnych przepisami o pomocy publicznej, przy jednoczesnym zapewnieniu kontroli przestrzegania właściwych limitów kumulacji.</w:t>
      </w:r>
    </w:p>
    <w:p w14:paraId="10C71A1C" w14:textId="121C97BB" w:rsidR="00BC7044" w:rsidRPr="00D74B77" w:rsidRDefault="00BC7044" w:rsidP="00BC7044">
      <w:pPr>
        <w:spacing w:line="276" w:lineRule="auto"/>
        <w:jc w:val="both"/>
        <w:rPr>
          <w:rFonts w:ascii="Times New Roman" w:hAnsi="Times New Roman" w:cs="Times New Roman"/>
        </w:rPr>
      </w:pPr>
      <w:r w:rsidRPr="00D74B77">
        <w:rPr>
          <w:rFonts w:ascii="Times New Roman" w:hAnsi="Times New Roman" w:cs="Times New Roman"/>
        </w:rPr>
        <w:t>W odniesieniu do rekompensat przewidziano dwa sposoby postępowania. Pierwszy dotyczy wsparcia zużycia energii elektrycznej nieobjętego rekompensatą ani wnioskiem o jej przyznanie za ten sam okres kwalifikowany. Ilość energii objętej rekompensatą albo wnioskiem ustala się na podstawie danych i dokumentów dotyczących tego zużycia, w sposób określony w programie. Ustawa pozostawia zatem programowi określenie szczegółowej metody przypisywania zużycia do poszczególnych instrumentów.</w:t>
      </w:r>
    </w:p>
    <w:p w14:paraId="41415074" w14:textId="7B6C2F67" w:rsidR="00BC7044" w:rsidRPr="00D74B77" w:rsidRDefault="00BC7044" w:rsidP="00BC7044">
      <w:pPr>
        <w:spacing w:line="276" w:lineRule="auto"/>
        <w:jc w:val="both"/>
        <w:rPr>
          <w:rFonts w:ascii="Times New Roman" w:hAnsi="Times New Roman" w:cs="Times New Roman"/>
        </w:rPr>
      </w:pPr>
      <w:r w:rsidRPr="00D74B77">
        <w:rPr>
          <w:rFonts w:ascii="Times New Roman" w:hAnsi="Times New Roman" w:cs="Times New Roman"/>
        </w:rPr>
        <w:t xml:space="preserve">Drugi sposób dotyczy sytuacji, w której wsparcie i rekompensata odnoszą się do tego samego kwalifikującego się zużycia energii elektrycznej. W takim przypadku łączna kwota obu rodzajów pomocy nie może przekroczyć wyższej z maksymalnych kwot dopuszczalnych w ramach poszczególnych instrumentów. Porównanie obejmuje pomoc przypadającą na to samo zużycie. Ustalenie wysokości wsparcia wymaga zatem uwzględnienia zakresu nakładania się obu instrumentów oraz zachowania właściwego pułapu kumulacji. </w:t>
      </w:r>
    </w:p>
    <w:p w14:paraId="01B85965" w14:textId="134829E2" w:rsidR="00BC7044" w:rsidRPr="00D74B77" w:rsidRDefault="00BC7044" w:rsidP="00BC7044">
      <w:pPr>
        <w:spacing w:line="276" w:lineRule="auto"/>
        <w:jc w:val="both"/>
        <w:rPr>
          <w:rFonts w:ascii="Times New Roman" w:hAnsi="Times New Roman" w:cs="Times New Roman"/>
        </w:rPr>
      </w:pPr>
      <w:r w:rsidRPr="00D74B77">
        <w:rPr>
          <w:rFonts w:ascii="Times New Roman" w:hAnsi="Times New Roman" w:cs="Times New Roman"/>
        </w:rPr>
        <w:t xml:space="preserve">Art. 4 ust. </w:t>
      </w:r>
      <w:r w:rsidR="00E80889" w:rsidRPr="00D74B77">
        <w:rPr>
          <w:rFonts w:ascii="Times New Roman" w:hAnsi="Times New Roman" w:cs="Times New Roman"/>
        </w:rPr>
        <w:t>4</w:t>
      </w:r>
      <w:r w:rsidRPr="00D74B77">
        <w:rPr>
          <w:rFonts w:ascii="Times New Roman" w:hAnsi="Times New Roman" w:cs="Times New Roman"/>
        </w:rPr>
        <w:t xml:space="preserve"> uzupełnia te zasady o możliwość łączenia wsparcia z inną pomocą publiczną lub pomocą de minimis w odniesieniu do kosztów kwalifikowalnych pokrywających się częściowo albo w całości. Kumulacja podlega limitom intensywności lub kwoty pomocy wynikającym z przepisów regulujących poszczególne rodzaje pomocy.</w:t>
      </w:r>
    </w:p>
    <w:p w14:paraId="184A36B5" w14:textId="117FEE20" w:rsidR="00BC7044" w:rsidRPr="00D74B77" w:rsidRDefault="00BC7044" w:rsidP="00BC7044">
      <w:pPr>
        <w:spacing w:line="276" w:lineRule="auto"/>
        <w:jc w:val="both"/>
        <w:rPr>
          <w:rFonts w:ascii="Times New Roman" w:hAnsi="Times New Roman" w:cs="Times New Roman"/>
        </w:rPr>
      </w:pPr>
      <w:r w:rsidRPr="00D74B77">
        <w:rPr>
          <w:rFonts w:ascii="Times New Roman" w:hAnsi="Times New Roman" w:cs="Times New Roman"/>
        </w:rPr>
        <w:t xml:space="preserve">Projektowany art. 4 ust. </w:t>
      </w:r>
      <w:r w:rsidR="00E80889" w:rsidRPr="00D74B77">
        <w:rPr>
          <w:rFonts w:ascii="Times New Roman" w:hAnsi="Times New Roman" w:cs="Times New Roman"/>
        </w:rPr>
        <w:t>5</w:t>
      </w:r>
      <w:r w:rsidRPr="00D74B77">
        <w:rPr>
          <w:rFonts w:ascii="Times New Roman" w:hAnsi="Times New Roman" w:cs="Times New Roman"/>
        </w:rPr>
        <w:t xml:space="preserve"> i </w:t>
      </w:r>
      <w:r w:rsidR="00E80889" w:rsidRPr="00D74B77">
        <w:rPr>
          <w:rFonts w:ascii="Times New Roman" w:hAnsi="Times New Roman" w:cs="Times New Roman"/>
        </w:rPr>
        <w:t>6</w:t>
      </w:r>
      <w:r w:rsidRPr="00D74B77">
        <w:rPr>
          <w:rFonts w:ascii="Times New Roman" w:hAnsi="Times New Roman" w:cs="Times New Roman"/>
        </w:rPr>
        <w:t xml:space="preserve"> wyłącza możliwość objęcia inną pomocą publiczną albo pomocą de minimis kosztów inwestycji zaliczanych do realizacji obowiązku inwestycyjnego. Jednocześnie dopuszcza objęcie inną pomocą wyodrębnionej części tej samej inwestycji, która nie jest zaliczana do realizacji tego obowiązku. Rozwiązanie to umożliwia rozdzielenie zakresu finansowania poszczególnych części inwestycji, przy jednoczesnym wykluczeniu podwójnego finansowania tych samych kosztów. Dopuszcza się także realizację odrębnego przedsięwzięcia w istniejącej infrastrukturze objętej wcześniej pomocą, pod warunkiem jednoznacznego określenia jego zakresu rzeczowego oraz wyodrębnienia jego kosztów od kosztów objętych wcześniejszą pomocą.</w:t>
      </w:r>
    </w:p>
    <w:p w14:paraId="0799F39F" w14:textId="72218E60" w:rsidR="00BC7044" w:rsidRPr="00D74B77" w:rsidRDefault="00BC7044" w:rsidP="00BC7044">
      <w:pPr>
        <w:spacing w:line="276" w:lineRule="auto"/>
        <w:jc w:val="both"/>
        <w:rPr>
          <w:rFonts w:ascii="Times New Roman" w:hAnsi="Times New Roman" w:cs="Times New Roman"/>
        </w:rPr>
      </w:pPr>
      <w:r w:rsidRPr="00D74B77">
        <w:rPr>
          <w:rFonts w:ascii="Times New Roman" w:hAnsi="Times New Roman" w:cs="Times New Roman"/>
        </w:rPr>
        <w:t>Przepis określa sposób ustalania łącznej wysokości wsparcia, obejmującej wsparcie za pierwszy okres kwalifikowany oraz prognozowane wsparcie za dwa kolejne okresy kwalifikowane. Rozwiązanie umożliwia ocenę przestrzegania limitów kumulacji w odniesieniu do całego okresu, na który udzielane jest wsparcie.</w:t>
      </w:r>
    </w:p>
    <w:p w14:paraId="16DBDF2D" w14:textId="4713675E" w:rsidR="00D644BA" w:rsidRPr="00D74B77" w:rsidRDefault="00D644BA" w:rsidP="00B236FD">
      <w:pPr>
        <w:spacing w:line="276" w:lineRule="auto"/>
        <w:jc w:val="both"/>
        <w:rPr>
          <w:rFonts w:ascii="Times New Roman" w:hAnsi="Times New Roman"/>
          <w:b/>
          <w:bCs/>
          <w:spacing w:val="-2"/>
          <w:u w:val="single"/>
        </w:rPr>
      </w:pPr>
      <w:r w:rsidRPr="00D74B77">
        <w:rPr>
          <w:rFonts w:ascii="Times New Roman" w:hAnsi="Times New Roman"/>
          <w:b/>
          <w:bCs/>
          <w:spacing w:val="-2"/>
          <w:u w:val="single"/>
        </w:rPr>
        <w:t>Program pomocy</w:t>
      </w:r>
      <w:r w:rsidR="00807C93" w:rsidRPr="00D74B77">
        <w:rPr>
          <w:rFonts w:ascii="Times New Roman" w:hAnsi="Times New Roman"/>
          <w:b/>
          <w:bCs/>
          <w:spacing w:val="-2"/>
          <w:u w:val="single"/>
        </w:rPr>
        <w:t xml:space="preserve"> (art. 5)</w:t>
      </w:r>
    </w:p>
    <w:p w14:paraId="0C0D76B3" w14:textId="77777777" w:rsidR="00D644BA" w:rsidRPr="00D74B77" w:rsidRDefault="00D644BA" w:rsidP="00B236FD">
      <w:pPr>
        <w:spacing w:line="276" w:lineRule="auto"/>
        <w:jc w:val="both"/>
        <w:rPr>
          <w:rFonts w:ascii="Times New Roman" w:hAnsi="Times New Roman"/>
          <w:spacing w:val="-2"/>
        </w:rPr>
      </w:pPr>
      <w:r w:rsidRPr="00D74B77">
        <w:rPr>
          <w:rFonts w:ascii="Times New Roman" w:hAnsi="Times New Roman"/>
          <w:spacing w:val="-2"/>
        </w:rPr>
        <w:t xml:space="preserve">W celu realizacji ustawy Rada Ministrów przyjmuje, w drodze uchwały, rządowy program pomocy. Program ten określa m.in. </w:t>
      </w:r>
    </w:p>
    <w:p w14:paraId="7B8F7116" w14:textId="77777777" w:rsidR="00D644BA" w:rsidRPr="00D74B77" w:rsidRDefault="00D644BA" w:rsidP="00B236FD">
      <w:pPr>
        <w:pStyle w:val="Akapitzlist"/>
        <w:numPr>
          <w:ilvl w:val="0"/>
          <w:numId w:val="3"/>
        </w:numPr>
        <w:spacing w:line="276" w:lineRule="auto"/>
        <w:jc w:val="both"/>
        <w:rPr>
          <w:rFonts w:ascii="Times New Roman" w:hAnsi="Times New Roman"/>
          <w:spacing w:val="-2"/>
        </w:rPr>
      </w:pPr>
      <w:r w:rsidRPr="00D74B77">
        <w:rPr>
          <w:rFonts w:ascii="Times New Roman" w:hAnsi="Times New Roman"/>
          <w:spacing w:val="-2"/>
        </w:rPr>
        <w:t>szczegółowy wykaz inwestycji, objętych dopłatą;</w:t>
      </w:r>
    </w:p>
    <w:p w14:paraId="48F264CF" w14:textId="77777777" w:rsidR="00D644BA" w:rsidRPr="00D74B77" w:rsidRDefault="00D644BA" w:rsidP="00B236FD">
      <w:pPr>
        <w:pStyle w:val="Akapitzlist"/>
        <w:numPr>
          <w:ilvl w:val="0"/>
          <w:numId w:val="3"/>
        </w:numPr>
        <w:spacing w:line="276" w:lineRule="auto"/>
        <w:jc w:val="both"/>
        <w:rPr>
          <w:rFonts w:ascii="Times New Roman" w:hAnsi="Times New Roman"/>
          <w:spacing w:val="-2"/>
        </w:rPr>
      </w:pPr>
      <w:r w:rsidRPr="00D74B77">
        <w:rPr>
          <w:rFonts w:ascii="Times New Roman" w:hAnsi="Times New Roman"/>
          <w:spacing w:val="-2"/>
        </w:rPr>
        <w:t>szczegółowe kryteria i warunki udzielenia wsparcia;</w:t>
      </w:r>
    </w:p>
    <w:p w14:paraId="161230F1" w14:textId="77777777" w:rsidR="00D644BA" w:rsidRPr="00D74B77" w:rsidRDefault="00D644BA" w:rsidP="00B236FD">
      <w:pPr>
        <w:pStyle w:val="Akapitzlist"/>
        <w:numPr>
          <w:ilvl w:val="0"/>
          <w:numId w:val="3"/>
        </w:numPr>
        <w:spacing w:line="276" w:lineRule="auto"/>
        <w:jc w:val="both"/>
        <w:rPr>
          <w:rFonts w:ascii="Times New Roman" w:hAnsi="Times New Roman"/>
          <w:spacing w:val="-2"/>
        </w:rPr>
      </w:pPr>
      <w:r w:rsidRPr="00D74B77">
        <w:rPr>
          <w:rFonts w:ascii="Times New Roman" w:hAnsi="Times New Roman"/>
          <w:spacing w:val="-2"/>
        </w:rPr>
        <w:t>wysokość środków przeznaczonych na finansowanie programu;</w:t>
      </w:r>
    </w:p>
    <w:p w14:paraId="52EC5BED" w14:textId="77777777" w:rsidR="00D644BA" w:rsidRPr="00D74B77" w:rsidRDefault="00D644BA" w:rsidP="00B236FD">
      <w:pPr>
        <w:pStyle w:val="Akapitzlist"/>
        <w:numPr>
          <w:ilvl w:val="0"/>
          <w:numId w:val="3"/>
        </w:numPr>
        <w:spacing w:line="276" w:lineRule="auto"/>
        <w:jc w:val="both"/>
        <w:rPr>
          <w:rFonts w:ascii="Times New Roman" w:hAnsi="Times New Roman"/>
          <w:spacing w:val="-2"/>
        </w:rPr>
      </w:pPr>
      <w:r w:rsidRPr="00D74B77">
        <w:rPr>
          <w:rFonts w:ascii="Times New Roman" w:hAnsi="Times New Roman"/>
          <w:spacing w:val="-2"/>
        </w:rPr>
        <w:t>częstotliwość naboru wniosków o udzielenie wsparcia;</w:t>
      </w:r>
    </w:p>
    <w:p w14:paraId="508F6CC9" w14:textId="77777777" w:rsidR="00D644BA" w:rsidRPr="00D74B77" w:rsidRDefault="00D644BA" w:rsidP="00B236FD">
      <w:pPr>
        <w:pStyle w:val="Akapitzlist"/>
        <w:numPr>
          <w:ilvl w:val="0"/>
          <w:numId w:val="3"/>
        </w:numPr>
        <w:spacing w:line="276" w:lineRule="auto"/>
        <w:rPr>
          <w:rFonts w:ascii="Times New Roman" w:hAnsi="Times New Roman"/>
          <w:spacing w:val="-2"/>
        </w:rPr>
      </w:pPr>
      <w:r w:rsidRPr="00D74B77">
        <w:rPr>
          <w:rFonts w:ascii="Times New Roman" w:hAnsi="Times New Roman"/>
          <w:spacing w:val="-2"/>
        </w:rPr>
        <w:t>szczegółowe warunki przyznania dopłat;</w:t>
      </w:r>
    </w:p>
    <w:p w14:paraId="294D451F" w14:textId="77777777" w:rsidR="00D644BA" w:rsidRPr="00D74B77" w:rsidRDefault="00D644BA" w:rsidP="00B236FD">
      <w:pPr>
        <w:pStyle w:val="Akapitzlist"/>
        <w:numPr>
          <w:ilvl w:val="0"/>
          <w:numId w:val="3"/>
        </w:numPr>
        <w:spacing w:line="276" w:lineRule="auto"/>
        <w:jc w:val="both"/>
        <w:rPr>
          <w:rFonts w:ascii="Times New Roman" w:hAnsi="Times New Roman"/>
          <w:spacing w:val="-2"/>
        </w:rPr>
      </w:pPr>
      <w:r w:rsidRPr="00D74B77">
        <w:rPr>
          <w:rFonts w:ascii="Times New Roman" w:hAnsi="Times New Roman"/>
          <w:spacing w:val="-2"/>
        </w:rPr>
        <w:t xml:space="preserve">wymogi dotyczące raportu oceny technicznej inwestycji, </w:t>
      </w:r>
    </w:p>
    <w:p w14:paraId="14617188" w14:textId="70BEA8D1" w:rsidR="00D644BA" w:rsidRPr="00D74B77" w:rsidRDefault="00D644BA" w:rsidP="00B236FD">
      <w:pPr>
        <w:pStyle w:val="Akapitzlist"/>
        <w:numPr>
          <w:ilvl w:val="0"/>
          <w:numId w:val="3"/>
        </w:numPr>
        <w:spacing w:line="276" w:lineRule="auto"/>
        <w:jc w:val="both"/>
        <w:rPr>
          <w:rFonts w:ascii="Times New Roman" w:hAnsi="Times New Roman"/>
          <w:spacing w:val="-2"/>
        </w:rPr>
      </w:pPr>
      <w:r w:rsidRPr="00D74B77">
        <w:rPr>
          <w:rFonts w:ascii="Times New Roman" w:hAnsi="Times New Roman"/>
          <w:spacing w:val="-2"/>
        </w:rPr>
        <w:t xml:space="preserve">szczegółowe </w:t>
      </w:r>
      <w:r w:rsidR="00D74B77">
        <w:rPr>
          <w:rFonts w:ascii="Times New Roman" w:hAnsi="Times New Roman"/>
          <w:spacing w:val="-2"/>
        </w:rPr>
        <w:t xml:space="preserve">warunki </w:t>
      </w:r>
      <w:r w:rsidRPr="00D74B77">
        <w:rPr>
          <w:rFonts w:ascii="Times New Roman" w:hAnsi="Times New Roman"/>
          <w:spacing w:val="-2"/>
        </w:rPr>
        <w:t>i terminy rozliczania otrzymanej dopłaty;</w:t>
      </w:r>
    </w:p>
    <w:p w14:paraId="794D3BE1" w14:textId="77777777" w:rsidR="00D644BA" w:rsidRPr="00D74B77" w:rsidRDefault="00D644BA" w:rsidP="00B236FD">
      <w:pPr>
        <w:pStyle w:val="Akapitzlist"/>
        <w:numPr>
          <w:ilvl w:val="0"/>
          <w:numId w:val="3"/>
        </w:numPr>
        <w:spacing w:line="276" w:lineRule="auto"/>
        <w:jc w:val="both"/>
        <w:rPr>
          <w:rFonts w:ascii="Times New Roman" w:hAnsi="Times New Roman"/>
          <w:spacing w:val="-2"/>
        </w:rPr>
      </w:pPr>
      <w:r w:rsidRPr="00D74B77">
        <w:rPr>
          <w:rFonts w:ascii="Times New Roman" w:hAnsi="Times New Roman"/>
          <w:spacing w:val="-2"/>
        </w:rPr>
        <w:t>wskaźniki rezultatu programu.</w:t>
      </w:r>
    </w:p>
    <w:p w14:paraId="22FF1FE6" w14:textId="5521191E" w:rsidR="00D644BA" w:rsidRPr="00D74B77" w:rsidRDefault="00D644BA" w:rsidP="00B236FD">
      <w:pPr>
        <w:spacing w:line="276" w:lineRule="auto"/>
        <w:jc w:val="both"/>
        <w:rPr>
          <w:rFonts w:ascii="Times New Roman" w:hAnsi="Times New Roman" w:cs="Times New Roman"/>
        </w:rPr>
      </w:pPr>
      <w:r w:rsidRPr="00D74B77">
        <w:rPr>
          <w:rFonts w:ascii="Times New Roman" w:hAnsi="Times New Roman" w:cs="Times New Roman"/>
        </w:rPr>
        <w:lastRenderedPageBreak/>
        <w:t>Program jest programem wieloletnim opracowanym na okres 9 lat. Jeżeli zajdzie potrzeba w okresie obowiązywania programu może nastąpić jego aktualizacja.</w:t>
      </w:r>
      <w:r w:rsidR="00BC7044" w:rsidRPr="00D74B77">
        <w:rPr>
          <w:rFonts w:ascii="Times New Roman" w:hAnsi="Times New Roman" w:cs="Times New Roman"/>
        </w:rPr>
        <w:t xml:space="preserve"> Wsparcie może być udzielone do wyczerpania środków finansowych przeznaczonych na udzielanie wsparcia, a także wypłacane do dnia 31 grudnia 2030 r.</w:t>
      </w:r>
    </w:p>
    <w:p w14:paraId="5F73525F" w14:textId="2440CB4F" w:rsidR="00781E7B" w:rsidRPr="00D74B77" w:rsidRDefault="00781E7B" w:rsidP="00B236FD">
      <w:pPr>
        <w:spacing w:line="276" w:lineRule="auto"/>
        <w:jc w:val="both"/>
        <w:rPr>
          <w:rFonts w:ascii="Times New Roman" w:hAnsi="Times New Roman" w:cs="Times New Roman"/>
        </w:rPr>
      </w:pPr>
      <w:r w:rsidRPr="00D74B77">
        <w:rPr>
          <w:rFonts w:ascii="Times New Roman" w:hAnsi="Times New Roman" w:cs="Times New Roman"/>
        </w:rPr>
        <w:t>Program zostanie opracowany i przyjęty przez Radę Ministrów, w drodze uchwały, w ciągu 90 dni od wejścia w życie ustawy.</w:t>
      </w:r>
    </w:p>
    <w:p w14:paraId="079B2396" w14:textId="3B5568AC" w:rsidR="00BD07B6" w:rsidRPr="00D74B77" w:rsidRDefault="00BD07B6"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Beneficjent pomocy</w:t>
      </w:r>
      <w:r w:rsidR="00807C93" w:rsidRPr="00D74B77">
        <w:rPr>
          <w:rFonts w:ascii="Times New Roman" w:hAnsi="Times New Roman" w:cs="Times New Roman"/>
          <w:b/>
          <w:bCs/>
          <w:u w:val="single"/>
        </w:rPr>
        <w:t xml:space="preserve"> (art. 7)</w:t>
      </w:r>
    </w:p>
    <w:p w14:paraId="79827ED3" w14:textId="655F1BFA" w:rsidR="003425F3" w:rsidRPr="00D74B77" w:rsidRDefault="006D640F" w:rsidP="00B236FD">
      <w:pPr>
        <w:spacing w:line="276" w:lineRule="auto"/>
        <w:jc w:val="both"/>
        <w:rPr>
          <w:rFonts w:ascii="Times New Roman" w:hAnsi="Times New Roman" w:cs="Times New Roman"/>
        </w:rPr>
      </w:pPr>
      <w:r w:rsidRPr="00D74B77">
        <w:rPr>
          <w:rFonts w:ascii="Times New Roman" w:hAnsi="Times New Roman" w:cs="Times New Roman"/>
        </w:rPr>
        <w:t>Beneficjentem programu</w:t>
      </w:r>
      <w:r w:rsidR="00C841EB" w:rsidRPr="00D74B77">
        <w:rPr>
          <w:rFonts w:ascii="Times New Roman" w:hAnsi="Times New Roman" w:cs="Times New Roman"/>
        </w:rPr>
        <w:t xml:space="preserve"> </w:t>
      </w:r>
      <w:r w:rsidRPr="00D74B77">
        <w:rPr>
          <w:rFonts w:ascii="Times New Roman" w:hAnsi="Times New Roman" w:cs="Times New Roman"/>
        </w:rPr>
        <w:t>może być przedsiębiorca, który ponad 50% przychodu z działalności gospodarczej, za rok w którym otrzymuje wsparcie, osiąga z działalności określonej w Polskiej Klasyfikacji Działalności (PKD) i oznaczonej kodami wymienionymi w załączniku nr 1 do ustawy. Załącznik nr 1 do ustawy zawiera sektory wymienione w załączniku 1 do (Wytycznych dotyczących pomocy państwa na rzecz klimatu, ochrony środowiska i energii) CEEAG</w:t>
      </w:r>
      <w:r w:rsidR="00C841EB" w:rsidRPr="00D74B77">
        <w:rPr>
          <w:rFonts w:ascii="Times New Roman" w:hAnsi="Times New Roman" w:cs="Times New Roman"/>
        </w:rPr>
        <w:t>, które zostały wskazane w</w:t>
      </w:r>
      <w:r w:rsidR="009C5BAB" w:rsidRPr="00D74B77">
        <w:rPr>
          <w:rFonts w:ascii="Times New Roman" w:hAnsi="Times New Roman" w:cs="Times New Roman"/>
        </w:rPr>
        <w:t> </w:t>
      </w:r>
      <w:r w:rsidR="00C841EB" w:rsidRPr="00D74B77">
        <w:rPr>
          <w:rFonts w:ascii="Times New Roman" w:hAnsi="Times New Roman" w:cs="Times New Roman"/>
        </w:rPr>
        <w:t>Komunikacie CISAF jako sektory wymagające wsparcia w postaci pomocy publicznej ze względu na znaczące ryzyko przeniesienia działalności poza Unię</w:t>
      </w:r>
      <w:r w:rsidR="00653918">
        <w:rPr>
          <w:rFonts w:ascii="Times New Roman" w:hAnsi="Times New Roman" w:cs="Times New Roman"/>
        </w:rPr>
        <w:t xml:space="preserve"> Europejską </w:t>
      </w:r>
      <w:r w:rsidRPr="00D74B77">
        <w:rPr>
          <w:rFonts w:ascii="Times New Roman" w:hAnsi="Times New Roman" w:cs="Times New Roman"/>
        </w:rPr>
        <w:t>(tj. m.in. górnictwo, hutnictwo żelaza, stali, oraz metali nieżelaznych, przemysł chemiczny, produkcja szkła, ceramiki, cementu).</w:t>
      </w:r>
    </w:p>
    <w:p w14:paraId="1830C1D7" w14:textId="34B0BFEF" w:rsidR="006D640F" w:rsidRPr="00D74B77" w:rsidRDefault="003425F3" w:rsidP="00B236FD">
      <w:pPr>
        <w:spacing w:line="276" w:lineRule="auto"/>
        <w:jc w:val="both"/>
        <w:rPr>
          <w:rFonts w:ascii="Times New Roman" w:hAnsi="Times New Roman" w:cs="Times New Roman"/>
        </w:rPr>
      </w:pPr>
      <w:r w:rsidRPr="00D74B77">
        <w:rPr>
          <w:rFonts w:ascii="Times New Roman" w:hAnsi="Times New Roman" w:cs="Times New Roman"/>
        </w:rPr>
        <w:t>W związku z tym, że komunikat CISAF jest uzupełnieniem Paktu dla czystego przemysłu i dotyczy przemysłu, który wymaga opisanego wcześniej wsparcia, wsparcie może zostać udzielone przedsiębiorcy, który jest odbiorcą przemysłowym wpisanym do wykazu odbiorców przemysłowych, o którym mowa w art. 52 ust. 4 ustawy z dnia 20 lutego 2015 o odnawialnych źródłach energii.</w:t>
      </w:r>
      <w:r w:rsidR="00BB5995" w:rsidRPr="00D74B77">
        <w:rPr>
          <w:rFonts w:ascii="Times New Roman" w:hAnsi="Times New Roman" w:cs="Times New Roman"/>
        </w:rPr>
        <w:t xml:space="preserve"> </w:t>
      </w:r>
      <w:r w:rsidR="006D640F" w:rsidRPr="00D74B77">
        <w:rPr>
          <w:rFonts w:ascii="Times New Roman" w:hAnsi="Times New Roman" w:cs="Times New Roman"/>
        </w:rPr>
        <w:t>Przedsiębiorca, któremu zostanie udzielone wsparcie musi spełnić wszystkie warunki określone w art. 7 projektowanej ustawy</w:t>
      </w:r>
      <w:r w:rsidR="002E56F9" w:rsidRPr="00D74B77">
        <w:rPr>
          <w:rFonts w:ascii="Times New Roman" w:hAnsi="Times New Roman" w:cs="Times New Roman"/>
        </w:rPr>
        <w:t xml:space="preserve">, dotyczące przede wszystkim rodzaju prowadzonej </w:t>
      </w:r>
      <w:r w:rsidR="00C841EB" w:rsidRPr="00D74B77">
        <w:rPr>
          <w:rFonts w:ascii="Times New Roman" w:hAnsi="Times New Roman" w:cs="Times New Roman"/>
        </w:rPr>
        <w:t xml:space="preserve">działalności, wpisu do wykazu odbiorców przemysłowych, </w:t>
      </w:r>
      <w:r w:rsidR="002E56F9" w:rsidRPr="00D74B77">
        <w:rPr>
          <w:rFonts w:ascii="Times New Roman" w:hAnsi="Times New Roman" w:cs="Times New Roman"/>
        </w:rPr>
        <w:t>zużycia energii elektrycznej</w:t>
      </w:r>
      <w:r w:rsidR="00C841EB" w:rsidRPr="00D74B77">
        <w:rPr>
          <w:rFonts w:ascii="Times New Roman" w:hAnsi="Times New Roman" w:cs="Times New Roman"/>
        </w:rPr>
        <w:t xml:space="preserve"> w okresie kwalifikowanych</w:t>
      </w:r>
      <w:r w:rsidR="002E56F9" w:rsidRPr="00D74B77">
        <w:rPr>
          <w:rFonts w:ascii="Times New Roman" w:hAnsi="Times New Roman" w:cs="Times New Roman"/>
        </w:rPr>
        <w:t xml:space="preserve"> i sytuacji finansowej</w:t>
      </w:r>
      <w:r w:rsidR="00C841EB" w:rsidRPr="00D74B77">
        <w:rPr>
          <w:rFonts w:ascii="Times New Roman" w:hAnsi="Times New Roman" w:cs="Times New Roman"/>
        </w:rPr>
        <w:t xml:space="preserve"> w tym nie znajdowania się w likwidacji</w:t>
      </w:r>
      <w:r w:rsidR="00135B20" w:rsidRPr="00D74B77">
        <w:rPr>
          <w:rFonts w:ascii="Times New Roman" w:hAnsi="Times New Roman" w:cs="Times New Roman"/>
        </w:rPr>
        <w:t xml:space="preserve">, </w:t>
      </w:r>
      <w:r w:rsidR="00C841EB" w:rsidRPr="00D74B77">
        <w:rPr>
          <w:rFonts w:ascii="Times New Roman" w:hAnsi="Times New Roman" w:cs="Times New Roman"/>
        </w:rPr>
        <w:t>upadłości</w:t>
      </w:r>
      <w:r w:rsidR="00135B20" w:rsidRPr="00D74B77">
        <w:rPr>
          <w:rFonts w:ascii="Times New Roman" w:hAnsi="Times New Roman" w:cs="Times New Roman"/>
        </w:rPr>
        <w:t xml:space="preserve"> lub trudnej sytuacji</w:t>
      </w:r>
      <w:r w:rsidR="002E56F9" w:rsidRPr="00D74B77">
        <w:rPr>
          <w:rFonts w:ascii="Times New Roman" w:hAnsi="Times New Roman" w:cs="Times New Roman"/>
        </w:rPr>
        <w:t>.</w:t>
      </w:r>
    </w:p>
    <w:p w14:paraId="1F34D61A" w14:textId="65234B8D" w:rsidR="009A58CD" w:rsidRPr="00D74B77" w:rsidRDefault="009A58CD" w:rsidP="00B236FD">
      <w:pPr>
        <w:spacing w:line="276" w:lineRule="auto"/>
        <w:jc w:val="both"/>
        <w:rPr>
          <w:rFonts w:ascii="Times New Roman" w:hAnsi="Times New Roman" w:cs="Times New Roman"/>
        </w:rPr>
      </w:pPr>
      <w:r w:rsidRPr="00D74B77">
        <w:rPr>
          <w:rFonts w:ascii="Times New Roman" w:hAnsi="Times New Roman"/>
        </w:rPr>
        <w:t>Ze względu na konieczność pilnego i szybkiego wdrożenia instrumentu ustawa nie przewiduje możliwości rozszerzenia listy poprzez udowodnienie przez sektor z poza listy spełnienia przez niego warunków kwalifikacji określonych w CISAF. Ograniczenia budżetowe państwa wpływają również na brak możliwości objęcia wsparciem gałęzi gospodarki, w których pomoc publiczna byłaby dopuszczona przez Komisję Europejską w ramach pkt 117 CISAF tj. sektorów spełniających wymagania, ale nie wpisanych na listę w załączniku 1 do CEEAG.</w:t>
      </w:r>
    </w:p>
    <w:p w14:paraId="74EB2120" w14:textId="6999B3E3" w:rsidR="004121C2" w:rsidRPr="00D74B77" w:rsidRDefault="004121C2"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Operator pomocy</w:t>
      </w:r>
      <w:r w:rsidR="00807C93" w:rsidRPr="00D74B77">
        <w:rPr>
          <w:rFonts w:ascii="Times New Roman" w:hAnsi="Times New Roman" w:cs="Times New Roman"/>
          <w:b/>
          <w:bCs/>
          <w:u w:val="single"/>
        </w:rPr>
        <w:t xml:space="preserve"> (art. 9, art. 10)</w:t>
      </w:r>
    </w:p>
    <w:p w14:paraId="7B62B8CA" w14:textId="77777777" w:rsidR="004121C2" w:rsidRPr="00D74B77" w:rsidRDefault="004121C2" w:rsidP="00B236FD">
      <w:pPr>
        <w:spacing w:line="276" w:lineRule="auto"/>
        <w:jc w:val="both"/>
        <w:rPr>
          <w:rFonts w:ascii="Times New Roman" w:hAnsi="Times New Roman" w:cs="Times New Roman"/>
        </w:rPr>
      </w:pPr>
      <w:r w:rsidRPr="00D74B77">
        <w:rPr>
          <w:rFonts w:ascii="Times New Roman" w:hAnsi="Times New Roman" w:cs="Times New Roman"/>
        </w:rPr>
        <w:t>Operatorem pomocy wyznaczonym do realizacji programu pomocowego jest Bank Gospodarstwa Krajowego. Przy wyborze operatora spośród podmiotów o statusie publicznym kierowano się:</w:t>
      </w:r>
    </w:p>
    <w:p w14:paraId="15581A71" w14:textId="7A0E28AB" w:rsidR="004121C2" w:rsidRPr="00D74B77" w:rsidRDefault="004121C2" w:rsidP="00B236FD">
      <w:pPr>
        <w:pStyle w:val="Akapitzlist"/>
        <w:numPr>
          <w:ilvl w:val="0"/>
          <w:numId w:val="5"/>
        </w:numPr>
        <w:spacing w:line="276" w:lineRule="auto"/>
        <w:jc w:val="both"/>
        <w:rPr>
          <w:rFonts w:ascii="Times New Roman" w:hAnsi="Times New Roman" w:cs="Times New Roman"/>
        </w:rPr>
      </w:pPr>
      <w:r w:rsidRPr="00D74B77">
        <w:rPr>
          <w:rFonts w:ascii="Times New Roman" w:hAnsi="Times New Roman" w:cs="Times New Roman"/>
        </w:rPr>
        <w:t>wysokim poziomem doświadczenia podmiotu, w tym odpowiednio przygotowanych kadr, w</w:t>
      </w:r>
      <w:r w:rsidR="009C5BAB" w:rsidRPr="00D74B77">
        <w:rPr>
          <w:rFonts w:ascii="Times New Roman" w:hAnsi="Times New Roman" w:cs="Times New Roman"/>
        </w:rPr>
        <w:t> </w:t>
      </w:r>
      <w:r w:rsidRPr="00D74B77">
        <w:rPr>
          <w:rFonts w:ascii="Times New Roman" w:hAnsi="Times New Roman" w:cs="Times New Roman"/>
        </w:rPr>
        <w:t>zakresie redystrybucji środków publicznych</w:t>
      </w:r>
      <w:r w:rsidR="00F42E62" w:rsidRPr="00D74B77">
        <w:rPr>
          <w:rFonts w:ascii="Times New Roman" w:hAnsi="Times New Roman" w:cs="Times New Roman"/>
        </w:rPr>
        <w:t>;</w:t>
      </w:r>
    </w:p>
    <w:p w14:paraId="6FFB1AAB" w14:textId="5EA39F07" w:rsidR="004121C2" w:rsidRPr="00D74B77" w:rsidRDefault="004121C2" w:rsidP="00B236FD">
      <w:pPr>
        <w:pStyle w:val="Akapitzlist"/>
        <w:numPr>
          <w:ilvl w:val="0"/>
          <w:numId w:val="5"/>
        </w:numPr>
        <w:spacing w:line="276" w:lineRule="auto"/>
        <w:jc w:val="both"/>
        <w:rPr>
          <w:rFonts w:ascii="Times New Roman" w:hAnsi="Times New Roman" w:cs="Times New Roman"/>
        </w:rPr>
      </w:pPr>
      <w:r w:rsidRPr="00D74B77">
        <w:rPr>
          <w:rFonts w:ascii="Times New Roman" w:hAnsi="Times New Roman" w:cs="Times New Roman"/>
        </w:rPr>
        <w:t>możliwie najwyższym poziomem samodzielności przy organizacji procesu naboru - zapewnienie minimalizacji kosztów obsługi administracyjnej programu poprzez ograniczenie wykorzystania potencjału podmiotów zewnętrznych do realizacji poszczególnych elementów niezbędnych do przeprowadzenia procedury naboru i rozliczenia programu</w:t>
      </w:r>
      <w:r w:rsidR="00F42E62" w:rsidRPr="00D74B77">
        <w:rPr>
          <w:rFonts w:ascii="Times New Roman" w:hAnsi="Times New Roman" w:cs="Times New Roman"/>
        </w:rPr>
        <w:t>;</w:t>
      </w:r>
    </w:p>
    <w:p w14:paraId="0F3B061D" w14:textId="50DF5415" w:rsidR="004121C2" w:rsidRPr="00D74B77" w:rsidRDefault="004121C2" w:rsidP="00B236FD">
      <w:pPr>
        <w:pStyle w:val="Akapitzlist"/>
        <w:numPr>
          <w:ilvl w:val="0"/>
          <w:numId w:val="5"/>
        </w:numPr>
        <w:spacing w:line="276" w:lineRule="auto"/>
        <w:jc w:val="both"/>
        <w:rPr>
          <w:rFonts w:ascii="Times New Roman" w:hAnsi="Times New Roman" w:cs="Times New Roman"/>
        </w:rPr>
      </w:pPr>
      <w:r w:rsidRPr="00D74B77">
        <w:rPr>
          <w:rFonts w:ascii="Times New Roman" w:hAnsi="Times New Roman" w:cs="Times New Roman"/>
        </w:rPr>
        <w:t>mitygacją ryzyka dostępu do informacji przez osoby nieuprawnione – dane przekazywane przez firmy mogą zostać objęte tajemnicą przedsiębiorstwa</w:t>
      </w:r>
      <w:r w:rsidR="00F42E62" w:rsidRPr="00D74B77">
        <w:rPr>
          <w:rFonts w:ascii="Times New Roman" w:hAnsi="Times New Roman" w:cs="Times New Roman"/>
        </w:rPr>
        <w:t>;</w:t>
      </w:r>
    </w:p>
    <w:p w14:paraId="666640E7" w14:textId="34C8C9AF" w:rsidR="004121C2" w:rsidRPr="00D74B77" w:rsidRDefault="004121C2" w:rsidP="00B236FD">
      <w:pPr>
        <w:pStyle w:val="Akapitzlist"/>
        <w:numPr>
          <w:ilvl w:val="0"/>
          <w:numId w:val="5"/>
        </w:numPr>
        <w:spacing w:line="276" w:lineRule="auto"/>
        <w:jc w:val="both"/>
        <w:rPr>
          <w:rFonts w:ascii="Times New Roman" w:hAnsi="Times New Roman" w:cs="Times New Roman"/>
        </w:rPr>
      </w:pPr>
      <w:r w:rsidRPr="00D74B77">
        <w:rPr>
          <w:rFonts w:ascii="Times New Roman" w:hAnsi="Times New Roman" w:cs="Times New Roman"/>
        </w:rPr>
        <w:t>odpowiednim podejściem do procedury z zakresu kontroli przyznania i wykorzystania udzielonej pomocy – z uwagi na złożoność i czasochłonność tego procesu</w:t>
      </w:r>
      <w:r w:rsidR="00F42E62" w:rsidRPr="00D74B77">
        <w:rPr>
          <w:rFonts w:ascii="Times New Roman" w:hAnsi="Times New Roman" w:cs="Times New Roman"/>
        </w:rPr>
        <w:t>;</w:t>
      </w:r>
    </w:p>
    <w:p w14:paraId="7BD4CADC" w14:textId="6673F6FC" w:rsidR="004121C2" w:rsidRPr="00D74B77" w:rsidRDefault="004121C2" w:rsidP="00B236FD">
      <w:pPr>
        <w:pStyle w:val="Akapitzlist"/>
        <w:numPr>
          <w:ilvl w:val="0"/>
          <w:numId w:val="5"/>
        </w:numPr>
        <w:spacing w:line="276" w:lineRule="auto"/>
        <w:jc w:val="both"/>
        <w:rPr>
          <w:rFonts w:ascii="Times New Roman" w:hAnsi="Times New Roman" w:cs="Times New Roman"/>
        </w:rPr>
      </w:pPr>
      <w:r w:rsidRPr="00D74B77">
        <w:rPr>
          <w:rFonts w:ascii="Times New Roman" w:hAnsi="Times New Roman" w:cs="Times New Roman"/>
        </w:rPr>
        <w:lastRenderedPageBreak/>
        <w:t>zasadą zaufania do władzy publicznej i kierowanie się utrwalonymi praktykami rozstrzygania spraw.</w:t>
      </w:r>
    </w:p>
    <w:p w14:paraId="2D775E2C" w14:textId="1F85673A" w:rsidR="004121C2" w:rsidRPr="00D74B77" w:rsidRDefault="004121C2" w:rsidP="00B236FD">
      <w:pPr>
        <w:spacing w:line="276" w:lineRule="auto"/>
        <w:jc w:val="both"/>
        <w:rPr>
          <w:rFonts w:ascii="Times New Roman" w:hAnsi="Times New Roman" w:cs="Times New Roman"/>
        </w:rPr>
      </w:pPr>
      <w:r w:rsidRPr="00D74B77">
        <w:rPr>
          <w:rFonts w:ascii="Times New Roman" w:hAnsi="Times New Roman" w:cs="Times New Roman"/>
        </w:rPr>
        <w:t xml:space="preserve">Na podstawie powyższych kryteriów Minister Finansów i Gospodarki dokonał wyboru Banku Gospodarstwa Krajowego, który jest </w:t>
      </w:r>
      <w:r w:rsidR="00F42E62" w:rsidRPr="00D74B77">
        <w:rPr>
          <w:rFonts w:ascii="Times New Roman" w:hAnsi="Times New Roman" w:cs="Times New Roman"/>
        </w:rPr>
        <w:t xml:space="preserve">polskim bankiem państwowym i podmiotem, którego stuprocentowym udziałowcem jest Skarb Państwa. BGK jest instytucją </w:t>
      </w:r>
      <w:r w:rsidRPr="00D74B77">
        <w:rPr>
          <w:rFonts w:ascii="Times New Roman" w:hAnsi="Times New Roman" w:cs="Times New Roman"/>
        </w:rPr>
        <w:t>doświadczoną w realizacji programów</w:t>
      </w:r>
      <w:r w:rsidR="00E95290" w:rsidRPr="00D74B77">
        <w:rPr>
          <w:rFonts w:ascii="Times New Roman" w:hAnsi="Times New Roman" w:cs="Times New Roman"/>
        </w:rPr>
        <w:t xml:space="preserve">, </w:t>
      </w:r>
      <w:r w:rsidRPr="00D74B77">
        <w:rPr>
          <w:rFonts w:ascii="Times New Roman" w:hAnsi="Times New Roman" w:cs="Times New Roman"/>
        </w:rPr>
        <w:t>posiadającą odpowiednie zaplecze kadrowe i techniczne</w:t>
      </w:r>
      <w:r w:rsidR="00F42E62" w:rsidRPr="00D74B77">
        <w:rPr>
          <w:rFonts w:ascii="Times New Roman" w:hAnsi="Times New Roman" w:cs="Times New Roman"/>
        </w:rPr>
        <w:t>.</w:t>
      </w:r>
      <w:r w:rsidR="00E95290" w:rsidRPr="00D74B77">
        <w:rPr>
          <w:rFonts w:ascii="Times New Roman" w:hAnsi="Times New Roman" w:cs="Times New Roman"/>
        </w:rPr>
        <w:t xml:space="preserve"> BGK pełni w Krajowym Planie Odbudowy (KPO) rolę instytucji wdrażającej i finansującej wybrane inwestycje. BGK zarządza częścią środków KPO, organizuje nabory oraz udziela pożyczek, grantów i innych form wsparcia beneficjentom.</w:t>
      </w:r>
      <w:r w:rsidR="00807C93" w:rsidRPr="00D74B77">
        <w:rPr>
          <w:rFonts w:ascii="Times New Roman" w:hAnsi="Times New Roman" w:cs="Times New Roman"/>
        </w:rPr>
        <w:t xml:space="preserve"> </w:t>
      </w:r>
      <w:r w:rsidR="00E95290" w:rsidRPr="00D74B77">
        <w:rPr>
          <w:rFonts w:ascii="Times New Roman" w:hAnsi="Times New Roman" w:cs="Times New Roman"/>
        </w:rPr>
        <w:t>Główne obszary KPO realizowane przez BGK to transformacja energetyczna, zielona transformacja miast, mieszkalnictwo i termomodernizacja, cyfryzacja, bezpieczeństwo i obronność.</w:t>
      </w:r>
    </w:p>
    <w:p w14:paraId="5E081F46" w14:textId="51A72BA8" w:rsidR="00F42E62" w:rsidRPr="00D74B77" w:rsidRDefault="00F42E62" w:rsidP="00B236FD">
      <w:pPr>
        <w:spacing w:line="276" w:lineRule="auto"/>
        <w:jc w:val="both"/>
        <w:rPr>
          <w:rFonts w:ascii="Times New Roman" w:hAnsi="Times New Roman" w:cs="Times New Roman"/>
        </w:rPr>
      </w:pPr>
      <w:r w:rsidRPr="00D74B77">
        <w:rPr>
          <w:rFonts w:ascii="Times New Roman" w:hAnsi="Times New Roman" w:cs="Times New Roman"/>
        </w:rPr>
        <w:t xml:space="preserve">Operator </w:t>
      </w:r>
      <w:r w:rsidR="00E80889" w:rsidRPr="00D74B77">
        <w:rPr>
          <w:rFonts w:ascii="Times New Roman" w:hAnsi="Times New Roman" w:cs="Times New Roman"/>
        </w:rPr>
        <w:t xml:space="preserve">pomocy </w:t>
      </w:r>
      <w:r w:rsidR="00644672" w:rsidRPr="00D74B77">
        <w:rPr>
          <w:rFonts w:ascii="Times New Roman" w:hAnsi="Times New Roman" w:cs="Times New Roman"/>
        </w:rPr>
        <w:t>realizuje</w:t>
      </w:r>
      <w:r w:rsidR="00E80889" w:rsidRPr="00D74B77">
        <w:rPr>
          <w:rFonts w:ascii="Times New Roman" w:hAnsi="Times New Roman" w:cs="Times New Roman"/>
        </w:rPr>
        <w:t xml:space="preserve"> powierzone przez ministra właściwego do spraw gospodarki</w:t>
      </w:r>
      <w:r w:rsidR="00644672" w:rsidRPr="00D74B77">
        <w:rPr>
          <w:rFonts w:ascii="Times New Roman" w:hAnsi="Times New Roman" w:cs="Times New Roman"/>
        </w:rPr>
        <w:t xml:space="preserve"> zadani</w:t>
      </w:r>
      <w:r w:rsidR="0055101B" w:rsidRPr="00D74B77">
        <w:rPr>
          <w:rFonts w:ascii="Times New Roman" w:hAnsi="Times New Roman" w:cs="Times New Roman"/>
        </w:rPr>
        <w:t>a</w:t>
      </w:r>
      <w:r w:rsidR="00644672" w:rsidRPr="00D74B77">
        <w:rPr>
          <w:rFonts w:ascii="Times New Roman" w:hAnsi="Times New Roman" w:cs="Times New Roman"/>
        </w:rPr>
        <w:t xml:space="preserve"> wynikające z ustawy i </w:t>
      </w:r>
      <w:r w:rsidRPr="00D74B77">
        <w:rPr>
          <w:rFonts w:ascii="Times New Roman" w:hAnsi="Times New Roman" w:cs="Times New Roman"/>
        </w:rPr>
        <w:t>programu,</w:t>
      </w:r>
      <w:r w:rsidR="00644672" w:rsidRPr="00D74B77">
        <w:rPr>
          <w:rFonts w:ascii="Times New Roman" w:hAnsi="Times New Roman" w:cs="Times New Roman"/>
        </w:rPr>
        <w:t xml:space="preserve"> w tym: przeprowadza</w:t>
      </w:r>
      <w:r w:rsidRPr="00D74B77">
        <w:rPr>
          <w:rFonts w:ascii="Times New Roman" w:hAnsi="Times New Roman" w:cs="Times New Roman"/>
        </w:rPr>
        <w:t xml:space="preserve"> nab</w:t>
      </w:r>
      <w:r w:rsidR="00272293" w:rsidRPr="00D74B77">
        <w:rPr>
          <w:rFonts w:ascii="Times New Roman" w:hAnsi="Times New Roman" w:cs="Times New Roman"/>
        </w:rPr>
        <w:t>ó</w:t>
      </w:r>
      <w:r w:rsidR="00644672" w:rsidRPr="00D74B77">
        <w:rPr>
          <w:rFonts w:ascii="Times New Roman" w:hAnsi="Times New Roman" w:cs="Times New Roman"/>
        </w:rPr>
        <w:t>r</w:t>
      </w:r>
      <w:r w:rsidRPr="00D74B77">
        <w:rPr>
          <w:rFonts w:ascii="Times New Roman" w:hAnsi="Times New Roman" w:cs="Times New Roman"/>
        </w:rPr>
        <w:t xml:space="preserve"> wniosków o udzielenie wsparcia; dokon</w:t>
      </w:r>
      <w:r w:rsidR="00272293" w:rsidRPr="00D74B77">
        <w:rPr>
          <w:rFonts w:ascii="Times New Roman" w:hAnsi="Times New Roman" w:cs="Times New Roman"/>
        </w:rPr>
        <w:t>uje</w:t>
      </w:r>
      <w:r w:rsidRPr="00D74B77">
        <w:rPr>
          <w:rFonts w:ascii="Times New Roman" w:hAnsi="Times New Roman" w:cs="Times New Roman"/>
        </w:rPr>
        <w:t xml:space="preserve"> oceny formalnej i finansowej wniosków; kontroli prawidłowości wykorzystania wsparcia.</w:t>
      </w:r>
      <w:r w:rsidR="00E95290" w:rsidRPr="00D74B77">
        <w:rPr>
          <w:rFonts w:ascii="Times New Roman" w:hAnsi="Times New Roman" w:cs="Times New Roman"/>
        </w:rPr>
        <w:t xml:space="preserve"> Szczegółowy zakres </w:t>
      </w:r>
      <w:r w:rsidR="00D74B77">
        <w:rPr>
          <w:rFonts w:ascii="Times New Roman" w:hAnsi="Times New Roman" w:cs="Times New Roman"/>
        </w:rPr>
        <w:t xml:space="preserve">zadań </w:t>
      </w:r>
      <w:r w:rsidR="00E95290" w:rsidRPr="00D74B77">
        <w:rPr>
          <w:rFonts w:ascii="Times New Roman" w:hAnsi="Times New Roman" w:cs="Times New Roman"/>
        </w:rPr>
        <w:t xml:space="preserve">operatora pomocy zostanie określony w umowie zawartej pomiędzy ministrem właściwym do spraw gospodarki a operatorem pomocy. </w:t>
      </w:r>
    </w:p>
    <w:p w14:paraId="40175DBA" w14:textId="0037A8AB" w:rsidR="002B6098" w:rsidRPr="00D74B77" w:rsidRDefault="00F42E62" w:rsidP="002B6098">
      <w:pPr>
        <w:spacing w:after="120"/>
        <w:jc w:val="both"/>
        <w:rPr>
          <w:rFonts w:ascii="Times New Roman" w:hAnsi="Times New Roman"/>
        </w:rPr>
      </w:pPr>
      <w:r w:rsidRPr="00D74B77">
        <w:rPr>
          <w:rFonts w:ascii="Times New Roman" w:hAnsi="Times New Roman" w:cs="Times New Roman"/>
        </w:rPr>
        <w:t xml:space="preserve">Operatorowi pomocy przysługuje </w:t>
      </w:r>
      <w:r w:rsidR="00BC7044" w:rsidRPr="00D74B77">
        <w:rPr>
          <w:rFonts w:ascii="Times New Roman" w:hAnsi="Times New Roman" w:cs="Times New Roman"/>
        </w:rPr>
        <w:t xml:space="preserve">pokrycie uzasadnionych </w:t>
      </w:r>
      <w:r w:rsidRPr="00D74B77">
        <w:rPr>
          <w:rFonts w:ascii="Times New Roman" w:hAnsi="Times New Roman" w:cs="Times New Roman"/>
        </w:rPr>
        <w:t>kosztów związanych z</w:t>
      </w:r>
      <w:r w:rsidR="009C5BAB" w:rsidRPr="00D74B77">
        <w:rPr>
          <w:rFonts w:ascii="Times New Roman" w:hAnsi="Times New Roman" w:cs="Times New Roman"/>
        </w:rPr>
        <w:t> </w:t>
      </w:r>
      <w:r w:rsidRPr="00D74B77">
        <w:rPr>
          <w:rFonts w:ascii="Times New Roman" w:hAnsi="Times New Roman" w:cs="Times New Roman"/>
        </w:rPr>
        <w:t xml:space="preserve">wykonywaniem </w:t>
      </w:r>
      <w:r w:rsidR="00D74B77">
        <w:rPr>
          <w:rFonts w:ascii="Times New Roman" w:hAnsi="Times New Roman" w:cs="Times New Roman"/>
        </w:rPr>
        <w:t>zadań</w:t>
      </w:r>
      <w:r w:rsidR="008C4BE7" w:rsidRPr="00D74B77">
        <w:t xml:space="preserve">. </w:t>
      </w:r>
      <w:r w:rsidR="00BC7044" w:rsidRPr="00D74B77">
        <w:rPr>
          <w:rFonts w:ascii="Times New Roman" w:hAnsi="Times New Roman" w:cs="Times New Roman"/>
        </w:rPr>
        <w:t>Szczegóły pokrycia uzasadnionych kosztów zostaną określone w</w:t>
      </w:r>
      <w:r w:rsidR="00E95290" w:rsidRPr="00D74B77">
        <w:rPr>
          <w:rFonts w:ascii="Times New Roman" w:hAnsi="Times New Roman" w:cs="Times New Roman"/>
        </w:rPr>
        <w:t xml:space="preserve"> umow</w:t>
      </w:r>
      <w:r w:rsidR="00BC7044" w:rsidRPr="00D74B77">
        <w:rPr>
          <w:rFonts w:ascii="Times New Roman" w:hAnsi="Times New Roman" w:cs="Times New Roman"/>
        </w:rPr>
        <w:t>ie</w:t>
      </w:r>
      <w:r w:rsidR="00E95290" w:rsidRPr="00D74B77">
        <w:rPr>
          <w:rFonts w:ascii="Times New Roman" w:hAnsi="Times New Roman" w:cs="Times New Roman"/>
        </w:rPr>
        <w:t xml:space="preserve"> zawartej z operatorem pomocy</w:t>
      </w:r>
      <w:r w:rsidR="002B6098" w:rsidRPr="00D74B77">
        <w:rPr>
          <w:rFonts w:ascii="Times New Roman" w:hAnsi="Times New Roman" w:cs="Times New Roman"/>
        </w:rPr>
        <w:t xml:space="preserve">. </w:t>
      </w:r>
      <w:r w:rsidR="002B6098" w:rsidRPr="00D74B77">
        <w:rPr>
          <w:rFonts w:ascii="Times New Roman" w:hAnsi="Times New Roman"/>
        </w:rPr>
        <w:t>Podstawą do obliczenia kosztów operatora była liczba etatów niezbędna do realizacji zadań określonych w art. 9 ust. 3 projektu ustawy. Koszt jednego etatu w standardzie biurowym jest ustalany na podstawie grup kosztów niezbędnych do prowadzenia podstawowej działalności Banku. Kalkulacja uwzględnia zatem koszty związane z zapewnieniem pracownikowi warunków do wykonywania zadań, w tym odpowiednie koszty osobowe, stanowiskowe, administracyjne, informatyczne oraz koszty usług wewnętrznych i funkcji wsparcia.</w:t>
      </w:r>
    </w:p>
    <w:p w14:paraId="5B73743F" w14:textId="77777777" w:rsidR="002B6098" w:rsidRPr="00D74B77" w:rsidRDefault="002B6098" w:rsidP="002B6098">
      <w:pPr>
        <w:spacing w:after="120"/>
        <w:jc w:val="both"/>
        <w:rPr>
          <w:rFonts w:ascii="Times New Roman" w:hAnsi="Times New Roman"/>
        </w:rPr>
      </w:pPr>
      <w:r w:rsidRPr="00D74B77">
        <w:rPr>
          <w:rFonts w:ascii="Times New Roman" w:hAnsi="Times New Roman"/>
        </w:rPr>
        <w:t>Pracochłonność Operatora jest w każdym roku budżetowym inna z uwagi na specyfikę zadań i związane z tym różne obciążenie zadaniami w fazie przygotowywania, przeprowadzania, kontrolowania i rozliczania udzielonego wsparcia. Pracochłonność została oszacowana metodą ekspercką na podstawie dotychczasowych doświadczeń Operatora w zakresie obsługi innych programów rządowych, a także w zakresie standardowej obsługi produktów oferowanych przez Operatora.</w:t>
      </w:r>
    </w:p>
    <w:p w14:paraId="09279168" w14:textId="2E645CD1" w:rsidR="00E95290" w:rsidRPr="00D74B77" w:rsidRDefault="002B6098" w:rsidP="002B6098">
      <w:pPr>
        <w:spacing w:line="276" w:lineRule="auto"/>
        <w:jc w:val="both"/>
        <w:rPr>
          <w:rFonts w:ascii="Times New Roman" w:hAnsi="Times New Roman" w:cs="Times New Roman"/>
        </w:rPr>
      </w:pPr>
      <w:r w:rsidRPr="00D74B77">
        <w:rPr>
          <w:rFonts w:ascii="Times New Roman" w:hAnsi="Times New Roman"/>
        </w:rPr>
        <w:t>Do kosztu etatu nie wlicza się kosztów, które nie są bezpośrednio związane ze standardowym funkcjonowaniem stanowiska pracy. Wyłączeniu podlegają w szczególności koszty reklamy, marketingu i reprezentacji, opłaty na rzecz Komisji Nadzoru Finansowego, inne koszty o charakterze szczególnym, niezwiązane z zapewnieniem standardowego stanowiska pracy. W kalkulacji wynagrodzenia nie uwzględniono również ewentualnych kosztów zakupu systemu informatycznego do składania wniosków</w:t>
      </w:r>
      <w:r w:rsidR="00BC7044" w:rsidRPr="00D74B77">
        <w:rPr>
          <w:rFonts w:ascii="Times New Roman" w:hAnsi="Times New Roman" w:cs="Times New Roman"/>
        </w:rPr>
        <w:t>.</w:t>
      </w:r>
    </w:p>
    <w:p w14:paraId="25B99EB0" w14:textId="7851C13B" w:rsidR="004121C2" w:rsidRPr="00D74B77" w:rsidRDefault="004121C2"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Komisja konkursowa</w:t>
      </w:r>
      <w:r w:rsidR="003425F3" w:rsidRPr="00D74B77">
        <w:rPr>
          <w:rFonts w:ascii="Times New Roman" w:hAnsi="Times New Roman" w:cs="Times New Roman"/>
          <w:b/>
          <w:bCs/>
          <w:u w:val="single"/>
        </w:rPr>
        <w:t xml:space="preserve"> (art. 11, art. 12)</w:t>
      </w:r>
    </w:p>
    <w:p w14:paraId="41C3C4DE" w14:textId="4D38BB47" w:rsidR="00CC3606" w:rsidRPr="00D74B77" w:rsidRDefault="00CC3606" w:rsidP="00B236FD">
      <w:pPr>
        <w:spacing w:line="276" w:lineRule="auto"/>
        <w:jc w:val="both"/>
        <w:rPr>
          <w:rFonts w:ascii="Times New Roman" w:hAnsi="Times New Roman" w:cs="Times New Roman"/>
        </w:rPr>
      </w:pPr>
      <w:r w:rsidRPr="00D74B77">
        <w:rPr>
          <w:rFonts w:ascii="Times New Roman" w:hAnsi="Times New Roman" w:cs="Times New Roman"/>
        </w:rPr>
        <w:t>Komisja konkursowa, zwana dalej „komisją", przygotowuje listę przedsiębiorców zakwalifikowanych do udzielenia wsparcia.</w:t>
      </w:r>
    </w:p>
    <w:p w14:paraId="0AA3A685" w14:textId="07021E10" w:rsidR="00496486" w:rsidRPr="00D74B77" w:rsidRDefault="00496486" w:rsidP="00B236FD">
      <w:pPr>
        <w:spacing w:line="276" w:lineRule="auto"/>
        <w:jc w:val="both"/>
        <w:rPr>
          <w:rFonts w:ascii="Times New Roman" w:hAnsi="Times New Roman" w:cs="Times New Roman"/>
        </w:rPr>
      </w:pPr>
      <w:r w:rsidRPr="00D74B77">
        <w:rPr>
          <w:rFonts w:ascii="Times New Roman" w:hAnsi="Times New Roman" w:cs="Times New Roman"/>
        </w:rPr>
        <w:t xml:space="preserve">W skład komisji wchodzą przedstawiciele wskazani przez ministra właściwego do spraw gospodarki, ministra właściwego do spraw energii, </w:t>
      </w:r>
      <w:r w:rsidR="00D74B77">
        <w:rPr>
          <w:rFonts w:ascii="Times New Roman" w:hAnsi="Times New Roman" w:cs="Times New Roman"/>
        </w:rPr>
        <w:t xml:space="preserve">ministra właściwego do spraw klimatu, </w:t>
      </w:r>
      <w:r w:rsidRPr="00D74B77">
        <w:rPr>
          <w:rFonts w:ascii="Times New Roman" w:hAnsi="Times New Roman" w:cs="Times New Roman"/>
        </w:rPr>
        <w:t>Pełnomocnika do spraw Strategicznej Infrastruktury Energetycznej, Prezesa Banku Gospodarstwa Krajowego i Prezesa Polskich Sieci Elektroenergetycznych.</w:t>
      </w:r>
      <w:r w:rsidR="003425F3" w:rsidRPr="00D74B77">
        <w:rPr>
          <w:rFonts w:ascii="Times New Roman" w:hAnsi="Times New Roman" w:cs="Times New Roman"/>
        </w:rPr>
        <w:t xml:space="preserve"> Przewodniczącym komisji będzie sekretarz lub podsekretarz stanu w urzędzie obsługującym ministra właściwego do spraw gospodarki. Art. 11 ust. 5 zawiera katalog sytuacji, w których osoba nie może być członkiem komisji.</w:t>
      </w:r>
    </w:p>
    <w:p w14:paraId="0A894B27" w14:textId="3774EDEF" w:rsidR="00496486" w:rsidRPr="00D74B77" w:rsidRDefault="00496486" w:rsidP="00B236FD">
      <w:pPr>
        <w:spacing w:line="276" w:lineRule="auto"/>
        <w:jc w:val="both"/>
        <w:rPr>
          <w:rFonts w:ascii="Times New Roman" w:hAnsi="Times New Roman" w:cs="Times New Roman"/>
        </w:rPr>
      </w:pPr>
      <w:r w:rsidRPr="00D74B77">
        <w:rPr>
          <w:rFonts w:ascii="Times New Roman" w:hAnsi="Times New Roman" w:cs="Times New Roman"/>
        </w:rPr>
        <w:lastRenderedPageBreak/>
        <w:t>Minister właściwy do spraw gospodarki określi, w drodze zarządzenia, regulamin pracy komisji</w:t>
      </w:r>
      <w:r w:rsidR="003425F3" w:rsidRPr="00D74B77">
        <w:rPr>
          <w:rFonts w:ascii="Times New Roman" w:hAnsi="Times New Roman" w:cs="Times New Roman"/>
        </w:rPr>
        <w:t xml:space="preserve">, który będzie szczegółowo </w:t>
      </w:r>
      <w:r w:rsidR="00C66810" w:rsidRPr="00D74B77">
        <w:rPr>
          <w:rFonts w:ascii="Times New Roman" w:hAnsi="Times New Roman" w:cs="Times New Roman"/>
        </w:rPr>
        <w:t>określał sposób i tryb pracy komisji.</w:t>
      </w:r>
    </w:p>
    <w:p w14:paraId="16A95D0A" w14:textId="27938DBB" w:rsidR="00C66810" w:rsidRPr="00D74B77" w:rsidRDefault="00C66810" w:rsidP="00B236FD">
      <w:pPr>
        <w:spacing w:line="276" w:lineRule="auto"/>
        <w:jc w:val="both"/>
        <w:rPr>
          <w:rFonts w:ascii="Times New Roman" w:hAnsi="Times New Roman" w:cs="Times New Roman"/>
        </w:rPr>
      </w:pPr>
      <w:r w:rsidRPr="00D74B77">
        <w:rPr>
          <w:rFonts w:ascii="Times New Roman" w:hAnsi="Times New Roman" w:cs="Times New Roman"/>
        </w:rPr>
        <w:t>Komisja dokonuje weryfikacji wykazu wniosków i ustala listę przedsiębiorców zakwalifikowanych do udzielenia wsparcia.</w:t>
      </w:r>
    </w:p>
    <w:p w14:paraId="57648863" w14:textId="30266F2C" w:rsidR="004121C2" w:rsidRPr="00D74B77" w:rsidRDefault="004121C2"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Tryb udzielania wsparcia</w:t>
      </w:r>
      <w:r w:rsidR="00C66810" w:rsidRPr="00D74B77">
        <w:rPr>
          <w:rFonts w:ascii="Times New Roman" w:hAnsi="Times New Roman" w:cs="Times New Roman"/>
          <w:b/>
          <w:bCs/>
          <w:u w:val="single"/>
        </w:rPr>
        <w:t xml:space="preserve"> (art. 13</w:t>
      </w:r>
      <w:r w:rsidR="00B236FD" w:rsidRPr="00D74B77">
        <w:rPr>
          <w:rFonts w:ascii="Times New Roman" w:hAnsi="Times New Roman" w:cs="Times New Roman"/>
          <w:b/>
          <w:bCs/>
          <w:u w:val="single"/>
        </w:rPr>
        <w:t>-19</w:t>
      </w:r>
      <w:r w:rsidR="00C66810" w:rsidRPr="00D74B77">
        <w:rPr>
          <w:rFonts w:ascii="Times New Roman" w:hAnsi="Times New Roman" w:cs="Times New Roman"/>
          <w:b/>
          <w:bCs/>
          <w:u w:val="single"/>
        </w:rPr>
        <w:t>)</w:t>
      </w:r>
    </w:p>
    <w:p w14:paraId="1C44091A" w14:textId="5C8C5D0D" w:rsidR="00496486" w:rsidRPr="00D74B77" w:rsidRDefault="00496486" w:rsidP="00B236FD">
      <w:pPr>
        <w:spacing w:line="276" w:lineRule="auto"/>
        <w:jc w:val="both"/>
        <w:rPr>
          <w:rFonts w:ascii="Times New Roman" w:hAnsi="Times New Roman" w:cs="Times New Roman"/>
        </w:rPr>
      </w:pPr>
      <w:r w:rsidRPr="00D74B77">
        <w:rPr>
          <w:rFonts w:ascii="Times New Roman" w:hAnsi="Times New Roman" w:cs="Times New Roman"/>
        </w:rPr>
        <w:t>Wsparcie jest udzielane na wniosek przedsiębiorcy</w:t>
      </w:r>
      <w:r w:rsidR="00C66810" w:rsidRPr="00D74B77">
        <w:rPr>
          <w:rFonts w:ascii="Times New Roman" w:hAnsi="Times New Roman" w:cs="Times New Roman"/>
        </w:rPr>
        <w:t>, składany w postaci elektronicznej</w:t>
      </w:r>
      <w:r w:rsidR="009C5BAB" w:rsidRPr="00D74B77">
        <w:rPr>
          <w:rFonts w:ascii="Times New Roman" w:hAnsi="Times New Roman" w:cs="Times New Roman"/>
        </w:rPr>
        <w:t>.</w:t>
      </w:r>
    </w:p>
    <w:p w14:paraId="0143E497" w14:textId="5ECFA324" w:rsidR="00F9126B" w:rsidRPr="00D74B77" w:rsidRDefault="00496486" w:rsidP="00B236FD">
      <w:pPr>
        <w:spacing w:line="276" w:lineRule="auto"/>
        <w:jc w:val="both"/>
        <w:rPr>
          <w:rFonts w:ascii="Times New Roman" w:hAnsi="Times New Roman" w:cs="Times New Roman"/>
        </w:rPr>
      </w:pPr>
      <w:r w:rsidRPr="00D74B77">
        <w:rPr>
          <w:rFonts w:ascii="Times New Roman" w:hAnsi="Times New Roman" w:cs="Times New Roman"/>
        </w:rPr>
        <w:t>Wniosek zawiera dane dotyczące wnioskodawcy, inwestycji, dodatkowe informacje istotne dla oceny wniosku oraz oświadczenia wnioskodawcy</w:t>
      </w:r>
      <w:r w:rsidR="00F9126B" w:rsidRPr="00D74B77">
        <w:rPr>
          <w:rFonts w:ascii="Times New Roman" w:hAnsi="Times New Roman" w:cs="Times New Roman"/>
        </w:rPr>
        <w:t xml:space="preserve"> dot. otrzymanej wcześniej pomocy publicznej.</w:t>
      </w:r>
      <w:r w:rsidR="00C66810" w:rsidRPr="00D74B77">
        <w:rPr>
          <w:rFonts w:ascii="Times New Roman" w:hAnsi="Times New Roman" w:cs="Times New Roman"/>
        </w:rPr>
        <w:t xml:space="preserve"> Art. 13. ust. 2 zawiera katalog elementów, które zawiera wniosek. </w:t>
      </w:r>
      <w:r w:rsidR="00F9126B" w:rsidRPr="00D74B77">
        <w:rPr>
          <w:rFonts w:ascii="Times New Roman" w:hAnsi="Times New Roman" w:cs="Times New Roman"/>
        </w:rPr>
        <w:t xml:space="preserve">Wnioskodawca składa wniosek w terminie określonym w ogłoszeniu o naborze wniosków o udzielenie wsparcia, zwanym dalej </w:t>
      </w:r>
      <w:r w:rsidR="009C5BAB" w:rsidRPr="00D74B77">
        <w:rPr>
          <w:rFonts w:ascii="Times New Roman" w:hAnsi="Times New Roman" w:cs="Times New Roman"/>
        </w:rPr>
        <w:t>„</w:t>
      </w:r>
      <w:r w:rsidR="00F9126B" w:rsidRPr="00D74B77">
        <w:rPr>
          <w:rFonts w:ascii="Times New Roman" w:hAnsi="Times New Roman" w:cs="Times New Roman"/>
        </w:rPr>
        <w:t>ogłoszeniem o</w:t>
      </w:r>
      <w:r w:rsidR="009C5BAB" w:rsidRPr="00D74B77">
        <w:rPr>
          <w:rFonts w:ascii="Times New Roman" w:hAnsi="Times New Roman" w:cs="Times New Roman"/>
        </w:rPr>
        <w:t> </w:t>
      </w:r>
      <w:r w:rsidR="00F9126B" w:rsidRPr="00D74B77">
        <w:rPr>
          <w:rFonts w:ascii="Times New Roman" w:hAnsi="Times New Roman" w:cs="Times New Roman"/>
        </w:rPr>
        <w:t>naborze</w:t>
      </w:r>
      <w:r w:rsidR="009C5BAB" w:rsidRPr="00D74B77">
        <w:rPr>
          <w:rFonts w:ascii="Times New Roman" w:hAnsi="Times New Roman" w:cs="Times New Roman"/>
        </w:rPr>
        <w:t>”</w:t>
      </w:r>
      <w:r w:rsidR="00F9126B" w:rsidRPr="00D74B77">
        <w:rPr>
          <w:rFonts w:ascii="Times New Roman" w:hAnsi="Times New Roman" w:cs="Times New Roman"/>
        </w:rPr>
        <w:t>, zgodnie ze wzorem określonym w tym ogłoszeniu, wraz z załącznikami.</w:t>
      </w:r>
    </w:p>
    <w:p w14:paraId="1970349B" w14:textId="49A65459" w:rsidR="00F9126B" w:rsidRPr="00D74B77" w:rsidRDefault="00F9126B" w:rsidP="00B236FD">
      <w:pPr>
        <w:spacing w:line="276" w:lineRule="auto"/>
        <w:jc w:val="both"/>
        <w:rPr>
          <w:rFonts w:ascii="Times New Roman" w:hAnsi="Times New Roman" w:cs="Times New Roman"/>
        </w:rPr>
      </w:pPr>
      <w:r w:rsidRPr="00D74B77">
        <w:rPr>
          <w:rFonts w:ascii="Times New Roman" w:hAnsi="Times New Roman" w:cs="Times New Roman"/>
        </w:rPr>
        <w:t>Wraz z ogłoszeniem o naborze minister właściwy do spraw gospodarki udostępnia na stronie podmiotowej w Biuletynie Informacji Publicznej regulamin naboru oraz wzór umowy o udzielenie wsparcia. Regulamin naboru jest udostępniany również na stronie internetowej operatora pomocy.</w:t>
      </w:r>
      <w:r w:rsidR="00215755" w:rsidRPr="00D74B77">
        <w:rPr>
          <w:rFonts w:ascii="Times New Roman" w:hAnsi="Times New Roman" w:cs="Times New Roman"/>
        </w:rPr>
        <w:t xml:space="preserve"> Kryteria oceny wniosku oraz sposób ich spełniania będą podane przedsiębiorcy w ogłoszeniu o naborze wniosków. Będą to kryteria wynikające z ustawy jak i z programu.</w:t>
      </w:r>
    </w:p>
    <w:p w14:paraId="1BC23B45" w14:textId="5138DBDD" w:rsidR="00C66810" w:rsidRPr="00D74B77" w:rsidRDefault="00F9126B" w:rsidP="00B236FD">
      <w:pPr>
        <w:spacing w:line="276" w:lineRule="auto"/>
        <w:jc w:val="both"/>
        <w:rPr>
          <w:rFonts w:ascii="Times New Roman" w:hAnsi="Times New Roman" w:cs="Times New Roman"/>
        </w:rPr>
      </w:pPr>
      <w:r w:rsidRPr="00D74B77">
        <w:rPr>
          <w:rFonts w:ascii="Times New Roman" w:hAnsi="Times New Roman" w:cs="Times New Roman"/>
        </w:rPr>
        <w:t>Kryteri</w:t>
      </w:r>
      <w:r w:rsidR="00E071A6" w:rsidRPr="00D74B77">
        <w:rPr>
          <w:rFonts w:ascii="Times New Roman" w:hAnsi="Times New Roman" w:cs="Times New Roman"/>
        </w:rPr>
        <w:t>ami</w:t>
      </w:r>
      <w:r w:rsidRPr="00D74B77">
        <w:rPr>
          <w:rFonts w:ascii="Times New Roman" w:hAnsi="Times New Roman" w:cs="Times New Roman"/>
        </w:rPr>
        <w:t xml:space="preserve"> oceny wniosku w zakresie zgodności z programem, </w:t>
      </w:r>
      <w:r w:rsidR="00215755" w:rsidRPr="00D74B77">
        <w:rPr>
          <w:rFonts w:ascii="Times New Roman" w:hAnsi="Times New Roman" w:cs="Times New Roman"/>
        </w:rPr>
        <w:t xml:space="preserve">są </w:t>
      </w:r>
      <w:r w:rsidRPr="00D74B77">
        <w:rPr>
          <w:rFonts w:ascii="Times New Roman" w:hAnsi="Times New Roman" w:cs="Times New Roman"/>
        </w:rPr>
        <w:t>wpływ inwestycji wskazanej we wniosku na bezpieczeństwo energetyczne, obniżenie energochłonności wnioskodawcy, obniżenie jednostkowej ceny energii elektrycznej dla wnioskodawcy, efektywność ekonomiczną wnioskodawcy oraz na zatrudnienie/rynek pracy.</w:t>
      </w:r>
    </w:p>
    <w:p w14:paraId="71411AD7" w14:textId="5EB29456" w:rsidR="00FF46F1" w:rsidRPr="00D74B77" w:rsidRDefault="00FF46F1" w:rsidP="00B236FD">
      <w:pPr>
        <w:spacing w:line="276" w:lineRule="auto"/>
        <w:jc w:val="both"/>
        <w:rPr>
          <w:rFonts w:ascii="Times New Roman" w:hAnsi="Times New Roman" w:cs="Times New Roman"/>
        </w:rPr>
      </w:pPr>
      <w:r w:rsidRPr="00D74B77">
        <w:rPr>
          <w:rFonts w:ascii="Times New Roman" w:hAnsi="Times New Roman" w:cs="Times New Roman"/>
        </w:rPr>
        <w:t>Operator pomocy sporządza wykaz wniosków, które otrzymały pozytywną ocenę formalną, finansową i techniczną.</w:t>
      </w:r>
    </w:p>
    <w:p w14:paraId="689D9E2C" w14:textId="77777777" w:rsidR="00B236FD" w:rsidRPr="00D74B77" w:rsidRDefault="00FF46F1" w:rsidP="00B236FD">
      <w:pPr>
        <w:pStyle w:val="ARTartustawynprozporzdzenia"/>
        <w:spacing w:line="276" w:lineRule="auto"/>
        <w:ind w:firstLine="0"/>
        <w:rPr>
          <w:rFonts w:ascii="Times New Roman" w:eastAsiaTheme="minorHAnsi" w:hAnsi="Times New Roman" w:cs="Times New Roman"/>
          <w:kern w:val="2"/>
          <w:sz w:val="22"/>
          <w:szCs w:val="22"/>
          <w:lang w:eastAsia="en-US"/>
          <w14:ligatures w14:val="standardContextual"/>
        </w:rPr>
      </w:pPr>
      <w:r w:rsidRPr="00D74B77">
        <w:rPr>
          <w:rFonts w:ascii="Times New Roman" w:eastAsiaTheme="minorHAnsi" w:hAnsi="Times New Roman" w:cs="Times New Roman"/>
          <w:kern w:val="2"/>
          <w:sz w:val="22"/>
          <w:szCs w:val="22"/>
          <w:lang w:eastAsia="en-US"/>
          <w14:ligatures w14:val="standardContextual"/>
        </w:rPr>
        <w:t>Jeżeli łączna wysokość wsparcia wynikająca z wniosków objętych wykazem przekracza wysokość środków finansowych przeznaczonych do udzielenia wsparcia, komisja przeprowadza ocenę wniosku w zakresie zgodności z programem</w:t>
      </w:r>
      <w:r w:rsidR="00C66810" w:rsidRPr="00D74B77">
        <w:rPr>
          <w:rFonts w:ascii="Times New Roman" w:eastAsiaTheme="minorHAnsi" w:hAnsi="Times New Roman" w:cs="Times New Roman"/>
          <w:kern w:val="2"/>
          <w:sz w:val="22"/>
          <w:szCs w:val="22"/>
          <w:lang w:eastAsia="en-US"/>
          <w14:ligatures w14:val="standardContextual"/>
        </w:rPr>
        <w:t>. Po dokonaniu oceny,</w:t>
      </w:r>
      <w:r w:rsidRPr="00D74B77">
        <w:rPr>
          <w:rFonts w:ascii="Times New Roman" w:eastAsiaTheme="minorHAnsi" w:hAnsi="Times New Roman" w:cs="Times New Roman"/>
          <w:kern w:val="2"/>
          <w:sz w:val="22"/>
          <w:szCs w:val="22"/>
          <w:lang w:eastAsia="en-US"/>
          <w14:ligatures w14:val="standardContextual"/>
        </w:rPr>
        <w:t xml:space="preserve"> </w:t>
      </w:r>
      <w:r w:rsidR="00F9126B" w:rsidRPr="00D74B77">
        <w:rPr>
          <w:rFonts w:ascii="Times New Roman" w:eastAsiaTheme="minorHAnsi" w:hAnsi="Times New Roman" w:cs="Times New Roman"/>
          <w:kern w:val="2"/>
          <w:sz w:val="22"/>
          <w:szCs w:val="22"/>
          <w:lang w:eastAsia="en-US"/>
          <w14:ligatures w14:val="standardContextual"/>
        </w:rPr>
        <w:t>Komisja dokonuje weryfikacji wykazu wniosków i ustala listę przedsiębiorców zakwalifikowanych do udzielenia wsparcia</w:t>
      </w:r>
      <w:r w:rsidR="00C66810" w:rsidRPr="00D74B77">
        <w:rPr>
          <w:rFonts w:ascii="Times New Roman" w:eastAsiaTheme="minorHAnsi" w:hAnsi="Times New Roman" w:cs="Times New Roman"/>
          <w:kern w:val="2"/>
          <w:sz w:val="22"/>
          <w:szCs w:val="22"/>
          <w:lang w:eastAsia="en-US"/>
          <w14:ligatures w14:val="standardContextual"/>
        </w:rPr>
        <w:t xml:space="preserve"> w ramach dostępnego budżetu programu. Szczegółowe kryteria i warunki udzielenia wsparcia oraz wysokość środków przeznaczonych na finansowanie programu zostanie określona w rządowym programie pomocy.</w:t>
      </w:r>
      <w:r w:rsidR="00B236FD" w:rsidRPr="00D74B77">
        <w:rPr>
          <w:rFonts w:ascii="Times New Roman" w:eastAsiaTheme="minorHAnsi" w:hAnsi="Times New Roman" w:cs="Times New Roman"/>
          <w:kern w:val="2"/>
          <w:sz w:val="22"/>
          <w:szCs w:val="22"/>
          <w:lang w:eastAsia="en-US"/>
          <w14:ligatures w14:val="standardContextual"/>
        </w:rPr>
        <w:t xml:space="preserve"> Kryterium oceny wniosku w zakresie zgodności z programem jest wpływ inwestycji wskazanej we wniosku na </w:t>
      </w:r>
      <w:bookmarkStart w:id="0" w:name="_Hlk238807317"/>
      <w:r w:rsidR="00B236FD" w:rsidRPr="00D74B77">
        <w:rPr>
          <w:rFonts w:ascii="Times New Roman" w:eastAsiaTheme="minorHAnsi" w:hAnsi="Times New Roman" w:cs="Times New Roman"/>
          <w:kern w:val="2"/>
          <w:sz w:val="22"/>
          <w:szCs w:val="22"/>
          <w:lang w:eastAsia="en-US"/>
          <w14:ligatures w14:val="standardContextual"/>
        </w:rPr>
        <w:t xml:space="preserve">bezpieczeństwo energetyczne, obniżenie energochłonności wnioskodawcy, obniżenie jednostkowej ceny energii elektrycznej dla wnioskodawcy, efektywność ekonomiczną wnioskodawcy </w:t>
      </w:r>
      <w:bookmarkEnd w:id="0"/>
      <w:r w:rsidR="00B236FD" w:rsidRPr="00D74B77">
        <w:rPr>
          <w:rFonts w:ascii="Times New Roman" w:eastAsiaTheme="minorHAnsi" w:hAnsi="Times New Roman" w:cs="Times New Roman"/>
          <w:kern w:val="2"/>
          <w:sz w:val="22"/>
          <w:szCs w:val="22"/>
          <w:lang w:eastAsia="en-US"/>
          <w14:ligatures w14:val="standardContextual"/>
        </w:rPr>
        <w:t xml:space="preserve">oraz na zatrudnienie. </w:t>
      </w:r>
    </w:p>
    <w:p w14:paraId="0A2F310C" w14:textId="35FDE742" w:rsidR="00F9126B" w:rsidRPr="00D74B77" w:rsidRDefault="00FF46F1" w:rsidP="00B236FD">
      <w:pPr>
        <w:pStyle w:val="ARTartustawynprozporzdzenia"/>
        <w:spacing w:line="276" w:lineRule="auto"/>
        <w:ind w:firstLine="0"/>
        <w:rPr>
          <w:rFonts w:ascii="Times New Roman" w:hAnsi="Times New Roman" w:cs="Times New Roman"/>
          <w:sz w:val="22"/>
          <w:szCs w:val="22"/>
        </w:rPr>
      </w:pPr>
      <w:r w:rsidRPr="00D74B77">
        <w:rPr>
          <w:rFonts w:ascii="Times New Roman" w:hAnsi="Times New Roman" w:cs="Times New Roman"/>
          <w:sz w:val="22"/>
          <w:szCs w:val="22"/>
        </w:rPr>
        <w:t>Minister właściwy do spraw gospodarki zatwierdza listę przedsiębiorców zakwalifikowanych do udzielenia wsparcia.</w:t>
      </w:r>
    </w:p>
    <w:p w14:paraId="666B3071" w14:textId="77777777" w:rsidR="00B914C3" w:rsidRPr="00D74B77" w:rsidRDefault="00B914C3" w:rsidP="00B236FD">
      <w:pPr>
        <w:spacing w:line="276" w:lineRule="auto"/>
        <w:jc w:val="both"/>
        <w:rPr>
          <w:rFonts w:ascii="Times New Roman" w:hAnsi="Times New Roman" w:cs="Times New Roman"/>
          <w:b/>
          <w:bCs/>
          <w:u w:val="single"/>
        </w:rPr>
      </w:pPr>
    </w:p>
    <w:p w14:paraId="56037C24" w14:textId="2541BFE3" w:rsidR="009819D6" w:rsidRPr="00D74B77" w:rsidRDefault="00FB5BEE"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Umowa o udzielenie wsparcia</w:t>
      </w:r>
      <w:r w:rsidR="00A232EB" w:rsidRPr="00D74B77">
        <w:rPr>
          <w:rFonts w:ascii="Times New Roman" w:hAnsi="Times New Roman" w:cs="Times New Roman"/>
          <w:b/>
          <w:bCs/>
          <w:u w:val="single"/>
        </w:rPr>
        <w:t xml:space="preserve"> (art. 20)</w:t>
      </w:r>
    </w:p>
    <w:p w14:paraId="2E658886" w14:textId="0B815384" w:rsidR="00FB5BEE" w:rsidRPr="00D74B77" w:rsidRDefault="00FB5BEE" w:rsidP="00B236FD">
      <w:pPr>
        <w:spacing w:line="276" w:lineRule="auto"/>
        <w:jc w:val="both"/>
        <w:rPr>
          <w:rFonts w:ascii="Times New Roman" w:hAnsi="Times New Roman" w:cs="Times New Roman"/>
        </w:rPr>
      </w:pPr>
      <w:r w:rsidRPr="00D74B77">
        <w:rPr>
          <w:rFonts w:ascii="Times New Roman" w:hAnsi="Times New Roman" w:cs="Times New Roman"/>
        </w:rPr>
        <w:t>Podstawą udzielenia wsparcia jest umowa o udzielenie wsparcia, zawarta przez operatora pomocy z</w:t>
      </w:r>
      <w:r w:rsidR="009C5BAB" w:rsidRPr="00D74B77">
        <w:rPr>
          <w:rFonts w:ascii="Times New Roman" w:hAnsi="Times New Roman" w:cs="Times New Roman"/>
        </w:rPr>
        <w:t> </w:t>
      </w:r>
      <w:r w:rsidRPr="00D74B77">
        <w:rPr>
          <w:rFonts w:ascii="Times New Roman" w:hAnsi="Times New Roman" w:cs="Times New Roman"/>
        </w:rPr>
        <w:t>przedsiębiorcą zakwalifikowanym do udzielenia wsparcia.</w:t>
      </w:r>
      <w:r w:rsidR="00B236FD" w:rsidRPr="00D74B77">
        <w:rPr>
          <w:rFonts w:ascii="Times New Roman" w:hAnsi="Times New Roman" w:cs="Times New Roman"/>
        </w:rPr>
        <w:t xml:space="preserve"> </w:t>
      </w:r>
      <w:r w:rsidRPr="00D74B77">
        <w:rPr>
          <w:rFonts w:ascii="Times New Roman" w:hAnsi="Times New Roman" w:cs="Times New Roman"/>
        </w:rPr>
        <w:t>Umowa wymaga formy pisemnej pod rygorem nieważności.</w:t>
      </w:r>
      <w:r w:rsidR="00B236FD" w:rsidRPr="00D74B77">
        <w:rPr>
          <w:rFonts w:ascii="Times New Roman" w:hAnsi="Times New Roman" w:cs="Times New Roman"/>
        </w:rPr>
        <w:t xml:space="preserve"> Art. 20 ust. 2 zawiera </w:t>
      </w:r>
      <w:r w:rsidR="00A232EB" w:rsidRPr="00D74B77">
        <w:rPr>
          <w:rFonts w:ascii="Times New Roman" w:hAnsi="Times New Roman" w:cs="Times New Roman"/>
        </w:rPr>
        <w:t>katalog elementów, które zawiera umowa z przedsiębiorcą. Wzór umowy zostanie zatwierdzony przez ministra właściwego do spraw gospodarki.</w:t>
      </w:r>
    </w:p>
    <w:p w14:paraId="075F1892" w14:textId="77777777" w:rsidR="00F3092F" w:rsidRPr="00D74B77" w:rsidRDefault="00A232EB" w:rsidP="00F3092F">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Wypłata wsparcia (art. 22)</w:t>
      </w:r>
    </w:p>
    <w:p w14:paraId="6C563FEC" w14:textId="06809F15" w:rsidR="00900214" w:rsidRDefault="00D74B77" w:rsidP="00D74B77">
      <w:pPr>
        <w:spacing w:line="276" w:lineRule="auto"/>
        <w:jc w:val="both"/>
        <w:rPr>
          <w:rFonts w:ascii="Times New Roman" w:hAnsi="Times New Roman" w:cs="Times New Roman"/>
        </w:rPr>
      </w:pPr>
      <w:r w:rsidRPr="00D74B77">
        <w:rPr>
          <w:rFonts w:ascii="Times New Roman" w:hAnsi="Times New Roman" w:cs="Times New Roman"/>
        </w:rPr>
        <w:lastRenderedPageBreak/>
        <w:t>Wypłata wsparcia następuje pod warunkiem zawarcia umowy o udzielenie dopłaty na dany rok</w:t>
      </w:r>
      <w:r>
        <w:rPr>
          <w:rFonts w:ascii="Times New Roman" w:hAnsi="Times New Roman" w:cs="Times New Roman"/>
        </w:rPr>
        <w:t xml:space="preserve"> oraz w</w:t>
      </w:r>
      <w:r w:rsidRPr="00D74B77">
        <w:rPr>
          <w:rFonts w:ascii="Times New Roman" w:hAnsi="Times New Roman" w:cs="Times New Roman"/>
        </w:rPr>
        <w:t>ykonania przez przedsiębiorcę zobowiązań wynikających z umowy wymaganych na dzień złożenia wniosku o wypłatę.</w:t>
      </w:r>
      <w:r w:rsidR="00900214">
        <w:rPr>
          <w:rFonts w:ascii="Times New Roman" w:hAnsi="Times New Roman" w:cs="Times New Roman"/>
        </w:rPr>
        <w:t xml:space="preserve"> </w:t>
      </w:r>
      <w:r w:rsidR="00900214" w:rsidRPr="00900214">
        <w:rPr>
          <w:rFonts w:ascii="Times New Roman" w:hAnsi="Times New Roman" w:cs="Times New Roman"/>
        </w:rPr>
        <w:t>Umowę o udzielenie dopłaty na dany rok zawiera się na podstawie wniosku o wypłatę, który zawiera dane o rzeczywistym zużyciu ilości energii elektrycznej w roku poprzedzającym rok złożenia tego wniosku.</w:t>
      </w:r>
    </w:p>
    <w:p w14:paraId="196642B6" w14:textId="31E70391" w:rsidR="00A232EB" w:rsidRPr="00D74B77" w:rsidRDefault="00A232EB" w:rsidP="00A232EB">
      <w:pPr>
        <w:spacing w:line="276" w:lineRule="auto"/>
        <w:jc w:val="both"/>
        <w:rPr>
          <w:rFonts w:ascii="Times New Roman" w:hAnsi="Times New Roman" w:cs="Times New Roman"/>
        </w:rPr>
      </w:pPr>
      <w:r w:rsidRPr="00D74B77">
        <w:rPr>
          <w:rFonts w:ascii="Times New Roman" w:hAnsi="Times New Roman" w:cs="Times New Roman"/>
        </w:rPr>
        <w:t>Wypłata będzie dokonywana w trzech transzach, raz w roku. Wniosek o udzielenie wsparcia oraz wnioski o wypłatę wsparcia będą opierać się na rzeczywistym zużyciu energii elektrycznej w roku poprzedzającym złożenie odpowiednich wniosków.</w:t>
      </w:r>
    </w:p>
    <w:p w14:paraId="602C436A" w14:textId="7FC48B44" w:rsidR="00BF3973" w:rsidRPr="00D74B77" w:rsidRDefault="00BF3973" w:rsidP="00A232EB">
      <w:pPr>
        <w:spacing w:line="276" w:lineRule="auto"/>
        <w:jc w:val="both"/>
        <w:rPr>
          <w:rFonts w:ascii="Times New Roman" w:hAnsi="Times New Roman" w:cs="Times New Roman"/>
        </w:rPr>
      </w:pPr>
      <w:r w:rsidRPr="00D74B77">
        <w:rPr>
          <w:rFonts w:ascii="Times New Roman" w:hAnsi="Times New Roman" w:cs="Times New Roman"/>
        </w:rPr>
        <w:t>Wsparcie może być wypłacane do dnia 31 grudnia 2030 r.</w:t>
      </w:r>
    </w:p>
    <w:p w14:paraId="2E0E306C" w14:textId="7B6DB05D" w:rsidR="00A232EB" w:rsidRPr="00D74B77" w:rsidRDefault="00A232EB" w:rsidP="00A232EB">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Kontrola (art. 23)</w:t>
      </w:r>
    </w:p>
    <w:p w14:paraId="2D29F92E" w14:textId="3E4911E8" w:rsidR="005526CF" w:rsidRPr="00D74B77" w:rsidRDefault="00A232EB" w:rsidP="00A232EB">
      <w:pPr>
        <w:spacing w:line="276" w:lineRule="auto"/>
        <w:jc w:val="both"/>
        <w:rPr>
          <w:rFonts w:ascii="Times New Roman" w:hAnsi="Times New Roman" w:cs="Times New Roman"/>
        </w:rPr>
      </w:pPr>
      <w:r w:rsidRPr="00D74B77">
        <w:rPr>
          <w:rFonts w:ascii="Times New Roman" w:hAnsi="Times New Roman" w:cs="Times New Roman"/>
        </w:rPr>
        <w:t>Kontrola nad realizacją umowy ma na celu sprawdzenie zgodności realizacji inwestycji z warunkami udzielenia wsparcia oraz umową o udzielenie wsparcia tj. w jaki sposób realizowana jest inwestycja określona w umowie z przedsiębiorcą. A także w trakcie kontroli weryfikowane będą informacje, dokumenty i oświadczenia złożone przez przedsiębiorcę w ramach ubiegania się o udzielenie lub wypłatę wsparcia.</w:t>
      </w:r>
    </w:p>
    <w:p w14:paraId="0E3FBA51" w14:textId="37A92650" w:rsidR="005526CF" w:rsidRPr="00D74B77" w:rsidRDefault="005526CF"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Rozliczenie inwestycji (art. 24)</w:t>
      </w:r>
    </w:p>
    <w:p w14:paraId="1335F541" w14:textId="030558B2" w:rsidR="00742871" w:rsidRPr="00D74B77" w:rsidRDefault="00742871" w:rsidP="00B236FD">
      <w:pPr>
        <w:spacing w:line="276" w:lineRule="auto"/>
        <w:jc w:val="both"/>
        <w:rPr>
          <w:rFonts w:ascii="Times New Roman" w:hAnsi="Times New Roman" w:cs="Times New Roman"/>
        </w:rPr>
      </w:pPr>
      <w:r w:rsidRPr="00D74B77">
        <w:rPr>
          <w:rFonts w:ascii="Times New Roman" w:hAnsi="Times New Roman" w:cs="Times New Roman"/>
        </w:rPr>
        <w:t xml:space="preserve">Przedsiębiorca, w terminie 3 miesięcy od dnia upływu terminu na realizację inwestycji wskazanej we wniosku, przekazuje operatorowi pomocy </w:t>
      </w:r>
      <w:r w:rsidR="00BF3973" w:rsidRPr="00D74B77">
        <w:rPr>
          <w:rFonts w:ascii="Times New Roman" w:hAnsi="Times New Roman" w:cs="Times New Roman"/>
        </w:rPr>
        <w:t xml:space="preserve">informację o </w:t>
      </w:r>
      <w:r w:rsidRPr="00D74B77">
        <w:rPr>
          <w:rFonts w:ascii="Times New Roman" w:hAnsi="Times New Roman" w:cs="Times New Roman"/>
        </w:rPr>
        <w:t>wykonani</w:t>
      </w:r>
      <w:r w:rsidR="00BF3973" w:rsidRPr="00D74B77">
        <w:rPr>
          <w:rFonts w:ascii="Times New Roman" w:hAnsi="Times New Roman" w:cs="Times New Roman"/>
        </w:rPr>
        <w:t>u</w:t>
      </w:r>
      <w:r w:rsidRPr="00D74B77">
        <w:rPr>
          <w:rFonts w:ascii="Times New Roman" w:hAnsi="Times New Roman" w:cs="Times New Roman"/>
        </w:rPr>
        <w:t xml:space="preserve"> inwestycji zgodnie z warunkami określonymi w umowie.</w:t>
      </w:r>
      <w:r w:rsidR="005526CF" w:rsidRPr="00D74B77">
        <w:rPr>
          <w:rFonts w:ascii="Times New Roman" w:hAnsi="Times New Roman" w:cs="Times New Roman"/>
        </w:rPr>
        <w:t xml:space="preserve"> </w:t>
      </w:r>
      <w:r w:rsidR="00BF3973" w:rsidRPr="00D74B77">
        <w:rPr>
          <w:rFonts w:ascii="Times New Roman" w:hAnsi="Times New Roman" w:cs="Times New Roman"/>
        </w:rPr>
        <w:t>Informacja ta</w:t>
      </w:r>
      <w:r w:rsidR="005526CF" w:rsidRPr="00D74B77">
        <w:rPr>
          <w:rFonts w:ascii="Times New Roman" w:hAnsi="Times New Roman" w:cs="Times New Roman"/>
        </w:rPr>
        <w:t xml:space="preserve"> zostanie </w:t>
      </w:r>
      <w:r w:rsidR="00BF3973" w:rsidRPr="00D74B77">
        <w:rPr>
          <w:rFonts w:ascii="Times New Roman" w:hAnsi="Times New Roman" w:cs="Times New Roman"/>
        </w:rPr>
        <w:t xml:space="preserve">zweryfikowana </w:t>
      </w:r>
      <w:r w:rsidR="005526CF" w:rsidRPr="00D74B77">
        <w:rPr>
          <w:rFonts w:ascii="Times New Roman" w:hAnsi="Times New Roman" w:cs="Times New Roman"/>
        </w:rPr>
        <w:t>przez operatora pomocy. Operator pomocy może wezwać przedsiębiorcę do przedłożenia dodatkowych dokumentów lub wyjaśnień w celu przeprowadzenia weryfikacji wykonania inwestycji z warunkami udzielenia wsparcia. Operator pomocy może zlecić przeprowadzenie niezależnego audytu technicznego lub finansowego jeżeli powstaną uzasadnione wątpliwości co do prawidłowości oświadczeń przedsiębiorcy, przedstawionego rozliczenia albo zgodności zrealizowanej inwestycji z warunkami określonymi w umowie. Jeśli audyt potwierdzi nieprawidłowości będące podstawą jego zlecenia koszty tego audytu ponosi przedsiębiorca.</w:t>
      </w:r>
    </w:p>
    <w:p w14:paraId="1C01C7F9" w14:textId="1E820457" w:rsidR="008E414E" w:rsidRPr="00D74B77" w:rsidRDefault="008E414E" w:rsidP="00B236FD">
      <w:pPr>
        <w:spacing w:line="276" w:lineRule="auto"/>
        <w:jc w:val="both"/>
        <w:rPr>
          <w:rFonts w:ascii="Times New Roman" w:hAnsi="Times New Roman" w:cs="Times New Roman"/>
          <w:b/>
          <w:bCs/>
        </w:rPr>
      </w:pPr>
      <w:r w:rsidRPr="00D74B77">
        <w:rPr>
          <w:rFonts w:ascii="Times New Roman" w:hAnsi="Times New Roman" w:cs="Times New Roman"/>
          <w:b/>
          <w:bCs/>
        </w:rPr>
        <w:t>Sprawozdanie (art. 25)</w:t>
      </w:r>
    </w:p>
    <w:p w14:paraId="5A0A31F1" w14:textId="5F1BC22E" w:rsidR="008E414E" w:rsidRPr="00D74B77" w:rsidRDefault="008E414E" w:rsidP="00B236FD">
      <w:pPr>
        <w:spacing w:line="276" w:lineRule="auto"/>
        <w:jc w:val="both"/>
        <w:rPr>
          <w:rFonts w:ascii="Times New Roman" w:hAnsi="Times New Roman" w:cs="Times New Roman"/>
        </w:rPr>
      </w:pPr>
      <w:r w:rsidRPr="00D74B77">
        <w:rPr>
          <w:rFonts w:ascii="Times New Roman" w:hAnsi="Times New Roman" w:cs="Times New Roman"/>
        </w:rPr>
        <w:t>W celu wykonania obowiązku sprawozdawczego z CISAF minister właściwy do spraw gospodarki będzie zobowiązany do publikowania raportu z realizacji inwestycji wskazanych we wnioskach o udzielenie wsparcia w terminie do 30 czerwca roku następującego po roku, którego dotyczy raport.</w:t>
      </w:r>
    </w:p>
    <w:p w14:paraId="60BB7C2D" w14:textId="7F285344" w:rsidR="005526CF" w:rsidRPr="00D74B77" w:rsidRDefault="005526CF" w:rsidP="00B236FD">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Zwrot pomocy (art. 2</w:t>
      </w:r>
      <w:r w:rsidR="008E414E" w:rsidRPr="00D74B77">
        <w:rPr>
          <w:rFonts w:ascii="Times New Roman" w:hAnsi="Times New Roman" w:cs="Times New Roman"/>
          <w:b/>
          <w:bCs/>
          <w:u w:val="single"/>
        </w:rPr>
        <w:t>6</w:t>
      </w:r>
      <w:r w:rsidRPr="00D74B77">
        <w:rPr>
          <w:rFonts w:ascii="Times New Roman" w:hAnsi="Times New Roman" w:cs="Times New Roman"/>
          <w:b/>
          <w:bCs/>
          <w:u w:val="single"/>
        </w:rPr>
        <w:t>)</w:t>
      </w:r>
    </w:p>
    <w:p w14:paraId="11299EAD" w14:textId="1CF115B0" w:rsidR="00742871" w:rsidRDefault="00742871" w:rsidP="00B236FD">
      <w:pPr>
        <w:spacing w:line="276" w:lineRule="auto"/>
        <w:jc w:val="both"/>
        <w:rPr>
          <w:rFonts w:ascii="Times New Roman" w:hAnsi="Times New Roman" w:cs="Times New Roman"/>
        </w:rPr>
      </w:pPr>
      <w:r w:rsidRPr="00D74B77">
        <w:rPr>
          <w:rFonts w:ascii="Times New Roman" w:hAnsi="Times New Roman" w:cs="Times New Roman"/>
        </w:rPr>
        <w:t xml:space="preserve">Przedsiębiorca dokonuje zwrotu </w:t>
      </w:r>
      <w:r w:rsidR="00087406" w:rsidRPr="00D74B77">
        <w:rPr>
          <w:rFonts w:ascii="Times New Roman" w:hAnsi="Times New Roman" w:cs="Times New Roman"/>
        </w:rPr>
        <w:t>wsparcia gdy wsparcie zostało</w:t>
      </w:r>
      <w:r w:rsidRPr="00D74B77">
        <w:rPr>
          <w:rFonts w:ascii="Times New Roman" w:hAnsi="Times New Roman" w:cs="Times New Roman"/>
        </w:rPr>
        <w:t xml:space="preserve"> pobrane nienależnie albo w wysokości wyższej niż należna lub nieprawidłowo wykorzystanej wraz z odsetkami</w:t>
      </w:r>
      <w:r w:rsidR="00087406" w:rsidRPr="00D74B77">
        <w:rPr>
          <w:rFonts w:ascii="Times New Roman" w:hAnsi="Times New Roman" w:cs="Times New Roman"/>
        </w:rPr>
        <w:t xml:space="preserve"> lub gdy przedsiębiorca nie wykonał inwestycji wskazanej we wniosku w całości. </w:t>
      </w:r>
      <w:r w:rsidR="00C87D87" w:rsidRPr="00D74B77">
        <w:rPr>
          <w:rFonts w:ascii="Times New Roman" w:hAnsi="Times New Roman" w:cs="Times New Roman"/>
        </w:rPr>
        <w:t>Operator pomocy wzywa przedsiębiorcę do zwrotu w terminie 14 dni od dnia doręczenia wezwania, jeżeli przedsiębiorca sam nie dokona zwrotu.</w:t>
      </w:r>
    </w:p>
    <w:p w14:paraId="42C2254A" w14:textId="1F7CD916" w:rsidR="00900214" w:rsidRPr="00D74B77" w:rsidRDefault="00900214" w:rsidP="00900214">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Art. 2</w:t>
      </w:r>
      <w:r w:rsidR="00C83CA5">
        <w:rPr>
          <w:rFonts w:ascii="Times New Roman" w:hAnsi="Times New Roman" w:cs="Times New Roman"/>
          <w:b/>
          <w:bCs/>
          <w:u w:val="single"/>
        </w:rPr>
        <w:t>7</w:t>
      </w:r>
    </w:p>
    <w:p w14:paraId="2D1D6399" w14:textId="2AC0E9E0" w:rsidR="00900214" w:rsidRPr="00D74B77" w:rsidRDefault="00C83CA5" w:rsidP="00900214">
      <w:pPr>
        <w:spacing w:line="276" w:lineRule="auto"/>
        <w:jc w:val="both"/>
        <w:rPr>
          <w:rFonts w:ascii="Times New Roman" w:hAnsi="Times New Roman" w:cs="Times New Roman"/>
        </w:rPr>
      </w:pPr>
      <w:r>
        <w:rPr>
          <w:rFonts w:ascii="Times New Roman" w:hAnsi="Times New Roman" w:cs="Times New Roman"/>
        </w:rPr>
        <w:t>W</w:t>
      </w:r>
      <w:r w:rsidR="00900214" w:rsidRPr="00D74B77">
        <w:rPr>
          <w:rFonts w:ascii="Times New Roman" w:hAnsi="Times New Roman" w:cs="Times New Roman"/>
        </w:rPr>
        <w:t xml:space="preserve">drażane omawianym projektem wsparcie przedsiębiorstw energochłonnych jest instrumentem prawnym </w:t>
      </w:r>
      <w:r w:rsidR="00900214" w:rsidRPr="00D74B77">
        <w:rPr>
          <w:rFonts w:ascii="Times New Roman" w:hAnsi="Times New Roman" w:cs="Times New Roman"/>
          <w:i/>
          <w:iCs/>
        </w:rPr>
        <w:t>sui generis</w:t>
      </w:r>
      <w:r w:rsidR="00900214" w:rsidRPr="00D74B77">
        <w:rPr>
          <w:rFonts w:ascii="Times New Roman" w:hAnsi="Times New Roman" w:cs="Times New Roman"/>
        </w:rPr>
        <w:t xml:space="preserve"> („dopłata”). Jakkolwiek do dopłaty tej, zgodnie z projektowanym art. 3 ust. 3 </w:t>
      </w:r>
      <w:r w:rsidR="00900214" w:rsidRPr="00D74B77">
        <w:rPr>
          <w:rFonts w:ascii="Times New Roman" w:hAnsi="Times New Roman" w:cs="Times New Roman"/>
          <w:u w:val="single"/>
        </w:rPr>
        <w:t>stosuje się</w:t>
      </w:r>
      <w:r w:rsidR="00900214" w:rsidRPr="00D74B77">
        <w:rPr>
          <w:rFonts w:ascii="Times New Roman" w:hAnsi="Times New Roman" w:cs="Times New Roman"/>
        </w:rPr>
        <w:t xml:space="preserve"> (co do zasady) przepisy ustawy z dnia 27 sierpnia 2009 r. o finansach publicznych, o dotacji celowej, pojawia się wątpliwość, czy dopłata tak</w:t>
      </w:r>
      <w:r>
        <w:rPr>
          <w:rFonts w:ascii="Times New Roman" w:hAnsi="Times New Roman" w:cs="Times New Roman"/>
        </w:rPr>
        <w:t>a</w:t>
      </w:r>
      <w:r w:rsidR="00900214" w:rsidRPr="00D74B77">
        <w:rPr>
          <w:rFonts w:ascii="Times New Roman" w:hAnsi="Times New Roman" w:cs="Times New Roman"/>
        </w:rPr>
        <w:t xml:space="preserve"> jest „dotacją otrzymaną z budżetu państwa” w rozumieniu ustaw o podatkach dochodowych (zob. art. 17 ust. 1 pkt 47 ustawy o CIT). Z tej przyczyny zdecydowano o szczególnym uregulowaniu skutków podatkowych tego wsparcia (dopłaty) na gruncie </w:t>
      </w:r>
      <w:r w:rsidR="00900214" w:rsidRPr="00D74B77">
        <w:rPr>
          <w:rFonts w:ascii="Times New Roman" w:hAnsi="Times New Roman" w:cs="Times New Roman"/>
        </w:rPr>
        <w:lastRenderedPageBreak/>
        <w:t>podatków dochodowych. Zgodnie z tym przepisem wsparcie to nie będzie stanowiło przychodów podatkowych a wydatek sfinansowany z niego nie będzie kosztem uzyskania przychodów. Dotyczy to również kosztów w postaci odpisów amortyzacyjnych.</w:t>
      </w:r>
    </w:p>
    <w:p w14:paraId="606BB8CB" w14:textId="67E11F05" w:rsidR="00EF3513" w:rsidRPr="00900214" w:rsidRDefault="006621F9" w:rsidP="00B236FD">
      <w:pPr>
        <w:spacing w:line="276" w:lineRule="auto"/>
        <w:jc w:val="both"/>
        <w:rPr>
          <w:rFonts w:ascii="Times New Roman" w:hAnsi="Times New Roman" w:cs="Times New Roman"/>
          <w:b/>
          <w:bCs/>
          <w:u w:val="single"/>
        </w:rPr>
      </w:pPr>
      <w:r w:rsidRPr="00900214">
        <w:rPr>
          <w:rFonts w:ascii="Times New Roman" w:hAnsi="Times New Roman" w:cs="Times New Roman"/>
          <w:b/>
          <w:bCs/>
          <w:u w:val="single"/>
        </w:rPr>
        <w:t>Zwiększenie pomocy w ramach METSAF</w:t>
      </w:r>
      <w:r w:rsidR="00900214">
        <w:rPr>
          <w:rFonts w:ascii="Times New Roman" w:hAnsi="Times New Roman" w:cs="Times New Roman"/>
          <w:b/>
          <w:bCs/>
          <w:u w:val="single"/>
        </w:rPr>
        <w:t xml:space="preserve"> </w:t>
      </w:r>
      <w:r w:rsidRPr="00900214">
        <w:rPr>
          <w:rFonts w:ascii="Times New Roman" w:hAnsi="Times New Roman" w:cs="Times New Roman"/>
          <w:b/>
          <w:bCs/>
          <w:u w:val="single"/>
        </w:rPr>
        <w:t>(art. 2</w:t>
      </w:r>
      <w:r w:rsidR="00C83CA5">
        <w:rPr>
          <w:rFonts w:ascii="Times New Roman" w:hAnsi="Times New Roman" w:cs="Times New Roman"/>
          <w:b/>
          <w:bCs/>
          <w:u w:val="single"/>
        </w:rPr>
        <w:t>9</w:t>
      </w:r>
      <w:r w:rsidRPr="00900214">
        <w:rPr>
          <w:rFonts w:ascii="Times New Roman" w:hAnsi="Times New Roman" w:cs="Times New Roman"/>
          <w:b/>
          <w:bCs/>
          <w:u w:val="single"/>
        </w:rPr>
        <w:t>)</w:t>
      </w:r>
    </w:p>
    <w:p w14:paraId="18040475" w14:textId="77777777" w:rsidR="00EF3513" w:rsidRPr="00D74B77" w:rsidRDefault="00EF3513" w:rsidP="00EF3513">
      <w:pPr>
        <w:spacing w:line="276" w:lineRule="auto"/>
        <w:jc w:val="both"/>
        <w:rPr>
          <w:rFonts w:ascii="Times New Roman" w:hAnsi="Times New Roman" w:cs="Times New Roman"/>
        </w:rPr>
      </w:pPr>
      <w:r w:rsidRPr="00D74B77">
        <w:rPr>
          <w:rFonts w:ascii="Times New Roman" w:hAnsi="Times New Roman" w:cs="Times New Roman"/>
        </w:rPr>
        <w:t>Komisja Europejska, przyjmując komunikat „Tymczasowe ramy pomocy państwa w związku z kryzysem na Bliskim Wschodzie” (Dz. Urz. UE C, C/2026/2593 z 5.5.2026), zwany dalej „METSAF”, wskazała na pogorszenie sytuacji w regionie od lutego 2026 r. oraz wzrost światowych cen ropy naftowej, gazu i nawozów w następstwie faktycznego zamknięcia cieśniny Ormuz. Ze względu na powiązanie cen gazu i energii elektrycznej skutki kryzysu dotyczą również kosztów ponoszonych przez przemysł energochłonny.</w:t>
      </w:r>
    </w:p>
    <w:p w14:paraId="6D2BC21C" w14:textId="77777777" w:rsidR="00EF3513" w:rsidRPr="00D74B77" w:rsidRDefault="00EF3513" w:rsidP="00EF3513">
      <w:pPr>
        <w:spacing w:line="276" w:lineRule="auto"/>
        <w:jc w:val="both"/>
        <w:rPr>
          <w:rFonts w:ascii="Times New Roman" w:hAnsi="Times New Roman" w:cs="Times New Roman"/>
        </w:rPr>
      </w:pPr>
      <w:r w:rsidRPr="00D74B77">
        <w:rPr>
          <w:rFonts w:ascii="Times New Roman" w:hAnsi="Times New Roman" w:cs="Times New Roman"/>
        </w:rPr>
        <w:t>Projektowana ustawa umożliwia wykorzystanie szczególnych warunków wsparcia przewidzianych w METSAF w celu ograniczenia obciążenia przedsiębiorstw kosztami energii elektrycznej. W zakresie objętym sekcją 3 METSAF warunki te stanowią czasową modyfikację zasad pomocy określonych w sekcji 4.5 CISAF.</w:t>
      </w:r>
    </w:p>
    <w:p w14:paraId="42C2A28F" w14:textId="2D5CFBD8" w:rsidR="00EF3513" w:rsidRPr="00D74B77" w:rsidRDefault="00EF3513" w:rsidP="00EF3513">
      <w:pPr>
        <w:spacing w:line="276" w:lineRule="auto"/>
        <w:jc w:val="both"/>
        <w:rPr>
          <w:rFonts w:ascii="Times New Roman" w:hAnsi="Times New Roman" w:cs="Times New Roman"/>
        </w:rPr>
      </w:pPr>
      <w:r w:rsidRPr="00D74B77">
        <w:rPr>
          <w:rFonts w:ascii="Times New Roman" w:hAnsi="Times New Roman" w:cs="Times New Roman"/>
        </w:rPr>
        <w:t>Projektowany art. 2</w:t>
      </w:r>
      <w:r w:rsidR="00C83CA5">
        <w:rPr>
          <w:rFonts w:ascii="Times New Roman" w:hAnsi="Times New Roman" w:cs="Times New Roman"/>
        </w:rPr>
        <w:t>9</w:t>
      </w:r>
      <w:r w:rsidRPr="00D74B77">
        <w:rPr>
          <w:rFonts w:ascii="Times New Roman" w:hAnsi="Times New Roman" w:cs="Times New Roman"/>
        </w:rPr>
        <w:t xml:space="preserve"> ma charakter epizodyczny i umożliwia zastosowanie, w odniesieniu do energii elektrycznej zakupionej i zużytej od dnia 1 marca do dnia 31 grudnia 2026 r., czasowych odstępstw przewidzianych w pkt 74 METSAF od zasad określonych w pkt 120 i 125 CISAF. Odstępstwa te modyfikują warunki pomocy na podstawie sekcji 4.5 komunikatu Komisji</w:t>
      </w:r>
      <w:r w:rsidR="00900214">
        <w:rPr>
          <w:rFonts w:ascii="Times New Roman" w:hAnsi="Times New Roman" w:cs="Times New Roman"/>
        </w:rPr>
        <w:t xml:space="preserve"> </w:t>
      </w:r>
      <w:r w:rsidRPr="00D74B77">
        <w:rPr>
          <w:rFonts w:ascii="Times New Roman" w:hAnsi="Times New Roman" w:cs="Times New Roman"/>
        </w:rPr>
        <w:t>CISAF. Dotyczą wysokości obniżenia ceny energii oraz kumulacji z rekompensatami ETS.</w:t>
      </w:r>
    </w:p>
    <w:p w14:paraId="3FE3217D" w14:textId="77777777" w:rsidR="00EF3513" w:rsidRPr="00D74B77" w:rsidRDefault="00EF3513" w:rsidP="00EF3513">
      <w:pPr>
        <w:spacing w:line="276" w:lineRule="auto"/>
        <w:jc w:val="both"/>
        <w:rPr>
          <w:rFonts w:ascii="Times New Roman" w:hAnsi="Times New Roman" w:cs="Times New Roman"/>
        </w:rPr>
      </w:pPr>
      <w:r w:rsidRPr="00D74B77">
        <w:rPr>
          <w:rFonts w:ascii="Times New Roman" w:hAnsi="Times New Roman" w:cs="Times New Roman"/>
        </w:rPr>
        <w:t>W odniesieniu do wyznaczonego okresu limit obniżenia średniej rocznej hurtowej ceny energii elektrycznej zostaje zwiększony z 50% do 70%, przy zachowaniu pozostałych warunków pkt 120 CISAF, w szczególności ograniczenia dotyczącego kwalifikującego się zużycia energii elektrycznej oraz minimalnego poziomu ceny 50 EUR/MWh. Zmiana ta dotyczy wyłącznie parametru służącego ustaleniu maksymalnego poziomu obniżenia ceny i nie zmienia pozostałych warunków określania maksymalnej wysokości wsparcia.</w:t>
      </w:r>
    </w:p>
    <w:p w14:paraId="07889493" w14:textId="6DDF2C72" w:rsidR="00EF3513" w:rsidRPr="00D74B77" w:rsidRDefault="00EF3513" w:rsidP="00EF3513">
      <w:pPr>
        <w:spacing w:line="276" w:lineRule="auto"/>
        <w:jc w:val="both"/>
        <w:rPr>
          <w:rFonts w:ascii="Times New Roman" w:hAnsi="Times New Roman" w:cs="Times New Roman"/>
        </w:rPr>
      </w:pPr>
      <w:r w:rsidRPr="00D74B77">
        <w:rPr>
          <w:rFonts w:ascii="Times New Roman" w:hAnsi="Times New Roman" w:cs="Times New Roman"/>
        </w:rPr>
        <w:t>W zakresie kumulacji z rekompensatami projektowany art. 2</w:t>
      </w:r>
      <w:r w:rsidR="00C83CA5">
        <w:rPr>
          <w:rFonts w:ascii="Times New Roman" w:hAnsi="Times New Roman" w:cs="Times New Roman"/>
        </w:rPr>
        <w:t>9</w:t>
      </w:r>
      <w:r w:rsidRPr="00D74B77">
        <w:rPr>
          <w:rFonts w:ascii="Times New Roman" w:hAnsi="Times New Roman" w:cs="Times New Roman"/>
        </w:rPr>
        <w:t xml:space="preserve"> </w:t>
      </w:r>
      <w:r w:rsidR="00C875B4" w:rsidRPr="00D74B77">
        <w:rPr>
          <w:rFonts w:ascii="Times New Roman" w:hAnsi="Times New Roman" w:cs="Times New Roman"/>
        </w:rPr>
        <w:t>ust. 3 zmienia sposób wyliczenia wysokości pomocy na podstawie projektowanej ustawy</w:t>
      </w:r>
      <w:r w:rsidRPr="00D74B77">
        <w:rPr>
          <w:rFonts w:ascii="Times New Roman" w:hAnsi="Times New Roman" w:cs="Times New Roman"/>
        </w:rPr>
        <w:t xml:space="preserve">. </w:t>
      </w:r>
      <w:r w:rsidR="00C875B4" w:rsidRPr="00D74B77">
        <w:rPr>
          <w:rFonts w:ascii="Times New Roman" w:hAnsi="Times New Roman" w:cs="Times New Roman"/>
        </w:rPr>
        <w:t>Z</w:t>
      </w:r>
      <w:r w:rsidRPr="00D74B77">
        <w:rPr>
          <w:rFonts w:ascii="Times New Roman" w:hAnsi="Times New Roman" w:cs="Times New Roman"/>
        </w:rPr>
        <w:t>achowane zostają zasady dotyczące możliwości łączenia wsparcia z rekompensatami, wsparcia zużycia niepokrywającego się z zużyciem objętym rekompensatą oraz ustalania ilości energii elektrycznej objętej rekompensatą. W odniesieniu do tego samego kwalifikującego się zużycia energii elektrycznej łączna kwota wsparcia i rekompensaty może osiągnąć sumę maksymalnej kwoty pomocy dopuszczalnej na podstawie sekcji 3.1 wytycznych w sprawie ETS oraz 50% maksymalnej kwoty pomocy dopuszczalnej na podstawie pkt 120 CISAF, ustalonej z zastosowaniem szczególnych zasad określonych w art. 2</w:t>
      </w:r>
      <w:r w:rsidR="00C83CA5">
        <w:rPr>
          <w:rFonts w:ascii="Times New Roman" w:hAnsi="Times New Roman" w:cs="Times New Roman"/>
        </w:rPr>
        <w:t>9</w:t>
      </w:r>
      <w:r w:rsidRPr="00D74B77">
        <w:rPr>
          <w:rFonts w:ascii="Times New Roman" w:hAnsi="Times New Roman" w:cs="Times New Roman"/>
        </w:rPr>
        <w:t>, w tym podwyższonego do 70% limitu obniżenia ceny. Maksymalne kwoty pomocy oraz łączną kwotę wsparcia i rekompensaty ustala się w odniesieniu do tego samego kwalifikującego się zużycia energii elektrycznej objętego szczególnymi zasadami.</w:t>
      </w:r>
    </w:p>
    <w:p w14:paraId="1DB88EEA" w14:textId="77777777" w:rsidR="00EF3513" w:rsidRPr="00D74B77" w:rsidRDefault="00EF3513" w:rsidP="00EF3513">
      <w:pPr>
        <w:spacing w:line="276" w:lineRule="auto"/>
        <w:jc w:val="both"/>
        <w:rPr>
          <w:rFonts w:ascii="Times New Roman" w:hAnsi="Times New Roman" w:cs="Times New Roman"/>
        </w:rPr>
      </w:pPr>
      <w:r w:rsidRPr="00D74B77">
        <w:rPr>
          <w:rFonts w:ascii="Times New Roman" w:hAnsi="Times New Roman" w:cs="Times New Roman"/>
        </w:rPr>
        <w:t xml:space="preserve">Dodatkowa kwota wsparcia możliwa do udzielenia wskutek zastosowania tych odstępstw nie zwiększa zakresu obowiązku inwestycyjnego odpowiadającego pkt 121 CISAF. Obowiązek ten jest zatem ustalany w odniesieniu do kwoty wsparcia, która mogłaby zostać udzielona na zasadach CISAF bez zastosowania dodatkowej elastyczności przewidzianej w pkt 74 METSAF. Przy projektowaniu przepisów epizodycznych dot. METSAF, należy zwrócić uwagę, że METSAF nie tworzy odrębnego rodzaju pomocy. Czasowo modyfikuje dwa elementy CISAF, tj. parametr określony w pkt 120 CISAF (tj. z 50% na 70%) zasadę kumulacji z rekompensatami ETS wynikającą z pkt 125 CISAF. Jednocześnie </w:t>
      </w:r>
      <w:r w:rsidRPr="00D74B77">
        <w:rPr>
          <w:rFonts w:ascii="Times New Roman" w:hAnsi="Times New Roman" w:cs="Times New Roman"/>
        </w:rPr>
        <w:lastRenderedPageBreak/>
        <w:t>dodatkowa pomoc możliwa do udzielenia wskutek zastosowania tych odstępstw nie powoduje zwiększenia obowiązku inwestycyjnego wynikającego z pkt 121 CISAF.</w:t>
      </w:r>
    </w:p>
    <w:p w14:paraId="4C4F73BC" w14:textId="17244F06" w:rsidR="00EF3513" w:rsidRPr="00D74B77" w:rsidRDefault="00EF3513" w:rsidP="00EF3513">
      <w:pPr>
        <w:spacing w:line="276" w:lineRule="auto"/>
        <w:jc w:val="both"/>
        <w:rPr>
          <w:rFonts w:ascii="Times New Roman" w:hAnsi="Times New Roman" w:cs="Times New Roman"/>
        </w:rPr>
      </w:pPr>
      <w:r w:rsidRPr="00D74B77">
        <w:rPr>
          <w:rFonts w:ascii="Times New Roman" w:hAnsi="Times New Roman" w:cs="Times New Roman"/>
        </w:rPr>
        <w:t>Przewiduje się składanie wniosków i wypłatę wsparcia w 2027 r., na podstawie zamkniętych danych dotyczących 2026 r. Weryfikacja wniosków, wypłata oraz zwrot wsparcia pobranego nienależnie albo w wysokości wyższej niż należna następują na zasadach ogólnych określonych w ustawie. Szczególne zasady odnoszą się wyłącznie do zakupionej i zużytej energii elektrycznej w oznaczonym okresie od 1</w:t>
      </w:r>
      <w:r w:rsidR="00900214">
        <w:rPr>
          <w:rFonts w:ascii="Times New Roman" w:hAnsi="Times New Roman" w:cs="Times New Roman"/>
        </w:rPr>
        <w:t> </w:t>
      </w:r>
      <w:r w:rsidRPr="00D74B77">
        <w:rPr>
          <w:rFonts w:ascii="Times New Roman" w:hAnsi="Times New Roman" w:cs="Times New Roman"/>
        </w:rPr>
        <w:t>marca do 31 grudnia 2026 r. i nie stanowią podstawy do stosowania podwyższonego limitu ani szczególnej zasady kumulacji w odniesieniu do zużycia energii elektrycznej w kolejnych latach.</w:t>
      </w:r>
    </w:p>
    <w:p w14:paraId="2E49E930" w14:textId="64385FFC" w:rsidR="00D74B77" w:rsidRPr="00D74B77" w:rsidRDefault="00D74B77" w:rsidP="00D74B77">
      <w:pPr>
        <w:spacing w:line="276" w:lineRule="auto"/>
        <w:jc w:val="both"/>
        <w:rPr>
          <w:rFonts w:ascii="Times New Roman" w:hAnsi="Times New Roman" w:cs="Times New Roman"/>
          <w:b/>
          <w:bCs/>
          <w:u w:val="single"/>
        </w:rPr>
      </w:pPr>
      <w:r w:rsidRPr="00D74B77">
        <w:rPr>
          <w:rFonts w:ascii="Times New Roman" w:hAnsi="Times New Roman" w:cs="Times New Roman"/>
          <w:b/>
          <w:bCs/>
          <w:u w:val="single"/>
        </w:rPr>
        <w:t>Zmiany w ustawie z dnia 15 lutego 1992 r. o podatku dochodowym od osób prawnych (art. 2</w:t>
      </w:r>
      <w:r w:rsidR="00C83CA5">
        <w:rPr>
          <w:rFonts w:ascii="Times New Roman" w:hAnsi="Times New Roman" w:cs="Times New Roman"/>
          <w:b/>
          <w:bCs/>
          <w:u w:val="single"/>
        </w:rPr>
        <w:t>8</w:t>
      </w:r>
      <w:r w:rsidRPr="00D74B77">
        <w:rPr>
          <w:rFonts w:ascii="Times New Roman" w:hAnsi="Times New Roman" w:cs="Times New Roman"/>
          <w:b/>
          <w:bCs/>
          <w:u w:val="single"/>
        </w:rPr>
        <w:t>)</w:t>
      </w:r>
    </w:p>
    <w:p w14:paraId="6483AF86" w14:textId="77777777" w:rsidR="00D74B77" w:rsidRPr="00D74B77" w:rsidRDefault="00D74B77" w:rsidP="00D74B77">
      <w:pPr>
        <w:spacing w:before="240"/>
        <w:jc w:val="both"/>
        <w:rPr>
          <w:rFonts w:ascii="Times New Roman" w:hAnsi="Times New Roman" w:cs="Times New Roman"/>
          <w:b/>
          <w:bCs/>
        </w:rPr>
      </w:pPr>
      <w:r w:rsidRPr="00D74B77">
        <w:rPr>
          <w:rFonts w:ascii="Times New Roman" w:hAnsi="Times New Roman" w:cs="Times New Roman"/>
          <w:b/>
          <w:bCs/>
        </w:rPr>
        <w:t>Kontekst wprowadzenia zmian w ustawie z dnia 15 lutego 1992 r. o podatku dochodowym od osób prawnych (Dz. U. z 2026 r. poz. 554, z późn. zm.), dalej „ustawa o CIT” i jej uzasadnienie aksjologiczno-społeczne.</w:t>
      </w:r>
    </w:p>
    <w:p w14:paraId="2AF1A6C2"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Destabilizacja sytuacji politycznej na Wschodzie Europy wywołana agresją Rosji na Ukrainę, skutkuje bezprecedensową potrzebą systematycznego pozyskiwania dodatkowych środków na finansowanie zintensyfikowanego procesu modernizacji i rozbudowy polskiej armii. Krajowe wydatki na obronność w 2023 r. wyniosły 3,3% (były o 51% większe w stosunku do roku poprzedniego), w 2024 r. 3,8%, natomiast w 2025 r. na obronność wydano 4,3% PKB. Realizacja założeń na kolejny rok oznacza, że w 2026 r. Polska wyda na obronność co najmniej 5 % PKB, co nominalnie stanowi ponad 200 mld zł.</w:t>
      </w:r>
    </w:p>
    <w:p w14:paraId="13973CB7"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Wpływ na poczucie bezpieczeństwa, w tym w kontekście gospodarczym, mają również uwarunkowania geopolityczne osadzone na konflikcie zbrojnym między USA i Izraelem a Iranem (zapoczątkowanym w pierwszym kwartale 2026 r.), który spowodował w ostatnim czasie gwałtowny wzrost marż rafineryjnych, niebędący wynikiem poprawy efektywności operacyjnej firm, lecz skutkiem szoku podażowego. Eskalacja działań militarnych w regionie Zatoki Perskiej doprowadziła do faktycznej blokady Cieśniny Ormuz – strategicznego przesmyku, przez który przepływa blisko 20% światowej podaży ropy naftowej, co w konsekwencji ma wpływ na drastyczne ograniczenie podaży surowca i związaną z tym silną reakcję na rynkach towarowych (cena ropy gatunku Brent wzrosła z poziomu ok. 65 USD za baryłkę w styczniu 2026 r., do szczytowych 126 USD za baryłkę w marcu 2026 r.). </w:t>
      </w:r>
    </w:p>
    <w:p w14:paraId="2C0102F6"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Powyższe uwarunkowania, w tym wciąż dynamiczna sytuacja w regionie, sprowokowały polityki wewnętrzne państw członkowskich, w tym Polskę, do podejmowania działań zaradczych i zabezpieczających interesy ekonomiczne obywateli. W odpowiedzi na wzrost cen paliw uruchomiono szereg doraźnych mechanizmów fiskalnych takich jak obniżenie stawki podatku VAT na benzynę i olej napędowy do poziomu 8% oraz redukcję akcyzy na paliwa silnikowe do najniższego poziomu dopuszczonego przez regulacje unijne. Ponadto, w celu ochrony konsumentów przed nieuczciwymi praktykami rynkowymi i spekulacjami na etapie sprzedaży detalicznej, w ramach dostępnych instrumentów interwencji rynkowej wprowadzono maksymalne ceny detaliczne paliw, których stosowanie stało się obowiązkiem koncesjonowanych sprzedawców. </w:t>
      </w:r>
    </w:p>
    <w:p w14:paraId="3DDB5FF9"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Koszt fiskalny tych działań w ciągu 3 miesięcy od wprowadzania pakietu osłonowego CPN („Ceny Paliwa Niżej”) spowodował ubytek dochodów budżetu państwa szacowany na ok. 4,8 mld zł. Instrumenty te, choć niezbędne dla doraźnej ochrony konsumentów i przedsiębiorców, w szczególności małych i średnich, nie rozwiązują podstawowej nierównowagi: ciężar wsparcia cenowego ponosi budżet państwa, a więc </w:t>
      </w:r>
      <w:r w:rsidRPr="00D74B77">
        <w:rPr>
          <w:rFonts w:ascii="Times New Roman" w:hAnsi="Times New Roman" w:cs="Times New Roman"/>
          <w:i/>
          <w:iCs/>
        </w:rPr>
        <w:t>de facto</w:t>
      </w:r>
      <w:r w:rsidRPr="00D74B77">
        <w:rPr>
          <w:rFonts w:ascii="Times New Roman" w:hAnsi="Times New Roman" w:cs="Times New Roman"/>
        </w:rPr>
        <w:t xml:space="preserve"> ogół podatników, podczas gdy beneficjentem nadzwyczajnych marż pozostają przedsiębiorstwa paliwowe.</w:t>
      </w:r>
    </w:p>
    <w:p w14:paraId="23FDADAC"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Przykładem regulacji rangi ustawowej, na gruncie przepisów krajowych, uwzględniającej  okoliczności rynkowe i potrzebę zwiększenia wpływów budżetowych (w tym dla zapewnienia finansowania wydatków na obronność) jest </w:t>
      </w:r>
      <w:r w:rsidRPr="00D74B77">
        <w:rPr>
          <w:rFonts w:ascii="Times New Roman" w:hAnsi="Times New Roman" w:cs="Times New Roman"/>
          <w:i/>
          <w:iCs/>
        </w:rPr>
        <w:t xml:space="preserve">ustawa z dnia 6 listopada 2025 r. o zmianie ustawy o podatku dochodowym </w:t>
      </w:r>
      <w:r w:rsidRPr="00D74B77">
        <w:rPr>
          <w:rFonts w:ascii="Times New Roman" w:hAnsi="Times New Roman" w:cs="Times New Roman"/>
          <w:i/>
          <w:iCs/>
        </w:rPr>
        <w:lastRenderedPageBreak/>
        <w:t>od osób prawnych i ustawy o podatku od niektórych instytucji finansowych (Dz. U. poz. 1658)</w:t>
      </w:r>
      <w:r w:rsidRPr="00D74B77">
        <w:rPr>
          <w:rFonts w:ascii="Times New Roman" w:hAnsi="Times New Roman" w:cs="Times New Roman"/>
        </w:rPr>
        <w:t>, podwyższająca stawkę CIT w odniesieniu do podatników będących bankami, obowiązująca, co do zasady, od 1 stycznia 2026 r. Celem było przede wszystkim jednolite rozłożenie dodatkowego ciężaru podatkowego na podmioty zyskujące ponadmiarowo m.in. na wzroście inflacji i podwyższonych stopach procentowych.</w:t>
      </w:r>
    </w:p>
    <w:p w14:paraId="55FC6DA2" w14:textId="77777777" w:rsidR="00D74B77" w:rsidRPr="00D74B77" w:rsidRDefault="00D74B77" w:rsidP="00D74B77">
      <w:pPr>
        <w:jc w:val="both"/>
        <w:rPr>
          <w:rFonts w:ascii="Times New Roman" w:hAnsi="Times New Roman" w:cs="Times New Roman"/>
          <w:i/>
          <w:iCs/>
        </w:rPr>
      </w:pPr>
      <w:r w:rsidRPr="00D74B77">
        <w:rPr>
          <w:rFonts w:ascii="Times New Roman" w:hAnsi="Times New Roman" w:cs="Times New Roman"/>
        </w:rPr>
        <w:t xml:space="preserve">Podobne zamierzenie, w kontekście w szczególności uwarunkowań geopolitycznych w rejonie Bliskiego Wschodu (choć w nieco innej formule), przyświecało </w:t>
      </w:r>
      <w:r w:rsidRPr="00D74B77">
        <w:rPr>
          <w:rFonts w:ascii="Times New Roman" w:hAnsi="Times New Roman" w:cs="Times New Roman"/>
          <w:i/>
          <w:iCs/>
        </w:rPr>
        <w:t>ustawie z dnia 3 lipca 2026 r.  o podatku od nadzwyczajnych zysków osiągniętych w okresie od marca do grudnia 2026 r. ze zbycia paliw ciekłych</w:t>
      </w:r>
      <w:r w:rsidRPr="00D74B77">
        <w:rPr>
          <w:rStyle w:val="Odwoanieprzypisudolnego"/>
          <w:rFonts w:ascii="Times New Roman" w:hAnsi="Times New Roman" w:cs="Times New Roman"/>
          <w:i/>
          <w:iCs/>
        </w:rPr>
        <w:footnoteReference w:id="1"/>
      </w:r>
      <w:r w:rsidRPr="00D74B77">
        <w:rPr>
          <w:rFonts w:ascii="Times New Roman" w:hAnsi="Times New Roman" w:cs="Times New Roman"/>
        </w:rPr>
        <w:t xml:space="preserve"> ukierunkowanej na wprowadzenie w okresie 1 marca 2026 r. do dnia 31 grudnia 2026 r.) daniny od nadzwyczajnych zysków (tzw. „podatek od nadzwyczajnych zysków”/„windfall tax”) osiągniętych ze zbycia paliw ciekłych przez przedsiębiorców prowadzących działalność w zakresie wytwarzania oraz obrotu paliwami na podstawie koncesji na obrót paliwami ciekłymi z zagranicą. Regulacja stanowiła reakcję na skokowy wzrost cen surowca na rynkach światowych, a jednocześnie nadzwyczajne zwiększenie marż handlowych na rynkach europejskich, w tym na rynku krajowym, wielokrotnie przekraczając historyczne średnie. W tym samym czasie polscy konsumenci i przedsiębiorcy zmagali się ze wzrostem cen paliw na stacjach. Wysokie ceny energii uderzyły także w sektor transportowy, przemysł oraz gospodarstwa domowe. Z drugiej strony część podmiotów branży paliwowej osiągnęła rekordowe wyniki finansowe, których skala znacząco przekroczyła średnie historyczne poziomy rentowności. Podatek od nadzwyczajnych zysków miał skorygować powstałą asymetrię</w:t>
      </w:r>
      <w:r w:rsidRPr="00D74B77">
        <w:rPr>
          <w:rFonts w:ascii="Times New Roman" w:hAnsi="Times New Roman" w:cs="Times New Roman"/>
          <w:i/>
          <w:iCs/>
        </w:rPr>
        <w:t xml:space="preserve">, </w:t>
      </w:r>
      <w:r w:rsidRPr="00D74B77">
        <w:rPr>
          <w:rFonts w:ascii="Times New Roman" w:hAnsi="Times New Roman" w:cs="Times New Roman"/>
        </w:rPr>
        <w:t>pozwalając odzyskać część środków, które w normalnych warunkach rynkowych nie trafiłyby do przedsiębiorstw sektora paliwowego</w:t>
      </w:r>
      <w:r w:rsidRPr="00D74B77">
        <w:rPr>
          <w:rFonts w:ascii="Times New Roman" w:hAnsi="Times New Roman" w:cs="Times New Roman"/>
          <w:i/>
          <w:iCs/>
        </w:rPr>
        <w:t xml:space="preserve">. </w:t>
      </w:r>
      <w:r w:rsidRPr="00D74B77">
        <w:rPr>
          <w:rFonts w:ascii="Times New Roman" w:hAnsi="Times New Roman" w:cs="Times New Roman"/>
        </w:rPr>
        <w:t xml:space="preserve">Chodziło zatem o przywrócenie równowagi pomiędzy interesem publicznym a interesem prywatnym w warunkach nadzwyczajnych zaburzeń rynkowych. </w:t>
      </w:r>
    </w:p>
    <w:p w14:paraId="5006CB00"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Projektowana zmiana ustawy o CIT ma na celu zapewnienie źródeł finansowania działań zmierzających do poprawy sytuacji polskiego sektora energochłonnego, w szczególności w kontekście proponowanych niniejszym projektem programów pomocowych.</w:t>
      </w:r>
    </w:p>
    <w:p w14:paraId="2FA68F1A"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Umożliwi ponadto m.in. utrzymanie podwyższonych wydatków na obronność, w okolicznościach destabilizacji sytuacji na Wchodzie Europy spowodowanej agresją Rosji na Ukrainę, skutkującej bezprecedensową potrzebą systematycznego pozyskiwania dodatkowych środków na finansowanie procesu modernizacji i rozbudowy polskiej armii (o czym wspomniano we wstępie).</w:t>
      </w:r>
    </w:p>
    <w:p w14:paraId="23CC9297" w14:textId="77777777" w:rsidR="00D74B77" w:rsidRPr="00D74B77" w:rsidRDefault="00D74B77" w:rsidP="00D74B77">
      <w:pPr>
        <w:spacing w:before="240"/>
        <w:jc w:val="both"/>
        <w:rPr>
          <w:rFonts w:ascii="Times New Roman" w:hAnsi="Times New Roman" w:cs="Times New Roman"/>
          <w:bCs/>
          <w:iCs/>
        </w:rPr>
      </w:pPr>
      <w:r w:rsidRPr="00D74B77">
        <w:rPr>
          <w:rFonts w:ascii="Times New Roman" w:hAnsi="Times New Roman" w:cs="Times New Roman"/>
        </w:rPr>
        <w:t xml:space="preserve">Projektowana zmiana wpisuje się także w kontekst wspomnianych wyżej wyjątkowych </w:t>
      </w:r>
      <w:r w:rsidRPr="00D74B77">
        <w:rPr>
          <w:rFonts w:ascii="Times New Roman" w:hAnsi="Times New Roman" w:cs="Times New Roman"/>
          <w:bCs/>
          <w:iCs/>
        </w:rPr>
        <w:t>uwarunkowań geopolitycznych, wobec eskalacji działań militarnych w regionie Zatoki Perskiej, jakie wystąpiły w określonych segmentach gospodarki (w szczególności sektora energetycznego i paliwowego) prowadząc do powstania ponadprzeciętnych wyników finansowych (nadzwyczajnych zysków). Zdarzenia te spowodowały skokowy wzrost cen surowca na rynkach światowych, a jednocześnie – co ma zasadnicze znaczenie z perspektywy projektowanej regulacji – nadzwyczajne zwiększenie marż handlowych na rynkach europejskich, w tym na rynku krajowym, wielokrotnie przekraczając historyczne średnie.</w:t>
      </w:r>
    </w:p>
    <w:p w14:paraId="7A2082E5" w14:textId="77777777" w:rsidR="00D74B77" w:rsidRPr="00D74B77" w:rsidRDefault="00D74B77" w:rsidP="00D74B77">
      <w:pPr>
        <w:spacing w:before="240"/>
        <w:jc w:val="both"/>
        <w:rPr>
          <w:rFonts w:ascii="Times New Roman" w:hAnsi="Times New Roman" w:cs="Times New Roman"/>
          <w:bCs/>
          <w:iCs/>
        </w:rPr>
      </w:pPr>
      <w:r w:rsidRPr="00D74B77">
        <w:rPr>
          <w:rFonts w:ascii="Times New Roman" w:hAnsi="Times New Roman" w:cs="Times New Roman"/>
          <w:bCs/>
          <w:iCs/>
        </w:rPr>
        <w:t xml:space="preserve">Wymaga także zwrócenia uwagi na korzystną, w perspektywie ostatnich lat, sytuację i wyniki finansowe </w:t>
      </w:r>
      <w:r w:rsidRPr="00D74B77">
        <w:rPr>
          <w:rFonts w:ascii="Times New Roman" w:hAnsi="Times New Roman" w:cs="Times New Roman"/>
          <w:iCs/>
        </w:rPr>
        <w:t>spółek dystrybucji energii</w:t>
      </w:r>
      <w:r w:rsidRPr="00D74B77">
        <w:rPr>
          <w:rFonts w:ascii="Times New Roman" w:hAnsi="Times New Roman" w:cs="Times New Roman"/>
          <w:bCs/>
          <w:iCs/>
        </w:rPr>
        <w:t xml:space="preserve">. Jest to rezultat głównie regulowanego systemu taryf zatwierdzanych przez Urząd Regulacji Energetyki, rosnących opłat dystrybucyjnych w rachunkach oraz stabilnego, monopolowego modelu biznesowego. System gwarantowanych marż w działalności dystrybucyjnej opiera się na taryfach regulowanych przez URE, co zapewnia spółkom zwrot z kapitału i stabilne przychody, niezależnie od wahań koniunkturalnych. Także wyższe stawki opłat za przesyłanie i dystrybucję energii bezpośrednio zwiększają przychody operacyjne. Podkreślić należy, że segment dystrybucji tradycyjnie stanowi najbardziej dochodowy filar podmiotów z branży energetycznej, </w:t>
      </w:r>
      <w:r w:rsidRPr="00D74B77">
        <w:rPr>
          <w:rFonts w:ascii="Times New Roman" w:hAnsi="Times New Roman" w:cs="Times New Roman"/>
          <w:bCs/>
          <w:iCs/>
        </w:rPr>
        <w:lastRenderedPageBreak/>
        <w:t>podczas gdy w tym samym czasie przemysł energochłonny mierzy się z trudnościami</w:t>
      </w:r>
      <w:r w:rsidRPr="00D74B77">
        <w:rPr>
          <w:rFonts w:ascii="Times New Roman" w:hAnsi="Times New Roman" w:cs="Times New Roman"/>
          <w:b/>
          <w:bCs/>
          <w:iCs/>
        </w:rPr>
        <w:t xml:space="preserve"> </w:t>
      </w:r>
      <w:r w:rsidRPr="00D74B77">
        <w:rPr>
          <w:rFonts w:ascii="Times New Roman" w:hAnsi="Times New Roman" w:cs="Times New Roman"/>
          <w:bCs/>
          <w:iCs/>
        </w:rPr>
        <w:t>spowodowanymi wysokimi cenami energii elektrycznej.</w:t>
      </w:r>
    </w:p>
    <w:p w14:paraId="4C4A7570" w14:textId="77777777" w:rsidR="00D74B77" w:rsidRPr="00D74B77" w:rsidRDefault="00D74B77" w:rsidP="00D74B77">
      <w:pPr>
        <w:spacing w:before="240"/>
        <w:jc w:val="both"/>
        <w:rPr>
          <w:rFonts w:ascii="Times New Roman" w:hAnsi="Times New Roman" w:cs="Times New Roman"/>
        </w:rPr>
      </w:pPr>
      <w:r w:rsidRPr="00D74B77">
        <w:rPr>
          <w:rFonts w:ascii="Times New Roman" w:hAnsi="Times New Roman" w:cs="Times New Roman"/>
        </w:rPr>
        <w:t xml:space="preserve">Czynnikami mającymi wpływ na dobre wyniki finansowe, w ostatnich latach, spółek prowadzących działalność koncesjonowaną w zakresie dystrybucji energii, są przede wszystkim: </w:t>
      </w:r>
    </w:p>
    <w:p w14:paraId="5F883967" w14:textId="77777777" w:rsidR="00D74B77" w:rsidRPr="00D74B77" w:rsidRDefault="00D74B77" w:rsidP="00D74B77">
      <w:pPr>
        <w:pStyle w:val="Akapitzlist"/>
        <w:numPr>
          <w:ilvl w:val="0"/>
          <w:numId w:val="7"/>
        </w:numPr>
        <w:ind w:left="360"/>
        <w:jc w:val="both"/>
        <w:rPr>
          <w:rFonts w:ascii="Times New Roman" w:hAnsi="Times New Roman" w:cs="Times New Roman"/>
        </w:rPr>
      </w:pPr>
      <w:r w:rsidRPr="00D74B77">
        <w:rPr>
          <w:rFonts w:ascii="Times New Roman" w:hAnsi="Times New Roman" w:cs="Times New Roman"/>
        </w:rPr>
        <w:t>w ramach mechanizmów regulacyjnych i rynkowych:</w:t>
      </w:r>
    </w:p>
    <w:p w14:paraId="080F1DF5" w14:textId="77777777" w:rsidR="00D74B77" w:rsidRPr="00D74B77" w:rsidRDefault="00D74B77" w:rsidP="00D74B77">
      <w:pPr>
        <w:pStyle w:val="Akapitzlist"/>
        <w:numPr>
          <w:ilvl w:val="0"/>
          <w:numId w:val="8"/>
        </w:numPr>
        <w:spacing w:before="240"/>
        <w:ind w:left="720"/>
        <w:jc w:val="both"/>
        <w:rPr>
          <w:rFonts w:ascii="Times New Roman" w:hAnsi="Times New Roman" w:cs="Times New Roman"/>
        </w:rPr>
      </w:pPr>
      <w:r w:rsidRPr="00D74B77">
        <w:rPr>
          <w:rFonts w:ascii="Times New Roman" w:hAnsi="Times New Roman" w:cs="Times New Roman"/>
        </w:rPr>
        <w:t>regulowany system taryf zatwierdzanych przez Urząd Regulacji Energetyki (URE), zapewniający spółkom zwrot z kapitału i stabilne przychody niezależnie od wahań koniunkturalnych (tzw. marże gwarantowane),</w:t>
      </w:r>
    </w:p>
    <w:p w14:paraId="46FCE4F2" w14:textId="77777777" w:rsidR="00D74B77" w:rsidRPr="00D74B77" w:rsidRDefault="00D74B77" w:rsidP="00D74B77">
      <w:pPr>
        <w:pStyle w:val="Akapitzlist"/>
        <w:numPr>
          <w:ilvl w:val="0"/>
          <w:numId w:val="8"/>
        </w:numPr>
        <w:ind w:left="720"/>
        <w:jc w:val="both"/>
        <w:rPr>
          <w:rFonts w:ascii="Times New Roman" w:hAnsi="Times New Roman" w:cs="Times New Roman"/>
        </w:rPr>
      </w:pPr>
      <w:r w:rsidRPr="00D74B77">
        <w:rPr>
          <w:rFonts w:ascii="Times New Roman" w:hAnsi="Times New Roman" w:cs="Times New Roman"/>
        </w:rPr>
        <w:t xml:space="preserve">rosnące stawki opłat dystrybucyjnych (sieciowych) w rachunkach/fakturach za prąd (opłat za przesył i dystrybucję energii) bezpośrednio zwiększające przychody operacyjne, </w:t>
      </w:r>
    </w:p>
    <w:p w14:paraId="6EE7E071" w14:textId="77777777" w:rsidR="00D74B77" w:rsidRPr="00D74B77" w:rsidRDefault="00D74B77" w:rsidP="00D74B77">
      <w:pPr>
        <w:pStyle w:val="Akapitzlist"/>
        <w:numPr>
          <w:ilvl w:val="0"/>
          <w:numId w:val="8"/>
        </w:numPr>
        <w:ind w:left="720"/>
        <w:jc w:val="both"/>
        <w:rPr>
          <w:rFonts w:ascii="Times New Roman" w:hAnsi="Times New Roman" w:cs="Times New Roman"/>
        </w:rPr>
      </w:pPr>
      <w:r w:rsidRPr="00D74B77">
        <w:rPr>
          <w:rFonts w:ascii="Times New Roman" w:hAnsi="Times New Roman" w:cs="Times New Roman"/>
        </w:rPr>
        <w:t>monopolowy model biznesowy w ramach którego segment dystrybucji stanowi najbardziej stabilny filar grup energetycznych (efekt bazy i stabilność);</w:t>
      </w:r>
    </w:p>
    <w:p w14:paraId="509A48A9" w14:textId="77777777" w:rsidR="00D74B77" w:rsidRPr="00D74B77" w:rsidRDefault="00D74B77" w:rsidP="00D74B77">
      <w:pPr>
        <w:pStyle w:val="Akapitzlist"/>
        <w:numPr>
          <w:ilvl w:val="0"/>
          <w:numId w:val="7"/>
        </w:numPr>
        <w:ind w:left="360"/>
        <w:jc w:val="both"/>
        <w:rPr>
          <w:rFonts w:ascii="Times New Roman" w:hAnsi="Times New Roman" w:cs="Times New Roman"/>
        </w:rPr>
      </w:pPr>
      <w:r w:rsidRPr="00D74B77">
        <w:rPr>
          <w:rFonts w:ascii="Times New Roman" w:hAnsi="Times New Roman" w:cs="Times New Roman"/>
        </w:rPr>
        <w:t>w ramach czynników operacyjnych i inwestycyjnych:</w:t>
      </w:r>
    </w:p>
    <w:p w14:paraId="49E24DBE" w14:textId="77777777" w:rsidR="00D74B77" w:rsidRPr="00D74B77" w:rsidRDefault="00D74B77" w:rsidP="00D74B77">
      <w:pPr>
        <w:pStyle w:val="Akapitzlist"/>
        <w:numPr>
          <w:ilvl w:val="0"/>
          <w:numId w:val="9"/>
        </w:numPr>
        <w:ind w:left="720"/>
        <w:jc w:val="both"/>
        <w:rPr>
          <w:rFonts w:ascii="Times New Roman" w:hAnsi="Times New Roman" w:cs="Times New Roman"/>
        </w:rPr>
      </w:pPr>
      <w:r w:rsidRPr="00D74B77">
        <w:rPr>
          <w:rFonts w:ascii="Times New Roman" w:hAnsi="Times New Roman" w:cs="Times New Roman"/>
        </w:rPr>
        <w:t>rozwój infrastruktury Odnawialnych Źródeł Energii (OZE) – poprzez masowe przyłączanie nowych instalacji odnawialnych (fotowoltaika, wiatraki), co generuje dla dystrybutorów dodatkowe przychody z usług przesyłowych i opłat przyłączeniowych,</w:t>
      </w:r>
    </w:p>
    <w:p w14:paraId="09CD3D68" w14:textId="77777777" w:rsidR="00D74B77" w:rsidRPr="00D74B77" w:rsidRDefault="00D74B77" w:rsidP="00D74B77">
      <w:pPr>
        <w:pStyle w:val="Akapitzlist"/>
        <w:numPr>
          <w:ilvl w:val="0"/>
          <w:numId w:val="9"/>
        </w:numPr>
        <w:ind w:left="720"/>
        <w:jc w:val="both"/>
        <w:rPr>
          <w:rFonts w:ascii="Times New Roman" w:hAnsi="Times New Roman" w:cs="Times New Roman"/>
        </w:rPr>
      </w:pPr>
      <w:r w:rsidRPr="00D74B77">
        <w:rPr>
          <w:rFonts w:ascii="Times New Roman" w:hAnsi="Times New Roman" w:cs="Times New Roman"/>
        </w:rPr>
        <w:t xml:space="preserve">intensywne inwestycje sieciowe w postaci Programów modernizacji </w:t>
      </w:r>
      <w:hyperlink r:id="rId7" w:tgtFrame="_blank" w:history="1">
        <w:r w:rsidRPr="00D74B77">
          <w:rPr>
            <w:rStyle w:val="Hipercze"/>
            <w:rFonts w:ascii="Times New Roman" w:hAnsi="Times New Roman" w:cs="Times New Roman"/>
            <w:color w:val="auto"/>
            <w:u w:val="none"/>
          </w:rPr>
          <w:t>infrastruktury sieciowej</w:t>
        </w:r>
      </w:hyperlink>
      <w:r w:rsidRPr="00D74B77">
        <w:rPr>
          <w:rFonts w:ascii="Times New Roman" w:hAnsi="Times New Roman" w:cs="Times New Roman"/>
        </w:rPr>
        <w:t xml:space="preserve"> powiększających bazę aktywów regulacyjnych (WRA), od której liczony jest dopuszczalny zysk spółek.</w:t>
      </w:r>
    </w:p>
    <w:p w14:paraId="21B967EB"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Katalizatorem takiego stanu rzeczy są dwa wskaźniki, tj. WACC</w:t>
      </w:r>
      <w:r w:rsidRPr="00D74B77">
        <w:rPr>
          <w:rStyle w:val="Odwoanieprzypisudolnego"/>
          <w:rFonts w:ascii="Times New Roman" w:hAnsi="Times New Roman" w:cs="Times New Roman"/>
        </w:rPr>
        <w:footnoteReference w:id="2"/>
      </w:r>
      <w:r w:rsidRPr="00D74B77">
        <w:rPr>
          <w:rFonts w:ascii="Times New Roman" w:hAnsi="Times New Roman" w:cs="Times New Roman"/>
        </w:rPr>
        <w:t xml:space="preserve"> (notujący skokowy wzrost kosztu kapitału dla OSD w ramach taryf) oraz WRA</w:t>
      </w:r>
      <w:r w:rsidRPr="00D74B77">
        <w:rPr>
          <w:rStyle w:val="Odwoanieprzypisudolnego"/>
          <w:rFonts w:ascii="Times New Roman" w:hAnsi="Times New Roman" w:cs="Times New Roman"/>
        </w:rPr>
        <w:footnoteReference w:id="3"/>
      </w:r>
      <w:r w:rsidRPr="00D74B77">
        <w:rPr>
          <w:rFonts w:ascii="Times New Roman" w:hAnsi="Times New Roman" w:cs="Times New Roman"/>
          <w:b/>
          <w:bCs/>
        </w:rPr>
        <w:t xml:space="preserve"> </w:t>
      </w:r>
      <w:r w:rsidRPr="00D74B77">
        <w:rPr>
          <w:rFonts w:ascii="Times New Roman" w:hAnsi="Times New Roman" w:cs="Times New Roman"/>
        </w:rPr>
        <w:t>(notujący dynamiczny wzrost wartości regulacyjnej aktywów spółek dystrybucyjnych).</w:t>
      </w:r>
    </w:p>
    <w:p w14:paraId="60D4717E"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W dużym uproszczeniu, spółki o profilu dystrybucyjnym działają w modelu monopolu naturalnego co oznacza, że nie konkurują ceną na wolnym rynku. Ich zysk jest ściśle regulowany przez państwo (Prezesa URE). W przypadku zatem, gdy rosną stopy procentowe w gospodarce ustalane przez Radę Polityki Pieniężnej (RPP), wzrasta WACC</w:t>
      </w:r>
      <w:r w:rsidRPr="00D74B77">
        <w:rPr>
          <w:rFonts w:ascii="Times New Roman" w:hAnsi="Times New Roman" w:cs="Times New Roman"/>
          <w:vertAlign w:val="superscript"/>
        </w:rPr>
        <w:footnoteReference w:id="4"/>
      </w:r>
      <w:r w:rsidRPr="00D74B77">
        <w:rPr>
          <w:rFonts w:ascii="Times New Roman" w:hAnsi="Times New Roman" w:cs="Times New Roman"/>
        </w:rPr>
        <w:t xml:space="preserve"> (niższe stopy wpływają zaś na jego redukcję). W następstwie, przedsiębiorstwa są uprawnione do podniesienia opłat sieciowych co ma odzwierciedlenie w rachunkach/fakturach za prąd (wyższa marża). Przykładem obrazującym ww. mechanizm są warunki wysokiej inflacji i wysokich stóp procentowych z jakimi gospodarka krajowa borykała się w ostatnich latach. Wówczas to właśnie metodologia WACC automatycznego „przenoszenia” wyższego kosztu pieniądza na końcowych odbiorców w rachunkach za energię, stanowiła swego rodzaju parasol ochronny dla sektora dystrybucji, podczas, gdy tradycyjny biznes produkcyjny ponosił ogromne koszty.</w:t>
      </w:r>
    </w:p>
    <w:p w14:paraId="5112E7C8"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lastRenderedPageBreak/>
        <w:t>Podobnie korzystną koniunkturę odnotowują spółki z sektora wydobywczego i paliwowego. Przykładowo zgodnie z danymi publikowanymi przez:</w:t>
      </w:r>
    </w:p>
    <w:p w14:paraId="5D52CAE8"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1) grupę ORLEN:</w:t>
      </w:r>
      <w:r w:rsidRPr="00D74B77">
        <w:rPr>
          <w:rStyle w:val="Odwoanieprzypisudolnego"/>
          <w:rFonts w:ascii="Times New Roman" w:hAnsi="Times New Roman" w:cs="Times New Roman"/>
        </w:rPr>
        <w:footnoteReference w:id="5"/>
      </w:r>
    </w:p>
    <w:p w14:paraId="4C3F0BA9" w14:textId="77777777" w:rsidR="00D74B77" w:rsidRPr="00D74B77" w:rsidRDefault="00D74B77" w:rsidP="00D74B77">
      <w:pPr>
        <w:ind w:left="426"/>
        <w:jc w:val="both"/>
        <w:rPr>
          <w:rFonts w:ascii="Times New Roman" w:hAnsi="Times New Roman" w:cs="Times New Roman"/>
        </w:rPr>
      </w:pPr>
      <w:r w:rsidRPr="00D74B77">
        <w:rPr>
          <w:rFonts w:ascii="Times New Roman" w:hAnsi="Times New Roman" w:cs="Times New Roman"/>
        </w:rPr>
        <w:t>•</w:t>
      </w:r>
      <w:r w:rsidRPr="00D74B77">
        <w:rPr>
          <w:rFonts w:ascii="Times New Roman" w:hAnsi="Times New Roman" w:cs="Times New Roman"/>
        </w:rPr>
        <w:tab/>
        <w:t>Przychody w II kwartale 2026 r. wyniosły 76,5 mld zł, tj. o 25,8% więcej niż w tym okresie 2025 r. (2Q2025 = 60,8 mld zł)</w:t>
      </w:r>
    </w:p>
    <w:p w14:paraId="29AF2305" w14:textId="77777777" w:rsidR="00D74B77" w:rsidRPr="00D74B77" w:rsidRDefault="00D74B77" w:rsidP="00D74B77">
      <w:pPr>
        <w:ind w:left="426"/>
        <w:jc w:val="both"/>
        <w:rPr>
          <w:rFonts w:ascii="Times New Roman" w:hAnsi="Times New Roman" w:cs="Times New Roman"/>
        </w:rPr>
      </w:pPr>
      <w:r w:rsidRPr="00D74B77">
        <w:rPr>
          <w:rFonts w:ascii="Times New Roman" w:hAnsi="Times New Roman" w:cs="Times New Roman"/>
        </w:rPr>
        <w:t>•</w:t>
      </w:r>
      <w:r w:rsidRPr="00D74B77">
        <w:rPr>
          <w:rFonts w:ascii="Times New Roman" w:hAnsi="Times New Roman" w:cs="Times New Roman"/>
        </w:rPr>
        <w:tab/>
        <w:t xml:space="preserve">EBITDA LIFO W II kwartale 2026 r. wyniosła 13,9 mld zł, tj. o 54,4% więcej niż w tym okresie 2025 r. (2Q2025 = 9 mld zł)  </w:t>
      </w:r>
    </w:p>
    <w:p w14:paraId="3EDF3B60"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Największy wzrost r/r zanotował segment </w:t>
      </w:r>
      <w:r w:rsidRPr="00D74B77">
        <w:rPr>
          <w:rFonts w:ascii="Times New Roman" w:hAnsi="Times New Roman" w:cs="Times New Roman"/>
          <w:i/>
          <w:iCs/>
        </w:rPr>
        <w:t>Downstream</w:t>
      </w:r>
      <w:r w:rsidRPr="00D74B77">
        <w:rPr>
          <w:rFonts w:ascii="Times New Roman" w:hAnsi="Times New Roman" w:cs="Times New Roman"/>
        </w:rPr>
        <w:t xml:space="preserve"> (obejmujący m.in. rafinację ropy naftowej) – EBITDA LIFO tego segmentu w 2Q2026 wyniosła nieco ponad 5,9 mld zł wobec prawie 1,9 mld zł w 2Q2025</w:t>
      </w:r>
      <w:r w:rsidRPr="00D74B77">
        <w:rPr>
          <w:rStyle w:val="Odwoanieprzypisudolnego"/>
          <w:rFonts w:ascii="Times New Roman" w:hAnsi="Times New Roman" w:cs="Times New Roman"/>
        </w:rPr>
        <w:footnoteReference w:id="6"/>
      </w:r>
      <w:r w:rsidRPr="00D74B77">
        <w:rPr>
          <w:rFonts w:ascii="Times New Roman" w:hAnsi="Times New Roman" w:cs="Times New Roman"/>
        </w:rPr>
        <w:t xml:space="preserve">. </w:t>
      </w:r>
    </w:p>
    <w:p w14:paraId="14F5B36F"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Również sektor </w:t>
      </w:r>
      <w:r w:rsidRPr="00D74B77">
        <w:rPr>
          <w:rFonts w:ascii="Times New Roman" w:hAnsi="Times New Roman" w:cs="Times New Roman"/>
          <w:i/>
          <w:iCs/>
        </w:rPr>
        <w:t>Upstream</w:t>
      </w:r>
      <w:r w:rsidRPr="00D74B77">
        <w:rPr>
          <w:rFonts w:ascii="Times New Roman" w:hAnsi="Times New Roman" w:cs="Times New Roman"/>
        </w:rPr>
        <w:t xml:space="preserve"> (wydobycie) zanotował istotny wzrost zysku. EBIDTA LIFO w 2Q2026 wyniosła 4,3mld, co oznacza wzrost o 1,3 mld zł w porównaniu do 2Q2025. </w:t>
      </w:r>
    </w:p>
    <w:p w14:paraId="30F16FD5"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2) UNIMOT S.A.</w:t>
      </w:r>
      <w:r w:rsidRPr="00D74B77">
        <w:rPr>
          <w:rStyle w:val="Odwoanieprzypisudolnego"/>
          <w:rFonts w:ascii="Times New Roman" w:hAnsi="Times New Roman" w:cs="Times New Roman"/>
        </w:rPr>
        <w:footnoteReference w:id="7"/>
      </w:r>
      <w:r w:rsidRPr="00D74B77">
        <w:rPr>
          <w:rFonts w:ascii="Times New Roman" w:hAnsi="Times New Roman" w:cs="Times New Roman"/>
        </w:rPr>
        <w:t xml:space="preserve">: </w:t>
      </w:r>
    </w:p>
    <w:p w14:paraId="395C154C" w14:textId="77777777" w:rsidR="00D74B77" w:rsidRPr="00D74B77" w:rsidRDefault="00D74B77" w:rsidP="00D74B77">
      <w:pPr>
        <w:ind w:left="426"/>
        <w:jc w:val="both"/>
        <w:rPr>
          <w:rFonts w:ascii="Times New Roman" w:hAnsi="Times New Roman" w:cs="Times New Roman"/>
        </w:rPr>
      </w:pPr>
      <w:r w:rsidRPr="00D74B77">
        <w:rPr>
          <w:rFonts w:ascii="Times New Roman" w:hAnsi="Times New Roman" w:cs="Times New Roman"/>
        </w:rPr>
        <w:t>•</w:t>
      </w:r>
      <w:r w:rsidRPr="00D74B77">
        <w:rPr>
          <w:rFonts w:ascii="Times New Roman" w:hAnsi="Times New Roman" w:cs="Times New Roman"/>
        </w:rPr>
        <w:tab/>
        <w:t>Przychody w II kwartale 2026 r. wyniosły 4,36 mld zł, tj. o 17,2% więcej niż w tym okresie 2025 r. (2Q2025 = 3,72 mld zł)</w:t>
      </w:r>
    </w:p>
    <w:p w14:paraId="1CA9D310" w14:textId="77777777" w:rsidR="00D74B77" w:rsidRPr="00D74B77" w:rsidRDefault="00D74B77" w:rsidP="00D74B77">
      <w:pPr>
        <w:ind w:left="426"/>
        <w:jc w:val="both"/>
        <w:rPr>
          <w:rFonts w:ascii="Times New Roman" w:hAnsi="Times New Roman" w:cs="Times New Roman"/>
        </w:rPr>
      </w:pPr>
      <w:r w:rsidRPr="00D74B77">
        <w:rPr>
          <w:rFonts w:ascii="Times New Roman" w:hAnsi="Times New Roman" w:cs="Times New Roman"/>
        </w:rPr>
        <w:t>•</w:t>
      </w:r>
      <w:r w:rsidRPr="00D74B77">
        <w:rPr>
          <w:rFonts w:ascii="Times New Roman" w:hAnsi="Times New Roman" w:cs="Times New Roman"/>
        </w:rPr>
        <w:tab/>
        <w:t xml:space="preserve">Skonsolidowana skorygowana EBIDA w II kwartale 2026 r. wyniosła 140 mln zł, tj. o 27,3% więcej niż w tym okresie 2025 r. (2Q2025 = 110 mln zł). </w:t>
      </w:r>
    </w:p>
    <w:p w14:paraId="3A12C71B"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3) grupę ENERGA</w:t>
      </w:r>
      <w:r w:rsidRPr="00D74B77">
        <w:rPr>
          <w:rFonts w:ascii="Times New Roman" w:hAnsi="Times New Roman" w:cs="Times New Roman"/>
          <w:vertAlign w:val="superscript"/>
        </w:rPr>
        <w:t xml:space="preserve"> </w:t>
      </w:r>
      <w:r w:rsidRPr="00D74B77">
        <w:rPr>
          <w:rFonts w:ascii="Times New Roman" w:hAnsi="Times New Roman" w:cs="Times New Roman"/>
          <w:vertAlign w:val="superscript"/>
        </w:rPr>
        <w:footnoteReference w:id="8"/>
      </w:r>
      <w:r w:rsidRPr="00D74B77">
        <w:rPr>
          <w:rFonts w:ascii="Times New Roman" w:hAnsi="Times New Roman" w:cs="Times New Roman"/>
          <w:bCs/>
          <w:iCs/>
        </w:rPr>
        <w:t xml:space="preserve"> : </w:t>
      </w:r>
    </w:p>
    <w:p w14:paraId="7D6D3CC8" w14:textId="77777777" w:rsidR="00D74B77" w:rsidRPr="00D74B77" w:rsidRDefault="00D74B77" w:rsidP="00D74B77">
      <w:pPr>
        <w:ind w:left="426"/>
        <w:jc w:val="both"/>
        <w:rPr>
          <w:rFonts w:ascii="Times New Roman" w:hAnsi="Times New Roman" w:cs="Times New Roman"/>
          <w:bCs/>
          <w:iCs/>
        </w:rPr>
      </w:pPr>
      <w:r w:rsidRPr="00D74B77">
        <w:rPr>
          <w:rFonts w:ascii="Times New Roman" w:hAnsi="Times New Roman" w:cs="Times New Roman"/>
          <w:bCs/>
          <w:iCs/>
        </w:rPr>
        <w:t>• Przychody ze sprzedaży w II kwartale 2026 r. wyniosły 11,2 mld zł, tj. o 5,6% więcej niż w tym okresie 2025 r. (2Q2025 = 10,6 mld zł)</w:t>
      </w:r>
    </w:p>
    <w:p w14:paraId="62C1CD06" w14:textId="77777777" w:rsidR="00D74B77" w:rsidRPr="00D74B77" w:rsidRDefault="00D74B77" w:rsidP="00D74B77">
      <w:pPr>
        <w:ind w:left="426"/>
        <w:jc w:val="both"/>
        <w:rPr>
          <w:rFonts w:ascii="Times New Roman" w:hAnsi="Times New Roman" w:cs="Times New Roman"/>
          <w:bCs/>
          <w:iCs/>
        </w:rPr>
      </w:pPr>
      <w:r w:rsidRPr="00D74B77">
        <w:rPr>
          <w:rFonts w:ascii="Times New Roman" w:hAnsi="Times New Roman" w:cs="Times New Roman"/>
          <w:bCs/>
          <w:iCs/>
        </w:rPr>
        <w:t xml:space="preserve">• EBITDA w II kwartale 2026 r. wyniosła 2,72 mld zł, tj. o 25% więcej niż w tym okresie 2025 r. (2Q2025 = 2,17 mld zł). </w:t>
      </w:r>
    </w:p>
    <w:p w14:paraId="3FE34F7F"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4) grupę PGE:</w:t>
      </w:r>
    </w:p>
    <w:p w14:paraId="0E6D9FB2" w14:textId="77777777" w:rsidR="00D74B77" w:rsidRPr="00D74B77" w:rsidRDefault="00D74B77" w:rsidP="00D74B77">
      <w:pPr>
        <w:ind w:left="426"/>
        <w:jc w:val="both"/>
        <w:rPr>
          <w:rFonts w:ascii="Times New Roman" w:hAnsi="Times New Roman" w:cs="Times New Roman"/>
          <w:bCs/>
          <w:iCs/>
        </w:rPr>
      </w:pPr>
      <w:r w:rsidRPr="00D74B77">
        <w:rPr>
          <w:rFonts w:ascii="Times New Roman" w:hAnsi="Times New Roman" w:cs="Times New Roman"/>
        </w:rPr>
        <w:t>Zysk powtarzalny EBITDA Grupy w II kwartale 2026 roku wyniósł 3 963 mln złotych wobec 3 269 mln złotych rok wcześniej</w:t>
      </w:r>
      <w:r w:rsidRPr="00D74B77">
        <w:rPr>
          <w:rFonts w:ascii="Times New Roman" w:hAnsi="Times New Roman" w:cs="Times New Roman"/>
          <w:vertAlign w:val="superscript"/>
        </w:rPr>
        <w:footnoteReference w:id="9"/>
      </w:r>
      <w:r w:rsidRPr="00D74B77">
        <w:rPr>
          <w:rFonts w:ascii="Times New Roman" w:hAnsi="Times New Roman" w:cs="Times New Roman"/>
        </w:rPr>
        <w:t xml:space="preserve">. </w:t>
      </w:r>
    </w:p>
    <w:p w14:paraId="1E941A00"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O pozytywnym wpływie blokady cieśniny Ormuz na wyniki finansowe firm z sektora paliwowego świadczą również opublikowane już przez nie raporty finansowe. Wynika z nich, że osiem największych międzynarodowych koncernów paliwowych (w tym Saudi Aramco, ExxonMobil, Chevron, BP, Shell, TotalEnergies, Equinor i Eni) osiągnęło w samym drugim kwartale 2026 roku łączny skumulowany zysk netto na poziomie </w:t>
      </w:r>
      <w:r w:rsidRPr="00D74B77">
        <w:rPr>
          <w:rStyle w:val="Pogrubienie"/>
          <w:rFonts w:ascii="Times New Roman" w:hAnsi="Times New Roman" w:cs="Times New Roman"/>
        </w:rPr>
        <w:t>niemal 93 miliardów dolarów</w:t>
      </w:r>
      <w:r w:rsidRPr="00D74B77">
        <w:rPr>
          <w:rFonts w:ascii="Times New Roman" w:hAnsi="Times New Roman" w:cs="Times New Roman"/>
        </w:rPr>
        <w:t>, co oznacza prawie dwukrotny wzrost w porównaniu do analogicznego okresu roku poprzedniego.</w:t>
      </w:r>
      <w:r w:rsidRPr="00D74B77">
        <w:rPr>
          <w:rStyle w:val="Odwoanieprzypisudolnego"/>
          <w:rFonts w:ascii="Times New Roman" w:hAnsi="Times New Roman" w:cs="Times New Roman"/>
        </w:rPr>
        <w:footnoteReference w:id="10"/>
      </w:r>
      <w:r w:rsidRPr="00D74B77">
        <w:rPr>
          <w:rFonts w:ascii="Times New Roman" w:hAnsi="Times New Roman" w:cs="Times New Roman"/>
        </w:rPr>
        <w:t xml:space="preserve"> </w:t>
      </w:r>
    </w:p>
    <w:p w14:paraId="32B63D87" w14:textId="77777777" w:rsidR="00D74B77" w:rsidRPr="00D74B77" w:rsidRDefault="00D74B77" w:rsidP="00D74B77">
      <w:pPr>
        <w:spacing w:before="240"/>
        <w:jc w:val="both"/>
        <w:rPr>
          <w:rFonts w:ascii="Times New Roman" w:hAnsi="Times New Roman" w:cs="Times New Roman"/>
          <w:bCs/>
          <w:iCs/>
        </w:rPr>
      </w:pPr>
      <w:r w:rsidRPr="00D74B77">
        <w:rPr>
          <w:rFonts w:ascii="Times New Roman" w:hAnsi="Times New Roman" w:cs="Times New Roman"/>
          <w:bCs/>
          <w:iCs/>
        </w:rPr>
        <w:lastRenderedPageBreak/>
        <w:t xml:space="preserve">Przedstawione okoliczności uzasadniają podjęcie przez ustawodawcę działań zaradczych i zabezpieczających, ukierunkowanych na zapewnienie źródeł finansowania (wpływów budżetowych), umożliwiających wsparcie polskiego sektora energochłonnego (w szczególności poprzez finansowanie programów pomocowych). </w:t>
      </w:r>
    </w:p>
    <w:p w14:paraId="1463417B" w14:textId="77777777" w:rsidR="00D74B77" w:rsidRPr="00D74B77" w:rsidRDefault="00D74B77" w:rsidP="00D74B77">
      <w:pPr>
        <w:spacing w:before="240"/>
        <w:jc w:val="both"/>
        <w:rPr>
          <w:rFonts w:ascii="Times New Roman" w:hAnsi="Times New Roman" w:cs="Times New Roman"/>
          <w:bCs/>
          <w:iCs/>
        </w:rPr>
      </w:pPr>
      <w:r w:rsidRPr="00D74B77">
        <w:rPr>
          <w:rFonts w:ascii="Times New Roman" w:hAnsi="Times New Roman" w:cs="Times New Roman"/>
          <w:bCs/>
          <w:iCs/>
        </w:rPr>
        <w:t xml:space="preserve">Działanie to, zmierzające w konsekwencji do zwiększenia dochodów budżetu państwa, powinno także zabezpieczyć wspomnianą wyżej potrzebę utrzymania podwyższonych wydatków na obronność, jak również pośrednio wpłynąć na realizację celów założonych ustawą o podatku od nadzwyczajnych zysków poprzez wprowadzanie ewentualnych kolejnych działań osłonowych. </w:t>
      </w:r>
    </w:p>
    <w:p w14:paraId="3ED3D291" w14:textId="77777777" w:rsidR="00D74B77" w:rsidRPr="00D74B77" w:rsidRDefault="00D74B77" w:rsidP="00D74B77">
      <w:pPr>
        <w:spacing w:before="240"/>
        <w:jc w:val="both"/>
        <w:rPr>
          <w:rFonts w:ascii="Times New Roman" w:hAnsi="Times New Roman" w:cs="Times New Roman"/>
          <w:bCs/>
          <w:iCs/>
        </w:rPr>
      </w:pPr>
      <w:bookmarkStart w:id="1" w:name="_Hlk240788062"/>
      <w:r w:rsidRPr="00D74B77">
        <w:rPr>
          <w:rFonts w:ascii="Times New Roman" w:hAnsi="Times New Roman" w:cs="Times New Roman"/>
          <w:bCs/>
          <w:iCs/>
        </w:rPr>
        <w:t xml:space="preserve">Kluczowe w kontekście wprowadzanego rozwiązania jest zapobiegnięcie podstawowej nierównowadze, w ramach której ciężar wsparcia cenowego ponoszony przez budżet państwa, </w:t>
      </w:r>
      <w:r w:rsidRPr="00D74B77">
        <w:rPr>
          <w:rFonts w:ascii="Times New Roman" w:hAnsi="Times New Roman" w:cs="Times New Roman"/>
          <w:bCs/>
          <w:i/>
          <w:iCs/>
        </w:rPr>
        <w:t>de facto</w:t>
      </w:r>
      <w:r w:rsidRPr="00D74B77">
        <w:rPr>
          <w:rFonts w:ascii="Times New Roman" w:hAnsi="Times New Roman" w:cs="Times New Roman"/>
          <w:bCs/>
          <w:iCs/>
        </w:rPr>
        <w:t xml:space="preserve"> obciąża ogół podatników, podczas gdy beneficjentami nadzwyczajnych marż są tzw. giganci w branżach energetycznej i paliwowej. Celem przedkładanej regulacji jest zatem zwiększenie udziału największych podmiotów gospodarczych w finansowaniu wydatków publicznych, przy jednoczesnym zachowaniu dotychczasowych zasad opodatkowania pozostałych podatników. Jest to możliwe przy uwzględnieniu większej zdolności płatniczej podmiotów o najwyższej skali działalności, co w następstwie stanowi o realizacji zasady sprawiedliwości podatkowej, funkcji ochronnej państwa względem ogółu podatników.</w:t>
      </w:r>
    </w:p>
    <w:bookmarkEnd w:id="1"/>
    <w:p w14:paraId="5F41D812" w14:textId="680220C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Proponowanym rozwiązaniem jest czasowe objęcie podwyższoną stawką CIT wyodrębnionej grupy podatników działających w sektorze energetycznym i paliwowym, spełniających określone w przepisie obiektywne parametry podmiotowo-przedmiotowe. </w:t>
      </w:r>
      <w:r w:rsidRPr="00D74B77">
        <w:rPr>
          <w:rFonts w:ascii="Times New Roman" w:hAnsi="Times New Roman" w:cs="Times New Roman"/>
          <w:bCs/>
          <w:iCs/>
        </w:rPr>
        <w:t>Dedykowanym odbiorcą regulacji będzie zatem grupa podmiotów zaliczanych do sektora paliwowego, gazowego, energetycznego, spośród których każdy wykazuje te same, bądź podobne istotne cechy. Chodzi o:</w:t>
      </w:r>
    </w:p>
    <w:p w14:paraId="7C0B0ABE"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
          <w:iCs/>
        </w:rPr>
        <w:t xml:space="preserve">(1) </w:t>
      </w:r>
      <w:r w:rsidRPr="00D74B77">
        <w:rPr>
          <w:rFonts w:ascii="Times New Roman" w:hAnsi="Times New Roman" w:cs="Times New Roman"/>
          <w:bCs/>
          <w:iCs/>
        </w:rPr>
        <w:t xml:space="preserve">dużą skalę prowadzonej działalności (największe podmioty, o istotnych przychodach, należące do grup międzynarodowych oraz podatkowych grup kapitałowych), </w:t>
      </w:r>
    </w:p>
    <w:p w14:paraId="4EA823EB"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
          <w:iCs/>
        </w:rPr>
        <w:t>(2)</w:t>
      </w:r>
      <w:r w:rsidRPr="00D74B77">
        <w:rPr>
          <w:rFonts w:ascii="Times New Roman" w:hAnsi="Times New Roman" w:cs="Times New Roman"/>
          <w:bCs/>
          <w:iCs/>
        </w:rPr>
        <w:t xml:space="preserve"> rodzaj prowadzonej działalności (w zakresie wydobycia gazu ziemnego lub ropy naftowej, obrotu paliwem gazowym lub obrotu gazem ziemnym z zagranicą, handlu ropą naftową, wytwarzania paliw ciekłych, obrotu paliwami ciekłymi, dystrybucji energii elektrycznej, czy przesyłania energii elektrycznej), a także </w:t>
      </w:r>
    </w:p>
    <w:p w14:paraId="2376C2D1" w14:textId="641EDE6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
          <w:iCs/>
        </w:rPr>
        <w:t>(3)</w:t>
      </w:r>
      <w:r w:rsidRPr="00D74B77">
        <w:rPr>
          <w:rFonts w:ascii="Times New Roman" w:hAnsi="Times New Roman" w:cs="Times New Roman"/>
          <w:bCs/>
          <w:iCs/>
        </w:rPr>
        <w:t xml:space="preserve"> osiąganie z takich działalności, w stosunku do innych podatników, niestandardowo znaczących zysków – powstałych jednak nie w wyniku normalnej działalności (efektywności) operacyjnej, lecz w szczególności z uwagi na obecną sytuację geopolityczną oraz uwarunkowania rynkowe </w:t>
      </w:r>
      <w:r w:rsidRPr="00D74B77">
        <w:rPr>
          <w:rFonts w:ascii="Times New Roman" w:hAnsi="Times New Roman" w:cs="Times New Roman"/>
        </w:rPr>
        <w:t>(nadzwyczajne zwiększenie marż handlowych na rynkach europejskich, w tym na rynku krajowym, wielokrotnie przekraczające historyczne średnie).</w:t>
      </w:r>
    </w:p>
    <w:p w14:paraId="1E1C9A9A"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Uzasadnionym jest traktowanie podmiotów, wypełniających swego rodzaju „test podobieństwa”, w sposób tożsamy, z jednoczesnym pominięciem tych, którzy wymienionych cech (w tym przypadku skumulowanych warunków objęcia wyższą stawką CIT) nie posiadają. Proponowane obciążenie fiskalne można zatem uznać za równe wobec podmiotów o takich samych lub podobnych możliwościach do ponoszenia jego ciężaru.  Kryterium w oparciu, o które dokonano wyodrębnienia grupy podmiotów jest obiektywne i merytorycznie usprawiedliwione. Pozostaje bowiem w związku z intencją projektowanych przepisów, której przyświeca głównie realizacja celu społeczno-gospodarczego w postaci zapewnienia źródeł finansowania działań zmierzających do poprawy sytuacji polskiego sektora energochłonnego oraz potrzeba zwiększania wydatków na obronność.</w:t>
      </w:r>
    </w:p>
    <w:p w14:paraId="4A63D525"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 xml:space="preserve">Ciężary publiczne powinny być rozkładane w sposób uwzględniający realne zdolności płatnicze podmiotów gospodarczych oraz charakter uzyskiwanych zysków. W sytuacji zatem, gdy przychody danego sektora rosną nie wskutek jego wyższej produktywności czy innowacyjności, lecz stanowią konsekwencje zewnętrznych zaburzeń o charakterze geopolitycznym, dochody te nabierają charakteru </w:t>
      </w:r>
      <w:r w:rsidRPr="00D74B77">
        <w:rPr>
          <w:rFonts w:ascii="Times New Roman" w:hAnsi="Times New Roman" w:cs="Times New Roman"/>
          <w:bCs/>
          <w:iCs/>
        </w:rPr>
        <w:lastRenderedPageBreak/>
        <w:t xml:space="preserve">renty ekonomicznej – korzyści majątkowej, która w normalnych warunkach rynkowych nie wystąpiłaby. W rezultacie oceniając wagę interesu, któremu wyodrębnienie podmiotów ma służyć, w odniesieniu do ewentualnych interesów jakie mogłyby zostać naruszone, należy uznać nadrzędność interesu ogólnego państwa i obywateli nad korzyścią jednostki gospodarczej. </w:t>
      </w:r>
    </w:p>
    <w:p w14:paraId="72F4C60E"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Niezwykle istotną okolicznością w tym przypadku jest również fakt, że proponowane w projekcie rozwiązanie ma charakter tymczasowy, dostosowany do potrzeb. Celem nadrzędnym jest natomiast realizacja zasady sprawiedliwości podatkowej, a także funkcji ochronnej państwa względem ogółu podatników, w ramach której ciężar (w tym przypadku) wsparcia cenowego ponoszony jest proporcjonalnie do realnych możliwości ekonomicznych podatnika.</w:t>
      </w:r>
    </w:p>
    <w:p w14:paraId="335EEA38" w14:textId="2AD51BE4"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 xml:space="preserve">Przedkładana ustawa wychodzi naprzeciw aktualnym uwarunkowaniom geopolitycznym mającym wpływ na funkcjonowanie podatników w przestrzeni społeczno-gospodarczej. Reguluje w minimalnym i czasowym lecz jednocześnie niezbędnym zakresie obszar opodatkowania podatkiem CIT, wprowadzając mechanizm okresowego podwyższenia stawki CIT. Określa w tym celu reguły postępowania oraz warunki wejścia w system. Konstruuje zakres podmiotowy i wskazuje jaki obszar (przedmiotowo) objęty zostaje regulacją. Wprowadza również przepisy szczególne dedykowane specyficznym okolicznościom i podmiotom, które tego wymagają (np. umiejscowienie w systemie podatkowej grupy kapitałowej, kwestia stosowania regulacji w przypadku wystąpienia różnych form restrukturyzacji, czy sposób obliczania zaliczek uproszczonych w okresie obowiązywania podwyższonych stawek CIT).  </w:t>
      </w:r>
    </w:p>
    <w:p w14:paraId="5B4C25CF" w14:textId="77777777" w:rsidR="00D74B77" w:rsidRPr="00D74B77" w:rsidRDefault="00D74B77" w:rsidP="00D74B77">
      <w:pPr>
        <w:pStyle w:val="Akapitzlist"/>
        <w:numPr>
          <w:ilvl w:val="0"/>
          <w:numId w:val="17"/>
        </w:numPr>
        <w:jc w:val="both"/>
        <w:rPr>
          <w:rFonts w:ascii="Times New Roman" w:hAnsi="Times New Roman" w:cs="Times New Roman"/>
          <w:b/>
          <w:iCs/>
          <w:sz w:val="24"/>
          <w:szCs w:val="24"/>
        </w:rPr>
      </w:pPr>
      <w:r w:rsidRPr="00D74B77">
        <w:rPr>
          <w:rFonts w:ascii="Times New Roman" w:hAnsi="Times New Roman" w:cs="Times New Roman"/>
          <w:b/>
          <w:iCs/>
          <w:sz w:val="24"/>
          <w:szCs w:val="24"/>
        </w:rPr>
        <w:t xml:space="preserve">Omówienie poszczególnych regulacji art. 38ea ustawy o CIT </w:t>
      </w:r>
    </w:p>
    <w:p w14:paraId="13534A46" w14:textId="77777777" w:rsidR="00D74B77" w:rsidRPr="00D74B77" w:rsidRDefault="00D74B77" w:rsidP="00D74B77">
      <w:pPr>
        <w:rPr>
          <w:rFonts w:ascii="Times New Roman" w:hAnsi="Times New Roman" w:cs="Times New Roman"/>
        </w:rPr>
      </w:pPr>
      <w:r w:rsidRPr="00D74B77">
        <w:rPr>
          <w:rFonts w:ascii="Times New Roman" w:hAnsi="Times New Roman" w:cs="Times New Roman"/>
          <w:b/>
          <w:bCs/>
        </w:rPr>
        <w:t>Mechanizm czasowego podwyższenia stawki CIT</w:t>
      </w:r>
      <w:r w:rsidRPr="00D74B77">
        <w:rPr>
          <w:rFonts w:ascii="Times New Roman" w:hAnsi="Times New Roman" w:cs="Times New Roman"/>
        </w:rPr>
        <w:t xml:space="preserve"> (art. 38ae ust. 1 – 3 ustawy o CIT)</w:t>
      </w:r>
    </w:p>
    <w:p w14:paraId="7D550B42"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Projekt przewiduje wprowadzenie czasowego (trzyletniego) mechanizmu podwyższenia podstawowej stawki podatku dochodowego od osób prawnych (stawka CIT) dla wybranych podatników, w tym podatkowych grup kapitałowych, prowadzących działalność w sektorze paliwowym i energetycznym. Rozwiązanie ma charakter przejściowy i będzie stosowane, co do zasady, w latach 2027-2029.</w:t>
      </w:r>
    </w:p>
    <w:p w14:paraId="429DED25"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Zgodnie z </w:t>
      </w:r>
      <w:r w:rsidRPr="00D74B77">
        <w:rPr>
          <w:rFonts w:ascii="Times New Roman" w:hAnsi="Times New Roman" w:cs="Times New Roman"/>
          <w:b/>
          <w:bCs/>
        </w:rPr>
        <w:t>art. 38ae ust. 1</w:t>
      </w:r>
      <w:r w:rsidRPr="00D74B77">
        <w:rPr>
          <w:rFonts w:ascii="Times New Roman" w:hAnsi="Times New Roman" w:cs="Times New Roman"/>
        </w:rPr>
        <w:t xml:space="preserve"> podwyższona stawka podatku będzie ulegać stopniowemu obniżaniu w kolejnych latach obowiązywania opisywanej regulacji. I tak, co do zasady, w „pierwszym roku” objęcia podatnika nowymi zasadami stawka CIT dla tej grupy podatników wynieść ma 30 %, w „drugim roku” 26 %, natomiast w „trzecim roku” 23 %. Takie rozwiązanie, zakładające stopniowe wygaszanie dodatkowego obciążenia podatkowego ma na celu łagodzić wpływ zwiększonego ciężaru danin publicznych na długofalową kondycję tych podatników, w tym na zdolność realizowania przez nich założonych przedsięwzięć inwestycyjnych, w szczególności tych o perspektywie średnio i długoterminowej. </w:t>
      </w:r>
    </w:p>
    <w:p w14:paraId="3F9F7C2F"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Analogiczna wysokość podwyższonych stawek została zastosowana w odniesieniu do banków komercyjnych (art. 38aa ustawy o CIT).  </w:t>
      </w:r>
    </w:p>
    <w:p w14:paraId="646BE573"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Po zakończeniu trzyletniego okresu przejściowego podatnicy powrócą tym samym do opodatkowania według podstawowej stawki podatku CIT.  </w:t>
      </w:r>
    </w:p>
    <w:p w14:paraId="1A4E4678"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Ustalanie w stosunku do konkretnego podatnika lat, w których obowiązywać go będzie podwyższona stawka będzie dokonywane z uwzględnieniem regulacji ust. 2 i 3 (co odzwierciedla treść ust. 1) omawianego przepisu.    </w:t>
      </w:r>
    </w:p>
    <w:p w14:paraId="47F22D54"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Projekt w sposób szczególny reguluje bowiem sytuację podatników, których rok podatkowy jest krótszy niż 12 miesięcy. W celu zapewnienia równego traktowania wszystkich podatników oraz zachowania założonego mechanizmu stopniowego wygaszania podwyższonych stawek w </w:t>
      </w:r>
      <w:r w:rsidRPr="00D74B77">
        <w:rPr>
          <w:rFonts w:ascii="Times New Roman" w:hAnsi="Times New Roman" w:cs="Times New Roman"/>
          <w:b/>
          <w:bCs/>
        </w:rPr>
        <w:t>ust. 3 art. 38ae</w:t>
      </w:r>
      <w:r w:rsidRPr="00D74B77">
        <w:rPr>
          <w:rFonts w:ascii="Times New Roman" w:hAnsi="Times New Roman" w:cs="Times New Roman"/>
        </w:rPr>
        <w:t xml:space="preserve"> przewidziano rozwiązanie wynikające z </w:t>
      </w:r>
      <w:r w:rsidRPr="00D74B77">
        <w:rPr>
          <w:rFonts w:ascii="Times New Roman" w:hAnsi="Times New Roman" w:cs="Times New Roman"/>
          <w:b/>
          <w:bCs/>
        </w:rPr>
        <w:t>art. 38ae ust. 1 pkt 1-3</w:t>
      </w:r>
      <w:r w:rsidRPr="00D74B77">
        <w:rPr>
          <w:rFonts w:ascii="Times New Roman" w:hAnsi="Times New Roman" w:cs="Times New Roman"/>
        </w:rPr>
        <w:t xml:space="preserve">, zgodnie z którym każda </w:t>
      </w:r>
      <w:r w:rsidRPr="00D74B77">
        <w:rPr>
          <w:rFonts w:ascii="Times New Roman" w:hAnsi="Times New Roman" w:cs="Times New Roman"/>
        </w:rPr>
        <w:lastRenderedPageBreak/>
        <w:t>z przejściowych stawek podatku będzie stosowana przez okres odpowiadający co najmniej dwunastu kolejnym miesiącom kalendarzowym.</w:t>
      </w:r>
    </w:p>
    <w:p w14:paraId="30C1D126"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W przypadku zatem gdy okres opodatkowania podwyższoną stawką określoną w ust. 1 w którymkolwiek roku podatkowym określonym w ust. 1 pkt 1 lit. a, pkt 2 lit. a albo pkt 3 lit. a trwał krócej niż dwanaście kolejnych miesięcy kalendarzowych, obowiązek stosowania tej podwyższonej stawki podatku dotyczyć będzie również roku podatkowego następującego bezpośrednio po tym roku, choćby w tym następnym roku podatnik nie spełniał warunków określonych w ust. 4 i 9. Co ważne, zasada ta będzie stosowana odpowiednio do kolejnych lat podatkowych, jeżeli na koniec roku poprzedniego łączny dotychczasowy okres opodatkowania tą podwyższoną stawką okaże się krótszy niż dwanaście kolejnych miesięcy kalendarzowych. Rozwiązanie to zapobiegnie, w przypadku podatników posiadających rok podatkowy niepokrywający się z rokiem kalendarzowym, różnicowaniu ich sytuacji wyłącznie ze względu na przyjęty rok podatkowy.</w:t>
      </w:r>
    </w:p>
    <w:p w14:paraId="16816C49" w14:textId="77777777" w:rsidR="00D74B77" w:rsidRPr="00D74B77" w:rsidRDefault="00D74B77" w:rsidP="00D74B77">
      <w:pPr>
        <w:jc w:val="both"/>
        <w:rPr>
          <w:rFonts w:ascii="Times New Roman" w:hAnsi="Times New Roman" w:cs="Times New Roman"/>
          <w:b/>
          <w:bCs/>
        </w:rPr>
      </w:pPr>
      <w:r w:rsidRPr="00D74B77">
        <w:rPr>
          <w:rFonts w:ascii="Times New Roman" w:hAnsi="Times New Roman" w:cs="Times New Roman"/>
        </w:rPr>
        <w:t xml:space="preserve">Podobny efekt korygujący zasadę ogólną wynikającą z ust. 1 (iż wyższa stawka jest powiązana co do zasady z poszczególnymi latami kalendarzowymi, w których podatnik rozpoczyna kolejny rok podatkowy) ujęty został w </w:t>
      </w:r>
      <w:r w:rsidRPr="00D74B77">
        <w:rPr>
          <w:rFonts w:ascii="Times New Roman" w:hAnsi="Times New Roman" w:cs="Times New Roman"/>
          <w:b/>
          <w:bCs/>
        </w:rPr>
        <w:t>ust. 2 art. 38ae</w:t>
      </w:r>
      <w:r w:rsidRPr="00D74B77">
        <w:rPr>
          <w:rFonts w:ascii="Times New Roman" w:hAnsi="Times New Roman" w:cs="Times New Roman"/>
        </w:rPr>
        <w:t xml:space="preserve">. Wyjątek ten ma związek ze skorzystaniem przez nowo utworzonego podatnika z możliwości jaką daje art. 8 ust. 2a ustawy o CIT </w:t>
      </w:r>
      <w:r w:rsidRPr="00D74B77">
        <w:rPr>
          <w:rFonts w:ascii="Times New Roman" w:hAnsi="Times New Roman" w:cs="Times New Roman"/>
          <w:b/>
          <w:bCs/>
        </w:rPr>
        <w:t>(ust. 2 pkt 2)</w:t>
      </w:r>
      <w:r w:rsidRPr="00D74B77">
        <w:rPr>
          <w:rFonts w:ascii="Times New Roman" w:hAnsi="Times New Roman" w:cs="Times New Roman"/>
        </w:rPr>
        <w:t xml:space="preserve">, tj. możliwości połączenia w jeden rok podatkowy okresu, który normalnie przypadłby na dwa lata podatkowe, jak również z okolicznością przewidzianą w art. 8 ust. 3 ustawy o CIT </w:t>
      </w:r>
      <w:r w:rsidRPr="00D74B77">
        <w:rPr>
          <w:rFonts w:ascii="Times New Roman" w:hAnsi="Times New Roman" w:cs="Times New Roman"/>
          <w:b/>
          <w:bCs/>
        </w:rPr>
        <w:t>(ust. 2 pkt 1)</w:t>
      </w:r>
      <w:r w:rsidRPr="00D74B77">
        <w:rPr>
          <w:rFonts w:ascii="Times New Roman" w:hAnsi="Times New Roman" w:cs="Times New Roman"/>
        </w:rPr>
        <w:t>, tj. możliwością wydłużenia pierwszego po zmianie roku podatkowego.</w:t>
      </w:r>
    </w:p>
    <w:p w14:paraId="7E23D8F3" w14:textId="77777777" w:rsidR="00D74B77" w:rsidRPr="00D74B77" w:rsidRDefault="00D74B77" w:rsidP="00D74B77">
      <w:pPr>
        <w:rPr>
          <w:rFonts w:ascii="Times New Roman" w:hAnsi="Times New Roman" w:cs="Times New Roman"/>
        </w:rPr>
      </w:pPr>
      <w:r w:rsidRPr="00D74B77">
        <w:rPr>
          <w:rFonts w:ascii="Times New Roman" w:hAnsi="Times New Roman" w:cs="Times New Roman"/>
          <w:b/>
          <w:bCs/>
        </w:rPr>
        <w:t>Warunki objęcia podatnika podwyższoną stawką CIT</w:t>
      </w:r>
      <w:r w:rsidRPr="00D74B77">
        <w:rPr>
          <w:rFonts w:ascii="Times New Roman" w:hAnsi="Times New Roman" w:cs="Times New Roman"/>
        </w:rPr>
        <w:t xml:space="preserve"> (art. 38ae ust. 4 i 5 ustawy o CIT)</w:t>
      </w:r>
    </w:p>
    <w:p w14:paraId="4046D777"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 xml:space="preserve">Zastosowanie podwyższonej stawki CIT uzależnione będzie od łącznego spełnienia wskazanych w projekcie warunków odnoszących się do: </w:t>
      </w:r>
    </w:p>
    <w:p w14:paraId="78C4CD5D" w14:textId="77777777" w:rsidR="00D74B77" w:rsidRPr="00D74B77" w:rsidRDefault="00D74B77" w:rsidP="00D74B77">
      <w:pPr>
        <w:pStyle w:val="Akapitzlist"/>
        <w:numPr>
          <w:ilvl w:val="0"/>
          <w:numId w:val="14"/>
        </w:numPr>
        <w:ind w:left="720"/>
        <w:contextualSpacing w:val="0"/>
        <w:jc w:val="both"/>
        <w:rPr>
          <w:rFonts w:ascii="Times New Roman" w:hAnsi="Times New Roman" w:cs="Times New Roman"/>
          <w:bCs/>
          <w:iCs/>
        </w:rPr>
      </w:pPr>
      <w:r w:rsidRPr="00D74B77">
        <w:rPr>
          <w:rFonts w:ascii="Times New Roman" w:hAnsi="Times New Roman" w:cs="Times New Roman"/>
          <w:b/>
          <w:iCs/>
        </w:rPr>
        <w:t>Skali prowadzonej działalności</w:t>
      </w:r>
      <w:r w:rsidRPr="00D74B77">
        <w:rPr>
          <w:rFonts w:ascii="Times New Roman" w:hAnsi="Times New Roman" w:cs="Times New Roman"/>
          <w:bCs/>
          <w:iCs/>
        </w:rPr>
        <w:t xml:space="preserve"> (art. 38ae ust. 4 pkt 2 i 3 ustawy o CIT) - regulacja obejmie największe podmioty, tj. podatników:</w:t>
      </w:r>
    </w:p>
    <w:p w14:paraId="31076086" w14:textId="77777777" w:rsidR="00D74B77" w:rsidRPr="00D74B77" w:rsidRDefault="00D74B77" w:rsidP="00D74B77">
      <w:pPr>
        <w:pStyle w:val="Akapitzlist"/>
        <w:numPr>
          <w:ilvl w:val="0"/>
          <w:numId w:val="16"/>
        </w:numPr>
        <w:ind w:left="1083"/>
        <w:contextualSpacing w:val="0"/>
        <w:jc w:val="both"/>
        <w:rPr>
          <w:rFonts w:ascii="Times New Roman" w:hAnsi="Times New Roman" w:cs="Times New Roman"/>
          <w:bCs/>
          <w:iCs/>
        </w:rPr>
      </w:pPr>
      <w:r w:rsidRPr="00D74B77">
        <w:rPr>
          <w:rFonts w:ascii="Times New Roman" w:hAnsi="Times New Roman" w:cs="Times New Roman"/>
          <w:bCs/>
          <w:iCs/>
        </w:rPr>
        <w:t xml:space="preserve">będących, w roku poprzedzającym bezpośrednio dany rok podatkowy, jednostkami składowymi grupy krajowej lub grupy międzynarodowej w rozumieniu ustawy z dnia 6 listopada 2024 r. o opodatkowaniu wyrównawczym jednostek składowych grup międzynarodowych i krajowych. Warunek ten odnosi się do podatników będących jednostkami składowymi grupy krajowej lub grupy międzynarodowej w roku podatkowym, w którym do tych jednostek stosuje się przepisy tej ustawy zgodnie z art. 4 tej ustawy. </w:t>
      </w:r>
    </w:p>
    <w:p w14:paraId="030EB25A" w14:textId="31CB0C54" w:rsidR="00D74B77" w:rsidRPr="00D74B77" w:rsidRDefault="00D74B77" w:rsidP="00D74B77">
      <w:pPr>
        <w:pStyle w:val="Akapitzlist"/>
        <w:ind w:left="1083"/>
        <w:contextualSpacing w:val="0"/>
        <w:jc w:val="both"/>
        <w:rPr>
          <w:rFonts w:ascii="Times New Roman" w:hAnsi="Times New Roman" w:cs="Times New Roman"/>
          <w:bCs/>
          <w:iCs/>
        </w:rPr>
      </w:pPr>
      <w:r w:rsidRPr="00D74B77">
        <w:rPr>
          <w:rFonts w:ascii="Times New Roman" w:hAnsi="Times New Roman" w:cs="Times New Roman"/>
          <w:bCs/>
          <w:iCs/>
        </w:rPr>
        <w:t>W przypadku podatnika będącego PGK warunek ten należy odnieść do spółek wchodzących w jej skład (PGK jako taka nie jest identyfikowana na gruncie systemu GloBE).</w:t>
      </w:r>
    </w:p>
    <w:p w14:paraId="65DCC69D" w14:textId="77777777" w:rsidR="00D74B77" w:rsidRPr="00D74B77" w:rsidRDefault="00D74B77" w:rsidP="00D74B77">
      <w:pPr>
        <w:pStyle w:val="Akapitzlist"/>
        <w:numPr>
          <w:ilvl w:val="0"/>
          <w:numId w:val="16"/>
        </w:numPr>
        <w:ind w:left="1083"/>
        <w:contextualSpacing w:val="0"/>
        <w:jc w:val="both"/>
        <w:rPr>
          <w:rFonts w:ascii="Times New Roman" w:hAnsi="Times New Roman" w:cs="Times New Roman"/>
        </w:rPr>
      </w:pPr>
      <w:r w:rsidRPr="00D74B77">
        <w:rPr>
          <w:rFonts w:ascii="Times New Roman" w:hAnsi="Times New Roman" w:cs="Times New Roman"/>
        </w:rPr>
        <w:t xml:space="preserve">u których wartość przychodów osiągnięta w roku podatkowym poprzedzającym bezpośrednio dany rok podatkowy przekroczyła równowartość 50 mln euro przeliczonych na złote według średniego kursu euro ogłaszanego przez Narodowy Bank Polski w ostatnim dniu roboczym roku podatkowego, w którym przychody te zostały osiągnięte. </w:t>
      </w:r>
    </w:p>
    <w:p w14:paraId="61BC5D69" w14:textId="77777777" w:rsidR="00D74B77" w:rsidRPr="00D74B77" w:rsidRDefault="00D74B77" w:rsidP="00D74B77">
      <w:pPr>
        <w:pStyle w:val="Akapitzlist"/>
        <w:ind w:left="1090"/>
        <w:contextualSpacing w:val="0"/>
        <w:jc w:val="both"/>
        <w:rPr>
          <w:rFonts w:ascii="Times New Roman" w:hAnsi="Times New Roman" w:cs="Times New Roman"/>
          <w:bCs/>
          <w:iCs/>
        </w:rPr>
      </w:pPr>
      <w:r w:rsidRPr="00D74B77">
        <w:rPr>
          <w:rFonts w:ascii="Times New Roman" w:hAnsi="Times New Roman" w:cs="Times New Roman"/>
          <w:bCs/>
          <w:iCs/>
        </w:rPr>
        <w:t xml:space="preserve">W przypadku, gdy ten poprzedni rok podatkowy jest krótszy lub dłuższy niż 12 miesięcy próg „50 mln euro” podlegać będzie odpowiedniemu dostosowaniu, w oparciu o faktyczną liczbę pełnych miesięcy tego roku podatkowego. W omawianym przepisie wskazano również sposób przeliczania euro na polskie złote. </w:t>
      </w:r>
    </w:p>
    <w:p w14:paraId="125876F7" w14:textId="77777777" w:rsidR="00D74B77" w:rsidRPr="00D74B77" w:rsidRDefault="00D74B77" w:rsidP="00D74B77">
      <w:pPr>
        <w:pStyle w:val="Akapitzlist"/>
        <w:ind w:left="1090"/>
        <w:contextualSpacing w:val="0"/>
        <w:jc w:val="both"/>
        <w:rPr>
          <w:rFonts w:ascii="Times New Roman" w:hAnsi="Times New Roman" w:cs="Times New Roman"/>
          <w:bCs/>
          <w:iCs/>
        </w:rPr>
      </w:pPr>
      <w:r w:rsidRPr="00D74B77">
        <w:rPr>
          <w:rFonts w:ascii="Times New Roman" w:hAnsi="Times New Roman" w:cs="Times New Roman"/>
          <w:bCs/>
          <w:iCs/>
        </w:rPr>
        <w:t xml:space="preserve">Tym samym oba te warunki (ocena „wielkości” podatnika odnosząca się do aspektu indywidualnego oraz „grupowego”) muszą być spełnione łącznie.    </w:t>
      </w:r>
    </w:p>
    <w:p w14:paraId="66D891D5" w14:textId="77777777" w:rsidR="00D74B77" w:rsidRPr="00D74B77" w:rsidRDefault="00D74B77" w:rsidP="00D74B77">
      <w:pPr>
        <w:pStyle w:val="Akapitzlist"/>
        <w:numPr>
          <w:ilvl w:val="0"/>
          <w:numId w:val="14"/>
        </w:numPr>
        <w:ind w:left="723"/>
        <w:contextualSpacing w:val="0"/>
        <w:jc w:val="both"/>
        <w:rPr>
          <w:rFonts w:ascii="Times New Roman" w:hAnsi="Times New Roman" w:cs="Times New Roman"/>
          <w:bCs/>
          <w:iCs/>
        </w:rPr>
      </w:pPr>
      <w:r w:rsidRPr="00D74B77">
        <w:rPr>
          <w:rFonts w:ascii="Times New Roman" w:hAnsi="Times New Roman" w:cs="Times New Roman"/>
          <w:b/>
          <w:iCs/>
        </w:rPr>
        <w:t xml:space="preserve">Rodzaju prowadzonej działalności </w:t>
      </w:r>
      <w:r w:rsidRPr="00D74B77">
        <w:rPr>
          <w:rFonts w:ascii="Times New Roman" w:hAnsi="Times New Roman" w:cs="Times New Roman"/>
          <w:bCs/>
          <w:iCs/>
        </w:rPr>
        <w:t xml:space="preserve">(art. 38ae ust. 4 pkt 1 ustawy o CIT). </w:t>
      </w:r>
    </w:p>
    <w:p w14:paraId="1D5F89BF" w14:textId="77777777" w:rsidR="00D74B77" w:rsidRPr="00D74B77" w:rsidRDefault="00D74B77" w:rsidP="00D74B77">
      <w:pPr>
        <w:pStyle w:val="Akapitzlist"/>
        <w:numPr>
          <w:ilvl w:val="0"/>
          <w:numId w:val="15"/>
        </w:numPr>
        <w:ind w:left="1203" w:hanging="426"/>
        <w:contextualSpacing w:val="0"/>
        <w:jc w:val="both"/>
        <w:rPr>
          <w:rFonts w:ascii="Times New Roman" w:hAnsi="Times New Roman" w:cs="Times New Roman"/>
          <w:bCs/>
          <w:iCs/>
        </w:rPr>
      </w:pPr>
      <w:r w:rsidRPr="00D74B77">
        <w:rPr>
          <w:rFonts w:ascii="Times New Roman" w:hAnsi="Times New Roman" w:cs="Times New Roman"/>
          <w:bCs/>
          <w:iCs/>
        </w:rPr>
        <w:lastRenderedPageBreak/>
        <w:t>Regulacja dotyczyć będzie wyłącznie tych spośród ww. podmiotów, które prowadzą przynajmniej jeden z rodzajów działalności wskazanych w art. 38ae ust. 4 pkt 1 ustawy o CIT</w:t>
      </w:r>
      <w:r w:rsidRPr="00D74B77">
        <w:rPr>
          <w:rFonts w:ascii="Times New Roman" w:hAnsi="Times New Roman" w:cs="Times New Roman"/>
          <w:bCs/>
        </w:rPr>
        <w:t>, tj. działalności w zakresie:</w:t>
      </w:r>
    </w:p>
    <w:p w14:paraId="75343768" w14:textId="77777777" w:rsidR="00D74B77" w:rsidRPr="00D74B77" w:rsidRDefault="00D74B77" w:rsidP="00D74B77">
      <w:pPr>
        <w:pStyle w:val="Akapitzlist"/>
        <w:numPr>
          <w:ilvl w:val="0"/>
          <w:numId w:val="11"/>
        </w:numPr>
        <w:ind w:left="1203" w:hanging="426"/>
        <w:jc w:val="both"/>
        <w:rPr>
          <w:rFonts w:ascii="Times New Roman" w:hAnsi="Times New Roman" w:cs="Times New Roman"/>
          <w:bCs/>
          <w:iCs/>
        </w:rPr>
      </w:pPr>
      <w:r w:rsidRPr="00D74B77">
        <w:rPr>
          <w:rFonts w:ascii="Times New Roman" w:hAnsi="Times New Roman" w:cs="Times New Roman"/>
          <w:bCs/>
          <w:iCs/>
        </w:rPr>
        <w:t>wydobywania gazu ziemnego lub ropy naftowej (lit. a),</w:t>
      </w:r>
    </w:p>
    <w:p w14:paraId="6F3E7482" w14:textId="77777777" w:rsidR="00D74B77" w:rsidRPr="00D74B77" w:rsidRDefault="00D74B77" w:rsidP="00D74B77">
      <w:pPr>
        <w:pStyle w:val="Akapitzlist"/>
        <w:numPr>
          <w:ilvl w:val="0"/>
          <w:numId w:val="11"/>
        </w:numPr>
        <w:ind w:left="1203" w:hanging="426"/>
        <w:jc w:val="both"/>
        <w:rPr>
          <w:rFonts w:ascii="Times New Roman" w:hAnsi="Times New Roman" w:cs="Times New Roman"/>
          <w:iCs/>
        </w:rPr>
      </w:pPr>
      <w:r w:rsidRPr="00D74B77">
        <w:rPr>
          <w:rFonts w:ascii="Times New Roman" w:hAnsi="Times New Roman" w:cs="Times New Roman"/>
          <w:iCs/>
        </w:rPr>
        <w:t>produkcji paliw ciekłych prowadzonej w instalacjach wytwarzania paliw ciekłych w procesie przerobu ropy naftowej (lit. b),</w:t>
      </w:r>
    </w:p>
    <w:p w14:paraId="4A089670" w14:textId="61377632" w:rsidR="00D74B77" w:rsidRPr="00D74B77" w:rsidRDefault="00D74B77" w:rsidP="00D74B77">
      <w:pPr>
        <w:pStyle w:val="Akapitzlist"/>
        <w:numPr>
          <w:ilvl w:val="0"/>
          <w:numId w:val="11"/>
        </w:numPr>
        <w:ind w:left="1203" w:hanging="426"/>
        <w:jc w:val="both"/>
        <w:rPr>
          <w:rFonts w:ascii="Times New Roman" w:hAnsi="Times New Roman" w:cs="Times New Roman"/>
          <w:bCs/>
          <w:iCs/>
        </w:rPr>
      </w:pPr>
      <w:r w:rsidRPr="00D74B77">
        <w:rPr>
          <w:rFonts w:ascii="Times New Roman" w:hAnsi="Times New Roman" w:cs="Times New Roman"/>
          <w:bCs/>
          <w:iCs/>
        </w:rPr>
        <w:t>obrotu</w:t>
      </w:r>
      <w:r w:rsidRPr="00D74B77">
        <w:rPr>
          <w:rFonts w:ascii="Times New Roman" w:hAnsi="Times New Roman" w:cs="Times New Roman"/>
          <w:vertAlign w:val="superscript"/>
        </w:rPr>
        <w:t xml:space="preserve"> </w:t>
      </w:r>
      <w:r w:rsidRPr="00D74B77">
        <w:rPr>
          <w:rFonts w:ascii="Times New Roman" w:hAnsi="Times New Roman" w:cs="Times New Roman"/>
          <w:bCs/>
          <w:iCs/>
        </w:rPr>
        <w:t xml:space="preserve">paliwami gazowymi tj. gazem ziemnym wysokometanowym lub zaazotowanym, w tym skroplonym gazem ziemnym lub propan-butanem lub innym rodzajem gazu palnego (lit. c tiret pierwsze), paliwami ciekłymi (lit. c </w:t>
      </w:r>
      <w:r w:rsidR="00C83CA5">
        <w:rPr>
          <w:rFonts w:ascii="Times New Roman" w:hAnsi="Times New Roman" w:cs="Times New Roman"/>
          <w:bCs/>
          <w:iCs/>
        </w:rPr>
        <w:t xml:space="preserve"> tiret</w:t>
      </w:r>
      <w:r w:rsidRPr="00D74B77">
        <w:rPr>
          <w:rFonts w:ascii="Times New Roman" w:hAnsi="Times New Roman" w:cs="Times New Roman"/>
          <w:bCs/>
          <w:iCs/>
        </w:rPr>
        <w:t xml:space="preserve"> drugie) lub obrotu ropą naftową (lit. c tiret trzecie), </w:t>
      </w:r>
    </w:p>
    <w:p w14:paraId="4680203A" w14:textId="77777777" w:rsidR="00D74B77" w:rsidRPr="00D74B77" w:rsidRDefault="00D74B77" w:rsidP="00D74B77">
      <w:pPr>
        <w:pStyle w:val="Akapitzlist"/>
        <w:numPr>
          <w:ilvl w:val="0"/>
          <w:numId w:val="11"/>
        </w:numPr>
        <w:ind w:left="1203" w:hanging="426"/>
        <w:jc w:val="both"/>
        <w:rPr>
          <w:rFonts w:ascii="Times New Roman" w:hAnsi="Times New Roman" w:cs="Times New Roman"/>
          <w:bCs/>
          <w:iCs/>
        </w:rPr>
      </w:pPr>
      <w:r w:rsidRPr="00D74B77">
        <w:rPr>
          <w:rFonts w:ascii="Times New Roman" w:hAnsi="Times New Roman" w:cs="Times New Roman"/>
          <w:bCs/>
          <w:iCs/>
        </w:rPr>
        <w:t>przesyłania energii elektrycznej (lit. d),</w:t>
      </w:r>
    </w:p>
    <w:p w14:paraId="3C612D3C" w14:textId="77777777" w:rsidR="00D74B77" w:rsidRPr="00D74B77" w:rsidRDefault="00D74B77" w:rsidP="00D74B77">
      <w:pPr>
        <w:pStyle w:val="Akapitzlist"/>
        <w:numPr>
          <w:ilvl w:val="0"/>
          <w:numId w:val="11"/>
        </w:numPr>
        <w:ind w:left="1203" w:hanging="426"/>
        <w:jc w:val="both"/>
        <w:rPr>
          <w:rFonts w:ascii="Times New Roman" w:hAnsi="Times New Roman" w:cs="Times New Roman"/>
          <w:lang w:eastAsia="pl-PL"/>
        </w:rPr>
      </w:pPr>
      <w:r w:rsidRPr="00D74B77">
        <w:rPr>
          <w:rFonts w:ascii="Times New Roman" w:hAnsi="Times New Roman" w:cs="Times New Roman"/>
          <w:bCs/>
          <w:iCs/>
        </w:rPr>
        <w:t>dystrybucji energii elektrycznej, z wyłączeniem podatników będących przedsiębiorstwami zintegrowanymi pionowo, o których mowa w art. 9d ust. 7 pkt 1 ustawy – Prawo energetyczne (lit. e).</w:t>
      </w:r>
    </w:p>
    <w:p w14:paraId="77111A4E"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Przez działalność, o której mowa w </w:t>
      </w:r>
      <w:r w:rsidRPr="00D74B77">
        <w:rPr>
          <w:rFonts w:ascii="Times New Roman" w:eastAsia="Times New Roman" w:hAnsi="Times New Roman" w:cs="Times New Roman"/>
          <w:b/>
          <w:bCs/>
          <w:lang w:eastAsia="pl-PL"/>
        </w:rPr>
        <w:t>art. 38ae ust. 4 pkt 1 lit. a</w:t>
      </w:r>
      <w:r w:rsidRPr="00D74B77">
        <w:rPr>
          <w:rFonts w:ascii="Times New Roman" w:eastAsia="Times New Roman" w:hAnsi="Times New Roman" w:cs="Times New Roman"/>
          <w:lang w:eastAsia="pl-PL"/>
        </w:rPr>
        <w:t xml:space="preserve">  należy, co do zasady, rozumieć wydobywanie gazu ziemnego lub ropy naftowej prowadzone na podstawie koncesji na poszukiwanie i rozpoznawanie złóż węglowodorów albo koncesji na poszukiwanie i rozpoznawanie złóż węglowodorów oraz wydobywanie węglowodorów ze złóż, albo koncesji na wydobywanie węglowodorów ze złóż, niezależnie od miejsca, w którym działalność ta jest prowadzona (o ile dochód z tego tytułu realizuje się w Polsce), jednakże brak takiej koncesji nie powoduje braku skutku podatkowego. </w:t>
      </w:r>
    </w:p>
    <w:p w14:paraId="662B156C"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Dla celów projektowanych zmian, projekt (</w:t>
      </w:r>
      <w:r w:rsidRPr="00D74B77">
        <w:rPr>
          <w:rFonts w:ascii="Times New Roman" w:eastAsia="Times New Roman" w:hAnsi="Times New Roman" w:cs="Times New Roman"/>
          <w:b/>
          <w:bCs/>
          <w:lang w:eastAsia="pl-PL"/>
        </w:rPr>
        <w:t>art. 38ae ust. 4 pkt 1 lit. b</w:t>
      </w:r>
      <w:r w:rsidRPr="00D74B77">
        <w:rPr>
          <w:rFonts w:ascii="Times New Roman" w:eastAsia="Times New Roman" w:hAnsi="Times New Roman" w:cs="Times New Roman"/>
          <w:lang w:eastAsia="pl-PL"/>
        </w:rPr>
        <w:t>) posługuje się pojęciem produkcji paliw ciekłych w rozumieniu ustawy o systemie monitorowania i kontrolowania jakości paliw, tj. benzyn silnikowych i olejów napędowych. Projektowana regulacja doprecyzowuje zakres działalności objętej tym pojęciem na potrzeby stosowania przejściowo podwyższonych stawek podatku CIT. Przez działalność tę rozumie się produkcję paliw ciekłych prowadzoną w instalacjach wytwarzania paliw ciekłych w procesie przerobu ropy naftowej. Ponadto chodzi wyłącznie o producenta paliw, tj. podmiot o którym mowa w art. 2 pkt 18 ustawy z dnia 16 lutego 2007 r. o zapasach ropy naftowej, produktów naftowych i gazu ziemnego oraz zasadach postępowania w sytuacjach zagrożenia bezpieczeństwa paliwowego państwa i zakłóceń na rynku naftowym.</w:t>
      </w:r>
      <w:r w:rsidRPr="00D74B77">
        <w:rPr>
          <w:rStyle w:val="Odwoanieprzypisudolnego"/>
          <w:rFonts w:ascii="Times New Roman" w:eastAsia="Times New Roman" w:hAnsi="Times New Roman" w:cs="Times New Roman"/>
          <w:lang w:eastAsia="pl-PL"/>
        </w:rPr>
        <w:footnoteReference w:id="11"/>
      </w:r>
    </w:p>
    <w:p w14:paraId="1DE1D070"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W celu wyeliminowania wątpliwości wprost w omawianym przepisie wyłączono podmioty zajmujące się usługową produkcją paliw na rzecz innych podmiotów (producentów). Nie jest bowiem zamiarem projektodawcy objęcie wyższą stawką podatku CIT podmiotów osiągających przychody z działalności usługowej w zakresie m.in. produkcji/wytwarzania paliw ciekłych, takich jak rafinerie processingowe. Specyfiką rafinerii processingowych jest działanie w oparciu o model usługowy, a więc produkcja paliw ciekłych z wykorzystaniem surowców należących do innego podmiotu i na zlecenie tego podmiotu (nie występuje w tym przypadku zakup surowca, a następnie odsprzedaż gotowego produktu. </w:t>
      </w:r>
    </w:p>
    <w:p w14:paraId="7B062A5B" w14:textId="77777777" w:rsidR="00D74B77" w:rsidRPr="00D74B77" w:rsidRDefault="00D74B77" w:rsidP="00D74B77">
      <w:pPr>
        <w:spacing w:before="120"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Rozwiązanie to ma na celu skoncentrowanie regulacji na działalności rafineryjnej stanowiącej podstawowy segment krajowego sektora przetwórstwa ropy naftowej. Tym samym, zamiarem projektodawcy nie jest również objęcie regulacją podmiotów, które wytwarzają paliwa ciekłe w procesach innych niż przerób (rafinacja) ropy naftowej, w szczególności poprzez mieszanie komponentów paliwowych lub paliw ciekłych albo mieszanie komponentów z paliwami ciekłymi, o którym mowa w art. 3 pkt 45 lit. b ustawy – Prawo energetyczne.</w:t>
      </w:r>
    </w:p>
    <w:p w14:paraId="3693E4D0" w14:textId="77777777" w:rsidR="00D74B77" w:rsidRPr="00D74B77" w:rsidRDefault="00D74B77" w:rsidP="00D74B77">
      <w:pPr>
        <w:spacing w:before="120" w:after="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lastRenderedPageBreak/>
        <w:t xml:space="preserve">W zakresie działalności, o której mowa w </w:t>
      </w:r>
      <w:r w:rsidRPr="00D74B77">
        <w:rPr>
          <w:rFonts w:ascii="Times New Roman" w:eastAsia="Times New Roman" w:hAnsi="Times New Roman" w:cs="Times New Roman"/>
          <w:b/>
          <w:bCs/>
          <w:lang w:eastAsia="pl-PL"/>
        </w:rPr>
        <w:t>art. 38ae ust. 4 pkt 1 lit. c</w:t>
      </w:r>
      <w:r w:rsidRPr="00D74B77">
        <w:rPr>
          <w:rFonts w:ascii="Times New Roman" w:eastAsia="Times New Roman" w:hAnsi="Times New Roman" w:cs="Times New Roman"/>
          <w:lang w:eastAsia="pl-PL"/>
        </w:rPr>
        <w:t xml:space="preserve"> ustawa celowo nie referuje do konkretnego „miejsca” prowadzenia tej działalności.</w:t>
      </w:r>
    </w:p>
    <w:p w14:paraId="62BDCDDC" w14:textId="77777777" w:rsidR="00D74B77" w:rsidRPr="00D74B77" w:rsidRDefault="00D74B77" w:rsidP="00D74B77">
      <w:pPr>
        <w:spacing w:before="120" w:after="0" w:line="300" w:lineRule="atLeast"/>
        <w:jc w:val="both"/>
        <w:rPr>
          <w:rFonts w:ascii="Times New Roman" w:hAnsi="Times New Roman" w:cs="Times New Roman"/>
        </w:rPr>
      </w:pPr>
      <w:r w:rsidRPr="00D74B77">
        <w:rPr>
          <w:rFonts w:ascii="Times New Roman" w:eastAsia="Times New Roman" w:hAnsi="Times New Roman" w:cs="Times New Roman"/>
          <w:lang w:eastAsia="pl-PL"/>
        </w:rPr>
        <w:t xml:space="preserve">Wskazane w tym przepisie (tiret pierwsze) rodzaje gazu ziemnego czerpią z definicji paliw gazowych określonej w art. 3 pkt 3a lit. a ustawy – Prawo energetyczne. Wymaga przy tym podkreślenia, że regulacja obejmuje propan-butan wyłącznie w fazie gazowej (nie w fazie ciekłej jako „gaz skroplony (LPG)” w rozumieniu art. 2 ust. 1 pkt 6 ustawy o systemie monitorowania i kontrolowania jakości paliw). </w:t>
      </w:r>
      <w:r w:rsidRPr="00D74B77">
        <w:rPr>
          <w:rFonts w:ascii="Times New Roman" w:hAnsi="Times New Roman" w:cs="Times New Roman"/>
        </w:rPr>
        <w:t>Intencję przepisu potwierdza jednoznaczne wskazanie w jego części końcowej „lub innym rodzajem gazu palnego”, co przesądza o objęciu regulacją wyłącznie gazów palnych.</w:t>
      </w:r>
    </w:p>
    <w:p w14:paraId="268F6A02" w14:textId="77777777" w:rsidR="00D74B77" w:rsidRPr="00D74B77" w:rsidRDefault="00D74B77" w:rsidP="00D74B77">
      <w:pPr>
        <w:spacing w:before="120" w:after="0" w:line="300" w:lineRule="atLeast"/>
        <w:jc w:val="both"/>
        <w:rPr>
          <w:rFonts w:ascii="Times New Roman" w:hAnsi="Times New Roman" w:cs="Times New Roman"/>
        </w:rPr>
      </w:pPr>
      <w:r w:rsidRPr="00D74B77">
        <w:rPr>
          <w:rFonts w:ascii="Times New Roman" w:hAnsi="Times New Roman" w:cs="Times New Roman"/>
        </w:rPr>
        <w:t xml:space="preserve">W kontekście podwyższenia stawki CIT względem podmiotów z sektora energetycznego </w:t>
      </w:r>
      <w:r w:rsidRPr="00D74B77">
        <w:rPr>
          <w:rFonts w:ascii="Times New Roman" w:hAnsi="Times New Roman" w:cs="Times New Roman"/>
          <w:b/>
          <w:bCs/>
        </w:rPr>
        <w:t>(art. 38ae ust. 4 pkt 1 lit. d i e</w:t>
      </w:r>
      <w:r w:rsidRPr="00D74B77">
        <w:rPr>
          <w:rFonts w:ascii="Times New Roman" w:hAnsi="Times New Roman" w:cs="Times New Roman"/>
        </w:rPr>
        <w:t>) podkreślenia wymaga kryterium progu stu tysięcy przyłączonych odbiorców (przewidziane w Prawie energetycznym). Służy ono jako wyznacznik wielkości (skali działania) dla operatorów systemów dystrybucyjnych (OSD) i ich podziału na tzw. małe OSD (OSDn) oraz duże OSD (OSDp), a także determinuje zakres ich zaawansowanych obowiązków (o charakterze regulacyjnym, technologicznym, planistycznym, informacyjnym, czy unbundlingu</w:t>
      </w:r>
      <w:r w:rsidRPr="00D74B77">
        <w:rPr>
          <w:rFonts w:ascii="Times New Roman" w:hAnsi="Times New Roman" w:cs="Times New Roman"/>
          <w:vertAlign w:val="superscript"/>
        </w:rPr>
        <w:footnoteReference w:id="12"/>
      </w:r>
      <w:r w:rsidRPr="00D74B77">
        <w:rPr>
          <w:rFonts w:ascii="Times New Roman" w:hAnsi="Times New Roman" w:cs="Times New Roman"/>
        </w:rPr>
        <w:t xml:space="preserve">). Obowiązki te spoczywają bowiem na dużych podmiotach. </w:t>
      </w:r>
    </w:p>
    <w:p w14:paraId="66E29695" w14:textId="77777777" w:rsidR="00D74B77" w:rsidRPr="00D74B77" w:rsidRDefault="00D74B77" w:rsidP="00D74B77">
      <w:pPr>
        <w:spacing w:before="120"/>
        <w:jc w:val="both"/>
        <w:rPr>
          <w:rFonts w:ascii="Times New Roman" w:hAnsi="Times New Roman" w:cs="Times New Roman"/>
        </w:rPr>
      </w:pPr>
      <w:r w:rsidRPr="00D74B77">
        <w:rPr>
          <w:rFonts w:ascii="Times New Roman" w:hAnsi="Times New Roman" w:cs="Times New Roman"/>
        </w:rPr>
        <w:t xml:space="preserve">W świetle art. 7 Prawa energetycznego przedsiębiorstwo energetyczne zajmujące się przesyłaniem (lub/i) dystrybucją energii elektrycznej </w:t>
      </w:r>
      <w:r w:rsidRPr="00D74B77">
        <w:rPr>
          <w:rFonts w:ascii="Times New Roman" w:hAnsi="Times New Roman" w:cs="Times New Roman"/>
          <w:u w:val="single"/>
        </w:rPr>
        <w:t>obsługujące co najmniej sto tysięcy odbiorców, w szczególności:</w:t>
      </w:r>
    </w:p>
    <w:p w14:paraId="1DB7B363" w14:textId="77777777" w:rsidR="00D74B77" w:rsidRPr="00D74B77" w:rsidRDefault="00D74B77" w:rsidP="00D74B77">
      <w:pPr>
        <w:numPr>
          <w:ilvl w:val="0"/>
          <w:numId w:val="13"/>
        </w:numPr>
        <w:jc w:val="both"/>
        <w:rPr>
          <w:rFonts w:ascii="Times New Roman" w:hAnsi="Times New Roman" w:cs="Times New Roman"/>
        </w:rPr>
      </w:pPr>
      <w:r w:rsidRPr="00D74B77">
        <w:rPr>
          <w:rFonts w:ascii="Times New Roman" w:hAnsi="Times New Roman" w:cs="Times New Roman"/>
        </w:rPr>
        <w:t xml:space="preserve">prowadzi </w:t>
      </w:r>
      <w:r w:rsidRPr="00D74B77">
        <w:rPr>
          <w:rFonts w:ascii="Times New Roman" w:hAnsi="Times New Roman" w:cs="Times New Roman"/>
          <w:i/>
          <w:iCs/>
        </w:rPr>
        <w:t>powszechnie dostępny system informatyczny</w:t>
      </w:r>
      <w:r w:rsidRPr="00D74B77">
        <w:rPr>
          <w:rFonts w:ascii="Times New Roman" w:hAnsi="Times New Roman" w:cs="Times New Roman"/>
          <w:b/>
          <w:bCs/>
        </w:rPr>
        <w:t xml:space="preserve"> </w:t>
      </w:r>
      <w:r w:rsidRPr="00D74B77">
        <w:rPr>
          <w:rFonts w:ascii="Times New Roman" w:hAnsi="Times New Roman" w:cs="Times New Roman"/>
        </w:rPr>
        <w:t>zapewniający co najmniej: złożenie wniosku o określenie warunków przyłączenia, bieżącą informację o statusie rozpatrzenia, publikację (informacji z ust. 8l lub jednolitego zbioru zasad z ust. 8p) (art. 7 ust. 3a</w:t>
      </w:r>
      <w:r w:rsidRPr="00D74B77">
        <w:rPr>
          <w:rFonts w:ascii="Times New Roman" w:hAnsi="Times New Roman" w:cs="Times New Roman"/>
          <w:vertAlign w:val="superscript"/>
        </w:rPr>
        <w:t>1</w:t>
      </w:r>
      <w:r w:rsidRPr="00D74B77">
        <w:rPr>
          <w:rFonts w:ascii="Times New Roman" w:hAnsi="Times New Roman" w:cs="Times New Roman"/>
        </w:rPr>
        <w:t>, ust. 3</w:t>
      </w:r>
      <w:r w:rsidRPr="00D74B77">
        <w:rPr>
          <w:rFonts w:ascii="Times New Roman" w:hAnsi="Times New Roman" w:cs="Times New Roman"/>
          <w:vertAlign w:val="superscript"/>
        </w:rPr>
        <w:t>2</w:t>
      </w:r>
      <w:r w:rsidRPr="00D74B77">
        <w:rPr>
          <w:rFonts w:ascii="Times New Roman" w:hAnsi="Times New Roman" w:cs="Times New Roman"/>
        </w:rPr>
        <w:t>),</w:t>
      </w:r>
    </w:p>
    <w:p w14:paraId="2B69ADF7" w14:textId="77777777" w:rsidR="00D74B77" w:rsidRPr="00D74B77" w:rsidRDefault="00D74B77" w:rsidP="00D74B77">
      <w:pPr>
        <w:numPr>
          <w:ilvl w:val="0"/>
          <w:numId w:val="13"/>
        </w:numPr>
        <w:jc w:val="both"/>
        <w:rPr>
          <w:rFonts w:ascii="Times New Roman" w:hAnsi="Times New Roman" w:cs="Times New Roman"/>
        </w:rPr>
      </w:pPr>
      <w:r w:rsidRPr="00D74B77">
        <w:rPr>
          <w:rFonts w:ascii="Times New Roman" w:hAnsi="Times New Roman" w:cs="Times New Roman"/>
          <w:i/>
          <w:iCs/>
        </w:rPr>
        <w:t>w terminie trzech miesięcy od dnia otrzymania wniosku</w:t>
      </w:r>
      <w:r w:rsidRPr="00D74B77">
        <w:rPr>
          <w:rFonts w:ascii="Times New Roman" w:hAnsi="Times New Roman" w:cs="Times New Roman"/>
        </w:rPr>
        <w:t xml:space="preserve"> o określenie warunków przyłączenia, przekazuje </w:t>
      </w:r>
      <w:r w:rsidRPr="00D74B77">
        <w:rPr>
          <w:rFonts w:ascii="Times New Roman" w:hAnsi="Times New Roman" w:cs="Times New Roman"/>
          <w:i/>
          <w:iCs/>
        </w:rPr>
        <w:t>informacje o statusie</w:t>
      </w:r>
      <w:r w:rsidRPr="00D74B77">
        <w:rPr>
          <w:rFonts w:ascii="Times New Roman" w:hAnsi="Times New Roman" w:cs="Times New Roman"/>
        </w:rPr>
        <w:t xml:space="preserve"> w formie korespondencyjnej (art. 3a) lub za pośrednictwem systemu informatycznego (art. 7 ust. 3a</w:t>
      </w:r>
      <w:r w:rsidRPr="00D74B77">
        <w:rPr>
          <w:rFonts w:ascii="Times New Roman" w:hAnsi="Times New Roman" w:cs="Times New Roman"/>
          <w:vertAlign w:val="superscript"/>
        </w:rPr>
        <w:t>2)</w:t>
      </w:r>
      <w:r w:rsidRPr="00D74B77">
        <w:rPr>
          <w:rFonts w:ascii="Times New Roman" w:hAnsi="Times New Roman" w:cs="Times New Roman"/>
        </w:rPr>
        <w:t>),</w:t>
      </w:r>
    </w:p>
    <w:p w14:paraId="10439DC5" w14:textId="77777777" w:rsidR="00D74B77" w:rsidRPr="00D74B77" w:rsidRDefault="00D74B77" w:rsidP="00D74B77">
      <w:pPr>
        <w:numPr>
          <w:ilvl w:val="0"/>
          <w:numId w:val="13"/>
        </w:numPr>
        <w:jc w:val="both"/>
        <w:rPr>
          <w:rFonts w:ascii="Times New Roman" w:hAnsi="Times New Roman" w:cs="Times New Roman"/>
        </w:rPr>
      </w:pPr>
      <w:r w:rsidRPr="00D74B77">
        <w:rPr>
          <w:rFonts w:ascii="Times New Roman" w:hAnsi="Times New Roman" w:cs="Times New Roman"/>
          <w:i/>
          <w:iCs/>
        </w:rPr>
        <w:t>publikuje zagregowane informacje</w:t>
      </w:r>
      <w:r w:rsidRPr="00D74B77">
        <w:rPr>
          <w:rFonts w:ascii="Times New Roman" w:hAnsi="Times New Roman" w:cs="Times New Roman"/>
        </w:rPr>
        <w:t xml:space="preserve"> (o których mowa w ust. 8l) w systemie informatycznym i aktualizuje je </w:t>
      </w:r>
      <w:r w:rsidRPr="00D74B77">
        <w:rPr>
          <w:rFonts w:ascii="Times New Roman" w:hAnsi="Times New Roman" w:cs="Times New Roman"/>
          <w:i/>
          <w:iCs/>
        </w:rPr>
        <w:t>co najmniej raz na miesiąc</w:t>
      </w:r>
      <w:r w:rsidRPr="00D74B77">
        <w:rPr>
          <w:rFonts w:ascii="Times New Roman" w:hAnsi="Times New Roman" w:cs="Times New Roman"/>
        </w:rPr>
        <w:t xml:space="preserve"> w zakresie sieci przesyłowej </w:t>
      </w:r>
      <w:r w:rsidRPr="00D74B77">
        <w:rPr>
          <w:rFonts w:ascii="Times New Roman" w:hAnsi="Times New Roman" w:cs="Times New Roman"/>
          <w:i/>
          <w:iCs/>
        </w:rPr>
        <w:t>i co najmniej raz na 3 miesiące</w:t>
      </w:r>
      <w:r w:rsidRPr="00D74B77">
        <w:rPr>
          <w:rFonts w:ascii="Times New Roman" w:hAnsi="Times New Roman" w:cs="Times New Roman"/>
        </w:rPr>
        <w:t xml:space="preserve"> w zakresie sieci dystrybucyjnej (art. 7 ust. 8n),</w:t>
      </w:r>
    </w:p>
    <w:p w14:paraId="0D085B85" w14:textId="77777777" w:rsidR="00D74B77" w:rsidRPr="00D74B77" w:rsidRDefault="00D74B77" w:rsidP="00D74B77">
      <w:pPr>
        <w:numPr>
          <w:ilvl w:val="0"/>
          <w:numId w:val="13"/>
        </w:numPr>
        <w:jc w:val="both"/>
        <w:rPr>
          <w:rFonts w:ascii="Times New Roman" w:hAnsi="Times New Roman" w:cs="Times New Roman"/>
        </w:rPr>
      </w:pPr>
      <w:r w:rsidRPr="00D74B77">
        <w:rPr>
          <w:rFonts w:ascii="Times New Roman" w:hAnsi="Times New Roman" w:cs="Times New Roman"/>
          <w:i/>
          <w:iCs/>
        </w:rPr>
        <w:t>opracowuje wspólnie jednolity zbiór zasad</w:t>
      </w:r>
      <w:r w:rsidRPr="00D74B77">
        <w:rPr>
          <w:rFonts w:ascii="Times New Roman" w:hAnsi="Times New Roman" w:cs="Times New Roman"/>
          <w:b/>
          <w:bCs/>
        </w:rPr>
        <w:t xml:space="preserve"> </w:t>
      </w:r>
      <w:r w:rsidRPr="00D74B77">
        <w:rPr>
          <w:rFonts w:ascii="Times New Roman" w:hAnsi="Times New Roman" w:cs="Times New Roman"/>
        </w:rPr>
        <w:t xml:space="preserve">(con. procedury, przepisy, terminy oraz kryteria rozpatrywania wniosków) oraz </w:t>
      </w:r>
      <w:r w:rsidRPr="00D74B77">
        <w:rPr>
          <w:rFonts w:ascii="Times New Roman" w:hAnsi="Times New Roman" w:cs="Times New Roman"/>
          <w:i/>
          <w:iCs/>
        </w:rPr>
        <w:t>publikuje</w:t>
      </w:r>
      <w:r w:rsidRPr="00D74B77">
        <w:rPr>
          <w:rFonts w:ascii="Times New Roman" w:hAnsi="Times New Roman" w:cs="Times New Roman"/>
        </w:rPr>
        <w:t xml:space="preserve"> na swoich stronach internetowych lub w systemie informatycznym (art. 7 ust. 8p),</w:t>
      </w:r>
    </w:p>
    <w:p w14:paraId="14ABC5B3" w14:textId="77777777" w:rsidR="00D74B77" w:rsidRPr="00D74B77" w:rsidRDefault="00D74B77" w:rsidP="00D74B77">
      <w:pPr>
        <w:numPr>
          <w:ilvl w:val="0"/>
          <w:numId w:val="13"/>
        </w:numPr>
        <w:jc w:val="both"/>
        <w:rPr>
          <w:rFonts w:ascii="Times New Roman" w:hAnsi="Times New Roman" w:cs="Times New Roman"/>
        </w:rPr>
      </w:pPr>
      <w:r w:rsidRPr="00D74B77">
        <w:rPr>
          <w:rFonts w:ascii="Times New Roman" w:hAnsi="Times New Roman" w:cs="Times New Roman"/>
        </w:rPr>
        <w:t xml:space="preserve">w przypadku </w:t>
      </w:r>
      <w:r w:rsidRPr="00D74B77">
        <w:rPr>
          <w:rFonts w:ascii="Times New Roman" w:hAnsi="Times New Roman" w:cs="Times New Roman"/>
          <w:i/>
          <w:iCs/>
        </w:rPr>
        <w:t>umowy o przyłączenie dotyczącej instalacji odnawialnego źródła energii służącej do wytwarzania energii elektrycznej z biogazu</w:t>
      </w:r>
      <w:r w:rsidRPr="00D74B77">
        <w:rPr>
          <w:rFonts w:ascii="Times New Roman" w:hAnsi="Times New Roman" w:cs="Times New Roman"/>
        </w:rPr>
        <w:t xml:space="preserve"> zawiera ona określone wymagania co do treści w zakresie wysokości opłaty oraz sposobu i zwrotu różnicy uzgodnionych kosztów i wysokości opłaty za przyłączenie (art. 7 ust. 9b); w przypadku </w:t>
      </w:r>
      <w:r w:rsidRPr="00D74B77">
        <w:rPr>
          <w:rFonts w:ascii="Times New Roman" w:hAnsi="Times New Roman" w:cs="Times New Roman"/>
          <w:i/>
          <w:iCs/>
        </w:rPr>
        <w:t>odmowy przyłączenia</w:t>
      </w:r>
      <w:r w:rsidRPr="00D74B77">
        <w:rPr>
          <w:rFonts w:ascii="Times New Roman" w:hAnsi="Times New Roman" w:cs="Times New Roman"/>
        </w:rPr>
        <w:t xml:space="preserve"> musi wypełnić warunki, o których mowa w art. 7 ust. 9c.</w:t>
      </w:r>
    </w:p>
    <w:p w14:paraId="1CCC2957"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Podsumowując powyższy aspekt, w szczególności:</w:t>
      </w:r>
    </w:p>
    <w:p w14:paraId="5F5AA2C1" w14:textId="77777777" w:rsidR="00D74B77" w:rsidRPr="00D74B77" w:rsidRDefault="00D74B77" w:rsidP="00D74B77">
      <w:pPr>
        <w:numPr>
          <w:ilvl w:val="0"/>
          <w:numId w:val="12"/>
        </w:numPr>
        <w:jc w:val="both"/>
        <w:rPr>
          <w:rFonts w:ascii="Times New Roman" w:hAnsi="Times New Roman" w:cs="Times New Roman"/>
        </w:rPr>
      </w:pPr>
      <w:r w:rsidRPr="00D74B77">
        <w:rPr>
          <w:rFonts w:ascii="Times New Roman" w:hAnsi="Times New Roman" w:cs="Times New Roman"/>
        </w:rPr>
        <w:t>w kontekście</w:t>
      </w:r>
      <w:r w:rsidRPr="00D74B77">
        <w:rPr>
          <w:rFonts w:ascii="Times New Roman" w:hAnsi="Times New Roman" w:cs="Times New Roman"/>
          <w:b/>
          <w:bCs/>
        </w:rPr>
        <w:t xml:space="preserve"> </w:t>
      </w:r>
      <w:r w:rsidRPr="00D74B77">
        <w:rPr>
          <w:rFonts w:ascii="Times New Roman" w:hAnsi="Times New Roman" w:cs="Times New Roman"/>
          <w:i/>
          <w:iCs/>
        </w:rPr>
        <w:t>obowiązków przyłączeniowych i systemów informacyjnych</w:t>
      </w:r>
      <w:r w:rsidRPr="00D74B77">
        <w:rPr>
          <w:rFonts w:ascii="Times New Roman" w:hAnsi="Times New Roman" w:cs="Times New Roman"/>
        </w:rPr>
        <w:t xml:space="preserve"> – duże podmioty (operatorzy obsługujący co najmniej sto tysięcy odbiorców) podlegają bardziej rygorystycznym wytycznym Prezesa Urzędu Regulacji Energetyki, mają obowiązek tworzenia powszechnie dostępnych, zaawansowanych platform teleinformatycznych do obsługi procesów przyłączeniowych online, mają także obowiązek regularnego publikowania (i aktualizowania) </w:t>
      </w:r>
      <w:r w:rsidRPr="00D74B77">
        <w:rPr>
          <w:rFonts w:ascii="Times New Roman" w:hAnsi="Times New Roman" w:cs="Times New Roman"/>
        </w:rPr>
        <w:lastRenderedPageBreak/>
        <w:t>w systemach informatycznych (elektroniczne składanie i śledzenie statusu wniosków) szczegółowych informacji o możliwościach przyłączenia nowych źródeł oraz planach rozwoju sieci, czy prowadzenia powszechnie dostępnych systemów wniosków o warunki przyłączenia (w tym procedur dla OZE i biogazu);</w:t>
      </w:r>
    </w:p>
    <w:p w14:paraId="3322B023" w14:textId="77777777" w:rsidR="00D74B77" w:rsidRPr="00D74B77" w:rsidRDefault="00D74B77" w:rsidP="00D74B77">
      <w:pPr>
        <w:numPr>
          <w:ilvl w:val="0"/>
          <w:numId w:val="12"/>
        </w:numPr>
        <w:jc w:val="both"/>
        <w:rPr>
          <w:rFonts w:ascii="Times New Roman" w:hAnsi="Times New Roman" w:cs="Times New Roman"/>
        </w:rPr>
      </w:pPr>
      <w:r w:rsidRPr="00D74B77">
        <w:rPr>
          <w:rFonts w:ascii="Times New Roman" w:hAnsi="Times New Roman" w:cs="Times New Roman"/>
        </w:rPr>
        <w:t>w kontekście</w:t>
      </w:r>
      <w:r w:rsidRPr="00D74B77">
        <w:rPr>
          <w:rFonts w:ascii="Times New Roman" w:hAnsi="Times New Roman" w:cs="Times New Roman"/>
          <w:b/>
          <w:bCs/>
        </w:rPr>
        <w:t xml:space="preserve"> </w:t>
      </w:r>
      <w:r w:rsidRPr="00D74B77">
        <w:rPr>
          <w:rFonts w:ascii="Times New Roman" w:hAnsi="Times New Roman" w:cs="Times New Roman"/>
          <w:i/>
          <w:iCs/>
        </w:rPr>
        <w:t>niezależności prawnej/rozdzielenia działalności (unbundling)</w:t>
      </w:r>
      <w:r w:rsidRPr="00D74B77">
        <w:rPr>
          <w:rFonts w:ascii="Times New Roman" w:hAnsi="Times New Roman" w:cs="Times New Roman"/>
        </w:rPr>
        <w:t xml:space="preserve"> - mniejsze sieci dystrybucyjne (posiadające nie więcej niż sto tysięcy przyłączonych odbiorców) bywają wyłączone z niektórych rygorystycznych wymogów dotyczących pełnego prawnego oddzielenia strukturalnego operatora od części sprzedażowej przedsiębiorstwa zintegrowanego - przepisy o niezależności prawnej i organizacyjnej operatora systemu dystrybucyjnego (elektroenergetycznego lub gazowego). Korzystają ponadto z uproszczonych formularzy i procedur sprawozdawczo-rozwojowych wobec regulatora;</w:t>
      </w:r>
    </w:p>
    <w:p w14:paraId="54CC0961" w14:textId="77777777" w:rsidR="00D74B77" w:rsidRPr="00D74B77" w:rsidRDefault="00D74B77" w:rsidP="00D74B77">
      <w:pPr>
        <w:numPr>
          <w:ilvl w:val="0"/>
          <w:numId w:val="12"/>
        </w:numPr>
        <w:jc w:val="both"/>
        <w:rPr>
          <w:rFonts w:ascii="Times New Roman" w:hAnsi="Times New Roman" w:cs="Times New Roman"/>
        </w:rPr>
      </w:pPr>
      <w:r w:rsidRPr="00D74B77">
        <w:rPr>
          <w:rFonts w:ascii="Times New Roman" w:hAnsi="Times New Roman" w:cs="Times New Roman"/>
        </w:rPr>
        <w:t>w kontekście</w:t>
      </w:r>
      <w:r w:rsidRPr="00D74B77">
        <w:rPr>
          <w:rFonts w:ascii="Times New Roman" w:hAnsi="Times New Roman" w:cs="Times New Roman"/>
          <w:b/>
          <w:bCs/>
        </w:rPr>
        <w:t xml:space="preserve"> </w:t>
      </w:r>
      <w:r w:rsidRPr="00D74B77">
        <w:rPr>
          <w:rFonts w:ascii="Times New Roman" w:hAnsi="Times New Roman" w:cs="Times New Roman"/>
          <w:i/>
          <w:iCs/>
        </w:rPr>
        <w:t>Centralnego Systemu Informacji Rynku Energii (CSIRE)</w:t>
      </w:r>
      <w:r w:rsidRPr="00D74B77">
        <w:rPr>
          <w:rFonts w:ascii="Times New Roman" w:hAnsi="Times New Roman" w:cs="Times New Roman"/>
        </w:rPr>
        <w:t xml:space="preserve"> - operatorzy sieci obsługujący poniżej stu tysięcy odbiorców (Punktów Poboru Energii (PPE)) posiadają m.in. ułatwienia i odstępstwa w relacjach z koordynatorami klastrów energii, gdzie więksi OSD podlegają surowszym zakazom łączenia funkcji (mogą w sposób dobrowolny wybrać tzw. okno wdrożeniowe przyłączenia do centralnego systemu rynku energii);</w:t>
      </w:r>
    </w:p>
    <w:p w14:paraId="32909FD6" w14:textId="77777777" w:rsidR="00D74B77" w:rsidRPr="00D74B77" w:rsidRDefault="00D74B77" w:rsidP="00D74B77">
      <w:pPr>
        <w:numPr>
          <w:ilvl w:val="0"/>
          <w:numId w:val="12"/>
        </w:numPr>
        <w:jc w:val="both"/>
        <w:rPr>
          <w:rFonts w:ascii="Times New Roman" w:hAnsi="Times New Roman" w:cs="Times New Roman"/>
        </w:rPr>
      </w:pPr>
      <w:r w:rsidRPr="00D74B77">
        <w:rPr>
          <w:rFonts w:ascii="Times New Roman" w:hAnsi="Times New Roman" w:cs="Times New Roman"/>
        </w:rPr>
        <w:t>w kontekście</w:t>
      </w:r>
      <w:r w:rsidRPr="00D74B77">
        <w:rPr>
          <w:rFonts w:ascii="Times New Roman" w:hAnsi="Times New Roman" w:cs="Times New Roman"/>
          <w:b/>
          <w:bCs/>
        </w:rPr>
        <w:t xml:space="preserve"> </w:t>
      </w:r>
      <w:r w:rsidRPr="00D74B77">
        <w:rPr>
          <w:rFonts w:ascii="Times New Roman" w:hAnsi="Times New Roman" w:cs="Times New Roman"/>
          <w:i/>
          <w:iCs/>
        </w:rPr>
        <w:t>wspólnych zasad i procedur przyłączeń</w:t>
      </w:r>
      <w:r w:rsidRPr="00D74B77">
        <w:rPr>
          <w:rFonts w:ascii="Times New Roman" w:hAnsi="Times New Roman" w:cs="Times New Roman"/>
        </w:rPr>
        <w:t xml:space="preserve"> - operatorzy obsługujący co najmniej sto tysięcy odbiorców muszą wspólnie z operatorem przesyłowym (PSE) opracowywać i zatwierdzać u Prezesa URE jednolity zbiór zasad, procedur i terminów rozpatrywania wniosków o przyłączenie do sieci. </w:t>
      </w:r>
    </w:p>
    <w:p w14:paraId="7150A729" w14:textId="1799CD29" w:rsidR="00D74B77" w:rsidRPr="00D74B77" w:rsidRDefault="00D74B77" w:rsidP="00D74B77">
      <w:pPr>
        <w:spacing w:after="120" w:line="300" w:lineRule="atLeast"/>
        <w:ind w:left="1" w:hanging="1"/>
        <w:jc w:val="both"/>
        <w:rPr>
          <w:rFonts w:ascii="Times New Roman" w:eastAsia="Times New Roman" w:hAnsi="Times New Roman" w:cs="Times New Roman"/>
          <w:b/>
          <w:bCs/>
          <w:lang w:eastAsia="pl-PL"/>
        </w:rPr>
      </w:pPr>
      <w:r w:rsidRPr="00D74B77">
        <w:rPr>
          <w:rFonts w:ascii="Times New Roman" w:eastAsia="Times New Roman" w:hAnsi="Times New Roman" w:cs="Times New Roman"/>
          <w:b/>
          <w:bCs/>
          <w:lang w:eastAsia="pl-PL"/>
        </w:rPr>
        <w:t xml:space="preserve">III. Udziału działalności objętej regulacją w przychodach podatnika </w:t>
      </w:r>
      <w:r w:rsidRPr="00D74B77">
        <w:rPr>
          <w:rFonts w:ascii="Times New Roman" w:eastAsia="Times New Roman" w:hAnsi="Times New Roman" w:cs="Times New Roman"/>
          <w:lang w:eastAsia="pl-PL"/>
        </w:rPr>
        <w:t xml:space="preserve">(art. 38ae ust. 4 pkt 4 </w:t>
      </w:r>
      <w:r w:rsidR="00C83CA5">
        <w:rPr>
          <w:rFonts w:ascii="Times New Roman" w:eastAsia="Times New Roman" w:hAnsi="Times New Roman" w:cs="Times New Roman"/>
          <w:lang w:eastAsia="pl-PL"/>
        </w:rPr>
        <w:t xml:space="preserve">i ust. 5 </w:t>
      </w:r>
      <w:r w:rsidRPr="00D74B77">
        <w:rPr>
          <w:rFonts w:ascii="Times New Roman" w:eastAsia="Times New Roman" w:hAnsi="Times New Roman" w:cs="Times New Roman"/>
          <w:lang w:eastAsia="pl-PL"/>
        </w:rPr>
        <w:t>ustawy o CIT)</w:t>
      </w:r>
      <w:r w:rsidRPr="00D74B77">
        <w:rPr>
          <w:rFonts w:ascii="Times New Roman" w:eastAsia="Times New Roman" w:hAnsi="Times New Roman" w:cs="Times New Roman"/>
          <w:b/>
          <w:bCs/>
          <w:lang w:eastAsia="pl-PL"/>
        </w:rPr>
        <w:t xml:space="preserve"> </w:t>
      </w:r>
    </w:p>
    <w:p w14:paraId="3E29C89B"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Warunek określony w </w:t>
      </w:r>
      <w:r w:rsidRPr="00D74B77">
        <w:rPr>
          <w:rFonts w:ascii="Times New Roman" w:eastAsia="Times New Roman" w:hAnsi="Times New Roman" w:cs="Times New Roman"/>
          <w:b/>
          <w:bCs/>
          <w:lang w:eastAsia="pl-PL"/>
        </w:rPr>
        <w:t>art. 38ae ust. 4 pkt 4</w:t>
      </w:r>
      <w:r w:rsidRPr="00D74B77">
        <w:rPr>
          <w:rFonts w:ascii="Times New Roman" w:eastAsia="Times New Roman" w:hAnsi="Times New Roman" w:cs="Times New Roman"/>
          <w:lang w:eastAsia="pl-PL"/>
        </w:rPr>
        <w:t xml:space="preserve"> przewiduje, że przychody osiągnięte przez podatnika, w tym PGK, w roku poprzedzającym bezpośrednio dany rok podatkowy, z działalności objętej zakresem regulacji, inne niż przychody z zysków kapitałowych, muszą stanowić co najmniej 75% przychodów podatnika za ten poprzedni rok podatkowy, także innych niż z zysków kapitałowych. </w:t>
      </w:r>
    </w:p>
    <w:p w14:paraId="6401ADC2" w14:textId="77777777" w:rsidR="00D74B77" w:rsidRPr="00D74B77" w:rsidRDefault="00D74B77" w:rsidP="00D74B77">
      <w:pPr>
        <w:spacing w:after="24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Poziom 75% przychodów nawiązuje do regulacji dotyczącej składki solidarnościowej (art. 29a i nast. ustawy z dnia 27 października 2022 r. o środkach nadzwyczajnych mających na celu ograniczenie wysokości cen energii elektrycznej oraz wsparciu niektórych odbiorców w latach 2023–2025</w:t>
      </w:r>
      <w:r w:rsidRPr="00D74B77">
        <w:rPr>
          <w:rStyle w:val="Odwoanieprzypisudolnego"/>
          <w:rFonts w:ascii="Times New Roman" w:eastAsia="Times New Roman" w:hAnsi="Times New Roman" w:cs="Times New Roman"/>
          <w:lang w:eastAsia="pl-PL"/>
        </w:rPr>
        <w:footnoteReference w:id="13"/>
      </w:r>
      <w:r w:rsidRPr="00D74B77">
        <w:rPr>
          <w:rFonts w:ascii="Times New Roman" w:eastAsia="Times New Roman" w:hAnsi="Times New Roman" w:cs="Times New Roman"/>
          <w:lang w:eastAsia="pl-PL"/>
        </w:rPr>
        <w:t xml:space="preserve">; zob. art. 29b ust. 2 pkt 2 i 3 tej ustawy). </w:t>
      </w:r>
    </w:p>
    <w:p w14:paraId="2F73E84F" w14:textId="77777777" w:rsidR="00D74B77" w:rsidRPr="00D74B77" w:rsidRDefault="00D74B77" w:rsidP="00D74B77">
      <w:pPr>
        <w:spacing w:after="24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Do przychodów danego rodzaju działalności dla celów stosowania art. 38ae ust. 4 pkt 4 (ale także ust. 10) należy zaliczyć wszystkie te przychody, które funkcjonalnie wiążą się z tą działalnością określoną w ust. 4 pkt 1 (np. działalnością koncesjonowaną w zakresie obrotu gazem). Nie chodzi zatem wyłącznie o przychody </w:t>
      </w:r>
      <w:r w:rsidRPr="00D74B77">
        <w:rPr>
          <w:rFonts w:ascii="Times New Roman" w:eastAsia="Times New Roman" w:hAnsi="Times New Roman" w:cs="Times New Roman"/>
          <w:i/>
          <w:iCs/>
          <w:lang w:eastAsia="pl-PL"/>
        </w:rPr>
        <w:t>stricte</w:t>
      </w:r>
      <w:r w:rsidRPr="00D74B77">
        <w:rPr>
          <w:rFonts w:ascii="Times New Roman" w:eastAsia="Times New Roman" w:hAnsi="Times New Roman" w:cs="Times New Roman"/>
          <w:lang w:eastAsia="pl-PL"/>
        </w:rPr>
        <w:t xml:space="preserve"> z obrotu gazem (ze sprzedaży gazu nabytego w tym celu), lecz z działalności w zakresie obrotu gazem, co jest kategorią szerszą, gdyż obejmuje także m.in. przychody (i koszty) z bilansowania, usług magazynowania, instrumentów zabezpieczających ceny gazu, rozliczeń, różnic kursowych, kar, odszkodowań czy korekt cenowych. Innymi słowy chodzi o te przychody, które nie wiążą się z inną działalnością, niewymienioną w ww. przepisie, o ile nie mieszczą się one w wyjątkach, o których mowa poniżej.  </w:t>
      </w:r>
    </w:p>
    <w:p w14:paraId="0CA3E9B5"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Wyłączenie przychodów z zysków kapitałowych (zarówno w liczniku jak i mianowniku wzoru) ma na celu powiązanie stosowania podwyższonej stawki podatku z przedmiotem podstawowej działalności podatnika (w uproszczeniu – z zakresem jego działalności operacyjnej). Z tego względu omawiany </w:t>
      </w:r>
      <w:r w:rsidRPr="00D74B77">
        <w:rPr>
          <w:rFonts w:ascii="Times New Roman" w:eastAsia="Times New Roman" w:hAnsi="Times New Roman" w:cs="Times New Roman"/>
          <w:lang w:eastAsia="pl-PL"/>
        </w:rPr>
        <w:lastRenderedPageBreak/>
        <w:t xml:space="preserve">przepis nakazuje pominąć przychody ze źródła zyski kapitałowe (o których mowa w art. 7b ustawy o CIT). Odzwierciedleniem tej intencji jest również treść </w:t>
      </w:r>
      <w:r w:rsidRPr="00D74B77">
        <w:rPr>
          <w:rFonts w:ascii="Times New Roman" w:eastAsia="Times New Roman" w:hAnsi="Times New Roman" w:cs="Times New Roman"/>
          <w:b/>
          <w:bCs/>
          <w:lang w:eastAsia="pl-PL"/>
        </w:rPr>
        <w:t>ust. 5 pkt 1</w:t>
      </w:r>
      <w:r w:rsidRPr="00D74B77">
        <w:rPr>
          <w:rFonts w:ascii="Times New Roman" w:eastAsia="Times New Roman" w:hAnsi="Times New Roman" w:cs="Times New Roman"/>
          <w:lang w:eastAsia="pl-PL"/>
        </w:rPr>
        <w:t xml:space="preserve"> wskazująca wprost, że przy kalkulacji tej proporcji (udziału przychodów kwalifikowanych w przychodach ogółem) nie bierze się pod uwagę przychodów zaliczanych do pozostałych przychodów operacyjnych (art. 3 ust. 32 ustawy o rachunkowości) albo przychodów finansowych w rozumieniu ustawy o rachunkowości. Kalkulując wynik podatkowy na potrzeby obliczenia proporcji, o której mowa w art. 38ae ust. 4 pkt 4 projektu podatnik musi zatem dodatkowo skorygować wynik rachunkowy o te pozycje.  </w:t>
      </w:r>
    </w:p>
    <w:p w14:paraId="0749716A" w14:textId="4EAD0FD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Przepis </w:t>
      </w:r>
      <w:r w:rsidRPr="00D74B77">
        <w:rPr>
          <w:rFonts w:ascii="Times New Roman" w:eastAsia="Times New Roman" w:hAnsi="Times New Roman" w:cs="Times New Roman"/>
          <w:b/>
          <w:bCs/>
          <w:lang w:eastAsia="pl-PL"/>
        </w:rPr>
        <w:t xml:space="preserve">ust. 5 pkt 2 </w:t>
      </w:r>
      <w:r w:rsidRPr="00D74B77">
        <w:rPr>
          <w:rFonts w:ascii="Times New Roman" w:eastAsia="Times New Roman" w:hAnsi="Times New Roman" w:cs="Times New Roman"/>
          <w:lang w:eastAsia="pl-PL"/>
        </w:rPr>
        <w:t>precyzuje z kolei, na potrzeby wyliczenia progu przychodów, o którym mowa w ust. 4 pkt 4 omawianego artykułu sposób w jaki należy rozumieć przychody z niektórych kategorii działalności, o których mowa w ust. 4 pkt 1. Otóż, przy ustalaniu relacji przychodów z ust. 4 pkt 4, przychodami z wydobywania gazu ziemnego lub ropy naftowej (</w:t>
      </w:r>
      <w:r w:rsidR="00C83CA5">
        <w:rPr>
          <w:rFonts w:ascii="Times New Roman" w:eastAsia="Times New Roman" w:hAnsi="Times New Roman" w:cs="Times New Roman"/>
          <w:lang w:eastAsia="pl-PL"/>
        </w:rPr>
        <w:t xml:space="preserve">o których mowa w </w:t>
      </w:r>
      <w:r w:rsidRPr="00D74B77">
        <w:rPr>
          <w:rFonts w:ascii="Times New Roman" w:eastAsia="Times New Roman" w:hAnsi="Times New Roman" w:cs="Times New Roman"/>
          <w:lang w:eastAsia="pl-PL"/>
        </w:rPr>
        <w:t>ust. 4 pkt 1 lit. a) będą w szczególności przychody ze sprzedaży wydobytego gazu ziemnego lub ropy naftowej</w:t>
      </w:r>
      <w:r w:rsidR="00C83CA5">
        <w:rPr>
          <w:rFonts w:ascii="Times New Roman" w:eastAsia="Times New Roman" w:hAnsi="Times New Roman" w:cs="Times New Roman"/>
          <w:lang w:eastAsia="pl-PL"/>
        </w:rPr>
        <w:t xml:space="preserve"> (ust. 5 pkt 2 lit. a)</w:t>
      </w:r>
      <w:r w:rsidRPr="00D74B77">
        <w:rPr>
          <w:rFonts w:ascii="Times New Roman" w:eastAsia="Times New Roman" w:hAnsi="Times New Roman" w:cs="Times New Roman"/>
          <w:lang w:eastAsia="pl-PL"/>
        </w:rPr>
        <w:t>. Natomiast w pojęciu produkcji paliw ciekłych z ust. 4 pkt 1 lit. b (podobnie jak wyżej) mieścić się będą w szczególności przychody z ich sprzedaży</w:t>
      </w:r>
      <w:r w:rsidR="00D87214">
        <w:rPr>
          <w:rFonts w:ascii="Times New Roman" w:eastAsia="Times New Roman" w:hAnsi="Times New Roman" w:cs="Times New Roman"/>
          <w:lang w:eastAsia="pl-PL"/>
        </w:rPr>
        <w:t xml:space="preserve"> (ust. 5 pkt 2 lit. b)</w:t>
      </w:r>
      <w:r w:rsidRPr="00D74B77">
        <w:rPr>
          <w:rFonts w:ascii="Times New Roman" w:eastAsia="Times New Roman" w:hAnsi="Times New Roman" w:cs="Times New Roman"/>
          <w:lang w:eastAsia="pl-PL"/>
        </w:rPr>
        <w:t xml:space="preserve">. Doprecyzowanie to ma na celu wyeliminowanie ewentualnych wątpliwości związanych z tym, że samo wydobycie węglowodorów, czy też wytworzenie paliw w sensie rachunkowych (jak i na gruncie podatków dochodowych) nie wiąże się z osiągnieciem przychodu. Przychód powstaje bowiem dopiero w związku ze zbyciem ww. rzeczy. Chodzi zatem o nadanie tej regulacji znaczenia zgodnego z systemowym ujęciem omawianych zdarzeń na gruncie przepisów bilansowych i podatkowych.   </w:t>
      </w:r>
    </w:p>
    <w:p w14:paraId="2790ACE0"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b/>
          <w:bCs/>
          <w:lang w:eastAsia="pl-PL"/>
        </w:rPr>
        <w:t>Ust. 5 w pkt 3</w:t>
      </w:r>
      <w:r w:rsidRPr="00D74B77">
        <w:rPr>
          <w:rFonts w:ascii="Times New Roman" w:eastAsia="Times New Roman" w:hAnsi="Times New Roman" w:cs="Times New Roman"/>
          <w:lang w:eastAsia="pl-PL"/>
        </w:rPr>
        <w:t xml:space="preserve"> precyzuje dodatkowo, że w przypadku podatkowych grup kapitałowych, w których skład wchodzi co najmniej jedna spółka prowadząca działalność, o której mowa w ust. 4 pkt 1 lit. d lub e, a zatem działalność w zakresie przesyłu lub dystrybucji energii elektrycznej (w praktyce tylko ten drugi przypadek) - przychody z tej działalności należy uwzględniać wyłącznie u tej spółki lub spółek. </w:t>
      </w:r>
    </w:p>
    <w:p w14:paraId="7444DE25" w14:textId="55AD65F2"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Regulacja ta odpowiada na wątpliwość związaną z tym, że w praktyce grup energetycznych działalność dystrybucyjna często stanowi element szerszego świadczenia realizowanego przez kilka podmiotów. Typowym przykładem jest sytuacja, w której operator systemu dystrybucyjnego świadcząc usługę dystrybucji energii elektrycznej rozpoznaje przychody z usług dystrybucyjnych, natomiast odrębna spółka posiadająca koncesję na obrót energią elektryczną zawiera z odbiorcami końcowymi umowy na świadczenie usług kompleksowych, o których mowa w art.  art. 3 pkt 30 ustawy - Prawo energetyczne i rozpoznaje przychody podatkowe obejmujące zarówno sprzedaż energii elektrycznej, jak i usługę dystrybucji. W rezultacie ta sama wartość dotycząca świadczenia usługi w zakresie dystrybucji energii elektrycznej wykazywana jest w przychodach podatkowych więcej niż jednej spółki wchodzącej w skład PGK. Biorąc pod uwagę powyższe, w przypadku PGK, na potrzeby wyliczenia wskaźników, o których mowa w art. 38ae ust. </w:t>
      </w:r>
      <w:r w:rsidR="00D87214">
        <w:rPr>
          <w:rFonts w:ascii="Times New Roman" w:eastAsia="Times New Roman" w:hAnsi="Times New Roman" w:cs="Times New Roman"/>
          <w:lang w:eastAsia="pl-PL"/>
        </w:rPr>
        <w:t>4</w:t>
      </w:r>
      <w:r w:rsidRPr="00D74B77">
        <w:rPr>
          <w:rFonts w:ascii="Times New Roman" w:eastAsia="Times New Roman" w:hAnsi="Times New Roman" w:cs="Times New Roman"/>
          <w:lang w:eastAsia="pl-PL"/>
        </w:rPr>
        <w:t xml:space="preserve"> pkt 4, ust. </w:t>
      </w:r>
      <w:r w:rsidR="00D87214">
        <w:rPr>
          <w:rFonts w:ascii="Times New Roman" w:eastAsia="Times New Roman" w:hAnsi="Times New Roman" w:cs="Times New Roman"/>
          <w:lang w:eastAsia="pl-PL"/>
        </w:rPr>
        <w:t>9</w:t>
      </w:r>
      <w:r w:rsidRPr="00D74B77">
        <w:rPr>
          <w:rFonts w:ascii="Times New Roman" w:eastAsia="Times New Roman" w:hAnsi="Times New Roman" w:cs="Times New Roman"/>
          <w:lang w:eastAsia="pl-PL"/>
        </w:rPr>
        <w:t xml:space="preserve"> pkt 1, ust. </w:t>
      </w:r>
      <w:r w:rsidR="00D87214">
        <w:rPr>
          <w:rFonts w:ascii="Times New Roman" w:eastAsia="Times New Roman" w:hAnsi="Times New Roman" w:cs="Times New Roman"/>
          <w:lang w:eastAsia="pl-PL"/>
        </w:rPr>
        <w:t>10</w:t>
      </w:r>
      <w:r w:rsidRPr="00D74B77">
        <w:rPr>
          <w:rFonts w:ascii="Times New Roman" w:eastAsia="Times New Roman" w:hAnsi="Times New Roman" w:cs="Times New Roman"/>
          <w:lang w:eastAsia="pl-PL"/>
        </w:rPr>
        <w:t xml:space="preserve"> pkt 1 lit b, przychody, o których mowa w ust. </w:t>
      </w:r>
      <w:r w:rsidR="00D87214">
        <w:rPr>
          <w:rFonts w:ascii="Times New Roman" w:eastAsia="Times New Roman" w:hAnsi="Times New Roman" w:cs="Times New Roman"/>
          <w:lang w:eastAsia="pl-PL"/>
        </w:rPr>
        <w:t>4</w:t>
      </w:r>
      <w:r w:rsidRPr="00D74B77">
        <w:rPr>
          <w:rFonts w:ascii="Times New Roman" w:eastAsia="Times New Roman" w:hAnsi="Times New Roman" w:cs="Times New Roman"/>
          <w:lang w:eastAsia="pl-PL"/>
        </w:rPr>
        <w:t xml:space="preserve"> pkt 1 lit d i e powinny być rozpoznawane jednokrotnie przez spółkę wchodzącą w skład PGK, prowadzącą działalność, o której mowa w art. 38ae ust. </w:t>
      </w:r>
      <w:r w:rsidR="00D87214">
        <w:rPr>
          <w:rFonts w:ascii="Times New Roman" w:eastAsia="Times New Roman" w:hAnsi="Times New Roman" w:cs="Times New Roman"/>
          <w:lang w:eastAsia="pl-PL"/>
        </w:rPr>
        <w:t>4</w:t>
      </w:r>
      <w:r w:rsidRPr="00D74B77">
        <w:rPr>
          <w:rFonts w:ascii="Times New Roman" w:eastAsia="Times New Roman" w:hAnsi="Times New Roman" w:cs="Times New Roman"/>
          <w:lang w:eastAsia="pl-PL"/>
        </w:rPr>
        <w:t xml:space="preserve"> pkt 1 lit d i e. Nie powinno uwzględniać się przychodów z ww. tytułów spółek wchodzących w skład PGK, wykonujących działalność gospodarczą w zakresie obrotu energią elektryczną. Uwzględnienie przychodów z tytułu dystrybucji energii elektrycznej zarówno dla spółki prowadzącej działalność, o której mowa w art. 38ae ust. </w:t>
      </w:r>
      <w:r w:rsidR="00D87214">
        <w:rPr>
          <w:rFonts w:ascii="Times New Roman" w:eastAsia="Times New Roman" w:hAnsi="Times New Roman" w:cs="Times New Roman"/>
          <w:lang w:eastAsia="pl-PL"/>
        </w:rPr>
        <w:t>4</w:t>
      </w:r>
      <w:r w:rsidRPr="00D74B77">
        <w:rPr>
          <w:rFonts w:ascii="Times New Roman" w:eastAsia="Times New Roman" w:hAnsi="Times New Roman" w:cs="Times New Roman"/>
          <w:lang w:eastAsia="pl-PL"/>
        </w:rPr>
        <w:t xml:space="preserve"> pkt 1 lit d i e, jak i dla spółki obrotu, powodowałoby zawyżenie udziału przychodów z tytułu działalności, o której mowa w ust. </w:t>
      </w:r>
      <w:r w:rsidR="00D87214">
        <w:rPr>
          <w:rFonts w:ascii="Times New Roman" w:eastAsia="Times New Roman" w:hAnsi="Times New Roman" w:cs="Times New Roman"/>
          <w:lang w:eastAsia="pl-PL"/>
        </w:rPr>
        <w:t>4</w:t>
      </w:r>
      <w:r w:rsidRPr="00D74B77">
        <w:rPr>
          <w:rFonts w:ascii="Times New Roman" w:eastAsia="Times New Roman" w:hAnsi="Times New Roman" w:cs="Times New Roman"/>
          <w:lang w:eastAsia="pl-PL"/>
        </w:rPr>
        <w:t xml:space="preserve"> pkt 1, w całkowitych przychodach PGK.</w:t>
      </w:r>
    </w:p>
    <w:p w14:paraId="110B2A4E" w14:textId="77777777" w:rsidR="00D74B77" w:rsidRPr="00D74B77" w:rsidRDefault="00D74B77" w:rsidP="00D74B77">
      <w:pPr>
        <w:spacing w:after="120" w:line="300" w:lineRule="atLeast"/>
        <w:jc w:val="both"/>
        <w:rPr>
          <w:rFonts w:ascii="Times New Roman" w:eastAsia="Times New Roman" w:hAnsi="Times New Roman" w:cs="Times New Roman"/>
          <w:b/>
          <w:bCs/>
          <w:lang w:eastAsia="pl-PL"/>
        </w:rPr>
      </w:pPr>
      <w:r w:rsidRPr="00D74B77">
        <w:rPr>
          <w:rFonts w:ascii="Times New Roman" w:eastAsia="Times New Roman" w:hAnsi="Times New Roman" w:cs="Times New Roman"/>
          <w:b/>
          <w:bCs/>
          <w:lang w:eastAsia="pl-PL"/>
        </w:rPr>
        <w:t xml:space="preserve">Regulacje szczególne modyfikujące warunki stosowania art. 38ae ust. 1 </w:t>
      </w:r>
      <w:r w:rsidRPr="00D74B77">
        <w:rPr>
          <w:rFonts w:ascii="Times New Roman" w:eastAsia="Times New Roman" w:hAnsi="Times New Roman" w:cs="Times New Roman"/>
          <w:lang w:eastAsia="pl-PL"/>
        </w:rPr>
        <w:t>(art. 38ae ust. 6 – 8 ustawy o CIT)</w:t>
      </w:r>
    </w:p>
    <w:p w14:paraId="7462A55C"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lastRenderedPageBreak/>
        <w:t xml:space="preserve">W pewnych przypadkach stosowanie wprost warunków określonych w art. 38ae ust. 4 prowadziłoby do rezultatów niezgodnych z celem projektowanej regulacji. Poniżej omówiono przepisy, których ujęcie było niezbędne w celu zachowania spójności projektowanych rozwiązań na gruncie systemu podatku dochodowego – przepisy te mają zatem zasadniczo charakter dostosowawczy oraz antyabuzywny (przeciwdziałanie unikaniu stosowania podwyższonych stawek).  </w:t>
      </w:r>
    </w:p>
    <w:p w14:paraId="076EAF04"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I tak, </w:t>
      </w:r>
      <w:r w:rsidRPr="00D74B77">
        <w:rPr>
          <w:rFonts w:ascii="Times New Roman" w:eastAsia="Times New Roman" w:hAnsi="Times New Roman" w:cs="Times New Roman"/>
          <w:b/>
          <w:bCs/>
          <w:lang w:eastAsia="pl-PL"/>
        </w:rPr>
        <w:t>ust. 6.</w:t>
      </w:r>
      <w:r w:rsidRPr="00D74B77">
        <w:rPr>
          <w:rFonts w:ascii="Times New Roman" w:eastAsia="Times New Roman" w:hAnsi="Times New Roman" w:cs="Times New Roman"/>
          <w:lang w:eastAsia="pl-PL"/>
        </w:rPr>
        <w:t xml:space="preserve"> dedykowany jest PGK utworzonym po dniu 31 grudnia 2026 r. Przepis ten wyjaśnia, że warunki, o których mowa w ust. 4 pkt 3 i 4, uważa się za spełnione, jeżeli spełniała je co najmniej jedna spółka wchodząca w skład tej grupy. W przypadku braku tego przepisu nowopowstała PGK nie miałaby adekwatnych danych pozwalających na ich ocenę pod kątem spełnienia warunków z ust. 4, co nie odpowiadałoby charakterowi tego podatnika (faktycznie kontynuuje działalność spółek go tworzących). Okoliczność ta sama w sobie nie powinna zatem wpływać na wyłączenie stosowania do takiej PGK podwyższonych stawek.</w:t>
      </w:r>
    </w:p>
    <w:p w14:paraId="3C3CD1D8" w14:textId="77777777" w:rsidR="00D74B77" w:rsidRPr="00D74B77" w:rsidRDefault="00D74B77" w:rsidP="00D74B77">
      <w:pPr>
        <w:spacing w:after="120" w:line="300" w:lineRule="atLeast"/>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Podobny charakter i cel ma regulacja </w:t>
      </w:r>
      <w:r w:rsidRPr="00D74B77">
        <w:rPr>
          <w:rFonts w:ascii="Times New Roman" w:eastAsia="Times New Roman" w:hAnsi="Times New Roman" w:cs="Times New Roman"/>
          <w:b/>
          <w:bCs/>
          <w:lang w:eastAsia="pl-PL"/>
        </w:rPr>
        <w:t>ust. 7</w:t>
      </w:r>
      <w:r w:rsidRPr="00D74B77">
        <w:rPr>
          <w:rFonts w:ascii="Times New Roman" w:eastAsia="Times New Roman" w:hAnsi="Times New Roman" w:cs="Times New Roman"/>
          <w:lang w:eastAsia="pl-PL"/>
        </w:rPr>
        <w:t xml:space="preserve"> odnosząca się do sytuacji łączenia podatników. </w:t>
      </w:r>
    </w:p>
    <w:p w14:paraId="044B1773" w14:textId="4AB2754A" w:rsidR="00D74B77" w:rsidRPr="00D74B77" w:rsidRDefault="00D74B77" w:rsidP="00D74B77">
      <w:pPr>
        <w:spacing w:after="120" w:line="300" w:lineRule="atLeast"/>
        <w:jc w:val="both"/>
        <w:rPr>
          <w:rFonts w:ascii="Times New Roman" w:eastAsia="Times New Roman" w:hAnsi="Times New Roman" w:cs="Times New Roman"/>
          <w:b/>
          <w:bCs/>
          <w:lang w:eastAsia="pl-PL"/>
        </w:rPr>
      </w:pPr>
      <w:r w:rsidRPr="00D74B77">
        <w:rPr>
          <w:rFonts w:ascii="Times New Roman" w:eastAsia="Times New Roman" w:hAnsi="Times New Roman" w:cs="Times New Roman"/>
          <w:lang w:eastAsia="pl-PL"/>
        </w:rPr>
        <w:t xml:space="preserve">Z kolei regulacja </w:t>
      </w:r>
      <w:r w:rsidRPr="00D74B77">
        <w:rPr>
          <w:rFonts w:ascii="Times New Roman" w:eastAsia="Times New Roman" w:hAnsi="Times New Roman" w:cs="Times New Roman"/>
          <w:b/>
          <w:bCs/>
          <w:lang w:eastAsia="pl-PL"/>
        </w:rPr>
        <w:t>ust. 8</w:t>
      </w:r>
      <w:r w:rsidRPr="00D74B77">
        <w:rPr>
          <w:rFonts w:ascii="Times New Roman" w:eastAsia="Times New Roman" w:hAnsi="Times New Roman" w:cs="Times New Roman"/>
          <w:lang w:eastAsia="pl-PL"/>
        </w:rPr>
        <w:t xml:space="preserve"> dotycząca podziałów i wnoszenia aportów ma zasadniczo charakter antyabuzywny. Jej kazuistyka wynika z tego, iż ma na celu precyzyjne uchwycenie przypadków, z którymi wiąże się materialne ryzyko nadużyć.</w:t>
      </w:r>
    </w:p>
    <w:p w14:paraId="4FCF514C" w14:textId="475B38A7" w:rsidR="00D74B77" w:rsidRPr="00D74B77" w:rsidRDefault="00D74B77" w:rsidP="00D74B77">
      <w:pPr>
        <w:jc w:val="both"/>
        <w:rPr>
          <w:rFonts w:ascii="Times New Roman" w:hAnsi="Times New Roman" w:cs="Times New Roman"/>
          <w:iCs/>
        </w:rPr>
      </w:pPr>
      <w:r w:rsidRPr="00D74B77">
        <w:rPr>
          <w:rFonts w:ascii="Times New Roman" w:hAnsi="Times New Roman" w:cs="Times New Roman"/>
          <w:b/>
          <w:bCs/>
          <w:iCs/>
        </w:rPr>
        <w:t>Szczególne zasady stosowania podwyższonej stawki CIT do podatników niespełniających kryterium 75% przychodów</w:t>
      </w:r>
      <w:r w:rsidRPr="00D74B77">
        <w:rPr>
          <w:rFonts w:ascii="Times New Roman" w:eastAsia="Times New Roman" w:hAnsi="Times New Roman" w:cs="Times New Roman"/>
          <w:lang w:eastAsia="pl-PL"/>
        </w:rPr>
        <w:t xml:space="preserve"> (</w:t>
      </w:r>
      <w:r w:rsidRPr="00D74B77">
        <w:rPr>
          <w:rFonts w:ascii="Times New Roman" w:hAnsi="Times New Roman" w:cs="Times New Roman"/>
          <w:iCs/>
        </w:rPr>
        <w:t>art. 38ae ust. 9  - 1</w:t>
      </w:r>
      <w:r w:rsidR="00D87214">
        <w:rPr>
          <w:rFonts w:ascii="Times New Roman" w:hAnsi="Times New Roman" w:cs="Times New Roman"/>
          <w:iCs/>
        </w:rPr>
        <w:t>1</w:t>
      </w:r>
      <w:r w:rsidRPr="00D74B77">
        <w:rPr>
          <w:rFonts w:ascii="Times New Roman" w:hAnsi="Times New Roman" w:cs="Times New Roman"/>
          <w:iCs/>
        </w:rPr>
        <w:t xml:space="preserve"> ustawy o CIT) </w:t>
      </w:r>
    </w:p>
    <w:p w14:paraId="5F6EA520"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 xml:space="preserve">Projektowany </w:t>
      </w:r>
      <w:r w:rsidRPr="00D74B77">
        <w:rPr>
          <w:rFonts w:ascii="Times New Roman" w:hAnsi="Times New Roman" w:cs="Times New Roman"/>
          <w:b/>
          <w:iCs/>
        </w:rPr>
        <w:t>art. 38ae ust. 9</w:t>
      </w:r>
      <w:r w:rsidRPr="00D74B77">
        <w:rPr>
          <w:rFonts w:ascii="Times New Roman" w:hAnsi="Times New Roman" w:cs="Times New Roman"/>
          <w:bCs/>
          <w:iCs/>
        </w:rPr>
        <w:t xml:space="preserve"> stanowi </w:t>
      </w:r>
      <w:r w:rsidRPr="00D74B77">
        <w:rPr>
          <w:rFonts w:ascii="Times New Roman" w:hAnsi="Times New Roman" w:cs="Times New Roman"/>
          <w:bCs/>
          <w:iCs/>
          <w:u w:val="single"/>
        </w:rPr>
        <w:t>uzupełnienie</w:t>
      </w:r>
      <w:r w:rsidRPr="00D74B77">
        <w:rPr>
          <w:rFonts w:ascii="Times New Roman" w:hAnsi="Times New Roman" w:cs="Times New Roman"/>
          <w:bCs/>
          <w:iCs/>
        </w:rPr>
        <w:t xml:space="preserve"> zasad określonych w art. 38ae ust. 4 i ma na celu objęcie regulacją również tych podatników, u których wskaźnik określony w art. 38ae ust. 4 pkt 4 i ust. 5 wynosi mniej niż 75%, lecz nie mniej niż 33% (próg istotności).</w:t>
      </w:r>
    </w:p>
    <w:p w14:paraId="32C1B8A2"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 xml:space="preserve">Rozwiązanie to ma zapobiegać sytuacjom, w których podatnik prowadzący działalność objętą regulacją na znaczącą skalę pozostawałby poza zakresem jej stosowania wyłącznie z uwagi na równoczesne prowadzenie innych rodzajów działalności gospodarczej. Jest to o tyle uzasadnione, że - co do zasady - przepisy prawa odnoszące się do wykonywania określonych rodzajów działalności nie wymagają od przedsiębiorców ich wydzielenia organizacyjnego w ramach odrębnego podmiotu (spółki). Tym samym podatnicy mogą prowadzić szerokie spektrum działalności, wychodząc poza zakres ich podstawowej działalności. </w:t>
      </w:r>
    </w:p>
    <w:p w14:paraId="4CD4E9EE" w14:textId="05AC3E28" w:rsidR="00D74B77" w:rsidRPr="00D74B77" w:rsidRDefault="00D74B77" w:rsidP="00D74B77">
      <w:pPr>
        <w:jc w:val="both"/>
        <w:rPr>
          <w:rFonts w:ascii="Times New Roman" w:hAnsi="Times New Roman" w:cs="Times New Roman"/>
          <w:iCs/>
        </w:rPr>
      </w:pPr>
      <w:r w:rsidRPr="00D74B77">
        <w:rPr>
          <w:rFonts w:ascii="Times New Roman" w:hAnsi="Times New Roman" w:cs="Times New Roman"/>
          <w:bCs/>
          <w:iCs/>
        </w:rPr>
        <w:t xml:space="preserve">W takich przypadkach podwyższona stawka podatku nie znajdzie zastosowania do całej podstawy opodatkowania, lecz wyłącznie do jej części odpowiadającej udziałowi działalności objętej regulacją w działalności podatnika. Celem regulacji jest po pierwsze dążenie do niewpływania negatywnie na warunki konkurencyjności między przedsiębiorcami. Ponadto, jest ona wyrazem dążenia do zachowania proporcjonalności proponowanych rozwiązań. </w:t>
      </w:r>
      <w:r w:rsidRPr="00D74B77">
        <w:rPr>
          <w:rFonts w:ascii="Times New Roman" w:hAnsi="Times New Roman" w:cs="Times New Roman"/>
          <w:iCs/>
        </w:rPr>
        <w:t>W opisywanym przypadku, zgodnie z art. 38ae ust. 10 pkt 1, podatnik</w:t>
      </w:r>
      <w:r w:rsidR="00D87214">
        <w:rPr>
          <w:rFonts w:ascii="Times New Roman" w:hAnsi="Times New Roman" w:cs="Times New Roman"/>
          <w:iCs/>
        </w:rPr>
        <w:t xml:space="preserve"> (niespełniający progu 75%, o których mowa w ust. 9 pkt 1)</w:t>
      </w:r>
      <w:r w:rsidRPr="00D74B77">
        <w:rPr>
          <w:rFonts w:ascii="Times New Roman" w:hAnsi="Times New Roman" w:cs="Times New Roman"/>
          <w:iCs/>
        </w:rPr>
        <w:t xml:space="preserve"> może wybrać jeden z dwóch sposobów ustalenia tej części podstawy opodatkowania (określonych w lit. a lub b). </w:t>
      </w:r>
    </w:p>
    <w:p w14:paraId="1F1F2974"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iCs/>
        </w:rPr>
        <w:t xml:space="preserve">Pierwszy z nich (zgodnie </w:t>
      </w:r>
      <w:r w:rsidRPr="00D74B77">
        <w:rPr>
          <w:rFonts w:ascii="Times New Roman" w:hAnsi="Times New Roman" w:cs="Times New Roman"/>
          <w:b/>
          <w:bCs/>
          <w:iCs/>
        </w:rPr>
        <w:t>z ust. 10 pkt 1 lit. a</w:t>
      </w:r>
      <w:r w:rsidRPr="00D74B77">
        <w:rPr>
          <w:rFonts w:ascii="Times New Roman" w:hAnsi="Times New Roman" w:cs="Times New Roman"/>
          <w:iCs/>
        </w:rPr>
        <w:t>) opiera się na relacji (proporcji) dochodu osiągniętego w danym roku podatkowym z działalności objętej regulacją (zgodnie z ust. 4 pkt 4) do łącznego dochodu (z tego samego roku podatkowego) podatnika ze źródeł innych niż zyski kapitałowe. W przypadku wątpliwości odnośnie ustalenia wysokości takiego dochodu odpowiednie stosowanie znajdzie zasada określona w art. 15 ust. 2 ustawy o CIT.</w:t>
      </w:r>
      <w:r w:rsidRPr="00D74B77">
        <w:t xml:space="preserve"> </w:t>
      </w:r>
      <w:r w:rsidRPr="00D74B77">
        <w:rPr>
          <w:rFonts w:ascii="Times New Roman" w:hAnsi="Times New Roman" w:cs="Times New Roman"/>
          <w:iCs/>
        </w:rPr>
        <w:t xml:space="preserve">Jednocześnie w celu uniknięcia wątpliwości, jakie mogą powstać na gruncie rachunkowym (matematycznym) przepis </w:t>
      </w:r>
      <w:r w:rsidRPr="00AC0F99">
        <w:rPr>
          <w:rFonts w:ascii="Times New Roman" w:hAnsi="Times New Roman" w:cs="Times New Roman"/>
          <w:b/>
          <w:bCs/>
          <w:iCs/>
        </w:rPr>
        <w:t>ust. 11</w:t>
      </w:r>
      <w:r w:rsidRPr="00D74B77">
        <w:rPr>
          <w:rFonts w:ascii="Times New Roman" w:hAnsi="Times New Roman" w:cs="Times New Roman"/>
          <w:iCs/>
        </w:rPr>
        <w:t xml:space="preserve"> precyzuje, że </w:t>
      </w:r>
      <w:r w:rsidRPr="00D74B77">
        <w:rPr>
          <w:rFonts w:ascii="Times New Roman" w:hAnsi="Times New Roman" w:cs="Times New Roman"/>
          <w:bCs/>
          <w:iCs/>
        </w:rPr>
        <w:t xml:space="preserve">proporcja, o której mowa w ust. 10 pkt 1 lit. a nie może być niższa niż 0% ani wyższa niż 100% (gdyby wynik działania matematycznego prowadził do innych rezultatów). Przepis ten wyraźnie referuje do „dochodu z działalności kwalifikowanej” oraz istnienia podstawy opodatkowania. Jeśli którakolwiek z tych kategorii nie istnieje, nie ma podstaw do obliczenia tej proporcji, a tym samym albo w ogóle nie stosuje </w:t>
      </w:r>
      <w:r w:rsidRPr="00D74B77">
        <w:rPr>
          <w:rFonts w:ascii="Times New Roman" w:hAnsi="Times New Roman" w:cs="Times New Roman"/>
          <w:bCs/>
          <w:iCs/>
        </w:rPr>
        <w:lastRenderedPageBreak/>
        <w:t xml:space="preserve">się żadnej stawki podatku (brak podstawy opodatkowania) albo do całej podstawy stosuje się stawkę wynikającą z zasad ogólnych (brak dochodu z działalności kwalifikowanej).   </w:t>
      </w:r>
    </w:p>
    <w:p w14:paraId="09860064" w14:textId="77777777" w:rsidR="00D74B77" w:rsidRPr="00D74B77" w:rsidRDefault="00D74B77" w:rsidP="00D74B77">
      <w:pPr>
        <w:jc w:val="both"/>
        <w:rPr>
          <w:rFonts w:ascii="Times New Roman" w:hAnsi="Times New Roman" w:cs="Times New Roman"/>
          <w:iCs/>
        </w:rPr>
      </w:pPr>
      <w:r w:rsidRPr="00D74B77">
        <w:rPr>
          <w:rFonts w:ascii="Times New Roman" w:hAnsi="Times New Roman" w:cs="Times New Roman"/>
          <w:iCs/>
        </w:rPr>
        <w:t xml:space="preserve">Alternatywnie, zgodnie z </w:t>
      </w:r>
      <w:r w:rsidRPr="00D74B77">
        <w:rPr>
          <w:rFonts w:ascii="Times New Roman" w:hAnsi="Times New Roman" w:cs="Times New Roman"/>
          <w:b/>
          <w:bCs/>
          <w:iCs/>
        </w:rPr>
        <w:t>ust. 10 pkt 1 lit. b</w:t>
      </w:r>
      <w:r w:rsidRPr="00D74B77">
        <w:rPr>
          <w:rFonts w:ascii="Times New Roman" w:hAnsi="Times New Roman" w:cs="Times New Roman"/>
          <w:iCs/>
        </w:rPr>
        <w:t xml:space="preserve">, podatnik może zastosować uproszczoną metodę opartą na strukturze historycznych przychodów. W takim przypadku proporcję tą ustala się (do dwóch miejsc po przecinku) na podstawie udziału przychodów z poprzedniego roku podatkowego z działalności objętej regulacją (zgodnie z ust. 4 pkt 4 i ust. 5) w przychodach podatnika (z tego poprzedniego roku podatkowego) ze źródeł innych niż zyski kapitałowe - przy czym wynik tej proporcji powiększa się o 33% (tj. należy go przemnożyć przez 1,33). Zabieg ten ma odzwierciedlić założenie o, co do zasady, wyższej rentowności działalności objętej projektowaną regulacją. Założenia tego nie oddawałaby proporcja bazująca wyłącznie na relacji odnoszącej się do przychodów podatnika.  </w:t>
      </w:r>
    </w:p>
    <w:p w14:paraId="74C9A71C" w14:textId="77777777"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 xml:space="preserve">Przyznanie podatnikom prawa wyboru pomiędzy metodą dochodową i metodą przychodową pozwala uwzględnić zróżnicowane modele prowadzenia działalności gospodarczej, a w szczególności zakres koniecznych do wdrożenia obowiązków sprawozdawczych, przy jednoczesnym zachowaniu celu regulacji jakim jest objęcie podwyższoną stawką tej części wyniku podatkowego, która pozostaje związana z działalnością prowadzoną w segmencie paliwowo-energetycznym. Tym samym to sam podatnik decydowałby, czy stosować wskaźnik uproszczony, wymagający mniejszego zaangażowania pod kątem koniecznych do wdrożenia obowiązków sprawozdawczych, czy też dążyć do ustalenia rzeczywistego źródła pochodzenia jego dochodu kosztem większej szczegółowości prowadzonych ewidencji. Rozwiązanie to zmierza zatem do zapewnienia proporcjonalności proponowanej regulacji w zakresie nakładanych na podatnika obowiązków sprawozdawczych.    </w:t>
      </w:r>
    </w:p>
    <w:p w14:paraId="771CD282" w14:textId="063EFF4D" w:rsidR="00D74B77" w:rsidRPr="00D74B77" w:rsidRDefault="00D74B77" w:rsidP="00D74B77">
      <w:pPr>
        <w:jc w:val="both"/>
        <w:rPr>
          <w:rFonts w:ascii="Times New Roman" w:hAnsi="Times New Roman" w:cs="Times New Roman"/>
          <w:bCs/>
          <w:iCs/>
        </w:rPr>
      </w:pPr>
      <w:r w:rsidRPr="00D74B77">
        <w:rPr>
          <w:rFonts w:ascii="Times New Roman" w:hAnsi="Times New Roman" w:cs="Times New Roman"/>
          <w:bCs/>
          <w:iCs/>
        </w:rPr>
        <w:t>Niezależnie od powyższego, w omawianym przypadku, w celu uproszczenia rozliczeń przy ustalaniu wysokości zaliczek uproszczonych</w:t>
      </w:r>
      <w:r w:rsidR="00D87214">
        <w:rPr>
          <w:rFonts w:ascii="Times New Roman" w:hAnsi="Times New Roman" w:cs="Times New Roman"/>
          <w:bCs/>
          <w:iCs/>
        </w:rPr>
        <w:t xml:space="preserve"> (zgodnie z ust. 10 pkt 2)</w:t>
      </w:r>
      <w:r w:rsidRPr="00D74B77">
        <w:rPr>
          <w:rFonts w:ascii="Times New Roman" w:hAnsi="Times New Roman" w:cs="Times New Roman"/>
          <w:bCs/>
          <w:iCs/>
        </w:rPr>
        <w:t xml:space="preserve"> podatnik jest obowiązany stosować proporcję określoną zgodnie z </w:t>
      </w:r>
      <w:r w:rsidRPr="00D74B77">
        <w:rPr>
          <w:rFonts w:ascii="Times New Roman" w:hAnsi="Times New Roman" w:cs="Times New Roman"/>
          <w:iCs/>
        </w:rPr>
        <w:t>art. 38ae ust. 10 pkt 1 lit. b</w:t>
      </w:r>
      <w:r w:rsidRPr="00D74B77">
        <w:rPr>
          <w:rFonts w:ascii="Times New Roman" w:hAnsi="Times New Roman" w:cs="Times New Roman"/>
          <w:bCs/>
          <w:iCs/>
        </w:rPr>
        <w:t>.</w:t>
      </w:r>
    </w:p>
    <w:p w14:paraId="27C4B073" w14:textId="77777777" w:rsidR="00D74B77" w:rsidRPr="00D74B77" w:rsidRDefault="00D74B77" w:rsidP="00D74B77">
      <w:pPr>
        <w:jc w:val="both"/>
        <w:rPr>
          <w:rFonts w:ascii="Times New Roman" w:hAnsi="Times New Roman" w:cs="Times New Roman"/>
        </w:rPr>
      </w:pPr>
      <w:bookmarkStart w:id="2" w:name="_Hlk240807773"/>
      <w:r w:rsidRPr="00D74B77">
        <w:rPr>
          <w:rFonts w:ascii="Times New Roman" w:hAnsi="Times New Roman" w:cs="Times New Roman"/>
          <w:b/>
          <w:bCs/>
        </w:rPr>
        <w:t>Szczególne zasady dla podatkowych grup kapitałowych tworzonych przez spółki z branży energetycznej</w:t>
      </w:r>
      <w:r w:rsidRPr="00D74B77">
        <w:rPr>
          <w:rFonts w:ascii="Times New Roman" w:hAnsi="Times New Roman" w:cs="Times New Roman"/>
        </w:rPr>
        <w:t xml:space="preserve"> </w:t>
      </w:r>
      <w:bookmarkEnd w:id="2"/>
      <w:r w:rsidRPr="00D74B77">
        <w:rPr>
          <w:rFonts w:ascii="Times New Roman" w:hAnsi="Times New Roman" w:cs="Times New Roman"/>
        </w:rPr>
        <w:t>(art. 38ae ust. 9 pkt 2 oraz ust. 12 i 13 ustawy o CIT)</w:t>
      </w:r>
      <w:r w:rsidRPr="00D74B77">
        <w:rPr>
          <w:rFonts w:ascii="Times New Roman" w:hAnsi="Times New Roman" w:cs="Times New Roman"/>
          <w:b/>
          <w:bCs/>
        </w:rPr>
        <w:t xml:space="preserve">. </w:t>
      </w:r>
    </w:p>
    <w:p w14:paraId="3FB202EB" w14:textId="77777777" w:rsidR="00D74B77" w:rsidRPr="00D74B77" w:rsidRDefault="00D74B77" w:rsidP="00D74B77">
      <w:pPr>
        <w:jc w:val="both"/>
        <w:rPr>
          <w:rFonts w:ascii="Times New Roman" w:eastAsia="Times New Roman" w:hAnsi="Times New Roman" w:cs="Times New Roman"/>
          <w:lang w:eastAsia="pl-PL"/>
        </w:rPr>
      </w:pPr>
      <w:r w:rsidRPr="00D74B77">
        <w:rPr>
          <w:rFonts w:ascii="Times New Roman" w:hAnsi="Times New Roman" w:cs="Times New Roman"/>
        </w:rPr>
        <w:t>Projekt przewiduje również szczególne zasady dla podatkowych grup kapitałowych w skład których wchodzą spółki prowadzące działalność w zakresie przesyłania energii elektrycznej lub dystrybucji energii elektrycznej, o której mowa odpowiednio w art. 38ae ust. 4 pkt 1 lit. d i e.</w:t>
      </w:r>
      <w:r w:rsidRPr="00D74B77">
        <w:rPr>
          <w:rFonts w:ascii="Times New Roman" w:eastAsia="Times New Roman" w:hAnsi="Times New Roman" w:cs="Times New Roman"/>
          <w:lang w:eastAsia="pl-PL"/>
        </w:rPr>
        <w:t xml:space="preserve"> </w:t>
      </w:r>
    </w:p>
    <w:p w14:paraId="2B26D4BA" w14:textId="77777777" w:rsidR="00D74B77" w:rsidRPr="00D74B77" w:rsidRDefault="00D74B77" w:rsidP="00D74B77">
      <w:pPr>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Zasadniczym warunkiem objęcia podatkowej grupy kapitałowej projektowaną regulacją jest spełnienie warunków określonych w art. 38ae ust. 4. Jednakże w przypadku spółek prowadzących działalność, o której mowa w art. 38ea ust. 4 pkt 1 lit. d i e, wchodzących w skład PGK projekt przewiduje unormowanie szczególne. </w:t>
      </w:r>
    </w:p>
    <w:p w14:paraId="0BBBB7DE" w14:textId="77777777" w:rsidR="00D74B77" w:rsidRPr="00D74B77" w:rsidRDefault="00D74B77" w:rsidP="00D74B77">
      <w:pPr>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Mianowicie, w przypadku takich PGK spełnienie warunku dotyczącego udziału osiąganych przychodów z działalności objętej projektem (w przychodach podatnika ogółem) należy badać na poziomie poszczególnych spółek, a nie PGK jako całości. Tym samym spełnienie przez choćby jedną ze spółek wchodzących w skład PGK warunku osiągania co najmniej 75% przychodów z dystrybucji lub przesyłania energii elektrycznej skutkuje objęciem projektowaną regulacją również PGK jako całości, z tym zastrzeżeniem, że w takim przypadku podwyższona stawka podatku będzie dotyczyć tylko części podstawy opodatkowania PGK (ustalonej zgodnie z</w:t>
      </w:r>
      <w:r w:rsidRPr="00D74B77">
        <w:rPr>
          <w:rFonts w:ascii="Times New Roman" w:eastAsia="Times New Roman" w:hAnsi="Times New Roman" w:cs="Times New Roman"/>
          <w:b/>
          <w:bCs/>
          <w:lang w:eastAsia="pl-PL"/>
        </w:rPr>
        <w:t xml:space="preserve"> ust. 12</w:t>
      </w:r>
      <w:r w:rsidRPr="00D74B77">
        <w:rPr>
          <w:rFonts w:ascii="Times New Roman" w:eastAsia="Times New Roman" w:hAnsi="Times New Roman" w:cs="Times New Roman"/>
          <w:lang w:eastAsia="pl-PL"/>
        </w:rPr>
        <w:t xml:space="preserve">, z zastrzeżeniem </w:t>
      </w:r>
      <w:r w:rsidRPr="00D74B77">
        <w:rPr>
          <w:rFonts w:ascii="Times New Roman" w:eastAsia="Times New Roman" w:hAnsi="Times New Roman" w:cs="Times New Roman"/>
          <w:b/>
          <w:bCs/>
          <w:lang w:eastAsia="pl-PL"/>
        </w:rPr>
        <w:t>ust. 13</w:t>
      </w:r>
      <w:r w:rsidRPr="00D74B77">
        <w:rPr>
          <w:rFonts w:ascii="Times New Roman" w:eastAsia="Times New Roman" w:hAnsi="Times New Roman" w:cs="Times New Roman"/>
          <w:lang w:eastAsia="pl-PL"/>
        </w:rPr>
        <w:t xml:space="preserve">).  Sposób ustalenia tej proporcji będzie, zasadniczo, analogiczny jak w przypadku regulacji przewidzianej dla banków wchodzących w skład PGK (obowiązującej od 1 stycznia 2026 r.). Podwyższona stawka podatku będzie w takim przypadku stosowana wyłącznie do tej części podstawy opodatkowania podatkowej grupy kapitałowej, która odpowiada proporcji, w jakiej dochód spółki prowadzącej działalność przesyłową lub dystrybucyjną pozostaje do sumy dochodów spółek wchodzących w skład tej podatkowej grupy kapitałowej. Natomiast do pozostałej części podstawy opodatkowania stosowana jest stawka podatku obowiązująca w danym roku podatkowym. Z tego powodu </w:t>
      </w:r>
      <w:r w:rsidRPr="00AC0F99">
        <w:rPr>
          <w:rFonts w:ascii="Times New Roman" w:eastAsia="Times New Roman" w:hAnsi="Times New Roman" w:cs="Times New Roman"/>
          <w:b/>
          <w:bCs/>
          <w:lang w:eastAsia="pl-PL"/>
        </w:rPr>
        <w:t>art. 38ae ust. 12 pkt 1</w:t>
      </w:r>
      <w:r w:rsidRPr="00D74B77">
        <w:rPr>
          <w:rFonts w:ascii="Times New Roman" w:eastAsia="Times New Roman" w:hAnsi="Times New Roman" w:cs="Times New Roman"/>
          <w:lang w:eastAsia="pl-PL"/>
        </w:rPr>
        <w:t xml:space="preserve"> odwołuje się do proporcji ustalanej na podstawie relacji dochodu osiągniętego przez spółkę prowadzącą działalność </w:t>
      </w:r>
      <w:r w:rsidRPr="00D74B77">
        <w:rPr>
          <w:rFonts w:ascii="Times New Roman" w:eastAsia="Times New Roman" w:hAnsi="Times New Roman" w:cs="Times New Roman"/>
          <w:lang w:eastAsia="pl-PL"/>
        </w:rPr>
        <w:lastRenderedPageBreak/>
        <w:t>przesyłową lub dystrybucyjną do sumy dochodów spółek tworzących podatkową grupę kapitałową. Rozwiązanie to pozwala w bardziej adekwatny sposób powiązać zakres stosowania podwyższonej stawki podatku z faktycznym udziałem działalności objętej regulacją w kreowaniu podstawy opodatkowania podatkowej grupy kapitałowej.</w:t>
      </w:r>
    </w:p>
    <w:p w14:paraId="3B898063" w14:textId="45DCF958" w:rsidR="00D74B77" w:rsidRPr="00D74B77" w:rsidRDefault="00D74B77" w:rsidP="00D74B77">
      <w:pPr>
        <w:jc w:val="both"/>
        <w:rPr>
          <w:rFonts w:ascii="Times New Roman" w:hAnsi="Times New Roman" w:cs="Times New Roman"/>
        </w:rPr>
      </w:pPr>
      <w:r w:rsidRPr="00D74B77">
        <w:rPr>
          <w:rFonts w:ascii="Times New Roman" w:hAnsi="Times New Roman" w:cs="Times New Roman"/>
        </w:rPr>
        <w:t>Analogiczna proporcja znajdzie zastosowanie również przy ustalaniu zaliczek na podatek dochodowy</w:t>
      </w:r>
      <w:r w:rsidR="00D87214">
        <w:rPr>
          <w:rFonts w:ascii="Times New Roman" w:hAnsi="Times New Roman" w:cs="Times New Roman"/>
        </w:rPr>
        <w:t xml:space="preserve"> (ust. 12 pkt 2)</w:t>
      </w:r>
      <w:r w:rsidRPr="00D74B77">
        <w:rPr>
          <w:rFonts w:ascii="Times New Roman" w:hAnsi="Times New Roman" w:cs="Times New Roman"/>
        </w:rPr>
        <w:t>.</w:t>
      </w:r>
    </w:p>
    <w:p w14:paraId="250F2D68"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W przypadku podatników wpłacających zaliczki w uproszczonej formie, przy obliczaniu tej proporcji uwzględniany będzie udział dochodów osiągniętych przez spółkę prowadzącą działalność przesyłową lub dystrybucyjną w łącznych dochodach spółek tworzących podatkową grupę kapitałową, ustalony na podstawie danych z roku podatkowego poprzedzającego dany rok podatkowy o dwa lata. Rozwiązanie to zapewnia spójność zasad ustalania zaliczek uproszczonych z mechanizmem właściwym dla tej formy wpłacania podatku, opartym na danych historycznych.</w:t>
      </w:r>
    </w:p>
    <w:p w14:paraId="524DC7A5" w14:textId="77777777" w:rsidR="00D74B77" w:rsidRPr="00D74B77" w:rsidRDefault="00D74B77" w:rsidP="00D74B77">
      <w:pPr>
        <w:jc w:val="both"/>
        <w:rPr>
          <w:rFonts w:ascii="Times New Roman" w:eastAsia="Times New Roman" w:hAnsi="Times New Roman" w:cs="Times New Roman"/>
          <w:lang w:eastAsia="pl-PL"/>
        </w:rPr>
      </w:pPr>
      <w:r w:rsidRPr="00D74B77">
        <w:rPr>
          <w:rFonts w:ascii="Times New Roman" w:eastAsia="Times New Roman" w:hAnsi="Times New Roman" w:cs="Times New Roman"/>
          <w:lang w:eastAsia="pl-PL"/>
        </w:rPr>
        <w:t xml:space="preserve">W praktyce tworzenie PGK jest popularną formą rozliczeń właśnie wśród przedsiębiorstw z branży energetycznej. Takie PGK składają się nie tylko ze spółki zajmującej się przesyłaniem lub dystrybucją energii elektrycznej funkcjonującej w ramach danej grupy kapitałowej, lecz także np. z innych spółek generujących znaczne wolumeny jeśli chodzi o przychody. Tym samym propozycja ustalana w oparciu o przychody tych spółek tworzących PGK byłaby nieadekwatna do relacji osiąganych przez nie dochodów kreujących podstawę opodatkowania/obliczenia podatku na podatnika, czyli PGK. </w:t>
      </w:r>
    </w:p>
    <w:p w14:paraId="0CF0EF1E" w14:textId="77777777" w:rsidR="00D74B77" w:rsidRPr="00D74B77" w:rsidRDefault="00D74B77" w:rsidP="00D74B77">
      <w:pPr>
        <w:jc w:val="both"/>
        <w:rPr>
          <w:rFonts w:ascii="Times New Roman" w:hAnsi="Times New Roman" w:cs="Times New Roman"/>
        </w:rPr>
      </w:pPr>
      <w:bookmarkStart w:id="3" w:name="_Hlk240790098"/>
      <w:r w:rsidRPr="00D74B77">
        <w:rPr>
          <w:rFonts w:ascii="Times New Roman" w:hAnsi="Times New Roman" w:cs="Times New Roman"/>
          <w:b/>
          <w:bCs/>
        </w:rPr>
        <w:t xml:space="preserve">Zaliczki uproszczone w okresie obowiązywania podwyższonych stawek CIT </w:t>
      </w:r>
      <w:bookmarkEnd w:id="3"/>
      <w:r w:rsidRPr="00D74B77">
        <w:rPr>
          <w:rFonts w:ascii="Times New Roman" w:hAnsi="Times New Roman" w:cs="Times New Roman"/>
        </w:rPr>
        <w:t>(art. 38ae ust. 14–16 ustawy o CIT)</w:t>
      </w:r>
    </w:p>
    <w:p w14:paraId="12121423"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Wprowadzenie czasowo podwyższonych stawek CIT wymaga również uregulowania kwestii wysokości płaconych przez podatników tzw. zaliczek uproszczonych w okresie obowiązywania stawki podatku innej niż brana pod uwagę przy kalkulacji tych zaliczek. </w:t>
      </w:r>
    </w:p>
    <w:p w14:paraId="5A9B4C11"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Zaliczki uproszczone, co do zasady, kalkulowane są w oparciu o stawkę podatku obowiązującą w roku poprzedzającym dany rok podatkowy o dwa lata (jest to rok, którego dotyczy zeznanie „składane w roku poprzedzającym dany rok podatkowy” do którego referuje art. 25 ust. 6 ustawy o CIT). Wyjątkowo może to być również rok poprzedzający dany rok podatkowy o 3 lata. Zaliczki uproszczone (miesięczne) ustala się w wysokości 1/12 podatku wykazanego za te lata. </w:t>
      </w:r>
    </w:p>
    <w:p w14:paraId="12C221B6"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Zmiana stawki podatku powoduje, iż kalkulacja zaliczek uproszczonych dokonana zgodnie z art. 25 ust. 6 i nast. ustawy o CIT opiera się na nieaktualnym współczynniku, tj. nieadekwatnej wysokości stawki podatku. Jej utrzymanie w większości przypadków prowadziłoby do pogłębienia różnicy między wysokością podatku odprowadzonego w ciągu roku w formie zaliczek a finalną wysokością rocznego zobowiązania z tytułu podatku CIT. Z tego względu projekt zawiera przepisy wskazujące na sposób dokonania dostosowania wysokości zaliczek uproszczonych do nowej, wyższej stawki podatku. </w:t>
      </w:r>
    </w:p>
    <w:p w14:paraId="3C940E6C"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I tak, projektowane w art. 38ae </w:t>
      </w:r>
      <w:r w:rsidRPr="00AC0F99">
        <w:rPr>
          <w:rFonts w:ascii="Times New Roman" w:hAnsi="Times New Roman" w:cs="Times New Roman"/>
          <w:b/>
          <w:bCs/>
        </w:rPr>
        <w:t>ust. 14-16</w:t>
      </w:r>
      <w:r w:rsidRPr="00D74B77">
        <w:rPr>
          <w:rFonts w:ascii="Times New Roman" w:hAnsi="Times New Roman" w:cs="Times New Roman"/>
        </w:rPr>
        <w:t xml:space="preserve"> określają szczególne zasady ustalania wysokości zaliczek uproszczonych w okresie obowiązywania czasowo podwyższonych stawek podatku przewidzianych w art. 38ae ust. 1. Jak wskazano, regulacja jest konsekwencją przyjętej konstrukcji zaliczek uproszczonych, których wysokość ustalana jest na podstawie podatku należnego wykazanego w zeznaniach podatkowych dotyczących lat ubiegłych, a więc według stawek podatku obowiązujących w tych latach. W przypadku braku szczególnych regulacji podatnicy objęci podwyższonymi stawkami podatku mogliby wpłacać w trakcie roku zaliczki w wysokości nieodzwierciedlającej rzeczywistego ciężaru podatkowego wynikającego z projektowanych zmian. </w:t>
      </w:r>
    </w:p>
    <w:p w14:paraId="16FA0DC5"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W celu ograniczenia tego zjawiska projekt przewiduje mechanizm odpowiedniego podwyższania albo obniżania kwoty zaliczek uproszczonych. Wysokość poszczególnych współczynników została określona w sposób zapewniający możliwie najwierniejsze odzwierciedlenie skutków stosowania stawek podatku obowiązujących w poszczególnych latach funkcjonowania mechanizmu przejściowego.</w:t>
      </w:r>
    </w:p>
    <w:p w14:paraId="11EEEB74"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lastRenderedPageBreak/>
        <w:t xml:space="preserve">Zgodnie z </w:t>
      </w:r>
      <w:r w:rsidRPr="00D74B77">
        <w:rPr>
          <w:rFonts w:ascii="Times New Roman" w:hAnsi="Times New Roman" w:cs="Times New Roman"/>
          <w:b/>
          <w:bCs/>
        </w:rPr>
        <w:t>art. 38ae ust. 14</w:t>
      </w:r>
      <w:r w:rsidRPr="00D74B77">
        <w:rPr>
          <w:rFonts w:ascii="Times New Roman" w:hAnsi="Times New Roman" w:cs="Times New Roman"/>
        </w:rPr>
        <w:t xml:space="preserve"> podatnicy są obowiązani do wpłacania zaliczek uproszczonych w wysokości podwyższonej o 57,9 % w przypadku stosowania stawki 30 %, podwyższonej o 36,8 % w przypadku stosowania stawki 26 % oraz obniżonej o 23,3 % w przypadku stosowania stawki 23 %. Jednocześnie przewidziano dodatkową korektę o 21,1 % w przypadku określonym w art. 38ae ust. 14 pkt 3.</w:t>
      </w:r>
    </w:p>
    <w:p w14:paraId="15CB6D0D"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Dla pozostałych konfiguracji wynikających z relacji pomiędzy stawką podatku obowiązującą w danym roku podatkowym a stawką uwzględnioną przy ustalaniu zaliczek uproszczonych minister właściwy do spraw finansów publicznych określi odpowiedni wskaźnik w drodze obwieszczenia, zgodnie z</w:t>
      </w:r>
      <w:r w:rsidRPr="00D74B77">
        <w:rPr>
          <w:rFonts w:ascii="Times New Roman" w:hAnsi="Times New Roman" w:cs="Times New Roman"/>
          <w:b/>
          <w:bCs/>
        </w:rPr>
        <w:t xml:space="preserve"> art. 38ae ust. 15.</w:t>
      </w:r>
    </w:p>
    <w:p w14:paraId="38235022"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 xml:space="preserve">Przewidziane w </w:t>
      </w:r>
      <w:r w:rsidRPr="00D74B77">
        <w:rPr>
          <w:rFonts w:ascii="Times New Roman" w:hAnsi="Times New Roman" w:cs="Times New Roman"/>
          <w:b/>
          <w:bCs/>
        </w:rPr>
        <w:t>art. 38ae ust. 16</w:t>
      </w:r>
      <w:r w:rsidRPr="00D74B77">
        <w:rPr>
          <w:rFonts w:ascii="Times New Roman" w:hAnsi="Times New Roman" w:cs="Times New Roman"/>
        </w:rPr>
        <w:t xml:space="preserve"> obwieszczenie będzie miało charakter techniczny i informacyjny. Jego celem nie jest kształtowanie nowych obowiązków podatkowych, lecz podanie do publicznej wiadomości wskaźników wynikających z relacji między stawką podatku obowiązującą w danym roku podatkowym, a stawką podatku uwzględnioną przy ustalaniu wysokości zaliczki uproszczonej. Rozwiązanie to pozwala uniknąć zamieszczania w ustawie rozbudowanego katalogu współczynników odpowiadających wszystkim możliwym konfiguracjom wynikającym z nakładania się poszczególnych przejściowych stawek podatku oraz różnych lat podatkowych stosowanych przez podatników.</w:t>
      </w:r>
    </w:p>
    <w:p w14:paraId="3DC5FBF9"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Przy ustalaniu wskaźników minister właściwy do spraw finansów publicznych będzie związany kryteriami określonymi w art. 38ae ust. 16, tj. wysokością stawki podatku obowiązującej w danym roku podatkowym oraz wysokością stawki podatku zastosowanej do obliczenia podatku należnego stanowiącego podstawę do obliczenia zaliczek uproszczonych. Podkreśla to okoliczności, że obwieszczenie będzie miało wyłącznie charakter techniczny, tj. służący wskazaniu współczynników wynikających bezpośrednio z regulacji ustawowej.</w:t>
      </w:r>
    </w:p>
    <w:p w14:paraId="6F604E34" w14:textId="77777777" w:rsidR="00D74B77" w:rsidRPr="00D74B77" w:rsidRDefault="00D74B77" w:rsidP="00D74B77">
      <w:pPr>
        <w:jc w:val="both"/>
        <w:rPr>
          <w:rFonts w:ascii="Times New Roman" w:hAnsi="Times New Roman" w:cs="Times New Roman"/>
        </w:rPr>
      </w:pPr>
      <w:r w:rsidRPr="00D74B77">
        <w:rPr>
          <w:rFonts w:ascii="Times New Roman" w:hAnsi="Times New Roman" w:cs="Times New Roman"/>
        </w:rPr>
        <w:t>Przewidziane rozwiązanie służy zapewnieniu większej równomierności wykonywania obowiązków podatkowych przez podatników w trakcie roku podatkowego oraz ograniczeniu ryzyka występowania znaczących niedopłat podatku ujawnianych dopiero po zakończeniu roku podatkowego. Jednocześnie mechanizm ten pozwala zachować uproszczony charakter zaliczek, bez konieczności rezygnacji przez podatników z tej formy rozliczeń.</w:t>
      </w:r>
    </w:p>
    <w:p w14:paraId="5CA51D6C" w14:textId="6FD94B38" w:rsidR="00D74B77" w:rsidRPr="00D74B77" w:rsidRDefault="00D74B77" w:rsidP="00D74B77">
      <w:pPr>
        <w:jc w:val="both"/>
        <w:rPr>
          <w:rFonts w:ascii="Times New Roman" w:hAnsi="Times New Roman" w:cs="Times New Roman"/>
        </w:rPr>
      </w:pPr>
      <w:r w:rsidRPr="00D74B77">
        <w:rPr>
          <w:rFonts w:ascii="Times New Roman" w:hAnsi="Times New Roman" w:cs="Times New Roman"/>
          <w:sz w:val="24"/>
          <w:szCs w:val="24"/>
          <w:lang w:eastAsia="pl-PL"/>
        </w:rPr>
        <w:t xml:space="preserve">Zgodnie z przepisem </w:t>
      </w:r>
      <w:r w:rsidRPr="00D74B77">
        <w:rPr>
          <w:rFonts w:ascii="Times New Roman" w:hAnsi="Times New Roman" w:cs="Times New Roman"/>
          <w:b/>
          <w:bCs/>
          <w:sz w:val="24"/>
          <w:szCs w:val="24"/>
          <w:lang w:eastAsia="pl-PL"/>
        </w:rPr>
        <w:t>art. 29</w:t>
      </w:r>
      <w:r w:rsidRPr="00D74B77">
        <w:rPr>
          <w:rFonts w:ascii="Times New Roman" w:hAnsi="Times New Roman" w:cs="Times New Roman"/>
          <w:sz w:val="24"/>
          <w:szCs w:val="24"/>
          <w:lang w:eastAsia="pl-PL"/>
        </w:rPr>
        <w:t xml:space="preserve"> przepisy art. 2</w:t>
      </w:r>
      <w:r w:rsidR="00D87214">
        <w:rPr>
          <w:rFonts w:ascii="Times New Roman" w:hAnsi="Times New Roman" w:cs="Times New Roman"/>
          <w:sz w:val="24"/>
          <w:szCs w:val="24"/>
          <w:lang w:eastAsia="pl-PL"/>
        </w:rPr>
        <w:t>7</w:t>
      </w:r>
      <w:r w:rsidRPr="00D74B77">
        <w:rPr>
          <w:rFonts w:ascii="Times New Roman" w:hAnsi="Times New Roman" w:cs="Times New Roman"/>
          <w:sz w:val="24"/>
          <w:szCs w:val="24"/>
          <w:lang w:eastAsia="pl-PL"/>
        </w:rPr>
        <w:t xml:space="preserve"> ustawy zmienianej w art. 2</w:t>
      </w:r>
      <w:r w:rsidR="00D87214">
        <w:rPr>
          <w:rFonts w:ascii="Times New Roman" w:hAnsi="Times New Roman" w:cs="Times New Roman"/>
          <w:sz w:val="24"/>
          <w:szCs w:val="24"/>
          <w:lang w:eastAsia="pl-PL"/>
        </w:rPr>
        <w:t>8</w:t>
      </w:r>
      <w:r w:rsidRPr="00D74B77">
        <w:rPr>
          <w:rFonts w:ascii="Times New Roman" w:hAnsi="Times New Roman" w:cs="Times New Roman"/>
          <w:sz w:val="24"/>
          <w:szCs w:val="24"/>
          <w:lang w:eastAsia="pl-PL"/>
        </w:rPr>
        <w:t xml:space="preserve"> stosuje się do przychodów (dochodów) uzyskanych począwszy od roku podatkowego rozpoczynającego się po dniu 31 grudnia 2026 r. Jest to wyraz uwzględnienia standardowej reguły odnoszącej się do podatników CIT, których rok podatkowy jest inny niż kalendarzowy. Oznacza to, że podatnicy, który rozpoczęli swój rok podatkowy przed 1 stycznia 2027 r. będą stosowali do niego w całości stawkę podatku w dotychczas obowiązującej wysokości. </w:t>
      </w:r>
    </w:p>
    <w:p w14:paraId="4D685C4C" w14:textId="7E27A8B6" w:rsidR="00215755" w:rsidRPr="00D74B77" w:rsidRDefault="00215755" w:rsidP="00215755">
      <w:pPr>
        <w:spacing w:line="276" w:lineRule="auto"/>
        <w:jc w:val="both"/>
        <w:rPr>
          <w:rFonts w:ascii="Times New Roman" w:hAnsi="Times New Roman" w:cs="Times New Roman"/>
        </w:rPr>
      </w:pPr>
      <w:r w:rsidRPr="00D74B77">
        <w:rPr>
          <w:rFonts w:ascii="Times New Roman" w:hAnsi="Times New Roman" w:cs="Times New Roman"/>
        </w:rPr>
        <w:t>Ustawa wejdzie w życie z dniem 1 stycznia 2027 r. (art. 3</w:t>
      </w:r>
      <w:r w:rsidR="00D87214">
        <w:rPr>
          <w:rFonts w:ascii="Times New Roman" w:hAnsi="Times New Roman" w:cs="Times New Roman"/>
        </w:rPr>
        <w:t>6</w:t>
      </w:r>
      <w:r w:rsidRPr="00D74B77">
        <w:rPr>
          <w:rFonts w:ascii="Times New Roman" w:hAnsi="Times New Roman" w:cs="Times New Roman"/>
        </w:rPr>
        <w:t>).</w:t>
      </w:r>
    </w:p>
    <w:p w14:paraId="7295F087" w14:textId="12DEDA5B" w:rsidR="004D5170" w:rsidRPr="00D74B77" w:rsidRDefault="004D5170" w:rsidP="00215755">
      <w:pPr>
        <w:spacing w:line="276" w:lineRule="auto"/>
        <w:jc w:val="both"/>
        <w:rPr>
          <w:rFonts w:ascii="Times New Roman" w:hAnsi="Times New Roman" w:cs="Times New Roman"/>
        </w:rPr>
      </w:pPr>
      <w:r w:rsidRPr="00D74B77">
        <w:rPr>
          <w:rFonts w:ascii="Times New Roman" w:hAnsi="Times New Roman" w:cs="Times New Roman"/>
        </w:rPr>
        <w:t xml:space="preserve">Jednocześnie wejście w życie regulacji dotyczących udzielania wsparcia przedsiębiorcom sektorów energochłonnych z tytułu ponoszenia kosztów energii elektrycznej zostało wprost uzależnione od skutecznego wejścia w życie przepisów stanowiących główne źródło finansowania tych korzystnych dla przedsiębiorców zmian. Powyższe powoduje bezpośrednie powiązanie regulacji skutkujących ubytkiem dochodów sektora finansów publicznych z rozwiązaniami ten ubytek kompensującymi, co stanowi wyraz uwzględnienia przez projektodawcę konstytucyjnej zasady dbałości o stan finansów państwa. Trybunał Konstytucyjny wielokrotnie podkreślał, że stabilność finansów publicznych oraz przeciwdziałanie nadmiernemu zadłużeniu to wartości o fundamentalnym znaczeniu. Zasada ta, wyprowadzana z konkretnych norm </w:t>
      </w:r>
      <w:r w:rsidR="003642B8" w:rsidRPr="00D74B77">
        <w:rPr>
          <w:rFonts w:ascii="Times New Roman" w:hAnsi="Times New Roman" w:cs="Times New Roman"/>
        </w:rPr>
        <w:t>konstytucyjnych</w:t>
      </w:r>
      <w:r w:rsidRPr="00D74B77">
        <w:rPr>
          <w:rFonts w:ascii="Times New Roman" w:hAnsi="Times New Roman" w:cs="Times New Roman"/>
        </w:rPr>
        <w:t>, w szczególności art. 216 ust. 5, nakazuje, aby zmiany skutkujące zmniejszeniem dochodów sektora jednostek finansów publicznych, a tym samym zwiększeniem poziomu długu sektora instytucji rządowych i samorządowych były wprowadzane w</w:t>
      </w:r>
      <w:r w:rsidR="00716AE6" w:rsidRPr="00D74B77">
        <w:rPr>
          <w:rFonts w:ascii="Times New Roman" w:hAnsi="Times New Roman" w:cs="Times New Roman"/>
        </w:rPr>
        <w:t> </w:t>
      </w:r>
      <w:r w:rsidRPr="00D74B77">
        <w:rPr>
          <w:rFonts w:ascii="Times New Roman" w:hAnsi="Times New Roman" w:cs="Times New Roman"/>
        </w:rPr>
        <w:t xml:space="preserve">sposób odpowiedzialny. Przedmiotowy projekt realizuje ten wymóg traktując proponowane, </w:t>
      </w:r>
      <w:r w:rsidRPr="00D74B77">
        <w:rPr>
          <w:rFonts w:ascii="Times New Roman" w:hAnsi="Times New Roman" w:cs="Times New Roman"/>
        </w:rPr>
        <w:lastRenderedPageBreak/>
        <w:t>korzystne dla przedsiębiorców, rozwiązania jako nierozerwalną całość pod względem skutków jakie generują po stronie dochodów i wydatków sektora finansów publicznych (art. 3</w:t>
      </w:r>
      <w:r w:rsidR="00D87214">
        <w:rPr>
          <w:rFonts w:ascii="Times New Roman" w:hAnsi="Times New Roman" w:cs="Times New Roman"/>
        </w:rPr>
        <w:t>5</w:t>
      </w:r>
      <w:r w:rsidRPr="00D74B77">
        <w:rPr>
          <w:rFonts w:ascii="Times New Roman" w:hAnsi="Times New Roman" w:cs="Times New Roman"/>
        </w:rPr>
        <w:t>)</w:t>
      </w:r>
      <w:r w:rsidR="003642B8" w:rsidRPr="00D74B77">
        <w:rPr>
          <w:rFonts w:ascii="Times New Roman" w:hAnsi="Times New Roman" w:cs="Times New Roman"/>
        </w:rPr>
        <w:t>.</w:t>
      </w:r>
    </w:p>
    <w:p w14:paraId="37A9A7E0" w14:textId="6AD41EAF" w:rsidR="00215755" w:rsidRPr="00D74B77" w:rsidRDefault="00215755" w:rsidP="00215755">
      <w:pPr>
        <w:spacing w:line="276" w:lineRule="auto"/>
        <w:jc w:val="both"/>
        <w:rPr>
          <w:rFonts w:ascii="Times New Roman" w:hAnsi="Times New Roman" w:cs="Times New Roman"/>
        </w:rPr>
      </w:pPr>
      <w:r w:rsidRPr="00D74B77">
        <w:rPr>
          <w:rFonts w:ascii="Times New Roman" w:hAnsi="Times New Roman" w:cs="Times New Roman"/>
        </w:rPr>
        <w:t>Projekt ustawy nie jest objęty prawem Unii Europejskiej.</w:t>
      </w:r>
    </w:p>
    <w:p w14:paraId="4165CE97" w14:textId="7394E1B5" w:rsidR="00215755" w:rsidRPr="00D74B77" w:rsidRDefault="00215755" w:rsidP="00215755">
      <w:pPr>
        <w:spacing w:line="276" w:lineRule="auto"/>
        <w:jc w:val="both"/>
        <w:rPr>
          <w:rFonts w:ascii="Times New Roman" w:hAnsi="Times New Roman" w:cs="Times New Roman"/>
        </w:rPr>
      </w:pPr>
      <w:r w:rsidRPr="00D74B77">
        <w:rPr>
          <w:rFonts w:ascii="Times New Roman" w:hAnsi="Times New Roman" w:cs="Times New Roman"/>
        </w:rPr>
        <w:t>Projekt ustawy nie wymaga przedstawienia właściwym organom i instytucjom Unii Europejskiej, w tym Europejskiemu Bankowi Centralnemu, w celu uzyskania opinii, dokonania powiadomienia, konsultacji albo uzgodnienia.</w:t>
      </w:r>
    </w:p>
    <w:p w14:paraId="701743BB" w14:textId="1A940E63" w:rsidR="00215755" w:rsidRPr="00D74B77" w:rsidRDefault="00215755" w:rsidP="00215755">
      <w:pPr>
        <w:spacing w:line="276" w:lineRule="auto"/>
        <w:jc w:val="both"/>
        <w:rPr>
          <w:rFonts w:ascii="Times New Roman" w:hAnsi="Times New Roman" w:cs="Times New Roman"/>
        </w:rPr>
      </w:pPr>
      <w:r w:rsidRPr="00D74B77">
        <w:rPr>
          <w:rFonts w:ascii="Times New Roman" w:hAnsi="Times New Roman" w:cs="Times New Roman"/>
        </w:rPr>
        <w:t xml:space="preserve">Projekt ustawy podlega notyfikacji zgodnie z przepisami </w:t>
      </w:r>
      <w:r w:rsidR="00D37FB6" w:rsidRPr="00D74B77">
        <w:rPr>
          <w:rFonts w:ascii="Times New Roman" w:hAnsi="Times New Roman" w:cs="Times New Roman"/>
        </w:rPr>
        <w:t>o pomocy publicznej</w:t>
      </w:r>
      <w:r w:rsidR="00C27272" w:rsidRPr="00D74B77">
        <w:rPr>
          <w:rFonts w:ascii="Times New Roman" w:hAnsi="Times New Roman" w:cs="Times New Roman"/>
        </w:rPr>
        <w:t>, zgodnie z Artykułem 108 Traktatu o funkcjonowaniu Unii Europejskiej (TFUE)</w:t>
      </w:r>
      <w:r w:rsidR="00D37FB6" w:rsidRPr="00D74B77">
        <w:rPr>
          <w:rFonts w:ascii="Times New Roman" w:hAnsi="Times New Roman" w:cs="Times New Roman"/>
        </w:rPr>
        <w:t>.</w:t>
      </w:r>
    </w:p>
    <w:p w14:paraId="5FF8AA25" w14:textId="78FC7830" w:rsidR="00215755" w:rsidRPr="00D74B77" w:rsidRDefault="00215755" w:rsidP="00215755">
      <w:pPr>
        <w:spacing w:line="276" w:lineRule="auto"/>
        <w:jc w:val="both"/>
        <w:rPr>
          <w:rFonts w:ascii="Times New Roman" w:hAnsi="Times New Roman" w:cs="Times New Roman"/>
        </w:rPr>
      </w:pPr>
      <w:r w:rsidRPr="00D74B77">
        <w:rPr>
          <w:rFonts w:ascii="Times New Roman" w:hAnsi="Times New Roman" w:cs="Times New Roman"/>
        </w:rPr>
        <w:t>Projekt ustawy nie dotyczy majątkowych praw i obowiązków przedsiębiorców lub praw</w:t>
      </w:r>
      <w:r w:rsidR="00F3092F" w:rsidRPr="00D74B77">
        <w:rPr>
          <w:rFonts w:ascii="Times New Roman" w:hAnsi="Times New Roman" w:cs="Times New Roman"/>
        </w:rPr>
        <w:t xml:space="preserve"> </w:t>
      </w:r>
      <w:r w:rsidRPr="00D74B77">
        <w:rPr>
          <w:rFonts w:ascii="Times New Roman" w:hAnsi="Times New Roman" w:cs="Times New Roman"/>
        </w:rPr>
        <w:t>i obowiązków przedsiębiorców wobec organów administracji publicznej i nie wpływa</w:t>
      </w:r>
      <w:r w:rsidR="00F3092F" w:rsidRPr="00D74B77">
        <w:rPr>
          <w:rFonts w:ascii="Times New Roman" w:hAnsi="Times New Roman" w:cs="Times New Roman"/>
        </w:rPr>
        <w:t xml:space="preserve"> </w:t>
      </w:r>
      <w:r w:rsidRPr="00D74B77">
        <w:rPr>
          <w:rFonts w:ascii="Times New Roman" w:hAnsi="Times New Roman" w:cs="Times New Roman"/>
        </w:rPr>
        <w:t>na działalność mikroprzedsiębiorców oraz małych i średnich przedsiębiorców.</w:t>
      </w:r>
    </w:p>
    <w:p w14:paraId="7AB1F4FB" w14:textId="3CF8B937" w:rsidR="00E95290" w:rsidRPr="00B236FD" w:rsidRDefault="00215755" w:rsidP="00B236FD">
      <w:pPr>
        <w:spacing w:line="276" w:lineRule="auto"/>
        <w:jc w:val="both"/>
        <w:rPr>
          <w:rFonts w:ascii="Times New Roman" w:hAnsi="Times New Roman" w:cs="Times New Roman"/>
        </w:rPr>
      </w:pPr>
      <w:r w:rsidRPr="00D74B77">
        <w:rPr>
          <w:rFonts w:ascii="Times New Roman" w:hAnsi="Times New Roman" w:cs="Times New Roman"/>
        </w:rPr>
        <w:t>Zgodnie z art. 5 ustawy z dnia 7 lipca 2005 r. o działalności lobbingowej w procesie stanowienia</w:t>
      </w:r>
      <w:r w:rsidR="00F3092F" w:rsidRPr="00D74B77">
        <w:rPr>
          <w:rFonts w:ascii="Times New Roman" w:hAnsi="Times New Roman" w:cs="Times New Roman"/>
        </w:rPr>
        <w:t xml:space="preserve"> </w:t>
      </w:r>
      <w:r w:rsidRPr="00D74B77">
        <w:rPr>
          <w:rFonts w:ascii="Times New Roman" w:hAnsi="Times New Roman" w:cs="Times New Roman"/>
        </w:rPr>
        <w:t>prawa (Dz. U. z 2026 r. poz. 936) projekt został udostępniony w Biuletynie Informacji</w:t>
      </w:r>
      <w:r w:rsidR="00F3092F" w:rsidRPr="00D74B77">
        <w:rPr>
          <w:rFonts w:ascii="Times New Roman" w:hAnsi="Times New Roman" w:cs="Times New Roman"/>
        </w:rPr>
        <w:t xml:space="preserve"> </w:t>
      </w:r>
      <w:r w:rsidRPr="00D74B77">
        <w:rPr>
          <w:rFonts w:ascii="Times New Roman" w:hAnsi="Times New Roman" w:cs="Times New Roman"/>
        </w:rPr>
        <w:t>Publicznej na stronie podmiotowej Rządowego Centrum Legislacji, w serwisie „Rządowy</w:t>
      </w:r>
      <w:r w:rsidR="00F3092F" w:rsidRPr="00D74B77">
        <w:rPr>
          <w:rFonts w:ascii="Times New Roman" w:hAnsi="Times New Roman" w:cs="Times New Roman"/>
        </w:rPr>
        <w:t xml:space="preserve"> </w:t>
      </w:r>
      <w:r w:rsidRPr="00D74B77">
        <w:rPr>
          <w:rFonts w:ascii="Times New Roman" w:hAnsi="Times New Roman" w:cs="Times New Roman"/>
        </w:rPr>
        <w:t>Proces Legislacyjny”.</w:t>
      </w:r>
    </w:p>
    <w:sectPr w:rsidR="00E95290" w:rsidRPr="00B236FD" w:rsidSect="006D121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852E3" w14:textId="77777777" w:rsidR="008F6A3D" w:rsidRDefault="008F6A3D" w:rsidP="004D5170">
      <w:pPr>
        <w:spacing w:after="0" w:line="240" w:lineRule="auto"/>
      </w:pPr>
      <w:r>
        <w:separator/>
      </w:r>
    </w:p>
  </w:endnote>
  <w:endnote w:type="continuationSeparator" w:id="0">
    <w:p w14:paraId="3E6A27AC" w14:textId="77777777" w:rsidR="008F6A3D" w:rsidRDefault="008F6A3D" w:rsidP="004D5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68467"/>
      <w:docPartObj>
        <w:docPartGallery w:val="Page Numbers (Bottom of Page)"/>
        <w:docPartUnique/>
      </w:docPartObj>
    </w:sdtPr>
    <w:sdtEndPr>
      <w:rPr>
        <w:rFonts w:ascii="Times New Roman" w:hAnsi="Times New Roman" w:cs="Times New Roman"/>
        <w:sz w:val="24"/>
        <w:szCs w:val="24"/>
      </w:rPr>
    </w:sdtEndPr>
    <w:sdtContent>
      <w:p w14:paraId="7A325CA5" w14:textId="7A24B3F3" w:rsidR="00063FFC" w:rsidRPr="006D1219" w:rsidRDefault="006D1219" w:rsidP="006D1219">
        <w:pPr>
          <w:pStyle w:val="Stopka"/>
          <w:jc w:val="center"/>
          <w:rPr>
            <w:rFonts w:ascii="Times New Roman" w:hAnsi="Times New Roman" w:cs="Times New Roman"/>
            <w:sz w:val="24"/>
            <w:szCs w:val="24"/>
          </w:rPr>
        </w:pPr>
        <w:r w:rsidRPr="006D1219">
          <w:rPr>
            <w:rFonts w:ascii="Times New Roman" w:hAnsi="Times New Roman" w:cs="Times New Roman"/>
            <w:sz w:val="24"/>
            <w:szCs w:val="24"/>
          </w:rPr>
          <w:fldChar w:fldCharType="begin"/>
        </w:r>
        <w:r w:rsidRPr="006D1219">
          <w:rPr>
            <w:rFonts w:ascii="Times New Roman" w:hAnsi="Times New Roman" w:cs="Times New Roman"/>
            <w:sz w:val="24"/>
            <w:szCs w:val="24"/>
          </w:rPr>
          <w:instrText>PAGE   \* MERGEFORMAT</w:instrText>
        </w:r>
        <w:r w:rsidRPr="006D1219">
          <w:rPr>
            <w:rFonts w:ascii="Times New Roman" w:hAnsi="Times New Roman" w:cs="Times New Roman"/>
            <w:sz w:val="24"/>
            <w:szCs w:val="24"/>
          </w:rPr>
          <w:fldChar w:fldCharType="separate"/>
        </w:r>
        <w:r w:rsidRPr="006D1219">
          <w:rPr>
            <w:rFonts w:ascii="Times New Roman" w:hAnsi="Times New Roman" w:cs="Times New Roman"/>
            <w:sz w:val="24"/>
            <w:szCs w:val="24"/>
          </w:rPr>
          <w:t>2</w:t>
        </w:r>
        <w:r w:rsidRPr="006D121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401D" w14:textId="77777777" w:rsidR="008F6A3D" w:rsidRDefault="008F6A3D" w:rsidP="004D5170">
      <w:pPr>
        <w:spacing w:after="0" w:line="240" w:lineRule="auto"/>
      </w:pPr>
      <w:r>
        <w:separator/>
      </w:r>
    </w:p>
  </w:footnote>
  <w:footnote w:type="continuationSeparator" w:id="0">
    <w:p w14:paraId="1CF1C8E9" w14:textId="77777777" w:rsidR="008F6A3D" w:rsidRDefault="008F6A3D" w:rsidP="004D5170">
      <w:pPr>
        <w:spacing w:after="0" w:line="240" w:lineRule="auto"/>
      </w:pPr>
      <w:r>
        <w:continuationSeparator/>
      </w:r>
    </w:p>
  </w:footnote>
  <w:footnote w:id="1">
    <w:p w14:paraId="45668DE1" w14:textId="77777777"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Prezydent RP, w trybie kontroli prewencyjnej, skierował ustawę do Trybunału Konstytucyjnego.</w:t>
      </w:r>
    </w:p>
  </w:footnote>
  <w:footnote w:id="2">
    <w:p w14:paraId="0A5DBBD2" w14:textId="77777777"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w:t>
      </w:r>
      <w:r w:rsidRPr="004D5170">
        <w:rPr>
          <w:rFonts w:ascii="Times New Roman" w:hAnsi="Times New Roman" w:cs="Times New Roman"/>
          <w:i/>
          <w:iCs/>
        </w:rPr>
        <w:t>Wskaźnik WACC</w:t>
      </w:r>
      <w:r w:rsidRPr="004D5170">
        <w:rPr>
          <w:rFonts w:ascii="Times New Roman" w:hAnsi="Times New Roman" w:cs="Times New Roman"/>
        </w:rPr>
        <w:t xml:space="preserve"> </w:t>
      </w:r>
      <w:r w:rsidRPr="004D5170">
        <w:rPr>
          <w:rFonts w:ascii="Times New Roman" w:hAnsi="Times New Roman" w:cs="Times New Roman"/>
          <w:i/>
          <w:iCs/>
        </w:rPr>
        <w:t>(Weighted Average Cost of Capital)</w:t>
      </w:r>
      <w:r w:rsidRPr="004D5170">
        <w:rPr>
          <w:rFonts w:ascii="Times New Roman" w:hAnsi="Times New Roman" w:cs="Times New Roman"/>
        </w:rPr>
        <w:t xml:space="preserve"> stanowi średni ważony koszt kapitału, informujący (określający) o przeciętnym koszcie, jaki przedsiębiorstwo musi ponieść, aby pozyskać pieniądze na działalność i</w:t>
      </w:r>
      <w:r>
        <w:rPr>
          <w:rFonts w:ascii="Times New Roman" w:hAnsi="Times New Roman" w:cs="Times New Roman"/>
        </w:rPr>
        <w:t> </w:t>
      </w:r>
      <w:r w:rsidRPr="004D5170">
        <w:rPr>
          <w:rFonts w:ascii="Times New Roman" w:hAnsi="Times New Roman" w:cs="Times New Roman"/>
        </w:rPr>
        <w:t>inwestycje z różnych źródeł. Składa się z dwóch elementów (źródeł finansowania):</w:t>
      </w:r>
    </w:p>
    <w:p w14:paraId="48FB1AEA" w14:textId="77777777" w:rsidR="00D74B77" w:rsidRPr="004D5170" w:rsidRDefault="00D74B77" w:rsidP="00D74B77">
      <w:pPr>
        <w:pStyle w:val="Tekstprzypisudolnego"/>
        <w:numPr>
          <w:ilvl w:val="0"/>
          <w:numId w:val="10"/>
        </w:numPr>
        <w:jc w:val="both"/>
        <w:rPr>
          <w:rFonts w:ascii="Times New Roman" w:hAnsi="Times New Roman" w:cs="Times New Roman"/>
        </w:rPr>
      </w:pPr>
      <w:r w:rsidRPr="004D5170">
        <w:rPr>
          <w:rFonts w:ascii="Times New Roman" w:hAnsi="Times New Roman" w:cs="Times New Roman"/>
        </w:rPr>
        <w:t>kosztu długu (kapitał obcy) - oprocentowanie kredytów bankowych, pożyczek, wyemitowanych obligacji.</w:t>
      </w:r>
    </w:p>
    <w:p w14:paraId="6444629D" w14:textId="77777777" w:rsidR="00D74B77" w:rsidRPr="004D5170" w:rsidRDefault="00D74B77" w:rsidP="00D74B77">
      <w:pPr>
        <w:pStyle w:val="Tekstprzypisudolnego"/>
        <w:numPr>
          <w:ilvl w:val="0"/>
          <w:numId w:val="10"/>
        </w:numPr>
        <w:jc w:val="both"/>
        <w:rPr>
          <w:rFonts w:ascii="Times New Roman" w:hAnsi="Times New Roman" w:cs="Times New Roman"/>
        </w:rPr>
      </w:pPr>
      <w:r w:rsidRPr="004D5170">
        <w:rPr>
          <w:rFonts w:ascii="Times New Roman" w:hAnsi="Times New Roman" w:cs="Times New Roman"/>
        </w:rPr>
        <w:t xml:space="preserve">kosztu kapitału własnego (kapitał własny) - oczekiwany przez akcjonariuszy zwrot z zysku spółki (pieniądze) z tytułu poniesionego ryzyka </w:t>
      </w:r>
    </w:p>
  </w:footnote>
  <w:footnote w:id="3">
    <w:p w14:paraId="2E88188C" w14:textId="77777777"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w:t>
      </w:r>
      <w:r w:rsidRPr="004D5170">
        <w:rPr>
          <w:rFonts w:ascii="Times New Roman" w:hAnsi="Times New Roman" w:cs="Times New Roman"/>
          <w:i/>
          <w:iCs/>
        </w:rPr>
        <w:t>Wskaźnik WRA (Wartość Regulacyjna Aktywów/planowana wartość regulacyjna środków trwałych netto)</w:t>
      </w:r>
      <w:r w:rsidRPr="004D5170">
        <w:rPr>
          <w:rFonts w:ascii="Times New Roman" w:hAnsi="Times New Roman" w:cs="Times New Roman"/>
        </w:rPr>
        <w:t xml:space="preserve"> jest natomiast kluczowym parametrem finansowym wykorzystywanym przez URE do ustalania taryf dla przedsiębiorstw prowadzących działalność w zakresie przesyłu lub dystrybucji prądu, gazu, czy ciepła.</w:t>
      </w:r>
    </w:p>
  </w:footnote>
  <w:footnote w:id="4">
    <w:p w14:paraId="362281D6" w14:textId="77777777"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Historycznie URE aktualizował wskaźnik WACC niemal co roku, reagując na bieżące koszty pieniądza na rynku. Jednak w ramach najnowszych ram regulacyjnych na lata 2023–2028, </w:t>
      </w:r>
      <w:hyperlink r:id="rId1" w:tgtFrame="_blank" w:history="1">
        <w:r w:rsidRPr="004D5170">
          <w:rPr>
            <w:rStyle w:val="Hipercze"/>
            <w:rFonts w:ascii="Times New Roman" w:hAnsi="Times New Roman" w:cs="Times New Roman"/>
            <w:color w:val="auto"/>
            <w:u w:val="none"/>
          </w:rPr>
          <w:t>Prezes URE przyjął stałą bazową wartość WACC na poziomie 7,478%</w:t>
        </w:r>
      </w:hyperlink>
      <w:r w:rsidRPr="004D5170">
        <w:rPr>
          <w:rFonts w:ascii="Times New Roman" w:hAnsi="Times New Roman" w:cs="Times New Roman"/>
        </w:rPr>
        <w:t>. Została ona wyliczona jako średnia prognoz makroekonomicznych w okresie kolejnych sześciu lat, aby ustabilizować rynek i uniknąć gwałtownych skoków cen na rachunkach obywateli</w:t>
      </w:r>
      <w:r>
        <w:rPr>
          <w:rFonts w:ascii="Times New Roman" w:hAnsi="Times New Roman" w:cs="Times New Roman"/>
        </w:rPr>
        <w:t>.</w:t>
      </w:r>
    </w:p>
  </w:footnote>
  <w:footnote w:id="5">
    <w:p w14:paraId="64DBB373" w14:textId="0CE053B8"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w:t>
      </w:r>
      <w:r w:rsidRPr="00F15EF3">
        <w:rPr>
          <w:rFonts w:ascii="Times New Roman" w:hAnsi="Times New Roman" w:cs="Times New Roman"/>
        </w:rPr>
        <w:t>https://www.orlen.pl/pl/relacje-inwestorskie/raporty-i-publikacje/sprawozdania/2026</w:t>
      </w:r>
      <w:r w:rsidRPr="004D5170">
        <w:rPr>
          <w:rFonts w:ascii="Times New Roman" w:hAnsi="Times New Roman" w:cs="Times New Roman"/>
        </w:rPr>
        <w:t xml:space="preserve"> </w:t>
      </w:r>
    </w:p>
  </w:footnote>
  <w:footnote w:id="6">
    <w:p w14:paraId="5B803245" w14:textId="77777777"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Raport „Skonsolidowane wyniki finansowe Grupy Orlen. 2 kwartał 2026” opublikowane 6 sierpnia 2026 r. </w:t>
      </w:r>
    </w:p>
    <w:p w14:paraId="601565B2" w14:textId="189DDEF0" w:rsidR="00D74B77" w:rsidRPr="004D5170" w:rsidRDefault="00D74B77" w:rsidP="00D74B77">
      <w:pPr>
        <w:pStyle w:val="Tekstprzypisudolnego"/>
        <w:jc w:val="both"/>
        <w:rPr>
          <w:rFonts w:ascii="Times New Roman" w:hAnsi="Times New Roman" w:cs="Times New Roman"/>
        </w:rPr>
      </w:pPr>
      <w:r w:rsidRPr="00F15EF3">
        <w:rPr>
          <w:rFonts w:ascii="Times New Roman" w:hAnsi="Times New Roman" w:cs="Times New Roman"/>
        </w:rPr>
        <w:t>https://www.orlen.pl/content/dam/internet/orlen/pl/pl/relacje-inwestorskie/raporty-i-publikacje/sprawozdania/2026/2q2026/ORLEN_2Q26_PL.pdf.coredownload.pdf</w:t>
      </w:r>
      <w:r w:rsidRPr="004D5170">
        <w:rPr>
          <w:rFonts w:ascii="Times New Roman" w:hAnsi="Times New Roman" w:cs="Times New Roman"/>
        </w:rPr>
        <w:t xml:space="preserve"> </w:t>
      </w:r>
    </w:p>
  </w:footnote>
  <w:footnote w:id="7">
    <w:p w14:paraId="2FEB3555" w14:textId="3BE00DC7"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w:t>
      </w:r>
      <w:r w:rsidRPr="00F15EF3">
        <w:rPr>
          <w:rFonts w:ascii="Times New Roman" w:hAnsi="Times New Roman" w:cs="Times New Roman"/>
        </w:rPr>
        <w:t>https://www.unimot.pl/aktualnosci/unimot-s-a-opublikowal-szacunkowe-wyniki-za-ii-kwartal-2026-r</w:t>
      </w:r>
    </w:p>
  </w:footnote>
  <w:footnote w:id="8">
    <w:p w14:paraId="6D69C548" w14:textId="3C7B6001" w:rsidR="00D74B77" w:rsidRDefault="00D74B77" w:rsidP="00D74B77">
      <w:pPr>
        <w:pStyle w:val="Tekstprzypisudolnego"/>
        <w:jc w:val="both"/>
      </w:pPr>
      <w:r>
        <w:rPr>
          <w:rStyle w:val="Odwoanieprzypisudolnego"/>
        </w:rPr>
        <w:footnoteRef/>
      </w:r>
      <w:r>
        <w:t xml:space="preserve"> </w:t>
      </w:r>
      <w:r w:rsidRPr="00F15EF3">
        <w:t>https://ir.energa.pl/pr/873611/skonsolidowane-wyniki-finansowe-za-i-polrocze-2026-roku</w:t>
      </w:r>
      <w:r>
        <w:t xml:space="preserve"> </w:t>
      </w:r>
    </w:p>
  </w:footnote>
  <w:footnote w:id="9">
    <w:p w14:paraId="0DC25F55" w14:textId="6F05165D" w:rsidR="00D74B77" w:rsidRDefault="00D74B77" w:rsidP="00D74B77">
      <w:pPr>
        <w:pStyle w:val="Tekstprzypisudolnego"/>
        <w:jc w:val="both"/>
      </w:pPr>
      <w:r>
        <w:rPr>
          <w:rStyle w:val="Odwoanieprzypisudolnego"/>
        </w:rPr>
        <w:footnoteRef/>
      </w:r>
      <w:r w:rsidRPr="00F15EF3">
        <w:t>https://www.gkpge.pl/grupa-pge/dla-mediow/komunikaty-prasowe/korporacyjne/wyniki-finansowe-i-operacyjne-za-ii-kwartal-2026-roku</w:t>
      </w:r>
      <w:r>
        <w:t xml:space="preserve"> </w:t>
      </w:r>
    </w:p>
  </w:footnote>
  <w:footnote w:id="10">
    <w:p w14:paraId="74D0033D" w14:textId="4A640CA3"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F15EF3">
        <w:rPr>
          <w:rFonts w:ascii="Times New Roman" w:hAnsi="Times New Roman" w:cs="Times New Roman"/>
        </w:rPr>
        <w:t>https://gulfnews.com/business/energy/oil-majors-reap-93-billion-q2-profits-as-iran-war-drives-energy-windfall-1.500643200</w:t>
      </w:r>
      <w:r w:rsidRPr="004D5170">
        <w:rPr>
          <w:rFonts w:ascii="Times New Roman" w:hAnsi="Times New Roman" w:cs="Times New Roman"/>
        </w:rPr>
        <w:t xml:space="preserve"> </w:t>
      </w:r>
    </w:p>
  </w:footnote>
  <w:footnote w:id="11">
    <w:p w14:paraId="6B192050" w14:textId="77777777" w:rsidR="00D74B77" w:rsidRDefault="00D74B77" w:rsidP="00D74B77">
      <w:pPr>
        <w:pStyle w:val="Tekstprzypisudolnego"/>
      </w:pPr>
      <w:r>
        <w:rPr>
          <w:rStyle w:val="Odwoanieprzypisudolnego"/>
        </w:rPr>
        <w:footnoteRef/>
      </w:r>
      <w:r>
        <w:t xml:space="preserve"> </w:t>
      </w:r>
      <w:r w:rsidRPr="00284983">
        <w:t>Dz. U. z 2026 r. poz. 599</w:t>
      </w:r>
      <w:r>
        <w:t xml:space="preserve"> </w:t>
      </w:r>
      <w:r w:rsidRPr="00284983">
        <w:rPr>
          <w:rFonts w:ascii="Times New Roman" w:eastAsia="Times New Roman" w:hAnsi="Times New Roman" w:cs="Times New Roman"/>
          <w:lang w:eastAsia="pl-PL"/>
        </w:rPr>
        <w:t>[„ustawa o zapasach”],</w:t>
      </w:r>
    </w:p>
  </w:footnote>
  <w:footnote w:id="12">
    <w:p w14:paraId="3DF97F4B" w14:textId="77777777" w:rsidR="00D74B77" w:rsidRPr="004D5170" w:rsidRDefault="00D74B77" w:rsidP="00D74B77">
      <w:pPr>
        <w:pStyle w:val="Tekstprzypisudolnego"/>
        <w:jc w:val="both"/>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Jest to proces rozdzielania od siebie różnych rodzajów działalności w obrębie jednego przedsiębiorstwa lub rynku. Najczęściej pojęcie to stosuje się w energetyce i telekomunikacji, gdzie oznacza ono oddzielenie przesyłu i dystrybucji (infrastruktury, np. sieci elektrycznych lub gazowych) od produkcji i sprzedaży usług klientom.</w:t>
      </w:r>
    </w:p>
  </w:footnote>
  <w:footnote w:id="13">
    <w:p w14:paraId="27953F2F" w14:textId="77777777" w:rsidR="00D74B77" w:rsidRPr="004D5170" w:rsidRDefault="00D74B77" w:rsidP="00D74B77">
      <w:pPr>
        <w:pStyle w:val="Tekstprzypisudolnego"/>
        <w:rPr>
          <w:rFonts w:ascii="Times New Roman" w:hAnsi="Times New Roman" w:cs="Times New Roman"/>
        </w:rPr>
      </w:pPr>
      <w:r w:rsidRPr="004D5170">
        <w:rPr>
          <w:rStyle w:val="Odwoanieprzypisudolnego"/>
          <w:rFonts w:ascii="Times New Roman" w:hAnsi="Times New Roman" w:cs="Times New Roman"/>
        </w:rPr>
        <w:footnoteRef/>
      </w:r>
      <w:r w:rsidRPr="004D5170">
        <w:rPr>
          <w:rFonts w:ascii="Times New Roman" w:hAnsi="Times New Roman" w:cs="Times New Roman"/>
        </w:rPr>
        <w:t xml:space="preserve"> Dz. U. z 2024 r. poz. 1622, 1831, z 2025 r. poz. 290, 1302, z 2026 r. poz. 32.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A9B"/>
    <w:multiLevelType w:val="hybridMultilevel"/>
    <w:tmpl w:val="C722DF0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F501847"/>
    <w:multiLevelType w:val="hybridMultilevel"/>
    <w:tmpl w:val="7FA0B402"/>
    <w:lvl w:ilvl="0" w:tplc="EA96140C">
      <w:start w:val="1"/>
      <w:numFmt w:val="upperRoman"/>
      <w:lvlText w:val="%1."/>
      <w:lvlJc w:val="left"/>
      <w:pPr>
        <w:ind w:left="1080" w:hanging="720"/>
      </w:pPr>
      <w:rPr>
        <w:rFonts w:hint="default"/>
        <w:b/>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C770D2"/>
    <w:multiLevelType w:val="multilevel"/>
    <w:tmpl w:val="F61C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13E02"/>
    <w:multiLevelType w:val="hybridMultilevel"/>
    <w:tmpl w:val="0B807A5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1F61614"/>
    <w:multiLevelType w:val="hybridMultilevel"/>
    <w:tmpl w:val="D47E89FA"/>
    <w:lvl w:ilvl="0" w:tplc="FFF2AFD6">
      <w:start w:val="1"/>
      <w:numFmt w:val="bullet"/>
      <w:lvlText w:val="–"/>
      <w:lvlJc w:val="left"/>
      <w:pPr>
        <w:ind w:left="720" w:hanging="360"/>
      </w:pPr>
      <w:rPr>
        <w:rFonts w:ascii="Lato" w:hAnsi="Lato"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31C2747"/>
    <w:multiLevelType w:val="hybridMultilevel"/>
    <w:tmpl w:val="FA66A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8DD533C"/>
    <w:multiLevelType w:val="multilevel"/>
    <w:tmpl w:val="EFB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244298"/>
    <w:multiLevelType w:val="hybridMultilevel"/>
    <w:tmpl w:val="15B65220"/>
    <w:lvl w:ilvl="0" w:tplc="5B96EDAA">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B1B7EC2"/>
    <w:multiLevelType w:val="hybridMultilevel"/>
    <w:tmpl w:val="4894D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C406BA2"/>
    <w:multiLevelType w:val="hybridMultilevel"/>
    <w:tmpl w:val="52BEC5B2"/>
    <w:lvl w:ilvl="0" w:tplc="E52EA5AA">
      <w:start w:val="1"/>
      <w:numFmt w:val="bullet"/>
      <w:lvlText w:val=""/>
      <w:lvlJc w:val="left"/>
      <w:pPr>
        <w:ind w:left="720" w:hanging="360"/>
      </w:pPr>
      <w:rPr>
        <w:rFonts w:ascii="Symbol" w:hAnsi="Symbol" w:hint="default"/>
        <w:b w:val="0"/>
        <w:bCs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1ED1270"/>
    <w:multiLevelType w:val="hybridMultilevel"/>
    <w:tmpl w:val="1AA0B0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47F2F41"/>
    <w:multiLevelType w:val="hybridMultilevel"/>
    <w:tmpl w:val="FD368A1C"/>
    <w:lvl w:ilvl="0" w:tplc="C776942C">
      <w:start w:val="1"/>
      <w:numFmt w:val="lowerLetter"/>
      <w:lvlText w:val="(%1)"/>
      <w:lvlJc w:val="left"/>
      <w:pPr>
        <w:ind w:left="1797" w:hanging="360"/>
      </w:pPr>
      <w:rPr>
        <w:rFonts w:hint="default"/>
      </w:r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12" w15:restartNumberingAfterBreak="0">
    <w:nsid w:val="65C51025"/>
    <w:multiLevelType w:val="hybridMultilevel"/>
    <w:tmpl w:val="3C90DE9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74FB0714"/>
    <w:multiLevelType w:val="multilevel"/>
    <w:tmpl w:val="5638F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2364F5"/>
    <w:multiLevelType w:val="hybridMultilevel"/>
    <w:tmpl w:val="E98AD2FE"/>
    <w:lvl w:ilvl="0" w:tplc="284EC2B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7DB13195"/>
    <w:multiLevelType w:val="hybridMultilevel"/>
    <w:tmpl w:val="C77432D8"/>
    <w:lvl w:ilvl="0" w:tplc="FFF2AFD6">
      <w:start w:val="1"/>
      <w:numFmt w:val="bullet"/>
      <w:lvlText w:val="–"/>
      <w:lvlJc w:val="left"/>
      <w:pPr>
        <w:ind w:left="1778" w:hanging="360"/>
      </w:pPr>
      <w:rPr>
        <w:rFonts w:ascii="Lato" w:hAnsi="Lato" w:hint="default"/>
      </w:rPr>
    </w:lvl>
    <w:lvl w:ilvl="1" w:tplc="04150003" w:tentative="1">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16" w15:restartNumberingAfterBreak="0">
    <w:nsid w:val="7F733614"/>
    <w:multiLevelType w:val="hybridMultilevel"/>
    <w:tmpl w:val="EB2696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18951888">
    <w:abstractNumId w:val="13"/>
  </w:num>
  <w:num w:numId="2" w16cid:durableId="1653218589">
    <w:abstractNumId w:val="16"/>
  </w:num>
  <w:num w:numId="3" w16cid:durableId="1744184347">
    <w:abstractNumId w:val="10"/>
  </w:num>
  <w:num w:numId="4" w16cid:durableId="1170290913">
    <w:abstractNumId w:val="7"/>
  </w:num>
  <w:num w:numId="5" w16cid:durableId="1263605117">
    <w:abstractNumId w:val="5"/>
  </w:num>
  <w:num w:numId="6" w16cid:durableId="1005598118">
    <w:abstractNumId w:val="0"/>
  </w:num>
  <w:num w:numId="7" w16cid:durableId="1438257855">
    <w:abstractNumId w:val="4"/>
  </w:num>
  <w:num w:numId="8" w16cid:durableId="897281616">
    <w:abstractNumId w:val="12"/>
  </w:num>
  <w:num w:numId="9" w16cid:durableId="1477648900">
    <w:abstractNumId w:val="3"/>
  </w:num>
  <w:num w:numId="10" w16cid:durableId="810175663">
    <w:abstractNumId w:val="2"/>
  </w:num>
  <w:num w:numId="11" w16cid:durableId="1919368331">
    <w:abstractNumId w:val="15"/>
  </w:num>
  <w:num w:numId="12" w16cid:durableId="172644565">
    <w:abstractNumId w:val="6"/>
  </w:num>
  <w:num w:numId="13" w16cid:durableId="695304120">
    <w:abstractNumId w:val="9"/>
  </w:num>
  <w:num w:numId="14" w16cid:durableId="1593970843">
    <w:abstractNumId w:val="1"/>
  </w:num>
  <w:num w:numId="15" w16cid:durableId="1378814406">
    <w:abstractNumId w:val="11"/>
  </w:num>
  <w:num w:numId="16" w16cid:durableId="167838456">
    <w:abstractNumId w:val="14"/>
  </w:num>
  <w:num w:numId="17" w16cid:durableId="14591032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ECA"/>
    <w:rsid w:val="00014841"/>
    <w:rsid w:val="000432B5"/>
    <w:rsid w:val="00055E24"/>
    <w:rsid w:val="00063FFC"/>
    <w:rsid w:val="00074759"/>
    <w:rsid w:val="00082F5C"/>
    <w:rsid w:val="00087406"/>
    <w:rsid w:val="000D0F2E"/>
    <w:rsid w:val="000D6398"/>
    <w:rsid w:val="00103E4F"/>
    <w:rsid w:val="00135B20"/>
    <w:rsid w:val="00147B63"/>
    <w:rsid w:val="001604A1"/>
    <w:rsid w:val="00190D04"/>
    <w:rsid w:val="001B04CD"/>
    <w:rsid w:val="001C59A8"/>
    <w:rsid w:val="001D09C1"/>
    <w:rsid w:val="001E0E4A"/>
    <w:rsid w:val="001F4F1F"/>
    <w:rsid w:val="00215755"/>
    <w:rsid w:val="00224B8C"/>
    <w:rsid w:val="00272293"/>
    <w:rsid w:val="002722C8"/>
    <w:rsid w:val="00281F84"/>
    <w:rsid w:val="002B1F60"/>
    <w:rsid w:val="002B6098"/>
    <w:rsid w:val="002D00D7"/>
    <w:rsid w:val="002D10AB"/>
    <w:rsid w:val="002E56F9"/>
    <w:rsid w:val="002F7363"/>
    <w:rsid w:val="003425F3"/>
    <w:rsid w:val="003642B8"/>
    <w:rsid w:val="003902A4"/>
    <w:rsid w:val="00395ECA"/>
    <w:rsid w:val="003A4AA2"/>
    <w:rsid w:val="003D4AF3"/>
    <w:rsid w:val="003D5234"/>
    <w:rsid w:val="004121C2"/>
    <w:rsid w:val="004153DC"/>
    <w:rsid w:val="00417AE9"/>
    <w:rsid w:val="004552AC"/>
    <w:rsid w:val="00496486"/>
    <w:rsid w:val="004C35BD"/>
    <w:rsid w:val="004D5170"/>
    <w:rsid w:val="004E4871"/>
    <w:rsid w:val="005234D8"/>
    <w:rsid w:val="00524C0A"/>
    <w:rsid w:val="005438E5"/>
    <w:rsid w:val="00545C49"/>
    <w:rsid w:val="0055101B"/>
    <w:rsid w:val="00551A80"/>
    <w:rsid w:val="005526CF"/>
    <w:rsid w:val="00587870"/>
    <w:rsid w:val="005A63FA"/>
    <w:rsid w:val="005B635B"/>
    <w:rsid w:val="005D7E92"/>
    <w:rsid w:val="005F4AB0"/>
    <w:rsid w:val="00644672"/>
    <w:rsid w:val="00653918"/>
    <w:rsid w:val="006621F9"/>
    <w:rsid w:val="00693D6E"/>
    <w:rsid w:val="006A17B5"/>
    <w:rsid w:val="006B037A"/>
    <w:rsid w:val="006C67E0"/>
    <w:rsid w:val="006D1219"/>
    <w:rsid w:val="006D4BD1"/>
    <w:rsid w:val="006D640F"/>
    <w:rsid w:val="00716AE6"/>
    <w:rsid w:val="00736677"/>
    <w:rsid w:val="00742871"/>
    <w:rsid w:val="00745167"/>
    <w:rsid w:val="00781E7B"/>
    <w:rsid w:val="00796A64"/>
    <w:rsid w:val="007A47C6"/>
    <w:rsid w:val="007F26A8"/>
    <w:rsid w:val="00807C93"/>
    <w:rsid w:val="00823F93"/>
    <w:rsid w:val="00887E9B"/>
    <w:rsid w:val="008C4BE7"/>
    <w:rsid w:val="008D2BC0"/>
    <w:rsid w:val="008E414E"/>
    <w:rsid w:val="008F6A3D"/>
    <w:rsid w:val="00900214"/>
    <w:rsid w:val="009206B7"/>
    <w:rsid w:val="009327D3"/>
    <w:rsid w:val="009406CC"/>
    <w:rsid w:val="009466AD"/>
    <w:rsid w:val="009716F9"/>
    <w:rsid w:val="009819D6"/>
    <w:rsid w:val="009A1235"/>
    <w:rsid w:val="009A58CD"/>
    <w:rsid w:val="009B18A9"/>
    <w:rsid w:val="009C5BAB"/>
    <w:rsid w:val="009C77D5"/>
    <w:rsid w:val="00A133CB"/>
    <w:rsid w:val="00A232EB"/>
    <w:rsid w:val="00A6344F"/>
    <w:rsid w:val="00AB0068"/>
    <w:rsid w:val="00AC0F99"/>
    <w:rsid w:val="00AD5A78"/>
    <w:rsid w:val="00AF5313"/>
    <w:rsid w:val="00B153CB"/>
    <w:rsid w:val="00B236FD"/>
    <w:rsid w:val="00B306A1"/>
    <w:rsid w:val="00B914C3"/>
    <w:rsid w:val="00B94D06"/>
    <w:rsid w:val="00BA477F"/>
    <w:rsid w:val="00BA6FA1"/>
    <w:rsid w:val="00BB0C95"/>
    <w:rsid w:val="00BB5995"/>
    <w:rsid w:val="00BC7044"/>
    <w:rsid w:val="00BD07B6"/>
    <w:rsid w:val="00BE5723"/>
    <w:rsid w:val="00BF3973"/>
    <w:rsid w:val="00C27272"/>
    <w:rsid w:val="00C621BC"/>
    <w:rsid w:val="00C66810"/>
    <w:rsid w:val="00C670A3"/>
    <w:rsid w:val="00C83CA5"/>
    <w:rsid w:val="00C841EB"/>
    <w:rsid w:val="00C875B4"/>
    <w:rsid w:val="00C87D87"/>
    <w:rsid w:val="00C95EC0"/>
    <w:rsid w:val="00CC3606"/>
    <w:rsid w:val="00CF01B7"/>
    <w:rsid w:val="00D12757"/>
    <w:rsid w:val="00D37FB6"/>
    <w:rsid w:val="00D50872"/>
    <w:rsid w:val="00D5176A"/>
    <w:rsid w:val="00D644BA"/>
    <w:rsid w:val="00D74B77"/>
    <w:rsid w:val="00D87214"/>
    <w:rsid w:val="00DE143E"/>
    <w:rsid w:val="00DF6F92"/>
    <w:rsid w:val="00E03EF7"/>
    <w:rsid w:val="00E071A6"/>
    <w:rsid w:val="00E077DC"/>
    <w:rsid w:val="00E52773"/>
    <w:rsid w:val="00E730A2"/>
    <w:rsid w:val="00E80889"/>
    <w:rsid w:val="00E95290"/>
    <w:rsid w:val="00EC1B82"/>
    <w:rsid w:val="00EE236B"/>
    <w:rsid w:val="00EF3513"/>
    <w:rsid w:val="00EF7E48"/>
    <w:rsid w:val="00F15EF3"/>
    <w:rsid w:val="00F3092F"/>
    <w:rsid w:val="00F42E62"/>
    <w:rsid w:val="00F9126B"/>
    <w:rsid w:val="00FB5BEE"/>
    <w:rsid w:val="00FC390F"/>
    <w:rsid w:val="00FC3F68"/>
    <w:rsid w:val="00FF46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864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95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95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95EC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95EC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95EC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95EC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95EC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95EC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95EC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95EC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95EC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95EC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95EC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95EC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95EC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95EC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95EC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95ECA"/>
    <w:rPr>
      <w:rFonts w:eastAsiaTheme="majorEastAsia" w:cstheme="majorBidi"/>
      <w:color w:val="272727" w:themeColor="text1" w:themeTint="D8"/>
    </w:rPr>
  </w:style>
  <w:style w:type="paragraph" w:styleId="Tytu">
    <w:name w:val="Title"/>
    <w:basedOn w:val="Normalny"/>
    <w:next w:val="Normalny"/>
    <w:link w:val="TytuZnak"/>
    <w:uiPriority w:val="10"/>
    <w:qFormat/>
    <w:rsid w:val="00395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95EC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95EC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95EC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95ECA"/>
    <w:pPr>
      <w:spacing w:before="160"/>
      <w:jc w:val="center"/>
    </w:pPr>
    <w:rPr>
      <w:i/>
      <w:iCs/>
      <w:color w:val="404040" w:themeColor="text1" w:themeTint="BF"/>
    </w:rPr>
  </w:style>
  <w:style w:type="character" w:customStyle="1" w:styleId="CytatZnak">
    <w:name w:val="Cytat Znak"/>
    <w:basedOn w:val="Domylnaczcionkaakapitu"/>
    <w:link w:val="Cytat"/>
    <w:uiPriority w:val="29"/>
    <w:rsid w:val="00395ECA"/>
    <w:rPr>
      <w:i/>
      <w:iCs/>
      <w:color w:val="404040" w:themeColor="text1" w:themeTint="BF"/>
    </w:rPr>
  </w:style>
  <w:style w:type="paragraph" w:styleId="Akapitzlist">
    <w:name w:val="List Paragraph"/>
    <w:basedOn w:val="Normalny"/>
    <w:uiPriority w:val="34"/>
    <w:qFormat/>
    <w:rsid w:val="00395ECA"/>
    <w:pPr>
      <w:ind w:left="720"/>
      <w:contextualSpacing/>
    </w:pPr>
  </w:style>
  <w:style w:type="character" w:styleId="Wyrnienieintensywne">
    <w:name w:val="Intense Emphasis"/>
    <w:basedOn w:val="Domylnaczcionkaakapitu"/>
    <w:uiPriority w:val="21"/>
    <w:qFormat/>
    <w:rsid w:val="00395ECA"/>
    <w:rPr>
      <w:i/>
      <w:iCs/>
      <w:color w:val="0F4761" w:themeColor="accent1" w:themeShade="BF"/>
    </w:rPr>
  </w:style>
  <w:style w:type="paragraph" w:styleId="Cytatintensywny">
    <w:name w:val="Intense Quote"/>
    <w:basedOn w:val="Normalny"/>
    <w:next w:val="Normalny"/>
    <w:link w:val="CytatintensywnyZnak"/>
    <w:uiPriority w:val="30"/>
    <w:qFormat/>
    <w:rsid w:val="00395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95ECA"/>
    <w:rPr>
      <w:i/>
      <w:iCs/>
      <w:color w:val="0F4761" w:themeColor="accent1" w:themeShade="BF"/>
    </w:rPr>
  </w:style>
  <w:style w:type="character" w:styleId="Odwoanieintensywne">
    <w:name w:val="Intense Reference"/>
    <w:basedOn w:val="Domylnaczcionkaakapitu"/>
    <w:uiPriority w:val="32"/>
    <w:qFormat/>
    <w:rsid w:val="00395ECA"/>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5F4AB0"/>
    <w:rPr>
      <w:sz w:val="16"/>
      <w:szCs w:val="16"/>
    </w:rPr>
  </w:style>
  <w:style w:type="paragraph" w:styleId="Tekstkomentarza">
    <w:name w:val="annotation text"/>
    <w:basedOn w:val="Normalny"/>
    <w:link w:val="TekstkomentarzaZnak"/>
    <w:uiPriority w:val="99"/>
    <w:unhideWhenUsed/>
    <w:rsid w:val="005F4AB0"/>
    <w:pPr>
      <w:spacing w:line="240" w:lineRule="auto"/>
    </w:pPr>
    <w:rPr>
      <w:sz w:val="20"/>
      <w:szCs w:val="20"/>
    </w:rPr>
  </w:style>
  <w:style w:type="character" w:customStyle="1" w:styleId="TekstkomentarzaZnak">
    <w:name w:val="Tekst komentarza Znak"/>
    <w:basedOn w:val="Domylnaczcionkaakapitu"/>
    <w:link w:val="Tekstkomentarza"/>
    <w:uiPriority w:val="99"/>
    <w:rsid w:val="005F4AB0"/>
    <w:rPr>
      <w:sz w:val="20"/>
      <w:szCs w:val="20"/>
    </w:rPr>
  </w:style>
  <w:style w:type="paragraph" w:styleId="Tematkomentarza">
    <w:name w:val="annotation subject"/>
    <w:basedOn w:val="Tekstkomentarza"/>
    <w:next w:val="Tekstkomentarza"/>
    <w:link w:val="TematkomentarzaZnak"/>
    <w:uiPriority w:val="99"/>
    <w:semiHidden/>
    <w:unhideWhenUsed/>
    <w:rsid w:val="005F4AB0"/>
    <w:rPr>
      <w:b/>
      <w:bCs/>
    </w:rPr>
  </w:style>
  <w:style w:type="character" w:customStyle="1" w:styleId="TematkomentarzaZnak">
    <w:name w:val="Temat komentarza Znak"/>
    <w:basedOn w:val="TekstkomentarzaZnak"/>
    <w:link w:val="Tematkomentarza"/>
    <w:uiPriority w:val="99"/>
    <w:semiHidden/>
    <w:rsid w:val="005F4AB0"/>
    <w:rPr>
      <w:b/>
      <w:bCs/>
      <w:sz w:val="20"/>
      <w:szCs w:val="20"/>
    </w:rPr>
  </w:style>
  <w:style w:type="paragraph" w:customStyle="1" w:styleId="USTustnpkodeksu">
    <w:name w:val="UST(§) – ust. (§ np. kodeksu)"/>
    <w:basedOn w:val="Normalny"/>
    <w:uiPriority w:val="12"/>
    <w:qFormat/>
    <w:rsid w:val="009406CC"/>
    <w:pPr>
      <w:suppressAutoHyphens/>
      <w:autoSpaceDE w:val="0"/>
      <w:autoSpaceDN w:val="0"/>
      <w:adjustRightInd w:val="0"/>
      <w:spacing w:after="0" w:line="360" w:lineRule="auto"/>
      <w:ind w:firstLine="510"/>
      <w:jc w:val="both"/>
    </w:pPr>
    <w:rPr>
      <w:rFonts w:ascii="Times" w:eastAsiaTheme="minorEastAsia" w:hAnsi="Times" w:cs="Arial"/>
      <w:bCs/>
      <w:kern w:val="0"/>
      <w:sz w:val="24"/>
      <w:szCs w:val="20"/>
      <w:lang w:eastAsia="pl-PL"/>
      <w14:ligatures w14:val="none"/>
    </w:rPr>
  </w:style>
  <w:style w:type="paragraph" w:customStyle="1" w:styleId="PKTpunkt">
    <w:name w:val="PKT – punkt"/>
    <w:uiPriority w:val="13"/>
    <w:qFormat/>
    <w:rsid w:val="009406CC"/>
    <w:pPr>
      <w:spacing w:after="0" w:line="360" w:lineRule="auto"/>
      <w:ind w:left="510" w:hanging="510"/>
      <w:jc w:val="both"/>
    </w:pPr>
    <w:rPr>
      <w:rFonts w:ascii="Times" w:eastAsiaTheme="minorEastAsia" w:hAnsi="Times" w:cs="Arial"/>
      <w:bCs/>
      <w:kern w:val="0"/>
      <w:sz w:val="24"/>
      <w:szCs w:val="20"/>
      <w:lang w:eastAsia="pl-PL"/>
      <w14:ligatures w14:val="none"/>
    </w:rPr>
  </w:style>
  <w:style w:type="paragraph" w:customStyle="1" w:styleId="ARTartustawynprozporzdzenia">
    <w:name w:val="ART(§) – art. ustawy (§ np. rozporządzenia)"/>
    <w:uiPriority w:val="11"/>
    <w:qFormat/>
    <w:rsid w:val="00B236FD"/>
    <w:pPr>
      <w:suppressAutoHyphens/>
      <w:autoSpaceDE w:val="0"/>
      <w:autoSpaceDN w:val="0"/>
      <w:adjustRightInd w:val="0"/>
      <w:spacing w:before="120" w:after="0" w:line="360" w:lineRule="auto"/>
      <w:ind w:firstLine="510"/>
      <w:jc w:val="both"/>
    </w:pPr>
    <w:rPr>
      <w:rFonts w:ascii="Times" w:eastAsiaTheme="minorEastAsia" w:hAnsi="Times" w:cs="Arial"/>
      <w:kern w:val="0"/>
      <w:sz w:val="24"/>
      <w:szCs w:val="20"/>
      <w:lang w:eastAsia="pl-PL"/>
      <w14:ligatures w14:val="none"/>
    </w:rPr>
  </w:style>
  <w:style w:type="paragraph" w:styleId="Poprawka">
    <w:name w:val="Revision"/>
    <w:hidden/>
    <w:uiPriority w:val="99"/>
    <w:semiHidden/>
    <w:rsid w:val="004E4871"/>
    <w:pPr>
      <w:spacing w:after="0" w:line="240" w:lineRule="auto"/>
    </w:pPr>
  </w:style>
  <w:style w:type="character" w:styleId="Hipercze">
    <w:name w:val="Hyperlink"/>
    <w:basedOn w:val="Domylnaczcionkaakapitu"/>
    <w:uiPriority w:val="99"/>
    <w:unhideWhenUsed/>
    <w:rsid w:val="004D5170"/>
    <w:rPr>
      <w:color w:val="467886" w:themeColor="hyperlink"/>
      <w:u w:val="single"/>
    </w:rPr>
  </w:style>
  <w:style w:type="character" w:styleId="Pogrubienie">
    <w:name w:val="Strong"/>
    <w:basedOn w:val="Domylnaczcionkaakapitu"/>
    <w:uiPriority w:val="22"/>
    <w:qFormat/>
    <w:rsid w:val="004D5170"/>
    <w:rPr>
      <w:b/>
      <w:bCs/>
    </w:rPr>
  </w:style>
  <w:style w:type="paragraph" w:styleId="Tekstprzypisudolnego">
    <w:name w:val="footnote text"/>
    <w:basedOn w:val="Normalny"/>
    <w:link w:val="TekstprzypisudolnegoZnak"/>
    <w:uiPriority w:val="99"/>
    <w:semiHidden/>
    <w:unhideWhenUsed/>
    <w:rsid w:val="004D5170"/>
    <w:pPr>
      <w:spacing w:after="0" w:line="240" w:lineRule="auto"/>
    </w:pPr>
    <w:rPr>
      <w:kern w:val="0"/>
      <w:sz w:val="20"/>
      <w:szCs w:val="20"/>
      <w14:ligatures w14:val="none"/>
    </w:rPr>
  </w:style>
  <w:style w:type="character" w:customStyle="1" w:styleId="TekstprzypisudolnegoZnak">
    <w:name w:val="Tekst przypisu dolnego Znak"/>
    <w:basedOn w:val="Domylnaczcionkaakapitu"/>
    <w:link w:val="Tekstprzypisudolnego"/>
    <w:uiPriority w:val="99"/>
    <w:semiHidden/>
    <w:rsid w:val="004D5170"/>
    <w:rPr>
      <w:kern w:val="0"/>
      <w:sz w:val="20"/>
      <w:szCs w:val="20"/>
      <w14:ligatures w14:val="none"/>
    </w:rPr>
  </w:style>
  <w:style w:type="character" w:styleId="Odwoanieprzypisudolnego">
    <w:name w:val="footnote reference"/>
    <w:aliases w:val="Footnote Reference Number,Footnote reference number,Footnote symbol,note TESI,SUPERS,EN Footnote Reference,Appel note de bas de p,Nota,Footnote Reference/,BVI fnr, BVI fnr,Footnote Reference Superscript,Footnote Reference_LVL6"/>
    <w:basedOn w:val="Domylnaczcionkaakapitu"/>
    <w:uiPriority w:val="99"/>
    <w:unhideWhenUsed/>
    <w:qFormat/>
    <w:rsid w:val="004D5170"/>
    <w:rPr>
      <w:vertAlign w:val="superscript"/>
    </w:rPr>
  </w:style>
  <w:style w:type="paragraph" w:styleId="Nagwek">
    <w:name w:val="header"/>
    <w:basedOn w:val="Normalny"/>
    <w:link w:val="NagwekZnak"/>
    <w:uiPriority w:val="99"/>
    <w:unhideWhenUsed/>
    <w:rsid w:val="00063F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3FFC"/>
  </w:style>
  <w:style w:type="paragraph" w:styleId="Stopka">
    <w:name w:val="footer"/>
    <w:basedOn w:val="Normalny"/>
    <w:link w:val="StopkaZnak"/>
    <w:uiPriority w:val="99"/>
    <w:unhideWhenUsed/>
    <w:rsid w:val="00063F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3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r.energa.pl/pr/870725/glowne-wskazniki-finansowe-grupy-energa-w-gore-mocny-i-kwartal-ze-stabilna-dystrybucja-i-rosnaca-rola-oz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re.gov.pl/pl/urzad/informacje-ogolne/aktualnosci/11911,Prezes-URE-opublikowal-zasady-okreslania-wskaznika-WACC-dla-operatorow-systemow-.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12965</Words>
  <Characters>77793</Characters>
  <Application>Microsoft Office Word</Application>
  <DocSecurity>0</DocSecurity>
  <Lines>648</Lines>
  <Paragraphs>181</Paragraphs>
  <ScaleCrop>false</ScaleCrop>
  <Company/>
  <LinksUpToDate>false</LinksUpToDate>
  <CharactersWithSpaces>90577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2026-10-01T09:40:00Z</dcterms:created>
  <dcterms:modified xsi:type="dcterms:W3CDTF">2026-10-01T09:40:00Z</dcterms:modified>
</cp:coreProperties>
</file>