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D7A6" w14:textId="0878ECFC" w:rsidR="00F46DC2" w:rsidRPr="0068370E" w:rsidRDefault="004710CB" w:rsidP="00C45D26">
      <w:pPr>
        <w:keepNext/>
        <w:spacing w:after="240" w:line="360" w:lineRule="auto"/>
        <w:jc w:val="center"/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caps/>
          <w:kern w:val="24"/>
          <w:sz w:val="24"/>
          <w:szCs w:val="24"/>
          <w:lang w:eastAsia="pl-PL"/>
        </w:rPr>
        <w:t>UZASADNIENIE</w:t>
      </w:r>
    </w:p>
    <w:p w14:paraId="76B66B4F" w14:textId="7CB9F2C8" w:rsidR="00F33924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usprawnienia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wdrażani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Krajowego</w:t>
      </w:r>
      <w:r w:rsidR="008C0F8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Odbudowy i Zwiększania Odporności, zwanego dalej „KPO”, a także w kontekście 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efektywnego alokowania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dodatkowej puli pożyczki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art. 12 ust. 1 rozporządzenia Parlamentu Europejskiego i Rady (UE) 2021/241 z dnia 12 lutego 2021 r. ustanawiającego Instrument na rzecz Odbudowy i</w:t>
      </w:r>
      <w:r w:rsidR="004D56D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Zwiększania Odporności</w:t>
      </w:r>
      <w:r w:rsidR="00F358A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 57 z 18.02.2021, str. 17, z późn. zm.)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uwzględnionej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rewizji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KPO, zatwierdzonej</w:t>
      </w:r>
      <w:r w:rsidR="001308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6E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grudnia 2023 r. </w:t>
      </w:r>
      <w:r w:rsidR="00F033D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wykonawczą Rady </w:t>
      </w:r>
      <w:r w:rsidR="00B1308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B13080" w:rsidRPr="0068370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4D56D6" w:rsidRPr="006837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B1308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02A1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1308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celowe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zmian w ustawie z dnia 6 grudnia 2006 r. o zasadach prowadzenia polityki rozwoju (Dz. U. z 202</w:t>
      </w:r>
      <w:r w:rsidR="00445F77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45F77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324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zwanej dalej </w:t>
      </w:r>
      <w:bookmarkStart w:id="0" w:name="_Hlk150171492"/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„uzppr”, </w:t>
      </w:r>
      <w:bookmarkEnd w:id="0"/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są niezbędne dla właściwego wykorzystania środków </w:t>
      </w:r>
      <w:r w:rsidR="00B1308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zrewidowanego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KPO. </w:t>
      </w:r>
      <w:r w:rsidR="00F3392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Zidentyfikowane utrudnienia we wdrażaniu KPO odnoszą się głównie do inwestycji z części pożyczkowej Instrumentu na Rzecz Odbudowy i Zwiększania Odporności, zwanego dalej „RRF”, stąd proponowane zmiany koncentrują się przede wszystkim na tych kwestiach. </w:t>
      </w:r>
    </w:p>
    <w:p w14:paraId="0CE08ACC" w14:textId="3A01F3F4" w:rsidR="0062329C" w:rsidRPr="0068370E" w:rsidRDefault="00A44A71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wejście w życie rozporządzenia Parlamentu Europejskiego i Rady (UE) 2023/955 z dnia 10 maja 2023 r. w sprawie ustanowienia Społecznego Funduszu Klimatycznego i</w:t>
      </w:r>
      <w:r w:rsidR="004D56D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zmieniającego rozporządzenie (UE) 2021/1060 (Dz. Urz. UE L 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16.05.2023,</w:t>
      </w:r>
      <w:r w:rsidR="00854DF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54DF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54DF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„rozporządzeniem SFK”</w:t>
      </w:r>
      <w:r w:rsidR="00854DF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powoduje konieczność niezwłocznego podjęcia działań zmierzających do jego wykonania, co powoduje konieczność dodania nowych przepisów do uzppr</w:t>
      </w:r>
      <w:r w:rsidR="006232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DF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232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definicji legalnej planu społeczno-klimatycznego, tryb</w:t>
      </w:r>
      <w:r w:rsidR="00A02A1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232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opracowania i przyjęcia, a także zasad udzielania pomocy publicznej, wraz z delegacją do wydania rozporządzenia określającego szczegółowe przeznaczenie, warunki i tryb udzielania pomocy</w:t>
      </w:r>
      <w:r w:rsidR="004D56D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podmioty udzielające tej pomocy</w:t>
      </w:r>
      <w:r w:rsidR="006232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C4160" w14:textId="77777777" w:rsidR="00A44A71" w:rsidRPr="0068370E" w:rsidRDefault="00F55747" w:rsidP="00C45D2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</w:t>
      </w:r>
      <w:r w:rsidR="004A06D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proponuje się zmiany</w:t>
      </w:r>
      <w:r w:rsidR="00A44A71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ADB9FC9" w14:textId="0B5741E7" w:rsidR="00A44A71" w:rsidRPr="0068370E" w:rsidRDefault="00A44A71" w:rsidP="00C45D2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65B67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4 września 1997 r. o działach administracji rządowej (Dz. U. z 2022 r. poz.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2512</w:t>
      </w:r>
      <w:r w:rsidR="00854DF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) służące wskazaniu, że dział administracji rządowej – rozwój regionalny obejmuje sprawy związane z opracowaniem planów społeczno-klimatycznych</w:t>
      </w:r>
      <w:r w:rsidR="006232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16BEBC" w14:textId="47464DFE" w:rsidR="00FE2FFD" w:rsidRPr="0068370E" w:rsidRDefault="00A44A71" w:rsidP="00C45D2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65B67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A06D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15 lipca 2020 r. o zmianie ustawy o zasadach prowadzenia polityki rozwoju oraz niektórych innych ustaw </w:t>
      </w:r>
      <w:r w:rsidR="00F55747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</w:t>
      </w:r>
      <w:r w:rsidR="006867A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7A3" w:rsidRPr="006837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 1378</w:t>
      </w:r>
      <w:r w:rsidR="00BC1558" w:rsidRPr="006837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późn. zm.</w:t>
      </w:r>
      <w:r w:rsidR="00F55747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A06D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mające na celu przesunięcie terminu przyjęcia przez Radę Ministrów koncepcji rozwoju kraju oraz strategii rozwoju województw przez sejmiki województw. </w:t>
      </w:r>
    </w:p>
    <w:p w14:paraId="54960605" w14:textId="7F53920B" w:rsidR="004A06D4" w:rsidRPr="0068370E" w:rsidRDefault="004A06D4" w:rsidP="00A56B58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Zaproponowane zmiany wynikają odpowiednio z:</w:t>
      </w:r>
    </w:p>
    <w:p w14:paraId="3CF3F19B" w14:textId="1C66FA38" w:rsidR="00C628D7" w:rsidRPr="0068370E" w:rsidRDefault="00C628D7" w:rsidP="00C45D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sformułowania długookresowych wyzwań i wniosków strategicznych na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zmieniających się uwarunkowań politycznych oraz </w:t>
      </w:r>
      <w:r w:rsidR="002D5C0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ukierunkowania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krajowych strategii rozwoju; </w:t>
      </w:r>
    </w:p>
    <w:p w14:paraId="3A6BC6C8" w14:textId="793031E8" w:rsidR="004A06D4" w:rsidRPr="0068370E" w:rsidRDefault="004A06D4" w:rsidP="00C45D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zapewnienia spójności strategii rozwoju województw</w:t>
      </w:r>
      <w:r w:rsidR="00BC15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strategiami krajowymi, w tym ze</w:t>
      </w:r>
      <w:r w:rsidR="006867A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średniookresową strategią rozwoju kraju oraz krajową strategią rozwoju regionalnego.</w:t>
      </w:r>
    </w:p>
    <w:p w14:paraId="41C0ED4A" w14:textId="77777777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B5E32" w14:textId="1EE4B0B4" w:rsidR="00A4594E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Projektowane zmiany dotyczą: </w:t>
      </w:r>
    </w:p>
    <w:p w14:paraId="233BE142" w14:textId="55B9E8DE" w:rsidR="004710CB" w:rsidRPr="0068370E" w:rsidRDefault="00E8682F" w:rsidP="00C45D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Umożliwieni</w:t>
      </w:r>
      <w:r w:rsidR="00671CA0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podpisywania i rozliczania w euro umów o objęcie </w:t>
      </w:r>
      <w:r w:rsidR="00D46662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przedsięwzięć 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wsparciem – nadanie nowego brzmienia art. 14le ust. 3 pkt 4</w:t>
      </w:r>
      <w:r w:rsidR="006948B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zmiany w</w:t>
      </w:r>
      <w:r w:rsidR="004F6A82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B48D7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14lj, 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</w:t>
      </w:r>
      <w:r w:rsidR="0094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14ll</w:t>
      </w:r>
      <w:r w:rsidR="006F4E90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B48D7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14lm, 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14lq </w:t>
      </w:r>
      <w:r w:rsidR="006F4E90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art. 14lzi </w:t>
      </w:r>
      <w:r w:rsidR="004710CB"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uzppr.</w:t>
      </w:r>
    </w:p>
    <w:p w14:paraId="0618A078" w14:textId="3DB06367" w:rsidR="004710CB" w:rsidRPr="0068370E" w:rsidRDefault="004710CB" w:rsidP="00C45D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podpisywania umów o </w:t>
      </w:r>
      <w:r w:rsidR="00806EC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objęcie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przedsięwzięć</w:t>
      </w:r>
      <w:r w:rsidR="00806EC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wsparciem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rozliczania się z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wykonawcami w euro </w:t>
      </w:r>
      <w:r w:rsidR="006D6FA1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na celu 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środkami z części pożyczkowej </w:t>
      </w:r>
      <w:r w:rsidR="004F6A8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RRF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planowanej inwestycji G</w:t>
      </w:r>
      <w:r w:rsidR="00373C3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3C3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3C3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morskich farm wiatrowych (Fundusz na rzecz morskiej energetyki wiatrowej – 4,785 mld euro)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takiej możliwości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spowodować, że to zainteresowanie będzie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 niż dostępne środki lub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ogóle</w:t>
      </w:r>
      <w:r w:rsidR="002B4A1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zrealizowania tej inwestycji. </w:t>
      </w:r>
    </w:p>
    <w:p w14:paraId="210D93EE" w14:textId="32E234F2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Główną przeszkodą do finansowania przez instytucje inwestycji w euro </w:t>
      </w:r>
      <w:r w:rsidR="009A2A7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</w:t>
      </w:r>
      <w:r w:rsidR="00F46DC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</w:t>
      </w:r>
      <w:r w:rsidR="009A2A7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14ll ust.</w:t>
      </w:r>
      <w:r w:rsidR="00F46DC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7 uzppr określający limit finansowania inwestycji pożyczkowych w</w:t>
      </w:r>
      <w:r w:rsidR="006D263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 przeliczeniu kwot wpływającej pożyczki w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edłu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g określonego kursu).</w:t>
      </w:r>
    </w:p>
    <w:p w14:paraId="5301975B" w14:textId="717DB8CF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likwidacji ww. przeszkody </w:t>
      </w:r>
      <w:r w:rsidR="00A02A1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wskazanie w uzppr, że niektóre</w:t>
      </w:r>
      <w:r w:rsidR="007806E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z części pożyczkowej RRF mogą być finansowane w euro.</w:t>
      </w:r>
      <w:r w:rsidR="00DE7EC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uszczegółowienia ogólnej reguły wskazującej, że wysokość środków na finansowanie inwestycji w formie pożyczek – zarówno w złotych, jak i w euro – nie może przekraczać kwoty pożyczki, </w:t>
      </w:r>
      <w:bookmarkStart w:id="1" w:name="_Hlk160612895"/>
      <w:r w:rsidR="00DE7EC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6 ust. 1 lit. b rozporządzenia 2021/241</w:t>
      </w:r>
      <w:bookmarkEnd w:id="1"/>
      <w:r w:rsidR="00DE7EC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wskazano, że kwota tej po</w:t>
      </w:r>
      <w:r w:rsidR="00A865E1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E7EC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yczki będzie ustalana zgodnie z zasadami określonymi w ust. 7a–7c art. 14ll uzppr.</w:t>
      </w:r>
    </w:p>
    <w:p w14:paraId="62FF6F17" w14:textId="60678993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Zmieniane przepisy obejmą możliwością finansowanie w euro tylko inwestycji z części</w:t>
      </w:r>
      <w:r w:rsidR="00F46DC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pożyczkowej RRF realizowanych w formie pożyczek.</w:t>
      </w:r>
    </w:p>
    <w:p w14:paraId="7F15A530" w14:textId="3B02C4C2" w:rsidR="00D04764" w:rsidRPr="0068370E" w:rsidRDefault="00D04764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jakich </w:t>
      </w:r>
      <w:r w:rsidR="00A02A1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ustalana wysokoś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na finansowanie inwestycji realizowanych w formie pożyczek – zarówno w złotych, jak i w euro – został</w:t>
      </w:r>
      <w:r w:rsid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</w:t>
      </w:r>
      <w:r w:rsid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dodawanych w </w:t>
      </w: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14ll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7a–7</w:t>
      </w:r>
      <w:r w:rsidR="0031579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702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796D68" w14:textId="4EA6D103" w:rsidR="00D04764" w:rsidRPr="0068370E" w:rsidRDefault="00D04764" w:rsidP="00A56B58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ust. 7a minister właściwy do spraw rozwoju regionalnego będzie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6F9FDDC" w14:textId="3F3780B6" w:rsidR="00315792" w:rsidRPr="0068370E" w:rsidRDefault="00315792" w:rsidP="00C45D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określał</w:t>
      </w:r>
      <w:r w:rsidR="00671CA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jaka część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 pożyczkowej RRF ma być przeznaczona na finansowanie inwestycji realizowanych w formie pożyczek w złotych, a jaka w euro</w:t>
      </w:r>
      <w:r w:rsidR="00671CA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53F45B2" w14:textId="06F70843" w:rsidR="00315792" w:rsidRPr="0068370E" w:rsidRDefault="00315792" w:rsidP="00C45D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ustalał dla instytucji odpowiedzialnej za realizację inwestycji limit środków na realizację inwestycji w formi</w:t>
      </w:r>
      <w:r w:rsidR="00303B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="000F40F3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pożyczek oraz w formie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wsparcia o charakterze bezzwrotnym</w:t>
      </w:r>
      <w:r w:rsidR="000F40F3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F8CC8C5" w14:textId="72E166DF" w:rsidR="00315792" w:rsidRPr="0068370E" w:rsidRDefault="000F40F3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to następowało 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14 dni od dnia przekazania środków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części pożyczkowej RRF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rachunek wskazany przez ministra właściwego do spraw finansów publicznych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6FF247B" w14:textId="5221D51C" w:rsidR="00315792" w:rsidRPr="0068370E" w:rsidRDefault="000F40F3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ust. 7b </w:t>
      </w:r>
      <w:r w:rsidR="00A02A1D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zostało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określone, że f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inansowanie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złotych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inwestycji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realizowanych w formie pożyczek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nie może przekroczyć kwoty w złotych stanowiącej równowartość kwoty 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części pożyczkowej RRF 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przekazywanej na rachunek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wskazany przez ministra właściwego do spraw finansów publicznych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przeznaczonej na finansowanie inwestycji w złotych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rzelicz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enie tej kwoty będzie następowało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według kursu średniego euro Narodowego Banku Polskiego ogłoszonego dwa dni operacyjne przed datą ich wpływu na rachunek</w:t>
      </w:r>
      <w:r w:rsidR="000E7091" w:rsidRPr="00683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na którym </w:t>
      </w:r>
      <w:r w:rsidR="00A02A1D" w:rsidRPr="00683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są </w:t>
      </w:r>
      <w:r w:rsidR="000E7091" w:rsidRPr="00683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gromadzone środki części pożyczkowej RRF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prowadzony w euro, w Narodowym Banku Polskim. Przez 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 operacyjne </w:t>
      </w:r>
      <w:r w:rsidR="00A02A1D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</w:t>
      </w:r>
      <w:r w:rsidR="000E7091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robocze od poniedziałku do piątku, w których Narodowy Bank Polski przyjmuje i realizuje zlecenia płatnicze i inne dyspozycje posiadaczy rachunków bankowych.</w:t>
      </w:r>
    </w:p>
    <w:p w14:paraId="0527405A" w14:textId="16B5EF8F" w:rsidR="00315792" w:rsidRPr="0068370E" w:rsidRDefault="000E7091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Natomiast zgodnie z ust. 7c f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inansowanie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euro 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inwestycji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realizowanych w formie pożyczek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może przekroczyć kwoty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części pożyczkowej RRF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przekazywanej na rachunek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wskazany przez ministra właściwego do spraw finansów publicznych</w:t>
      </w:r>
      <w:r w:rsidR="00315792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przeznaczonej na finansowanie inwestycji w euro.</w:t>
      </w:r>
    </w:p>
    <w:p w14:paraId="5374AAF2" w14:textId="7B87F016" w:rsidR="002066A8" w:rsidRPr="0068370E" w:rsidRDefault="0034554E" w:rsidP="00C45D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36D0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79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</w:t>
      </w:r>
      <w:r w:rsidR="00336D0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</w:t>
      </w:r>
      <w:r w:rsidR="0031579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1579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limitów kwot pożyczki, o których mowa w ust. 7b i 7c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będzie zobligowany minister właściwy do spraw rozwoju regionalnego</w:t>
      </w:r>
      <w:r w:rsidR="00336D0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nadzór ten był efektywny, zgodnie ze zmienianym art. 14lq ust. 2 pkt 1 uzppr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zlecenia wypłaty środków realizowane w ramach limitów dla inwestycji pożyczkowych będą wymagały każdorazowo zgody </w:t>
      </w:r>
      <w:bookmarkStart w:id="2" w:name="_Hlk163204427"/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właściwego do spraw rozwoju regionalnego</w:t>
      </w:r>
      <w:bookmarkEnd w:id="2"/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 Ponadto minister ten będzie posiadał informacje przekazywane przez instytucje odpowiedzialne za realizację inwestycji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projektowanym art.14lq ust. 5 pkt 2 uzppr, w zakresie zapotrzebowania na środki z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 oraz o wykorzystaniu środków na pożyczki na rachunku własnym danej instytucji, jak i o wykorzystaniu środków przekazanych Bankowi Gospodarstwa Krajowego oraz Narodowemu Funduszowi Ochrony Środowiska i Gospodarki Wodnej; a zatem potwierdzając każdorazowo zlecenia wypłaty oraz pozyskując powyższe informacje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właściwy do spraw rozwoju regionalnego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wiedział na bieżąco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jest poziom wykorzystania </w:t>
      </w:r>
      <w:r w:rsidR="0096715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środków w ramach inwestycji pożyczkowych i będzie mógł zapewnić, że nie zostanie przekroczony limit środków przeznaczonych na ten cel.</w:t>
      </w:r>
    </w:p>
    <w:p w14:paraId="6C0DFD67" w14:textId="57B30246" w:rsidR="006F4E90" w:rsidRPr="0068370E" w:rsidRDefault="006F4E90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70424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nowym brzmieniem ust. 1 w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424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14lq</w:t>
      </w:r>
      <w:r w:rsidR="0070424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inister właściwy do spraw finansów publicznych</w:t>
      </w:r>
      <w:r w:rsidR="0070424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</w:t>
      </w:r>
      <w:r w:rsidR="0070424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ywał środki z budżetu państwa</w:t>
      </w:r>
      <w:r w:rsidR="0070424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realizację inwestycji 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finansowanej </w:t>
      </w:r>
      <w:r w:rsidR="0070424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formie pożyczek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BF4D61" w14:textId="52C6B284" w:rsidR="006F4E90" w:rsidRPr="0068370E" w:rsidRDefault="006F4E90" w:rsidP="00507E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rachunki prowadzone w złotych </w:t>
      </w:r>
      <w:r w:rsidR="0070424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instytucjom odpowiedzialnym za realizację inwestycji</w:t>
      </w:r>
      <w:r w:rsidR="0070424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43C7C0A" w14:textId="4CE70A71" w:rsidR="00704244" w:rsidRPr="0068370E" w:rsidRDefault="006F4E90" w:rsidP="00507E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rachunek prowadzony w euro</w:t>
      </w:r>
      <w:r w:rsidR="0070424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Narodowym Banku Polskim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0424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którym gromadzone są środki części pożyczkowej RRF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ministrowi właściwemu do spraw rozwoju regionalnego</w:t>
      </w:r>
    </w:p>
    <w:p w14:paraId="73E0590F" w14:textId="00DBDCE1" w:rsidR="006F4E90" w:rsidRPr="0068370E" w:rsidRDefault="00704244" w:rsidP="0050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zależności od waluty</w:t>
      </w:r>
      <w:r w:rsidR="00671CA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jakiej inwestycja jest przewidziana do finansowania, zgodnie z</w:t>
      </w:r>
      <w:r w:rsidR="00366427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porozumieni</w:t>
      </w:r>
      <w:r w:rsidR="00EB1E6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który</w:t>
      </w:r>
      <w:r w:rsidR="00EB1E64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mowa w art. 14le ust. 2 pkt 2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uzppr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2E82A40" w14:textId="11BFD2A0" w:rsidR="006F4E90" w:rsidRPr="0068370E" w:rsidRDefault="00704244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zgodnie z dodawanym</w:t>
      </w:r>
      <w:r w:rsidR="0038523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1a m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 właściwy do spraw rozwoju regionalnego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ywał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rachunki prowadzone w euro instytucjom odpowiedzialnym za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inwestycji środki otrzymane z budżetu państwa na realizację inwestycji finansowanej 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formie, o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mowa w art. 14ll ust. 2 pkt 1 uzppr,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euro zgodnie z porozumieni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14le ust. 2 pkt 2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uzppr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D6E61" w14:textId="6819C066" w:rsidR="006F4E90" w:rsidRPr="0068370E" w:rsidRDefault="006F4E90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dokonania przez ministra właściwego do spraw finansów publicznych wypłaty </w:t>
      </w:r>
      <w:r w:rsidR="0057084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na finansowanie</w:t>
      </w:r>
      <w:r w:rsidR="00570846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inwestycji realizowanych w formie pożyczek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807032" w14:textId="1FCC7CFE" w:rsidR="006F4E90" w:rsidRPr="0068370E" w:rsidRDefault="006F4E90" w:rsidP="00507E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instytucji odpowiedzialnej za realizację inwestycji </w:t>
      </w:r>
      <w:r w:rsidR="0038523F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570846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zlecenie wypłaty wystawione przez instytucję odpowiedzialną za realizację inwestycji oraz każdorazowa zgoda ministra właściwego do spraw rozwoju regionalnego na dokonanie wypłaty;</w:t>
      </w:r>
    </w:p>
    <w:p w14:paraId="575CEE14" w14:textId="74431C44" w:rsidR="006F4E90" w:rsidRPr="0068370E" w:rsidRDefault="006F4E90" w:rsidP="00507E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ministrowi właściwemu do spraw rozwoju regionalnego </w:t>
      </w:r>
      <w:r w:rsidR="0038523F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570846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zlecenie wypłaty wystawione przez tego ministra, na rachunek </w:t>
      </w:r>
      <w:r w:rsidR="00570846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prowadzony w euro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F5C747E" w14:textId="2EF402B3" w:rsidR="006F4E90" w:rsidRPr="0068370E" w:rsidRDefault="00570846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dodawanym ust. 2a w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ypłata środków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owała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przychodów, rozchodów oraz dochodów w zakresie inwestycji finansowanych z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pożyczki, na dany rok budżetowy</w:t>
      </w:r>
      <w:r w:rsidR="00B824B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 Harmonogram ten będzie przekazywany przez ministra właściwego do spraw rozwoju regionalnego ministrowi właściwemu do spraw finansów publicznych w terminie do dnia 10 grudnia roku poprzedzającego rok budżetowy.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24B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roku budżetowego harmonogram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aktualizacji</w:t>
      </w:r>
      <w:r w:rsidR="00B824B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(zmiana w art. 14lm ust. 3)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Aktualizacja harmonogramu będzie opracowywana przez ministra właściwego do spraw rozwoju regionalnego, a następnie przekazywana do ministra właściwego do spraw finansów publicznych. </w:t>
      </w:r>
    </w:p>
    <w:p w14:paraId="68EDC576" w14:textId="04FE2BCE" w:rsidR="006F4E90" w:rsidRPr="0068370E" w:rsidRDefault="00570846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związku z nowym brzmieniem ust. 2, w którym w pkt 1 </w:t>
      </w:r>
      <w:r w:rsidR="0093240F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zostało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przesądzone, że minister właściwy do spraw rozwoju regionalnego ma każdorazowo udzielać zgody na dokonanie wypłaty środków instytucji odpowiedzialnej za realizację inwestycji, </w:t>
      </w:r>
      <w:r w:rsidR="0093240F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zostaje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chyl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ony 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3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DC11B2A" w14:textId="37321A7E" w:rsidR="001930BF" w:rsidRPr="0068370E" w:rsidRDefault="000940B6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dodawanym ust. 4a uregulowano, że z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lecenie wypłaty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środki planowane do przekazania przez instytucję odpowiedzialną za realizację inwestycji</w:t>
      </w:r>
      <w:r w:rsidR="001930B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13E5BC" w14:textId="1951CB71" w:rsidR="002D3083" w:rsidRPr="0068370E" w:rsidRDefault="001930BF" w:rsidP="00507E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ostatecznemu odbiorcy wsparcia</w:t>
      </w:r>
      <w:r w:rsidR="002D308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353F22F" w14:textId="16A32BB7" w:rsidR="002D3083" w:rsidRPr="0068370E" w:rsidRDefault="002D3083" w:rsidP="00507E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930B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ankowi Gospodarstwa Krajoweg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o,</w:t>
      </w:r>
    </w:p>
    <w:p w14:paraId="3A60E211" w14:textId="3FA20A05" w:rsidR="001930BF" w:rsidRPr="0068370E" w:rsidRDefault="002D3083" w:rsidP="00507E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61741962"/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930B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arodowemu Funduszowi Ochrony Środowiska i Gospodarki Wodnej</w:t>
      </w:r>
      <w:bookmarkEnd w:id="3"/>
    </w:p>
    <w:p w14:paraId="67D4AC4D" w14:textId="4DA05C15" w:rsidR="006F4E90" w:rsidRPr="0068370E" w:rsidRDefault="00671CA0" w:rsidP="0050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dwóch dni roboczych od daty wpływu środków na rachunek instytucji odpowiedzialnej za realizację inwestycji. Środki niewykorzystane w powyższym terminie </w:t>
      </w:r>
      <w:r w:rsidR="001930B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1930B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zwrotowi na rachunek ministra właściwego do spraw finansów publicznych, z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zostały przekazane.</w:t>
      </w:r>
      <w:r w:rsidR="00A865E1" w:rsidRPr="006837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865E1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wypłacone w euro będą zwracane za pośrednictwem rachunku ministra właściwego do spraw rozwoju regionalnego, z którego środki te zostały przekazane instytucji odpowiedzialnej za realizację inwestycji.</w:t>
      </w:r>
    </w:p>
    <w:p w14:paraId="2440C2F2" w14:textId="19F0D4CD" w:rsidR="00BB559C" w:rsidRPr="0068370E" w:rsidRDefault="00BB559C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projektowanym ust. 4b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5E1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zwrotu środków w złotych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 właściwy do spraw finansów publicznych będzie informował niezwłocznie ministra właściwego do spraw rozwoju regionalnego 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 kwocie środków zwróconych na jego rachunek przez instytucję odpowiedzialną za realizację inwestycji i o terminie ich zwrotu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E91419" w14:textId="49F3157C" w:rsidR="00C2270E" w:rsidRPr="0068370E" w:rsidRDefault="001930BF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nowym brzmieniem </w:t>
      </w:r>
      <w:r w:rsidR="004C53C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w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 5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nstytucje odpowiedzialne za realizację inwestycji</w:t>
      </w:r>
      <w:r w:rsidR="004C53C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przygotowują dla ministra właściwego do spraw finansów publicznych oraz ministra właściwego do spraw rozwoju regionalnego zapotrzebowania na środki oraz informacje o</w:t>
      </w:r>
      <w:r w:rsidR="00671CA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F4E9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wykorzystaniu środków na rachunku własnym </w:t>
      </w:r>
      <w:r w:rsidR="006F4E9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środków przekazanych Bankowi Gospodarstwa Krajowego lub Narodowemu Funduszowi Ochrony Środowiska i Gospodarki Wodnej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270E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559FCA" w14:textId="7AC521BB" w:rsidR="004710CB" w:rsidRPr="0068370E" w:rsidRDefault="00C2270E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proponuje się uzupełnienie katalogu elementów umowy zawieranej odpowiednio przez Bank Gospodarstwa Krajowego lub Narodowy Fundusz Ochrony Środowiska i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Wodnej z instytucją odpowiedzialną za realizację inwestycji o kwesti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warunków i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terminów zwrotu środków, w tym środków nieprawidłowo wykorzystanych lub pobranych w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nadmiernej wysokości lub w sposób nienależny.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konsekwencji zmianie </w:t>
      </w:r>
      <w:r w:rsidR="00C6702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polegającej na uzupełniniu przepisu o Narodowy Fundusz Ochrony Środowiska i Gospodarki Wodnej </w:t>
      </w:r>
      <w:r w:rsidR="00286F0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ulegnie także art. 14ls ust. 2 pkt 2 uzppr</w:t>
      </w:r>
      <w:r w:rsidR="00C6702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B0B5C8" w14:textId="33FF1BB7" w:rsidR="001930BF" w:rsidRPr="0068370E" w:rsidRDefault="001930BF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umożliwieniem finansowania inwestycji zarówno w złotych, jak i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euro</w:t>
      </w:r>
      <w:r w:rsidR="0065323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stało się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uregulowanie kwestii zwrotu środków pożyczek przyznanych na realizację inwestycji wypłaconych w euro.</w:t>
      </w:r>
    </w:p>
    <w:p w14:paraId="38047224" w14:textId="77920A41" w:rsidR="00650C5D" w:rsidRPr="0068370E" w:rsidRDefault="001930BF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ze zmienionym ust. 2 w </w:t>
      </w: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14lzi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instytucja odpowiedzialna za realizację inwestycji przekazuje te środki</w:t>
      </w:r>
      <w:r w:rsidR="004C53C0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D427CC7" w14:textId="41068BB9" w:rsidR="001930BF" w:rsidRPr="0068370E" w:rsidRDefault="001930BF" w:rsidP="00507E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złotych </w:t>
      </w:r>
      <w:r w:rsidR="00650C5D"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6837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rachunek wskazany przez ministra właściwego do spraw finansów publicznych;</w:t>
      </w:r>
    </w:p>
    <w:p w14:paraId="35A491DB" w14:textId="1471BE47" w:rsidR="001930BF" w:rsidRPr="0068370E" w:rsidRDefault="001930BF" w:rsidP="00507E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 </w:t>
      </w:r>
      <w:r w:rsidR="00650C5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wskazany przez ministra właściwego do spraw rozwoju regionalnego.</w:t>
      </w:r>
    </w:p>
    <w:p w14:paraId="3BCF0B34" w14:textId="1E59FBCE" w:rsidR="00650C5D" w:rsidRPr="0068370E" w:rsidRDefault="00650C5D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</w:t>
      </w:r>
      <w:r w:rsidR="0065323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doda</w:t>
      </w:r>
      <w:r w:rsidR="004C53C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wany</w:t>
      </w:r>
      <w:r w:rsidR="0065323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4C53C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14lzi </w:t>
      </w:r>
      <w:r w:rsidR="0065323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2a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zwrócone w euro minister właściwy do spraw rozwoju regionalnego będzie przekazywał na rachunek wskazany przez ministra właściwego do spraw finansów publicznych.</w:t>
      </w:r>
    </w:p>
    <w:p w14:paraId="0577D05C" w14:textId="140CC1D2" w:rsidR="003B1395" w:rsidRPr="0068370E" w:rsidRDefault="003B1395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miejscu należy zauważyć, że w związku z wyżej opisanymi zmianami brak jest potrzeby wprowadzania przepisów przejściowych</w:t>
      </w:r>
      <w:r w:rsidR="00B67F51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489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zostały zawarte żadne umowy, które wymagałyby przewalutowania określonych w nich kwot na euro. Stosowne umowy zakładające finansowanie inwestycji w euro zostaną zawarte po wejściu w życie projektowanej ustawy.</w:t>
      </w:r>
    </w:p>
    <w:p w14:paraId="52BDC3BF" w14:textId="1BF96361" w:rsidR="00E60835" w:rsidRPr="0068370E" w:rsidRDefault="00E60835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wyjaśnienia wątpliwości w zakresie możliwości zaciągania zobowiązań wieloletnich, dążąc do zabezpieczenia płynnego finansowania inwestycji w komponencie bezzwrotnym części pożyczkowej RRF, projekt został uzupełniony o zmianę 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14ll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uzppr polegającą na dodaniu ust. 6a. Przepis pozwoli na udzielanie przez ministra właściwego do spraw finansów publicznych zapewnień finansowania, zgodnie z art. 153 ustawy z dnia 27 sierpnia 2009 r. o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publicznych (Dz. U. z 2023 r. poz. 1270, z późn. zm.), z rezerwy celowej, o której mowa w art. 14ll ust. 4, tj. przeznaczonej na finansowanie inwestycji pożyczkowych o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 bezzwrotnym. Zapewnieni</w:t>
      </w:r>
      <w:r w:rsidR="00611B7D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udzielane w ramach łącznej kwoty 2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067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mln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 przewidzianej w art. 14ll ust. 6 na finansowanie tego typu inwestycji, jednak nie wyższej niż limit ustalony przez ministra właściwego do spraw rozwoju regionalnego, zgodnie z art. 14ll ust.7a pkt 2 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uzppr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w ramach środków z pożyczki z RRF, które 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otrzymała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 Zakłada się, że minister właściwy do spraw rozwoju regionalnego ustali limity, o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14ll ust. 7a pkt 2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pełnej alokacji środków RRF na inwestycje pożyczkowe realizowane w formie bezzwrotnej, 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to kwota otrzymanych dotychczas przez Polskę środków z pożyczki z RRF.</w:t>
      </w:r>
    </w:p>
    <w:p w14:paraId="550B63DB" w14:textId="7C640430" w:rsidR="00E60835" w:rsidRPr="0068370E" w:rsidRDefault="00E60835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zmieniono</w:t>
      </w: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 14lj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ust. 1 pkt 3 przez usunięcie wyrazów „</w:t>
      </w:r>
      <w:r w:rsidR="001D726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inwestycji finansowanych w</w:t>
      </w: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pożyczek, o których mowa w art. 14ll ust. 2 pkt 1”. Pozwoli to 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Narodowemu Funduszowi Ochrony Środowiska i Gospodarki Wodnej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inwestycje w formie wsparcia zwrotnego również z części grantowej KPO. W konsekwencji wprowadzono również zmiany w art. 14ln ust. 1 pkt 2 lit. d oraz w art. 14lp ust. 1 pkt 3 i ust. 4</w:t>
      </w:r>
      <w:r w:rsidR="00EB1E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 te przepisy o Narodowy Fundusz Ochrony Środowiska i Gospodarki Wodnej.</w:t>
      </w:r>
    </w:p>
    <w:p w14:paraId="42C3CCF1" w14:textId="21FE97FD" w:rsidR="00DE7EC5" w:rsidRPr="0068370E" w:rsidRDefault="00DE7EC5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Ponadto </w:t>
      </w:r>
      <w:r w:rsidR="003E23E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14lzj oraz art. 14lzl, które dotyczą przetwarzania i dostępu do danych osobowych, dodano jako podmiot</w:t>
      </w:r>
      <w:r w:rsidR="003E23E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przetwarzające d</w:t>
      </w:r>
      <w:r w:rsidR="003E23E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ne osobowe oraz</w:t>
      </w:r>
      <w:r w:rsidR="003E23E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 dostęp do danych osobowych i informacji gromadzonych przez administratorów Bank Gospodarstwa Krajowego oraz Narodowy Fundusz Ochrony Środowiska i Gospodarki Wodnej.</w:t>
      </w:r>
    </w:p>
    <w:p w14:paraId="5E5493EB" w14:textId="7672C787" w:rsidR="00BA44F2" w:rsidRPr="0068370E" w:rsidRDefault="00653233" w:rsidP="00507E2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2733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A44F2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Stworzeni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BA44F2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podstawy prawnej do zaciągania zobowiązań przez</w:t>
      </w:r>
      <w:r w:rsidR="00BA44F2" w:rsidRPr="0068370E">
        <w:rPr>
          <w:rFonts w:ascii="Times New Roman" w:eastAsiaTheme="minorEastAsia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</w:t>
      </w:r>
      <w:r w:rsidR="00BA44F2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realizujące zadania związane z realizacją inwestycji – dodanie art. 14lja w uzppr.</w:t>
      </w:r>
    </w:p>
    <w:p w14:paraId="76A730C3" w14:textId="44BE99D2" w:rsidR="00814DFB" w:rsidRPr="0068370E" w:rsidRDefault="00F33924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53789455"/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postulatami podmiotów realizujących zadania związane z realizacją inwestycji proponuje się stworzenie podstawy prawnej, analogicznej do tej ustalonej dla programów polityki spójności w art. 193 ust. 1 ustawy z dnia 27 sierpnia 2009 r. o finansach publicznych, która umożliwi zaciąganie zobowiązań </w:t>
      </w:r>
      <w:r w:rsidR="00505A1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roku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realizującym zadania związane z realizacją inwestycji w formie pożyczek w ramach KPO.</w:t>
      </w:r>
      <w:r w:rsidR="00814DFB" w:rsidRPr="006837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związku z powyższym proponuje się, aby 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realizujące zadania związane z realizacją inwestycji mogły zaciągać zobowiązania w danym roku, zgodnie z umowami </w:t>
      </w:r>
      <w:bookmarkStart w:id="5" w:name="_Hlk161910141"/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objęcie przedsięwzięcia wsparciem zwrotnym </w:t>
      </w:r>
      <w:bookmarkEnd w:id="5"/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zawartymi z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ostatecznymi odbiorcami wsparcia, do wysokości środków przeznaczonych na realizację inwestycji określonej w porozumieni</w:t>
      </w:r>
      <w:r w:rsidR="00EB1E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EB1E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14le ust. 2 pkt 2, </w:t>
      </w:r>
      <w:r w:rsidR="008816E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nie wyższej niż kwota</w:t>
      </w:r>
      <w:r w:rsidR="00814DF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mogą być udzielane pożyczki w danym roku, określonej w ustawie budżetowej na ten rok, z zastrzeżeniem art. 14ll ust. 7.</w:t>
      </w:r>
      <w:r w:rsidR="00C67026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Zastrzeżenie to oznacza, że równolegle do limitu wynikającego z art. 14lja będzie także obowiązywał limit finansowania inwestycji określony w art. 14ll ust. 7 uzppr.</w:t>
      </w:r>
    </w:p>
    <w:p w14:paraId="220C254D" w14:textId="49663A3C" w:rsidR="00814DFB" w:rsidRPr="0068370E" w:rsidRDefault="00814DF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Podziału kwoty, do której mogą być udzielane pożyczki w danym roku, określonej w ustawie budżetowej na ten rok, na poszczególne inwestycje, o których mowa w art. 14ll ust. 2 pkt 1, będzie dokonywał minister właściwy do spraw rozwoju regionalnego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 o tym instytucje odpowiedzialne za realizację tych inwestycji oraz ministra właściwego do spraw finansów publicznych. 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20</w:t>
      </w:r>
      <w:r w:rsidR="00505D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miesiąca następującego po zakończeniu kwartału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inister właściwy do spraw rozwoju regionalnego 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ministrowi właściwemu do spraw finansów publicznych informację o wysokości </w:t>
      </w:r>
      <w:r w:rsidR="00A4314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zobowiązań.</w:t>
      </w:r>
    </w:p>
    <w:p w14:paraId="2BB49C9B" w14:textId="7807E682" w:rsidR="00A44A71" w:rsidRPr="0068370E" w:rsidRDefault="00653233" w:rsidP="00507E2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06CF7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A44A71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Dodani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A44A71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przepisów wykonujących </w:t>
      </w:r>
      <w:r w:rsidR="008F6473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SFK</w:t>
      </w:r>
      <w:r w:rsidR="001F215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dodanie pkt 7ab w art. 5 i</w:t>
      </w:r>
      <w:r w:rsidR="00065E99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F215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rozdziału 2ab uzppr oraz zmiana w art. 23a ustawy z dnia 4 września 1997 r. o działach administracji rządowej</w:t>
      </w:r>
      <w:r w:rsidR="008F6473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B87DCA2" w14:textId="3B44BF95" w:rsidR="008F6473" w:rsidRPr="0068370E" w:rsidRDefault="008F6473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życie rozporządzenia SFK spowodowało konieczność niezwłocznego podjęcia działań zmierzających do jego wykonania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w zakresie kompleksowego przygotowania i poddania wszechstronnym konsultacjom publicznym planu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społeczno</w:t>
      </w:r>
      <w:r w:rsidR="0094426B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klimatycznego, zawierającego spójny zestaw istniejących lub nowych krajowych środków i inwestycji mających na celu zaradzenie skutkom opłat za emisję gazów cieplarnianych dla znajdujących się w trudnej sytuacji gospodarstw domowych, mikroprzedsiębiorstw oraz użytkowników transportu. W planie społeczno-klimatycznym należy również zawrzeć element inwestycyjny, który będzie promował długoterminowe rozwiązania polegające na</w:t>
      </w:r>
      <w:r w:rsidR="003646E2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zmniejszeniu zależności od paliw kopalnych.</w:t>
      </w:r>
    </w:p>
    <w:p w14:paraId="4627E295" w14:textId="45B4A534" w:rsidR="008F6473" w:rsidRPr="0068370E" w:rsidRDefault="008F6473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w szczególności, że sposób wdrażania i rozliczania z Komisją Europejską planów społeczno-klimatycznych określony przepisami rozporządzenia SFK jest analogiczny do koordynowanego przez Ministerstwo Funduszy i Polityki Regionalnej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 dalej „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MFiPR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690BD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KPO, a także ze względu na bezpośrednie powiązania S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połecznego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unduszu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limatycznego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programami zarządzanymi przez MFiPR w ramach polityki spójności U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nii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7BE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uropejskiej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celowe podkreślenie, że na poziomie krajowym MFiPR stanowi jednostkę posiadającą doświadczenie oraz potencjał instytucjonalny umożliwiający terminowe wykonanie rozporządzenia SFK.</w:t>
      </w:r>
    </w:p>
    <w:p w14:paraId="758A6523" w14:textId="7B1A2676" w:rsidR="004710CB" w:rsidRPr="0068370E" w:rsidRDefault="00A44A71" w:rsidP="00507E2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B6291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B6291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A332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CA332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przyjęcia koncepcji rozwoju kraju – </w:t>
      </w:r>
      <w:r w:rsidR="00B6291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uchylenie art. 22 i dodanie art.</w:t>
      </w:r>
      <w:r w:rsidR="00944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6291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22a</w:t>
      </w:r>
      <w:r w:rsidR="00265B67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291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A332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</w:t>
      </w:r>
      <w:r w:rsidR="00B6291B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 w:rsidR="00CA3324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15 lipca 2020 r. o zmianie ustawy o zasadach prowadzenia polityki rozwoju oraz niektórych innych ustaw</w:t>
      </w:r>
      <w:r w:rsidR="00A4594E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End w:id="4"/>
    </w:p>
    <w:p w14:paraId="1B69F12E" w14:textId="473FF2C8" w:rsidR="001F06D0" w:rsidRPr="0068370E" w:rsidRDefault="00B6291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Potrzeba ustalenia nowego </w:t>
      </w:r>
      <w:r w:rsidR="001F06D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terminu przyjęcia przez Radę Ministrów koncepcji rozwoju kraju wynika z konieczności lepszego odzwierciedlenia, w kontekście zidentyfikowanych trendów światowych, aspiracji </w:t>
      </w:r>
      <w:r w:rsidR="00DC5535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obecnego </w:t>
      </w:r>
      <w:r w:rsidR="001F06D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Rządu co do wyzwań stojących przed Polską w perspektywie 2050 r. Ponieważ dokument ten stanowi podstawę do przygotowania średniookresowej strategii rozwoju kraju, wymaga dodatkowego czasu na wypracowanie wniosków strategicznych dla</w:t>
      </w:r>
      <w:r w:rsidR="00104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6D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kierunków rozwoju kraju oraz przeprowadzenia szeroko zakrojonych konsultacji społecznych, angażujących poszczególne środowiska w debatę na temat wyzwań rozwojowych kraju. </w:t>
      </w:r>
    </w:p>
    <w:p w14:paraId="59AB223F" w14:textId="48B2AC0E" w:rsidR="004B199B" w:rsidRPr="0068370E" w:rsidRDefault="008F6473" w:rsidP="00507E2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E7346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Wydłużeni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E7346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czasu na aktualizację strategii rozwoju województw </w:t>
      </w:r>
      <w:r w:rsidR="007806E6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8E7346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nadanie nowego brzmienia art. 31 ust. 1 ustawy z dnia 15 lipca 2020 r. o zmianie ustawy o zasadach prowadzenia polityki rozwoju oraz niektórych innych ustaw</w:t>
      </w:r>
      <w:r w:rsidR="00A4594E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97B3FC3" w14:textId="4F2BEC9C" w:rsidR="00B6291B" w:rsidRPr="0068370E" w:rsidRDefault="004B199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Wydłużenie czasu na aktualizację </w:t>
      </w:r>
      <w:bookmarkStart w:id="6" w:name="_Hlk155340775"/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strategii rozwoju województwa </w:t>
      </w:r>
      <w:bookmarkEnd w:id="6"/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 grudnia 2026 r. jest niezbędne w związku z zapewnieniem spójności strategii rozwoju województw z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dokumentami strategicznymi na poziomie krajowym. Obecnie trwają prace nad koncepcją rozwoju kraju, średniookresową strategią rozwoju kraju, a następnie przygotowywana będzie krajowa strategia rozwoju regionalnego. Strategie rozwoju województwa muszą uzyskać ocenę zgodności z krajową strategią rozwoju regionalnego. Jednocześnie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trwającymi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pracami nad wdrażaniem zintegrowanego podejścia do rozwoju w dokumentach strategicznych oraz prowadzoną reformą planowania przestrzennego dotyczącą poziomu regionalnego, </w:t>
      </w:r>
      <w:r w:rsidR="0093240F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zapewnienie spójności ww. procesów, a tym samym wydłużenie czasu na przygotowanie strategii rozwoju województw uwzględniających aspekty przestrzenne. P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rzesunięcie terminu przygotowania przez samorządy województw strategii rozwoju województwa było wielokrotnie przedmiotem konsultacji M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unduszy 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olityki 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egionalnej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przedstawicielami samorządów województw. Samorządy zabiegają o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wydłużenie terminu przygotowania 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województw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dlatego</w:t>
      </w:r>
      <w:r w:rsidR="00671CA0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strategie te </w:t>
      </w:r>
      <w:r w:rsidR="00B6291B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zawierać tzw. model struktury funkcjonalno-przestrzennej stanowiący nowy element, ujmujący w strategii także aspekty przestrzenne. </w:t>
      </w:r>
    </w:p>
    <w:p w14:paraId="75F01826" w14:textId="101A401E" w:rsidR="008E7346" w:rsidRPr="0068370E" w:rsidRDefault="00B6291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Zaproponowane w przedłożonym projekcie wydłużenie terminu przygotowania strategii rozwoju województwa nie wiąże się ani z negatywnymi skutkami dla funkcjonowania samorządów województw, ani z dodatkowymi kosztami, nie różnicuje również w żaden sposób sytuacji prawnej województw, które już przygotowały swoją strategię, ponieważ nie niesie za sobą żadnych dodatkowych zobowiązań lub ułatwień. </w:t>
      </w:r>
    </w:p>
    <w:p w14:paraId="38E08FDE" w14:textId="6320ED25" w:rsidR="0081792D" w:rsidRPr="0068370E" w:rsidRDefault="008F6473" w:rsidP="00507E2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C37E43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Przesunięci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C37E43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terminu uchylenia rozdziału 3a uzppr –</w:t>
      </w:r>
      <w:r w:rsidR="004210EC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Polityka miejska –</w:t>
      </w:r>
      <w:r w:rsidR="00C37E4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E43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nadanie nowego brzmienia art. 34 pkt 2 ustawy z dnia 15 lipca 2020 r. o zmianie ustawy o zasadach prowadzenia polityki rozwoju oraz niektórych innych ustaw</w:t>
      </w:r>
      <w:r w:rsidR="004210E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2FFDC0" w14:textId="3C1E3AD1" w:rsidR="004210EC" w:rsidRPr="0068370E" w:rsidRDefault="003F2E24" w:rsidP="00C45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70E">
        <w:rPr>
          <w:rFonts w:ascii="Times New Roman" w:eastAsia="Calibri" w:hAnsi="Times New Roman" w:cs="Times New Roman"/>
          <w:sz w:val="24"/>
          <w:szCs w:val="24"/>
        </w:rPr>
        <w:t>Propozycja przesunięcia terminu uchylenia rozdziału 3a uzppr – Polityka miejska wynika z</w:t>
      </w:r>
      <w:r w:rsidR="00065E99" w:rsidRPr="0068370E">
        <w:rPr>
          <w:rFonts w:ascii="Times New Roman" w:eastAsia="Calibri" w:hAnsi="Times New Roman" w:cs="Times New Roman"/>
          <w:sz w:val="24"/>
          <w:szCs w:val="24"/>
        </w:rPr>
        <w:t> </w:t>
      </w:r>
      <w:r w:rsidRPr="0068370E">
        <w:rPr>
          <w:rFonts w:ascii="Times New Roman" w:eastAsia="Calibri" w:hAnsi="Times New Roman" w:cs="Times New Roman"/>
          <w:sz w:val="24"/>
          <w:szCs w:val="24"/>
        </w:rPr>
        <w:t xml:space="preserve">potrzeby odzwierciedlenia priorytetów </w:t>
      </w:r>
      <w:r w:rsidR="00DC5535" w:rsidRPr="0068370E">
        <w:rPr>
          <w:rFonts w:ascii="Times New Roman" w:eastAsia="Calibri" w:hAnsi="Times New Roman" w:cs="Times New Roman"/>
          <w:sz w:val="24"/>
          <w:szCs w:val="24"/>
        </w:rPr>
        <w:t xml:space="preserve">obecnego </w:t>
      </w:r>
      <w:r w:rsidRPr="0068370E">
        <w:rPr>
          <w:rFonts w:ascii="Times New Roman" w:eastAsia="Calibri" w:hAnsi="Times New Roman" w:cs="Times New Roman"/>
          <w:sz w:val="24"/>
          <w:szCs w:val="24"/>
        </w:rPr>
        <w:t xml:space="preserve">Rządu co do kierunków zrównoważonego rozwoju miast, z konieczności przygotowania ustawy o zrównoważonym rozwoju miast, która zakresem </w:t>
      </w:r>
      <w:r w:rsidR="0093240F" w:rsidRPr="0068370E">
        <w:rPr>
          <w:rFonts w:ascii="Times New Roman" w:eastAsia="Calibri" w:hAnsi="Times New Roman" w:cs="Times New Roman"/>
          <w:sz w:val="24"/>
          <w:szCs w:val="24"/>
        </w:rPr>
        <w:t xml:space="preserve">będzie </w:t>
      </w:r>
      <w:r w:rsidRPr="0068370E">
        <w:rPr>
          <w:rFonts w:ascii="Times New Roman" w:eastAsia="Calibri" w:hAnsi="Times New Roman" w:cs="Times New Roman"/>
          <w:sz w:val="24"/>
          <w:szCs w:val="24"/>
        </w:rPr>
        <w:t xml:space="preserve">obejmować kwestie będące w gestii różnych działów administracji rządowej </w:t>
      </w:r>
      <w:r w:rsidR="00660BD9" w:rsidRPr="0068370E">
        <w:rPr>
          <w:rFonts w:ascii="Times New Roman" w:eastAsia="Calibri" w:hAnsi="Times New Roman" w:cs="Times New Roman"/>
          <w:sz w:val="24"/>
          <w:szCs w:val="24"/>
        </w:rPr>
        <w:t>i</w:t>
      </w:r>
      <w:r w:rsidRPr="0068370E">
        <w:rPr>
          <w:rFonts w:ascii="Times New Roman" w:eastAsia="Calibri" w:hAnsi="Times New Roman" w:cs="Times New Roman"/>
          <w:sz w:val="24"/>
          <w:szCs w:val="24"/>
        </w:rPr>
        <w:t xml:space="preserve"> jednostek samorządu terytorialnego oraz przeprowadzenia szeroko zakrojonych konsultacji społecznych w tym względzie z różnymi interesariuszami polityki miejskiej. Propozycja przesunięcia terminu uchylenia przepisów uzppr wynika również z potrzeby pełniejszego uwzględnienia w pracach nad ustawą rozstrzygnięć dotyczących podziału zadań, wynikających z Planu Implementacji Krajowej Polityki Miejskiej 2030, przewidzianych do realizacji przez właściwych ministrów.</w:t>
      </w:r>
    </w:p>
    <w:p w14:paraId="27ECF956" w14:textId="6EC32706" w:rsidR="00972057" w:rsidRPr="0068370E" w:rsidRDefault="00972057" w:rsidP="00507E2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Zapewnieni</w:t>
      </w:r>
      <w:r w:rsidR="00671CA0"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683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możliwości finansowania inwestycji B2.1.1 KPO z udziałem Banku Gospodarstwa Krajowego – art. 4. </w:t>
      </w:r>
    </w:p>
    <w:p w14:paraId="203887FB" w14:textId="35F01F62" w:rsidR="009257C4" w:rsidRPr="0068370E" w:rsidRDefault="00972057" w:rsidP="00C45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Zaproponowana regulacja ma na celu umożliwienie realizacji inwestycji B2.1.1 KPO zgodnie z modelem realizacji wynikającym z KPO, umożliwiając finansowanie zarówno już zawartych, jak i dopiero planowanych umów z ostatecznymi odbiorcami wsparcia, a także działań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realizowanych bezpośrednio przez Bank Gospodarstwa Krajowego</w:t>
      </w:r>
      <w:r w:rsidR="009257C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(pokrycie kosztów </w:t>
      </w:r>
      <w:r w:rsidR="00421D6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Banku Gospodarstwa Krajowego </w:t>
      </w:r>
      <w:r w:rsidR="009257C4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obsługą inwestycji B2.1.1) ze środków przekazywanych bankowi wypłatą z PFR, na zlecenie instytucji odpowiedzialnej za realizację inwestycji.</w:t>
      </w:r>
    </w:p>
    <w:p w14:paraId="58EE8494" w14:textId="7D064D5A" w:rsidR="00F31CC7" w:rsidRPr="0068370E" w:rsidRDefault="00F31CC7" w:rsidP="00A56B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Proponuje się, aby ustawa weszła w życie </w:t>
      </w:r>
      <w:r w:rsidR="00A45BB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14 dni od dnia ogłoszenia.</w:t>
      </w:r>
    </w:p>
    <w:p w14:paraId="5956EEF1" w14:textId="77777777" w:rsidR="004710CB" w:rsidRPr="0068370E" w:rsidRDefault="004710CB" w:rsidP="00507E24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</w:t>
      </w:r>
    </w:p>
    <w:p w14:paraId="77197DDF" w14:textId="77777777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ustawy jest zgodny z prawem UE.</w:t>
      </w:r>
    </w:p>
    <w:p w14:paraId="27FECA8D" w14:textId="63496D4F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regulacja nie zawiera przepisów technicznych w rozumieniu rozporządzenia Rady Ministrów z dnia 23 grudnia 2002 r. w sprawie sposobu funkcjonowania krajowego systemu notyfikacji norm i aktów prawnych (Dz. U. poz.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2039, z późn. zm.) i nie podlega notyfikacji Komisji Europejskiej.</w:t>
      </w:r>
    </w:p>
    <w:p w14:paraId="74AD447B" w14:textId="40AE45F2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Projektowana regulacja nie będzie wymagała notyfikacji Komisji Europejskiej w trybie ustawy z dnia 30 kwietnia 2004 r. o postępowaniu w sprawach dotyczących pomocy publicznej (Dz.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2023 r. poz. 702).</w:t>
      </w:r>
    </w:p>
    <w:p w14:paraId="36292AE7" w14:textId="1CEB4731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ustawy nie wymaga przedstawienia właściwym organom i instytucjom UE, w</w:t>
      </w:r>
      <w:r w:rsidR="00002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tym Europejskiemu Bankowi Centralnemu, w celu uzyskania opinii, dokonania powiadomienia, konsultacji albo uzgodnienia.</w:t>
      </w:r>
    </w:p>
    <w:p w14:paraId="645FC272" w14:textId="7B63D83E" w:rsidR="004710CB" w:rsidRPr="0068370E" w:rsidRDefault="004710CB" w:rsidP="00C4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ustawy, zgodnie z art. 5 ustawy z dnia 7 lipca 2005 r. o działalności lobbingowej w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procesie stanowienia prawa (Dz. U. z 2017 r. poz. 248) oraz § 52 ust. 1 uchwały nr 190 Rady Ministrów z dnia 29 października 2013 r. – Regulamin pracy Rady Ministrów (M.P. z 2022 r. poz. 348), zosta</w:t>
      </w:r>
      <w:r w:rsidR="00BB559C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 w Biuletynie Informacji Publicznej Ministerstwa Funduszy i</w:t>
      </w:r>
      <w:r w:rsidR="00065E99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Regionalnej oraz na stronie podmiotowej Rządowego Centrum Legislacji, w serwisie Rządowy Proces Legislacyjny.</w:t>
      </w:r>
    </w:p>
    <w:p w14:paraId="0D2037FC" w14:textId="11326BA3" w:rsidR="00936122" w:rsidRPr="0068370E" w:rsidRDefault="004710CB" w:rsidP="0050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322A8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wpisany do </w:t>
      </w:r>
      <w:r w:rsidR="00D22243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ykazu prac legislacyjnych Rady Ministrów pod numerem</w:t>
      </w:r>
      <w:r w:rsidR="00690BD8"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UD33</w:t>
      </w:r>
      <w:r w:rsidRPr="006837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936122" w:rsidRPr="0068370E" w:rsidSect="00A56B58">
      <w:footerReference w:type="default" r:id="rId8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54B6" w14:textId="77777777" w:rsidR="001666F8" w:rsidRDefault="001666F8">
      <w:pPr>
        <w:spacing w:after="0" w:line="240" w:lineRule="auto"/>
      </w:pPr>
      <w:r>
        <w:separator/>
      </w:r>
    </w:p>
  </w:endnote>
  <w:endnote w:type="continuationSeparator" w:id="0">
    <w:p w14:paraId="1D3F1BEE" w14:textId="77777777" w:rsidR="001666F8" w:rsidRDefault="0016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335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DD25BB" w14:textId="2CA9A1A3" w:rsidR="00C45D26" w:rsidRPr="00C45D26" w:rsidRDefault="00C45D26" w:rsidP="00C45D26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5D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5D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5D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5D26">
          <w:rPr>
            <w:rFonts w:ascii="Times New Roman" w:hAnsi="Times New Roman" w:cs="Times New Roman"/>
            <w:sz w:val="24"/>
            <w:szCs w:val="24"/>
          </w:rPr>
          <w:t>2</w:t>
        </w:r>
        <w:r w:rsidRPr="00C45D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7C82" w14:textId="77777777" w:rsidR="001666F8" w:rsidRDefault="001666F8">
      <w:pPr>
        <w:spacing w:after="0" w:line="240" w:lineRule="auto"/>
      </w:pPr>
      <w:r>
        <w:separator/>
      </w:r>
    </w:p>
  </w:footnote>
  <w:footnote w:type="continuationSeparator" w:id="0">
    <w:p w14:paraId="31CB6922" w14:textId="77777777" w:rsidR="001666F8" w:rsidRDefault="001666F8">
      <w:pPr>
        <w:spacing w:after="0" w:line="240" w:lineRule="auto"/>
      </w:pPr>
      <w:r>
        <w:continuationSeparator/>
      </w:r>
    </w:p>
  </w:footnote>
  <w:footnote w:id="1">
    <w:p w14:paraId="347BA2C0" w14:textId="6A168CA2" w:rsidR="00B13080" w:rsidRPr="00507E24" w:rsidRDefault="00B13080" w:rsidP="0068370E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507E24">
        <w:rPr>
          <w:rStyle w:val="Odwoanieprzypisudolnego"/>
          <w:rFonts w:ascii="Times New Roman" w:hAnsi="Times New Roman" w:cs="Times New Roman"/>
        </w:rPr>
        <w:footnoteRef/>
      </w:r>
      <w:r w:rsidR="00065E99" w:rsidRPr="00507E24">
        <w:rPr>
          <w:rFonts w:ascii="Times New Roman" w:hAnsi="Times New Roman" w:cs="Times New Roman"/>
          <w:vertAlign w:val="superscript"/>
        </w:rPr>
        <w:t>)</w:t>
      </w:r>
      <w:r w:rsidR="0068370E" w:rsidRPr="00507E24">
        <w:rPr>
          <w:rFonts w:ascii="Times New Roman" w:hAnsi="Times New Roman" w:cs="Times New Roman"/>
        </w:rPr>
        <w:tab/>
      </w:r>
      <w:r w:rsidR="00A02A1D" w:rsidRPr="00507E24">
        <w:rPr>
          <w:rFonts w:ascii="Times New Roman" w:hAnsi="Times New Roman" w:cs="Times New Roman"/>
        </w:rPr>
        <w:t>https://data.consilium.europa.eu/doc/document/ST-15835-2023-REV-1/en/pdf</w:t>
      </w:r>
      <w:r w:rsidRPr="00507E2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98A"/>
    <w:multiLevelType w:val="hybridMultilevel"/>
    <w:tmpl w:val="AB1A9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08A0"/>
    <w:multiLevelType w:val="hybridMultilevel"/>
    <w:tmpl w:val="F426FA48"/>
    <w:lvl w:ilvl="0" w:tplc="5A90C06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188A"/>
    <w:multiLevelType w:val="hybridMultilevel"/>
    <w:tmpl w:val="131E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35D"/>
    <w:multiLevelType w:val="hybridMultilevel"/>
    <w:tmpl w:val="428EA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9DF"/>
    <w:multiLevelType w:val="hybridMultilevel"/>
    <w:tmpl w:val="72E2B180"/>
    <w:lvl w:ilvl="0" w:tplc="8554587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A24"/>
    <w:multiLevelType w:val="hybridMultilevel"/>
    <w:tmpl w:val="1B3C35FA"/>
    <w:lvl w:ilvl="0" w:tplc="25C0AD1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B400A"/>
    <w:multiLevelType w:val="hybridMultilevel"/>
    <w:tmpl w:val="5DCE151C"/>
    <w:lvl w:ilvl="0" w:tplc="98F2E56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524E"/>
    <w:multiLevelType w:val="hybridMultilevel"/>
    <w:tmpl w:val="746A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D4E0C"/>
    <w:multiLevelType w:val="hybridMultilevel"/>
    <w:tmpl w:val="E1A6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33201"/>
    <w:multiLevelType w:val="hybridMultilevel"/>
    <w:tmpl w:val="20AE00C8"/>
    <w:lvl w:ilvl="0" w:tplc="76F86D7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32D05"/>
    <w:multiLevelType w:val="hybridMultilevel"/>
    <w:tmpl w:val="0E7E6E2E"/>
    <w:lvl w:ilvl="0" w:tplc="6AB636AE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7CB1747D"/>
    <w:multiLevelType w:val="hybridMultilevel"/>
    <w:tmpl w:val="68EC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306">
    <w:abstractNumId w:val="10"/>
  </w:num>
  <w:num w:numId="2" w16cid:durableId="850683201">
    <w:abstractNumId w:val="7"/>
  </w:num>
  <w:num w:numId="3" w16cid:durableId="1417634912">
    <w:abstractNumId w:val="3"/>
  </w:num>
  <w:num w:numId="4" w16cid:durableId="1322275793">
    <w:abstractNumId w:val="1"/>
  </w:num>
  <w:num w:numId="5" w16cid:durableId="107704959">
    <w:abstractNumId w:val="2"/>
  </w:num>
  <w:num w:numId="6" w16cid:durableId="211045498">
    <w:abstractNumId w:val="9"/>
  </w:num>
  <w:num w:numId="7" w16cid:durableId="62870733">
    <w:abstractNumId w:val="11"/>
  </w:num>
  <w:num w:numId="8" w16cid:durableId="992756987">
    <w:abstractNumId w:val="6"/>
  </w:num>
  <w:num w:numId="9" w16cid:durableId="930434694">
    <w:abstractNumId w:val="0"/>
  </w:num>
  <w:num w:numId="10" w16cid:durableId="1010502">
    <w:abstractNumId w:val="5"/>
  </w:num>
  <w:num w:numId="11" w16cid:durableId="379133255">
    <w:abstractNumId w:val="8"/>
  </w:num>
  <w:num w:numId="12" w16cid:durableId="61448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77"/>
    <w:rsid w:val="00002523"/>
    <w:rsid w:val="00002F87"/>
    <w:rsid w:val="00002F8F"/>
    <w:rsid w:val="00010064"/>
    <w:rsid w:val="000101E9"/>
    <w:rsid w:val="00030FDD"/>
    <w:rsid w:val="000530EF"/>
    <w:rsid w:val="00061CCE"/>
    <w:rsid w:val="00063351"/>
    <w:rsid w:val="00065E99"/>
    <w:rsid w:val="00071814"/>
    <w:rsid w:val="00076DE1"/>
    <w:rsid w:val="000911A7"/>
    <w:rsid w:val="000940B6"/>
    <w:rsid w:val="000A45EC"/>
    <w:rsid w:val="000B0CCB"/>
    <w:rsid w:val="000B7484"/>
    <w:rsid w:val="000C08C3"/>
    <w:rsid w:val="000C4FC6"/>
    <w:rsid w:val="000C5C58"/>
    <w:rsid w:val="000D0E7B"/>
    <w:rsid w:val="000D66A7"/>
    <w:rsid w:val="000E395E"/>
    <w:rsid w:val="000E7091"/>
    <w:rsid w:val="000F40F3"/>
    <w:rsid w:val="00101A77"/>
    <w:rsid w:val="00104AB5"/>
    <w:rsid w:val="00107963"/>
    <w:rsid w:val="0012733B"/>
    <w:rsid w:val="001308A0"/>
    <w:rsid w:val="0013399F"/>
    <w:rsid w:val="00145CDA"/>
    <w:rsid w:val="001666F8"/>
    <w:rsid w:val="00166BA2"/>
    <w:rsid w:val="001930BF"/>
    <w:rsid w:val="00193ACB"/>
    <w:rsid w:val="001A3A23"/>
    <w:rsid w:val="001C5C9F"/>
    <w:rsid w:val="001D30F4"/>
    <w:rsid w:val="001D6271"/>
    <w:rsid w:val="001D726F"/>
    <w:rsid w:val="001E2533"/>
    <w:rsid w:val="001E26B1"/>
    <w:rsid w:val="001E2AB1"/>
    <w:rsid w:val="001F06D0"/>
    <w:rsid w:val="001F2154"/>
    <w:rsid w:val="001F3652"/>
    <w:rsid w:val="002066A8"/>
    <w:rsid w:val="002078E2"/>
    <w:rsid w:val="00211F1E"/>
    <w:rsid w:val="00241F65"/>
    <w:rsid w:val="00242521"/>
    <w:rsid w:val="0024690A"/>
    <w:rsid w:val="00265B67"/>
    <w:rsid w:val="00286F0B"/>
    <w:rsid w:val="002901EB"/>
    <w:rsid w:val="0029507D"/>
    <w:rsid w:val="00296E91"/>
    <w:rsid w:val="002A4FFF"/>
    <w:rsid w:val="002B4A13"/>
    <w:rsid w:val="002D3083"/>
    <w:rsid w:val="002D5C0D"/>
    <w:rsid w:val="002D6E98"/>
    <w:rsid w:val="002F3A19"/>
    <w:rsid w:val="00303B92"/>
    <w:rsid w:val="0030765E"/>
    <w:rsid w:val="00315792"/>
    <w:rsid w:val="00316846"/>
    <w:rsid w:val="00322A88"/>
    <w:rsid w:val="003243CF"/>
    <w:rsid w:val="00325BDA"/>
    <w:rsid w:val="00334723"/>
    <w:rsid w:val="00336D06"/>
    <w:rsid w:val="003378D3"/>
    <w:rsid w:val="0034554E"/>
    <w:rsid w:val="0034630A"/>
    <w:rsid w:val="003646E2"/>
    <w:rsid w:val="00366427"/>
    <w:rsid w:val="00373047"/>
    <w:rsid w:val="00373C3B"/>
    <w:rsid w:val="0038523F"/>
    <w:rsid w:val="00392FC6"/>
    <w:rsid w:val="003A376C"/>
    <w:rsid w:val="003A7494"/>
    <w:rsid w:val="003B0F45"/>
    <w:rsid w:val="003B1395"/>
    <w:rsid w:val="003B48D7"/>
    <w:rsid w:val="003B76D1"/>
    <w:rsid w:val="003D0616"/>
    <w:rsid w:val="003D24C9"/>
    <w:rsid w:val="003E1AF0"/>
    <w:rsid w:val="003E1BA9"/>
    <w:rsid w:val="003E23E5"/>
    <w:rsid w:val="003E67C5"/>
    <w:rsid w:val="003F13BC"/>
    <w:rsid w:val="003F2E24"/>
    <w:rsid w:val="00402A0E"/>
    <w:rsid w:val="004121EF"/>
    <w:rsid w:val="004210EC"/>
    <w:rsid w:val="00421D64"/>
    <w:rsid w:val="004253E1"/>
    <w:rsid w:val="00433AEF"/>
    <w:rsid w:val="0043489B"/>
    <w:rsid w:val="00445F77"/>
    <w:rsid w:val="00461E08"/>
    <w:rsid w:val="004710CB"/>
    <w:rsid w:val="004860D4"/>
    <w:rsid w:val="00492DA0"/>
    <w:rsid w:val="0049410D"/>
    <w:rsid w:val="004A06D4"/>
    <w:rsid w:val="004B199B"/>
    <w:rsid w:val="004C53C0"/>
    <w:rsid w:val="004D3BCA"/>
    <w:rsid w:val="004D56D6"/>
    <w:rsid w:val="004D689A"/>
    <w:rsid w:val="004F6A82"/>
    <w:rsid w:val="00505A1F"/>
    <w:rsid w:val="00505DA8"/>
    <w:rsid w:val="00506CF7"/>
    <w:rsid w:val="0050778E"/>
    <w:rsid w:val="00507E24"/>
    <w:rsid w:val="005252F0"/>
    <w:rsid w:val="0053265F"/>
    <w:rsid w:val="00540CB0"/>
    <w:rsid w:val="00543AF2"/>
    <w:rsid w:val="005470E3"/>
    <w:rsid w:val="00570846"/>
    <w:rsid w:val="005E07FF"/>
    <w:rsid w:val="005E32B4"/>
    <w:rsid w:val="00602F56"/>
    <w:rsid w:val="00611B7D"/>
    <w:rsid w:val="00615AEC"/>
    <w:rsid w:val="0062329C"/>
    <w:rsid w:val="00625396"/>
    <w:rsid w:val="00631457"/>
    <w:rsid w:val="00650C5D"/>
    <w:rsid w:val="00653233"/>
    <w:rsid w:val="00660BD9"/>
    <w:rsid w:val="00661777"/>
    <w:rsid w:val="00667099"/>
    <w:rsid w:val="00670AB2"/>
    <w:rsid w:val="00671CA0"/>
    <w:rsid w:val="006823B6"/>
    <w:rsid w:val="0068370E"/>
    <w:rsid w:val="006867A3"/>
    <w:rsid w:val="00690BD8"/>
    <w:rsid w:val="006948BB"/>
    <w:rsid w:val="006B036A"/>
    <w:rsid w:val="006C0050"/>
    <w:rsid w:val="006C21E6"/>
    <w:rsid w:val="006D263F"/>
    <w:rsid w:val="006D6FA1"/>
    <w:rsid w:val="006F101E"/>
    <w:rsid w:val="006F23EF"/>
    <w:rsid w:val="006F4E90"/>
    <w:rsid w:val="00704244"/>
    <w:rsid w:val="0071749E"/>
    <w:rsid w:val="00761C3E"/>
    <w:rsid w:val="00764938"/>
    <w:rsid w:val="007806E6"/>
    <w:rsid w:val="00787C56"/>
    <w:rsid w:val="00794694"/>
    <w:rsid w:val="00797DD1"/>
    <w:rsid w:val="007C1E56"/>
    <w:rsid w:val="007D3E79"/>
    <w:rsid w:val="007F7657"/>
    <w:rsid w:val="00806EC3"/>
    <w:rsid w:val="00814DFB"/>
    <w:rsid w:val="0081792D"/>
    <w:rsid w:val="008358B9"/>
    <w:rsid w:val="008375E1"/>
    <w:rsid w:val="00854DF3"/>
    <w:rsid w:val="0086084D"/>
    <w:rsid w:val="008816EF"/>
    <w:rsid w:val="00884D35"/>
    <w:rsid w:val="00886689"/>
    <w:rsid w:val="008961A8"/>
    <w:rsid w:val="008B0BD0"/>
    <w:rsid w:val="008C0F8D"/>
    <w:rsid w:val="008C26EE"/>
    <w:rsid w:val="008C7450"/>
    <w:rsid w:val="008C7B94"/>
    <w:rsid w:val="008D0E41"/>
    <w:rsid w:val="008E7346"/>
    <w:rsid w:val="008F6473"/>
    <w:rsid w:val="00905783"/>
    <w:rsid w:val="009257C4"/>
    <w:rsid w:val="00927BE4"/>
    <w:rsid w:val="0093240F"/>
    <w:rsid w:val="00936122"/>
    <w:rsid w:val="0094426B"/>
    <w:rsid w:val="0094494F"/>
    <w:rsid w:val="00965AFC"/>
    <w:rsid w:val="00967158"/>
    <w:rsid w:val="00972057"/>
    <w:rsid w:val="009736AE"/>
    <w:rsid w:val="00974361"/>
    <w:rsid w:val="00982ABF"/>
    <w:rsid w:val="00985B4B"/>
    <w:rsid w:val="009A2A7F"/>
    <w:rsid w:val="009D0B95"/>
    <w:rsid w:val="009D4EA1"/>
    <w:rsid w:val="009E0446"/>
    <w:rsid w:val="009F52AA"/>
    <w:rsid w:val="00A02A1D"/>
    <w:rsid w:val="00A106EC"/>
    <w:rsid w:val="00A43140"/>
    <w:rsid w:val="00A44A71"/>
    <w:rsid w:val="00A4594E"/>
    <w:rsid w:val="00A45BB3"/>
    <w:rsid w:val="00A56951"/>
    <w:rsid w:val="00A56B58"/>
    <w:rsid w:val="00A62F63"/>
    <w:rsid w:val="00A63F64"/>
    <w:rsid w:val="00A75371"/>
    <w:rsid w:val="00A865E1"/>
    <w:rsid w:val="00A949F1"/>
    <w:rsid w:val="00AB669E"/>
    <w:rsid w:val="00AD0E47"/>
    <w:rsid w:val="00AE4019"/>
    <w:rsid w:val="00B07129"/>
    <w:rsid w:val="00B07769"/>
    <w:rsid w:val="00B10410"/>
    <w:rsid w:val="00B13080"/>
    <w:rsid w:val="00B13C33"/>
    <w:rsid w:val="00B16429"/>
    <w:rsid w:val="00B21D85"/>
    <w:rsid w:val="00B239C6"/>
    <w:rsid w:val="00B2514D"/>
    <w:rsid w:val="00B25BBD"/>
    <w:rsid w:val="00B36710"/>
    <w:rsid w:val="00B45AEB"/>
    <w:rsid w:val="00B520A8"/>
    <w:rsid w:val="00B6291B"/>
    <w:rsid w:val="00B63B4C"/>
    <w:rsid w:val="00B66BA8"/>
    <w:rsid w:val="00B67F51"/>
    <w:rsid w:val="00B824B8"/>
    <w:rsid w:val="00B859D6"/>
    <w:rsid w:val="00BA0A4C"/>
    <w:rsid w:val="00BA44F2"/>
    <w:rsid w:val="00BB559C"/>
    <w:rsid w:val="00BC0663"/>
    <w:rsid w:val="00BC1558"/>
    <w:rsid w:val="00BD05FE"/>
    <w:rsid w:val="00BF7C00"/>
    <w:rsid w:val="00C2270E"/>
    <w:rsid w:val="00C324BB"/>
    <w:rsid w:val="00C331FD"/>
    <w:rsid w:val="00C34B73"/>
    <w:rsid w:val="00C37E43"/>
    <w:rsid w:val="00C45D26"/>
    <w:rsid w:val="00C521DF"/>
    <w:rsid w:val="00C628D7"/>
    <w:rsid w:val="00C67026"/>
    <w:rsid w:val="00C83AA5"/>
    <w:rsid w:val="00CA3324"/>
    <w:rsid w:val="00CA3ECD"/>
    <w:rsid w:val="00CB2E9F"/>
    <w:rsid w:val="00CB60A8"/>
    <w:rsid w:val="00CB75C5"/>
    <w:rsid w:val="00CC170A"/>
    <w:rsid w:val="00CD0662"/>
    <w:rsid w:val="00CF1072"/>
    <w:rsid w:val="00D04764"/>
    <w:rsid w:val="00D10743"/>
    <w:rsid w:val="00D156BF"/>
    <w:rsid w:val="00D22243"/>
    <w:rsid w:val="00D353CD"/>
    <w:rsid w:val="00D46662"/>
    <w:rsid w:val="00D51137"/>
    <w:rsid w:val="00D5595D"/>
    <w:rsid w:val="00D70087"/>
    <w:rsid w:val="00DB33F9"/>
    <w:rsid w:val="00DB3EDC"/>
    <w:rsid w:val="00DC5535"/>
    <w:rsid w:val="00DE4EE2"/>
    <w:rsid w:val="00DE7EC5"/>
    <w:rsid w:val="00DF7099"/>
    <w:rsid w:val="00E353CC"/>
    <w:rsid w:val="00E47B21"/>
    <w:rsid w:val="00E60835"/>
    <w:rsid w:val="00E8682F"/>
    <w:rsid w:val="00E873AC"/>
    <w:rsid w:val="00E92F4B"/>
    <w:rsid w:val="00EB1E64"/>
    <w:rsid w:val="00EB6E42"/>
    <w:rsid w:val="00ED4DAA"/>
    <w:rsid w:val="00EE4431"/>
    <w:rsid w:val="00F033DF"/>
    <w:rsid w:val="00F31CC7"/>
    <w:rsid w:val="00F33422"/>
    <w:rsid w:val="00F33924"/>
    <w:rsid w:val="00F358AF"/>
    <w:rsid w:val="00F46DC2"/>
    <w:rsid w:val="00F55747"/>
    <w:rsid w:val="00F637AA"/>
    <w:rsid w:val="00F95609"/>
    <w:rsid w:val="00F978B1"/>
    <w:rsid w:val="00FD700C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D658"/>
  <w15:chartTrackingRefBased/>
  <w15:docId w15:val="{02A9DAB8-5D25-4A4B-8191-A78C770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0CB"/>
  </w:style>
  <w:style w:type="character" w:styleId="Odwoaniedokomentarza">
    <w:name w:val="annotation reference"/>
    <w:basedOn w:val="Domylnaczcionkaakapitu"/>
    <w:uiPriority w:val="99"/>
    <w:semiHidden/>
    <w:unhideWhenUsed/>
    <w:rsid w:val="00B07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6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33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33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33D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30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0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58AF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4690A"/>
    <w:rPr>
      <w:color w:val="808080"/>
    </w:rPr>
  </w:style>
  <w:style w:type="paragraph" w:styleId="Akapitzlist">
    <w:name w:val="List Paragraph"/>
    <w:basedOn w:val="Normalny"/>
    <w:uiPriority w:val="34"/>
    <w:qFormat/>
    <w:rsid w:val="00671CA0"/>
    <w:pPr>
      <w:ind w:left="720"/>
      <w:contextualSpacing/>
    </w:pPr>
  </w:style>
  <w:style w:type="paragraph" w:styleId="Poprawka">
    <w:name w:val="Revision"/>
    <w:hidden/>
    <w:uiPriority w:val="99"/>
    <w:semiHidden/>
    <w:rsid w:val="000A45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4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6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9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4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48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9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6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A936-B5B3-4654-8077-00BB4DE6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3500</Words>
  <Characters>21004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Pietrzak Ewa</cp:lastModifiedBy>
  <cp:revision>2</cp:revision>
  <dcterms:created xsi:type="dcterms:W3CDTF">2024-04-17T13:46:00Z</dcterms:created>
  <dcterms:modified xsi:type="dcterms:W3CDTF">2024-04-17T13:46:00Z</dcterms:modified>
</cp:coreProperties>
</file>