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BDB9" w14:textId="0E61CFED" w:rsidR="00D94B6F" w:rsidRPr="003D1D04" w:rsidRDefault="00436A0D" w:rsidP="00850CE0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3D1D04">
        <w:rPr>
          <w:rFonts w:ascii="Times New Roman" w:hAnsi="Times New Roman" w:cs="Times New Roman"/>
          <w:b/>
          <w:bCs/>
        </w:rPr>
        <w:t>UZASADNIENIE</w:t>
      </w:r>
    </w:p>
    <w:p w14:paraId="31882DF6" w14:textId="77777777" w:rsidR="00436A0D" w:rsidRDefault="00436A0D" w:rsidP="00436A0D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D1D04">
        <w:rPr>
          <w:rFonts w:ascii="Times New Roman" w:eastAsia="Times New Roman" w:hAnsi="Times New Roman" w:cs="Times New Roman"/>
          <w:b/>
          <w:lang w:eastAsia="pl-PL"/>
        </w:rPr>
        <w:t>1. Potrzeba i cel wydania ustawy oraz rzeczywisty stan w dziedzinie, która ma być unormowana</w:t>
      </w:r>
    </w:p>
    <w:p w14:paraId="792348E6" w14:textId="74B19E82" w:rsidR="00211906" w:rsidRDefault="00211906" w:rsidP="006718F4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pl" w:eastAsia="pl-PL"/>
        </w:rPr>
      </w:pPr>
      <w:r w:rsidRPr="00211906">
        <w:rPr>
          <w:rFonts w:ascii="Times New Roman" w:eastAsia="Times New Roman" w:hAnsi="Times New Roman" w:cs="Times New Roman"/>
          <w:bCs/>
          <w:lang w:val="pl" w:eastAsia="pl-PL"/>
        </w:rPr>
        <w:t xml:space="preserve">Projektowana ustawa </w:t>
      </w:r>
      <w:r w:rsidR="00835190">
        <w:rPr>
          <w:rFonts w:ascii="Times New Roman" w:eastAsia="Times New Roman" w:hAnsi="Times New Roman" w:cs="Times New Roman"/>
          <w:bCs/>
          <w:lang w:val="pl" w:eastAsia="pl-PL"/>
        </w:rPr>
        <w:t>wprowadz</w:t>
      </w:r>
      <w:r w:rsidR="000218AF">
        <w:rPr>
          <w:rFonts w:ascii="Times New Roman" w:eastAsia="Times New Roman" w:hAnsi="Times New Roman" w:cs="Times New Roman"/>
          <w:bCs/>
          <w:lang w:val="pl" w:eastAsia="pl-PL"/>
        </w:rPr>
        <w:t>a</w:t>
      </w:r>
      <w:r w:rsidR="00835190">
        <w:rPr>
          <w:rFonts w:ascii="Times New Roman" w:eastAsia="Times New Roman" w:hAnsi="Times New Roman" w:cs="Times New Roman"/>
          <w:bCs/>
          <w:lang w:val="pl" w:eastAsia="pl-PL"/>
        </w:rPr>
        <w:t xml:space="preserve"> dodatkow</w:t>
      </w:r>
      <w:r w:rsidR="000218AF">
        <w:rPr>
          <w:rFonts w:ascii="Times New Roman" w:eastAsia="Times New Roman" w:hAnsi="Times New Roman" w:cs="Times New Roman"/>
          <w:bCs/>
          <w:lang w:val="pl" w:eastAsia="pl-PL"/>
        </w:rPr>
        <w:t>y</w:t>
      </w:r>
      <w:r w:rsidR="00835190">
        <w:rPr>
          <w:rFonts w:ascii="Times New Roman" w:eastAsia="Times New Roman" w:hAnsi="Times New Roman" w:cs="Times New Roman"/>
          <w:bCs/>
          <w:lang w:val="pl" w:eastAsia="pl-PL"/>
        </w:rPr>
        <w:t xml:space="preserve"> warun</w:t>
      </w:r>
      <w:r w:rsidR="000218AF">
        <w:rPr>
          <w:rFonts w:ascii="Times New Roman" w:eastAsia="Times New Roman" w:hAnsi="Times New Roman" w:cs="Times New Roman"/>
          <w:bCs/>
          <w:lang w:val="pl" w:eastAsia="pl-PL"/>
        </w:rPr>
        <w:t>ek</w:t>
      </w:r>
      <w:r w:rsidR="00835190">
        <w:rPr>
          <w:rFonts w:ascii="Times New Roman" w:eastAsia="Times New Roman" w:hAnsi="Times New Roman" w:cs="Times New Roman"/>
          <w:bCs/>
          <w:lang w:val="pl" w:eastAsia="pl-PL"/>
        </w:rPr>
        <w:t xml:space="preserve"> podwyższenia emerytury do wysokości emerytury minimalnej polegając</w:t>
      </w:r>
      <w:r w:rsidR="00A63203">
        <w:rPr>
          <w:rFonts w:ascii="Times New Roman" w:eastAsia="Times New Roman" w:hAnsi="Times New Roman" w:cs="Times New Roman"/>
          <w:bCs/>
          <w:lang w:val="pl" w:eastAsia="pl-PL"/>
        </w:rPr>
        <w:t>y</w:t>
      </w:r>
      <w:r w:rsidR="00835190">
        <w:rPr>
          <w:rFonts w:ascii="Times New Roman" w:eastAsia="Times New Roman" w:hAnsi="Times New Roman" w:cs="Times New Roman"/>
          <w:bCs/>
          <w:lang w:val="pl" w:eastAsia="pl-PL"/>
        </w:rPr>
        <w:t xml:space="preserve"> na wykazaniu 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>zwaloryzowan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ej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wysokoś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ci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składek na ubezpieczenie emerytalne ewidencjonowan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ej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na koncie ubezpieczonego 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w</w:t>
      </w:r>
      <w:r w:rsidR="00A63203">
        <w:rPr>
          <w:rFonts w:ascii="Times New Roman" w:eastAsia="Times New Roman" w:hAnsi="Times New Roman" w:cs="Times New Roman"/>
          <w:bCs/>
          <w:lang w:val="pl" w:eastAsia="pl-PL"/>
        </w:rPr>
        <w:t> 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 xml:space="preserve">wysokości 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>nie niższ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ej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niż równowartość dwudziestopięciokrotności kwoty minimalnego wynagrodzenia pracowników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,</w:t>
      </w:r>
      <w:r w:rsidR="000218AF">
        <w:rPr>
          <w:rFonts w:ascii="Times New Roman" w:eastAsia="Times New Roman" w:hAnsi="Times New Roman" w:cs="Times New Roman"/>
          <w:bCs/>
          <w:lang w:val="pl" w:eastAsia="pl-PL"/>
        </w:rPr>
        <w:t xml:space="preserve"> w celu uszczelnienia systemu emerytalnego oraz ograniczenia ryzyka nadużyć i zjawiska tzw. turystyki emerytalnej.</w:t>
      </w:r>
    </w:p>
    <w:p w14:paraId="1AD1A2BC" w14:textId="1064461D" w:rsidR="002C7F7C" w:rsidRDefault="002C7F7C" w:rsidP="006718F4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val="pl" w:eastAsia="pl-PL"/>
        </w:rPr>
        <w:t xml:space="preserve">Do osiągnięcia wskazanych powyżej celów niezbędna jest zmiana w art. 87 ust. 1 ustawy </w:t>
      </w:r>
      <w:r w:rsidRPr="002C7F7C">
        <w:rPr>
          <w:rFonts w:ascii="Times New Roman" w:eastAsia="Times New Roman" w:hAnsi="Times New Roman" w:cs="Times New Roman"/>
          <w:bCs/>
          <w:lang w:eastAsia="pl-PL"/>
        </w:rPr>
        <w:t>z dnia 17 grudnia 1998 r. o emeryturach i rentach z Funduszu Ubezpieczeń Społecznych (Dz. U. z 2025 r. poz. 1749, z 2026 r. poz. 26)</w:t>
      </w:r>
      <w:r>
        <w:rPr>
          <w:rFonts w:ascii="Times New Roman" w:eastAsia="Times New Roman" w:hAnsi="Times New Roman" w:cs="Times New Roman"/>
          <w:bCs/>
          <w:lang w:eastAsia="pl-PL"/>
        </w:rPr>
        <w:t>, zwanej dalej „u.o.e.i.r.”.</w:t>
      </w:r>
    </w:p>
    <w:p w14:paraId="1014D6B7" w14:textId="6B7228D7" w:rsidR="000218AF" w:rsidRDefault="00835190" w:rsidP="000218AF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Zgodnie z obecnym brzmieniem art. 87 ust. 1 u.o.e.i.r. „gdy emerytura przysługująca z</w:t>
      </w:r>
      <w:r w:rsidR="00353196">
        <w:rPr>
          <w:rFonts w:ascii="Times New Roman" w:eastAsia="Times New Roman" w:hAnsi="Times New Roman" w:cs="Times New Roman"/>
          <w:bCs/>
          <w:lang w:eastAsia="pl-PL"/>
        </w:rPr>
        <w:t> 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Funduszu </w:t>
      </w:r>
      <w:r w:rsidRPr="00835190">
        <w:rPr>
          <w:rFonts w:ascii="Times New Roman" w:eastAsia="Times New Roman" w:hAnsi="Times New Roman" w:cs="Times New Roman"/>
          <w:bCs/>
          <w:lang w:eastAsia="pl-PL"/>
        </w:rPr>
        <w:t>określona w art. 26, łącznie z okresową emeryturą kapitałową, albo emerytura przysługująca z Funduszu określona w art. 26, jest niższa niż kwota, o której mowa w art. 85 ust. 2 i 3</w:t>
      </w:r>
      <w:r>
        <w:rPr>
          <w:rFonts w:ascii="Times New Roman" w:eastAsia="Times New Roman" w:hAnsi="Times New Roman" w:cs="Times New Roman"/>
          <w:bCs/>
          <w:lang w:eastAsia="pl-PL"/>
        </w:rPr>
        <w:t>”, a więc</w:t>
      </w:r>
      <w:r w:rsidR="00E977FE">
        <w:rPr>
          <w:rFonts w:ascii="Times New Roman" w:eastAsia="Times New Roman" w:hAnsi="Times New Roman" w:cs="Times New Roman"/>
          <w:bCs/>
          <w:lang w:eastAsia="pl-PL"/>
        </w:rPr>
        <w:t xml:space="preserve"> jest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niższa niż kwota najniższej emerytury</w:t>
      </w:r>
      <w:r w:rsidR="00E977FE">
        <w:rPr>
          <w:rFonts w:ascii="Times New Roman" w:eastAsia="Times New Roman" w:hAnsi="Times New Roman" w:cs="Times New Roman"/>
          <w:bCs/>
          <w:lang w:eastAsia="pl-PL"/>
        </w:rPr>
        <w:t xml:space="preserve"> – 1588,44 zł miesięcznie</w:t>
      </w:r>
      <w:r>
        <w:rPr>
          <w:rFonts w:ascii="Times New Roman" w:eastAsia="Times New Roman" w:hAnsi="Times New Roman" w:cs="Times New Roman"/>
          <w:bCs/>
          <w:lang w:eastAsia="pl-PL"/>
        </w:rPr>
        <w:t>, którą podwyższa się przy zastosowaniu wskaźnika waloryzacji</w:t>
      </w:r>
      <w:r w:rsidR="00E977FE" w:rsidRPr="00E977FE">
        <w:rPr>
          <w:rFonts w:ascii="Times New Roman" w:eastAsia="Times New Roman" w:hAnsi="Times New Roman" w:cs="Times New Roman"/>
          <w:bCs/>
          <w:lang w:eastAsia="pl-PL"/>
        </w:rPr>
        <w:t>, o którym mowa w art. 89–94</w:t>
      </w:r>
      <w:r w:rsidR="00E977FE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>(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>od 1 marca 2026 r. najniższa emerytura wynosi 1 978,49 zł brutto</w:t>
      </w:r>
      <w:r w:rsidR="00684749">
        <w:rPr>
          <w:rStyle w:val="Odwoanieprzypisudolnego"/>
          <w:rFonts w:ascii="Times New Roman" w:eastAsia="Times New Roman" w:hAnsi="Times New Roman" w:cs="Times New Roman"/>
          <w:bCs/>
          <w:lang w:eastAsia="pl-PL"/>
        </w:rPr>
        <w:footnoteReference w:id="1"/>
      </w:r>
      <w:r w:rsidR="00684749">
        <w:rPr>
          <w:rFonts w:ascii="Times New Roman" w:eastAsia="Times New Roman" w:hAnsi="Times New Roman" w:cs="Times New Roman"/>
          <w:bCs/>
          <w:lang w:eastAsia="pl-PL"/>
        </w:rPr>
        <w:t>, a 1 800,43 zł netto), to „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emeryturę przysługującą z Funduszu, w tym emeryturę ustaloną ze zwiększeniem,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o którym mowa w art. 26a, podwyższa się w taki sposób, aby suma tych świadczeń nie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była niższa od tej kwoty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>”, ale pod warunkiem, że ubezpieczony mężczyzna „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osiągnął wiek emerytalny wynoszący 65 lat i ma okres składkowy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i nieskładkowy wynoszący co najmniej 25 lat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>”, a</w:t>
      </w:r>
      <w:r w:rsidR="00353196">
        <w:rPr>
          <w:rFonts w:ascii="Times New Roman" w:eastAsia="Times New Roman" w:hAnsi="Times New Roman" w:cs="Times New Roman"/>
          <w:bCs/>
          <w:lang w:eastAsia="pl-PL"/>
        </w:rPr>
        <w:t> 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>ubezpieczony kobieta „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osiągnęła wiek emerytalny wynoszący 60 lat i ma okres składkowy i</w:t>
      </w:r>
      <w:r w:rsidR="00353196">
        <w:rPr>
          <w:rFonts w:ascii="Times New Roman" w:eastAsia="Times New Roman" w:hAnsi="Times New Roman" w:cs="Times New Roman"/>
          <w:bCs/>
          <w:lang w:eastAsia="pl-PL"/>
        </w:rPr>
        <w:t> </w:t>
      </w:r>
      <w:r w:rsidR="00684749" w:rsidRPr="00684749">
        <w:rPr>
          <w:rFonts w:ascii="Times New Roman" w:eastAsia="Times New Roman" w:hAnsi="Times New Roman" w:cs="Times New Roman"/>
          <w:bCs/>
          <w:lang w:eastAsia="pl-PL"/>
        </w:rPr>
        <w:t>nieskładkowy wynoszący co najmniej 20 lat</w:t>
      </w:r>
      <w:r w:rsidR="00684749">
        <w:rPr>
          <w:rFonts w:ascii="Times New Roman" w:eastAsia="Times New Roman" w:hAnsi="Times New Roman" w:cs="Times New Roman"/>
          <w:bCs/>
          <w:lang w:eastAsia="pl-PL"/>
        </w:rPr>
        <w:t>” oraz z uwzględnieniem ust. 3-7.</w:t>
      </w:r>
      <w:r w:rsidR="00E977FE">
        <w:rPr>
          <w:rFonts w:ascii="Times New Roman" w:eastAsia="Times New Roman" w:hAnsi="Times New Roman" w:cs="Times New Roman"/>
          <w:bCs/>
          <w:lang w:eastAsia="pl-PL"/>
        </w:rPr>
        <w:t xml:space="preserve"> Wyrównanie do tzw. emerytury minimalnej jest zatem możliwe dla osób, które osiągnęły wiek emerytalny oraz posiadają okres składkowy i nieskładkowy wynoszący co najmniej 20 lat (kobiety) lub 25 lat (mężczyźni). Bez znaczenia jest to jaka jest proporcja pomiędzy okresami składkowymi i</w:t>
      </w:r>
      <w:r w:rsidR="00A63203">
        <w:rPr>
          <w:rFonts w:ascii="Times New Roman" w:eastAsia="Times New Roman" w:hAnsi="Times New Roman" w:cs="Times New Roman"/>
          <w:bCs/>
          <w:lang w:eastAsia="pl-PL"/>
        </w:rPr>
        <w:t> </w:t>
      </w:r>
      <w:r w:rsidR="00E977FE">
        <w:rPr>
          <w:rFonts w:ascii="Times New Roman" w:eastAsia="Times New Roman" w:hAnsi="Times New Roman" w:cs="Times New Roman"/>
          <w:bCs/>
          <w:lang w:eastAsia="pl-PL"/>
        </w:rPr>
        <w:t>nieskładkowymi, a także czy okresy składkowe miały miejsce w kraju, czy za granicą oraz to czy ubezpieczony jest obywatelem polskim czy obcokrajowcem np. obywatelem Ukrainy.</w:t>
      </w:r>
      <w:r w:rsidR="005B0EDC">
        <w:rPr>
          <w:rFonts w:ascii="Times New Roman" w:eastAsia="Times New Roman" w:hAnsi="Times New Roman" w:cs="Times New Roman"/>
          <w:bCs/>
          <w:lang w:eastAsia="pl-PL"/>
        </w:rPr>
        <w:t xml:space="preserve"> Nie ma także znaczenia </w:t>
      </w:r>
      <w:r w:rsidR="005B0EDC" w:rsidRPr="005B0EDC">
        <w:rPr>
          <w:rFonts w:ascii="Times New Roman" w:eastAsia="Times New Roman" w:hAnsi="Times New Roman" w:cs="Times New Roman"/>
          <w:bCs/>
          <w:lang w:eastAsia="pl-PL"/>
        </w:rPr>
        <w:t>zwaloryzowana wysokość składek na ubezpieczenie emerytalne ewidencjonowana na koncie ubezpieczonego</w:t>
      </w:r>
      <w:r w:rsidR="005B0EDC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7DF3E36D" w14:textId="49E4978C" w:rsidR="00835190" w:rsidRDefault="00E977FE" w:rsidP="000218AF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Warto wskazać także na brzmienie art. 85 ust. 4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 xml:space="preserve"> u.o.e.i.r.</w:t>
      </w:r>
      <w:r>
        <w:rPr>
          <w:rFonts w:ascii="Times New Roman" w:eastAsia="Times New Roman" w:hAnsi="Times New Roman" w:cs="Times New Roman"/>
          <w:bCs/>
          <w:lang w:eastAsia="pl-PL"/>
        </w:rPr>
        <w:t>, zgodnie z którym „ś</w:t>
      </w:r>
      <w:r w:rsidRPr="00E977FE">
        <w:rPr>
          <w:rFonts w:ascii="Times New Roman" w:eastAsia="Times New Roman" w:hAnsi="Times New Roman" w:cs="Times New Roman"/>
          <w:bCs/>
          <w:lang w:eastAsia="pl-PL"/>
        </w:rPr>
        <w:t>wiadczenia ustalone w kwotach niższych niż określone w ust. 1–3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 xml:space="preserve"> (…) </w:t>
      </w:r>
      <w:r w:rsidRPr="00E977FE">
        <w:rPr>
          <w:rFonts w:ascii="Times New Roman" w:eastAsia="Times New Roman" w:hAnsi="Times New Roman" w:cs="Times New Roman"/>
          <w:bCs/>
          <w:lang w:eastAsia="pl-PL"/>
        </w:rPr>
        <w:t>podwyższa się do tych kwot z</w:t>
      </w:r>
      <w:r w:rsidR="00353196">
        <w:rPr>
          <w:rFonts w:ascii="Times New Roman" w:eastAsia="Times New Roman" w:hAnsi="Times New Roman" w:cs="Times New Roman"/>
          <w:bCs/>
          <w:lang w:eastAsia="pl-PL"/>
        </w:rPr>
        <w:t> </w:t>
      </w:r>
      <w:r w:rsidRPr="00E977FE">
        <w:rPr>
          <w:rFonts w:ascii="Times New Roman" w:eastAsia="Times New Roman" w:hAnsi="Times New Roman" w:cs="Times New Roman"/>
          <w:bCs/>
          <w:lang w:eastAsia="pl-PL"/>
        </w:rPr>
        <w:t>urzędu, a jeżeli ich wypłata była wstrzymana – po wznowieniu wypłaty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>”, a także na ust. 5, który stanowi, że „p</w:t>
      </w:r>
      <w:r w:rsidR="000218AF" w:rsidRPr="000218AF">
        <w:rPr>
          <w:rFonts w:ascii="Times New Roman" w:eastAsia="Times New Roman" w:hAnsi="Times New Roman" w:cs="Times New Roman"/>
          <w:bCs/>
          <w:lang w:eastAsia="pl-PL"/>
        </w:rPr>
        <w:t>rzepis ust. 4 stosuje się do świadczeń przyznanych zgodnie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218AF" w:rsidRPr="000218AF">
        <w:rPr>
          <w:rFonts w:ascii="Times New Roman" w:eastAsia="Times New Roman" w:hAnsi="Times New Roman" w:cs="Times New Roman"/>
          <w:bCs/>
          <w:lang w:eastAsia="pl-PL"/>
        </w:rPr>
        <w:t>z</w:t>
      </w:r>
      <w:r w:rsidR="00353196">
        <w:rPr>
          <w:rFonts w:ascii="Times New Roman" w:eastAsia="Times New Roman" w:hAnsi="Times New Roman" w:cs="Times New Roman"/>
          <w:bCs/>
          <w:lang w:eastAsia="pl-PL"/>
        </w:rPr>
        <w:t> </w:t>
      </w:r>
      <w:r w:rsidR="000218AF" w:rsidRPr="000218AF">
        <w:rPr>
          <w:rFonts w:ascii="Times New Roman" w:eastAsia="Times New Roman" w:hAnsi="Times New Roman" w:cs="Times New Roman"/>
          <w:bCs/>
          <w:lang w:eastAsia="pl-PL"/>
        </w:rPr>
        <w:t>postanowieniami umów międzynarodowych ubezpieczonym zamieszkałym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218AF" w:rsidRPr="000218AF">
        <w:rPr>
          <w:rFonts w:ascii="Times New Roman" w:eastAsia="Times New Roman" w:hAnsi="Times New Roman" w:cs="Times New Roman"/>
          <w:bCs/>
          <w:lang w:eastAsia="pl-PL"/>
        </w:rPr>
        <w:t>w Polsce, w taki sposób, aby suma świadczenia przyznanego na podstawie ustawy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218AF" w:rsidRPr="000218AF">
        <w:rPr>
          <w:rFonts w:ascii="Times New Roman" w:eastAsia="Times New Roman" w:hAnsi="Times New Roman" w:cs="Times New Roman"/>
          <w:bCs/>
          <w:lang w:eastAsia="pl-PL"/>
        </w:rPr>
        <w:t>i świadczenia zagranicznego nie była niższa od kwoty świadczeń określonych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218AF" w:rsidRPr="000218AF">
        <w:rPr>
          <w:rFonts w:ascii="Times New Roman" w:eastAsia="Times New Roman" w:hAnsi="Times New Roman" w:cs="Times New Roman"/>
          <w:bCs/>
          <w:lang w:eastAsia="pl-PL"/>
        </w:rPr>
        <w:t>w ust. 1–3</w:t>
      </w:r>
      <w:r w:rsidR="000218AF">
        <w:rPr>
          <w:rFonts w:ascii="Times New Roman" w:eastAsia="Times New Roman" w:hAnsi="Times New Roman" w:cs="Times New Roman"/>
          <w:bCs/>
          <w:lang w:eastAsia="pl-PL"/>
        </w:rPr>
        <w:t>”.</w:t>
      </w:r>
    </w:p>
    <w:p w14:paraId="62EC77D7" w14:textId="56EB5A8E" w:rsidR="00514A61" w:rsidRPr="00802DA6" w:rsidRDefault="000218AF" w:rsidP="00344C1F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Jedną z takich umów międzynarodowych jest </w:t>
      </w:r>
      <w:r w:rsidR="00917E2E">
        <w:rPr>
          <w:rFonts w:ascii="Times New Roman" w:eastAsia="Times New Roman" w:hAnsi="Times New Roman" w:cs="Times New Roman"/>
          <w:bCs/>
          <w:lang w:eastAsia="pl-PL"/>
        </w:rPr>
        <w:t>Umowa między Rzecząpospolitą Polską a Ukrainą o zabezpieczeniu społecznym, sporządzona w Kijowie dnia 18 maja 2012 r. (Dz.U. 2013 poz. 1373), która weszła w życie w dniu 1 stycznia 2014 r. Umowa ta ma na celu ochronę osób, które pracują lub pracowały w obu tych państwach. Jej przepisy zakładają, że ustalając prawo do emerytury bierze się pod uwagę również okresy ubezpieczenia w drugim państwie</w:t>
      </w:r>
      <w:r w:rsidR="00FE100F">
        <w:rPr>
          <w:rFonts w:ascii="Times New Roman" w:eastAsia="Times New Roman" w:hAnsi="Times New Roman" w:cs="Times New Roman"/>
          <w:bCs/>
          <w:lang w:eastAsia="pl-PL"/>
        </w:rPr>
        <w:t xml:space="preserve">. </w:t>
      </w:r>
      <w:r w:rsidR="00FE100F" w:rsidRPr="00FE100F">
        <w:rPr>
          <w:rFonts w:ascii="Times New Roman" w:eastAsia="Times New Roman" w:hAnsi="Times New Roman" w:cs="Times New Roman"/>
          <w:bCs/>
          <w:lang w:eastAsia="pl-PL"/>
        </w:rPr>
        <w:t>Zgodnie z umową przy ustalaniu prawa do emerytury minimalnej w Polsce bierze się pod uwagę również okresy pracy w Ukrainie</w:t>
      </w:r>
      <w:r w:rsidR="00FE100F">
        <w:rPr>
          <w:rFonts w:ascii="Times New Roman" w:eastAsia="Times New Roman" w:hAnsi="Times New Roman" w:cs="Times New Roman"/>
          <w:bCs/>
          <w:lang w:eastAsia="pl-PL"/>
        </w:rPr>
        <w:t xml:space="preserve">, a </w:t>
      </w:r>
      <w:r w:rsidR="00FE100F" w:rsidRPr="00FE100F">
        <w:rPr>
          <w:rFonts w:ascii="Times New Roman" w:eastAsia="Times New Roman" w:hAnsi="Times New Roman" w:cs="Times New Roman"/>
          <w:bCs/>
          <w:lang w:eastAsia="pl-PL"/>
        </w:rPr>
        <w:t>wyrównanie świadczenia do kwoty minimalnej emerytury następuje od sumy świadczeń z obu państw</w:t>
      </w:r>
      <w:r w:rsidR="00FE100F">
        <w:rPr>
          <w:rStyle w:val="Odwoanieprzypisudolnego"/>
          <w:rFonts w:ascii="Times New Roman" w:eastAsia="Times New Roman" w:hAnsi="Times New Roman" w:cs="Times New Roman"/>
          <w:bCs/>
          <w:lang w:eastAsia="pl-PL"/>
        </w:rPr>
        <w:footnoteReference w:id="2"/>
      </w:r>
      <w:r w:rsidR="00FE100F" w:rsidRPr="00FE100F">
        <w:rPr>
          <w:rFonts w:ascii="Times New Roman" w:eastAsia="Times New Roman" w:hAnsi="Times New Roman" w:cs="Times New Roman"/>
          <w:bCs/>
          <w:lang w:eastAsia="pl-PL"/>
        </w:rPr>
        <w:t>.</w:t>
      </w:r>
      <w:r w:rsidR="00344C1F">
        <w:rPr>
          <w:rFonts w:ascii="Times New Roman" w:eastAsia="Times New Roman" w:hAnsi="Times New Roman" w:cs="Times New Roman"/>
          <w:bCs/>
          <w:lang w:eastAsia="pl-PL"/>
        </w:rPr>
        <w:t xml:space="preserve"> Poza Ukrainą Rzeczpospolitą Polską umowy o zabezpieczeniu społecznym wiążą także z 13 innymi krajami spoza Unii Europejskiej m.in. z Australią, Białorusią, Izraelem, Kanadą czy Turcją. Umowy te są dwustronne, a więc na dopłatach do emerytur zyskać mogą zarówno Polacy jak i obcokrajowcy, ale jak przyznaje w</w:t>
      </w:r>
      <w:r w:rsidR="00353196">
        <w:rPr>
          <w:rFonts w:ascii="Times New Roman" w:eastAsia="Times New Roman" w:hAnsi="Times New Roman" w:cs="Times New Roman"/>
          <w:bCs/>
          <w:lang w:eastAsia="pl-PL"/>
        </w:rPr>
        <w:t> </w:t>
      </w:r>
      <w:r w:rsidR="00344C1F">
        <w:rPr>
          <w:rFonts w:ascii="Times New Roman" w:eastAsia="Times New Roman" w:hAnsi="Times New Roman" w:cs="Times New Roman"/>
          <w:bCs/>
          <w:lang w:eastAsia="pl-PL"/>
        </w:rPr>
        <w:t>swojej analizie portal money.pl: „p</w:t>
      </w:r>
      <w:r w:rsidR="00344C1F" w:rsidRPr="00344C1F">
        <w:rPr>
          <w:rFonts w:ascii="Times New Roman" w:eastAsia="Times New Roman" w:hAnsi="Times New Roman" w:cs="Times New Roman"/>
          <w:bCs/>
          <w:lang w:eastAsia="pl-PL"/>
        </w:rPr>
        <w:t>rawdą jest oczywiście, że w przypadku Polski i Ukrainy to obywatele tego drugiego kraju są beneficjentami systemu</w:t>
      </w:r>
      <w:r w:rsidR="00344C1F">
        <w:rPr>
          <w:rFonts w:ascii="Times New Roman" w:eastAsia="Times New Roman" w:hAnsi="Times New Roman" w:cs="Times New Roman"/>
          <w:bCs/>
          <w:lang w:eastAsia="pl-PL"/>
        </w:rPr>
        <w:t>”</w:t>
      </w:r>
      <w:r w:rsidR="00344C1F">
        <w:rPr>
          <w:rStyle w:val="Odwoanieprzypisudolnego"/>
          <w:rFonts w:ascii="Times New Roman" w:eastAsia="Times New Roman" w:hAnsi="Times New Roman" w:cs="Times New Roman"/>
          <w:bCs/>
          <w:lang w:eastAsia="pl-PL"/>
        </w:rPr>
        <w:footnoteReference w:id="3"/>
      </w:r>
      <w:r w:rsidR="00802DA6">
        <w:rPr>
          <w:rFonts w:ascii="Times New Roman" w:eastAsia="Times New Roman" w:hAnsi="Times New Roman" w:cs="Times New Roman"/>
          <w:bCs/>
          <w:lang w:eastAsia="pl-PL"/>
        </w:rPr>
        <w:t xml:space="preserve">, dlatego że emerytury ukraińskie są znacząco niższe od polskich, a </w:t>
      </w:r>
      <w:r w:rsidR="00802DA6" w:rsidRPr="00802DA6">
        <w:rPr>
          <w:rFonts w:ascii="Times New Roman" w:eastAsia="Times New Roman" w:hAnsi="Times New Roman" w:cs="Times New Roman"/>
          <w:bCs/>
          <w:lang w:eastAsia="pl-PL"/>
        </w:rPr>
        <w:t xml:space="preserve">minimalna emerytura </w:t>
      </w:r>
      <w:r w:rsidR="00802DA6">
        <w:rPr>
          <w:rFonts w:ascii="Times New Roman" w:eastAsia="Times New Roman" w:hAnsi="Times New Roman" w:cs="Times New Roman"/>
          <w:bCs/>
          <w:lang w:eastAsia="pl-PL"/>
        </w:rPr>
        <w:t>na</w:t>
      </w:r>
      <w:r w:rsidR="00802DA6" w:rsidRPr="00802DA6">
        <w:rPr>
          <w:rFonts w:ascii="Times New Roman" w:eastAsia="Times New Roman" w:hAnsi="Times New Roman" w:cs="Times New Roman"/>
          <w:bCs/>
          <w:lang w:eastAsia="pl-PL"/>
        </w:rPr>
        <w:t xml:space="preserve"> Ukrainie w 2026 r</w:t>
      </w:r>
      <w:r w:rsidR="00802DA6">
        <w:rPr>
          <w:rFonts w:ascii="Times New Roman" w:eastAsia="Times New Roman" w:hAnsi="Times New Roman" w:cs="Times New Roman"/>
          <w:bCs/>
          <w:lang w:eastAsia="pl-PL"/>
        </w:rPr>
        <w:t>.</w:t>
      </w:r>
      <w:r w:rsidR="00802DA6" w:rsidRPr="00802DA6">
        <w:rPr>
          <w:rFonts w:ascii="Times New Roman" w:eastAsia="Times New Roman" w:hAnsi="Times New Roman" w:cs="Times New Roman"/>
          <w:bCs/>
          <w:lang w:eastAsia="pl-PL"/>
        </w:rPr>
        <w:t xml:space="preserve"> wynosi</w:t>
      </w:r>
      <w:r w:rsidR="00802DA6" w:rsidRPr="00802DA6">
        <w:rPr>
          <w:rFonts w:ascii="Times New Roman" w:eastAsia="Times New Roman" w:hAnsi="Times New Roman" w:cs="Times New Roman"/>
          <w:b/>
          <w:bCs/>
          <w:lang w:eastAsia="pl-PL"/>
        </w:rPr>
        <w:t> </w:t>
      </w:r>
      <w:r w:rsidR="00802DA6" w:rsidRPr="00802DA6">
        <w:rPr>
          <w:rFonts w:ascii="Times New Roman" w:eastAsia="Times New Roman" w:hAnsi="Times New Roman" w:cs="Times New Roman"/>
          <w:lang w:eastAsia="pl-PL"/>
        </w:rPr>
        <w:t>2595 hrywien (około 214 zł)</w:t>
      </w:r>
      <w:r w:rsidR="00802DA6">
        <w:rPr>
          <w:rStyle w:val="Odwoanieprzypisudolnego"/>
          <w:rFonts w:ascii="Times New Roman" w:eastAsia="Times New Roman" w:hAnsi="Times New Roman" w:cs="Times New Roman"/>
          <w:lang w:eastAsia="pl-PL"/>
        </w:rPr>
        <w:footnoteReference w:id="4"/>
      </w:r>
      <w:r w:rsidR="00FA5EC1">
        <w:rPr>
          <w:rFonts w:ascii="Times New Roman" w:eastAsia="Times New Roman" w:hAnsi="Times New Roman" w:cs="Times New Roman"/>
          <w:lang w:eastAsia="pl-PL"/>
        </w:rPr>
        <w:t>, toteż istnieje duża motywacja ekonomiczna do tego typu działań.</w:t>
      </w:r>
      <w:r w:rsidR="00A63203">
        <w:rPr>
          <w:rFonts w:ascii="Times New Roman" w:eastAsia="Times New Roman" w:hAnsi="Times New Roman" w:cs="Times New Roman"/>
          <w:lang w:eastAsia="pl-PL"/>
        </w:rPr>
        <w:t xml:space="preserve"> O</w:t>
      </w:r>
      <w:r w:rsidR="00A63203" w:rsidRPr="00A63203">
        <w:rPr>
          <w:rFonts w:ascii="Times New Roman" w:eastAsia="Times New Roman" w:hAnsi="Times New Roman" w:cs="Times New Roman"/>
          <w:lang w:eastAsia="pl-PL"/>
        </w:rPr>
        <w:t>becne zasady są niekorzystne dla polskich podatników, m.in. ze względu na znaczną różnicę w wysokości świadczeń emerytalnych w Polsce i na Ukrainie.</w:t>
      </w:r>
    </w:p>
    <w:p w14:paraId="4492333C" w14:textId="35AABEB7" w:rsidR="00344C1F" w:rsidRDefault="00344C1F" w:rsidP="00344C1F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Z </w:t>
      </w:r>
      <w:r w:rsidRPr="00344C1F">
        <w:rPr>
          <w:rFonts w:ascii="Times New Roman" w:eastAsia="Times New Roman" w:hAnsi="Times New Roman" w:cs="Times New Roman"/>
          <w:bCs/>
          <w:lang w:eastAsia="pl-PL"/>
        </w:rPr>
        <w:t>danych Ministerstwa Rodziny, Pracy i Polityki Społecznej</w:t>
      </w:r>
      <w:r w:rsidR="00514A61">
        <w:rPr>
          <w:rStyle w:val="Odwoanieprzypisudolnego"/>
          <w:rFonts w:ascii="Times New Roman" w:eastAsia="Times New Roman" w:hAnsi="Times New Roman" w:cs="Times New Roman"/>
          <w:bCs/>
          <w:lang w:eastAsia="pl-PL"/>
        </w:rPr>
        <w:footnoteReference w:id="5"/>
      </w:r>
      <w:r w:rsidRPr="00344C1F">
        <w:rPr>
          <w:rFonts w:ascii="Times New Roman" w:eastAsia="Times New Roman" w:hAnsi="Times New Roman" w:cs="Times New Roman"/>
          <w:bCs/>
          <w:lang w:eastAsia="pl-PL"/>
        </w:rPr>
        <w:t xml:space="preserve"> wynika, że </w:t>
      </w:r>
      <w:r>
        <w:rPr>
          <w:rFonts w:ascii="Times New Roman" w:eastAsia="Times New Roman" w:hAnsi="Times New Roman" w:cs="Times New Roman"/>
          <w:bCs/>
          <w:lang w:eastAsia="pl-PL"/>
        </w:rPr>
        <w:t>Polska rok do roku</w:t>
      </w:r>
      <w:r w:rsidRPr="00344C1F">
        <w:rPr>
          <w:rFonts w:ascii="Times New Roman" w:eastAsia="Times New Roman" w:hAnsi="Times New Roman" w:cs="Times New Roman"/>
          <w:bCs/>
          <w:lang w:eastAsia="pl-PL"/>
        </w:rPr>
        <w:t xml:space="preserve"> coraz więcej dopłaca do minimalnych emerytur obywateli Ukrainy, by ich świadczenia osiągały poziom gwarantowany przez polski system.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>Według danych ZUS w lipcu 2026 r. z</w:t>
      </w:r>
      <w:r w:rsidR="00A63203">
        <w:rPr>
          <w:rFonts w:ascii="Times New Roman" w:eastAsia="Times New Roman" w:hAnsi="Times New Roman" w:cs="Times New Roman"/>
          <w:bCs/>
          <w:lang w:eastAsia="pl-PL"/>
        </w:rPr>
        <w:t> 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>wyrównania do poziomu minimalnej emerytury korzystało 13,1 tys. cudzoziemców, w tym 1,5 tys. obywateli Ukrainy</w:t>
      </w:r>
      <w:r w:rsidR="00A63203">
        <w:rPr>
          <w:rFonts w:ascii="Times New Roman" w:eastAsia="Times New Roman" w:hAnsi="Times New Roman" w:cs="Times New Roman"/>
          <w:bCs/>
          <w:lang w:eastAsia="pl-PL"/>
        </w:rPr>
        <w:t>, a w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 xml:space="preserve"> 2025 r. dopłaty do minimalnych emerytur dla wszystkich cudzoziemców wyniosły 123,5 mln zł</w:t>
      </w:r>
      <w:r w:rsidR="00927B42">
        <w:rPr>
          <w:rStyle w:val="Odwoanieprzypisudolnego"/>
          <w:rFonts w:ascii="Times New Roman" w:eastAsia="Times New Roman" w:hAnsi="Times New Roman" w:cs="Times New Roman"/>
          <w:bCs/>
          <w:lang w:eastAsia="pl-PL"/>
        </w:rPr>
        <w:footnoteReference w:id="6"/>
      </w:r>
      <w:r w:rsidR="00927B42">
        <w:rPr>
          <w:rFonts w:ascii="Times New Roman" w:eastAsia="Times New Roman" w:hAnsi="Times New Roman" w:cs="Times New Roman"/>
          <w:bCs/>
          <w:lang w:eastAsia="pl-PL"/>
        </w:rPr>
        <w:t xml:space="preserve">. Jednym z przykładów na działanie obecnych przepisów jest 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>przypadek obywatelki Ukrainy, której emerytura wypracowana w Polsce wynosiłaby zaledwie 13,86 zł miesięcznie</w:t>
      </w:r>
      <w:r w:rsidR="00927B42">
        <w:rPr>
          <w:rFonts w:ascii="Times New Roman" w:eastAsia="Times New Roman" w:hAnsi="Times New Roman" w:cs="Times New Roman"/>
          <w:bCs/>
          <w:lang w:eastAsia="pl-PL"/>
        </w:rPr>
        <w:t>, ale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927B42">
        <w:rPr>
          <w:rFonts w:ascii="Times New Roman" w:eastAsia="Times New Roman" w:hAnsi="Times New Roman" w:cs="Times New Roman"/>
          <w:bCs/>
          <w:lang w:eastAsia="pl-PL"/>
        </w:rPr>
        <w:t>d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 xml:space="preserve">zięki przepisom jej świadczenie może zostać podwyższone do poziomu polskiej emerytury minimalnej. </w:t>
      </w:r>
      <w:r w:rsidR="00927B42">
        <w:rPr>
          <w:rFonts w:ascii="Times New Roman" w:eastAsia="Times New Roman" w:hAnsi="Times New Roman" w:cs="Times New Roman"/>
          <w:bCs/>
          <w:lang w:eastAsia="pl-PL"/>
        </w:rPr>
        <w:t xml:space="preserve">W tym przypadku 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>miesięczna dopłata wyn</w:t>
      </w:r>
      <w:r w:rsidR="00927B42">
        <w:rPr>
          <w:rFonts w:ascii="Times New Roman" w:eastAsia="Times New Roman" w:hAnsi="Times New Roman" w:cs="Times New Roman"/>
          <w:bCs/>
          <w:lang w:eastAsia="pl-PL"/>
        </w:rPr>
        <w:t xml:space="preserve">iosła </w:t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>1539,49 zł, a dodatkowo wypłacono ponad 73 tys. zł wyrównania za wcześniejszy okres</w:t>
      </w:r>
      <w:r w:rsidR="00927B42">
        <w:rPr>
          <w:rStyle w:val="Odwoanieprzypisudolnego"/>
          <w:rFonts w:ascii="Times New Roman" w:eastAsia="Times New Roman" w:hAnsi="Times New Roman" w:cs="Times New Roman"/>
          <w:bCs/>
          <w:lang w:eastAsia="pl-PL"/>
        </w:rPr>
        <w:footnoteReference w:id="7"/>
      </w:r>
      <w:r w:rsidR="00927B42" w:rsidRPr="00927B42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75858282" w14:textId="3987D015" w:rsidR="00927B42" w:rsidRDefault="00514A61" w:rsidP="00FA5EC1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pl"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 xml:space="preserve">Biorąc pod uwagę fakt, że wydatki na ten cel z Funduszu Ubezpieczeń Społecznych są coraz wyższe (wzrost o 1 milion złotych w latach 2020-2025), a także, że obciążenie to rośnie wykładniczo i może drastycznie wzrosnąć w najbliższej przyszłości z uwagi na skomplikowaną sytuację geopolityczną, która może spowodować kolejny napływ imigrantów do Polski, należy podjąć działania, które mają na celu </w:t>
      </w:r>
      <w:r w:rsidRPr="00514A61">
        <w:rPr>
          <w:rFonts w:ascii="Times New Roman" w:eastAsia="Times New Roman" w:hAnsi="Times New Roman" w:cs="Times New Roman"/>
          <w:bCs/>
          <w:lang w:val="pl" w:eastAsia="pl-PL"/>
        </w:rPr>
        <w:t>uszczelni</w:t>
      </w:r>
      <w:r>
        <w:rPr>
          <w:rFonts w:ascii="Times New Roman" w:eastAsia="Times New Roman" w:hAnsi="Times New Roman" w:cs="Times New Roman"/>
          <w:bCs/>
          <w:lang w:val="pl" w:eastAsia="pl-PL"/>
        </w:rPr>
        <w:t>ć polski</w:t>
      </w:r>
      <w:r w:rsidRPr="00514A61">
        <w:rPr>
          <w:rFonts w:ascii="Times New Roman" w:eastAsia="Times New Roman" w:hAnsi="Times New Roman" w:cs="Times New Roman"/>
          <w:bCs/>
          <w:lang w:val="pl" w:eastAsia="pl-PL"/>
        </w:rPr>
        <w:t xml:space="preserve"> system emerytalnego oraz ogranic</w:t>
      </w:r>
      <w:r>
        <w:rPr>
          <w:rFonts w:ascii="Times New Roman" w:eastAsia="Times New Roman" w:hAnsi="Times New Roman" w:cs="Times New Roman"/>
          <w:bCs/>
          <w:lang w:val="pl" w:eastAsia="pl-PL"/>
        </w:rPr>
        <w:t>zyć</w:t>
      </w:r>
      <w:r w:rsidRPr="00514A61">
        <w:rPr>
          <w:rFonts w:ascii="Times New Roman" w:eastAsia="Times New Roman" w:hAnsi="Times New Roman" w:cs="Times New Roman"/>
          <w:bCs/>
          <w:lang w:val="pl" w:eastAsia="pl-PL"/>
        </w:rPr>
        <w:t xml:space="preserve"> ryzyk</w:t>
      </w:r>
      <w:r>
        <w:rPr>
          <w:rFonts w:ascii="Times New Roman" w:eastAsia="Times New Roman" w:hAnsi="Times New Roman" w:cs="Times New Roman"/>
          <w:bCs/>
          <w:lang w:val="pl" w:eastAsia="pl-PL"/>
        </w:rPr>
        <w:t>o</w:t>
      </w:r>
      <w:r w:rsidRPr="00514A61">
        <w:rPr>
          <w:rFonts w:ascii="Times New Roman" w:eastAsia="Times New Roman" w:hAnsi="Times New Roman" w:cs="Times New Roman"/>
          <w:bCs/>
          <w:lang w:val="pl" w:eastAsia="pl-PL"/>
        </w:rPr>
        <w:t xml:space="preserve"> nadużyć i zjawisk</w:t>
      </w:r>
      <w:r>
        <w:rPr>
          <w:rFonts w:ascii="Times New Roman" w:eastAsia="Times New Roman" w:hAnsi="Times New Roman" w:cs="Times New Roman"/>
          <w:bCs/>
          <w:lang w:val="pl" w:eastAsia="pl-PL"/>
        </w:rPr>
        <w:t>o</w:t>
      </w:r>
      <w:r w:rsidRPr="00514A61">
        <w:rPr>
          <w:rFonts w:ascii="Times New Roman" w:eastAsia="Times New Roman" w:hAnsi="Times New Roman" w:cs="Times New Roman"/>
          <w:bCs/>
          <w:lang w:val="pl" w:eastAsia="pl-PL"/>
        </w:rPr>
        <w:t xml:space="preserve"> tzw. turystyki emerytalnej.</w:t>
      </w:r>
      <w:r>
        <w:rPr>
          <w:rFonts w:ascii="Times New Roman" w:eastAsia="Times New Roman" w:hAnsi="Times New Roman" w:cs="Times New Roman"/>
          <w:bCs/>
          <w:lang w:val="pl" w:eastAsia="pl-PL"/>
        </w:rPr>
        <w:t xml:space="preserve"> W trudnej sytuacji budżetowej, gdy 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według oficjalnych szacunków Ministerstwa Finansów, </w:t>
      </w:r>
      <w:r w:rsidR="00AF15D9" w:rsidRPr="00AF15D9">
        <w:rPr>
          <w:rFonts w:ascii="Times New Roman" w:eastAsia="Times New Roman" w:hAnsi="Times New Roman" w:cs="Times New Roman"/>
          <w:lang w:eastAsia="pl-PL"/>
        </w:rPr>
        <w:t xml:space="preserve">dochody państwa w 2025 r. wyniosły </w:t>
      </w:r>
      <w:r w:rsidR="00AF15D9" w:rsidRPr="00AF15D9">
        <w:rPr>
          <w:rFonts w:ascii="Times New Roman" w:eastAsia="Times New Roman" w:hAnsi="Times New Roman" w:cs="Times New Roman"/>
          <w:lang w:eastAsia="pl-PL"/>
        </w:rPr>
        <w:lastRenderedPageBreak/>
        <w:t>594,</w:t>
      </w:r>
      <w:r w:rsidR="00A63203">
        <w:rPr>
          <w:rFonts w:ascii="Times New Roman" w:eastAsia="Times New Roman" w:hAnsi="Times New Roman" w:cs="Times New Roman"/>
          <w:lang w:eastAsia="pl-PL"/>
        </w:rPr>
        <w:t>5</w:t>
      </w:r>
      <w:r w:rsidR="00AF15D9" w:rsidRPr="00AF15D9">
        <w:rPr>
          <w:rFonts w:ascii="Times New Roman" w:eastAsia="Times New Roman" w:hAnsi="Times New Roman" w:cs="Times New Roman"/>
          <w:lang w:eastAsia="pl-PL"/>
        </w:rPr>
        <w:t xml:space="preserve"> mld zł, a wydatki 870,2 mld zł, a zatem deficyt budżetowy osiągnął poziom 275,</w:t>
      </w:r>
      <w:r w:rsidR="00A63203">
        <w:rPr>
          <w:rFonts w:ascii="Times New Roman" w:eastAsia="Times New Roman" w:hAnsi="Times New Roman" w:cs="Times New Roman"/>
          <w:lang w:eastAsia="pl-PL"/>
        </w:rPr>
        <w:t>7</w:t>
      </w:r>
      <w:r w:rsidR="00AF15D9" w:rsidRPr="00AF15D9">
        <w:rPr>
          <w:rFonts w:ascii="Times New Roman" w:eastAsia="Times New Roman" w:hAnsi="Times New Roman" w:cs="Times New Roman"/>
          <w:lang w:eastAsia="pl-PL"/>
        </w:rPr>
        <w:t xml:space="preserve"> mld zł,</w:t>
      </w:r>
      <w:r w:rsidR="00AF15D9">
        <w:rPr>
          <w:rFonts w:ascii="Times New Roman" w:eastAsia="Times New Roman" w:hAnsi="Times New Roman" w:cs="Times New Roman"/>
          <w:lang w:eastAsia="pl-PL"/>
        </w:rPr>
        <w:t xml:space="preserve"> czyli </w:t>
      </w:r>
      <w:r w:rsidR="00AF15D9" w:rsidRPr="00AF15D9">
        <w:rPr>
          <w:rFonts w:ascii="Times New Roman" w:eastAsia="Times New Roman" w:hAnsi="Times New Roman" w:cs="Times New Roman"/>
          <w:lang w:eastAsia="pl-PL"/>
        </w:rPr>
        <w:t>95,4</w:t>
      </w:r>
      <w:r w:rsidR="00AF15D9">
        <w:rPr>
          <w:rFonts w:ascii="Times New Roman" w:eastAsia="Times New Roman" w:hAnsi="Times New Roman" w:cs="Times New Roman"/>
          <w:lang w:eastAsia="pl-PL"/>
        </w:rPr>
        <w:t>%</w:t>
      </w:r>
      <w:r w:rsidR="00AF15D9" w:rsidRPr="00AF15D9">
        <w:rPr>
          <w:rFonts w:ascii="Times New Roman" w:eastAsia="Times New Roman" w:hAnsi="Times New Roman" w:cs="Times New Roman"/>
          <w:lang w:eastAsia="pl-PL"/>
        </w:rPr>
        <w:t xml:space="preserve"> limitu przewidzianego w ustawie budżetowej</w:t>
      </w:r>
      <w:r w:rsidR="00AF15D9">
        <w:rPr>
          <w:rStyle w:val="Odwoanieprzypisudolnego"/>
          <w:rFonts w:ascii="Times New Roman" w:eastAsia="Times New Roman" w:hAnsi="Times New Roman" w:cs="Times New Roman"/>
          <w:lang w:eastAsia="pl-PL"/>
        </w:rPr>
        <w:footnoteReference w:id="8"/>
      </w:r>
      <w:r w:rsidR="00AF15D9">
        <w:rPr>
          <w:rFonts w:ascii="Times New Roman" w:eastAsia="Times New Roman" w:hAnsi="Times New Roman" w:cs="Times New Roman"/>
          <w:lang w:eastAsia="pl-PL"/>
        </w:rPr>
        <w:t xml:space="preserve">, należy szczególnie dbać o to, aby żadne, nawet najmniejsze kwoty nie „wyciekały” z budżetu państwa. Z tych powodów projektodawcy proponują, aby </w:t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>wprowadz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>ić</w:t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 xml:space="preserve"> dodatkowy warunek podwyższenia emerytury do wysokości emerytury minimalnej polegając</w:t>
      </w:r>
      <w:r w:rsidR="00A63203">
        <w:rPr>
          <w:rFonts w:ascii="Times New Roman" w:eastAsia="Times New Roman" w:hAnsi="Times New Roman" w:cs="Times New Roman"/>
          <w:bCs/>
          <w:lang w:val="pl" w:eastAsia="pl-PL"/>
        </w:rPr>
        <w:t>y</w:t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 xml:space="preserve"> na 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 xml:space="preserve">wykazaniu 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>zwaloryzowan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ej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wysokoś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ci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składek na ubezpieczenie emerytalne ewidencjonowan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ej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na koncie ubezpieczonego 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w</w:t>
      </w:r>
      <w:r w:rsidR="00A63203">
        <w:rPr>
          <w:rFonts w:ascii="Times New Roman" w:eastAsia="Times New Roman" w:hAnsi="Times New Roman" w:cs="Times New Roman"/>
          <w:bCs/>
          <w:lang w:val="pl" w:eastAsia="pl-PL"/>
        </w:rPr>
        <w:t> 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 xml:space="preserve">wysokości 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>nie niższ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ej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niż równowartość dwudziestopięciokrotności kwoty minimalnego wynagrodzenia pracowników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. </w:t>
      </w:r>
      <w:r w:rsidR="00927B42">
        <w:rPr>
          <w:rFonts w:ascii="Times New Roman" w:eastAsia="Times New Roman" w:hAnsi="Times New Roman" w:cs="Times New Roman"/>
          <w:bCs/>
          <w:lang w:val="pl" w:eastAsia="pl-PL"/>
        </w:rPr>
        <w:t>Kwota ta wynosi w 2026 r. 4 806 zł brutto, a więc jej dwudziestopięciokrotność 120 150 zł. Taką wysokość składek odkłada się pracując na obecnej pensji minimalnej przez 128 miesięcy, a więc 10 lat i 8 miesięcy, ale biorąc pod uwagę coroczny wzrost pensji minimalnej, a także waloryzację składek będzie to realnie czas krótszy.</w:t>
      </w:r>
      <w:r w:rsidR="00A63203">
        <w:rPr>
          <w:rFonts w:ascii="Times New Roman" w:eastAsia="Times New Roman" w:hAnsi="Times New Roman" w:cs="Times New Roman"/>
          <w:bCs/>
          <w:lang w:val="pl" w:eastAsia="pl-PL"/>
        </w:rPr>
        <w:t xml:space="preserve"> Warto wskazać, że w</w:t>
      </w:r>
      <w:r w:rsidR="00A63203" w:rsidRPr="00A63203">
        <w:rPr>
          <w:rFonts w:ascii="Times New Roman" w:eastAsia="Times New Roman" w:hAnsi="Times New Roman" w:cs="Times New Roman"/>
          <w:bCs/>
          <w:lang w:val="pl" w:eastAsia="pl-PL"/>
        </w:rPr>
        <w:t>edług danych ZUS na koniec 2025 r</w:t>
      </w:r>
      <w:r w:rsidR="00A63203">
        <w:rPr>
          <w:rFonts w:ascii="Times New Roman" w:eastAsia="Times New Roman" w:hAnsi="Times New Roman" w:cs="Times New Roman"/>
          <w:bCs/>
          <w:lang w:val="pl" w:eastAsia="pl-PL"/>
        </w:rPr>
        <w:t>.</w:t>
      </w:r>
      <w:r w:rsidR="00A63203" w:rsidRPr="00A63203">
        <w:rPr>
          <w:rFonts w:ascii="Times New Roman" w:eastAsia="Times New Roman" w:hAnsi="Times New Roman" w:cs="Times New Roman"/>
          <w:bCs/>
          <w:lang w:val="pl" w:eastAsia="pl-PL"/>
        </w:rPr>
        <w:t>, średni stan konta ZUS (I filar) ubezpieczonego wynosił 137 788,41 zł</w:t>
      </w:r>
      <w:r w:rsidR="00BE2BB1">
        <w:rPr>
          <w:rFonts w:ascii="Times New Roman" w:eastAsia="Times New Roman" w:hAnsi="Times New Roman" w:cs="Times New Roman"/>
          <w:bCs/>
          <w:lang w:val="pl" w:eastAsia="pl-PL"/>
        </w:rPr>
        <w:t>, a dochodzą d</w:t>
      </w:r>
      <w:r w:rsidR="00A63203" w:rsidRPr="00A63203">
        <w:rPr>
          <w:rFonts w:ascii="Times New Roman" w:eastAsia="Times New Roman" w:hAnsi="Times New Roman" w:cs="Times New Roman"/>
          <w:bCs/>
          <w:lang w:val="pl" w:eastAsia="pl-PL"/>
        </w:rPr>
        <w:t>o tego środki zgromadzone na subkoncie, gdzie przeciętna kwota to 42 901,47 zł</w:t>
      </w:r>
      <w:r w:rsidR="00BE2BB1">
        <w:rPr>
          <w:rFonts w:ascii="Times New Roman" w:eastAsia="Times New Roman" w:hAnsi="Times New Roman" w:cs="Times New Roman"/>
          <w:bCs/>
          <w:lang w:val="pl" w:eastAsia="pl-PL"/>
        </w:rPr>
        <w:t>, co ł</w:t>
      </w:r>
      <w:r w:rsidR="00A63203" w:rsidRPr="00A63203">
        <w:rPr>
          <w:rFonts w:ascii="Times New Roman" w:eastAsia="Times New Roman" w:hAnsi="Times New Roman" w:cs="Times New Roman"/>
          <w:bCs/>
          <w:lang w:val="pl" w:eastAsia="pl-PL"/>
        </w:rPr>
        <w:t>ącznie daje średnio około 180 tys. zł kapitału emerytalnego na osobę</w:t>
      </w:r>
      <w:r w:rsidR="00BE2BB1">
        <w:rPr>
          <w:rStyle w:val="Odwoanieprzypisudolnego"/>
          <w:rFonts w:ascii="Times New Roman" w:eastAsia="Times New Roman" w:hAnsi="Times New Roman" w:cs="Times New Roman"/>
          <w:bCs/>
          <w:lang w:val="pl" w:eastAsia="pl-PL"/>
        </w:rPr>
        <w:footnoteReference w:id="9"/>
      </w:r>
      <w:r w:rsidR="00A63203" w:rsidRPr="00A63203">
        <w:rPr>
          <w:rFonts w:ascii="Times New Roman" w:eastAsia="Times New Roman" w:hAnsi="Times New Roman" w:cs="Times New Roman"/>
          <w:bCs/>
          <w:lang w:val="pl" w:eastAsia="pl-PL"/>
        </w:rPr>
        <w:t>.</w:t>
      </w:r>
      <w:r w:rsidR="00BE2BB1">
        <w:rPr>
          <w:rFonts w:ascii="Times New Roman" w:eastAsia="Times New Roman" w:hAnsi="Times New Roman" w:cs="Times New Roman"/>
          <w:bCs/>
          <w:lang w:val="pl" w:eastAsia="pl-PL"/>
        </w:rPr>
        <w:t xml:space="preserve"> Szacuje się, że p</w:t>
      </w:r>
      <w:r w:rsidR="00BE2BB1" w:rsidRPr="00BE2BB1">
        <w:rPr>
          <w:rFonts w:ascii="Times New Roman" w:eastAsia="Times New Roman" w:hAnsi="Times New Roman" w:cs="Times New Roman"/>
          <w:bCs/>
          <w:lang w:val="pl" w:eastAsia="pl-PL"/>
        </w:rPr>
        <w:t>rzeciętni pracownicy z co najmniej kilkuletnim stażem osiągnęli ten poziom dzięki corocznej, wysokiej waloryzacji składek</w:t>
      </w:r>
      <w:r w:rsidR="00BE2BB1">
        <w:rPr>
          <w:rFonts w:ascii="Times New Roman" w:eastAsia="Times New Roman" w:hAnsi="Times New Roman" w:cs="Times New Roman"/>
          <w:bCs/>
          <w:lang w:val="pl" w:eastAsia="pl-PL"/>
        </w:rPr>
        <w:t>.</w:t>
      </w:r>
    </w:p>
    <w:p w14:paraId="2FDC0875" w14:textId="54401C30" w:rsidR="005942E4" w:rsidRDefault="00BE2BB1" w:rsidP="005942E4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val="pl" w:eastAsia="pl-PL"/>
        </w:rPr>
      </w:pPr>
      <w:r>
        <w:rPr>
          <w:rFonts w:ascii="Times New Roman" w:eastAsia="Times New Roman" w:hAnsi="Times New Roman" w:cs="Times New Roman"/>
          <w:bCs/>
          <w:lang w:val="pl" w:eastAsia="pl-PL"/>
        </w:rPr>
        <w:t>W ocenie projektodawców należy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 zmienić obecną sytuację, w której </w:t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>tylko jeden miesiąc pracy i odprowadzenie jednej składki na ubezpieczenie emerytalno-rentowe do ZUS otwiera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 obcokrajowcom </w:t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 xml:space="preserve">drogę do 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polskiej </w:t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>minimalnej emerytury</w:t>
      </w:r>
      <w:r w:rsidR="001477E6">
        <w:rPr>
          <w:rStyle w:val="Odwoanieprzypisudolnego"/>
          <w:rFonts w:ascii="Times New Roman" w:eastAsia="Times New Roman" w:hAnsi="Times New Roman" w:cs="Times New Roman"/>
          <w:bCs/>
          <w:lang w:val="pl" w:eastAsia="pl-PL"/>
        </w:rPr>
        <w:footnoteReference w:id="10"/>
      </w:r>
      <w:r w:rsidR="00AF15D9" w:rsidRPr="00AF15D9">
        <w:rPr>
          <w:rFonts w:ascii="Times New Roman" w:eastAsia="Times New Roman" w:hAnsi="Times New Roman" w:cs="Times New Roman"/>
          <w:bCs/>
          <w:lang w:val="pl" w:eastAsia="pl-PL"/>
        </w:rPr>
        <w:t>.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 Oprócz zamieszkania w</w:t>
      </w:r>
      <w:r w:rsidR="00353196">
        <w:rPr>
          <w:rFonts w:ascii="Times New Roman" w:eastAsia="Times New Roman" w:hAnsi="Times New Roman" w:cs="Times New Roman"/>
          <w:bCs/>
          <w:lang w:val="pl" w:eastAsia="pl-PL"/>
        </w:rPr>
        <w:t> 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>Polsce, osiągnięcia wieku emerytalnego oraz wymaganego łącznego okresu składkowego i</w:t>
      </w:r>
      <w:r w:rsidR="00353196">
        <w:rPr>
          <w:rFonts w:ascii="Times New Roman" w:eastAsia="Times New Roman" w:hAnsi="Times New Roman" w:cs="Times New Roman"/>
          <w:bCs/>
          <w:lang w:val="pl" w:eastAsia="pl-PL"/>
        </w:rPr>
        <w:t> 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nieskładkowego, należy zatem wprowadzić wymóg, aby 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wysokość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zwaloryzowan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ych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składek na ubezpieczenie emerytalne ewidencjonowan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ych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na koncie ubezpieczonego 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>była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 xml:space="preserve"> nie niższ</w:t>
      </w:r>
      <w:r w:rsidR="005B0EDC">
        <w:rPr>
          <w:rFonts w:ascii="Times New Roman" w:eastAsia="Times New Roman" w:hAnsi="Times New Roman" w:cs="Times New Roman"/>
          <w:bCs/>
          <w:lang w:val="pl" w:eastAsia="pl-PL"/>
        </w:rPr>
        <w:t xml:space="preserve">a </w:t>
      </w:r>
      <w:r w:rsidR="005B0EDC" w:rsidRPr="005B0EDC">
        <w:rPr>
          <w:rFonts w:ascii="Times New Roman" w:eastAsia="Times New Roman" w:hAnsi="Times New Roman" w:cs="Times New Roman"/>
          <w:bCs/>
          <w:lang w:val="pl" w:eastAsia="pl-PL"/>
        </w:rPr>
        <w:t>niż równowartość dwudziestopięciokrotności kwoty minimalnego wynagrodzenia pracowników</w:t>
      </w:r>
      <w:r w:rsidR="00AF15D9">
        <w:rPr>
          <w:rFonts w:ascii="Times New Roman" w:eastAsia="Times New Roman" w:hAnsi="Times New Roman" w:cs="Times New Roman"/>
          <w:bCs/>
          <w:lang w:val="pl" w:eastAsia="pl-PL"/>
        </w:rPr>
        <w:t xml:space="preserve">. Takie uszczelnienie </w:t>
      </w:r>
      <w:r w:rsidR="00802DA6">
        <w:rPr>
          <w:rFonts w:ascii="Times New Roman" w:eastAsia="Times New Roman" w:hAnsi="Times New Roman" w:cs="Times New Roman"/>
          <w:bCs/>
          <w:lang w:val="pl" w:eastAsia="pl-PL"/>
        </w:rPr>
        <w:t>systemu emerytalnego sprawi, że tzw. turystyka emerytalna stanie się w naszym kraju właściwie zupełnie niemożliwa, co będzie dużą korzyścią dla polskiego systemu finansów publicznych.</w:t>
      </w:r>
      <w:r w:rsidR="00FA5EC1">
        <w:rPr>
          <w:rFonts w:ascii="Times New Roman" w:eastAsia="Times New Roman" w:hAnsi="Times New Roman" w:cs="Times New Roman"/>
          <w:bCs/>
          <w:lang w:val="pl" w:eastAsia="pl-PL"/>
        </w:rPr>
        <w:t xml:space="preserve"> Brak zmiany przepisów w tym zakresie utrzyma zachęty do krótkotrwałego zatrudnienia w Polsce w celu aktywacji prawa do dopłaty do polskiej emerytury minimalnej</w:t>
      </w:r>
      <w:r w:rsidR="00441C26">
        <w:rPr>
          <w:rFonts w:ascii="Times New Roman" w:eastAsia="Times New Roman" w:hAnsi="Times New Roman" w:cs="Times New Roman"/>
          <w:bCs/>
          <w:lang w:val="pl" w:eastAsia="pl-PL"/>
        </w:rPr>
        <w:t xml:space="preserve">, migracji wyłącznie po świadczenie emerytalne oraz prób obchodzenia warunku zamieszkania w Polsce i oszukiwania polskich urzędów. </w:t>
      </w:r>
      <w:r>
        <w:rPr>
          <w:rFonts w:ascii="Times New Roman" w:eastAsia="Times New Roman" w:hAnsi="Times New Roman" w:cs="Times New Roman"/>
          <w:bCs/>
          <w:lang w:val="pl" w:eastAsia="pl-PL"/>
        </w:rPr>
        <w:t xml:space="preserve">Będzie mogło nadal dochodzić do sytuacji, w której 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>obywatel Ukrainy</w:t>
      </w:r>
      <w:r>
        <w:rPr>
          <w:rFonts w:ascii="Times New Roman" w:eastAsia="Times New Roman" w:hAnsi="Times New Roman" w:cs="Times New Roman"/>
          <w:bCs/>
          <w:lang w:val="pl" w:eastAsia="pl-PL"/>
        </w:rPr>
        <w:t>, który prze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>pracuje 35 lat w swoim kraju,</w:t>
      </w:r>
      <w:r>
        <w:rPr>
          <w:rFonts w:ascii="Times New Roman" w:eastAsia="Times New Roman" w:hAnsi="Times New Roman" w:cs="Times New Roman"/>
          <w:bCs/>
          <w:lang w:val="pl" w:eastAsia="pl-PL"/>
        </w:rPr>
        <w:t xml:space="preserve"> </w:t>
      </w:r>
      <w:r w:rsidR="00850CE0">
        <w:rPr>
          <w:rFonts w:ascii="Times New Roman" w:eastAsia="Times New Roman" w:hAnsi="Times New Roman" w:cs="Times New Roman"/>
          <w:bCs/>
          <w:lang w:val="pl" w:eastAsia="pl-PL"/>
        </w:rPr>
        <w:br/>
        <w:t xml:space="preserve">a 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>następnie przyje</w:t>
      </w:r>
      <w:r>
        <w:rPr>
          <w:rFonts w:ascii="Times New Roman" w:eastAsia="Times New Roman" w:hAnsi="Times New Roman" w:cs="Times New Roman"/>
          <w:bCs/>
          <w:lang w:val="pl" w:eastAsia="pl-PL"/>
        </w:rPr>
        <w:t>dzie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 xml:space="preserve"> do Polski na miesiąc, podejm</w:t>
      </w:r>
      <w:r>
        <w:rPr>
          <w:rFonts w:ascii="Times New Roman" w:eastAsia="Times New Roman" w:hAnsi="Times New Roman" w:cs="Times New Roman"/>
          <w:bCs/>
          <w:lang w:val="pl" w:eastAsia="pl-PL"/>
        </w:rPr>
        <w:t>ie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 xml:space="preserve"> pracę za minimalne wynagrodzenie </w:t>
      </w:r>
      <w:r>
        <w:rPr>
          <w:rFonts w:ascii="Times New Roman" w:eastAsia="Times New Roman" w:hAnsi="Times New Roman" w:cs="Times New Roman"/>
          <w:bCs/>
          <w:lang w:val="pl" w:eastAsia="pl-PL"/>
        </w:rPr>
        <w:t xml:space="preserve">oraz 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>opłac</w:t>
      </w:r>
      <w:r>
        <w:rPr>
          <w:rFonts w:ascii="Times New Roman" w:eastAsia="Times New Roman" w:hAnsi="Times New Roman" w:cs="Times New Roman"/>
          <w:bCs/>
          <w:lang w:val="pl" w:eastAsia="pl-PL"/>
        </w:rPr>
        <w:t>i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 xml:space="preserve"> jedną składkę na ubezpieczenie społeczne</w:t>
      </w:r>
      <w:r>
        <w:rPr>
          <w:rFonts w:ascii="Times New Roman" w:eastAsia="Times New Roman" w:hAnsi="Times New Roman" w:cs="Times New Roman"/>
          <w:bCs/>
          <w:lang w:val="pl" w:eastAsia="pl-PL"/>
        </w:rPr>
        <w:t xml:space="preserve"> </w:t>
      </w:r>
      <w:r w:rsidRPr="00BE2BB1">
        <w:rPr>
          <w:rFonts w:ascii="Times New Roman" w:eastAsia="Times New Roman" w:hAnsi="Times New Roman" w:cs="Times New Roman"/>
          <w:bCs/>
          <w:lang w:val="pl" w:eastAsia="pl-PL"/>
        </w:rPr>
        <w:t>będzie dostawał dopłaty do minimalnej polskiej emerytury</w:t>
      </w:r>
      <w:r>
        <w:rPr>
          <w:rStyle w:val="Odwoanieprzypisudolnego"/>
          <w:rFonts w:ascii="Times New Roman" w:eastAsia="Times New Roman" w:hAnsi="Times New Roman" w:cs="Times New Roman"/>
          <w:bCs/>
          <w:lang w:val="pl" w:eastAsia="pl-PL"/>
        </w:rPr>
        <w:footnoteReference w:id="11"/>
      </w:r>
      <w:r>
        <w:rPr>
          <w:rFonts w:ascii="Times New Roman" w:eastAsia="Times New Roman" w:hAnsi="Times New Roman" w:cs="Times New Roman"/>
          <w:bCs/>
          <w:lang w:val="pl" w:eastAsia="pl-PL"/>
        </w:rPr>
        <w:t>.</w:t>
      </w:r>
      <w:r w:rsidR="005942E4">
        <w:rPr>
          <w:rFonts w:ascii="Times New Roman" w:eastAsia="Times New Roman" w:hAnsi="Times New Roman" w:cs="Times New Roman"/>
          <w:bCs/>
          <w:lang w:val="pl" w:eastAsia="pl-PL"/>
        </w:rPr>
        <w:t xml:space="preserve"> Należy także zwrócić uwagę, że kolejnym krajem, z którym Polska zamierza zawrzeć umowę o zabezpieczeniu społecznym, która ma umożliwić sumowanie okresów ubezpieczenia jest Brazylia</w:t>
      </w:r>
      <w:r w:rsidR="005942E4">
        <w:rPr>
          <w:rStyle w:val="Odwoanieprzypisudolnego"/>
          <w:rFonts w:ascii="Times New Roman" w:eastAsia="Times New Roman" w:hAnsi="Times New Roman" w:cs="Times New Roman"/>
          <w:bCs/>
          <w:lang w:val="pl" w:eastAsia="pl-PL"/>
        </w:rPr>
        <w:footnoteReference w:id="12"/>
      </w:r>
      <w:r w:rsidR="005942E4">
        <w:rPr>
          <w:rFonts w:ascii="Times New Roman" w:eastAsia="Times New Roman" w:hAnsi="Times New Roman" w:cs="Times New Roman"/>
          <w:bCs/>
          <w:lang w:val="pl" w:eastAsia="pl-PL"/>
        </w:rPr>
        <w:t>.</w:t>
      </w:r>
    </w:p>
    <w:p w14:paraId="0078A0BA" w14:textId="6EE8EEEF" w:rsidR="00436A0D" w:rsidRPr="003D1D04" w:rsidRDefault="00436A0D" w:rsidP="00211906">
      <w:pPr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3D1D04">
        <w:rPr>
          <w:rFonts w:ascii="Times New Roman" w:hAnsi="Times New Roman" w:cs="Times New Roman"/>
          <w:b/>
          <w:bCs/>
        </w:rPr>
        <w:lastRenderedPageBreak/>
        <w:t xml:space="preserve">2. Przewidywane skutki prawne w tym różnica pomiędzy dotychczasowym </w:t>
      </w:r>
      <w:r w:rsidRPr="003D1D04">
        <w:rPr>
          <w:rFonts w:ascii="Times New Roman" w:hAnsi="Times New Roman" w:cs="Times New Roman"/>
          <w:b/>
          <w:bCs/>
        </w:rPr>
        <w:br/>
        <w:t>a projektowanym stanem prawnym</w:t>
      </w:r>
    </w:p>
    <w:p w14:paraId="2A769C79" w14:textId="77777777" w:rsidR="002C7F7C" w:rsidRDefault="002C7F7C" w:rsidP="00942D20">
      <w:pPr>
        <w:spacing w:line="240" w:lineRule="auto"/>
        <w:ind w:firstLine="708"/>
        <w:jc w:val="both"/>
        <w:rPr>
          <w:rFonts w:ascii="Times New Roman" w:hAnsi="Times New Roman" w:cs="Times New Roman"/>
          <w:lang w:val="pl"/>
        </w:rPr>
      </w:pPr>
      <w:r>
        <w:rPr>
          <w:rFonts w:ascii="Times New Roman" w:hAnsi="Times New Roman" w:cs="Times New Roman"/>
          <w:lang w:val="pl"/>
        </w:rPr>
        <w:t>W art. 1 p</w:t>
      </w:r>
      <w:r w:rsidR="006718F4">
        <w:rPr>
          <w:rFonts w:ascii="Times New Roman" w:hAnsi="Times New Roman" w:cs="Times New Roman"/>
          <w:lang w:val="pl"/>
        </w:rPr>
        <w:t>rojekt</w:t>
      </w:r>
      <w:r>
        <w:rPr>
          <w:rFonts w:ascii="Times New Roman" w:hAnsi="Times New Roman" w:cs="Times New Roman"/>
          <w:lang w:val="pl"/>
        </w:rPr>
        <w:t>u ustawy proponuje się zmianę brzmienia art. 87 ust. 1 u.o.e.i.r. z:</w:t>
      </w:r>
    </w:p>
    <w:p w14:paraId="0E0625A2" w14:textId="761584E0" w:rsidR="002C7F7C" w:rsidRDefault="002C7F7C" w:rsidP="00942D20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pl"/>
        </w:rPr>
        <w:t xml:space="preserve">„1. </w:t>
      </w:r>
      <w:r w:rsidRPr="002C7F7C">
        <w:rPr>
          <w:rFonts w:ascii="Times New Roman" w:hAnsi="Times New Roman" w:cs="Times New Roman"/>
        </w:rPr>
        <w:t>W przypadku gdy emerytura przysługująca z Funduszu określona w art. 26, łącznie z okresową emeryturą kapitałową, albo emerytura przysługująca z Funduszu określona w art. 26, jest niższa niż kwota, o której mowa w art. 85 ust. 2 i 3, emeryturę przysługującą z</w:t>
      </w:r>
      <w:r w:rsidR="00353196">
        <w:rPr>
          <w:rFonts w:ascii="Times New Roman" w:hAnsi="Times New Roman" w:cs="Times New Roman"/>
        </w:rPr>
        <w:t> </w:t>
      </w:r>
      <w:r w:rsidRPr="002C7F7C">
        <w:rPr>
          <w:rFonts w:ascii="Times New Roman" w:hAnsi="Times New Roman" w:cs="Times New Roman"/>
        </w:rPr>
        <w:t>Funduszu, w tym emeryturę ustaloną ze zwiększeniem, o którym mowa w art. 26a, podwyższa się w taki sposób, aby suma tych świadczeń nie była niższa od tej kwoty, o ile ubezpieczony:</w:t>
      </w:r>
    </w:p>
    <w:p w14:paraId="573CE60E" w14:textId="77B8E9DB" w:rsidR="002C7F7C" w:rsidRDefault="002C7F7C" w:rsidP="00942D20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C7F7C">
        <w:rPr>
          <w:rFonts w:ascii="Times New Roman" w:hAnsi="Times New Roman" w:cs="Times New Roman"/>
        </w:rPr>
        <w:t>1) mężczyzna – osiągnął wiek emerytalny wynoszący 65 lat i ma okres składkowy i</w:t>
      </w:r>
      <w:r w:rsidR="00353196">
        <w:rPr>
          <w:rFonts w:ascii="Times New Roman" w:hAnsi="Times New Roman" w:cs="Times New Roman"/>
        </w:rPr>
        <w:t> </w:t>
      </w:r>
      <w:r w:rsidRPr="002C7F7C">
        <w:rPr>
          <w:rFonts w:ascii="Times New Roman" w:hAnsi="Times New Roman" w:cs="Times New Roman"/>
        </w:rPr>
        <w:t>nieskładkowy wynoszący co najmniej 25 lat,</w:t>
      </w:r>
    </w:p>
    <w:p w14:paraId="34024B1D" w14:textId="245379CB" w:rsidR="002C7F7C" w:rsidRDefault="002C7F7C" w:rsidP="00942D20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C7F7C">
        <w:rPr>
          <w:rFonts w:ascii="Times New Roman" w:hAnsi="Times New Roman" w:cs="Times New Roman"/>
        </w:rPr>
        <w:t>2) kobieta – osiągnęła wiek emerytalny wynoszący 60 lat i ma okres składkowy i</w:t>
      </w:r>
      <w:r w:rsidR="00353196">
        <w:rPr>
          <w:rFonts w:ascii="Times New Roman" w:hAnsi="Times New Roman" w:cs="Times New Roman"/>
        </w:rPr>
        <w:t> </w:t>
      </w:r>
      <w:r w:rsidRPr="002C7F7C">
        <w:rPr>
          <w:rFonts w:ascii="Times New Roman" w:hAnsi="Times New Roman" w:cs="Times New Roman"/>
        </w:rPr>
        <w:t>nieskładkowy wynoszący co najmniej 20 lat</w:t>
      </w:r>
    </w:p>
    <w:p w14:paraId="16677603" w14:textId="6232CAE9" w:rsidR="006718F4" w:rsidRDefault="002C7F7C" w:rsidP="00942D20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C7F7C">
        <w:rPr>
          <w:rFonts w:ascii="Times New Roman" w:hAnsi="Times New Roman" w:cs="Times New Roman"/>
        </w:rPr>
        <w:t>– z uwzględnieniem ust. 3–7. Przepis art. 5 ust. 2 stosuje się odpowiednio.</w:t>
      </w:r>
      <w:r>
        <w:rPr>
          <w:rFonts w:ascii="Times New Roman" w:hAnsi="Times New Roman" w:cs="Times New Roman"/>
        </w:rPr>
        <w:t>”</w:t>
      </w:r>
    </w:p>
    <w:p w14:paraId="01DE5902" w14:textId="40A33BCF" w:rsidR="00927B42" w:rsidRPr="00927B42" w:rsidRDefault="002C7F7C" w:rsidP="00927B42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na: „</w:t>
      </w:r>
      <w:r w:rsidR="00927B42" w:rsidRPr="00927B42">
        <w:rPr>
          <w:rFonts w:ascii="Times New Roman" w:hAnsi="Times New Roman" w:cs="Times New Roman"/>
        </w:rPr>
        <w:t>1. W przypadku gdy emerytura przysługująca z Funduszu określona w art. 26, łącznie z okresową emeryturą kapitałową, albo emerytura przysługująca z Funduszu określona w art. 26, jest niższa niż kwota, o której mowa w art. 85 ust. 2 i 3, emeryturę przysługującą z</w:t>
      </w:r>
      <w:r w:rsidR="00BE2BB1">
        <w:rPr>
          <w:rFonts w:ascii="Times New Roman" w:hAnsi="Times New Roman" w:cs="Times New Roman"/>
        </w:rPr>
        <w:t> </w:t>
      </w:r>
      <w:r w:rsidR="00927B42" w:rsidRPr="00927B42">
        <w:rPr>
          <w:rFonts w:ascii="Times New Roman" w:hAnsi="Times New Roman" w:cs="Times New Roman"/>
        </w:rPr>
        <w:t>Funduszu, w tym emeryturę ustaloną ze zwiększeniem, o którym mowa w art. 26a, podwyższa się w taki sposób, aby suma tych świadczeń nie była niższa od tej kwoty, o ile ubezpieczony:</w:t>
      </w:r>
    </w:p>
    <w:p w14:paraId="4A0949F7" w14:textId="4716A627" w:rsidR="00927B42" w:rsidRPr="00927B42" w:rsidRDefault="00927B42" w:rsidP="00927B42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27B42">
        <w:rPr>
          <w:rFonts w:ascii="Times New Roman" w:hAnsi="Times New Roman" w:cs="Times New Roman"/>
          <w:bCs/>
        </w:rPr>
        <w:t>1)</w:t>
      </w:r>
      <w:r>
        <w:rPr>
          <w:rFonts w:ascii="Times New Roman" w:hAnsi="Times New Roman" w:cs="Times New Roman"/>
          <w:bCs/>
        </w:rPr>
        <w:t xml:space="preserve"> </w:t>
      </w:r>
      <w:r w:rsidRPr="00927B42">
        <w:rPr>
          <w:rFonts w:ascii="Times New Roman" w:hAnsi="Times New Roman" w:cs="Times New Roman"/>
          <w:bCs/>
        </w:rPr>
        <w:t>mężczyzna – osiągnął wiek emerytalny wynoszący 65 lat i ma okres składkowy i</w:t>
      </w:r>
      <w:r w:rsidR="00BE2BB1">
        <w:rPr>
          <w:rFonts w:ascii="Times New Roman" w:hAnsi="Times New Roman" w:cs="Times New Roman"/>
          <w:bCs/>
        </w:rPr>
        <w:t> </w:t>
      </w:r>
      <w:r w:rsidRPr="00927B42">
        <w:rPr>
          <w:rFonts w:ascii="Times New Roman" w:hAnsi="Times New Roman" w:cs="Times New Roman"/>
          <w:bCs/>
        </w:rPr>
        <w:t>nieskładkowy wynoszący co najmniej 25 lat, a zwaloryzowana wysokość składek na ubezpieczenie emerytalne ewidencjonowana na koncie ubezpieczonego jest nie niższa niż równowartość dwudziestopięciokrotności kwoty minimalnego wynagrodzenia pracowników,</w:t>
      </w:r>
    </w:p>
    <w:p w14:paraId="61675C75" w14:textId="18163B5F" w:rsidR="00927B42" w:rsidRPr="00927B42" w:rsidRDefault="00927B42" w:rsidP="00927B42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27B42">
        <w:rPr>
          <w:rFonts w:ascii="Times New Roman" w:hAnsi="Times New Roman" w:cs="Times New Roman"/>
          <w:bCs/>
        </w:rPr>
        <w:t>2)</w:t>
      </w:r>
      <w:r>
        <w:rPr>
          <w:rFonts w:ascii="Times New Roman" w:hAnsi="Times New Roman" w:cs="Times New Roman"/>
          <w:bCs/>
        </w:rPr>
        <w:t xml:space="preserve"> </w:t>
      </w:r>
      <w:r w:rsidRPr="00927B42">
        <w:rPr>
          <w:rFonts w:ascii="Times New Roman" w:hAnsi="Times New Roman" w:cs="Times New Roman"/>
          <w:bCs/>
        </w:rPr>
        <w:t>kobieta – osiągnęła wiek emerytalny wynoszący 60 lat i ma okres składkowy i</w:t>
      </w:r>
      <w:r w:rsidR="00BE2BB1">
        <w:rPr>
          <w:rFonts w:ascii="Times New Roman" w:hAnsi="Times New Roman" w:cs="Times New Roman"/>
          <w:bCs/>
        </w:rPr>
        <w:t> </w:t>
      </w:r>
      <w:r w:rsidRPr="00927B42">
        <w:rPr>
          <w:rFonts w:ascii="Times New Roman" w:hAnsi="Times New Roman" w:cs="Times New Roman"/>
          <w:bCs/>
        </w:rPr>
        <w:t>nieskładkowy wynoszący co najmniej 20 lat, a zwaloryzowana wysokość składek na ubezpieczenie emerytalne ewidencjonowana na koncie ubezpieczonego jest nie niższa niż równowartość dwudziestopięciokrotności kwoty minimalnego wynagrodzenia pracowników</w:t>
      </w:r>
    </w:p>
    <w:p w14:paraId="62E1A5B7" w14:textId="43A5B52A" w:rsidR="002C7F7C" w:rsidRPr="002C7F7C" w:rsidRDefault="00927B42" w:rsidP="00927B42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27B42">
        <w:rPr>
          <w:rFonts w:ascii="Times New Roman" w:hAnsi="Times New Roman" w:cs="Times New Roman"/>
          <w:bCs/>
        </w:rPr>
        <w:t>– z uwzględnieniem ust. 3–7. Przepis art. 5 ust. 2 stosuje się odpowiednio.”.</w:t>
      </w:r>
    </w:p>
    <w:p w14:paraId="2BFE80E7" w14:textId="2617DBDF" w:rsidR="00FA5EC1" w:rsidRDefault="006718F4" w:rsidP="00FA5EC1">
      <w:pPr>
        <w:spacing w:line="240" w:lineRule="auto"/>
        <w:ind w:firstLine="708"/>
        <w:jc w:val="both"/>
        <w:rPr>
          <w:rFonts w:ascii="Times New Roman" w:hAnsi="Times New Roman" w:cs="Times New Roman"/>
          <w:lang w:val="pl"/>
        </w:rPr>
      </w:pPr>
      <w:r>
        <w:rPr>
          <w:rFonts w:ascii="Times New Roman" w:hAnsi="Times New Roman" w:cs="Times New Roman"/>
          <w:lang w:val="pl"/>
        </w:rPr>
        <w:t>Projekt ustawy w art. 2</w:t>
      </w:r>
      <w:r w:rsidR="002C7F7C">
        <w:rPr>
          <w:rFonts w:ascii="Times New Roman" w:hAnsi="Times New Roman" w:cs="Times New Roman"/>
          <w:lang w:val="pl"/>
        </w:rPr>
        <w:t xml:space="preserve"> stanowi, że d</w:t>
      </w:r>
      <w:r w:rsidR="002C7F7C" w:rsidRPr="002C7F7C">
        <w:rPr>
          <w:rFonts w:ascii="Times New Roman" w:hAnsi="Times New Roman" w:cs="Times New Roman"/>
          <w:lang w:val="pl"/>
        </w:rPr>
        <w:t xml:space="preserve">o wszczętych i niezakończonych przed dniem wejścia w życie ustawy postępowań w sprawie podwyższenia emerytury stosuje się </w:t>
      </w:r>
      <w:r w:rsidR="00287691" w:rsidRPr="00287691">
        <w:rPr>
          <w:rFonts w:ascii="Times New Roman" w:hAnsi="Times New Roman" w:cs="Times New Roman"/>
        </w:rPr>
        <w:t>art. 87 ust. 1 ustawy zmienianej w art. 1, w brzmieniu nadanym niniejszą ustawą.</w:t>
      </w:r>
    </w:p>
    <w:p w14:paraId="360FBCAF" w14:textId="42EDBD92" w:rsidR="00942D20" w:rsidRPr="00FA5EC1" w:rsidRDefault="00942D20" w:rsidP="00FA5EC1">
      <w:pPr>
        <w:spacing w:line="240" w:lineRule="auto"/>
        <w:ind w:firstLine="708"/>
        <w:jc w:val="both"/>
        <w:rPr>
          <w:rFonts w:ascii="Times New Roman" w:hAnsi="Times New Roman" w:cs="Times New Roman"/>
          <w:lang w:val="pl"/>
        </w:rPr>
      </w:pPr>
      <w:r w:rsidRPr="00942D20">
        <w:rPr>
          <w:rFonts w:ascii="Times New Roman" w:hAnsi="Times New Roman" w:cs="Times New Roman"/>
          <w:bCs/>
        </w:rPr>
        <w:t xml:space="preserve">Projekt </w:t>
      </w:r>
      <w:r>
        <w:rPr>
          <w:rFonts w:ascii="Times New Roman" w:hAnsi="Times New Roman" w:cs="Times New Roman"/>
          <w:bCs/>
        </w:rPr>
        <w:t>ustawy</w:t>
      </w:r>
      <w:r w:rsidRPr="00942D20">
        <w:rPr>
          <w:rFonts w:ascii="Times New Roman" w:hAnsi="Times New Roman" w:cs="Times New Roman"/>
          <w:bCs/>
        </w:rPr>
        <w:t xml:space="preserve"> w art. 3</w:t>
      </w:r>
      <w:r w:rsidR="006718F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wskazuje, </w:t>
      </w:r>
      <w:r w:rsidRPr="00942D20">
        <w:rPr>
          <w:rFonts w:ascii="Times New Roman" w:hAnsi="Times New Roman" w:cs="Times New Roman"/>
          <w:bCs/>
        </w:rPr>
        <w:t xml:space="preserve">że ustawa wejdzie w życie </w:t>
      </w:r>
      <w:r w:rsidR="002C7F7C" w:rsidRPr="002C7F7C">
        <w:rPr>
          <w:rFonts w:ascii="Times New Roman" w:hAnsi="Times New Roman" w:cs="Times New Roman"/>
          <w:bCs/>
        </w:rPr>
        <w:t>po upływie 14 dni od dnia ogłoszenia.</w:t>
      </w:r>
      <w:r w:rsidR="00441C26">
        <w:rPr>
          <w:rFonts w:ascii="Times New Roman" w:hAnsi="Times New Roman" w:cs="Times New Roman"/>
          <w:bCs/>
        </w:rPr>
        <w:t xml:space="preserve"> </w:t>
      </w:r>
      <w:r w:rsidR="00441C26" w:rsidRPr="00441C26">
        <w:rPr>
          <w:rFonts w:ascii="Times New Roman" w:hAnsi="Times New Roman" w:cs="Times New Roman"/>
          <w:bCs/>
        </w:rPr>
        <w:t>Jest to vacatio legis zgodne z treścią ustawy z dnia 20 lipca 2000 r. o ogłaszaniu aktów normatywnych i niektórych innych aktów prawnych (Dz. U. z 2019 r. poz. 1461)</w:t>
      </w:r>
      <w:r w:rsidR="00441C26">
        <w:rPr>
          <w:rFonts w:ascii="Times New Roman" w:hAnsi="Times New Roman" w:cs="Times New Roman"/>
          <w:bCs/>
        </w:rPr>
        <w:t>.</w:t>
      </w:r>
    </w:p>
    <w:p w14:paraId="48F9FBE3" w14:textId="77777777" w:rsidR="005942E4" w:rsidRDefault="00FA5EC1" w:rsidP="005942E4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Głównym skutkiem projektu ustawy będzie załatanie luki systemowej, która umożliwia istnienie mechanizmu dopłat do minimalnej emerytury dla osób z symbolicznym stażem pracy w Polsce.</w:t>
      </w:r>
    </w:p>
    <w:p w14:paraId="235F0B7E" w14:textId="0D3BC4CF" w:rsidR="00942D20" w:rsidRPr="00942D20" w:rsidRDefault="00942D20" w:rsidP="005942E4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942D20">
        <w:rPr>
          <w:rFonts w:ascii="Times New Roman" w:hAnsi="Times New Roman" w:cs="Times New Roman"/>
          <w:bCs/>
        </w:rPr>
        <w:t>Projektowane rozwiązania są spójne z dotychczasowymi regulacjami pod kątem systemowym i terminologicznym</w:t>
      </w:r>
      <w:r>
        <w:rPr>
          <w:rFonts w:ascii="Times New Roman" w:hAnsi="Times New Roman" w:cs="Times New Roman"/>
          <w:bCs/>
        </w:rPr>
        <w:t xml:space="preserve">, a także </w:t>
      </w:r>
      <w:r w:rsidRPr="00942D20">
        <w:rPr>
          <w:rFonts w:ascii="Times New Roman" w:hAnsi="Times New Roman" w:cs="Times New Roman"/>
          <w:bCs/>
        </w:rPr>
        <w:t>zgodne z Konstytucją RP,</w:t>
      </w:r>
      <w:r>
        <w:rPr>
          <w:rFonts w:ascii="Times New Roman" w:hAnsi="Times New Roman" w:cs="Times New Roman"/>
          <w:bCs/>
        </w:rPr>
        <w:t xml:space="preserve"> </w:t>
      </w:r>
      <w:r w:rsidRPr="00942D20">
        <w:rPr>
          <w:rFonts w:ascii="Times New Roman" w:hAnsi="Times New Roman" w:cs="Times New Roman"/>
          <w:bCs/>
        </w:rPr>
        <w:t xml:space="preserve">w tym z konstytucyjnym </w:t>
      </w:r>
      <w:r w:rsidRPr="00942D20">
        <w:rPr>
          <w:rFonts w:ascii="Times New Roman" w:hAnsi="Times New Roman" w:cs="Times New Roman"/>
          <w:bCs/>
        </w:rPr>
        <w:lastRenderedPageBreak/>
        <w:t>standardem ochrony wolności i praw.</w:t>
      </w:r>
      <w:r w:rsidR="00252240">
        <w:rPr>
          <w:rFonts w:ascii="Times New Roman" w:hAnsi="Times New Roman" w:cs="Times New Roman"/>
          <w:bCs/>
        </w:rPr>
        <w:t xml:space="preserve"> Propozycje zmian w przepisach nie są przepisami dyskryminującymi cudzoziemców, gdyż w takiej samej mierze dotyczą obywateli polskich</w:t>
      </w:r>
      <w:r w:rsidR="00FC7C6C">
        <w:rPr>
          <w:rFonts w:ascii="Times New Roman" w:hAnsi="Times New Roman" w:cs="Times New Roman"/>
          <w:bCs/>
        </w:rPr>
        <w:t>. Nie są także niezgodne z przepisami prawa Unii Europejskiej ani z wiążącymi Polskę umowami międzynarodowymi.</w:t>
      </w:r>
    </w:p>
    <w:p w14:paraId="33411378" w14:textId="432AB3F6" w:rsidR="00436A0D" w:rsidRDefault="00436A0D" w:rsidP="00942D2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D1D04">
        <w:rPr>
          <w:rFonts w:ascii="Times New Roman" w:hAnsi="Times New Roman" w:cs="Times New Roman"/>
          <w:b/>
          <w:bCs/>
        </w:rPr>
        <w:t>3. Przewidywane skutki społeczne, gospodarcze, finansowe</w:t>
      </w:r>
    </w:p>
    <w:p w14:paraId="5F78DBD3" w14:textId="0DB41184" w:rsidR="00942D20" w:rsidRDefault="00942D20" w:rsidP="006718F4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942D20">
        <w:rPr>
          <w:rFonts w:ascii="Times New Roman" w:hAnsi="Times New Roman" w:cs="Times New Roman"/>
        </w:rPr>
        <w:t>Projekt ustawy wywoła pozytywne skutki społeczne.</w:t>
      </w:r>
      <w:r w:rsidR="00FA5EC1">
        <w:rPr>
          <w:rFonts w:ascii="Times New Roman" w:hAnsi="Times New Roman" w:cs="Times New Roman"/>
        </w:rPr>
        <w:t xml:space="preserve"> </w:t>
      </w:r>
      <w:r w:rsidR="00252240">
        <w:rPr>
          <w:rFonts w:ascii="Times New Roman" w:hAnsi="Times New Roman" w:cs="Times New Roman"/>
        </w:rPr>
        <w:t>B</w:t>
      </w:r>
      <w:r w:rsidR="00441C26" w:rsidRPr="00441C26">
        <w:rPr>
          <w:rFonts w:ascii="Times New Roman" w:hAnsi="Times New Roman" w:cs="Times New Roman"/>
        </w:rPr>
        <w:t xml:space="preserve">rak </w:t>
      </w:r>
      <w:r w:rsidR="00252240">
        <w:rPr>
          <w:rFonts w:ascii="Times New Roman" w:hAnsi="Times New Roman" w:cs="Times New Roman"/>
        </w:rPr>
        <w:t xml:space="preserve">jest </w:t>
      </w:r>
      <w:r w:rsidR="00441C26" w:rsidRPr="00441C26">
        <w:rPr>
          <w:rFonts w:ascii="Times New Roman" w:hAnsi="Times New Roman" w:cs="Times New Roman"/>
        </w:rPr>
        <w:t>społecznej akceptacji</w:t>
      </w:r>
      <w:r w:rsidR="00252240">
        <w:rPr>
          <w:rFonts w:ascii="Times New Roman" w:hAnsi="Times New Roman" w:cs="Times New Roman"/>
        </w:rPr>
        <w:t xml:space="preserve"> na nadużycia systemu emerytalno-rentowego w Polsce, dlatego też jego uszczelnienie spowoduje wzrost zaufania do państwa. Projektowane zmiany przyczynią się także do większego poczucia sprawiedliwości wśród Polaków, którzy nie uważają za sprawiedliwe, aby obcokrajowcy, którzy pracowali w Polsce bardzo krótko, mogli ubiegać się o wyrównanie swoich świadczeń emerytalnych do wysokości polskiej emerytury minimalnej.</w:t>
      </w:r>
      <w:r w:rsidR="00FC7C6C">
        <w:rPr>
          <w:rFonts w:ascii="Times New Roman" w:hAnsi="Times New Roman" w:cs="Times New Roman"/>
        </w:rPr>
        <w:t xml:space="preserve"> </w:t>
      </w:r>
      <w:r w:rsidR="00927B42">
        <w:rPr>
          <w:rFonts w:ascii="Times New Roman" w:hAnsi="Times New Roman" w:cs="Times New Roman"/>
        </w:rPr>
        <w:t>Nowy w</w:t>
      </w:r>
      <w:r w:rsidR="00FC7C6C">
        <w:rPr>
          <w:rFonts w:ascii="Times New Roman" w:hAnsi="Times New Roman" w:cs="Times New Roman"/>
        </w:rPr>
        <w:t>ymóg będzie społecznie odebrany jako w zupełności wystarczający, by uznać, że taka dopłata jest sprawiedliwa i</w:t>
      </w:r>
      <w:r w:rsidR="005942E4">
        <w:rPr>
          <w:rFonts w:ascii="Times New Roman" w:hAnsi="Times New Roman" w:cs="Times New Roman"/>
        </w:rPr>
        <w:t> </w:t>
      </w:r>
      <w:r w:rsidR="00FC7C6C">
        <w:rPr>
          <w:rFonts w:ascii="Times New Roman" w:hAnsi="Times New Roman" w:cs="Times New Roman"/>
        </w:rPr>
        <w:t>konieczna ze względu na wpływ takiej osoby na rozwój gospodarczy całego państwa.</w:t>
      </w:r>
      <w:r w:rsidR="00252240">
        <w:rPr>
          <w:rFonts w:ascii="Times New Roman" w:hAnsi="Times New Roman" w:cs="Times New Roman"/>
        </w:rPr>
        <w:t xml:space="preserve"> Pozytywnym skutkiem społecznym będzie także ograniczenie zjawiska tzw. „turystyki emerytalnej”, które wiązać się będzie ze zmniejszeniem presji migracyjnej na Polskę, co spowoduje z kolei większe poczucie bezpieczeństwa wśród Polaków. </w:t>
      </w:r>
      <w:r w:rsidR="00FC7C6C">
        <w:rPr>
          <w:rFonts w:ascii="Times New Roman" w:hAnsi="Times New Roman" w:cs="Times New Roman"/>
        </w:rPr>
        <w:t>Pozytywny wpływ nowych regulacji odczuwalny także będzie poprzez z</w:t>
      </w:r>
      <w:r w:rsidR="00FC7C6C" w:rsidRPr="00FC7C6C">
        <w:rPr>
          <w:rFonts w:ascii="Times New Roman" w:hAnsi="Times New Roman" w:cs="Times New Roman"/>
        </w:rPr>
        <w:t>mniejszenie napięć społecznych związanych z postrzeganiem nieuczciwych przywilejów.</w:t>
      </w:r>
      <w:r w:rsidR="00FC7C6C">
        <w:rPr>
          <w:rFonts w:ascii="Times New Roman" w:hAnsi="Times New Roman" w:cs="Times New Roman"/>
        </w:rPr>
        <w:t xml:space="preserve"> </w:t>
      </w:r>
    </w:p>
    <w:p w14:paraId="6EEEF857" w14:textId="584DF6B6" w:rsidR="00166B89" w:rsidRDefault="00942D20" w:rsidP="006718F4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942D20">
        <w:rPr>
          <w:rFonts w:ascii="Times New Roman" w:hAnsi="Times New Roman" w:cs="Times New Roman"/>
          <w:bCs/>
        </w:rPr>
        <w:t>Projekt</w:t>
      </w:r>
      <w:r w:rsidR="00B5751A">
        <w:rPr>
          <w:rFonts w:ascii="Times New Roman" w:hAnsi="Times New Roman" w:cs="Times New Roman"/>
          <w:bCs/>
        </w:rPr>
        <w:t xml:space="preserve"> ustawy wywoła pozytywne skutki gospodarcze</w:t>
      </w:r>
      <w:r w:rsidR="00166B89">
        <w:rPr>
          <w:rFonts w:ascii="Times New Roman" w:hAnsi="Times New Roman" w:cs="Times New Roman"/>
          <w:bCs/>
        </w:rPr>
        <w:t>.</w:t>
      </w:r>
      <w:r w:rsidR="00353196">
        <w:rPr>
          <w:rFonts w:ascii="Times New Roman" w:hAnsi="Times New Roman" w:cs="Times New Roman"/>
          <w:bCs/>
        </w:rPr>
        <w:t xml:space="preserve"> </w:t>
      </w:r>
      <w:r w:rsidR="00FC7C6C">
        <w:rPr>
          <w:rFonts w:ascii="Times New Roman" w:hAnsi="Times New Roman" w:cs="Times New Roman"/>
          <w:bCs/>
        </w:rPr>
        <w:t>U</w:t>
      </w:r>
      <w:r w:rsidR="00FC7C6C" w:rsidRPr="00FC7C6C">
        <w:rPr>
          <w:rFonts w:ascii="Times New Roman" w:hAnsi="Times New Roman" w:cs="Times New Roman"/>
          <w:bCs/>
          <w:lang w:val="pl"/>
        </w:rPr>
        <w:t>szczelnienie</w:t>
      </w:r>
      <w:r w:rsidR="00D314E8">
        <w:rPr>
          <w:rFonts w:ascii="Times New Roman" w:hAnsi="Times New Roman" w:cs="Times New Roman"/>
          <w:bCs/>
          <w:lang w:val="pl"/>
        </w:rPr>
        <w:t xml:space="preserve"> </w:t>
      </w:r>
      <w:r w:rsidR="00FC7C6C" w:rsidRPr="00FC7C6C">
        <w:rPr>
          <w:rFonts w:ascii="Times New Roman" w:hAnsi="Times New Roman" w:cs="Times New Roman"/>
          <w:bCs/>
          <w:lang w:val="pl"/>
        </w:rPr>
        <w:t xml:space="preserve">systemu emerytalnego </w:t>
      </w:r>
      <w:r w:rsidR="00FC7C6C">
        <w:rPr>
          <w:rFonts w:ascii="Times New Roman" w:hAnsi="Times New Roman" w:cs="Times New Roman"/>
          <w:bCs/>
          <w:lang w:val="pl"/>
        </w:rPr>
        <w:t xml:space="preserve">poprzez znaczące ograniczenie </w:t>
      </w:r>
      <w:r w:rsidR="00FC7C6C" w:rsidRPr="00FC7C6C">
        <w:rPr>
          <w:rFonts w:ascii="Times New Roman" w:hAnsi="Times New Roman" w:cs="Times New Roman"/>
          <w:bCs/>
          <w:lang w:val="pl"/>
        </w:rPr>
        <w:t>turystyk</w:t>
      </w:r>
      <w:r w:rsidR="00FC7C6C">
        <w:rPr>
          <w:rFonts w:ascii="Times New Roman" w:hAnsi="Times New Roman" w:cs="Times New Roman"/>
          <w:bCs/>
          <w:lang w:val="pl"/>
        </w:rPr>
        <w:t>i</w:t>
      </w:r>
      <w:r w:rsidR="00FC7C6C" w:rsidRPr="00FC7C6C">
        <w:rPr>
          <w:rFonts w:ascii="Times New Roman" w:hAnsi="Times New Roman" w:cs="Times New Roman"/>
          <w:bCs/>
          <w:lang w:val="pl"/>
        </w:rPr>
        <w:t xml:space="preserve"> emerytaln</w:t>
      </w:r>
      <w:r w:rsidR="00FC7C6C">
        <w:rPr>
          <w:rFonts w:ascii="Times New Roman" w:hAnsi="Times New Roman" w:cs="Times New Roman"/>
          <w:bCs/>
          <w:lang w:val="pl"/>
        </w:rPr>
        <w:t>ej</w:t>
      </w:r>
      <w:r w:rsidR="00FC7C6C" w:rsidRPr="00FC7C6C">
        <w:rPr>
          <w:rFonts w:ascii="Times New Roman" w:hAnsi="Times New Roman" w:cs="Times New Roman"/>
          <w:bCs/>
          <w:lang w:val="pl"/>
        </w:rPr>
        <w:t xml:space="preserve"> będzie dużą korzyścią dla polskiego systemu finansów publicznych</w:t>
      </w:r>
      <w:r w:rsidR="00FC7C6C">
        <w:rPr>
          <w:rFonts w:ascii="Times New Roman" w:hAnsi="Times New Roman" w:cs="Times New Roman"/>
          <w:bCs/>
          <w:lang w:val="pl"/>
        </w:rPr>
        <w:t>, a przez to dla polskiej gospodarki.</w:t>
      </w:r>
      <w:r w:rsidR="00FC7C6C" w:rsidRPr="00FC7C6C">
        <w:rPr>
          <w:rFonts w:ascii="Times New Roman" w:hAnsi="Times New Roman" w:cs="Times New Roman"/>
          <w:bCs/>
          <w:lang w:val="pl"/>
        </w:rPr>
        <w:t xml:space="preserve"> Brak zmian</w:t>
      </w:r>
      <w:r w:rsidR="00FC7C6C">
        <w:rPr>
          <w:rFonts w:ascii="Times New Roman" w:hAnsi="Times New Roman" w:cs="Times New Roman"/>
          <w:bCs/>
          <w:lang w:val="pl"/>
        </w:rPr>
        <w:t xml:space="preserve"> </w:t>
      </w:r>
      <w:r w:rsidR="00FC7C6C" w:rsidRPr="00FC7C6C">
        <w:rPr>
          <w:rFonts w:ascii="Times New Roman" w:hAnsi="Times New Roman" w:cs="Times New Roman"/>
          <w:bCs/>
          <w:lang w:val="pl"/>
        </w:rPr>
        <w:t xml:space="preserve">utrzyma zachęty do migracji wyłącznie po świadczenie </w:t>
      </w:r>
      <w:r w:rsidR="00FC7C6C">
        <w:rPr>
          <w:rFonts w:ascii="Times New Roman" w:hAnsi="Times New Roman" w:cs="Times New Roman"/>
          <w:bCs/>
          <w:lang w:val="pl"/>
        </w:rPr>
        <w:t xml:space="preserve">socjalne i </w:t>
      </w:r>
      <w:r w:rsidR="00FC7C6C" w:rsidRPr="00FC7C6C">
        <w:rPr>
          <w:rFonts w:ascii="Times New Roman" w:hAnsi="Times New Roman" w:cs="Times New Roman"/>
          <w:bCs/>
          <w:lang w:val="pl"/>
        </w:rPr>
        <w:t>emerytalne</w:t>
      </w:r>
      <w:r w:rsidR="00FC7C6C">
        <w:rPr>
          <w:rFonts w:ascii="Times New Roman" w:hAnsi="Times New Roman" w:cs="Times New Roman"/>
          <w:bCs/>
          <w:lang w:val="pl"/>
        </w:rPr>
        <w:t xml:space="preserve">. Zmiany nie wpłyną natomiast w żaden sposób negatywnie na rynek </w:t>
      </w:r>
      <w:r w:rsidR="00D314E8">
        <w:rPr>
          <w:rFonts w:ascii="Times New Roman" w:hAnsi="Times New Roman" w:cs="Times New Roman"/>
          <w:bCs/>
          <w:lang w:val="pl"/>
        </w:rPr>
        <w:t>pracy</w:t>
      </w:r>
      <w:r w:rsidR="00FC7C6C">
        <w:rPr>
          <w:rFonts w:ascii="Times New Roman" w:hAnsi="Times New Roman" w:cs="Times New Roman"/>
          <w:bCs/>
          <w:lang w:val="pl"/>
        </w:rPr>
        <w:t xml:space="preserve"> ani aktywność zawodową.</w:t>
      </w:r>
    </w:p>
    <w:p w14:paraId="734833E6" w14:textId="35A85F8E" w:rsidR="00166B89" w:rsidRDefault="00166B89" w:rsidP="006718F4">
      <w:pPr>
        <w:spacing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166B89">
        <w:rPr>
          <w:rFonts w:ascii="Times New Roman" w:hAnsi="Times New Roman" w:cs="Times New Roman"/>
          <w:bCs/>
        </w:rPr>
        <w:t xml:space="preserve">Projekt </w:t>
      </w:r>
      <w:r w:rsidR="00FC7C6C">
        <w:rPr>
          <w:rFonts w:ascii="Times New Roman" w:hAnsi="Times New Roman" w:cs="Times New Roman"/>
          <w:bCs/>
        </w:rPr>
        <w:t xml:space="preserve">ustawy wywoła pozytywne skutki dla finansów publicznych. Po pierwsze </w:t>
      </w:r>
      <w:r w:rsidRPr="00166B89">
        <w:rPr>
          <w:rFonts w:ascii="Times New Roman" w:hAnsi="Times New Roman" w:cs="Times New Roman"/>
          <w:bCs/>
        </w:rPr>
        <w:t xml:space="preserve">nie zakłada obciążenia budżetu państwa kosztami wykonywania </w:t>
      </w:r>
      <w:r w:rsidR="00FC7C6C">
        <w:rPr>
          <w:rFonts w:ascii="Times New Roman" w:hAnsi="Times New Roman" w:cs="Times New Roman"/>
          <w:bCs/>
        </w:rPr>
        <w:t xml:space="preserve">żadnych </w:t>
      </w:r>
      <w:r w:rsidRPr="00166B89">
        <w:rPr>
          <w:rFonts w:ascii="Times New Roman" w:hAnsi="Times New Roman" w:cs="Times New Roman"/>
          <w:bCs/>
        </w:rPr>
        <w:t>nowych zadań</w:t>
      </w:r>
      <w:r w:rsidR="00FC7C6C">
        <w:rPr>
          <w:rFonts w:ascii="Times New Roman" w:hAnsi="Times New Roman" w:cs="Times New Roman"/>
          <w:bCs/>
        </w:rPr>
        <w:t xml:space="preserve">, a po drugie przewidywalne jest zmniejszenie wydatków z FUS, gdyż zmniejszy się liczba przypadków, w których konieczne będzie dokonanie dopłaty do wysokości minimalnej polskiej emerytury. Krótkofalowo oszczędności te mogą wynieść </w:t>
      </w:r>
      <w:r w:rsidR="00D314E8">
        <w:rPr>
          <w:rFonts w:ascii="Times New Roman" w:hAnsi="Times New Roman" w:cs="Times New Roman"/>
          <w:bCs/>
        </w:rPr>
        <w:t>nawet ok. 1 mln zł rocznie, ale długofalowo zatrzyma to potencjalny wzrost wysokości dopłat, które w perspektywie kilkunastu lat mogłyby wynosić kilkanaście, a nawet kilkadziesiąt mln zł rocznie. W dłuższej perspektywie ochroni to finanse publiczne i zadziała prewencyjnie przed wzrostem wydatków.</w:t>
      </w:r>
    </w:p>
    <w:p w14:paraId="268B83CC" w14:textId="3CFB330F" w:rsidR="00436A0D" w:rsidRPr="003D1D04" w:rsidRDefault="006718F4" w:rsidP="000A329E">
      <w:pPr>
        <w:spacing w:before="24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436A0D" w:rsidRPr="003D1D04">
        <w:rPr>
          <w:rFonts w:ascii="Times New Roman" w:hAnsi="Times New Roman" w:cs="Times New Roman"/>
          <w:b/>
          <w:bCs/>
        </w:rPr>
        <w:t>. Informacje dodatkowe</w:t>
      </w:r>
    </w:p>
    <w:p w14:paraId="362295AF" w14:textId="13852BD3" w:rsidR="003F7543" w:rsidRDefault="003F7543" w:rsidP="00166B89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F7543">
        <w:rPr>
          <w:rFonts w:ascii="Times New Roman" w:hAnsi="Times New Roman" w:cs="Times New Roman"/>
        </w:rPr>
        <w:t>Projekt nie był przedmiotem formalnych konsultacji publicznych.</w:t>
      </w:r>
    </w:p>
    <w:p w14:paraId="67516D0A" w14:textId="61DADC6A" w:rsidR="00436A0D" w:rsidRPr="003D1D04" w:rsidRDefault="00436A0D" w:rsidP="003F7543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D1D04">
        <w:rPr>
          <w:rFonts w:ascii="Times New Roman" w:hAnsi="Times New Roman" w:cs="Times New Roman"/>
        </w:rPr>
        <w:t xml:space="preserve">Projekt nie zawiera przepisów określających zasady podejmowania, wykonywania lub zakończenia działalności gospodarczej. Wdrożenie projektowanych przepisów nie spowoduje wzrostu obciążeń administracyjnych mikroprzedsiębiorców, małych i średnich przedsiębiorców. Projekt ustawy </w:t>
      </w:r>
      <w:r w:rsidR="002C7F7C">
        <w:rPr>
          <w:rFonts w:ascii="Times New Roman" w:hAnsi="Times New Roman" w:cs="Times New Roman"/>
        </w:rPr>
        <w:t>nie</w:t>
      </w:r>
      <w:r w:rsidR="00B5751A">
        <w:rPr>
          <w:rFonts w:ascii="Times New Roman" w:hAnsi="Times New Roman" w:cs="Times New Roman"/>
        </w:rPr>
        <w:t xml:space="preserve"> </w:t>
      </w:r>
      <w:r w:rsidRPr="003D1D04">
        <w:rPr>
          <w:rFonts w:ascii="Times New Roman" w:hAnsi="Times New Roman" w:cs="Times New Roman"/>
        </w:rPr>
        <w:t>wpły</w:t>
      </w:r>
      <w:r w:rsidR="00B5751A">
        <w:rPr>
          <w:rFonts w:ascii="Times New Roman" w:hAnsi="Times New Roman" w:cs="Times New Roman"/>
        </w:rPr>
        <w:t>nie</w:t>
      </w:r>
      <w:r w:rsidRPr="003D1D04">
        <w:rPr>
          <w:rFonts w:ascii="Times New Roman" w:hAnsi="Times New Roman" w:cs="Times New Roman"/>
        </w:rPr>
        <w:t xml:space="preserve"> na działalność przedsiębiorców</w:t>
      </w:r>
      <w:r w:rsidR="00056B5E" w:rsidRPr="003D1D04">
        <w:rPr>
          <w:rFonts w:ascii="Times New Roman" w:hAnsi="Times New Roman" w:cs="Times New Roman"/>
        </w:rPr>
        <w:t>.</w:t>
      </w:r>
      <w:r w:rsidR="006B4607" w:rsidRPr="003D1D04">
        <w:rPr>
          <w:rFonts w:ascii="Times New Roman" w:hAnsi="Times New Roman" w:cs="Times New Roman"/>
        </w:rPr>
        <w:t xml:space="preserve"> </w:t>
      </w:r>
      <w:r w:rsidRPr="003D1D04">
        <w:rPr>
          <w:rFonts w:ascii="Times New Roman" w:hAnsi="Times New Roman" w:cs="Times New Roman"/>
        </w:rPr>
        <w:t>Projekt ustawy jest zgodny z przepisami ustawy z dnia 6 marca 2018 r. – Prawo przedsiębiorców (t.j. Dz. U. z</w:t>
      </w:r>
      <w:r w:rsidR="003D1D04" w:rsidRPr="003D1D04">
        <w:rPr>
          <w:rFonts w:ascii="Times New Roman" w:hAnsi="Times New Roman" w:cs="Times New Roman"/>
        </w:rPr>
        <w:t> </w:t>
      </w:r>
      <w:r w:rsidRPr="003D1D04">
        <w:rPr>
          <w:rFonts w:ascii="Times New Roman" w:hAnsi="Times New Roman" w:cs="Times New Roman"/>
        </w:rPr>
        <w:t>202</w:t>
      </w:r>
      <w:r w:rsidR="00B84366" w:rsidRPr="003D1D04">
        <w:rPr>
          <w:rFonts w:ascii="Times New Roman" w:hAnsi="Times New Roman" w:cs="Times New Roman"/>
        </w:rPr>
        <w:t>5</w:t>
      </w:r>
      <w:r w:rsidRPr="003D1D04">
        <w:rPr>
          <w:rFonts w:ascii="Times New Roman" w:hAnsi="Times New Roman" w:cs="Times New Roman"/>
        </w:rPr>
        <w:t xml:space="preserve"> r. poz. </w:t>
      </w:r>
      <w:r w:rsidR="00B84366" w:rsidRPr="003D1D04">
        <w:rPr>
          <w:rFonts w:ascii="Times New Roman" w:hAnsi="Times New Roman" w:cs="Times New Roman"/>
        </w:rPr>
        <w:t>1480</w:t>
      </w:r>
      <w:r w:rsidR="00B41731" w:rsidRPr="00B41731">
        <w:rPr>
          <w:rFonts w:ascii="Times New Roman" w:hAnsi="Times New Roman" w:cs="Times New Roman"/>
        </w:rPr>
        <w:t>,</w:t>
      </w:r>
      <w:r w:rsidR="00B41731">
        <w:rPr>
          <w:rFonts w:ascii="Times New Roman" w:hAnsi="Times New Roman" w:cs="Times New Roman"/>
        </w:rPr>
        <w:t xml:space="preserve"> </w:t>
      </w:r>
      <w:r w:rsidR="00B41731" w:rsidRPr="00B41731">
        <w:rPr>
          <w:rFonts w:ascii="Times New Roman" w:hAnsi="Times New Roman" w:cs="Times New Roman"/>
        </w:rPr>
        <w:t>1795,</w:t>
      </w:r>
      <w:r w:rsidR="00B41731">
        <w:rPr>
          <w:rFonts w:ascii="Times New Roman" w:hAnsi="Times New Roman" w:cs="Times New Roman"/>
        </w:rPr>
        <w:t xml:space="preserve"> </w:t>
      </w:r>
      <w:r w:rsidR="00B41731" w:rsidRPr="00B41731">
        <w:rPr>
          <w:rFonts w:ascii="Times New Roman" w:hAnsi="Times New Roman" w:cs="Times New Roman"/>
        </w:rPr>
        <w:t>1826</w:t>
      </w:r>
      <w:r w:rsidRPr="003D1D04">
        <w:rPr>
          <w:rFonts w:ascii="Times New Roman" w:hAnsi="Times New Roman" w:cs="Times New Roman"/>
        </w:rPr>
        <w:t>).</w:t>
      </w:r>
    </w:p>
    <w:p w14:paraId="39D10F3F" w14:textId="6F943A5E" w:rsidR="00436A0D" w:rsidRPr="003D1D04" w:rsidRDefault="007742B4" w:rsidP="00436A0D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</w:t>
      </w:r>
      <w:r w:rsidR="00436A0D" w:rsidRPr="003D1D04">
        <w:rPr>
          <w:rFonts w:ascii="Times New Roman" w:hAnsi="Times New Roman" w:cs="Times New Roman"/>
        </w:rPr>
        <w:t xml:space="preserve"> ustawy </w:t>
      </w:r>
      <w:r>
        <w:rPr>
          <w:rFonts w:ascii="Times New Roman" w:hAnsi="Times New Roman" w:cs="Times New Roman"/>
        </w:rPr>
        <w:t>jest zgodny</w:t>
      </w:r>
      <w:r w:rsidR="00436A0D" w:rsidRPr="003D1D04">
        <w:rPr>
          <w:rFonts w:ascii="Times New Roman" w:hAnsi="Times New Roman" w:cs="Times New Roman"/>
        </w:rPr>
        <w:t xml:space="preserve"> </w:t>
      </w:r>
      <w:r w:rsidR="00E0285E" w:rsidRPr="003D1D04">
        <w:rPr>
          <w:rFonts w:ascii="Times New Roman" w:hAnsi="Times New Roman" w:cs="Times New Roman"/>
        </w:rPr>
        <w:t>z</w:t>
      </w:r>
      <w:r w:rsidR="00436A0D" w:rsidRPr="003D1D04">
        <w:rPr>
          <w:rFonts w:ascii="Times New Roman" w:hAnsi="Times New Roman" w:cs="Times New Roman"/>
        </w:rPr>
        <w:t xml:space="preserve"> prawem Unii Europejskiej.</w:t>
      </w:r>
    </w:p>
    <w:p w14:paraId="2CE3CDD4" w14:textId="14F76AC3" w:rsidR="00436A0D" w:rsidRPr="003D1D04" w:rsidRDefault="00436A0D" w:rsidP="00436A0D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D1D04">
        <w:rPr>
          <w:rFonts w:ascii="Times New Roman" w:hAnsi="Times New Roman" w:cs="Times New Roman"/>
        </w:rPr>
        <w:lastRenderedPageBreak/>
        <w:t>Projekt nie zawiera przepisów regulacyjnych i nie określa wymogów dotyczących świadczenia usług transgranicznych w rozumieniu ustawy z dnia 22 grudnia 2015 r. o zasadach uznawania kwalifikacji zawodowych nabytych w państwach członkowskich Unii Europejskiej (t.j. Dz. U. z 2023 r. poz. 334, z 2025 r. poz. 619).</w:t>
      </w:r>
    </w:p>
    <w:p w14:paraId="3A5C002E" w14:textId="77777777" w:rsidR="00436A0D" w:rsidRPr="003D1D04" w:rsidRDefault="00436A0D" w:rsidP="00436A0D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D1D04">
        <w:rPr>
          <w:rFonts w:ascii="Times New Roman" w:hAnsi="Times New Roman" w:cs="Times New Roman"/>
        </w:rPr>
        <w:t>Projektowana ustawa nie wymaga przedstawienia właściwym organom i instytucjom Unii Europejskiej, w tym Europejskiemu Bankowi Centralnemu, w celu uzyskania opinii, dokonania powiadomienia, konsultacji albo uzgodnienia.</w:t>
      </w:r>
    </w:p>
    <w:p w14:paraId="1777A3AB" w14:textId="3EDE8E2C" w:rsidR="00436A0D" w:rsidRPr="000A329E" w:rsidRDefault="00436A0D" w:rsidP="000A329E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D1D04">
        <w:rPr>
          <w:rFonts w:ascii="Times New Roman" w:hAnsi="Times New Roman" w:cs="Times New Roman"/>
        </w:rPr>
        <w:t>Projektowana ustawa nie zawiera przepisów technicznych i nie podlega notyfikacji zgodnie z przepisami rozporządzenia Rady Ministrów z dnia 23 grudnia 2002 r. w sprawie sposobu funkcjonowania krajowego systemu notyfikacji norm i aktów prawnych (Dz. U. poz. 2039 oraz z 2004 r. poz. 597).</w:t>
      </w:r>
    </w:p>
    <w:sectPr w:rsidR="00436A0D" w:rsidRPr="000A329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8CFD" w14:textId="77777777" w:rsidR="00EF0CB1" w:rsidRDefault="00EF0CB1" w:rsidP="00436A0D">
      <w:pPr>
        <w:spacing w:after="0" w:line="240" w:lineRule="auto"/>
      </w:pPr>
      <w:r>
        <w:separator/>
      </w:r>
    </w:p>
  </w:endnote>
  <w:endnote w:type="continuationSeparator" w:id="0">
    <w:p w14:paraId="255DD4CA" w14:textId="77777777" w:rsidR="00EF0CB1" w:rsidRDefault="00EF0CB1" w:rsidP="0043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371644497"/>
      <w:docPartObj>
        <w:docPartGallery w:val="Page Numbers (Bottom of Page)"/>
        <w:docPartUnique/>
      </w:docPartObj>
    </w:sdtPr>
    <w:sdtContent>
      <w:p w14:paraId="53136864" w14:textId="2BFF92C7" w:rsidR="00436A0D" w:rsidRDefault="00436A0D">
        <w:pPr>
          <w:pStyle w:val="Stopka"/>
          <w:jc w:val="center"/>
          <w:rPr>
            <w:rFonts w:ascii="Times New Roman" w:hAnsi="Times New Roman" w:cs="Times New Roman"/>
          </w:rPr>
        </w:pPr>
        <w:r w:rsidRPr="00436A0D">
          <w:rPr>
            <w:rFonts w:ascii="Times New Roman" w:hAnsi="Times New Roman" w:cs="Times New Roman"/>
          </w:rPr>
          <w:fldChar w:fldCharType="begin"/>
        </w:r>
        <w:r w:rsidRPr="00436A0D">
          <w:rPr>
            <w:rFonts w:ascii="Times New Roman" w:hAnsi="Times New Roman" w:cs="Times New Roman"/>
          </w:rPr>
          <w:instrText>PAGE   \* MERGEFORMAT</w:instrText>
        </w:r>
        <w:r w:rsidRPr="00436A0D">
          <w:rPr>
            <w:rFonts w:ascii="Times New Roman" w:hAnsi="Times New Roman" w:cs="Times New Roman"/>
          </w:rPr>
          <w:fldChar w:fldCharType="separate"/>
        </w:r>
        <w:r w:rsidRPr="00436A0D">
          <w:rPr>
            <w:rFonts w:ascii="Times New Roman" w:hAnsi="Times New Roman" w:cs="Times New Roman"/>
          </w:rPr>
          <w:t>2</w:t>
        </w:r>
        <w:r w:rsidRPr="00436A0D">
          <w:rPr>
            <w:rFonts w:ascii="Times New Roman" w:hAnsi="Times New Roman" w:cs="Times New Roman"/>
          </w:rPr>
          <w:fldChar w:fldCharType="end"/>
        </w:r>
      </w:p>
      <w:p w14:paraId="71DEE50A" w14:textId="77777777" w:rsidR="00436A0D" w:rsidRPr="00066EAD" w:rsidRDefault="00436A0D" w:rsidP="00436A0D">
        <w:pPr>
          <w:pBdr>
            <w:top w:val="nil"/>
            <w:left w:val="nil"/>
            <w:bottom w:val="single" w:sz="6" w:space="1" w:color="000000"/>
            <w:right w:val="nil"/>
            <w:between w:val="nil"/>
          </w:pBdr>
          <w:spacing w:after="200" w:line="240" w:lineRule="auto"/>
          <w:rPr>
            <w:rFonts w:ascii="Times New Roman" w:eastAsia="Times New Roman" w:hAnsi="Times New Roman" w:cs="Times New Roman"/>
            <w:color w:val="000000"/>
            <w:kern w:val="0"/>
            <w14:ligatures w14:val="none"/>
          </w:rPr>
        </w:pPr>
        <w:bookmarkStart w:id="0" w:name="_Hlk199494664"/>
        <w:bookmarkStart w:id="1" w:name="_Hlk199494663"/>
      </w:p>
      <w:p w14:paraId="5A6039DF" w14:textId="4BF8617C" w:rsidR="00436A0D" w:rsidRPr="00436A0D" w:rsidRDefault="00436A0D" w:rsidP="00436A0D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536"/>
            <w:tab w:val="right" w:pos="9072"/>
          </w:tabs>
          <w:spacing w:after="200" w:line="240" w:lineRule="auto"/>
          <w:jc w:val="center"/>
          <w:rPr>
            <w:color w:val="000000"/>
            <w:kern w:val="0"/>
            <w:sz w:val="22"/>
            <w:szCs w:val="22"/>
            <w14:ligatures w14:val="none"/>
          </w:rPr>
        </w:pPr>
        <w:r w:rsidRPr="00066EAD">
          <w:rPr>
            <w:color w:val="000000"/>
            <w:kern w:val="0"/>
            <w:sz w:val="22"/>
            <w:szCs w:val="22"/>
            <w14:ligatures w14:val="none"/>
          </w:rPr>
          <w:br/>
        </w:r>
        <w:r w:rsidRPr="00066EAD">
          <w:rPr>
            <w:rFonts w:ascii="Calibri" w:eastAsia="Calibri" w:hAnsi="Calibri" w:cs="Calibri"/>
            <w:b/>
            <w:color w:val="132D4D"/>
            <w:kern w:val="0"/>
            <w:sz w:val="22"/>
            <w:szCs w:val="22"/>
            <w14:ligatures w14:val="none"/>
          </w:rPr>
          <w:t>Konfederacja Wolność i Niepodległość</w:t>
        </w:r>
        <w:r w:rsidRPr="00066EAD">
          <w:rPr>
            <w:rFonts w:ascii="Calibri" w:eastAsia="Calibri" w:hAnsi="Calibri" w:cs="Calibri"/>
            <w:color w:val="132D4D"/>
            <w:kern w:val="0"/>
            <w:sz w:val="22"/>
            <w:szCs w:val="22"/>
            <w14:ligatures w14:val="none"/>
          </w:rPr>
          <w:t xml:space="preserve"> | konfederacja.pl</w:t>
        </w:r>
      </w:p>
      <w:bookmarkEnd w:id="1" w:displacedByCustomXml="next"/>
      <w:bookmarkEnd w:id="0" w:displacedByCustomXml="next"/>
    </w:sdtContent>
  </w:sdt>
  <w:p w14:paraId="66751985" w14:textId="77777777" w:rsidR="00436A0D" w:rsidRDefault="00436A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76BA6" w14:textId="77777777" w:rsidR="00EF0CB1" w:rsidRDefault="00EF0CB1" w:rsidP="00436A0D">
      <w:pPr>
        <w:spacing w:after="0" w:line="240" w:lineRule="auto"/>
      </w:pPr>
      <w:r>
        <w:separator/>
      </w:r>
    </w:p>
  </w:footnote>
  <w:footnote w:type="continuationSeparator" w:id="0">
    <w:p w14:paraId="229C3DB3" w14:textId="77777777" w:rsidR="00EF0CB1" w:rsidRDefault="00EF0CB1" w:rsidP="00436A0D">
      <w:pPr>
        <w:spacing w:after="0" w:line="240" w:lineRule="auto"/>
      </w:pPr>
      <w:r>
        <w:continuationSeparator/>
      </w:r>
    </w:p>
  </w:footnote>
  <w:footnote w:id="1">
    <w:p w14:paraId="14C35BA8" w14:textId="5F40987C" w:rsidR="00684749" w:rsidRPr="00684749" w:rsidRDefault="00684749">
      <w:pPr>
        <w:pStyle w:val="Tekstprzypisudolnego"/>
        <w:rPr>
          <w:rFonts w:ascii="Times New Roman" w:hAnsi="Times New Roman" w:cs="Times New Roman"/>
        </w:rPr>
      </w:pPr>
      <w:r w:rsidRPr="00684749">
        <w:rPr>
          <w:rStyle w:val="Odwoanieprzypisudolnego"/>
          <w:rFonts w:ascii="Times New Roman" w:hAnsi="Times New Roman" w:cs="Times New Roman"/>
        </w:rPr>
        <w:footnoteRef/>
      </w:r>
      <w:r w:rsidRPr="00684749">
        <w:rPr>
          <w:rFonts w:ascii="Times New Roman" w:hAnsi="Times New Roman" w:cs="Times New Roman"/>
        </w:rPr>
        <w:t xml:space="preserve"> https://www.zus.pl/swiadczenia/renty/kwoty-najnizszych-swiadczen-emerytalno-rentowych</w:t>
      </w:r>
    </w:p>
  </w:footnote>
  <w:footnote w:id="2">
    <w:p w14:paraId="34862547" w14:textId="174320D3" w:rsidR="00FE100F" w:rsidRPr="00344C1F" w:rsidRDefault="00FE100F">
      <w:pPr>
        <w:pStyle w:val="Tekstprzypisudolnego"/>
        <w:rPr>
          <w:rFonts w:ascii="Times New Roman" w:hAnsi="Times New Roman" w:cs="Times New Roman"/>
          <w:bCs/>
        </w:rPr>
      </w:pPr>
      <w:r w:rsidRPr="00FE100F">
        <w:rPr>
          <w:rStyle w:val="Odwoanieprzypisudolnego"/>
          <w:rFonts w:ascii="Times New Roman" w:hAnsi="Times New Roman" w:cs="Times New Roman"/>
        </w:rPr>
        <w:footnoteRef/>
      </w:r>
      <w:r w:rsidRPr="00FE100F">
        <w:rPr>
          <w:rFonts w:ascii="Times New Roman" w:hAnsi="Times New Roman" w:cs="Times New Roman"/>
        </w:rPr>
        <w:t xml:space="preserve"> </w:t>
      </w:r>
      <w:hyperlink r:id="rId1" w:history="1">
        <w:r w:rsidRPr="00FE100F">
          <w:rPr>
            <w:rStyle w:val="Hipercze"/>
            <w:rFonts w:ascii="Times New Roman" w:hAnsi="Times New Roman" w:cs="Times New Roman"/>
            <w:bCs/>
            <w:color w:val="auto"/>
            <w:u w:val="none"/>
          </w:rPr>
          <w:t>https://www.zus.pl/-/przepisy-dotycz%C4%85ce-emerytur-dla-cudzoziemc%C3%B3w-nie-zmieni%C5%82y-si%C4%99-w-ostatnich-latach</w:t>
        </w:r>
      </w:hyperlink>
    </w:p>
  </w:footnote>
  <w:footnote w:id="3">
    <w:p w14:paraId="2ADBC21D" w14:textId="4FC50EB2" w:rsidR="00344C1F" w:rsidRPr="00344C1F" w:rsidRDefault="00344C1F">
      <w:pPr>
        <w:pStyle w:val="Tekstprzypisudolnego"/>
        <w:rPr>
          <w:rFonts w:ascii="Times New Roman" w:hAnsi="Times New Roman" w:cs="Times New Roman"/>
        </w:rPr>
      </w:pPr>
      <w:r w:rsidRPr="00344C1F">
        <w:rPr>
          <w:rStyle w:val="Odwoanieprzypisudolnego"/>
          <w:rFonts w:ascii="Times New Roman" w:hAnsi="Times New Roman" w:cs="Times New Roman"/>
        </w:rPr>
        <w:footnoteRef/>
      </w:r>
      <w:r w:rsidRPr="00344C1F">
        <w:rPr>
          <w:rFonts w:ascii="Times New Roman" w:hAnsi="Times New Roman" w:cs="Times New Roman"/>
        </w:rPr>
        <w:t xml:space="preserve"> </w:t>
      </w:r>
      <w:hyperlink r:id="rId2" w:history="1">
        <w:r w:rsidRPr="00344C1F">
          <w:rPr>
            <w:rStyle w:val="Hipercze"/>
            <w:rFonts w:ascii="Times New Roman" w:hAnsi="Times New Roman" w:cs="Times New Roman"/>
            <w:color w:val="auto"/>
            <w:u w:val="none"/>
          </w:rPr>
          <w:t>https://www.money.pl/emerytury/robia-wrzawe-wokol-emerytur-dla-ukraincow-powiedziec-ze-kapiszon-to-nic-nie-powiedziec-opinia-7254634444224896a.html</w:t>
        </w:r>
      </w:hyperlink>
      <w:r w:rsidRPr="00344C1F">
        <w:rPr>
          <w:rFonts w:ascii="Times New Roman" w:hAnsi="Times New Roman" w:cs="Times New Roman"/>
        </w:rPr>
        <w:t xml:space="preserve"> </w:t>
      </w:r>
    </w:p>
  </w:footnote>
  <w:footnote w:id="4">
    <w:p w14:paraId="051A8472" w14:textId="57D1CF7A" w:rsidR="00802DA6" w:rsidRPr="00802DA6" w:rsidRDefault="00802DA6">
      <w:pPr>
        <w:pStyle w:val="Tekstprzypisudolnego"/>
        <w:rPr>
          <w:rFonts w:ascii="Times New Roman" w:hAnsi="Times New Roman" w:cs="Times New Roman"/>
        </w:rPr>
      </w:pPr>
      <w:r w:rsidRPr="00802DA6">
        <w:rPr>
          <w:rStyle w:val="Odwoanieprzypisudolnego"/>
          <w:rFonts w:ascii="Times New Roman" w:hAnsi="Times New Roman" w:cs="Times New Roman"/>
        </w:rPr>
        <w:footnoteRef/>
      </w:r>
      <w:r w:rsidRPr="00802DA6">
        <w:rPr>
          <w:rFonts w:ascii="Times New Roman" w:hAnsi="Times New Roman" w:cs="Times New Roman"/>
        </w:rPr>
        <w:t xml:space="preserve"> https://biznes.interia.pl/emerytury/news-panstwo-doplaca-do-emerytur-ukraincow-duzy-wzrost-wydatkow-n,nId,22546494</w:t>
      </w:r>
    </w:p>
  </w:footnote>
  <w:footnote w:id="5">
    <w:p w14:paraId="16857ACB" w14:textId="058462B2" w:rsidR="00514A61" w:rsidRPr="00514A61" w:rsidRDefault="00514A61">
      <w:pPr>
        <w:pStyle w:val="Tekstprzypisudolnego"/>
        <w:rPr>
          <w:rFonts w:ascii="Times New Roman" w:hAnsi="Times New Roman" w:cs="Times New Roman"/>
        </w:rPr>
      </w:pPr>
      <w:r w:rsidRPr="00514A61">
        <w:rPr>
          <w:rStyle w:val="Odwoanieprzypisudolnego"/>
          <w:rFonts w:ascii="Times New Roman" w:hAnsi="Times New Roman" w:cs="Times New Roman"/>
        </w:rPr>
        <w:footnoteRef/>
      </w:r>
      <w:r w:rsidRPr="00514A61">
        <w:rPr>
          <w:rFonts w:ascii="Times New Roman" w:hAnsi="Times New Roman" w:cs="Times New Roman"/>
        </w:rPr>
        <w:t xml:space="preserve"> https://sejm.gov.pl/INT10.nsf/0/186DDF275AEFF29EC1258D80004FB800/%24File/i13360-o1_1.pdf </w:t>
      </w:r>
    </w:p>
  </w:footnote>
  <w:footnote w:id="6">
    <w:p w14:paraId="30A32320" w14:textId="0E345700" w:rsidR="00927B42" w:rsidRDefault="00927B4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27B42">
        <w:rPr>
          <w:rFonts w:ascii="Times New Roman" w:hAnsi="Times New Roman" w:cs="Times New Roman"/>
        </w:rPr>
        <w:t>https://www.money.pl/praca/mentzen-alarmuje-ws-emerytur-dla-ukraincow-czego-polakom-nie-mowi-7327953592096864a.html</w:t>
      </w:r>
    </w:p>
  </w:footnote>
  <w:footnote w:id="7">
    <w:p w14:paraId="6948FE7D" w14:textId="512CE82B" w:rsidR="00927B42" w:rsidRPr="00927B42" w:rsidRDefault="00927B42">
      <w:pPr>
        <w:pStyle w:val="Tekstprzypisudolnego"/>
        <w:rPr>
          <w:rFonts w:ascii="Times New Roman" w:hAnsi="Times New Roman" w:cs="Times New Roman"/>
        </w:rPr>
      </w:pPr>
      <w:r w:rsidRPr="00927B42">
        <w:rPr>
          <w:rStyle w:val="Odwoanieprzypisudolnego"/>
          <w:rFonts w:ascii="Times New Roman" w:hAnsi="Times New Roman" w:cs="Times New Roman"/>
        </w:rPr>
        <w:footnoteRef/>
      </w:r>
      <w:r w:rsidRPr="00927B42">
        <w:rPr>
          <w:rFonts w:ascii="Times New Roman" w:hAnsi="Times New Roman" w:cs="Times New Roman"/>
        </w:rPr>
        <w:t xml:space="preserve"> https://www.pulshr.pl/prawo-pracy/doplata-do-emerytury-po-jednym-dniu-pracy-szykuja-sie-zmiany,120725.html?mp=promo</w:t>
      </w:r>
    </w:p>
  </w:footnote>
  <w:footnote w:id="8">
    <w:p w14:paraId="6DCA64A2" w14:textId="4E1A4CEA" w:rsidR="00AF15D9" w:rsidRPr="00BE2BB1" w:rsidRDefault="00AF15D9">
      <w:pPr>
        <w:pStyle w:val="Tekstprzypisudolnego"/>
        <w:rPr>
          <w:rFonts w:ascii="Times New Roman" w:hAnsi="Times New Roman" w:cs="Times New Roman"/>
        </w:rPr>
      </w:pPr>
      <w:r w:rsidRPr="00BE2BB1">
        <w:rPr>
          <w:rStyle w:val="Odwoanieprzypisudolnego"/>
          <w:rFonts w:ascii="Times New Roman" w:hAnsi="Times New Roman" w:cs="Times New Roman"/>
        </w:rPr>
        <w:footnoteRef/>
      </w:r>
      <w:r w:rsidRPr="00BE2BB1">
        <w:rPr>
          <w:rFonts w:ascii="Times New Roman" w:hAnsi="Times New Roman" w:cs="Times New Roman"/>
        </w:rPr>
        <w:t xml:space="preserve"> https://www.rmf24.pl/ekonomia/news-ministerstwo-poinformowalo-ile-wyniosl-deficyt-budzetowy-za-,nId,8067961</w:t>
      </w:r>
    </w:p>
  </w:footnote>
  <w:footnote w:id="9">
    <w:p w14:paraId="21E83F54" w14:textId="2C7A861F" w:rsidR="00BE2BB1" w:rsidRDefault="00BE2BB1">
      <w:pPr>
        <w:pStyle w:val="Tekstprzypisudolnego"/>
      </w:pPr>
      <w:r w:rsidRPr="00BE2BB1">
        <w:rPr>
          <w:rStyle w:val="Odwoanieprzypisudolnego"/>
        </w:rPr>
        <w:footnoteRef/>
      </w:r>
      <w:r w:rsidRPr="00BE2BB1">
        <w:t xml:space="preserve"> </w:t>
      </w:r>
      <w:r w:rsidRPr="00BE2BB1">
        <w:rPr>
          <w:rFonts w:ascii="Times New Roman" w:hAnsi="Times New Roman" w:cs="Times New Roman"/>
        </w:rPr>
        <w:t>https://superbiz.se.pl/wiadomosci/pol-miliona-polakow-to-milionerzy-w-zus-kim-jest-rekordzista-aa-XA6t-zY5A-QAZB.html</w:t>
      </w:r>
    </w:p>
  </w:footnote>
  <w:footnote w:id="10">
    <w:p w14:paraId="2C290096" w14:textId="6596F4E2" w:rsidR="001477E6" w:rsidRPr="001477E6" w:rsidRDefault="001477E6">
      <w:pPr>
        <w:pStyle w:val="Tekstprzypisudolnego"/>
        <w:rPr>
          <w:rFonts w:ascii="Times New Roman" w:hAnsi="Times New Roman" w:cs="Times New Roman"/>
        </w:rPr>
      </w:pPr>
      <w:r w:rsidRPr="001477E6">
        <w:rPr>
          <w:rStyle w:val="Odwoanieprzypisudolnego"/>
          <w:rFonts w:ascii="Times New Roman" w:hAnsi="Times New Roman" w:cs="Times New Roman"/>
        </w:rPr>
        <w:footnoteRef/>
      </w:r>
      <w:r w:rsidRPr="001477E6">
        <w:rPr>
          <w:rFonts w:ascii="Times New Roman" w:hAnsi="Times New Roman" w:cs="Times New Roman"/>
        </w:rPr>
        <w:t xml:space="preserve"> https://www.fakt.pl/pieniadze/panstwo-coraz-wiecej-doplaca-do-emerytury-minimalnej-dla-obywateli-ukrainy-ekspert/cq9pd53</w:t>
      </w:r>
    </w:p>
  </w:footnote>
  <w:footnote w:id="11">
    <w:p w14:paraId="0EB2D2B1" w14:textId="3652933E" w:rsidR="00BE2BB1" w:rsidRPr="00BE2BB1" w:rsidRDefault="00BE2BB1">
      <w:pPr>
        <w:pStyle w:val="Tekstprzypisudolnego"/>
        <w:rPr>
          <w:rFonts w:ascii="Times New Roman" w:hAnsi="Times New Roman" w:cs="Times New Roman"/>
        </w:rPr>
      </w:pPr>
      <w:r w:rsidRPr="00BE2BB1">
        <w:rPr>
          <w:rStyle w:val="Odwoanieprzypisudolnego"/>
          <w:rFonts w:ascii="Times New Roman" w:hAnsi="Times New Roman" w:cs="Times New Roman"/>
        </w:rPr>
        <w:footnoteRef/>
      </w:r>
      <w:r w:rsidRPr="00BE2BB1">
        <w:rPr>
          <w:rFonts w:ascii="Times New Roman" w:hAnsi="Times New Roman" w:cs="Times New Roman"/>
        </w:rPr>
        <w:t xml:space="preserve"> https://kresy.pl/wydarzenia/zus-potwierdzil-mentzenowi-mechanizm-jednej-skladki-chodzi-o-emerytury-dla-ukraincow/</w:t>
      </w:r>
    </w:p>
  </w:footnote>
  <w:footnote w:id="12">
    <w:p w14:paraId="3A8634E1" w14:textId="70E53BC2" w:rsidR="005942E4" w:rsidRDefault="005942E4" w:rsidP="005942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942E4">
        <w:rPr>
          <w:rFonts w:ascii="Times New Roman" w:hAnsi="Times New Roman" w:cs="Times New Roman"/>
        </w:rPr>
        <w:t>https://www.infor.pl/prawo/praca/praca/7653655,brazylia-blizej-polskiego-zus-rzad-konczy-prace-nad-umowa-emerytalna.html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1FC3" w14:textId="3C791676" w:rsidR="00436A0D" w:rsidRDefault="00436A0D">
    <w:pPr>
      <w:pStyle w:val="Nagwek"/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0C5F8B35" wp14:editId="486C17AA">
          <wp:extent cx="2733675" cy="495300"/>
          <wp:effectExtent l="0" t="0" r="0" b="0"/>
          <wp:docPr id="9" name="image1.jpg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3675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326"/>
    <w:multiLevelType w:val="multilevel"/>
    <w:tmpl w:val="2806D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49188A"/>
    <w:multiLevelType w:val="hybridMultilevel"/>
    <w:tmpl w:val="3482C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2364"/>
    <w:multiLevelType w:val="hybridMultilevel"/>
    <w:tmpl w:val="D12E5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1D2E"/>
    <w:multiLevelType w:val="multilevel"/>
    <w:tmpl w:val="6AFCE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076A97"/>
    <w:multiLevelType w:val="hybridMultilevel"/>
    <w:tmpl w:val="CE0AD2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D7E25"/>
    <w:multiLevelType w:val="hybridMultilevel"/>
    <w:tmpl w:val="2D986E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B086C"/>
    <w:multiLevelType w:val="hybridMultilevel"/>
    <w:tmpl w:val="3522D1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9AA"/>
    <w:multiLevelType w:val="hybridMultilevel"/>
    <w:tmpl w:val="70F85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A49A9"/>
    <w:multiLevelType w:val="hybridMultilevel"/>
    <w:tmpl w:val="C17427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D2A7C"/>
    <w:multiLevelType w:val="hybridMultilevel"/>
    <w:tmpl w:val="AA423A88"/>
    <w:lvl w:ilvl="0" w:tplc="8B5A9F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B21CB"/>
    <w:multiLevelType w:val="hybridMultilevel"/>
    <w:tmpl w:val="0D8CEE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F067B"/>
    <w:multiLevelType w:val="hybridMultilevel"/>
    <w:tmpl w:val="C4A47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123DC"/>
    <w:multiLevelType w:val="hybridMultilevel"/>
    <w:tmpl w:val="C27ECE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A7818"/>
    <w:multiLevelType w:val="hybridMultilevel"/>
    <w:tmpl w:val="EBEE9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E36B4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FEB4A43"/>
    <w:multiLevelType w:val="hybridMultilevel"/>
    <w:tmpl w:val="842C24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87410"/>
    <w:multiLevelType w:val="hybridMultilevel"/>
    <w:tmpl w:val="B6BE0F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EB690F"/>
    <w:multiLevelType w:val="multilevel"/>
    <w:tmpl w:val="B442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13654F"/>
    <w:multiLevelType w:val="hybridMultilevel"/>
    <w:tmpl w:val="C4A47CE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F33FF"/>
    <w:multiLevelType w:val="hybridMultilevel"/>
    <w:tmpl w:val="07780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1EDE"/>
    <w:multiLevelType w:val="hybridMultilevel"/>
    <w:tmpl w:val="04D007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0165C"/>
    <w:multiLevelType w:val="hybridMultilevel"/>
    <w:tmpl w:val="8550B5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41248"/>
    <w:multiLevelType w:val="hybridMultilevel"/>
    <w:tmpl w:val="1706B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A95F2E"/>
    <w:multiLevelType w:val="hybridMultilevel"/>
    <w:tmpl w:val="00C499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2D344A"/>
    <w:multiLevelType w:val="hybridMultilevel"/>
    <w:tmpl w:val="6EF2B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937A93"/>
    <w:multiLevelType w:val="hybridMultilevel"/>
    <w:tmpl w:val="364AFF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0A4509"/>
    <w:multiLevelType w:val="multilevel"/>
    <w:tmpl w:val="5574D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1726D96"/>
    <w:multiLevelType w:val="multilevel"/>
    <w:tmpl w:val="BFDE1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AE60F6"/>
    <w:multiLevelType w:val="hybridMultilevel"/>
    <w:tmpl w:val="04DCE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A07CF"/>
    <w:multiLevelType w:val="hybridMultilevel"/>
    <w:tmpl w:val="97EA86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507421">
    <w:abstractNumId w:val="17"/>
  </w:num>
  <w:num w:numId="2" w16cid:durableId="1733500731">
    <w:abstractNumId w:val="27"/>
  </w:num>
  <w:num w:numId="3" w16cid:durableId="2071881670">
    <w:abstractNumId w:val="24"/>
  </w:num>
  <w:num w:numId="4" w16cid:durableId="186063542">
    <w:abstractNumId w:val="29"/>
  </w:num>
  <w:num w:numId="5" w16cid:durableId="1618944627">
    <w:abstractNumId w:val="15"/>
  </w:num>
  <w:num w:numId="6" w16cid:durableId="1530529520">
    <w:abstractNumId w:val="21"/>
  </w:num>
  <w:num w:numId="7" w16cid:durableId="796266873">
    <w:abstractNumId w:val="4"/>
  </w:num>
  <w:num w:numId="8" w16cid:durableId="1404597564">
    <w:abstractNumId w:val="19"/>
  </w:num>
  <w:num w:numId="9" w16cid:durableId="810442212">
    <w:abstractNumId w:val="14"/>
  </w:num>
  <w:num w:numId="10" w16cid:durableId="886988464">
    <w:abstractNumId w:val="9"/>
  </w:num>
  <w:num w:numId="11" w16cid:durableId="1297683171">
    <w:abstractNumId w:val="20"/>
  </w:num>
  <w:num w:numId="12" w16cid:durableId="1446004947">
    <w:abstractNumId w:val="23"/>
  </w:num>
  <w:num w:numId="13" w16cid:durableId="1963682139">
    <w:abstractNumId w:val="5"/>
  </w:num>
  <w:num w:numId="14" w16cid:durableId="1804999102">
    <w:abstractNumId w:val="12"/>
  </w:num>
  <w:num w:numId="15" w16cid:durableId="455025567">
    <w:abstractNumId w:val="11"/>
  </w:num>
  <w:num w:numId="16" w16cid:durableId="813595626">
    <w:abstractNumId w:val="22"/>
  </w:num>
  <w:num w:numId="17" w16cid:durableId="521435156">
    <w:abstractNumId w:val="25"/>
  </w:num>
  <w:num w:numId="18" w16cid:durableId="910046796">
    <w:abstractNumId w:val="16"/>
  </w:num>
  <w:num w:numId="19" w16cid:durableId="1131481872">
    <w:abstractNumId w:val="18"/>
  </w:num>
  <w:num w:numId="20" w16cid:durableId="466898280">
    <w:abstractNumId w:val="26"/>
  </w:num>
  <w:num w:numId="21" w16cid:durableId="1545559533">
    <w:abstractNumId w:val="3"/>
  </w:num>
  <w:num w:numId="22" w16cid:durableId="1136994526">
    <w:abstractNumId w:val="0"/>
  </w:num>
  <w:num w:numId="23" w16cid:durableId="1575044298">
    <w:abstractNumId w:val="13"/>
  </w:num>
  <w:num w:numId="24" w16cid:durableId="1670864054">
    <w:abstractNumId w:val="28"/>
  </w:num>
  <w:num w:numId="25" w16cid:durableId="451245050">
    <w:abstractNumId w:val="2"/>
  </w:num>
  <w:num w:numId="26" w16cid:durableId="1909194913">
    <w:abstractNumId w:val="8"/>
  </w:num>
  <w:num w:numId="27" w16cid:durableId="1525972830">
    <w:abstractNumId w:val="1"/>
  </w:num>
  <w:num w:numId="28" w16cid:durableId="1133674262">
    <w:abstractNumId w:val="10"/>
  </w:num>
  <w:num w:numId="29" w16cid:durableId="1553614910">
    <w:abstractNumId w:val="7"/>
  </w:num>
  <w:num w:numId="30" w16cid:durableId="1864240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2C"/>
    <w:rsid w:val="0001230F"/>
    <w:rsid w:val="000218AF"/>
    <w:rsid w:val="00023F7F"/>
    <w:rsid w:val="00034D36"/>
    <w:rsid w:val="00056B5E"/>
    <w:rsid w:val="000641C1"/>
    <w:rsid w:val="000763F0"/>
    <w:rsid w:val="000952B4"/>
    <w:rsid w:val="00097AC5"/>
    <w:rsid w:val="000A329E"/>
    <w:rsid w:val="000D5454"/>
    <w:rsid w:val="00106582"/>
    <w:rsid w:val="00112CB7"/>
    <w:rsid w:val="00115ABA"/>
    <w:rsid w:val="00116CC2"/>
    <w:rsid w:val="001351C1"/>
    <w:rsid w:val="001477E6"/>
    <w:rsid w:val="00162C3B"/>
    <w:rsid w:val="00166B89"/>
    <w:rsid w:val="00190D8B"/>
    <w:rsid w:val="001A2737"/>
    <w:rsid w:val="001A33AC"/>
    <w:rsid w:val="001A4F7C"/>
    <w:rsid w:val="001B4B86"/>
    <w:rsid w:val="001E36A8"/>
    <w:rsid w:val="001F7AAE"/>
    <w:rsid w:val="00206EF3"/>
    <w:rsid w:val="002076D3"/>
    <w:rsid w:val="00211906"/>
    <w:rsid w:val="00213BC9"/>
    <w:rsid w:val="00230756"/>
    <w:rsid w:val="00252240"/>
    <w:rsid w:val="00260752"/>
    <w:rsid w:val="002651C0"/>
    <w:rsid w:val="0026672A"/>
    <w:rsid w:val="00275E52"/>
    <w:rsid w:val="00281575"/>
    <w:rsid w:val="00287691"/>
    <w:rsid w:val="002C7F7C"/>
    <w:rsid w:val="002E1FD2"/>
    <w:rsid w:val="002F457F"/>
    <w:rsid w:val="002F773A"/>
    <w:rsid w:val="0030058D"/>
    <w:rsid w:val="00302F2C"/>
    <w:rsid w:val="003032AE"/>
    <w:rsid w:val="003076AF"/>
    <w:rsid w:val="003324B7"/>
    <w:rsid w:val="003375A5"/>
    <w:rsid w:val="00343DF4"/>
    <w:rsid w:val="00344C1F"/>
    <w:rsid w:val="00353196"/>
    <w:rsid w:val="00381E8D"/>
    <w:rsid w:val="0039120C"/>
    <w:rsid w:val="003A6BAE"/>
    <w:rsid w:val="003B1277"/>
    <w:rsid w:val="003B1F51"/>
    <w:rsid w:val="003B3498"/>
    <w:rsid w:val="003C5265"/>
    <w:rsid w:val="003C6667"/>
    <w:rsid w:val="003D19EB"/>
    <w:rsid w:val="003D1D04"/>
    <w:rsid w:val="003D50EA"/>
    <w:rsid w:val="003D6809"/>
    <w:rsid w:val="003F0D49"/>
    <w:rsid w:val="003F7543"/>
    <w:rsid w:val="00436A0D"/>
    <w:rsid w:val="00441C26"/>
    <w:rsid w:val="004704B3"/>
    <w:rsid w:val="0048651D"/>
    <w:rsid w:val="004B3CC6"/>
    <w:rsid w:val="004E1F1C"/>
    <w:rsid w:val="004E66E8"/>
    <w:rsid w:val="004F42D1"/>
    <w:rsid w:val="0050243F"/>
    <w:rsid w:val="00514A61"/>
    <w:rsid w:val="00516820"/>
    <w:rsid w:val="00520B54"/>
    <w:rsid w:val="005714AE"/>
    <w:rsid w:val="00591D63"/>
    <w:rsid w:val="005942E4"/>
    <w:rsid w:val="005B0EDC"/>
    <w:rsid w:val="005D4027"/>
    <w:rsid w:val="00605972"/>
    <w:rsid w:val="006175A6"/>
    <w:rsid w:val="00624FC7"/>
    <w:rsid w:val="006322B4"/>
    <w:rsid w:val="00635FCA"/>
    <w:rsid w:val="00636859"/>
    <w:rsid w:val="00637658"/>
    <w:rsid w:val="00647C32"/>
    <w:rsid w:val="00650EEF"/>
    <w:rsid w:val="0066591C"/>
    <w:rsid w:val="006718F4"/>
    <w:rsid w:val="006731E8"/>
    <w:rsid w:val="00684749"/>
    <w:rsid w:val="006A0477"/>
    <w:rsid w:val="006A6961"/>
    <w:rsid w:val="006B4607"/>
    <w:rsid w:val="006B784A"/>
    <w:rsid w:val="006C1B9C"/>
    <w:rsid w:val="006F6EC0"/>
    <w:rsid w:val="00714C20"/>
    <w:rsid w:val="007220D9"/>
    <w:rsid w:val="00742A48"/>
    <w:rsid w:val="00751E04"/>
    <w:rsid w:val="00761F4A"/>
    <w:rsid w:val="00765693"/>
    <w:rsid w:val="007742B4"/>
    <w:rsid w:val="007C717C"/>
    <w:rsid w:val="007D257D"/>
    <w:rsid w:val="007E4FC4"/>
    <w:rsid w:val="007F3064"/>
    <w:rsid w:val="007F7161"/>
    <w:rsid w:val="00802DA6"/>
    <w:rsid w:val="008315D4"/>
    <w:rsid w:val="00831B87"/>
    <w:rsid w:val="00833037"/>
    <w:rsid w:val="00835190"/>
    <w:rsid w:val="00850CE0"/>
    <w:rsid w:val="00852E51"/>
    <w:rsid w:val="00864C2F"/>
    <w:rsid w:val="00886C0E"/>
    <w:rsid w:val="0089616B"/>
    <w:rsid w:val="008A0EBF"/>
    <w:rsid w:val="008B1C12"/>
    <w:rsid w:val="008D2009"/>
    <w:rsid w:val="008E31CE"/>
    <w:rsid w:val="00904E38"/>
    <w:rsid w:val="00917E2E"/>
    <w:rsid w:val="00927B42"/>
    <w:rsid w:val="00942D20"/>
    <w:rsid w:val="00950C17"/>
    <w:rsid w:val="0096037D"/>
    <w:rsid w:val="009746AE"/>
    <w:rsid w:val="009A372A"/>
    <w:rsid w:val="009B1533"/>
    <w:rsid w:val="009B219A"/>
    <w:rsid w:val="009C7E3A"/>
    <w:rsid w:val="009D133F"/>
    <w:rsid w:val="009E7A0B"/>
    <w:rsid w:val="009F51ED"/>
    <w:rsid w:val="00A12D9D"/>
    <w:rsid w:val="00A15ECB"/>
    <w:rsid w:val="00A20F0B"/>
    <w:rsid w:val="00A253FE"/>
    <w:rsid w:val="00A30114"/>
    <w:rsid w:val="00A36EB9"/>
    <w:rsid w:val="00A5021A"/>
    <w:rsid w:val="00A63203"/>
    <w:rsid w:val="00A74CC8"/>
    <w:rsid w:val="00A76C29"/>
    <w:rsid w:val="00AC27AF"/>
    <w:rsid w:val="00AC4593"/>
    <w:rsid w:val="00AF15D9"/>
    <w:rsid w:val="00B14C4F"/>
    <w:rsid w:val="00B14F82"/>
    <w:rsid w:val="00B15714"/>
    <w:rsid w:val="00B311AB"/>
    <w:rsid w:val="00B40B32"/>
    <w:rsid w:val="00B41731"/>
    <w:rsid w:val="00B52ED7"/>
    <w:rsid w:val="00B561CC"/>
    <w:rsid w:val="00B5751A"/>
    <w:rsid w:val="00B757FF"/>
    <w:rsid w:val="00B75DC5"/>
    <w:rsid w:val="00B812C8"/>
    <w:rsid w:val="00B84366"/>
    <w:rsid w:val="00B865BF"/>
    <w:rsid w:val="00B9612A"/>
    <w:rsid w:val="00BA3055"/>
    <w:rsid w:val="00BC24D2"/>
    <w:rsid w:val="00BC3A60"/>
    <w:rsid w:val="00BD49BF"/>
    <w:rsid w:val="00BE2BB1"/>
    <w:rsid w:val="00BE68B7"/>
    <w:rsid w:val="00C00B6A"/>
    <w:rsid w:val="00C014BD"/>
    <w:rsid w:val="00C025FB"/>
    <w:rsid w:val="00C10794"/>
    <w:rsid w:val="00C11AC8"/>
    <w:rsid w:val="00C232E1"/>
    <w:rsid w:val="00C53983"/>
    <w:rsid w:val="00C558F0"/>
    <w:rsid w:val="00C878E8"/>
    <w:rsid w:val="00CB240C"/>
    <w:rsid w:val="00CC0EE4"/>
    <w:rsid w:val="00CC36D0"/>
    <w:rsid w:val="00CD1DD2"/>
    <w:rsid w:val="00D25762"/>
    <w:rsid w:val="00D314E8"/>
    <w:rsid w:val="00D410E7"/>
    <w:rsid w:val="00D4195C"/>
    <w:rsid w:val="00D522CD"/>
    <w:rsid w:val="00D54C42"/>
    <w:rsid w:val="00D80462"/>
    <w:rsid w:val="00D92B48"/>
    <w:rsid w:val="00D94B6F"/>
    <w:rsid w:val="00D956D6"/>
    <w:rsid w:val="00DA3120"/>
    <w:rsid w:val="00DA578D"/>
    <w:rsid w:val="00DA6196"/>
    <w:rsid w:val="00E00ACF"/>
    <w:rsid w:val="00E0285E"/>
    <w:rsid w:val="00E0309F"/>
    <w:rsid w:val="00E20A69"/>
    <w:rsid w:val="00E36204"/>
    <w:rsid w:val="00E57D47"/>
    <w:rsid w:val="00E70248"/>
    <w:rsid w:val="00E977FE"/>
    <w:rsid w:val="00EA2E73"/>
    <w:rsid w:val="00EA5E13"/>
    <w:rsid w:val="00ED2A9D"/>
    <w:rsid w:val="00ED7F43"/>
    <w:rsid w:val="00EE41CB"/>
    <w:rsid w:val="00EF0CB1"/>
    <w:rsid w:val="00F0546E"/>
    <w:rsid w:val="00F10EE3"/>
    <w:rsid w:val="00F3297E"/>
    <w:rsid w:val="00F6484B"/>
    <w:rsid w:val="00F673B3"/>
    <w:rsid w:val="00F67BE3"/>
    <w:rsid w:val="00F74759"/>
    <w:rsid w:val="00F9363F"/>
    <w:rsid w:val="00FA0013"/>
    <w:rsid w:val="00FA3A28"/>
    <w:rsid w:val="00FA5EC1"/>
    <w:rsid w:val="00FC1312"/>
    <w:rsid w:val="00FC2B8D"/>
    <w:rsid w:val="00FC508F"/>
    <w:rsid w:val="00FC7C6C"/>
    <w:rsid w:val="00FD6EC7"/>
    <w:rsid w:val="00FE100F"/>
    <w:rsid w:val="00FF3F6C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15186"/>
  <w15:chartTrackingRefBased/>
  <w15:docId w15:val="{1648F22E-8760-419B-AB16-66715AE1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D36"/>
  </w:style>
  <w:style w:type="paragraph" w:styleId="Nagwek1">
    <w:name w:val="heading 1"/>
    <w:basedOn w:val="Normalny"/>
    <w:next w:val="Normalny"/>
    <w:link w:val="Nagwek1Znak"/>
    <w:uiPriority w:val="9"/>
    <w:qFormat/>
    <w:rsid w:val="00302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2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2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2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2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2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2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2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2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2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2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2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2F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2F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2F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2F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2F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2F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2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2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2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2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2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2F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2F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2F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2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2F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2F2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3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6A0D"/>
  </w:style>
  <w:style w:type="paragraph" w:styleId="Stopka">
    <w:name w:val="footer"/>
    <w:basedOn w:val="Normalny"/>
    <w:link w:val="StopkaZnak"/>
    <w:uiPriority w:val="99"/>
    <w:unhideWhenUsed/>
    <w:rsid w:val="00436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6A0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0E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0EE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0EE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C0EE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0EE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C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C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CB7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AC459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17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2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oney.pl/emerytury/robia-wrzawe-wokol-emerytur-dla-ukraincow-powiedziec-ze-kapiszon-to-nic-nie-powiedziec-opinia-7254634444224896a.html" TargetMode="External"/><Relationship Id="rId1" Type="http://schemas.openxmlformats.org/officeDocument/2006/relationships/hyperlink" Target="https://www.zus.pl/-/przepisy-dotycz%C4%85ce-emerytur-dla-cudzoziemc%C3%B3w-nie-zmieni%C5%82y-si%C4%99-w-ostatnich-lata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9002C-F6AF-4DBD-9983-C75D63ED0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1</Pages>
  <Words>2267</Words>
  <Characters>13605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Stoch</dc:creator>
  <cp:keywords/>
  <dc:description/>
  <cp:lastModifiedBy>Witold Stoch</cp:lastModifiedBy>
  <cp:revision>17</cp:revision>
  <cp:lastPrinted>2026-09-14T13:55:00Z</cp:lastPrinted>
  <dcterms:created xsi:type="dcterms:W3CDTF">2026-02-19T12:02:00Z</dcterms:created>
  <dcterms:modified xsi:type="dcterms:W3CDTF">2026-09-14T14:18:00Z</dcterms:modified>
</cp:coreProperties>
</file>