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A1775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UCHWAŁA</w:t>
      </w:r>
    </w:p>
    <w:p w14:paraId="18A2BBD9" w14:textId="77777777" w:rsidR="00912118" w:rsidRPr="00EA6A31" w:rsidRDefault="00912118" w:rsidP="00912118">
      <w:pPr>
        <w:pStyle w:val="OZNRODZAKTUtznustawalubrozporzdzenieiorganwydajcy"/>
        <w:rPr>
          <w:rFonts w:cs="Times"/>
        </w:rPr>
      </w:pPr>
      <w:r w:rsidRPr="00EA6A31">
        <w:rPr>
          <w:rFonts w:cs="Times"/>
        </w:rPr>
        <w:t>SENATU RZECZYPOSPOLITEJ POLSKIEJ</w:t>
      </w:r>
    </w:p>
    <w:p w14:paraId="360D2D3A" w14:textId="544725BA" w:rsidR="00912118" w:rsidRPr="00EA6A31" w:rsidRDefault="00912118" w:rsidP="00912118">
      <w:pPr>
        <w:pStyle w:val="DATAAKTUdatauchwalenialubwydaniaaktu"/>
        <w:rPr>
          <w:rFonts w:cs="Times"/>
        </w:rPr>
      </w:pPr>
      <w:r w:rsidRPr="00EA6A31">
        <w:rPr>
          <w:rFonts w:cs="Times"/>
        </w:rPr>
        <w:t>z dnia</w:t>
      </w:r>
      <w:r w:rsidR="008F40C5" w:rsidRPr="00EA6A31">
        <w:rPr>
          <w:rFonts w:cs="Times"/>
        </w:rPr>
        <w:t xml:space="preserve"> </w:t>
      </w:r>
      <w:r w:rsidR="00182EFE">
        <w:rPr>
          <w:rFonts w:cs="Times"/>
        </w:rPr>
        <w:t>13 października 2026 r.</w:t>
      </w:r>
    </w:p>
    <w:p w14:paraId="25F42714" w14:textId="53D13E76" w:rsidR="00A50DE1" w:rsidRPr="00EA6A31" w:rsidRDefault="008F40C5" w:rsidP="00A50DE1">
      <w:pPr>
        <w:pStyle w:val="TYTUAKTUprzedmiotregulacjiustawylubrozporzdzenia"/>
        <w:rPr>
          <w:rFonts w:cs="Times"/>
        </w:rPr>
      </w:pPr>
      <w:r w:rsidRPr="00EA6A31">
        <w:rPr>
          <w:rFonts w:cs="Times"/>
        </w:rPr>
        <w:t xml:space="preserve">w sprawie </w:t>
      </w:r>
      <w:r w:rsidR="00A50DE1" w:rsidRPr="00EA6A31">
        <w:rPr>
          <w:rFonts w:cs="Times"/>
        </w:rPr>
        <w:t xml:space="preserve">ustawy o zmianie ustawy </w:t>
      </w:r>
      <w:r w:rsidR="00974199">
        <w:rPr>
          <w:rFonts w:cs="Times"/>
        </w:rPr>
        <w:t>– Prawo farmaceutyczne</w:t>
      </w:r>
    </w:p>
    <w:p w14:paraId="62D96A43" w14:textId="10168093" w:rsidR="00912118" w:rsidRPr="00EA6A31" w:rsidRDefault="00912118" w:rsidP="00A50DE1">
      <w:pPr>
        <w:pStyle w:val="NIEARTTEKSTtekstnieartykuowanynppodstprawnarozplubpreambua"/>
        <w:rPr>
          <w:rFonts w:cs="Times"/>
        </w:rPr>
      </w:pPr>
      <w:r w:rsidRPr="00EA6A31">
        <w:rPr>
          <w:rFonts w:cs="Times"/>
        </w:rPr>
        <w:t xml:space="preserve">Senat, po rozpatrzeniu uchwalonej przez Sejm na posiedzeniu w dniu </w:t>
      </w:r>
      <w:r w:rsidR="00974199">
        <w:rPr>
          <w:rFonts w:cs="Times"/>
        </w:rPr>
        <w:t>1</w:t>
      </w:r>
      <w:r w:rsidR="004D0A2F">
        <w:rPr>
          <w:rFonts w:cs="Times"/>
        </w:rPr>
        <w:t xml:space="preserve">8 </w:t>
      </w:r>
      <w:r w:rsidR="00974199">
        <w:rPr>
          <w:rFonts w:cs="Times"/>
        </w:rPr>
        <w:t xml:space="preserve">września </w:t>
      </w:r>
      <w:r w:rsidR="00693B52" w:rsidRPr="00EA6A31">
        <w:rPr>
          <w:rFonts w:cs="Times"/>
        </w:rPr>
        <w:t>202</w:t>
      </w:r>
      <w:r w:rsidR="00A50DE1" w:rsidRPr="00EA6A31">
        <w:rPr>
          <w:rFonts w:cs="Times"/>
        </w:rPr>
        <w:t>6</w:t>
      </w:r>
      <w:r w:rsidR="00974199">
        <w:rPr>
          <w:rFonts w:cs="Times"/>
        </w:rPr>
        <w:t> </w:t>
      </w:r>
      <w:r w:rsidR="00743882" w:rsidRPr="00EA6A31">
        <w:rPr>
          <w:rFonts w:cs="Times"/>
        </w:rPr>
        <w:t xml:space="preserve">r. </w:t>
      </w:r>
      <w:r w:rsidR="00EB44F6" w:rsidRPr="00EA6A31">
        <w:rPr>
          <w:rFonts w:cs="Times"/>
        </w:rPr>
        <w:t xml:space="preserve">ustawy o zmianie </w:t>
      </w:r>
      <w:r w:rsidR="00A50DE1" w:rsidRPr="00EA6A31">
        <w:rPr>
          <w:rFonts w:cs="Times"/>
          <w:szCs w:val="24"/>
        </w:rPr>
        <w:t xml:space="preserve">ustawy </w:t>
      </w:r>
      <w:r w:rsidR="00974199">
        <w:rPr>
          <w:rFonts w:cs="Times"/>
          <w:szCs w:val="24"/>
        </w:rPr>
        <w:t>– Prawo farmaceutyczne</w:t>
      </w:r>
      <w:r w:rsidR="00EB44F6" w:rsidRPr="00EA6A31">
        <w:rPr>
          <w:rFonts w:cs="Times"/>
        </w:rPr>
        <w:t xml:space="preserve">, </w:t>
      </w:r>
      <w:r w:rsidRPr="00EA6A31">
        <w:rPr>
          <w:rFonts w:cs="Times"/>
        </w:rPr>
        <w:t>wprowadza do jej tekstu następujące poprawki:</w:t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710"/>
        <w:gridCol w:w="8930"/>
      </w:tblGrid>
      <w:tr w:rsidR="000C24D3" w:rsidRPr="00EA6A31" w14:paraId="0E64FB3C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1AF5BFC" w14:textId="77777777" w:rsidR="000C24D3" w:rsidRPr="00EA6A31" w:rsidRDefault="000C24D3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1F68B142" w14:textId="1C1817E6" w:rsidR="000C24D3" w:rsidRPr="004A0500" w:rsidRDefault="000C24D3" w:rsidP="00A70620">
            <w:pPr>
              <w:pStyle w:val="TREPUNKTUWUCHWALESENACKIEJ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 </w:t>
            </w:r>
            <w:r w:rsidRPr="004A0500">
              <w:rPr>
                <w:rFonts w:cs="Times New Roman"/>
                <w:szCs w:val="24"/>
              </w:rPr>
              <w:t>art. 1 w pkt 1 w lit. c, w ust. 1b w pkt 5 użyty trzykrotnie wyraz „zawodu” zastępuje się wyrazami „zawodu farmaceuty”;</w:t>
            </w:r>
          </w:p>
        </w:tc>
      </w:tr>
      <w:tr w:rsidR="00A45C1B" w:rsidRPr="00EA6A31" w14:paraId="4F78B359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1C8583E" w14:textId="77777777" w:rsidR="00A45C1B" w:rsidRPr="00EA6A31" w:rsidRDefault="00A45C1B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1DEE0669" w14:textId="44479EBB" w:rsidR="00A45C1B" w:rsidRDefault="00A45C1B" w:rsidP="00A70620">
            <w:pPr>
              <w:pStyle w:val="TREPUNKTUWUCHWALESENACKIEJ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 </w:t>
            </w:r>
            <w:r w:rsidRPr="004A0500">
              <w:rPr>
                <w:rFonts w:cs="Times New Roman"/>
                <w:szCs w:val="24"/>
              </w:rPr>
              <w:t>art. 1 w pkt 1 w lit. c, w ust. 1d wyrazy „pkt 3, 4 i 5” zastępuje się wyrazami „pkt 3–5”;</w:t>
            </w:r>
          </w:p>
        </w:tc>
      </w:tr>
      <w:tr w:rsidR="001C214E" w:rsidRPr="00EA6A31" w14:paraId="00B3A4A5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F97EA4C" w14:textId="77777777" w:rsidR="001C214E" w:rsidRPr="00EA6A31" w:rsidRDefault="001C214E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52040EAB" w14:textId="6C617CD3" w:rsidR="001C214E" w:rsidRDefault="001C214E" w:rsidP="00A70620">
            <w:pPr>
              <w:pStyle w:val="TREPUNKTUWUCHWALESENACKIEJ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 </w:t>
            </w:r>
            <w:r w:rsidRPr="004A0500">
              <w:rPr>
                <w:rFonts w:cs="Times New Roman"/>
                <w:szCs w:val="24"/>
              </w:rPr>
              <w:t>art. 1 w pkt 3 w lit. b, w ust. 1b wyrazy „Jeżeli naruszenie, o którym mowa w ust. 1, dotyczy” zastępuje się wyrazami „Jeżeli prowadzenie, finansowanie lub organizowanie reklamy z naruszeniem art. 94a ust. 1b dotyczy”;</w:t>
            </w:r>
          </w:p>
        </w:tc>
      </w:tr>
      <w:tr w:rsidR="00590A6E" w:rsidRPr="00EA6A31" w14:paraId="44B42D23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222A0D7" w14:textId="77777777" w:rsidR="00590A6E" w:rsidRPr="00EA6A31" w:rsidRDefault="00590A6E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0581194C" w14:textId="37BBFDBA" w:rsidR="00590A6E" w:rsidRPr="004A0500" w:rsidRDefault="00590A6E" w:rsidP="00A70620">
            <w:pPr>
              <w:pStyle w:val="TREPUNKTUWUCHWALESENACKIEJ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 </w:t>
            </w:r>
            <w:r w:rsidRPr="004A0500">
              <w:rPr>
                <w:rFonts w:cs="Times New Roman"/>
                <w:szCs w:val="24"/>
              </w:rPr>
              <w:t>art. 1 w pkt 3 w lit. c, w ust. 2 wyrazy „Wojewódzki Inspektor Farmaceutyczny” zastępuje się wyrazami „wojewódzki inspektor farmaceutyczny”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D46F0F" w:rsidRPr="00EA6A31" w14:paraId="64AC9627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0C266D2" w14:textId="77777777" w:rsidR="00D46F0F" w:rsidRPr="00EA6A31" w:rsidRDefault="00D46F0F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72AAE3A5" w14:textId="3BCE15EA" w:rsidR="00A70620" w:rsidRPr="00325B57" w:rsidRDefault="00A70620" w:rsidP="00A70620">
            <w:pPr>
              <w:pStyle w:val="TREPUNKTUWUCHWALESENACKIEJ"/>
              <w:rPr>
                <w:rFonts w:cs="Times New Roman"/>
                <w:szCs w:val="24"/>
              </w:rPr>
            </w:pPr>
            <w:r w:rsidRPr="00325B57">
              <w:rPr>
                <w:rFonts w:cs="Times New Roman"/>
                <w:szCs w:val="24"/>
              </w:rPr>
              <w:t>w art. 1 w pkt 3 w lit. c, w ust. 2:</w:t>
            </w:r>
          </w:p>
          <w:p w14:paraId="20EC1D84" w14:textId="31FDA50C" w:rsidR="00A70620" w:rsidRPr="00325B57" w:rsidRDefault="00A70620" w:rsidP="00A70620">
            <w:pPr>
              <w:pStyle w:val="LITERAWUCHWALESENACKIEJ"/>
              <w:rPr>
                <w:rFonts w:cs="Times New Roman"/>
              </w:rPr>
            </w:pPr>
            <w:r w:rsidRPr="00325B57">
              <w:rPr>
                <w:rFonts w:cs="Times New Roman"/>
              </w:rPr>
              <w:t>a)</w:t>
            </w:r>
            <w:r w:rsidRPr="00325B57">
              <w:rPr>
                <w:rFonts w:cs="Times New Roman"/>
              </w:rPr>
              <w:tab/>
              <w:t>skreśla się wyrazy „w szczególności”,</w:t>
            </w:r>
          </w:p>
          <w:p w14:paraId="5CEF5569" w14:textId="740F6B07" w:rsidR="00A70620" w:rsidRPr="00325B57" w:rsidRDefault="00A70620" w:rsidP="00A70620">
            <w:pPr>
              <w:pStyle w:val="LITERAWUCHWALESENACKIEJ"/>
              <w:rPr>
                <w:rFonts w:cs="Times New Roman"/>
              </w:rPr>
            </w:pPr>
            <w:r w:rsidRPr="00325B57">
              <w:rPr>
                <w:rFonts w:cs="Times New Roman"/>
              </w:rPr>
              <w:t>b)</w:t>
            </w:r>
            <w:r w:rsidRPr="00325B57">
              <w:rPr>
                <w:rFonts w:cs="Times New Roman"/>
              </w:rPr>
              <w:tab/>
              <w:t>wyrazy „a także uprzednie naruszenie przepisów” zastępuje się wyrazami „uprzednie naruszenie przepisów ustawy, a także możliwości finansowe podmiotu podlegającego tej karze”;</w:t>
            </w:r>
          </w:p>
        </w:tc>
      </w:tr>
      <w:tr w:rsidR="008E19EB" w:rsidRPr="00EA6A31" w14:paraId="689730F8" w14:textId="77777777" w:rsidTr="000D6FCF">
        <w:trPr>
          <w:trHeight w:val="7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842FC86" w14:textId="77777777" w:rsidR="008E19EB" w:rsidRPr="00EA6A31" w:rsidRDefault="008E19EB" w:rsidP="00912118">
            <w:pPr>
              <w:pStyle w:val="OZNACZENIEPUNKTUWUCHWALESENACKIEJ"/>
              <w:rPr>
                <w:rFonts w:ascii="Times" w:hAnsi="Times" w:cs="Times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0AB0AAF3" w14:textId="4C97D266" w:rsidR="009718D2" w:rsidRPr="009718D2" w:rsidRDefault="009718D2" w:rsidP="009718D2">
            <w:pPr>
              <w:pStyle w:val="TREPUNKTUWUCHWALESENACKIEJ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a</w:t>
            </w:r>
            <w:r w:rsidRPr="004A0500">
              <w:rPr>
                <w:rFonts w:cs="Times New Roman"/>
                <w:szCs w:val="24"/>
              </w:rPr>
              <w:t>rt. 2 otrzymuje brzmienie:</w:t>
            </w:r>
          </w:p>
          <w:p w14:paraId="369AE872" w14:textId="77777777" w:rsidR="009718D2" w:rsidRPr="004A0500" w:rsidRDefault="009718D2" w:rsidP="009718D2">
            <w:pPr>
              <w:pStyle w:val="ARTartustawynprozporzdzenia"/>
            </w:pPr>
            <w:r w:rsidRPr="004A0500">
              <w:t>„Art. 2. 1. Postępowania, o których mowa w art. 94a ust. 3 i art. 129b ustawy zmienianej w art. 1</w:t>
            </w:r>
            <w:r>
              <w:t>,</w:t>
            </w:r>
            <w:r w:rsidRPr="004A0500">
              <w:t xml:space="preserve"> w brzmieniu dotychczasowym, w sprawie prowadzenia reklamy:</w:t>
            </w:r>
          </w:p>
          <w:p w14:paraId="6FD431C8" w14:textId="7EAA852D" w:rsidR="009718D2" w:rsidRDefault="009718D2" w:rsidP="009718D2">
            <w:pPr>
              <w:pStyle w:val="PKTpunkt"/>
            </w:pPr>
            <w:r>
              <w:t>1)</w:t>
            </w:r>
            <w:r>
              <w:tab/>
            </w:r>
            <w:r w:rsidRPr="004A0500">
              <w:t>aptek i punktów aptecznych oraz ich działalności,</w:t>
            </w:r>
          </w:p>
          <w:p w14:paraId="3A86B3BA" w14:textId="2AD63375" w:rsidR="009718D2" w:rsidRPr="004A0500" w:rsidRDefault="009718D2" w:rsidP="009718D2">
            <w:pPr>
              <w:pStyle w:val="PKTpunkt"/>
            </w:pPr>
            <w:r>
              <w:lastRenderedPageBreak/>
              <w:t>2)</w:t>
            </w:r>
            <w:r>
              <w:tab/>
            </w:r>
            <w:r w:rsidRPr="004A0500">
              <w:t xml:space="preserve">placówek obrotu </w:t>
            </w:r>
            <w:proofErr w:type="spellStart"/>
            <w:r w:rsidRPr="004A0500">
              <w:t>pozaaptecznego</w:t>
            </w:r>
            <w:proofErr w:type="spellEnd"/>
            <w:r w:rsidRPr="004A0500">
              <w:t xml:space="preserve"> oraz ich działalności odnoszącej się do wyrobów medycznych</w:t>
            </w:r>
          </w:p>
          <w:p w14:paraId="5CA9B9F7" w14:textId="77777777" w:rsidR="009718D2" w:rsidRPr="004A0500" w:rsidRDefault="009718D2" w:rsidP="009718D2">
            <w:pPr>
              <w:pStyle w:val="CZWSPPKTczwsplnapunktw"/>
            </w:pPr>
            <w:r w:rsidRPr="004A0500">
              <w:t>– wszczęte i niezakończone decyzją ostateczną przed dniem wejścia w życie niniejszej ustawy, podlegają umorzeniu, przy czym decyzja o umorzeniu nie wymaga uzasadnienia.</w:t>
            </w:r>
          </w:p>
          <w:p w14:paraId="2CDE5608" w14:textId="0B81C705" w:rsidR="009718D2" w:rsidRPr="009718D2" w:rsidRDefault="009718D2" w:rsidP="009718D2">
            <w:pPr>
              <w:pStyle w:val="USTustnpkodeksu"/>
            </w:pPr>
            <w:r w:rsidRPr="004A0500">
              <w:t>2. Postępowania, o których mowa w art. 94a ust. 3 i art. 129b ustawy zmienianej w</w:t>
            </w:r>
            <w:r>
              <w:t> </w:t>
            </w:r>
            <w:r w:rsidRPr="004A0500">
              <w:t>art.</w:t>
            </w:r>
            <w:r>
              <w:t> </w:t>
            </w:r>
            <w:r w:rsidRPr="004A0500">
              <w:t>1</w:t>
            </w:r>
            <w:r>
              <w:t>,</w:t>
            </w:r>
            <w:r w:rsidRPr="004A0500">
              <w:t xml:space="preserve"> w brzmieniu dotychczasowym, w sprawie prowadzenia reklamy placówek obrotu </w:t>
            </w:r>
            <w:proofErr w:type="spellStart"/>
            <w:r w:rsidRPr="004A0500">
              <w:t>pozaaptecznego</w:t>
            </w:r>
            <w:proofErr w:type="spellEnd"/>
            <w:r w:rsidRPr="004A0500">
              <w:t xml:space="preserve"> oraz ich działalności odnoszącej się do produktów leczniczych, wszczęte i niezakończone decyzją ostateczną przed dniem wejścia w życie niniejszej ustawy, są</w:t>
            </w:r>
            <w:r w:rsidR="000D0422">
              <w:t> </w:t>
            </w:r>
            <w:r w:rsidRPr="004A0500">
              <w:t>prowadzone na podstawie przepisów ustawy zmienianej w art. 1</w:t>
            </w:r>
            <w:r>
              <w:t>,</w:t>
            </w:r>
            <w:r w:rsidRPr="004A0500">
              <w:t xml:space="preserve"> w brzmieniu dotychczasowym.”.</w:t>
            </w:r>
          </w:p>
        </w:tc>
      </w:tr>
    </w:tbl>
    <w:p w14:paraId="7D20BD97" w14:textId="0CB1DC8B" w:rsidR="00912118" w:rsidRDefault="00912118" w:rsidP="00A054FD">
      <w:pPr>
        <w:pStyle w:val="POPIERAJCYPOPRAWKZAMIESZCZONWZESTAWIENIUWNIOSKW"/>
        <w:rPr>
          <w:rFonts w:ascii="Times" w:hAnsi="Times" w:cs="Times"/>
        </w:rPr>
      </w:pPr>
    </w:p>
    <w:p w14:paraId="1E666AD5" w14:textId="233E9B1E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33D1990D" w14:textId="77777777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2E1CF9B8" w14:textId="28A4CEBA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5A14D76B" w14:textId="77777777" w:rsidR="00B30661" w:rsidRDefault="00B30661" w:rsidP="00B30661">
      <w:pPr>
        <w:pStyle w:val="POPIERAJCYPOPRAWKZAMIESZCZONWZESTAWIENIUWNIOSKW"/>
        <w:rPr>
          <w:color w:val="000000" w:themeColor="text1"/>
        </w:rPr>
      </w:pPr>
    </w:p>
    <w:p w14:paraId="6C99122A" w14:textId="77777777" w:rsidR="00B30661" w:rsidRDefault="00B30661" w:rsidP="00B30661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475ABD7C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7F240AFF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24C6C762" w14:textId="77777777" w:rsidR="00B30661" w:rsidRDefault="00B30661" w:rsidP="00B30661">
      <w:pPr>
        <w:tabs>
          <w:tab w:val="left" w:pos="5387"/>
        </w:tabs>
        <w:ind w:left="4962" w:firstLine="283"/>
      </w:pPr>
      <w:r>
        <w:rPr>
          <w:rStyle w:val="Ppogrubienie"/>
          <w:color w:val="000000" w:themeColor="text1"/>
        </w:rPr>
        <w:t>Małgorzata KIDAWA-BŁOŃSKA</w:t>
      </w:r>
    </w:p>
    <w:p w14:paraId="653E0459" w14:textId="77777777" w:rsidR="00AA43F5" w:rsidRDefault="00AA43F5" w:rsidP="00A054FD">
      <w:pPr>
        <w:pStyle w:val="POPIERAJCYPOPRAWKZAMIESZCZONWZESTAWIENIUWNIOSKW"/>
        <w:rPr>
          <w:rFonts w:ascii="Times" w:hAnsi="Times" w:cs="Times"/>
        </w:rPr>
        <w:sectPr w:rsidR="00AA43F5" w:rsidSect="00D3728B">
          <w:headerReference w:type="default" r:id="rId9"/>
          <w:footnotePr>
            <w:numRestart w:val="eachSect"/>
          </w:footnotePr>
          <w:pgSz w:w="11906" w:h="16838"/>
          <w:pgMar w:top="1559" w:right="1435" w:bottom="1559" w:left="1418" w:header="709" w:footer="709" w:gutter="0"/>
          <w:cols w:space="708"/>
          <w:titlePg/>
          <w:docGrid w:linePitch="254"/>
        </w:sectPr>
      </w:pPr>
    </w:p>
    <w:p w14:paraId="11224CCE" w14:textId="77777777" w:rsidR="00AA43F5" w:rsidRPr="000F3794" w:rsidRDefault="00AA43F5" w:rsidP="00BA1427">
      <w:pPr>
        <w:pStyle w:val="OZNRODZAKTUtznustawalubrozporzdzenieiorganwydajcy"/>
        <w:spacing w:after="480"/>
        <w:rPr>
          <w:rFonts w:ascii="Times New Roman" w:hAnsi="Times New Roman"/>
        </w:rPr>
      </w:pPr>
      <w:r w:rsidRPr="000F3794">
        <w:rPr>
          <w:rFonts w:ascii="Times New Roman" w:hAnsi="Times New Roman"/>
        </w:rPr>
        <w:lastRenderedPageBreak/>
        <w:t>uzasadnienie</w:t>
      </w:r>
    </w:p>
    <w:p w14:paraId="6BE934C1" w14:textId="77777777" w:rsidR="00AA43F5" w:rsidRPr="000F3794" w:rsidRDefault="00AA43F5" w:rsidP="006836DE">
      <w:pPr>
        <w:pStyle w:val="NIEARTTEKSTtekstnieartykuowanynppodstprawnarozplubpreambua"/>
        <w:spacing w:before="0" w:after="360"/>
        <w:ind w:firstLine="38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>Senat – po rozpatrzeniu uchwalonej przez Sejm w dniu 18 września 2026 r. ustawy o zmianie ustawy – Prawo farmaceutyczne (określanej dalej jako „ustawa”) – wprowadził do jej tekstu 6 poprawek.</w:t>
      </w:r>
      <w:bookmarkStart w:id="0" w:name="_Hlk197597696"/>
    </w:p>
    <w:p w14:paraId="6C99B99C" w14:textId="77777777" w:rsidR="00AA43F5" w:rsidRPr="000F3794" w:rsidRDefault="00AA43F5" w:rsidP="006836DE">
      <w:pPr>
        <w:pStyle w:val="ARTartustawynprozporzdzenia"/>
        <w:spacing w:before="0" w:after="360"/>
        <w:ind w:firstLine="380"/>
        <w:rPr>
          <w:rFonts w:ascii="Times New Roman" w:hAnsi="Times New Roman" w:cs="Times New Roman"/>
        </w:rPr>
      </w:pPr>
      <w:r w:rsidRPr="000F3794">
        <w:rPr>
          <w:rStyle w:val="Ppogrubienie"/>
          <w:rFonts w:ascii="Times New Roman" w:hAnsi="Times New Roman" w:cs="Times New Roman"/>
        </w:rPr>
        <w:t>1. </w:t>
      </w:r>
      <w:r w:rsidRPr="000F3794">
        <w:rPr>
          <w:rFonts w:ascii="Times New Roman" w:hAnsi="Times New Roman" w:cs="Times New Roman"/>
        </w:rPr>
        <w:t xml:space="preserve">Poprawka </w:t>
      </w:r>
      <w:r w:rsidRPr="000F3794">
        <w:rPr>
          <w:rFonts w:ascii="Times New Roman" w:hAnsi="Times New Roman" w:cs="Times New Roman"/>
          <w:b/>
          <w:bCs/>
        </w:rPr>
        <w:t>nr 1</w:t>
      </w:r>
      <w:r w:rsidRPr="000F3794">
        <w:rPr>
          <w:rFonts w:ascii="Times New Roman" w:hAnsi="Times New Roman" w:cs="Times New Roman"/>
        </w:rPr>
        <w:t xml:space="preserve"> zmierza do </w:t>
      </w:r>
      <w:r w:rsidRPr="000F3794">
        <w:rPr>
          <w:rFonts w:ascii="Times New Roman" w:hAnsi="Times New Roman" w:cs="Times New Roman"/>
          <w:szCs w:val="24"/>
        </w:rPr>
        <w:t>sprecyzowania, że reklama apteki lub punktu aptecznego nie może wykorzystywać wizerunku lub głosu osób posiadających wykształcenie farmaceutyczne lub</w:t>
      </w:r>
      <w:r>
        <w:rPr>
          <w:rFonts w:ascii="Times New Roman" w:hAnsi="Times New Roman" w:cs="Times New Roman"/>
          <w:szCs w:val="24"/>
        </w:rPr>
        <w:t xml:space="preserve"> </w:t>
      </w:r>
      <w:r w:rsidRPr="000F3794">
        <w:rPr>
          <w:rFonts w:ascii="Times New Roman" w:hAnsi="Times New Roman" w:cs="Times New Roman"/>
          <w:szCs w:val="24"/>
        </w:rPr>
        <w:t>sugerujących posiadanie takiego wykształcenia ani polegać na</w:t>
      </w:r>
      <w:r>
        <w:rPr>
          <w:rFonts w:ascii="Times New Roman" w:hAnsi="Times New Roman" w:cs="Times New Roman"/>
          <w:szCs w:val="24"/>
        </w:rPr>
        <w:t> </w:t>
      </w:r>
      <w:r w:rsidRPr="000F3794">
        <w:rPr>
          <w:rFonts w:ascii="Times New Roman" w:hAnsi="Times New Roman" w:cs="Times New Roman"/>
          <w:szCs w:val="24"/>
        </w:rPr>
        <w:t xml:space="preserve">odwoływaniu się do zaleceń tych osób w sposób naruszający zasady wykonywania zawodu </w:t>
      </w:r>
      <w:r w:rsidRPr="000F3794">
        <w:rPr>
          <w:rStyle w:val="Ppogrubienie"/>
          <w:rFonts w:ascii="Times New Roman" w:hAnsi="Times New Roman" w:cs="Times New Roman"/>
          <w:b w:val="0"/>
        </w:rPr>
        <w:t>farmaceuty</w:t>
      </w:r>
      <w:r w:rsidRPr="000F3794">
        <w:rPr>
          <w:rFonts w:ascii="Times New Roman" w:hAnsi="Times New Roman" w:cs="Times New Roman"/>
        </w:rPr>
        <w:t>.</w:t>
      </w:r>
    </w:p>
    <w:p w14:paraId="60728C48" w14:textId="77777777" w:rsidR="00AA43F5" w:rsidRPr="000F3794" w:rsidRDefault="00AA43F5" w:rsidP="006836DE">
      <w:pPr>
        <w:pStyle w:val="ARTartustawynprozporzdzenia"/>
        <w:spacing w:after="360"/>
        <w:ind w:firstLine="380"/>
        <w:rPr>
          <w:rFonts w:ascii="Times New Roman" w:hAnsi="Times New Roman" w:cs="Times New Roman"/>
          <w:szCs w:val="24"/>
        </w:rPr>
      </w:pPr>
      <w:r w:rsidRPr="000F3794">
        <w:rPr>
          <w:rStyle w:val="Ppogrubienie"/>
          <w:rFonts w:ascii="Times New Roman" w:hAnsi="Times New Roman" w:cs="Times New Roman"/>
        </w:rPr>
        <w:t>2. </w:t>
      </w:r>
      <w:r w:rsidRPr="000F3794">
        <w:rPr>
          <w:rFonts w:ascii="Times New Roman" w:hAnsi="Times New Roman" w:cs="Times New Roman"/>
        </w:rPr>
        <w:t xml:space="preserve">Poprawka </w:t>
      </w:r>
      <w:r w:rsidRPr="000F3794">
        <w:rPr>
          <w:rFonts w:ascii="Times New Roman" w:hAnsi="Times New Roman" w:cs="Times New Roman"/>
          <w:b/>
          <w:bCs/>
        </w:rPr>
        <w:t>nr 2</w:t>
      </w:r>
      <w:r w:rsidRPr="000F3794">
        <w:rPr>
          <w:rFonts w:ascii="Times New Roman" w:hAnsi="Times New Roman" w:cs="Times New Roman"/>
        </w:rPr>
        <w:t xml:space="preserve"> zmierza do </w:t>
      </w:r>
      <w:r w:rsidRPr="000F3794">
        <w:rPr>
          <w:rFonts w:ascii="Times New Roman" w:hAnsi="Times New Roman" w:cs="Times New Roman"/>
          <w:szCs w:val="24"/>
        </w:rPr>
        <w:t>dostosowania zastosowanego odesłania do utrwalonej w praktyce legislacyjnej techniki powoływania co najmniej trzech jednostek redakcyjnych następujących po sobie.</w:t>
      </w:r>
    </w:p>
    <w:p w14:paraId="257C94AD" w14:textId="77777777" w:rsidR="00AA43F5" w:rsidRPr="000F3794" w:rsidRDefault="00AA43F5" w:rsidP="006836DE">
      <w:pPr>
        <w:pStyle w:val="ARTartustawynprozporzdzenia"/>
        <w:spacing w:after="360"/>
        <w:ind w:firstLine="380"/>
        <w:rPr>
          <w:rFonts w:ascii="Times New Roman" w:hAnsi="Times New Roman" w:cs="Times New Roman"/>
          <w:szCs w:val="24"/>
        </w:rPr>
      </w:pPr>
      <w:r w:rsidRPr="000F3794">
        <w:rPr>
          <w:rStyle w:val="Ppogrubienie"/>
          <w:rFonts w:ascii="Times New Roman" w:hAnsi="Times New Roman" w:cs="Times New Roman"/>
        </w:rPr>
        <w:t>3.</w:t>
      </w:r>
      <w:r w:rsidRPr="000F3794">
        <w:rPr>
          <w:rFonts w:ascii="Times New Roman" w:hAnsi="Times New Roman" w:cs="Times New Roman"/>
          <w:szCs w:val="24"/>
        </w:rPr>
        <w:t> </w:t>
      </w:r>
      <w:r w:rsidRPr="000F3794">
        <w:rPr>
          <w:rFonts w:ascii="Times New Roman" w:hAnsi="Times New Roman" w:cs="Times New Roman"/>
        </w:rPr>
        <w:t xml:space="preserve">Poprawka </w:t>
      </w:r>
      <w:r w:rsidRPr="000F3794">
        <w:rPr>
          <w:rFonts w:ascii="Times New Roman" w:hAnsi="Times New Roman" w:cs="Times New Roman"/>
          <w:b/>
          <w:bCs/>
        </w:rPr>
        <w:t>nr 3</w:t>
      </w:r>
      <w:r w:rsidRPr="000F3794">
        <w:rPr>
          <w:rFonts w:ascii="Times New Roman" w:hAnsi="Times New Roman" w:cs="Times New Roman"/>
        </w:rPr>
        <w:t xml:space="preserve"> zmierza do </w:t>
      </w:r>
      <w:r w:rsidRPr="000F3794">
        <w:rPr>
          <w:rFonts w:ascii="Times New Roman" w:hAnsi="Times New Roman" w:cs="Times New Roman"/>
          <w:szCs w:val="24"/>
        </w:rPr>
        <w:t>respektowania § 157 „Zasad techniki prawodawczej”, zgodnie z którym nie odsyła się do przepisów, które już zawierają odesłania.</w:t>
      </w:r>
    </w:p>
    <w:p w14:paraId="3760879E" w14:textId="77777777" w:rsidR="00AA43F5" w:rsidRPr="000F3794" w:rsidRDefault="00AA43F5" w:rsidP="006836DE">
      <w:pPr>
        <w:pStyle w:val="ARTartustawynprozporzdzenia"/>
        <w:spacing w:after="360"/>
        <w:ind w:firstLine="380"/>
        <w:rPr>
          <w:rFonts w:ascii="Times New Roman" w:hAnsi="Times New Roman" w:cs="Times New Roman"/>
        </w:rPr>
      </w:pPr>
      <w:r w:rsidRPr="000F3794">
        <w:rPr>
          <w:rStyle w:val="Ppogrubienie"/>
          <w:rFonts w:ascii="Times New Roman" w:hAnsi="Times New Roman" w:cs="Times New Roman"/>
        </w:rPr>
        <w:t>4. </w:t>
      </w:r>
      <w:r w:rsidRPr="000F3794">
        <w:rPr>
          <w:rFonts w:ascii="Times New Roman" w:hAnsi="Times New Roman" w:cs="Times New Roman"/>
        </w:rPr>
        <w:t xml:space="preserve">Poprawka </w:t>
      </w:r>
      <w:r w:rsidRPr="000F3794">
        <w:rPr>
          <w:rFonts w:ascii="Times New Roman" w:hAnsi="Times New Roman" w:cs="Times New Roman"/>
          <w:b/>
          <w:bCs/>
        </w:rPr>
        <w:t>nr 4</w:t>
      </w:r>
      <w:r w:rsidRPr="000F3794">
        <w:rPr>
          <w:rFonts w:ascii="Times New Roman" w:hAnsi="Times New Roman" w:cs="Times New Roman"/>
        </w:rPr>
        <w:t xml:space="preserve"> zmierza do </w:t>
      </w:r>
      <w:r w:rsidRPr="000F3794">
        <w:rPr>
          <w:rFonts w:ascii="Times New Roman" w:hAnsi="Times New Roman" w:cs="Times New Roman"/>
          <w:szCs w:val="24"/>
        </w:rPr>
        <w:t>likwidacji oczywistej omyłki językowej</w:t>
      </w:r>
      <w:r w:rsidRPr="000F3794">
        <w:rPr>
          <w:rFonts w:ascii="Times New Roman" w:hAnsi="Times New Roman" w:cs="Times New Roman"/>
        </w:rPr>
        <w:t>.</w:t>
      </w:r>
    </w:p>
    <w:p w14:paraId="0D3F78EA" w14:textId="77777777" w:rsidR="00AA43F5" w:rsidRPr="000F3794" w:rsidRDefault="00AA43F5" w:rsidP="006836DE">
      <w:pPr>
        <w:pStyle w:val="ARTartustawynprozporzdzenia"/>
        <w:spacing w:after="120"/>
        <w:ind w:firstLine="380"/>
        <w:rPr>
          <w:rFonts w:ascii="Times New Roman" w:hAnsi="Times New Roman" w:cs="Times New Roman"/>
        </w:rPr>
      </w:pPr>
      <w:r w:rsidRPr="000F3794">
        <w:rPr>
          <w:rStyle w:val="Ppogrubienie"/>
          <w:rFonts w:ascii="Times New Roman" w:hAnsi="Times New Roman" w:cs="Times New Roman"/>
        </w:rPr>
        <w:t>5. </w:t>
      </w:r>
      <w:r w:rsidRPr="000F3794">
        <w:rPr>
          <w:rFonts w:ascii="Times New Roman" w:hAnsi="Times New Roman" w:cs="Times New Roman"/>
          <w:szCs w:val="24"/>
        </w:rPr>
        <w:t>Zgodnie z przepisami art. 129b ust. 1, 1a i 2 ustawy – Prawo farmaceutyczne (w brzmieniu określonym przez art. 1 pkt 3 ustawy) kto:</w:t>
      </w:r>
    </w:p>
    <w:p w14:paraId="570E6B8B" w14:textId="77777777" w:rsidR="00AA43F5" w:rsidRPr="000F3794" w:rsidRDefault="00AA43F5" w:rsidP="00AA43F5">
      <w:pPr>
        <w:pStyle w:val="ARTartustawynprozporzdzenia"/>
        <w:numPr>
          <w:ilvl w:val="0"/>
          <w:numId w:val="30"/>
        </w:numPr>
        <w:spacing w:before="0" w:after="12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prowadzi, finansuje lub organizuje reklamę z naruszeniem art. 94a ust. 1a lub 1b,</w:t>
      </w:r>
    </w:p>
    <w:p w14:paraId="5F4098B9" w14:textId="77777777" w:rsidR="00AA43F5" w:rsidRPr="000F3794" w:rsidRDefault="00AA43F5" w:rsidP="00AA43F5">
      <w:pPr>
        <w:pStyle w:val="ARTartustawynprozporzdzenia"/>
        <w:numPr>
          <w:ilvl w:val="0"/>
          <w:numId w:val="30"/>
        </w:numPr>
        <w:spacing w:before="0" w:after="12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nie wykonuje nałożonego na niego decyzją administracyjną wydaną na podstawie art. 94a ust. 3 nakazu zaprzestania prowadzenia, finansowania lub organizowania reklamy albo po jej wykonaniu ponownie prowadzi, finansuje lub organizuje reklamę objętą tą decyzją</w:t>
      </w:r>
    </w:p>
    <w:p w14:paraId="4C2FDA42" w14:textId="77777777" w:rsidR="00AA43F5" w:rsidRPr="000F3794" w:rsidRDefault="00AA43F5" w:rsidP="006836DE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 xml:space="preserve">– </w:t>
      </w:r>
      <w:r w:rsidRPr="000F379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1BCCC4CE" wp14:editId="19A6CDA8">
            <wp:extent cx="9146" cy="12194"/>
            <wp:effectExtent l="0" t="0" r="0" b="0"/>
            <wp:docPr id="2" name="Picture 24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4" name="Picture 243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6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3794">
        <w:rPr>
          <w:rFonts w:ascii="Times New Roman" w:hAnsi="Times New Roman" w:cs="Times New Roman"/>
          <w:szCs w:val="24"/>
        </w:rPr>
        <w:t xml:space="preserve">podlega karze pieniężnej w wysokości do 1 000 000 złotych, z tym że „[p]rzy ustalaniu wysokości kary uwzględnia się </w:t>
      </w:r>
      <w:r w:rsidRPr="000F3794">
        <w:rPr>
          <w:rFonts w:ascii="Times New Roman" w:hAnsi="Times New Roman" w:cs="Times New Roman"/>
        </w:rPr>
        <w:t>w szczególności</w:t>
      </w:r>
      <w:r w:rsidRPr="000F3794">
        <w:rPr>
          <w:rFonts w:ascii="Times New Roman" w:hAnsi="Times New Roman" w:cs="Times New Roman"/>
          <w:szCs w:val="24"/>
        </w:rPr>
        <w:t xml:space="preserve"> okres, stopień oraz okoliczności naruszenia przepisów ustawy, a także uprzednie naruszenie przepisów”.</w:t>
      </w:r>
    </w:p>
    <w:p w14:paraId="62D4E2C7" w14:textId="77777777" w:rsidR="00AA43F5" w:rsidRPr="000F3794" w:rsidRDefault="00AA43F5" w:rsidP="006836DE">
      <w:pPr>
        <w:pStyle w:val="ARTartustawynprozporzdzenia"/>
        <w:spacing w:before="0" w:after="120"/>
        <w:ind w:firstLine="38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 xml:space="preserve">Mając na uwadze, że powołane unormowania umożliwiają wojewódzkiemu inspektorowi farmaceutycznemu nałożenie kary pieniężnej, której wysokość może powodować dolegliwe </w:t>
      </w:r>
      <w:r w:rsidRPr="000F3794">
        <w:rPr>
          <w:rFonts w:ascii="Times New Roman" w:hAnsi="Times New Roman" w:cs="Times New Roman"/>
          <w:szCs w:val="24"/>
        </w:rPr>
        <w:lastRenderedPageBreak/>
        <w:t xml:space="preserve">skutki finansowe dla jej adresata, wskazanie jedynie </w:t>
      </w:r>
      <w:r w:rsidRPr="000F3794">
        <w:rPr>
          <w:rFonts w:ascii="Times New Roman" w:hAnsi="Times New Roman" w:cs="Times New Roman"/>
        </w:rPr>
        <w:t>przykładowych kryteriów</w:t>
      </w:r>
      <w:r w:rsidRPr="000F3794">
        <w:rPr>
          <w:rFonts w:ascii="Times New Roman" w:hAnsi="Times New Roman" w:cs="Times New Roman"/>
          <w:szCs w:val="24"/>
        </w:rPr>
        <w:t xml:space="preserve">, które organ ten jest obowiązany wziąć pod uwagę przy jej wymierzaniu, budzi wątpliwości w świetle konstytucyjnej </w:t>
      </w:r>
      <w:r w:rsidRPr="000F3794">
        <w:rPr>
          <w:rFonts w:ascii="Times New Roman" w:hAnsi="Times New Roman" w:cs="Times New Roman"/>
        </w:rPr>
        <w:t>zasady określoności przepisów prawa</w:t>
      </w:r>
      <w:r w:rsidRPr="000F3794">
        <w:rPr>
          <w:rFonts w:ascii="Times New Roman" w:hAnsi="Times New Roman" w:cs="Times New Roman"/>
          <w:szCs w:val="24"/>
        </w:rPr>
        <w:t>. Zauważenia bowiem wymaga, że inne przepisy ustawy – Prawo farmaceutyczne, w brzmieniu określonym przez ustawę, nie dostarczają wskazówek umożliwiających bezsporne zrekonstruowanie pozostałych kryteriów, które należy uwzględnić przy zastosowaniu przedmiotowej sankcji. Tymczasem „[u]stawodawca nie może poprzez niejasne formułowanie tekstu przepisów pozostawiać organom mającym je stosować nadmiernej swobody przy ustalaniu w praktyce zakresu podmiotowego i przedmiotowego ograniczeń konstytucyjnych wolności i praw”</w:t>
      </w:r>
      <w:r w:rsidRPr="000F3794">
        <w:rPr>
          <w:rStyle w:val="Odwoanieprzypisudolnego"/>
          <w:rFonts w:ascii="Times New Roman" w:hAnsi="Times New Roman"/>
          <w:szCs w:val="24"/>
        </w:rPr>
        <w:footnoteReference w:id="1"/>
      </w:r>
      <w:r w:rsidRPr="000F3794">
        <w:rPr>
          <w:rStyle w:val="IGindeksgrny"/>
          <w:rFonts w:ascii="Times New Roman" w:hAnsi="Times New Roman" w:cs="Times New Roman"/>
          <w:szCs w:val="24"/>
        </w:rPr>
        <w:t>)</w:t>
      </w:r>
      <w:r w:rsidRPr="000F3794">
        <w:rPr>
          <w:rFonts w:ascii="Times New Roman" w:hAnsi="Times New Roman" w:cs="Times New Roman"/>
          <w:szCs w:val="24"/>
        </w:rPr>
        <w:t>. „Powoduje ono bowiem stworzenie nazbyt szerokich ram dla organów stosujących taki przepis, które w istocie muszą zastępować prawodawcę w zakresie zagadnień uregulowanych w sposób niejasny i nieprecyzyjny”</w:t>
      </w:r>
      <w:r w:rsidRPr="000F3794">
        <w:rPr>
          <w:rStyle w:val="Odwoanieprzypisudolnego"/>
          <w:rFonts w:ascii="Times New Roman" w:hAnsi="Times New Roman"/>
          <w:szCs w:val="24"/>
        </w:rPr>
        <w:footnoteReference w:id="2"/>
      </w:r>
      <w:r w:rsidRPr="000F3794">
        <w:rPr>
          <w:rStyle w:val="IGindeksgrny"/>
          <w:rFonts w:ascii="Times New Roman" w:hAnsi="Times New Roman" w:cs="Times New Roman"/>
          <w:szCs w:val="24"/>
        </w:rPr>
        <w:t>)</w:t>
      </w:r>
      <w:r w:rsidRPr="000F3794">
        <w:rPr>
          <w:rFonts w:ascii="Times New Roman" w:hAnsi="Times New Roman" w:cs="Times New Roman"/>
          <w:szCs w:val="24"/>
        </w:rPr>
        <w:t xml:space="preserve">. W tym stanie rzeczy, w zmienianym art. 129b ust. 2 ustawy – Prawo farmaceutyczne należy </w:t>
      </w:r>
      <w:r w:rsidRPr="000F3794">
        <w:rPr>
          <w:rFonts w:ascii="Times New Roman" w:hAnsi="Times New Roman" w:cs="Times New Roman"/>
        </w:rPr>
        <w:t>skreślić wyrazy „w szczególności”</w:t>
      </w:r>
      <w:r w:rsidRPr="000F3794">
        <w:rPr>
          <w:rFonts w:ascii="Times New Roman" w:hAnsi="Times New Roman" w:cs="Times New Roman"/>
          <w:szCs w:val="24"/>
        </w:rPr>
        <w:t>.</w:t>
      </w:r>
    </w:p>
    <w:p w14:paraId="1C0CCD1A" w14:textId="77777777" w:rsidR="00AA43F5" w:rsidRPr="000F3794" w:rsidRDefault="00AA43F5" w:rsidP="006836DE">
      <w:pPr>
        <w:pStyle w:val="ARTartustawynprozporzdzenia"/>
        <w:spacing w:before="0" w:after="120"/>
        <w:ind w:firstLine="38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Niezależnie od powyższego, wymaga zauważenia, że ustawa zmierza nie tylko do podniesienia górnej granicy wysokości kary pieniężnej za prowadzenie reklamy apteki, punktu aptecznego lub placówki obrotu pozaaptecznego i jej działalności odnoszącej się do produktów leczniczych z naruszeniem przepisów ustawy – Prawo farmaceutyczne z kwoty 50 000 złotych do kwoty 1 000 000 złotych, lecz również do:</w:t>
      </w:r>
    </w:p>
    <w:p w14:paraId="32252BFF" w14:textId="77777777" w:rsidR="00AA43F5" w:rsidRPr="000F3794" w:rsidRDefault="00AA43F5" w:rsidP="00AA43F5">
      <w:pPr>
        <w:pStyle w:val="ARTartustawynprozporzdzenia"/>
        <w:numPr>
          <w:ilvl w:val="0"/>
          <w:numId w:val="31"/>
        </w:numPr>
        <w:spacing w:before="0" w:after="12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objęcia zakresem powołanej kary finansowania lub organizowania tej reklamy z naruszeniem przepisów ustawy – Prawo farmaceutyczne;</w:t>
      </w:r>
    </w:p>
    <w:p w14:paraId="5715AF66" w14:textId="77777777" w:rsidR="00AA43F5" w:rsidRPr="000F3794" w:rsidRDefault="00AA43F5" w:rsidP="00AA43F5">
      <w:pPr>
        <w:pStyle w:val="ARTartustawynprozporzdzenia"/>
        <w:numPr>
          <w:ilvl w:val="0"/>
          <w:numId w:val="31"/>
        </w:numPr>
        <w:spacing w:before="0" w:after="12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niewykonywania nałożonego decyzją administracyjną nakazu zaprzestania prowadzenia, finansowania lub organizowania tej reklamy albo ponownego prowadzenia, finansowania lub organizowania reklamy objętej tą decyzją;</w:t>
      </w:r>
    </w:p>
    <w:p w14:paraId="75F6CD1E" w14:textId="77777777" w:rsidR="00AA43F5" w:rsidRPr="000F3794" w:rsidRDefault="00AA43F5" w:rsidP="00AA43F5">
      <w:pPr>
        <w:pStyle w:val="ARTartustawynprozporzdzenia"/>
        <w:numPr>
          <w:ilvl w:val="0"/>
          <w:numId w:val="31"/>
        </w:numPr>
        <w:spacing w:before="0" w:after="12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>dodania przepisu, w myśl którego jeżeli naruszenie to dotyczy więcej niż jednej apteki lub jednego punktu aptecznego, karę pieniężną nakłada się odrębnie w odniesieniu do reklamy każdej apteki i każdego punktu aptecznego, których dotyczy naruszenie.</w:t>
      </w:r>
    </w:p>
    <w:p w14:paraId="1827FBC6" w14:textId="77777777" w:rsidR="00AA43F5" w:rsidRPr="000F3794" w:rsidRDefault="00AA43F5" w:rsidP="006836DE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 xml:space="preserve">„Przesłanki stosowania kar pieniężnych oraz ich wysokość powinny być ukształtowane przez ustawodawcę w sposób odpowiadający zasadzie adekwatności ingerencji państwa w chronioną konstytucyjnie sferę jednostki (art. 2 Konstytucji). (…) Ustawodawca, </w:t>
      </w:r>
      <w:r w:rsidRPr="000F3794">
        <w:rPr>
          <w:rFonts w:ascii="Times New Roman" w:hAnsi="Times New Roman" w:cs="Times New Roman"/>
        </w:rPr>
        <w:lastRenderedPageBreak/>
        <w:t>ustanawiając te sankcje, nie powinien również całkowicie abstrahować od sytuacji ekonomicznej osoby podlegającej ukaraniu, która ma istotne znaczenie dla rzeczywistego stopnia dolegliwości odczuwanej przez ukaranego”</w:t>
      </w:r>
      <w:r w:rsidRPr="000F3794">
        <w:rPr>
          <w:rStyle w:val="Odwoanieprzypisudolnego"/>
          <w:rFonts w:ascii="Times New Roman" w:hAnsi="Times New Roman"/>
        </w:rPr>
        <w:footnoteReference w:id="3"/>
      </w:r>
      <w:r w:rsidRPr="000F3794">
        <w:rPr>
          <w:rStyle w:val="IGindeksgrny"/>
          <w:rFonts w:ascii="Times New Roman" w:hAnsi="Times New Roman" w:cs="Times New Roman"/>
        </w:rPr>
        <w:t>)</w:t>
      </w:r>
      <w:r w:rsidRPr="000F3794">
        <w:rPr>
          <w:rFonts w:ascii="Times New Roman" w:hAnsi="Times New Roman" w:cs="Times New Roman"/>
        </w:rPr>
        <w:t xml:space="preserve">. Konieczność respektowania </w:t>
      </w:r>
      <w:r w:rsidRPr="000F3794">
        <w:rPr>
          <w:rFonts w:ascii="Times New Roman" w:hAnsi="Times New Roman" w:cs="Times New Roman"/>
          <w:szCs w:val="24"/>
        </w:rPr>
        <w:t xml:space="preserve">konstytucyjnej </w:t>
      </w:r>
      <w:r w:rsidRPr="000F3794">
        <w:rPr>
          <w:rFonts w:ascii="Times New Roman" w:hAnsi="Times New Roman" w:cs="Times New Roman"/>
        </w:rPr>
        <w:t>zasady proporcjonalności</w:t>
      </w:r>
      <w:r w:rsidRPr="000F3794">
        <w:rPr>
          <w:rFonts w:ascii="Times New Roman" w:hAnsi="Times New Roman" w:cs="Times New Roman"/>
          <w:szCs w:val="24"/>
        </w:rPr>
        <w:t xml:space="preserve"> przez zmodyfikowany przez ustawę system odpowiedzialności administracyjnej przemawia zatem za sformułowaniem w zmienianym art. 129b ust. 2 ustawy – Prawo farmaceutyczne </w:t>
      </w:r>
      <w:r w:rsidRPr="000F3794">
        <w:rPr>
          <w:rStyle w:val="Ppogrubienie"/>
          <w:rFonts w:ascii="Times New Roman" w:hAnsi="Times New Roman" w:cs="Times New Roman"/>
          <w:b w:val="0"/>
          <w:szCs w:val="24"/>
        </w:rPr>
        <w:t xml:space="preserve">dodatkowej dyrektywy wymierzania kary pieniężnej w postaci </w:t>
      </w:r>
      <w:r w:rsidRPr="000F3794">
        <w:rPr>
          <w:rFonts w:ascii="Times New Roman" w:hAnsi="Times New Roman" w:cs="Times New Roman"/>
        </w:rPr>
        <w:t>nakazu uwzględniania możliwości finansowych podmiotu podlegającego tej karze.</w:t>
      </w:r>
    </w:p>
    <w:p w14:paraId="50F2A8C8" w14:textId="77777777" w:rsidR="00AA43F5" w:rsidRPr="000F3794" w:rsidRDefault="00AA43F5" w:rsidP="006836DE">
      <w:pPr>
        <w:pStyle w:val="ARTartustawynprozporzdzenia"/>
        <w:spacing w:before="0" w:after="360"/>
        <w:ind w:firstLine="38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 xml:space="preserve">Uwzględniając powołaną argumentację, Senat uchwalił poprawkę </w:t>
      </w:r>
      <w:r w:rsidRPr="000F3794">
        <w:rPr>
          <w:rStyle w:val="Ppogrubienie"/>
          <w:rFonts w:ascii="Times New Roman" w:hAnsi="Times New Roman" w:cs="Times New Roman"/>
        </w:rPr>
        <w:t>nr 5</w:t>
      </w:r>
      <w:r w:rsidRPr="000F3794">
        <w:rPr>
          <w:rFonts w:ascii="Times New Roman" w:hAnsi="Times New Roman" w:cs="Times New Roman"/>
        </w:rPr>
        <w:t>.</w:t>
      </w:r>
    </w:p>
    <w:p w14:paraId="0841CFEF" w14:textId="77777777" w:rsidR="00AA43F5" w:rsidRPr="000F3794" w:rsidRDefault="00AA43F5" w:rsidP="006836DE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0F3794">
        <w:rPr>
          <w:rStyle w:val="Ppogrubienie"/>
          <w:rFonts w:ascii="Times New Roman" w:hAnsi="Times New Roman" w:cs="Times New Roman"/>
        </w:rPr>
        <w:t>6. </w:t>
      </w:r>
      <w:r w:rsidRPr="000F3794">
        <w:rPr>
          <w:rFonts w:ascii="Times New Roman" w:hAnsi="Times New Roman" w:cs="Times New Roman"/>
          <w:szCs w:val="24"/>
        </w:rPr>
        <w:t>W ocenie projektodawcy „[u]</w:t>
      </w:r>
      <w:r w:rsidRPr="000F3794">
        <w:rPr>
          <w:rFonts w:ascii="Times New Roman" w:eastAsia="Times New Roman" w:hAnsi="Times New Roman" w:cs="Times New Roman"/>
          <w:bCs/>
          <w:szCs w:val="24"/>
        </w:rPr>
        <w:t>zasadnione jest zawarcie w (…) ustawie przepisu przejściowego, zgodnie z którym postępowania administracyjne wszczęte na podstawie dotychczasowych przepisów Prawa farmaceutycznego i niezakończone do dnia wejścia w życie niniejszej ustawy podlegają umorzeniu z uwagi na uchylenie zakazu reklamy”</w:t>
      </w:r>
      <w:r w:rsidRPr="000F3794">
        <w:rPr>
          <w:rStyle w:val="Odwoanieprzypisudolnego"/>
          <w:rFonts w:ascii="Times New Roman" w:eastAsia="Times New Roman" w:hAnsi="Times New Roman"/>
          <w:bCs/>
          <w:szCs w:val="24"/>
        </w:rPr>
        <w:footnoteReference w:id="4"/>
      </w:r>
      <w:r w:rsidRPr="000F3794">
        <w:rPr>
          <w:rStyle w:val="IGindeksgrny"/>
          <w:rFonts w:ascii="Times New Roman" w:hAnsi="Times New Roman" w:cs="Times New Roman"/>
          <w:szCs w:val="24"/>
        </w:rPr>
        <w:t>)</w:t>
      </w:r>
      <w:r w:rsidRPr="000F3794">
        <w:rPr>
          <w:rFonts w:ascii="Times New Roman" w:eastAsia="Times New Roman" w:hAnsi="Times New Roman" w:cs="Times New Roman"/>
          <w:bCs/>
          <w:szCs w:val="24"/>
        </w:rPr>
        <w:t>. Mając to na uwadze,</w:t>
      </w:r>
      <w:r w:rsidRPr="000F3794">
        <w:rPr>
          <w:rFonts w:ascii="Times New Roman" w:hAnsi="Times New Roman" w:cs="Times New Roman"/>
          <w:szCs w:val="24"/>
        </w:rPr>
        <w:t xml:space="preserve"> art. 2 ustawy otrzymał następujące brzmienie: „Postępowania, o których mowa w art. 94a ust. 3 i art. 129b ustawy zmienianej w art. 1 w brzmieniu dotychczasowym, wszczęte i niezakończone decyzją ostateczną do dnia wejścia w życie niniejszej ustawy, podlegają umorzeniu. Decyzja o umorzeniu nie wymaga uzasadnienia.”.</w:t>
      </w:r>
    </w:p>
    <w:p w14:paraId="5FD2BE0B" w14:textId="77777777" w:rsidR="00AA43F5" w:rsidRPr="000F3794" w:rsidRDefault="00AA43F5" w:rsidP="006836DE">
      <w:pPr>
        <w:pStyle w:val="ARTartustawynprozporzdzenia"/>
        <w:spacing w:before="0" w:after="120"/>
        <w:ind w:firstLine="380"/>
        <w:rPr>
          <w:rFonts w:ascii="Times New Roman" w:hAnsi="Times New Roman" w:cs="Times New Roman"/>
          <w:szCs w:val="24"/>
        </w:rPr>
      </w:pPr>
      <w:r w:rsidRPr="000F3794">
        <w:rPr>
          <w:rFonts w:ascii="Times New Roman" w:hAnsi="Times New Roman" w:cs="Times New Roman"/>
          <w:szCs w:val="24"/>
        </w:rPr>
        <w:t xml:space="preserve">Sposób zredagowania powołanego przepisu powoduje, że – wbrew intencji wyrażonej w uzasadnieniu projektu ustawy – zakresem zawartego w nim unormowania intertemporalnego objęto również wszczęte i niezakończone ostateczną decyzją administracyjną przed dniem wejścia w życie ustawy postępowania administracyjne dotyczące </w:t>
      </w:r>
      <w:r w:rsidRPr="000F3794">
        <w:rPr>
          <w:rFonts w:ascii="Times New Roman" w:hAnsi="Times New Roman" w:cs="Times New Roman"/>
        </w:rPr>
        <w:t xml:space="preserve">reklamy placówek obrotu pozaaptecznego oraz ich działalności odnoszącej się do produktów leczniczych, mimo że ustawa nie znosi zakazu przedmiotowej reklamy. </w:t>
      </w:r>
      <w:r w:rsidRPr="000F3794">
        <w:rPr>
          <w:rFonts w:ascii="Times New Roman" w:hAnsi="Times New Roman" w:cs="Times New Roman"/>
          <w:szCs w:val="24"/>
        </w:rPr>
        <w:t>Wniosek taki wynika z tego, że art. 2 ustawy stanowi o postępowaniach, o których mowa:</w:t>
      </w:r>
    </w:p>
    <w:p w14:paraId="32D18B02" w14:textId="77777777" w:rsidR="00AA43F5" w:rsidRPr="000F3794" w:rsidRDefault="00AA43F5" w:rsidP="00AA43F5">
      <w:pPr>
        <w:pStyle w:val="ARTartustawynprozporzdzenia"/>
        <w:numPr>
          <w:ilvl w:val="0"/>
          <w:numId w:val="32"/>
        </w:numPr>
        <w:spacing w:before="0" w:after="12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  <w:szCs w:val="24"/>
        </w:rPr>
        <w:t>„</w:t>
      </w:r>
      <w:r w:rsidRPr="000F3794">
        <w:rPr>
          <w:rFonts w:ascii="Times New Roman" w:hAnsi="Times New Roman" w:cs="Times New Roman"/>
        </w:rPr>
        <w:t xml:space="preserve">w art. 94a ust. 3 (…) ustawy zmienianej w art. 1 w brzmieniu dotychczasowym”, wedle którego „[w] razie stwierdzenia naruszenia przepisu ust. (…) 1a” (statuującego między innymi zakaz reklamy placówek obrotu pozaaptecznego oraz ich działalności odnoszącej </w:t>
      </w:r>
      <w:r w:rsidRPr="000F3794">
        <w:rPr>
          <w:rFonts w:ascii="Times New Roman" w:hAnsi="Times New Roman" w:cs="Times New Roman"/>
        </w:rPr>
        <w:lastRenderedPageBreak/>
        <w:t>się do produktów leczniczych) „wojewódzki inspektor farmaceutyczny nakazuje, w drodze decyzji, zaprzestanie prowadzenia takiej reklamy”,</w:t>
      </w:r>
    </w:p>
    <w:p w14:paraId="2BCE8B7E" w14:textId="77777777" w:rsidR="00AA43F5" w:rsidRPr="000F3794" w:rsidRDefault="00AA43F5" w:rsidP="00AA43F5">
      <w:pPr>
        <w:pStyle w:val="ARTartustawynprozporzdzenia"/>
        <w:numPr>
          <w:ilvl w:val="0"/>
          <w:numId w:val="32"/>
        </w:numPr>
        <w:spacing w:before="0" w:after="12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>„w (…) art. 129b ustawy zmienianej w art. 1 w brzmieniu dotychczasowym”, którego ust. 1 ustanawia karę pieniężną adresowaną do podmiotu prowadzącego „wbrew przepisom art. 94a (…) reklamę (…) placówki obrotu pozaaptecznego oraz ich działalności”</w:t>
      </w:r>
    </w:p>
    <w:p w14:paraId="2DCA2A5B" w14:textId="77777777" w:rsidR="00AA43F5" w:rsidRDefault="00AA43F5" w:rsidP="0084085B">
      <w:pPr>
        <w:pStyle w:val="ARTartustawynprozporzdzenia"/>
        <w:spacing w:before="0" w:after="120"/>
        <w:ind w:firstLine="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>– a zatem również o postępowaniach administracyjnych w sprawie naruszenia zakazu reklamy placówek obrotu pozaaptecznego oraz ich działalności odnoszącej się do produktów leczniczych.</w:t>
      </w:r>
    </w:p>
    <w:p w14:paraId="3FC7A6C5" w14:textId="77777777" w:rsidR="00AA43F5" w:rsidRPr="0084085B" w:rsidRDefault="00AA43F5" w:rsidP="0084085B">
      <w:pPr>
        <w:pStyle w:val="ARTartustawynprozporzdzenia"/>
        <w:spacing w:before="0" w:after="120"/>
        <w:ind w:firstLine="38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 xml:space="preserve">Podzielając powołaną argumentację, Senat uchwalił poprawkę </w:t>
      </w:r>
      <w:r w:rsidRPr="000F3794">
        <w:rPr>
          <w:rStyle w:val="Ppogrubienie"/>
          <w:rFonts w:ascii="Times New Roman" w:hAnsi="Times New Roman" w:cs="Times New Roman"/>
        </w:rPr>
        <w:t>nr 6</w:t>
      </w:r>
      <w:r>
        <w:rPr>
          <w:rFonts w:ascii="Times New Roman" w:hAnsi="Times New Roman" w:cs="Times New Roman"/>
        </w:rPr>
        <w:t>, w której proponuje, aby</w:t>
      </w:r>
      <w:r w:rsidRPr="000F3794">
        <w:rPr>
          <w:rFonts w:ascii="Times New Roman" w:hAnsi="Times New Roman" w:cs="Times New Roman"/>
          <w:szCs w:val="24"/>
        </w:rPr>
        <w:t>:</w:t>
      </w:r>
    </w:p>
    <w:p w14:paraId="6955B8DE" w14:textId="77777777" w:rsidR="00AA43F5" w:rsidRPr="000F3794" w:rsidRDefault="00AA43F5" w:rsidP="00AA43F5">
      <w:pPr>
        <w:pStyle w:val="ARTartustawynprozporzdzenia"/>
        <w:numPr>
          <w:ilvl w:val="0"/>
          <w:numId w:val="33"/>
        </w:numPr>
        <w:spacing w:before="0" w:after="12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  <w:szCs w:val="24"/>
        </w:rPr>
        <w:t xml:space="preserve">nakaz umorzenia wszczętych i niezakończonych ostateczną decyzją administracyjną przed dniem wejścia w życie ustawy postępowań administracyjnych </w:t>
      </w:r>
      <w:r>
        <w:rPr>
          <w:rFonts w:ascii="Times New Roman" w:hAnsi="Times New Roman" w:cs="Times New Roman"/>
          <w:szCs w:val="24"/>
        </w:rPr>
        <w:t xml:space="preserve">był </w:t>
      </w:r>
      <w:r w:rsidRPr="000F3794">
        <w:rPr>
          <w:rFonts w:ascii="Times New Roman" w:hAnsi="Times New Roman" w:cs="Times New Roman"/>
          <w:szCs w:val="24"/>
        </w:rPr>
        <w:t>odn</w:t>
      </w:r>
      <w:r>
        <w:rPr>
          <w:rFonts w:ascii="Times New Roman" w:hAnsi="Times New Roman" w:cs="Times New Roman"/>
          <w:szCs w:val="24"/>
        </w:rPr>
        <w:t>oszony</w:t>
      </w:r>
      <w:r w:rsidRPr="000F3794">
        <w:rPr>
          <w:rFonts w:ascii="Times New Roman" w:hAnsi="Times New Roman" w:cs="Times New Roman"/>
          <w:szCs w:val="24"/>
        </w:rPr>
        <w:t xml:space="preserve"> do</w:t>
      </w:r>
      <w:r>
        <w:rPr>
          <w:rFonts w:ascii="Times New Roman" w:hAnsi="Times New Roman" w:cs="Times New Roman"/>
          <w:szCs w:val="24"/>
        </w:rPr>
        <w:t> </w:t>
      </w:r>
      <w:r w:rsidRPr="000F3794">
        <w:rPr>
          <w:rFonts w:ascii="Times New Roman" w:hAnsi="Times New Roman" w:cs="Times New Roman"/>
          <w:szCs w:val="24"/>
        </w:rPr>
        <w:t xml:space="preserve">prowadzenia reklamy </w:t>
      </w:r>
      <w:r w:rsidRPr="000F3794">
        <w:rPr>
          <w:rFonts w:ascii="Times New Roman" w:hAnsi="Times New Roman" w:cs="Times New Roman"/>
        </w:rPr>
        <w:t>aptek, punktów aptecznych, a także placówek obrotu pozaaptecznego oraz ich działalności odnoszącej się do wyrobów medycznych;</w:t>
      </w:r>
    </w:p>
    <w:p w14:paraId="18A20CAB" w14:textId="77777777" w:rsidR="00AA43F5" w:rsidRPr="000F3794" w:rsidRDefault="00AA43F5" w:rsidP="00AA43F5">
      <w:pPr>
        <w:pStyle w:val="ARTartustawynprozporzdzenia"/>
        <w:numPr>
          <w:ilvl w:val="0"/>
          <w:numId w:val="33"/>
        </w:numPr>
        <w:spacing w:before="0" w:after="120"/>
        <w:rPr>
          <w:rFonts w:ascii="Times New Roman" w:hAnsi="Times New Roman" w:cs="Times New Roman"/>
        </w:rPr>
      </w:pPr>
      <w:r w:rsidRPr="000F3794">
        <w:rPr>
          <w:rFonts w:ascii="Times New Roman" w:hAnsi="Times New Roman" w:cs="Times New Roman"/>
        </w:rPr>
        <w:t>wszczęte i niezakończone ostateczną decyzją administracyjną przed dniem wejścia w życie ustawy postępowania administracyjne w sprawie prowadzenia reklamy placówek obrotu pozaaptecznego oraz ich działalności odnoszącej się do produktów leczniczych by</w:t>
      </w:r>
      <w:r>
        <w:rPr>
          <w:rFonts w:ascii="Times New Roman" w:hAnsi="Times New Roman" w:cs="Times New Roman"/>
        </w:rPr>
        <w:t>ły</w:t>
      </w:r>
      <w:r w:rsidRPr="000F3794">
        <w:rPr>
          <w:rFonts w:ascii="Times New Roman" w:hAnsi="Times New Roman" w:cs="Times New Roman"/>
        </w:rPr>
        <w:t xml:space="preserve"> kontynuowane na podstawie przepisów dotychczasowych.</w:t>
      </w:r>
    </w:p>
    <w:bookmarkEnd w:id="0"/>
    <w:p w14:paraId="559B88F7" w14:textId="0888053F" w:rsidR="00B30661" w:rsidRPr="00EA6A31" w:rsidRDefault="00B30661" w:rsidP="00A054FD">
      <w:pPr>
        <w:pStyle w:val="POPIERAJCYPOPRAWKZAMIESZCZONWZESTAWIENIUWNIOSKW"/>
        <w:rPr>
          <w:rFonts w:ascii="Times" w:hAnsi="Times" w:cs="Times"/>
        </w:rPr>
      </w:pPr>
    </w:p>
    <w:sectPr w:rsidR="00B30661" w:rsidRPr="00EA6A31" w:rsidSect="00AA43F5">
      <w:headerReference w:type="default" r:id="rId11"/>
      <w:footnotePr>
        <w:numRestart w:val="eachSect"/>
      </w:footnotePr>
      <w:pgSz w:w="11906" w:h="16838"/>
      <w:pgMar w:top="1559" w:right="1435" w:bottom="1559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DAC81" w14:textId="77777777" w:rsidR="006937B4" w:rsidRDefault="006937B4">
      <w:r>
        <w:separator/>
      </w:r>
    </w:p>
  </w:endnote>
  <w:endnote w:type="continuationSeparator" w:id="0">
    <w:p w14:paraId="095BDCE7" w14:textId="77777777" w:rsidR="006937B4" w:rsidRDefault="0069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33A7" w14:textId="77777777" w:rsidR="006937B4" w:rsidRDefault="006937B4">
      <w:r>
        <w:separator/>
      </w:r>
    </w:p>
  </w:footnote>
  <w:footnote w:type="continuationSeparator" w:id="0">
    <w:p w14:paraId="67F5186A" w14:textId="77777777" w:rsidR="006937B4" w:rsidRDefault="006937B4">
      <w:r>
        <w:continuationSeparator/>
      </w:r>
    </w:p>
  </w:footnote>
  <w:footnote w:id="1">
    <w:p w14:paraId="2F2C7010" w14:textId="77777777" w:rsidR="00AA43F5" w:rsidRPr="00F613CA" w:rsidRDefault="00AA43F5" w:rsidP="006836D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E0770">
        <w:t xml:space="preserve">Wyrok Trybunału Konstytucyjnego z dnia </w:t>
      </w:r>
      <w:r>
        <w:t>30</w:t>
      </w:r>
      <w:r w:rsidRPr="002E0770">
        <w:t xml:space="preserve"> </w:t>
      </w:r>
      <w:r>
        <w:t xml:space="preserve">października </w:t>
      </w:r>
      <w:r w:rsidRPr="002E0770">
        <w:t>200</w:t>
      </w:r>
      <w:r>
        <w:t>1</w:t>
      </w:r>
      <w:r w:rsidRPr="002E0770">
        <w:t xml:space="preserve"> r. (K </w:t>
      </w:r>
      <w:r>
        <w:t>33</w:t>
      </w:r>
      <w:r w:rsidRPr="002E0770">
        <w:t>/0</w:t>
      </w:r>
      <w:r>
        <w:t>0</w:t>
      </w:r>
      <w:r w:rsidRPr="002E0770">
        <w:t>).</w:t>
      </w:r>
    </w:p>
  </w:footnote>
  <w:footnote w:id="2">
    <w:p w14:paraId="56D3DAF8" w14:textId="77777777" w:rsidR="00AA43F5" w:rsidRPr="005369A5" w:rsidRDefault="00AA43F5" w:rsidP="006836D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E0770">
        <w:t>Wyrok Trybunału Konstytucyjnego z dnia 22 maja 2002 r. (K 6/02).</w:t>
      </w:r>
    </w:p>
  </w:footnote>
  <w:footnote w:id="3">
    <w:p w14:paraId="18844F09" w14:textId="77777777" w:rsidR="00AA43F5" w:rsidRPr="009D006C" w:rsidRDefault="00AA43F5" w:rsidP="006836D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Wyrok Trybunału Konstytucyjnego z dnia 1 lipca 2014 r. (SK 6/12).</w:t>
      </w:r>
    </w:p>
  </w:footnote>
  <w:footnote w:id="4">
    <w:p w14:paraId="26D8D82C" w14:textId="77777777" w:rsidR="00AA43F5" w:rsidRPr="00683750" w:rsidRDefault="00AA43F5" w:rsidP="006836D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235AE">
        <w:rPr>
          <w:rStyle w:val="Kkursywa"/>
        </w:rPr>
        <w:t xml:space="preserve">Uzasadnienie projektu ustawy o </w:t>
      </w:r>
      <w:r>
        <w:rPr>
          <w:rStyle w:val="Kkursywa"/>
        </w:rPr>
        <w:t>zmianie ustawy – Prawo farmaceutyczne</w:t>
      </w:r>
      <w:r w:rsidRPr="0055304D">
        <w:t xml:space="preserve">, s. </w:t>
      </w:r>
      <w:r>
        <w:t>11</w:t>
      </w:r>
      <w:r w:rsidRPr="0055304D">
        <w:t xml:space="preserve"> [w:] Druk sejmowy nr </w:t>
      </w:r>
      <w:r>
        <w:t>3002</w:t>
      </w:r>
      <w:r w:rsidRPr="0055304D">
        <w:t xml:space="preserve"> (Sejm X kadencji)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5A7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1B6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E9E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A43F5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22BB"/>
    <w:multiLevelType w:val="hybridMultilevel"/>
    <w:tmpl w:val="B27600E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23AEF"/>
    <w:multiLevelType w:val="hybridMultilevel"/>
    <w:tmpl w:val="2676E460"/>
    <w:lvl w:ilvl="0" w:tplc="A378A0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F9C"/>
    <w:multiLevelType w:val="hybridMultilevel"/>
    <w:tmpl w:val="51A6A384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390F8B"/>
    <w:multiLevelType w:val="hybridMultilevel"/>
    <w:tmpl w:val="F8F2EC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25C1C"/>
    <w:multiLevelType w:val="hybridMultilevel"/>
    <w:tmpl w:val="4F18B4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C2D95"/>
    <w:multiLevelType w:val="hybridMultilevel"/>
    <w:tmpl w:val="E69A4F62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 w15:restartNumberingAfterBreak="0">
    <w:nsid w:val="1D3C42D0"/>
    <w:multiLevelType w:val="hybridMultilevel"/>
    <w:tmpl w:val="DB863C22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0FA42DB"/>
    <w:multiLevelType w:val="hybridMultilevel"/>
    <w:tmpl w:val="1BCCD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1204F"/>
    <w:multiLevelType w:val="hybridMultilevel"/>
    <w:tmpl w:val="572E1AB8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A62ED4"/>
    <w:multiLevelType w:val="hybridMultilevel"/>
    <w:tmpl w:val="7F50B7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04E1E"/>
    <w:multiLevelType w:val="hybridMultilevel"/>
    <w:tmpl w:val="0AC0B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36E8B"/>
    <w:multiLevelType w:val="hybridMultilevel"/>
    <w:tmpl w:val="2618D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000E4"/>
    <w:multiLevelType w:val="hybridMultilevel"/>
    <w:tmpl w:val="9E721AF6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3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E34F75"/>
    <w:multiLevelType w:val="hybridMultilevel"/>
    <w:tmpl w:val="0426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A212A"/>
    <w:multiLevelType w:val="hybridMultilevel"/>
    <w:tmpl w:val="18D05D20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6" w15:restartNumberingAfterBreak="0">
    <w:nsid w:val="3B7D574F"/>
    <w:multiLevelType w:val="hybridMultilevel"/>
    <w:tmpl w:val="6DA82D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DF5C77"/>
    <w:multiLevelType w:val="hybridMultilevel"/>
    <w:tmpl w:val="320A1994"/>
    <w:lvl w:ilvl="0" w:tplc="63787D68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828A6"/>
    <w:multiLevelType w:val="hybridMultilevel"/>
    <w:tmpl w:val="81FE8F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070A99"/>
    <w:multiLevelType w:val="hybridMultilevel"/>
    <w:tmpl w:val="693A6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186CAD"/>
    <w:multiLevelType w:val="hybridMultilevel"/>
    <w:tmpl w:val="9B361212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B56DAF"/>
    <w:multiLevelType w:val="hybridMultilevel"/>
    <w:tmpl w:val="3AA2D18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193DDA"/>
    <w:multiLevelType w:val="hybridMultilevel"/>
    <w:tmpl w:val="0DEEA9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36F44"/>
    <w:multiLevelType w:val="hybridMultilevel"/>
    <w:tmpl w:val="974851D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5EB51F01"/>
    <w:multiLevelType w:val="hybridMultilevel"/>
    <w:tmpl w:val="424017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C961AC"/>
    <w:multiLevelType w:val="hybridMultilevel"/>
    <w:tmpl w:val="20328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9C739A"/>
    <w:multiLevelType w:val="hybridMultilevel"/>
    <w:tmpl w:val="4DC8436C"/>
    <w:lvl w:ilvl="0" w:tplc="0A3270E6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6729A"/>
    <w:multiLevelType w:val="hybridMultilevel"/>
    <w:tmpl w:val="A660262C"/>
    <w:lvl w:ilvl="0" w:tplc="22403B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E3189"/>
    <w:multiLevelType w:val="hybridMultilevel"/>
    <w:tmpl w:val="C4B86954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9" w15:restartNumberingAfterBreak="0">
    <w:nsid w:val="6D983578"/>
    <w:multiLevelType w:val="hybridMultilevel"/>
    <w:tmpl w:val="B3988368"/>
    <w:lvl w:ilvl="0" w:tplc="7722B61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537626"/>
    <w:multiLevelType w:val="hybridMultilevel"/>
    <w:tmpl w:val="B310D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511CD"/>
    <w:multiLevelType w:val="hybridMultilevel"/>
    <w:tmpl w:val="976C8D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AD2812"/>
    <w:multiLevelType w:val="hybridMultilevel"/>
    <w:tmpl w:val="CF22DC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0"/>
  </w:num>
  <w:num w:numId="4">
    <w:abstractNumId w:val="31"/>
  </w:num>
  <w:num w:numId="5">
    <w:abstractNumId w:val="27"/>
  </w:num>
  <w:num w:numId="6">
    <w:abstractNumId w:val="19"/>
  </w:num>
  <w:num w:numId="7">
    <w:abstractNumId w:val="29"/>
  </w:num>
  <w:num w:numId="8">
    <w:abstractNumId w:val="28"/>
  </w:num>
  <w:num w:numId="9">
    <w:abstractNumId w:val="2"/>
  </w:num>
  <w:num w:numId="10">
    <w:abstractNumId w:val="1"/>
  </w:num>
  <w:num w:numId="11">
    <w:abstractNumId w:val="12"/>
  </w:num>
  <w:num w:numId="12">
    <w:abstractNumId w:val="15"/>
  </w:num>
  <w:num w:numId="13">
    <w:abstractNumId w:val="6"/>
  </w:num>
  <w:num w:numId="14">
    <w:abstractNumId w:val="17"/>
  </w:num>
  <w:num w:numId="15">
    <w:abstractNumId w:val="21"/>
  </w:num>
  <w:num w:numId="16">
    <w:abstractNumId w:val="4"/>
  </w:num>
  <w:num w:numId="17">
    <w:abstractNumId w:val="25"/>
  </w:num>
  <w:num w:numId="18">
    <w:abstractNumId w:val="14"/>
  </w:num>
  <w:num w:numId="19">
    <w:abstractNumId w:val="18"/>
  </w:num>
  <w:num w:numId="20">
    <w:abstractNumId w:val="7"/>
  </w:num>
  <w:num w:numId="21">
    <w:abstractNumId w:val="10"/>
  </w:num>
  <w:num w:numId="22">
    <w:abstractNumId w:val="26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1"/>
  </w:num>
  <w:num w:numId="26">
    <w:abstractNumId w:val="9"/>
  </w:num>
  <w:num w:numId="27">
    <w:abstractNumId w:val="5"/>
  </w:num>
  <w:num w:numId="28">
    <w:abstractNumId w:val="23"/>
  </w:num>
  <w:num w:numId="29">
    <w:abstractNumId w:val="22"/>
  </w:num>
  <w:num w:numId="30">
    <w:abstractNumId w:val="16"/>
  </w:num>
  <w:num w:numId="31">
    <w:abstractNumId w:val="3"/>
  </w:num>
  <w:num w:numId="32">
    <w:abstractNumId w:val="32"/>
  </w:num>
  <w:num w:numId="33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255B"/>
    <w:rsid w:val="00003862"/>
    <w:rsid w:val="000040A2"/>
    <w:rsid w:val="000046FB"/>
    <w:rsid w:val="00010219"/>
    <w:rsid w:val="00011477"/>
    <w:rsid w:val="0001196A"/>
    <w:rsid w:val="000120D9"/>
    <w:rsid w:val="00012A35"/>
    <w:rsid w:val="000138DE"/>
    <w:rsid w:val="000146D8"/>
    <w:rsid w:val="00016099"/>
    <w:rsid w:val="0001750A"/>
    <w:rsid w:val="00017DC2"/>
    <w:rsid w:val="000200FE"/>
    <w:rsid w:val="00021522"/>
    <w:rsid w:val="00023471"/>
    <w:rsid w:val="00023F13"/>
    <w:rsid w:val="00024C00"/>
    <w:rsid w:val="00027008"/>
    <w:rsid w:val="00030634"/>
    <w:rsid w:val="00030F90"/>
    <w:rsid w:val="000319C1"/>
    <w:rsid w:val="00031A8B"/>
    <w:rsid w:val="00031BCA"/>
    <w:rsid w:val="00031E74"/>
    <w:rsid w:val="000330FA"/>
    <w:rsid w:val="0003362F"/>
    <w:rsid w:val="00034A2C"/>
    <w:rsid w:val="00034B25"/>
    <w:rsid w:val="00036B63"/>
    <w:rsid w:val="00037E1A"/>
    <w:rsid w:val="000405A1"/>
    <w:rsid w:val="00042E3D"/>
    <w:rsid w:val="00043495"/>
    <w:rsid w:val="00043F26"/>
    <w:rsid w:val="0004475A"/>
    <w:rsid w:val="00044DF3"/>
    <w:rsid w:val="00045530"/>
    <w:rsid w:val="00046A75"/>
    <w:rsid w:val="00047312"/>
    <w:rsid w:val="00047ECB"/>
    <w:rsid w:val="000504DF"/>
    <w:rsid w:val="000508BD"/>
    <w:rsid w:val="00050B1E"/>
    <w:rsid w:val="000517AB"/>
    <w:rsid w:val="0005339C"/>
    <w:rsid w:val="0005571B"/>
    <w:rsid w:val="00055E4E"/>
    <w:rsid w:val="00056004"/>
    <w:rsid w:val="00057AB3"/>
    <w:rsid w:val="00060076"/>
    <w:rsid w:val="00060432"/>
    <w:rsid w:val="00060D87"/>
    <w:rsid w:val="000615A5"/>
    <w:rsid w:val="000627FA"/>
    <w:rsid w:val="00062EB3"/>
    <w:rsid w:val="00064E4C"/>
    <w:rsid w:val="00066901"/>
    <w:rsid w:val="000676B9"/>
    <w:rsid w:val="0007020E"/>
    <w:rsid w:val="00070B43"/>
    <w:rsid w:val="00071BEE"/>
    <w:rsid w:val="00072EB0"/>
    <w:rsid w:val="000736CD"/>
    <w:rsid w:val="00073B7C"/>
    <w:rsid w:val="0007533B"/>
    <w:rsid w:val="0007545D"/>
    <w:rsid w:val="000760BF"/>
    <w:rsid w:val="0007613E"/>
    <w:rsid w:val="00076BFC"/>
    <w:rsid w:val="0008132A"/>
    <w:rsid w:val="000814A7"/>
    <w:rsid w:val="00084400"/>
    <w:rsid w:val="00084EA6"/>
    <w:rsid w:val="0008557B"/>
    <w:rsid w:val="00085CE7"/>
    <w:rsid w:val="00087DB4"/>
    <w:rsid w:val="000906EE"/>
    <w:rsid w:val="000906F1"/>
    <w:rsid w:val="00091BA2"/>
    <w:rsid w:val="00092F1E"/>
    <w:rsid w:val="000944EF"/>
    <w:rsid w:val="0009732D"/>
    <w:rsid w:val="000973F0"/>
    <w:rsid w:val="000A073F"/>
    <w:rsid w:val="000A0A19"/>
    <w:rsid w:val="000A1296"/>
    <w:rsid w:val="000A156A"/>
    <w:rsid w:val="000A1C27"/>
    <w:rsid w:val="000A1DAD"/>
    <w:rsid w:val="000A2649"/>
    <w:rsid w:val="000A323B"/>
    <w:rsid w:val="000A780B"/>
    <w:rsid w:val="000B100F"/>
    <w:rsid w:val="000B298D"/>
    <w:rsid w:val="000B2AC5"/>
    <w:rsid w:val="000B5B2D"/>
    <w:rsid w:val="000B5DCE"/>
    <w:rsid w:val="000C05BA"/>
    <w:rsid w:val="000C0E8F"/>
    <w:rsid w:val="000C1B6A"/>
    <w:rsid w:val="000C24D3"/>
    <w:rsid w:val="000C3DC6"/>
    <w:rsid w:val="000C4B3A"/>
    <w:rsid w:val="000C4BC4"/>
    <w:rsid w:val="000C62FF"/>
    <w:rsid w:val="000D0110"/>
    <w:rsid w:val="000D0422"/>
    <w:rsid w:val="000D075D"/>
    <w:rsid w:val="000D1B90"/>
    <w:rsid w:val="000D2004"/>
    <w:rsid w:val="000D2468"/>
    <w:rsid w:val="000D318A"/>
    <w:rsid w:val="000D6173"/>
    <w:rsid w:val="000D6F83"/>
    <w:rsid w:val="000D6FCF"/>
    <w:rsid w:val="000D7C16"/>
    <w:rsid w:val="000E25CC"/>
    <w:rsid w:val="000E2CC3"/>
    <w:rsid w:val="000E3694"/>
    <w:rsid w:val="000E490F"/>
    <w:rsid w:val="000E6241"/>
    <w:rsid w:val="000E6E9D"/>
    <w:rsid w:val="000F1F19"/>
    <w:rsid w:val="000F297B"/>
    <w:rsid w:val="000F2BE3"/>
    <w:rsid w:val="000F3D0D"/>
    <w:rsid w:val="000F478B"/>
    <w:rsid w:val="000F4B02"/>
    <w:rsid w:val="000F57AC"/>
    <w:rsid w:val="000F6ED4"/>
    <w:rsid w:val="000F7A6E"/>
    <w:rsid w:val="001042BA"/>
    <w:rsid w:val="00106D03"/>
    <w:rsid w:val="001073C1"/>
    <w:rsid w:val="00107FE3"/>
    <w:rsid w:val="00110465"/>
    <w:rsid w:val="00110628"/>
    <w:rsid w:val="00110A63"/>
    <w:rsid w:val="0011245A"/>
    <w:rsid w:val="0011493E"/>
    <w:rsid w:val="00114E6B"/>
    <w:rsid w:val="00115B72"/>
    <w:rsid w:val="00117F76"/>
    <w:rsid w:val="001209EC"/>
    <w:rsid w:val="00120A9E"/>
    <w:rsid w:val="00122E57"/>
    <w:rsid w:val="001239C4"/>
    <w:rsid w:val="00124184"/>
    <w:rsid w:val="00125A9C"/>
    <w:rsid w:val="001270A2"/>
    <w:rsid w:val="00131237"/>
    <w:rsid w:val="001329AC"/>
    <w:rsid w:val="00134CA0"/>
    <w:rsid w:val="00136FD4"/>
    <w:rsid w:val="00137E4D"/>
    <w:rsid w:val="0014026F"/>
    <w:rsid w:val="00140EB2"/>
    <w:rsid w:val="0014200A"/>
    <w:rsid w:val="00143894"/>
    <w:rsid w:val="00143B3D"/>
    <w:rsid w:val="00143B9B"/>
    <w:rsid w:val="00147A47"/>
    <w:rsid w:val="00147AA1"/>
    <w:rsid w:val="00151543"/>
    <w:rsid w:val="00151A51"/>
    <w:rsid w:val="001520CF"/>
    <w:rsid w:val="0015667C"/>
    <w:rsid w:val="00157110"/>
    <w:rsid w:val="0015742A"/>
    <w:rsid w:val="00157DA1"/>
    <w:rsid w:val="00163147"/>
    <w:rsid w:val="00163C3C"/>
    <w:rsid w:val="00164C57"/>
    <w:rsid w:val="00164C9D"/>
    <w:rsid w:val="00165459"/>
    <w:rsid w:val="00165E5C"/>
    <w:rsid w:val="001679EC"/>
    <w:rsid w:val="00172F7A"/>
    <w:rsid w:val="00173150"/>
    <w:rsid w:val="00173390"/>
    <w:rsid w:val="001736F0"/>
    <w:rsid w:val="00173BB3"/>
    <w:rsid w:val="00173DB6"/>
    <w:rsid w:val="001740D0"/>
    <w:rsid w:val="00174C23"/>
    <w:rsid w:val="00174F2C"/>
    <w:rsid w:val="00180F2A"/>
    <w:rsid w:val="00182C17"/>
    <w:rsid w:val="00182EFE"/>
    <w:rsid w:val="00184297"/>
    <w:rsid w:val="00184B31"/>
    <w:rsid w:val="00184B91"/>
    <w:rsid w:val="00184D4A"/>
    <w:rsid w:val="00184EF4"/>
    <w:rsid w:val="00186EC1"/>
    <w:rsid w:val="00186FAE"/>
    <w:rsid w:val="00187202"/>
    <w:rsid w:val="00191517"/>
    <w:rsid w:val="00191E1F"/>
    <w:rsid w:val="001927EE"/>
    <w:rsid w:val="0019473B"/>
    <w:rsid w:val="001952B1"/>
    <w:rsid w:val="00196E39"/>
    <w:rsid w:val="00197649"/>
    <w:rsid w:val="001A01FB"/>
    <w:rsid w:val="001A10E9"/>
    <w:rsid w:val="001A183D"/>
    <w:rsid w:val="001A2B65"/>
    <w:rsid w:val="001A2FC9"/>
    <w:rsid w:val="001A3CD3"/>
    <w:rsid w:val="001A5BEF"/>
    <w:rsid w:val="001A5CCA"/>
    <w:rsid w:val="001A7F15"/>
    <w:rsid w:val="001B062C"/>
    <w:rsid w:val="001B065D"/>
    <w:rsid w:val="001B23D2"/>
    <w:rsid w:val="001B342E"/>
    <w:rsid w:val="001B6A0F"/>
    <w:rsid w:val="001B7982"/>
    <w:rsid w:val="001C1832"/>
    <w:rsid w:val="001C188C"/>
    <w:rsid w:val="001C214E"/>
    <w:rsid w:val="001C5DEB"/>
    <w:rsid w:val="001D1783"/>
    <w:rsid w:val="001D53CD"/>
    <w:rsid w:val="001D55A3"/>
    <w:rsid w:val="001D5AF5"/>
    <w:rsid w:val="001D7847"/>
    <w:rsid w:val="001E1E73"/>
    <w:rsid w:val="001E3B20"/>
    <w:rsid w:val="001E4E0C"/>
    <w:rsid w:val="001E526D"/>
    <w:rsid w:val="001E5655"/>
    <w:rsid w:val="001E5CFF"/>
    <w:rsid w:val="001E6503"/>
    <w:rsid w:val="001E6C98"/>
    <w:rsid w:val="001F00E3"/>
    <w:rsid w:val="001F0730"/>
    <w:rsid w:val="001F0CF0"/>
    <w:rsid w:val="001F1832"/>
    <w:rsid w:val="001F18F4"/>
    <w:rsid w:val="001F19AF"/>
    <w:rsid w:val="001F1AB1"/>
    <w:rsid w:val="001F220F"/>
    <w:rsid w:val="001F256F"/>
    <w:rsid w:val="001F25B3"/>
    <w:rsid w:val="001F3367"/>
    <w:rsid w:val="001F3AD6"/>
    <w:rsid w:val="001F47B9"/>
    <w:rsid w:val="001F5CE1"/>
    <w:rsid w:val="001F6616"/>
    <w:rsid w:val="00202BD4"/>
    <w:rsid w:val="00204A97"/>
    <w:rsid w:val="00206014"/>
    <w:rsid w:val="002077E1"/>
    <w:rsid w:val="002114EF"/>
    <w:rsid w:val="00215984"/>
    <w:rsid w:val="00216218"/>
    <w:rsid w:val="002166AD"/>
    <w:rsid w:val="00217871"/>
    <w:rsid w:val="00221ED8"/>
    <w:rsid w:val="002231EA"/>
    <w:rsid w:val="00223FDF"/>
    <w:rsid w:val="0022439A"/>
    <w:rsid w:val="00227227"/>
    <w:rsid w:val="002279C0"/>
    <w:rsid w:val="00230E8E"/>
    <w:rsid w:val="00233C1E"/>
    <w:rsid w:val="0023727E"/>
    <w:rsid w:val="00237410"/>
    <w:rsid w:val="00237468"/>
    <w:rsid w:val="00242081"/>
    <w:rsid w:val="00243777"/>
    <w:rsid w:val="002441CD"/>
    <w:rsid w:val="0024441A"/>
    <w:rsid w:val="0024607B"/>
    <w:rsid w:val="002473C1"/>
    <w:rsid w:val="002501A3"/>
    <w:rsid w:val="0025048A"/>
    <w:rsid w:val="0025166C"/>
    <w:rsid w:val="0025361B"/>
    <w:rsid w:val="0025437E"/>
    <w:rsid w:val="002555D4"/>
    <w:rsid w:val="00261A16"/>
    <w:rsid w:val="00261FAC"/>
    <w:rsid w:val="00262F7B"/>
    <w:rsid w:val="00263522"/>
    <w:rsid w:val="00264EC6"/>
    <w:rsid w:val="00270DC7"/>
    <w:rsid w:val="00271013"/>
    <w:rsid w:val="00272CBA"/>
    <w:rsid w:val="00273FE4"/>
    <w:rsid w:val="00275798"/>
    <w:rsid w:val="002765B4"/>
    <w:rsid w:val="00276985"/>
    <w:rsid w:val="00276A94"/>
    <w:rsid w:val="002802A2"/>
    <w:rsid w:val="002811A8"/>
    <w:rsid w:val="00285F9E"/>
    <w:rsid w:val="00286550"/>
    <w:rsid w:val="0029405D"/>
    <w:rsid w:val="00294FA6"/>
    <w:rsid w:val="0029510E"/>
    <w:rsid w:val="00295A6F"/>
    <w:rsid w:val="00296736"/>
    <w:rsid w:val="002971DE"/>
    <w:rsid w:val="002A0005"/>
    <w:rsid w:val="002A1F1C"/>
    <w:rsid w:val="002A20C4"/>
    <w:rsid w:val="002A2E2E"/>
    <w:rsid w:val="002A3F46"/>
    <w:rsid w:val="002A570F"/>
    <w:rsid w:val="002A7292"/>
    <w:rsid w:val="002A7358"/>
    <w:rsid w:val="002A7902"/>
    <w:rsid w:val="002B05D2"/>
    <w:rsid w:val="002B0E8B"/>
    <w:rsid w:val="002B0F6B"/>
    <w:rsid w:val="002B23B8"/>
    <w:rsid w:val="002B4429"/>
    <w:rsid w:val="002B5D75"/>
    <w:rsid w:val="002B5FF9"/>
    <w:rsid w:val="002B68A6"/>
    <w:rsid w:val="002B7133"/>
    <w:rsid w:val="002B7FAF"/>
    <w:rsid w:val="002C44B6"/>
    <w:rsid w:val="002C5BF1"/>
    <w:rsid w:val="002D0410"/>
    <w:rsid w:val="002D0C4F"/>
    <w:rsid w:val="002D1364"/>
    <w:rsid w:val="002D164F"/>
    <w:rsid w:val="002D4D30"/>
    <w:rsid w:val="002D5000"/>
    <w:rsid w:val="002D598D"/>
    <w:rsid w:val="002D7188"/>
    <w:rsid w:val="002E1DE3"/>
    <w:rsid w:val="002E2AB6"/>
    <w:rsid w:val="002E300E"/>
    <w:rsid w:val="002E3F34"/>
    <w:rsid w:val="002E5F79"/>
    <w:rsid w:val="002E623C"/>
    <w:rsid w:val="002E64FA"/>
    <w:rsid w:val="002F0A00"/>
    <w:rsid w:val="002F0CFA"/>
    <w:rsid w:val="002F58B1"/>
    <w:rsid w:val="002F5A28"/>
    <w:rsid w:val="002F669F"/>
    <w:rsid w:val="002F7375"/>
    <w:rsid w:val="00301543"/>
    <w:rsid w:val="00301C97"/>
    <w:rsid w:val="00307EB2"/>
    <w:rsid w:val="0031004C"/>
    <w:rsid w:val="003105F6"/>
    <w:rsid w:val="00311297"/>
    <w:rsid w:val="003113BE"/>
    <w:rsid w:val="003122CA"/>
    <w:rsid w:val="00312E6B"/>
    <w:rsid w:val="003148FD"/>
    <w:rsid w:val="00315E45"/>
    <w:rsid w:val="00316085"/>
    <w:rsid w:val="00320F63"/>
    <w:rsid w:val="00321080"/>
    <w:rsid w:val="00322D45"/>
    <w:rsid w:val="0032313C"/>
    <w:rsid w:val="0032569A"/>
    <w:rsid w:val="00325A1F"/>
    <w:rsid w:val="00325B57"/>
    <w:rsid w:val="003268F9"/>
    <w:rsid w:val="0032691D"/>
    <w:rsid w:val="003278C4"/>
    <w:rsid w:val="00330BAF"/>
    <w:rsid w:val="00331138"/>
    <w:rsid w:val="00334E3A"/>
    <w:rsid w:val="003361DD"/>
    <w:rsid w:val="003373AB"/>
    <w:rsid w:val="00341A6A"/>
    <w:rsid w:val="00345B9C"/>
    <w:rsid w:val="00351BBB"/>
    <w:rsid w:val="003529CC"/>
    <w:rsid w:val="00352DAE"/>
    <w:rsid w:val="00354EB9"/>
    <w:rsid w:val="003565AD"/>
    <w:rsid w:val="00356A4C"/>
    <w:rsid w:val="003602AE"/>
    <w:rsid w:val="003602CD"/>
    <w:rsid w:val="00360929"/>
    <w:rsid w:val="00361A69"/>
    <w:rsid w:val="003647D5"/>
    <w:rsid w:val="00364ADA"/>
    <w:rsid w:val="003674B0"/>
    <w:rsid w:val="00370DD3"/>
    <w:rsid w:val="00373235"/>
    <w:rsid w:val="00374225"/>
    <w:rsid w:val="0037567F"/>
    <w:rsid w:val="0037681D"/>
    <w:rsid w:val="003768FC"/>
    <w:rsid w:val="0037727C"/>
    <w:rsid w:val="0037743D"/>
    <w:rsid w:val="00377E70"/>
    <w:rsid w:val="00380904"/>
    <w:rsid w:val="0038138E"/>
    <w:rsid w:val="003823EE"/>
    <w:rsid w:val="00382960"/>
    <w:rsid w:val="003846F7"/>
    <w:rsid w:val="003851ED"/>
    <w:rsid w:val="00385B39"/>
    <w:rsid w:val="00385DD1"/>
    <w:rsid w:val="00386785"/>
    <w:rsid w:val="00390E89"/>
    <w:rsid w:val="00390F04"/>
    <w:rsid w:val="00391B1A"/>
    <w:rsid w:val="003924D9"/>
    <w:rsid w:val="00394423"/>
    <w:rsid w:val="003951D9"/>
    <w:rsid w:val="00396942"/>
    <w:rsid w:val="00396B49"/>
    <w:rsid w:val="00396E3E"/>
    <w:rsid w:val="00397410"/>
    <w:rsid w:val="003A116D"/>
    <w:rsid w:val="003A306E"/>
    <w:rsid w:val="003A4CB7"/>
    <w:rsid w:val="003A5420"/>
    <w:rsid w:val="003A60DC"/>
    <w:rsid w:val="003A69E9"/>
    <w:rsid w:val="003A6A46"/>
    <w:rsid w:val="003A7A63"/>
    <w:rsid w:val="003A7B42"/>
    <w:rsid w:val="003B000C"/>
    <w:rsid w:val="003B0D58"/>
    <w:rsid w:val="003B0F1D"/>
    <w:rsid w:val="003B22F9"/>
    <w:rsid w:val="003B265E"/>
    <w:rsid w:val="003B4A57"/>
    <w:rsid w:val="003B552F"/>
    <w:rsid w:val="003C0AD9"/>
    <w:rsid w:val="003C0ED0"/>
    <w:rsid w:val="003C1421"/>
    <w:rsid w:val="003C1D49"/>
    <w:rsid w:val="003C35C4"/>
    <w:rsid w:val="003C3B47"/>
    <w:rsid w:val="003C4307"/>
    <w:rsid w:val="003D0536"/>
    <w:rsid w:val="003D12C2"/>
    <w:rsid w:val="003D1E01"/>
    <w:rsid w:val="003D31B9"/>
    <w:rsid w:val="003D3867"/>
    <w:rsid w:val="003D4111"/>
    <w:rsid w:val="003D5B73"/>
    <w:rsid w:val="003E04AE"/>
    <w:rsid w:val="003E0D1A"/>
    <w:rsid w:val="003E2DA3"/>
    <w:rsid w:val="003E48C3"/>
    <w:rsid w:val="003E60E6"/>
    <w:rsid w:val="003F020D"/>
    <w:rsid w:val="003F03D9"/>
    <w:rsid w:val="003F2FBE"/>
    <w:rsid w:val="003F318D"/>
    <w:rsid w:val="003F5084"/>
    <w:rsid w:val="003F5BAE"/>
    <w:rsid w:val="003F6E54"/>
    <w:rsid w:val="003F6ED7"/>
    <w:rsid w:val="00400A0B"/>
    <w:rsid w:val="00401C84"/>
    <w:rsid w:val="0040241D"/>
    <w:rsid w:val="00403210"/>
    <w:rsid w:val="0040343F"/>
    <w:rsid w:val="004035BB"/>
    <w:rsid w:val="004035EB"/>
    <w:rsid w:val="00403DFE"/>
    <w:rsid w:val="00404D88"/>
    <w:rsid w:val="00407332"/>
    <w:rsid w:val="00407828"/>
    <w:rsid w:val="00410DA6"/>
    <w:rsid w:val="00411562"/>
    <w:rsid w:val="00411EDD"/>
    <w:rsid w:val="00413D8E"/>
    <w:rsid w:val="004140F2"/>
    <w:rsid w:val="00414EA3"/>
    <w:rsid w:val="00417B22"/>
    <w:rsid w:val="00421085"/>
    <w:rsid w:val="00421E54"/>
    <w:rsid w:val="00422D7C"/>
    <w:rsid w:val="0042465E"/>
    <w:rsid w:val="00424C25"/>
    <w:rsid w:val="00424DF7"/>
    <w:rsid w:val="00432894"/>
    <w:rsid w:val="00432B76"/>
    <w:rsid w:val="00434D01"/>
    <w:rsid w:val="00435D26"/>
    <w:rsid w:val="004368E3"/>
    <w:rsid w:val="00440C99"/>
    <w:rsid w:val="00440E96"/>
    <w:rsid w:val="0044175C"/>
    <w:rsid w:val="004447DE"/>
    <w:rsid w:val="0044556C"/>
    <w:rsid w:val="00445F4D"/>
    <w:rsid w:val="004504C0"/>
    <w:rsid w:val="00454312"/>
    <w:rsid w:val="0045507E"/>
    <w:rsid w:val="004550FB"/>
    <w:rsid w:val="00460CED"/>
    <w:rsid w:val="0046111A"/>
    <w:rsid w:val="00462946"/>
    <w:rsid w:val="00462B65"/>
    <w:rsid w:val="004639A6"/>
    <w:rsid w:val="00463F43"/>
    <w:rsid w:val="00464B94"/>
    <w:rsid w:val="0046516B"/>
    <w:rsid w:val="004653A8"/>
    <w:rsid w:val="004656F7"/>
    <w:rsid w:val="00465A0B"/>
    <w:rsid w:val="004668CB"/>
    <w:rsid w:val="0047077C"/>
    <w:rsid w:val="00470B05"/>
    <w:rsid w:val="0047207C"/>
    <w:rsid w:val="004728B3"/>
    <w:rsid w:val="00472CD6"/>
    <w:rsid w:val="004745EE"/>
    <w:rsid w:val="00474E3C"/>
    <w:rsid w:val="004758A1"/>
    <w:rsid w:val="004776AD"/>
    <w:rsid w:val="00480A58"/>
    <w:rsid w:val="00482151"/>
    <w:rsid w:val="00482D32"/>
    <w:rsid w:val="0048332F"/>
    <w:rsid w:val="00485FAD"/>
    <w:rsid w:val="00487AED"/>
    <w:rsid w:val="00491EDF"/>
    <w:rsid w:val="004926BB"/>
    <w:rsid w:val="00492A3F"/>
    <w:rsid w:val="00493B22"/>
    <w:rsid w:val="00494F2B"/>
    <w:rsid w:val="00494F62"/>
    <w:rsid w:val="00496250"/>
    <w:rsid w:val="004969E1"/>
    <w:rsid w:val="004A2001"/>
    <w:rsid w:val="004A2C38"/>
    <w:rsid w:val="004A2C54"/>
    <w:rsid w:val="004A3590"/>
    <w:rsid w:val="004B00A7"/>
    <w:rsid w:val="004B25DD"/>
    <w:rsid w:val="004B25E2"/>
    <w:rsid w:val="004B34D7"/>
    <w:rsid w:val="004B5037"/>
    <w:rsid w:val="004B521D"/>
    <w:rsid w:val="004B5B2F"/>
    <w:rsid w:val="004B626A"/>
    <w:rsid w:val="004B660E"/>
    <w:rsid w:val="004B68EF"/>
    <w:rsid w:val="004C05BD"/>
    <w:rsid w:val="004C2625"/>
    <w:rsid w:val="004C3B06"/>
    <w:rsid w:val="004C3F97"/>
    <w:rsid w:val="004C5962"/>
    <w:rsid w:val="004C7EE7"/>
    <w:rsid w:val="004D0568"/>
    <w:rsid w:val="004D059A"/>
    <w:rsid w:val="004D0A2F"/>
    <w:rsid w:val="004D1447"/>
    <w:rsid w:val="004D1536"/>
    <w:rsid w:val="004D1CCD"/>
    <w:rsid w:val="004D2DEE"/>
    <w:rsid w:val="004D2E1F"/>
    <w:rsid w:val="004D50CA"/>
    <w:rsid w:val="004D7FD9"/>
    <w:rsid w:val="004E1324"/>
    <w:rsid w:val="004E19A5"/>
    <w:rsid w:val="004E30E0"/>
    <w:rsid w:val="004E37E5"/>
    <w:rsid w:val="004E3FDB"/>
    <w:rsid w:val="004E59D0"/>
    <w:rsid w:val="004E5CF0"/>
    <w:rsid w:val="004E6041"/>
    <w:rsid w:val="004E6410"/>
    <w:rsid w:val="004F0D5E"/>
    <w:rsid w:val="004F0FCD"/>
    <w:rsid w:val="004F1F4A"/>
    <w:rsid w:val="004F2829"/>
    <w:rsid w:val="004F296D"/>
    <w:rsid w:val="004F2F7E"/>
    <w:rsid w:val="004F508B"/>
    <w:rsid w:val="004F695F"/>
    <w:rsid w:val="004F6B88"/>
    <w:rsid w:val="004F6CA4"/>
    <w:rsid w:val="004F6FAF"/>
    <w:rsid w:val="00500752"/>
    <w:rsid w:val="00501A50"/>
    <w:rsid w:val="0050222D"/>
    <w:rsid w:val="00503AF3"/>
    <w:rsid w:val="00506371"/>
    <w:rsid w:val="0050696D"/>
    <w:rsid w:val="00510009"/>
    <w:rsid w:val="0051094B"/>
    <w:rsid w:val="005110D7"/>
    <w:rsid w:val="00511D99"/>
    <w:rsid w:val="005128D3"/>
    <w:rsid w:val="005147E8"/>
    <w:rsid w:val="005158F2"/>
    <w:rsid w:val="00520B62"/>
    <w:rsid w:val="00524409"/>
    <w:rsid w:val="00525480"/>
    <w:rsid w:val="00526DFC"/>
    <w:rsid w:val="00526F43"/>
    <w:rsid w:val="00527651"/>
    <w:rsid w:val="00530579"/>
    <w:rsid w:val="00532D9A"/>
    <w:rsid w:val="00535374"/>
    <w:rsid w:val="005363AB"/>
    <w:rsid w:val="00544EF4"/>
    <w:rsid w:val="005454C2"/>
    <w:rsid w:val="00545E53"/>
    <w:rsid w:val="005479D9"/>
    <w:rsid w:val="005552C5"/>
    <w:rsid w:val="005554D9"/>
    <w:rsid w:val="005572BD"/>
    <w:rsid w:val="00557A12"/>
    <w:rsid w:val="00560AC7"/>
    <w:rsid w:val="00561AFB"/>
    <w:rsid w:val="00561FA8"/>
    <w:rsid w:val="00562187"/>
    <w:rsid w:val="005635ED"/>
    <w:rsid w:val="00563B74"/>
    <w:rsid w:val="0056499A"/>
    <w:rsid w:val="00565253"/>
    <w:rsid w:val="005657E2"/>
    <w:rsid w:val="00565E42"/>
    <w:rsid w:val="0056738E"/>
    <w:rsid w:val="00570191"/>
    <w:rsid w:val="00570570"/>
    <w:rsid w:val="00572512"/>
    <w:rsid w:val="00573EE6"/>
    <w:rsid w:val="0057547F"/>
    <w:rsid w:val="005754EE"/>
    <w:rsid w:val="0057617E"/>
    <w:rsid w:val="00576497"/>
    <w:rsid w:val="00577D35"/>
    <w:rsid w:val="005835E7"/>
    <w:rsid w:val="0058397F"/>
    <w:rsid w:val="00583AFD"/>
    <w:rsid w:val="00583BF8"/>
    <w:rsid w:val="00585F33"/>
    <w:rsid w:val="0058703D"/>
    <w:rsid w:val="00587704"/>
    <w:rsid w:val="00590A6E"/>
    <w:rsid w:val="00590BD4"/>
    <w:rsid w:val="00591124"/>
    <w:rsid w:val="00591D33"/>
    <w:rsid w:val="0059201B"/>
    <w:rsid w:val="00594A11"/>
    <w:rsid w:val="00594CB2"/>
    <w:rsid w:val="00597024"/>
    <w:rsid w:val="00597278"/>
    <w:rsid w:val="005A0274"/>
    <w:rsid w:val="005A095C"/>
    <w:rsid w:val="005A4240"/>
    <w:rsid w:val="005A4664"/>
    <w:rsid w:val="005A669D"/>
    <w:rsid w:val="005A75D8"/>
    <w:rsid w:val="005B38C3"/>
    <w:rsid w:val="005B4A3B"/>
    <w:rsid w:val="005B7070"/>
    <w:rsid w:val="005B713E"/>
    <w:rsid w:val="005C005E"/>
    <w:rsid w:val="005C03B6"/>
    <w:rsid w:val="005C2996"/>
    <w:rsid w:val="005C348E"/>
    <w:rsid w:val="005C4C08"/>
    <w:rsid w:val="005C4CBA"/>
    <w:rsid w:val="005C58AB"/>
    <w:rsid w:val="005C68E1"/>
    <w:rsid w:val="005C6E84"/>
    <w:rsid w:val="005D0A33"/>
    <w:rsid w:val="005D18D1"/>
    <w:rsid w:val="005D3763"/>
    <w:rsid w:val="005D55E1"/>
    <w:rsid w:val="005E0690"/>
    <w:rsid w:val="005E19F7"/>
    <w:rsid w:val="005E2827"/>
    <w:rsid w:val="005E2FFE"/>
    <w:rsid w:val="005E4937"/>
    <w:rsid w:val="005E4F04"/>
    <w:rsid w:val="005E62C2"/>
    <w:rsid w:val="005E62F6"/>
    <w:rsid w:val="005E6C71"/>
    <w:rsid w:val="005F0963"/>
    <w:rsid w:val="005F1EAB"/>
    <w:rsid w:val="005F2824"/>
    <w:rsid w:val="005F2EBA"/>
    <w:rsid w:val="005F2FA4"/>
    <w:rsid w:val="005F35ED"/>
    <w:rsid w:val="005F7812"/>
    <w:rsid w:val="005F7A88"/>
    <w:rsid w:val="0060157A"/>
    <w:rsid w:val="00603A1A"/>
    <w:rsid w:val="006046D5"/>
    <w:rsid w:val="00605CD4"/>
    <w:rsid w:val="00605F2B"/>
    <w:rsid w:val="0060704B"/>
    <w:rsid w:val="0060715B"/>
    <w:rsid w:val="00607A93"/>
    <w:rsid w:val="00610C08"/>
    <w:rsid w:val="00611F74"/>
    <w:rsid w:val="00613248"/>
    <w:rsid w:val="006152CB"/>
    <w:rsid w:val="00615772"/>
    <w:rsid w:val="00616224"/>
    <w:rsid w:val="0061686A"/>
    <w:rsid w:val="0062027F"/>
    <w:rsid w:val="00621231"/>
    <w:rsid w:val="00621256"/>
    <w:rsid w:val="00621FCC"/>
    <w:rsid w:val="00622E4B"/>
    <w:rsid w:val="00624489"/>
    <w:rsid w:val="00624909"/>
    <w:rsid w:val="00626685"/>
    <w:rsid w:val="00630589"/>
    <w:rsid w:val="00630754"/>
    <w:rsid w:val="00631D98"/>
    <w:rsid w:val="00632FEF"/>
    <w:rsid w:val="006333DA"/>
    <w:rsid w:val="00635134"/>
    <w:rsid w:val="006356E2"/>
    <w:rsid w:val="00642A65"/>
    <w:rsid w:val="00642A96"/>
    <w:rsid w:val="00645346"/>
    <w:rsid w:val="00645DCE"/>
    <w:rsid w:val="006465AC"/>
    <w:rsid w:val="006465BF"/>
    <w:rsid w:val="006525CB"/>
    <w:rsid w:val="00653B22"/>
    <w:rsid w:val="00656E73"/>
    <w:rsid w:val="00657BF4"/>
    <w:rsid w:val="006603FB"/>
    <w:rsid w:val="006608DF"/>
    <w:rsid w:val="006623AC"/>
    <w:rsid w:val="006632BB"/>
    <w:rsid w:val="0066731C"/>
    <w:rsid w:val="006674EC"/>
    <w:rsid w:val="006678AF"/>
    <w:rsid w:val="006701EF"/>
    <w:rsid w:val="00670D1C"/>
    <w:rsid w:val="00673BA5"/>
    <w:rsid w:val="006762E3"/>
    <w:rsid w:val="00676A3C"/>
    <w:rsid w:val="00676E13"/>
    <w:rsid w:val="00680058"/>
    <w:rsid w:val="00681F9F"/>
    <w:rsid w:val="00683308"/>
    <w:rsid w:val="006840EA"/>
    <w:rsid w:val="006844E2"/>
    <w:rsid w:val="00684BE0"/>
    <w:rsid w:val="00684C65"/>
    <w:rsid w:val="0068502F"/>
    <w:rsid w:val="00685267"/>
    <w:rsid w:val="006872AE"/>
    <w:rsid w:val="00690082"/>
    <w:rsid w:val="00690163"/>
    <w:rsid w:val="00690252"/>
    <w:rsid w:val="006937B4"/>
    <w:rsid w:val="00693B52"/>
    <w:rsid w:val="006946BB"/>
    <w:rsid w:val="006969FA"/>
    <w:rsid w:val="006A1CC0"/>
    <w:rsid w:val="006A35D5"/>
    <w:rsid w:val="006A423B"/>
    <w:rsid w:val="006A511A"/>
    <w:rsid w:val="006A5785"/>
    <w:rsid w:val="006A726F"/>
    <w:rsid w:val="006A748A"/>
    <w:rsid w:val="006B38F8"/>
    <w:rsid w:val="006B4035"/>
    <w:rsid w:val="006B55B9"/>
    <w:rsid w:val="006C1FB2"/>
    <w:rsid w:val="006C28C8"/>
    <w:rsid w:val="006C419E"/>
    <w:rsid w:val="006C4A31"/>
    <w:rsid w:val="006C5AC2"/>
    <w:rsid w:val="006C6AFB"/>
    <w:rsid w:val="006D0C5E"/>
    <w:rsid w:val="006D2735"/>
    <w:rsid w:val="006D45B2"/>
    <w:rsid w:val="006D719C"/>
    <w:rsid w:val="006D72B0"/>
    <w:rsid w:val="006D771E"/>
    <w:rsid w:val="006E0FCC"/>
    <w:rsid w:val="006E19B7"/>
    <w:rsid w:val="006E1E96"/>
    <w:rsid w:val="006E393F"/>
    <w:rsid w:val="006E5E21"/>
    <w:rsid w:val="006E693D"/>
    <w:rsid w:val="006F2648"/>
    <w:rsid w:val="006F2F10"/>
    <w:rsid w:val="006F482B"/>
    <w:rsid w:val="006F6311"/>
    <w:rsid w:val="00700615"/>
    <w:rsid w:val="00701878"/>
    <w:rsid w:val="00701952"/>
    <w:rsid w:val="00702556"/>
    <w:rsid w:val="0070277E"/>
    <w:rsid w:val="00702953"/>
    <w:rsid w:val="00702AB8"/>
    <w:rsid w:val="00703478"/>
    <w:rsid w:val="00704156"/>
    <w:rsid w:val="007069FC"/>
    <w:rsid w:val="0070776A"/>
    <w:rsid w:val="00707F7E"/>
    <w:rsid w:val="00711221"/>
    <w:rsid w:val="00712675"/>
    <w:rsid w:val="00713808"/>
    <w:rsid w:val="00713CC5"/>
    <w:rsid w:val="007151B6"/>
    <w:rsid w:val="0071520D"/>
    <w:rsid w:val="00715EDB"/>
    <w:rsid w:val="007160D5"/>
    <w:rsid w:val="007163FB"/>
    <w:rsid w:val="00717C2E"/>
    <w:rsid w:val="0072022C"/>
    <w:rsid w:val="007204FA"/>
    <w:rsid w:val="00720724"/>
    <w:rsid w:val="007213B3"/>
    <w:rsid w:val="00721737"/>
    <w:rsid w:val="0072457F"/>
    <w:rsid w:val="00725406"/>
    <w:rsid w:val="0072621B"/>
    <w:rsid w:val="00730555"/>
    <w:rsid w:val="00730913"/>
    <w:rsid w:val="00730B5E"/>
    <w:rsid w:val="007312CC"/>
    <w:rsid w:val="00733528"/>
    <w:rsid w:val="00733D03"/>
    <w:rsid w:val="00736A64"/>
    <w:rsid w:val="0073739E"/>
    <w:rsid w:val="00737EDA"/>
    <w:rsid w:val="00737F6A"/>
    <w:rsid w:val="00740D0A"/>
    <w:rsid w:val="007410B6"/>
    <w:rsid w:val="00741E81"/>
    <w:rsid w:val="00743882"/>
    <w:rsid w:val="00744C6F"/>
    <w:rsid w:val="007457F6"/>
    <w:rsid w:val="00745ABB"/>
    <w:rsid w:val="00745FF5"/>
    <w:rsid w:val="00746E38"/>
    <w:rsid w:val="00747111"/>
    <w:rsid w:val="00747CD5"/>
    <w:rsid w:val="00753B51"/>
    <w:rsid w:val="00753ED0"/>
    <w:rsid w:val="00754B3E"/>
    <w:rsid w:val="00754BAC"/>
    <w:rsid w:val="007561BE"/>
    <w:rsid w:val="00756629"/>
    <w:rsid w:val="007575D2"/>
    <w:rsid w:val="00757B4F"/>
    <w:rsid w:val="00757B6A"/>
    <w:rsid w:val="007610E0"/>
    <w:rsid w:val="007621AA"/>
    <w:rsid w:val="0076260A"/>
    <w:rsid w:val="00764A67"/>
    <w:rsid w:val="00765DF5"/>
    <w:rsid w:val="00765FB6"/>
    <w:rsid w:val="00767653"/>
    <w:rsid w:val="00770F6B"/>
    <w:rsid w:val="00771883"/>
    <w:rsid w:val="00771924"/>
    <w:rsid w:val="00771DE6"/>
    <w:rsid w:val="00771F8C"/>
    <w:rsid w:val="00775D8E"/>
    <w:rsid w:val="00776DC2"/>
    <w:rsid w:val="00777FD3"/>
    <w:rsid w:val="00780122"/>
    <w:rsid w:val="00780C54"/>
    <w:rsid w:val="0078214B"/>
    <w:rsid w:val="00784824"/>
    <w:rsid w:val="0078498A"/>
    <w:rsid w:val="00786B8A"/>
    <w:rsid w:val="007871E8"/>
    <w:rsid w:val="00787811"/>
    <w:rsid w:val="007917CF"/>
    <w:rsid w:val="00792207"/>
    <w:rsid w:val="00792B64"/>
    <w:rsid w:val="00792E29"/>
    <w:rsid w:val="0079379A"/>
    <w:rsid w:val="00794953"/>
    <w:rsid w:val="00795763"/>
    <w:rsid w:val="007A1F2F"/>
    <w:rsid w:val="007A2107"/>
    <w:rsid w:val="007A2447"/>
    <w:rsid w:val="007A28C2"/>
    <w:rsid w:val="007A2A5C"/>
    <w:rsid w:val="007A2F6B"/>
    <w:rsid w:val="007A3382"/>
    <w:rsid w:val="007A4362"/>
    <w:rsid w:val="007A5150"/>
    <w:rsid w:val="007A5373"/>
    <w:rsid w:val="007A5537"/>
    <w:rsid w:val="007A6842"/>
    <w:rsid w:val="007A789F"/>
    <w:rsid w:val="007B2DB9"/>
    <w:rsid w:val="007B4695"/>
    <w:rsid w:val="007B4FF5"/>
    <w:rsid w:val="007B75BC"/>
    <w:rsid w:val="007B7DC4"/>
    <w:rsid w:val="007B7FE7"/>
    <w:rsid w:val="007C0BD6"/>
    <w:rsid w:val="007C2ABB"/>
    <w:rsid w:val="007C3806"/>
    <w:rsid w:val="007C5BB7"/>
    <w:rsid w:val="007C5FB3"/>
    <w:rsid w:val="007C6C6B"/>
    <w:rsid w:val="007D07D5"/>
    <w:rsid w:val="007D1C48"/>
    <w:rsid w:val="007D1C64"/>
    <w:rsid w:val="007D2055"/>
    <w:rsid w:val="007D32DD"/>
    <w:rsid w:val="007D6DCE"/>
    <w:rsid w:val="007D72C4"/>
    <w:rsid w:val="007E2CFE"/>
    <w:rsid w:val="007E59C9"/>
    <w:rsid w:val="007F0072"/>
    <w:rsid w:val="007F2EB6"/>
    <w:rsid w:val="007F3D1E"/>
    <w:rsid w:val="007F54C3"/>
    <w:rsid w:val="008016EA"/>
    <w:rsid w:val="0080192B"/>
    <w:rsid w:val="00802949"/>
    <w:rsid w:val="00802BB6"/>
    <w:rsid w:val="0080301E"/>
    <w:rsid w:val="0080365F"/>
    <w:rsid w:val="0081078E"/>
    <w:rsid w:val="00810C5A"/>
    <w:rsid w:val="00811DA1"/>
    <w:rsid w:val="00812BE5"/>
    <w:rsid w:val="00817429"/>
    <w:rsid w:val="0082006D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6F8"/>
    <w:rsid w:val="00837C67"/>
    <w:rsid w:val="008415B0"/>
    <w:rsid w:val="00842028"/>
    <w:rsid w:val="008425E5"/>
    <w:rsid w:val="008436B8"/>
    <w:rsid w:val="008460B6"/>
    <w:rsid w:val="0084754D"/>
    <w:rsid w:val="008479E8"/>
    <w:rsid w:val="00850C9D"/>
    <w:rsid w:val="00852B59"/>
    <w:rsid w:val="00856272"/>
    <w:rsid w:val="008563FF"/>
    <w:rsid w:val="0086018B"/>
    <w:rsid w:val="008611DD"/>
    <w:rsid w:val="008620DE"/>
    <w:rsid w:val="00866867"/>
    <w:rsid w:val="0086749E"/>
    <w:rsid w:val="0086768C"/>
    <w:rsid w:val="00872257"/>
    <w:rsid w:val="008741EC"/>
    <w:rsid w:val="008753E6"/>
    <w:rsid w:val="00876EA3"/>
    <w:rsid w:val="0087738C"/>
    <w:rsid w:val="008802AF"/>
    <w:rsid w:val="00880713"/>
    <w:rsid w:val="00881926"/>
    <w:rsid w:val="0088318F"/>
    <w:rsid w:val="0088331D"/>
    <w:rsid w:val="00883954"/>
    <w:rsid w:val="008852B0"/>
    <w:rsid w:val="00885AE7"/>
    <w:rsid w:val="00886B60"/>
    <w:rsid w:val="00887889"/>
    <w:rsid w:val="008904AF"/>
    <w:rsid w:val="00890DC3"/>
    <w:rsid w:val="00891C9C"/>
    <w:rsid w:val="008920FF"/>
    <w:rsid w:val="008926E8"/>
    <w:rsid w:val="00894BCC"/>
    <w:rsid w:val="00894F19"/>
    <w:rsid w:val="00896A10"/>
    <w:rsid w:val="008971B5"/>
    <w:rsid w:val="008A5D26"/>
    <w:rsid w:val="008A6B13"/>
    <w:rsid w:val="008A6CEE"/>
    <w:rsid w:val="008A6ECB"/>
    <w:rsid w:val="008A79AC"/>
    <w:rsid w:val="008B0BF9"/>
    <w:rsid w:val="008B25D5"/>
    <w:rsid w:val="008B2866"/>
    <w:rsid w:val="008B3859"/>
    <w:rsid w:val="008B390A"/>
    <w:rsid w:val="008B421F"/>
    <w:rsid w:val="008B436D"/>
    <w:rsid w:val="008B4E49"/>
    <w:rsid w:val="008B5721"/>
    <w:rsid w:val="008B7712"/>
    <w:rsid w:val="008B7B26"/>
    <w:rsid w:val="008C1F1A"/>
    <w:rsid w:val="008C3524"/>
    <w:rsid w:val="008C3923"/>
    <w:rsid w:val="008C4061"/>
    <w:rsid w:val="008C4229"/>
    <w:rsid w:val="008C4843"/>
    <w:rsid w:val="008C5BE0"/>
    <w:rsid w:val="008C7233"/>
    <w:rsid w:val="008D0B60"/>
    <w:rsid w:val="008D2434"/>
    <w:rsid w:val="008D2BD5"/>
    <w:rsid w:val="008D4718"/>
    <w:rsid w:val="008E171D"/>
    <w:rsid w:val="008E19EB"/>
    <w:rsid w:val="008E2785"/>
    <w:rsid w:val="008E4991"/>
    <w:rsid w:val="008E78A3"/>
    <w:rsid w:val="008F059C"/>
    <w:rsid w:val="008F0654"/>
    <w:rsid w:val="008F06CB"/>
    <w:rsid w:val="008F2E83"/>
    <w:rsid w:val="008F40C5"/>
    <w:rsid w:val="008F5047"/>
    <w:rsid w:val="008F612A"/>
    <w:rsid w:val="009002F2"/>
    <w:rsid w:val="00900F72"/>
    <w:rsid w:val="00902764"/>
    <w:rsid w:val="0090293D"/>
    <w:rsid w:val="00902D8E"/>
    <w:rsid w:val="009034DE"/>
    <w:rsid w:val="00905396"/>
    <w:rsid w:val="0090605D"/>
    <w:rsid w:val="00906419"/>
    <w:rsid w:val="009075D1"/>
    <w:rsid w:val="00912118"/>
    <w:rsid w:val="00912889"/>
    <w:rsid w:val="00913910"/>
    <w:rsid w:val="00913A42"/>
    <w:rsid w:val="00914167"/>
    <w:rsid w:val="009143DB"/>
    <w:rsid w:val="00914579"/>
    <w:rsid w:val="0091482F"/>
    <w:rsid w:val="00915065"/>
    <w:rsid w:val="00916C77"/>
    <w:rsid w:val="00917CE5"/>
    <w:rsid w:val="009217C0"/>
    <w:rsid w:val="00923179"/>
    <w:rsid w:val="00925241"/>
    <w:rsid w:val="00925CEC"/>
    <w:rsid w:val="00926669"/>
    <w:rsid w:val="00926A3F"/>
    <w:rsid w:val="0092794E"/>
    <w:rsid w:val="00930D30"/>
    <w:rsid w:val="00930EA4"/>
    <w:rsid w:val="009332A2"/>
    <w:rsid w:val="00937598"/>
    <w:rsid w:val="009377EA"/>
    <w:rsid w:val="0093790B"/>
    <w:rsid w:val="00940FE5"/>
    <w:rsid w:val="0094184E"/>
    <w:rsid w:val="00943751"/>
    <w:rsid w:val="00945C9D"/>
    <w:rsid w:val="00946DD0"/>
    <w:rsid w:val="009509E6"/>
    <w:rsid w:val="00951ED0"/>
    <w:rsid w:val="00952018"/>
    <w:rsid w:val="00952800"/>
    <w:rsid w:val="00952BB3"/>
    <w:rsid w:val="0095300D"/>
    <w:rsid w:val="00953245"/>
    <w:rsid w:val="00956812"/>
    <w:rsid w:val="0095719A"/>
    <w:rsid w:val="00957C3A"/>
    <w:rsid w:val="009623E9"/>
    <w:rsid w:val="0096318B"/>
    <w:rsid w:val="00963EEB"/>
    <w:rsid w:val="009648BC"/>
    <w:rsid w:val="00964C2F"/>
    <w:rsid w:val="00964CF7"/>
    <w:rsid w:val="00965F88"/>
    <w:rsid w:val="009709AD"/>
    <w:rsid w:val="009718D2"/>
    <w:rsid w:val="00974199"/>
    <w:rsid w:val="009769BE"/>
    <w:rsid w:val="00977FDF"/>
    <w:rsid w:val="0098148D"/>
    <w:rsid w:val="00983DCD"/>
    <w:rsid w:val="00984E03"/>
    <w:rsid w:val="0098515D"/>
    <w:rsid w:val="00987E85"/>
    <w:rsid w:val="0099039D"/>
    <w:rsid w:val="00996D02"/>
    <w:rsid w:val="009A0D12"/>
    <w:rsid w:val="009A1987"/>
    <w:rsid w:val="009A2BEE"/>
    <w:rsid w:val="009A45C3"/>
    <w:rsid w:val="009A5289"/>
    <w:rsid w:val="009A62B3"/>
    <w:rsid w:val="009A7A53"/>
    <w:rsid w:val="009B0402"/>
    <w:rsid w:val="009B0B75"/>
    <w:rsid w:val="009B16DF"/>
    <w:rsid w:val="009B2277"/>
    <w:rsid w:val="009B34EC"/>
    <w:rsid w:val="009B4CB2"/>
    <w:rsid w:val="009B5EBA"/>
    <w:rsid w:val="009B6556"/>
    <w:rsid w:val="009B6701"/>
    <w:rsid w:val="009B6EF7"/>
    <w:rsid w:val="009B7000"/>
    <w:rsid w:val="009B739C"/>
    <w:rsid w:val="009B7A18"/>
    <w:rsid w:val="009C008B"/>
    <w:rsid w:val="009C04EC"/>
    <w:rsid w:val="009C328C"/>
    <w:rsid w:val="009C4444"/>
    <w:rsid w:val="009C7490"/>
    <w:rsid w:val="009C79AD"/>
    <w:rsid w:val="009C7CA6"/>
    <w:rsid w:val="009D02BF"/>
    <w:rsid w:val="009D0D2D"/>
    <w:rsid w:val="009D3316"/>
    <w:rsid w:val="009D55AA"/>
    <w:rsid w:val="009D7930"/>
    <w:rsid w:val="009E341D"/>
    <w:rsid w:val="009E3E1A"/>
    <w:rsid w:val="009E3E77"/>
    <w:rsid w:val="009E3F2D"/>
    <w:rsid w:val="009E3FAB"/>
    <w:rsid w:val="009E4569"/>
    <w:rsid w:val="009E52EA"/>
    <w:rsid w:val="009E5A87"/>
    <w:rsid w:val="009E5B3F"/>
    <w:rsid w:val="009E7D90"/>
    <w:rsid w:val="009F1930"/>
    <w:rsid w:val="009F1AB0"/>
    <w:rsid w:val="009F2D07"/>
    <w:rsid w:val="009F2FD4"/>
    <w:rsid w:val="009F501D"/>
    <w:rsid w:val="009F6F31"/>
    <w:rsid w:val="009F7DD6"/>
    <w:rsid w:val="00A039D5"/>
    <w:rsid w:val="00A046AD"/>
    <w:rsid w:val="00A054FD"/>
    <w:rsid w:val="00A079C1"/>
    <w:rsid w:val="00A108FA"/>
    <w:rsid w:val="00A12520"/>
    <w:rsid w:val="00A12B4A"/>
    <w:rsid w:val="00A130FD"/>
    <w:rsid w:val="00A133E5"/>
    <w:rsid w:val="00A13AF3"/>
    <w:rsid w:val="00A13D6D"/>
    <w:rsid w:val="00A14769"/>
    <w:rsid w:val="00A15703"/>
    <w:rsid w:val="00A16151"/>
    <w:rsid w:val="00A162B9"/>
    <w:rsid w:val="00A16EC6"/>
    <w:rsid w:val="00A17C06"/>
    <w:rsid w:val="00A2126E"/>
    <w:rsid w:val="00A21701"/>
    <w:rsid w:val="00A21706"/>
    <w:rsid w:val="00A2223F"/>
    <w:rsid w:val="00A2384E"/>
    <w:rsid w:val="00A238E9"/>
    <w:rsid w:val="00A24FCC"/>
    <w:rsid w:val="00A25A23"/>
    <w:rsid w:val="00A26A90"/>
    <w:rsid w:val="00A26B27"/>
    <w:rsid w:val="00A27E08"/>
    <w:rsid w:val="00A30E4F"/>
    <w:rsid w:val="00A30FA1"/>
    <w:rsid w:val="00A31209"/>
    <w:rsid w:val="00A32253"/>
    <w:rsid w:val="00A32B7D"/>
    <w:rsid w:val="00A3310E"/>
    <w:rsid w:val="00A333A0"/>
    <w:rsid w:val="00A34966"/>
    <w:rsid w:val="00A35245"/>
    <w:rsid w:val="00A366FB"/>
    <w:rsid w:val="00A37E70"/>
    <w:rsid w:val="00A41BBF"/>
    <w:rsid w:val="00A43665"/>
    <w:rsid w:val="00A437E1"/>
    <w:rsid w:val="00A45C1B"/>
    <w:rsid w:val="00A4685E"/>
    <w:rsid w:val="00A501E5"/>
    <w:rsid w:val="00A50CD4"/>
    <w:rsid w:val="00A50DE1"/>
    <w:rsid w:val="00A51191"/>
    <w:rsid w:val="00A53B31"/>
    <w:rsid w:val="00A55BB8"/>
    <w:rsid w:val="00A56CE3"/>
    <w:rsid w:val="00A56D62"/>
    <w:rsid w:val="00A56F07"/>
    <w:rsid w:val="00A57030"/>
    <w:rsid w:val="00A5762C"/>
    <w:rsid w:val="00A600FC"/>
    <w:rsid w:val="00A60BCA"/>
    <w:rsid w:val="00A60FCD"/>
    <w:rsid w:val="00A611C8"/>
    <w:rsid w:val="00A62133"/>
    <w:rsid w:val="00A638DA"/>
    <w:rsid w:val="00A65B41"/>
    <w:rsid w:val="00A65E00"/>
    <w:rsid w:val="00A66A78"/>
    <w:rsid w:val="00A67BB3"/>
    <w:rsid w:val="00A70620"/>
    <w:rsid w:val="00A729F8"/>
    <w:rsid w:val="00A73C03"/>
    <w:rsid w:val="00A7436E"/>
    <w:rsid w:val="00A74E96"/>
    <w:rsid w:val="00A75899"/>
    <w:rsid w:val="00A75A8E"/>
    <w:rsid w:val="00A806D9"/>
    <w:rsid w:val="00A81022"/>
    <w:rsid w:val="00A81284"/>
    <w:rsid w:val="00A824DD"/>
    <w:rsid w:val="00A83676"/>
    <w:rsid w:val="00A83B7B"/>
    <w:rsid w:val="00A84274"/>
    <w:rsid w:val="00A84B85"/>
    <w:rsid w:val="00A850F3"/>
    <w:rsid w:val="00A864E3"/>
    <w:rsid w:val="00A90752"/>
    <w:rsid w:val="00A93313"/>
    <w:rsid w:val="00A94574"/>
    <w:rsid w:val="00A95936"/>
    <w:rsid w:val="00A95C37"/>
    <w:rsid w:val="00A96265"/>
    <w:rsid w:val="00A97084"/>
    <w:rsid w:val="00A97C05"/>
    <w:rsid w:val="00AA1C2C"/>
    <w:rsid w:val="00AA2310"/>
    <w:rsid w:val="00AA35F6"/>
    <w:rsid w:val="00AA43F5"/>
    <w:rsid w:val="00AA646E"/>
    <w:rsid w:val="00AA667C"/>
    <w:rsid w:val="00AA6DD0"/>
    <w:rsid w:val="00AA6E91"/>
    <w:rsid w:val="00AA7439"/>
    <w:rsid w:val="00AB047E"/>
    <w:rsid w:val="00AB0B0A"/>
    <w:rsid w:val="00AB0BB7"/>
    <w:rsid w:val="00AB22C6"/>
    <w:rsid w:val="00AB2AD0"/>
    <w:rsid w:val="00AB2CA3"/>
    <w:rsid w:val="00AB67FC"/>
    <w:rsid w:val="00AC00F2"/>
    <w:rsid w:val="00AC1A87"/>
    <w:rsid w:val="00AC2237"/>
    <w:rsid w:val="00AC2E6A"/>
    <w:rsid w:val="00AC31B5"/>
    <w:rsid w:val="00AC35DF"/>
    <w:rsid w:val="00AC4EA1"/>
    <w:rsid w:val="00AC5381"/>
    <w:rsid w:val="00AC5920"/>
    <w:rsid w:val="00AC73B1"/>
    <w:rsid w:val="00AD0E65"/>
    <w:rsid w:val="00AD2BF2"/>
    <w:rsid w:val="00AD4E90"/>
    <w:rsid w:val="00AD5422"/>
    <w:rsid w:val="00AD58E0"/>
    <w:rsid w:val="00AE039B"/>
    <w:rsid w:val="00AE4179"/>
    <w:rsid w:val="00AE4425"/>
    <w:rsid w:val="00AE4FBE"/>
    <w:rsid w:val="00AE650F"/>
    <w:rsid w:val="00AE6555"/>
    <w:rsid w:val="00AE72D9"/>
    <w:rsid w:val="00AE7D16"/>
    <w:rsid w:val="00AF02BE"/>
    <w:rsid w:val="00AF25DE"/>
    <w:rsid w:val="00AF2BA2"/>
    <w:rsid w:val="00AF4425"/>
    <w:rsid w:val="00AF4CAA"/>
    <w:rsid w:val="00AF571A"/>
    <w:rsid w:val="00AF587E"/>
    <w:rsid w:val="00AF60A0"/>
    <w:rsid w:val="00AF67FC"/>
    <w:rsid w:val="00AF69F1"/>
    <w:rsid w:val="00AF7CF8"/>
    <w:rsid w:val="00AF7DF5"/>
    <w:rsid w:val="00B006E5"/>
    <w:rsid w:val="00B00BDA"/>
    <w:rsid w:val="00B0233B"/>
    <w:rsid w:val="00B024C2"/>
    <w:rsid w:val="00B07700"/>
    <w:rsid w:val="00B07C72"/>
    <w:rsid w:val="00B12F37"/>
    <w:rsid w:val="00B13921"/>
    <w:rsid w:val="00B1528C"/>
    <w:rsid w:val="00B16364"/>
    <w:rsid w:val="00B16ACD"/>
    <w:rsid w:val="00B20B5E"/>
    <w:rsid w:val="00B20DDF"/>
    <w:rsid w:val="00B21487"/>
    <w:rsid w:val="00B21521"/>
    <w:rsid w:val="00B228EE"/>
    <w:rsid w:val="00B232D1"/>
    <w:rsid w:val="00B24DB5"/>
    <w:rsid w:val="00B30661"/>
    <w:rsid w:val="00B30730"/>
    <w:rsid w:val="00B31F9E"/>
    <w:rsid w:val="00B3268F"/>
    <w:rsid w:val="00B32C2C"/>
    <w:rsid w:val="00B33A1A"/>
    <w:rsid w:val="00B33E6C"/>
    <w:rsid w:val="00B371CC"/>
    <w:rsid w:val="00B41769"/>
    <w:rsid w:val="00B41CD9"/>
    <w:rsid w:val="00B427E6"/>
    <w:rsid w:val="00B428A6"/>
    <w:rsid w:val="00B43C40"/>
    <w:rsid w:val="00B43E1F"/>
    <w:rsid w:val="00B45A6B"/>
    <w:rsid w:val="00B45FBC"/>
    <w:rsid w:val="00B51594"/>
    <w:rsid w:val="00B51A7D"/>
    <w:rsid w:val="00B535C2"/>
    <w:rsid w:val="00B55544"/>
    <w:rsid w:val="00B56CDD"/>
    <w:rsid w:val="00B62D95"/>
    <w:rsid w:val="00B640EE"/>
    <w:rsid w:val="00B642FC"/>
    <w:rsid w:val="00B64D26"/>
    <w:rsid w:val="00B64FBB"/>
    <w:rsid w:val="00B6754C"/>
    <w:rsid w:val="00B70E22"/>
    <w:rsid w:val="00B74BAC"/>
    <w:rsid w:val="00B76D94"/>
    <w:rsid w:val="00B774CB"/>
    <w:rsid w:val="00B80402"/>
    <w:rsid w:val="00B809D7"/>
    <w:rsid w:val="00B80B9A"/>
    <w:rsid w:val="00B830B7"/>
    <w:rsid w:val="00B848EA"/>
    <w:rsid w:val="00B84B2B"/>
    <w:rsid w:val="00B85A2B"/>
    <w:rsid w:val="00B87935"/>
    <w:rsid w:val="00B90500"/>
    <w:rsid w:val="00B9176C"/>
    <w:rsid w:val="00B91CED"/>
    <w:rsid w:val="00B935A4"/>
    <w:rsid w:val="00B93845"/>
    <w:rsid w:val="00B948E1"/>
    <w:rsid w:val="00B95FEC"/>
    <w:rsid w:val="00BA2A07"/>
    <w:rsid w:val="00BA4829"/>
    <w:rsid w:val="00BA4FEA"/>
    <w:rsid w:val="00BA561A"/>
    <w:rsid w:val="00BA6B76"/>
    <w:rsid w:val="00BB0DC6"/>
    <w:rsid w:val="00BB15E4"/>
    <w:rsid w:val="00BB1E19"/>
    <w:rsid w:val="00BB21D1"/>
    <w:rsid w:val="00BB32F2"/>
    <w:rsid w:val="00BB4338"/>
    <w:rsid w:val="00BB6372"/>
    <w:rsid w:val="00BB693B"/>
    <w:rsid w:val="00BB6C0E"/>
    <w:rsid w:val="00BB7B38"/>
    <w:rsid w:val="00BC0D01"/>
    <w:rsid w:val="00BC11E5"/>
    <w:rsid w:val="00BC2177"/>
    <w:rsid w:val="00BC2AF9"/>
    <w:rsid w:val="00BC3EDB"/>
    <w:rsid w:val="00BC4BC6"/>
    <w:rsid w:val="00BC52FD"/>
    <w:rsid w:val="00BC638F"/>
    <w:rsid w:val="00BC6E62"/>
    <w:rsid w:val="00BC7443"/>
    <w:rsid w:val="00BD0648"/>
    <w:rsid w:val="00BD1040"/>
    <w:rsid w:val="00BD2221"/>
    <w:rsid w:val="00BD34AA"/>
    <w:rsid w:val="00BD3540"/>
    <w:rsid w:val="00BD37A6"/>
    <w:rsid w:val="00BD4E5F"/>
    <w:rsid w:val="00BD6606"/>
    <w:rsid w:val="00BD718A"/>
    <w:rsid w:val="00BE0861"/>
    <w:rsid w:val="00BE0C44"/>
    <w:rsid w:val="00BE1533"/>
    <w:rsid w:val="00BE1B8B"/>
    <w:rsid w:val="00BE2A18"/>
    <w:rsid w:val="00BE2C01"/>
    <w:rsid w:val="00BE3103"/>
    <w:rsid w:val="00BE35FB"/>
    <w:rsid w:val="00BE3D8F"/>
    <w:rsid w:val="00BE41EC"/>
    <w:rsid w:val="00BE54D8"/>
    <w:rsid w:val="00BE56FB"/>
    <w:rsid w:val="00BF0251"/>
    <w:rsid w:val="00BF3DDE"/>
    <w:rsid w:val="00BF6506"/>
    <w:rsid w:val="00BF6589"/>
    <w:rsid w:val="00BF6F7F"/>
    <w:rsid w:val="00C00647"/>
    <w:rsid w:val="00C02764"/>
    <w:rsid w:val="00C0318D"/>
    <w:rsid w:val="00C03C47"/>
    <w:rsid w:val="00C04CEF"/>
    <w:rsid w:val="00C0662F"/>
    <w:rsid w:val="00C11943"/>
    <w:rsid w:val="00C12E96"/>
    <w:rsid w:val="00C14763"/>
    <w:rsid w:val="00C16141"/>
    <w:rsid w:val="00C16ECB"/>
    <w:rsid w:val="00C227C7"/>
    <w:rsid w:val="00C2363F"/>
    <w:rsid w:val="00C236C8"/>
    <w:rsid w:val="00C260B1"/>
    <w:rsid w:val="00C26E56"/>
    <w:rsid w:val="00C27124"/>
    <w:rsid w:val="00C271D4"/>
    <w:rsid w:val="00C27451"/>
    <w:rsid w:val="00C31406"/>
    <w:rsid w:val="00C33364"/>
    <w:rsid w:val="00C33B2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818"/>
    <w:rsid w:val="00C6581F"/>
    <w:rsid w:val="00C65C4B"/>
    <w:rsid w:val="00C667BE"/>
    <w:rsid w:val="00C67562"/>
    <w:rsid w:val="00C6766B"/>
    <w:rsid w:val="00C70B61"/>
    <w:rsid w:val="00C72223"/>
    <w:rsid w:val="00C7382D"/>
    <w:rsid w:val="00C74372"/>
    <w:rsid w:val="00C74431"/>
    <w:rsid w:val="00C76417"/>
    <w:rsid w:val="00C7726F"/>
    <w:rsid w:val="00C77E7C"/>
    <w:rsid w:val="00C823DA"/>
    <w:rsid w:val="00C8259F"/>
    <w:rsid w:val="00C82746"/>
    <w:rsid w:val="00C82E7D"/>
    <w:rsid w:val="00C8312F"/>
    <w:rsid w:val="00C84C47"/>
    <w:rsid w:val="00C858A4"/>
    <w:rsid w:val="00C85AAD"/>
    <w:rsid w:val="00C86AFA"/>
    <w:rsid w:val="00C951F9"/>
    <w:rsid w:val="00C952CC"/>
    <w:rsid w:val="00C959A3"/>
    <w:rsid w:val="00CA0364"/>
    <w:rsid w:val="00CA1D54"/>
    <w:rsid w:val="00CA20FE"/>
    <w:rsid w:val="00CA2B46"/>
    <w:rsid w:val="00CA2FB0"/>
    <w:rsid w:val="00CA3B0A"/>
    <w:rsid w:val="00CA5DD8"/>
    <w:rsid w:val="00CB016D"/>
    <w:rsid w:val="00CB1661"/>
    <w:rsid w:val="00CB18D0"/>
    <w:rsid w:val="00CB1C8A"/>
    <w:rsid w:val="00CB24F5"/>
    <w:rsid w:val="00CB2663"/>
    <w:rsid w:val="00CB3BBE"/>
    <w:rsid w:val="00CB4369"/>
    <w:rsid w:val="00CB5850"/>
    <w:rsid w:val="00CB59E9"/>
    <w:rsid w:val="00CC02A9"/>
    <w:rsid w:val="00CC0D6A"/>
    <w:rsid w:val="00CC3831"/>
    <w:rsid w:val="00CC3932"/>
    <w:rsid w:val="00CC3CD0"/>
    <w:rsid w:val="00CC3E3D"/>
    <w:rsid w:val="00CC519B"/>
    <w:rsid w:val="00CC58D4"/>
    <w:rsid w:val="00CD01E5"/>
    <w:rsid w:val="00CD12C1"/>
    <w:rsid w:val="00CD214E"/>
    <w:rsid w:val="00CD46FA"/>
    <w:rsid w:val="00CD5973"/>
    <w:rsid w:val="00CD5E66"/>
    <w:rsid w:val="00CE1D17"/>
    <w:rsid w:val="00CE31A6"/>
    <w:rsid w:val="00CE3B93"/>
    <w:rsid w:val="00CE464C"/>
    <w:rsid w:val="00CE770B"/>
    <w:rsid w:val="00CF09AA"/>
    <w:rsid w:val="00CF2243"/>
    <w:rsid w:val="00CF3532"/>
    <w:rsid w:val="00CF4813"/>
    <w:rsid w:val="00CF5233"/>
    <w:rsid w:val="00CF6F67"/>
    <w:rsid w:val="00CF7D30"/>
    <w:rsid w:val="00CF7EC0"/>
    <w:rsid w:val="00D00B25"/>
    <w:rsid w:val="00D02714"/>
    <w:rsid w:val="00D02753"/>
    <w:rsid w:val="00D029B8"/>
    <w:rsid w:val="00D02F60"/>
    <w:rsid w:val="00D0464E"/>
    <w:rsid w:val="00D04A96"/>
    <w:rsid w:val="00D07098"/>
    <w:rsid w:val="00D07A7B"/>
    <w:rsid w:val="00D10E06"/>
    <w:rsid w:val="00D11372"/>
    <w:rsid w:val="00D11F5A"/>
    <w:rsid w:val="00D1426E"/>
    <w:rsid w:val="00D14E6B"/>
    <w:rsid w:val="00D15197"/>
    <w:rsid w:val="00D151D2"/>
    <w:rsid w:val="00D165B9"/>
    <w:rsid w:val="00D16820"/>
    <w:rsid w:val="00D169C8"/>
    <w:rsid w:val="00D1793F"/>
    <w:rsid w:val="00D17C93"/>
    <w:rsid w:val="00D22AF5"/>
    <w:rsid w:val="00D235EA"/>
    <w:rsid w:val="00D247A9"/>
    <w:rsid w:val="00D32168"/>
    <w:rsid w:val="00D32721"/>
    <w:rsid w:val="00D328DC"/>
    <w:rsid w:val="00D32FD3"/>
    <w:rsid w:val="00D33179"/>
    <w:rsid w:val="00D33387"/>
    <w:rsid w:val="00D35978"/>
    <w:rsid w:val="00D3728B"/>
    <w:rsid w:val="00D402FB"/>
    <w:rsid w:val="00D41F56"/>
    <w:rsid w:val="00D42A0D"/>
    <w:rsid w:val="00D461E5"/>
    <w:rsid w:val="00D46F0F"/>
    <w:rsid w:val="00D46FC8"/>
    <w:rsid w:val="00D47D7A"/>
    <w:rsid w:val="00D50ABD"/>
    <w:rsid w:val="00D51261"/>
    <w:rsid w:val="00D51912"/>
    <w:rsid w:val="00D5294F"/>
    <w:rsid w:val="00D5472F"/>
    <w:rsid w:val="00D55290"/>
    <w:rsid w:val="00D57791"/>
    <w:rsid w:val="00D6046A"/>
    <w:rsid w:val="00D61D7F"/>
    <w:rsid w:val="00D62870"/>
    <w:rsid w:val="00D62D83"/>
    <w:rsid w:val="00D655D9"/>
    <w:rsid w:val="00D65872"/>
    <w:rsid w:val="00D65D20"/>
    <w:rsid w:val="00D65E66"/>
    <w:rsid w:val="00D676F3"/>
    <w:rsid w:val="00D70EF5"/>
    <w:rsid w:val="00D71024"/>
    <w:rsid w:val="00D71A25"/>
    <w:rsid w:val="00D71FCF"/>
    <w:rsid w:val="00D72A54"/>
    <w:rsid w:val="00D72CC1"/>
    <w:rsid w:val="00D73778"/>
    <w:rsid w:val="00D74C56"/>
    <w:rsid w:val="00D75509"/>
    <w:rsid w:val="00D76EC9"/>
    <w:rsid w:val="00D77D0C"/>
    <w:rsid w:val="00D807CE"/>
    <w:rsid w:val="00D80E7D"/>
    <w:rsid w:val="00D81397"/>
    <w:rsid w:val="00D81653"/>
    <w:rsid w:val="00D823C4"/>
    <w:rsid w:val="00D83320"/>
    <w:rsid w:val="00D8470E"/>
    <w:rsid w:val="00D848B9"/>
    <w:rsid w:val="00D90E69"/>
    <w:rsid w:val="00D91368"/>
    <w:rsid w:val="00D91F55"/>
    <w:rsid w:val="00D93106"/>
    <w:rsid w:val="00D933E9"/>
    <w:rsid w:val="00D9361D"/>
    <w:rsid w:val="00D94B9C"/>
    <w:rsid w:val="00D9505D"/>
    <w:rsid w:val="00D953D0"/>
    <w:rsid w:val="00D959F5"/>
    <w:rsid w:val="00D96884"/>
    <w:rsid w:val="00D971BB"/>
    <w:rsid w:val="00DA3B8B"/>
    <w:rsid w:val="00DA3FDD"/>
    <w:rsid w:val="00DA5790"/>
    <w:rsid w:val="00DA7017"/>
    <w:rsid w:val="00DA7028"/>
    <w:rsid w:val="00DA7F41"/>
    <w:rsid w:val="00DB1302"/>
    <w:rsid w:val="00DB1AD2"/>
    <w:rsid w:val="00DB1F6C"/>
    <w:rsid w:val="00DB2B58"/>
    <w:rsid w:val="00DB46B1"/>
    <w:rsid w:val="00DB5206"/>
    <w:rsid w:val="00DB5857"/>
    <w:rsid w:val="00DB6276"/>
    <w:rsid w:val="00DB63F5"/>
    <w:rsid w:val="00DB7121"/>
    <w:rsid w:val="00DC1C6B"/>
    <w:rsid w:val="00DC2C2E"/>
    <w:rsid w:val="00DC47E2"/>
    <w:rsid w:val="00DC4AF0"/>
    <w:rsid w:val="00DC4EE8"/>
    <w:rsid w:val="00DC573C"/>
    <w:rsid w:val="00DC7886"/>
    <w:rsid w:val="00DD0CF2"/>
    <w:rsid w:val="00DD4ED7"/>
    <w:rsid w:val="00DD5B1D"/>
    <w:rsid w:val="00DE1554"/>
    <w:rsid w:val="00DE2901"/>
    <w:rsid w:val="00DE2EDB"/>
    <w:rsid w:val="00DE303C"/>
    <w:rsid w:val="00DE590F"/>
    <w:rsid w:val="00DE5DCC"/>
    <w:rsid w:val="00DE7841"/>
    <w:rsid w:val="00DE7DC1"/>
    <w:rsid w:val="00DF02B8"/>
    <w:rsid w:val="00DF0D9C"/>
    <w:rsid w:val="00DF3CB9"/>
    <w:rsid w:val="00DF3F7E"/>
    <w:rsid w:val="00DF7648"/>
    <w:rsid w:val="00E00237"/>
    <w:rsid w:val="00E007A6"/>
    <w:rsid w:val="00E00E29"/>
    <w:rsid w:val="00E02BAB"/>
    <w:rsid w:val="00E045F1"/>
    <w:rsid w:val="00E04983"/>
    <w:rsid w:val="00E04CEB"/>
    <w:rsid w:val="00E0511C"/>
    <w:rsid w:val="00E060BC"/>
    <w:rsid w:val="00E06F68"/>
    <w:rsid w:val="00E11420"/>
    <w:rsid w:val="00E132FB"/>
    <w:rsid w:val="00E15448"/>
    <w:rsid w:val="00E15C1A"/>
    <w:rsid w:val="00E16A5D"/>
    <w:rsid w:val="00E170B7"/>
    <w:rsid w:val="00E177DD"/>
    <w:rsid w:val="00E17D5A"/>
    <w:rsid w:val="00E207CB"/>
    <w:rsid w:val="00E20900"/>
    <w:rsid w:val="00E20C7F"/>
    <w:rsid w:val="00E21A48"/>
    <w:rsid w:val="00E2396E"/>
    <w:rsid w:val="00E2431A"/>
    <w:rsid w:val="00E24728"/>
    <w:rsid w:val="00E24E89"/>
    <w:rsid w:val="00E26784"/>
    <w:rsid w:val="00E276AC"/>
    <w:rsid w:val="00E30C59"/>
    <w:rsid w:val="00E34A35"/>
    <w:rsid w:val="00E35563"/>
    <w:rsid w:val="00E36764"/>
    <w:rsid w:val="00E37C2F"/>
    <w:rsid w:val="00E37FA5"/>
    <w:rsid w:val="00E41C28"/>
    <w:rsid w:val="00E42442"/>
    <w:rsid w:val="00E46187"/>
    <w:rsid w:val="00E46308"/>
    <w:rsid w:val="00E51524"/>
    <w:rsid w:val="00E516E9"/>
    <w:rsid w:val="00E51B9E"/>
    <w:rsid w:val="00E51CA1"/>
    <w:rsid w:val="00E51E17"/>
    <w:rsid w:val="00E52DAB"/>
    <w:rsid w:val="00E539B0"/>
    <w:rsid w:val="00E54139"/>
    <w:rsid w:val="00E55994"/>
    <w:rsid w:val="00E5617A"/>
    <w:rsid w:val="00E60606"/>
    <w:rsid w:val="00E60C66"/>
    <w:rsid w:val="00E60CCB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5F6"/>
    <w:rsid w:val="00E75DDA"/>
    <w:rsid w:val="00E773E8"/>
    <w:rsid w:val="00E7789E"/>
    <w:rsid w:val="00E83ADD"/>
    <w:rsid w:val="00E841A7"/>
    <w:rsid w:val="00E84747"/>
    <w:rsid w:val="00E84F38"/>
    <w:rsid w:val="00E85623"/>
    <w:rsid w:val="00E87441"/>
    <w:rsid w:val="00E87700"/>
    <w:rsid w:val="00E91FAE"/>
    <w:rsid w:val="00E923DA"/>
    <w:rsid w:val="00E94E99"/>
    <w:rsid w:val="00E95A18"/>
    <w:rsid w:val="00E96E3F"/>
    <w:rsid w:val="00E97068"/>
    <w:rsid w:val="00EA270C"/>
    <w:rsid w:val="00EA4974"/>
    <w:rsid w:val="00EA532E"/>
    <w:rsid w:val="00EA6A31"/>
    <w:rsid w:val="00EB06D9"/>
    <w:rsid w:val="00EB0921"/>
    <w:rsid w:val="00EB14F1"/>
    <w:rsid w:val="00EB192B"/>
    <w:rsid w:val="00EB19ED"/>
    <w:rsid w:val="00EB1CAB"/>
    <w:rsid w:val="00EB44F6"/>
    <w:rsid w:val="00EB6B64"/>
    <w:rsid w:val="00EB77E7"/>
    <w:rsid w:val="00EC0F5A"/>
    <w:rsid w:val="00EC1B59"/>
    <w:rsid w:val="00EC41AC"/>
    <w:rsid w:val="00EC4265"/>
    <w:rsid w:val="00EC4CEB"/>
    <w:rsid w:val="00EC659E"/>
    <w:rsid w:val="00ED2072"/>
    <w:rsid w:val="00ED2AE0"/>
    <w:rsid w:val="00ED3345"/>
    <w:rsid w:val="00ED4A3B"/>
    <w:rsid w:val="00ED5553"/>
    <w:rsid w:val="00ED5E36"/>
    <w:rsid w:val="00ED6961"/>
    <w:rsid w:val="00ED79F6"/>
    <w:rsid w:val="00EE0265"/>
    <w:rsid w:val="00EE05B9"/>
    <w:rsid w:val="00EE11A1"/>
    <w:rsid w:val="00EE2BAD"/>
    <w:rsid w:val="00EE48E6"/>
    <w:rsid w:val="00EE622D"/>
    <w:rsid w:val="00EF0273"/>
    <w:rsid w:val="00EF0B96"/>
    <w:rsid w:val="00EF0D21"/>
    <w:rsid w:val="00EF3486"/>
    <w:rsid w:val="00EF47AF"/>
    <w:rsid w:val="00EF53B6"/>
    <w:rsid w:val="00EF7DF1"/>
    <w:rsid w:val="00EF7EEE"/>
    <w:rsid w:val="00F00B73"/>
    <w:rsid w:val="00F01166"/>
    <w:rsid w:val="00F02489"/>
    <w:rsid w:val="00F0382D"/>
    <w:rsid w:val="00F03EF0"/>
    <w:rsid w:val="00F043A3"/>
    <w:rsid w:val="00F04F43"/>
    <w:rsid w:val="00F102C9"/>
    <w:rsid w:val="00F115CA"/>
    <w:rsid w:val="00F1283E"/>
    <w:rsid w:val="00F12C2A"/>
    <w:rsid w:val="00F13182"/>
    <w:rsid w:val="00F14817"/>
    <w:rsid w:val="00F14CAA"/>
    <w:rsid w:val="00F14EBA"/>
    <w:rsid w:val="00F1510F"/>
    <w:rsid w:val="00F1533A"/>
    <w:rsid w:val="00F15E5A"/>
    <w:rsid w:val="00F17F0A"/>
    <w:rsid w:val="00F22FBA"/>
    <w:rsid w:val="00F22FDD"/>
    <w:rsid w:val="00F2668F"/>
    <w:rsid w:val="00F2742F"/>
    <w:rsid w:val="00F2753B"/>
    <w:rsid w:val="00F30FA3"/>
    <w:rsid w:val="00F3282A"/>
    <w:rsid w:val="00F338F9"/>
    <w:rsid w:val="00F33F8B"/>
    <w:rsid w:val="00F340B2"/>
    <w:rsid w:val="00F35DE3"/>
    <w:rsid w:val="00F40D86"/>
    <w:rsid w:val="00F43390"/>
    <w:rsid w:val="00F443B2"/>
    <w:rsid w:val="00F458D8"/>
    <w:rsid w:val="00F50237"/>
    <w:rsid w:val="00F517C4"/>
    <w:rsid w:val="00F523DD"/>
    <w:rsid w:val="00F53596"/>
    <w:rsid w:val="00F55BA8"/>
    <w:rsid w:val="00F55DB1"/>
    <w:rsid w:val="00F561A0"/>
    <w:rsid w:val="00F56284"/>
    <w:rsid w:val="00F56ACA"/>
    <w:rsid w:val="00F56D1D"/>
    <w:rsid w:val="00F600FE"/>
    <w:rsid w:val="00F62E4D"/>
    <w:rsid w:val="00F66B34"/>
    <w:rsid w:val="00F675B9"/>
    <w:rsid w:val="00F711C9"/>
    <w:rsid w:val="00F72EEC"/>
    <w:rsid w:val="00F731D9"/>
    <w:rsid w:val="00F74C59"/>
    <w:rsid w:val="00F752FE"/>
    <w:rsid w:val="00F75345"/>
    <w:rsid w:val="00F75C3A"/>
    <w:rsid w:val="00F76D97"/>
    <w:rsid w:val="00F803B6"/>
    <w:rsid w:val="00F81BED"/>
    <w:rsid w:val="00F81E38"/>
    <w:rsid w:val="00F82E16"/>
    <w:rsid w:val="00F82E30"/>
    <w:rsid w:val="00F831CB"/>
    <w:rsid w:val="00F8425D"/>
    <w:rsid w:val="00F848A3"/>
    <w:rsid w:val="00F84ACF"/>
    <w:rsid w:val="00F85742"/>
    <w:rsid w:val="00F85BF8"/>
    <w:rsid w:val="00F871CE"/>
    <w:rsid w:val="00F87802"/>
    <w:rsid w:val="00F92C0A"/>
    <w:rsid w:val="00F934DD"/>
    <w:rsid w:val="00F9415B"/>
    <w:rsid w:val="00F946BF"/>
    <w:rsid w:val="00FA1252"/>
    <w:rsid w:val="00FA13C2"/>
    <w:rsid w:val="00FA45B1"/>
    <w:rsid w:val="00FA5699"/>
    <w:rsid w:val="00FA5CBD"/>
    <w:rsid w:val="00FA7F91"/>
    <w:rsid w:val="00FB121C"/>
    <w:rsid w:val="00FB19E8"/>
    <w:rsid w:val="00FB1CDD"/>
    <w:rsid w:val="00FB25F2"/>
    <w:rsid w:val="00FB2C2F"/>
    <w:rsid w:val="00FB2EDE"/>
    <w:rsid w:val="00FB305C"/>
    <w:rsid w:val="00FB3B2B"/>
    <w:rsid w:val="00FB5E13"/>
    <w:rsid w:val="00FB5F51"/>
    <w:rsid w:val="00FC15E8"/>
    <w:rsid w:val="00FC2E3D"/>
    <w:rsid w:val="00FC3BDE"/>
    <w:rsid w:val="00FC574C"/>
    <w:rsid w:val="00FC7082"/>
    <w:rsid w:val="00FD1DBE"/>
    <w:rsid w:val="00FD211C"/>
    <w:rsid w:val="00FD25A7"/>
    <w:rsid w:val="00FD27B6"/>
    <w:rsid w:val="00FD3453"/>
    <w:rsid w:val="00FD3689"/>
    <w:rsid w:val="00FD3F40"/>
    <w:rsid w:val="00FD42A3"/>
    <w:rsid w:val="00FD6645"/>
    <w:rsid w:val="00FD7468"/>
    <w:rsid w:val="00FD7CE0"/>
    <w:rsid w:val="00FE0B3B"/>
    <w:rsid w:val="00FE1BE2"/>
    <w:rsid w:val="00FE5A9A"/>
    <w:rsid w:val="00FE730A"/>
    <w:rsid w:val="00FF1DD7"/>
    <w:rsid w:val="00FF4453"/>
    <w:rsid w:val="00FF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E298E"/>
  <w15:docId w15:val="{E5C98CF3-535A-4C47-B983-B5649B9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4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471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link w:val="FootnotesymbolCarZchn"/>
    <w:uiPriority w:val="99"/>
    <w:qFormat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4711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ZPKTzmpktartykuempunktemZnak">
    <w:name w:val="Z/PKT – zm. pkt artykułem (punktem) Znak"/>
    <w:basedOn w:val="Domylnaczcionkaakapitu"/>
    <w:link w:val="ZPKTzmpktartykuempunktem"/>
    <w:uiPriority w:val="33"/>
    <w:rsid w:val="00B809D7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CF2243"/>
    <w:rPr>
      <w:rFonts w:eastAsiaTheme="minorEastAsia" w:cs="Arial"/>
      <w:bCs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A32B7D"/>
    <w:rPr>
      <w:rFonts w:eastAsiaTheme="minorEastAsia" w:cs="Arial"/>
      <w:szCs w:val="20"/>
    </w:rPr>
  </w:style>
  <w:style w:type="character" w:styleId="Uwydatnienie">
    <w:name w:val="Emphasis"/>
    <w:basedOn w:val="Domylnaczcionkaakapitu"/>
    <w:uiPriority w:val="20"/>
    <w:qFormat/>
    <w:rsid w:val="009E341D"/>
    <w:rPr>
      <w:i/>
      <w:iCs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ny"/>
    <w:link w:val="Odwoanieprzypisudolnego"/>
    <w:uiPriority w:val="99"/>
    <w:rsid w:val="00AA43F5"/>
    <w:pPr>
      <w:widowControl/>
      <w:autoSpaceDE/>
      <w:autoSpaceDN/>
      <w:adjustRightInd/>
      <w:spacing w:after="160" w:line="240" w:lineRule="exact"/>
    </w:pPr>
    <w:rPr>
      <w:rFonts w:ascii="Times" w:eastAsia="Times New Roman" w:hAnsi="Times" w:cs="Times New Roman"/>
      <w:szCs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D9500B-8525-4191-8444-B6EF9D6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1317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Krzysztof Madej</dc:creator>
  <cp:lastModifiedBy>Witkowska Klaudia</cp:lastModifiedBy>
  <cp:revision>3</cp:revision>
  <cp:lastPrinted>2026-08-04T16:52:00Z</cp:lastPrinted>
  <dcterms:created xsi:type="dcterms:W3CDTF">2026-10-14T07:54:00Z</dcterms:created>
  <dcterms:modified xsi:type="dcterms:W3CDTF">2026-10-14T07:56:00Z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