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63097" w14:textId="43347199" w:rsidR="00EC0CD5" w:rsidRPr="00EC0CD5" w:rsidRDefault="00EC0CD5" w:rsidP="00EC0CD5">
      <w:pPr>
        <w:spacing w:line="360" w:lineRule="auto"/>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PROJEKT</w:t>
      </w:r>
    </w:p>
    <w:p w14:paraId="1982DD83" w14:textId="77777777" w:rsidR="00EC0CD5" w:rsidRDefault="00EC0CD5" w:rsidP="00EC0CD5">
      <w:pPr>
        <w:spacing w:line="360" w:lineRule="auto"/>
        <w:jc w:val="center"/>
        <w:rPr>
          <w:rFonts w:ascii="Times New Roman" w:eastAsia="Times New Roman" w:hAnsi="Times New Roman" w:cs="Times New Roman"/>
          <w:sz w:val="24"/>
          <w:szCs w:val="24"/>
        </w:rPr>
      </w:pPr>
    </w:p>
    <w:p w14:paraId="4C789719" w14:textId="77777777" w:rsidR="00EC0CD5" w:rsidRDefault="00EC0CD5" w:rsidP="00EC0CD5">
      <w:pPr>
        <w:spacing w:line="360" w:lineRule="auto"/>
        <w:jc w:val="center"/>
        <w:rPr>
          <w:rFonts w:ascii="Times New Roman" w:eastAsia="Times New Roman" w:hAnsi="Times New Roman" w:cs="Times New Roman"/>
          <w:b/>
          <w:sz w:val="24"/>
          <w:szCs w:val="24"/>
        </w:rPr>
      </w:pPr>
      <w:bookmarkStart w:id="0" w:name="_Hlk161405498"/>
      <w:r>
        <w:rPr>
          <w:rFonts w:ascii="Times New Roman" w:eastAsia="Times New Roman" w:hAnsi="Times New Roman" w:cs="Times New Roman"/>
          <w:b/>
          <w:sz w:val="24"/>
          <w:szCs w:val="24"/>
        </w:rPr>
        <w:t>USTAWA</w:t>
      </w:r>
    </w:p>
    <w:bookmarkEnd w:id="0"/>
    <w:p w14:paraId="49496FE0" w14:textId="02F38EB5" w:rsidR="00EC0CD5" w:rsidRDefault="00EC0CD5" w:rsidP="00EC0CD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z dnia</w:t>
      </w:r>
      <w:r w:rsidR="00A7152E">
        <w:rPr>
          <w:rFonts w:ascii="Times New Roman" w:eastAsia="Times New Roman" w:hAnsi="Times New Roman" w:cs="Times New Roman"/>
          <w:sz w:val="24"/>
          <w:szCs w:val="24"/>
        </w:rPr>
        <w:t xml:space="preserve"> ...</w:t>
      </w:r>
    </w:p>
    <w:p w14:paraId="2155BD64" w14:textId="77777777" w:rsidR="00EC0CD5" w:rsidRDefault="00EC0CD5" w:rsidP="00EC0CD5">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 zmianie ustawy o podatku dochodowym od osób fizycznych</w:t>
      </w:r>
    </w:p>
    <w:p w14:paraId="714F7712" w14:textId="77777777" w:rsidR="00EC0CD5" w:rsidRDefault="00EC0CD5" w:rsidP="00EC0CD5">
      <w:pPr>
        <w:spacing w:line="360" w:lineRule="auto"/>
        <w:jc w:val="both"/>
        <w:rPr>
          <w:rFonts w:ascii="Times New Roman" w:eastAsia="Times New Roman" w:hAnsi="Times New Roman" w:cs="Times New Roman"/>
          <w:b/>
          <w:sz w:val="24"/>
          <w:szCs w:val="24"/>
        </w:rPr>
      </w:pPr>
    </w:p>
    <w:p w14:paraId="1097F443" w14:textId="77777777" w:rsidR="00EC0CD5" w:rsidRDefault="00EC0CD5" w:rsidP="00EC0CD5">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 1</w:t>
      </w:r>
    </w:p>
    <w:p w14:paraId="091F405A" w14:textId="523853E2" w:rsidR="00A7152E" w:rsidRDefault="0009741E" w:rsidP="00A7152E">
      <w:pPr>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 ustawie z dnia z dnia 26 lipca 1991 r. o podatku dochodowym od osób fizycznych (t.j. Dz. U. z 2022 r. poz. 2647 z późn.zm.)</w:t>
      </w:r>
      <w:r w:rsidR="00A7152E">
        <w:rPr>
          <w:rFonts w:ascii="Times New Roman" w:eastAsia="Times New Roman" w:hAnsi="Times New Roman" w:cs="Times New Roman"/>
          <w:sz w:val="24"/>
          <w:szCs w:val="24"/>
        </w:rPr>
        <w:t xml:space="preserve">w </w:t>
      </w:r>
      <w:r>
        <w:rPr>
          <w:rFonts w:ascii="Times New Roman" w:eastAsia="Times New Roman" w:hAnsi="Times New Roman" w:cs="Times New Roman"/>
          <w:sz w:val="24"/>
          <w:szCs w:val="24"/>
        </w:rPr>
        <w:t xml:space="preserve"> art. 27 </w:t>
      </w:r>
      <w:r w:rsidR="00A7152E">
        <w:rPr>
          <w:rFonts w:ascii="Times New Roman" w:eastAsia="Times New Roman" w:hAnsi="Times New Roman" w:cs="Times New Roman"/>
          <w:sz w:val="24"/>
          <w:szCs w:val="24"/>
        </w:rPr>
        <w:t xml:space="preserve">wprowadza się następujące zmiany: </w:t>
      </w:r>
    </w:p>
    <w:p w14:paraId="281E9395" w14:textId="2DD09997" w:rsidR="0009741E" w:rsidRDefault="00A7152E" w:rsidP="00A7152E">
      <w:pPr>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09741E">
        <w:rPr>
          <w:rFonts w:ascii="Times New Roman" w:eastAsia="Times New Roman" w:hAnsi="Times New Roman" w:cs="Times New Roman"/>
          <w:sz w:val="24"/>
          <w:szCs w:val="24"/>
        </w:rPr>
        <w:t>ust. 1 otrzymuje brzmienie:</w:t>
      </w:r>
    </w:p>
    <w:p w14:paraId="3810725A" w14:textId="2A7B1BC5" w:rsidR="0009741E" w:rsidRDefault="00A7152E" w:rsidP="00A7152E">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09741E">
        <w:rPr>
          <w:rFonts w:ascii="Times New Roman" w:eastAsia="Times New Roman" w:hAnsi="Times New Roman" w:cs="Times New Roman"/>
          <w:sz w:val="24"/>
          <w:szCs w:val="24"/>
        </w:rPr>
        <w:t>1. Podatek dochodowy, z zastrzeżeniem art. 29-30f, pobiera się od podstawy jego obliczenia według następującej skali podatkowej:</w:t>
      </w:r>
    </w:p>
    <w:p w14:paraId="69FFBB83" w14:textId="77777777" w:rsidR="0009741E" w:rsidRDefault="0009741E" w:rsidP="0009741E">
      <w:pPr>
        <w:spacing w:line="360" w:lineRule="auto"/>
        <w:jc w:val="both"/>
        <w:rPr>
          <w:rFonts w:ascii="Times New Roman" w:eastAsia="Times New Roman" w:hAnsi="Times New Roman" w:cs="Times New Roman"/>
          <w:sz w:val="24"/>
          <w:szCs w:val="24"/>
        </w:rPr>
      </w:pPr>
    </w:p>
    <w:tbl>
      <w:tblPr>
        <w:tblW w:w="9015" w:type="dxa"/>
        <w:tblBorders>
          <w:top w:val="nil"/>
          <w:left w:val="nil"/>
          <w:bottom w:val="nil"/>
          <w:right w:val="nil"/>
          <w:insideH w:val="nil"/>
          <w:insideV w:val="nil"/>
        </w:tblBorders>
        <w:tblLayout w:type="fixed"/>
        <w:tblLook w:val="0600" w:firstRow="0" w:lastRow="0" w:firstColumn="0" w:lastColumn="0" w:noHBand="1" w:noVBand="1"/>
      </w:tblPr>
      <w:tblGrid>
        <w:gridCol w:w="1995"/>
        <w:gridCol w:w="2145"/>
        <w:gridCol w:w="4875"/>
      </w:tblGrid>
      <w:tr w:rsidR="0009741E" w14:paraId="768908B0" w14:textId="77777777" w:rsidTr="00095E41">
        <w:trPr>
          <w:trHeight w:val="435"/>
        </w:trPr>
        <w:tc>
          <w:tcPr>
            <w:tcW w:w="4140" w:type="dxa"/>
            <w:gridSpan w:val="2"/>
            <w:tcBorders>
              <w:top w:val="single" w:sz="8" w:space="0" w:color="000000"/>
              <w:left w:val="single" w:sz="8" w:space="0" w:color="000000"/>
              <w:bottom w:val="single" w:sz="8" w:space="0" w:color="000000"/>
              <w:right w:val="single" w:sz="8" w:space="0" w:color="000000"/>
            </w:tcBorders>
            <w:tcMar>
              <w:top w:w="80" w:type="dxa"/>
              <w:left w:w="160" w:type="dxa"/>
              <w:bottom w:w="80" w:type="dxa"/>
              <w:right w:w="80" w:type="dxa"/>
            </w:tcMar>
          </w:tcPr>
          <w:p w14:paraId="12C9821C" w14:textId="77777777" w:rsidR="0009741E" w:rsidRDefault="0009741E" w:rsidP="00095E4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Podstawa obliczenia podatku w złotych</w:t>
            </w:r>
          </w:p>
        </w:tc>
        <w:tc>
          <w:tcPr>
            <w:tcW w:w="4875"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160" w:type="dxa"/>
              <w:bottom w:w="80" w:type="dxa"/>
              <w:right w:w="80" w:type="dxa"/>
            </w:tcMar>
          </w:tcPr>
          <w:p w14:paraId="579126C4" w14:textId="77777777" w:rsidR="0009741E" w:rsidRDefault="0009741E" w:rsidP="00095E4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Podatek wynosi</w:t>
            </w:r>
          </w:p>
        </w:tc>
      </w:tr>
      <w:tr w:rsidR="0009741E" w14:paraId="08BB14CB" w14:textId="77777777" w:rsidTr="00095E41">
        <w:trPr>
          <w:trHeight w:val="435"/>
        </w:trPr>
        <w:tc>
          <w:tcPr>
            <w:tcW w:w="1995" w:type="dxa"/>
            <w:tcBorders>
              <w:top w:val="single" w:sz="8" w:space="0" w:color="000000"/>
              <w:left w:val="single" w:sz="8" w:space="0" w:color="000000"/>
              <w:bottom w:val="single" w:sz="8" w:space="0" w:color="000000"/>
              <w:right w:val="single" w:sz="8" w:space="0" w:color="000000"/>
            </w:tcBorders>
            <w:shd w:val="clear" w:color="auto" w:fill="auto"/>
            <w:tcMar>
              <w:top w:w="80" w:type="dxa"/>
              <w:left w:w="160" w:type="dxa"/>
              <w:bottom w:w="80" w:type="dxa"/>
              <w:right w:w="80" w:type="dxa"/>
            </w:tcMar>
          </w:tcPr>
          <w:p w14:paraId="021F3FD4" w14:textId="77777777" w:rsidR="0009741E" w:rsidRDefault="0009741E" w:rsidP="00095E4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ponad</w:t>
            </w:r>
          </w:p>
        </w:tc>
        <w:tc>
          <w:tcPr>
            <w:tcW w:w="2145" w:type="dxa"/>
            <w:tcBorders>
              <w:top w:val="single" w:sz="8" w:space="0" w:color="000000"/>
              <w:left w:val="single" w:sz="8" w:space="0" w:color="000000"/>
              <w:bottom w:val="single" w:sz="8" w:space="0" w:color="000000"/>
              <w:right w:val="single" w:sz="8" w:space="0" w:color="000000"/>
            </w:tcBorders>
            <w:shd w:val="clear" w:color="auto" w:fill="auto"/>
            <w:tcMar>
              <w:top w:w="80" w:type="dxa"/>
              <w:left w:w="160" w:type="dxa"/>
              <w:bottom w:w="80" w:type="dxa"/>
              <w:right w:w="80" w:type="dxa"/>
            </w:tcMar>
          </w:tcPr>
          <w:p w14:paraId="03E04D1C" w14:textId="77777777" w:rsidR="0009741E" w:rsidRDefault="0009741E" w:rsidP="00095E4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w:t>
            </w:r>
          </w:p>
        </w:tc>
        <w:tc>
          <w:tcPr>
            <w:tcW w:w="487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FADB47" w14:textId="77777777" w:rsidR="0009741E" w:rsidRDefault="0009741E" w:rsidP="00095E41">
            <w:pPr>
              <w:spacing w:line="360" w:lineRule="auto"/>
              <w:jc w:val="both"/>
              <w:rPr>
                <w:rFonts w:ascii="Times New Roman" w:eastAsia="Times New Roman" w:hAnsi="Times New Roman" w:cs="Times New Roman"/>
                <w:color w:val="333333"/>
                <w:sz w:val="18"/>
                <w:szCs w:val="18"/>
              </w:rPr>
            </w:pPr>
          </w:p>
        </w:tc>
      </w:tr>
      <w:tr w:rsidR="0009741E" w14:paraId="18C9C72F" w14:textId="77777777" w:rsidTr="00095E41">
        <w:trPr>
          <w:trHeight w:val="435"/>
        </w:trPr>
        <w:tc>
          <w:tcPr>
            <w:tcW w:w="1995" w:type="dxa"/>
            <w:tcBorders>
              <w:top w:val="single" w:sz="8" w:space="0" w:color="000000"/>
              <w:left w:val="single" w:sz="8" w:space="0" w:color="000000"/>
              <w:bottom w:val="single" w:sz="8" w:space="0" w:color="000000"/>
              <w:right w:val="single" w:sz="8" w:space="0" w:color="000000"/>
            </w:tcBorders>
            <w:shd w:val="clear" w:color="auto" w:fill="auto"/>
            <w:tcMar>
              <w:top w:w="80" w:type="dxa"/>
              <w:left w:w="160" w:type="dxa"/>
              <w:bottom w:w="80" w:type="dxa"/>
              <w:right w:w="80" w:type="dxa"/>
            </w:tcMar>
          </w:tcPr>
          <w:p w14:paraId="0C196A6B" w14:textId="77777777" w:rsidR="0009741E" w:rsidRDefault="0009741E" w:rsidP="00095E41">
            <w:pPr>
              <w:spacing w:line="360" w:lineRule="auto"/>
              <w:jc w:val="both"/>
              <w:rPr>
                <w:rFonts w:ascii="Times New Roman" w:eastAsia="Times New Roman" w:hAnsi="Times New Roman" w:cs="Times New Roman"/>
                <w:sz w:val="24"/>
                <w:szCs w:val="24"/>
              </w:rPr>
            </w:pPr>
          </w:p>
        </w:tc>
        <w:tc>
          <w:tcPr>
            <w:tcW w:w="2145" w:type="dxa"/>
            <w:tcBorders>
              <w:top w:val="single" w:sz="8" w:space="0" w:color="000000"/>
              <w:left w:val="single" w:sz="8" w:space="0" w:color="000000"/>
              <w:bottom w:val="single" w:sz="8" w:space="0" w:color="000000"/>
              <w:right w:val="single" w:sz="8" w:space="0" w:color="000000"/>
            </w:tcBorders>
            <w:shd w:val="clear" w:color="auto" w:fill="auto"/>
            <w:tcMar>
              <w:top w:w="80" w:type="dxa"/>
              <w:left w:w="160" w:type="dxa"/>
              <w:bottom w:w="80" w:type="dxa"/>
              <w:right w:w="80" w:type="dxa"/>
            </w:tcMar>
          </w:tcPr>
          <w:p w14:paraId="461446F7" w14:textId="77777777" w:rsidR="0009741E" w:rsidRDefault="0009741E" w:rsidP="00095E4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120 000</w:t>
            </w:r>
          </w:p>
        </w:tc>
        <w:tc>
          <w:tcPr>
            <w:tcW w:w="4875" w:type="dxa"/>
            <w:tcBorders>
              <w:top w:val="single" w:sz="8" w:space="0" w:color="000000"/>
              <w:left w:val="single" w:sz="8" w:space="0" w:color="000000"/>
              <w:bottom w:val="single" w:sz="8" w:space="0" w:color="000000"/>
              <w:right w:val="single" w:sz="8" w:space="0" w:color="000000"/>
            </w:tcBorders>
            <w:shd w:val="clear" w:color="auto" w:fill="auto"/>
            <w:tcMar>
              <w:top w:w="80" w:type="dxa"/>
              <w:left w:w="160" w:type="dxa"/>
              <w:bottom w:w="80" w:type="dxa"/>
              <w:right w:w="80" w:type="dxa"/>
            </w:tcMar>
          </w:tcPr>
          <w:p w14:paraId="12F33F22" w14:textId="77777777" w:rsidR="0009741E" w:rsidRDefault="0009741E" w:rsidP="00095E4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r>
              <w:rPr>
                <w:rFonts w:ascii="Times New Roman" w:eastAsia="Times New Roman" w:hAnsi="Times New Roman" w:cs="Times New Roman"/>
                <w:color w:val="333333"/>
                <w:sz w:val="24"/>
                <w:szCs w:val="24"/>
                <w:highlight w:val="white"/>
              </w:rPr>
              <w:t xml:space="preserve">minus </w:t>
            </w:r>
            <w:r>
              <w:rPr>
                <w:rFonts w:ascii="Times New Roman" w:eastAsia="Times New Roman" w:hAnsi="Times New Roman" w:cs="Times New Roman"/>
                <w:color w:val="333333"/>
                <w:sz w:val="24"/>
                <w:szCs w:val="24"/>
              </w:rPr>
              <w:t>kwota zmniejszająca</w:t>
            </w:r>
            <w:r>
              <w:rPr>
                <w:rFonts w:ascii="Times New Roman" w:eastAsia="Times New Roman" w:hAnsi="Times New Roman" w:cs="Times New Roman"/>
                <w:color w:val="333333"/>
                <w:sz w:val="24"/>
                <w:szCs w:val="24"/>
                <w:highlight w:val="white"/>
              </w:rPr>
              <w:t xml:space="preserve"> podatek </w:t>
            </w:r>
          </w:p>
        </w:tc>
      </w:tr>
      <w:tr w:rsidR="0009741E" w14:paraId="1104C0B4" w14:textId="77777777" w:rsidTr="00095E41">
        <w:trPr>
          <w:trHeight w:val="435"/>
        </w:trPr>
        <w:tc>
          <w:tcPr>
            <w:tcW w:w="1995" w:type="dxa"/>
            <w:tcBorders>
              <w:top w:val="single" w:sz="8" w:space="0" w:color="000000"/>
              <w:left w:val="single" w:sz="8" w:space="0" w:color="000000"/>
              <w:bottom w:val="single" w:sz="8" w:space="0" w:color="000000"/>
              <w:right w:val="single" w:sz="8" w:space="0" w:color="000000"/>
            </w:tcBorders>
            <w:shd w:val="clear" w:color="auto" w:fill="auto"/>
            <w:tcMar>
              <w:top w:w="80" w:type="dxa"/>
              <w:left w:w="160" w:type="dxa"/>
              <w:bottom w:w="80" w:type="dxa"/>
              <w:right w:w="80" w:type="dxa"/>
            </w:tcMar>
          </w:tcPr>
          <w:p w14:paraId="0FEB02A9" w14:textId="77777777" w:rsidR="0009741E" w:rsidRDefault="0009741E" w:rsidP="00095E4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120 000</w:t>
            </w:r>
          </w:p>
        </w:tc>
        <w:tc>
          <w:tcPr>
            <w:tcW w:w="2145" w:type="dxa"/>
            <w:tcBorders>
              <w:top w:val="single" w:sz="8" w:space="0" w:color="000000"/>
              <w:left w:val="single" w:sz="8" w:space="0" w:color="000000"/>
              <w:bottom w:val="single" w:sz="8" w:space="0" w:color="000000"/>
              <w:right w:val="single" w:sz="8" w:space="0" w:color="000000"/>
            </w:tcBorders>
            <w:shd w:val="clear" w:color="auto" w:fill="auto"/>
            <w:tcMar>
              <w:top w:w="80" w:type="dxa"/>
              <w:left w:w="160" w:type="dxa"/>
              <w:bottom w:w="80" w:type="dxa"/>
              <w:right w:w="80" w:type="dxa"/>
            </w:tcMar>
          </w:tcPr>
          <w:p w14:paraId="45D1C3CB" w14:textId="77777777" w:rsidR="0009741E" w:rsidRDefault="0009741E" w:rsidP="00095E41">
            <w:pPr>
              <w:spacing w:line="360" w:lineRule="auto"/>
              <w:jc w:val="both"/>
              <w:rPr>
                <w:rFonts w:ascii="Times New Roman" w:eastAsia="Times New Roman" w:hAnsi="Times New Roman" w:cs="Times New Roman"/>
                <w:sz w:val="24"/>
                <w:szCs w:val="24"/>
              </w:rPr>
            </w:pPr>
          </w:p>
        </w:tc>
        <w:tc>
          <w:tcPr>
            <w:tcW w:w="4875" w:type="dxa"/>
            <w:tcBorders>
              <w:top w:val="single" w:sz="8" w:space="0" w:color="000000"/>
              <w:left w:val="single" w:sz="8" w:space="0" w:color="000000"/>
              <w:bottom w:val="single" w:sz="8" w:space="0" w:color="000000"/>
              <w:right w:val="single" w:sz="8" w:space="0" w:color="000000"/>
            </w:tcBorders>
            <w:shd w:val="clear" w:color="auto" w:fill="auto"/>
            <w:tcMar>
              <w:top w:w="80" w:type="dxa"/>
              <w:left w:w="160" w:type="dxa"/>
              <w:bottom w:w="80" w:type="dxa"/>
              <w:right w:w="80" w:type="dxa"/>
            </w:tcMar>
          </w:tcPr>
          <w:p w14:paraId="1B5117A4" w14:textId="77777777" w:rsidR="0009741E" w:rsidRDefault="0009741E" w:rsidP="00095E4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do 120 000 zł </w:t>
            </w:r>
            <w:r>
              <w:rPr>
                <w:rFonts w:ascii="Times New Roman" w:eastAsia="Times New Roman" w:hAnsi="Times New Roman" w:cs="Times New Roman"/>
                <w:color w:val="333333"/>
                <w:sz w:val="24"/>
                <w:szCs w:val="24"/>
                <w:highlight w:val="white"/>
              </w:rPr>
              <w:t xml:space="preserve">minus </w:t>
            </w:r>
            <w:r>
              <w:rPr>
                <w:rFonts w:ascii="Times New Roman" w:eastAsia="Times New Roman" w:hAnsi="Times New Roman" w:cs="Times New Roman"/>
                <w:color w:val="333333"/>
                <w:sz w:val="24"/>
                <w:szCs w:val="24"/>
              </w:rPr>
              <w:t>kwota zmniejszająca</w:t>
            </w:r>
            <w:r>
              <w:rPr>
                <w:rFonts w:ascii="Times New Roman" w:eastAsia="Times New Roman" w:hAnsi="Times New Roman" w:cs="Times New Roman"/>
                <w:color w:val="333333"/>
                <w:sz w:val="24"/>
                <w:szCs w:val="24"/>
                <w:highlight w:val="white"/>
              </w:rPr>
              <w:t xml:space="preserve"> podatek </w:t>
            </w:r>
            <w:r>
              <w:rPr>
                <w:rFonts w:ascii="Times New Roman" w:eastAsia="Times New Roman" w:hAnsi="Times New Roman" w:cs="Times New Roman"/>
                <w:sz w:val="24"/>
                <w:szCs w:val="24"/>
              </w:rPr>
              <w:t>+ 32% nadwyżki ponad 120 000 zł</w:t>
            </w:r>
          </w:p>
        </w:tc>
      </w:tr>
    </w:tbl>
    <w:p w14:paraId="7E616FDC" w14:textId="77777777" w:rsidR="0009741E" w:rsidRDefault="0009741E" w:rsidP="0009741E">
      <w:pPr>
        <w:spacing w:line="360" w:lineRule="auto"/>
        <w:rPr>
          <w:rFonts w:ascii="Times New Roman" w:eastAsia="Times New Roman" w:hAnsi="Times New Roman" w:cs="Times New Roman"/>
          <w:sz w:val="24"/>
          <w:szCs w:val="24"/>
        </w:rPr>
      </w:pPr>
    </w:p>
    <w:p w14:paraId="7B0D4D25" w14:textId="25A606BF" w:rsidR="0009741E" w:rsidRDefault="00A7152E" w:rsidP="00A7152E">
      <w:pPr>
        <w:spacing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09741E">
        <w:rPr>
          <w:rFonts w:ascii="Times New Roman" w:eastAsia="Times New Roman" w:hAnsi="Times New Roman" w:cs="Times New Roman"/>
          <w:sz w:val="24"/>
          <w:szCs w:val="24"/>
        </w:rPr>
        <w:t>) po ust. 1</w:t>
      </w:r>
      <w:r w:rsidR="00AC209D">
        <w:rPr>
          <w:rFonts w:ascii="Times New Roman" w:eastAsia="Times New Roman" w:hAnsi="Times New Roman" w:cs="Times New Roman"/>
          <w:sz w:val="24"/>
          <w:szCs w:val="24"/>
        </w:rPr>
        <w:t>a</w:t>
      </w:r>
      <w:r w:rsidR="0009741E">
        <w:rPr>
          <w:rFonts w:ascii="Times New Roman" w:eastAsia="Times New Roman" w:hAnsi="Times New Roman" w:cs="Times New Roman"/>
          <w:sz w:val="24"/>
          <w:szCs w:val="24"/>
        </w:rPr>
        <w:t xml:space="preserve"> dodaje się ust. 1aa w brzmieniu: </w:t>
      </w:r>
    </w:p>
    <w:p w14:paraId="239A1B54" w14:textId="77777777" w:rsidR="00A7152E" w:rsidRDefault="00A7152E" w:rsidP="00A7152E">
      <w:pPr>
        <w:spacing w:line="360" w:lineRule="auto"/>
        <w:ind w:firstLine="708"/>
        <w:jc w:val="both"/>
        <w:rPr>
          <w:rFonts w:ascii="Times New Roman" w:eastAsia="Times New Roman" w:hAnsi="Times New Roman" w:cs="Times New Roman"/>
          <w:sz w:val="24"/>
          <w:szCs w:val="24"/>
          <w:highlight w:val="white"/>
        </w:rPr>
      </w:pPr>
    </w:p>
    <w:p w14:paraId="04B0145E" w14:textId="03C8E0CC" w:rsidR="00EC0CD5" w:rsidRDefault="00A7152E" w:rsidP="00A7152E">
      <w:pPr>
        <w:spacing w:line="360" w:lineRule="auto"/>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r w:rsidR="0009741E">
        <w:rPr>
          <w:rFonts w:ascii="Times New Roman" w:eastAsia="Times New Roman" w:hAnsi="Times New Roman" w:cs="Times New Roman"/>
          <w:sz w:val="24"/>
          <w:szCs w:val="24"/>
          <w:highlight w:val="white"/>
        </w:rPr>
        <w:t xml:space="preserve">1aa. Wysokość </w:t>
      </w:r>
      <w:r w:rsidR="0009741E">
        <w:rPr>
          <w:rFonts w:ascii="Times New Roman" w:eastAsia="Times New Roman" w:hAnsi="Times New Roman" w:cs="Times New Roman"/>
          <w:sz w:val="24"/>
          <w:szCs w:val="24"/>
        </w:rPr>
        <w:t>kwoty zmniejszającej</w:t>
      </w:r>
      <w:r w:rsidR="0009741E">
        <w:rPr>
          <w:rFonts w:ascii="Times New Roman" w:eastAsia="Times New Roman" w:hAnsi="Times New Roman" w:cs="Times New Roman"/>
          <w:sz w:val="24"/>
          <w:szCs w:val="24"/>
          <w:highlight w:val="white"/>
        </w:rPr>
        <w:t xml:space="preserve"> podatek o której mowa w pierwszym przedziale skali podatkowej, o której mowa w ust. 1, zwanej dalej </w:t>
      </w:r>
      <w:r w:rsidR="00AC209D">
        <w:rPr>
          <w:rFonts w:ascii="Times New Roman" w:eastAsia="Times New Roman" w:hAnsi="Times New Roman" w:cs="Times New Roman"/>
          <w:sz w:val="24"/>
          <w:szCs w:val="24"/>
        </w:rPr>
        <w:t>„</w:t>
      </w:r>
      <w:r w:rsidR="0009741E">
        <w:rPr>
          <w:rFonts w:ascii="Times New Roman" w:eastAsia="Times New Roman" w:hAnsi="Times New Roman" w:cs="Times New Roman"/>
          <w:sz w:val="24"/>
          <w:szCs w:val="24"/>
        </w:rPr>
        <w:t>kwotą zmniejszającą</w:t>
      </w:r>
      <w:r w:rsidR="0009741E">
        <w:rPr>
          <w:rFonts w:ascii="Times New Roman" w:eastAsia="Times New Roman" w:hAnsi="Times New Roman" w:cs="Times New Roman"/>
          <w:sz w:val="24"/>
          <w:szCs w:val="24"/>
          <w:highlight w:val="white"/>
        </w:rPr>
        <w:t xml:space="preserve"> podatek</w:t>
      </w:r>
      <w:r w:rsidR="00AC209D">
        <w:rPr>
          <w:rFonts w:ascii="Times New Roman" w:eastAsia="Times New Roman" w:hAnsi="Times New Roman" w:cs="Times New Roman"/>
          <w:sz w:val="24"/>
          <w:szCs w:val="24"/>
          <w:highlight w:val="white"/>
        </w:rPr>
        <w:t>”</w:t>
      </w:r>
      <w:r w:rsidR="0009741E">
        <w:rPr>
          <w:rFonts w:ascii="Times New Roman" w:eastAsia="Times New Roman" w:hAnsi="Times New Roman" w:cs="Times New Roman"/>
          <w:sz w:val="24"/>
          <w:szCs w:val="24"/>
          <w:highlight w:val="white"/>
        </w:rPr>
        <w:t xml:space="preserve">, wynosi 12% kwoty wynoszącej dwunastokrotność </w:t>
      </w:r>
      <w:r w:rsidR="0009741E">
        <w:rPr>
          <w:rFonts w:ascii="Times New Roman" w:eastAsia="Times New Roman" w:hAnsi="Times New Roman" w:cs="Times New Roman"/>
          <w:sz w:val="24"/>
          <w:szCs w:val="24"/>
        </w:rPr>
        <w:t xml:space="preserve">kwoty minimalnego wynagrodzenia za pracę ustalanego </w:t>
      </w:r>
      <w:r w:rsidR="00EC0CD5">
        <w:rPr>
          <w:rFonts w:ascii="Times New Roman" w:eastAsia="Times New Roman" w:hAnsi="Times New Roman" w:cs="Times New Roman"/>
          <w:sz w:val="24"/>
          <w:szCs w:val="24"/>
        </w:rPr>
        <w:t>w trybie przepisów art. 2 i art. 4 przepisów ustawy z dnia 10 października 2002 r. o minimalnym wynagrodzeniu, ale nie mniejszej niż 7 200 zł</w:t>
      </w:r>
      <w:r w:rsidR="00EC0CD5">
        <w:rPr>
          <w:rFonts w:ascii="Times New Roman" w:eastAsia="Times New Roman" w:hAnsi="Times New Roman" w:cs="Times New Roman"/>
          <w:sz w:val="24"/>
          <w:szCs w:val="24"/>
          <w:highlight w:val="white"/>
        </w:rPr>
        <w:t>;”</w:t>
      </w:r>
    </w:p>
    <w:p w14:paraId="17C404CC" w14:textId="77777777" w:rsidR="00A7152E" w:rsidRDefault="00A7152E" w:rsidP="00EC0CD5">
      <w:pPr>
        <w:spacing w:line="360" w:lineRule="auto"/>
        <w:jc w:val="center"/>
        <w:rPr>
          <w:rFonts w:ascii="Times New Roman" w:eastAsia="Times New Roman" w:hAnsi="Times New Roman" w:cs="Times New Roman"/>
          <w:b/>
          <w:sz w:val="24"/>
          <w:szCs w:val="24"/>
        </w:rPr>
      </w:pPr>
    </w:p>
    <w:p w14:paraId="4105EBE6" w14:textId="77777777" w:rsidR="00A7152E" w:rsidRDefault="00A7152E" w:rsidP="00EC0CD5">
      <w:pPr>
        <w:spacing w:line="360" w:lineRule="auto"/>
        <w:jc w:val="center"/>
        <w:rPr>
          <w:rFonts w:ascii="Times New Roman" w:eastAsia="Times New Roman" w:hAnsi="Times New Roman" w:cs="Times New Roman"/>
          <w:b/>
          <w:sz w:val="24"/>
          <w:szCs w:val="24"/>
        </w:rPr>
      </w:pPr>
    </w:p>
    <w:p w14:paraId="4CC70BBE" w14:textId="55F8B35D" w:rsidR="00EC0CD5" w:rsidRDefault="00EC0CD5" w:rsidP="00EC0CD5">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 2</w:t>
      </w:r>
    </w:p>
    <w:p w14:paraId="0B1A5982" w14:textId="41EA0AB3" w:rsidR="00EC0CD5" w:rsidRDefault="00EC0CD5" w:rsidP="00A7152E">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Ustawa wchodzi w życie z dniem 1 stycznia 202</w:t>
      </w:r>
      <w:r w:rsidR="00A7152E">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roku.</w:t>
      </w:r>
    </w:p>
    <w:p w14:paraId="0CE88FC5" w14:textId="77777777" w:rsidR="00EC0CD5" w:rsidRDefault="00EC0CD5" w:rsidP="00EC0CD5">
      <w:pPr>
        <w:spacing w:line="360" w:lineRule="auto"/>
        <w:jc w:val="both"/>
        <w:rPr>
          <w:rFonts w:ascii="Times New Roman" w:eastAsia="Times New Roman" w:hAnsi="Times New Roman" w:cs="Times New Roman"/>
          <w:sz w:val="24"/>
          <w:szCs w:val="24"/>
        </w:rPr>
      </w:pPr>
    </w:p>
    <w:p w14:paraId="2B2C5ED1" w14:textId="60544B93" w:rsidR="00A7152E" w:rsidRDefault="00A7152E" w:rsidP="00A7152E">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UZASADNIENIE</w:t>
      </w:r>
    </w:p>
    <w:p w14:paraId="09104AB3" w14:textId="77777777" w:rsidR="00A7152E" w:rsidRDefault="00A7152E" w:rsidP="00EC0CD5">
      <w:pPr>
        <w:jc w:val="center"/>
        <w:rPr>
          <w:sz w:val="24"/>
          <w:szCs w:val="24"/>
        </w:rPr>
      </w:pPr>
    </w:p>
    <w:p w14:paraId="6D1A02E5" w14:textId="77777777" w:rsidR="004C1717" w:rsidRPr="004C1717" w:rsidRDefault="004C1717" w:rsidP="00EC0CD5">
      <w:pPr>
        <w:jc w:val="center"/>
        <w:rPr>
          <w:sz w:val="24"/>
          <w:szCs w:val="24"/>
        </w:rPr>
      </w:pPr>
    </w:p>
    <w:p w14:paraId="1FF38238" w14:textId="5664DF9C" w:rsidR="00F172A4" w:rsidRDefault="00EC0CD5" w:rsidP="00F172A4">
      <w:pPr>
        <w:widowControl w:val="0"/>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Projekt </w:t>
      </w:r>
      <w:r w:rsidR="004C1717">
        <w:rPr>
          <w:rFonts w:ascii="Times New Roman" w:eastAsia="Times New Roman" w:hAnsi="Times New Roman" w:cs="Times New Roman"/>
          <w:sz w:val="24"/>
          <w:szCs w:val="24"/>
        </w:rPr>
        <w:t xml:space="preserve">ustawy </w:t>
      </w:r>
      <w:r>
        <w:rPr>
          <w:rFonts w:ascii="Times New Roman" w:eastAsia="Times New Roman" w:hAnsi="Times New Roman" w:cs="Times New Roman"/>
          <w:sz w:val="24"/>
          <w:szCs w:val="24"/>
        </w:rPr>
        <w:t>jest kontynuacją zmniejszenia obciążeń podatkowych dla obywateli wprowadzonych w życie przez rząd Prawa i Sprawiedliwości.</w:t>
      </w:r>
      <w:r w:rsidR="00F172A4">
        <w:rPr>
          <w:rFonts w:ascii="Times New Roman" w:eastAsia="Times New Roman" w:hAnsi="Times New Roman" w:cs="Times New Roman"/>
          <w:sz w:val="24"/>
          <w:szCs w:val="24"/>
        </w:rPr>
        <w:t xml:space="preserve"> Przez wiele lat kwota wolna od podatku dla większości obywateli rozliczających PIT wynosiła 3.091 zł. Kwota ta nie była podnoszona od 2009 r. </w:t>
      </w:r>
      <w:r w:rsidR="008A7B32">
        <w:rPr>
          <w:rFonts w:ascii="Times New Roman" w:eastAsia="Times New Roman" w:hAnsi="Times New Roman" w:cs="Times New Roman"/>
          <w:sz w:val="24"/>
          <w:szCs w:val="24"/>
        </w:rPr>
        <w:t>Po zmianach podatkowych wprowadzonych w 2022 roku</w:t>
      </w:r>
      <w:r w:rsidR="00F172A4">
        <w:rPr>
          <w:rFonts w:ascii="Times New Roman" w:eastAsia="Times New Roman" w:hAnsi="Times New Roman" w:cs="Times New Roman"/>
          <w:sz w:val="24"/>
          <w:szCs w:val="24"/>
        </w:rPr>
        <w:t xml:space="preserve"> kwota wolna od podatku wynosi 30 tys. złotych. Próg ten odnosi się do zarobków osiąganych w ujęciu rocznym. Jeśli chodzi o 2023 rok, kwota wolna od podatku dochodowego jest ustalana w następujący sposób:</w:t>
      </w:r>
    </w:p>
    <w:p w14:paraId="785A49B6" w14:textId="77777777" w:rsidR="00A7152E" w:rsidRPr="004C1717" w:rsidRDefault="00A7152E" w:rsidP="00F172A4">
      <w:pPr>
        <w:widowControl w:val="0"/>
        <w:spacing w:line="360" w:lineRule="auto"/>
        <w:ind w:firstLine="709"/>
        <w:jc w:val="both"/>
        <w:rPr>
          <w:rFonts w:ascii="Times New Roman" w:eastAsia="Times New Roman" w:hAnsi="Times New Roman" w:cs="Times New Roman"/>
          <w:sz w:val="24"/>
          <w:szCs w:val="24"/>
        </w:rPr>
      </w:pPr>
    </w:p>
    <w:p w14:paraId="5BD769A5" w14:textId="77777777" w:rsidR="00F172A4" w:rsidRDefault="00F172A4" w:rsidP="00F172A4">
      <w:pPr>
        <w:widowControl w:val="0"/>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dochody roczne na poziomie wynoszącym do 30 000 zł – podatek w wysokości 0 złotych;</w:t>
      </w:r>
    </w:p>
    <w:p w14:paraId="71FCCDD5" w14:textId="77777777" w:rsidR="00F172A4" w:rsidRDefault="00F172A4" w:rsidP="00F172A4">
      <w:pPr>
        <w:widowControl w:val="0"/>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dochody roczne wynoszące co najmniej 30 001 zł i nie wyższe niż 120 000 zł – kwota wolna jest ustalana jako różnica 12 proc. (tyle wynosi podstawowa stawka podatku VAT) minus kwota zmniejszająca podatek, czyli 3600 zł;</w:t>
      </w:r>
    </w:p>
    <w:p w14:paraId="0A715DFE" w14:textId="77777777" w:rsidR="00F172A4" w:rsidRDefault="00F172A4" w:rsidP="00F172A4">
      <w:pPr>
        <w:widowControl w:val="0"/>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roczne dochody przekraczające 120 000 zł – kwota jest wówczas ustalana jako 10 800 zł + 32 proc. z nadwyżki ponad  120 000 zł.</w:t>
      </w:r>
    </w:p>
    <w:p w14:paraId="7A141565" w14:textId="77777777" w:rsidR="00A7152E" w:rsidRPr="004C1717" w:rsidRDefault="00A7152E" w:rsidP="00F172A4">
      <w:pPr>
        <w:spacing w:after="200" w:line="360" w:lineRule="auto"/>
        <w:ind w:firstLine="708"/>
        <w:jc w:val="both"/>
        <w:rPr>
          <w:rFonts w:ascii="Times New Roman" w:eastAsia="Times New Roman" w:hAnsi="Times New Roman" w:cs="Times New Roman"/>
          <w:sz w:val="24"/>
          <w:szCs w:val="24"/>
        </w:rPr>
      </w:pPr>
    </w:p>
    <w:p w14:paraId="5C9B1297" w14:textId="1CE436B9" w:rsidR="00EC0CD5" w:rsidRDefault="00F172A4" w:rsidP="004C1717">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Wprowadzenie zmian proponowanych w niniejszym projekcie spowoduje urealnienie kwoty wolnej. </w:t>
      </w:r>
      <w:r w:rsidR="00EC0CD5">
        <w:rPr>
          <w:rFonts w:ascii="Times New Roman" w:eastAsia="Times New Roman" w:hAnsi="Times New Roman" w:cs="Times New Roman"/>
          <w:sz w:val="24"/>
          <w:szCs w:val="24"/>
        </w:rPr>
        <w:t>Projekt ustawy o zmianie ustawy o podatku dochodowym od osób fizycznych ma na celu podniesienie kwoty wolnej od podatku dla wszystkich do wysokości równej dwunastokrotności minimalnego wynagrodzenia za pracę, ale nie mniejszej niż 60 000 zł. Celem niniejszej zmiany jest zmniejszenie wysokości klina podatkowego, podwyższenie płac netto większości obywateli, oraz ustalenie bardziej sprawiedliwych obciążeń podatkowych poprzez wyrównanie kwoty wolnej dla wszystkich oraz oparcie systemu podatkowego na elementarnej zasadzie prawa podatkowego, tj. zasady zdolności płatniczej.</w:t>
      </w:r>
    </w:p>
    <w:p w14:paraId="0954C70D" w14:textId="77777777" w:rsidR="004C1717" w:rsidRDefault="004C1717" w:rsidP="004C1717">
      <w:pPr>
        <w:spacing w:line="360" w:lineRule="auto"/>
        <w:ind w:firstLine="709"/>
        <w:jc w:val="both"/>
        <w:rPr>
          <w:rFonts w:ascii="Times New Roman" w:eastAsia="Times New Roman" w:hAnsi="Times New Roman" w:cs="Times New Roman"/>
          <w:sz w:val="24"/>
          <w:szCs w:val="24"/>
        </w:rPr>
      </w:pPr>
    </w:p>
    <w:p w14:paraId="007D3815" w14:textId="752C55A9" w:rsidR="004C1717" w:rsidRDefault="00A7152E" w:rsidP="004C1717">
      <w:pPr>
        <w:spacing w:line="360" w:lineRule="auto"/>
        <w:ind w:firstLine="709"/>
        <w:jc w:val="both"/>
        <w:rPr>
          <w:rFonts w:ascii="Times New Roman" w:eastAsia="Times New Roman" w:hAnsi="Times New Roman" w:cs="Times New Roman"/>
          <w:sz w:val="24"/>
          <w:szCs w:val="24"/>
          <w:lang w:val="pl-PL"/>
        </w:rPr>
      </w:pPr>
      <w:r w:rsidRPr="00A7152E">
        <w:rPr>
          <w:rFonts w:ascii="Times New Roman" w:eastAsia="Times New Roman" w:hAnsi="Times New Roman" w:cs="Times New Roman"/>
          <w:sz w:val="24"/>
          <w:szCs w:val="24"/>
          <w:lang w:val="pl-PL"/>
        </w:rPr>
        <w:t>Projekt ustawy wywołuje także pozytywne skutki społeczno-gospodarcze.</w:t>
      </w:r>
      <w:r w:rsidR="004C1717">
        <w:rPr>
          <w:rFonts w:ascii="Times New Roman" w:eastAsia="Times New Roman" w:hAnsi="Times New Roman" w:cs="Times New Roman"/>
          <w:sz w:val="24"/>
          <w:szCs w:val="24"/>
          <w:lang w:val="pl-PL"/>
        </w:rPr>
        <w:t xml:space="preserve"> P</w:t>
      </w:r>
      <w:r w:rsidR="004C1717" w:rsidRPr="004C1717">
        <w:rPr>
          <w:rFonts w:ascii="Times New Roman" w:eastAsia="Times New Roman" w:hAnsi="Times New Roman" w:cs="Times New Roman"/>
          <w:sz w:val="24"/>
          <w:szCs w:val="24"/>
          <w:lang w:val="pl-PL"/>
        </w:rPr>
        <w:t>rzedmiotowy projekt ustawy wywołuje pozytywny wpływ na mikroprzedsiębiorców oraz małych i średnich przedsiębiorców</w:t>
      </w:r>
      <w:r w:rsidR="004C1717">
        <w:rPr>
          <w:rFonts w:ascii="Times New Roman" w:eastAsia="Times New Roman" w:hAnsi="Times New Roman" w:cs="Times New Roman"/>
          <w:sz w:val="24"/>
          <w:szCs w:val="24"/>
          <w:lang w:val="pl-PL"/>
        </w:rPr>
        <w:t>.</w:t>
      </w:r>
    </w:p>
    <w:p w14:paraId="5AB6658F" w14:textId="77777777" w:rsidR="004C1717" w:rsidRPr="00A7152E" w:rsidRDefault="004C1717" w:rsidP="004C1717">
      <w:pPr>
        <w:spacing w:line="360" w:lineRule="auto"/>
        <w:ind w:firstLine="709"/>
        <w:jc w:val="both"/>
        <w:rPr>
          <w:rFonts w:ascii="Times New Roman" w:eastAsia="Times New Roman" w:hAnsi="Times New Roman" w:cs="Times New Roman"/>
          <w:sz w:val="24"/>
          <w:szCs w:val="24"/>
          <w:lang w:val="pl-PL"/>
        </w:rPr>
      </w:pPr>
    </w:p>
    <w:p w14:paraId="05092046" w14:textId="4E6682AE" w:rsidR="004C1717" w:rsidRPr="004C1717" w:rsidRDefault="009835CF" w:rsidP="004C1717">
      <w:pPr>
        <w:spacing w:line="360" w:lineRule="auto"/>
        <w:ind w:firstLine="709"/>
        <w:jc w:val="both"/>
        <w:rPr>
          <w:rFonts w:ascii="Times New Roman" w:eastAsia="Times New Roman" w:hAnsi="Times New Roman" w:cs="Times New Roman"/>
          <w:sz w:val="24"/>
          <w:szCs w:val="24"/>
          <w:lang w:val="pl-PL"/>
        </w:rPr>
      </w:pPr>
      <w:r>
        <w:rPr>
          <w:rFonts w:ascii="Times New Roman" w:eastAsia="Times New Roman" w:hAnsi="Times New Roman" w:cs="Times New Roman"/>
          <w:sz w:val="24"/>
          <w:szCs w:val="24"/>
          <w:lang w:val="pl-PL"/>
        </w:rPr>
        <w:t xml:space="preserve">Koszt proponowanych niniejszym projektem ustawy zmian zgodnie z odpowiedzią </w:t>
      </w:r>
      <w:r w:rsidRPr="009835CF">
        <w:rPr>
          <w:rFonts w:ascii="Times New Roman" w:eastAsia="Times New Roman" w:hAnsi="Times New Roman" w:cs="Times New Roman"/>
          <w:sz w:val="24"/>
          <w:szCs w:val="24"/>
          <w:lang w:val="pl-PL"/>
        </w:rPr>
        <w:t>Ministra Finansów</w:t>
      </w:r>
      <w:r>
        <w:rPr>
          <w:rFonts w:ascii="Times New Roman" w:eastAsia="Times New Roman" w:hAnsi="Times New Roman" w:cs="Times New Roman"/>
          <w:sz w:val="24"/>
          <w:szCs w:val="24"/>
          <w:lang w:val="pl-PL"/>
        </w:rPr>
        <w:t xml:space="preserve"> z dnia </w:t>
      </w:r>
      <w:r w:rsidRPr="009835CF">
        <w:rPr>
          <w:rFonts w:ascii="Times New Roman" w:eastAsia="Times New Roman" w:hAnsi="Times New Roman" w:cs="Times New Roman"/>
          <w:sz w:val="24"/>
          <w:szCs w:val="24"/>
          <w:lang w:val="pl-PL"/>
        </w:rPr>
        <w:t>5 marca 2024 roku</w:t>
      </w:r>
      <w:r>
        <w:rPr>
          <w:rFonts w:ascii="Times New Roman" w:eastAsia="Times New Roman" w:hAnsi="Times New Roman" w:cs="Times New Roman"/>
          <w:sz w:val="24"/>
          <w:szCs w:val="24"/>
          <w:lang w:val="pl-PL"/>
        </w:rPr>
        <w:t xml:space="preserve"> na in</w:t>
      </w:r>
      <w:r w:rsidRPr="009835CF">
        <w:rPr>
          <w:rFonts w:ascii="Times New Roman" w:eastAsia="Times New Roman" w:hAnsi="Times New Roman" w:cs="Times New Roman"/>
          <w:sz w:val="24"/>
          <w:szCs w:val="24"/>
          <w:lang w:val="pl-PL"/>
        </w:rPr>
        <w:t>terpelacj</w:t>
      </w:r>
      <w:r>
        <w:rPr>
          <w:rFonts w:ascii="Times New Roman" w:eastAsia="Times New Roman" w:hAnsi="Times New Roman" w:cs="Times New Roman"/>
          <w:sz w:val="24"/>
          <w:szCs w:val="24"/>
          <w:lang w:val="pl-PL"/>
        </w:rPr>
        <w:t>ę</w:t>
      </w:r>
      <w:r w:rsidRPr="009835CF">
        <w:rPr>
          <w:rFonts w:ascii="Times New Roman" w:eastAsia="Times New Roman" w:hAnsi="Times New Roman" w:cs="Times New Roman"/>
          <w:sz w:val="24"/>
          <w:szCs w:val="24"/>
          <w:lang w:val="pl-PL"/>
        </w:rPr>
        <w:t xml:space="preserve"> nr 1466</w:t>
      </w:r>
      <w:r>
        <w:rPr>
          <w:rFonts w:ascii="Times New Roman" w:eastAsia="Times New Roman" w:hAnsi="Times New Roman" w:cs="Times New Roman"/>
          <w:sz w:val="24"/>
          <w:szCs w:val="24"/>
          <w:lang w:val="pl-PL"/>
        </w:rPr>
        <w:t xml:space="preserve"> </w:t>
      </w:r>
      <w:r w:rsidRPr="009835CF">
        <w:rPr>
          <w:rFonts w:ascii="Times New Roman" w:eastAsia="Times New Roman" w:hAnsi="Times New Roman" w:cs="Times New Roman"/>
          <w:sz w:val="24"/>
          <w:szCs w:val="24"/>
          <w:lang w:val="pl-PL"/>
        </w:rPr>
        <w:t xml:space="preserve">w sprawie zwiększenia </w:t>
      </w:r>
      <w:r w:rsidRPr="009835CF">
        <w:rPr>
          <w:rFonts w:ascii="Times New Roman" w:eastAsia="Times New Roman" w:hAnsi="Times New Roman" w:cs="Times New Roman"/>
          <w:sz w:val="24"/>
          <w:szCs w:val="24"/>
          <w:lang w:val="pl-PL"/>
        </w:rPr>
        <w:lastRenderedPageBreak/>
        <w:t>kwoty wolnej od podatku</w:t>
      </w:r>
      <w:r>
        <w:rPr>
          <w:rFonts w:ascii="Times New Roman" w:eastAsia="Times New Roman" w:hAnsi="Times New Roman" w:cs="Times New Roman"/>
          <w:sz w:val="24"/>
          <w:szCs w:val="24"/>
          <w:lang w:val="pl-PL"/>
        </w:rPr>
        <w:t xml:space="preserve"> </w:t>
      </w:r>
      <w:r w:rsidR="004C1717">
        <w:rPr>
          <w:rFonts w:ascii="Times New Roman" w:eastAsia="Times New Roman" w:hAnsi="Times New Roman" w:cs="Times New Roman"/>
          <w:sz w:val="24"/>
          <w:szCs w:val="24"/>
          <w:lang w:val="pl-PL"/>
        </w:rPr>
        <w:t>w</w:t>
      </w:r>
      <w:r w:rsidR="004C1717" w:rsidRPr="004C1717">
        <w:rPr>
          <w:rFonts w:ascii="Times New Roman" w:eastAsia="Times New Roman" w:hAnsi="Times New Roman" w:cs="Times New Roman"/>
          <w:sz w:val="24"/>
          <w:szCs w:val="24"/>
          <w:lang w:val="pl-PL"/>
        </w:rPr>
        <w:t>edług szacunkowych obliczeń z wykorzystaniem modelu mikrosymulacyjnego</w:t>
      </w:r>
      <w:r w:rsidR="004C1717">
        <w:rPr>
          <w:rFonts w:ascii="Times New Roman" w:eastAsia="Times New Roman" w:hAnsi="Times New Roman" w:cs="Times New Roman"/>
          <w:sz w:val="24"/>
          <w:szCs w:val="24"/>
          <w:lang w:val="pl-PL"/>
        </w:rPr>
        <w:t xml:space="preserve"> </w:t>
      </w:r>
      <w:r w:rsidR="004C1717" w:rsidRPr="004C1717">
        <w:rPr>
          <w:rFonts w:ascii="Times New Roman" w:eastAsia="Times New Roman" w:hAnsi="Times New Roman" w:cs="Times New Roman"/>
          <w:sz w:val="24"/>
          <w:szCs w:val="24"/>
          <w:lang w:val="pl-PL"/>
        </w:rPr>
        <w:t>na danych waloryzowanych na 2025 rok, podwyższenie kwoty wolnej od podatku</w:t>
      </w:r>
      <w:r w:rsidR="004C1717">
        <w:rPr>
          <w:rFonts w:ascii="Times New Roman" w:eastAsia="Times New Roman" w:hAnsi="Times New Roman" w:cs="Times New Roman"/>
          <w:sz w:val="24"/>
          <w:szCs w:val="24"/>
          <w:lang w:val="pl-PL"/>
        </w:rPr>
        <w:t xml:space="preserve"> </w:t>
      </w:r>
      <w:r w:rsidR="004C1717" w:rsidRPr="004C1717">
        <w:rPr>
          <w:rFonts w:ascii="Times New Roman" w:eastAsia="Times New Roman" w:hAnsi="Times New Roman" w:cs="Times New Roman"/>
          <w:sz w:val="24"/>
          <w:szCs w:val="24"/>
          <w:lang w:val="pl-PL"/>
        </w:rPr>
        <w:t>z 30 tys. do 60 tys. zł rocznie spowoduje spadek dochodów</w:t>
      </w:r>
      <w:r w:rsidR="004C1717">
        <w:rPr>
          <w:rFonts w:ascii="Times New Roman" w:eastAsia="Times New Roman" w:hAnsi="Times New Roman" w:cs="Times New Roman"/>
          <w:sz w:val="24"/>
          <w:szCs w:val="24"/>
          <w:lang w:val="pl-PL"/>
        </w:rPr>
        <w:t xml:space="preserve"> </w:t>
      </w:r>
      <w:r w:rsidR="004C1717" w:rsidRPr="004C1717">
        <w:rPr>
          <w:rFonts w:ascii="Times New Roman" w:eastAsia="Times New Roman" w:hAnsi="Times New Roman" w:cs="Times New Roman"/>
          <w:sz w:val="24"/>
          <w:szCs w:val="24"/>
          <w:lang w:val="pl-PL"/>
        </w:rPr>
        <w:t>sektora publicznego z</w:t>
      </w:r>
      <w:r w:rsidR="004C1717">
        <w:rPr>
          <w:rFonts w:ascii="Times New Roman" w:eastAsia="Times New Roman" w:hAnsi="Times New Roman" w:cs="Times New Roman"/>
          <w:sz w:val="24"/>
          <w:szCs w:val="24"/>
          <w:lang w:val="pl-PL"/>
        </w:rPr>
        <w:t xml:space="preserve"> </w:t>
      </w:r>
      <w:r w:rsidR="004C1717" w:rsidRPr="004C1717">
        <w:rPr>
          <w:rFonts w:ascii="Times New Roman" w:eastAsia="Times New Roman" w:hAnsi="Times New Roman" w:cs="Times New Roman"/>
          <w:sz w:val="24"/>
          <w:szCs w:val="24"/>
          <w:lang w:val="pl-PL"/>
        </w:rPr>
        <w:t>PIT</w:t>
      </w:r>
    </w:p>
    <w:p w14:paraId="05D23203" w14:textId="4DB01AFD" w:rsidR="009835CF" w:rsidRDefault="004C1717" w:rsidP="004C1717">
      <w:pPr>
        <w:spacing w:line="360" w:lineRule="auto"/>
        <w:jc w:val="both"/>
        <w:rPr>
          <w:rFonts w:ascii="Times New Roman" w:eastAsia="Times New Roman" w:hAnsi="Times New Roman" w:cs="Times New Roman"/>
          <w:sz w:val="24"/>
          <w:szCs w:val="24"/>
          <w:lang w:val="pl-PL"/>
        </w:rPr>
      </w:pPr>
      <w:r w:rsidRPr="004C1717">
        <w:rPr>
          <w:rFonts w:ascii="Times New Roman" w:eastAsia="Times New Roman" w:hAnsi="Times New Roman" w:cs="Times New Roman"/>
          <w:sz w:val="24"/>
          <w:szCs w:val="24"/>
          <w:lang w:val="pl-PL"/>
        </w:rPr>
        <w:t>względem scenariusza bazowego (tj. bez zmian) o około -52,5 mld zł</w:t>
      </w:r>
      <w:r w:rsidR="009835CF">
        <w:rPr>
          <w:rStyle w:val="Odwoanieprzypisudolnego"/>
          <w:rFonts w:ascii="Times New Roman" w:eastAsia="Times New Roman" w:hAnsi="Times New Roman" w:cs="Times New Roman"/>
          <w:sz w:val="24"/>
          <w:szCs w:val="24"/>
          <w:lang w:val="pl-PL"/>
        </w:rPr>
        <w:footnoteReference w:id="1"/>
      </w:r>
      <w:r w:rsidR="009835CF" w:rsidRPr="009835CF">
        <w:rPr>
          <w:rFonts w:ascii="Times New Roman" w:eastAsia="Times New Roman" w:hAnsi="Times New Roman" w:cs="Times New Roman"/>
          <w:sz w:val="24"/>
          <w:szCs w:val="24"/>
          <w:lang w:val="pl-PL"/>
        </w:rPr>
        <w:t>.</w:t>
      </w:r>
    </w:p>
    <w:p w14:paraId="051B11C0" w14:textId="77777777" w:rsidR="004C1717" w:rsidRDefault="004C1717" w:rsidP="004C1717">
      <w:pPr>
        <w:spacing w:line="360" w:lineRule="auto"/>
        <w:jc w:val="both"/>
        <w:rPr>
          <w:rFonts w:ascii="Times New Roman" w:eastAsia="Times New Roman" w:hAnsi="Times New Roman" w:cs="Times New Roman"/>
          <w:sz w:val="24"/>
          <w:szCs w:val="24"/>
          <w:lang w:val="pl-PL"/>
        </w:rPr>
      </w:pPr>
    </w:p>
    <w:p w14:paraId="7BCF5920" w14:textId="2680C399" w:rsidR="00EC0CD5" w:rsidRPr="009835CF" w:rsidRDefault="00A7152E" w:rsidP="004C1717">
      <w:pPr>
        <w:spacing w:line="360" w:lineRule="auto"/>
        <w:ind w:firstLine="709"/>
        <w:jc w:val="both"/>
        <w:rPr>
          <w:rFonts w:ascii="Times New Roman" w:eastAsia="Times New Roman" w:hAnsi="Times New Roman" w:cs="Times New Roman"/>
          <w:sz w:val="24"/>
          <w:szCs w:val="24"/>
          <w:lang w:val="pl-PL"/>
        </w:rPr>
      </w:pPr>
      <w:r w:rsidRPr="00A7152E">
        <w:rPr>
          <w:rFonts w:ascii="Times New Roman" w:eastAsia="Times New Roman" w:hAnsi="Times New Roman" w:cs="Times New Roman"/>
          <w:sz w:val="24"/>
          <w:szCs w:val="24"/>
          <w:lang w:val="pl-PL"/>
        </w:rPr>
        <w:t>Projektowana regulacja nie jest objęta prawem Unii Europejskiej.</w:t>
      </w:r>
    </w:p>
    <w:sectPr w:rsidR="00EC0CD5" w:rsidRPr="009835C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8F803" w14:textId="77777777" w:rsidR="009835CF" w:rsidRDefault="009835CF" w:rsidP="009835CF">
      <w:pPr>
        <w:spacing w:line="240" w:lineRule="auto"/>
      </w:pPr>
      <w:r>
        <w:separator/>
      </w:r>
    </w:p>
  </w:endnote>
  <w:endnote w:type="continuationSeparator" w:id="0">
    <w:p w14:paraId="358FB39B" w14:textId="77777777" w:rsidR="009835CF" w:rsidRDefault="009835CF" w:rsidP="009835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DE81B" w14:textId="77777777" w:rsidR="009835CF" w:rsidRDefault="009835CF" w:rsidP="009835CF">
      <w:pPr>
        <w:spacing w:line="240" w:lineRule="auto"/>
      </w:pPr>
      <w:r>
        <w:separator/>
      </w:r>
    </w:p>
  </w:footnote>
  <w:footnote w:type="continuationSeparator" w:id="0">
    <w:p w14:paraId="73069E59" w14:textId="77777777" w:rsidR="009835CF" w:rsidRDefault="009835CF" w:rsidP="009835CF">
      <w:pPr>
        <w:spacing w:line="240" w:lineRule="auto"/>
      </w:pPr>
      <w:r>
        <w:continuationSeparator/>
      </w:r>
    </w:p>
  </w:footnote>
  <w:footnote w:id="1">
    <w:p w14:paraId="3E3E6A9F" w14:textId="02A4A319" w:rsidR="009835CF" w:rsidRPr="009835CF" w:rsidRDefault="009835CF">
      <w:pPr>
        <w:pStyle w:val="Tekstprzypisudolnego"/>
        <w:rPr>
          <w:lang w:val="pl-PL"/>
        </w:rPr>
      </w:pPr>
      <w:r>
        <w:rPr>
          <w:rStyle w:val="Odwoanieprzypisudolnego"/>
        </w:rPr>
        <w:footnoteRef/>
      </w:r>
      <w:r w:rsidRPr="009835CF">
        <w:rPr>
          <w:rFonts w:ascii="Times New Roman" w:hAnsi="Times New Roman" w:cs="Times New Roman"/>
        </w:rPr>
        <w:t xml:space="preserve"> </w:t>
      </w:r>
      <w:hyperlink r:id="rId1" w:history="1">
        <w:r w:rsidRPr="009835CF">
          <w:rPr>
            <w:rStyle w:val="Hipercze"/>
            <w:rFonts w:ascii="Times New Roman" w:hAnsi="Times New Roman" w:cs="Times New Roman"/>
          </w:rPr>
          <w:t>https://orka2.sejm.gov.pl/INT10.nsf/klucz/ATTD34L99/%2</w:t>
        </w:r>
        <w:r w:rsidRPr="009835CF">
          <w:rPr>
            <w:rStyle w:val="Hipercze"/>
            <w:rFonts w:ascii="Times New Roman" w:hAnsi="Times New Roman" w:cs="Times New Roman"/>
          </w:rPr>
          <w:t>4FILE/i01466-o1.pdf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36750A"/>
    <w:multiLevelType w:val="multilevel"/>
    <w:tmpl w:val="939893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128544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41E"/>
    <w:rsid w:val="0009741E"/>
    <w:rsid w:val="0026594C"/>
    <w:rsid w:val="004C1717"/>
    <w:rsid w:val="005C3A0E"/>
    <w:rsid w:val="007C145D"/>
    <w:rsid w:val="008A7B32"/>
    <w:rsid w:val="008E5DA2"/>
    <w:rsid w:val="009835CF"/>
    <w:rsid w:val="00A7152E"/>
    <w:rsid w:val="00AC209D"/>
    <w:rsid w:val="00D422A8"/>
    <w:rsid w:val="00EC0CD5"/>
    <w:rsid w:val="00F172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B0FBD"/>
  <w15:chartTrackingRefBased/>
  <w15:docId w15:val="{D72F61FC-28AA-4F6E-B243-EA822AF62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A7152E"/>
    <w:pPr>
      <w:spacing w:after="0" w:line="276" w:lineRule="auto"/>
    </w:pPr>
    <w:rPr>
      <w:rFonts w:ascii="Arial" w:eastAsia="Arial" w:hAnsi="Arial" w:cs="Arial"/>
      <w:kern w:val="0"/>
      <w:lang w:val="pl"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9835CF"/>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835CF"/>
    <w:rPr>
      <w:rFonts w:ascii="Arial" w:eastAsia="Arial" w:hAnsi="Arial" w:cs="Arial"/>
      <w:kern w:val="0"/>
      <w:sz w:val="20"/>
      <w:szCs w:val="20"/>
      <w:lang w:val="pl" w:eastAsia="pl-PL"/>
      <w14:ligatures w14:val="none"/>
    </w:rPr>
  </w:style>
  <w:style w:type="character" w:styleId="Odwoanieprzypisudolnego">
    <w:name w:val="footnote reference"/>
    <w:basedOn w:val="Domylnaczcionkaakapitu"/>
    <w:uiPriority w:val="99"/>
    <w:semiHidden/>
    <w:unhideWhenUsed/>
    <w:rsid w:val="009835CF"/>
    <w:rPr>
      <w:vertAlign w:val="superscript"/>
    </w:rPr>
  </w:style>
  <w:style w:type="character" w:styleId="Hipercze">
    <w:name w:val="Hyperlink"/>
    <w:basedOn w:val="Domylnaczcionkaakapitu"/>
    <w:uiPriority w:val="99"/>
    <w:unhideWhenUsed/>
    <w:rsid w:val="009835CF"/>
    <w:rPr>
      <w:color w:val="0563C1" w:themeColor="hyperlink"/>
      <w:u w:val="single"/>
    </w:rPr>
  </w:style>
  <w:style w:type="character" w:styleId="Nierozpoznanawzmianka">
    <w:name w:val="Unresolved Mention"/>
    <w:basedOn w:val="Domylnaczcionkaakapitu"/>
    <w:uiPriority w:val="99"/>
    <w:semiHidden/>
    <w:unhideWhenUsed/>
    <w:rsid w:val="009835CF"/>
    <w:rPr>
      <w:color w:val="605E5C"/>
      <w:shd w:val="clear" w:color="auto" w:fill="E1DFDD"/>
    </w:rPr>
  </w:style>
  <w:style w:type="character" w:styleId="UyteHipercze">
    <w:name w:val="FollowedHyperlink"/>
    <w:basedOn w:val="Domylnaczcionkaakapitu"/>
    <w:uiPriority w:val="99"/>
    <w:semiHidden/>
    <w:unhideWhenUsed/>
    <w:rsid w:val="009835C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orka2.sejm.gov.pl/INT10.nsf/klucz/ATTD34L99/%24FILE/i01466-o1.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37C5F-131F-4FFE-ADA9-634310B94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506</Words>
  <Characters>3041</Characters>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2024-03-15T13:35:00Z</dcterms:created>
  <dcterms:modified xsi:type="dcterms:W3CDTF">2024-03-15T14:32:00Z</dcterms:modified>
</cp:coreProperties>
</file>