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08158" w14:textId="255B81F4" w:rsidR="0082391A" w:rsidRPr="009958B1" w:rsidRDefault="0082391A" w:rsidP="009958B1">
      <w:pPr>
        <w:spacing w:before="120" w:after="0" w:line="360" w:lineRule="auto"/>
        <w:jc w:val="center"/>
        <w:rPr>
          <w:rFonts w:ascii="Times New Roman" w:hAnsi="Times New Roman" w:cs="Times New Roman"/>
          <w:caps/>
          <w:sz w:val="24"/>
          <w:szCs w:val="24"/>
        </w:rPr>
      </w:pPr>
      <w:bookmarkStart w:id="0" w:name="_Ref96595120"/>
      <w:r w:rsidRPr="009958B1">
        <w:rPr>
          <w:rFonts w:ascii="Times New Roman" w:hAnsi="Times New Roman" w:cs="Times New Roman"/>
          <w:caps/>
          <w:sz w:val="24"/>
          <w:szCs w:val="24"/>
        </w:rPr>
        <w:t>U</w:t>
      </w:r>
      <w:bookmarkEnd w:id="0"/>
      <w:r w:rsidRPr="009958B1">
        <w:rPr>
          <w:rFonts w:ascii="Times New Roman" w:hAnsi="Times New Roman" w:cs="Times New Roman"/>
          <w:caps/>
          <w:sz w:val="24"/>
          <w:szCs w:val="24"/>
        </w:rPr>
        <w:t>zasadnienie</w:t>
      </w:r>
    </w:p>
    <w:p w14:paraId="1769F60F" w14:textId="4D391EFF" w:rsidR="0082391A" w:rsidRPr="00A04CED" w:rsidRDefault="0082391A" w:rsidP="009958B1">
      <w:pPr>
        <w:pStyle w:val="Akapitzlist"/>
        <w:numPr>
          <w:ilvl w:val="0"/>
          <w:numId w:val="1"/>
        </w:numPr>
        <w:spacing w:before="120" w:after="0" w:line="360" w:lineRule="auto"/>
        <w:ind w:left="567" w:hanging="283"/>
        <w:jc w:val="both"/>
        <w:rPr>
          <w:rFonts w:ascii="Times New Roman" w:hAnsi="Times New Roman" w:cs="Times New Roman"/>
          <w:b/>
          <w:bCs/>
          <w:sz w:val="24"/>
          <w:szCs w:val="24"/>
          <w:lang w:eastAsia="pl-PL"/>
        </w:rPr>
      </w:pPr>
      <w:bookmarkStart w:id="1" w:name="_Ref96594910"/>
      <w:r w:rsidRPr="00A04CED">
        <w:rPr>
          <w:rFonts w:ascii="Times New Roman" w:hAnsi="Times New Roman" w:cs="Times New Roman"/>
          <w:b/>
          <w:bCs/>
          <w:sz w:val="24"/>
          <w:szCs w:val="24"/>
          <w:lang w:eastAsia="pl-PL"/>
        </w:rPr>
        <w:t xml:space="preserve">Cel </w:t>
      </w:r>
      <w:r w:rsidRPr="00A04CED">
        <w:rPr>
          <w:rFonts w:ascii="Times New Roman" w:eastAsia="Times New Roman" w:hAnsi="Times New Roman" w:cs="Times New Roman"/>
          <w:b/>
          <w:bCs/>
          <w:sz w:val="24"/>
          <w:szCs w:val="24"/>
        </w:rPr>
        <w:t>regulacji</w:t>
      </w:r>
      <w:bookmarkEnd w:id="1"/>
    </w:p>
    <w:p w14:paraId="51C87B26" w14:textId="64B64E9D" w:rsidR="00A66B12" w:rsidRPr="00A04CED" w:rsidRDefault="00A66B12"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Projekt ustawy </w:t>
      </w:r>
      <w:r w:rsidR="001B0E02" w:rsidRPr="00A04CED">
        <w:rPr>
          <w:rFonts w:ascii="Times New Roman" w:hAnsi="Times New Roman" w:cs="Times New Roman"/>
          <w:sz w:val="24"/>
          <w:szCs w:val="24"/>
        </w:rPr>
        <w:t>o zmianie ustawy o rachunkowości</w:t>
      </w:r>
      <w:r w:rsidR="005A7BE3" w:rsidRPr="00A04CED">
        <w:rPr>
          <w:rFonts w:ascii="Times New Roman" w:hAnsi="Times New Roman" w:cs="Times New Roman"/>
          <w:sz w:val="24"/>
          <w:szCs w:val="24"/>
        </w:rPr>
        <w:t xml:space="preserve"> oraz niektórych innych</w:t>
      </w:r>
      <w:r w:rsidR="001B0E02" w:rsidRPr="00A04CED">
        <w:rPr>
          <w:rFonts w:ascii="Times New Roman" w:hAnsi="Times New Roman" w:cs="Times New Roman"/>
          <w:sz w:val="24"/>
          <w:szCs w:val="24"/>
        </w:rPr>
        <w:t xml:space="preserve"> ustaw </w:t>
      </w:r>
      <w:r w:rsidRPr="00A04CED">
        <w:rPr>
          <w:rFonts w:ascii="Times New Roman" w:hAnsi="Times New Roman" w:cs="Times New Roman"/>
          <w:sz w:val="24"/>
          <w:szCs w:val="24"/>
        </w:rPr>
        <w:t xml:space="preserve">ma na celu wdrożenie do przepisów krajowych </w:t>
      </w:r>
      <w:r w:rsidR="006066DA" w:rsidRPr="00A04CED">
        <w:rPr>
          <w:rFonts w:ascii="Times New Roman" w:hAnsi="Times New Roman" w:cs="Times New Roman"/>
          <w:sz w:val="24"/>
          <w:szCs w:val="24"/>
        </w:rPr>
        <w:t>art. 1</w:t>
      </w:r>
      <w:r w:rsidR="00FB3816">
        <w:rPr>
          <w:rFonts w:ascii="Times New Roman" w:hAnsi="Times New Roman" w:cs="Times New Roman"/>
          <w:sz w:val="24"/>
          <w:szCs w:val="24"/>
        </w:rPr>
        <w:t>–</w:t>
      </w:r>
      <w:r w:rsidR="006066DA" w:rsidRPr="00A04CED">
        <w:rPr>
          <w:rFonts w:ascii="Times New Roman" w:hAnsi="Times New Roman" w:cs="Times New Roman"/>
          <w:sz w:val="24"/>
          <w:szCs w:val="24"/>
        </w:rPr>
        <w:t xml:space="preserve">3 (z wyłączeniem art. 3 pkt 1 lit. c) </w:t>
      </w:r>
      <w:r w:rsidRPr="009958B1">
        <w:rPr>
          <w:rFonts w:ascii="Times New Roman" w:hAnsi="Times New Roman" w:cs="Times New Roman"/>
          <w:sz w:val="24"/>
          <w:szCs w:val="24"/>
        </w:rPr>
        <w:t>dyrektywy Parlamentu Europejskiego i Rady (UE) 2026/470 z dnia 24 lutego 2026 r. w sprawie zmiany dyrektyw 2006/43/WE, 2013/34/UE, (UE) 2022/2464 i (UE) 2024/1760 w odniesieniu do niektórych wymogów dotyczących sprawozdawczości przedsiębiorstw w zakresie zrównoważonego rozwoju i niektórych wymogów w zakresie należytej staranności przedsiębiorstw w zakresie zrównoważonego rozwoju</w:t>
      </w:r>
      <w:r w:rsidRPr="00A04CED">
        <w:rPr>
          <w:rFonts w:ascii="Times New Roman" w:hAnsi="Times New Roman" w:cs="Times New Roman"/>
          <w:sz w:val="24"/>
          <w:szCs w:val="24"/>
        </w:rPr>
        <w:t xml:space="preserve"> (Dz. Urz. UE L </w:t>
      </w:r>
      <w:r w:rsidR="009748B2" w:rsidRPr="00A04CED">
        <w:rPr>
          <w:rFonts w:ascii="Times New Roman" w:hAnsi="Times New Roman" w:cs="Times New Roman"/>
          <w:sz w:val="24"/>
          <w:szCs w:val="24"/>
        </w:rPr>
        <w:t>2026/</w:t>
      </w:r>
      <w:r w:rsidRPr="00A04CED">
        <w:rPr>
          <w:rFonts w:ascii="Times New Roman" w:hAnsi="Times New Roman" w:cs="Times New Roman"/>
          <w:sz w:val="24"/>
          <w:szCs w:val="24"/>
        </w:rPr>
        <w:t>470 z 26.02.2026</w:t>
      </w:r>
      <w:r w:rsidR="00FB3816">
        <w:rPr>
          <w:rFonts w:ascii="Times New Roman" w:hAnsi="Times New Roman" w:cs="Times New Roman"/>
          <w:sz w:val="24"/>
          <w:szCs w:val="24"/>
        </w:rPr>
        <w:t> </w:t>
      </w:r>
      <w:r w:rsidRPr="00A04CED">
        <w:rPr>
          <w:rFonts w:ascii="Times New Roman" w:hAnsi="Times New Roman" w:cs="Times New Roman"/>
          <w:sz w:val="24"/>
          <w:szCs w:val="24"/>
        </w:rPr>
        <w:t>r.) w zakresie</w:t>
      </w:r>
      <w:r w:rsidR="00FB3816">
        <w:rPr>
          <w:rFonts w:ascii="Times New Roman" w:hAnsi="Times New Roman" w:cs="Times New Roman"/>
          <w:sz w:val="24"/>
          <w:szCs w:val="24"/>
        </w:rPr>
        <w:t>,</w:t>
      </w:r>
      <w:r w:rsidRPr="00A04CED">
        <w:rPr>
          <w:rFonts w:ascii="Times New Roman" w:hAnsi="Times New Roman" w:cs="Times New Roman"/>
          <w:sz w:val="24"/>
          <w:szCs w:val="24"/>
        </w:rPr>
        <w:t xml:space="preserve"> w jakim wprowadza ona zmiany do sprawozdawczości zrównoważonego rozwoju sporządzanej przez przedsiębiorstwa </w:t>
      </w:r>
      <w:r w:rsidR="006066DA" w:rsidRPr="00A04CED">
        <w:rPr>
          <w:rFonts w:ascii="Times New Roman" w:hAnsi="Times New Roman" w:cs="Times New Roman"/>
          <w:sz w:val="24"/>
          <w:szCs w:val="24"/>
        </w:rPr>
        <w:t>oraz atestacji takiej sprawozdawczości</w:t>
      </w:r>
      <w:r w:rsidR="00DD6C38">
        <w:rPr>
          <w:rFonts w:ascii="Times New Roman" w:hAnsi="Times New Roman" w:cs="Times New Roman"/>
          <w:sz w:val="24"/>
          <w:szCs w:val="24"/>
        </w:rPr>
        <w:t>.</w:t>
      </w:r>
    </w:p>
    <w:p w14:paraId="337E924A" w14:textId="4FEC08AF" w:rsidR="00A66B12" w:rsidRPr="00A04CED" w:rsidRDefault="00BB7F84"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Dyrektywa 2022/2464</w:t>
      </w:r>
      <w:r w:rsidRPr="00A04CED">
        <w:rPr>
          <w:rStyle w:val="Odwoanieprzypisudolnego"/>
          <w:rFonts w:ascii="Times New Roman" w:hAnsi="Times New Roman" w:cs="Times New Roman"/>
          <w:sz w:val="24"/>
          <w:szCs w:val="24"/>
        </w:rPr>
        <w:footnoteReference w:id="1"/>
      </w:r>
      <w:r w:rsidRPr="00A04CED">
        <w:rPr>
          <w:rFonts w:ascii="Times New Roman" w:hAnsi="Times New Roman" w:cs="Times New Roman"/>
          <w:sz w:val="24"/>
          <w:szCs w:val="24"/>
        </w:rPr>
        <w:t xml:space="preserve">, tzw. </w:t>
      </w:r>
      <w:r w:rsidR="00A66B12" w:rsidRPr="00A04CED">
        <w:rPr>
          <w:rFonts w:ascii="Times New Roman" w:hAnsi="Times New Roman" w:cs="Times New Roman"/>
          <w:sz w:val="24"/>
          <w:szCs w:val="24"/>
        </w:rPr>
        <w:t>CSRD</w:t>
      </w:r>
      <w:r w:rsidRPr="00A04CED">
        <w:rPr>
          <w:rFonts w:ascii="Times New Roman" w:hAnsi="Times New Roman" w:cs="Times New Roman"/>
          <w:sz w:val="24"/>
          <w:szCs w:val="24"/>
        </w:rPr>
        <w:t>,</w:t>
      </w:r>
      <w:r w:rsidR="00A66B12" w:rsidRPr="00A04CED">
        <w:rPr>
          <w:rFonts w:ascii="Times New Roman" w:hAnsi="Times New Roman" w:cs="Times New Roman"/>
          <w:sz w:val="24"/>
          <w:szCs w:val="24"/>
        </w:rPr>
        <w:t xml:space="preserve"> wprowadziła obowiązek przedstawiania informacji o wpływie działalności jednostki na obszar środowiskowy, spraw społecznych, w tym praw człowieka, oraz ładu korporacyjnego, a także o wpływie tych trzech obszarów na rozwój, wyniki i sytuację jednostki</w:t>
      </w:r>
      <w:r w:rsidRPr="00A04CED">
        <w:rPr>
          <w:rFonts w:ascii="Times New Roman" w:hAnsi="Times New Roman" w:cs="Times New Roman"/>
          <w:sz w:val="24"/>
          <w:szCs w:val="24"/>
        </w:rPr>
        <w:t xml:space="preserve"> (tzw. sprawozdawczość zrównoważonego rozwoju lub sprawozdawczość ESG)</w:t>
      </w:r>
      <w:r w:rsidR="00A66B12" w:rsidRPr="00A04CED">
        <w:rPr>
          <w:rFonts w:ascii="Times New Roman" w:hAnsi="Times New Roman" w:cs="Times New Roman"/>
          <w:sz w:val="24"/>
          <w:szCs w:val="24"/>
        </w:rPr>
        <w:t>.</w:t>
      </w:r>
    </w:p>
    <w:p w14:paraId="19BEFACD" w14:textId="4E66E7CD" w:rsidR="00A66B12" w:rsidRPr="00A04CED" w:rsidRDefault="00A66B12"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Na mocy przepisów krajowych</w:t>
      </w:r>
      <w:r w:rsidR="00BB7F84" w:rsidRPr="00A04CED">
        <w:rPr>
          <w:rFonts w:ascii="Times New Roman" w:hAnsi="Times New Roman" w:cs="Times New Roman"/>
          <w:sz w:val="24"/>
          <w:szCs w:val="24"/>
        </w:rPr>
        <w:t xml:space="preserve"> wdrażających</w:t>
      </w:r>
      <w:r w:rsidRPr="00A04CED">
        <w:rPr>
          <w:rFonts w:ascii="Times New Roman" w:hAnsi="Times New Roman" w:cs="Times New Roman"/>
          <w:sz w:val="24"/>
          <w:szCs w:val="24"/>
        </w:rPr>
        <w:t xml:space="preserve"> CSRD</w:t>
      </w:r>
      <w:r w:rsidRPr="00A04CED">
        <w:rPr>
          <w:rStyle w:val="Odwoanieprzypisudolnego"/>
          <w:rFonts w:ascii="Times New Roman" w:hAnsi="Times New Roman" w:cs="Times New Roman"/>
          <w:sz w:val="24"/>
          <w:szCs w:val="24"/>
        </w:rPr>
        <w:footnoteReference w:id="2"/>
      </w:r>
      <w:r w:rsidRPr="00A04CED">
        <w:rPr>
          <w:rFonts w:ascii="Times New Roman" w:hAnsi="Times New Roman" w:cs="Times New Roman"/>
          <w:sz w:val="24"/>
          <w:szCs w:val="24"/>
        </w:rPr>
        <w:t xml:space="preserve"> do sprawozdawczości ESG są zobowiązane obecnie jednostki duże oraz małe i średnie jednostki będące emitentami papierów wartościowych dopuszczonymi do obrotu na jednym z rynków regulowanych Europejskiego Obszaru Gospodarczego (EOG), a także jednostki dominujące dużych grup. Obowiązek raportowania </w:t>
      </w:r>
      <w:r w:rsidR="00BB7F84" w:rsidRPr="00A04CED">
        <w:rPr>
          <w:rFonts w:ascii="Times New Roman" w:hAnsi="Times New Roman" w:cs="Times New Roman"/>
          <w:sz w:val="24"/>
          <w:szCs w:val="24"/>
        </w:rPr>
        <w:t xml:space="preserve">po raz pierwszy </w:t>
      </w:r>
      <w:r w:rsidRPr="00A04CED">
        <w:rPr>
          <w:rFonts w:ascii="Times New Roman" w:hAnsi="Times New Roman" w:cs="Times New Roman"/>
          <w:sz w:val="24"/>
          <w:szCs w:val="24"/>
        </w:rPr>
        <w:t>zgodnie z wymogami CSRD został rozłożony na trzy etapy</w:t>
      </w:r>
      <w:r w:rsidR="00BB7F84" w:rsidRPr="00A04CED">
        <w:rPr>
          <w:rFonts w:ascii="Times New Roman" w:hAnsi="Times New Roman" w:cs="Times New Roman"/>
          <w:sz w:val="24"/>
          <w:szCs w:val="24"/>
        </w:rPr>
        <w:t xml:space="preserve"> (tzw. fale)</w:t>
      </w:r>
      <w:r w:rsidRPr="00A04CED">
        <w:rPr>
          <w:rFonts w:ascii="Times New Roman" w:hAnsi="Times New Roman" w:cs="Times New Roman"/>
          <w:sz w:val="24"/>
          <w:szCs w:val="24"/>
        </w:rPr>
        <w:t>:</w:t>
      </w:r>
    </w:p>
    <w:p w14:paraId="4EA83CC0" w14:textId="5CD77B70" w:rsidR="00A66B12" w:rsidRPr="00A04CED" w:rsidRDefault="00A66B12" w:rsidP="009958B1">
      <w:pPr>
        <w:pStyle w:val="Akapitzlist"/>
        <w:numPr>
          <w:ilvl w:val="0"/>
          <w:numId w:val="4"/>
        </w:numPr>
        <w:spacing w:before="120" w:after="0" w:line="360" w:lineRule="auto"/>
        <w:ind w:left="202" w:hanging="202"/>
        <w:jc w:val="both"/>
        <w:rPr>
          <w:rFonts w:ascii="Times New Roman" w:hAnsi="Times New Roman" w:cs="Times New Roman"/>
          <w:sz w:val="24"/>
          <w:szCs w:val="24"/>
        </w:rPr>
      </w:pPr>
      <w:r w:rsidRPr="00A04CED">
        <w:rPr>
          <w:rFonts w:ascii="Times New Roman" w:hAnsi="Times New Roman" w:cs="Times New Roman"/>
          <w:sz w:val="24"/>
          <w:szCs w:val="24"/>
        </w:rPr>
        <w:t xml:space="preserve">w 2025 r. za rok obrotowy 2024 </w:t>
      </w:r>
      <w:r w:rsidR="00BB7F84" w:rsidRPr="00A04CED">
        <w:rPr>
          <w:rFonts w:ascii="Times New Roman" w:hAnsi="Times New Roman" w:cs="Times New Roman"/>
          <w:sz w:val="24"/>
          <w:szCs w:val="24"/>
        </w:rPr>
        <w:t xml:space="preserve">(pierwsza fala) </w:t>
      </w:r>
      <w:r w:rsidRPr="00A04CED">
        <w:rPr>
          <w:rFonts w:ascii="Times New Roman" w:hAnsi="Times New Roman" w:cs="Times New Roman"/>
          <w:sz w:val="24"/>
          <w:szCs w:val="24"/>
        </w:rPr>
        <w:t xml:space="preserve">– zaraportowały największe jednostki zainteresowania publicznego zatrudniające ponad 500 pracowników i przekraczające co najmniej jeden z progów finansowych dla jednostki dużej, a także jednostki zainteresowania </w:t>
      </w:r>
      <w:r w:rsidRPr="00A04CED">
        <w:rPr>
          <w:rFonts w:ascii="Times New Roman" w:hAnsi="Times New Roman" w:cs="Times New Roman"/>
          <w:sz w:val="24"/>
          <w:szCs w:val="24"/>
        </w:rPr>
        <w:lastRenderedPageBreak/>
        <w:t>publicznego stojące na czele grupy, w której zatrudnienie przekracza 500 osób oraz która przekracza co najmniej jeden z progów finansowych dla dużej grupy;</w:t>
      </w:r>
    </w:p>
    <w:p w14:paraId="272F6705" w14:textId="23B70CDB" w:rsidR="00A66B12" w:rsidRPr="00A04CED" w:rsidRDefault="00A66B12" w:rsidP="009958B1">
      <w:pPr>
        <w:pStyle w:val="Akapitzlist"/>
        <w:numPr>
          <w:ilvl w:val="0"/>
          <w:numId w:val="4"/>
        </w:numPr>
        <w:spacing w:before="120" w:after="0" w:line="360" w:lineRule="auto"/>
        <w:ind w:left="202" w:hanging="202"/>
        <w:jc w:val="both"/>
        <w:rPr>
          <w:rFonts w:ascii="Times New Roman" w:hAnsi="Times New Roman" w:cs="Times New Roman"/>
          <w:sz w:val="24"/>
          <w:szCs w:val="24"/>
        </w:rPr>
      </w:pPr>
      <w:r w:rsidRPr="00A04CED">
        <w:rPr>
          <w:rFonts w:ascii="Times New Roman" w:hAnsi="Times New Roman" w:cs="Times New Roman"/>
          <w:sz w:val="24"/>
          <w:szCs w:val="24"/>
        </w:rPr>
        <w:t xml:space="preserve">w 2028 r. za rok obrotowy 2027 </w:t>
      </w:r>
      <w:r w:rsidR="00BB7F84" w:rsidRPr="00A04CED">
        <w:rPr>
          <w:rFonts w:ascii="Times New Roman" w:hAnsi="Times New Roman" w:cs="Times New Roman"/>
          <w:sz w:val="24"/>
          <w:szCs w:val="24"/>
        </w:rPr>
        <w:t xml:space="preserve">(druga fala) </w:t>
      </w:r>
      <w:r w:rsidRPr="00A04CED">
        <w:rPr>
          <w:rFonts w:ascii="Times New Roman" w:hAnsi="Times New Roman" w:cs="Times New Roman"/>
          <w:sz w:val="24"/>
          <w:szCs w:val="24"/>
        </w:rPr>
        <w:t xml:space="preserve">– </w:t>
      </w:r>
      <w:r w:rsidR="00BB7F84" w:rsidRPr="00A04CED">
        <w:rPr>
          <w:rFonts w:ascii="Times New Roman" w:hAnsi="Times New Roman" w:cs="Times New Roman"/>
          <w:sz w:val="24"/>
          <w:szCs w:val="24"/>
        </w:rPr>
        <w:t>obowiązek</w:t>
      </w:r>
      <w:r w:rsidRPr="00A04CED">
        <w:rPr>
          <w:rFonts w:ascii="Times New Roman" w:hAnsi="Times New Roman" w:cs="Times New Roman"/>
          <w:sz w:val="24"/>
          <w:szCs w:val="24"/>
        </w:rPr>
        <w:t xml:space="preserve"> raportowa</w:t>
      </w:r>
      <w:r w:rsidR="00BB7F84" w:rsidRPr="00A04CED">
        <w:rPr>
          <w:rFonts w:ascii="Times New Roman" w:hAnsi="Times New Roman" w:cs="Times New Roman"/>
          <w:sz w:val="24"/>
          <w:szCs w:val="24"/>
        </w:rPr>
        <w:t>nia dotyczy</w:t>
      </w:r>
      <w:r w:rsidRPr="00A04CED">
        <w:rPr>
          <w:rFonts w:ascii="Times New Roman" w:hAnsi="Times New Roman" w:cs="Times New Roman"/>
          <w:sz w:val="24"/>
          <w:szCs w:val="24"/>
        </w:rPr>
        <w:t xml:space="preserve"> pozostał</w:t>
      </w:r>
      <w:r w:rsidR="00BB7F84" w:rsidRPr="00A04CED">
        <w:rPr>
          <w:rFonts w:ascii="Times New Roman" w:hAnsi="Times New Roman" w:cs="Times New Roman"/>
          <w:sz w:val="24"/>
          <w:szCs w:val="24"/>
        </w:rPr>
        <w:t>ych</w:t>
      </w:r>
      <w:r w:rsidRPr="00A04CED">
        <w:rPr>
          <w:rFonts w:ascii="Times New Roman" w:hAnsi="Times New Roman" w:cs="Times New Roman"/>
          <w:sz w:val="24"/>
          <w:szCs w:val="24"/>
        </w:rPr>
        <w:t xml:space="preserve"> jednost</w:t>
      </w:r>
      <w:r w:rsidR="00BB7F84" w:rsidRPr="00A04CED">
        <w:rPr>
          <w:rFonts w:ascii="Times New Roman" w:hAnsi="Times New Roman" w:cs="Times New Roman"/>
          <w:sz w:val="24"/>
          <w:szCs w:val="24"/>
        </w:rPr>
        <w:t>e</w:t>
      </w:r>
      <w:r w:rsidRPr="00A04CED">
        <w:rPr>
          <w:rFonts w:ascii="Times New Roman" w:hAnsi="Times New Roman" w:cs="Times New Roman"/>
          <w:sz w:val="24"/>
          <w:szCs w:val="24"/>
        </w:rPr>
        <w:t>k duż</w:t>
      </w:r>
      <w:r w:rsidR="00BB7F84" w:rsidRPr="00A04CED">
        <w:rPr>
          <w:rFonts w:ascii="Times New Roman" w:hAnsi="Times New Roman" w:cs="Times New Roman"/>
          <w:sz w:val="24"/>
          <w:szCs w:val="24"/>
        </w:rPr>
        <w:t>ych</w:t>
      </w:r>
      <w:r w:rsidRPr="00A04CED">
        <w:rPr>
          <w:rFonts w:ascii="Times New Roman" w:hAnsi="Times New Roman" w:cs="Times New Roman"/>
          <w:sz w:val="24"/>
          <w:szCs w:val="24"/>
        </w:rPr>
        <w:t xml:space="preserve"> i pozostał</w:t>
      </w:r>
      <w:r w:rsidR="00BB7F84" w:rsidRPr="00A04CED">
        <w:rPr>
          <w:rFonts w:ascii="Times New Roman" w:hAnsi="Times New Roman" w:cs="Times New Roman"/>
          <w:sz w:val="24"/>
          <w:szCs w:val="24"/>
        </w:rPr>
        <w:t>ych</w:t>
      </w:r>
      <w:r w:rsidRPr="00A04CED">
        <w:rPr>
          <w:rFonts w:ascii="Times New Roman" w:hAnsi="Times New Roman" w:cs="Times New Roman"/>
          <w:sz w:val="24"/>
          <w:szCs w:val="24"/>
        </w:rPr>
        <w:t xml:space="preserve"> duż</w:t>
      </w:r>
      <w:r w:rsidR="00BB7F84" w:rsidRPr="00A04CED">
        <w:rPr>
          <w:rFonts w:ascii="Times New Roman" w:hAnsi="Times New Roman" w:cs="Times New Roman"/>
          <w:sz w:val="24"/>
          <w:szCs w:val="24"/>
        </w:rPr>
        <w:t>ych</w:t>
      </w:r>
      <w:r w:rsidRPr="00A04CED">
        <w:rPr>
          <w:rFonts w:ascii="Times New Roman" w:hAnsi="Times New Roman" w:cs="Times New Roman"/>
          <w:sz w:val="24"/>
          <w:szCs w:val="24"/>
        </w:rPr>
        <w:t xml:space="preserve"> grup;</w:t>
      </w:r>
    </w:p>
    <w:p w14:paraId="554E55CE" w14:textId="37B13283" w:rsidR="00610177" w:rsidRPr="00A04CED" w:rsidRDefault="00610177" w:rsidP="009958B1">
      <w:pPr>
        <w:pStyle w:val="Akapitzlist"/>
        <w:numPr>
          <w:ilvl w:val="0"/>
          <w:numId w:val="4"/>
        </w:numPr>
        <w:spacing w:before="120" w:after="0" w:line="360" w:lineRule="auto"/>
        <w:ind w:left="202" w:hanging="202"/>
        <w:jc w:val="both"/>
        <w:rPr>
          <w:rFonts w:ascii="Times New Roman" w:hAnsi="Times New Roman" w:cs="Times New Roman"/>
          <w:sz w:val="24"/>
          <w:szCs w:val="24"/>
        </w:rPr>
      </w:pPr>
      <w:r w:rsidRPr="00A04CED">
        <w:rPr>
          <w:rFonts w:ascii="Times New Roman" w:hAnsi="Times New Roman" w:cs="Times New Roman"/>
          <w:sz w:val="24"/>
          <w:szCs w:val="24"/>
        </w:rPr>
        <w:t xml:space="preserve">w 2029 r. za rok obrotowy 2028 </w:t>
      </w:r>
      <w:r w:rsidR="00BB7F84" w:rsidRPr="00A04CED">
        <w:rPr>
          <w:rFonts w:ascii="Times New Roman" w:hAnsi="Times New Roman" w:cs="Times New Roman"/>
          <w:sz w:val="24"/>
          <w:szCs w:val="24"/>
        </w:rPr>
        <w:t xml:space="preserve">(trzecia fala) </w:t>
      </w:r>
      <w:r w:rsidRPr="00A04CED">
        <w:rPr>
          <w:rFonts w:ascii="Times New Roman" w:hAnsi="Times New Roman" w:cs="Times New Roman"/>
          <w:sz w:val="24"/>
          <w:szCs w:val="24"/>
        </w:rPr>
        <w:t xml:space="preserve">– </w:t>
      </w:r>
      <w:r w:rsidR="00BB7F84" w:rsidRPr="00A04CED">
        <w:rPr>
          <w:rFonts w:ascii="Times New Roman" w:hAnsi="Times New Roman" w:cs="Times New Roman"/>
          <w:sz w:val="24"/>
          <w:szCs w:val="24"/>
        </w:rPr>
        <w:t>obowiązek</w:t>
      </w:r>
      <w:r w:rsidRPr="00A04CED">
        <w:rPr>
          <w:rFonts w:ascii="Times New Roman" w:hAnsi="Times New Roman" w:cs="Times New Roman"/>
          <w:sz w:val="24"/>
          <w:szCs w:val="24"/>
        </w:rPr>
        <w:t xml:space="preserve"> raportowa</w:t>
      </w:r>
      <w:r w:rsidR="00BB7F84" w:rsidRPr="00A04CED">
        <w:rPr>
          <w:rFonts w:ascii="Times New Roman" w:hAnsi="Times New Roman" w:cs="Times New Roman"/>
          <w:sz w:val="24"/>
          <w:szCs w:val="24"/>
        </w:rPr>
        <w:t>nia dotyczy</w:t>
      </w:r>
      <w:r w:rsidRPr="00A04CED">
        <w:rPr>
          <w:rFonts w:ascii="Times New Roman" w:hAnsi="Times New Roman" w:cs="Times New Roman"/>
          <w:sz w:val="24"/>
          <w:szCs w:val="24"/>
        </w:rPr>
        <w:t xml:space="preserve"> ma</w:t>
      </w:r>
      <w:r w:rsidR="00BB7F84" w:rsidRPr="00A04CED">
        <w:rPr>
          <w:rFonts w:ascii="Times New Roman" w:hAnsi="Times New Roman" w:cs="Times New Roman"/>
          <w:sz w:val="24"/>
          <w:szCs w:val="24"/>
        </w:rPr>
        <w:t>łych</w:t>
      </w:r>
      <w:r w:rsidRPr="00A04CED">
        <w:rPr>
          <w:rFonts w:ascii="Times New Roman" w:hAnsi="Times New Roman" w:cs="Times New Roman"/>
          <w:sz w:val="24"/>
          <w:szCs w:val="24"/>
        </w:rPr>
        <w:t xml:space="preserve"> i średni</w:t>
      </w:r>
      <w:r w:rsidR="00BB7F84" w:rsidRPr="00A04CED">
        <w:rPr>
          <w:rFonts w:ascii="Times New Roman" w:hAnsi="Times New Roman" w:cs="Times New Roman"/>
          <w:sz w:val="24"/>
          <w:szCs w:val="24"/>
        </w:rPr>
        <w:t>ch</w:t>
      </w:r>
      <w:r w:rsidRPr="00A04CED">
        <w:rPr>
          <w:rFonts w:ascii="Times New Roman" w:hAnsi="Times New Roman" w:cs="Times New Roman"/>
          <w:sz w:val="24"/>
          <w:szCs w:val="24"/>
        </w:rPr>
        <w:t xml:space="preserve"> emiten</w:t>
      </w:r>
      <w:r w:rsidR="00BB7F84" w:rsidRPr="00A04CED">
        <w:rPr>
          <w:rFonts w:ascii="Times New Roman" w:hAnsi="Times New Roman" w:cs="Times New Roman"/>
          <w:sz w:val="24"/>
          <w:szCs w:val="24"/>
        </w:rPr>
        <w:t>tów</w:t>
      </w:r>
      <w:r w:rsidRPr="00A04CED">
        <w:rPr>
          <w:rFonts w:ascii="Times New Roman" w:hAnsi="Times New Roman" w:cs="Times New Roman"/>
          <w:sz w:val="24"/>
          <w:szCs w:val="24"/>
        </w:rPr>
        <w:t xml:space="preserve"> z rynku regulowanego. </w:t>
      </w:r>
    </w:p>
    <w:p w14:paraId="5EC71CF8" w14:textId="0E16B237" w:rsidR="00610177" w:rsidRPr="00A04CED" w:rsidRDefault="00610177"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Należy przy tym podkreślić, że pierwotne terminy pierwszego raportowania dla jednostek z drugiego i trzeciego etapu zostały przesunięte o dwa lata zgodnie z dyrektywą 2025/794 (tzw. </w:t>
      </w:r>
      <w:r w:rsidR="005870E9" w:rsidRPr="00E727A1">
        <w:rPr>
          <w:rFonts w:ascii="Times New Roman" w:hAnsi="Times New Roman" w:cs="Times New Roman"/>
          <w:i/>
          <w:iCs/>
          <w:sz w:val="24"/>
          <w:szCs w:val="24"/>
        </w:rPr>
        <w:t xml:space="preserve">dyrektywa </w:t>
      </w:r>
      <w:r w:rsidRPr="00E727A1">
        <w:rPr>
          <w:rFonts w:ascii="Times New Roman" w:hAnsi="Times New Roman" w:cs="Times New Roman"/>
          <w:i/>
          <w:iCs/>
          <w:sz w:val="24"/>
          <w:szCs w:val="24"/>
        </w:rPr>
        <w:t>stop-the-clock</w:t>
      </w:r>
      <w:r w:rsidRPr="00A04CED">
        <w:rPr>
          <w:rFonts w:ascii="Times New Roman" w:hAnsi="Times New Roman" w:cs="Times New Roman"/>
          <w:sz w:val="24"/>
          <w:szCs w:val="24"/>
        </w:rPr>
        <w:t>)</w:t>
      </w:r>
      <w:r w:rsidR="00AC0EB0" w:rsidRPr="00A04CED">
        <w:rPr>
          <w:rStyle w:val="Odwoanieprzypisudolnego"/>
          <w:rFonts w:ascii="Times New Roman" w:hAnsi="Times New Roman" w:cs="Times New Roman"/>
          <w:sz w:val="24"/>
          <w:szCs w:val="24"/>
        </w:rPr>
        <w:footnoteReference w:id="3"/>
      </w:r>
      <w:r w:rsidRPr="00A04CED">
        <w:rPr>
          <w:rFonts w:ascii="Times New Roman" w:hAnsi="Times New Roman" w:cs="Times New Roman"/>
          <w:sz w:val="24"/>
          <w:szCs w:val="24"/>
        </w:rPr>
        <w:t xml:space="preserve"> wdrożoną już do </w:t>
      </w:r>
      <w:r w:rsidR="00AC0EB0" w:rsidRPr="00A04CED">
        <w:rPr>
          <w:rFonts w:ascii="Times New Roman" w:hAnsi="Times New Roman" w:cs="Times New Roman"/>
          <w:sz w:val="24"/>
          <w:szCs w:val="24"/>
        </w:rPr>
        <w:t>prawa</w:t>
      </w:r>
      <w:r w:rsidRPr="00A04CED">
        <w:rPr>
          <w:rFonts w:ascii="Times New Roman" w:hAnsi="Times New Roman" w:cs="Times New Roman"/>
          <w:sz w:val="24"/>
          <w:szCs w:val="24"/>
        </w:rPr>
        <w:t xml:space="preserve"> krajow</w:t>
      </w:r>
      <w:r w:rsidR="00AC0EB0" w:rsidRPr="00A04CED">
        <w:rPr>
          <w:rFonts w:ascii="Times New Roman" w:hAnsi="Times New Roman" w:cs="Times New Roman"/>
          <w:sz w:val="24"/>
          <w:szCs w:val="24"/>
        </w:rPr>
        <w:t>ego ustawą z dnia 9 lipca 2025 r.</w:t>
      </w:r>
      <w:r w:rsidRPr="00A04CED">
        <w:rPr>
          <w:rStyle w:val="Odwoanieprzypisudolnego"/>
          <w:rFonts w:ascii="Times New Roman" w:hAnsi="Times New Roman" w:cs="Times New Roman"/>
          <w:sz w:val="24"/>
          <w:szCs w:val="24"/>
        </w:rPr>
        <w:footnoteReference w:id="4"/>
      </w:r>
    </w:p>
    <w:p w14:paraId="17AF4B5C" w14:textId="42E2BFC5" w:rsidR="00610177" w:rsidRPr="00A04CED" w:rsidRDefault="00610177"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W ramach nadrzędnego celu </w:t>
      </w:r>
      <w:r w:rsidR="00AC0EB0" w:rsidRPr="00A04CED">
        <w:rPr>
          <w:rFonts w:ascii="Times New Roman" w:hAnsi="Times New Roman" w:cs="Times New Roman"/>
          <w:sz w:val="24"/>
          <w:szCs w:val="24"/>
        </w:rPr>
        <w:t xml:space="preserve">znoszenia nadmiernych obciążeń biurokratycznych i administracyjnych dla przedsiębiorców w UE oraz </w:t>
      </w:r>
      <w:r w:rsidRPr="00A04CED">
        <w:rPr>
          <w:rFonts w:ascii="Times New Roman" w:hAnsi="Times New Roman" w:cs="Times New Roman"/>
          <w:sz w:val="24"/>
          <w:szCs w:val="24"/>
        </w:rPr>
        <w:t>poprawy</w:t>
      </w:r>
      <w:r w:rsidR="00AC0EB0" w:rsidRPr="00A04CED">
        <w:rPr>
          <w:rFonts w:ascii="Times New Roman" w:hAnsi="Times New Roman" w:cs="Times New Roman"/>
          <w:sz w:val="24"/>
          <w:szCs w:val="24"/>
        </w:rPr>
        <w:t xml:space="preserve"> ich</w:t>
      </w:r>
      <w:r w:rsidRPr="00A04CED">
        <w:rPr>
          <w:rFonts w:ascii="Times New Roman" w:hAnsi="Times New Roman" w:cs="Times New Roman"/>
          <w:sz w:val="24"/>
          <w:szCs w:val="24"/>
        </w:rPr>
        <w:t xml:space="preserve"> konkurencyjności, szczególnie w kontekście rosnącej presji konkurencyjnej ze strony państw spoza UE, 26 lutego 2025 r. Komisja Europejska (KE) przedstawiła pakiet uproszczeń w obszarze zrównoważonego rozwoju, tzw. Omnibus I. Uproszczenia w zakresie </w:t>
      </w:r>
      <w:r w:rsidR="000E39A0" w:rsidRPr="00A04CED">
        <w:rPr>
          <w:rFonts w:ascii="Times New Roman" w:hAnsi="Times New Roman" w:cs="Times New Roman"/>
          <w:sz w:val="24"/>
          <w:szCs w:val="24"/>
        </w:rPr>
        <w:t>sprawozdawczości ESG</w:t>
      </w:r>
      <w:r w:rsidRPr="00A04CED">
        <w:rPr>
          <w:rFonts w:ascii="Times New Roman" w:hAnsi="Times New Roman" w:cs="Times New Roman"/>
          <w:sz w:val="24"/>
          <w:szCs w:val="24"/>
        </w:rPr>
        <w:t xml:space="preserve"> zawarto w dwóch projektach aktów prawnych</w:t>
      </w:r>
      <w:r w:rsidR="000E39A0" w:rsidRPr="00A04CED">
        <w:rPr>
          <w:rFonts w:ascii="Times New Roman" w:hAnsi="Times New Roman" w:cs="Times New Roman"/>
          <w:sz w:val="24"/>
          <w:szCs w:val="24"/>
        </w:rPr>
        <w:t xml:space="preserve"> (które zostały już wynegocjowane i przyjęte)</w:t>
      </w:r>
      <w:r w:rsidRPr="00A04CED">
        <w:rPr>
          <w:rFonts w:ascii="Times New Roman" w:hAnsi="Times New Roman" w:cs="Times New Roman"/>
          <w:sz w:val="24"/>
          <w:szCs w:val="24"/>
        </w:rPr>
        <w:t>, tj. w:</w:t>
      </w:r>
    </w:p>
    <w:p w14:paraId="3AEAC62A" w14:textId="0FE3C482" w:rsidR="00610177" w:rsidRPr="00A04CED" w:rsidRDefault="00610177" w:rsidP="009958B1">
      <w:pPr>
        <w:pStyle w:val="Akapitzlist"/>
        <w:numPr>
          <w:ilvl w:val="0"/>
          <w:numId w:val="4"/>
        </w:numPr>
        <w:spacing w:before="120" w:after="0" w:line="360" w:lineRule="auto"/>
        <w:ind w:left="202" w:hanging="202"/>
        <w:jc w:val="both"/>
        <w:rPr>
          <w:rFonts w:ascii="Times New Roman" w:hAnsi="Times New Roman" w:cs="Times New Roman"/>
          <w:sz w:val="24"/>
          <w:szCs w:val="24"/>
        </w:rPr>
      </w:pPr>
      <w:r w:rsidRPr="00A04CED">
        <w:rPr>
          <w:rFonts w:ascii="Times New Roman" w:hAnsi="Times New Roman" w:cs="Times New Roman"/>
          <w:sz w:val="24"/>
          <w:szCs w:val="24"/>
        </w:rPr>
        <w:t>dyrektywie 2025/794 (</w:t>
      </w:r>
      <w:r w:rsidR="000E39A0" w:rsidRPr="00A04CED">
        <w:rPr>
          <w:rFonts w:ascii="Times New Roman" w:hAnsi="Times New Roman" w:cs="Times New Roman"/>
          <w:sz w:val="24"/>
          <w:szCs w:val="24"/>
        </w:rPr>
        <w:t>wspomniana</w:t>
      </w:r>
      <w:r w:rsidRPr="00A04CED">
        <w:rPr>
          <w:rFonts w:ascii="Times New Roman" w:hAnsi="Times New Roman" w:cs="Times New Roman"/>
          <w:sz w:val="24"/>
          <w:szCs w:val="24"/>
        </w:rPr>
        <w:t xml:space="preserve"> </w:t>
      </w:r>
      <w:r w:rsidRPr="00E727A1">
        <w:rPr>
          <w:rFonts w:ascii="Times New Roman" w:hAnsi="Times New Roman" w:cs="Times New Roman"/>
          <w:i/>
          <w:iCs/>
          <w:sz w:val="24"/>
          <w:szCs w:val="24"/>
        </w:rPr>
        <w:t>stop-the-clock</w:t>
      </w:r>
      <w:r w:rsidRPr="00A04CED">
        <w:rPr>
          <w:rFonts w:ascii="Times New Roman" w:hAnsi="Times New Roman" w:cs="Times New Roman"/>
          <w:sz w:val="24"/>
          <w:szCs w:val="24"/>
        </w:rPr>
        <w:t>) – jak wskazano powyżej została już wdrożona</w:t>
      </w:r>
      <w:r w:rsidR="000E39A0" w:rsidRPr="00A04CED">
        <w:rPr>
          <w:rFonts w:ascii="Times New Roman" w:hAnsi="Times New Roman" w:cs="Times New Roman"/>
          <w:sz w:val="24"/>
          <w:szCs w:val="24"/>
        </w:rPr>
        <w:t xml:space="preserve"> do prawa krajowego</w:t>
      </w:r>
      <w:r w:rsidRPr="00A04CED">
        <w:rPr>
          <w:rFonts w:ascii="Times New Roman" w:hAnsi="Times New Roman" w:cs="Times New Roman"/>
          <w:sz w:val="24"/>
          <w:szCs w:val="24"/>
        </w:rPr>
        <w:t>;</w:t>
      </w:r>
    </w:p>
    <w:p w14:paraId="5BC10682" w14:textId="77777777" w:rsidR="00610177" w:rsidRPr="00A04CED" w:rsidRDefault="00610177" w:rsidP="009958B1">
      <w:pPr>
        <w:pStyle w:val="Akapitzlist"/>
        <w:numPr>
          <w:ilvl w:val="0"/>
          <w:numId w:val="4"/>
        </w:numPr>
        <w:spacing w:before="120" w:after="0" w:line="360" w:lineRule="auto"/>
        <w:ind w:left="202" w:hanging="202"/>
        <w:jc w:val="both"/>
        <w:rPr>
          <w:rFonts w:ascii="Times New Roman" w:hAnsi="Times New Roman" w:cs="Times New Roman"/>
          <w:sz w:val="24"/>
          <w:szCs w:val="24"/>
        </w:rPr>
      </w:pPr>
      <w:r w:rsidRPr="00A04CED">
        <w:rPr>
          <w:rFonts w:ascii="Times New Roman" w:hAnsi="Times New Roman" w:cs="Times New Roman"/>
          <w:sz w:val="24"/>
          <w:szCs w:val="24"/>
        </w:rPr>
        <w:t>dyrektywie 2026/470 – wprowadza zmiany merytoryczne w zakresie sprawozdawczości zrównoważonego rozwoju mające na celu jej uproszczenie.</w:t>
      </w:r>
    </w:p>
    <w:p w14:paraId="4F3109C0" w14:textId="77777777" w:rsidR="00BF2395" w:rsidRPr="00A04CED" w:rsidRDefault="00BF2395" w:rsidP="009958B1">
      <w:pPr>
        <w:spacing w:before="120" w:after="0" w:line="360" w:lineRule="auto"/>
        <w:jc w:val="both"/>
        <w:rPr>
          <w:rFonts w:ascii="Times New Roman" w:hAnsi="Times New Roman" w:cs="Times New Roman"/>
          <w:sz w:val="24"/>
          <w:szCs w:val="24"/>
          <w:lang w:eastAsia="pl-PL"/>
        </w:rPr>
      </w:pPr>
      <w:r w:rsidRPr="00A04CED">
        <w:rPr>
          <w:rFonts w:ascii="Times New Roman" w:hAnsi="Times New Roman" w:cs="Times New Roman"/>
          <w:sz w:val="24"/>
          <w:szCs w:val="24"/>
          <w:lang w:eastAsia="pl-PL"/>
        </w:rPr>
        <w:t>W szczególności dyrektywa 2026/470 przewiduje m.in.:</w:t>
      </w:r>
    </w:p>
    <w:p w14:paraId="274FEE55" w14:textId="40E1D197" w:rsidR="00BF2395" w:rsidRPr="00FB3816" w:rsidRDefault="00BF2395" w:rsidP="009958B1">
      <w:pPr>
        <w:numPr>
          <w:ilvl w:val="0"/>
          <w:numId w:val="4"/>
        </w:numPr>
        <w:spacing w:before="120" w:after="0" w:line="360" w:lineRule="auto"/>
        <w:ind w:left="204" w:hanging="204"/>
        <w:jc w:val="both"/>
        <w:rPr>
          <w:rFonts w:ascii="Times New Roman" w:hAnsi="Times New Roman" w:cs="Times New Roman"/>
          <w:sz w:val="24"/>
          <w:szCs w:val="24"/>
        </w:rPr>
      </w:pPr>
      <w:r w:rsidRPr="00A04CED">
        <w:rPr>
          <w:rFonts w:ascii="Times New Roman" w:hAnsi="Times New Roman" w:cs="Times New Roman"/>
          <w:sz w:val="24"/>
          <w:szCs w:val="24"/>
        </w:rPr>
        <w:t xml:space="preserve">istotne zawężenie zakresu jednostek zobowiązanych do sporządzania sprawozdawczości zrównoważonego rozwoju </w:t>
      </w:r>
      <w:r w:rsidR="00FB3816">
        <w:rPr>
          <w:rFonts w:ascii="Times New Roman" w:hAnsi="Times New Roman" w:cs="Times New Roman"/>
          <w:sz w:val="24"/>
          <w:szCs w:val="24"/>
        </w:rPr>
        <w:t>–</w:t>
      </w:r>
      <w:r w:rsidRPr="00A04CED">
        <w:rPr>
          <w:rFonts w:ascii="Times New Roman" w:hAnsi="Times New Roman" w:cs="Times New Roman"/>
          <w:sz w:val="24"/>
          <w:szCs w:val="24"/>
        </w:rPr>
        <w:t xml:space="preserve"> </w:t>
      </w:r>
      <w:r w:rsidRPr="00FB3816">
        <w:rPr>
          <w:rFonts w:ascii="Times New Roman" w:hAnsi="Times New Roman" w:cs="Times New Roman"/>
          <w:sz w:val="24"/>
          <w:szCs w:val="24"/>
        </w:rPr>
        <w:t>do jednostek i grup kapitałowych, w których zatrudnienie przekracza 1000 pracowników, a przychody netto ze sprzedaży przekraczają 450 mln euro rocznie (w przypadku Polski oznacza to redukcję o około 90% liczby jednostek zobowiązanych do sprawozdawczości ESG w porównaniu z zakresem jednostek wprowadzonym pierwotnie dyrektywą CSRD);</w:t>
      </w:r>
    </w:p>
    <w:p w14:paraId="4076F5B7" w14:textId="77777777" w:rsidR="00BF2395" w:rsidRPr="00A04CED" w:rsidRDefault="00BF2395" w:rsidP="009958B1">
      <w:pPr>
        <w:numPr>
          <w:ilvl w:val="0"/>
          <w:numId w:val="4"/>
        </w:numPr>
        <w:spacing w:before="120" w:after="0" w:line="360" w:lineRule="auto"/>
        <w:ind w:left="202" w:hanging="202"/>
        <w:contextualSpacing/>
        <w:jc w:val="both"/>
        <w:rPr>
          <w:rFonts w:ascii="Times New Roman" w:hAnsi="Times New Roman" w:cs="Times New Roman"/>
          <w:sz w:val="24"/>
          <w:szCs w:val="24"/>
        </w:rPr>
      </w:pPr>
      <w:r w:rsidRPr="00A04CED">
        <w:rPr>
          <w:rFonts w:ascii="Times New Roman" w:hAnsi="Times New Roman" w:cs="Times New Roman"/>
          <w:sz w:val="24"/>
          <w:szCs w:val="24"/>
        </w:rPr>
        <w:lastRenderedPageBreak/>
        <w:t>zwolnienie finansowych jednostek holdingowych ze sprawozdawczości ESG na poziomie grupy;</w:t>
      </w:r>
    </w:p>
    <w:p w14:paraId="2EBD4838" w14:textId="77777777" w:rsidR="00BF2395" w:rsidRPr="00A04CED" w:rsidRDefault="00BF2395" w:rsidP="009958B1">
      <w:pPr>
        <w:numPr>
          <w:ilvl w:val="0"/>
          <w:numId w:val="4"/>
        </w:numPr>
        <w:spacing w:before="120" w:after="0" w:line="360" w:lineRule="auto"/>
        <w:ind w:left="204" w:hanging="204"/>
        <w:jc w:val="both"/>
        <w:rPr>
          <w:rFonts w:ascii="Times New Roman" w:hAnsi="Times New Roman" w:cs="Times New Roman"/>
          <w:sz w:val="24"/>
          <w:szCs w:val="24"/>
        </w:rPr>
      </w:pPr>
      <w:r w:rsidRPr="00A04CED">
        <w:rPr>
          <w:rFonts w:ascii="Times New Roman" w:hAnsi="Times New Roman" w:cs="Times New Roman"/>
          <w:sz w:val="24"/>
          <w:szCs w:val="24"/>
        </w:rPr>
        <w:t>uzupełnienie przepisów umożliwiających jednostkom pomijanie informacji ujawnianych w sprawozdawczości ESG, w szczególności informacji niejawnych, informacji stanowiących tajemnicę przedsiębiorstwa oraz informacji wrażliwych, których ujawnienie mogłoby niekorzystnie wpływać na pozycję rynkową jednostki;</w:t>
      </w:r>
    </w:p>
    <w:p w14:paraId="2E8864E9" w14:textId="77777777" w:rsidR="00BF2395" w:rsidRPr="00A04CED" w:rsidRDefault="00BF2395" w:rsidP="009958B1">
      <w:pPr>
        <w:numPr>
          <w:ilvl w:val="0"/>
          <w:numId w:val="4"/>
        </w:numPr>
        <w:spacing w:before="120" w:after="0" w:line="360" w:lineRule="auto"/>
        <w:ind w:left="204" w:hanging="204"/>
        <w:jc w:val="both"/>
        <w:rPr>
          <w:rFonts w:ascii="Times New Roman" w:hAnsi="Times New Roman" w:cs="Times New Roman"/>
          <w:sz w:val="24"/>
          <w:szCs w:val="24"/>
          <w:lang w:eastAsia="pl-PL"/>
        </w:rPr>
      </w:pPr>
      <w:r w:rsidRPr="00A04CED">
        <w:rPr>
          <w:rFonts w:ascii="Times New Roman" w:hAnsi="Times New Roman" w:cs="Times New Roman"/>
          <w:sz w:val="24"/>
          <w:szCs w:val="24"/>
        </w:rPr>
        <w:t>wprowadzenie limitu informacji, których jednostki sporządzające sprawozdawczość ESG będą mogły żądać od określonych jednostek w ramach swojego łańcucha</w:t>
      </w:r>
      <w:r w:rsidRPr="00A04CED">
        <w:rPr>
          <w:rFonts w:ascii="Times New Roman" w:hAnsi="Times New Roman" w:cs="Times New Roman"/>
          <w:sz w:val="24"/>
          <w:szCs w:val="24"/>
          <w:lang w:eastAsia="pl-PL"/>
        </w:rPr>
        <w:t xml:space="preserve"> wartości (tzw. </w:t>
      </w:r>
      <w:r w:rsidRPr="00E727A1">
        <w:rPr>
          <w:rFonts w:ascii="Times New Roman" w:hAnsi="Times New Roman" w:cs="Times New Roman"/>
          <w:i/>
          <w:iCs/>
          <w:sz w:val="24"/>
          <w:szCs w:val="24"/>
          <w:lang w:eastAsia="pl-PL"/>
        </w:rPr>
        <w:t>value chain cap</w:t>
      </w:r>
      <w:r w:rsidRPr="00A04CED">
        <w:rPr>
          <w:rFonts w:ascii="Times New Roman" w:hAnsi="Times New Roman" w:cs="Times New Roman"/>
          <w:sz w:val="24"/>
          <w:szCs w:val="24"/>
          <w:lang w:eastAsia="pl-PL"/>
        </w:rPr>
        <w:t>);</w:t>
      </w:r>
    </w:p>
    <w:p w14:paraId="41940CF2" w14:textId="3232763B" w:rsidR="00BF2395" w:rsidRPr="00A04CED" w:rsidRDefault="00BF2395" w:rsidP="009958B1">
      <w:pPr>
        <w:numPr>
          <w:ilvl w:val="0"/>
          <w:numId w:val="4"/>
        </w:numPr>
        <w:spacing w:before="120" w:after="0" w:line="360" w:lineRule="auto"/>
        <w:ind w:left="204" w:hanging="204"/>
        <w:jc w:val="both"/>
        <w:rPr>
          <w:rFonts w:ascii="Times New Roman" w:hAnsi="Times New Roman" w:cs="Times New Roman"/>
          <w:sz w:val="24"/>
          <w:szCs w:val="24"/>
          <w:lang w:eastAsia="pl-PL"/>
        </w:rPr>
      </w:pPr>
      <w:r w:rsidRPr="00A04CED">
        <w:rPr>
          <w:rFonts w:ascii="Times New Roman" w:hAnsi="Times New Roman" w:cs="Times New Roman"/>
          <w:sz w:val="24"/>
          <w:szCs w:val="24"/>
        </w:rPr>
        <w:t>zmiany w przepisach dotyczących sprawozdawczości ESG spółek z państw trzecich: zawężenie zakresu unijnych jednostek zależnych i oddziałów zobowiązanych do publikacji sprawozdawczości ESG spółek z państw trzecich; podniesienie wysokości przychodów netto ze sprzedaży generowanych na terenie UE przez spółki z państw trzecich, które uruchamia obowiązek publikacji ich sprawozdawczości ESG przez unijne jednostki zależne i oddziały; zwolnienie z ww. obowiązku publikacji sprawozdawczości ESG na poziomie grupy</w:t>
      </w:r>
      <w:r w:rsidR="00FB3816">
        <w:rPr>
          <w:rFonts w:ascii="Times New Roman" w:hAnsi="Times New Roman" w:cs="Times New Roman"/>
          <w:sz w:val="24"/>
          <w:szCs w:val="24"/>
        </w:rPr>
        <w:t>,</w:t>
      </w:r>
      <w:r w:rsidRPr="00A04CED">
        <w:rPr>
          <w:rFonts w:ascii="Times New Roman" w:hAnsi="Times New Roman" w:cs="Times New Roman"/>
          <w:sz w:val="24"/>
          <w:szCs w:val="24"/>
        </w:rPr>
        <w:t xml:space="preserve"> w przypadku gdy spółka z państwa trzeciego jest finansową jednostką holdingową;</w:t>
      </w:r>
    </w:p>
    <w:p w14:paraId="67C172A2" w14:textId="77777777" w:rsidR="00BF2395" w:rsidRPr="00A04CED" w:rsidRDefault="00BF2395" w:rsidP="009958B1">
      <w:pPr>
        <w:numPr>
          <w:ilvl w:val="0"/>
          <w:numId w:val="4"/>
        </w:numPr>
        <w:spacing w:before="120" w:after="0" w:line="360" w:lineRule="auto"/>
        <w:ind w:left="204" w:hanging="204"/>
        <w:jc w:val="both"/>
        <w:rPr>
          <w:rFonts w:ascii="Times New Roman" w:hAnsi="Times New Roman" w:cs="Times New Roman"/>
          <w:sz w:val="24"/>
          <w:szCs w:val="24"/>
          <w:lang w:eastAsia="pl-PL"/>
        </w:rPr>
      </w:pPr>
      <w:r w:rsidRPr="00A04CED">
        <w:rPr>
          <w:rFonts w:ascii="Times New Roman" w:hAnsi="Times New Roman" w:cs="Times New Roman"/>
          <w:sz w:val="24"/>
          <w:szCs w:val="24"/>
        </w:rPr>
        <w:t>dodanie</w:t>
      </w:r>
      <w:r w:rsidRPr="00A04CED">
        <w:rPr>
          <w:rFonts w:ascii="Times New Roman" w:hAnsi="Times New Roman" w:cs="Times New Roman"/>
          <w:sz w:val="24"/>
          <w:szCs w:val="24"/>
          <w:lang w:eastAsia="pl-PL"/>
        </w:rPr>
        <w:t xml:space="preserve"> przepisów przejściowych dotyczących rejestracji biegłych rewidentów i firm audytorskich z państw trzecich przeprowadzających atestację sprawozdawczości ESG spółek z państw trzecich notowanych na rynkach </w:t>
      </w:r>
      <w:r w:rsidRPr="00A04CED">
        <w:rPr>
          <w:rFonts w:ascii="Times New Roman" w:hAnsi="Times New Roman" w:cs="Times New Roman"/>
          <w:sz w:val="24"/>
          <w:szCs w:val="24"/>
        </w:rPr>
        <w:t>regulowanych</w:t>
      </w:r>
      <w:r w:rsidRPr="00A04CED">
        <w:rPr>
          <w:rFonts w:ascii="Times New Roman" w:hAnsi="Times New Roman" w:cs="Times New Roman"/>
          <w:sz w:val="24"/>
          <w:szCs w:val="24"/>
          <w:lang w:eastAsia="pl-PL"/>
        </w:rPr>
        <w:t xml:space="preserve"> w UE;</w:t>
      </w:r>
    </w:p>
    <w:p w14:paraId="03579F13" w14:textId="77777777" w:rsidR="00BF2395" w:rsidRPr="00A04CED" w:rsidRDefault="00BF2395" w:rsidP="009958B1">
      <w:pPr>
        <w:pStyle w:val="Akapitzlist"/>
        <w:numPr>
          <w:ilvl w:val="0"/>
          <w:numId w:val="4"/>
        </w:numPr>
        <w:spacing w:before="120" w:after="0" w:line="360" w:lineRule="auto"/>
        <w:ind w:left="204" w:hanging="204"/>
        <w:jc w:val="both"/>
        <w:rPr>
          <w:rFonts w:ascii="Times New Roman" w:hAnsi="Times New Roman" w:cs="Times New Roman"/>
          <w:sz w:val="24"/>
          <w:szCs w:val="24"/>
          <w:lang w:eastAsia="pl-PL"/>
        </w:rPr>
      </w:pPr>
      <w:r w:rsidRPr="00A04CED">
        <w:rPr>
          <w:rFonts w:ascii="Times New Roman" w:hAnsi="Times New Roman" w:cs="Times New Roman"/>
          <w:sz w:val="24"/>
          <w:szCs w:val="24"/>
        </w:rPr>
        <w:t>rezygnację</w:t>
      </w:r>
      <w:r w:rsidRPr="00A04CED">
        <w:rPr>
          <w:rFonts w:ascii="Times New Roman" w:hAnsi="Times New Roman" w:cs="Times New Roman"/>
          <w:sz w:val="24"/>
          <w:szCs w:val="24"/>
          <w:lang w:eastAsia="pl-PL"/>
        </w:rPr>
        <w:t xml:space="preserve"> z docelowo przewidzianej atestacji sprawozdawczości ESG przez biegłych rewidentów na poziomie wystarczającego zapewnienia (ang. </w:t>
      </w:r>
      <w:r w:rsidRPr="00A04CED">
        <w:rPr>
          <w:rFonts w:ascii="Times New Roman" w:hAnsi="Times New Roman" w:cs="Times New Roman"/>
          <w:i/>
          <w:iCs/>
          <w:sz w:val="24"/>
          <w:szCs w:val="24"/>
          <w:lang w:eastAsia="pl-PL"/>
        </w:rPr>
        <w:t>reasonable assurance</w:t>
      </w:r>
      <w:r w:rsidRPr="00A04CED">
        <w:rPr>
          <w:rFonts w:ascii="Times New Roman" w:hAnsi="Times New Roman" w:cs="Times New Roman"/>
          <w:sz w:val="24"/>
          <w:szCs w:val="24"/>
          <w:lang w:eastAsia="pl-PL"/>
        </w:rPr>
        <w:t xml:space="preserve">) i pozostawienie jej na poziomie ograniczonego </w:t>
      </w:r>
      <w:r w:rsidRPr="00A04CED">
        <w:rPr>
          <w:rFonts w:ascii="Times New Roman" w:hAnsi="Times New Roman" w:cs="Times New Roman"/>
          <w:sz w:val="24"/>
          <w:szCs w:val="24"/>
        </w:rPr>
        <w:t>zapewnienia</w:t>
      </w:r>
      <w:r w:rsidRPr="00A04CED">
        <w:rPr>
          <w:rFonts w:ascii="Times New Roman" w:hAnsi="Times New Roman" w:cs="Times New Roman"/>
          <w:sz w:val="24"/>
          <w:szCs w:val="24"/>
          <w:lang w:eastAsia="pl-PL"/>
        </w:rPr>
        <w:t xml:space="preserve"> (ang. </w:t>
      </w:r>
      <w:r w:rsidRPr="00A04CED">
        <w:rPr>
          <w:rFonts w:ascii="Times New Roman" w:hAnsi="Times New Roman" w:cs="Times New Roman"/>
          <w:i/>
          <w:iCs/>
          <w:sz w:val="24"/>
          <w:szCs w:val="24"/>
          <w:lang w:eastAsia="pl-PL"/>
        </w:rPr>
        <w:t>limited assurance</w:t>
      </w:r>
      <w:r w:rsidRPr="00A04CED">
        <w:rPr>
          <w:rFonts w:ascii="Times New Roman" w:hAnsi="Times New Roman" w:cs="Times New Roman"/>
          <w:sz w:val="24"/>
          <w:szCs w:val="24"/>
          <w:lang w:eastAsia="pl-PL"/>
        </w:rPr>
        <w:t>);</w:t>
      </w:r>
    </w:p>
    <w:p w14:paraId="537E56CC" w14:textId="77777777" w:rsidR="00BF2395" w:rsidRPr="00A04CED" w:rsidRDefault="00BF2395" w:rsidP="009958B1">
      <w:pPr>
        <w:pStyle w:val="Akapitzlist"/>
        <w:numPr>
          <w:ilvl w:val="0"/>
          <w:numId w:val="4"/>
        </w:numPr>
        <w:spacing w:before="120" w:after="0" w:line="360" w:lineRule="auto"/>
        <w:ind w:left="204" w:hanging="204"/>
        <w:jc w:val="both"/>
        <w:rPr>
          <w:rFonts w:ascii="Times New Roman" w:hAnsi="Times New Roman" w:cs="Times New Roman"/>
          <w:sz w:val="24"/>
          <w:szCs w:val="24"/>
          <w:lang w:eastAsia="pl-PL"/>
        </w:rPr>
      </w:pPr>
      <w:r w:rsidRPr="00A04CED">
        <w:rPr>
          <w:rFonts w:ascii="Times New Roman" w:hAnsi="Times New Roman" w:cs="Times New Roman"/>
          <w:sz w:val="24"/>
          <w:szCs w:val="24"/>
          <w:u w:val="single"/>
        </w:rPr>
        <w:t xml:space="preserve">umożliwienie państwom członkowskim zwolnienie jednostek z pierwszej fali, które znajdą się poza nowym zakresem jednostek zobowiązanych do raportowania, z raportowania za lata obrotowe 2025 i 2026 </w:t>
      </w:r>
      <w:r w:rsidRPr="00A04CED">
        <w:rPr>
          <w:rFonts w:ascii="Times New Roman" w:hAnsi="Times New Roman" w:cs="Times New Roman"/>
          <w:sz w:val="24"/>
          <w:szCs w:val="24"/>
        </w:rPr>
        <w:t>– dalej „opcja zwolnienia”</w:t>
      </w:r>
      <w:r w:rsidRPr="00A04CED">
        <w:rPr>
          <w:rFonts w:ascii="Times New Roman" w:hAnsi="Times New Roman" w:cs="Times New Roman"/>
          <w:sz w:val="24"/>
          <w:szCs w:val="24"/>
          <w:lang w:eastAsia="pl-PL"/>
        </w:rPr>
        <w:t>.</w:t>
      </w:r>
    </w:p>
    <w:p w14:paraId="252315C0" w14:textId="77777777" w:rsidR="00BF2395" w:rsidRPr="00A04CED" w:rsidRDefault="00BF2395"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W celu zapewnienia sprawnego wdrożenia opcji zwolnienia podjęto decyzję, aby wdrożenie dyrektywy 2026/470 w zakresie zmian do sprawozdawczości ESG nastąpiło w dwóch etapach:</w:t>
      </w:r>
    </w:p>
    <w:p w14:paraId="4E0635DB" w14:textId="77777777" w:rsidR="00BF2395" w:rsidRPr="00A04CED" w:rsidRDefault="00BF2395" w:rsidP="009958B1">
      <w:pPr>
        <w:pStyle w:val="Akapitzlist"/>
        <w:numPr>
          <w:ilvl w:val="0"/>
          <w:numId w:val="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w pierwszym – wdrożenie opcji zwolnienia (art. 3 pkt 1 lit. c) dyrektywy 2026/470),</w:t>
      </w:r>
    </w:p>
    <w:p w14:paraId="5F4CED12" w14:textId="5F20A06B" w:rsidR="00BF2395" w:rsidRPr="009958B1" w:rsidRDefault="00BF2395" w:rsidP="009958B1">
      <w:pPr>
        <w:pStyle w:val="Akapitzlist"/>
        <w:numPr>
          <w:ilvl w:val="0"/>
          <w:numId w:val="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w drugim </w:t>
      </w:r>
      <w:r w:rsidR="009F4D5A">
        <w:rPr>
          <w:rFonts w:ascii="Times New Roman" w:hAnsi="Times New Roman" w:cs="Times New Roman"/>
          <w:sz w:val="24"/>
          <w:szCs w:val="24"/>
        </w:rPr>
        <w:t>–</w:t>
      </w:r>
      <w:r w:rsidRPr="00A04CED">
        <w:rPr>
          <w:rFonts w:ascii="Times New Roman" w:hAnsi="Times New Roman" w:cs="Times New Roman"/>
          <w:sz w:val="24"/>
          <w:szCs w:val="24"/>
        </w:rPr>
        <w:t xml:space="preserve"> </w:t>
      </w:r>
      <w:r w:rsidRPr="009958B1">
        <w:rPr>
          <w:rFonts w:ascii="Times New Roman" w:hAnsi="Times New Roman" w:cs="Times New Roman"/>
          <w:sz w:val="24"/>
          <w:szCs w:val="24"/>
        </w:rPr>
        <w:t>wdrożenie pozostałych zmian wynikających z art. 1</w:t>
      </w:r>
      <w:r w:rsidR="009F4D5A">
        <w:rPr>
          <w:rFonts w:ascii="Times New Roman" w:hAnsi="Times New Roman" w:cs="Times New Roman"/>
          <w:sz w:val="24"/>
          <w:szCs w:val="24"/>
        </w:rPr>
        <w:t>–</w:t>
      </w:r>
      <w:r w:rsidRPr="009958B1">
        <w:rPr>
          <w:rFonts w:ascii="Times New Roman" w:hAnsi="Times New Roman" w:cs="Times New Roman"/>
          <w:sz w:val="24"/>
          <w:szCs w:val="24"/>
        </w:rPr>
        <w:t>3 dyrektywy 2026/470.</w:t>
      </w:r>
    </w:p>
    <w:p w14:paraId="252FB591" w14:textId="77777777" w:rsidR="00BF2395" w:rsidRPr="00A04CED" w:rsidRDefault="00BF2395"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lastRenderedPageBreak/>
        <w:t>Opcja zwolnienia została już wdrożona do prawa krajowego ustawą z dnia 27 lutego 2026 r.</w:t>
      </w:r>
      <w:r w:rsidRPr="00A04CED">
        <w:rPr>
          <w:rStyle w:val="Odwoanieprzypisudolnego"/>
          <w:rFonts w:ascii="Times New Roman" w:hAnsi="Times New Roman" w:cs="Times New Roman"/>
          <w:sz w:val="24"/>
          <w:szCs w:val="24"/>
        </w:rPr>
        <w:footnoteReference w:id="5"/>
      </w:r>
    </w:p>
    <w:p w14:paraId="53647763" w14:textId="16C258A5" w:rsidR="00610177" w:rsidRPr="00A04CED" w:rsidRDefault="00590A10"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Obecnie</w:t>
      </w:r>
      <w:r w:rsidR="00610177" w:rsidRPr="00A04CED">
        <w:rPr>
          <w:rFonts w:ascii="Times New Roman" w:hAnsi="Times New Roman" w:cs="Times New Roman"/>
          <w:sz w:val="24"/>
          <w:szCs w:val="24"/>
        </w:rPr>
        <w:t xml:space="preserve"> zachodzi potrzeba wdrożenia</w:t>
      </w:r>
      <w:r w:rsidRPr="00A04CED">
        <w:rPr>
          <w:rFonts w:ascii="Times New Roman" w:hAnsi="Times New Roman" w:cs="Times New Roman"/>
          <w:sz w:val="24"/>
          <w:szCs w:val="24"/>
        </w:rPr>
        <w:t xml:space="preserve"> wspomnianych pozostałych zmian</w:t>
      </w:r>
      <w:r w:rsidR="00610177" w:rsidRPr="00A04CED">
        <w:rPr>
          <w:rFonts w:ascii="Times New Roman" w:hAnsi="Times New Roman" w:cs="Times New Roman"/>
          <w:sz w:val="24"/>
          <w:szCs w:val="24"/>
        </w:rPr>
        <w:t xml:space="preserve"> w ustawie o rachunkowości</w:t>
      </w:r>
      <w:r w:rsidR="00AE3688" w:rsidRPr="00A04CED">
        <w:rPr>
          <w:rStyle w:val="Odwoanieprzypisudolnego"/>
          <w:rFonts w:ascii="Times New Roman" w:hAnsi="Times New Roman" w:cs="Times New Roman"/>
          <w:sz w:val="24"/>
          <w:szCs w:val="24"/>
        </w:rPr>
        <w:footnoteReference w:id="6"/>
      </w:r>
      <w:r w:rsidR="00610177" w:rsidRPr="00A04CED">
        <w:rPr>
          <w:rFonts w:ascii="Times New Roman" w:hAnsi="Times New Roman" w:cs="Times New Roman"/>
          <w:sz w:val="24"/>
          <w:szCs w:val="24"/>
        </w:rPr>
        <w:t xml:space="preserve"> oraz w ustawie o biegłych rewidentach, firmach audytorskich oraz nadzorze publicznym</w:t>
      </w:r>
      <w:r w:rsidR="00AE3688" w:rsidRPr="00A04CED">
        <w:rPr>
          <w:rStyle w:val="Odwoanieprzypisudolnego"/>
          <w:rFonts w:ascii="Times New Roman" w:hAnsi="Times New Roman" w:cs="Times New Roman"/>
          <w:sz w:val="24"/>
          <w:szCs w:val="24"/>
        </w:rPr>
        <w:footnoteReference w:id="7"/>
      </w:r>
      <w:r w:rsidR="00610177" w:rsidRPr="00A04CED">
        <w:rPr>
          <w:rFonts w:ascii="Times New Roman" w:hAnsi="Times New Roman" w:cs="Times New Roman"/>
          <w:sz w:val="24"/>
          <w:szCs w:val="24"/>
        </w:rPr>
        <w:t>.</w:t>
      </w:r>
    </w:p>
    <w:p w14:paraId="706CB4B2" w14:textId="4565BF53" w:rsidR="0082391A" w:rsidRPr="00A04CED" w:rsidRDefault="0082391A" w:rsidP="009958B1">
      <w:pPr>
        <w:pStyle w:val="Akapitzlist"/>
        <w:numPr>
          <w:ilvl w:val="0"/>
          <w:numId w:val="1"/>
        </w:numPr>
        <w:spacing w:before="120" w:after="0" w:line="360" w:lineRule="auto"/>
        <w:ind w:left="567" w:hanging="283"/>
        <w:jc w:val="both"/>
        <w:rPr>
          <w:rFonts w:ascii="Times New Roman" w:hAnsi="Times New Roman" w:cs="Times New Roman"/>
          <w:b/>
          <w:bCs/>
          <w:sz w:val="24"/>
          <w:szCs w:val="24"/>
        </w:rPr>
      </w:pPr>
      <w:r w:rsidRPr="00A04CED">
        <w:rPr>
          <w:rFonts w:ascii="Times New Roman" w:eastAsia="Times New Roman" w:hAnsi="Times New Roman" w:cs="Times New Roman"/>
          <w:b/>
          <w:bCs/>
          <w:sz w:val="24"/>
          <w:szCs w:val="24"/>
        </w:rPr>
        <w:t>Proponowane</w:t>
      </w:r>
      <w:r w:rsidRPr="00A04CED">
        <w:rPr>
          <w:rFonts w:ascii="Times New Roman" w:hAnsi="Times New Roman" w:cs="Times New Roman"/>
          <w:b/>
          <w:bCs/>
          <w:sz w:val="24"/>
          <w:szCs w:val="24"/>
        </w:rPr>
        <w:t xml:space="preserve"> zmiany</w:t>
      </w:r>
      <w:r w:rsidR="00610177" w:rsidRPr="00A04CED">
        <w:rPr>
          <w:rFonts w:ascii="Times New Roman" w:hAnsi="Times New Roman" w:cs="Times New Roman"/>
          <w:b/>
          <w:bCs/>
          <w:sz w:val="24"/>
          <w:szCs w:val="24"/>
        </w:rPr>
        <w:t xml:space="preserve"> w ustawie o rachunkowości wprowadzane projektem ustawy (art. 1 </w:t>
      </w:r>
      <w:r w:rsidR="00F83AA3" w:rsidRPr="00A04CED">
        <w:rPr>
          <w:rFonts w:ascii="Times New Roman" w:hAnsi="Times New Roman" w:cs="Times New Roman"/>
          <w:b/>
          <w:bCs/>
          <w:sz w:val="24"/>
          <w:szCs w:val="24"/>
        </w:rPr>
        <w:t xml:space="preserve">projektu </w:t>
      </w:r>
      <w:r w:rsidR="00610177" w:rsidRPr="00A04CED">
        <w:rPr>
          <w:rFonts w:ascii="Times New Roman" w:hAnsi="Times New Roman" w:cs="Times New Roman"/>
          <w:b/>
          <w:bCs/>
          <w:sz w:val="24"/>
          <w:szCs w:val="24"/>
        </w:rPr>
        <w:t>ustawy nowelizującej)</w:t>
      </w:r>
    </w:p>
    <w:p w14:paraId="297EB207" w14:textId="70A0EA2B" w:rsidR="00C154A3" w:rsidRPr="00A04CED" w:rsidRDefault="004137E4" w:rsidP="009958B1">
      <w:pPr>
        <w:spacing w:before="120" w:after="0" w:line="360" w:lineRule="auto"/>
        <w:rPr>
          <w:rFonts w:ascii="Times New Roman" w:hAnsi="Times New Roman" w:cs="Times New Roman"/>
          <w:sz w:val="24"/>
          <w:szCs w:val="24"/>
        </w:rPr>
      </w:pPr>
      <w:r w:rsidRPr="00A04CED">
        <w:rPr>
          <w:rFonts w:ascii="Times New Roman" w:hAnsi="Times New Roman" w:cs="Times New Roman"/>
          <w:sz w:val="24"/>
          <w:szCs w:val="24"/>
        </w:rPr>
        <w:t>P</w:t>
      </w:r>
      <w:r w:rsidR="00C154A3" w:rsidRPr="00A04CED">
        <w:rPr>
          <w:rFonts w:ascii="Times New Roman" w:hAnsi="Times New Roman" w:cs="Times New Roman"/>
          <w:sz w:val="24"/>
          <w:szCs w:val="24"/>
        </w:rPr>
        <w:t>rojekt zakłada wprowadzenie poniższych zmian w ustawie:</w:t>
      </w:r>
    </w:p>
    <w:p w14:paraId="7E94E058" w14:textId="64A760A5" w:rsidR="00590A10" w:rsidRPr="00A04CED" w:rsidRDefault="00590A10"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W art. 3 w ust. 1</w:t>
      </w:r>
      <w:r w:rsidRPr="00A04CED">
        <w:rPr>
          <w:rFonts w:ascii="Times New Roman" w:hAnsi="Times New Roman" w:cs="Times New Roman"/>
          <w:sz w:val="24"/>
          <w:szCs w:val="24"/>
        </w:rPr>
        <w:t xml:space="preserve"> (słowniczek pojęć używanych w ustawie o rachunkowości) </w:t>
      </w:r>
      <w:r w:rsidR="00E568EC" w:rsidRPr="00A04CED">
        <w:rPr>
          <w:rFonts w:ascii="Times New Roman" w:hAnsi="Times New Roman" w:cs="Times New Roman"/>
          <w:b/>
          <w:bCs/>
          <w:sz w:val="24"/>
          <w:szCs w:val="24"/>
        </w:rPr>
        <w:t>skreśla się pkt</w:t>
      </w:r>
      <w:r w:rsidR="00E74AE8">
        <w:rPr>
          <w:rFonts w:ascii="Times New Roman" w:hAnsi="Times New Roman" w:cs="Times New Roman"/>
          <w:b/>
          <w:bCs/>
          <w:sz w:val="24"/>
          <w:szCs w:val="24"/>
        </w:rPr>
        <w:t> </w:t>
      </w:r>
      <w:r w:rsidR="00E568EC" w:rsidRPr="00A04CED">
        <w:rPr>
          <w:rFonts w:ascii="Times New Roman" w:hAnsi="Times New Roman" w:cs="Times New Roman"/>
          <w:b/>
          <w:bCs/>
          <w:sz w:val="24"/>
          <w:szCs w:val="24"/>
        </w:rPr>
        <w:t>1c i 1e</w:t>
      </w:r>
      <w:r w:rsidR="00E568EC" w:rsidRPr="00A04CED">
        <w:rPr>
          <w:rFonts w:ascii="Times New Roman" w:hAnsi="Times New Roman" w:cs="Times New Roman"/>
          <w:sz w:val="24"/>
          <w:szCs w:val="24"/>
        </w:rPr>
        <w:t xml:space="preserve"> definiujące odpowiednio jednostkę średnią oraz dużą grupę. Definicje te zostały wprowadzone do ustawy w 2024 r. w związku z wdrożeniem przepisów o sprawozdawczości zrównoważonego rozwoju. Były one wykorzystywane na potrzeby m.in. określenia zakresu jednostek zobowiązanych do sporządzania takiej sprawozdawczości, w tym szczegółowych obowiązków z nią związanych. Dyrektywa 2026/470 zmieniając zakres jednostek zobowiązanych do sprawozdawczości ESG nie odnosi się już do poszczególnych kategorii jednostek</w:t>
      </w:r>
      <w:r w:rsidR="008F2B9C" w:rsidRPr="00A04CED">
        <w:rPr>
          <w:rFonts w:ascii="Times New Roman" w:hAnsi="Times New Roman" w:cs="Times New Roman"/>
          <w:sz w:val="24"/>
          <w:szCs w:val="24"/>
        </w:rPr>
        <w:t xml:space="preserve"> czy grup zdefiniowanych w art. 3 pkt 2</w:t>
      </w:r>
      <w:r w:rsidR="00E74AE8">
        <w:rPr>
          <w:rFonts w:ascii="Times New Roman" w:hAnsi="Times New Roman" w:cs="Times New Roman"/>
          <w:sz w:val="24"/>
          <w:szCs w:val="24"/>
        </w:rPr>
        <w:t>–</w:t>
      </w:r>
      <w:r w:rsidR="008F2B9C" w:rsidRPr="00A04CED">
        <w:rPr>
          <w:rFonts w:ascii="Times New Roman" w:hAnsi="Times New Roman" w:cs="Times New Roman"/>
          <w:sz w:val="24"/>
          <w:szCs w:val="24"/>
        </w:rPr>
        <w:t>7 dyrektywy 2013/34/UE</w:t>
      </w:r>
      <w:r w:rsidR="008F2B9C" w:rsidRPr="00A04CED">
        <w:rPr>
          <w:rStyle w:val="Odwoanieprzypisudolnego"/>
          <w:rFonts w:ascii="Times New Roman" w:hAnsi="Times New Roman" w:cs="Times New Roman"/>
          <w:sz w:val="24"/>
          <w:szCs w:val="24"/>
        </w:rPr>
        <w:footnoteReference w:id="8"/>
      </w:r>
      <w:r w:rsidR="00E37067" w:rsidRPr="00A04CED">
        <w:rPr>
          <w:rFonts w:ascii="Times New Roman" w:hAnsi="Times New Roman" w:cs="Times New Roman"/>
          <w:sz w:val="24"/>
          <w:szCs w:val="24"/>
        </w:rPr>
        <w:t>, a posługuje się wyłącznie kryterium liczby pracowników i przychodów netto ze sprzedaży.</w:t>
      </w:r>
      <w:r w:rsidR="00E568EC" w:rsidRPr="00A04CED">
        <w:rPr>
          <w:rFonts w:ascii="Times New Roman" w:hAnsi="Times New Roman" w:cs="Times New Roman"/>
          <w:sz w:val="24"/>
          <w:szCs w:val="24"/>
        </w:rPr>
        <w:t xml:space="preserve"> O ile definicje jednostki małej i jednostki dużej są nadal wykorzystywane w ustawie</w:t>
      </w:r>
      <w:r w:rsidR="008F2B9C" w:rsidRPr="00A04CED">
        <w:rPr>
          <w:rFonts w:ascii="Times New Roman" w:hAnsi="Times New Roman" w:cs="Times New Roman"/>
          <w:sz w:val="24"/>
          <w:szCs w:val="24"/>
        </w:rPr>
        <w:t xml:space="preserve"> o rachunkowości w przepisach dotyczących sprawozdawczości finansowej czy </w:t>
      </w:r>
      <w:r w:rsidR="00E37067" w:rsidRPr="00A04CED">
        <w:rPr>
          <w:rFonts w:ascii="Times New Roman" w:hAnsi="Times New Roman" w:cs="Times New Roman"/>
          <w:sz w:val="24"/>
          <w:szCs w:val="24"/>
        </w:rPr>
        <w:t>s</w:t>
      </w:r>
      <w:r w:rsidR="008F2B9C" w:rsidRPr="00A04CED">
        <w:rPr>
          <w:rFonts w:ascii="Times New Roman" w:hAnsi="Times New Roman" w:cs="Times New Roman"/>
          <w:sz w:val="24"/>
          <w:szCs w:val="24"/>
        </w:rPr>
        <w:t>prawozdani</w:t>
      </w:r>
      <w:r w:rsidR="00E37067" w:rsidRPr="00A04CED">
        <w:rPr>
          <w:rFonts w:ascii="Times New Roman" w:hAnsi="Times New Roman" w:cs="Times New Roman"/>
          <w:sz w:val="24"/>
          <w:szCs w:val="24"/>
        </w:rPr>
        <w:t>a</w:t>
      </w:r>
      <w:r w:rsidR="008F2B9C" w:rsidRPr="00A04CED">
        <w:rPr>
          <w:rFonts w:ascii="Times New Roman" w:hAnsi="Times New Roman" w:cs="Times New Roman"/>
          <w:sz w:val="24"/>
          <w:szCs w:val="24"/>
        </w:rPr>
        <w:t xml:space="preserve"> z płatności na rzecz administracji publicznej</w:t>
      </w:r>
      <w:r w:rsidR="00E37067" w:rsidRPr="00A04CED">
        <w:rPr>
          <w:rFonts w:ascii="Times New Roman" w:hAnsi="Times New Roman" w:cs="Times New Roman"/>
          <w:sz w:val="24"/>
          <w:szCs w:val="24"/>
        </w:rPr>
        <w:t xml:space="preserve"> (zatem ich zachowanie jest uzasadnione), o tyle definicje jednostki średniej i dużej grupy stały się zbędne. W związku z tym należy je wykreślić.</w:t>
      </w:r>
    </w:p>
    <w:p w14:paraId="31955335" w14:textId="77777777" w:rsidR="00F471E5" w:rsidRPr="00A04CED" w:rsidRDefault="00C154A3" w:rsidP="009958B1">
      <w:pPr>
        <w:spacing w:before="120" w:after="0" w:line="360" w:lineRule="auto"/>
        <w:jc w:val="both"/>
        <w:rPr>
          <w:rFonts w:ascii="Times New Roman" w:hAnsi="Times New Roman" w:cs="Times New Roman"/>
          <w:b/>
          <w:sz w:val="24"/>
          <w:szCs w:val="24"/>
        </w:rPr>
      </w:pPr>
      <w:r w:rsidRPr="00A04CED">
        <w:rPr>
          <w:rFonts w:ascii="Times New Roman" w:hAnsi="Times New Roman" w:cs="Times New Roman"/>
          <w:b/>
          <w:bCs/>
          <w:sz w:val="24"/>
          <w:szCs w:val="24"/>
        </w:rPr>
        <w:t>W</w:t>
      </w:r>
      <w:r w:rsidR="0038509D" w:rsidRPr="00A04CED">
        <w:rPr>
          <w:rFonts w:ascii="Times New Roman" w:hAnsi="Times New Roman" w:cs="Times New Roman"/>
          <w:b/>
          <w:bCs/>
          <w:sz w:val="24"/>
          <w:szCs w:val="24"/>
        </w:rPr>
        <w:t xml:space="preserve"> </w:t>
      </w:r>
      <w:r w:rsidR="0038509D" w:rsidRPr="00A04CED">
        <w:rPr>
          <w:rFonts w:ascii="Times New Roman" w:hAnsi="Times New Roman" w:cs="Times New Roman"/>
          <w:b/>
          <w:sz w:val="24"/>
          <w:szCs w:val="24"/>
        </w:rPr>
        <w:t>art. 49</w:t>
      </w:r>
      <w:r w:rsidR="00F471E5" w:rsidRPr="00A04CED">
        <w:rPr>
          <w:rFonts w:ascii="Times New Roman" w:hAnsi="Times New Roman" w:cs="Times New Roman"/>
          <w:b/>
          <w:sz w:val="24"/>
          <w:szCs w:val="24"/>
        </w:rPr>
        <w:t>:</w:t>
      </w:r>
    </w:p>
    <w:p w14:paraId="55239B96" w14:textId="04337D9A" w:rsidR="00AE5A20" w:rsidRPr="00A04CED" w:rsidRDefault="00F471E5" w:rsidP="009958B1">
      <w:pPr>
        <w:pStyle w:val="Akapitzlist"/>
        <w:numPr>
          <w:ilvl w:val="0"/>
          <w:numId w:val="12"/>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sz w:val="24"/>
          <w:szCs w:val="24"/>
        </w:rPr>
        <w:t>w</w:t>
      </w:r>
      <w:r w:rsidR="0038509D" w:rsidRPr="00A04CED">
        <w:rPr>
          <w:rFonts w:ascii="Times New Roman" w:hAnsi="Times New Roman" w:cs="Times New Roman"/>
          <w:b/>
          <w:sz w:val="24"/>
          <w:szCs w:val="24"/>
        </w:rPr>
        <w:t xml:space="preserve"> ust. 3b</w:t>
      </w:r>
      <w:r w:rsidR="0038509D" w:rsidRPr="00A04CED">
        <w:rPr>
          <w:rFonts w:ascii="Times New Roman" w:hAnsi="Times New Roman" w:cs="Times New Roman"/>
          <w:sz w:val="24"/>
          <w:szCs w:val="24"/>
        </w:rPr>
        <w:t xml:space="preserve"> (w ślad </w:t>
      </w:r>
      <w:r w:rsidR="0038509D" w:rsidRPr="00A04CED">
        <w:rPr>
          <w:rFonts w:ascii="Times New Roman" w:eastAsia="Times New Roman" w:hAnsi="Times New Roman" w:cs="Times New Roman"/>
          <w:sz w:val="24"/>
          <w:szCs w:val="24"/>
        </w:rPr>
        <w:t xml:space="preserve">za art. 19 ust. 1 akapit czwarty </w:t>
      </w:r>
      <w:r w:rsidR="0038509D" w:rsidRPr="00A04CED">
        <w:rPr>
          <w:rFonts w:ascii="Times New Roman" w:hAnsi="Times New Roman" w:cs="Times New Roman"/>
          <w:sz w:val="24"/>
          <w:szCs w:val="24"/>
        </w:rPr>
        <w:t>dyrektywy 2013/34/UE w brzmieniu nadanym dyrektywą 202</w:t>
      </w:r>
      <w:r w:rsidR="007B03C7" w:rsidRPr="00A04CED">
        <w:rPr>
          <w:rFonts w:ascii="Times New Roman" w:hAnsi="Times New Roman" w:cs="Times New Roman"/>
          <w:sz w:val="24"/>
          <w:szCs w:val="24"/>
        </w:rPr>
        <w:t>6</w:t>
      </w:r>
      <w:r w:rsidR="0038509D" w:rsidRPr="00A04CED">
        <w:rPr>
          <w:rFonts w:ascii="Times New Roman" w:hAnsi="Times New Roman" w:cs="Times New Roman"/>
          <w:sz w:val="24"/>
          <w:szCs w:val="24"/>
        </w:rPr>
        <w:t>/</w:t>
      </w:r>
      <w:r w:rsidR="007B03C7" w:rsidRPr="00A04CED">
        <w:rPr>
          <w:rFonts w:ascii="Times New Roman" w:hAnsi="Times New Roman" w:cs="Times New Roman"/>
          <w:sz w:val="24"/>
          <w:szCs w:val="24"/>
        </w:rPr>
        <w:t>470</w:t>
      </w:r>
      <w:r w:rsidR="0038509D" w:rsidRPr="00A04CED">
        <w:rPr>
          <w:rFonts w:ascii="Times New Roman" w:hAnsi="Times New Roman" w:cs="Times New Roman"/>
          <w:sz w:val="24"/>
          <w:szCs w:val="24"/>
        </w:rPr>
        <w:t>)</w:t>
      </w:r>
      <w:r w:rsidR="00F71B45" w:rsidRPr="00A04CED">
        <w:rPr>
          <w:rFonts w:ascii="Times New Roman" w:hAnsi="Times New Roman" w:cs="Times New Roman"/>
          <w:sz w:val="24"/>
          <w:szCs w:val="24"/>
        </w:rPr>
        <w:t xml:space="preserve"> </w:t>
      </w:r>
      <w:r w:rsidR="007B03C7" w:rsidRPr="00A04CED">
        <w:rPr>
          <w:rFonts w:ascii="Times New Roman" w:hAnsi="Times New Roman" w:cs="Times New Roman"/>
          <w:sz w:val="24"/>
          <w:szCs w:val="24"/>
        </w:rPr>
        <w:t>zmienia się zakres jednostek zobowiązanych</w:t>
      </w:r>
      <w:r w:rsidR="00F71B45" w:rsidRPr="00A04CED">
        <w:rPr>
          <w:rFonts w:ascii="Times New Roman" w:hAnsi="Times New Roman" w:cs="Times New Roman"/>
          <w:sz w:val="24"/>
          <w:szCs w:val="24"/>
        </w:rPr>
        <w:t xml:space="preserve"> do przedstawiania w sprawozdaniu z działalności informacji na temat kluczowych zasobów niematerialnych jednostki oraz wyjaśnienia</w:t>
      </w:r>
      <w:r w:rsidR="00E74AE8">
        <w:rPr>
          <w:rFonts w:ascii="Times New Roman" w:hAnsi="Times New Roman" w:cs="Times New Roman"/>
          <w:sz w:val="24"/>
          <w:szCs w:val="24"/>
        </w:rPr>
        <w:t>,</w:t>
      </w:r>
      <w:r w:rsidR="00F71B45" w:rsidRPr="00A04CED">
        <w:rPr>
          <w:rFonts w:ascii="Times New Roman" w:hAnsi="Times New Roman" w:cs="Times New Roman"/>
          <w:sz w:val="24"/>
          <w:szCs w:val="24"/>
        </w:rPr>
        <w:t xml:space="preserve"> w jaki sposób model biznesowy jednostki zależy od takich kluczowych zasobów oraz w jaki sposób zasoby te stanowią źródło </w:t>
      </w:r>
      <w:r w:rsidR="00F71B45" w:rsidRPr="00A04CED">
        <w:rPr>
          <w:rFonts w:ascii="Times New Roman" w:hAnsi="Times New Roman" w:cs="Times New Roman"/>
          <w:sz w:val="24"/>
          <w:szCs w:val="24"/>
        </w:rPr>
        <w:lastRenderedPageBreak/>
        <w:t>tworzenia wartości dla jednostki</w:t>
      </w:r>
      <w:r w:rsidR="007B03C7" w:rsidRPr="00A04CED">
        <w:rPr>
          <w:rFonts w:ascii="Times New Roman" w:hAnsi="Times New Roman" w:cs="Times New Roman"/>
          <w:sz w:val="24"/>
          <w:szCs w:val="24"/>
        </w:rPr>
        <w:t xml:space="preserve">. </w:t>
      </w:r>
      <w:r w:rsidR="000472C6" w:rsidRPr="00A04CED">
        <w:rPr>
          <w:rFonts w:ascii="Times New Roman" w:hAnsi="Times New Roman" w:cs="Times New Roman"/>
          <w:sz w:val="24"/>
          <w:szCs w:val="24"/>
        </w:rPr>
        <w:t>Do przedstawiania tych informacji będą teraz zobowiązane jednostki, w których zatrudnienie przekracza 1000 osób, a przychody netto ze sprzedaży towarów i produktów przekraczają 1 </w:t>
      </w:r>
      <w:r w:rsidR="008133B8" w:rsidRPr="00A04CED">
        <w:rPr>
          <w:rFonts w:ascii="Times New Roman" w:hAnsi="Times New Roman" w:cs="Times New Roman"/>
          <w:sz w:val="24"/>
          <w:szCs w:val="24"/>
        </w:rPr>
        <w:t>9</w:t>
      </w:r>
      <w:r w:rsidR="000472C6" w:rsidRPr="00A04CED">
        <w:rPr>
          <w:rFonts w:ascii="Times New Roman" w:hAnsi="Times New Roman" w:cs="Times New Roman"/>
          <w:sz w:val="24"/>
          <w:szCs w:val="24"/>
        </w:rPr>
        <w:t>00 000 000 zł</w:t>
      </w:r>
      <w:r w:rsidR="008133B8" w:rsidRPr="00A04CED">
        <w:rPr>
          <w:rFonts w:ascii="Times New Roman" w:hAnsi="Times New Roman" w:cs="Times New Roman"/>
          <w:sz w:val="24"/>
          <w:szCs w:val="24"/>
        </w:rPr>
        <w:t xml:space="preserve"> (</w:t>
      </w:r>
      <w:r w:rsidR="00B8696E" w:rsidRPr="00A04CED">
        <w:rPr>
          <w:rFonts w:ascii="Times New Roman" w:hAnsi="Times New Roman" w:cs="Times New Roman"/>
          <w:sz w:val="24"/>
          <w:szCs w:val="24"/>
        </w:rPr>
        <w:t xml:space="preserve">wskazana w dyrektywie 2026/470 </w:t>
      </w:r>
      <w:r w:rsidR="008133B8" w:rsidRPr="00A04CED">
        <w:rPr>
          <w:rFonts w:ascii="Times New Roman" w:hAnsi="Times New Roman" w:cs="Times New Roman"/>
          <w:sz w:val="24"/>
          <w:szCs w:val="24"/>
        </w:rPr>
        <w:t xml:space="preserve">kwota 450 000 000 euro została przeliczona na walutę polską według oficjalnego kursu euro do pln opublikowanego w Dzienniku Urzędowym UE C z dnia wejścia w życie </w:t>
      </w:r>
      <w:r w:rsidR="00B8696E" w:rsidRPr="00A04CED">
        <w:rPr>
          <w:rFonts w:ascii="Times New Roman" w:hAnsi="Times New Roman" w:cs="Times New Roman"/>
          <w:sz w:val="24"/>
          <w:szCs w:val="24"/>
        </w:rPr>
        <w:t xml:space="preserve">ww. </w:t>
      </w:r>
      <w:r w:rsidR="008133B8" w:rsidRPr="00A04CED">
        <w:rPr>
          <w:rFonts w:ascii="Times New Roman" w:hAnsi="Times New Roman" w:cs="Times New Roman"/>
          <w:sz w:val="24"/>
          <w:szCs w:val="24"/>
        </w:rPr>
        <w:t>dyrektywy /tj. 18</w:t>
      </w:r>
      <w:r w:rsidR="00F85AE0" w:rsidRPr="00A04CED">
        <w:rPr>
          <w:rFonts w:ascii="Times New Roman" w:hAnsi="Times New Roman" w:cs="Times New Roman"/>
          <w:sz w:val="24"/>
          <w:szCs w:val="24"/>
        </w:rPr>
        <w:t> </w:t>
      </w:r>
      <w:r w:rsidR="008133B8" w:rsidRPr="00A04CED">
        <w:rPr>
          <w:rFonts w:ascii="Times New Roman" w:hAnsi="Times New Roman" w:cs="Times New Roman"/>
          <w:sz w:val="24"/>
          <w:szCs w:val="24"/>
        </w:rPr>
        <w:t>marca 2026 r./ i zaokrąglona w dół w ramach 5-procentowego limitu zgodnie z zasadą przyjętą w art. 3 ust. 9 dyrektywy 2013/34/UE)</w:t>
      </w:r>
      <w:r w:rsidR="000472C6" w:rsidRPr="00A04CED">
        <w:rPr>
          <w:rFonts w:ascii="Times New Roman" w:hAnsi="Times New Roman" w:cs="Times New Roman"/>
          <w:sz w:val="24"/>
          <w:szCs w:val="24"/>
        </w:rPr>
        <w:t xml:space="preserve">. Aby wejść w obowiązek sprawozdawczy konieczne jest, </w:t>
      </w:r>
      <w:r w:rsidR="00AA147F">
        <w:rPr>
          <w:rFonts w:ascii="Times New Roman" w:hAnsi="Times New Roman" w:cs="Times New Roman"/>
          <w:sz w:val="24"/>
          <w:szCs w:val="24"/>
        </w:rPr>
        <w:t>a</w:t>
      </w:r>
      <w:r w:rsidR="000472C6" w:rsidRPr="00A04CED">
        <w:rPr>
          <w:rFonts w:ascii="Times New Roman" w:hAnsi="Times New Roman" w:cs="Times New Roman"/>
          <w:sz w:val="24"/>
          <w:szCs w:val="24"/>
        </w:rPr>
        <w:t xml:space="preserve">by jednostka przekraczała oba progi przez </w:t>
      </w:r>
      <w:r w:rsidR="000472C6" w:rsidRPr="00A04CED">
        <w:rPr>
          <w:rFonts w:ascii="Times New Roman" w:hAnsi="Times New Roman" w:cs="Times New Roman"/>
          <w:sz w:val="24"/>
          <w:szCs w:val="24"/>
          <w:u w:val="single"/>
        </w:rPr>
        <w:t>dwa lata obrotowe</w:t>
      </w:r>
      <w:r w:rsidR="000472C6" w:rsidRPr="00A04CED">
        <w:rPr>
          <w:rFonts w:ascii="Times New Roman" w:hAnsi="Times New Roman" w:cs="Times New Roman"/>
          <w:sz w:val="24"/>
          <w:szCs w:val="24"/>
        </w:rPr>
        <w:t xml:space="preserve"> (rok obrotowy i poprzedzający rok obrotowy). Rozwiązanie to jest kontynuacją dotychczasowej zasady (dwa lata na wejście w dany obowiązek sprawozd</w:t>
      </w:r>
      <w:r w:rsidR="0024263F" w:rsidRPr="00A04CED">
        <w:rPr>
          <w:rFonts w:ascii="Times New Roman" w:hAnsi="Times New Roman" w:cs="Times New Roman"/>
          <w:sz w:val="24"/>
          <w:szCs w:val="24"/>
        </w:rPr>
        <w:t>awczy)</w:t>
      </w:r>
      <w:r w:rsidR="000472C6" w:rsidRPr="00A04CED">
        <w:rPr>
          <w:rFonts w:ascii="Times New Roman" w:hAnsi="Times New Roman" w:cs="Times New Roman"/>
          <w:sz w:val="24"/>
          <w:szCs w:val="24"/>
        </w:rPr>
        <w:t>, która wynikała bezpośrednio z definicji</w:t>
      </w:r>
      <w:r w:rsidR="0024263F" w:rsidRPr="00A04CED">
        <w:rPr>
          <w:rFonts w:ascii="Times New Roman" w:hAnsi="Times New Roman" w:cs="Times New Roman"/>
          <w:sz w:val="24"/>
          <w:szCs w:val="24"/>
        </w:rPr>
        <w:t xml:space="preserve"> jednostki małej, średniej czy dużej (por. np. definicja jednostki dużej w art. 3 ust. 1 pkt 1d - zapis „która </w:t>
      </w:r>
      <w:r w:rsidR="0024263F" w:rsidRPr="00A04CED">
        <w:rPr>
          <w:rFonts w:ascii="Times New Roman" w:hAnsi="Times New Roman" w:cs="Times New Roman"/>
          <w:sz w:val="24"/>
          <w:szCs w:val="24"/>
          <w:u w:val="single"/>
        </w:rPr>
        <w:t>w roku obrotowym</w:t>
      </w:r>
      <w:r w:rsidR="0024263F" w:rsidRPr="00A04CED">
        <w:rPr>
          <w:rFonts w:ascii="Times New Roman" w:hAnsi="Times New Roman" w:cs="Times New Roman"/>
          <w:sz w:val="24"/>
          <w:szCs w:val="24"/>
        </w:rPr>
        <w:t xml:space="preserve">, za który sporządza sprawozdanie finansowe, </w:t>
      </w:r>
      <w:r w:rsidR="0024263F" w:rsidRPr="00A04CED">
        <w:rPr>
          <w:rFonts w:ascii="Times New Roman" w:hAnsi="Times New Roman" w:cs="Times New Roman"/>
          <w:sz w:val="24"/>
          <w:szCs w:val="24"/>
          <w:u w:val="single"/>
        </w:rPr>
        <w:t>oraz w roku poprzedzającym ten rok obrotowy przekroczyła …”).</w:t>
      </w:r>
      <w:r w:rsidR="00592CB7" w:rsidRPr="00A04CED">
        <w:rPr>
          <w:rFonts w:ascii="Times New Roman" w:hAnsi="Times New Roman" w:cs="Times New Roman"/>
          <w:sz w:val="24"/>
          <w:szCs w:val="24"/>
        </w:rPr>
        <w:t xml:space="preserve"> </w:t>
      </w:r>
      <w:r w:rsidR="009512EF" w:rsidRPr="009958B1">
        <w:rPr>
          <w:rFonts w:ascii="Times New Roman" w:hAnsi="Times New Roman" w:cs="Times New Roman"/>
          <w:sz w:val="24"/>
          <w:szCs w:val="24"/>
        </w:rPr>
        <w:t xml:space="preserve"> </w:t>
      </w:r>
      <w:r w:rsidR="009512EF" w:rsidRPr="00A04CED">
        <w:rPr>
          <w:rFonts w:ascii="Times New Roman" w:hAnsi="Times New Roman" w:cs="Times New Roman"/>
          <w:sz w:val="24"/>
          <w:szCs w:val="24"/>
        </w:rPr>
        <w:t>Przyjęcie takiego rozwiązania zapewnia stabilność i przewidywalność obowiązków sprawozdawczych jednostek</w:t>
      </w:r>
      <w:r w:rsidR="00151573" w:rsidRPr="00A04CED">
        <w:rPr>
          <w:rFonts w:ascii="Times New Roman" w:hAnsi="Times New Roman" w:cs="Times New Roman"/>
          <w:sz w:val="24"/>
          <w:szCs w:val="24"/>
        </w:rPr>
        <w:t xml:space="preserve">. Pozwala to również na zachowanie spójności z regulacjami dotyczącymi sprawozdawczości finansowej, co jest założeniem dyrektywy 2026/470, która w </w:t>
      </w:r>
      <w:r w:rsidR="00566544" w:rsidRPr="00A04CED">
        <w:rPr>
          <w:rFonts w:ascii="Times New Roman" w:hAnsi="Times New Roman" w:cs="Times New Roman"/>
          <w:sz w:val="24"/>
          <w:szCs w:val="24"/>
        </w:rPr>
        <w:t>motywie 7</w:t>
      </w:r>
      <w:r w:rsidR="00E74AE8">
        <w:rPr>
          <w:rFonts w:ascii="Times New Roman" w:hAnsi="Times New Roman" w:cs="Times New Roman"/>
          <w:sz w:val="24"/>
          <w:szCs w:val="24"/>
        </w:rPr>
        <w:t>,</w:t>
      </w:r>
      <w:r w:rsidR="00566544" w:rsidRPr="00A04CED">
        <w:rPr>
          <w:rFonts w:ascii="Times New Roman" w:hAnsi="Times New Roman" w:cs="Times New Roman"/>
          <w:sz w:val="24"/>
          <w:szCs w:val="24"/>
        </w:rPr>
        <w:t xml:space="preserve"> określając zakres obowiązku raportowania, odwołuje się do sposobu określenia progów „</w:t>
      </w:r>
      <w:r w:rsidR="00566544" w:rsidRPr="00A04CED">
        <w:rPr>
          <w:rFonts w:ascii="Times New Roman" w:hAnsi="Times New Roman" w:cs="Times New Roman"/>
          <w:i/>
          <w:iCs/>
          <w:sz w:val="24"/>
          <w:szCs w:val="24"/>
        </w:rPr>
        <w:t>w środkach krajowych transponujących dyrektywę 2013/34/UE”</w:t>
      </w:r>
      <w:r w:rsidR="00151573" w:rsidRPr="00A04CED">
        <w:rPr>
          <w:rFonts w:ascii="Times New Roman" w:hAnsi="Times New Roman" w:cs="Times New Roman"/>
          <w:sz w:val="24"/>
          <w:szCs w:val="24"/>
        </w:rPr>
        <w:t>, a więc tych dotyczących sprawozdawczości finansowej</w:t>
      </w:r>
      <w:r w:rsidR="002C2501" w:rsidRPr="00A04CED">
        <w:rPr>
          <w:rFonts w:ascii="Times New Roman" w:hAnsi="Times New Roman" w:cs="Times New Roman"/>
          <w:sz w:val="24"/>
          <w:szCs w:val="24"/>
        </w:rPr>
        <w:t xml:space="preserve">. </w:t>
      </w:r>
      <w:r w:rsidR="003E72A5" w:rsidRPr="00A04CED">
        <w:rPr>
          <w:rFonts w:ascii="Times New Roman" w:hAnsi="Times New Roman" w:cs="Times New Roman"/>
          <w:sz w:val="24"/>
          <w:szCs w:val="24"/>
        </w:rPr>
        <w:t xml:space="preserve">W ramach warsztatów transpozycyjnych dyrektywy 2026/470 Komisja Europejska potwierdziła możliwość </w:t>
      </w:r>
      <w:r w:rsidR="00592CB7" w:rsidRPr="00A04CED">
        <w:rPr>
          <w:rFonts w:ascii="Times New Roman" w:hAnsi="Times New Roman" w:cs="Times New Roman"/>
          <w:sz w:val="24"/>
          <w:szCs w:val="24"/>
        </w:rPr>
        <w:t>utrzymani</w:t>
      </w:r>
      <w:r w:rsidR="003E72A5" w:rsidRPr="00A04CED">
        <w:rPr>
          <w:rFonts w:ascii="Times New Roman" w:hAnsi="Times New Roman" w:cs="Times New Roman"/>
          <w:sz w:val="24"/>
          <w:szCs w:val="24"/>
        </w:rPr>
        <w:t>a</w:t>
      </w:r>
      <w:r w:rsidR="00592CB7" w:rsidRPr="00A04CED">
        <w:rPr>
          <w:rFonts w:ascii="Times New Roman" w:hAnsi="Times New Roman" w:cs="Times New Roman"/>
          <w:sz w:val="24"/>
          <w:szCs w:val="24"/>
        </w:rPr>
        <w:t xml:space="preserve"> mechanizmu dwóch kolejnych lat obrotowych</w:t>
      </w:r>
      <w:r w:rsidR="003E72A5" w:rsidRPr="00A04CED">
        <w:rPr>
          <w:rFonts w:ascii="Times New Roman" w:hAnsi="Times New Roman" w:cs="Times New Roman"/>
          <w:sz w:val="24"/>
          <w:szCs w:val="24"/>
        </w:rPr>
        <w:t>, a także podkreśliła konieczność zachowania spójności między regulacjami w tym zakresie odnoszącymi się do sprawozdawczości zrównoważonego rozwoju oraz sprawozdawczości finansowej.</w:t>
      </w:r>
      <w:r w:rsidR="00592CB7" w:rsidRPr="00A04CED">
        <w:rPr>
          <w:rFonts w:ascii="Times New Roman" w:hAnsi="Times New Roman" w:cs="Times New Roman"/>
          <w:sz w:val="24"/>
          <w:szCs w:val="24"/>
        </w:rPr>
        <w:t xml:space="preserve"> </w:t>
      </w:r>
      <w:r w:rsidR="003E72A5" w:rsidRPr="00A04CED">
        <w:rPr>
          <w:rFonts w:ascii="Times New Roman" w:hAnsi="Times New Roman" w:cs="Times New Roman"/>
          <w:sz w:val="24"/>
          <w:szCs w:val="24"/>
        </w:rPr>
        <w:t xml:space="preserve">Mechanizm oparty na spełnieniu kryteriów przez dwa kolejne lata obrotowe jest właściwy z punktu widzenia </w:t>
      </w:r>
      <w:r w:rsidR="00592CB7" w:rsidRPr="00A04CED">
        <w:rPr>
          <w:rFonts w:ascii="Times New Roman" w:hAnsi="Times New Roman" w:cs="Times New Roman"/>
          <w:sz w:val="24"/>
          <w:szCs w:val="24"/>
        </w:rPr>
        <w:t>charakter</w:t>
      </w:r>
      <w:r w:rsidR="003E72A5" w:rsidRPr="00A04CED">
        <w:rPr>
          <w:rFonts w:ascii="Times New Roman" w:hAnsi="Times New Roman" w:cs="Times New Roman"/>
          <w:sz w:val="24"/>
          <w:szCs w:val="24"/>
        </w:rPr>
        <w:t>u</w:t>
      </w:r>
      <w:r w:rsidR="00592CB7" w:rsidRPr="00A04CED">
        <w:rPr>
          <w:rFonts w:ascii="Times New Roman" w:hAnsi="Times New Roman" w:cs="Times New Roman"/>
          <w:sz w:val="24"/>
          <w:szCs w:val="24"/>
        </w:rPr>
        <w:t xml:space="preserve"> sprawozdawczości zrównoważonego rozwoju, której prawidłowe </w:t>
      </w:r>
      <w:r w:rsidR="00566544" w:rsidRPr="00A04CED">
        <w:rPr>
          <w:rFonts w:ascii="Times New Roman" w:hAnsi="Times New Roman" w:cs="Times New Roman"/>
          <w:sz w:val="24"/>
          <w:szCs w:val="24"/>
        </w:rPr>
        <w:t xml:space="preserve">sporządzenie </w:t>
      </w:r>
      <w:r w:rsidR="00592CB7" w:rsidRPr="00A04CED">
        <w:rPr>
          <w:rFonts w:ascii="Times New Roman" w:hAnsi="Times New Roman" w:cs="Times New Roman"/>
          <w:sz w:val="24"/>
          <w:szCs w:val="24"/>
        </w:rPr>
        <w:t xml:space="preserve">wymaga od jednostek odpowiedniego przygotowania organizacyjnego, w tym zasobów kadrowych, dostosowania systemów informatycznych oraz wdrożenia procesów gromadzenia i weryfikowania danych. Ustalenie obowiązku wyłącznie na podstawie przekroczenia progów w jednym roku obrotowym powodowałoby niepewność co do </w:t>
      </w:r>
      <w:r w:rsidR="002C2501" w:rsidRPr="00A04CED">
        <w:rPr>
          <w:rFonts w:ascii="Times New Roman" w:hAnsi="Times New Roman" w:cs="Times New Roman"/>
          <w:sz w:val="24"/>
          <w:szCs w:val="24"/>
        </w:rPr>
        <w:t>konieczności</w:t>
      </w:r>
      <w:r w:rsidR="00592CB7" w:rsidRPr="00A04CED">
        <w:rPr>
          <w:rFonts w:ascii="Times New Roman" w:hAnsi="Times New Roman" w:cs="Times New Roman"/>
          <w:sz w:val="24"/>
          <w:szCs w:val="24"/>
        </w:rPr>
        <w:t xml:space="preserve"> sporządzenia sprawozdawczości zrównoważonego rozwoju, podczas gdy działania niezbędne do jej przygotowania musiałyby być podejmowane już w trakcie tego roku obrotowego. Mogłoby to prowadzić do utrzymywania odpowiednich procesów i gromadzenia danych „na wszelki wypadek”, a tym samym do ponoszenia przez jednostki nieuzasadnionych kosztów. Jednolity mechanizm dwuletni </w:t>
      </w:r>
      <w:r w:rsidR="00592CB7" w:rsidRPr="00A04CED">
        <w:rPr>
          <w:rFonts w:ascii="Times New Roman" w:hAnsi="Times New Roman" w:cs="Times New Roman"/>
          <w:sz w:val="24"/>
          <w:szCs w:val="24"/>
        </w:rPr>
        <w:lastRenderedPageBreak/>
        <w:t>zarówno przy powstaniu, jak i ustaniu obowiązku ogranicza tę niepewność i zapobiega sytuacji, w której obowiązek sprawozdawczy powstawałby i ustawał naprzemiennie w kolejnych latach obrotowych w zależności od jednorazowego przekroczenia lub nieprzekroczenia progów.</w:t>
      </w:r>
      <w:r w:rsidR="00F42BE3" w:rsidRPr="00A04CED">
        <w:rPr>
          <w:rFonts w:ascii="Times New Roman" w:hAnsi="Times New Roman" w:cs="Times New Roman"/>
          <w:sz w:val="24"/>
          <w:szCs w:val="24"/>
        </w:rPr>
        <w:t xml:space="preserve"> </w:t>
      </w:r>
      <w:r w:rsidR="00592CB7" w:rsidRPr="00A04CED">
        <w:rPr>
          <w:rFonts w:ascii="Times New Roman" w:hAnsi="Times New Roman" w:cs="Times New Roman"/>
          <w:sz w:val="24"/>
          <w:szCs w:val="24"/>
        </w:rPr>
        <w:t>P</w:t>
      </w:r>
      <w:r w:rsidR="002C2501" w:rsidRPr="00A04CED">
        <w:rPr>
          <w:rFonts w:ascii="Times New Roman" w:hAnsi="Times New Roman" w:cs="Times New Roman"/>
          <w:sz w:val="24"/>
          <w:szCs w:val="24"/>
        </w:rPr>
        <w:t>rzyjęte rozwiązanie jest korzystne dla jednostek i p</w:t>
      </w:r>
      <w:r w:rsidR="00592CB7" w:rsidRPr="00A04CED">
        <w:rPr>
          <w:rFonts w:ascii="Times New Roman" w:hAnsi="Times New Roman" w:cs="Times New Roman"/>
          <w:sz w:val="24"/>
          <w:szCs w:val="24"/>
        </w:rPr>
        <w:t xml:space="preserve">ozwala </w:t>
      </w:r>
      <w:r w:rsidR="002C2501" w:rsidRPr="00A04CED">
        <w:rPr>
          <w:rFonts w:ascii="Times New Roman" w:hAnsi="Times New Roman" w:cs="Times New Roman"/>
          <w:sz w:val="24"/>
          <w:szCs w:val="24"/>
        </w:rPr>
        <w:t>na</w:t>
      </w:r>
      <w:r w:rsidR="00592CB7" w:rsidRPr="00A04CED">
        <w:rPr>
          <w:rFonts w:ascii="Times New Roman" w:hAnsi="Times New Roman" w:cs="Times New Roman"/>
          <w:sz w:val="24"/>
          <w:szCs w:val="24"/>
        </w:rPr>
        <w:t xml:space="preserve"> zachowa</w:t>
      </w:r>
      <w:r w:rsidR="002C2501" w:rsidRPr="00A04CED">
        <w:rPr>
          <w:rFonts w:ascii="Times New Roman" w:hAnsi="Times New Roman" w:cs="Times New Roman"/>
          <w:sz w:val="24"/>
          <w:szCs w:val="24"/>
        </w:rPr>
        <w:t>nie</w:t>
      </w:r>
      <w:r w:rsidR="00592CB7" w:rsidRPr="00A04CED">
        <w:rPr>
          <w:rFonts w:ascii="Times New Roman" w:hAnsi="Times New Roman" w:cs="Times New Roman"/>
          <w:sz w:val="24"/>
          <w:szCs w:val="24"/>
        </w:rPr>
        <w:t xml:space="preserve"> </w:t>
      </w:r>
      <w:r w:rsidR="00534A13" w:rsidRPr="00A04CED">
        <w:rPr>
          <w:rFonts w:ascii="Times New Roman" w:hAnsi="Times New Roman" w:cs="Times New Roman"/>
          <w:sz w:val="24"/>
          <w:szCs w:val="24"/>
        </w:rPr>
        <w:t xml:space="preserve">dotychczas </w:t>
      </w:r>
      <w:r w:rsidR="00592CB7" w:rsidRPr="00A04CED">
        <w:rPr>
          <w:rFonts w:ascii="Times New Roman" w:hAnsi="Times New Roman" w:cs="Times New Roman"/>
          <w:sz w:val="24"/>
          <w:szCs w:val="24"/>
        </w:rPr>
        <w:t>stosowan</w:t>
      </w:r>
      <w:r w:rsidR="002C2501" w:rsidRPr="00A04CED">
        <w:rPr>
          <w:rFonts w:ascii="Times New Roman" w:hAnsi="Times New Roman" w:cs="Times New Roman"/>
          <w:sz w:val="24"/>
          <w:szCs w:val="24"/>
        </w:rPr>
        <w:t>ego</w:t>
      </w:r>
      <w:r w:rsidR="00592CB7" w:rsidRPr="00A04CED">
        <w:rPr>
          <w:rFonts w:ascii="Times New Roman" w:hAnsi="Times New Roman" w:cs="Times New Roman"/>
          <w:sz w:val="24"/>
          <w:szCs w:val="24"/>
        </w:rPr>
        <w:t xml:space="preserve"> w prawie krajowym mechanizm</w:t>
      </w:r>
      <w:r w:rsidR="002C2501" w:rsidRPr="00A04CED">
        <w:rPr>
          <w:rFonts w:ascii="Times New Roman" w:hAnsi="Times New Roman" w:cs="Times New Roman"/>
          <w:sz w:val="24"/>
          <w:szCs w:val="24"/>
        </w:rPr>
        <w:t>u</w:t>
      </w:r>
      <w:r w:rsidR="00592CB7" w:rsidRPr="00A04CED">
        <w:rPr>
          <w:rFonts w:ascii="Times New Roman" w:hAnsi="Times New Roman" w:cs="Times New Roman"/>
          <w:sz w:val="24"/>
          <w:szCs w:val="24"/>
        </w:rPr>
        <w:t xml:space="preserve"> ustalania momentu powstania i ustania obowiązków sprawozdawczych</w:t>
      </w:r>
      <w:r w:rsidR="00FE1B83" w:rsidRPr="00A04CED">
        <w:rPr>
          <w:rFonts w:ascii="Times New Roman" w:hAnsi="Times New Roman" w:cs="Times New Roman"/>
          <w:sz w:val="24"/>
          <w:szCs w:val="24"/>
        </w:rPr>
        <w:t>;</w:t>
      </w:r>
    </w:p>
    <w:p w14:paraId="72817DC8" w14:textId="56F54C95" w:rsidR="00A54E92" w:rsidRPr="00A04CED" w:rsidRDefault="00F471E5" w:rsidP="009958B1">
      <w:pPr>
        <w:pStyle w:val="Akapitzlist"/>
        <w:numPr>
          <w:ilvl w:val="0"/>
          <w:numId w:val="12"/>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dodaje się</w:t>
      </w:r>
      <w:r w:rsidR="00B9536B" w:rsidRPr="00A04CED">
        <w:rPr>
          <w:rFonts w:ascii="Times New Roman" w:hAnsi="Times New Roman" w:cs="Times New Roman"/>
          <w:b/>
          <w:bCs/>
          <w:sz w:val="24"/>
          <w:szCs w:val="24"/>
        </w:rPr>
        <w:t xml:space="preserve"> </w:t>
      </w:r>
      <w:r w:rsidRPr="00A04CED">
        <w:rPr>
          <w:rFonts w:ascii="Times New Roman" w:hAnsi="Times New Roman" w:cs="Times New Roman"/>
          <w:b/>
          <w:bCs/>
          <w:sz w:val="24"/>
          <w:szCs w:val="24"/>
        </w:rPr>
        <w:t>ust. 3c i 3d</w:t>
      </w:r>
      <w:r w:rsidRPr="00A04CED">
        <w:rPr>
          <w:rFonts w:ascii="Times New Roman" w:hAnsi="Times New Roman" w:cs="Times New Roman"/>
          <w:sz w:val="24"/>
          <w:szCs w:val="24"/>
        </w:rPr>
        <w:t xml:space="preserve">. </w:t>
      </w:r>
      <w:r w:rsidR="00B9536B" w:rsidRPr="004D74B8">
        <w:rPr>
          <w:rFonts w:ascii="Times New Roman" w:hAnsi="Times New Roman" w:cs="Times New Roman"/>
          <w:sz w:val="24"/>
          <w:szCs w:val="24"/>
        </w:rPr>
        <w:t xml:space="preserve">Należy wskazać, że co do zasady dyrektywa 2013/34/UE ma zastosowanie jedynie do form spółek </w:t>
      </w:r>
      <w:r w:rsidR="001D035A" w:rsidRPr="004D74B8">
        <w:rPr>
          <w:rFonts w:ascii="Times New Roman" w:hAnsi="Times New Roman" w:cs="Times New Roman"/>
          <w:sz w:val="24"/>
          <w:szCs w:val="24"/>
        </w:rPr>
        <w:t>wymienionych w załącznikach I i II tejże dyrektywy</w:t>
      </w:r>
      <w:r w:rsidR="00B9536B" w:rsidRPr="004D74B8">
        <w:rPr>
          <w:rFonts w:ascii="Times New Roman" w:hAnsi="Times New Roman" w:cs="Times New Roman"/>
          <w:sz w:val="24"/>
          <w:szCs w:val="24"/>
        </w:rPr>
        <w:t xml:space="preserve">. W konsekwencji określony w ust. 3b obowiązek przedstawiania w sprawozdaniu z </w:t>
      </w:r>
      <w:r w:rsidR="00B9536B" w:rsidRPr="00A04CED">
        <w:rPr>
          <w:rFonts w:ascii="Times New Roman" w:hAnsi="Times New Roman" w:cs="Times New Roman"/>
          <w:sz w:val="24"/>
          <w:szCs w:val="24"/>
        </w:rPr>
        <w:t xml:space="preserve">działalności informacji na temat kluczowych zasobów niematerialnych powinien </w:t>
      </w:r>
      <w:r w:rsidR="001D035A" w:rsidRPr="00A04CED">
        <w:rPr>
          <w:rFonts w:ascii="Times New Roman" w:hAnsi="Times New Roman" w:cs="Times New Roman"/>
          <w:sz w:val="24"/>
          <w:szCs w:val="24"/>
        </w:rPr>
        <w:t>mieć zastosowanie wyłącznie do ww. form spółek, a nie do wszystkich jednostek stosujących ustawę o rachunkowości (np. spółdzielni). Dodawany ust.</w:t>
      </w:r>
      <w:r w:rsidR="004D74B8">
        <w:rPr>
          <w:rFonts w:ascii="Times New Roman" w:hAnsi="Times New Roman" w:cs="Times New Roman"/>
          <w:sz w:val="24"/>
          <w:szCs w:val="24"/>
        </w:rPr>
        <w:t> </w:t>
      </w:r>
      <w:r w:rsidR="001D035A" w:rsidRPr="00A04CED">
        <w:rPr>
          <w:rFonts w:ascii="Times New Roman" w:hAnsi="Times New Roman" w:cs="Times New Roman"/>
          <w:sz w:val="24"/>
          <w:szCs w:val="24"/>
        </w:rPr>
        <w:t>3</w:t>
      </w:r>
      <w:r w:rsidR="00E9212B" w:rsidRPr="00A04CED">
        <w:rPr>
          <w:rFonts w:ascii="Times New Roman" w:hAnsi="Times New Roman" w:cs="Times New Roman"/>
          <w:sz w:val="24"/>
          <w:szCs w:val="24"/>
        </w:rPr>
        <w:t>c</w:t>
      </w:r>
      <w:r w:rsidR="001D035A" w:rsidRPr="00A04CED">
        <w:rPr>
          <w:rFonts w:ascii="Times New Roman" w:hAnsi="Times New Roman" w:cs="Times New Roman"/>
          <w:sz w:val="24"/>
          <w:szCs w:val="24"/>
        </w:rPr>
        <w:t xml:space="preserve"> do</w:t>
      </w:r>
      <w:r w:rsidR="00E9212B" w:rsidRPr="00A04CED">
        <w:rPr>
          <w:rFonts w:ascii="Times New Roman" w:hAnsi="Times New Roman" w:cs="Times New Roman"/>
          <w:sz w:val="24"/>
          <w:szCs w:val="24"/>
        </w:rPr>
        <w:t>precyzowuje</w:t>
      </w:r>
      <w:r w:rsidR="001D035A" w:rsidRPr="00A04CED">
        <w:rPr>
          <w:rFonts w:ascii="Times New Roman" w:hAnsi="Times New Roman" w:cs="Times New Roman"/>
          <w:sz w:val="24"/>
          <w:szCs w:val="24"/>
        </w:rPr>
        <w:t xml:space="preserve"> zatem zakres form prawnych </w:t>
      </w:r>
      <w:r w:rsidR="00E9212B" w:rsidRPr="00A04CED">
        <w:rPr>
          <w:rFonts w:ascii="Times New Roman" w:hAnsi="Times New Roman" w:cs="Times New Roman"/>
          <w:sz w:val="24"/>
          <w:szCs w:val="24"/>
        </w:rPr>
        <w:t>jednostek</w:t>
      </w:r>
      <w:r w:rsidR="001D035A" w:rsidRPr="00A04CED">
        <w:rPr>
          <w:rFonts w:ascii="Times New Roman" w:hAnsi="Times New Roman" w:cs="Times New Roman"/>
          <w:sz w:val="24"/>
          <w:szCs w:val="24"/>
        </w:rPr>
        <w:t xml:space="preserve"> zobowiązanych do </w:t>
      </w:r>
      <w:r w:rsidR="00E9212B" w:rsidRPr="00A04CED">
        <w:rPr>
          <w:rFonts w:ascii="Times New Roman" w:hAnsi="Times New Roman" w:cs="Times New Roman"/>
          <w:sz w:val="24"/>
          <w:szCs w:val="24"/>
        </w:rPr>
        <w:t>stosowania ust.</w:t>
      </w:r>
      <w:r w:rsidR="004D74B8">
        <w:rPr>
          <w:rFonts w:ascii="Times New Roman" w:hAnsi="Times New Roman" w:cs="Times New Roman"/>
          <w:sz w:val="24"/>
          <w:szCs w:val="24"/>
        </w:rPr>
        <w:t> </w:t>
      </w:r>
      <w:r w:rsidR="00E9212B" w:rsidRPr="00A04CED">
        <w:rPr>
          <w:rFonts w:ascii="Times New Roman" w:hAnsi="Times New Roman" w:cs="Times New Roman"/>
          <w:sz w:val="24"/>
          <w:szCs w:val="24"/>
        </w:rPr>
        <w:t>3b. Stanowi on uzupełnienie</w:t>
      </w:r>
      <w:r w:rsidR="001D035A" w:rsidRPr="00A04CED">
        <w:rPr>
          <w:rFonts w:ascii="Times New Roman" w:hAnsi="Times New Roman" w:cs="Times New Roman"/>
          <w:sz w:val="24"/>
          <w:szCs w:val="24"/>
        </w:rPr>
        <w:t xml:space="preserve"> transpozycji</w:t>
      </w:r>
      <w:r w:rsidR="00E9212B" w:rsidRPr="00A04CED">
        <w:rPr>
          <w:rFonts w:ascii="Times New Roman" w:hAnsi="Times New Roman" w:cs="Times New Roman"/>
          <w:sz w:val="24"/>
          <w:szCs w:val="24"/>
        </w:rPr>
        <w:t xml:space="preserve"> art. 19 ust. 1 akapit czwarty dodanego przez CSRD. Jednocześnie pozostaje on nadal aktualny w świetle zmiany zakresu jednostek zobowiązanych do przedstawiania informacji o kluczowych zasobach niematerialnych, wprowadzonej dyrektywą 2026/470.</w:t>
      </w:r>
    </w:p>
    <w:p w14:paraId="6FA01DCC" w14:textId="1B87C912" w:rsidR="00F471E5" w:rsidRPr="009958B1" w:rsidRDefault="00E9212B" w:rsidP="009958B1">
      <w:pPr>
        <w:pStyle w:val="Akapitzlist"/>
        <w:spacing w:before="120" w:after="0" w:line="360" w:lineRule="auto"/>
        <w:ind w:left="360"/>
        <w:jc w:val="both"/>
        <w:rPr>
          <w:rFonts w:ascii="Times New Roman" w:hAnsi="Times New Roman" w:cs="Times New Roman"/>
          <w:sz w:val="24"/>
          <w:szCs w:val="24"/>
        </w:rPr>
      </w:pPr>
      <w:r w:rsidRPr="00A04CED">
        <w:rPr>
          <w:rFonts w:ascii="Times New Roman" w:hAnsi="Times New Roman" w:cs="Times New Roman"/>
          <w:sz w:val="24"/>
          <w:szCs w:val="24"/>
        </w:rPr>
        <w:t xml:space="preserve">Natomiast dodawany ust. 3d </w:t>
      </w:r>
      <w:r w:rsidR="004C730A" w:rsidRPr="00A04CED">
        <w:rPr>
          <w:rFonts w:ascii="Times New Roman" w:hAnsi="Times New Roman" w:cs="Times New Roman"/>
          <w:sz w:val="24"/>
          <w:szCs w:val="24"/>
        </w:rPr>
        <w:t>reguluje</w:t>
      </w:r>
      <w:r w:rsidR="004D74B8">
        <w:rPr>
          <w:rFonts w:ascii="Times New Roman" w:hAnsi="Times New Roman" w:cs="Times New Roman"/>
          <w:sz w:val="24"/>
          <w:szCs w:val="24"/>
        </w:rPr>
        <w:t>,</w:t>
      </w:r>
      <w:r w:rsidR="004C730A" w:rsidRPr="00A04CED">
        <w:rPr>
          <w:rFonts w:ascii="Times New Roman" w:hAnsi="Times New Roman" w:cs="Times New Roman"/>
          <w:sz w:val="24"/>
          <w:szCs w:val="24"/>
        </w:rPr>
        <w:t xml:space="preserve"> kiedy jednostka już raportująca </w:t>
      </w:r>
      <w:r w:rsidR="000C33E4" w:rsidRPr="00A04CED">
        <w:rPr>
          <w:rFonts w:ascii="Times New Roman" w:hAnsi="Times New Roman" w:cs="Times New Roman"/>
          <w:sz w:val="24"/>
          <w:szCs w:val="24"/>
        </w:rPr>
        <w:t>informacje o kluczowych zasobach niematerialny przestaje podlegać temu obowiązkowi. Potrzeba uregulowania tej kwestii wynika z faktu, że dotychczas zejście z obowiązku raportowania wynikało z samej definicji poszczególnych kategorii jednostek (np. definicja jednostki małej, średniej czy dużej określała, że dana jednostka traci status bycia zaliczaną do danej kategorii</w:t>
      </w:r>
      <w:r w:rsidR="004D74B8">
        <w:rPr>
          <w:rFonts w:ascii="Times New Roman" w:hAnsi="Times New Roman" w:cs="Times New Roman"/>
          <w:sz w:val="24"/>
          <w:szCs w:val="24"/>
        </w:rPr>
        <w:t>,</w:t>
      </w:r>
      <w:r w:rsidR="000C33E4" w:rsidRPr="00A04CED">
        <w:rPr>
          <w:rFonts w:ascii="Times New Roman" w:hAnsi="Times New Roman" w:cs="Times New Roman"/>
          <w:sz w:val="24"/>
          <w:szCs w:val="24"/>
        </w:rPr>
        <w:t xml:space="preserve"> jeśli przestaje spełniać </w:t>
      </w:r>
      <w:r w:rsidR="00B8696E" w:rsidRPr="00A04CED">
        <w:rPr>
          <w:rFonts w:ascii="Times New Roman" w:hAnsi="Times New Roman" w:cs="Times New Roman"/>
          <w:sz w:val="24"/>
          <w:szCs w:val="24"/>
        </w:rPr>
        <w:t>określone kryteria</w:t>
      </w:r>
      <w:r w:rsidR="000C33E4" w:rsidRPr="00A04CED">
        <w:rPr>
          <w:rFonts w:ascii="Times New Roman" w:hAnsi="Times New Roman" w:cs="Times New Roman"/>
          <w:sz w:val="24"/>
          <w:szCs w:val="24"/>
        </w:rPr>
        <w:t xml:space="preserve"> przez </w:t>
      </w:r>
      <w:r w:rsidR="000C33E4" w:rsidRPr="00A04CED">
        <w:rPr>
          <w:rFonts w:ascii="Times New Roman" w:hAnsi="Times New Roman" w:cs="Times New Roman"/>
          <w:sz w:val="24"/>
          <w:szCs w:val="24"/>
          <w:u w:val="single"/>
        </w:rPr>
        <w:t>dwa kolejne lata obrotowe</w:t>
      </w:r>
      <w:r w:rsidR="000C33E4" w:rsidRPr="00A04CED">
        <w:rPr>
          <w:rFonts w:ascii="Times New Roman" w:hAnsi="Times New Roman" w:cs="Times New Roman"/>
          <w:sz w:val="24"/>
          <w:szCs w:val="24"/>
        </w:rPr>
        <w:t>, co było tożsame z tym, że przestaje ona podlegać danemu obowiązkowi lub przestaje być uprawnioną do korzystania np. z uproszczeń). W świetle</w:t>
      </w:r>
      <w:r w:rsidR="000870B2" w:rsidRPr="00A04CED">
        <w:rPr>
          <w:rFonts w:ascii="Times New Roman" w:hAnsi="Times New Roman" w:cs="Times New Roman"/>
          <w:sz w:val="24"/>
          <w:szCs w:val="24"/>
        </w:rPr>
        <w:t xml:space="preserve"> wprowadzonej dyrektywą 2026/470 zmiany zakresu jednostek zobowiązanych do przedstawiania informacji o kluczowych zasobach niematerialnych (zaniechanie odniesienia do poszczególnych kategorii jednostek zdefiniowanych w art. 3 pkt 2</w:t>
      </w:r>
      <w:r w:rsidR="004D74B8">
        <w:rPr>
          <w:rFonts w:ascii="Times New Roman" w:hAnsi="Times New Roman" w:cs="Times New Roman"/>
          <w:sz w:val="24"/>
          <w:szCs w:val="24"/>
        </w:rPr>
        <w:t>–</w:t>
      </w:r>
      <w:r w:rsidR="006D3F97" w:rsidRPr="009958B1">
        <w:rPr>
          <w:rFonts w:ascii="Times New Roman" w:hAnsi="Times New Roman" w:cs="Times New Roman"/>
          <w:sz w:val="24"/>
          <w:szCs w:val="24"/>
        </w:rPr>
        <w:t>4</w:t>
      </w:r>
      <w:r w:rsidR="000870B2" w:rsidRPr="009958B1">
        <w:rPr>
          <w:rFonts w:ascii="Times New Roman" w:hAnsi="Times New Roman" w:cs="Times New Roman"/>
          <w:sz w:val="24"/>
          <w:szCs w:val="24"/>
        </w:rPr>
        <w:t xml:space="preserve"> dyrektywy 2013/34/UE w miejsce posługiwania się wyłącznie kryterium liczby pracowników i przychodów netto ze sprzedaży) należy teraz określić wprost, że </w:t>
      </w:r>
      <w:r w:rsidR="004D74B8">
        <w:rPr>
          <w:rFonts w:ascii="Times New Roman" w:hAnsi="Times New Roman" w:cs="Times New Roman"/>
          <w:sz w:val="24"/>
          <w:szCs w:val="24"/>
        </w:rPr>
        <w:t>a</w:t>
      </w:r>
      <w:r w:rsidR="000870B2" w:rsidRPr="009958B1">
        <w:rPr>
          <w:rFonts w:ascii="Times New Roman" w:hAnsi="Times New Roman" w:cs="Times New Roman"/>
          <w:sz w:val="24"/>
          <w:szCs w:val="24"/>
        </w:rPr>
        <w:t>by dana jednostka podlegająca obowiązkowi raportowania na podstawie ust. 3b zaprzestała podlegać temu obowiązkowi, konieczne jest</w:t>
      </w:r>
      <w:r w:rsidR="004D74B8">
        <w:rPr>
          <w:rFonts w:ascii="Times New Roman" w:hAnsi="Times New Roman" w:cs="Times New Roman"/>
          <w:sz w:val="24"/>
          <w:szCs w:val="24"/>
        </w:rPr>
        <w:t>,</w:t>
      </w:r>
      <w:r w:rsidR="000870B2" w:rsidRPr="009958B1">
        <w:rPr>
          <w:rFonts w:ascii="Times New Roman" w:hAnsi="Times New Roman" w:cs="Times New Roman"/>
          <w:sz w:val="24"/>
          <w:szCs w:val="24"/>
        </w:rPr>
        <w:t xml:space="preserve"> </w:t>
      </w:r>
      <w:r w:rsidR="004D74B8">
        <w:rPr>
          <w:rFonts w:ascii="Times New Roman" w:hAnsi="Times New Roman" w:cs="Times New Roman"/>
          <w:sz w:val="24"/>
          <w:szCs w:val="24"/>
        </w:rPr>
        <w:t>a</w:t>
      </w:r>
      <w:r w:rsidR="000870B2" w:rsidRPr="009958B1">
        <w:rPr>
          <w:rFonts w:ascii="Times New Roman" w:hAnsi="Times New Roman" w:cs="Times New Roman"/>
          <w:sz w:val="24"/>
          <w:szCs w:val="24"/>
        </w:rPr>
        <w:t xml:space="preserve">by nie przekraczała co najmniej jednego z kryteriów przez </w:t>
      </w:r>
      <w:r w:rsidR="000870B2" w:rsidRPr="009958B1">
        <w:rPr>
          <w:rFonts w:ascii="Times New Roman" w:hAnsi="Times New Roman" w:cs="Times New Roman"/>
          <w:sz w:val="24"/>
          <w:szCs w:val="24"/>
          <w:u w:val="single"/>
        </w:rPr>
        <w:t>dwa lata obrotowe</w:t>
      </w:r>
      <w:r w:rsidR="000870B2" w:rsidRPr="009958B1">
        <w:rPr>
          <w:rFonts w:ascii="Times New Roman" w:hAnsi="Times New Roman" w:cs="Times New Roman"/>
          <w:sz w:val="24"/>
          <w:szCs w:val="24"/>
        </w:rPr>
        <w:t xml:space="preserve"> (w myśl zasady „dwa lata na wejście w dany obowiązek i dwa lata na zejście z tego obowiązku”). </w:t>
      </w:r>
      <w:r w:rsidR="00AF2C69" w:rsidRPr="009958B1">
        <w:rPr>
          <w:rFonts w:ascii="Times New Roman" w:hAnsi="Times New Roman" w:cs="Times New Roman"/>
          <w:sz w:val="24"/>
          <w:szCs w:val="24"/>
        </w:rPr>
        <w:t>Rozwiązanie to jest kontynuacją dotychczasowej zasady, p</w:t>
      </w:r>
      <w:r w:rsidR="000870B2" w:rsidRPr="009958B1">
        <w:rPr>
          <w:rFonts w:ascii="Times New Roman" w:hAnsi="Times New Roman" w:cs="Times New Roman"/>
          <w:sz w:val="24"/>
          <w:szCs w:val="24"/>
        </w:rPr>
        <w:t>ozwoli</w:t>
      </w:r>
      <w:r w:rsidR="00AF2C69" w:rsidRPr="009958B1">
        <w:rPr>
          <w:rFonts w:ascii="Times New Roman" w:hAnsi="Times New Roman" w:cs="Times New Roman"/>
          <w:sz w:val="24"/>
          <w:szCs w:val="24"/>
        </w:rPr>
        <w:t xml:space="preserve"> </w:t>
      </w:r>
      <w:r w:rsidR="000870B2" w:rsidRPr="009958B1">
        <w:rPr>
          <w:rFonts w:ascii="Times New Roman" w:hAnsi="Times New Roman" w:cs="Times New Roman"/>
          <w:sz w:val="24"/>
          <w:szCs w:val="24"/>
        </w:rPr>
        <w:t>zachować spójność podejścia w całej ustawie</w:t>
      </w:r>
      <w:r w:rsidR="00234EC5" w:rsidRPr="009958B1">
        <w:rPr>
          <w:rFonts w:ascii="Times New Roman" w:hAnsi="Times New Roman" w:cs="Times New Roman"/>
          <w:sz w:val="24"/>
          <w:szCs w:val="24"/>
        </w:rPr>
        <w:t xml:space="preserve"> o rachunkowości</w:t>
      </w:r>
      <w:r w:rsidR="00AF2C69" w:rsidRPr="009958B1">
        <w:rPr>
          <w:rFonts w:ascii="Times New Roman" w:hAnsi="Times New Roman" w:cs="Times New Roman"/>
          <w:sz w:val="24"/>
          <w:szCs w:val="24"/>
        </w:rPr>
        <w:t xml:space="preserve"> i jest j</w:t>
      </w:r>
      <w:r w:rsidR="000870B2" w:rsidRPr="009958B1">
        <w:rPr>
          <w:rFonts w:ascii="Times New Roman" w:hAnsi="Times New Roman" w:cs="Times New Roman"/>
          <w:sz w:val="24"/>
          <w:szCs w:val="24"/>
        </w:rPr>
        <w:t>ednocześnie zgodne z dyrektywą</w:t>
      </w:r>
      <w:r w:rsidR="00F42BE3" w:rsidRPr="009958B1">
        <w:rPr>
          <w:rFonts w:ascii="Times New Roman" w:hAnsi="Times New Roman" w:cs="Times New Roman"/>
          <w:sz w:val="24"/>
          <w:szCs w:val="24"/>
        </w:rPr>
        <w:t xml:space="preserve"> (zob. </w:t>
      </w:r>
      <w:r w:rsidR="00F42BE3" w:rsidRPr="009958B1">
        <w:rPr>
          <w:rFonts w:ascii="Times New Roman" w:hAnsi="Times New Roman" w:cs="Times New Roman"/>
          <w:sz w:val="24"/>
          <w:szCs w:val="24"/>
        </w:rPr>
        <w:lastRenderedPageBreak/>
        <w:t>szczegółowe wyjaśnienia dotyczące projektowanej zmiany art. 49 ust. 3b ustawy o rachunkowości)</w:t>
      </w:r>
      <w:r w:rsidR="000870B2" w:rsidRPr="009958B1">
        <w:rPr>
          <w:rFonts w:ascii="Times New Roman" w:hAnsi="Times New Roman" w:cs="Times New Roman"/>
          <w:sz w:val="24"/>
          <w:szCs w:val="24"/>
        </w:rPr>
        <w:t>.</w:t>
      </w:r>
    </w:p>
    <w:p w14:paraId="281EFA9C" w14:textId="65722B02" w:rsidR="00633C6F" w:rsidRPr="00A04CED" w:rsidRDefault="00633C6F"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W związku ze zmianą przepisów dotyczących przedstawiania informacji o kluczowych zasobach niematerialnych w art. 49 (zmieniony ust. 3b oraz nowe ust. 3c</w:t>
      </w:r>
      <w:r w:rsidR="004D74B8">
        <w:rPr>
          <w:rFonts w:ascii="Times New Roman" w:hAnsi="Times New Roman" w:cs="Times New Roman"/>
          <w:sz w:val="24"/>
          <w:szCs w:val="24"/>
        </w:rPr>
        <w:t>–</w:t>
      </w:r>
      <w:r w:rsidRPr="00A04CED">
        <w:rPr>
          <w:rFonts w:ascii="Times New Roman" w:hAnsi="Times New Roman" w:cs="Times New Roman"/>
          <w:sz w:val="24"/>
          <w:szCs w:val="24"/>
        </w:rPr>
        <w:t xml:space="preserve">3d), w </w:t>
      </w:r>
      <w:r w:rsidRPr="00A04CED">
        <w:rPr>
          <w:rFonts w:ascii="Times New Roman" w:hAnsi="Times New Roman" w:cs="Times New Roman"/>
          <w:b/>
          <w:bCs/>
          <w:sz w:val="24"/>
          <w:szCs w:val="24"/>
        </w:rPr>
        <w:t>art. 55 ust. 2a</w:t>
      </w:r>
      <w:r w:rsidRPr="00A04CED">
        <w:rPr>
          <w:rFonts w:ascii="Times New Roman" w:hAnsi="Times New Roman" w:cs="Times New Roman"/>
          <w:sz w:val="24"/>
          <w:szCs w:val="24"/>
        </w:rPr>
        <w:t xml:space="preserve"> konieczn</w:t>
      </w:r>
      <w:r w:rsidR="00EA7C6A" w:rsidRPr="00A04CED">
        <w:rPr>
          <w:rFonts w:ascii="Times New Roman" w:hAnsi="Times New Roman" w:cs="Times New Roman"/>
          <w:sz w:val="24"/>
          <w:szCs w:val="24"/>
        </w:rPr>
        <w:t xml:space="preserve">e </w:t>
      </w:r>
      <w:r w:rsidRPr="00A04CED">
        <w:rPr>
          <w:rFonts w:ascii="Times New Roman" w:hAnsi="Times New Roman" w:cs="Times New Roman"/>
          <w:sz w:val="24"/>
          <w:szCs w:val="24"/>
        </w:rPr>
        <w:t xml:space="preserve">jest </w:t>
      </w:r>
      <w:r w:rsidR="00EA7C6A" w:rsidRPr="00A04CED">
        <w:rPr>
          <w:rFonts w:ascii="Times New Roman" w:hAnsi="Times New Roman" w:cs="Times New Roman"/>
          <w:b/>
          <w:bCs/>
          <w:sz w:val="24"/>
          <w:szCs w:val="24"/>
        </w:rPr>
        <w:t xml:space="preserve">dostosowanie </w:t>
      </w:r>
      <w:r w:rsidRPr="00A04CED">
        <w:rPr>
          <w:rFonts w:ascii="Times New Roman" w:hAnsi="Times New Roman" w:cs="Times New Roman"/>
          <w:b/>
          <w:bCs/>
          <w:sz w:val="24"/>
          <w:szCs w:val="24"/>
        </w:rPr>
        <w:t>powołania</w:t>
      </w:r>
      <w:r w:rsidRPr="00A04CED">
        <w:rPr>
          <w:rFonts w:ascii="Times New Roman" w:hAnsi="Times New Roman" w:cs="Times New Roman"/>
          <w:sz w:val="24"/>
          <w:szCs w:val="24"/>
        </w:rPr>
        <w:t xml:space="preserve"> (dodanie powołania </w:t>
      </w:r>
      <w:r w:rsidR="00877FEF" w:rsidRPr="00A04CED">
        <w:rPr>
          <w:rFonts w:ascii="Times New Roman" w:hAnsi="Times New Roman" w:cs="Times New Roman"/>
          <w:sz w:val="24"/>
          <w:szCs w:val="24"/>
        </w:rPr>
        <w:t>na</w:t>
      </w:r>
      <w:r w:rsidRPr="00A04CED">
        <w:rPr>
          <w:rFonts w:ascii="Times New Roman" w:hAnsi="Times New Roman" w:cs="Times New Roman"/>
          <w:sz w:val="24"/>
          <w:szCs w:val="24"/>
        </w:rPr>
        <w:t xml:space="preserve"> art. 49 ust. 3c i 3d), aby ww. zmiany przepisów miały zastosowanie również do sprawozdania z działalności grupy kapitałowej.</w:t>
      </w:r>
      <w:r w:rsidR="006E02D8" w:rsidRPr="00A04CED">
        <w:rPr>
          <w:rFonts w:ascii="Times New Roman" w:hAnsi="Times New Roman" w:cs="Times New Roman"/>
          <w:sz w:val="24"/>
          <w:szCs w:val="24"/>
        </w:rPr>
        <w:t xml:space="preserve"> </w:t>
      </w:r>
      <w:r w:rsidR="00CB68F3" w:rsidRPr="00A04CED">
        <w:rPr>
          <w:rFonts w:ascii="Times New Roman" w:hAnsi="Times New Roman" w:cs="Times New Roman"/>
          <w:sz w:val="24"/>
          <w:szCs w:val="24"/>
        </w:rPr>
        <w:t>Jednocześnie</w:t>
      </w:r>
      <w:r w:rsidR="004D74B8">
        <w:rPr>
          <w:rFonts w:ascii="Times New Roman" w:hAnsi="Times New Roman" w:cs="Times New Roman"/>
          <w:sz w:val="24"/>
          <w:szCs w:val="24"/>
        </w:rPr>
        <w:t>,</w:t>
      </w:r>
      <w:r w:rsidR="00CB68F3" w:rsidRPr="00A04CED">
        <w:rPr>
          <w:rFonts w:ascii="Times New Roman" w:hAnsi="Times New Roman" w:cs="Times New Roman"/>
          <w:sz w:val="24"/>
          <w:szCs w:val="24"/>
        </w:rPr>
        <w:t xml:space="preserve"> </w:t>
      </w:r>
      <w:r w:rsidR="004D74B8">
        <w:rPr>
          <w:rFonts w:ascii="Times New Roman" w:hAnsi="Times New Roman" w:cs="Times New Roman"/>
          <w:sz w:val="24"/>
          <w:szCs w:val="24"/>
        </w:rPr>
        <w:t>a</w:t>
      </w:r>
      <w:r w:rsidR="00CB68F3" w:rsidRPr="00A04CED">
        <w:rPr>
          <w:rFonts w:ascii="Times New Roman" w:hAnsi="Times New Roman" w:cs="Times New Roman"/>
          <w:sz w:val="24"/>
          <w:szCs w:val="24"/>
        </w:rPr>
        <w:t>by uwzględnić, że w przypadku raportowania na poz</w:t>
      </w:r>
      <w:r w:rsidR="00D708DF" w:rsidRPr="00A04CED">
        <w:rPr>
          <w:rFonts w:ascii="Times New Roman" w:hAnsi="Times New Roman" w:cs="Times New Roman"/>
          <w:sz w:val="24"/>
          <w:szCs w:val="24"/>
        </w:rPr>
        <w:t xml:space="preserve">iomie grupy kapitałowej, </w:t>
      </w:r>
      <w:r w:rsidR="00D3387F" w:rsidRPr="00A04CED">
        <w:rPr>
          <w:rFonts w:ascii="Times New Roman" w:hAnsi="Times New Roman" w:cs="Times New Roman"/>
          <w:sz w:val="24"/>
          <w:szCs w:val="24"/>
        </w:rPr>
        <w:t>przy ustalaniu</w:t>
      </w:r>
      <w:r w:rsidR="004D74B8">
        <w:rPr>
          <w:rFonts w:ascii="Times New Roman" w:hAnsi="Times New Roman" w:cs="Times New Roman"/>
          <w:sz w:val="24"/>
          <w:szCs w:val="24"/>
        </w:rPr>
        <w:t>,</w:t>
      </w:r>
      <w:r w:rsidR="00D3387F" w:rsidRPr="00A04CED">
        <w:rPr>
          <w:rFonts w:ascii="Times New Roman" w:hAnsi="Times New Roman" w:cs="Times New Roman"/>
          <w:sz w:val="24"/>
          <w:szCs w:val="24"/>
        </w:rPr>
        <w:t xml:space="preserve"> czy dana grupa podlega obowiązkowi sprawozdawczemu, </w:t>
      </w:r>
      <w:r w:rsidR="00D708DF" w:rsidRPr="00A04CED">
        <w:rPr>
          <w:rFonts w:ascii="Times New Roman" w:hAnsi="Times New Roman" w:cs="Times New Roman"/>
          <w:sz w:val="24"/>
          <w:szCs w:val="24"/>
        </w:rPr>
        <w:t>w odniesieniu do przychodów netto ze sprzedaży towarów i usług</w:t>
      </w:r>
      <w:r w:rsidR="004D74B8">
        <w:rPr>
          <w:rFonts w:ascii="Times New Roman" w:hAnsi="Times New Roman" w:cs="Times New Roman"/>
          <w:sz w:val="24"/>
          <w:szCs w:val="24"/>
        </w:rPr>
        <w:t>,</w:t>
      </w:r>
      <w:r w:rsidR="00D708DF" w:rsidRPr="00A04CED">
        <w:rPr>
          <w:rFonts w:ascii="Times New Roman" w:hAnsi="Times New Roman" w:cs="Times New Roman"/>
          <w:sz w:val="24"/>
          <w:szCs w:val="24"/>
        </w:rPr>
        <w:t xml:space="preserve"> należy </w:t>
      </w:r>
      <w:r w:rsidR="00D3387F" w:rsidRPr="00A04CED">
        <w:rPr>
          <w:rFonts w:ascii="Times New Roman" w:hAnsi="Times New Roman" w:cs="Times New Roman"/>
          <w:sz w:val="24"/>
          <w:szCs w:val="24"/>
        </w:rPr>
        <w:t>brać po uwagę</w:t>
      </w:r>
      <w:r w:rsidR="00D708DF" w:rsidRPr="00A04CED">
        <w:rPr>
          <w:rFonts w:ascii="Times New Roman" w:hAnsi="Times New Roman" w:cs="Times New Roman"/>
          <w:sz w:val="24"/>
          <w:szCs w:val="24"/>
        </w:rPr>
        <w:t xml:space="preserve"> ich wielkości po dokonaniu wyłączeń konsolidacyjnych (o których mowa w art. 60 ust. 2 i 6 ustawy o rachunkowości)</w:t>
      </w:r>
      <w:r w:rsidR="004D74B8">
        <w:rPr>
          <w:rFonts w:ascii="Times New Roman" w:hAnsi="Times New Roman" w:cs="Times New Roman"/>
          <w:sz w:val="24"/>
          <w:szCs w:val="24"/>
        </w:rPr>
        <w:t>,</w:t>
      </w:r>
      <w:r w:rsidR="00D708DF" w:rsidRPr="00A04CED">
        <w:rPr>
          <w:rFonts w:ascii="Times New Roman" w:hAnsi="Times New Roman" w:cs="Times New Roman"/>
          <w:sz w:val="24"/>
          <w:szCs w:val="24"/>
        </w:rPr>
        <w:t xml:space="preserve"> jak też </w:t>
      </w:r>
      <w:r w:rsidR="00E326C0" w:rsidRPr="00A04CED">
        <w:rPr>
          <w:rFonts w:ascii="Times New Roman" w:hAnsi="Times New Roman" w:cs="Times New Roman"/>
          <w:sz w:val="24"/>
          <w:szCs w:val="24"/>
        </w:rPr>
        <w:t>przed</w:t>
      </w:r>
      <w:r w:rsidR="00D708DF" w:rsidRPr="00A04CED">
        <w:rPr>
          <w:rFonts w:ascii="Times New Roman" w:hAnsi="Times New Roman" w:cs="Times New Roman"/>
          <w:sz w:val="24"/>
          <w:szCs w:val="24"/>
        </w:rPr>
        <w:t xml:space="preserve"> dokonani</w:t>
      </w:r>
      <w:r w:rsidR="00E326C0" w:rsidRPr="00A04CED">
        <w:rPr>
          <w:rFonts w:ascii="Times New Roman" w:hAnsi="Times New Roman" w:cs="Times New Roman"/>
          <w:sz w:val="24"/>
          <w:szCs w:val="24"/>
        </w:rPr>
        <w:t>em</w:t>
      </w:r>
      <w:r w:rsidR="00D708DF" w:rsidRPr="00A04CED">
        <w:rPr>
          <w:rFonts w:ascii="Times New Roman" w:hAnsi="Times New Roman" w:cs="Times New Roman"/>
          <w:sz w:val="24"/>
          <w:szCs w:val="24"/>
        </w:rPr>
        <w:t xml:space="preserve"> tych wyłączeń, w przepisie d</w:t>
      </w:r>
      <w:r w:rsidR="00B9642D" w:rsidRPr="00A04CED">
        <w:rPr>
          <w:rFonts w:ascii="Times New Roman" w:hAnsi="Times New Roman" w:cs="Times New Roman"/>
          <w:sz w:val="24"/>
          <w:szCs w:val="24"/>
        </w:rPr>
        <w:t>oprecyzowano, że obowiązek prezentowania informacji o kluczowych zasobach niematerialnych na poziomie grupy powstaje</w:t>
      </w:r>
      <w:r w:rsidR="00FB7898" w:rsidRPr="00A04CED">
        <w:rPr>
          <w:rFonts w:ascii="Times New Roman" w:hAnsi="Times New Roman" w:cs="Times New Roman"/>
          <w:sz w:val="24"/>
          <w:szCs w:val="24"/>
        </w:rPr>
        <w:t>, gd</w:t>
      </w:r>
      <w:r w:rsidR="00D708DF" w:rsidRPr="00A04CED">
        <w:rPr>
          <w:rFonts w:ascii="Times New Roman" w:hAnsi="Times New Roman" w:cs="Times New Roman"/>
          <w:sz w:val="24"/>
          <w:szCs w:val="24"/>
        </w:rPr>
        <w:t>y ww.</w:t>
      </w:r>
      <w:r w:rsidR="00FB7898" w:rsidRPr="00A04CED">
        <w:rPr>
          <w:rFonts w:ascii="Times New Roman" w:hAnsi="Times New Roman" w:cs="Times New Roman"/>
          <w:sz w:val="24"/>
          <w:szCs w:val="24"/>
        </w:rPr>
        <w:t xml:space="preserve"> przychody </w:t>
      </w:r>
      <w:r w:rsidR="00D708DF" w:rsidRPr="00A04CED">
        <w:rPr>
          <w:rFonts w:ascii="Times New Roman" w:hAnsi="Times New Roman" w:cs="Times New Roman"/>
          <w:sz w:val="24"/>
          <w:szCs w:val="24"/>
        </w:rPr>
        <w:t>w roku obrotowym i r</w:t>
      </w:r>
      <w:r w:rsidR="00CB68F3" w:rsidRPr="00A04CED">
        <w:rPr>
          <w:rFonts w:ascii="Times New Roman" w:hAnsi="Times New Roman" w:cs="Times New Roman"/>
          <w:sz w:val="24"/>
          <w:szCs w:val="24"/>
        </w:rPr>
        <w:t xml:space="preserve">oku go poprzedzającym </w:t>
      </w:r>
      <w:r w:rsidR="000842C1" w:rsidRPr="00A04CED">
        <w:rPr>
          <w:rFonts w:ascii="Times New Roman" w:hAnsi="Times New Roman" w:cs="Times New Roman"/>
          <w:sz w:val="24"/>
          <w:szCs w:val="24"/>
        </w:rPr>
        <w:t>przekr</w:t>
      </w:r>
      <w:r w:rsidR="00D708DF" w:rsidRPr="00A04CED">
        <w:rPr>
          <w:rFonts w:ascii="Times New Roman" w:hAnsi="Times New Roman" w:cs="Times New Roman"/>
          <w:sz w:val="24"/>
          <w:szCs w:val="24"/>
        </w:rPr>
        <w:t>a</w:t>
      </w:r>
      <w:r w:rsidR="00CB68F3" w:rsidRPr="00A04CED">
        <w:rPr>
          <w:rFonts w:ascii="Times New Roman" w:hAnsi="Times New Roman" w:cs="Times New Roman"/>
          <w:sz w:val="24"/>
          <w:szCs w:val="24"/>
        </w:rPr>
        <w:t>cz</w:t>
      </w:r>
      <w:r w:rsidR="00D708DF" w:rsidRPr="00A04CED">
        <w:rPr>
          <w:rFonts w:ascii="Times New Roman" w:hAnsi="Times New Roman" w:cs="Times New Roman"/>
          <w:sz w:val="24"/>
          <w:szCs w:val="24"/>
        </w:rPr>
        <w:t>aj</w:t>
      </w:r>
      <w:r w:rsidR="00CB68F3" w:rsidRPr="00A04CED">
        <w:rPr>
          <w:rFonts w:ascii="Times New Roman" w:hAnsi="Times New Roman" w:cs="Times New Roman"/>
          <w:sz w:val="24"/>
          <w:szCs w:val="24"/>
        </w:rPr>
        <w:t>ą</w:t>
      </w:r>
      <w:r w:rsidR="000842C1" w:rsidRPr="00A04CED">
        <w:rPr>
          <w:rFonts w:ascii="Times New Roman" w:hAnsi="Times New Roman" w:cs="Times New Roman"/>
          <w:sz w:val="24"/>
          <w:szCs w:val="24"/>
        </w:rPr>
        <w:t xml:space="preserve"> </w:t>
      </w:r>
      <w:r w:rsidR="00CB68F3" w:rsidRPr="00A04CED">
        <w:rPr>
          <w:rFonts w:ascii="Times New Roman" w:hAnsi="Times New Roman" w:cs="Times New Roman"/>
          <w:sz w:val="24"/>
          <w:szCs w:val="24"/>
        </w:rPr>
        <w:t>zarówno</w:t>
      </w:r>
      <w:r w:rsidR="00B9642D" w:rsidRPr="00A04CED">
        <w:rPr>
          <w:rFonts w:ascii="Times New Roman" w:hAnsi="Times New Roman" w:cs="Times New Roman"/>
          <w:sz w:val="24"/>
          <w:szCs w:val="24"/>
        </w:rPr>
        <w:t xml:space="preserve"> 1 900 000 000 zł </w:t>
      </w:r>
      <w:r w:rsidR="00CB68F3" w:rsidRPr="00A04CED">
        <w:rPr>
          <w:rFonts w:ascii="Times New Roman" w:hAnsi="Times New Roman" w:cs="Times New Roman"/>
          <w:sz w:val="24"/>
          <w:szCs w:val="24"/>
        </w:rPr>
        <w:t>po dokonaniu wyłączeń konsolidacyjnych</w:t>
      </w:r>
      <w:r w:rsidR="00D708DF" w:rsidRPr="00A04CED">
        <w:rPr>
          <w:rFonts w:ascii="Times New Roman" w:hAnsi="Times New Roman" w:cs="Times New Roman"/>
          <w:sz w:val="24"/>
          <w:szCs w:val="24"/>
        </w:rPr>
        <w:t>,</w:t>
      </w:r>
      <w:r w:rsidR="00CB68F3" w:rsidRPr="00A04CED">
        <w:rPr>
          <w:rFonts w:ascii="Times New Roman" w:hAnsi="Times New Roman" w:cs="Times New Roman"/>
          <w:sz w:val="24"/>
          <w:szCs w:val="24"/>
        </w:rPr>
        <w:t xml:space="preserve"> jak również </w:t>
      </w:r>
      <w:r w:rsidR="00B9642D" w:rsidRPr="00A04CED">
        <w:rPr>
          <w:rFonts w:ascii="Times New Roman" w:hAnsi="Times New Roman" w:cs="Times New Roman"/>
          <w:sz w:val="24"/>
          <w:szCs w:val="24"/>
        </w:rPr>
        <w:t xml:space="preserve">2 280 000 000 zł przed dokonaniem </w:t>
      </w:r>
      <w:r w:rsidR="00CB68F3" w:rsidRPr="00A04CED">
        <w:rPr>
          <w:rFonts w:ascii="Times New Roman" w:hAnsi="Times New Roman" w:cs="Times New Roman"/>
          <w:sz w:val="24"/>
          <w:szCs w:val="24"/>
        </w:rPr>
        <w:t xml:space="preserve">tych </w:t>
      </w:r>
      <w:r w:rsidR="00B9642D" w:rsidRPr="00A04CED">
        <w:rPr>
          <w:rFonts w:ascii="Times New Roman" w:hAnsi="Times New Roman" w:cs="Times New Roman"/>
          <w:sz w:val="24"/>
          <w:szCs w:val="24"/>
        </w:rPr>
        <w:t>wyłączeń</w:t>
      </w:r>
      <w:r w:rsidR="00D708DF" w:rsidRPr="00A04CED">
        <w:rPr>
          <w:rFonts w:ascii="Times New Roman" w:hAnsi="Times New Roman" w:cs="Times New Roman"/>
          <w:sz w:val="24"/>
          <w:szCs w:val="24"/>
        </w:rPr>
        <w:t xml:space="preserve"> (por. pkt 2 w ust. 2a)</w:t>
      </w:r>
      <w:r w:rsidR="00B9642D" w:rsidRPr="00A04CED">
        <w:rPr>
          <w:rFonts w:ascii="Times New Roman" w:hAnsi="Times New Roman" w:cs="Times New Roman"/>
          <w:sz w:val="24"/>
          <w:szCs w:val="24"/>
        </w:rPr>
        <w:t xml:space="preserve">. Jednocześnie </w:t>
      </w:r>
      <w:r w:rsidR="00D3387F" w:rsidRPr="00A04CED">
        <w:rPr>
          <w:rFonts w:ascii="Times New Roman" w:hAnsi="Times New Roman" w:cs="Times New Roman"/>
          <w:sz w:val="24"/>
          <w:szCs w:val="24"/>
        </w:rPr>
        <w:t xml:space="preserve">należy wskazać, że </w:t>
      </w:r>
      <w:r w:rsidR="00CB68F3" w:rsidRPr="00A04CED">
        <w:rPr>
          <w:rFonts w:ascii="Times New Roman" w:hAnsi="Times New Roman" w:cs="Times New Roman"/>
          <w:sz w:val="24"/>
          <w:szCs w:val="24"/>
        </w:rPr>
        <w:t xml:space="preserve">przez </w:t>
      </w:r>
      <w:r w:rsidR="00B9642D" w:rsidRPr="00A04CED">
        <w:rPr>
          <w:rFonts w:ascii="Times New Roman" w:hAnsi="Times New Roman" w:cs="Times New Roman"/>
          <w:sz w:val="24"/>
          <w:szCs w:val="24"/>
        </w:rPr>
        <w:t>odpowiedni</w:t>
      </w:r>
      <w:r w:rsidR="00CB68F3" w:rsidRPr="00A04CED">
        <w:rPr>
          <w:rFonts w:ascii="Times New Roman" w:hAnsi="Times New Roman" w:cs="Times New Roman"/>
          <w:sz w:val="24"/>
          <w:szCs w:val="24"/>
        </w:rPr>
        <w:t>e</w:t>
      </w:r>
      <w:r w:rsidR="00B9642D" w:rsidRPr="00A04CED">
        <w:rPr>
          <w:rFonts w:ascii="Times New Roman" w:hAnsi="Times New Roman" w:cs="Times New Roman"/>
          <w:sz w:val="24"/>
          <w:szCs w:val="24"/>
        </w:rPr>
        <w:t xml:space="preserve"> stosowan</w:t>
      </w:r>
      <w:r w:rsidR="00CB68F3" w:rsidRPr="00A04CED">
        <w:rPr>
          <w:rFonts w:ascii="Times New Roman" w:hAnsi="Times New Roman" w:cs="Times New Roman"/>
          <w:sz w:val="24"/>
          <w:szCs w:val="24"/>
        </w:rPr>
        <w:t>ie</w:t>
      </w:r>
      <w:r w:rsidR="00B9642D" w:rsidRPr="00A04CED">
        <w:rPr>
          <w:rFonts w:ascii="Times New Roman" w:hAnsi="Times New Roman" w:cs="Times New Roman"/>
          <w:sz w:val="24"/>
          <w:szCs w:val="24"/>
        </w:rPr>
        <w:t xml:space="preserve"> art. 49 ust. 3d </w:t>
      </w:r>
      <w:r w:rsidR="00CB68F3" w:rsidRPr="00A04CED">
        <w:rPr>
          <w:rFonts w:ascii="Times New Roman" w:hAnsi="Times New Roman" w:cs="Times New Roman"/>
          <w:sz w:val="24"/>
          <w:szCs w:val="24"/>
        </w:rPr>
        <w:t>należy rozumieć</w:t>
      </w:r>
      <w:r w:rsidR="00B9642D" w:rsidRPr="00A04CED">
        <w:rPr>
          <w:rFonts w:ascii="Times New Roman" w:hAnsi="Times New Roman" w:cs="Times New Roman"/>
          <w:sz w:val="24"/>
          <w:szCs w:val="24"/>
        </w:rPr>
        <w:t xml:space="preserve"> odniesienie do </w:t>
      </w:r>
      <w:r w:rsidR="00D3387F" w:rsidRPr="00A04CED">
        <w:rPr>
          <w:rFonts w:ascii="Times New Roman" w:hAnsi="Times New Roman" w:cs="Times New Roman"/>
          <w:sz w:val="24"/>
          <w:szCs w:val="24"/>
        </w:rPr>
        <w:t>obu</w:t>
      </w:r>
      <w:r w:rsidR="00B9642D" w:rsidRPr="00A04CED">
        <w:rPr>
          <w:rFonts w:ascii="Times New Roman" w:hAnsi="Times New Roman" w:cs="Times New Roman"/>
          <w:sz w:val="24"/>
          <w:szCs w:val="24"/>
        </w:rPr>
        <w:t xml:space="preserve"> wielkości</w:t>
      </w:r>
      <w:r w:rsidR="00D3387F" w:rsidRPr="00A04CED">
        <w:rPr>
          <w:rFonts w:ascii="Times New Roman" w:hAnsi="Times New Roman" w:cs="Times New Roman"/>
          <w:sz w:val="24"/>
          <w:szCs w:val="24"/>
        </w:rPr>
        <w:t xml:space="preserve"> przychodów netto ze sprzedaży towarów i produktów</w:t>
      </w:r>
      <w:r w:rsidR="00B9642D" w:rsidRPr="00A04CED">
        <w:rPr>
          <w:rFonts w:ascii="Times New Roman" w:hAnsi="Times New Roman" w:cs="Times New Roman"/>
          <w:sz w:val="24"/>
          <w:szCs w:val="24"/>
        </w:rPr>
        <w:t xml:space="preserve"> określonych w art. 55 ust. 2a pkt 2.</w:t>
      </w:r>
      <w:r w:rsidR="00D3387F" w:rsidRPr="00A04CED">
        <w:rPr>
          <w:rFonts w:ascii="Times New Roman" w:hAnsi="Times New Roman" w:cs="Times New Roman"/>
          <w:sz w:val="24"/>
          <w:szCs w:val="24"/>
        </w:rPr>
        <w:t xml:space="preserve"> Oznacza to, że jednostka dominująca przedstawiająca już informacje o kluczowych zasobach niematerialnych grupy zaprzestanie podlegać ww. obowiązkowi</w:t>
      </w:r>
      <w:r w:rsidR="004D74B8">
        <w:rPr>
          <w:rFonts w:ascii="Times New Roman" w:hAnsi="Times New Roman" w:cs="Times New Roman"/>
          <w:sz w:val="24"/>
          <w:szCs w:val="24"/>
        </w:rPr>
        <w:t>,</w:t>
      </w:r>
      <w:r w:rsidR="0015481A" w:rsidRPr="00A04CED">
        <w:rPr>
          <w:rFonts w:ascii="Times New Roman" w:hAnsi="Times New Roman" w:cs="Times New Roman"/>
          <w:sz w:val="24"/>
          <w:szCs w:val="24"/>
        </w:rPr>
        <w:t xml:space="preserve"> je</w:t>
      </w:r>
      <w:r w:rsidR="00085984" w:rsidRPr="00A04CED">
        <w:rPr>
          <w:rFonts w:ascii="Times New Roman" w:hAnsi="Times New Roman" w:cs="Times New Roman"/>
          <w:sz w:val="24"/>
          <w:szCs w:val="24"/>
        </w:rPr>
        <w:t>żeli</w:t>
      </w:r>
      <w:r w:rsidR="0015481A" w:rsidRPr="00A04CED">
        <w:rPr>
          <w:rFonts w:ascii="Times New Roman" w:hAnsi="Times New Roman" w:cs="Times New Roman"/>
          <w:sz w:val="24"/>
          <w:szCs w:val="24"/>
        </w:rPr>
        <w:t xml:space="preserve"> w roku obrotowym oraz w roku go poprzedzający</w:t>
      </w:r>
      <w:r w:rsidR="00E326C0" w:rsidRPr="00A04CED">
        <w:rPr>
          <w:rFonts w:ascii="Times New Roman" w:hAnsi="Times New Roman" w:cs="Times New Roman"/>
          <w:sz w:val="24"/>
          <w:szCs w:val="24"/>
        </w:rPr>
        <w:t>m</w:t>
      </w:r>
      <w:r w:rsidR="0015481A" w:rsidRPr="00A04CED">
        <w:rPr>
          <w:rFonts w:ascii="Times New Roman" w:hAnsi="Times New Roman" w:cs="Times New Roman"/>
          <w:sz w:val="24"/>
          <w:szCs w:val="24"/>
        </w:rPr>
        <w:t xml:space="preserve"> przychody netto ze sprzedaży grupy nie przekroczyły 1 900 000 000 zł po dokonaniu wyłączeń konsolidacyjnych lub 2 280 000 000 zł przed dokonaniem </w:t>
      </w:r>
      <w:r w:rsidR="00E326C0" w:rsidRPr="00A04CED">
        <w:rPr>
          <w:rFonts w:ascii="Times New Roman" w:hAnsi="Times New Roman" w:cs="Times New Roman"/>
          <w:sz w:val="24"/>
          <w:szCs w:val="24"/>
        </w:rPr>
        <w:t xml:space="preserve">tych </w:t>
      </w:r>
      <w:r w:rsidR="0015481A" w:rsidRPr="00A04CED">
        <w:rPr>
          <w:rFonts w:ascii="Times New Roman" w:hAnsi="Times New Roman" w:cs="Times New Roman"/>
          <w:sz w:val="24"/>
          <w:szCs w:val="24"/>
        </w:rPr>
        <w:t>wyłączeń lub zatrudnienie na poziomie grupy nie przekroczyło 1000 osób.</w:t>
      </w:r>
      <w:r w:rsidR="00B9642D" w:rsidRPr="00A04CED">
        <w:rPr>
          <w:rFonts w:ascii="Times New Roman" w:hAnsi="Times New Roman" w:cs="Times New Roman"/>
          <w:sz w:val="24"/>
          <w:szCs w:val="24"/>
        </w:rPr>
        <w:t xml:space="preserve"> Ponadto zdanie</w:t>
      </w:r>
      <w:r w:rsidR="00D3387F" w:rsidRPr="00A04CED">
        <w:rPr>
          <w:rFonts w:ascii="Times New Roman" w:hAnsi="Times New Roman" w:cs="Times New Roman"/>
          <w:sz w:val="24"/>
          <w:szCs w:val="24"/>
        </w:rPr>
        <w:t xml:space="preserve"> drugie</w:t>
      </w:r>
      <w:r w:rsidR="00B9642D" w:rsidRPr="00A04CED">
        <w:rPr>
          <w:rFonts w:ascii="Times New Roman" w:hAnsi="Times New Roman" w:cs="Times New Roman"/>
          <w:sz w:val="24"/>
          <w:szCs w:val="24"/>
        </w:rPr>
        <w:t xml:space="preserve"> zawarte w </w:t>
      </w:r>
      <w:r w:rsidR="00D3387F" w:rsidRPr="00A04CED">
        <w:rPr>
          <w:rFonts w:ascii="Times New Roman" w:hAnsi="Times New Roman" w:cs="Times New Roman"/>
          <w:sz w:val="24"/>
          <w:szCs w:val="24"/>
        </w:rPr>
        <w:t xml:space="preserve">dotychczasowym brzmieniu </w:t>
      </w:r>
      <w:r w:rsidR="00B9642D" w:rsidRPr="00A04CED">
        <w:rPr>
          <w:rFonts w:ascii="Times New Roman" w:hAnsi="Times New Roman" w:cs="Times New Roman"/>
          <w:sz w:val="24"/>
          <w:szCs w:val="24"/>
        </w:rPr>
        <w:t>art. 55 ust. 2a zostało przeniesione do odrębnej jednostki redakcyjnej</w:t>
      </w:r>
      <w:r w:rsidR="0015481A" w:rsidRPr="00A04CED">
        <w:rPr>
          <w:rFonts w:ascii="Times New Roman" w:hAnsi="Times New Roman" w:cs="Times New Roman"/>
          <w:sz w:val="24"/>
          <w:szCs w:val="24"/>
        </w:rPr>
        <w:t xml:space="preserve"> (nowy ust. 2aa)</w:t>
      </w:r>
      <w:r w:rsidR="00B9642D" w:rsidRPr="00A04CED">
        <w:rPr>
          <w:rFonts w:ascii="Times New Roman" w:hAnsi="Times New Roman" w:cs="Times New Roman"/>
          <w:sz w:val="24"/>
          <w:szCs w:val="24"/>
        </w:rPr>
        <w:t>.</w:t>
      </w:r>
    </w:p>
    <w:p w14:paraId="63872398" w14:textId="26AF24AE" w:rsidR="00C4285F" w:rsidRPr="00A04CED" w:rsidRDefault="00AE5A20" w:rsidP="009958B1">
      <w:pPr>
        <w:spacing w:before="120" w:after="0" w:line="360" w:lineRule="auto"/>
        <w:jc w:val="both"/>
        <w:rPr>
          <w:rFonts w:ascii="Times New Roman" w:hAnsi="Times New Roman" w:cs="Times New Roman"/>
          <w:b/>
          <w:bCs/>
          <w:sz w:val="24"/>
          <w:szCs w:val="24"/>
        </w:rPr>
      </w:pPr>
      <w:r w:rsidRPr="00A04CED">
        <w:rPr>
          <w:rFonts w:ascii="Times New Roman" w:hAnsi="Times New Roman" w:cs="Times New Roman"/>
          <w:b/>
          <w:bCs/>
          <w:sz w:val="24"/>
          <w:szCs w:val="24"/>
        </w:rPr>
        <w:t>W</w:t>
      </w:r>
      <w:r w:rsidR="00C154A3" w:rsidRPr="00A04CED">
        <w:rPr>
          <w:rFonts w:ascii="Times New Roman" w:hAnsi="Times New Roman" w:cs="Times New Roman"/>
          <w:b/>
          <w:bCs/>
          <w:sz w:val="24"/>
          <w:szCs w:val="24"/>
        </w:rPr>
        <w:t xml:space="preserve"> art. 63p</w:t>
      </w:r>
      <w:r w:rsidR="00C4285F" w:rsidRPr="00A04CED">
        <w:rPr>
          <w:rFonts w:ascii="Times New Roman" w:hAnsi="Times New Roman" w:cs="Times New Roman"/>
          <w:b/>
          <w:bCs/>
          <w:sz w:val="24"/>
          <w:szCs w:val="24"/>
        </w:rPr>
        <w:t>:</w:t>
      </w:r>
    </w:p>
    <w:p w14:paraId="60E23A21" w14:textId="67E8E1BD" w:rsidR="000B652F" w:rsidRPr="00A04CED" w:rsidRDefault="00972492" w:rsidP="009958B1">
      <w:pPr>
        <w:pStyle w:val="Akapitzlist"/>
        <w:numPr>
          <w:ilvl w:val="0"/>
          <w:numId w:val="13"/>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uchyla</w:t>
      </w:r>
      <w:r w:rsidR="00C4285F" w:rsidRPr="00A04CED">
        <w:rPr>
          <w:rFonts w:ascii="Times New Roman" w:hAnsi="Times New Roman" w:cs="Times New Roman"/>
          <w:b/>
          <w:bCs/>
          <w:sz w:val="24"/>
          <w:szCs w:val="24"/>
        </w:rPr>
        <w:t xml:space="preserve"> się </w:t>
      </w:r>
      <w:r w:rsidR="00AE5A20" w:rsidRPr="00A04CED">
        <w:rPr>
          <w:rFonts w:ascii="Times New Roman" w:hAnsi="Times New Roman" w:cs="Times New Roman"/>
          <w:b/>
          <w:bCs/>
          <w:sz w:val="24"/>
          <w:szCs w:val="24"/>
        </w:rPr>
        <w:t>pkt 3</w:t>
      </w:r>
      <w:r w:rsidR="00AE5A20" w:rsidRPr="00A04CED">
        <w:rPr>
          <w:rFonts w:ascii="Times New Roman" w:hAnsi="Times New Roman" w:cs="Times New Roman"/>
          <w:sz w:val="24"/>
          <w:szCs w:val="24"/>
        </w:rPr>
        <w:t xml:space="preserve"> </w:t>
      </w:r>
      <w:r w:rsidR="00C4285F" w:rsidRPr="00A04CED">
        <w:rPr>
          <w:rFonts w:ascii="Times New Roman" w:hAnsi="Times New Roman" w:cs="Times New Roman"/>
          <w:sz w:val="24"/>
          <w:szCs w:val="24"/>
        </w:rPr>
        <w:t>definiujący standardy sprawozdawczości zrównoważonego rozwoju dla małych i średnich jednostek. Standardy te miały być stosowane do sporządzania uproszczonej sprawozdawczości zrównoważonego rozwoju przez małych i średnich emitentów z rynku regulowanego, którzy zdecydowaliby się ją sporządzać</w:t>
      </w:r>
      <w:r w:rsidR="00655ED4" w:rsidRPr="00A04CED">
        <w:rPr>
          <w:rFonts w:ascii="Times New Roman" w:hAnsi="Times New Roman" w:cs="Times New Roman"/>
          <w:sz w:val="24"/>
          <w:szCs w:val="24"/>
        </w:rPr>
        <w:t>,</w:t>
      </w:r>
      <w:r w:rsidR="00C4285F" w:rsidRPr="00A04CED">
        <w:rPr>
          <w:rFonts w:ascii="Times New Roman" w:hAnsi="Times New Roman" w:cs="Times New Roman"/>
          <w:sz w:val="24"/>
          <w:szCs w:val="24"/>
        </w:rPr>
        <w:t xml:space="preserve"> zamiast „pełnej” SZR</w:t>
      </w:r>
      <w:r w:rsidR="00655ED4" w:rsidRPr="00A04CED">
        <w:rPr>
          <w:rFonts w:ascii="Times New Roman" w:hAnsi="Times New Roman" w:cs="Times New Roman"/>
          <w:sz w:val="24"/>
          <w:szCs w:val="24"/>
        </w:rPr>
        <w:t>,</w:t>
      </w:r>
      <w:r w:rsidR="00C4285F" w:rsidRPr="00A04CED">
        <w:rPr>
          <w:rFonts w:ascii="Times New Roman" w:hAnsi="Times New Roman" w:cs="Times New Roman"/>
          <w:sz w:val="24"/>
          <w:szCs w:val="24"/>
        </w:rPr>
        <w:t xml:space="preserve"> na podstawie art. 63s ustawy</w:t>
      </w:r>
      <w:r w:rsidR="00234EC5" w:rsidRPr="00A04CED">
        <w:rPr>
          <w:rFonts w:ascii="Times New Roman" w:hAnsi="Times New Roman" w:cs="Times New Roman"/>
          <w:sz w:val="24"/>
          <w:szCs w:val="24"/>
        </w:rPr>
        <w:t xml:space="preserve"> o rachunkowości</w:t>
      </w:r>
      <w:r w:rsidR="00C4285F" w:rsidRPr="00A04CED">
        <w:rPr>
          <w:rFonts w:ascii="Times New Roman" w:hAnsi="Times New Roman" w:cs="Times New Roman"/>
          <w:sz w:val="24"/>
          <w:szCs w:val="24"/>
        </w:rPr>
        <w:t xml:space="preserve">. </w:t>
      </w:r>
      <w:r w:rsidR="00234EC5" w:rsidRPr="00A04CED">
        <w:rPr>
          <w:rFonts w:ascii="Times New Roman" w:hAnsi="Times New Roman" w:cs="Times New Roman"/>
          <w:sz w:val="24"/>
          <w:szCs w:val="24"/>
        </w:rPr>
        <w:t>W</w:t>
      </w:r>
      <w:r w:rsidR="00AE5A20" w:rsidRPr="00A04CED">
        <w:rPr>
          <w:rFonts w:ascii="Times New Roman" w:hAnsi="Times New Roman" w:cs="Times New Roman"/>
          <w:sz w:val="24"/>
          <w:szCs w:val="24"/>
        </w:rPr>
        <w:t xml:space="preserve"> związku ze zmianą zakresu jednostek zobowiązanych do sporządzania sprawozdawczości zrównoważonego rozwoju </w:t>
      </w:r>
      <w:r w:rsidR="00247FEB" w:rsidRPr="00A04CED">
        <w:rPr>
          <w:rFonts w:ascii="Times New Roman" w:hAnsi="Times New Roman" w:cs="Times New Roman"/>
          <w:sz w:val="24"/>
          <w:szCs w:val="24"/>
        </w:rPr>
        <w:t xml:space="preserve">(mali i średni emitenci z rynku regulowanego nie będą już objęci tym obowiązkiem) oraz uchyleniem zarówno art. 19a ust. 6 dyrektywy 2013/34/UE (uprawniającego do stosowania </w:t>
      </w:r>
      <w:r w:rsidR="00247FEB" w:rsidRPr="00A04CED">
        <w:rPr>
          <w:rFonts w:ascii="Times New Roman" w:hAnsi="Times New Roman" w:cs="Times New Roman"/>
          <w:sz w:val="24"/>
          <w:szCs w:val="24"/>
        </w:rPr>
        <w:lastRenderedPageBreak/>
        <w:t>uproszczonej sprawozdawczości zrównoważonego rozwoju)</w:t>
      </w:r>
      <w:r w:rsidR="004D74B8">
        <w:rPr>
          <w:rFonts w:ascii="Times New Roman" w:hAnsi="Times New Roman" w:cs="Times New Roman"/>
          <w:sz w:val="24"/>
          <w:szCs w:val="24"/>
        </w:rPr>
        <w:t>,</w:t>
      </w:r>
      <w:r w:rsidR="00247FEB" w:rsidRPr="00A04CED">
        <w:rPr>
          <w:rFonts w:ascii="Times New Roman" w:hAnsi="Times New Roman" w:cs="Times New Roman"/>
          <w:sz w:val="24"/>
          <w:szCs w:val="24"/>
        </w:rPr>
        <w:t xml:space="preserve"> </w:t>
      </w:r>
      <w:r w:rsidR="00D25113" w:rsidRPr="00A04CED">
        <w:rPr>
          <w:rFonts w:ascii="Times New Roman" w:hAnsi="Times New Roman" w:cs="Times New Roman"/>
          <w:sz w:val="24"/>
          <w:szCs w:val="24"/>
        </w:rPr>
        <w:t>jak też</w:t>
      </w:r>
      <w:r w:rsidR="00247FEB" w:rsidRPr="00A04CED">
        <w:rPr>
          <w:rFonts w:ascii="Times New Roman" w:hAnsi="Times New Roman" w:cs="Times New Roman"/>
          <w:sz w:val="24"/>
          <w:szCs w:val="24"/>
        </w:rPr>
        <w:t xml:space="preserve"> art. 29c tejże dyrektywy (uprawniającego KE do wydania ww. standardów) </w:t>
      </w:r>
      <w:r w:rsidR="00FA3D11" w:rsidRPr="00A04CED">
        <w:rPr>
          <w:rFonts w:ascii="Times New Roman" w:hAnsi="Times New Roman" w:cs="Times New Roman"/>
          <w:sz w:val="24"/>
          <w:szCs w:val="24"/>
        </w:rPr>
        <w:t>wspomniana</w:t>
      </w:r>
      <w:r w:rsidR="00247FEB" w:rsidRPr="00A04CED">
        <w:rPr>
          <w:rFonts w:ascii="Times New Roman" w:hAnsi="Times New Roman" w:cs="Times New Roman"/>
          <w:sz w:val="24"/>
          <w:szCs w:val="24"/>
        </w:rPr>
        <w:t xml:space="preserve"> definicja w pkt 3 traci rację bytu i należy ją wykreślić</w:t>
      </w:r>
      <w:r w:rsidR="001B39DD" w:rsidRPr="00A04CED">
        <w:rPr>
          <w:rFonts w:ascii="Times New Roman" w:hAnsi="Times New Roman" w:cs="Times New Roman"/>
          <w:sz w:val="24"/>
          <w:szCs w:val="24"/>
        </w:rPr>
        <w:t>. Jako zmianę wynikow</w:t>
      </w:r>
      <w:r w:rsidR="00655ED4" w:rsidRPr="00A04CED">
        <w:rPr>
          <w:rFonts w:ascii="Times New Roman" w:hAnsi="Times New Roman" w:cs="Times New Roman"/>
          <w:sz w:val="24"/>
          <w:szCs w:val="24"/>
        </w:rPr>
        <w:t>ą</w:t>
      </w:r>
      <w:r w:rsidR="001B39DD" w:rsidRPr="00A04CED">
        <w:rPr>
          <w:rFonts w:ascii="Times New Roman" w:hAnsi="Times New Roman" w:cs="Times New Roman"/>
          <w:sz w:val="24"/>
          <w:szCs w:val="24"/>
        </w:rPr>
        <w:t xml:space="preserve"> należało</w:t>
      </w:r>
      <w:r w:rsidR="00655ED4" w:rsidRPr="00A04CED">
        <w:rPr>
          <w:rFonts w:ascii="Times New Roman" w:hAnsi="Times New Roman" w:cs="Times New Roman"/>
          <w:sz w:val="24"/>
          <w:szCs w:val="24"/>
        </w:rPr>
        <w:t xml:space="preserve"> również</w:t>
      </w:r>
      <w:r w:rsidR="001B39DD" w:rsidRPr="00A04CED">
        <w:rPr>
          <w:rFonts w:ascii="Times New Roman" w:hAnsi="Times New Roman" w:cs="Times New Roman"/>
          <w:sz w:val="24"/>
          <w:szCs w:val="24"/>
        </w:rPr>
        <w:t xml:space="preserve"> wykreślić powołanie się </w:t>
      </w:r>
      <w:r w:rsidR="00655ED4" w:rsidRPr="00A04CED">
        <w:rPr>
          <w:rFonts w:ascii="Times New Roman" w:hAnsi="Times New Roman" w:cs="Times New Roman"/>
          <w:sz w:val="24"/>
          <w:szCs w:val="24"/>
        </w:rPr>
        <w:t xml:space="preserve">na </w:t>
      </w:r>
      <w:r w:rsidR="001B39DD" w:rsidRPr="00A04CED">
        <w:rPr>
          <w:rFonts w:ascii="Times New Roman" w:hAnsi="Times New Roman" w:cs="Times New Roman"/>
          <w:sz w:val="24"/>
          <w:szCs w:val="24"/>
        </w:rPr>
        <w:t xml:space="preserve">standardy sprawozdawczości zrównoważonego rozwoju dla małych i średnich jednostek w </w:t>
      </w:r>
      <w:r w:rsidR="001B39DD" w:rsidRPr="00A04CED">
        <w:rPr>
          <w:rFonts w:ascii="Times New Roman" w:hAnsi="Times New Roman" w:cs="Times New Roman"/>
          <w:b/>
          <w:bCs/>
          <w:sz w:val="24"/>
          <w:szCs w:val="24"/>
        </w:rPr>
        <w:t>art. 66 ust. 8</w:t>
      </w:r>
      <w:r w:rsidR="00FE1B83" w:rsidRPr="00A04CED">
        <w:rPr>
          <w:rFonts w:ascii="Times New Roman" w:hAnsi="Times New Roman" w:cs="Times New Roman"/>
          <w:sz w:val="24"/>
          <w:szCs w:val="24"/>
        </w:rPr>
        <w:t>;</w:t>
      </w:r>
    </w:p>
    <w:p w14:paraId="680535BE" w14:textId="35246F6D" w:rsidR="00C154A3" w:rsidRPr="00A04CED" w:rsidRDefault="00AE5A20" w:rsidP="009958B1">
      <w:pPr>
        <w:pStyle w:val="Akapitzlist"/>
        <w:numPr>
          <w:ilvl w:val="0"/>
          <w:numId w:val="13"/>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 xml:space="preserve">dodaje się </w:t>
      </w:r>
      <w:r w:rsidR="000B652F" w:rsidRPr="00A04CED">
        <w:rPr>
          <w:rFonts w:ascii="Times New Roman" w:hAnsi="Times New Roman" w:cs="Times New Roman"/>
          <w:b/>
          <w:bCs/>
          <w:sz w:val="24"/>
          <w:szCs w:val="24"/>
        </w:rPr>
        <w:t>pkt 4-6</w:t>
      </w:r>
      <w:r w:rsidR="000B652F" w:rsidRPr="00A04CED">
        <w:rPr>
          <w:rFonts w:ascii="Times New Roman" w:hAnsi="Times New Roman" w:cs="Times New Roman"/>
          <w:sz w:val="24"/>
          <w:szCs w:val="24"/>
        </w:rPr>
        <w:t xml:space="preserve"> </w:t>
      </w:r>
      <w:r w:rsidRPr="00A04CED">
        <w:rPr>
          <w:rFonts w:ascii="Times New Roman" w:hAnsi="Times New Roman" w:cs="Times New Roman"/>
          <w:sz w:val="24"/>
          <w:szCs w:val="24"/>
        </w:rPr>
        <w:t>defini</w:t>
      </w:r>
      <w:r w:rsidR="000B652F" w:rsidRPr="00A04CED">
        <w:rPr>
          <w:rFonts w:ascii="Times New Roman" w:hAnsi="Times New Roman" w:cs="Times New Roman"/>
          <w:sz w:val="24"/>
          <w:szCs w:val="24"/>
        </w:rPr>
        <w:t>ujące odpowiednio</w:t>
      </w:r>
      <w:r w:rsidRPr="00A04CED">
        <w:rPr>
          <w:rFonts w:ascii="Times New Roman" w:hAnsi="Times New Roman" w:cs="Times New Roman"/>
          <w:sz w:val="24"/>
          <w:szCs w:val="24"/>
        </w:rPr>
        <w:t xml:space="preserve"> </w:t>
      </w:r>
      <w:r w:rsidR="000B652F" w:rsidRPr="00A04CED">
        <w:rPr>
          <w:rFonts w:ascii="Times New Roman" w:hAnsi="Times New Roman" w:cs="Times New Roman"/>
          <w:sz w:val="24"/>
          <w:szCs w:val="24"/>
        </w:rPr>
        <w:t xml:space="preserve">dobrowolne </w:t>
      </w:r>
      <w:r w:rsidRPr="00A04CED">
        <w:rPr>
          <w:rFonts w:ascii="Times New Roman" w:hAnsi="Times New Roman" w:cs="Times New Roman"/>
          <w:sz w:val="24"/>
          <w:szCs w:val="24"/>
        </w:rPr>
        <w:t>standard</w:t>
      </w:r>
      <w:r w:rsidR="000B652F" w:rsidRPr="00A04CED">
        <w:rPr>
          <w:rFonts w:ascii="Times New Roman" w:hAnsi="Times New Roman" w:cs="Times New Roman"/>
          <w:sz w:val="24"/>
          <w:szCs w:val="24"/>
        </w:rPr>
        <w:t>y</w:t>
      </w:r>
      <w:r w:rsidRPr="00A04CED">
        <w:rPr>
          <w:rFonts w:ascii="Times New Roman" w:hAnsi="Times New Roman" w:cs="Times New Roman"/>
          <w:sz w:val="24"/>
          <w:szCs w:val="24"/>
        </w:rPr>
        <w:t xml:space="preserve"> sprawozdawczości zrównoważonego rozwoju</w:t>
      </w:r>
      <w:r w:rsidR="000B652F" w:rsidRPr="00A04CED">
        <w:rPr>
          <w:rFonts w:ascii="Times New Roman" w:hAnsi="Times New Roman" w:cs="Times New Roman"/>
          <w:sz w:val="24"/>
          <w:szCs w:val="24"/>
        </w:rPr>
        <w:t xml:space="preserve"> (pkt 4),</w:t>
      </w:r>
      <w:r w:rsidRPr="00A04CED">
        <w:rPr>
          <w:rFonts w:ascii="Times New Roman" w:hAnsi="Times New Roman" w:cs="Times New Roman"/>
          <w:sz w:val="24"/>
          <w:szCs w:val="24"/>
        </w:rPr>
        <w:t xml:space="preserve"> finansow</w:t>
      </w:r>
      <w:r w:rsidR="000B652F" w:rsidRPr="00A04CED">
        <w:rPr>
          <w:rFonts w:ascii="Times New Roman" w:hAnsi="Times New Roman" w:cs="Times New Roman"/>
          <w:sz w:val="24"/>
          <w:szCs w:val="24"/>
        </w:rPr>
        <w:t>ą</w:t>
      </w:r>
      <w:r w:rsidRPr="00A04CED">
        <w:rPr>
          <w:rFonts w:ascii="Times New Roman" w:hAnsi="Times New Roman" w:cs="Times New Roman"/>
          <w:sz w:val="24"/>
          <w:szCs w:val="24"/>
        </w:rPr>
        <w:t xml:space="preserve"> jednostk</w:t>
      </w:r>
      <w:r w:rsidR="000B652F" w:rsidRPr="00A04CED">
        <w:rPr>
          <w:rFonts w:ascii="Times New Roman" w:hAnsi="Times New Roman" w:cs="Times New Roman"/>
          <w:sz w:val="24"/>
          <w:szCs w:val="24"/>
        </w:rPr>
        <w:t>ę</w:t>
      </w:r>
      <w:r w:rsidRPr="00A04CED">
        <w:rPr>
          <w:rFonts w:ascii="Times New Roman" w:hAnsi="Times New Roman" w:cs="Times New Roman"/>
          <w:sz w:val="24"/>
          <w:szCs w:val="24"/>
        </w:rPr>
        <w:t xml:space="preserve"> holdingow</w:t>
      </w:r>
      <w:r w:rsidR="000B652F" w:rsidRPr="00A04CED">
        <w:rPr>
          <w:rFonts w:ascii="Times New Roman" w:hAnsi="Times New Roman" w:cs="Times New Roman"/>
          <w:sz w:val="24"/>
          <w:szCs w:val="24"/>
        </w:rPr>
        <w:t>ą (pkt 5) oraz jednostk</w:t>
      </w:r>
      <w:r w:rsidR="00FA3D11" w:rsidRPr="00A04CED">
        <w:rPr>
          <w:rFonts w:ascii="Times New Roman" w:hAnsi="Times New Roman" w:cs="Times New Roman"/>
          <w:sz w:val="24"/>
          <w:szCs w:val="24"/>
        </w:rPr>
        <w:t>ę</w:t>
      </w:r>
      <w:r w:rsidR="000B652F" w:rsidRPr="00A04CED">
        <w:rPr>
          <w:rFonts w:ascii="Times New Roman" w:hAnsi="Times New Roman" w:cs="Times New Roman"/>
          <w:sz w:val="24"/>
          <w:szCs w:val="24"/>
        </w:rPr>
        <w:t xml:space="preserve"> chronion</w:t>
      </w:r>
      <w:r w:rsidR="00FA3D11" w:rsidRPr="00A04CED">
        <w:rPr>
          <w:rFonts w:ascii="Times New Roman" w:hAnsi="Times New Roman" w:cs="Times New Roman"/>
          <w:sz w:val="24"/>
          <w:szCs w:val="24"/>
        </w:rPr>
        <w:t>ą</w:t>
      </w:r>
      <w:r w:rsidR="000B652F" w:rsidRPr="00A04CED">
        <w:rPr>
          <w:rFonts w:ascii="Times New Roman" w:hAnsi="Times New Roman" w:cs="Times New Roman"/>
          <w:sz w:val="24"/>
          <w:szCs w:val="24"/>
        </w:rPr>
        <w:t xml:space="preserve"> (pkt 6). </w:t>
      </w:r>
      <w:r w:rsidR="000B652F" w:rsidRPr="00280F85">
        <w:rPr>
          <w:rFonts w:ascii="Times New Roman" w:hAnsi="Times New Roman" w:cs="Times New Roman"/>
          <w:sz w:val="24"/>
          <w:szCs w:val="24"/>
        </w:rPr>
        <w:t>Zdefiniowanie poję</w:t>
      </w:r>
      <w:r w:rsidR="00FA3D11" w:rsidRPr="00280F85">
        <w:rPr>
          <w:rFonts w:ascii="Times New Roman" w:hAnsi="Times New Roman" w:cs="Times New Roman"/>
          <w:sz w:val="24"/>
          <w:szCs w:val="24"/>
        </w:rPr>
        <w:t>ć</w:t>
      </w:r>
      <w:r w:rsidR="000B652F" w:rsidRPr="00280F85">
        <w:rPr>
          <w:rFonts w:ascii="Times New Roman" w:hAnsi="Times New Roman" w:cs="Times New Roman"/>
          <w:sz w:val="24"/>
          <w:szCs w:val="24"/>
        </w:rPr>
        <w:t xml:space="preserve"> jednostki chronionej </w:t>
      </w:r>
      <w:r w:rsidR="00FA3D11" w:rsidRPr="00280F85">
        <w:rPr>
          <w:rFonts w:ascii="Times New Roman" w:hAnsi="Times New Roman" w:cs="Times New Roman"/>
          <w:sz w:val="24"/>
          <w:szCs w:val="24"/>
        </w:rPr>
        <w:t xml:space="preserve">oraz dobrowolnych standardów sprawozdawczości zrównoważonego rozwoju </w:t>
      </w:r>
      <w:r w:rsidR="000B652F" w:rsidRPr="00280F85">
        <w:rPr>
          <w:rFonts w:ascii="Times New Roman" w:hAnsi="Times New Roman" w:cs="Times New Roman"/>
          <w:sz w:val="24"/>
          <w:szCs w:val="24"/>
        </w:rPr>
        <w:t xml:space="preserve">wynika z wprowadzenia </w:t>
      </w:r>
      <w:r w:rsidR="00FA3D11" w:rsidRPr="00280F85">
        <w:rPr>
          <w:rFonts w:ascii="Times New Roman" w:hAnsi="Times New Roman" w:cs="Times New Roman"/>
          <w:sz w:val="24"/>
          <w:szCs w:val="24"/>
        </w:rPr>
        <w:t>ich</w:t>
      </w:r>
      <w:r w:rsidR="000B652F" w:rsidRPr="00280F85">
        <w:rPr>
          <w:rFonts w:ascii="Times New Roman" w:hAnsi="Times New Roman" w:cs="Times New Roman"/>
          <w:sz w:val="24"/>
          <w:szCs w:val="24"/>
        </w:rPr>
        <w:t xml:space="preserve"> definicji do dyrektywy 2013/34/UE (w ślad za</w:t>
      </w:r>
      <w:r w:rsidR="00FA3D11" w:rsidRPr="00280F85">
        <w:rPr>
          <w:rFonts w:ascii="Times New Roman" w:hAnsi="Times New Roman" w:cs="Times New Roman"/>
          <w:sz w:val="24"/>
          <w:szCs w:val="24"/>
        </w:rPr>
        <w:t xml:space="preserve"> odpowiednio</w:t>
      </w:r>
      <w:r w:rsidR="000B652F" w:rsidRPr="00280F85">
        <w:rPr>
          <w:rFonts w:ascii="Times New Roman" w:hAnsi="Times New Roman" w:cs="Times New Roman"/>
          <w:sz w:val="24"/>
          <w:szCs w:val="24"/>
        </w:rPr>
        <w:t xml:space="preserve"> art. 19a ust. 3 nowy akapit drugi i art. 29a ust. 3 nowy akapit</w:t>
      </w:r>
      <w:r w:rsidR="00FA3D11" w:rsidRPr="00280F85">
        <w:rPr>
          <w:rFonts w:ascii="Times New Roman" w:hAnsi="Times New Roman" w:cs="Times New Roman"/>
          <w:sz w:val="24"/>
          <w:szCs w:val="24"/>
        </w:rPr>
        <w:t xml:space="preserve"> drugi w powiązaniu z art. 29ca </w:t>
      </w:r>
      <w:r w:rsidR="000B652F" w:rsidRPr="00280F85">
        <w:rPr>
          <w:rFonts w:ascii="Times New Roman" w:hAnsi="Times New Roman" w:cs="Times New Roman"/>
          <w:sz w:val="24"/>
          <w:szCs w:val="24"/>
        </w:rPr>
        <w:t xml:space="preserve">dodanymi przez dyrektywę 2026/470). </w:t>
      </w:r>
      <w:r w:rsidR="00FA3D11" w:rsidRPr="00280F85">
        <w:rPr>
          <w:rFonts w:ascii="Times New Roman" w:hAnsi="Times New Roman" w:cs="Times New Roman"/>
          <w:sz w:val="24"/>
          <w:szCs w:val="24"/>
        </w:rPr>
        <w:t>Natomiast definicja finansowej jednostki holdingowej odzwierciedla definicję zawartą w art. 2 pkt 15 dyrektywy 2013/34/UE</w:t>
      </w:r>
      <w:r w:rsidR="000734ED" w:rsidRPr="00280F85">
        <w:rPr>
          <w:rFonts w:ascii="Times New Roman" w:hAnsi="Times New Roman" w:cs="Times New Roman"/>
          <w:sz w:val="24"/>
          <w:szCs w:val="24"/>
        </w:rPr>
        <w:t xml:space="preserve"> i jest wprowadzana na potrzeby dodawanych </w:t>
      </w:r>
      <w:r w:rsidR="000734ED" w:rsidRPr="00A04CED">
        <w:rPr>
          <w:rFonts w:ascii="Times New Roman" w:hAnsi="Times New Roman" w:cs="Times New Roman"/>
          <w:sz w:val="24"/>
          <w:szCs w:val="24"/>
        </w:rPr>
        <w:t>przepisów zwalniających takie jednostki (zarówno krajowe, jak też z państw trzecich) z raportowania ESG na poziomie grupy kapitałowej</w:t>
      </w:r>
      <w:r w:rsidR="00A36431" w:rsidRPr="00A04CED">
        <w:rPr>
          <w:rFonts w:ascii="Times New Roman" w:hAnsi="Times New Roman" w:cs="Times New Roman"/>
          <w:sz w:val="24"/>
          <w:szCs w:val="24"/>
        </w:rPr>
        <w:t>.</w:t>
      </w:r>
      <w:r w:rsidR="008665B6" w:rsidRPr="00A04CED">
        <w:rPr>
          <w:rFonts w:ascii="Times New Roman" w:hAnsi="Times New Roman" w:cs="Times New Roman"/>
          <w:sz w:val="24"/>
          <w:szCs w:val="24"/>
        </w:rPr>
        <w:t xml:space="preserve"> Jeśli chodzi o definicję jednostki chronionej – w zapisach</w:t>
      </w:r>
      <w:r w:rsidR="00E02A95" w:rsidRPr="00A04CED">
        <w:rPr>
          <w:rFonts w:ascii="Times New Roman" w:hAnsi="Times New Roman" w:cs="Times New Roman"/>
          <w:sz w:val="24"/>
          <w:szCs w:val="24"/>
        </w:rPr>
        <w:t xml:space="preserve"> definiujących</w:t>
      </w:r>
      <w:r w:rsidR="008665B6" w:rsidRPr="00A04CED">
        <w:rPr>
          <w:rFonts w:ascii="Times New Roman" w:hAnsi="Times New Roman" w:cs="Times New Roman"/>
          <w:sz w:val="24"/>
          <w:szCs w:val="24"/>
        </w:rPr>
        <w:t xml:space="preserve"> </w:t>
      </w:r>
      <w:r w:rsidR="00496350" w:rsidRPr="00A04CED">
        <w:rPr>
          <w:rFonts w:ascii="Times New Roman" w:hAnsi="Times New Roman" w:cs="Times New Roman"/>
          <w:sz w:val="24"/>
          <w:szCs w:val="24"/>
        </w:rPr>
        <w:t>nie posłużono się pojęciem</w:t>
      </w:r>
      <w:r w:rsidR="008665B6" w:rsidRPr="00A04CED">
        <w:rPr>
          <w:rFonts w:ascii="Times New Roman" w:hAnsi="Times New Roman" w:cs="Times New Roman"/>
          <w:sz w:val="24"/>
          <w:szCs w:val="24"/>
        </w:rPr>
        <w:t xml:space="preserve"> „jednostka”. Wynika to z faktu, że pojęcie „jednostka” ma określone znaczenie na gruncie ustawy o rachunkowości. Ustawa definiuje bowiem „jednostkę” (por. art. 3 ust. 1 pkt 1), przez którą należy rozumieć podmioty i osoby określone w</w:t>
      </w:r>
      <w:r w:rsidR="00E02A95" w:rsidRPr="00A04CED">
        <w:rPr>
          <w:rFonts w:ascii="Times New Roman" w:hAnsi="Times New Roman" w:cs="Times New Roman"/>
          <w:sz w:val="24"/>
          <w:szCs w:val="24"/>
        </w:rPr>
        <w:t xml:space="preserve"> jej</w:t>
      </w:r>
      <w:r w:rsidR="008665B6" w:rsidRPr="00A04CED">
        <w:rPr>
          <w:rFonts w:ascii="Times New Roman" w:hAnsi="Times New Roman" w:cs="Times New Roman"/>
          <w:sz w:val="24"/>
          <w:szCs w:val="24"/>
        </w:rPr>
        <w:t xml:space="preserve"> art. 2 ust. 1, czyli takie, które mają obowiązek prowadzenia ksiąg rachunkowych. Tymczasem </w:t>
      </w:r>
      <w:r w:rsidR="00496350" w:rsidRPr="00A04CED">
        <w:rPr>
          <w:rFonts w:ascii="Times New Roman" w:hAnsi="Times New Roman" w:cs="Times New Roman"/>
          <w:sz w:val="24"/>
          <w:szCs w:val="24"/>
        </w:rPr>
        <w:t>nie każdy przedsiębiorca czy inny podmiot należący do łańcucha wartości jednostki raportującej prowadzi księgi rachunkowe i podlega pełnemu zakresowi ustawy o rachunkowości. Aby to odzwierciedlić (i jednocześnie uniknąć niepożądanego zawężenia definicji jednostki chronionej)</w:t>
      </w:r>
      <w:r w:rsidR="00280F85">
        <w:rPr>
          <w:rFonts w:ascii="Times New Roman" w:hAnsi="Times New Roman" w:cs="Times New Roman"/>
          <w:sz w:val="24"/>
          <w:szCs w:val="24"/>
        </w:rPr>
        <w:t>,</w:t>
      </w:r>
      <w:r w:rsidR="00496350" w:rsidRPr="00A04CED">
        <w:rPr>
          <w:rFonts w:ascii="Times New Roman" w:hAnsi="Times New Roman" w:cs="Times New Roman"/>
          <w:sz w:val="24"/>
          <w:szCs w:val="24"/>
        </w:rPr>
        <w:t xml:space="preserve"> użyto </w:t>
      </w:r>
      <w:r w:rsidR="00E02A95" w:rsidRPr="00A04CED">
        <w:rPr>
          <w:rFonts w:ascii="Times New Roman" w:hAnsi="Times New Roman" w:cs="Times New Roman"/>
          <w:sz w:val="24"/>
          <w:szCs w:val="24"/>
        </w:rPr>
        <w:t>sformułowania</w:t>
      </w:r>
      <w:r w:rsidR="00496350" w:rsidRPr="00A04CED">
        <w:rPr>
          <w:rFonts w:ascii="Times New Roman" w:hAnsi="Times New Roman" w:cs="Times New Roman"/>
          <w:sz w:val="24"/>
          <w:szCs w:val="24"/>
        </w:rPr>
        <w:t xml:space="preserve"> „podmiot”,</w:t>
      </w:r>
      <w:r w:rsidR="008665B6" w:rsidRPr="00A04CED">
        <w:rPr>
          <w:rFonts w:ascii="Times New Roman" w:hAnsi="Times New Roman" w:cs="Times New Roman"/>
          <w:sz w:val="24"/>
          <w:szCs w:val="24"/>
        </w:rPr>
        <w:t xml:space="preserve"> </w:t>
      </w:r>
      <w:r w:rsidR="00496350" w:rsidRPr="00A04CED">
        <w:rPr>
          <w:rFonts w:ascii="Times New Roman" w:hAnsi="Times New Roman" w:cs="Times New Roman"/>
          <w:sz w:val="24"/>
          <w:szCs w:val="24"/>
        </w:rPr>
        <w:t>przez który należy rozumieć każdy podmiot</w:t>
      </w:r>
      <w:r w:rsidR="007834C9" w:rsidRPr="00A04CED">
        <w:rPr>
          <w:rFonts w:ascii="Times New Roman" w:hAnsi="Times New Roman" w:cs="Times New Roman"/>
          <w:sz w:val="24"/>
          <w:szCs w:val="24"/>
        </w:rPr>
        <w:t xml:space="preserve"> bez względu na formę prawną, a więc </w:t>
      </w:r>
      <w:r w:rsidR="00534A13" w:rsidRPr="00A04CED">
        <w:rPr>
          <w:rFonts w:ascii="Times New Roman" w:hAnsi="Times New Roman" w:cs="Times New Roman"/>
          <w:sz w:val="24"/>
          <w:szCs w:val="24"/>
        </w:rPr>
        <w:t>m.in. osoby fizyczne prowadzące działalność gospodarczą, osoby prawne czy jednostki organizacyjne nieposiadające osobowości prawnej</w:t>
      </w:r>
      <w:r w:rsidR="007834C9" w:rsidRPr="00A04CED">
        <w:rPr>
          <w:rFonts w:ascii="Times New Roman" w:hAnsi="Times New Roman" w:cs="Times New Roman"/>
          <w:sz w:val="24"/>
          <w:szCs w:val="24"/>
        </w:rPr>
        <w:t>,</w:t>
      </w:r>
      <w:r w:rsidR="00E02A95" w:rsidRPr="00A04CED">
        <w:rPr>
          <w:rFonts w:ascii="Times New Roman" w:hAnsi="Times New Roman" w:cs="Times New Roman"/>
          <w:sz w:val="24"/>
          <w:szCs w:val="24"/>
        </w:rPr>
        <w:t xml:space="preserve"> będący w łańcuchu wartości jednostki raportującej, niezależnie od tego</w:t>
      </w:r>
      <w:r w:rsidR="00280F85">
        <w:rPr>
          <w:rFonts w:ascii="Times New Roman" w:hAnsi="Times New Roman" w:cs="Times New Roman"/>
          <w:sz w:val="24"/>
          <w:szCs w:val="24"/>
        </w:rPr>
        <w:t>,</w:t>
      </w:r>
      <w:r w:rsidR="00E02A95" w:rsidRPr="00A04CED">
        <w:rPr>
          <w:rFonts w:ascii="Times New Roman" w:hAnsi="Times New Roman" w:cs="Times New Roman"/>
          <w:sz w:val="24"/>
          <w:szCs w:val="24"/>
        </w:rPr>
        <w:t xml:space="preserve"> czy prowadzi księgi rachunkowe czy nie.</w:t>
      </w:r>
    </w:p>
    <w:p w14:paraId="7CD56C4E" w14:textId="372AE634" w:rsidR="00D25113" w:rsidRPr="00A04CED" w:rsidRDefault="00D25113" w:rsidP="009958B1">
      <w:pPr>
        <w:spacing w:before="120" w:after="0" w:line="360" w:lineRule="auto"/>
        <w:jc w:val="both"/>
        <w:rPr>
          <w:rFonts w:ascii="Times New Roman" w:hAnsi="Times New Roman" w:cs="Times New Roman"/>
          <w:b/>
          <w:bCs/>
          <w:sz w:val="24"/>
          <w:szCs w:val="24"/>
        </w:rPr>
      </w:pPr>
      <w:r w:rsidRPr="00A04CED">
        <w:rPr>
          <w:rFonts w:ascii="Times New Roman" w:hAnsi="Times New Roman" w:cs="Times New Roman"/>
          <w:b/>
          <w:bCs/>
          <w:sz w:val="24"/>
          <w:szCs w:val="24"/>
        </w:rPr>
        <w:t>W a</w:t>
      </w:r>
      <w:r w:rsidR="00C154A3" w:rsidRPr="00A04CED">
        <w:rPr>
          <w:rFonts w:ascii="Times New Roman" w:hAnsi="Times New Roman" w:cs="Times New Roman"/>
          <w:b/>
          <w:bCs/>
          <w:sz w:val="24"/>
          <w:szCs w:val="24"/>
        </w:rPr>
        <w:t>rt. 63r</w:t>
      </w:r>
      <w:r w:rsidRPr="00A04CED">
        <w:rPr>
          <w:rFonts w:ascii="Times New Roman" w:hAnsi="Times New Roman" w:cs="Times New Roman"/>
          <w:b/>
          <w:bCs/>
          <w:sz w:val="24"/>
          <w:szCs w:val="24"/>
        </w:rPr>
        <w:t>:</w:t>
      </w:r>
    </w:p>
    <w:p w14:paraId="544B980C" w14:textId="5A761793" w:rsidR="007B2D40" w:rsidRPr="009958B1" w:rsidRDefault="00D25113" w:rsidP="009958B1">
      <w:pPr>
        <w:pStyle w:val="Akapitzlist"/>
        <w:numPr>
          <w:ilvl w:val="0"/>
          <w:numId w:val="15"/>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w ust. 1</w:t>
      </w:r>
      <w:r w:rsidR="00C16890" w:rsidRPr="00A04CED">
        <w:rPr>
          <w:rFonts w:ascii="Times New Roman" w:hAnsi="Times New Roman" w:cs="Times New Roman"/>
          <w:sz w:val="24"/>
          <w:szCs w:val="24"/>
        </w:rPr>
        <w:t xml:space="preserve"> </w:t>
      </w:r>
      <w:r w:rsidRPr="00A04CED">
        <w:rPr>
          <w:rFonts w:ascii="Times New Roman" w:hAnsi="Times New Roman" w:cs="Times New Roman"/>
          <w:sz w:val="24"/>
          <w:szCs w:val="24"/>
        </w:rPr>
        <w:t xml:space="preserve">(w ślad </w:t>
      </w:r>
      <w:r w:rsidRPr="00A04CED">
        <w:rPr>
          <w:rFonts w:ascii="Times New Roman" w:eastAsia="Times New Roman" w:hAnsi="Times New Roman" w:cs="Times New Roman"/>
          <w:sz w:val="24"/>
          <w:szCs w:val="24"/>
        </w:rPr>
        <w:t xml:space="preserve">za art. 19a ust. 1 akapit pierwszy </w:t>
      </w:r>
      <w:r w:rsidRPr="00A04CED">
        <w:rPr>
          <w:rFonts w:ascii="Times New Roman" w:hAnsi="Times New Roman" w:cs="Times New Roman"/>
          <w:sz w:val="24"/>
          <w:szCs w:val="24"/>
        </w:rPr>
        <w:t xml:space="preserve">dyrektywy 2013/34/UE w brzmieniu nadanym dyrektywą 2026/470) </w:t>
      </w:r>
      <w:r w:rsidR="00C16890" w:rsidRPr="00A04CED">
        <w:rPr>
          <w:rFonts w:ascii="Times New Roman" w:hAnsi="Times New Roman" w:cs="Times New Roman"/>
          <w:sz w:val="24"/>
          <w:szCs w:val="24"/>
        </w:rPr>
        <w:t xml:space="preserve">zmienia </w:t>
      </w:r>
      <w:r w:rsidRPr="00A04CED">
        <w:rPr>
          <w:rFonts w:ascii="Times New Roman" w:hAnsi="Times New Roman" w:cs="Times New Roman"/>
          <w:sz w:val="24"/>
          <w:szCs w:val="24"/>
        </w:rPr>
        <w:t xml:space="preserve">się </w:t>
      </w:r>
      <w:r w:rsidR="00C16890" w:rsidRPr="00A04CED">
        <w:rPr>
          <w:rFonts w:ascii="Times New Roman" w:hAnsi="Times New Roman" w:cs="Times New Roman"/>
          <w:sz w:val="24"/>
          <w:szCs w:val="24"/>
        </w:rPr>
        <w:t>zakres jednostek zobowiązanych do sporządzania sprawozdawczości zrównoważonego rozwoju</w:t>
      </w:r>
      <w:r w:rsidRPr="00A04CED">
        <w:rPr>
          <w:rFonts w:ascii="Times New Roman" w:hAnsi="Times New Roman" w:cs="Times New Roman"/>
          <w:sz w:val="24"/>
          <w:szCs w:val="24"/>
        </w:rPr>
        <w:t xml:space="preserve"> </w:t>
      </w:r>
      <w:r w:rsidR="00280F85">
        <w:rPr>
          <w:rFonts w:ascii="Times New Roman" w:hAnsi="Times New Roman" w:cs="Times New Roman"/>
          <w:sz w:val="24"/>
          <w:szCs w:val="24"/>
        </w:rPr>
        <w:t>–</w:t>
      </w:r>
      <w:r w:rsidR="00C16890" w:rsidRPr="00A04CED">
        <w:rPr>
          <w:rFonts w:ascii="Times New Roman" w:hAnsi="Times New Roman" w:cs="Times New Roman"/>
          <w:sz w:val="24"/>
          <w:szCs w:val="24"/>
        </w:rPr>
        <w:t xml:space="preserve"> </w:t>
      </w:r>
      <w:r w:rsidR="00C16890" w:rsidRPr="009958B1">
        <w:rPr>
          <w:rFonts w:ascii="Times New Roman" w:hAnsi="Times New Roman" w:cs="Times New Roman"/>
          <w:sz w:val="24"/>
          <w:szCs w:val="24"/>
        </w:rPr>
        <w:t xml:space="preserve">do jednostek, w których zatrudnienie przekracza 1000 </w:t>
      </w:r>
      <w:r w:rsidR="00F85AE0" w:rsidRPr="009958B1">
        <w:rPr>
          <w:rFonts w:ascii="Times New Roman" w:hAnsi="Times New Roman" w:cs="Times New Roman"/>
          <w:sz w:val="24"/>
          <w:szCs w:val="24"/>
        </w:rPr>
        <w:t>osób,</w:t>
      </w:r>
      <w:r w:rsidR="00C16890" w:rsidRPr="009958B1">
        <w:rPr>
          <w:rFonts w:ascii="Times New Roman" w:hAnsi="Times New Roman" w:cs="Times New Roman"/>
          <w:sz w:val="24"/>
          <w:szCs w:val="24"/>
        </w:rPr>
        <w:t xml:space="preserve"> </w:t>
      </w:r>
      <w:r w:rsidR="00F85AE0" w:rsidRPr="009958B1">
        <w:rPr>
          <w:rFonts w:ascii="Times New Roman" w:hAnsi="Times New Roman" w:cs="Times New Roman"/>
          <w:sz w:val="24"/>
          <w:szCs w:val="24"/>
        </w:rPr>
        <w:t>a</w:t>
      </w:r>
      <w:r w:rsidR="00C16890" w:rsidRPr="009958B1">
        <w:rPr>
          <w:rFonts w:ascii="Times New Roman" w:hAnsi="Times New Roman" w:cs="Times New Roman"/>
          <w:sz w:val="24"/>
          <w:szCs w:val="24"/>
        </w:rPr>
        <w:t xml:space="preserve"> przychody netto ze sprzedaży </w:t>
      </w:r>
      <w:r w:rsidR="00F85AE0" w:rsidRPr="009958B1">
        <w:rPr>
          <w:rFonts w:ascii="Times New Roman" w:hAnsi="Times New Roman" w:cs="Times New Roman"/>
          <w:sz w:val="24"/>
          <w:szCs w:val="24"/>
        </w:rPr>
        <w:t xml:space="preserve">towarów i produktów </w:t>
      </w:r>
      <w:r w:rsidR="00C16890" w:rsidRPr="009958B1">
        <w:rPr>
          <w:rFonts w:ascii="Times New Roman" w:hAnsi="Times New Roman" w:cs="Times New Roman"/>
          <w:sz w:val="24"/>
          <w:szCs w:val="24"/>
        </w:rPr>
        <w:t xml:space="preserve">przekraczają 1 900 000 000 zł </w:t>
      </w:r>
      <w:r w:rsidR="00F85AE0" w:rsidRPr="009958B1">
        <w:rPr>
          <w:rFonts w:ascii="Times New Roman" w:hAnsi="Times New Roman" w:cs="Times New Roman"/>
          <w:sz w:val="24"/>
          <w:szCs w:val="24"/>
        </w:rPr>
        <w:t>(</w:t>
      </w:r>
      <w:r w:rsidRPr="009958B1">
        <w:rPr>
          <w:rFonts w:ascii="Times New Roman" w:hAnsi="Times New Roman" w:cs="Times New Roman"/>
          <w:sz w:val="24"/>
          <w:szCs w:val="24"/>
        </w:rPr>
        <w:t xml:space="preserve">wskazana w dyrektywie 2026/470 kwota 450 000 000 euro </w:t>
      </w:r>
      <w:r w:rsidRPr="009958B1">
        <w:rPr>
          <w:rFonts w:ascii="Times New Roman" w:hAnsi="Times New Roman" w:cs="Times New Roman"/>
          <w:sz w:val="24"/>
          <w:szCs w:val="24"/>
        </w:rPr>
        <w:lastRenderedPageBreak/>
        <w:t xml:space="preserve">została przeliczona na walutę polską według oficjalnego kursu euro do </w:t>
      </w:r>
      <w:r w:rsidR="00F22028" w:rsidRPr="009958B1">
        <w:rPr>
          <w:rFonts w:ascii="Times New Roman" w:hAnsi="Times New Roman" w:cs="Times New Roman"/>
          <w:sz w:val="24"/>
          <w:szCs w:val="24"/>
        </w:rPr>
        <w:t>zł</w:t>
      </w:r>
      <w:r w:rsidRPr="009958B1">
        <w:rPr>
          <w:rFonts w:ascii="Times New Roman" w:hAnsi="Times New Roman" w:cs="Times New Roman"/>
          <w:sz w:val="24"/>
          <w:szCs w:val="24"/>
        </w:rPr>
        <w:t xml:space="preserve"> opublikowanego w Dzienniku Urzędowym UE C z dnia wejścia w życie ww. dyrektywy /tj. 18</w:t>
      </w:r>
      <w:r w:rsidR="00F85AE0" w:rsidRPr="009958B1">
        <w:rPr>
          <w:rFonts w:ascii="Times New Roman" w:hAnsi="Times New Roman" w:cs="Times New Roman"/>
          <w:sz w:val="24"/>
          <w:szCs w:val="24"/>
        </w:rPr>
        <w:t> </w:t>
      </w:r>
      <w:r w:rsidRPr="009958B1">
        <w:rPr>
          <w:rFonts w:ascii="Times New Roman" w:hAnsi="Times New Roman" w:cs="Times New Roman"/>
          <w:sz w:val="24"/>
          <w:szCs w:val="24"/>
        </w:rPr>
        <w:t>marca 2026</w:t>
      </w:r>
      <w:r w:rsidR="00280F85">
        <w:rPr>
          <w:rFonts w:ascii="Times New Roman" w:hAnsi="Times New Roman" w:cs="Times New Roman"/>
          <w:sz w:val="24"/>
          <w:szCs w:val="24"/>
        </w:rPr>
        <w:t> </w:t>
      </w:r>
      <w:r w:rsidRPr="009958B1">
        <w:rPr>
          <w:rFonts w:ascii="Times New Roman" w:hAnsi="Times New Roman" w:cs="Times New Roman"/>
          <w:sz w:val="24"/>
          <w:szCs w:val="24"/>
        </w:rPr>
        <w:t>r./ i zaokrąglona w dół w ramach 5-procentowego limitu zgodnie z zasadą przyjętą w art. 3 ust. 9 dyrektywy 2013/34/UE)</w:t>
      </w:r>
      <w:r w:rsidR="00C16890" w:rsidRPr="009958B1">
        <w:rPr>
          <w:rFonts w:ascii="Times New Roman" w:hAnsi="Times New Roman" w:cs="Times New Roman"/>
          <w:sz w:val="24"/>
          <w:szCs w:val="24"/>
        </w:rPr>
        <w:t>.</w:t>
      </w:r>
      <w:r w:rsidR="007B2D40" w:rsidRPr="009958B1">
        <w:rPr>
          <w:rFonts w:ascii="Times New Roman" w:hAnsi="Times New Roman" w:cs="Times New Roman"/>
          <w:sz w:val="24"/>
          <w:szCs w:val="24"/>
        </w:rPr>
        <w:t xml:space="preserve"> Aby wejść w obowiązek sprawozdawczy</w:t>
      </w:r>
      <w:r w:rsidR="00280F85">
        <w:rPr>
          <w:rFonts w:ascii="Times New Roman" w:hAnsi="Times New Roman" w:cs="Times New Roman"/>
          <w:sz w:val="24"/>
          <w:szCs w:val="24"/>
        </w:rPr>
        <w:t>,</w:t>
      </w:r>
      <w:r w:rsidR="007B2D40" w:rsidRPr="009958B1">
        <w:rPr>
          <w:rFonts w:ascii="Times New Roman" w:hAnsi="Times New Roman" w:cs="Times New Roman"/>
          <w:sz w:val="24"/>
          <w:szCs w:val="24"/>
        </w:rPr>
        <w:t xml:space="preserve"> konieczne jest, </w:t>
      </w:r>
      <w:r w:rsidR="00280F85">
        <w:rPr>
          <w:rFonts w:ascii="Times New Roman" w:hAnsi="Times New Roman" w:cs="Times New Roman"/>
          <w:sz w:val="24"/>
          <w:szCs w:val="24"/>
        </w:rPr>
        <w:t>a</w:t>
      </w:r>
      <w:r w:rsidR="007B2D40" w:rsidRPr="009958B1">
        <w:rPr>
          <w:rFonts w:ascii="Times New Roman" w:hAnsi="Times New Roman" w:cs="Times New Roman"/>
          <w:sz w:val="24"/>
          <w:szCs w:val="24"/>
        </w:rPr>
        <w:t xml:space="preserve">by jednostka przekraczała oba progi przez </w:t>
      </w:r>
      <w:r w:rsidR="007B2D40" w:rsidRPr="009958B1">
        <w:rPr>
          <w:rFonts w:ascii="Times New Roman" w:hAnsi="Times New Roman" w:cs="Times New Roman"/>
          <w:sz w:val="24"/>
          <w:szCs w:val="24"/>
          <w:u w:val="single"/>
        </w:rPr>
        <w:t>dwa lata obrotowe</w:t>
      </w:r>
      <w:r w:rsidR="007B2D40" w:rsidRPr="009958B1">
        <w:rPr>
          <w:rFonts w:ascii="Times New Roman" w:hAnsi="Times New Roman" w:cs="Times New Roman"/>
          <w:sz w:val="24"/>
          <w:szCs w:val="24"/>
        </w:rPr>
        <w:t xml:space="preserve"> (rok obrotowy i poprzedzający rok obrotowy). Rozwiązanie to jest kontynuacją dotychczasowej zasady (dwa lata na wejście w dany obowiązek sprawozdawczy), która wynikała bezpośrednio z definicji jednostki małej, średniej czy dużej (por. np. definicja jednostki dużej w art. 3 ust.</w:t>
      </w:r>
      <w:r w:rsidR="00280F85">
        <w:rPr>
          <w:rFonts w:ascii="Times New Roman" w:hAnsi="Times New Roman" w:cs="Times New Roman"/>
          <w:sz w:val="24"/>
          <w:szCs w:val="24"/>
        </w:rPr>
        <w:t> </w:t>
      </w:r>
      <w:r w:rsidR="007B2D40" w:rsidRPr="009958B1">
        <w:rPr>
          <w:rFonts w:ascii="Times New Roman" w:hAnsi="Times New Roman" w:cs="Times New Roman"/>
          <w:sz w:val="24"/>
          <w:szCs w:val="24"/>
        </w:rPr>
        <w:t xml:space="preserve">1 pkt 1d </w:t>
      </w:r>
      <w:r w:rsidR="00280F85">
        <w:rPr>
          <w:rFonts w:ascii="Times New Roman" w:hAnsi="Times New Roman" w:cs="Times New Roman"/>
          <w:sz w:val="24"/>
          <w:szCs w:val="24"/>
        </w:rPr>
        <w:t xml:space="preserve">– </w:t>
      </w:r>
      <w:r w:rsidR="007B2D40" w:rsidRPr="009958B1">
        <w:rPr>
          <w:rFonts w:ascii="Times New Roman" w:hAnsi="Times New Roman" w:cs="Times New Roman"/>
          <w:sz w:val="24"/>
          <w:szCs w:val="24"/>
        </w:rPr>
        <w:t xml:space="preserve">zapis „która </w:t>
      </w:r>
      <w:r w:rsidR="007B2D40" w:rsidRPr="009958B1">
        <w:rPr>
          <w:rFonts w:ascii="Times New Roman" w:hAnsi="Times New Roman" w:cs="Times New Roman"/>
          <w:sz w:val="24"/>
          <w:szCs w:val="24"/>
          <w:u w:val="single"/>
        </w:rPr>
        <w:t>w roku obrotowym</w:t>
      </w:r>
      <w:r w:rsidR="007B2D40" w:rsidRPr="009958B1">
        <w:rPr>
          <w:rFonts w:ascii="Times New Roman" w:hAnsi="Times New Roman" w:cs="Times New Roman"/>
          <w:sz w:val="24"/>
          <w:szCs w:val="24"/>
        </w:rPr>
        <w:t xml:space="preserve">, za który sporządza sprawozdanie finansowe, </w:t>
      </w:r>
      <w:r w:rsidR="007B2D40" w:rsidRPr="009958B1">
        <w:rPr>
          <w:rFonts w:ascii="Times New Roman" w:hAnsi="Times New Roman" w:cs="Times New Roman"/>
          <w:sz w:val="24"/>
          <w:szCs w:val="24"/>
          <w:u w:val="single"/>
        </w:rPr>
        <w:t>oraz w roku poprzedzającym ten rok obrotowy przekroczyła …”).</w:t>
      </w:r>
      <w:r w:rsidR="007B2D40" w:rsidRPr="009958B1">
        <w:rPr>
          <w:rFonts w:ascii="Times New Roman" w:hAnsi="Times New Roman" w:cs="Times New Roman"/>
          <w:sz w:val="24"/>
          <w:szCs w:val="24"/>
        </w:rPr>
        <w:t xml:space="preserve"> Podejście to jest zgodne z dyrektywą i jednocześnie zapewnia zachowanie spójności podejścia w całej ustawie o rachunkowości</w:t>
      </w:r>
      <w:r w:rsidR="00F42BE3" w:rsidRPr="009958B1">
        <w:rPr>
          <w:rFonts w:ascii="Times New Roman" w:hAnsi="Times New Roman" w:cs="Times New Roman"/>
          <w:sz w:val="24"/>
          <w:szCs w:val="24"/>
        </w:rPr>
        <w:t xml:space="preserve"> (zob. szczegółowe wyjaśnienia dotyczące projektowanej zmiany art. 49 ust.</w:t>
      </w:r>
      <w:r w:rsidR="009274CD">
        <w:rPr>
          <w:rFonts w:ascii="Times New Roman" w:hAnsi="Times New Roman" w:cs="Times New Roman"/>
          <w:sz w:val="24"/>
          <w:szCs w:val="24"/>
        </w:rPr>
        <w:t> </w:t>
      </w:r>
      <w:r w:rsidR="00F42BE3" w:rsidRPr="009958B1">
        <w:rPr>
          <w:rFonts w:ascii="Times New Roman" w:hAnsi="Times New Roman" w:cs="Times New Roman"/>
          <w:sz w:val="24"/>
          <w:szCs w:val="24"/>
        </w:rPr>
        <w:t>3b ustawy o rachunkowości)</w:t>
      </w:r>
      <w:r w:rsidR="00FE1B83" w:rsidRPr="009958B1">
        <w:rPr>
          <w:rFonts w:ascii="Times New Roman" w:hAnsi="Times New Roman" w:cs="Times New Roman"/>
          <w:sz w:val="24"/>
          <w:szCs w:val="24"/>
        </w:rPr>
        <w:t>;</w:t>
      </w:r>
    </w:p>
    <w:p w14:paraId="48C491C6" w14:textId="0402FAE1" w:rsidR="007B2D40" w:rsidRPr="009958B1" w:rsidRDefault="007B2D40" w:rsidP="009958B1">
      <w:pPr>
        <w:pStyle w:val="Akapitzlist"/>
        <w:numPr>
          <w:ilvl w:val="0"/>
          <w:numId w:val="15"/>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dodaje się ust. 1a</w:t>
      </w:r>
      <w:r w:rsidRPr="00A04CED">
        <w:rPr>
          <w:rFonts w:ascii="Times New Roman" w:hAnsi="Times New Roman" w:cs="Times New Roman"/>
          <w:sz w:val="24"/>
          <w:szCs w:val="24"/>
        </w:rPr>
        <w:t>, regulujący kiedy jednostka już raportująca informacje ESG przestaje podlegać temu obowiązkowi. Potrzeba uregulowania tej kwestii wynika z faktu, że dotychczas zejście z obowiązku raportowania ESG wynikało z samej definicji poszczególnych kategorii jednostek (np. definicja jednostki małej, średniej czy dużej określała, że dana jednostka traci status bycia zaliczaną do danej kategorii</w:t>
      </w:r>
      <w:r w:rsidR="000D4A80" w:rsidRPr="00A04CED">
        <w:rPr>
          <w:rFonts w:ascii="Times New Roman" w:hAnsi="Times New Roman" w:cs="Times New Roman"/>
          <w:sz w:val="24"/>
          <w:szCs w:val="24"/>
        </w:rPr>
        <w:t>,</w:t>
      </w:r>
      <w:r w:rsidRPr="00A04CED">
        <w:rPr>
          <w:rFonts w:ascii="Times New Roman" w:hAnsi="Times New Roman" w:cs="Times New Roman"/>
          <w:sz w:val="24"/>
          <w:szCs w:val="24"/>
        </w:rPr>
        <w:t xml:space="preserve"> jeśli przestaje spełniać określone kryteria przez </w:t>
      </w:r>
      <w:r w:rsidRPr="00A04CED">
        <w:rPr>
          <w:rFonts w:ascii="Times New Roman" w:hAnsi="Times New Roman" w:cs="Times New Roman"/>
          <w:sz w:val="24"/>
          <w:szCs w:val="24"/>
          <w:u w:val="single"/>
        </w:rPr>
        <w:t>dwa kolejne lata obrotowe</w:t>
      </w:r>
      <w:r w:rsidRPr="00A04CED">
        <w:rPr>
          <w:rFonts w:ascii="Times New Roman" w:hAnsi="Times New Roman" w:cs="Times New Roman"/>
          <w:sz w:val="24"/>
          <w:szCs w:val="24"/>
        </w:rPr>
        <w:t xml:space="preserve">, co było tożsame z tym, że przestaje ona podlegać danemu obowiązkowi lub przestaje być uprawnioną do korzystania np. z uproszczeń). W świetle wprowadzonej dyrektywą 2026/470 zmiany zakresu jednostek zobowiązanych do </w:t>
      </w:r>
      <w:r w:rsidR="006D3F97" w:rsidRPr="00A04CED">
        <w:rPr>
          <w:rFonts w:ascii="Times New Roman" w:hAnsi="Times New Roman" w:cs="Times New Roman"/>
          <w:sz w:val="24"/>
          <w:szCs w:val="24"/>
        </w:rPr>
        <w:t>sporządzania sprawozdawczości zrównoważonego rozwoju</w:t>
      </w:r>
      <w:r w:rsidRPr="00A04CED">
        <w:rPr>
          <w:rFonts w:ascii="Times New Roman" w:hAnsi="Times New Roman" w:cs="Times New Roman"/>
          <w:sz w:val="24"/>
          <w:szCs w:val="24"/>
        </w:rPr>
        <w:t xml:space="preserve"> (zaniechanie odniesienia do poszczególnych kategorii jednostek zdefiniowanych w art. 3 </w:t>
      </w:r>
      <w:r w:rsidR="000D4A80" w:rsidRPr="00A04CED">
        <w:rPr>
          <w:rFonts w:ascii="Times New Roman" w:hAnsi="Times New Roman" w:cs="Times New Roman"/>
          <w:sz w:val="24"/>
          <w:szCs w:val="24"/>
        </w:rPr>
        <w:t>ust.</w:t>
      </w:r>
      <w:r w:rsidRPr="00A04CED">
        <w:rPr>
          <w:rFonts w:ascii="Times New Roman" w:hAnsi="Times New Roman" w:cs="Times New Roman"/>
          <w:sz w:val="24"/>
          <w:szCs w:val="24"/>
        </w:rPr>
        <w:t xml:space="preserve"> 2</w:t>
      </w:r>
      <w:r w:rsidR="009274CD">
        <w:rPr>
          <w:rFonts w:ascii="Times New Roman" w:hAnsi="Times New Roman" w:cs="Times New Roman"/>
          <w:sz w:val="24"/>
          <w:szCs w:val="24"/>
        </w:rPr>
        <w:t>–</w:t>
      </w:r>
      <w:r w:rsidR="006D3F97" w:rsidRPr="009958B1">
        <w:rPr>
          <w:rFonts w:ascii="Times New Roman" w:hAnsi="Times New Roman" w:cs="Times New Roman"/>
          <w:sz w:val="24"/>
          <w:szCs w:val="24"/>
        </w:rPr>
        <w:t>4</w:t>
      </w:r>
      <w:r w:rsidRPr="009958B1">
        <w:rPr>
          <w:rFonts w:ascii="Times New Roman" w:hAnsi="Times New Roman" w:cs="Times New Roman"/>
          <w:sz w:val="24"/>
          <w:szCs w:val="24"/>
        </w:rPr>
        <w:t xml:space="preserve"> dyrektywy 2013/34/UE w miejsce posługiwania się wyłącznie kryterium liczby pracowników i przychodów netto ze sprzedaży) należy teraz określić wprost, że </w:t>
      </w:r>
      <w:r w:rsidR="009274CD">
        <w:rPr>
          <w:rFonts w:ascii="Times New Roman" w:hAnsi="Times New Roman" w:cs="Times New Roman"/>
          <w:sz w:val="24"/>
          <w:szCs w:val="24"/>
        </w:rPr>
        <w:t>a</w:t>
      </w:r>
      <w:r w:rsidRPr="009958B1">
        <w:rPr>
          <w:rFonts w:ascii="Times New Roman" w:hAnsi="Times New Roman" w:cs="Times New Roman"/>
          <w:sz w:val="24"/>
          <w:szCs w:val="24"/>
        </w:rPr>
        <w:t xml:space="preserve">by dana jednostka podlegająca obowiązkowi raportowania na podstawie ust. </w:t>
      </w:r>
      <w:r w:rsidR="006D3F97" w:rsidRPr="009958B1">
        <w:rPr>
          <w:rFonts w:ascii="Times New Roman" w:hAnsi="Times New Roman" w:cs="Times New Roman"/>
          <w:sz w:val="24"/>
          <w:szCs w:val="24"/>
        </w:rPr>
        <w:t>1</w:t>
      </w:r>
      <w:r w:rsidRPr="009958B1">
        <w:rPr>
          <w:rFonts w:ascii="Times New Roman" w:hAnsi="Times New Roman" w:cs="Times New Roman"/>
          <w:sz w:val="24"/>
          <w:szCs w:val="24"/>
        </w:rPr>
        <w:t xml:space="preserve"> zaprzestała podlegać temu obowiązkowi, konieczne jest</w:t>
      </w:r>
      <w:r w:rsidR="009274CD">
        <w:rPr>
          <w:rFonts w:ascii="Times New Roman" w:hAnsi="Times New Roman" w:cs="Times New Roman"/>
          <w:sz w:val="24"/>
          <w:szCs w:val="24"/>
        </w:rPr>
        <w:t>,</w:t>
      </w:r>
      <w:r w:rsidRPr="009958B1">
        <w:rPr>
          <w:rFonts w:ascii="Times New Roman" w:hAnsi="Times New Roman" w:cs="Times New Roman"/>
          <w:sz w:val="24"/>
          <w:szCs w:val="24"/>
        </w:rPr>
        <w:t xml:space="preserve"> </w:t>
      </w:r>
      <w:r w:rsidR="009274CD">
        <w:rPr>
          <w:rFonts w:ascii="Times New Roman" w:hAnsi="Times New Roman" w:cs="Times New Roman"/>
          <w:sz w:val="24"/>
          <w:szCs w:val="24"/>
        </w:rPr>
        <w:t>a</w:t>
      </w:r>
      <w:r w:rsidRPr="009958B1">
        <w:rPr>
          <w:rFonts w:ascii="Times New Roman" w:hAnsi="Times New Roman" w:cs="Times New Roman"/>
          <w:sz w:val="24"/>
          <w:szCs w:val="24"/>
        </w:rPr>
        <w:t xml:space="preserve">by nie przekraczała co najmniej jednego z kryteriów przez </w:t>
      </w:r>
      <w:r w:rsidRPr="009958B1">
        <w:rPr>
          <w:rFonts w:ascii="Times New Roman" w:hAnsi="Times New Roman" w:cs="Times New Roman"/>
          <w:sz w:val="24"/>
          <w:szCs w:val="24"/>
          <w:u w:val="single"/>
        </w:rPr>
        <w:t>dwa lata obrotowe</w:t>
      </w:r>
      <w:r w:rsidRPr="009958B1">
        <w:rPr>
          <w:rFonts w:ascii="Times New Roman" w:hAnsi="Times New Roman" w:cs="Times New Roman"/>
          <w:sz w:val="24"/>
          <w:szCs w:val="24"/>
        </w:rPr>
        <w:t xml:space="preserve"> (w myśl zasady „dwa lata na wejście w dany obowiązek i dwa lata na zejście z tego obowiązku”). Rozwiązanie to jest kontynuacją dotychczasowej zasady, pozwoli zachować spójność podejścia w całej ustawie o rachunkowości i jest jednocześnie zgodne z dyrektywą</w:t>
      </w:r>
      <w:r w:rsidR="00F42BE3" w:rsidRPr="009958B1">
        <w:rPr>
          <w:rFonts w:ascii="Times New Roman" w:hAnsi="Times New Roman" w:cs="Times New Roman"/>
          <w:sz w:val="24"/>
          <w:szCs w:val="24"/>
        </w:rPr>
        <w:t xml:space="preserve"> (zob. szczegółowe wyjaśnienia dotyczące projektowanej zmiany art.49 ust. 3b ustawy o rachunkowości)</w:t>
      </w:r>
      <w:r w:rsidR="00FE1B83" w:rsidRPr="009958B1">
        <w:rPr>
          <w:rFonts w:ascii="Times New Roman" w:hAnsi="Times New Roman" w:cs="Times New Roman"/>
          <w:sz w:val="24"/>
          <w:szCs w:val="24"/>
        </w:rPr>
        <w:t>;</w:t>
      </w:r>
    </w:p>
    <w:p w14:paraId="1421EF39" w14:textId="4FDD896F" w:rsidR="00A54E92" w:rsidRPr="009958B1" w:rsidRDefault="007B2D40" w:rsidP="009958B1">
      <w:pPr>
        <w:pStyle w:val="Akapitzlist"/>
        <w:numPr>
          <w:ilvl w:val="0"/>
          <w:numId w:val="15"/>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dodaje się ust. 5a</w:t>
      </w:r>
      <w:r w:rsidR="009274CD">
        <w:rPr>
          <w:rFonts w:ascii="Times New Roman" w:hAnsi="Times New Roman" w:cs="Times New Roman"/>
          <w:b/>
          <w:bCs/>
          <w:sz w:val="24"/>
          <w:szCs w:val="24"/>
        </w:rPr>
        <w:t>–</w:t>
      </w:r>
      <w:r w:rsidRPr="009958B1">
        <w:rPr>
          <w:rFonts w:ascii="Times New Roman" w:hAnsi="Times New Roman" w:cs="Times New Roman"/>
          <w:b/>
          <w:bCs/>
          <w:sz w:val="24"/>
          <w:szCs w:val="24"/>
        </w:rPr>
        <w:t>5g</w:t>
      </w:r>
      <w:r w:rsidRPr="009958B1">
        <w:rPr>
          <w:rFonts w:ascii="Times New Roman" w:hAnsi="Times New Roman" w:cs="Times New Roman"/>
          <w:sz w:val="24"/>
          <w:szCs w:val="24"/>
        </w:rPr>
        <w:t xml:space="preserve">. </w:t>
      </w:r>
      <w:r w:rsidR="00E51F92" w:rsidRPr="009958B1">
        <w:rPr>
          <w:rFonts w:ascii="Times New Roman" w:hAnsi="Times New Roman" w:cs="Times New Roman"/>
          <w:sz w:val="24"/>
          <w:szCs w:val="24"/>
        </w:rPr>
        <w:t xml:space="preserve">Zgodnie z obecnymi wymogami art. 19a ust. 3 dyrektywy 2013/34/UE (a w ślad za tym art. 63r ust. 5 pkt 1 ustawy o rachunkowości) jednostki objęte </w:t>
      </w:r>
      <w:r w:rsidR="00E51F92" w:rsidRPr="009958B1">
        <w:rPr>
          <w:rFonts w:ascii="Times New Roman" w:hAnsi="Times New Roman" w:cs="Times New Roman"/>
          <w:sz w:val="24"/>
          <w:szCs w:val="24"/>
        </w:rPr>
        <w:lastRenderedPageBreak/>
        <w:t xml:space="preserve">obowiązkiem sporządzania sprawozdawczości zrównoważonego rozwoju przedstawiają informacje ESG nie tylko w zakresie własnej działalności, ale także ich łańcucha wartości. </w:t>
      </w:r>
      <w:r w:rsidR="009E2B88" w:rsidRPr="009958B1">
        <w:rPr>
          <w:rFonts w:ascii="Times New Roman" w:hAnsi="Times New Roman" w:cs="Times New Roman"/>
          <w:sz w:val="24"/>
          <w:szCs w:val="24"/>
        </w:rPr>
        <w:t xml:space="preserve">Istnieją dowody, że w związku z tym </w:t>
      </w:r>
      <w:r w:rsidR="00E02A95" w:rsidRPr="009958B1">
        <w:rPr>
          <w:rFonts w:ascii="Times New Roman" w:hAnsi="Times New Roman" w:cs="Times New Roman"/>
          <w:sz w:val="24"/>
          <w:szCs w:val="24"/>
        </w:rPr>
        <w:t>podmioty</w:t>
      </w:r>
      <w:r w:rsidR="009E2B88" w:rsidRPr="009958B1">
        <w:rPr>
          <w:rFonts w:ascii="Times New Roman" w:hAnsi="Times New Roman" w:cs="Times New Roman"/>
          <w:sz w:val="24"/>
          <w:szCs w:val="24"/>
        </w:rPr>
        <w:t xml:space="preserve"> z łańcucha wartości, w szczególności MŚP, muszą mierzyć się z nieproporcjonalnie nadmiernymi wnioskami od jednostek raportujących o informacje dotyczące zrównoważonego rozwoju. </w:t>
      </w:r>
      <w:r w:rsidR="00104DDB" w:rsidRPr="009958B1">
        <w:rPr>
          <w:rFonts w:ascii="Times New Roman" w:hAnsi="Times New Roman" w:cs="Times New Roman"/>
          <w:sz w:val="24"/>
          <w:szCs w:val="24"/>
        </w:rPr>
        <w:t>Zapisy w ust. 5a</w:t>
      </w:r>
      <w:r w:rsidR="009274CD">
        <w:rPr>
          <w:rFonts w:ascii="Times New Roman" w:hAnsi="Times New Roman" w:cs="Times New Roman"/>
          <w:sz w:val="24"/>
          <w:szCs w:val="24"/>
        </w:rPr>
        <w:t>–</w:t>
      </w:r>
      <w:r w:rsidR="00104DDB" w:rsidRPr="009958B1">
        <w:rPr>
          <w:rFonts w:ascii="Times New Roman" w:hAnsi="Times New Roman" w:cs="Times New Roman"/>
          <w:sz w:val="24"/>
          <w:szCs w:val="24"/>
        </w:rPr>
        <w:t xml:space="preserve">5f mają na celu wdrożenie </w:t>
      </w:r>
      <w:r w:rsidR="00E468E2" w:rsidRPr="009958B1">
        <w:rPr>
          <w:rFonts w:ascii="Times New Roman" w:hAnsi="Times New Roman" w:cs="Times New Roman"/>
          <w:sz w:val="24"/>
          <w:szCs w:val="24"/>
        </w:rPr>
        <w:t>(w ślad za art. 19a ust. 3 nowe akapity trzeci do piątego dodan</w:t>
      </w:r>
      <w:r w:rsidR="00890BAE" w:rsidRPr="009958B1">
        <w:rPr>
          <w:rFonts w:ascii="Times New Roman" w:hAnsi="Times New Roman" w:cs="Times New Roman"/>
          <w:sz w:val="24"/>
          <w:szCs w:val="24"/>
        </w:rPr>
        <w:t>e</w:t>
      </w:r>
      <w:r w:rsidR="00E468E2" w:rsidRPr="009958B1">
        <w:rPr>
          <w:rFonts w:ascii="Times New Roman" w:hAnsi="Times New Roman" w:cs="Times New Roman"/>
          <w:sz w:val="24"/>
          <w:szCs w:val="24"/>
        </w:rPr>
        <w:t xml:space="preserve"> przez dyrektywę 2026/470) nowych</w:t>
      </w:r>
      <w:r w:rsidR="00104DDB" w:rsidRPr="009958B1">
        <w:rPr>
          <w:rFonts w:ascii="Times New Roman" w:hAnsi="Times New Roman" w:cs="Times New Roman"/>
          <w:sz w:val="24"/>
          <w:szCs w:val="24"/>
        </w:rPr>
        <w:t xml:space="preserve"> przepisów dotyczących tzw. </w:t>
      </w:r>
      <w:r w:rsidR="00104DDB" w:rsidRPr="009958B1">
        <w:rPr>
          <w:rFonts w:ascii="Times New Roman" w:hAnsi="Times New Roman" w:cs="Times New Roman"/>
          <w:i/>
          <w:iCs/>
          <w:sz w:val="24"/>
          <w:szCs w:val="24"/>
        </w:rPr>
        <w:t>value chain cap</w:t>
      </w:r>
      <w:r w:rsidR="00104DDB" w:rsidRPr="009958B1">
        <w:rPr>
          <w:rFonts w:ascii="Times New Roman" w:hAnsi="Times New Roman" w:cs="Times New Roman"/>
          <w:sz w:val="24"/>
          <w:szCs w:val="24"/>
        </w:rPr>
        <w:t>, czyli ograniczenia zakresu informacji</w:t>
      </w:r>
      <w:r w:rsidR="009274CD">
        <w:rPr>
          <w:rFonts w:ascii="Times New Roman" w:hAnsi="Times New Roman" w:cs="Times New Roman"/>
          <w:sz w:val="24"/>
          <w:szCs w:val="24"/>
        </w:rPr>
        <w:t>,</w:t>
      </w:r>
      <w:r w:rsidR="00104DDB" w:rsidRPr="009958B1">
        <w:rPr>
          <w:rFonts w:ascii="Times New Roman" w:hAnsi="Times New Roman" w:cs="Times New Roman"/>
          <w:sz w:val="24"/>
          <w:szCs w:val="24"/>
        </w:rPr>
        <w:t xml:space="preserve"> jakich jednostki zobowiązane do </w:t>
      </w:r>
      <w:r w:rsidR="009E2B88" w:rsidRPr="009958B1">
        <w:rPr>
          <w:rFonts w:ascii="Times New Roman" w:hAnsi="Times New Roman" w:cs="Times New Roman"/>
          <w:sz w:val="24"/>
          <w:szCs w:val="24"/>
        </w:rPr>
        <w:t>raportowania ESG</w:t>
      </w:r>
      <w:r w:rsidR="00104DDB" w:rsidRPr="009958B1">
        <w:rPr>
          <w:rFonts w:ascii="Times New Roman" w:hAnsi="Times New Roman" w:cs="Times New Roman"/>
          <w:sz w:val="24"/>
          <w:szCs w:val="24"/>
        </w:rPr>
        <w:t xml:space="preserve"> mogą żądać </w:t>
      </w:r>
      <w:r w:rsidR="00E468E2" w:rsidRPr="009958B1">
        <w:rPr>
          <w:rFonts w:ascii="Times New Roman" w:hAnsi="Times New Roman" w:cs="Times New Roman"/>
          <w:sz w:val="24"/>
          <w:szCs w:val="24"/>
        </w:rPr>
        <w:t xml:space="preserve">na potrzeby tej sprawozdawczości </w:t>
      </w:r>
      <w:r w:rsidR="00104DDB" w:rsidRPr="009958B1">
        <w:rPr>
          <w:rFonts w:ascii="Times New Roman" w:hAnsi="Times New Roman" w:cs="Times New Roman"/>
          <w:sz w:val="24"/>
          <w:szCs w:val="24"/>
        </w:rPr>
        <w:t>od</w:t>
      </w:r>
      <w:r w:rsidR="00080DBE" w:rsidRPr="009958B1">
        <w:rPr>
          <w:rFonts w:ascii="Times New Roman" w:hAnsi="Times New Roman" w:cs="Times New Roman"/>
          <w:sz w:val="24"/>
          <w:szCs w:val="24"/>
        </w:rPr>
        <w:t xml:space="preserve"> </w:t>
      </w:r>
      <w:r w:rsidR="00E02A95" w:rsidRPr="009958B1">
        <w:rPr>
          <w:rFonts w:ascii="Times New Roman" w:hAnsi="Times New Roman" w:cs="Times New Roman"/>
          <w:sz w:val="24"/>
          <w:szCs w:val="24"/>
        </w:rPr>
        <w:t>podmiotów</w:t>
      </w:r>
      <w:r w:rsidR="00080DBE" w:rsidRPr="009958B1">
        <w:rPr>
          <w:rFonts w:ascii="Times New Roman" w:hAnsi="Times New Roman" w:cs="Times New Roman"/>
          <w:sz w:val="24"/>
          <w:szCs w:val="24"/>
        </w:rPr>
        <w:t xml:space="preserve"> w łańcuchu wartości, w których średnia liczba zatrudnionych w poprzednim roku obrotowym nie przekracza 1000 </w:t>
      </w:r>
      <w:r w:rsidR="003374BF" w:rsidRPr="009958B1">
        <w:rPr>
          <w:rFonts w:ascii="Times New Roman" w:hAnsi="Times New Roman" w:cs="Times New Roman"/>
          <w:sz w:val="24"/>
          <w:szCs w:val="24"/>
        </w:rPr>
        <w:t xml:space="preserve">osób </w:t>
      </w:r>
      <w:r w:rsidR="00080DBE" w:rsidRPr="009958B1">
        <w:rPr>
          <w:rFonts w:ascii="Times New Roman" w:hAnsi="Times New Roman" w:cs="Times New Roman"/>
          <w:sz w:val="24"/>
          <w:szCs w:val="24"/>
        </w:rPr>
        <w:t>(</w:t>
      </w:r>
      <w:r w:rsidR="00E468E2" w:rsidRPr="009958B1">
        <w:rPr>
          <w:rFonts w:ascii="Times New Roman" w:hAnsi="Times New Roman" w:cs="Times New Roman"/>
          <w:sz w:val="24"/>
          <w:szCs w:val="24"/>
        </w:rPr>
        <w:t xml:space="preserve">tj. od </w:t>
      </w:r>
      <w:r w:rsidR="00104DDB" w:rsidRPr="009958B1">
        <w:rPr>
          <w:rFonts w:ascii="Times New Roman" w:hAnsi="Times New Roman" w:cs="Times New Roman"/>
          <w:sz w:val="24"/>
          <w:szCs w:val="24"/>
        </w:rPr>
        <w:t>tzw.</w:t>
      </w:r>
      <w:r w:rsidR="00080DBE" w:rsidRPr="009958B1">
        <w:rPr>
          <w:rFonts w:ascii="Times New Roman" w:hAnsi="Times New Roman" w:cs="Times New Roman"/>
          <w:sz w:val="24"/>
          <w:szCs w:val="24"/>
        </w:rPr>
        <w:t xml:space="preserve"> jednost</w:t>
      </w:r>
      <w:r w:rsidR="00E468E2" w:rsidRPr="009958B1">
        <w:rPr>
          <w:rFonts w:ascii="Times New Roman" w:hAnsi="Times New Roman" w:cs="Times New Roman"/>
          <w:sz w:val="24"/>
          <w:szCs w:val="24"/>
        </w:rPr>
        <w:t>e</w:t>
      </w:r>
      <w:r w:rsidR="00080DBE" w:rsidRPr="009958B1">
        <w:rPr>
          <w:rFonts w:ascii="Times New Roman" w:hAnsi="Times New Roman" w:cs="Times New Roman"/>
          <w:sz w:val="24"/>
          <w:szCs w:val="24"/>
        </w:rPr>
        <w:t>k chronion</w:t>
      </w:r>
      <w:r w:rsidR="00E468E2" w:rsidRPr="009958B1">
        <w:rPr>
          <w:rFonts w:ascii="Times New Roman" w:hAnsi="Times New Roman" w:cs="Times New Roman"/>
          <w:sz w:val="24"/>
          <w:szCs w:val="24"/>
        </w:rPr>
        <w:t>ych</w:t>
      </w:r>
      <w:r w:rsidR="00080DBE" w:rsidRPr="009958B1">
        <w:rPr>
          <w:rFonts w:ascii="Times New Roman" w:hAnsi="Times New Roman" w:cs="Times New Roman"/>
          <w:sz w:val="24"/>
          <w:szCs w:val="24"/>
        </w:rPr>
        <w:t>)</w:t>
      </w:r>
      <w:r w:rsidR="00104DDB" w:rsidRPr="009958B1">
        <w:rPr>
          <w:rFonts w:ascii="Times New Roman" w:hAnsi="Times New Roman" w:cs="Times New Roman"/>
          <w:sz w:val="24"/>
          <w:szCs w:val="24"/>
        </w:rPr>
        <w:t xml:space="preserve">. </w:t>
      </w:r>
      <w:r w:rsidR="009E2B88" w:rsidRPr="009958B1">
        <w:rPr>
          <w:rFonts w:ascii="Times New Roman" w:hAnsi="Times New Roman" w:cs="Times New Roman"/>
          <w:sz w:val="24"/>
          <w:szCs w:val="24"/>
        </w:rPr>
        <w:t>Celem tych p</w:t>
      </w:r>
      <w:r w:rsidR="00104DDB" w:rsidRPr="009958B1">
        <w:rPr>
          <w:rFonts w:ascii="Times New Roman" w:hAnsi="Times New Roman" w:cs="Times New Roman"/>
          <w:sz w:val="24"/>
          <w:szCs w:val="24"/>
        </w:rPr>
        <w:t>rzepis</w:t>
      </w:r>
      <w:r w:rsidR="009E2B88" w:rsidRPr="009958B1">
        <w:rPr>
          <w:rFonts w:ascii="Times New Roman" w:hAnsi="Times New Roman" w:cs="Times New Roman"/>
          <w:sz w:val="24"/>
          <w:szCs w:val="24"/>
        </w:rPr>
        <w:t>ów jest</w:t>
      </w:r>
      <w:r w:rsidR="00080DBE" w:rsidRPr="009958B1">
        <w:rPr>
          <w:rFonts w:ascii="Times New Roman" w:hAnsi="Times New Roman" w:cs="Times New Roman"/>
          <w:sz w:val="24"/>
          <w:szCs w:val="24"/>
        </w:rPr>
        <w:t xml:space="preserve"> ogranicz</w:t>
      </w:r>
      <w:r w:rsidR="00104DDB" w:rsidRPr="009958B1">
        <w:rPr>
          <w:rFonts w:ascii="Times New Roman" w:hAnsi="Times New Roman" w:cs="Times New Roman"/>
          <w:sz w:val="24"/>
          <w:szCs w:val="24"/>
        </w:rPr>
        <w:t>enie</w:t>
      </w:r>
      <w:r w:rsidR="00080DBE" w:rsidRPr="009958B1">
        <w:rPr>
          <w:rFonts w:ascii="Times New Roman" w:hAnsi="Times New Roman" w:cs="Times New Roman"/>
          <w:sz w:val="24"/>
          <w:szCs w:val="24"/>
        </w:rPr>
        <w:t xml:space="preserve"> nadmierne</w:t>
      </w:r>
      <w:r w:rsidR="00104DDB" w:rsidRPr="009958B1">
        <w:rPr>
          <w:rFonts w:ascii="Times New Roman" w:hAnsi="Times New Roman" w:cs="Times New Roman"/>
          <w:sz w:val="24"/>
          <w:szCs w:val="24"/>
        </w:rPr>
        <w:t>go</w:t>
      </w:r>
      <w:r w:rsidR="00080DBE" w:rsidRPr="009958B1">
        <w:rPr>
          <w:rFonts w:ascii="Times New Roman" w:hAnsi="Times New Roman" w:cs="Times New Roman"/>
          <w:sz w:val="24"/>
          <w:szCs w:val="24"/>
        </w:rPr>
        <w:t xml:space="preserve"> obciążeni</w:t>
      </w:r>
      <w:r w:rsidR="00104DDB" w:rsidRPr="009958B1">
        <w:rPr>
          <w:rFonts w:ascii="Times New Roman" w:hAnsi="Times New Roman" w:cs="Times New Roman"/>
          <w:sz w:val="24"/>
          <w:szCs w:val="24"/>
        </w:rPr>
        <w:t>a</w:t>
      </w:r>
      <w:r w:rsidR="00080DBE" w:rsidRPr="009958B1">
        <w:rPr>
          <w:rFonts w:ascii="Times New Roman" w:hAnsi="Times New Roman" w:cs="Times New Roman"/>
          <w:sz w:val="24"/>
          <w:szCs w:val="24"/>
        </w:rPr>
        <w:t xml:space="preserve"> jednostek</w:t>
      </w:r>
      <w:r w:rsidR="00E468E2" w:rsidRPr="009958B1">
        <w:rPr>
          <w:rFonts w:ascii="Times New Roman" w:hAnsi="Times New Roman" w:cs="Times New Roman"/>
          <w:sz w:val="24"/>
          <w:szCs w:val="24"/>
        </w:rPr>
        <w:t xml:space="preserve"> chronionych, które same w sobie nie podlegają obowiązkowi raportowania ESG, </w:t>
      </w:r>
      <w:r w:rsidR="009E2B88" w:rsidRPr="009958B1">
        <w:rPr>
          <w:rFonts w:ascii="Times New Roman" w:hAnsi="Times New Roman" w:cs="Times New Roman"/>
          <w:sz w:val="24"/>
          <w:szCs w:val="24"/>
        </w:rPr>
        <w:t>związanego z otrzymywaniem wspomnianych wniosków o informacje</w:t>
      </w:r>
      <w:r w:rsidR="00080DBE" w:rsidRPr="009958B1">
        <w:rPr>
          <w:rFonts w:ascii="Times New Roman" w:hAnsi="Times New Roman" w:cs="Times New Roman"/>
          <w:sz w:val="24"/>
          <w:szCs w:val="24"/>
        </w:rPr>
        <w:t xml:space="preserve">. </w:t>
      </w:r>
      <w:r w:rsidR="00294443" w:rsidRPr="009958B1">
        <w:rPr>
          <w:rFonts w:ascii="Times New Roman" w:hAnsi="Times New Roman" w:cs="Times New Roman"/>
          <w:sz w:val="24"/>
          <w:szCs w:val="24"/>
        </w:rPr>
        <w:t xml:space="preserve">W </w:t>
      </w:r>
      <w:r w:rsidR="00113437" w:rsidRPr="009958B1">
        <w:rPr>
          <w:rFonts w:ascii="Times New Roman" w:hAnsi="Times New Roman" w:cs="Times New Roman"/>
          <w:sz w:val="24"/>
          <w:szCs w:val="24"/>
        </w:rPr>
        <w:t>konsekwencji</w:t>
      </w:r>
      <w:r w:rsidR="00294443" w:rsidRPr="009958B1">
        <w:rPr>
          <w:rFonts w:ascii="Times New Roman" w:hAnsi="Times New Roman" w:cs="Times New Roman"/>
          <w:sz w:val="24"/>
          <w:szCs w:val="24"/>
        </w:rPr>
        <w:t>, s</w:t>
      </w:r>
      <w:r w:rsidR="00080DBE" w:rsidRPr="009958B1">
        <w:rPr>
          <w:rFonts w:ascii="Times New Roman" w:hAnsi="Times New Roman" w:cs="Times New Roman"/>
          <w:sz w:val="24"/>
          <w:szCs w:val="24"/>
        </w:rPr>
        <w:t>tarając się uzyskać informacje na temat swo</w:t>
      </w:r>
      <w:r w:rsidR="00DF2D7F" w:rsidRPr="009958B1">
        <w:rPr>
          <w:rFonts w:ascii="Times New Roman" w:hAnsi="Times New Roman" w:cs="Times New Roman"/>
          <w:sz w:val="24"/>
          <w:szCs w:val="24"/>
        </w:rPr>
        <w:t>ich</w:t>
      </w:r>
      <w:r w:rsidR="00080DBE" w:rsidRPr="009958B1">
        <w:rPr>
          <w:rFonts w:ascii="Times New Roman" w:hAnsi="Times New Roman" w:cs="Times New Roman"/>
          <w:sz w:val="24"/>
          <w:szCs w:val="24"/>
        </w:rPr>
        <w:t xml:space="preserve"> łańcuch</w:t>
      </w:r>
      <w:r w:rsidR="00DF2D7F" w:rsidRPr="009958B1">
        <w:rPr>
          <w:rFonts w:ascii="Times New Roman" w:hAnsi="Times New Roman" w:cs="Times New Roman"/>
          <w:sz w:val="24"/>
          <w:szCs w:val="24"/>
        </w:rPr>
        <w:t>ów</w:t>
      </w:r>
      <w:r w:rsidR="00080DBE" w:rsidRPr="009958B1">
        <w:rPr>
          <w:rFonts w:ascii="Times New Roman" w:hAnsi="Times New Roman" w:cs="Times New Roman"/>
          <w:sz w:val="24"/>
          <w:szCs w:val="24"/>
        </w:rPr>
        <w:t xml:space="preserve"> wartości, jednostki sporządzające sprawozdawczość zrównoważonego rozwoju </w:t>
      </w:r>
      <w:r w:rsidR="00294443" w:rsidRPr="009958B1">
        <w:rPr>
          <w:rFonts w:ascii="Times New Roman" w:hAnsi="Times New Roman" w:cs="Times New Roman"/>
          <w:sz w:val="24"/>
          <w:szCs w:val="24"/>
        </w:rPr>
        <w:t>nie będą mogły wymagać</w:t>
      </w:r>
      <w:r w:rsidR="00080DBE" w:rsidRPr="009958B1">
        <w:rPr>
          <w:rFonts w:ascii="Times New Roman" w:hAnsi="Times New Roman" w:cs="Times New Roman"/>
          <w:sz w:val="24"/>
          <w:szCs w:val="24"/>
        </w:rPr>
        <w:t xml:space="preserve"> od jednostek chronionych informacji </w:t>
      </w:r>
      <w:r w:rsidR="00294443" w:rsidRPr="009958B1">
        <w:rPr>
          <w:rFonts w:ascii="Times New Roman" w:hAnsi="Times New Roman" w:cs="Times New Roman"/>
          <w:sz w:val="24"/>
          <w:szCs w:val="24"/>
        </w:rPr>
        <w:t>wy</w:t>
      </w:r>
      <w:r w:rsidR="00080DBE" w:rsidRPr="009958B1">
        <w:rPr>
          <w:rFonts w:ascii="Times New Roman" w:hAnsi="Times New Roman" w:cs="Times New Roman"/>
          <w:sz w:val="24"/>
          <w:szCs w:val="24"/>
        </w:rPr>
        <w:t>kraczają</w:t>
      </w:r>
      <w:r w:rsidR="00294443" w:rsidRPr="009958B1">
        <w:rPr>
          <w:rFonts w:ascii="Times New Roman" w:hAnsi="Times New Roman" w:cs="Times New Roman"/>
          <w:sz w:val="24"/>
          <w:szCs w:val="24"/>
        </w:rPr>
        <w:t>cy</w:t>
      </w:r>
      <w:r w:rsidR="00AD51E0" w:rsidRPr="009958B1">
        <w:rPr>
          <w:rFonts w:ascii="Times New Roman" w:hAnsi="Times New Roman" w:cs="Times New Roman"/>
          <w:sz w:val="24"/>
          <w:szCs w:val="24"/>
        </w:rPr>
        <w:t>ch</w:t>
      </w:r>
      <w:r w:rsidR="00294443" w:rsidRPr="009958B1">
        <w:rPr>
          <w:rFonts w:ascii="Times New Roman" w:hAnsi="Times New Roman" w:cs="Times New Roman"/>
          <w:sz w:val="24"/>
          <w:szCs w:val="24"/>
        </w:rPr>
        <w:t xml:space="preserve"> poza</w:t>
      </w:r>
      <w:r w:rsidR="00080DBE" w:rsidRPr="009958B1">
        <w:rPr>
          <w:rFonts w:ascii="Times New Roman" w:hAnsi="Times New Roman" w:cs="Times New Roman"/>
          <w:sz w:val="24"/>
          <w:szCs w:val="24"/>
        </w:rPr>
        <w:t xml:space="preserve"> </w:t>
      </w:r>
      <w:r w:rsidR="00294443" w:rsidRPr="009958B1">
        <w:rPr>
          <w:rFonts w:ascii="Times New Roman" w:hAnsi="Times New Roman" w:cs="Times New Roman"/>
          <w:sz w:val="24"/>
          <w:szCs w:val="24"/>
        </w:rPr>
        <w:t>zakres informacji</w:t>
      </w:r>
      <w:r w:rsidR="00C80B7C" w:rsidRPr="009958B1">
        <w:rPr>
          <w:rFonts w:ascii="Times New Roman" w:hAnsi="Times New Roman" w:cs="Times New Roman"/>
          <w:sz w:val="24"/>
          <w:szCs w:val="24"/>
        </w:rPr>
        <w:t xml:space="preserve"> określony w </w:t>
      </w:r>
      <w:r w:rsidR="00294443" w:rsidRPr="009958B1">
        <w:rPr>
          <w:rFonts w:ascii="Times New Roman" w:hAnsi="Times New Roman" w:cs="Times New Roman"/>
          <w:sz w:val="24"/>
          <w:szCs w:val="24"/>
        </w:rPr>
        <w:t xml:space="preserve">dobrowolnych </w:t>
      </w:r>
      <w:r w:rsidR="00080DBE" w:rsidRPr="009958B1">
        <w:rPr>
          <w:rFonts w:ascii="Times New Roman" w:hAnsi="Times New Roman" w:cs="Times New Roman"/>
          <w:sz w:val="24"/>
          <w:szCs w:val="24"/>
        </w:rPr>
        <w:t>standardach sprawozdawczości zrównoważonego rozwoju, które mają zostać przyjęte przez Komisję Europejską</w:t>
      </w:r>
      <w:r w:rsidR="00294443" w:rsidRPr="009958B1">
        <w:rPr>
          <w:rFonts w:ascii="Times New Roman" w:hAnsi="Times New Roman" w:cs="Times New Roman"/>
          <w:sz w:val="24"/>
          <w:szCs w:val="24"/>
        </w:rPr>
        <w:t xml:space="preserve"> na mocy art. 29ca dyrektywy 2013/34/UE</w:t>
      </w:r>
      <w:r w:rsidR="00080DBE" w:rsidRPr="009958B1">
        <w:rPr>
          <w:rFonts w:ascii="Times New Roman" w:hAnsi="Times New Roman" w:cs="Times New Roman"/>
          <w:sz w:val="24"/>
          <w:szCs w:val="24"/>
        </w:rPr>
        <w:t>.</w:t>
      </w:r>
      <w:r w:rsidR="009F3696" w:rsidRPr="009958B1">
        <w:rPr>
          <w:rFonts w:ascii="Times New Roman" w:hAnsi="Times New Roman" w:cs="Times New Roman"/>
          <w:sz w:val="24"/>
          <w:szCs w:val="24"/>
        </w:rPr>
        <w:t xml:space="preserve"> </w:t>
      </w:r>
      <w:r w:rsidR="00DF2D7F" w:rsidRPr="009958B1">
        <w:rPr>
          <w:rFonts w:ascii="Times New Roman" w:hAnsi="Times New Roman" w:cs="Times New Roman"/>
          <w:sz w:val="24"/>
          <w:szCs w:val="24"/>
        </w:rPr>
        <w:t xml:space="preserve">Jednostki chronione będą miały prawo odmowy udzielenia informacji wykraczających poza ten limit. Jednocześnie jednostki raportujące nie będą mogły narzucać jednostkom chronionym przekazywania takich informacji w drodze zobowiązania ich do tego w </w:t>
      </w:r>
      <w:r w:rsidR="00E66DC5" w:rsidRPr="009958B1">
        <w:rPr>
          <w:rFonts w:ascii="Times New Roman" w:hAnsi="Times New Roman" w:cs="Times New Roman"/>
          <w:sz w:val="24"/>
          <w:szCs w:val="24"/>
        </w:rPr>
        <w:t>umowach</w:t>
      </w:r>
      <w:r w:rsidR="00DF2D7F" w:rsidRPr="009958B1">
        <w:rPr>
          <w:rFonts w:ascii="Times New Roman" w:hAnsi="Times New Roman" w:cs="Times New Roman"/>
          <w:sz w:val="24"/>
          <w:szCs w:val="24"/>
        </w:rPr>
        <w:t xml:space="preserve"> czy innych </w:t>
      </w:r>
      <w:r w:rsidR="00E66DC5" w:rsidRPr="009958B1">
        <w:rPr>
          <w:rFonts w:ascii="Times New Roman" w:hAnsi="Times New Roman" w:cs="Times New Roman"/>
          <w:sz w:val="24"/>
          <w:szCs w:val="24"/>
        </w:rPr>
        <w:t>porozumieniach</w:t>
      </w:r>
      <w:r w:rsidR="00DF2D7F" w:rsidRPr="009958B1">
        <w:rPr>
          <w:rFonts w:ascii="Times New Roman" w:hAnsi="Times New Roman" w:cs="Times New Roman"/>
          <w:sz w:val="24"/>
          <w:szCs w:val="24"/>
        </w:rPr>
        <w:t xml:space="preserve">. Zapisy umów sprzeczne z tą zasadą będą uznawane za </w:t>
      </w:r>
      <w:r w:rsidR="00E66DC5" w:rsidRPr="009958B1">
        <w:rPr>
          <w:rFonts w:ascii="Times New Roman" w:hAnsi="Times New Roman" w:cs="Times New Roman"/>
          <w:sz w:val="24"/>
          <w:szCs w:val="24"/>
        </w:rPr>
        <w:t>niewiążące</w:t>
      </w:r>
      <w:r w:rsidR="00DF2D7F" w:rsidRPr="009958B1">
        <w:rPr>
          <w:rFonts w:ascii="Times New Roman" w:hAnsi="Times New Roman" w:cs="Times New Roman"/>
          <w:sz w:val="24"/>
          <w:szCs w:val="24"/>
        </w:rPr>
        <w:t xml:space="preserve">, nie naruszając jednocześnie wiążącego charakteru pozostałych postanowień danej umowy. </w:t>
      </w:r>
      <w:r w:rsidR="00080DBE" w:rsidRPr="009958B1">
        <w:rPr>
          <w:rFonts w:ascii="Times New Roman" w:hAnsi="Times New Roman" w:cs="Times New Roman"/>
          <w:sz w:val="24"/>
          <w:szCs w:val="24"/>
        </w:rPr>
        <w:t xml:space="preserve">Aby uniknąć nakładania na </w:t>
      </w:r>
      <w:r w:rsidR="00294443" w:rsidRPr="009958B1">
        <w:rPr>
          <w:rFonts w:ascii="Times New Roman" w:hAnsi="Times New Roman" w:cs="Times New Roman"/>
          <w:sz w:val="24"/>
          <w:szCs w:val="24"/>
        </w:rPr>
        <w:t>jednostki chronione</w:t>
      </w:r>
      <w:r w:rsidR="00080DBE" w:rsidRPr="009958B1">
        <w:rPr>
          <w:rFonts w:ascii="Times New Roman" w:hAnsi="Times New Roman" w:cs="Times New Roman"/>
          <w:sz w:val="24"/>
          <w:szCs w:val="24"/>
        </w:rPr>
        <w:t xml:space="preserve"> ciężaru oceny, czy </w:t>
      </w:r>
      <w:r w:rsidR="00294443" w:rsidRPr="009958B1">
        <w:rPr>
          <w:rFonts w:ascii="Times New Roman" w:hAnsi="Times New Roman" w:cs="Times New Roman"/>
          <w:sz w:val="24"/>
          <w:szCs w:val="24"/>
        </w:rPr>
        <w:t xml:space="preserve">żądane od nich informacje wykraczają poza </w:t>
      </w:r>
      <w:r w:rsidR="00DF2D7F" w:rsidRPr="009958B1">
        <w:rPr>
          <w:rFonts w:ascii="Times New Roman" w:hAnsi="Times New Roman" w:cs="Times New Roman"/>
          <w:sz w:val="24"/>
          <w:szCs w:val="24"/>
        </w:rPr>
        <w:t>dozwolony</w:t>
      </w:r>
      <w:r w:rsidR="00294443" w:rsidRPr="009958B1">
        <w:rPr>
          <w:rFonts w:ascii="Times New Roman" w:hAnsi="Times New Roman" w:cs="Times New Roman"/>
          <w:sz w:val="24"/>
          <w:szCs w:val="24"/>
        </w:rPr>
        <w:t xml:space="preserve"> </w:t>
      </w:r>
      <w:r w:rsidR="00AD51E0" w:rsidRPr="009958B1">
        <w:rPr>
          <w:rFonts w:ascii="Times New Roman" w:hAnsi="Times New Roman" w:cs="Times New Roman"/>
          <w:sz w:val="24"/>
          <w:szCs w:val="24"/>
        </w:rPr>
        <w:t>zakres</w:t>
      </w:r>
      <w:r w:rsidR="00080DBE" w:rsidRPr="009958B1">
        <w:rPr>
          <w:rFonts w:ascii="Times New Roman" w:hAnsi="Times New Roman" w:cs="Times New Roman"/>
          <w:sz w:val="24"/>
          <w:szCs w:val="24"/>
        </w:rPr>
        <w:t xml:space="preserve">, jednostki </w:t>
      </w:r>
      <w:r w:rsidR="00294443" w:rsidRPr="009958B1">
        <w:rPr>
          <w:rFonts w:ascii="Times New Roman" w:hAnsi="Times New Roman" w:cs="Times New Roman"/>
          <w:sz w:val="24"/>
          <w:szCs w:val="24"/>
        </w:rPr>
        <w:t>raportujące</w:t>
      </w:r>
      <w:r w:rsidR="00AD51E0" w:rsidRPr="009958B1">
        <w:rPr>
          <w:rFonts w:ascii="Times New Roman" w:hAnsi="Times New Roman" w:cs="Times New Roman"/>
          <w:sz w:val="24"/>
          <w:szCs w:val="24"/>
        </w:rPr>
        <w:t xml:space="preserve"> zwracając</w:t>
      </w:r>
      <w:r w:rsidR="00080DBE" w:rsidRPr="009958B1">
        <w:rPr>
          <w:rFonts w:ascii="Times New Roman" w:hAnsi="Times New Roman" w:cs="Times New Roman"/>
          <w:sz w:val="24"/>
          <w:szCs w:val="24"/>
        </w:rPr>
        <w:t xml:space="preserve"> się o informacje </w:t>
      </w:r>
      <w:r w:rsidR="00AD51E0" w:rsidRPr="009958B1">
        <w:rPr>
          <w:rFonts w:ascii="Times New Roman" w:hAnsi="Times New Roman" w:cs="Times New Roman"/>
          <w:sz w:val="24"/>
          <w:szCs w:val="24"/>
        </w:rPr>
        <w:t>będą</w:t>
      </w:r>
      <w:r w:rsidR="00080DBE" w:rsidRPr="009958B1">
        <w:rPr>
          <w:rFonts w:ascii="Times New Roman" w:hAnsi="Times New Roman" w:cs="Times New Roman"/>
          <w:sz w:val="24"/>
          <w:szCs w:val="24"/>
        </w:rPr>
        <w:t xml:space="preserve"> zobowiązane do </w:t>
      </w:r>
      <w:r w:rsidR="00AD51E0" w:rsidRPr="009958B1">
        <w:rPr>
          <w:rFonts w:ascii="Times New Roman" w:hAnsi="Times New Roman" w:cs="Times New Roman"/>
          <w:sz w:val="24"/>
          <w:szCs w:val="24"/>
        </w:rPr>
        <w:t>poinformowania o tym</w:t>
      </w:r>
      <w:r w:rsidR="00080DBE" w:rsidRPr="009958B1">
        <w:rPr>
          <w:rFonts w:ascii="Times New Roman" w:hAnsi="Times New Roman" w:cs="Times New Roman"/>
          <w:sz w:val="24"/>
          <w:szCs w:val="24"/>
        </w:rPr>
        <w:t xml:space="preserve">, </w:t>
      </w:r>
      <w:r w:rsidR="00AD51E0" w:rsidRPr="009958B1">
        <w:rPr>
          <w:rFonts w:ascii="Times New Roman" w:hAnsi="Times New Roman" w:cs="Times New Roman"/>
          <w:sz w:val="24"/>
          <w:szCs w:val="24"/>
        </w:rPr>
        <w:t>które z żądanych</w:t>
      </w:r>
      <w:r w:rsidR="00080DBE" w:rsidRPr="009958B1">
        <w:rPr>
          <w:rFonts w:ascii="Times New Roman" w:hAnsi="Times New Roman" w:cs="Times New Roman"/>
          <w:sz w:val="24"/>
          <w:szCs w:val="24"/>
        </w:rPr>
        <w:t xml:space="preserve"> informacj</w:t>
      </w:r>
      <w:r w:rsidR="00AD51E0" w:rsidRPr="009958B1">
        <w:rPr>
          <w:rFonts w:ascii="Times New Roman" w:hAnsi="Times New Roman" w:cs="Times New Roman"/>
          <w:sz w:val="24"/>
          <w:szCs w:val="24"/>
        </w:rPr>
        <w:t>i</w:t>
      </w:r>
      <w:r w:rsidR="00080DBE" w:rsidRPr="009958B1">
        <w:rPr>
          <w:rFonts w:ascii="Times New Roman" w:hAnsi="Times New Roman" w:cs="Times New Roman"/>
          <w:sz w:val="24"/>
          <w:szCs w:val="24"/>
        </w:rPr>
        <w:t xml:space="preserve"> </w:t>
      </w:r>
      <w:r w:rsidR="00AD51E0" w:rsidRPr="009958B1">
        <w:rPr>
          <w:rFonts w:ascii="Times New Roman" w:hAnsi="Times New Roman" w:cs="Times New Roman"/>
          <w:sz w:val="24"/>
          <w:szCs w:val="24"/>
        </w:rPr>
        <w:t>wykraczają poza limit</w:t>
      </w:r>
      <w:r w:rsidR="00080DBE" w:rsidRPr="009958B1">
        <w:rPr>
          <w:rFonts w:ascii="Times New Roman" w:hAnsi="Times New Roman" w:cs="Times New Roman"/>
          <w:sz w:val="24"/>
          <w:szCs w:val="24"/>
        </w:rPr>
        <w:t>, oraz o przysługującym</w:t>
      </w:r>
      <w:r w:rsidR="00AD51E0" w:rsidRPr="009958B1">
        <w:rPr>
          <w:rFonts w:ascii="Times New Roman" w:hAnsi="Times New Roman" w:cs="Times New Roman"/>
          <w:sz w:val="24"/>
          <w:szCs w:val="24"/>
        </w:rPr>
        <w:t xml:space="preserve"> jednostkom chronionym</w:t>
      </w:r>
      <w:r w:rsidR="00080DBE" w:rsidRPr="009958B1">
        <w:rPr>
          <w:rFonts w:ascii="Times New Roman" w:hAnsi="Times New Roman" w:cs="Times New Roman"/>
          <w:sz w:val="24"/>
          <w:szCs w:val="24"/>
        </w:rPr>
        <w:t xml:space="preserve"> prawie do odmowy ich udzielenia.</w:t>
      </w:r>
      <w:r w:rsidR="00316397" w:rsidRPr="009958B1">
        <w:rPr>
          <w:rFonts w:ascii="Times New Roman" w:hAnsi="Times New Roman" w:cs="Times New Roman"/>
          <w:sz w:val="24"/>
          <w:szCs w:val="24"/>
        </w:rPr>
        <w:t xml:space="preserve"> </w:t>
      </w:r>
      <w:r w:rsidR="00466DBE" w:rsidRPr="009958B1">
        <w:rPr>
          <w:rFonts w:ascii="Times New Roman" w:hAnsi="Times New Roman" w:cs="Times New Roman"/>
          <w:sz w:val="24"/>
          <w:szCs w:val="24"/>
        </w:rPr>
        <w:t xml:space="preserve">Jednocześnie w celu ustalenia, które </w:t>
      </w:r>
      <w:r w:rsidR="00C93AFE" w:rsidRPr="009958B1">
        <w:rPr>
          <w:rFonts w:ascii="Times New Roman" w:hAnsi="Times New Roman" w:cs="Times New Roman"/>
          <w:sz w:val="24"/>
          <w:szCs w:val="24"/>
        </w:rPr>
        <w:t>podmioty</w:t>
      </w:r>
      <w:r w:rsidR="00466DBE" w:rsidRPr="009958B1">
        <w:rPr>
          <w:rFonts w:ascii="Times New Roman" w:hAnsi="Times New Roman" w:cs="Times New Roman"/>
          <w:sz w:val="24"/>
          <w:szCs w:val="24"/>
        </w:rPr>
        <w:t xml:space="preserve"> z łańcucha wartości są jednostkami chronionymi, jednostki raportujące nie będą musiały przeprowadzać własnej analizy, lecz będą mogły polegać na oświadczeniach </w:t>
      </w:r>
      <w:r w:rsidR="00C93AFE" w:rsidRPr="009958B1">
        <w:rPr>
          <w:rFonts w:ascii="Times New Roman" w:hAnsi="Times New Roman" w:cs="Times New Roman"/>
          <w:sz w:val="24"/>
          <w:szCs w:val="24"/>
        </w:rPr>
        <w:t>podmiotów</w:t>
      </w:r>
      <w:r w:rsidR="00466DBE" w:rsidRPr="009958B1">
        <w:rPr>
          <w:rFonts w:ascii="Times New Roman" w:hAnsi="Times New Roman" w:cs="Times New Roman"/>
          <w:sz w:val="24"/>
          <w:szCs w:val="24"/>
        </w:rPr>
        <w:t xml:space="preserve"> w łańcuchu wartości co do tego, czy spełniają one definicję jednostki chronionej. Oświadczenia te nie będą podlegały obowiązkowi weryfikacji przez jednostki raportujące, chyba że będzie dla nich oczywiste, iż informacje zawarte w oświadczeniu są ewidentnie nieprawdziwe. Jednostki przedstawiające w swojej sprawozdawczości ESG informacje o </w:t>
      </w:r>
      <w:r w:rsidR="00466DBE" w:rsidRPr="009958B1">
        <w:rPr>
          <w:rFonts w:ascii="Times New Roman" w:hAnsi="Times New Roman" w:cs="Times New Roman"/>
          <w:sz w:val="24"/>
          <w:szCs w:val="24"/>
        </w:rPr>
        <w:lastRenderedPageBreak/>
        <w:t xml:space="preserve">łańcuchu wartości </w:t>
      </w:r>
      <w:r w:rsidR="006A42B9" w:rsidRPr="009958B1">
        <w:rPr>
          <w:rFonts w:ascii="Times New Roman" w:hAnsi="Times New Roman" w:cs="Times New Roman"/>
          <w:sz w:val="24"/>
          <w:szCs w:val="24"/>
        </w:rPr>
        <w:t xml:space="preserve">z uwzględnieniem ww. ograniczeń dotyczących żądania informacji niewykraczających poza zakres dobrowolnych standardów sprawozdawczości zrównoważonego rozwoju będą uznawane za wypełniające obowiązek przedstawienia informacji o łańcuchu wartości określony w art. 63r ust. 5 pkt 1 ustawy o rachunkowości. </w:t>
      </w:r>
      <w:r w:rsidR="00113437" w:rsidRPr="009958B1">
        <w:rPr>
          <w:rFonts w:ascii="Times New Roman" w:hAnsi="Times New Roman" w:cs="Times New Roman"/>
          <w:sz w:val="24"/>
          <w:szCs w:val="24"/>
        </w:rPr>
        <w:t>Jednocześnie należy wskazać, że ww. ograniczenia dotyczące zakresu informacji możliwych do żądania przez jednostki raportujące mają zastosowanie wyłącznie do wniosków o informacje kierowanych do jednostek w łańcuchu wartości na potrzeby wypełnienia obowiązków w zakresie sprawozdawczości ESG (czyli wypełnienia obowiązku art. 63r ust. 5 pkt 1).</w:t>
      </w:r>
      <w:r w:rsidR="00303F21" w:rsidRPr="009958B1">
        <w:rPr>
          <w:rFonts w:ascii="Times New Roman" w:hAnsi="Times New Roman" w:cs="Times New Roman"/>
          <w:sz w:val="24"/>
          <w:szCs w:val="24"/>
        </w:rPr>
        <w:t xml:space="preserve"> Ograniczenia nie naruszają prawa jednostek raportujących do żądania większego zakresu informacji na inne potrzeby, np. </w:t>
      </w:r>
      <w:r w:rsidR="009274CD">
        <w:rPr>
          <w:rFonts w:ascii="Times New Roman" w:hAnsi="Times New Roman" w:cs="Times New Roman"/>
          <w:sz w:val="24"/>
          <w:szCs w:val="24"/>
        </w:rPr>
        <w:t>a</w:t>
      </w:r>
      <w:r w:rsidR="00303F21" w:rsidRPr="009958B1">
        <w:rPr>
          <w:rFonts w:ascii="Times New Roman" w:hAnsi="Times New Roman" w:cs="Times New Roman"/>
          <w:sz w:val="24"/>
          <w:szCs w:val="24"/>
        </w:rPr>
        <w:t xml:space="preserve">by spełnić wymogi procesu należytej staranności wynikające z innych przepisów UE (np. dyrektywy 2024/1760). Dodatkowo należy podkreślić, że z przepisów dotyczących </w:t>
      </w:r>
      <w:r w:rsidR="00303F21" w:rsidRPr="009958B1">
        <w:rPr>
          <w:rFonts w:ascii="Times New Roman" w:hAnsi="Times New Roman" w:cs="Times New Roman"/>
          <w:i/>
          <w:iCs/>
          <w:sz w:val="24"/>
          <w:szCs w:val="24"/>
        </w:rPr>
        <w:t>value chain cap</w:t>
      </w:r>
      <w:r w:rsidR="00303F21" w:rsidRPr="009958B1">
        <w:rPr>
          <w:rFonts w:ascii="Times New Roman" w:hAnsi="Times New Roman" w:cs="Times New Roman"/>
          <w:sz w:val="24"/>
          <w:szCs w:val="24"/>
        </w:rPr>
        <w:t xml:space="preserve"> nie należy wywodzić żadnego zobowiązania dla </w:t>
      </w:r>
      <w:r w:rsidR="00C93AFE" w:rsidRPr="009958B1">
        <w:rPr>
          <w:rFonts w:ascii="Times New Roman" w:hAnsi="Times New Roman" w:cs="Times New Roman"/>
          <w:sz w:val="24"/>
          <w:szCs w:val="24"/>
        </w:rPr>
        <w:t>podmiotu</w:t>
      </w:r>
      <w:r w:rsidR="00303F21" w:rsidRPr="009958B1">
        <w:rPr>
          <w:rFonts w:ascii="Times New Roman" w:hAnsi="Times New Roman" w:cs="Times New Roman"/>
          <w:sz w:val="24"/>
          <w:szCs w:val="24"/>
        </w:rPr>
        <w:t xml:space="preserve"> w łańcuchu wartości do przekazywania jednostce raportującej jakichkolwiek informacji </w:t>
      </w:r>
      <w:r w:rsidR="0075095D" w:rsidRPr="009958B1">
        <w:rPr>
          <w:rFonts w:ascii="Times New Roman" w:hAnsi="Times New Roman" w:cs="Times New Roman"/>
          <w:sz w:val="24"/>
          <w:szCs w:val="24"/>
        </w:rPr>
        <w:t>w zakresie</w:t>
      </w:r>
      <w:r w:rsidR="00303F21" w:rsidRPr="009958B1">
        <w:rPr>
          <w:rFonts w:ascii="Times New Roman" w:hAnsi="Times New Roman" w:cs="Times New Roman"/>
          <w:sz w:val="24"/>
          <w:szCs w:val="24"/>
        </w:rPr>
        <w:t xml:space="preserve"> zrównoważonego rozwoju, w tym nawet tych mieszczących się w zakresie dobrowoln</w:t>
      </w:r>
      <w:r w:rsidR="009F3696" w:rsidRPr="009958B1">
        <w:rPr>
          <w:rFonts w:ascii="Times New Roman" w:hAnsi="Times New Roman" w:cs="Times New Roman"/>
          <w:sz w:val="24"/>
          <w:szCs w:val="24"/>
        </w:rPr>
        <w:t>ych</w:t>
      </w:r>
      <w:r w:rsidR="00303F21" w:rsidRPr="009958B1">
        <w:rPr>
          <w:rFonts w:ascii="Times New Roman" w:hAnsi="Times New Roman" w:cs="Times New Roman"/>
          <w:sz w:val="24"/>
          <w:szCs w:val="24"/>
        </w:rPr>
        <w:t xml:space="preserve"> standard</w:t>
      </w:r>
      <w:r w:rsidR="009F3696" w:rsidRPr="009958B1">
        <w:rPr>
          <w:rFonts w:ascii="Times New Roman" w:hAnsi="Times New Roman" w:cs="Times New Roman"/>
          <w:sz w:val="24"/>
          <w:szCs w:val="24"/>
        </w:rPr>
        <w:t>ów</w:t>
      </w:r>
      <w:r w:rsidR="00303F21" w:rsidRPr="009958B1">
        <w:rPr>
          <w:rFonts w:ascii="Times New Roman" w:hAnsi="Times New Roman" w:cs="Times New Roman"/>
          <w:sz w:val="24"/>
          <w:szCs w:val="24"/>
        </w:rPr>
        <w:t xml:space="preserve"> sprawozdawczości zrównoważonego rozwoju.</w:t>
      </w:r>
      <w:r w:rsidR="00C93AFE" w:rsidRPr="009958B1">
        <w:rPr>
          <w:rFonts w:ascii="Times New Roman" w:hAnsi="Times New Roman" w:cs="Times New Roman"/>
          <w:sz w:val="24"/>
          <w:szCs w:val="24"/>
        </w:rPr>
        <w:t xml:space="preserve"> W tym miejscu należy wskazać, że ww. standardy, oprócz tego</w:t>
      </w:r>
      <w:r w:rsidR="009274CD">
        <w:rPr>
          <w:rFonts w:ascii="Times New Roman" w:hAnsi="Times New Roman" w:cs="Times New Roman"/>
          <w:sz w:val="24"/>
          <w:szCs w:val="24"/>
        </w:rPr>
        <w:t>,</w:t>
      </w:r>
      <w:r w:rsidR="00C93AFE" w:rsidRPr="009958B1">
        <w:rPr>
          <w:rFonts w:ascii="Times New Roman" w:hAnsi="Times New Roman" w:cs="Times New Roman"/>
          <w:sz w:val="24"/>
          <w:szCs w:val="24"/>
        </w:rPr>
        <w:t xml:space="preserve"> że wyznaczają zakres </w:t>
      </w:r>
      <w:r w:rsidR="00C93AFE" w:rsidRPr="009958B1">
        <w:rPr>
          <w:rFonts w:ascii="Times New Roman" w:hAnsi="Times New Roman" w:cs="Times New Roman"/>
          <w:i/>
          <w:iCs/>
          <w:sz w:val="24"/>
          <w:szCs w:val="24"/>
        </w:rPr>
        <w:t>value chain cap</w:t>
      </w:r>
      <w:r w:rsidR="00C93AFE" w:rsidRPr="009958B1">
        <w:rPr>
          <w:rFonts w:ascii="Times New Roman" w:hAnsi="Times New Roman" w:cs="Times New Roman"/>
          <w:sz w:val="24"/>
          <w:szCs w:val="24"/>
        </w:rPr>
        <w:t>, mogą służyć również do dobrowolnego raportowania przez jednostki nieobjęte obowiązkiem sprawozdawczości ESG na podstawie dyrektywy 2013/34/UE. Niemniej jednak należy podkreślić, że dobrowolne standardy sprawozdawczości zrównoważonego rozwoju mają charakter fakultatywny, co wynika z ich istoty. Ich stosowanie nie jest wymagane przepisami prawa i nie tworzy samoistnego obowiązku prawnego po stronie jednostek nieobjętych obowiązkiem sporządzania sprawozdawczości zrównoważonego rozwoju.</w:t>
      </w:r>
    </w:p>
    <w:p w14:paraId="7ECBEEDE" w14:textId="04F71BC7" w:rsidR="00AD51E0" w:rsidRPr="009958B1" w:rsidRDefault="00A64A8C" w:rsidP="009958B1">
      <w:pPr>
        <w:pStyle w:val="Akapitzlist"/>
        <w:spacing w:before="120" w:after="0" w:line="360" w:lineRule="auto"/>
        <w:ind w:left="360"/>
        <w:jc w:val="both"/>
        <w:rPr>
          <w:rFonts w:ascii="Times New Roman" w:hAnsi="Times New Roman" w:cs="Times New Roman"/>
          <w:sz w:val="24"/>
          <w:szCs w:val="24"/>
        </w:rPr>
      </w:pPr>
      <w:r w:rsidRPr="00A04CED">
        <w:rPr>
          <w:rFonts w:ascii="Times New Roman" w:hAnsi="Times New Roman" w:cs="Times New Roman"/>
          <w:sz w:val="24"/>
          <w:szCs w:val="24"/>
        </w:rPr>
        <w:t>Natomiast dodawany ust. 5g (mający na celu wdrożenie art. 19a ust. 3 nowy akapit szósty dodany przez dyrektywę 2026/470) umożliwia jednostkom podlegającym obowiązkowi sprawozdawczości zrównoważonego rozwoju zwolnienie</w:t>
      </w:r>
      <w:r w:rsidR="008D6345" w:rsidRPr="00A04CED">
        <w:rPr>
          <w:rFonts w:ascii="Times New Roman" w:hAnsi="Times New Roman" w:cs="Times New Roman"/>
          <w:sz w:val="24"/>
          <w:szCs w:val="24"/>
        </w:rPr>
        <w:t xml:space="preserve"> z obowiązku przedstawiania informacji o łańcuchu wartości (o którym mowa w art. 63r ust. 5 pkt 1 ustawy o rachunkowości) w okresie pierwszy trzech lat raportowania, w sytuacji gdyby nie były dostępne wszystkie niezbędne informacje</w:t>
      </w:r>
      <w:r w:rsidR="00EB1DBC" w:rsidRPr="00A04CED">
        <w:rPr>
          <w:rFonts w:ascii="Times New Roman" w:hAnsi="Times New Roman" w:cs="Times New Roman"/>
          <w:sz w:val="24"/>
          <w:szCs w:val="24"/>
        </w:rPr>
        <w:t xml:space="preserve"> w tym zakresie. Jednostka raportująca będzie w takim przypadku zobowiązana do poinformowania o działaniach</w:t>
      </w:r>
      <w:r w:rsidR="00386FD5">
        <w:rPr>
          <w:rFonts w:ascii="Times New Roman" w:hAnsi="Times New Roman" w:cs="Times New Roman"/>
          <w:sz w:val="24"/>
          <w:szCs w:val="24"/>
        </w:rPr>
        <w:t>,</w:t>
      </w:r>
      <w:r w:rsidR="00EB1DBC" w:rsidRPr="00A04CED">
        <w:rPr>
          <w:rFonts w:ascii="Times New Roman" w:hAnsi="Times New Roman" w:cs="Times New Roman"/>
          <w:sz w:val="24"/>
          <w:szCs w:val="24"/>
        </w:rPr>
        <w:t xml:space="preserve"> jakie podjęła</w:t>
      </w:r>
      <w:r w:rsidR="00386FD5">
        <w:rPr>
          <w:rFonts w:ascii="Times New Roman" w:hAnsi="Times New Roman" w:cs="Times New Roman"/>
          <w:sz w:val="24"/>
          <w:szCs w:val="24"/>
        </w:rPr>
        <w:t>,</w:t>
      </w:r>
      <w:r w:rsidR="00EB1DBC" w:rsidRPr="00A04CED">
        <w:rPr>
          <w:rFonts w:ascii="Times New Roman" w:hAnsi="Times New Roman" w:cs="Times New Roman"/>
          <w:sz w:val="24"/>
          <w:szCs w:val="24"/>
        </w:rPr>
        <w:t xml:space="preserve"> </w:t>
      </w:r>
      <w:r w:rsidR="00386FD5">
        <w:rPr>
          <w:rFonts w:ascii="Times New Roman" w:hAnsi="Times New Roman" w:cs="Times New Roman"/>
          <w:sz w:val="24"/>
          <w:szCs w:val="24"/>
        </w:rPr>
        <w:t>a</w:t>
      </w:r>
      <w:r w:rsidR="00EB1DBC" w:rsidRPr="00A04CED">
        <w:rPr>
          <w:rFonts w:ascii="Times New Roman" w:hAnsi="Times New Roman" w:cs="Times New Roman"/>
          <w:sz w:val="24"/>
          <w:szCs w:val="24"/>
        </w:rPr>
        <w:t xml:space="preserve">by uzyskać te informacje, przyczynach ich </w:t>
      </w:r>
      <w:r w:rsidR="001A2C64" w:rsidRPr="00A04CED">
        <w:rPr>
          <w:rFonts w:ascii="Times New Roman" w:hAnsi="Times New Roman" w:cs="Times New Roman"/>
          <w:sz w:val="24"/>
          <w:szCs w:val="24"/>
        </w:rPr>
        <w:t>nie</w:t>
      </w:r>
      <w:r w:rsidR="00EB1DBC" w:rsidRPr="00A04CED">
        <w:rPr>
          <w:rFonts w:ascii="Times New Roman" w:hAnsi="Times New Roman" w:cs="Times New Roman"/>
          <w:sz w:val="24"/>
          <w:szCs w:val="24"/>
        </w:rPr>
        <w:t>uzyskania oraz krokach</w:t>
      </w:r>
      <w:r w:rsidR="00386FD5">
        <w:rPr>
          <w:rFonts w:ascii="Times New Roman" w:hAnsi="Times New Roman" w:cs="Times New Roman"/>
          <w:sz w:val="24"/>
          <w:szCs w:val="24"/>
        </w:rPr>
        <w:t>,</w:t>
      </w:r>
      <w:r w:rsidR="00EB1DBC" w:rsidRPr="00A04CED">
        <w:rPr>
          <w:rFonts w:ascii="Times New Roman" w:hAnsi="Times New Roman" w:cs="Times New Roman"/>
          <w:sz w:val="24"/>
          <w:szCs w:val="24"/>
        </w:rPr>
        <w:t xml:space="preserve"> jakie </w:t>
      </w:r>
      <w:r w:rsidR="001A2C64" w:rsidRPr="00A04CED">
        <w:rPr>
          <w:rFonts w:ascii="Times New Roman" w:hAnsi="Times New Roman" w:cs="Times New Roman"/>
          <w:sz w:val="24"/>
          <w:szCs w:val="24"/>
        </w:rPr>
        <w:t>zamierza</w:t>
      </w:r>
      <w:r w:rsidR="00EB1DBC" w:rsidRPr="00A04CED">
        <w:rPr>
          <w:rFonts w:ascii="Times New Roman" w:hAnsi="Times New Roman" w:cs="Times New Roman"/>
          <w:sz w:val="24"/>
          <w:szCs w:val="24"/>
        </w:rPr>
        <w:t xml:space="preserve"> podjąć</w:t>
      </w:r>
      <w:r w:rsidR="00386FD5">
        <w:rPr>
          <w:rFonts w:ascii="Times New Roman" w:hAnsi="Times New Roman" w:cs="Times New Roman"/>
          <w:sz w:val="24"/>
          <w:szCs w:val="24"/>
        </w:rPr>
        <w:t>,</w:t>
      </w:r>
      <w:r w:rsidR="00EB1DBC" w:rsidRPr="00A04CED">
        <w:rPr>
          <w:rFonts w:ascii="Times New Roman" w:hAnsi="Times New Roman" w:cs="Times New Roman"/>
          <w:sz w:val="24"/>
          <w:szCs w:val="24"/>
        </w:rPr>
        <w:t xml:space="preserve"> </w:t>
      </w:r>
      <w:r w:rsidR="00386FD5">
        <w:rPr>
          <w:rFonts w:ascii="Times New Roman" w:hAnsi="Times New Roman" w:cs="Times New Roman"/>
          <w:sz w:val="24"/>
          <w:szCs w:val="24"/>
        </w:rPr>
        <w:t>a</w:t>
      </w:r>
      <w:r w:rsidR="00EB1DBC" w:rsidRPr="00A04CED">
        <w:rPr>
          <w:rFonts w:ascii="Times New Roman" w:hAnsi="Times New Roman" w:cs="Times New Roman"/>
          <w:sz w:val="24"/>
          <w:szCs w:val="24"/>
        </w:rPr>
        <w:t>by uzyskać te informacje w przyszłości.</w:t>
      </w:r>
      <w:r w:rsidR="00A54E92" w:rsidRPr="00A04CED">
        <w:rPr>
          <w:rFonts w:ascii="Times New Roman" w:hAnsi="Times New Roman" w:cs="Times New Roman"/>
          <w:sz w:val="24"/>
          <w:szCs w:val="24"/>
        </w:rPr>
        <w:t xml:space="preserve"> </w:t>
      </w:r>
      <w:r w:rsidR="001A2C64" w:rsidRPr="00A04CED">
        <w:rPr>
          <w:rFonts w:ascii="Times New Roman" w:hAnsi="Times New Roman" w:cs="Times New Roman"/>
          <w:sz w:val="24"/>
          <w:szCs w:val="24"/>
        </w:rPr>
        <w:t>W tym miejscu należy zauważyć, że d</w:t>
      </w:r>
      <w:r w:rsidR="00A54E92" w:rsidRPr="00A04CED">
        <w:rPr>
          <w:rFonts w:ascii="Times New Roman" w:hAnsi="Times New Roman" w:cs="Times New Roman"/>
          <w:sz w:val="24"/>
          <w:szCs w:val="24"/>
        </w:rPr>
        <w:t>odawany ust. 5g</w:t>
      </w:r>
      <w:r w:rsidR="008D6345" w:rsidRPr="00A04CED">
        <w:rPr>
          <w:rFonts w:ascii="Times New Roman" w:hAnsi="Times New Roman" w:cs="Times New Roman"/>
          <w:sz w:val="24"/>
          <w:szCs w:val="24"/>
        </w:rPr>
        <w:t xml:space="preserve"> </w:t>
      </w:r>
      <w:r w:rsidR="00A54E92" w:rsidRPr="00A04CED">
        <w:rPr>
          <w:rFonts w:ascii="Times New Roman" w:hAnsi="Times New Roman" w:cs="Times New Roman"/>
          <w:sz w:val="24"/>
          <w:szCs w:val="24"/>
        </w:rPr>
        <w:t>z</w:t>
      </w:r>
      <w:r w:rsidR="008D6345" w:rsidRPr="00A04CED">
        <w:rPr>
          <w:rFonts w:ascii="Times New Roman" w:hAnsi="Times New Roman" w:cs="Times New Roman"/>
          <w:sz w:val="24"/>
          <w:szCs w:val="24"/>
        </w:rPr>
        <w:t>astępuje</w:t>
      </w:r>
      <w:r w:rsidR="00BF77E2" w:rsidRPr="00A04CED">
        <w:rPr>
          <w:rFonts w:ascii="Times New Roman" w:hAnsi="Times New Roman" w:cs="Times New Roman"/>
          <w:sz w:val="24"/>
          <w:szCs w:val="24"/>
        </w:rPr>
        <w:t xml:space="preserve"> (jednocześnie</w:t>
      </w:r>
      <w:r w:rsidR="008D6345" w:rsidRPr="00A04CED">
        <w:rPr>
          <w:rFonts w:ascii="Times New Roman" w:hAnsi="Times New Roman" w:cs="Times New Roman"/>
          <w:sz w:val="24"/>
          <w:szCs w:val="24"/>
        </w:rPr>
        <w:t xml:space="preserve"> modyfikuj</w:t>
      </w:r>
      <w:r w:rsidR="00BF77E2" w:rsidRPr="00A04CED">
        <w:rPr>
          <w:rFonts w:ascii="Times New Roman" w:hAnsi="Times New Roman" w:cs="Times New Roman"/>
          <w:sz w:val="24"/>
          <w:szCs w:val="24"/>
        </w:rPr>
        <w:t>ąc</w:t>
      </w:r>
      <w:r w:rsidR="00A54E92" w:rsidRPr="00A04CED">
        <w:rPr>
          <w:rFonts w:ascii="Times New Roman" w:hAnsi="Times New Roman" w:cs="Times New Roman"/>
          <w:sz w:val="24"/>
          <w:szCs w:val="24"/>
        </w:rPr>
        <w:t xml:space="preserve"> i uzupełnia</w:t>
      </w:r>
      <w:r w:rsidR="00BF77E2" w:rsidRPr="00A04CED">
        <w:rPr>
          <w:rFonts w:ascii="Times New Roman" w:hAnsi="Times New Roman" w:cs="Times New Roman"/>
          <w:sz w:val="24"/>
          <w:szCs w:val="24"/>
        </w:rPr>
        <w:t>jąc)</w:t>
      </w:r>
      <w:r w:rsidR="00A54E92" w:rsidRPr="00A04CED">
        <w:rPr>
          <w:rFonts w:ascii="Times New Roman" w:hAnsi="Times New Roman" w:cs="Times New Roman"/>
          <w:sz w:val="24"/>
          <w:szCs w:val="24"/>
        </w:rPr>
        <w:t xml:space="preserve"> dotychczasowy</w:t>
      </w:r>
      <w:r w:rsidR="008D6345" w:rsidRPr="00A04CED">
        <w:rPr>
          <w:rFonts w:ascii="Times New Roman" w:hAnsi="Times New Roman" w:cs="Times New Roman"/>
          <w:sz w:val="24"/>
          <w:szCs w:val="24"/>
        </w:rPr>
        <w:t xml:space="preserve"> przepis przejściowy zawarty w art. 14 ust. 7 ustawy z dnia 6 grudnia 2024 r.</w:t>
      </w:r>
      <w:r w:rsidR="00A54E92" w:rsidRPr="00A04CED">
        <w:rPr>
          <w:rFonts w:ascii="Times New Roman" w:hAnsi="Times New Roman" w:cs="Times New Roman"/>
          <w:sz w:val="24"/>
          <w:szCs w:val="24"/>
        </w:rPr>
        <w:t xml:space="preserve"> (wdrażający obecny </w:t>
      </w:r>
      <w:r w:rsidR="00A54E92" w:rsidRPr="00A04CED">
        <w:rPr>
          <w:rFonts w:ascii="Times New Roman" w:hAnsi="Times New Roman" w:cs="Times New Roman"/>
          <w:sz w:val="24"/>
          <w:szCs w:val="24"/>
        </w:rPr>
        <w:lastRenderedPageBreak/>
        <w:t>art. 19a ust. 2 akapit drugi dyrektywy 2013/34/UE wprowadzony przez CSRD</w:t>
      </w:r>
      <w:r w:rsidR="00476750" w:rsidRPr="00A04CED">
        <w:rPr>
          <w:rFonts w:ascii="Times New Roman" w:hAnsi="Times New Roman" w:cs="Times New Roman"/>
          <w:sz w:val="24"/>
          <w:szCs w:val="24"/>
        </w:rPr>
        <w:t>, a uchylany dyrektywą 2026/470</w:t>
      </w:r>
      <w:r w:rsidR="00A54E92" w:rsidRPr="00A04CED">
        <w:rPr>
          <w:rFonts w:ascii="Times New Roman" w:hAnsi="Times New Roman" w:cs="Times New Roman"/>
          <w:sz w:val="24"/>
          <w:szCs w:val="24"/>
        </w:rPr>
        <w:t xml:space="preserve">). Modyfikacja polega na tym, że na mocy ust. 5g każda jednostka wchodząca po raz pierwszy w obowiązek raportowania ESG (nawet taka rozpoczynająca to raportowanie np. </w:t>
      </w:r>
      <w:r w:rsidR="004C15A9" w:rsidRPr="00A04CED">
        <w:rPr>
          <w:rFonts w:ascii="Times New Roman" w:hAnsi="Times New Roman" w:cs="Times New Roman"/>
          <w:sz w:val="24"/>
          <w:szCs w:val="24"/>
        </w:rPr>
        <w:t>za rok obrotowy</w:t>
      </w:r>
      <w:r w:rsidR="00A54E92" w:rsidRPr="00A04CED">
        <w:rPr>
          <w:rFonts w:ascii="Times New Roman" w:hAnsi="Times New Roman" w:cs="Times New Roman"/>
          <w:sz w:val="24"/>
          <w:szCs w:val="24"/>
        </w:rPr>
        <w:t xml:space="preserve"> 20</w:t>
      </w:r>
      <w:r w:rsidR="004C15A9" w:rsidRPr="00A04CED">
        <w:rPr>
          <w:rFonts w:ascii="Times New Roman" w:hAnsi="Times New Roman" w:cs="Times New Roman"/>
          <w:sz w:val="24"/>
          <w:szCs w:val="24"/>
        </w:rPr>
        <w:t>30</w:t>
      </w:r>
      <w:r w:rsidR="00A54E92" w:rsidRPr="00A04CED">
        <w:rPr>
          <w:rFonts w:ascii="Times New Roman" w:hAnsi="Times New Roman" w:cs="Times New Roman"/>
          <w:sz w:val="24"/>
          <w:szCs w:val="24"/>
        </w:rPr>
        <w:t>) będzie miała możliwość pomijania informacji o łańcuchu wartości w pierwszych trzech latach raportowania (tj. za lata obrotowe 20</w:t>
      </w:r>
      <w:r w:rsidR="00BF77E2" w:rsidRPr="00A04CED">
        <w:rPr>
          <w:rFonts w:ascii="Times New Roman" w:hAnsi="Times New Roman" w:cs="Times New Roman"/>
          <w:sz w:val="24"/>
          <w:szCs w:val="24"/>
        </w:rPr>
        <w:t>30</w:t>
      </w:r>
      <w:r w:rsidR="00A54E92" w:rsidRPr="00A04CED">
        <w:rPr>
          <w:rFonts w:ascii="Times New Roman" w:hAnsi="Times New Roman" w:cs="Times New Roman"/>
          <w:sz w:val="24"/>
          <w:szCs w:val="24"/>
        </w:rPr>
        <w:t>, 203</w:t>
      </w:r>
      <w:r w:rsidR="00BF77E2" w:rsidRPr="00A04CED">
        <w:rPr>
          <w:rFonts w:ascii="Times New Roman" w:hAnsi="Times New Roman" w:cs="Times New Roman"/>
          <w:sz w:val="24"/>
          <w:szCs w:val="24"/>
        </w:rPr>
        <w:t>1</w:t>
      </w:r>
      <w:r w:rsidR="00A54E92" w:rsidRPr="00A04CED">
        <w:rPr>
          <w:rFonts w:ascii="Times New Roman" w:hAnsi="Times New Roman" w:cs="Times New Roman"/>
          <w:sz w:val="24"/>
          <w:szCs w:val="24"/>
        </w:rPr>
        <w:t xml:space="preserve"> i 20</w:t>
      </w:r>
      <w:r w:rsidR="00BF77E2" w:rsidRPr="00A04CED">
        <w:rPr>
          <w:rFonts w:ascii="Times New Roman" w:hAnsi="Times New Roman" w:cs="Times New Roman"/>
          <w:sz w:val="24"/>
          <w:szCs w:val="24"/>
        </w:rPr>
        <w:t>32</w:t>
      </w:r>
      <w:r w:rsidR="00A54E92" w:rsidRPr="00A04CED">
        <w:rPr>
          <w:rFonts w:ascii="Times New Roman" w:hAnsi="Times New Roman" w:cs="Times New Roman"/>
          <w:sz w:val="24"/>
          <w:szCs w:val="24"/>
        </w:rPr>
        <w:t>), podczas gdy art. 14</w:t>
      </w:r>
      <w:r w:rsidR="004C15A9" w:rsidRPr="00A04CED">
        <w:rPr>
          <w:rFonts w:ascii="Times New Roman" w:hAnsi="Times New Roman" w:cs="Times New Roman"/>
          <w:sz w:val="24"/>
          <w:szCs w:val="24"/>
        </w:rPr>
        <w:t xml:space="preserve"> ust. 7 ww. ustawy odwoływał się sztywno do pierwszych trzech lat obrotowych rozpoczynających się odpowiednio po 31 grudnia 2023</w:t>
      </w:r>
      <w:r w:rsidR="00E231AE" w:rsidRPr="00A04CED">
        <w:rPr>
          <w:rFonts w:ascii="Times New Roman" w:hAnsi="Times New Roman" w:cs="Times New Roman"/>
          <w:sz w:val="24"/>
          <w:szCs w:val="24"/>
        </w:rPr>
        <w:t xml:space="preserve"> r.</w:t>
      </w:r>
      <w:r w:rsidR="004C15A9" w:rsidRPr="00A04CED">
        <w:rPr>
          <w:rFonts w:ascii="Times New Roman" w:hAnsi="Times New Roman" w:cs="Times New Roman"/>
          <w:sz w:val="24"/>
          <w:szCs w:val="24"/>
        </w:rPr>
        <w:t>, 31 grudnia 2024</w:t>
      </w:r>
      <w:r w:rsidR="00386FD5">
        <w:rPr>
          <w:rFonts w:ascii="Times New Roman" w:hAnsi="Times New Roman" w:cs="Times New Roman"/>
          <w:sz w:val="24"/>
          <w:szCs w:val="24"/>
        </w:rPr>
        <w:t> </w:t>
      </w:r>
      <w:r w:rsidR="00E231AE" w:rsidRPr="00A04CED">
        <w:rPr>
          <w:rFonts w:ascii="Times New Roman" w:hAnsi="Times New Roman" w:cs="Times New Roman"/>
          <w:sz w:val="24"/>
          <w:szCs w:val="24"/>
        </w:rPr>
        <w:t>r.</w:t>
      </w:r>
      <w:r w:rsidR="004C15A9" w:rsidRPr="00A04CED">
        <w:rPr>
          <w:rFonts w:ascii="Times New Roman" w:hAnsi="Times New Roman" w:cs="Times New Roman"/>
          <w:sz w:val="24"/>
          <w:szCs w:val="24"/>
        </w:rPr>
        <w:t xml:space="preserve"> i 31 grudnia 2025</w:t>
      </w:r>
      <w:r w:rsidR="00E231AE" w:rsidRPr="00A04CED">
        <w:rPr>
          <w:rFonts w:ascii="Times New Roman" w:hAnsi="Times New Roman" w:cs="Times New Roman"/>
          <w:sz w:val="24"/>
          <w:szCs w:val="24"/>
        </w:rPr>
        <w:t xml:space="preserve"> r.</w:t>
      </w:r>
      <w:r w:rsidR="004C15A9" w:rsidRPr="00A04CED">
        <w:rPr>
          <w:rFonts w:ascii="Times New Roman" w:hAnsi="Times New Roman" w:cs="Times New Roman"/>
          <w:sz w:val="24"/>
          <w:szCs w:val="24"/>
        </w:rPr>
        <w:t xml:space="preserve"> (zgodnie z pierwotnym harmonogramem wejścia w obowiązek raportowy przez jednostki z fali pierwszej, drugiej i trzeciej). Oznaczało to, że jednost</w:t>
      </w:r>
      <w:r w:rsidR="00BF77E2" w:rsidRPr="00A04CED">
        <w:rPr>
          <w:rFonts w:ascii="Times New Roman" w:hAnsi="Times New Roman" w:cs="Times New Roman"/>
          <w:sz w:val="24"/>
          <w:szCs w:val="24"/>
        </w:rPr>
        <w:t>ce</w:t>
      </w:r>
      <w:r w:rsidR="004C15A9" w:rsidRPr="00A04CED">
        <w:rPr>
          <w:rFonts w:ascii="Times New Roman" w:hAnsi="Times New Roman" w:cs="Times New Roman"/>
          <w:sz w:val="24"/>
          <w:szCs w:val="24"/>
        </w:rPr>
        <w:t xml:space="preserve"> wchodząc</w:t>
      </w:r>
      <w:r w:rsidR="00BF77E2" w:rsidRPr="00A04CED">
        <w:rPr>
          <w:rFonts w:ascii="Times New Roman" w:hAnsi="Times New Roman" w:cs="Times New Roman"/>
          <w:sz w:val="24"/>
          <w:szCs w:val="24"/>
        </w:rPr>
        <w:t>ej</w:t>
      </w:r>
      <w:r w:rsidR="004C15A9" w:rsidRPr="00A04CED">
        <w:rPr>
          <w:rFonts w:ascii="Times New Roman" w:hAnsi="Times New Roman" w:cs="Times New Roman"/>
          <w:sz w:val="24"/>
          <w:szCs w:val="24"/>
        </w:rPr>
        <w:t xml:space="preserve"> po raz pierwszy </w:t>
      </w:r>
      <w:r w:rsidR="00386FD5">
        <w:rPr>
          <w:rFonts w:ascii="Times New Roman" w:hAnsi="Times New Roman" w:cs="Times New Roman"/>
          <w:sz w:val="24"/>
          <w:szCs w:val="24"/>
        </w:rPr>
        <w:t>w</w:t>
      </w:r>
      <w:r w:rsidR="004C15A9" w:rsidRPr="00A04CED">
        <w:rPr>
          <w:rFonts w:ascii="Times New Roman" w:hAnsi="Times New Roman" w:cs="Times New Roman"/>
          <w:sz w:val="24"/>
          <w:szCs w:val="24"/>
        </w:rPr>
        <w:t xml:space="preserve"> obowiązek sprawozdawczy </w:t>
      </w:r>
      <w:r w:rsidR="00BF77E2" w:rsidRPr="00A04CED">
        <w:rPr>
          <w:rFonts w:ascii="Times New Roman" w:hAnsi="Times New Roman" w:cs="Times New Roman"/>
          <w:sz w:val="24"/>
          <w:szCs w:val="24"/>
        </w:rPr>
        <w:t xml:space="preserve">np. </w:t>
      </w:r>
      <w:r w:rsidR="004C15A9" w:rsidRPr="00A04CED">
        <w:rPr>
          <w:rFonts w:ascii="Times New Roman" w:hAnsi="Times New Roman" w:cs="Times New Roman"/>
          <w:sz w:val="24"/>
          <w:szCs w:val="24"/>
        </w:rPr>
        <w:t>za rok obrotowy</w:t>
      </w:r>
      <w:r w:rsidR="00BF77E2" w:rsidRPr="00A04CED">
        <w:rPr>
          <w:rFonts w:ascii="Times New Roman" w:hAnsi="Times New Roman" w:cs="Times New Roman"/>
          <w:sz w:val="24"/>
          <w:szCs w:val="24"/>
        </w:rPr>
        <w:t xml:space="preserve"> 2030 nie przysługiwałoby już prawo do pomijania takich informacji w pierwszych trzech latach. Natomiast wspomniane uzupełnienie polega na tym, że po upływie ww. trzyletniego okresu przejściowego umożliwiającego pomijanie informacji o łańcuchu wartości, jednostka raportująca będzie miała możliwość bazowania nie tylko wyłącznie na informacjach uzyskanych od jednost</w:t>
      </w:r>
      <w:r w:rsidR="0054210E" w:rsidRPr="00A04CED">
        <w:rPr>
          <w:rFonts w:ascii="Times New Roman" w:hAnsi="Times New Roman" w:cs="Times New Roman"/>
          <w:sz w:val="24"/>
          <w:szCs w:val="24"/>
        </w:rPr>
        <w:t xml:space="preserve">ek z łańcucha wartości, ale także </w:t>
      </w:r>
      <w:r w:rsidR="00386FD5">
        <w:rPr>
          <w:rFonts w:ascii="Times New Roman" w:hAnsi="Times New Roman" w:cs="Times New Roman"/>
          <w:sz w:val="24"/>
          <w:szCs w:val="24"/>
        </w:rPr>
        <w:t>–</w:t>
      </w:r>
      <w:r w:rsidR="0054210E" w:rsidRPr="00A04CED">
        <w:rPr>
          <w:rFonts w:ascii="Times New Roman" w:hAnsi="Times New Roman" w:cs="Times New Roman"/>
          <w:sz w:val="24"/>
          <w:szCs w:val="24"/>
        </w:rPr>
        <w:t xml:space="preserve"> </w:t>
      </w:r>
      <w:r w:rsidR="0054210E" w:rsidRPr="009958B1">
        <w:rPr>
          <w:rFonts w:ascii="Times New Roman" w:hAnsi="Times New Roman" w:cs="Times New Roman"/>
          <w:sz w:val="24"/>
          <w:szCs w:val="24"/>
        </w:rPr>
        <w:t>w świetle braku wszystkich niezbędnych informacji bezpośrednio od jednostek z łańcucha wartości – na danych szacunkowych</w:t>
      </w:r>
      <w:r w:rsidR="00FE1B83" w:rsidRPr="009958B1">
        <w:rPr>
          <w:rFonts w:ascii="Times New Roman" w:hAnsi="Times New Roman" w:cs="Times New Roman"/>
          <w:sz w:val="24"/>
          <w:szCs w:val="24"/>
        </w:rPr>
        <w:t>;</w:t>
      </w:r>
    </w:p>
    <w:p w14:paraId="37A758DE" w14:textId="2CDBCE95" w:rsidR="00C92120" w:rsidRPr="00A04CED" w:rsidRDefault="00E23EB0" w:rsidP="009958B1">
      <w:pPr>
        <w:pStyle w:val="Akapitzlist"/>
        <w:numPr>
          <w:ilvl w:val="0"/>
          <w:numId w:val="15"/>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w ust. 7</w:t>
      </w:r>
      <w:r w:rsidRPr="00A04CED">
        <w:rPr>
          <w:rFonts w:ascii="Times New Roman" w:hAnsi="Times New Roman" w:cs="Times New Roman"/>
          <w:sz w:val="24"/>
          <w:szCs w:val="24"/>
        </w:rPr>
        <w:t xml:space="preserve"> (w ślad za art. 19a ust. 3 akapit czwarty zmieniony przez dyrektywę 2026/470) rozbudowano</w:t>
      </w:r>
      <w:r w:rsidR="00C92120" w:rsidRPr="00A04CED">
        <w:rPr>
          <w:rFonts w:ascii="Times New Roman" w:hAnsi="Times New Roman" w:cs="Times New Roman"/>
          <w:sz w:val="24"/>
          <w:szCs w:val="24"/>
        </w:rPr>
        <w:t xml:space="preserve"> przepisy </w:t>
      </w:r>
      <w:r w:rsidRPr="00A04CED">
        <w:rPr>
          <w:rFonts w:ascii="Times New Roman" w:hAnsi="Times New Roman" w:cs="Times New Roman"/>
          <w:sz w:val="24"/>
          <w:szCs w:val="24"/>
        </w:rPr>
        <w:t>umożliwiające</w:t>
      </w:r>
      <w:r w:rsidR="00C92120" w:rsidRPr="00A04CED">
        <w:rPr>
          <w:rFonts w:ascii="Times New Roman" w:hAnsi="Times New Roman" w:cs="Times New Roman"/>
          <w:sz w:val="24"/>
          <w:szCs w:val="24"/>
        </w:rPr>
        <w:t xml:space="preserve"> pominięci</w:t>
      </w:r>
      <w:r w:rsidRPr="00A04CED">
        <w:rPr>
          <w:rFonts w:ascii="Times New Roman" w:hAnsi="Times New Roman" w:cs="Times New Roman"/>
          <w:sz w:val="24"/>
          <w:szCs w:val="24"/>
        </w:rPr>
        <w:t>e</w:t>
      </w:r>
      <w:r w:rsidR="00C92120" w:rsidRPr="00A04CED">
        <w:rPr>
          <w:rFonts w:ascii="Times New Roman" w:hAnsi="Times New Roman" w:cs="Times New Roman"/>
          <w:sz w:val="24"/>
          <w:szCs w:val="24"/>
        </w:rPr>
        <w:t xml:space="preserve"> niektórych informacji przy </w:t>
      </w:r>
      <w:r w:rsidR="00C80B7C" w:rsidRPr="00A04CED">
        <w:rPr>
          <w:rFonts w:ascii="Times New Roman" w:hAnsi="Times New Roman" w:cs="Times New Roman"/>
          <w:sz w:val="24"/>
          <w:szCs w:val="24"/>
        </w:rPr>
        <w:t>sporządzaniu sprawozdawczości zrównoważonego rozwoju</w:t>
      </w:r>
      <w:r w:rsidR="00C92120" w:rsidRPr="00A04CED">
        <w:rPr>
          <w:rFonts w:ascii="Times New Roman" w:hAnsi="Times New Roman" w:cs="Times New Roman"/>
          <w:sz w:val="24"/>
          <w:szCs w:val="24"/>
        </w:rPr>
        <w:t xml:space="preserve">. </w:t>
      </w:r>
      <w:r w:rsidRPr="00A04CED">
        <w:rPr>
          <w:rFonts w:ascii="Times New Roman" w:hAnsi="Times New Roman" w:cs="Times New Roman"/>
          <w:sz w:val="24"/>
          <w:szCs w:val="24"/>
        </w:rPr>
        <w:t xml:space="preserve">Obecnie jednostka może pominąć informacje dotyczące oczekiwanych zdarzeń lub spraw będących przedmiotem toczących się negocjacji, jeżeli ich ujawnienie miałoby istotnie szkodliwy wpływ na sytuację rynkową jednostki. </w:t>
      </w:r>
      <w:r w:rsidR="007E3A04" w:rsidRPr="00A04CED">
        <w:rPr>
          <w:rFonts w:ascii="Times New Roman" w:hAnsi="Times New Roman" w:cs="Times New Roman"/>
          <w:sz w:val="24"/>
          <w:szCs w:val="24"/>
        </w:rPr>
        <w:t>Możliwość ta została utrzymana, przy czym usunięto dotychczasowy zapis ograniczający jej zastosowanie do przypadków oczekiwanych zdarzeń i spraw będących przedmiotem toczących się negocjacji, przy jednoczesnym zachowaniu i doprecyzowaniu warunków</w:t>
      </w:r>
      <w:r w:rsidR="00C92120" w:rsidRPr="00A04CED">
        <w:rPr>
          <w:rFonts w:ascii="Times New Roman" w:hAnsi="Times New Roman" w:cs="Times New Roman"/>
          <w:sz w:val="24"/>
          <w:szCs w:val="24"/>
        </w:rPr>
        <w:t xml:space="preserve"> takiego pominięcia w celu zapewnienia, aby takie przypadki pozostały wyjątkowe oraz aby interesy użytkowników przedstawianych informacji na temat zrównoważonego rozwoju były również odpowiednio chronione. </w:t>
      </w:r>
      <w:r w:rsidR="00E8786C" w:rsidRPr="00A04CED">
        <w:rPr>
          <w:rFonts w:ascii="Times New Roman" w:hAnsi="Times New Roman" w:cs="Times New Roman"/>
          <w:sz w:val="24"/>
          <w:szCs w:val="24"/>
        </w:rPr>
        <w:t xml:space="preserve">Dodatkowo rozszerzono katalog </w:t>
      </w:r>
      <w:r w:rsidR="00EE093C" w:rsidRPr="00A04CED">
        <w:rPr>
          <w:rFonts w:ascii="Times New Roman" w:hAnsi="Times New Roman" w:cs="Times New Roman"/>
          <w:sz w:val="24"/>
          <w:szCs w:val="24"/>
        </w:rPr>
        <w:t>informacji możliwych do pominięcia o: 1. informacje stanowiące tajemnicę przedsiębiorstwa (takie jak</w:t>
      </w:r>
      <w:r w:rsidR="00C92120" w:rsidRPr="00A04CED">
        <w:rPr>
          <w:rFonts w:ascii="Times New Roman" w:hAnsi="Times New Roman" w:cs="Times New Roman"/>
          <w:sz w:val="24"/>
          <w:szCs w:val="24"/>
        </w:rPr>
        <w:t xml:space="preserve"> dotycząc</w:t>
      </w:r>
      <w:r w:rsidR="00EE093C" w:rsidRPr="00A04CED">
        <w:rPr>
          <w:rFonts w:ascii="Times New Roman" w:hAnsi="Times New Roman" w:cs="Times New Roman"/>
          <w:sz w:val="24"/>
          <w:szCs w:val="24"/>
        </w:rPr>
        <w:t>e</w:t>
      </w:r>
      <w:r w:rsidR="00C92120" w:rsidRPr="00A04CED">
        <w:rPr>
          <w:rFonts w:ascii="Times New Roman" w:hAnsi="Times New Roman" w:cs="Times New Roman"/>
          <w:sz w:val="24"/>
          <w:szCs w:val="24"/>
        </w:rPr>
        <w:t xml:space="preserve"> </w:t>
      </w:r>
      <w:r w:rsidR="00EE093C" w:rsidRPr="00A04CED">
        <w:rPr>
          <w:rFonts w:ascii="Times New Roman" w:hAnsi="Times New Roman" w:cs="Times New Roman"/>
          <w:sz w:val="24"/>
          <w:szCs w:val="24"/>
        </w:rPr>
        <w:t xml:space="preserve">m.in. </w:t>
      </w:r>
      <w:r w:rsidR="00C92120" w:rsidRPr="00A04CED">
        <w:rPr>
          <w:rFonts w:ascii="Times New Roman" w:hAnsi="Times New Roman" w:cs="Times New Roman"/>
          <w:sz w:val="24"/>
          <w:szCs w:val="24"/>
        </w:rPr>
        <w:t>kapitału intelektualnego, własności intelektualnej, know-how, technologii informacyjnej lub wyników innowacji</w:t>
      </w:r>
      <w:r w:rsidR="00EE093C" w:rsidRPr="00A04CED">
        <w:rPr>
          <w:rFonts w:ascii="Times New Roman" w:hAnsi="Times New Roman" w:cs="Times New Roman"/>
          <w:sz w:val="24"/>
          <w:szCs w:val="24"/>
        </w:rPr>
        <w:t>)</w:t>
      </w:r>
      <w:r w:rsidR="00C92120" w:rsidRPr="00A04CED">
        <w:rPr>
          <w:rFonts w:ascii="Times New Roman" w:hAnsi="Times New Roman" w:cs="Times New Roman"/>
          <w:sz w:val="24"/>
          <w:szCs w:val="24"/>
        </w:rPr>
        <w:t xml:space="preserve">, </w:t>
      </w:r>
      <w:r w:rsidR="00EE093C" w:rsidRPr="00A04CED">
        <w:rPr>
          <w:rFonts w:ascii="Times New Roman" w:hAnsi="Times New Roman" w:cs="Times New Roman"/>
          <w:sz w:val="24"/>
          <w:szCs w:val="24"/>
        </w:rPr>
        <w:t>2.</w:t>
      </w:r>
      <w:r w:rsidR="00C92120" w:rsidRPr="00A04CED">
        <w:rPr>
          <w:rFonts w:ascii="Times New Roman" w:hAnsi="Times New Roman" w:cs="Times New Roman"/>
          <w:sz w:val="24"/>
          <w:szCs w:val="24"/>
        </w:rPr>
        <w:t xml:space="preserve"> informacj</w:t>
      </w:r>
      <w:r w:rsidR="00EE093C" w:rsidRPr="00A04CED">
        <w:rPr>
          <w:rFonts w:ascii="Times New Roman" w:hAnsi="Times New Roman" w:cs="Times New Roman"/>
          <w:sz w:val="24"/>
          <w:szCs w:val="24"/>
        </w:rPr>
        <w:t>e</w:t>
      </w:r>
      <w:r w:rsidR="00C92120" w:rsidRPr="00A04CED">
        <w:rPr>
          <w:rFonts w:ascii="Times New Roman" w:hAnsi="Times New Roman" w:cs="Times New Roman"/>
          <w:sz w:val="24"/>
          <w:szCs w:val="24"/>
        </w:rPr>
        <w:t xml:space="preserve"> niejawn</w:t>
      </w:r>
      <w:r w:rsidR="00EE093C" w:rsidRPr="00A04CED">
        <w:rPr>
          <w:rFonts w:ascii="Times New Roman" w:hAnsi="Times New Roman" w:cs="Times New Roman"/>
          <w:sz w:val="24"/>
          <w:szCs w:val="24"/>
        </w:rPr>
        <w:t xml:space="preserve">e oraz 3. </w:t>
      </w:r>
      <w:r w:rsidR="000B408F" w:rsidRPr="00A04CED">
        <w:rPr>
          <w:rFonts w:ascii="Times New Roman" w:hAnsi="Times New Roman" w:cs="Times New Roman"/>
          <w:sz w:val="24"/>
          <w:szCs w:val="24"/>
        </w:rPr>
        <w:t>i</w:t>
      </w:r>
      <w:r w:rsidR="00EE093C" w:rsidRPr="00A04CED">
        <w:rPr>
          <w:rFonts w:ascii="Times New Roman" w:hAnsi="Times New Roman" w:cs="Times New Roman"/>
          <w:sz w:val="24"/>
          <w:szCs w:val="24"/>
        </w:rPr>
        <w:t>nne informacje</w:t>
      </w:r>
      <w:r w:rsidR="00C92120" w:rsidRPr="00A04CED">
        <w:rPr>
          <w:rFonts w:ascii="Times New Roman" w:hAnsi="Times New Roman" w:cs="Times New Roman"/>
          <w:sz w:val="24"/>
          <w:szCs w:val="24"/>
        </w:rPr>
        <w:t xml:space="preserve">, które powinny być traktowane jako poufne ze względów niezwiązanych ze szkodą </w:t>
      </w:r>
      <w:r w:rsidR="00EE093C" w:rsidRPr="00A04CED">
        <w:rPr>
          <w:rFonts w:ascii="Times New Roman" w:hAnsi="Times New Roman" w:cs="Times New Roman"/>
          <w:sz w:val="24"/>
          <w:szCs w:val="24"/>
        </w:rPr>
        <w:t>dla sytuacji rynkowej</w:t>
      </w:r>
      <w:r w:rsidR="00C92120" w:rsidRPr="00A04CED">
        <w:rPr>
          <w:rFonts w:ascii="Times New Roman" w:hAnsi="Times New Roman" w:cs="Times New Roman"/>
          <w:sz w:val="24"/>
          <w:szCs w:val="24"/>
        </w:rPr>
        <w:t xml:space="preserve">, tajemnicą przedsiębiorstwa lub niejawnym charakterem. </w:t>
      </w:r>
      <w:r w:rsidR="000B408F" w:rsidRPr="00A04CED">
        <w:rPr>
          <w:rFonts w:ascii="Times New Roman" w:hAnsi="Times New Roman" w:cs="Times New Roman"/>
          <w:sz w:val="24"/>
          <w:szCs w:val="24"/>
        </w:rPr>
        <w:t xml:space="preserve">Chodzi tu w szczególności o informacje, które powinny być </w:t>
      </w:r>
      <w:r w:rsidR="000B408F" w:rsidRPr="00A04CED">
        <w:rPr>
          <w:rFonts w:ascii="Times New Roman" w:hAnsi="Times New Roman" w:cs="Times New Roman"/>
          <w:sz w:val="24"/>
          <w:szCs w:val="24"/>
        </w:rPr>
        <w:lastRenderedPageBreak/>
        <w:t>chronione przed nieuprawnionym dostępem lub ujawnieniem na mocy obowiązków ustanowionych w innych aktach prawnych Unii Europejskiej lub w prawie krajowym, lub w celu ochrony prywatności lub bezpieczeństwa osoby fizycznej lub bezpieczeństwa osoby prawnej</w:t>
      </w:r>
      <w:r w:rsidR="00C92120" w:rsidRPr="00A04CED">
        <w:rPr>
          <w:rFonts w:ascii="Times New Roman" w:hAnsi="Times New Roman" w:cs="Times New Roman"/>
          <w:sz w:val="24"/>
          <w:szCs w:val="24"/>
        </w:rPr>
        <w:t>.</w:t>
      </w:r>
      <w:r w:rsidR="000B408F" w:rsidRPr="00A04CED">
        <w:rPr>
          <w:rFonts w:ascii="Times New Roman" w:hAnsi="Times New Roman" w:cs="Times New Roman"/>
          <w:sz w:val="24"/>
          <w:szCs w:val="24"/>
        </w:rPr>
        <w:t xml:space="preserve"> </w:t>
      </w:r>
      <w:r w:rsidR="0070757D" w:rsidRPr="00A04CED">
        <w:rPr>
          <w:rFonts w:ascii="Times New Roman" w:hAnsi="Times New Roman" w:cs="Times New Roman"/>
          <w:sz w:val="24"/>
          <w:szCs w:val="24"/>
        </w:rPr>
        <w:t>Warunkiem pominięcia tych</w:t>
      </w:r>
      <w:r w:rsidR="000B408F" w:rsidRPr="00A04CED">
        <w:rPr>
          <w:rFonts w:ascii="Times New Roman" w:hAnsi="Times New Roman" w:cs="Times New Roman"/>
          <w:sz w:val="24"/>
          <w:szCs w:val="24"/>
        </w:rPr>
        <w:t xml:space="preserve"> informacj</w:t>
      </w:r>
      <w:r w:rsidR="0070757D" w:rsidRPr="00A04CED">
        <w:rPr>
          <w:rFonts w:ascii="Times New Roman" w:hAnsi="Times New Roman" w:cs="Times New Roman"/>
          <w:sz w:val="24"/>
          <w:szCs w:val="24"/>
        </w:rPr>
        <w:t>i jest poinformowanie o tym fakcie oraz dokonanie oceny na dzień bilansowy</w:t>
      </w:r>
      <w:r w:rsidR="00386FD5">
        <w:rPr>
          <w:rFonts w:ascii="Times New Roman" w:hAnsi="Times New Roman" w:cs="Times New Roman"/>
          <w:sz w:val="24"/>
          <w:szCs w:val="24"/>
        </w:rPr>
        <w:t>,</w:t>
      </w:r>
      <w:r w:rsidR="0070757D" w:rsidRPr="00A04CED">
        <w:rPr>
          <w:rFonts w:ascii="Times New Roman" w:hAnsi="Times New Roman" w:cs="Times New Roman"/>
          <w:sz w:val="24"/>
          <w:szCs w:val="24"/>
        </w:rPr>
        <w:t xml:space="preserve"> czy informacje ten nadal mogą być pomijane.</w:t>
      </w:r>
    </w:p>
    <w:p w14:paraId="2C324456" w14:textId="63C6F2F5" w:rsidR="00C154A3" w:rsidRPr="00A04CED" w:rsidRDefault="005204EE"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W związku z zawężeniem</w:t>
      </w:r>
      <w:r w:rsidR="00451FEF" w:rsidRPr="00A04CED">
        <w:rPr>
          <w:rFonts w:ascii="Times New Roman" w:hAnsi="Times New Roman" w:cs="Times New Roman"/>
          <w:sz w:val="24"/>
          <w:szCs w:val="24"/>
        </w:rPr>
        <w:t xml:space="preserve"> zakresu jednostek zobowiązanych do sporządzania sprawozdawczości zrównoważonego rozwoju</w:t>
      </w:r>
      <w:r w:rsidRPr="00A04CED">
        <w:rPr>
          <w:rFonts w:ascii="Times New Roman" w:hAnsi="Times New Roman" w:cs="Times New Roman"/>
          <w:sz w:val="24"/>
          <w:szCs w:val="24"/>
        </w:rPr>
        <w:t xml:space="preserve">, w tym wyłączeniem z niego małych i </w:t>
      </w:r>
      <w:r w:rsidR="00990616" w:rsidRPr="00A04CED">
        <w:rPr>
          <w:rFonts w:ascii="Times New Roman" w:hAnsi="Times New Roman" w:cs="Times New Roman"/>
          <w:sz w:val="24"/>
          <w:szCs w:val="24"/>
        </w:rPr>
        <w:t xml:space="preserve">średnich emitentów z rynku regulowanego, oraz </w:t>
      </w:r>
      <w:r w:rsidR="00E060E6" w:rsidRPr="00A04CED">
        <w:rPr>
          <w:rFonts w:ascii="Times New Roman" w:hAnsi="Times New Roman" w:cs="Times New Roman"/>
          <w:sz w:val="24"/>
          <w:szCs w:val="24"/>
        </w:rPr>
        <w:t>uchyleniem uprawnienia dla KE do wydania standardów sprawozdawczości zrównoważonego rozwoju dla małych i średnich jednostek,</w:t>
      </w:r>
      <w:r w:rsidR="00451FEF" w:rsidRPr="00A04CED">
        <w:rPr>
          <w:rFonts w:ascii="Times New Roman" w:hAnsi="Times New Roman" w:cs="Times New Roman"/>
          <w:sz w:val="24"/>
          <w:szCs w:val="24"/>
        </w:rPr>
        <w:t xml:space="preserve"> </w:t>
      </w:r>
      <w:r w:rsidR="00C154A3" w:rsidRPr="00A04CED">
        <w:rPr>
          <w:rFonts w:ascii="Times New Roman" w:hAnsi="Times New Roman" w:cs="Times New Roman"/>
          <w:b/>
          <w:bCs/>
          <w:sz w:val="24"/>
          <w:szCs w:val="24"/>
        </w:rPr>
        <w:t>uchyla się art. 63s</w:t>
      </w:r>
      <w:r w:rsidR="00451FEF" w:rsidRPr="00A04CED">
        <w:rPr>
          <w:rFonts w:ascii="Times New Roman" w:hAnsi="Times New Roman" w:cs="Times New Roman"/>
          <w:sz w:val="24"/>
          <w:szCs w:val="24"/>
        </w:rPr>
        <w:t xml:space="preserve">, który </w:t>
      </w:r>
      <w:r w:rsidR="00EF42FE" w:rsidRPr="00A04CED">
        <w:rPr>
          <w:rFonts w:ascii="Times New Roman" w:hAnsi="Times New Roman" w:cs="Times New Roman"/>
          <w:sz w:val="24"/>
          <w:szCs w:val="24"/>
        </w:rPr>
        <w:t xml:space="preserve">regulował </w:t>
      </w:r>
      <w:r w:rsidR="00451FEF" w:rsidRPr="00A04CED">
        <w:rPr>
          <w:rFonts w:ascii="Times New Roman" w:hAnsi="Times New Roman" w:cs="Times New Roman"/>
          <w:sz w:val="24"/>
          <w:szCs w:val="24"/>
        </w:rPr>
        <w:t>uproszczon</w:t>
      </w:r>
      <w:r w:rsidR="00EF42FE" w:rsidRPr="00A04CED">
        <w:rPr>
          <w:rFonts w:ascii="Times New Roman" w:hAnsi="Times New Roman" w:cs="Times New Roman"/>
          <w:sz w:val="24"/>
          <w:szCs w:val="24"/>
        </w:rPr>
        <w:t>ą</w:t>
      </w:r>
      <w:r w:rsidR="00451FEF" w:rsidRPr="00A04CED">
        <w:rPr>
          <w:rFonts w:ascii="Times New Roman" w:hAnsi="Times New Roman" w:cs="Times New Roman"/>
          <w:sz w:val="24"/>
          <w:szCs w:val="24"/>
        </w:rPr>
        <w:t xml:space="preserve"> sprawozdawczoś</w:t>
      </w:r>
      <w:r w:rsidR="00EF42FE" w:rsidRPr="00A04CED">
        <w:rPr>
          <w:rFonts w:ascii="Times New Roman" w:hAnsi="Times New Roman" w:cs="Times New Roman"/>
          <w:sz w:val="24"/>
          <w:szCs w:val="24"/>
        </w:rPr>
        <w:t>ć</w:t>
      </w:r>
      <w:r w:rsidR="00451FEF" w:rsidRPr="00A04CED">
        <w:rPr>
          <w:rFonts w:ascii="Times New Roman" w:hAnsi="Times New Roman" w:cs="Times New Roman"/>
          <w:sz w:val="24"/>
          <w:szCs w:val="24"/>
        </w:rPr>
        <w:t xml:space="preserve"> zrównoważonego rozwoju</w:t>
      </w:r>
      <w:r w:rsidR="00316397" w:rsidRPr="00A04CED">
        <w:rPr>
          <w:rFonts w:ascii="Times New Roman" w:hAnsi="Times New Roman" w:cs="Times New Roman"/>
          <w:sz w:val="24"/>
          <w:szCs w:val="24"/>
        </w:rPr>
        <w:t xml:space="preserve"> przeznaczoną dla małych i średnich emitentów, małych i niezłożonych instytucji oraz wewnętrznych zakładów ubezpieczeń i reasekuracji</w:t>
      </w:r>
      <w:r w:rsidR="00451FEF" w:rsidRPr="00A04CED">
        <w:rPr>
          <w:rFonts w:ascii="Times New Roman" w:hAnsi="Times New Roman" w:cs="Times New Roman"/>
          <w:sz w:val="24"/>
          <w:szCs w:val="24"/>
        </w:rPr>
        <w:t xml:space="preserve">. </w:t>
      </w:r>
    </w:p>
    <w:p w14:paraId="1F745EA7" w14:textId="5463093E" w:rsidR="00C154A3" w:rsidRPr="00A04CED" w:rsidRDefault="00934FDC"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Na mocy art. 19a ust. 9 i art. 29a ust. 8 dyrektywy 2013/34/UE (i wdrażających je do prawa krajowego art. 63u, art. 63v, art. 63z i art. 63za ustawy o rachunkowości) jednostki podlegające obowiązkowi raportowania ESG mają możliwość skorzystania ze zwolnienia ze sporządzenia odpowiednio sprawozdawczości zrównoważonego rozwoju i sprawozdawczości zrównoważonego rozwoju grupy kapitałowej, jeżeli one i ich jednostki zależne zostaną objęte sprawozdawczością na poziomie grupy przez ich jednostkę dominującą lub jednostkę dominującą wyższego szczebla. Z możliwości tej wyłączone są obecnie jednostki duże będące emitentami z rynku regulowanego (na mocy art. 19a ust. 10 i art. 29a ust. 9 dyrektywy 2013/34/UE wdrożonych</w:t>
      </w:r>
      <w:r w:rsidR="00435E29" w:rsidRPr="00A04CED">
        <w:rPr>
          <w:rFonts w:ascii="Times New Roman" w:hAnsi="Times New Roman" w:cs="Times New Roman"/>
          <w:sz w:val="24"/>
          <w:szCs w:val="24"/>
        </w:rPr>
        <w:t xml:space="preserve"> w</w:t>
      </w:r>
      <w:r w:rsidRPr="00A04CED">
        <w:rPr>
          <w:rFonts w:ascii="Times New Roman" w:hAnsi="Times New Roman" w:cs="Times New Roman"/>
          <w:sz w:val="24"/>
          <w:szCs w:val="24"/>
        </w:rPr>
        <w:t xml:space="preserve"> art. 63w ust. 1 i art. 63zb ust. 1 ustawy o rachunkowości).</w:t>
      </w:r>
      <w:r w:rsidR="00E060E6" w:rsidRPr="00A04CED">
        <w:rPr>
          <w:rFonts w:ascii="Times New Roman" w:hAnsi="Times New Roman" w:cs="Times New Roman"/>
          <w:sz w:val="24"/>
          <w:szCs w:val="24"/>
        </w:rPr>
        <w:t xml:space="preserve"> </w:t>
      </w:r>
      <w:r w:rsidR="002927BC" w:rsidRPr="00A04CED">
        <w:rPr>
          <w:rFonts w:ascii="Times New Roman" w:hAnsi="Times New Roman" w:cs="Times New Roman"/>
          <w:sz w:val="24"/>
          <w:szCs w:val="24"/>
        </w:rPr>
        <w:t>Art. 2 pkt 4 lit. d oraz pkt 5 lit. e dyrektywy 2025/470</w:t>
      </w:r>
      <w:r w:rsidRPr="00A04CED">
        <w:rPr>
          <w:rFonts w:ascii="Times New Roman" w:hAnsi="Times New Roman" w:cs="Times New Roman"/>
          <w:sz w:val="24"/>
          <w:szCs w:val="24"/>
        </w:rPr>
        <w:t xml:space="preserve"> (wprowadzające zmiany do art. 19a ust. 10 oraz art. 29a ust. 9 dyrektywy 2013/34/UE)</w:t>
      </w:r>
      <w:r w:rsidR="002927BC" w:rsidRPr="00A04CED">
        <w:rPr>
          <w:rFonts w:ascii="Times New Roman" w:hAnsi="Times New Roman" w:cs="Times New Roman"/>
          <w:sz w:val="24"/>
          <w:szCs w:val="24"/>
        </w:rPr>
        <w:t xml:space="preserve"> usuwają </w:t>
      </w:r>
      <w:r w:rsidRPr="00A04CED">
        <w:rPr>
          <w:rFonts w:ascii="Times New Roman" w:hAnsi="Times New Roman" w:cs="Times New Roman"/>
          <w:sz w:val="24"/>
          <w:szCs w:val="24"/>
        </w:rPr>
        <w:t xml:space="preserve">ten </w:t>
      </w:r>
      <w:r w:rsidR="00E060E6" w:rsidRPr="00A04CED">
        <w:rPr>
          <w:rFonts w:ascii="Times New Roman" w:hAnsi="Times New Roman" w:cs="Times New Roman"/>
          <w:sz w:val="24"/>
          <w:szCs w:val="24"/>
        </w:rPr>
        <w:t xml:space="preserve">dotychczasowy </w:t>
      </w:r>
      <w:r w:rsidR="002927BC" w:rsidRPr="00A04CED">
        <w:rPr>
          <w:rFonts w:ascii="Times New Roman" w:hAnsi="Times New Roman" w:cs="Times New Roman"/>
          <w:sz w:val="24"/>
          <w:szCs w:val="24"/>
        </w:rPr>
        <w:t>wyjątek</w:t>
      </w:r>
      <w:r w:rsidRPr="00A04CED">
        <w:rPr>
          <w:rFonts w:ascii="Times New Roman" w:hAnsi="Times New Roman" w:cs="Times New Roman"/>
          <w:sz w:val="24"/>
          <w:szCs w:val="24"/>
        </w:rPr>
        <w:t xml:space="preserve"> wyłączający dużych emitentów z ww. możliwości niesporządzania sprawozdawczości ESG.</w:t>
      </w:r>
      <w:r w:rsidR="002927BC" w:rsidRPr="00A04CED">
        <w:rPr>
          <w:rFonts w:ascii="Times New Roman" w:hAnsi="Times New Roman" w:cs="Times New Roman"/>
          <w:sz w:val="24"/>
          <w:szCs w:val="24"/>
        </w:rPr>
        <w:t xml:space="preserve"> Z tego powodu </w:t>
      </w:r>
      <w:r w:rsidR="00693F4D" w:rsidRPr="00A04CED">
        <w:rPr>
          <w:rFonts w:ascii="Times New Roman" w:hAnsi="Times New Roman" w:cs="Times New Roman"/>
          <w:sz w:val="24"/>
          <w:szCs w:val="24"/>
        </w:rPr>
        <w:t xml:space="preserve">należy </w:t>
      </w:r>
      <w:r w:rsidR="00C154A3" w:rsidRPr="00A04CED">
        <w:rPr>
          <w:rFonts w:ascii="Times New Roman" w:hAnsi="Times New Roman" w:cs="Times New Roman"/>
          <w:b/>
          <w:bCs/>
          <w:sz w:val="24"/>
          <w:szCs w:val="24"/>
        </w:rPr>
        <w:t>uchyl</w:t>
      </w:r>
      <w:r w:rsidR="00693F4D" w:rsidRPr="00A04CED">
        <w:rPr>
          <w:rFonts w:ascii="Times New Roman" w:hAnsi="Times New Roman" w:cs="Times New Roman"/>
          <w:b/>
          <w:bCs/>
          <w:sz w:val="24"/>
          <w:szCs w:val="24"/>
        </w:rPr>
        <w:t>ić</w:t>
      </w:r>
      <w:r w:rsidR="00C154A3" w:rsidRPr="00A04CED">
        <w:rPr>
          <w:rFonts w:ascii="Times New Roman" w:hAnsi="Times New Roman" w:cs="Times New Roman"/>
          <w:b/>
          <w:bCs/>
          <w:sz w:val="24"/>
          <w:szCs w:val="24"/>
        </w:rPr>
        <w:t xml:space="preserve"> art. 63w ust. 1</w:t>
      </w:r>
      <w:r w:rsidR="002927BC" w:rsidRPr="00A04CED">
        <w:rPr>
          <w:rFonts w:ascii="Times New Roman" w:hAnsi="Times New Roman" w:cs="Times New Roman"/>
          <w:sz w:val="24"/>
          <w:szCs w:val="24"/>
        </w:rPr>
        <w:t xml:space="preserve"> oraz </w:t>
      </w:r>
      <w:r w:rsidR="002927BC" w:rsidRPr="00A04CED">
        <w:rPr>
          <w:rFonts w:ascii="Times New Roman" w:hAnsi="Times New Roman" w:cs="Times New Roman"/>
          <w:b/>
          <w:bCs/>
          <w:sz w:val="24"/>
          <w:szCs w:val="24"/>
        </w:rPr>
        <w:t>art. 63zb ust. 1</w:t>
      </w:r>
      <w:r w:rsidRPr="00A04CED">
        <w:rPr>
          <w:rFonts w:ascii="Times New Roman" w:hAnsi="Times New Roman" w:cs="Times New Roman"/>
          <w:sz w:val="24"/>
          <w:szCs w:val="24"/>
        </w:rPr>
        <w:t xml:space="preserve"> ustawy o rachunkowości</w:t>
      </w:r>
      <w:r w:rsidR="002927BC" w:rsidRPr="00A04CED">
        <w:rPr>
          <w:rFonts w:ascii="Times New Roman" w:hAnsi="Times New Roman" w:cs="Times New Roman"/>
          <w:sz w:val="24"/>
          <w:szCs w:val="24"/>
        </w:rPr>
        <w:t>.</w:t>
      </w:r>
    </w:p>
    <w:p w14:paraId="4EC0DA0F" w14:textId="1C655AE6" w:rsidR="00934FDC" w:rsidRPr="00A04CED" w:rsidRDefault="00934FDC" w:rsidP="009958B1">
      <w:pPr>
        <w:spacing w:before="120" w:after="0" w:line="360" w:lineRule="auto"/>
        <w:jc w:val="both"/>
        <w:rPr>
          <w:rFonts w:ascii="Times New Roman" w:hAnsi="Times New Roman" w:cs="Times New Roman"/>
          <w:b/>
          <w:bCs/>
          <w:sz w:val="24"/>
          <w:szCs w:val="24"/>
        </w:rPr>
      </w:pPr>
      <w:r w:rsidRPr="00A04CED">
        <w:rPr>
          <w:rFonts w:ascii="Times New Roman" w:hAnsi="Times New Roman" w:cs="Times New Roman"/>
          <w:b/>
          <w:bCs/>
          <w:sz w:val="24"/>
          <w:szCs w:val="24"/>
        </w:rPr>
        <w:t>W a</w:t>
      </w:r>
      <w:r w:rsidR="00C154A3" w:rsidRPr="00A04CED">
        <w:rPr>
          <w:rFonts w:ascii="Times New Roman" w:hAnsi="Times New Roman" w:cs="Times New Roman"/>
          <w:b/>
          <w:bCs/>
          <w:sz w:val="24"/>
          <w:szCs w:val="24"/>
        </w:rPr>
        <w:t>rt. 63x</w:t>
      </w:r>
      <w:r w:rsidRPr="00A04CED">
        <w:rPr>
          <w:rFonts w:ascii="Times New Roman" w:hAnsi="Times New Roman" w:cs="Times New Roman"/>
          <w:b/>
          <w:bCs/>
          <w:sz w:val="24"/>
          <w:szCs w:val="24"/>
        </w:rPr>
        <w:t>:</w:t>
      </w:r>
    </w:p>
    <w:p w14:paraId="487CF464" w14:textId="40C15898" w:rsidR="007A27CB" w:rsidRPr="009958B1" w:rsidRDefault="00934FDC" w:rsidP="009958B1">
      <w:pPr>
        <w:pStyle w:val="Akapitzlist"/>
        <w:numPr>
          <w:ilvl w:val="0"/>
          <w:numId w:val="1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w ust. 1</w:t>
      </w:r>
      <w:r w:rsidRPr="00A04CED">
        <w:rPr>
          <w:rFonts w:ascii="Times New Roman" w:hAnsi="Times New Roman" w:cs="Times New Roman"/>
          <w:sz w:val="24"/>
          <w:szCs w:val="24"/>
        </w:rPr>
        <w:t xml:space="preserve"> (w ślad </w:t>
      </w:r>
      <w:r w:rsidRPr="00A04CED">
        <w:rPr>
          <w:rFonts w:ascii="Times New Roman" w:eastAsia="Times New Roman" w:hAnsi="Times New Roman" w:cs="Times New Roman"/>
          <w:sz w:val="24"/>
          <w:szCs w:val="24"/>
        </w:rPr>
        <w:t xml:space="preserve">za art. 29a ust. 1 akapit pierwszy </w:t>
      </w:r>
      <w:r w:rsidRPr="00A04CED">
        <w:rPr>
          <w:rFonts w:ascii="Times New Roman" w:hAnsi="Times New Roman" w:cs="Times New Roman"/>
          <w:sz w:val="24"/>
          <w:szCs w:val="24"/>
        </w:rPr>
        <w:t>dyrektywy 2013/34/UE w brzmieniu nadanym dyrektywą 2026/470)</w:t>
      </w:r>
      <w:r w:rsidR="00B012D0" w:rsidRPr="00A04CED">
        <w:rPr>
          <w:rFonts w:ascii="Times New Roman" w:hAnsi="Times New Roman" w:cs="Times New Roman"/>
          <w:sz w:val="24"/>
          <w:szCs w:val="24"/>
        </w:rPr>
        <w:t xml:space="preserve"> zmienia</w:t>
      </w:r>
      <w:r w:rsidRPr="00A04CED">
        <w:rPr>
          <w:rFonts w:ascii="Times New Roman" w:hAnsi="Times New Roman" w:cs="Times New Roman"/>
          <w:sz w:val="24"/>
          <w:szCs w:val="24"/>
        </w:rPr>
        <w:t xml:space="preserve"> się</w:t>
      </w:r>
      <w:r w:rsidR="00B012D0" w:rsidRPr="00A04CED">
        <w:rPr>
          <w:rFonts w:ascii="Times New Roman" w:hAnsi="Times New Roman" w:cs="Times New Roman"/>
          <w:sz w:val="24"/>
          <w:szCs w:val="24"/>
        </w:rPr>
        <w:t xml:space="preserve"> zakres jednostek zobowiązanych do sporządzania sprawozdawczości zrównoważonego rozwoju</w:t>
      </w:r>
      <w:r w:rsidRPr="00A04CED">
        <w:rPr>
          <w:rFonts w:ascii="Times New Roman" w:hAnsi="Times New Roman" w:cs="Times New Roman"/>
          <w:sz w:val="24"/>
          <w:szCs w:val="24"/>
        </w:rPr>
        <w:t xml:space="preserve"> grupy kapitałowej</w:t>
      </w:r>
      <w:r w:rsidR="007A27CB" w:rsidRPr="00A04CED">
        <w:rPr>
          <w:rFonts w:ascii="Times New Roman" w:hAnsi="Times New Roman" w:cs="Times New Roman"/>
          <w:sz w:val="24"/>
          <w:szCs w:val="24"/>
        </w:rPr>
        <w:t xml:space="preserve"> </w:t>
      </w:r>
      <w:r w:rsidR="004D07AC">
        <w:rPr>
          <w:rFonts w:ascii="Times New Roman" w:hAnsi="Times New Roman" w:cs="Times New Roman"/>
          <w:sz w:val="24"/>
          <w:szCs w:val="24"/>
        </w:rPr>
        <w:t>–</w:t>
      </w:r>
      <w:r w:rsidR="00B012D0" w:rsidRPr="00A04CED">
        <w:rPr>
          <w:rFonts w:ascii="Times New Roman" w:hAnsi="Times New Roman" w:cs="Times New Roman"/>
          <w:sz w:val="24"/>
          <w:szCs w:val="24"/>
        </w:rPr>
        <w:t xml:space="preserve"> </w:t>
      </w:r>
      <w:r w:rsidR="00B012D0" w:rsidRPr="009958B1">
        <w:rPr>
          <w:rFonts w:ascii="Times New Roman" w:hAnsi="Times New Roman" w:cs="Times New Roman"/>
          <w:sz w:val="24"/>
          <w:szCs w:val="24"/>
        </w:rPr>
        <w:t>do jednostek dominujących grupy kapitałowej, w których na poziomie grupy</w:t>
      </w:r>
      <w:r w:rsidR="007A27CB" w:rsidRPr="009958B1">
        <w:rPr>
          <w:rFonts w:ascii="Times New Roman" w:hAnsi="Times New Roman" w:cs="Times New Roman"/>
          <w:sz w:val="24"/>
          <w:szCs w:val="24"/>
        </w:rPr>
        <w:t xml:space="preserve"> kapitałowej</w:t>
      </w:r>
      <w:r w:rsidR="00B012D0" w:rsidRPr="009958B1">
        <w:rPr>
          <w:rFonts w:ascii="Times New Roman" w:hAnsi="Times New Roman" w:cs="Times New Roman"/>
          <w:sz w:val="24"/>
          <w:szCs w:val="24"/>
        </w:rPr>
        <w:t xml:space="preserve"> zatrudnienie przekracza 1000 pracowników</w:t>
      </w:r>
      <w:r w:rsidR="007A27CB" w:rsidRPr="009958B1">
        <w:rPr>
          <w:rFonts w:ascii="Times New Roman" w:hAnsi="Times New Roman" w:cs="Times New Roman"/>
          <w:sz w:val="24"/>
          <w:szCs w:val="24"/>
        </w:rPr>
        <w:t>, a</w:t>
      </w:r>
      <w:r w:rsidR="00B012D0" w:rsidRPr="009958B1">
        <w:rPr>
          <w:rFonts w:ascii="Times New Roman" w:hAnsi="Times New Roman" w:cs="Times New Roman"/>
          <w:sz w:val="24"/>
          <w:szCs w:val="24"/>
        </w:rPr>
        <w:t xml:space="preserve"> przychody netto ze sprzedaży </w:t>
      </w:r>
      <w:r w:rsidR="007A27CB" w:rsidRPr="009958B1">
        <w:rPr>
          <w:rFonts w:ascii="Times New Roman" w:hAnsi="Times New Roman" w:cs="Times New Roman"/>
          <w:sz w:val="24"/>
          <w:szCs w:val="24"/>
        </w:rPr>
        <w:t xml:space="preserve">towarów i produktów </w:t>
      </w:r>
      <w:r w:rsidR="00B012D0" w:rsidRPr="009958B1">
        <w:rPr>
          <w:rFonts w:ascii="Times New Roman" w:hAnsi="Times New Roman" w:cs="Times New Roman"/>
          <w:sz w:val="24"/>
          <w:szCs w:val="24"/>
        </w:rPr>
        <w:t xml:space="preserve">przekraczają 1 900 000 000 zł </w:t>
      </w:r>
      <w:r w:rsidR="007A27CB" w:rsidRPr="009958B1">
        <w:rPr>
          <w:rFonts w:ascii="Times New Roman" w:hAnsi="Times New Roman" w:cs="Times New Roman"/>
          <w:sz w:val="24"/>
          <w:szCs w:val="24"/>
        </w:rPr>
        <w:t>(po dokonaniu wyłączeń konsolidacyjnych) i 2 280 000 000 zł (przed dokonaniem wyłączeń konsolidacyjnych)</w:t>
      </w:r>
      <w:r w:rsidR="00B012D0" w:rsidRPr="009958B1">
        <w:rPr>
          <w:rFonts w:ascii="Times New Roman" w:hAnsi="Times New Roman" w:cs="Times New Roman"/>
          <w:sz w:val="24"/>
          <w:szCs w:val="24"/>
        </w:rPr>
        <w:t>.</w:t>
      </w:r>
      <w:r w:rsidR="007A27CB" w:rsidRPr="009958B1">
        <w:rPr>
          <w:rFonts w:ascii="Times New Roman" w:hAnsi="Times New Roman" w:cs="Times New Roman"/>
          <w:sz w:val="24"/>
          <w:szCs w:val="24"/>
        </w:rPr>
        <w:t xml:space="preserve"> Kwota 1 900 000 000 </w:t>
      </w:r>
      <w:r w:rsidR="007A27CB" w:rsidRPr="009958B1">
        <w:rPr>
          <w:rFonts w:ascii="Times New Roman" w:hAnsi="Times New Roman" w:cs="Times New Roman"/>
          <w:sz w:val="24"/>
          <w:szCs w:val="24"/>
        </w:rPr>
        <w:lastRenderedPageBreak/>
        <w:t xml:space="preserve">zł odpowiada wskazanej w dyrektywie 2026/470 kwocie 450 000 000 euro i została uzyskana poprzez przeliczenie kwoty euro na walutę polską według oficjalnego kursu euro do </w:t>
      </w:r>
      <w:r w:rsidR="00F22028" w:rsidRPr="009958B1">
        <w:rPr>
          <w:rFonts w:ascii="Times New Roman" w:hAnsi="Times New Roman" w:cs="Times New Roman"/>
          <w:sz w:val="24"/>
          <w:szCs w:val="24"/>
        </w:rPr>
        <w:t>zł</w:t>
      </w:r>
      <w:r w:rsidR="007A27CB" w:rsidRPr="009958B1">
        <w:rPr>
          <w:rFonts w:ascii="Times New Roman" w:hAnsi="Times New Roman" w:cs="Times New Roman"/>
          <w:sz w:val="24"/>
          <w:szCs w:val="24"/>
        </w:rPr>
        <w:t xml:space="preserve"> opublikowanego w Dzienniku Urzędowym UE C z dnia wejścia w życie ww. dyrektywy (tj. 18 marca 2026 r.) i zaokrągl</w:t>
      </w:r>
      <w:r w:rsidR="00F22028" w:rsidRPr="009958B1">
        <w:rPr>
          <w:rFonts w:ascii="Times New Roman" w:hAnsi="Times New Roman" w:cs="Times New Roman"/>
          <w:sz w:val="24"/>
          <w:szCs w:val="24"/>
        </w:rPr>
        <w:t>enie</w:t>
      </w:r>
      <w:r w:rsidR="007A27CB" w:rsidRPr="009958B1">
        <w:rPr>
          <w:rFonts w:ascii="Times New Roman" w:hAnsi="Times New Roman" w:cs="Times New Roman"/>
          <w:sz w:val="24"/>
          <w:szCs w:val="24"/>
        </w:rPr>
        <w:t xml:space="preserve"> w dół w ramach 5-procentowego limitu zgodnie z zasadą przyjętą w art. 3 ust. 9 dyrektywy 2013/34/UE. Natomiast kwota 2 280 000 000 zł wynika z podwyższenia kwoty 1 900 000 000 zł o 20% zgodnie z zasadą określoną w art. 3 ust. 8 dyrektywy 2013/34/UE.</w:t>
      </w:r>
      <w:r w:rsidR="00B012D0" w:rsidRPr="009958B1">
        <w:rPr>
          <w:rFonts w:ascii="Times New Roman" w:hAnsi="Times New Roman" w:cs="Times New Roman"/>
          <w:sz w:val="24"/>
          <w:szCs w:val="24"/>
        </w:rPr>
        <w:t xml:space="preserve"> </w:t>
      </w:r>
      <w:r w:rsidR="007A27CB" w:rsidRPr="009958B1">
        <w:rPr>
          <w:rFonts w:ascii="Times New Roman" w:hAnsi="Times New Roman" w:cs="Times New Roman"/>
          <w:sz w:val="24"/>
          <w:szCs w:val="24"/>
        </w:rPr>
        <w:t>Aby wejść w obowiązek sprawozdawczy</w:t>
      </w:r>
      <w:r w:rsidR="004D07AC">
        <w:rPr>
          <w:rFonts w:ascii="Times New Roman" w:hAnsi="Times New Roman" w:cs="Times New Roman"/>
          <w:sz w:val="24"/>
          <w:szCs w:val="24"/>
        </w:rPr>
        <w:t>,</w:t>
      </w:r>
      <w:r w:rsidR="007A27CB" w:rsidRPr="009958B1">
        <w:rPr>
          <w:rFonts w:ascii="Times New Roman" w:hAnsi="Times New Roman" w:cs="Times New Roman"/>
          <w:sz w:val="24"/>
          <w:szCs w:val="24"/>
        </w:rPr>
        <w:t xml:space="preserve"> konieczne jest, </w:t>
      </w:r>
      <w:r w:rsidR="004D07AC">
        <w:rPr>
          <w:rFonts w:ascii="Times New Roman" w:hAnsi="Times New Roman" w:cs="Times New Roman"/>
          <w:sz w:val="24"/>
          <w:szCs w:val="24"/>
        </w:rPr>
        <w:t>a</w:t>
      </w:r>
      <w:r w:rsidR="007A27CB" w:rsidRPr="009958B1">
        <w:rPr>
          <w:rFonts w:ascii="Times New Roman" w:hAnsi="Times New Roman" w:cs="Times New Roman"/>
          <w:sz w:val="24"/>
          <w:szCs w:val="24"/>
        </w:rPr>
        <w:t xml:space="preserve">by jednostka przekraczała oba progi przez </w:t>
      </w:r>
      <w:r w:rsidR="007A27CB" w:rsidRPr="009958B1">
        <w:rPr>
          <w:rFonts w:ascii="Times New Roman" w:hAnsi="Times New Roman" w:cs="Times New Roman"/>
          <w:sz w:val="24"/>
          <w:szCs w:val="24"/>
          <w:u w:val="single"/>
        </w:rPr>
        <w:t>dwa lata obrotowe</w:t>
      </w:r>
      <w:r w:rsidR="007A27CB" w:rsidRPr="009958B1">
        <w:rPr>
          <w:rFonts w:ascii="Times New Roman" w:hAnsi="Times New Roman" w:cs="Times New Roman"/>
          <w:sz w:val="24"/>
          <w:szCs w:val="24"/>
        </w:rPr>
        <w:t xml:space="preserve"> (rok obrotowy i poprzedzający rok obrotowy). Rozwiązanie to jest kontynuacją dotychczasowej zasady (dwa lata na wejście w dany obowiązek sprawozdawczy), która wynikała bezpośrednio z definicji </w:t>
      </w:r>
      <w:r w:rsidR="001F21A9" w:rsidRPr="009958B1">
        <w:rPr>
          <w:rFonts w:ascii="Times New Roman" w:hAnsi="Times New Roman" w:cs="Times New Roman"/>
          <w:sz w:val="24"/>
          <w:szCs w:val="24"/>
        </w:rPr>
        <w:t>dużej grupy</w:t>
      </w:r>
      <w:r w:rsidR="007A27CB" w:rsidRPr="009958B1">
        <w:rPr>
          <w:rFonts w:ascii="Times New Roman" w:hAnsi="Times New Roman" w:cs="Times New Roman"/>
          <w:sz w:val="24"/>
          <w:szCs w:val="24"/>
        </w:rPr>
        <w:t xml:space="preserve"> (por. </w:t>
      </w:r>
      <w:r w:rsidR="001F21A9" w:rsidRPr="009958B1">
        <w:rPr>
          <w:rFonts w:ascii="Times New Roman" w:hAnsi="Times New Roman" w:cs="Times New Roman"/>
          <w:sz w:val="24"/>
          <w:szCs w:val="24"/>
        </w:rPr>
        <w:t>art.</w:t>
      </w:r>
      <w:r w:rsidR="007A27CB" w:rsidRPr="009958B1">
        <w:rPr>
          <w:rFonts w:ascii="Times New Roman" w:hAnsi="Times New Roman" w:cs="Times New Roman"/>
          <w:sz w:val="24"/>
          <w:szCs w:val="24"/>
        </w:rPr>
        <w:t xml:space="preserve"> 3 ust. 1 pkt 1</w:t>
      </w:r>
      <w:r w:rsidR="001F21A9" w:rsidRPr="009958B1">
        <w:rPr>
          <w:rFonts w:ascii="Times New Roman" w:hAnsi="Times New Roman" w:cs="Times New Roman"/>
          <w:sz w:val="24"/>
          <w:szCs w:val="24"/>
        </w:rPr>
        <w:t>e</w:t>
      </w:r>
      <w:r w:rsidR="007A27CB" w:rsidRPr="009958B1">
        <w:rPr>
          <w:rFonts w:ascii="Times New Roman" w:hAnsi="Times New Roman" w:cs="Times New Roman"/>
          <w:sz w:val="24"/>
          <w:szCs w:val="24"/>
        </w:rPr>
        <w:t xml:space="preserve"> </w:t>
      </w:r>
      <w:r w:rsidR="004D07AC">
        <w:rPr>
          <w:rFonts w:ascii="Times New Roman" w:hAnsi="Times New Roman" w:cs="Times New Roman"/>
          <w:sz w:val="24"/>
          <w:szCs w:val="24"/>
        </w:rPr>
        <w:t>–</w:t>
      </w:r>
      <w:r w:rsidR="007A27CB" w:rsidRPr="009958B1">
        <w:rPr>
          <w:rFonts w:ascii="Times New Roman" w:hAnsi="Times New Roman" w:cs="Times New Roman"/>
          <w:sz w:val="24"/>
          <w:szCs w:val="24"/>
        </w:rPr>
        <w:t xml:space="preserve"> zapis „która </w:t>
      </w:r>
      <w:r w:rsidR="007A27CB" w:rsidRPr="009958B1">
        <w:rPr>
          <w:rFonts w:ascii="Times New Roman" w:hAnsi="Times New Roman" w:cs="Times New Roman"/>
          <w:sz w:val="24"/>
          <w:szCs w:val="24"/>
          <w:u w:val="single"/>
        </w:rPr>
        <w:t>w roku obrotowym</w:t>
      </w:r>
      <w:r w:rsidR="007A27CB" w:rsidRPr="009958B1">
        <w:rPr>
          <w:rFonts w:ascii="Times New Roman" w:hAnsi="Times New Roman" w:cs="Times New Roman"/>
          <w:sz w:val="24"/>
          <w:szCs w:val="24"/>
        </w:rPr>
        <w:t xml:space="preserve">, za który </w:t>
      </w:r>
      <w:r w:rsidR="001F21A9" w:rsidRPr="009958B1">
        <w:rPr>
          <w:rFonts w:ascii="Times New Roman" w:hAnsi="Times New Roman" w:cs="Times New Roman"/>
          <w:sz w:val="24"/>
          <w:szCs w:val="24"/>
        </w:rPr>
        <w:t xml:space="preserve">jednostka dominująca </w:t>
      </w:r>
      <w:r w:rsidR="007A27CB" w:rsidRPr="009958B1">
        <w:rPr>
          <w:rFonts w:ascii="Times New Roman" w:hAnsi="Times New Roman" w:cs="Times New Roman"/>
          <w:sz w:val="24"/>
          <w:szCs w:val="24"/>
        </w:rPr>
        <w:t>sporządza</w:t>
      </w:r>
      <w:r w:rsidR="001F21A9" w:rsidRPr="009958B1">
        <w:rPr>
          <w:rFonts w:ascii="Times New Roman" w:hAnsi="Times New Roman" w:cs="Times New Roman"/>
          <w:sz w:val="24"/>
          <w:szCs w:val="24"/>
        </w:rPr>
        <w:t xml:space="preserve"> skonsolidowane</w:t>
      </w:r>
      <w:r w:rsidR="007A27CB" w:rsidRPr="009958B1">
        <w:rPr>
          <w:rFonts w:ascii="Times New Roman" w:hAnsi="Times New Roman" w:cs="Times New Roman"/>
          <w:sz w:val="24"/>
          <w:szCs w:val="24"/>
        </w:rPr>
        <w:t xml:space="preserve"> sprawozdanie finansowe, </w:t>
      </w:r>
      <w:r w:rsidR="007A27CB" w:rsidRPr="009958B1">
        <w:rPr>
          <w:rFonts w:ascii="Times New Roman" w:hAnsi="Times New Roman" w:cs="Times New Roman"/>
          <w:sz w:val="24"/>
          <w:szCs w:val="24"/>
          <w:u w:val="single"/>
        </w:rPr>
        <w:t>oraz w roku poprzedzającym ten rok obrotowy przekroczyła …”).</w:t>
      </w:r>
      <w:r w:rsidR="007A27CB" w:rsidRPr="009958B1">
        <w:rPr>
          <w:rFonts w:ascii="Times New Roman" w:hAnsi="Times New Roman" w:cs="Times New Roman"/>
          <w:sz w:val="24"/>
          <w:szCs w:val="24"/>
        </w:rPr>
        <w:t xml:space="preserve"> Podejście to jest zgodne z dyrektywą i jednocześnie zapewnia zachowanie spójności podejścia w całej ustawie o rachunkowości</w:t>
      </w:r>
      <w:r w:rsidR="00F42BE3" w:rsidRPr="009958B1">
        <w:rPr>
          <w:rFonts w:ascii="Times New Roman" w:hAnsi="Times New Roman" w:cs="Times New Roman"/>
          <w:sz w:val="24"/>
          <w:szCs w:val="24"/>
        </w:rPr>
        <w:t xml:space="preserve"> (zob. szczegółowe wyjaśnienia dotyczące projektowanej zmiany art. 49 ust. 3b ustawy o rachunkowości)</w:t>
      </w:r>
      <w:r w:rsidR="00FE1B83" w:rsidRPr="009958B1">
        <w:rPr>
          <w:rFonts w:ascii="Times New Roman" w:hAnsi="Times New Roman" w:cs="Times New Roman"/>
          <w:sz w:val="24"/>
          <w:szCs w:val="24"/>
        </w:rPr>
        <w:t>;</w:t>
      </w:r>
    </w:p>
    <w:p w14:paraId="1B35A0EC" w14:textId="5470A75E" w:rsidR="001F21A9" w:rsidRPr="00A04CED" w:rsidRDefault="001F21A9" w:rsidP="009958B1">
      <w:pPr>
        <w:pStyle w:val="Akapitzlist"/>
        <w:numPr>
          <w:ilvl w:val="0"/>
          <w:numId w:val="1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dodaje się ust. 1a</w:t>
      </w:r>
      <w:r w:rsidRPr="00A04CED">
        <w:rPr>
          <w:rFonts w:ascii="Times New Roman" w:hAnsi="Times New Roman" w:cs="Times New Roman"/>
          <w:sz w:val="24"/>
          <w:szCs w:val="24"/>
        </w:rPr>
        <w:t xml:space="preserve"> regulujący</w:t>
      </w:r>
      <w:r w:rsidR="004D07AC">
        <w:rPr>
          <w:rFonts w:ascii="Times New Roman" w:hAnsi="Times New Roman" w:cs="Times New Roman"/>
          <w:sz w:val="24"/>
          <w:szCs w:val="24"/>
        </w:rPr>
        <w:t>,</w:t>
      </w:r>
      <w:r w:rsidRPr="00A04CED">
        <w:rPr>
          <w:rFonts w:ascii="Times New Roman" w:hAnsi="Times New Roman" w:cs="Times New Roman"/>
          <w:sz w:val="24"/>
          <w:szCs w:val="24"/>
        </w:rPr>
        <w:t xml:space="preserve"> kiedy jednostka dominująca już raportująca informacje ESG na poziomie grupy kapitałowej przestaje podlegać temu obowiązkowi. Potrzeba uregulowania tej kwestii wynika z faktu, że dotychczas zejście z obowiązku raportowania ESG wynikało z samej definicji dużej grupy (określała ona, że dana grupa traci status</w:t>
      </w:r>
      <w:r w:rsidR="000D4A80" w:rsidRPr="00A04CED">
        <w:rPr>
          <w:rFonts w:ascii="Times New Roman" w:hAnsi="Times New Roman" w:cs="Times New Roman"/>
          <w:sz w:val="24"/>
          <w:szCs w:val="24"/>
        </w:rPr>
        <w:t xml:space="preserve"> dużej,</w:t>
      </w:r>
      <w:r w:rsidRPr="00A04CED">
        <w:rPr>
          <w:rFonts w:ascii="Times New Roman" w:hAnsi="Times New Roman" w:cs="Times New Roman"/>
          <w:sz w:val="24"/>
          <w:szCs w:val="24"/>
        </w:rPr>
        <w:t xml:space="preserve"> jeśli przestaje spełniać określone kryteria przez </w:t>
      </w:r>
      <w:r w:rsidRPr="00A04CED">
        <w:rPr>
          <w:rFonts w:ascii="Times New Roman" w:hAnsi="Times New Roman" w:cs="Times New Roman"/>
          <w:sz w:val="24"/>
          <w:szCs w:val="24"/>
          <w:u w:val="single"/>
        </w:rPr>
        <w:t>dwa kolejne lata obrotowe</w:t>
      </w:r>
      <w:r w:rsidRPr="00A04CED">
        <w:rPr>
          <w:rFonts w:ascii="Times New Roman" w:hAnsi="Times New Roman" w:cs="Times New Roman"/>
          <w:sz w:val="24"/>
          <w:szCs w:val="24"/>
        </w:rPr>
        <w:t>, co było tożsame z tym, że przestaje ona podlegać danemu obowiązkowi). W świetle wprowadzonej dyrektywą 2026/470 zmiany zakresu jednostek</w:t>
      </w:r>
      <w:r w:rsidR="000D4A80" w:rsidRPr="00A04CED">
        <w:rPr>
          <w:rFonts w:ascii="Times New Roman" w:hAnsi="Times New Roman" w:cs="Times New Roman"/>
          <w:sz w:val="24"/>
          <w:szCs w:val="24"/>
        </w:rPr>
        <w:t xml:space="preserve"> dominujących</w:t>
      </w:r>
      <w:r w:rsidRPr="00A04CED">
        <w:rPr>
          <w:rFonts w:ascii="Times New Roman" w:hAnsi="Times New Roman" w:cs="Times New Roman"/>
          <w:sz w:val="24"/>
          <w:szCs w:val="24"/>
        </w:rPr>
        <w:t xml:space="preserve"> zobowiązanych do sporządzania sprawozdawczości zrównoważonego rozwoju </w:t>
      </w:r>
      <w:r w:rsidR="000D4A80" w:rsidRPr="00A04CED">
        <w:rPr>
          <w:rFonts w:ascii="Times New Roman" w:hAnsi="Times New Roman" w:cs="Times New Roman"/>
          <w:sz w:val="24"/>
          <w:szCs w:val="24"/>
        </w:rPr>
        <w:t xml:space="preserve">grupy kapitałowej </w:t>
      </w:r>
      <w:r w:rsidRPr="00A04CED">
        <w:rPr>
          <w:rFonts w:ascii="Times New Roman" w:hAnsi="Times New Roman" w:cs="Times New Roman"/>
          <w:sz w:val="24"/>
          <w:szCs w:val="24"/>
        </w:rPr>
        <w:t>(zaniechanie odniesienia do kategorii</w:t>
      </w:r>
      <w:r w:rsidR="000D4A80" w:rsidRPr="00A04CED">
        <w:rPr>
          <w:rFonts w:ascii="Times New Roman" w:hAnsi="Times New Roman" w:cs="Times New Roman"/>
          <w:sz w:val="24"/>
          <w:szCs w:val="24"/>
        </w:rPr>
        <w:t xml:space="preserve"> dużej grupy</w:t>
      </w:r>
      <w:r w:rsidRPr="00A04CED">
        <w:rPr>
          <w:rFonts w:ascii="Times New Roman" w:hAnsi="Times New Roman" w:cs="Times New Roman"/>
          <w:sz w:val="24"/>
          <w:szCs w:val="24"/>
        </w:rPr>
        <w:t xml:space="preserve"> zdefiniowan</w:t>
      </w:r>
      <w:r w:rsidR="000D4A80" w:rsidRPr="00A04CED">
        <w:rPr>
          <w:rFonts w:ascii="Times New Roman" w:hAnsi="Times New Roman" w:cs="Times New Roman"/>
          <w:sz w:val="24"/>
          <w:szCs w:val="24"/>
        </w:rPr>
        <w:t>ej</w:t>
      </w:r>
      <w:r w:rsidRPr="00A04CED">
        <w:rPr>
          <w:rFonts w:ascii="Times New Roman" w:hAnsi="Times New Roman" w:cs="Times New Roman"/>
          <w:sz w:val="24"/>
          <w:szCs w:val="24"/>
        </w:rPr>
        <w:t xml:space="preserve"> w art. 3 </w:t>
      </w:r>
      <w:r w:rsidR="000D4A80" w:rsidRPr="00A04CED">
        <w:rPr>
          <w:rFonts w:ascii="Times New Roman" w:hAnsi="Times New Roman" w:cs="Times New Roman"/>
          <w:sz w:val="24"/>
          <w:szCs w:val="24"/>
        </w:rPr>
        <w:t>ust. 7</w:t>
      </w:r>
      <w:r w:rsidRPr="00A04CED">
        <w:rPr>
          <w:rFonts w:ascii="Times New Roman" w:hAnsi="Times New Roman" w:cs="Times New Roman"/>
          <w:sz w:val="24"/>
          <w:szCs w:val="24"/>
        </w:rPr>
        <w:t xml:space="preserve"> dyrektywy 2013/34/UE w miejsce posługiwania się wyłącznie kryterium liczby pracowników i przychodów netto ze sprzedaży) należy teraz określić wprost, że </w:t>
      </w:r>
      <w:r w:rsidR="004D07AC">
        <w:rPr>
          <w:rFonts w:ascii="Times New Roman" w:hAnsi="Times New Roman" w:cs="Times New Roman"/>
          <w:sz w:val="24"/>
          <w:szCs w:val="24"/>
        </w:rPr>
        <w:t>a</w:t>
      </w:r>
      <w:r w:rsidRPr="00A04CED">
        <w:rPr>
          <w:rFonts w:ascii="Times New Roman" w:hAnsi="Times New Roman" w:cs="Times New Roman"/>
          <w:sz w:val="24"/>
          <w:szCs w:val="24"/>
        </w:rPr>
        <w:t>by dana jednostka</w:t>
      </w:r>
      <w:r w:rsidR="000D4A80" w:rsidRPr="00A04CED">
        <w:rPr>
          <w:rFonts w:ascii="Times New Roman" w:hAnsi="Times New Roman" w:cs="Times New Roman"/>
          <w:sz w:val="24"/>
          <w:szCs w:val="24"/>
        </w:rPr>
        <w:t xml:space="preserve"> dominująca</w:t>
      </w:r>
      <w:r w:rsidRPr="00A04CED">
        <w:rPr>
          <w:rFonts w:ascii="Times New Roman" w:hAnsi="Times New Roman" w:cs="Times New Roman"/>
          <w:sz w:val="24"/>
          <w:szCs w:val="24"/>
        </w:rPr>
        <w:t xml:space="preserve"> podlegająca obowiązkowi raportowania na podstawie ust. 1 zaprzestała podlegać temu obowiązkowi, konieczne jest</w:t>
      </w:r>
      <w:r w:rsidR="00A93877">
        <w:rPr>
          <w:rFonts w:ascii="Times New Roman" w:hAnsi="Times New Roman" w:cs="Times New Roman"/>
          <w:sz w:val="24"/>
          <w:szCs w:val="24"/>
        </w:rPr>
        <w:t>,</w:t>
      </w:r>
      <w:r w:rsidRPr="00A04CED">
        <w:rPr>
          <w:rFonts w:ascii="Times New Roman" w:hAnsi="Times New Roman" w:cs="Times New Roman"/>
          <w:sz w:val="24"/>
          <w:szCs w:val="24"/>
        </w:rPr>
        <w:t xml:space="preserve"> </w:t>
      </w:r>
      <w:r w:rsidR="004D07AC">
        <w:rPr>
          <w:rFonts w:ascii="Times New Roman" w:hAnsi="Times New Roman" w:cs="Times New Roman"/>
          <w:sz w:val="24"/>
          <w:szCs w:val="24"/>
        </w:rPr>
        <w:t>a</w:t>
      </w:r>
      <w:r w:rsidRPr="00A04CED">
        <w:rPr>
          <w:rFonts w:ascii="Times New Roman" w:hAnsi="Times New Roman" w:cs="Times New Roman"/>
          <w:sz w:val="24"/>
          <w:szCs w:val="24"/>
        </w:rPr>
        <w:t xml:space="preserve">by nie przekraczała </w:t>
      </w:r>
      <w:r w:rsidR="000D4A80" w:rsidRPr="00A04CED">
        <w:rPr>
          <w:rFonts w:ascii="Times New Roman" w:hAnsi="Times New Roman" w:cs="Times New Roman"/>
          <w:sz w:val="24"/>
          <w:szCs w:val="24"/>
        </w:rPr>
        <w:t xml:space="preserve">na poziomie grupy </w:t>
      </w:r>
      <w:r w:rsidRPr="00A04CED">
        <w:rPr>
          <w:rFonts w:ascii="Times New Roman" w:hAnsi="Times New Roman" w:cs="Times New Roman"/>
          <w:sz w:val="24"/>
          <w:szCs w:val="24"/>
        </w:rPr>
        <w:t xml:space="preserve">co najmniej jednego z kryteriów przez </w:t>
      </w:r>
      <w:r w:rsidRPr="00A04CED">
        <w:rPr>
          <w:rFonts w:ascii="Times New Roman" w:hAnsi="Times New Roman" w:cs="Times New Roman"/>
          <w:sz w:val="24"/>
          <w:szCs w:val="24"/>
          <w:u w:val="single"/>
        </w:rPr>
        <w:t>dwa lata obrotowe</w:t>
      </w:r>
      <w:r w:rsidRPr="00A04CED">
        <w:rPr>
          <w:rFonts w:ascii="Times New Roman" w:hAnsi="Times New Roman" w:cs="Times New Roman"/>
          <w:sz w:val="24"/>
          <w:szCs w:val="24"/>
        </w:rPr>
        <w:t xml:space="preserve"> (w myśl zasady „dwa lata na wejście w dany obowiązek i dwa lata na zejście z tego obowiązku”). Rozwiązanie to jest kontynuacją dotychczasowej zasady, pozwoli zachować spójność podejścia w całej ustawie o rachunkowości i jest jednocześnie zgodne z dyrektywą</w:t>
      </w:r>
      <w:r w:rsidR="00F42BE3" w:rsidRPr="00A04CED">
        <w:rPr>
          <w:rFonts w:ascii="Times New Roman" w:hAnsi="Times New Roman" w:cs="Times New Roman"/>
          <w:sz w:val="24"/>
          <w:szCs w:val="24"/>
        </w:rPr>
        <w:t xml:space="preserve"> (zob. szczegółowe wyjaśnienia dotyczące projektowanej zmiany art. 49 ust. 3b ustawy o rachunkowości)</w:t>
      </w:r>
      <w:r w:rsidR="00FE1B83" w:rsidRPr="00A04CED">
        <w:rPr>
          <w:rFonts w:ascii="Times New Roman" w:hAnsi="Times New Roman" w:cs="Times New Roman"/>
          <w:sz w:val="24"/>
          <w:szCs w:val="24"/>
        </w:rPr>
        <w:t>;</w:t>
      </w:r>
    </w:p>
    <w:p w14:paraId="531EC3D7" w14:textId="1B6D2034" w:rsidR="00C779E2" w:rsidRPr="00A04CED" w:rsidRDefault="00AD16E9" w:rsidP="009958B1">
      <w:pPr>
        <w:pStyle w:val="Akapitzlist"/>
        <w:numPr>
          <w:ilvl w:val="0"/>
          <w:numId w:val="1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lastRenderedPageBreak/>
        <w:t>dodaje się ust. 1b</w:t>
      </w:r>
      <w:r w:rsidRPr="00A04CED">
        <w:rPr>
          <w:rFonts w:ascii="Times New Roman" w:hAnsi="Times New Roman" w:cs="Times New Roman"/>
          <w:sz w:val="24"/>
          <w:szCs w:val="24"/>
        </w:rPr>
        <w:t xml:space="preserve"> (w ślad za </w:t>
      </w:r>
      <w:r w:rsidRPr="00A04CED">
        <w:rPr>
          <w:rFonts w:ascii="Times New Roman" w:eastAsia="Times New Roman" w:hAnsi="Times New Roman" w:cs="Times New Roman"/>
          <w:sz w:val="24"/>
          <w:szCs w:val="24"/>
        </w:rPr>
        <w:t xml:space="preserve">art. 29a ust. 7a </w:t>
      </w:r>
      <w:r w:rsidRPr="00A04CED">
        <w:rPr>
          <w:rFonts w:ascii="Times New Roman" w:hAnsi="Times New Roman" w:cs="Times New Roman"/>
          <w:sz w:val="24"/>
          <w:szCs w:val="24"/>
        </w:rPr>
        <w:t>dyrektywy 2013/34/UE w brzmieniu nadanym dyrektywą 2026/470) umożliwiający</w:t>
      </w:r>
      <w:r w:rsidR="00AB2E8D" w:rsidRPr="00A04CED">
        <w:rPr>
          <w:rFonts w:ascii="Times New Roman" w:hAnsi="Times New Roman" w:cs="Times New Roman"/>
          <w:sz w:val="24"/>
          <w:szCs w:val="24"/>
        </w:rPr>
        <w:t xml:space="preserve"> jednost</w:t>
      </w:r>
      <w:r w:rsidRPr="00A04CED">
        <w:rPr>
          <w:rFonts w:ascii="Times New Roman" w:hAnsi="Times New Roman" w:cs="Times New Roman"/>
          <w:sz w:val="24"/>
          <w:szCs w:val="24"/>
        </w:rPr>
        <w:t>ce</w:t>
      </w:r>
      <w:r w:rsidR="00AB2E8D" w:rsidRPr="00A04CED">
        <w:rPr>
          <w:rFonts w:ascii="Times New Roman" w:hAnsi="Times New Roman" w:cs="Times New Roman"/>
          <w:sz w:val="24"/>
          <w:szCs w:val="24"/>
        </w:rPr>
        <w:t xml:space="preserve"> dominującej będącej finansową jednostką holdingową</w:t>
      </w:r>
      <w:r w:rsidRPr="00A04CED">
        <w:rPr>
          <w:rFonts w:ascii="Times New Roman" w:hAnsi="Times New Roman" w:cs="Times New Roman"/>
          <w:sz w:val="24"/>
          <w:szCs w:val="24"/>
        </w:rPr>
        <w:t xml:space="preserve"> niesporządzanie sprawozdawczości zrównoważonego rozwoju grupy kapitałowej</w:t>
      </w:r>
      <w:r w:rsidR="00AB2E8D" w:rsidRPr="00A04CED">
        <w:rPr>
          <w:rFonts w:ascii="Times New Roman" w:hAnsi="Times New Roman" w:cs="Times New Roman"/>
          <w:sz w:val="24"/>
          <w:szCs w:val="24"/>
        </w:rPr>
        <w:t>,</w:t>
      </w:r>
      <w:r w:rsidRPr="00A04CED">
        <w:rPr>
          <w:rFonts w:ascii="Times New Roman" w:hAnsi="Times New Roman" w:cs="Times New Roman"/>
          <w:sz w:val="24"/>
          <w:szCs w:val="24"/>
        </w:rPr>
        <w:t xml:space="preserve"> </w:t>
      </w:r>
      <w:r w:rsidR="00C779E2" w:rsidRPr="00A04CED">
        <w:rPr>
          <w:rFonts w:ascii="Times New Roman" w:hAnsi="Times New Roman" w:cs="Times New Roman"/>
          <w:sz w:val="24"/>
          <w:szCs w:val="24"/>
        </w:rPr>
        <w:t xml:space="preserve">ale jedynie </w:t>
      </w:r>
      <w:r w:rsidRPr="00A04CED">
        <w:rPr>
          <w:rFonts w:ascii="Times New Roman" w:hAnsi="Times New Roman" w:cs="Times New Roman"/>
          <w:sz w:val="24"/>
          <w:szCs w:val="24"/>
        </w:rPr>
        <w:t>w przypadku gdy</w:t>
      </w:r>
      <w:r w:rsidR="00591EAA" w:rsidRPr="00A04CED">
        <w:rPr>
          <w:rFonts w:ascii="Times New Roman" w:hAnsi="Times New Roman" w:cs="Times New Roman"/>
          <w:sz w:val="24"/>
          <w:szCs w:val="24"/>
        </w:rPr>
        <w:t xml:space="preserve"> zarówno</w:t>
      </w:r>
      <w:r w:rsidR="00AB2E8D" w:rsidRPr="00A04CED">
        <w:rPr>
          <w:rFonts w:ascii="Times New Roman" w:hAnsi="Times New Roman" w:cs="Times New Roman"/>
          <w:sz w:val="24"/>
          <w:szCs w:val="24"/>
        </w:rPr>
        <w:t xml:space="preserve"> modele biznesowe </w:t>
      </w:r>
      <w:r w:rsidR="00591EAA" w:rsidRPr="00A04CED">
        <w:rPr>
          <w:rFonts w:ascii="Times New Roman" w:hAnsi="Times New Roman" w:cs="Times New Roman"/>
          <w:sz w:val="24"/>
          <w:szCs w:val="24"/>
        </w:rPr>
        <w:t>jak też</w:t>
      </w:r>
      <w:r w:rsidR="00AB2E8D" w:rsidRPr="00A04CED">
        <w:rPr>
          <w:rFonts w:ascii="Times New Roman" w:hAnsi="Times New Roman" w:cs="Times New Roman"/>
          <w:sz w:val="24"/>
          <w:szCs w:val="24"/>
        </w:rPr>
        <w:t xml:space="preserve"> prowadz</w:t>
      </w:r>
      <w:r w:rsidRPr="00A04CED">
        <w:rPr>
          <w:rFonts w:ascii="Times New Roman" w:hAnsi="Times New Roman" w:cs="Times New Roman"/>
          <w:sz w:val="24"/>
          <w:szCs w:val="24"/>
        </w:rPr>
        <w:t>ona</w:t>
      </w:r>
      <w:r w:rsidR="00AB2E8D" w:rsidRPr="00A04CED">
        <w:rPr>
          <w:rFonts w:ascii="Times New Roman" w:hAnsi="Times New Roman" w:cs="Times New Roman"/>
          <w:sz w:val="24"/>
          <w:szCs w:val="24"/>
        </w:rPr>
        <w:t xml:space="preserve"> działalność</w:t>
      </w:r>
      <w:r w:rsidRPr="00A04CED">
        <w:rPr>
          <w:rFonts w:ascii="Times New Roman" w:hAnsi="Times New Roman" w:cs="Times New Roman"/>
          <w:sz w:val="24"/>
          <w:szCs w:val="24"/>
        </w:rPr>
        <w:t xml:space="preserve"> jej jednostek zależnych są</w:t>
      </w:r>
      <w:r w:rsidR="00AB2E8D" w:rsidRPr="00A04CED">
        <w:rPr>
          <w:rFonts w:ascii="Times New Roman" w:hAnsi="Times New Roman" w:cs="Times New Roman"/>
          <w:sz w:val="24"/>
          <w:szCs w:val="24"/>
        </w:rPr>
        <w:t xml:space="preserve"> niezależne od siebie. </w:t>
      </w:r>
      <w:r w:rsidR="00C779E2" w:rsidRPr="00A04CED">
        <w:rPr>
          <w:rFonts w:ascii="Times New Roman" w:hAnsi="Times New Roman" w:cs="Times New Roman"/>
          <w:sz w:val="24"/>
          <w:szCs w:val="24"/>
        </w:rPr>
        <w:t>Oznacza to, że zwolnienie to nie będzie możliwe w sytuacji, gdy jednostki zależne takiej finansowej jednostki holdingowej są ze sobą ściśle powiązane poprzez swoją działalność, np. gdy działalność jednej jednostki zależnej umożliwia lub bezpośrednio wspiera działalność innej jednostki zależnej</w:t>
      </w:r>
      <w:r w:rsidR="00591EAA" w:rsidRPr="00A04CED">
        <w:rPr>
          <w:rFonts w:ascii="Times New Roman" w:hAnsi="Times New Roman" w:cs="Times New Roman"/>
          <w:sz w:val="24"/>
          <w:szCs w:val="24"/>
        </w:rPr>
        <w:t>. Decyzję o skorzystaniu ze zwolnienia będzie podejmował kierownik jednostki dominującej</w:t>
      </w:r>
      <w:r w:rsidR="00FE1B83" w:rsidRPr="00A04CED">
        <w:rPr>
          <w:rFonts w:ascii="Times New Roman" w:hAnsi="Times New Roman" w:cs="Times New Roman"/>
          <w:sz w:val="24"/>
          <w:szCs w:val="24"/>
        </w:rPr>
        <w:t>;</w:t>
      </w:r>
    </w:p>
    <w:p w14:paraId="48BDC386" w14:textId="613707EC" w:rsidR="003374BF" w:rsidRPr="009958B1" w:rsidRDefault="00907A50" w:rsidP="009958B1">
      <w:pPr>
        <w:pStyle w:val="Akapitzlist"/>
        <w:numPr>
          <w:ilvl w:val="0"/>
          <w:numId w:val="1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d</w:t>
      </w:r>
      <w:r w:rsidR="00B20ACC" w:rsidRPr="00A04CED">
        <w:rPr>
          <w:rFonts w:ascii="Times New Roman" w:hAnsi="Times New Roman" w:cs="Times New Roman"/>
          <w:b/>
          <w:bCs/>
          <w:sz w:val="24"/>
          <w:szCs w:val="24"/>
        </w:rPr>
        <w:t>odaje się ust. 5a</w:t>
      </w:r>
      <w:r w:rsidR="00A93877">
        <w:rPr>
          <w:rFonts w:ascii="Times New Roman" w:hAnsi="Times New Roman" w:cs="Times New Roman"/>
          <w:b/>
          <w:bCs/>
          <w:sz w:val="24"/>
          <w:szCs w:val="24"/>
        </w:rPr>
        <w:t>–</w:t>
      </w:r>
      <w:r w:rsidR="00B20ACC" w:rsidRPr="009958B1">
        <w:rPr>
          <w:rFonts w:ascii="Times New Roman" w:hAnsi="Times New Roman" w:cs="Times New Roman"/>
          <w:b/>
          <w:bCs/>
          <w:sz w:val="24"/>
          <w:szCs w:val="24"/>
        </w:rPr>
        <w:t>5g</w:t>
      </w:r>
      <w:r w:rsidR="00B20ACC" w:rsidRPr="009958B1">
        <w:rPr>
          <w:rFonts w:ascii="Times New Roman" w:hAnsi="Times New Roman" w:cs="Times New Roman"/>
          <w:sz w:val="24"/>
          <w:szCs w:val="24"/>
        </w:rPr>
        <w:t xml:space="preserve"> (w ślad za art. 29a ust. </w:t>
      </w:r>
      <w:r w:rsidR="00890BAE" w:rsidRPr="009958B1">
        <w:rPr>
          <w:rFonts w:ascii="Times New Roman" w:hAnsi="Times New Roman" w:cs="Times New Roman"/>
          <w:sz w:val="24"/>
          <w:szCs w:val="24"/>
        </w:rPr>
        <w:t>3 nowe akapity trzeci do szóstego dodane przez dyrektywę 2026/470)</w:t>
      </w:r>
      <w:r w:rsidR="00B20ACC" w:rsidRPr="009958B1">
        <w:rPr>
          <w:rFonts w:ascii="Times New Roman" w:hAnsi="Times New Roman" w:cs="Times New Roman"/>
          <w:sz w:val="24"/>
          <w:szCs w:val="24"/>
        </w:rPr>
        <w:t>) regulujące</w:t>
      </w:r>
      <w:r w:rsidR="00890BAE" w:rsidRPr="009958B1">
        <w:rPr>
          <w:rFonts w:ascii="Times New Roman" w:hAnsi="Times New Roman" w:cs="Times New Roman"/>
          <w:sz w:val="24"/>
          <w:szCs w:val="24"/>
        </w:rPr>
        <w:t xml:space="preserve"> </w:t>
      </w:r>
      <w:r w:rsidR="00A93877">
        <w:rPr>
          <w:rFonts w:ascii="Times New Roman" w:hAnsi="Times New Roman" w:cs="Times New Roman"/>
          <w:sz w:val="24"/>
          <w:szCs w:val="24"/>
        </w:rPr>
        <w:t>–</w:t>
      </w:r>
      <w:r w:rsidR="00890BAE" w:rsidRPr="009958B1">
        <w:rPr>
          <w:rFonts w:ascii="Times New Roman" w:hAnsi="Times New Roman" w:cs="Times New Roman"/>
          <w:sz w:val="24"/>
          <w:szCs w:val="24"/>
        </w:rPr>
        <w:t xml:space="preserve"> w sposób analogiczny do ust. 5a</w:t>
      </w:r>
      <w:r w:rsidR="00A93877">
        <w:rPr>
          <w:rFonts w:ascii="Times New Roman" w:hAnsi="Times New Roman" w:cs="Times New Roman"/>
          <w:sz w:val="24"/>
          <w:szCs w:val="24"/>
        </w:rPr>
        <w:t>–</w:t>
      </w:r>
      <w:r w:rsidR="00890BAE" w:rsidRPr="009958B1">
        <w:rPr>
          <w:rFonts w:ascii="Times New Roman" w:hAnsi="Times New Roman" w:cs="Times New Roman"/>
          <w:sz w:val="24"/>
          <w:szCs w:val="24"/>
        </w:rPr>
        <w:t xml:space="preserve">5g wprowadzanych w art. 63r </w:t>
      </w:r>
      <w:r w:rsidR="00A93877">
        <w:rPr>
          <w:rFonts w:ascii="Times New Roman" w:hAnsi="Times New Roman" w:cs="Times New Roman"/>
          <w:sz w:val="24"/>
          <w:szCs w:val="24"/>
        </w:rPr>
        <w:t>–</w:t>
      </w:r>
      <w:r w:rsidR="00890BAE" w:rsidRPr="009958B1">
        <w:rPr>
          <w:rFonts w:ascii="Times New Roman" w:hAnsi="Times New Roman" w:cs="Times New Roman"/>
          <w:sz w:val="24"/>
          <w:szCs w:val="24"/>
        </w:rPr>
        <w:t xml:space="preserve"> kwestie </w:t>
      </w:r>
      <w:r w:rsidR="00B20ACC" w:rsidRPr="009958B1">
        <w:rPr>
          <w:rFonts w:ascii="Times New Roman" w:hAnsi="Times New Roman" w:cs="Times New Roman"/>
          <w:sz w:val="24"/>
          <w:szCs w:val="24"/>
        </w:rPr>
        <w:t>dotycząc</w:t>
      </w:r>
      <w:r w:rsidR="00890BAE" w:rsidRPr="009958B1">
        <w:rPr>
          <w:rFonts w:ascii="Times New Roman" w:hAnsi="Times New Roman" w:cs="Times New Roman"/>
          <w:sz w:val="24"/>
          <w:szCs w:val="24"/>
        </w:rPr>
        <w:t>e</w:t>
      </w:r>
      <w:r w:rsidR="003374BF" w:rsidRPr="009958B1">
        <w:rPr>
          <w:rFonts w:ascii="Times New Roman" w:hAnsi="Times New Roman" w:cs="Times New Roman"/>
          <w:sz w:val="24"/>
          <w:szCs w:val="24"/>
        </w:rPr>
        <w:t>:</w:t>
      </w:r>
    </w:p>
    <w:p w14:paraId="282E34AD" w14:textId="1737D323" w:rsidR="003374BF" w:rsidRPr="00A04CED" w:rsidRDefault="00B20ACC" w:rsidP="009958B1">
      <w:pPr>
        <w:pStyle w:val="Akapitzlist"/>
        <w:numPr>
          <w:ilvl w:val="1"/>
          <w:numId w:val="19"/>
        </w:numPr>
        <w:spacing w:before="120" w:after="0" w:line="360" w:lineRule="auto"/>
        <w:ind w:left="811" w:hanging="357"/>
        <w:jc w:val="both"/>
        <w:rPr>
          <w:rFonts w:ascii="Times New Roman" w:hAnsi="Times New Roman" w:cs="Times New Roman"/>
          <w:sz w:val="24"/>
          <w:szCs w:val="24"/>
        </w:rPr>
      </w:pPr>
      <w:r w:rsidRPr="00A04CED">
        <w:rPr>
          <w:rFonts w:ascii="Times New Roman" w:hAnsi="Times New Roman" w:cs="Times New Roman"/>
          <w:sz w:val="24"/>
          <w:szCs w:val="24"/>
        </w:rPr>
        <w:t xml:space="preserve">tzw. </w:t>
      </w:r>
      <w:r w:rsidRPr="00A04CED">
        <w:rPr>
          <w:rFonts w:ascii="Times New Roman" w:hAnsi="Times New Roman" w:cs="Times New Roman"/>
          <w:i/>
          <w:iCs/>
          <w:sz w:val="24"/>
          <w:szCs w:val="24"/>
        </w:rPr>
        <w:t>value chain cap</w:t>
      </w:r>
      <w:r w:rsidRPr="00A04CED">
        <w:rPr>
          <w:rFonts w:ascii="Times New Roman" w:hAnsi="Times New Roman" w:cs="Times New Roman"/>
          <w:sz w:val="24"/>
          <w:szCs w:val="24"/>
        </w:rPr>
        <w:t>, czyli ograniczenia zakresu informacji</w:t>
      </w:r>
      <w:r w:rsidR="00AA147F">
        <w:rPr>
          <w:rFonts w:ascii="Times New Roman" w:hAnsi="Times New Roman" w:cs="Times New Roman"/>
          <w:sz w:val="24"/>
          <w:szCs w:val="24"/>
        </w:rPr>
        <w:t>,</w:t>
      </w:r>
      <w:r w:rsidRPr="00A04CED">
        <w:rPr>
          <w:rFonts w:ascii="Times New Roman" w:hAnsi="Times New Roman" w:cs="Times New Roman"/>
          <w:sz w:val="24"/>
          <w:szCs w:val="24"/>
        </w:rPr>
        <w:t xml:space="preserve"> jakich jednostki</w:t>
      </w:r>
      <w:r w:rsidR="00890BAE" w:rsidRPr="00A04CED">
        <w:rPr>
          <w:rFonts w:ascii="Times New Roman" w:hAnsi="Times New Roman" w:cs="Times New Roman"/>
          <w:sz w:val="24"/>
          <w:szCs w:val="24"/>
        </w:rPr>
        <w:t xml:space="preserve"> dominujące </w:t>
      </w:r>
      <w:r w:rsidRPr="00A04CED">
        <w:rPr>
          <w:rFonts w:ascii="Times New Roman" w:hAnsi="Times New Roman" w:cs="Times New Roman"/>
          <w:sz w:val="24"/>
          <w:szCs w:val="24"/>
        </w:rPr>
        <w:t>zobowiązane do raportowania ESG</w:t>
      </w:r>
      <w:r w:rsidR="00890BAE" w:rsidRPr="00A04CED">
        <w:rPr>
          <w:rFonts w:ascii="Times New Roman" w:hAnsi="Times New Roman" w:cs="Times New Roman"/>
          <w:sz w:val="24"/>
          <w:szCs w:val="24"/>
        </w:rPr>
        <w:t xml:space="preserve"> na poziomie grupy</w:t>
      </w:r>
      <w:r w:rsidRPr="00A04CED">
        <w:rPr>
          <w:rFonts w:ascii="Times New Roman" w:hAnsi="Times New Roman" w:cs="Times New Roman"/>
          <w:sz w:val="24"/>
          <w:szCs w:val="24"/>
        </w:rPr>
        <w:t xml:space="preserve"> mogą żąd</w:t>
      </w:r>
      <w:r w:rsidR="00890BAE" w:rsidRPr="00A04CED">
        <w:rPr>
          <w:rFonts w:ascii="Times New Roman" w:hAnsi="Times New Roman" w:cs="Times New Roman"/>
          <w:sz w:val="24"/>
          <w:szCs w:val="24"/>
        </w:rPr>
        <w:t xml:space="preserve">ać od jednostek w łańcuchu wartości, w których średnia liczba zatrudnionych w poprzednim roku obrotowym nie przekracza 1000 </w:t>
      </w:r>
      <w:r w:rsidR="003374BF" w:rsidRPr="00A04CED">
        <w:rPr>
          <w:rFonts w:ascii="Times New Roman" w:hAnsi="Times New Roman" w:cs="Times New Roman"/>
          <w:sz w:val="24"/>
          <w:szCs w:val="24"/>
        </w:rPr>
        <w:t xml:space="preserve">osób </w:t>
      </w:r>
      <w:r w:rsidR="00890BAE" w:rsidRPr="00A04CED">
        <w:rPr>
          <w:rFonts w:ascii="Times New Roman" w:hAnsi="Times New Roman" w:cs="Times New Roman"/>
          <w:sz w:val="24"/>
          <w:szCs w:val="24"/>
        </w:rPr>
        <w:t>(tj. od tzw. jednostek chronionych) oraz</w:t>
      </w:r>
    </w:p>
    <w:p w14:paraId="498107C5" w14:textId="31450099" w:rsidR="003374BF" w:rsidRPr="00A04CED" w:rsidRDefault="00890BAE" w:rsidP="009958B1">
      <w:pPr>
        <w:pStyle w:val="Akapitzlist"/>
        <w:numPr>
          <w:ilvl w:val="1"/>
          <w:numId w:val="19"/>
        </w:numPr>
        <w:spacing w:before="120" w:after="0" w:line="360" w:lineRule="auto"/>
        <w:ind w:left="811" w:hanging="357"/>
        <w:jc w:val="both"/>
        <w:rPr>
          <w:rFonts w:ascii="Times New Roman" w:hAnsi="Times New Roman" w:cs="Times New Roman"/>
          <w:sz w:val="24"/>
          <w:szCs w:val="24"/>
        </w:rPr>
      </w:pPr>
      <w:r w:rsidRPr="00A04CED">
        <w:rPr>
          <w:rFonts w:ascii="Times New Roman" w:hAnsi="Times New Roman" w:cs="Times New Roman"/>
          <w:sz w:val="24"/>
          <w:szCs w:val="24"/>
        </w:rPr>
        <w:t>zwolnieni</w:t>
      </w:r>
      <w:r w:rsidR="003374BF" w:rsidRPr="00A04CED">
        <w:rPr>
          <w:rFonts w:ascii="Times New Roman" w:hAnsi="Times New Roman" w:cs="Times New Roman"/>
          <w:sz w:val="24"/>
          <w:szCs w:val="24"/>
        </w:rPr>
        <w:t>a jednostki dominującej</w:t>
      </w:r>
      <w:r w:rsidRPr="00A04CED">
        <w:rPr>
          <w:rFonts w:ascii="Times New Roman" w:hAnsi="Times New Roman" w:cs="Times New Roman"/>
          <w:sz w:val="24"/>
          <w:szCs w:val="24"/>
        </w:rPr>
        <w:t xml:space="preserve"> z obowiązku przedstawiania</w:t>
      </w:r>
      <w:r w:rsidR="003374BF" w:rsidRPr="00A04CED">
        <w:rPr>
          <w:rFonts w:ascii="Times New Roman" w:hAnsi="Times New Roman" w:cs="Times New Roman"/>
          <w:sz w:val="24"/>
          <w:szCs w:val="24"/>
        </w:rPr>
        <w:t xml:space="preserve"> w sprawozdawczości zrównoważonego rozwoju grupy kapitałowej</w:t>
      </w:r>
      <w:r w:rsidRPr="00A04CED">
        <w:rPr>
          <w:rFonts w:ascii="Times New Roman" w:hAnsi="Times New Roman" w:cs="Times New Roman"/>
          <w:sz w:val="24"/>
          <w:szCs w:val="24"/>
        </w:rPr>
        <w:t xml:space="preserve"> informacji o łańcuchu wartości (o którym mowa w art. 63</w:t>
      </w:r>
      <w:r w:rsidR="003374BF" w:rsidRPr="00A04CED">
        <w:rPr>
          <w:rFonts w:ascii="Times New Roman" w:hAnsi="Times New Roman" w:cs="Times New Roman"/>
          <w:sz w:val="24"/>
          <w:szCs w:val="24"/>
        </w:rPr>
        <w:t>x</w:t>
      </w:r>
      <w:r w:rsidRPr="00A04CED">
        <w:rPr>
          <w:rFonts w:ascii="Times New Roman" w:hAnsi="Times New Roman" w:cs="Times New Roman"/>
          <w:sz w:val="24"/>
          <w:szCs w:val="24"/>
        </w:rPr>
        <w:t xml:space="preserve"> ust. 5 pkt 1 ustawy o rachunkowości) w okresie pierwszy trzech lat raportowania, w sytuacji gdyby nie były dostępne wszystkie niezbędne informacje w tym zakresie</w:t>
      </w:r>
      <w:r w:rsidR="00FE1B83" w:rsidRPr="00A04CED">
        <w:rPr>
          <w:rFonts w:ascii="Times New Roman" w:hAnsi="Times New Roman" w:cs="Times New Roman"/>
          <w:sz w:val="24"/>
          <w:szCs w:val="24"/>
        </w:rPr>
        <w:t>;</w:t>
      </w:r>
    </w:p>
    <w:p w14:paraId="304F385A" w14:textId="78B94320" w:rsidR="00907A50" w:rsidRPr="009958B1" w:rsidRDefault="00907A50" w:rsidP="009958B1">
      <w:pPr>
        <w:pStyle w:val="Akapitzlist"/>
        <w:numPr>
          <w:ilvl w:val="0"/>
          <w:numId w:val="1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w ust. 7</w:t>
      </w:r>
      <w:r w:rsidRPr="00A04CED">
        <w:rPr>
          <w:rFonts w:ascii="Times New Roman" w:hAnsi="Times New Roman" w:cs="Times New Roman"/>
          <w:sz w:val="24"/>
          <w:szCs w:val="24"/>
        </w:rPr>
        <w:t xml:space="preserve"> (w ślad za art. 29a ust. 3 akapit czwarty zmieniony przez dyrektywę 2026/470) rozbudowano </w:t>
      </w:r>
      <w:r w:rsidR="00AA147F">
        <w:rPr>
          <w:rFonts w:ascii="Times New Roman" w:hAnsi="Times New Roman" w:cs="Times New Roman"/>
          <w:sz w:val="24"/>
          <w:szCs w:val="24"/>
        </w:rPr>
        <w:t>–</w:t>
      </w:r>
      <w:r w:rsidRPr="00A04CED">
        <w:rPr>
          <w:rFonts w:ascii="Times New Roman" w:hAnsi="Times New Roman" w:cs="Times New Roman"/>
          <w:sz w:val="24"/>
          <w:szCs w:val="24"/>
        </w:rPr>
        <w:t xml:space="preserve"> </w:t>
      </w:r>
      <w:r w:rsidRPr="009958B1">
        <w:rPr>
          <w:rFonts w:ascii="Times New Roman" w:hAnsi="Times New Roman" w:cs="Times New Roman"/>
          <w:sz w:val="24"/>
          <w:szCs w:val="24"/>
        </w:rPr>
        <w:t xml:space="preserve">w sposób analogiczny do zmian w art. 63r ust. 7 </w:t>
      </w:r>
      <w:r w:rsidR="00AA147F">
        <w:rPr>
          <w:rFonts w:ascii="Times New Roman" w:hAnsi="Times New Roman" w:cs="Times New Roman"/>
          <w:sz w:val="24"/>
          <w:szCs w:val="24"/>
        </w:rPr>
        <w:t>–</w:t>
      </w:r>
      <w:r w:rsidRPr="009958B1">
        <w:rPr>
          <w:rFonts w:ascii="Times New Roman" w:hAnsi="Times New Roman" w:cs="Times New Roman"/>
          <w:sz w:val="24"/>
          <w:szCs w:val="24"/>
        </w:rPr>
        <w:t xml:space="preserve"> przepisy umożliwiające pominięcie niektórych informacji przy sporządzaniu sprawozdawczości zrównoważonego rozwoju grupy kapitałowej</w:t>
      </w:r>
      <w:r w:rsidR="00FE1B83" w:rsidRPr="009958B1">
        <w:rPr>
          <w:rFonts w:ascii="Times New Roman" w:hAnsi="Times New Roman" w:cs="Times New Roman"/>
          <w:sz w:val="24"/>
          <w:szCs w:val="24"/>
        </w:rPr>
        <w:t>;</w:t>
      </w:r>
    </w:p>
    <w:p w14:paraId="5D4219EB" w14:textId="20DD3A56" w:rsidR="005D4157" w:rsidRPr="00A04CED" w:rsidRDefault="00907A50" w:rsidP="009958B1">
      <w:pPr>
        <w:pStyle w:val="Akapitzlist"/>
        <w:numPr>
          <w:ilvl w:val="0"/>
          <w:numId w:val="1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dodaje się ust. 8a</w:t>
      </w:r>
      <w:r w:rsidRPr="00A04CED">
        <w:rPr>
          <w:rFonts w:ascii="Times New Roman" w:hAnsi="Times New Roman" w:cs="Times New Roman"/>
          <w:sz w:val="24"/>
          <w:szCs w:val="24"/>
        </w:rPr>
        <w:t xml:space="preserve"> (w ślad za nowym ust. 4a w art. 29a dyrektywy 2013/34/UE dodanym przez dyrektywę </w:t>
      </w:r>
      <w:bookmarkStart w:id="2" w:name="_Hlk230248198"/>
      <w:r w:rsidRPr="00A04CED">
        <w:rPr>
          <w:rFonts w:ascii="Times New Roman" w:hAnsi="Times New Roman" w:cs="Times New Roman"/>
          <w:sz w:val="24"/>
          <w:szCs w:val="24"/>
        </w:rPr>
        <w:t>2026/470</w:t>
      </w:r>
      <w:bookmarkEnd w:id="2"/>
      <w:r w:rsidRPr="00A04CED">
        <w:rPr>
          <w:rFonts w:ascii="Times New Roman" w:hAnsi="Times New Roman" w:cs="Times New Roman"/>
          <w:sz w:val="24"/>
          <w:szCs w:val="24"/>
        </w:rPr>
        <w:t>)</w:t>
      </w:r>
      <w:r w:rsidR="004A68C6" w:rsidRPr="00A04CED">
        <w:rPr>
          <w:rFonts w:ascii="Times New Roman" w:hAnsi="Times New Roman" w:cs="Times New Roman"/>
          <w:sz w:val="24"/>
          <w:szCs w:val="24"/>
        </w:rPr>
        <w:t>.</w:t>
      </w:r>
      <w:r w:rsidRPr="00A04CED">
        <w:rPr>
          <w:rFonts w:ascii="Times New Roman" w:hAnsi="Times New Roman" w:cs="Times New Roman"/>
          <w:sz w:val="24"/>
          <w:szCs w:val="24"/>
        </w:rPr>
        <w:t xml:space="preserve"> </w:t>
      </w:r>
      <w:r w:rsidR="00B4506E" w:rsidRPr="00A04CED">
        <w:rPr>
          <w:rFonts w:ascii="Times New Roman" w:hAnsi="Times New Roman" w:cs="Times New Roman"/>
          <w:sz w:val="24"/>
          <w:szCs w:val="24"/>
        </w:rPr>
        <w:t xml:space="preserve">Zgodnie z </w:t>
      </w:r>
      <w:r w:rsidR="00812608" w:rsidRPr="00A04CED">
        <w:rPr>
          <w:rFonts w:ascii="Times New Roman" w:hAnsi="Times New Roman" w:cs="Times New Roman"/>
          <w:sz w:val="24"/>
          <w:szCs w:val="24"/>
        </w:rPr>
        <w:t>nim</w:t>
      </w:r>
      <w:r w:rsidR="00B4506E" w:rsidRPr="00A04CED">
        <w:rPr>
          <w:rFonts w:ascii="Times New Roman" w:hAnsi="Times New Roman" w:cs="Times New Roman"/>
          <w:sz w:val="24"/>
          <w:szCs w:val="24"/>
        </w:rPr>
        <w:t xml:space="preserve"> w sytuacji gdy</w:t>
      </w:r>
      <w:r w:rsidR="00AA147F">
        <w:rPr>
          <w:rFonts w:ascii="Times New Roman" w:hAnsi="Times New Roman" w:cs="Times New Roman"/>
          <w:sz w:val="24"/>
          <w:szCs w:val="24"/>
        </w:rPr>
        <w:t>,</w:t>
      </w:r>
      <w:r w:rsidR="00B4506E" w:rsidRPr="00A04CED">
        <w:rPr>
          <w:rFonts w:ascii="Times New Roman" w:hAnsi="Times New Roman" w:cs="Times New Roman"/>
          <w:sz w:val="24"/>
          <w:szCs w:val="24"/>
        </w:rPr>
        <w:t xml:space="preserve"> skład grupy kapitałowej uległ zmianie w trakcie danego roku obrotowego w wyniku nabycia lub połączenia jednostek zależnych,</w:t>
      </w:r>
      <w:r w:rsidR="005D4157" w:rsidRPr="00A04CED">
        <w:rPr>
          <w:rFonts w:ascii="Times New Roman" w:hAnsi="Times New Roman" w:cs="Times New Roman"/>
          <w:sz w:val="24"/>
          <w:szCs w:val="24"/>
        </w:rPr>
        <w:t xml:space="preserve"> jednost</w:t>
      </w:r>
      <w:r w:rsidR="00B4506E" w:rsidRPr="00A04CED">
        <w:rPr>
          <w:rFonts w:ascii="Times New Roman" w:hAnsi="Times New Roman" w:cs="Times New Roman"/>
          <w:sz w:val="24"/>
          <w:szCs w:val="24"/>
        </w:rPr>
        <w:t>ka</w:t>
      </w:r>
      <w:r w:rsidR="005D4157" w:rsidRPr="00A04CED">
        <w:rPr>
          <w:rFonts w:ascii="Times New Roman" w:hAnsi="Times New Roman" w:cs="Times New Roman"/>
          <w:sz w:val="24"/>
          <w:szCs w:val="24"/>
        </w:rPr>
        <w:t xml:space="preserve"> dominując</w:t>
      </w:r>
      <w:r w:rsidR="00B4506E" w:rsidRPr="00A04CED">
        <w:rPr>
          <w:rFonts w:ascii="Times New Roman" w:hAnsi="Times New Roman" w:cs="Times New Roman"/>
          <w:sz w:val="24"/>
          <w:szCs w:val="24"/>
        </w:rPr>
        <w:t>a</w:t>
      </w:r>
      <w:r w:rsidR="005D4157" w:rsidRPr="00A04CED">
        <w:rPr>
          <w:rFonts w:ascii="Times New Roman" w:hAnsi="Times New Roman" w:cs="Times New Roman"/>
          <w:sz w:val="24"/>
          <w:szCs w:val="24"/>
        </w:rPr>
        <w:t xml:space="preserve"> </w:t>
      </w:r>
      <w:r w:rsidR="00B4506E" w:rsidRPr="00A04CED">
        <w:rPr>
          <w:rFonts w:ascii="Times New Roman" w:hAnsi="Times New Roman" w:cs="Times New Roman"/>
          <w:sz w:val="24"/>
          <w:szCs w:val="24"/>
        </w:rPr>
        <w:t xml:space="preserve">będzie miała możliwość </w:t>
      </w:r>
      <w:r w:rsidR="004A68C6" w:rsidRPr="00A04CED">
        <w:rPr>
          <w:rFonts w:ascii="Times New Roman" w:hAnsi="Times New Roman" w:cs="Times New Roman"/>
          <w:sz w:val="24"/>
          <w:szCs w:val="24"/>
        </w:rPr>
        <w:t>pominięci</w:t>
      </w:r>
      <w:r w:rsidR="00B4506E" w:rsidRPr="00A04CED">
        <w:rPr>
          <w:rFonts w:ascii="Times New Roman" w:hAnsi="Times New Roman" w:cs="Times New Roman"/>
          <w:sz w:val="24"/>
          <w:szCs w:val="24"/>
        </w:rPr>
        <w:t>a</w:t>
      </w:r>
      <w:r w:rsidR="004A68C6" w:rsidRPr="00A04CED">
        <w:rPr>
          <w:rFonts w:ascii="Times New Roman" w:hAnsi="Times New Roman" w:cs="Times New Roman"/>
          <w:sz w:val="24"/>
          <w:szCs w:val="24"/>
        </w:rPr>
        <w:t xml:space="preserve"> w</w:t>
      </w:r>
      <w:r w:rsidR="005D4157" w:rsidRPr="00A04CED">
        <w:rPr>
          <w:rFonts w:ascii="Times New Roman" w:hAnsi="Times New Roman" w:cs="Times New Roman"/>
          <w:sz w:val="24"/>
          <w:szCs w:val="24"/>
        </w:rPr>
        <w:t xml:space="preserve"> sprawozdawczości zrównoważonego rozwoju </w:t>
      </w:r>
      <w:r w:rsidR="004A68C6" w:rsidRPr="00A04CED">
        <w:rPr>
          <w:rFonts w:ascii="Times New Roman" w:hAnsi="Times New Roman" w:cs="Times New Roman"/>
          <w:sz w:val="24"/>
          <w:szCs w:val="24"/>
        </w:rPr>
        <w:t xml:space="preserve">grupy kapitałowej za </w:t>
      </w:r>
      <w:r w:rsidR="00B4506E" w:rsidRPr="00A04CED">
        <w:rPr>
          <w:rFonts w:ascii="Times New Roman" w:hAnsi="Times New Roman" w:cs="Times New Roman"/>
          <w:sz w:val="24"/>
          <w:szCs w:val="24"/>
        </w:rPr>
        <w:t>ten</w:t>
      </w:r>
      <w:r w:rsidR="004A68C6" w:rsidRPr="00A04CED">
        <w:rPr>
          <w:rFonts w:ascii="Times New Roman" w:hAnsi="Times New Roman" w:cs="Times New Roman"/>
          <w:sz w:val="24"/>
          <w:szCs w:val="24"/>
        </w:rPr>
        <w:t xml:space="preserve"> rok obrotowy informacji ESG na temat </w:t>
      </w:r>
      <w:r w:rsidR="00B4506E" w:rsidRPr="00A04CED">
        <w:rPr>
          <w:rFonts w:ascii="Times New Roman" w:hAnsi="Times New Roman" w:cs="Times New Roman"/>
          <w:sz w:val="24"/>
          <w:szCs w:val="24"/>
        </w:rPr>
        <w:t xml:space="preserve">takich jednostek </w:t>
      </w:r>
      <w:r w:rsidR="004A68C6" w:rsidRPr="00A04CED">
        <w:rPr>
          <w:rFonts w:ascii="Times New Roman" w:hAnsi="Times New Roman" w:cs="Times New Roman"/>
          <w:sz w:val="24"/>
          <w:szCs w:val="24"/>
        </w:rPr>
        <w:t>zależnych</w:t>
      </w:r>
      <w:r w:rsidR="00B4506E" w:rsidRPr="00A04CED">
        <w:rPr>
          <w:rFonts w:ascii="Times New Roman" w:hAnsi="Times New Roman" w:cs="Times New Roman"/>
          <w:sz w:val="24"/>
          <w:szCs w:val="24"/>
        </w:rPr>
        <w:t>.</w:t>
      </w:r>
      <w:r w:rsidR="0062419A" w:rsidRPr="00A04CED">
        <w:rPr>
          <w:rFonts w:ascii="Times New Roman" w:hAnsi="Times New Roman" w:cs="Times New Roman"/>
          <w:sz w:val="24"/>
          <w:szCs w:val="24"/>
        </w:rPr>
        <w:t xml:space="preserve"> </w:t>
      </w:r>
      <w:r w:rsidR="005D4157" w:rsidRPr="00A04CED">
        <w:rPr>
          <w:rFonts w:ascii="Times New Roman" w:hAnsi="Times New Roman" w:cs="Times New Roman"/>
          <w:sz w:val="24"/>
          <w:szCs w:val="24"/>
        </w:rPr>
        <w:t xml:space="preserve">Biorąc </w:t>
      </w:r>
      <w:r w:rsidR="00B4506E" w:rsidRPr="00A04CED">
        <w:rPr>
          <w:rFonts w:ascii="Times New Roman" w:hAnsi="Times New Roman" w:cs="Times New Roman"/>
          <w:sz w:val="24"/>
          <w:szCs w:val="24"/>
        </w:rPr>
        <w:t xml:space="preserve">jednak </w:t>
      </w:r>
      <w:r w:rsidR="005D4157" w:rsidRPr="00A04CED">
        <w:rPr>
          <w:rFonts w:ascii="Times New Roman" w:hAnsi="Times New Roman" w:cs="Times New Roman"/>
          <w:sz w:val="24"/>
          <w:szCs w:val="24"/>
        </w:rPr>
        <w:t xml:space="preserve">pod uwagę, że niektóre </w:t>
      </w:r>
      <w:r w:rsidR="00B4506E" w:rsidRPr="00A04CED">
        <w:rPr>
          <w:rFonts w:ascii="Times New Roman" w:hAnsi="Times New Roman" w:cs="Times New Roman"/>
          <w:sz w:val="24"/>
          <w:szCs w:val="24"/>
        </w:rPr>
        <w:t xml:space="preserve">zaistniałe w trakcie tego roku obrotowego </w:t>
      </w:r>
      <w:r w:rsidR="005D4157" w:rsidRPr="00A04CED">
        <w:rPr>
          <w:rFonts w:ascii="Times New Roman" w:hAnsi="Times New Roman" w:cs="Times New Roman"/>
          <w:sz w:val="24"/>
          <w:szCs w:val="24"/>
        </w:rPr>
        <w:t xml:space="preserve">zdarzenia mające wpływ na </w:t>
      </w:r>
      <w:r w:rsidR="00B4506E" w:rsidRPr="00A04CED">
        <w:rPr>
          <w:rFonts w:ascii="Times New Roman" w:hAnsi="Times New Roman" w:cs="Times New Roman"/>
          <w:sz w:val="24"/>
          <w:szCs w:val="24"/>
        </w:rPr>
        <w:t xml:space="preserve">przejęte lub połączone </w:t>
      </w:r>
      <w:r w:rsidR="005D4157" w:rsidRPr="00A04CED">
        <w:rPr>
          <w:rFonts w:ascii="Times New Roman" w:hAnsi="Times New Roman" w:cs="Times New Roman"/>
          <w:sz w:val="24"/>
          <w:szCs w:val="24"/>
        </w:rPr>
        <w:t>jednostki</w:t>
      </w:r>
      <w:r w:rsidR="00B4506E" w:rsidRPr="00A04CED">
        <w:rPr>
          <w:rFonts w:ascii="Times New Roman" w:hAnsi="Times New Roman" w:cs="Times New Roman"/>
          <w:sz w:val="24"/>
          <w:szCs w:val="24"/>
        </w:rPr>
        <w:t xml:space="preserve"> zależne</w:t>
      </w:r>
      <w:r w:rsidR="005D4157" w:rsidRPr="00A04CED">
        <w:rPr>
          <w:rFonts w:ascii="Times New Roman" w:hAnsi="Times New Roman" w:cs="Times New Roman"/>
          <w:sz w:val="24"/>
          <w:szCs w:val="24"/>
        </w:rPr>
        <w:t xml:space="preserve"> mogą </w:t>
      </w:r>
      <w:r w:rsidR="000046D3" w:rsidRPr="00A04CED">
        <w:rPr>
          <w:rFonts w:ascii="Times New Roman" w:hAnsi="Times New Roman" w:cs="Times New Roman"/>
          <w:sz w:val="24"/>
          <w:szCs w:val="24"/>
        </w:rPr>
        <w:t>również</w:t>
      </w:r>
      <w:r w:rsidR="005D4157" w:rsidRPr="00A04CED">
        <w:rPr>
          <w:rFonts w:ascii="Times New Roman" w:hAnsi="Times New Roman" w:cs="Times New Roman"/>
          <w:sz w:val="24"/>
          <w:szCs w:val="24"/>
        </w:rPr>
        <w:t xml:space="preserve"> oddziaływać na wpływy grupy </w:t>
      </w:r>
      <w:r w:rsidR="000046D3" w:rsidRPr="00A04CED">
        <w:rPr>
          <w:rFonts w:ascii="Times New Roman" w:hAnsi="Times New Roman" w:cs="Times New Roman"/>
          <w:sz w:val="24"/>
          <w:szCs w:val="24"/>
        </w:rPr>
        <w:t>na</w:t>
      </w:r>
      <w:r w:rsidR="005D4157" w:rsidRPr="00A04CED">
        <w:rPr>
          <w:rFonts w:ascii="Times New Roman" w:hAnsi="Times New Roman" w:cs="Times New Roman"/>
          <w:sz w:val="24"/>
          <w:szCs w:val="24"/>
        </w:rPr>
        <w:t xml:space="preserve"> kwesti</w:t>
      </w:r>
      <w:r w:rsidR="000046D3" w:rsidRPr="00A04CED">
        <w:rPr>
          <w:rFonts w:ascii="Times New Roman" w:hAnsi="Times New Roman" w:cs="Times New Roman"/>
          <w:sz w:val="24"/>
          <w:szCs w:val="24"/>
        </w:rPr>
        <w:t>e</w:t>
      </w:r>
      <w:r w:rsidR="005D4157" w:rsidRPr="00A04CED">
        <w:rPr>
          <w:rFonts w:ascii="Times New Roman" w:hAnsi="Times New Roman" w:cs="Times New Roman"/>
          <w:sz w:val="24"/>
          <w:szCs w:val="24"/>
        </w:rPr>
        <w:t xml:space="preserve"> </w:t>
      </w:r>
      <w:r w:rsidR="005D4157" w:rsidRPr="00A04CED">
        <w:rPr>
          <w:rFonts w:ascii="Times New Roman" w:hAnsi="Times New Roman" w:cs="Times New Roman"/>
          <w:sz w:val="24"/>
          <w:szCs w:val="24"/>
        </w:rPr>
        <w:lastRenderedPageBreak/>
        <w:t xml:space="preserve">zrównoważonego rozwoju lub </w:t>
      </w:r>
      <w:r w:rsidR="000046D3" w:rsidRPr="00A04CED">
        <w:rPr>
          <w:rFonts w:ascii="Times New Roman" w:hAnsi="Times New Roman" w:cs="Times New Roman"/>
          <w:sz w:val="24"/>
          <w:szCs w:val="24"/>
        </w:rPr>
        <w:t>na</w:t>
      </w:r>
      <w:r w:rsidR="005D4157" w:rsidRPr="00A04CED">
        <w:rPr>
          <w:rFonts w:ascii="Times New Roman" w:hAnsi="Times New Roman" w:cs="Times New Roman"/>
          <w:sz w:val="24"/>
          <w:szCs w:val="24"/>
        </w:rPr>
        <w:t xml:space="preserve"> ryzyka </w:t>
      </w:r>
      <w:r w:rsidR="000046D3" w:rsidRPr="00A04CED">
        <w:rPr>
          <w:rFonts w:ascii="Times New Roman" w:hAnsi="Times New Roman" w:cs="Times New Roman"/>
          <w:sz w:val="24"/>
          <w:szCs w:val="24"/>
        </w:rPr>
        <w:t>czy</w:t>
      </w:r>
      <w:r w:rsidR="005D4157" w:rsidRPr="00A04CED">
        <w:rPr>
          <w:rFonts w:ascii="Times New Roman" w:hAnsi="Times New Roman" w:cs="Times New Roman"/>
          <w:sz w:val="24"/>
          <w:szCs w:val="24"/>
        </w:rPr>
        <w:t xml:space="preserve"> szanse</w:t>
      </w:r>
      <w:r w:rsidR="000046D3" w:rsidRPr="00A04CED">
        <w:rPr>
          <w:rFonts w:ascii="Times New Roman" w:hAnsi="Times New Roman" w:cs="Times New Roman"/>
          <w:sz w:val="24"/>
          <w:szCs w:val="24"/>
        </w:rPr>
        <w:t xml:space="preserve"> grupy</w:t>
      </w:r>
      <w:r w:rsidR="005D4157" w:rsidRPr="00A04CED">
        <w:rPr>
          <w:rFonts w:ascii="Times New Roman" w:hAnsi="Times New Roman" w:cs="Times New Roman"/>
          <w:sz w:val="24"/>
          <w:szCs w:val="24"/>
        </w:rPr>
        <w:t xml:space="preserve"> związane z kwestiami zrównoważonego rozwoju, </w:t>
      </w:r>
      <w:r w:rsidR="002B6FC1" w:rsidRPr="00A04CED">
        <w:rPr>
          <w:rFonts w:ascii="Times New Roman" w:hAnsi="Times New Roman" w:cs="Times New Roman"/>
          <w:sz w:val="24"/>
          <w:szCs w:val="24"/>
        </w:rPr>
        <w:t>j</w:t>
      </w:r>
      <w:r w:rsidR="005D4157" w:rsidRPr="00A04CED">
        <w:rPr>
          <w:rFonts w:ascii="Times New Roman" w:hAnsi="Times New Roman" w:cs="Times New Roman"/>
          <w:sz w:val="24"/>
          <w:szCs w:val="24"/>
        </w:rPr>
        <w:t>ednost</w:t>
      </w:r>
      <w:r w:rsidR="002B6FC1" w:rsidRPr="00A04CED">
        <w:rPr>
          <w:rFonts w:ascii="Times New Roman" w:hAnsi="Times New Roman" w:cs="Times New Roman"/>
          <w:sz w:val="24"/>
          <w:szCs w:val="24"/>
        </w:rPr>
        <w:t>ka</w:t>
      </w:r>
      <w:r w:rsidR="005D4157" w:rsidRPr="00A04CED">
        <w:rPr>
          <w:rFonts w:ascii="Times New Roman" w:hAnsi="Times New Roman" w:cs="Times New Roman"/>
          <w:sz w:val="24"/>
          <w:szCs w:val="24"/>
        </w:rPr>
        <w:t xml:space="preserve"> dominując</w:t>
      </w:r>
      <w:r w:rsidR="002B6FC1" w:rsidRPr="00A04CED">
        <w:rPr>
          <w:rFonts w:ascii="Times New Roman" w:hAnsi="Times New Roman" w:cs="Times New Roman"/>
          <w:sz w:val="24"/>
          <w:szCs w:val="24"/>
        </w:rPr>
        <w:t>a</w:t>
      </w:r>
      <w:r w:rsidR="000046D3" w:rsidRPr="00A04CED">
        <w:rPr>
          <w:rFonts w:ascii="Times New Roman" w:hAnsi="Times New Roman" w:cs="Times New Roman"/>
          <w:sz w:val="24"/>
          <w:szCs w:val="24"/>
        </w:rPr>
        <w:t xml:space="preserve"> korzystająca z ww. możliwości pominięcia informacji będzie</w:t>
      </w:r>
      <w:r w:rsidR="002B6FC1" w:rsidRPr="00A04CED">
        <w:rPr>
          <w:rFonts w:ascii="Times New Roman" w:hAnsi="Times New Roman" w:cs="Times New Roman"/>
          <w:sz w:val="24"/>
          <w:szCs w:val="24"/>
        </w:rPr>
        <w:t xml:space="preserve"> zobowiązana </w:t>
      </w:r>
      <w:r w:rsidR="005D4157" w:rsidRPr="00A04CED">
        <w:rPr>
          <w:rFonts w:ascii="Times New Roman" w:hAnsi="Times New Roman" w:cs="Times New Roman"/>
          <w:sz w:val="24"/>
          <w:szCs w:val="24"/>
        </w:rPr>
        <w:t xml:space="preserve">do wskazania </w:t>
      </w:r>
      <w:r w:rsidR="0062419A" w:rsidRPr="00A04CED">
        <w:rPr>
          <w:rFonts w:ascii="Times New Roman" w:hAnsi="Times New Roman" w:cs="Times New Roman"/>
          <w:sz w:val="24"/>
          <w:szCs w:val="24"/>
        </w:rPr>
        <w:t>takich, ale jedynie</w:t>
      </w:r>
      <w:r w:rsidR="005D4157" w:rsidRPr="00A04CED">
        <w:rPr>
          <w:rFonts w:ascii="Times New Roman" w:hAnsi="Times New Roman" w:cs="Times New Roman"/>
          <w:sz w:val="24"/>
          <w:szCs w:val="24"/>
        </w:rPr>
        <w:t xml:space="preserve"> istotnych</w:t>
      </w:r>
      <w:r w:rsidR="0062419A" w:rsidRPr="00A04CED">
        <w:rPr>
          <w:rFonts w:ascii="Times New Roman" w:hAnsi="Times New Roman" w:cs="Times New Roman"/>
          <w:sz w:val="24"/>
          <w:szCs w:val="24"/>
        </w:rPr>
        <w:t>,</w:t>
      </w:r>
      <w:r w:rsidR="005D4157" w:rsidRPr="00A04CED">
        <w:rPr>
          <w:rFonts w:ascii="Times New Roman" w:hAnsi="Times New Roman" w:cs="Times New Roman"/>
          <w:sz w:val="24"/>
          <w:szCs w:val="24"/>
        </w:rPr>
        <w:t xml:space="preserve"> zdarzeń w </w:t>
      </w:r>
      <w:r w:rsidR="0062419A" w:rsidRPr="00A04CED">
        <w:rPr>
          <w:rFonts w:ascii="Times New Roman" w:hAnsi="Times New Roman" w:cs="Times New Roman"/>
          <w:sz w:val="24"/>
          <w:szCs w:val="24"/>
        </w:rPr>
        <w:t>sprawozdawczości zrównoważonego rozwoju grupy kapitałowej</w:t>
      </w:r>
      <w:r w:rsidR="005D4157" w:rsidRPr="00A04CED">
        <w:rPr>
          <w:rFonts w:ascii="Times New Roman" w:hAnsi="Times New Roman" w:cs="Times New Roman"/>
          <w:sz w:val="24"/>
          <w:szCs w:val="24"/>
        </w:rPr>
        <w:t>.</w:t>
      </w:r>
      <w:r w:rsidR="0062419A" w:rsidRPr="00A04CED">
        <w:rPr>
          <w:rFonts w:ascii="Times New Roman" w:hAnsi="Times New Roman" w:cs="Times New Roman"/>
          <w:sz w:val="24"/>
          <w:szCs w:val="24"/>
        </w:rPr>
        <w:t xml:space="preserve"> </w:t>
      </w:r>
      <w:r w:rsidR="00812608" w:rsidRPr="00A04CED">
        <w:rPr>
          <w:rFonts w:ascii="Times New Roman" w:hAnsi="Times New Roman" w:cs="Times New Roman"/>
          <w:sz w:val="24"/>
          <w:szCs w:val="24"/>
        </w:rPr>
        <w:t>Podobnie</w:t>
      </w:r>
      <w:r w:rsidR="0062419A" w:rsidRPr="00A04CED">
        <w:rPr>
          <w:rFonts w:ascii="Times New Roman" w:hAnsi="Times New Roman" w:cs="Times New Roman"/>
          <w:sz w:val="24"/>
          <w:szCs w:val="24"/>
        </w:rPr>
        <w:t xml:space="preserve"> analogiczn</w:t>
      </w:r>
      <w:r w:rsidR="00812608" w:rsidRPr="00A04CED">
        <w:rPr>
          <w:rFonts w:ascii="Times New Roman" w:hAnsi="Times New Roman" w:cs="Times New Roman"/>
          <w:sz w:val="24"/>
          <w:szCs w:val="24"/>
        </w:rPr>
        <w:t>a</w:t>
      </w:r>
      <w:r w:rsidR="0062419A" w:rsidRPr="00A04CED">
        <w:rPr>
          <w:rFonts w:ascii="Times New Roman" w:hAnsi="Times New Roman" w:cs="Times New Roman"/>
          <w:sz w:val="24"/>
          <w:szCs w:val="24"/>
        </w:rPr>
        <w:t xml:space="preserve"> możliwość</w:t>
      </w:r>
      <w:r w:rsidR="00812608" w:rsidRPr="00A04CED">
        <w:rPr>
          <w:rFonts w:ascii="Times New Roman" w:hAnsi="Times New Roman" w:cs="Times New Roman"/>
          <w:sz w:val="24"/>
          <w:szCs w:val="24"/>
        </w:rPr>
        <w:t xml:space="preserve"> będzie występowała</w:t>
      </w:r>
      <w:r w:rsidR="0062419A" w:rsidRPr="00A04CED">
        <w:rPr>
          <w:rFonts w:ascii="Times New Roman" w:hAnsi="Times New Roman" w:cs="Times New Roman"/>
          <w:sz w:val="24"/>
          <w:szCs w:val="24"/>
        </w:rPr>
        <w:t xml:space="preserve"> w odniesieniu do jednostki zależnej, która przestała być częścią danej grupy kapitałowej w trakcie danego roku obrotowego</w:t>
      </w:r>
      <w:r w:rsidR="00FE1B83" w:rsidRPr="00A04CED">
        <w:rPr>
          <w:rFonts w:ascii="Times New Roman" w:hAnsi="Times New Roman" w:cs="Times New Roman"/>
          <w:sz w:val="24"/>
          <w:szCs w:val="24"/>
        </w:rPr>
        <w:t>;</w:t>
      </w:r>
    </w:p>
    <w:p w14:paraId="11A24FD7" w14:textId="0A303B77" w:rsidR="0062419A" w:rsidRPr="00A04CED" w:rsidRDefault="0062419A" w:rsidP="009958B1">
      <w:pPr>
        <w:pStyle w:val="Akapitzlist"/>
        <w:numPr>
          <w:ilvl w:val="0"/>
          <w:numId w:val="19"/>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zmiana w ust. 10</w:t>
      </w:r>
      <w:r w:rsidRPr="00A04CED">
        <w:rPr>
          <w:rFonts w:ascii="Times New Roman" w:hAnsi="Times New Roman" w:cs="Times New Roman"/>
          <w:sz w:val="24"/>
          <w:szCs w:val="24"/>
        </w:rPr>
        <w:t xml:space="preserve"> ma charakter techniczny związany ze zmianą zakresu jednostek zobowiązanych do sporządzania sprawozdawczości zrównoważonego rozwoju grupy kapitałowej</w:t>
      </w:r>
      <w:r w:rsidR="007009CB" w:rsidRPr="00A04CED">
        <w:rPr>
          <w:rFonts w:ascii="Times New Roman" w:hAnsi="Times New Roman" w:cs="Times New Roman"/>
          <w:sz w:val="24"/>
          <w:szCs w:val="24"/>
        </w:rPr>
        <w:t xml:space="preserve"> i skreśleniem definicji dużej grupy</w:t>
      </w:r>
      <w:r w:rsidRPr="00A04CED">
        <w:rPr>
          <w:rFonts w:ascii="Times New Roman" w:hAnsi="Times New Roman" w:cs="Times New Roman"/>
          <w:sz w:val="24"/>
          <w:szCs w:val="24"/>
        </w:rPr>
        <w:t xml:space="preserve">. W miejsce dotychczasowego </w:t>
      </w:r>
      <w:r w:rsidR="007009CB" w:rsidRPr="00A04CED">
        <w:rPr>
          <w:rFonts w:ascii="Times New Roman" w:hAnsi="Times New Roman" w:cs="Times New Roman"/>
          <w:sz w:val="24"/>
          <w:szCs w:val="24"/>
        </w:rPr>
        <w:t>powołania na</w:t>
      </w:r>
      <w:r w:rsidRPr="00A04CED">
        <w:rPr>
          <w:rFonts w:ascii="Times New Roman" w:hAnsi="Times New Roman" w:cs="Times New Roman"/>
          <w:sz w:val="24"/>
          <w:szCs w:val="24"/>
        </w:rPr>
        <w:t xml:space="preserve"> </w:t>
      </w:r>
      <w:r w:rsidR="007009CB" w:rsidRPr="00A04CED">
        <w:rPr>
          <w:rFonts w:ascii="Times New Roman" w:hAnsi="Times New Roman" w:cs="Times New Roman"/>
          <w:sz w:val="24"/>
          <w:szCs w:val="24"/>
        </w:rPr>
        <w:t xml:space="preserve">„jednostkę dominującą </w:t>
      </w:r>
      <w:r w:rsidRPr="00A04CED">
        <w:rPr>
          <w:rFonts w:ascii="Times New Roman" w:hAnsi="Times New Roman" w:cs="Times New Roman"/>
          <w:sz w:val="24"/>
          <w:szCs w:val="24"/>
        </w:rPr>
        <w:t>dużej grupy</w:t>
      </w:r>
      <w:r w:rsidR="007009CB" w:rsidRPr="00A04CED">
        <w:rPr>
          <w:rFonts w:ascii="Times New Roman" w:hAnsi="Times New Roman" w:cs="Times New Roman"/>
          <w:sz w:val="24"/>
          <w:szCs w:val="24"/>
        </w:rPr>
        <w:t>” przepis powołuje się na „jednostkę dominującą, o której mowa w ust. 1” (tj. taką, która zgodnie z nowym zakresem ma obowiązek sporządzania sprawozdawczości ESG na poziomie grupy).</w:t>
      </w:r>
    </w:p>
    <w:p w14:paraId="033988B1" w14:textId="18952717" w:rsidR="00A610DD" w:rsidRPr="00A04CED" w:rsidRDefault="00BC3586" w:rsidP="009958B1">
      <w:pPr>
        <w:pStyle w:val="USTustnpkodeksu"/>
        <w:spacing w:before="120"/>
        <w:ind w:firstLine="0"/>
        <w:rPr>
          <w:rFonts w:ascii="Times New Roman" w:hAnsi="Times New Roman" w:cs="Times New Roman"/>
          <w:szCs w:val="24"/>
        </w:rPr>
      </w:pPr>
      <w:r w:rsidRPr="00A04CED">
        <w:rPr>
          <w:rFonts w:ascii="Times New Roman" w:hAnsi="Times New Roman" w:cs="Times New Roman"/>
          <w:b/>
          <w:bCs w:val="0"/>
          <w:szCs w:val="24"/>
        </w:rPr>
        <w:t>Zmian</w:t>
      </w:r>
      <w:r w:rsidR="00A610DD" w:rsidRPr="00A04CED">
        <w:rPr>
          <w:rFonts w:ascii="Times New Roman" w:hAnsi="Times New Roman" w:cs="Times New Roman"/>
          <w:b/>
          <w:bCs w:val="0"/>
          <w:szCs w:val="24"/>
        </w:rPr>
        <w:t>y</w:t>
      </w:r>
      <w:r w:rsidR="001D7FAE" w:rsidRPr="00A04CED">
        <w:rPr>
          <w:rFonts w:ascii="Times New Roman" w:hAnsi="Times New Roman" w:cs="Times New Roman"/>
          <w:b/>
          <w:bCs w:val="0"/>
          <w:szCs w:val="24"/>
        </w:rPr>
        <w:t xml:space="preserve"> w</w:t>
      </w:r>
      <w:r w:rsidRPr="00A04CED">
        <w:rPr>
          <w:rFonts w:ascii="Times New Roman" w:hAnsi="Times New Roman" w:cs="Times New Roman"/>
          <w:b/>
          <w:bCs w:val="0"/>
          <w:szCs w:val="24"/>
        </w:rPr>
        <w:t xml:space="preserve"> </w:t>
      </w:r>
      <w:r w:rsidR="00C154A3" w:rsidRPr="00A04CED">
        <w:rPr>
          <w:rFonts w:ascii="Times New Roman" w:hAnsi="Times New Roman" w:cs="Times New Roman"/>
          <w:b/>
          <w:bCs w:val="0"/>
          <w:szCs w:val="24"/>
        </w:rPr>
        <w:t>art. 63zd</w:t>
      </w:r>
      <w:r w:rsidRPr="00A04CED">
        <w:rPr>
          <w:rFonts w:ascii="Times New Roman" w:hAnsi="Times New Roman" w:cs="Times New Roman"/>
          <w:szCs w:val="24"/>
        </w:rPr>
        <w:t xml:space="preserve"> wynika</w:t>
      </w:r>
      <w:r w:rsidR="00A610DD" w:rsidRPr="00A04CED">
        <w:rPr>
          <w:rFonts w:ascii="Times New Roman" w:hAnsi="Times New Roman" w:cs="Times New Roman"/>
          <w:szCs w:val="24"/>
        </w:rPr>
        <w:t>ją</w:t>
      </w:r>
      <w:r w:rsidRPr="00A04CED">
        <w:rPr>
          <w:rFonts w:ascii="Times New Roman" w:hAnsi="Times New Roman" w:cs="Times New Roman"/>
          <w:szCs w:val="24"/>
        </w:rPr>
        <w:t xml:space="preserve"> z konieczności dostosowania</w:t>
      </w:r>
      <w:r w:rsidR="00A610DD" w:rsidRPr="00A04CED">
        <w:rPr>
          <w:rFonts w:ascii="Times New Roman" w:hAnsi="Times New Roman" w:cs="Times New Roman"/>
          <w:szCs w:val="24"/>
        </w:rPr>
        <w:t xml:space="preserve"> przepisów do zmian w art. 40a dyrektywy 2013/34/UE</w:t>
      </w:r>
      <w:r w:rsidR="00981F72" w:rsidRPr="00A04CED">
        <w:rPr>
          <w:rFonts w:ascii="Times New Roman" w:hAnsi="Times New Roman" w:cs="Times New Roman"/>
          <w:szCs w:val="24"/>
        </w:rPr>
        <w:t xml:space="preserve"> wprowadzonych przez dyrektywę 2026/470</w:t>
      </w:r>
      <w:r w:rsidR="00A610DD" w:rsidRPr="00A04CED">
        <w:rPr>
          <w:rFonts w:ascii="Times New Roman" w:hAnsi="Times New Roman" w:cs="Times New Roman"/>
          <w:szCs w:val="24"/>
        </w:rPr>
        <w:t>. I tak:</w:t>
      </w:r>
    </w:p>
    <w:p w14:paraId="70419595" w14:textId="2D096E94" w:rsidR="007B2360" w:rsidRPr="00A04CED" w:rsidRDefault="00A610DD" w:rsidP="009958B1">
      <w:pPr>
        <w:pStyle w:val="USTustnpkodeksu"/>
        <w:numPr>
          <w:ilvl w:val="0"/>
          <w:numId w:val="20"/>
        </w:numPr>
        <w:spacing w:before="120"/>
        <w:rPr>
          <w:rFonts w:ascii="Times New Roman" w:hAnsi="Times New Roman" w:cs="Times New Roman"/>
          <w:szCs w:val="24"/>
        </w:rPr>
      </w:pPr>
      <w:r w:rsidRPr="00A04CED">
        <w:rPr>
          <w:rFonts w:ascii="Times New Roman" w:hAnsi="Times New Roman" w:cs="Times New Roman"/>
          <w:b/>
          <w:bCs w:val="0"/>
          <w:szCs w:val="24"/>
        </w:rPr>
        <w:t>w ust. 1 w pkt 1 w lit. a</w:t>
      </w:r>
      <w:r w:rsidRPr="00A04CED">
        <w:rPr>
          <w:rFonts w:ascii="Times New Roman" w:hAnsi="Times New Roman" w:cs="Times New Roman"/>
          <w:szCs w:val="24"/>
        </w:rPr>
        <w:t xml:space="preserve"> z</w:t>
      </w:r>
      <w:r w:rsidR="007A151A" w:rsidRPr="00A04CED">
        <w:rPr>
          <w:rFonts w:ascii="Times New Roman" w:hAnsi="Times New Roman" w:cs="Times New Roman"/>
          <w:szCs w:val="24"/>
        </w:rPr>
        <w:t>awężono</w:t>
      </w:r>
      <w:r w:rsidRPr="00A04CED">
        <w:rPr>
          <w:rFonts w:ascii="Times New Roman" w:hAnsi="Times New Roman" w:cs="Times New Roman"/>
          <w:szCs w:val="24"/>
        </w:rPr>
        <w:t xml:space="preserve"> zakres polskich jednostek zależnych zobowiązanych do publikacji sprawozdawczości zrównoważonego rozwoju jednostek z państw </w:t>
      </w:r>
      <w:r w:rsidR="002A090A" w:rsidRPr="00A04CED">
        <w:rPr>
          <w:rFonts w:ascii="Times New Roman" w:hAnsi="Times New Roman" w:cs="Times New Roman"/>
          <w:szCs w:val="24"/>
        </w:rPr>
        <w:t>spoza Europejskiego Obszaru Gospodarczego. W miejsce dotychczasowy</w:t>
      </w:r>
      <w:r w:rsidR="00FE1B83" w:rsidRPr="00A04CED">
        <w:rPr>
          <w:rFonts w:ascii="Times New Roman" w:hAnsi="Times New Roman" w:cs="Times New Roman"/>
          <w:szCs w:val="24"/>
        </w:rPr>
        <w:t>ch</w:t>
      </w:r>
      <w:r w:rsidR="002A090A" w:rsidRPr="00A04CED">
        <w:rPr>
          <w:rFonts w:ascii="Times New Roman" w:hAnsi="Times New Roman" w:cs="Times New Roman"/>
          <w:szCs w:val="24"/>
        </w:rPr>
        <w:t xml:space="preserve"> jednostek dużych oraz małych i średnich emitentów z rynku regulowanego ww. obowiązkiem objęte będą jedynie jednostki zależne generujące przychody netto ze sprzedaży towarów i produktów przekraczające 890 000 000 zł. Kwota ta wynika z przeliczenia </w:t>
      </w:r>
      <w:r w:rsidR="007B2360" w:rsidRPr="00A04CED">
        <w:rPr>
          <w:rFonts w:ascii="Times New Roman" w:hAnsi="Times New Roman" w:cs="Times New Roman"/>
          <w:szCs w:val="24"/>
        </w:rPr>
        <w:t xml:space="preserve">kwoty </w:t>
      </w:r>
      <w:r w:rsidR="002A090A" w:rsidRPr="00A04CED">
        <w:rPr>
          <w:rFonts w:ascii="Times New Roman" w:hAnsi="Times New Roman" w:cs="Times New Roman"/>
          <w:szCs w:val="24"/>
        </w:rPr>
        <w:t>200 000 euro na</w:t>
      </w:r>
      <w:r w:rsidR="007B2360" w:rsidRPr="00A04CED">
        <w:rPr>
          <w:rFonts w:ascii="Times New Roman" w:hAnsi="Times New Roman" w:cs="Times New Roman"/>
          <w:szCs w:val="24"/>
        </w:rPr>
        <w:t xml:space="preserve"> walutę polską według oficjalnego kursu euro do zł opublikowanego w Dzienniku Urzędowym UE C z dnia wejścia w życie ww. dyrektywy (tj. 18 marca 2026 r.) i zaokrąglenia w górę do pełnych dziesiątek milionów w ramach 5-procentowego limitu zgodnie z zasadą przyjętą w art. 3 ust. 9 dyrektywy 2013/34/UE</w:t>
      </w:r>
      <w:r w:rsidR="00FE1B83" w:rsidRPr="00A04CED">
        <w:rPr>
          <w:rFonts w:ascii="Times New Roman" w:hAnsi="Times New Roman" w:cs="Times New Roman"/>
          <w:szCs w:val="24"/>
        </w:rPr>
        <w:t>;</w:t>
      </w:r>
    </w:p>
    <w:p w14:paraId="6D6F71EC" w14:textId="77777777" w:rsidR="00FE1B83" w:rsidRPr="00A04CED" w:rsidRDefault="00FE1B83" w:rsidP="009958B1">
      <w:pPr>
        <w:pStyle w:val="USTustnpkodeksu"/>
        <w:numPr>
          <w:ilvl w:val="0"/>
          <w:numId w:val="20"/>
        </w:numPr>
        <w:spacing w:before="120"/>
        <w:rPr>
          <w:rFonts w:ascii="Times New Roman" w:hAnsi="Times New Roman" w:cs="Times New Roman"/>
          <w:szCs w:val="24"/>
        </w:rPr>
      </w:pPr>
      <w:r w:rsidRPr="00A04CED">
        <w:rPr>
          <w:rFonts w:ascii="Times New Roman" w:hAnsi="Times New Roman" w:cs="Times New Roman"/>
          <w:b/>
          <w:bCs w:val="0"/>
          <w:szCs w:val="24"/>
        </w:rPr>
        <w:t>w</w:t>
      </w:r>
      <w:r w:rsidR="007B2360" w:rsidRPr="00A04CED">
        <w:rPr>
          <w:rFonts w:ascii="Times New Roman" w:hAnsi="Times New Roman" w:cs="Times New Roman"/>
          <w:b/>
          <w:bCs w:val="0"/>
          <w:szCs w:val="24"/>
        </w:rPr>
        <w:t xml:space="preserve"> ust. 1 w pkt 1 w lit. b</w:t>
      </w:r>
      <w:r w:rsidR="007B2360" w:rsidRPr="00A04CED">
        <w:rPr>
          <w:rFonts w:ascii="Times New Roman" w:hAnsi="Times New Roman" w:cs="Times New Roman"/>
          <w:szCs w:val="24"/>
        </w:rPr>
        <w:t xml:space="preserve"> </w:t>
      </w:r>
      <w:r w:rsidRPr="00A04CED">
        <w:rPr>
          <w:rFonts w:ascii="Times New Roman" w:hAnsi="Times New Roman" w:cs="Times New Roman"/>
          <w:szCs w:val="24"/>
        </w:rPr>
        <w:t>podwyższono (z dotychczasowych 150 mln do 450 mln EUR) wysokość przychodów netto ze sprzedaży generowanych na terytorium UE przez jednostkę z państwa trzeciego, która skutkuje obowiązkiem publikacji jej skonsolidowanej sprawozdawczości ESG przez polską jednostkę zależną;</w:t>
      </w:r>
    </w:p>
    <w:p w14:paraId="632C7765" w14:textId="77777777" w:rsidR="008012C5" w:rsidRPr="00A04CED" w:rsidRDefault="00FE1B83" w:rsidP="009958B1">
      <w:pPr>
        <w:pStyle w:val="USTustnpkodeksu"/>
        <w:numPr>
          <w:ilvl w:val="0"/>
          <w:numId w:val="20"/>
        </w:numPr>
        <w:spacing w:before="120"/>
        <w:rPr>
          <w:rFonts w:ascii="Times New Roman" w:hAnsi="Times New Roman" w:cs="Times New Roman"/>
          <w:szCs w:val="24"/>
        </w:rPr>
      </w:pPr>
      <w:r w:rsidRPr="00A04CED">
        <w:rPr>
          <w:rFonts w:ascii="Times New Roman" w:hAnsi="Times New Roman" w:cs="Times New Roman"/>
          <w:b/>
          <w:bCs w:val="0"/>
          <w:szCs w:val="24"/>
        </w:rPr>
        <w:t>w ust. 1 w pkt 2</w:t>
      </w:r>
      <w:r w:rsidR="008012C5" w:rsidRPr="00A04CED">
        <w:rPr>
          <w:rFonts w:ascii="Times New Roman" w:hAnsi="Times New Roman" w:cs="Times New Roman"/>
          <w:b/>
          <w:bCs w:val="0"/>
          <w:szCs w:val="24"/>
        </w:rPr>
        <w:t>:</w:t>
      </w:r>
    </w:p>
    <w:p w14:paraId="673A24CD" w14:textId="12957B27" w:rsidR="00662638" w:rsidRPr="00A04CED" w:rsidRDefault="00FE1B83" w:rsidP="009958B1">
      <w:pPr>
        <w:pStyle w:val="USTustnpkodeksu"/>
        <w:numPr>
          <w:ilvl w:val="1"/>
          <w:numId w:val="20"/>
        </w:numPr>
        <w:spacing w:before="120"/>
        <w:ind w:left="867" w:hanging="357"/>
        <w:rPr>
          <w:rFonts w:ascii="Times New Roman" w:hAnsi="Times New Roman" w:cs="Times New Roman"/>
          <w:szCs w:val="24"/>
        </w:rPr>
      </w:pPr>
      <w:r w:rsidRPr="00A04CED">
        <w:rPr>
          <w:rFonts w:ascii="Times New Roman" w:hAnsi="Times New Roman" w:cs="Times New Roman"/>
          <w:szCs w:val="24"/>
        </w:rPr>
        <w:t>z</w:t>
      </w:r>
      <w:r w:rsidR="007A151A" w:rsidRPr="00A04CED">
        <w:rPr>
          <w:rFonts w:ascii="Times New Roman" w:hAnsi="Times New Roman" w:cs="Times New Roman"/>
          <w:szCs w:val="24"/>
        </w:rPr>
        <w:t>awężono</w:t>
      </w:r>
      <w:r w:rsidRPr="00A04CED">
        <w:rPr>
          <w:rFonts w:ascii="Times New Roman" w:hAnsi="Times New Roman" w:cs="Times New Roman"/>
          <w:szCs w:val="24"/>
        </w:rPr>
        <w:t xml:space="preserve"> zakres polskich oddziałów zobowiązanych do publikacji sprawozdawczości zrównoważonego rozwoju jednostek z państw spoza Europejskiego Obszaru Gospodarczego. </w:t>
      </w:r>
      <w:r w:rsidR="007A151A" w:rsidRPr="00A04CED">
        <w:rPr>
          <w:rFonts w:ascii="Times New Roman" w:hAnsi="Times New Roman" w:cs="Times New Roman"/>
          <w:szCs w:val="24"/>
        </w:rPr>
        <w:t xml:space="preserve">Mianowicie wysokość rocznych przychodów netto ze sprzedaży </w:t>
      </w:r>
      <w:r w:rsidR="007A151A" w:rsidRPr="00A04CED">
        <w:rPr>
          <w:rFonts w:ascii="Times New Roman" w:hAnsi="Times New Roman" w:cs="Times New Roman"/>
          <w:szCs w:val="24"/>
        </w:rPr>
        <w:lastRenderedPageBreak/>
        <w:t>towarów i produktów generowanych przez oddział podniesiono z dotychczasowych 40</w:t>
      </w:r>
      <w:r w:rsidR="00662638" w:rsidRPr="00A04CED">
        <w:rPr>
          <w:rFonts w:ascii="Times New Roman" w:hAnsi="Times New Roman" w:cs="Times New Roman"/>
          <w:szCs w:val="24"/>
        </w:rPr>
        <w:t> </w:t>
      </w:r>
      <w:r w:rsidR="007A151A" w:rsidRPr="00A04CED">
        <w:rPr>
          <w:rFonts w:ascii="Times New Roman" w:hAnsi="Times New Roman" w:cs="Times New Roman"/>
          <w:szCs w:val="24"/>
        </w:rPr>
        <w:t>mln EUR do 200 mln EUR, przy czym kwotę tę ustalono w zł (tj. 890</w:t>
      </w:r>
      <w:r w:rsidR="00C6628E" w:rsidRPr="00A04CED">
        <w:rPr>
          <w:rFonts w:ascii="Times New Roman" w:hAnsi="Times New Roman" w:cs="Times New Roman"/>
          <w:szCs w:val="24"/>
        </w:rPr>
        <w:t> </w:t>
      </w:r>
      <w:r w:rsidR="007A151A" w:rsidRPr="00A04CED">
        <w:rPr>
          <w:rFonts w:ascii="Times New Roman" w:hAnsi="Times New Roman" w:cs="Times New Roman"/>
          <w:szCs w:val="24"/>
        </w:rPr>
        <w:t>000</w:t>
      </w:r>
      <w:r w:rsidR="00C6628E" w:rsidRPr="00A04CED">
        <w:rPr>
          <w:rFonts w:ascii="Times New Roman" w:hAnsi="Times New Roman" w:cs="Times New Roman"/>
          <w:szCs w:val="24"/>
        </w:rPr>
        <w:t xml:space="preserve"> 000</w:t>
      </w:r>
      <w:r w:rsidR="007A151A" w:rsidRPr="00A04CED">
        <w:rPr>
          <w:rFonts w:ascii="Times New Roman" w:hAnsi="Times New Roman" w:cs="Times New Roman"/>
          <w:szCs w:val="24"/>
        </w:rPr>
        <w:t>) poprzez</w:t>
      </w:r>
      <w:r w:rsidRPr="00A04CED">
        <w:rPr>
          <w:rFonts w:ascii="Times New Roman" w:hAnsi="Times New Roman" w:cs="Times New Roman"/>
          <w:szCs w:val="24"/>
        </w:rPr>
        <w:t xml:space="preserve"> przeliczeni</w:t>
      </w:r>
      <w:r w:rsidR="007A151A" w:rsidRPr="00A04CED">
        <w:rPr>
          <w:rFonts w:ascii="Times New Roman" w:hAnsi="Times New Roman" w:cs="Times New Roman"/>
          <w:szCs w:val="24"/>
        </w:rPr>
        <w:t>e</w:t>
      </w:r>
      <w:r w:rsidRPr="00A04CED">
        <w:rPr>
          <w:rFonts w:ascii="Times New Roman" w:hAnsi="Times New Roman" w:cs="Times New Roman"/>
          <w:szCs w:val="24"/>
        </w:rPr>
        <w:t xml:space="preserve"> 200 000 </w:t>
      </w:r>
      <w:r w:rsidR="00662638" w:rsidRPr="00A04CED">
        <w:rPr>
          <w:rFonts w:ascii="Times New Roman" w:hAnsi="Times New Roman" w:cs="Times New Roman"/>
          <w:szCs w:val="24"/>
        </w:rPr>
        <w:t>EUR</w:t>
      </w:r>
      <w:r w:rsidRPr="00A04CED">
        <w:rPr>
          <w:rFonts w:ascii="Times New Roman" w:hAnsi="Times New Roman" w:cs="Times New Roman"/>
          <w:szCs w:val="24"/>
        </w:rPr>
        <w:t xml:space="preserve"> według oficjalnego kursu euro do zł opublikowanego w Dzienniku Urzędowym UE C z dnia wejścia w życie ww. dyrektywy (tj. 18 marca 2026</w:t>
      </w:r>
      <w:r w:rsidR="00662638" w:rsidRPr="00A04CED">
        <w:rPr>
          <w:rFonts w:ascii="Times New Roman" w:hAnsi="Times New Roman" w:cs="Times New Roman"/>
          <w:szCs w:val="24"/>
        </w:rPr>
        <w:t> </w:t>
      </w:r>
      <w:r w:rsidRPr="00A04CED">
        <w:rPr>
          <w:rFonts w:ascii="Times New Roman" w:hAnsi="Times New Roman" w:cs="Times New Roman"/>
          <w:szCs w:val="24"/>
        </w:rPr>
        <w:t>r.) i zaokrągleni</w:t>
      </w:r>
      <w:r w:rsidR="007A151A" w:rsidRPr="00A04CED">
        <w:rPr>
          <w:rFonts w:ascii="Times New Roman" w:hAnsi="Times New Roman" w:cs="Times New Roman"/>
          <w:szCs w:val="24"/>
        </w:rPr>
        <w:t>e</w:t>
      </w:r>
      <w:r w:rsidRPr="00A04CED">
        <w:rPr>
          <w:rFonts w:ascii="Times New Roman" w:hAnsi="Times New Roman" w:cs="Times New Roman"/>
          <w:szCs w:val="24"/>
        </w:rPr>
        <w:t xml:space="preserve"> w górę do pełnych dziesiątek milionów w ramach 5-procentowego limitu zgodnie z zasadą przyjętą w art. 3 ust. 9 dyrektywy 2013/34/UE</w:t>
      </w:r>
      <w:r w:rsidR="007A151A" w:rsidRPr="00A04CED">
        <w:rPr>
          <w:rFonts w:ascii="Times New Roman" w:hAnsi="Times New Roman" w:cs="Times New Roman"/>
          <w:szCs w:val="24"/>
        </w:rPr>
        <w:t xml:space="preserve">. Wyrażenie wysokości przychodów netto ze sprzedaży w walucie polskiej wynika z potrzeby zapobieżenia jej ciągłym wahaniom </w:t>
      </w:r>
      <w:r w:rsidR="00662638" w:rsidRPr="00A04CED">
        <w:rPr>
          <w:rFonts w:ascii="Times New Roman" w:hAnsi="Times New Roman" w:cs="Times New Roman"/>
          <w:szCs w:val="24"/>
        </w:rPr>
        <w:t xml:space="preserve">na kolejne dni bilansowe </w:t>
      </w:r>
      <w:r w:rsidR="007A151A" w:rsidRPr="00A04CED">
        <w:rPr>
          <w:rFonts w:ascii="Times New Roman" w:hAnsi="Times New Roman" w:cs="Times New Roman"/>
          <w:szCs w:val="24"/>
        </w:rPr>
        <w:t>w zależności od kursu</w:t>
      </w:r>
      <w:r w:rsidR="00662638" w:rsidRPr="00A04CED">
        <w:rPr>
          <w:rFonts w:ascii="Times New Roman" w:hAnsi="Times New Roman" w:cs="Times New Roman"/>
          <w:szCs w:val="24"/>
        </w:rPr>
        <w:t xml:space="preserve"> jaki by wtedy obowiązywał, z faktu, że oddziały prowadzą księgi rachunkowe i sporządzają sprawozdania finansowe w zł, a także z potrzeby zapewnienia spójności z rozwiązaniami przyjętymi w ust. 1 pkt 1 lit. a ustawy o rachunkowości, gdzie przychody netto ze sprzedaży polskich jednostek zależnych również wyrażono w walucie polskiej;</w:t>
      </w:r>
    </w:p>
    <w:p w14:paraId="38C962BD" w14:textId="1B109284" w:rsidR="008012C5" w:rsidRPr="00A04CED" w:rsidRDefault="008012C5" w:rsidP="009958B1">
      <w:pPr>
        <w:pStyle w:val="USTustnpkodeksu"/>
        <w:numPr>
          <w:ilvl w:val="1"/>
          <w:numId w:val="20"/>
        </w:numPr>
        <w:spacing w:before="120"/>
        <w:ind w:left="867" w:hanging="357"/>
        <w:rPr>
          <w:rFonts w:ascii="Times New Roman" w:hAnsi="Times New Roman" w:cs="Times New Roman"/>
          <w:szCs w:val="24"/>
        </w:rPr>
      </w:pPr>
      <w:r w:rsidRPr="00A04CED">
        <w:rPr>
          <w:rFonts w:ascii="Times New Roman" w:hAnsi="Times New Roman" w:cs="Times New Roman"/>
          <w:szCs w:val="24"/>
        </w:rPr>
        <w:t>podwyższono (z dotychczasowych 150 mln do 450 mln EUR) wysokość przychodów netto ze sprzedaży generowanych na terytorium UE przez jednostkę z państwa trzeciego, która skutkuje obowiązkiem publikacji jej sprawozdawczości ESG przez polski oddział;</w:t>
      </w:r>
    </w:p>
    <w:p w14:paraId="444C92C2" w14:textId="6AB7EABD" w:rsidR="001B39DD" w:rsidRPr="00A04CED" w:rsidRDefault="00F134FD" w:rsidP="009958B1">
      <w:pPr>
        <w:pStyle w:val="USTustnpkodeksu"/>
        <w:numPr>
          <w:ilvl w:val="0"/>
          <w:numId w:val="20"/>
        </w:numPr>
        <w:spacing w:before="120"/>
        <w:ind w:left="504" w:hanging="442"/>
        <w:rPr>
          <w:rFonts w:ascii="Times New Roman" w:hAnsi="Times New Roman" w:cs="Times New Roman"/>
          <w:szCs w:val="24"/>
        </w:rPr>
      </w:pPr>
      <w:r w:rsidRPr="00A04CED">
        <w:rPr>
          <w:rFonts w:ascii="Times New Roman" w:hAnsi="Times New Roman" w:cs="Times New Roman"/>
          <w:b/>
          <w:bCs w:val="0"/>
          <w:szCs w:val="24"/>
        </w:rPr>
        <w:t>dodaje się ust. 1a</w:t>
      </w:r>
      <w:r w:rsidRPr="00A04CED">
        <w:rPr>
          <w:rFonts w:ascii="Times New Roman" w:hAnsi="Times New Roman" w:cs="Times New Roman"/>
          <w:szCs w:val="24"/>
        </w:rPr>
        <w:t xml:space="preserve"> umożliwiający polskiej jednostce zależnej lub oddziałowi niepublikowanie sprawozdawczości zrównoważonego rozwoju jednostek z państw spoza Europejskiego Obszaru Gospodarczego dotyczącej grupy kapitałowej jednostki dominującej najwyższego szczebla, jeżeli taka jednostka dominująca jest finansową jednostką holdingową, a modele biznesowe i prowadzona działalność jej jednostek zależnych są niezależne od siebie.</w:t>
      </w:r>
      <w:r w:rsidR="0008139B" w:rsidRPr="00A04CED">
        <w:rPr>
          <w:rFonts w:ascii="Times New Roman" w:hAnsi="Times New Roman" w:cs="Times New Roman"/>
          <w:szCs w:val="24"/>
        </w:rPr>
        <w:t xml:space="preserve"> Jest to rozwiązanie analogiczne do zwolnienia ze sporządzania grupowej sprawozdawczości ESG dla polskich jednostek dominujących, </w:t>
      </w:r>
      <w:r w:rsidR="00355E7D" w:rsidRPr="00A04CED">
        <w:rPr>
          <w:rFonts w:ascii="Times New Roman" w:hAnsi="Times New Roman" w:cs="Times New Roman"/>
          <w:szCs w:val="24"/>
        </w:rPr>
        <w:t>w</w:t>
      </w:r>
      <w:r w:rsidR="0008139B" w:rsidRPr="00A04CED">
        <w:rPr>
          <w:rFonts w:ascii="Times New Roman" w:hAnsi="Times New Roman" w:cs="Times New Roman"/>
          <w:szCs w:val="24"/>
        </w:rPr>
        <w:t>prowadzanego do art. 63x ust. 1b ustawy o rachunkowości.</w:t>
      </w:r>
      <w:r w:rsidR="00355E7D" w:rsidRPr="00A04CED">
        <w:rPr>
          <w:rFonts w:ascii="Times New Roman" w:hAnsi="Times New Roman" w:cs="Times New Roman"/>
          <w:szCs w:val="24"/>
        </w:rPr>
        <w:t xml:space="preserve"> Decyzję o skorzystaniu ze zwolnienia będzie podejmował kierownik oddziału.</w:t>
      </w:r>
    </w:p>
    <w:p w14:paraId="5498982E" w14:textId="6D2D4AD7" w:rsidR="00F83AA3" w:rsidRPr="00A04CED" w:rsidRDefault="00F83AA3" w:rsidP="009958B1">
      <w:pPr>
        <w:pStyle w:val="Akapitzlist"/>
        <w:numPr>
          <w:ilvl w:val="0"/>
          <w:numId w:val="1"/>
        </w:numPr>
        <w:spacing w:before="120" w:after="0" w:line="360" w:lineRule="auto"/>
        <w:ind w:left="567" w:hanging="283"/>
        <w:jc w:val="both"/>
        <w:rPr>
          <w:rFonts w:ascii="Times New Roman" w:hAnsi="Times New Roman" w:cs="Times New Roman"/>
          <w:b/>
          <w:bCs/>
          <w:sz w:val="24"/>
          <w:szCs w:val="24"/>
        </w:rPr>
      </w:pPr>
      <w:r w:rsidRPr="00A04CED">
        <w:rPr>
          <w:rFonts w:ascii="Times New Roman" w:hAnsi="Times New Roman" w:cs="Times New Roman"/>
          <w:b/>
          <w:bCs/>
          <w:sz w:val="24"/>
          <w:szCs w:val="24"/>
        </w:rPr>
        <w:t>Proponowane zmiany w ustawnie z dnia 11 maja 2017 r. o biegłych rewidentach, firmach audytorskich oraz nadzorze publicznym (art. 2 projektu ustawy nowelizującej)</w:t>
      </w:r>
    </w:p>
    <w:p w14:paraId="4CEE7FB5" w14:textId="3C8A6294" w:rsidR="00F83AA3" w:rsidRPr="00A04CED" w:rsidRDefault="00F83AA3"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Projekt zakłada się wprowadzenie poniższych zmian w ustawie:</w:t>
      </w:r>
    </w:p>
    <w:p w14:paraId="211E80D9" w14:textId="77777777"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W art. 2</w:t>
      </w:r>
      <w:r w:rsidRPr="00A04CED">
        <w:rPr>
          <w:rFonts w:ascii="Times New Roman" w:hAnsi="Times New Roman" w:cs="Times New Roman"/>
          <w:sz w:val="24"/>
          <w:szCs w:val="24"/>
        </w:rPr>
        <w:t xml:space="preserve"> (słowniczek pojęć używanych w ustawie o biegłych rewidentach) </w:t>
      </w:r>
      <w:r w:rsidRPr="00A04CED">
        <w:rPr>
          <w:rFonts w:ascii="Times New Roman" w:hAnsi="Times New Roman" w:cs="Times New Roman"/>
          <w:b/>
          <w:bCs/>
          <w:sz w:val="24"/>
          <w:szCs w:val="24"/>
        </w:rPr>
        <w:t>w pkt 4a</w:t>
      </w:r>
      <w:r w:rsidRPr="00A04CED">
        <w:rPr>
          <w:rFonts w:ascii="Times New Roman" w:hAnsi="Times New Roman" w:cs="Times New Roman"/>
          <w:sz w:val="24"/>
          <w:szCs w:val="24"/>
        </w:rPr>
        <w:t xml:space="preserve"> skreśla się odwołanie do standardów sprawozdawczości zrównoważonego rozwoju dla małych i </w:t>
      </w:r>
      <w:r w:rsidRPr="00A04CED">
        <w:rPr>
          <w:rFonts w:ascii="Times New Roman" w:hAnsi="Times New Roman" w:cs="Times New Roman"/>
          <w:sz w:val="24"/>
          <w:szCs w:val="24"/>
        </w:rPr>
        <w:lastRenderedPageBreak/>
        <w:t>średnich jednostek. Z uwagi, iż w ustawie o rachunkowości (</w:t>
      </w:r>
      <w:bookmarkStart w:id="3" w:name="_Hlk238384285"/>
      <w:r w:rsidRPr="00A04CED">
        <w:rPr>
          <w:rFonts w:ascii="Times New Roman" w:hAnsi="Times New Roman" w:cs="Times New Roman"/>
          <w:sz w:val="24"/>
          <w:szCs w:val="24"/>
        </w:rPr>
        <w:t>w art. 63p pkt 3) skreśla się definicję standardów sprawozdawczości zrównoważonego rozwoju dla małych i średnich jednostek</w:t>
      </w:r>
      <w:bookmarkEnd w:id="3"/>
      <w:r w:rsidRPr="00A04CED">
        <w:rPr>
          <w:rFonts w:ascii="Times New Roman" w:hAnsi="Times New Roman" w:cs="Times New Roman"/>
          <w:sz w:val="24"/>
          <w:szCs w:val="24"/>
        </w:rPr>
        <w:t xml:space="preserve">, w ustawie o biegłych rewidentach należało dokonać zmian wynikowych poprzez wykreślenie odwołań do tych standardów w ustawie o biegłych rewidentach. Analogiczne zmiany zostały dokonane w </w:t>
      </w:r>
      <w:r w:rsidRPr="00A04CED">
        <w:rPr>
          <w:rFonts w:ascii="Times New Roman" w:hAnsi="Times New Roman" w:cs="Times New Roman"/>
          <w:b/>
          <w:bCs/>
          <w:sz w:val="24"/>
          <w:szCs w:val="24"/>
        </w:rPr>
        <w:t>art. 87a ust. 3 pkt 9 lit. a</w:t>
      </w:r>
      <w:r w:rsidRPr="00A04CED">
        <w:rPr>
          <w:rFonts w:ascii="Times New Roman" w:hAnsi="Times New Roman" w:cs="Times New Roman"/>
          <w:sz w:val="24"/>
          <w:szCs w:val="24"/>
        </w:rPr>
        <w:t xml:space="preserve"> oraz w </w:t>
      </w:r>
      <w:r w:rsidRPr="00A04CED">
        <w:rPr>
          <w:rFonts w:ascii="Times New Roman" w:hAnsi="Times New Roman" w:cs="Times New Roman"/>
          <w:b/>
          <w:bCs/>
          <w:sz w:val="24"/>
          <w:szCs w:val="24"/>
        </w:rPr>
        <w:t>art. 130 ust. 1 pkt 1 lit. a tiret drugie</w:t>
      </w:r>
      <w:r w:rsidRPr="00A04CED">
        <w:rPr>
          <w:rFonts w:ascii="Times New Roman" w:hAnsi="Times New Roman" w:cs="Times New Roman"/>
          <w:sz w:val="24"/>
          <w:szCs w:val="24"/>
        </w:rPr>
        <w:t>.</w:t>
      </w:r>
    </w:p>
    <w:p w14:paraId="2A41D2D6" w14:textId="77777777"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W </w:t>
      </w:r>
      <w:r w:rsidRPr="00A04CED">
        <w:rPr>
          <w:rFonts w:ascii="Times New Roman" w:hAnsi="Times New Roman" w:cs="Times New Roman"/>
          <w:b/>
          <w:bCs/>
          <w:sz w:val="24"/>
          <w:szCs w:val="24"/>
        </w:rPr>
        <w:t>art. 14 w ust. 2a pkt 3</w:t>
      </w:r>
      <w:r w:rsidRPr="00A04CED">
        <w:rPr>
          <w:rFonts w:ascii="Times New Roman" w:hAnsi="Times New Roman" w:cs="Times New Roman"/>
          <w:sz w:val="24"/>
          <w:szCs w:val="24"/>
        </w:rPr>
        <w:t xml:space="preserve"> odnośnie zagadnień, które powinien obejmować egzamin z wiedzy w zakresie atestacji sprawozdawczości zrównoważonego rozwoju, standardy sprawozdawczości zrównoważonego rozwoju dla małych i średnich jednostek (definicja, których została skreślona z ustawy o rachunkowości) zostały zastąpione dobrowolnym standardami sprawozdawczości zrównoważonego rozwoju. Jest to zgodne z siatką pojęciową obowiązującą w ustawie o rachunkowości, która w art. 63p pkt 4 wprowadza definicję dobrowolnych standardów sprawozdawczości zrównoważonego rozwoju.</w:t>
      </w:r>
    </w:p>
    <w:p w14:paraId="3A421297" w14:textId="77777777"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W </w:t>
      </w:r>
      <w:r w:rsidRPr="00A04CED">
        <w:rPr>
          <w:rFonts w:ascii="Times New Roman" w:hAnsi="Times New Roman" w:cs="Times New Roman"/>
          <w:b/>
          <w:bCs/>
          <w:sz w:val="24"/>
          <w:szCs w:val="24"/>
        </w:rPr>
        <w:t>art. 87a</w:t>
      </w:r>
      <w:r w:rsidRPr="00A04CED">
        <w:rPr>
          <w:rFonts w:ascii="Times New Roman" w:hAnsi="Times New Roman" w:cs="Times New Roman"/>
          <w:sz w:val="24"/>
          <w:szCs w:val="24"/>
        </w:rPr>
        <w:t>:</w:t>
      </w:r>
    </w:p>
    <w:p w14:paraId="6D187EBC" w14:textId="5FC2EDA1" w:rsidR="00355E7D" w:rsidRPr="00A04CED" w:rsidRDefault="00355E7D" w:rsidP="009958B1">
      <w:pPr>
        <w:spacing w:before="120" w:after="0" w:line="360" w:lineRule="auto"/>
        <w:ind w:left="567" w:hanging="567"/>
        <w:jc w:val="both"/>
        <w:rPr>
          <w:rFonts w:ascii="Times New Roman" w:hAnsi="Times New Roman" w:cs="Times New Roman"/>
          <w:sz w:val="24"/>
          <w:szCs w:val="24"/>
        </w:rPr>
      </w:pPr>
      <w:r w:rsidRPr="00A04CED">
        <w:rPr>
          <w:rFonts w:ascii="Times New Roman" w:hAnsi="Times New Roman" w:cs="Times New Roman"/>
          <w:sz w:val="24"/>
          <w:szCs w:val="24"/>
        </w:rPr>
        <w:t>a)</w:t>
      </w:r>
      <w:r w:rsidRPr="00A04CED">
        <w:rPr>
          <w:rFonts w:ascii="Times New Roman" w:hAnsi="Times New Roman" w:cs="Times New Roman"/>
          <w:sz w:val="24"/>
          <w:szCs w:val="24"/>
        </w:rPr>
        <w:tab/>
      </w:r>
      <w:r w:rsidR="0010525B" w:rsidRPr="00A04CED">
        <w:rPr>
          <w:rFonts w:ascii="Times New Roman" w:hAnsi="Times New Roman" w:cs="Times New Roman"/>
          <w:b/>
          <w:bCs/>
          <w:sz w:val="24"/>
          <w:szCs w:val="24"/>
        </w:rPr>
        <w:t>w ust. 3 w pkt 7</w:t>
      </w:r>
      <w:r w:rsidR="0010525B" w:rsidRPr="00A04CED">
        <w:rPr>
          <w:rFonts w:ascii="Times New Roman" w:hAnsi="Times New Roman" w:cs="Times New Roman"/>
          <w:sz w:val="24"/>
          <w:szCs w:val="24"/>
        </w:rPr>
        <w:t xml:space="preserve"> (w ślad za art. 34 ust. 1 akapit drugi lit. aa dyrektywy 2013/34/UE w brzmieniu nadanym dyrektywą 2026/470) zastępuje się określenie wskazania poziomu zapewnienia atestacji sprawozdawczości zrównoważonego rozwoju wprost wskazaniem, iż jest to usługa atestacyjna dająca ograniczoną pewność. Z uwagi, iż dyrektywa 2026/470 rezygnuje z docelowo przewidzianej atestacji sprawozdawczości zrównoważonego rozwoju jako usługi dającej wystarczające zapewnienie i pozostawia ją jako usługę dającą ograniczoną pewność należało takie rozwiązanie wprowadzić odnośnie informacji wskazywanych w sprawozdaniu z atestacji sprawozdawczości zrównoważonego rozwoju;</w:t>
      </w:r>
    </w:p>
    <w:p w14:paraId="2E1774ED" w14:textId="27EEA480" w:rsidR="0010525B" w:rsidRPr="00A04CED" w:rsidRDefault="00355E7D" w:rsidP="009958B1">
      <w:pPr>
        <w:spacing w:before="120" w:after="0" w:line="360" w:lineRule="auto"/>
        <w:ind w:left="567" w:hanging="567"/>
        <w:jc w:val="both"/>
        <w:rPr>
          <w:rFonts w:ascii="Times New Roman" w:hAnsi="Times New Roman" w:cs="Times New Roman"/>
          <w:sz w:val="24"/>
          <w:szCs w:val="24"/>
        </w:rPr>
      </w:pPr>
      <w:r w:rsidRPr="00A04CED">
        <w:rPr>
          <w:rFonts w:ascii="Times New Roman" w:hAnsi="Times New Roman" w:cs="Times New Roman"/>
          <w:sz w:val="24"/>
          <w:szCs w:val="24"/>
        </w:rPr>
        <w:t>b)</w:t>
      </w:r>
      <w:r w:rsidRPr="00A04CED">
        <w:rPr>
          <w:rFonts w:ascii="Times New Roman" w:hAnsi="Times New Roman" w:cs="Times New Roman"/>
          <w:sz w:val="24"/>
          <w:szCs w:val="24"/>
        </w:rPr>
        <w:tab/>
      </w:r>
      <w:r w:rsidR="0010525B" w:rsidRPr="00A04CED">
        <w:rPr>
          <w:rFonts w:ascii="Times New Roman" w:hAnsi="Times New Roman" w:cs="Times New Roman"/>
          <w:b/>
          <w:bCs/>
          <w:sz w:val="24"/>
          <w:szCs w:val="24"/>
        </w:rPr>
        <w:t xml:space="preserve">w ust. 4 </w:t>
      </w:r>
      <w:r w:rsidR="0010525B" w:rsidRPr="00A04CED">
        <w:rPr>
          <w:rFonts w:ascii="Times New Roman" w:hAnsi="Times New Roman" w:cs="Times New Roman"/>
          <w:sz w:val="24"/>
          <w:szCs w:val="24"/>
        </w:rPr>
        <w:t>(w ślad za art. 34 ust. 2a dyrektywy 2013/34/UE w brzmieniu nadanym dyrektywą 2026/470) zawarto regulację wskazującą, iż biegły rewident</w:t>
      </w:r>
      <w:r w:rsidR="007A1549">
        <w:rPr>
          <w:rFonts w:ascii="Times New Roman" w:hAnsi="Times New Roman" w:cs="Times New Roman"/>
          <w:sz w:val="24"/>
          <w:szCs w:val="24"/>
        </w:rPr>
        <w:t>,</w:t>
      </w:r>
      <w:r w:rsidR="0010525B" w:rsidRPr="00A04CED">
        <w:rPr>
          <w:rFonts w:ascii="Times New Roman" w:hAnsi="Times New Roman" w:cs="Times New Roman"/>
          <w:sz w:val="24"/>
          <w:szCs w:val="24"/>
        </w:rPr>
        <w:t xml:space="preserve"> wydając sprawozdanie z atestacji sprawozdawczości zrównoważonego rozwoju</w:t>
      </w:r>
      <w:r w:rsidR="007A1549">
        <w:rPr>
          <w:rFonts w:ascii="Times New Roman" w:hAnsi="Times New Roman" w:cs="Times New Roman"/>
          <w:sz w:val="24"/>
          <w:szCs w:val="24"/>
        </w:rPr>
        <w:t>,</w:t>
      </w:r>
      <w:r w:rsidR="0010525B" w:rsidRPr="00A04CED">
        <w:rPr>
          <w:rFonts w:ascii="Times New Roman" w:hAnsi="Times New Roman" w:cs="Times New Roman"/>
          <w:sz w:val="24"/>
          <w:szCs w:val="24"/>
        </w:rPr>
        <w:t xml:space="preserve"> powinien </w:t>
      </w:r>
      <w:r w:rsidR="00A827F0" w:rsidRPr="00A04CED">
        <w:rPr>
          <w:rFonts w:ascii="Times New Roman" w:hAnsi="Times New Roman" w:cs="Times New Roman"/>
          <w:sz w:val="24"/>
          <w:szCs w:val="24"/>
        </w:rPr>
        <w:t>mieć na uwadze</w:t>
      </w:r>
      <w:r w:rsidR="0010525B" w:rsidRPr="00A04CED">
        <w:rPr>
          <w:rFonts w:ascii="Times New Roman" w:hAnsi="Times New Roman" w:cs="Times New Roman"/>
          <w:sz w:val="24"/>
          <w:szCs w:val="24"/>
        </w:rPr>
        <w:t xml:space="preserve"> prawo tzw. „jednostek chronionych” (</w:t>
      </w:r>
      <w:r w:rsidR="00DB0DAA" w:rsidRPr="00A04CED">
        <w:rPr>
          <w:rFonts w:ascii="Times New Roman" w:hAnsi="Times New Roman" w:cs="Times New Roman"/>
          <w:sz w:val="24"/>
          <w:szCs w:val="24"/>
        </w:rPr>
        <w:t>z</w:t>
      </w:r>
      <w:r w:rsidR="0010525B" w:rsidRPr="00A04CED">
        <w:rPr>
          <w:rFonts w:ascii="Times New Roman" w:hAnsi="Times New Roman" w:cs="Times New Roman"/>
          <w:sz w:val="24"/>
          <w:szCs w:val="24"/>
        </w:rPr>
        <w:t>defini</w:t>
      </w:r>
      <w:r w:rsidR="00DB0DAA" w:rsidRPr="00A04CED">
        <w:rPr>
          <w:rFonts w:ascii="Times New Roman" w:hAnsi="Times New Roman" w:cs="Times New Roman"/>
          <w:sz w:val="24"/>
          <w:szCs w:val="24"/>
        </w:rPr>
        <w:t>owanych</w:t>
      </w:r>
      <w:r w:rsidR="0010525B" w:rsidRPr="00A04CED">
        <w:rPr>
          <w:rFonts w:ascii="Times New Roman" w:hAnsi="Times New Roman" w:cs="Times New Roman"/>
          <w:sz w:val="24"/>
          <w:szCs w:val="24"/>
        </w:rPr>
        <w:t xml:space="preserve"> w art. 63p pkt 5 ustawy o rachunkowości) do odmowy udzielenia informacji wykraczających poza zakres informacji określonych w dobrowolnych standardach sprawozdawczości zrównoważonego rozwoju. Jest to konsekwencja rozwiązań przyjętych w ustawie o rachunkowości, która określa zakres informacji</w:t>
      </w:r>
      <w:r w:rsidR="007A1549">
        <w:rPr>
          <w:rFonts w:ascii="Times New Roman" w:hAnsi="Times New Roman" w:cs="Times New Roman"/>
          <w:sz w:val="24"/>
          <w:szCs w:val="24"/>
        </w:rPr>
        <w:t>,</w:t>
      </w:r>
      <w:r w:rsidR="0010525B" w:rsidRPr="00A04CED">
        <w:rPr>
          <w:rFonts w:ascii="Times New Roman" w:hAnsi="Times New Roman" w:cs="Times New Roman"/>
          <w:sz w:val="24"/>
          <w:szCs w:val="24"/>
        </w:rPr>
        <w:t xml:space="preserve"> jakie jednostki zobowiązane do raportowania ESG mogą żądać od </w:t>
      </w:r>
      <w:r w:rsidR="00A827F0" w:rsidRPr="00A04CED">
        <w:rPr>
          <w:rFonts w:ascii="Times New Roman" w:hAnsi="Times New Roman" w:cs="Times New Roman"/>
          <w:sz w:val="24"/>
          <w:szCs w:val="24"/>
        </w:rPr>
        <w:t>podmiotów</w:t>
      </w:r>
      <w:r w:rsidR="0010525B" w:rsidRPr="00A04CED">
        <w:rPr>
          <w:rFonts w:ascii="Times New Roman" w:hAnsi="Times New Roman" w:cs="Times New Roman"/>
          <w:sz w:val="24"/>
          <w:szCs w:val="24"/>
        </w:rPr>
        <w:t xml:space="preserve"> w swoim łańcuchu wartości, w których średnia liczba zatrudnionych w poprzednim roku obrotowym nie przekracza 1000 osób. </w:t>
      </w:r>
      <w:r w:rsidR="0010525B" w:rsidRPr="00A04CED">
        <w:rPr>
          <w:rFonts w:ascii="Times New Roman" w:hAnsi="Times New Roman" w:cs="Times New Roman"/>
          <w:sz w:val="24"/>
          <w:szCs w:val="24"/>
        </w:rPr>
        <w:lastRenderedPageBreak/>
        <w:t xml:space="preserve">Ma to na celu minimalizację obciążeń dla tych </w:t>
      </w:r>
      <w:r w:rsidR="00A827F0" w:rsidRPr="00A04CED">
        <w:rPr>
          <w:rFonts w:ascii="Times New Roman" w:hAnsi="Times New Roman" w:cs="Times New Roman"/>
          <w:sz w:val="24"/>
          <w:szCs w:val="24"/>
        </w:rPr>
        <w:t>podmiotów</w:t>
      </w:r>
      <w:r w:rsidR="0010525B" w:rsidRPr="00A04CED">
        <w:rPr>
          <w:rFonts w:ascii="Times New Roman" w:hAnsi="Times New Roman" w:cs="Times New Roman"/>
          <w:sz w:val="24"/>
          <w:szCs w:val="24"/>
        </w:rPr>
        <w:t xml:space="preserve">. </w:t>
      </w:r>
      <w:r w:rsidR="00254F3A" w:rsidRPr="00A04CED">
        <w:rPr>
          <w:rFonts w:ascii="Times New Roman" w:hAnsi="Times New Roman" w:cs="Times New Roman"/>
          <w:sz w:val="24"/>
          <w:szCs w:val="24"/>
        </w:rPr>
        <w:t>W konsekwencji</w:t>
      </w:r>
      <w:r w:rsidR="00E13626" w:rsidRPr="00A04CED">
        <w:rPr>
          <w:rFonts w:ascii="Times New Roman" w:hAnsi="Times New Roman" w:cs="Times New Roman"/>
          <w:sz w:val="24"/>
          <w:szCs w:val="24"/>
        </w:rPr>
        <w:t xml:space="preserve"> </w:t>
      </w:r>
      <w:r w:rsidR="00F50E9C" w:rsidRPr="00A04CED">
        <w:rPr>
          <w:rFonts w:ascii="Times New Roman" w:hAnsi="Times New Roman" w:cs="Times New Roman"/>
          <w:sz w:val="24"/>
          <w:szCs w:val="24"/>
        </w:rPr>
        <w:t xml:space="preserve">fakt </w:t>
      </w:r>
      <w:r w:rsidR="00254F3A" w:rsidRPr="00A04CED">
        <w:rPr>
          <w:rFonts w:ascii="Times New Roman" w:hAnsi="Times New Roman" w:cs="Times New Roman"/>
          <w:sz w:val="24"/>
          <w:szCs w:val="24"/>
        </w:rPr>
        <w:t>s</w:t>
      </w:r>
      <w:r w:rsidR="001B39DD" w:rsidRPr="00A04CED">
        <w:rPr>
          <w:rFonts w:ascii="Times New Roman" w:hAnsi="Times New Roman" w:cs="Times New Roman"/>
          <w:sz w:val="24"/>
          <w:szCs w:val="24"/>
        </w:rPr>
        <w:t>korzystani</w:t>
      </w:r>
      <w:r w:rsidR="00F50E9C" w:rsidRPr="00A04CED">
        <w:rPr>
          <w:rFonts w:ascii="Times New Roman" w:hAnsi="Times New Roman" w:cs="Times New Roman"/>
          <w:sz w:val="24"/>
          <w:szCs w:val="24"/>
        </w:rPr>
        <w:t>a</w:t>
      </w:r>
      <w:r w:rsidR="001B39DD" w:rsidRPr="00A04CED">
        <w:rPr>
          <w:rFonts w:ascii="Times New Roman" w:hAnsi="Times New Roman" w:cs="Times New Roman"/>
          <w:sz w:val="24"/>
          <w:szCs w:val="24"/>
        </w:rPr>
        <w:t xml:space="preserve"> przez jednostkę chronioną z przysługującego jej prawa do odmowy udzielenia określonych informacji nie powin</w:t>
      </w:r>
      <w:r w:rsidR="00F50E9C" w:rsidRPr="00A04CED">
        <w:rPr>
          <w:rFonts w:ascii="Times New Roman" w:hAnsi="Times New Roman" w:cs="Times New Roman"/>
          <w:sz w:val="24"/>
          <w:szCs w:val="24"/>
        </w:rPr>
        <w:t>ien</w:t>
      </w:r>
      <w:r w:rsidR="001B39DD" w:rsidRPr="00A04CED">
        <w:rPr>
          <w:rFonts w:ascii="Times New Roman" w:hAnsi="Times New Roman" w:cs="Times New Roman"/>
          <w:sz w:val="24"/>
          <w:szCs w:val="24"/>
        </w:rPr>
        <w:t xml:space="preserve"> wpływać na opinię odnośnie atestacji sprawozdawczości zrównoważonego rozwoju wydawaną przez biegłego rewidenta.</w:t>
      </w:r>
    </w:p>
    <w:p w14:paraId="54ED60D1" w14:textId="3C8AA951"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W </w:t>
      </w:r>
      <w:r w:rsidRPr="00A04CED">
        <w:rPr>
          <w:rFonts w:ascii="Times New Roman" w:hAnsi="Times New Roman" w:cs="Times New Roman"/>
          <w:b/>
          <w:bCs/>
          <w:sz w:val="24"/>
          <w:szCs w:val="24"/>
        </w:rPr>
        <w:t>art. 205 w ust. 1a w pkt 1</w:t>
      </w:r>
      <w:r w:rsidRPr="00A04CED">
        <w:rPr>
          <w:rFonts w:ascii="Times New Roman" w:hAnsi="Times New Roman" w:cs="Times New Roman"/>
          <w:sz w:val="24"/>
          <w:szCs w:val="24"/>
        </w:rPr>
        <w:t xml:space="preserve"> </w:t>
      </w:r>
      <w:bookmarkStart w:id="4" w:name="_Hlk229992245"/>
      <w:r w:rsidRPr="00A04CED">
        <w:rPr>
          <w:rFonts w:ascii="Times New Roman" w:hAnsi="Times New Roman" w:cs="Times New Roman"/>
          <w:sz w:val="24"/>
          <w:szCs w:val="24"/>
        </w:rPr>
        <w:t>(w ślad za art. 45 ust. 5 akapit drugi lit. a dyrektywy 2006/43/UE</w:t>
      </w:r>
      <w:r w:rsidR="007E39FC" w:rsidRPr="00A04CED">
        <w:rPr>
          <w:rStyle w:val="Odwoanieprzypisudolnego"/>
          <w:rFonts w:ascii="Times New Roman" w:hAnsi="Times New Roman" w:cs="Times New Roman"/>
          <w:sz w:val="24"/>
          <w:szCs w:val="24"/>
        </w:rPr>
        <w:footnoteReference w:id="9"/>
      </w:r>
      <w:r w:rsidRPr="00A04CED">
        <w:rPr>
          <w:rFonts w:ascii="Times New Roman" w:hAnsi="Times New Roman" w:cs="Times New Roman"/>
          <w:sz w:val="24"/>
          <w:szCs w:val="24"/>
        </w:rPr>
        <w:t xml:space="preserve"> w brzmieniu nadanym dyrektywą 2026/470) </w:t>
      </w:r>
      <w:bookmarkEnd w:id="4"/>
      <w:r w:rsidRPr="00A04CED">
        <w:rPr>
          <w:rFonts w:ascii="Times New Roman" w:hAnsi="Times New Roman" w:cs="Times New Roman"/>
          <w:sz w:val="24"/>
          <w:szCs w:val="24"/>
        </w:rPr>
        <w:t>wprowadzono regulację, iż w przypadku jednostki audytorskiej pochodzącej z państwa trzeciego ubiegającej się o wpis na listę jednostek audytorskich pochodzących z państwa trzeciego, o której mowa w art. 204 ust. 1 ustawy o biegłych rewidentach, w zakresie wymogów określonych dla większości członków organów zarządzających takiej jednostki wystarczającym będzie, aby spełniali oni wymogi dla biegłych rewidentów równoważne z wymogami dla biegłych rewidentów odnośnie badania sprawozdań finansowych. Obowiązujące obecnie rozwiązanie, iż większość członków organów zarządzających jednostki audytorskiej pochodzącej z państwa trzeciego powinna posiadać również uprawnienia w zakresie atestacji sprawozdawczości zrównoważonego rozwoju stanowi nadmierne ograniczenie dla takich jednostek, zwłaszcza biorąc pod uwagę zmniejszenie ilości dokonywanych atestacji wynikających ze zmiany zakresu jednostek podlegających obowiązkowi sporządzania sprawozdawczości zrównoważonego rozwoju.</w:t>
      </w:r>
    </w:p>
    <w:p w14:paraId="31A81F06" w14:textId="09298291"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 xml:space="preserve">Dodaje się rozdział 13a </w:t>
      </w:r>
      <w:r w:rsidRPr="00A04CED">
        <w:rPr>
          <w:rFonts w:ascii="Times New Roman" w:hAnsi="Times New Roman" w:cs="Times New Roman"/>
          <w:sz w:val="24"/>
          <w:szCs w:val="24"/>
        </w:rPr>
        <w:t xml:space="preserve">(w ślad za art. 45 ust. 5b dyrektywy 2006/43/UE w brzmieniu nadanym dyrektywą 2026/470) zawierający przepisy epizodyczne określające uproszczone warunki rejestracji i zwolnienie z nadzoru sprawowanego przez Polską Agencję Nadzoru Audytowego jednostki audytorskiej pochodzącej z państwa trzeciego, która przeprowadza lub zamierza przeprowadzić atestację sprawozdawczości zrównoważonego rozwoju jednostek z państw trzecich, których papiery wartościowe dopuszczone do obrotu na rynku regulowanym w Polsce. Z uwagi, iż obecnie obowiązujące warunki rejestracji jednostek audytorskich pochodzących z państw trzecich do przeprowadzenia atestacji sprawozdawczości zrównoważonego rozwoju dotyczące m.in. większości członków organu zarządzającego, stosowanych standardów czy też publikowania sprawozdania z przejrzystości wydają się nieproporcjonalne, zwłaszcza biorąc pod uwagę aktualną międzynarodową sytuację odnośnie regulacji sprawozdawczości zrównoważonego rozwoju i jej atestacji oraz konieczność zapewnienia ważności przeprowadzonych atestacji na poziomie UE, dyrektywa wprowadza </w:t>
      </w:r>
      <w:r w:rsidRPr="00A04CED">
        <w:rPr>
          <w:rFonts w:ascii="Times New Roman" w:hAnsi="Times New Roman" w:cs="Times New Roman"/>
          <w:sz w:val="24"/>
          <w:szCs w:val="24"/>
        </w:rPr>
        <w:lastRenderedPageBreak/>
        <w:t>czasowe zasady „uproszczonej” rejestracji jednostek audytorskich pochodzących z państw trzecich.</w:t>
      </w:r>
    </w:p>
    <w:p w14:paraId="19BAEEA4" w14:textId="69373DCB"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Rejestracja w okresie przejściowym będzie możliwa</w:t>
      </w:r>
      <w:r w:rsidR="00CB6461">
        <w:rPr>
          <w:rFonts w:ascii="Times New Roman" w:hAnsi="Times New Roman" w:cs="Times New Roman"/>
          <w:sz w:val="24"/>
          <w:szCs w:val="24"/>
        </w:rPr>
        <w:t>,</w:t>
      </w:r>
      <w:r w:rsidRPr="00A04CED">
        <w:rPr>
          <w:rFonts w:ascii="Times New Roman" w:hAnsi="Times New Roman" w:cs="Times New Roman"/>
          <w:sz w:val="24"/>
          <w:szCs w:val="24"/>
        </w:rPr>
        <w:t xml:space="preserve"> pod warunkiem że jednostka audytorska z państwa trzeciego przedstawi określone informacje obejmujące m.in.</w:t>
      </w:r>
      <w:r w:rsidR="00254F3A" w:rsidRPr="00A04CED">
        <w:rPr>
          <w:rFonts w:ascii="Times New Roman" w:hAnsi="Times New Roman" w:cs="Times New Roman"/>
          <w:sz w:val="24"/>
          <w:szCs w:val="24"/>
        </w:rPr>
        <w:t>:</w:t>
      </w:r>
      <w:r w:rsidRPr="00A04CED">
        <w:rPr>
          <w:rFonts w:ascii="Times New Roman" w:hAnsi="Times New Roman" w:cs="Times New Roman"/>
          <w:sz w:val="24"/>
          <w:szCs w:val="24"/>
        </w:rPr>
        <w:t xml:space="preserve"> pełną i skróconą nazwę oraz jej adres; formę organizacyjno-prawną; oświadczenie, że biegły rewident pochodzący z państwa trzeciego podpisujący sprawozdanie z atestacji sprawozdawczości zrównoważonego rozwoju uzyskał wiedzę w zakresie sprawozdawczości zrównoważonego rozwoju oraz jej atestacji wraz z określeniem poziomu tej wiedzy; informację o członkostwie w sieci oraz opis tej sieci; wskazanie standardów atestacji sprawozdawczości zrównoważonego rozwoju i wymogów niezależności, </w:t>
      </w:r>
      <w:r w:rsidR="00254F3A" w:rsidRPr="00A04CED">
        <w:rPr>
          <w:rFonts w:ascii="Times New Roman" w:hAnsi="Times New Roman" w:cs="Times New Roman"/>
          <w:sz w:val="24"/>
          <w:szCs w:val="24"/>
        </w:rPr>
        <w:t>mających</w:t>
      </w:r>
      <w:r w:rsidRPr="00A04CED">
        <w:rPr>
          <w:rFonts w:ascii="Times New Roman" w:hAnsi="Times New Roman" w:cs="Times New Roman"/>
          <w:sz w:val="24"/>
          <w:szCs w:val="24"/>
        </w:rPr>
        <w:t xml:space="preserve"> zastosowan</w:t>
      </w:r>
      <w:r w:rsidR="00254F3A" w:rsidRPr="00A04CED">
        <w:rPr>
          <w:rFonts w:ascii="Times New Roman" w:hAnsi="Times New Roman" w:cs="Times New Roman"/>
          <w:sz w:val="24"/>
          <w:szCs w:val="24"/>
        </w:rPr>
        <w:t>ie</w:t>
      </w:r>
      <w:r w:rsidRPr="00A04CED">
        <w:rPr>
          <w:rFonts w:ascii="Times New Roman" w:hAnsi="Times New Roman" w:cs="Times New Roman"/>
          <w:sz w:val="24"/>
          <w:szCs w:val="24"/>
        </w:rPr>
        <w:t xml:space="preserve"> do danej atestacji sprawozdawczości zrównoważonego rozwoju; opis systemu zarządzania jakością jednostki audytorskiej pochodzącej z państwa trzeciego obejmującego atestację sprawozdawczości zrównoważonego rozwoju oraz wskazanie</w:t>
      </w:r>
      <w:r w:rsidR="00CB6461">
        <w:rPr>
          <w:rFonts w:ascii="Times New Roman" w:hAnsi="Times New Roman" w:cs="Times New Roman"/>
          <w:sz w:val="24"/>
          <w:szCs w:val="24"/>
        </w:rPr>
        <w:t>,</w:t>
      </w:r>
      <w:r w:rsidRPr="00A04CED">
        <w:rPr>
          <w:rFonts w:ascii="Times New Roman" w:hAnsi="Times New Roman" w:cs="Times New Roman"/>
          <w:sz w:val="24"/>
          <w:szCs w:val="24"/>
        </w:rPr>
        <w:t xml:space="preserve"> czy i kiedy przeprowadzono ostatnią kontrolę systemu zapewnienia jakości jednostki audytorskiej pochodzącej z państwa trzeciego w zakresie atestacji sprawozdawczości zrównoważonego rozwoju, a także informację odnośnie wyniku tej kontroli.</w:t>
      </w:r>
    </w:p>
    <w:p w14:paraId="3361CBAA" w14:textId="77777777"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Analogiczne warunki rejestracji będą miały zastosowanie do jednostki audytorskiej pochodzącej z państwa trzeciego prowadzącej jako biegły rewident działalność gospodarczą we własnym imieniu i na własny rachunek.</w:t>
      </w:r>
    </w:p>
    <w:p w14:paraId="49CF1A8A" w14:textId="07813BCA"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Tak, jak ma to miejsce obecnie, wymogom rejestracji w trybie uproszczonym nie będą podlegały jednostki audytorskie pochodzące z państw trzecich, które przeprowadzają atestację sprawozdawczości zrównoważonego rozwoju jednostki</w:t>
      </w:r>
      <w:r w:rsidR="00AF3896" w:rsidRPr="00A04CED">
        <w:rPr>
          <w:rFonts w:ascii="Times New Roman" w:hAnsi="Times New Roman" w:cs="Times New Roman"/>
          <w:sz w:val="24"/>
          <w:szCs w:val="24"/>
        </w:rPr>
        <w:t xml:space="preserve"> z państwa trzeciego</w:t>
      </w:r>
      <w:r w:rsidRPr="00A04CED">
        <w:rPr>
          <w:rFonts w:ascii="Times New Roman" w:hAnsi="Times New Roman" w:cs="Times New Roman"/>
          <w:sz w:val="24"/>
          <w:szCs w:val="24"/>
        </w:rPr>
        <w:t>, która jest emitentem wyłącznie dłużnych papierów wartościowych, które zostały dopuszczone do obrotu na rynku regulowanym:</w:t>
      </w:r>
    </w:p>
    <w:p w14:paraId="2939FB8C" w14:textId="074A7B8D" w:rsidR="0010525B" w:rsidRPr="00A04CED" w:rsidRDefault="0010525B" w:rsidP="009958B1">
      <w:pPr>
        <w:spacing w:before="120" w:after="0" w:line="360" w:lineRule="auto"/>
        <w:ind w:left="567" w:hanging="567"/>
        <w:jc w:val="both"/>
        <w:rPr>
          <w:rFonts w:ascii="Times New Roman" w:hAnsi="Times New Roman" w:cs="Times New Roman"/>
          <w:sz w:val="24"/>
          <w:szCs w:val="24"/>
        </w:rPr>
      </w:pPr>
      <w:r w:rsidRPr="00A04CED">
        <w:rPr>
          <w:rFonts w:ascii="Times New Roman" w:hAnsi="Times New Roman" w:cs="Times New Roman"/>
          <w:sz w:val="24"/>
          <w:szCs w:val="24"/>
        </w:rPr>
        <w:t>1)</w:t>
      </w:r>
      <w:r w:rsidR="00CB6461">
        <w:rPr>
          <w:rFonts w:ascii="Times New Roman" w:hAnsi="Times New Roman" w:cs="Times New Roman"/>
          <w:sz w:val="24"/>
          <w:szCs w:val="24"/>
        </w:rPr>
        <w:tab/>
      </w:r>
      <w:r w:rsidRPr="00A04CED">
        <w:rPr>
          <w:rFonts w:ascii="Times New Roman" w:hAnsi="Times New Roman" w:cs="Times New Roman"/>
          <w:sz w:val="24"/>
          <w:szCs w:val="24"/>
        </w:rPr>
        <w:t>przed dniem 31 grudnia 2010 r., a ich jednostkowa wartość nominalna wynosi w dniu emisji co najmniej 50 000 euro lub równowartość co najmniej 50 000 euro – w przypadku dłużnych papierów wartościowych denominowanych w innej walucie lub</w:t>
      </w:r>
    </w:p>
    <w:p w14:paraId="3073F46A" w14:textId="4F728BCA" w:rsidR="0010525B" w:rsidRPr="00A04CED" w:rsidRDefault="0010525B" w:rsidP="009958B1">
      <w:pPr>
        <w:spacing w:before="120" w:after="0" w:line="360" w:lineRule="auto"/>
        <w:ind w:left="567" w:hanging="567"/>
        <w:jc w:val="both"/>
        <w:rPr>
          <w:rFonts w:ascii="Times New Roman" w:hAnsi="Times New Roman" w:cs="Times New Roman"/>
          <w:sz w:val="24"/>
          <w:szCs w:val="24"/>
        </w:rPr>
      </w:pPr>
      <w:r w:rsidRPr="00A04CED">
        <w:rPr>
          <w:rFonts w:ascii="Times New Roman" w:hAnsi="Times New Roman" w:cs="Times New Roman"/>
          <w:sz w:val="24"/>
          <w:szCs w:val="24"/>
        </w:rPr>
        <w:t>2)</w:t>
      </w:r>
      <w:r w:rsidR="00CB6461">
        <w:rPr>
          <w:rFonts w:ascii="Times New Roman" w:hAnsi="Times New Roman" w:cs="Times New Roman"/>
          <w:sz w:val="24"/>
          <w:szCs w:val="24"/>
        </w:rPr>
        <w:tab/>
      </w:r>
      <w:r w:rsidRPr="00A04CED">
        <w:rPr>
          <w:rFonts w:ascii="Times New Roman" w:hAnsi="Times New Roman" w:cs="Times New Roman"/>
          <w:sz w:val="24"/>
          <w:szCs w:val="24"/>
        </w:rPr>
        <w:t>w dniu 31 grudnia 2010 r. lub później, a ich jednostkowa wartość nominalna wynosi w dniu emisji co najmniej 100 000 euro lub równowartość co najmniej 100 000 euro – w przypadku dłużnych papierów wartościowych denominowanych w innej walucie.</w:t>
      </w:r>
    </w:p>
    <w:p w14:paraId="6B745614" w14:textId="05B26167"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W przypadku nieprzekazania przez jednostkę audytorską pochodzącą z państwa trzeciego wymaganych informacji organ nadzoru (Polska Agencja Nadzoru Audytowego) odmówi dokonania rejestracji takiej jednostki. Wpis na listę</w:t>
      </w:r>
      <w:r w:rsidR="00AF3896" w:rsidRPr="00A04CED">
        <w:rPr>
          <w:rFonts w:ascii="Times New Roman" w:hAnsi="Times New Roman" w:cs="Times New Roman"/>
          <w:sz w:val="24"/>
          <w:szCs w:val="24"/>
        </w:rPr>
        <w:t>,</w:t>
      </w:r>
      <w:r w:rsidRPr="00A04CED">
        <w:rPr>
          <w:rFonts w:ascii="Times New Roman" w:hAnsi="Times New Roman" w:cs="Times New Roman"/>
          <w:sz w:val="24"/>
          <w:szCs w:val="24"/>
        </w:rPr>
        <w:t xml:space="preserve"> jak i odmowa wpisu</w:t>
      </w:r>
      <w:r w:rsidR="00AF3896" w:rsidRPr="00A04CED">
        <w:rPr>
          <w:rFonts w:ascii="Times New Roman" w:hAnsi="Times New Roman" w:cs="Times New Roman"/>
          <w:sz w:val="24"/>
          <w:szCs w:val="24"/>
        </w:rPr>
        <w:t>,</w:t>
      </w:r>
      <w:r w:rsidRPr="00A04CED">
        <w:rPr>
          <w:rFonts w:ascii="Times New Roman" w:hAnsi="Times New Roman" w:cs="Times New Roman"/>
          <w:sz w:val="24"/>
          <w:szCs w:val="24"/>
        </w:rPr>
        <w:t xml:space="preserve"> będą dokonywane w </w:t>
      </w:r>
      <w:r w:rsidRPr="00A04CED">
        <w:rPr>
          <w:rFonts w:ascii="Times New Roman" w:hAnsi="Times New Roman" w:cs="Times New Roman"/>
          <w:sz w:val="24"/>
          <w:szCs w:val="24"/>
        </w:rPr>
        <w:lastRenderedPageBreak/>
        <w:t xml:space="preserve">trybie postępowania administracyjnego poprzez wydanie przez Agencję decyzji administracyjnej, analogicznie jak ma to miejsce obecnie przy rejestracji w trybie dotychczasowym, „podstawowym”. </w:t>
      </w:r>
      <w:r w:rsidR="00252E33" w:rsidRPr="00A04CED">
        <w:rPr>
          <w:rFonts w:ascii="Times New Roman" w:hAnsi="Times New Roman" w:cs="Times New Roman"/>
          <w:sz w:val="24"/>
          <w:szCs w:val="24"/>
        </w:rPr>
        <w:t xml:space="preserve">W przypadku konieczności uzupełnienia </w:t>
      </w:r>
      <w:r w:rsidR="00BF68EC" w:rsidRPr="00A04CED">
        <w:rPr>
          <w:rFonts w:ascii="Times New Roman" w:hAnsi="Times New Roman" w:cs="Times New Roman"/>
          <w:sz w:val="24"/>
          <w:szCs w:val="24"/>
        </w:rPr>
        <w:t>wniosku o brakujące dane</w:t>
      </w:r>
      <w:r w:rsidR="000B294C">
        <w:rPr>
          <w:rFonts w:ascii="Times New Roman" w:hAnsi="Times New Roman" w:cs="Times New Roman"/>
          <w:sz w:val="24"/>
          <w:szCs w:val="24"/>
        </w:rPr>
        <w:t>,</w:t>
      </w:r>
      <w:r w:rsidR="00BF68EC" w:rsidRPr="00A04CED">
        <w:rPr>
          <w:rFonts w:ascii="Times New Roman" w:hAnsi="Times New Roman" w:cs="Times New Roman"/>
          <w:sz w:val="24"/>
          <w:szCs w:val="24"/>
        </w:rPr>
        <w:t xml:space="preserve"> </w:t>
      </w:r>
      <w:r w:rsidR="00252E33" w:rsidRPr="00A04CED">
        <w:rPr>
          <w:rFonts w:ascii="Times New Roman" w:hAnsi="Times New Roman" w:cs="Times New Roman"/>
          <w:sz w:val="24"/>
          <w:szCs w:val="24"/>
        </w:rPr>
        <w:t>czy też</w:t>
      </w:r>
      <w:r w:rsidR="00BF68EC" w:rsidRPr="00A04CED">
        <w:rPr>
          <w:rFonts w:ascii="Times New Roman" w:hAnsi="Times New Roman" w:cs="Times New Roman"/>
          <w:sz w:val="24"/>
          <w:szCs w:val="24"/>
        </w:rPr>
        <w:t xml:space="preserve"> w zakresie wniesienia opłaty</w:t>
      </w:r>
      <w:r w:rsidR="00252E33" w:rsidRPr="00A04CED">
        <w:rPr>
          <w:rFonts w:ascii="Times New Roman" w:hAnsi="Times New Roman" w:cs="Times New Roman"/>
          <w:sz w:val="24"/>
          <w:szCs w:val="24"/>
        </w:rPr>
        <w:t xml:space="preserve"> również będą miały zastosowanie odpowiednie przepisy k.p.a.</w:t>
      </w:r>
    </w:p>
    <w:p w14:paraId="691739B8" w14:textId="7869ADBB"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Do wniosku o wpis jednostka audytorska pochodząca z państwa trzeciego będzie zobowiązana dołączyć oświadczenie potwierdzające prawdziwość przekazywanych informacji. Oświadczenie takie powinno zostać podpisane zgodnie z zasadami reprezentacji wnioskodawcy lub przez jego pełnomocnika.</w:t>
      </w:r>
    </w:p>
    <w:p w14:paraId="413BEBF1" w14:textId="093AC79D" w:rsidR="007A6975" w:rsidRPr="00A04CED" w:rsidRDefault="007A6975"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Dyrektywa 2026/470 wskazuje, iż uproszczony system rejestracji jednostek audytorskich pochodzących z państw trzecich powinien mieć zastosowanie już do jednostek, które przeprowadzałyby atestację i wydawały sprawozdanie z tej atestacji odnośnie sprawozdawczości zrównoważonego rozwoju sporządzonej za rok obrotowy rozpoczynający się od 1 stycznia 2025 r. Tym samym, w celu pełnej transpozycji dyrektywy, w projekcie ustawy również należało przyjąć, iż wprowadzany przepisami epizodycznymi uproszczony system wpisywania na listę jednostek audytorskich z państw trzecich powinien odnosić się do jednostek, które – po wejściu w życie ustawy, z jakiś przyczyn zamierzał</w:t>
      </w:r>
      <w:r w:rsidR="004365EA" w:rsidRPr="00A04CED">
        <w:rPr>
          <w:rFonts w:ascii="Times New Roman" w:hAnsi="Times New Roman" w:cs="Times New Roman"/>
          <w:sz w:val="24"/>
          <w:szCs w:val="24"/>
        </w:rPr>
        <w:t>y</w:t>
      </w:r>
      <w:r w:rsidRPr="00A04CED">
        <w:rPr>
          <w:rFonts w:ascii="Times New Roman" w:hAnsi="Times New Roman" w:cs="Times New Roman"/>
          <w:sz w:val="24"/>
          <w:szCs w:val="24"/>
        </w:rPr>
        <w:t>by przeprowadzić atestację sprawozdawczości sporządzonej jeszcze za rok obrotowy rozpoczynający się od 1 stycznia 2025 r. Natomiast końcowym okresem obowiązywania u</w:t>
      </w:r>
      <w:r w:rsidR="0010525B" w:rsidRPr="00A04CED">
        <w:rPr>
          <w:rFonts w:ascii="Times New Roman" w:hAnsi="Times New Roman" w:cs="Times New Roman"/>
          <w:sz w:val="24"/>
          <w:szCs w:val="24"/>
        </w:rPr>
        <w:t>proszczon</w:t>
      </w:r>
      <w:r w:rsidRPr="00A04CED">
        <w:rPr>
          <w:rFonts w:ascii="Times New Roman" w:hAnsi="Times New Roman" w:cs="Times New Roman"/>
          <w:sz w:val="24"/>
          <w:szCs w:val="24"/>
        </w:rPr>
        <w:t>ej</w:t>
      </w:r>
      <w:r w:rsidR="0010525B" w:rsidRPr="00A04CED">
        <w:rPr>
          <w:rFonts w:ascii="Times New Roman" w:hAnsi="Times New Roman" w:cs="Times New Roman"/>
          <w:sz w:val="24"/>
          <w:szCs w:val="24"/>
        </w:rPr>
        <w:t xml:space="preserve"> rejestracj</w:t>
      </w:r>
      <w:r w:rsidRPr="00A04CED">
        <w:rPr>
          <w:rFonts w:ascii="Times New Roman" w:hAnsi="Times New Roman" w:cs="Times New Roman"/>
          <w:sz w:val="24"/>
          <w:szCs w:val="24"/>
        </w:rPr>
        <w:t>i</w:t>
      </w:r>
      <w:r w:rsidR="0010525B" w:rsidRPr="00A04CED">
        <w:rPr>
          <w:rFonts w:ascii="Times New Roman" w:hAnsi="Times New Roman" w:cs="Times New Roman"/>
          <w:sz w:val="24"/>
          <w:szCs w:val="24"/>
        </w:rPr>
        <w:t xml:space="preserve"> </w:t>
      </w:r>
      <w:r w:rsidRPr="00A04CED">
        <w:rPr>
          <w:rFonts w:ascii="Times New Roman" w:hAnsi="Times New Roman" w:cs="Times New Roman"/>
          <w:sz w:val="24"/>
          <w:szCs w:val="24"/>
        </w:rPr>
        <w:t>jest rok</w:t>
      </w:r>
      <w:r w:rsidR="0010525B" w:rsidRPr="00A04CED">
        <w:rPr>
          <w:rFonts w:ascii="Times New Roman" w:hAnsi="Times New Roman" w:cs="Times New Roman"/>
          <w:sz w:val="24"/>
          <w:szCs w:val="24"/>
        </w:rPr>
        <w:t xml:space="preserve"> obrotow</w:t>
      </w:r>
      <w:r w:rsidR="004365EA" w:rsidRPr="00A04CED">
        <w:rPr>
          <w:rFonts w:ascii="Times New Roman" w:hAnsi="Times New Roman" w:cs="Times New Roman"/>
          <w:sz w:val="24"/>
          <w:szCs w:val="24"/>
        </w:rPr>
        <w:t>y</w:t>
      </w:r>
      <w:r w:rsidR="0010525B" w:rsidRPr="00A04CED">
        <w:rPr>
          <w:rFonts w:ascii="Times New Roman" w:hAnsi="Times New Roman" w:cs="Times New Roman"/>
          <w:sz w:val="24"/>
          <w:szCs w:val="24"/>
        </w:rPr>
        <w:t xml:space="preserve"> rozpoczynając</w:t>
      </w:r>
      <w:r w:rsidRPr="00A04CED">
        <w:rPr>
          <w:rFonts w:ascii="Times New Roman" w:hAnsi="Times New Roman" w:cs="Times New Roman"/>
          <w:sz w:val="24"/>
          <w:szCs w:val="24"/>
        </w:rPr>
        <w:t>y</w:t>
      </w:r>
      <w:r w:rsidR="0010525B" w:rsidRPr="00A04CED">
        <w:rPr>
          <w:rFonts w:ascii="Times New Roman" w:hAnsi="Times New Roman" w:cs="Times New Roman"/>
          <w:sz w:val="24"/>
          <w:szCs w:val="24"/>
        </w:rPr>
        <w:t xml:space="preserve"> się 31 grudnia 2030.</w:t>
      </w:r>
    </w:p>
    <w:p w14:paraId="3B0E3CCF" w14:textId="738C948E" w:rsidR="0010525B" w:rsidRPr="00A04CED" w:rsidRDefault="007A6975"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W</w:t>
      </w:r>
      <w:r w:rsidR="004365EA" w:rsidRPr="00A04CED">
        <w:rPr>
          <w:rFonts w:ascii="Times New Roman" w:hAnsi="Times New Roman" w:cs="Times New Roman"/>
          <w:sz w:val="24"/>
          <w:szCs w:val="24"/>
        </w:rPr>
        <w:t xml:space="preserve"> </w:t>
      </w:r>
      <w:r w:rsidR="00484CB2">
        <w:rPr>
          <w:rFonts w:ascii="Times New Roman" w:hAnsi="Times New Roman" w:cs="Times New Roman"/>
          <w:sz w:val="24"/>
          <w:szCs w:val="24"/>
        </w:rPr>
        <w:t xml:space="preserve">projekcie </w:t>
      </w:r>
      <w:r w:rsidR="004365EA" w:rsidRPr="00A04CED">
        <w:rPr>
          <w:rFonts w:ascii="Times New Roman" w:hAnsi="Times New Roman" w:cs="Times New Roman"/>
          <w:sz w:val="24"/>
          <w:szCs w:val="24"/>
        </w:rPr>
        <w:t>ustaw</w:t>
      </w:r>
      <w:r w:rsidR="00484CB2">
        <w:rPr>
          <w:rFonts w:ascii="Times New Roman" w:hAnsi="Times New Roman" w:cs="Times New Roman"/>
          <w:sz w:val="24"/>
          <w:szCs w:val="24"/>
        </w:rPr>
        <w:t>y</w:t>
      </w:r>
      <w:r w:rsidR="004365EA" w:rsidRPr="00A04CED">
        <w:rPr>
          <w:rFonts w:ascii="Times New Roman" w:hAnsi="Times New Roman" w:cs="Times New Roman"/>
          <w:sz w:val="24"/>
          <w:szCs w:val="24"/>
        </w:rPr>
        <w:t xml:space="preserve"> w</w:t>
      </w:r>
      <w:r w:rsidRPr="00A04CED">
        <w:rPr>
          <w:rFonts w:ascii="Times New Roman" w:hAnsi="Times New Roman" w:cs="Times New Roman"/>
          <w:sz w:val="24"/>
          <w:szCs w:val="24"/>
        </w:rPr>
        <w:t>prowadzono również przepis dotyczący obowiązku skreślania przez Agencję po 1 stycznia 2034 r.</w:t>
      </w:r>
      <w:r w:rsidR="00E13626" w:rsidRPr="00A04CED">
        <w:rPr>
          <w:rFonts w:ascii="Times New Roman" w:hAnsi="Times New Roman" w:cs="Times New Roman"/>
          <w:sz w:val="24"/>
          <w:szCs w:val="24"/>
        </w:rPr>
        <w:t>, jednak niepóźniej niż do 31 stycznia 2034 r.,</w:t>
      </w:r>
      <w:r w:rsidRPr="00A04CED">
        <w:rPr>
          <w:rFonts w:ascii="Times New Roman" w:hAnsi="Times New Roman" w:cs="Times New Roman"/>
          <w:sz w:val="24"/>
          <w:szCs w:val="24"/>
        </w:rPr>
        <w:t xml:space="preserve"> jednostek audytorskich wpisanych na listę w trybie uproszczonym. </w:t>
      </w:r>
      <w:r w:rsidR="004D77F0" w:rsidRPr="00A04CED">
        <w:rPr>
          <w:rFonts w:ascii="Times New Roman" w:hAnsi="Times New Roman" w:cs="Times New Roman"/>
          <w:sz w:val="24"/>
          <w:szCs w:val="24"/>
        </w:rPr>
        <w:t>Przyjęcie daty 1 stycznia 2034 wynika z faktu</w:t>
      </w:r>
      <w:r w:rsidRPr="00A04CED">
        <w:rPr>
          <w:rFonts w:ascii="Times New Roman" w:hAnsi="Times New Roman" w:cs="Times New Roman"/>
          <w:sz w:val="24"/>
          <w:szCs w:val="24"/>
        </w:rPr>
        <w:t>, iż ostatnie atestacje dotyczące sprawozdawczości za 2031 r.</w:t>
      </w:r>
      <w:r w:rsidR="000E5E2B" w:rsidRPr="00A04CED">
        <w:rPr>
          <w:rFonts w:ascii="Times New Roman" w:hAnsi="Times New Roman" w:cs="Times New Roman"/>
          <w:sz w:val="24"/>
          <w:szCs w:val="24"/>
        </w:rPr>
        <w:t xml:space="preserve"> będą dokonywane w 2032</w:t>
      </w:r>
      <w:r w:rsidR="004D77F0" w:rsidRPr="00A04CED">
        <w:rPr>
          <w:rFonts w:ascii="Times New Roman" w:hAnsi="Times New Roman" w:cs="Times New Roman"/>
          <w:sz w:val="24"/>
          <w:szCs w:val="24"/>
        </w:rPr>
        <w:t xml:space="preserve"> r.</w:t>
      </w:r>
      <w:r w:rsidRPr="00A04CED">
        <w:rPr>
          <w:rFonts w:ascii="Times New Roman" w:hAnsi="Times New Roman" w:cs="Times New Roman"/>
          <w:sz w:val="24"/>
          <w:szCs w:val="24"/>
        </w:rPr>
        <w:t xml:space="preserve">, </w:t>
      </w:r>
      <w:r w:rsidR="004D77F0" w:rsidRPr="00A04CED">
        <w:rPr>
          <w:rFonts w:ascii="Times New Roman" w:hAnsi="Times New Roman" w:cs="Times New Roman"/>
          <w:sz w:val="24"/>
          <w:szCs w:val="24"/>
        </w:rPr>
        <w:t xml:space="preserve">natomiast </w:t>
      </w:r>
      <w:r w:rsidRPr="00A04CED">
        <w:rPr>
          <w:rFonts w:ascii="Times New Roman" w:hAnsi="Times New Roman" w:cs="Times New Roman"/>
          <w:sz w:val="24"/>
          <w:szCs w:val="24"/>
        </w:rPr>
        <w:t>dane z</w:t>
      </w:r>
      <w:r w:rsidR="00927502" w:rsidRPr="00A04CED">
        <w:rPr>
          <w:rFonts w:ascii="Times New Roman" w:hAnsi="Times New Roman" w:cs="Times New Roman"/>
          <w:sz w:val="24"/>
          <w:szCs w:val="24"/>
        </w:rPr>
        <w:t>e</w:t>
      </w:r>
      <w:r w:rsidR="004D77F0" w:rsidRPr="00A04CED">
        <w:rPr>
          <w:rFonts w:ascii="Times New Roman" w:hAnsi="Times New Roman" w:cs="Times New Roman"/>
          <w:sz w:val="24"/>
          <w:szCs w:val="24"/>
        </w:rPr>
        <w:t xml:space="preserve"> sprawozdawczości</w:t>
      </w:r>
      <w:r w:rsidR="00927502" w:rsidRPr="00A04CED">
        <w:rPr>
          <w:rFonts w:ascii="Times New Roman" w:hAnsi="Times New Roman" w:cs="Times New Roman"/>
          <w:sz w:val="24"/>
          <w:szCs w:val="24"/>
        </w:rPr>
        <w:t xml:space="preserve"> za 2031 r.</w:t>
      </w:r>
      <w:r w:rsidR="004D77F0" w:rsidRPr="00A04CED">
        <w:rPr>
          <w:rFonts w:ascii="Times New Roman" w:hAnsi="Times New Roman" w:cs="Times New Roman"/>
          <w:sz w:val="24"/>
          <w:szCs w:val="24"/>
        </w:rPr>
        <w:t>,</w:t>
      </w:r>
      <w:r w:rsidRPr="00A04CED">
        <w:rPr>
          <w:rFonts w:ascii="Times New Roman" w:hAnsi="Times New Roman" w:cs="Times New Roman"/>
          <w:sz w:val="24"/>
          <w:szCs w:val="24"/>
        </w:rPr>
        <w:t xml:space="preserve"> jako dane porównawcze</w:t>
      </w:r>
      <w:r w:rsidR="004D77F0" w:rsidRPr="00A04CED">
        <w:rPr>
          <w:rFonts w:ascii="Times New Roman" w:hAnsi="Times New Roman" w:cs="Times New Roman"/>
          <w:sz w:val="24"/>
          <w:szCs w:val="24"/>
        </w:rPr>
        <w:t>,</w:t>
      </w:r>
      <w:r w:rsidRPr="00A04CED">
        <w:rPr>
          <w:rFonts w:ascii="Times New Roman" w:hAnsi="Times New Roman" w:cs="Times New Roman"/>
          <w:sz w:val="24"/>
          <w:szCs w:val="24"/>
        </w:rPr>
        <w:t xml:space="preserve"> będą uwzględniane w sprawozdawczości za 2032 r.</w:t>
      </w:r>
      <w:r w:rsidR="004D77F0" w:rsidRPr="00A04CED">
        <w:rPr>
          <w:rFonts w:ascii="Times New Roman" w:hAnsi="Times New Roman" w:cs="Times New Roman"/>
          <w:sz w:val="24"/>
          <w:szCs w:val="24"/>
        </w:rPr>
        <w:t>, której atestacja będzie przeprowadzana</w:t>
      </w:r>
      <w:r w:rsidR="000E5E2B" w:rsidRPr="00A04CED">
        <w:rPr>
          <w:rFonts w:ascii="Times New Roman" w:hAnsi="Times New Roman" w:cs="Times New Roman"/>
          <w:sz w:val="24"/>
          <w:szCs w:val="24"/>
        </w:rPr>
        <w:t xml:space="preserve"> w 2033 r.</w:t>
      </w:r>
      <w:r w:rsidRPr="00A04CED">
        <w:rPr>
          <w:rFonts w:ascii="Times New Roman" w:hAnsi="Times New Roman" w:cs="Times New Roman"/>
          <w:sz w:val="24"/>
          <w:szCs w:val="24"/>
        </w:rPr>
        <w:t xml:space="preserve"> </w:t>
      </w:r>
      <w:r w:rsidR="004D77F0" w:rsidRPr="00A04CED">
        <w:rPr>
          <w:rFonts w:ascii="Times New Roman" w:hAnsi="Times New Roman" w:cs="Times New Roman"/>
          <w:sz w:val="24"/>
          <w:szCs w:val="24"/>
        </w:rPr>
        <w:t>W związku z tym wskazane jest</w:t>
      </w:r>
      <w:r w:rsidR="00484CB2">
        <w:rPr>
          <w:rFonts w:ascii="Times New Roman" w:hAnsi="Times New Roman" w:cs="Times New Roman"/>
          <w:sz w:val="24"/>
          <w:szCs w:val="24"/>
        </w:rPr>
        <w:t>,</w:t>
      </w:r>
      <w:r w:rsidR="004D77F0" w:rsidRPr="00A04CED">
        <w:rPr>
          <w:rFonts w:ascii="Times New Roman" w:hAnsi="Times New Roman" w:cs="Times New Roman"/>
          <w:sz w:val="24"/>
          <w:szCs w:val="24"/>
        </w:rPr>
        <w:t xml:space="preserve"> </w:t>
      </w:r>
      <w:r w:rsidR="00484CB2">
        <w:rPr>
          <w:rFonts w:ascii="Times New Roman" w:hAnsi="Times New Roman" w:cs="Times New Roman"/>
          <w:sz w:val="24"/>
          <w:szCs w:val="24"/>
        </w:rPr>
        <w:t>a</w:t>
      </w:r>
      <w:r w:rsidR="004D77F0" w:rsidRPr="00A04CED">
        <w:rPr>
          <w:rFonts w:ascii="Times New Roman" w:hAnsi="Times New Roman" w:cs="Times New Roman"/>
          <w:sz w:val="24"/>
          <w:szCs w:val="24"/>
        </w:rPr>
        <w:t xml:space="preserve">by jednostki audytorskie </w:t>
      </w:r>
      <w:r w:rsidR="00645AF1" w:rsidRPr="00A04CED">
        <w:rPr>
          <w:rFonts w:ascii="Times New Roman" w:hAnsi="Times New Roman" w:cs="Times New Roman"/>
          <w:sz w:val="24"/>
          <w:szCs w:val="24"/>
        </w:rPr>
        <w:t xml:space="preserve">zarejestrowane w trybie uproszczonym </w:t>
      </w:r>
      <w:r w:rsidR="004D77F0" w:rsidRPr="00A04CED">
        <w:rPr>
          <w:rFonts w:ascii="Times New Roman" w:hAnsi="Times New Roman" w:cs="Times New Roman"/>
          <w:sz w:val="24"/>
          <w:szCs w:val="24"/>
        </w:rPr>
        <w:t>pozostały na li</w:t>
      </w:r>
      <w:r w:rsidR="00645AF1" w:rsidRPr="00A04CED">
        <w:rPr>
          <w:rFonts w:ascii="Times New Roman" w:hAnsi="Times New Roman" w:cs="Times New Roman"/>
          <w:sz w:val="24"/>
          <w:szCs w:val="24"/>
        </w:rPr>
        <w:t>ście</w:t>
      </w:r>
      <w:r w:rsidR="004D77F0" w:rsidRPr="00A04CED">
        <w:rPr>
          <w:rFonts w:ascii="Times New Roman" w:hAnsi="Times New Roman" w:cs="Times New Roman"/>
          <w:sz w:val="24"/>
          <w:szCs w:val="24"/>
        </w:rPr>
        <w:t xml:space="preserve"> do końca 2033 r. </w:t>
      </w:r>
      <w:r w:rsidR="00645AF1" w:rsidRPr="00A04CED">
        <w:rPr>
          <w:rFonts w:ascii="Times New Roman" w:hAnsi="Times New Roman" w:cs="Times New Roman"/>
          <w:sz w:val="24"/>
          <w:szCs w:val="24"/>
        </w:rPr>
        <w:t>Ich skreślenia z listy będzie można dokonać począwszy</w:t>
      </w:r>
      <w:r w:rsidRPr="00A04CED">
        <w:rPr>
          <w:rFonts w:ascii="Times New Roman" w:hAnsi="Times New Roman" w:cs="Times New Roman"/>
          <w:sz w:val="24"/>
          <w:szCs w:val="24"/>
        </w:rPr>
        <w:t xml:space="preserve"> od 2034 r</w:t>
      </w:r>
      <w:r w:rsidR="00645AF1" w:rsidRPr="00A04CED">
        <w:rPr>
          <w:rFonts w:ascii="Times New Roman" w:hAnsi="Times New Roman" w:cs="Times New Roman"/>
          <w:sz w:val="24"/>
          <w:szCs w:val="24"/>
        </w:rPr>
        <w:t>.</w:t>
      </w:r>
    </w:p>
    <w:p w14:paraId="2C3F996E" w14:textId="59C5ABCE"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Z uwagi na ograniczony zakres informacji przekazywanych przez te jednostki, na liście, o której mowa w art. 204 ust. 1 ustawy o biegłych rewidentach</w:t>
      </w:r>
      <w:r w:rsidR="00AF3896" w:rsidRPr="00A04CED">
        <w:rPr>
          <w:rFonts w:ascii="Times New Roman" w:hAnsi="Times New Roman" w:cs="Times New Roman"/>
          <w:sz w:val="24"/>
          <w:szCs w:val="24"/>
        </w:rPr>
        <w:t>,</w:t>
      </w:r>
      <w:r w:rsidRPr="00A04CED">
        <w:rPr>
          <w:rFonts w:ascii="Times New Roman" w:hAnsi="Times New Roman" w:cs="Times New Roman"/>
          <w:sz w:val="24"/>
          <w:szCs w:val="24"/>
        </w:rPr>
        <w:t xml:space="preserve"> w stosunku do tych jednostek wykazywane będzie jedynie: numer wpisu na listę; pełna i skrócona nazwa oraz adres jednostki audytorskiej pochodzącej z państwa trzeciego; forma organizacyjno-prawna; informacja o </w:t>
      </w:r>
      <w:r w:rsidRPr="00A04CED">
        <w:rPr>
          <w:rFonts w:ascii="Times New Roman" w:hAnsi="Times New Roman" w:cs="Times New Roman"/>
          <w:sz w:val="24"/>
          <w:szCs w:val="24"/>
        </w:rPr>
        <w:lastRenderedPageBreak/>
        <w:t>członkostwie w sieci oraz opis tej sieci</w:t>
      </w:r>
      <w:r w:rsidR="00645AF1" w:rsidRPr="00A04CED">
        <w:rPr>
          <w:rFonts w:ascii="Times New Roman" w:hAnsi="Times New Roman" w:cs="Times New Roman"/>
          <w:sz w:val="24"/>
          <w:szCs w:val="24"/>
        </w:rPr>
        <w:t xml:space="preserve"> (o ile jednostka audytorska należy do sieci)</w:t>
      </w:r>
      <w:r w:rsidRPr="00A04CED">
        <w:rPr>
          <w:rFonts w:ascii="Times New Roman" w:hAnsi="Times New Roman" w:cs="Times New Roman"/>
          <w:sz w:val="24"/>
          <w:szCs w:val="24"/>
        </w:rPr>
        <w:t>, a także data wpisu na listę. Będzie również zawarta informacja, iż jednostka ta zarejestrowana została w ramach przejściowego „uproszczonego” systemu rejestracji.</w:t>
      </w:r>
    </w:p>
    <w:p w14:paraId="1EEDEEB3" w14:textId="01BD1D02"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Odnośnie opłat za dokonanie rejestracji, a także sposobu obliczania równowartości kwot w euro będą miały odpowiednie zastosowanie przepisy obowiązujące przy rejestracji w trybie „podstawowym”.</w:t>
      </w:r>
    </w:p>
    <w:p w14:paraId="4F0E8681" w14:textId="5162AC35" w:rsidR="00252E33" w:rsidRPr="00A04CED" w:rsidRDefault="00252E33"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Skreślenie z listy jednostek audytorskich pochodzących z państw trzecich wpisanych na listę w trybie uproszczonym będzie możliwe tylko </w:t>
      </w:r>
      <w:r w:rsidR="00BF68EC" w:rsidRPr="00A04CED">
        <w:rPr>
          <w:rFonts w:ascii="Times New Roman" w:hAnsi="Times New Roman" w:cs="Times New Roman"/>
          <w:sz w:val="24"/>
          <w:szCs w:val="24"/>
        </w:rPr>
        <w:t>na wniosek takiej jednostki oraz w przypadku skreślenia tej jednostki z rejestru prowadzonego przez organ rejestrujący z państwa trzeciego.</w:t>
      </w:r>
    </w:p>
    <w:p w14:paraId="28EB056C" w14:textId="790FB5AF" w:rsidR="0010525B" w:rsidRPr="00A04CED" w:rsidRDefault="0010525B"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W przypadku jednostek audytorskich pochodzących z państw trzecich wpisanych na listę w trybie uproszczonym zgodnie z art. 45 ust. 5b dyrektywy 2026/470 nie mają zastosowania określone przepisy</w:t>
      </w:r>
      <w:r w:rsidR="00AF3896" w:rsidRPr="00A04CED">
        <w:rPr>
          <w:rFonts w:ascii="Times New Roman" w:hAnsi="Times New Roman" w:cs="Times New Roman"/>
          <w:sz w:val="24"/>
          <w:szCs w:val="24"/>
        </w:rPr>
        <w:t>,</w:t>
      </w:r>
      <w:r w:rsidRPr="00A04CED">
        <w:rPr>
          <w:rFonts w:ascii="Times New Roman" w:hAnsi="Times New Roman" w:cs="Times New Roman"/>
          <w:sz w:val="24"/>
          <w:szCs w:val="24"/>
        </w:rPr>
        <w:t xml:space="preserve"> m.in. dotyczące konieczności aktualizacji danych na liście czy też odnośnie podlegania nadzorowi i kontrolom Polskiej Agencji Nadzoru Audytowego. Tym samym należało wyłączyć w tym przypadku stosowanie odpowiednich przepisów ustawy o biegłych rewidentach stanowiących implementację tych przepisów dyrektywy.</w:t>
      </w:r>
    </w:p>
    <w:p w14:paraId="44A9674B" w14:textId="3A23940A" w:rsidR="00C154A3" w:rsidRPr="00A04CED" w:rsidRDefault="00C154A3" w:rsidP="009958B1">
      <w:pPr>
        <w:pStyle w:val="Akapitzlist"/>
        <w:numPr>
          <w:ilvl w:val="0"/>
          <w:numId w:val="1"/>
        </w:numPr>
        <w:spacing w:before="120" w:after="0" w:line="360" w:lineRule="auto"/>
        <w:ind w:left="567" w:hanging="283"/>
        <w:jc w:val="both"/>
        <w:rPr>
          <w:rFonts w:ascii="Times New Roman" w:hAnsi="Times New Roman" w:cs="Times New Roman"/>
          <w:b/>
          <w:bCs/>
          <w:sz w:val="24"/>
          <w:szCs w:val="24"/>
        </w:rPr>
      </w:pPr>
      <w:bookmarkStart w:id="5" w:name="_Hlk242965223"/>
      <w:r w:rsidRPr="00A04CED">
        <w:rPr>
          <w:rFonts w:ascii="Times New Roman" w:hAnsi="Times New Roman" w:cs="Times New Roman"/>
          <w:b/>
          <w:bCs/>
          <w:sz w:val="24"/>
          <w:szCs w:val="24"/>
        </w:rPr>
        <w:t xml:space="preserve">Proponowane zmiany w ustawie </w:t>
      </w:r>
      <w:r w:rsidR="00DD32B9" w:rsidRPr="00A04CED">
        <w:rPr>
          <w:rFonts w:ascii="Times New Roman" w:hAnsi="Times New Roman" w:cs="Times New Roman"/>
          <w:b/>
          <w:bCs/>
          <w:sz w:val="24"/>
          <w:szCs w:val="24"/>
        </w:rPr>
        <w:t xml:space="preserve">z dnia 6 grudnia 2024 r. o zmianie ustawy o rachunkowości, ustawy o biegłych rewidentach, firmach audytorskich oraz nadzorze publicznym oraz niektórych innych ustaw </w:t>
      </w:r>
      <w:r w:rsidRPr="00A04CED">
        <w:rPr>
          <w:rFonts w:ascii="Times New Roman" w:hAnsi="Times New Roman" w:cs="Times New Roman"/>
          <w:b/>
          <w:bCs/>
          <w:sz w:val="24"/>
          <w:szCs w:val="24"/>
        </w:rPr>
        <w:t xml:space="preserve">(art. </w:t>
      </w:r>
      <w:r w:rsidR="00F83AA3" w:rsidRPr="00A04CED">
        <w:rPr>
          <w:rFonts w:ascii="Times New Roman" w:hAnsi="Times New Roman" w:cs="Times New Roman"/>
          <w:b/>
          <w:bCs/>
          <w:sz w:val="24"/>
          <w:szCs w:val="24"/>
        </w:rPr>
        <w:t>3</w:t>
      </w:r>
      <w:r w:rsidRPr="00A04CED">
        <w:rPr>
          <w:rFonts w:ascii="Times New Roman" w:hAnsi="Times New Roman" w:cs="Times New Roman"/>
          <w:b/>
          <w:bCs/>
          <w:sz w:val="24"/>
          <w:szCs w:val="24"/>
        </w:rPr>
        <w:t xml:space="preserve"> </w:t>
      </w:r>
      <w:r w:rsidR="00F83AA3" w:rsidRPr="00A04CED">
        <w:rPr>
          <w:rFonts w:ascii="Times New Roman" w:hAnsi="Times New Roman" w:cs="Times New Roman"/>
          <w:b/>
          <w:bCs/>
          <w:sz w:val="24"/>
          <w:szCs w:val="24"/>
        </w:rPr>
        <w:t xml:space="preserve">projektu </w:t>
      </w:r>
      <w:r w:rsidRPr="00A04CED">
        <w:rPr>
          <w:rFonts w:ascii="Times New Roman" w:hAnsi="Times New Roman" w:cs="Times New Roman"/>
          <w:b/>
          <w:bCs/>
          <w:sz w:val="24"/>
          <w:szCs w:val="24"/>
        </w:rPr>
        <w:t>ustawy nowelizującej)</w:t>
      </w:r>
    </w:p>
    <w:p w14:paraId="224F7A5E" w14:textId="6AB9E319" w:rsidR="008E157D" w:rsidRPr="00A04CED" w:rsidRDefault="00B03DD7" w:rsidP="009958B1">
      <w:pPr>
        <w:spacing w:before="120" w:after="0" w:line="360" w:lineRule="auto"/>
        <w:rPr>
          <w:rFonts w:ascii="Times New Roman" w:hAnsi="Times New Roman" w:cs="Times New Roman"/>
          <w:sz w:val="24"/>
          <w:szCs w:val="24"/>
        </w:rPr>
      </w:pPr>
      <w:r w:rsidRPr="00A04CED">
        <w:rPr>
          <w:rFonts w:ascii="Times New Roman" w:hAnsi="Times New Roman" w:cs="Times New Roman"/>
          <w:sz w:val="24"/>
          <w:szCs w:val="24"/>
        </w:rPr>
        <w:t>Projekt zakłada wprowadzenie poniższych zmian w ustawie:</w:t>
      </w:r>
    </w:p>
    <w:p w14:paraId="325830EE" w14:textId="36A3849F" w:rsidR="00887CA5" w:rsidRPr="00A04CED" w:rsidRDefault="00887CA5"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 xml:space="preserve">W </w:t>
      </w:r>
      <w:r w:rsidR="00AA1F20" w:rsidRPr="00A04CED">
        <w:rPr>
          <w:rFonts w:ascii="Times New Roman" w:hAnsi="Times New Roman" w:cs="Times New Roman"/>
          <w:b/>
          <w:bCs/>
          <w:sz w:val="24"/>
          <w:szCs w:val="24"/>
        </w:rPr>
        <w:t>art. 14</w:t>
      </w:r>
      <w:r w:rsidRPr="00A04CED">
        <w:rPr>
          <w:rFonts w:ascii="Times New Roman" w:hAnsi="Times New Roman" w:cs="Times New Roman"/>
          <w:b/>
          <w:bCs/>
          <w:sz w:val="24"/>
          <w:szCs w:val="24"/>
        </w:rPr>
        <w:t xml:space="preserve"> ustawy</w:t>
      </w:r>
      <w:r w:rsidRPr="00A04CED">
        <w:rPr>
          <w:rFonts w:ascii="Times New Roman" w:hAnsi="Times New Roman" w:cs="Times New Roman"/>
          <w:sz w:val="24"/>
          <w:szCs w:val="24"/>
        </w:rPr>
        <w:t>:</w:t>
      </w:r>
    </w:p>
    <w:p w14:paraId="6D579C45" w14:textId="4F385381" w:rsidR="00AA1F20" w:rsidRPr="00A04CED" w:rsidRDefault="00887CA5" w:rsidP="009958B1">
      <w:pPr>
        <w:pStyle w:val="Akapitzlist"/>
        <w:numPr>
          <w:ilvl w:val="0"/>
          <w:numId w:val="22"/>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w ust. 5 uchyla się pkt 2 i 3</w:t>
      </w:r>
      <w:r w:rsidRPr="00A04CED">
        <w:rPr>
          <w:rFonts w:ascii="Times New Roman" w:hAnsi="Times New Roman" w:cs="Times New Roman"/>
          <w:sz w:val="24"/>
          <w:szCs w:val="24"/>
        </w:rPr>
        <w:t xml:space="preserve">. </w:t>
      </w:r>
      <w:r w:rsidR="005870E9" w:rsidRPr="00A04CED">
        <w:rPr>
          <w:rFonts w:ascii="Times New Roman" w:hAnsi="Times New Roman" w:cs="Times New Roman"/>
          <w:sz w:val="24"/>
          <w:szCs w:val="24"/>
        </w:rPr>
        <w:t xml:space="preserve">Zgodnie ze zmianami wprowadzonymi przez ustawę z dnia 9 lipca 2025 r. (w ślad za dyrektywą </w:t>
      </w:r>
      <w:r w:rsidR="005870E9" w:rsidRPr="00A04CED">
        <w:rPr>
          <w:rFonts w:ascii="Times New Roman" w:hAnsi="Times New Roman" w:cs="Times New Roman"/>
          <w:i/>
          <w:iCs/>
          <w:sz w:val="24"/>
          <w:szCs w:val="24"/>
        </w:rPr>
        <w:t>stop-the-clock</w:t>
      </w:r>
      <w:r w:rsidR="005870E9" w:rsidRPr="00A04CED">
        <w:rPr>
          <w:rFonts w:ascii="Times New Roman" w:hAnsi="Times New Roman" w:cs="Times New Roman"/>
          <w:sz w:val="24"/>
          <w:szCs w:val="24"/>
        </w:rPr>
        <w:t>) jednostki z drugiej i trzeciej fali miały sporządzać sprawozdawczość ESG począwszy od roku obrotowego 2027 i 2028). W związk</w:t>
      </w:r>
      <w:r w:rsidRPr="00A04CED">
        <w:rPr>
          <w:rFonts w:ascii="Times New Roman" w:hAnsi="Times New Roman" w:cs="Times New Roman"/>
          <w:sz w:val="24"/>
          <w:szCs w:val="24"/>
        </w:rPr>
        <w:t>u ze zmianą zakresu jednostek zobowiązanych do sporządzania sprawozdawczości zrównoważonego rozwoju</w:t>
      </w:r>
      <w:r w:rsidR="005870E9" w:rsidRPr="00A04CED">
        <w:rPr>
          <w:rFonts w:ascii="Times New Roman" w:hAnsi="Times New Roman" w:cs="Times New Roman"/>
          <w:sz w:val="24"/>
          <w:szCs w:val="24"/>
        </w:rPr>
        <w:t xml:space="preserve"> (wprowadzoną przez dyrektywę 2026/470)</w:t>
      </w:r>
      <w:r w:rsidRPr="00A04CED">
        <w:rPr>
          <w:rFonts w:ascii="Times New Roman" w:hAnsi="Times New Roman" w:cs="Times New Roman"/>
          <w:sz w:val="24"/>
          <w:szCs w:val="24"/>
        </w:rPr>
        <w:t>, część jednostek z dotychczasowej drugiej fali</w:t>
      </w:r>
      <w:r w:rsidR="005870E9" w:rsidRPr="00A04CED">
        <w:rPr>
          <w:rFonts w:ascii="Times New Roman" w:hAnsi="Times New Roman" w:cs="Times New Roman"/>
          <w:sz w:val="24"/>
          <w:szCs w:val="24"/>
        </w:rPr>
        <w:t>, która znajdzie się poza tym nowym zakresem, w ogóle nie wejdzie w raportowanie. Te</w:t>
      </w:r>
      <w:r w:rsidRPr="00A04CED">
        <w:rPr>
          <w:rFonts w:ascii="Times New Roman" w:hAnsi="Times New Roman" w:cs="Times New Roman"/>
          <w:sz w:val="24"/>
          <w:szCs w:val="24"/>
        </w:rPr>
        <w:t xml:space="preserve">, które </w:t>
      </w:r>
      <w:r w:rsidR="005870E9" w:rsidRPr="00A04CED">
        <w:rPr>
          <w:rFonts w:ascii="Times New Roman" w:hAnsi="Times New Roman" w:cs="Times New Roman"/>
          <w:sz w:val="24"/>
          <w:szCs w:val="24"/>
        </w:rPr>
        <w:t xml:space="preserve">pozostaną na obowiązku </w:t>
      </w:r>
      <w:r w:rsidR="00E231AE" w:rsidRPr="00A04CED">
        <w:rPr>
          <w:rFonts w:ascii="Times New Roman" w:hAnsi="Times New Roman" w:cs="Times New Roman"/>
          <w:sz w:val="24"/>
          <w:szCs w:val="24"/>
        </w:rPr>
        <w:t>sprawozdawczym,</w:t>
      </w:r>
      <w:r w:rsidR="00F330CD" w:rsidRPr="00A04CED">
        <w:rPr>
          <w:rFonts w:ascii="Times New Roman" w:hAnsi="Times New Roman" w:cs="Times New Roman"/>
          <w:sz w:val="24"/>
          <w:szCs w:val="24"/>
        </w:rPr>
        <w:t xml:space="preserve"> a także Bank Gospodarstwa Krajowego</w:t>
      </w:r>
      <w:r w:rsidR="00E231AE" w:rsidRPr="00A04CED">
        <w:rPr>
          <w:rFonts w:ascii="Times New Roman" w:hAnsi="Times New Roman" w:cs="Times New Roman"/>
          <w:sz w:val="24"/>
          <w:szCs w:val="24"/>
        </w:rPr>
        <w:t xml:space="preserve"> </w:t>
      </w:r>
      <w:r w:rsidR="005870E9" w:rsidRPr="00A04CED">
        <w:rPr>
          <w:rFonts w:ascii="Times New Roman" w:hAnsi="Times New Roman" w:cs="Times New Roman"/>
          <w:sz w:val="24"/>
          <w:szCs w:val="24"/>
        </w:rPr>
        <w:t xml:space="preserve">rozpoczną </w:t>
      </w:r>
      <w:r w:rsidR="00E231AE" w:rsidRPr="00A04CED">
        <w:rPr>
          <w:rFonts w:ascii="Times New Roman" w:hAnsi="Times New Roman" w:cs="Times New Roman"/>
          <w:sz w:val="24"/>
          <w:szCs w:val="24"/>
        </w:rPr>
        <w:t>raportowanie od roku obrotowego 2027</w:t>
      </w:r>
      <w:r w:rsidR="00F330CD" w:rsidRPr="00A04CED">
        <w:rPr>
          <w:rFonts w:ascii="Times New Roman" w:hAnsi="Times New Roman" w:cs="Times New Roman"/>
          <w:sz w:val="24"/>
          <w:szCs w:val="24"/>
        </w:rPr>
        <w:t xml:space="preserve">. </w:t>
      </w:r>
      <w:r w:rsidR="00927502" w:rsidRPr="00A04CED">
        <w:rPr>
          <w:rFonts w:ascii="Times New Roman" w:hAnsi="Times New Roman" w:cs="Times New Roman"/>
          <w:sz w:val="24"/>
          <w:szCs w:val="24"/>
        </w:rPr>
        <w:t>W tym celu do projektu wprowadzono</w:t>
      </w:r>
      <w:r w:rsidR="00F330CD" w:rsidRPr="00A04CED">
        <w:rPr>
          <w:rFonts w:ascii="Times New Roman" w:hAnsi="Times New Roman" w:cs="Times New Roman"/>
          <w:sz w:val="24"/>
          <w:szCs w:val="24"/>
        </w:rPr>
        <w:t xml:space="preserve"> przepis przejściowy </w:t>
      </w:r>
      <w:r w:rsidR="00F330CD" w:rsidRPr="00A04CED">
        <w:rPr>
          <w:rFonts w:ascii="Times New Roman" w:hAnsi="Times New Roman" w:cs="Times New Roman"/>
          <w:b/>
          <w:bCs/>
          <w:sz w:val="24"/>
          <w:szCs w:val="24"/>
        </w:rPr>
        <w:t>w art. 4 ust. 3</w:t>
      </w:r>
      <w:r w:rsidR="00F330CD" w:rsidRPr="00A04CED">
        <w:rPr>
          <w:rFonts w:ascii="Times New Roman" w:hAnsi="Times New Roman" w:cs="Times New Roman"/>
          <w:sz w:val="24"/>
          <w:szCs w:val="24"/>
        </w:rPr>
        <w:t xml:space="preserve"> jasno regulujący datę pierwszego obowiązkowego raportowania</w:t>
      </w:r>
      <w:r w:rsidR="00095E1A" w:rsidRPr="00A04CED">
        <w:rPr>
          <w:rFonts w:ascii="Times New Roman" w:hAnsi="Times New Roman" w:cs="Times New Roman"/>
          <w:sz w:val="24"/>
          <w:szCs w:val="24"/>
        </w:rPr>
        <w:t xml:space="preserve"> dla ww. jednostek</w:t>
      </w:r>
      <w:r w:rsidR="00F330CD" w:rsidRPr="00A04CED">
        <w:rPr>
          <w:rFonts w:ascii="Times New Roman" w:hAnsi="Times New Roman" w:cs="Times New Roman"/>
          <w:sz w:val="24"/>
          <w:szCs w:val="24"/>
        </w:rPr>
        <w:t>.</w:t>
      </w:r>
      <w:r w:rsidR="00E231AE" w:rsidRPr="00A04CED">
        <w:rPr>
          <w:rFonts w:ascii="Times New Roman" w:hAnsi="Times New Roman" w:cs="Times New Roman"/>
          <w:sz w:val="24"/>
          <w:szCs w:val="24"/>
        </w:rPr>
        <w:t xml:space="preserve"> </w:t>
      </w:r>
      <w:r w:rsidR="00F330CD" w:rsidRPr="00A04CED">
        <w:rPr>
          <w:rFonts w:ascii="Times New Roman" w:hAnsi="Times New Roman" w:cs="Times New Roman"/>
          <w:sz w:val="24"/>
          <w:szCs w:val="24"/>
        </w:rPr>
        <w:t>Jednocześnie, z</w:t>
      </w:r>
      <w:r w:rsidR="00E231AE" w:rsidRPr="00A04CED">
        <w:rPr>
          <w:rFonts w:ascii="Times New Roman" w:hAnsi="Times New Roman" w:cs="Times New Roman"/>
          <w:sz w:val="24"/>
          <w:szCs w:val="24"/>
        </w:rPr>
        <w:t xml:space="preserve">ważywszy na powyższe dotychczasowy przepis przejściowy w pkt 2 </w:t>
      </w:r>
      <w:r w:rsidR="00927502" w:rsidRPr="00A04CED">
        <w:rPr>
          <w:rFonts w:ascii="Times New Roman" w:hAnsi="Times New Roman" w:cs="Times New Roman"/>
          <w:sz w:val="24"/>
          <w:szCs w:val="24"/>
        </w:rPr>
        <w:t xml:space="preserve">w art. 14 ust. 5 ustawy z dnia 6 </w:t>
      </w:r>
      <w:r w:rsidR="00927502" w:rsidRPr="00A04CED">
        <w:rPr>
          <w:rFonts w:ascii="Times New Roman" w:hAnsi="Times New Roman" w:cs="Times New Roman"/>
          <w:sz w:val="24"/>
          <w:szCs w:val="24"/>
        </w:rPr>
        <w:lastRenderedPageBreak/>
        <w:t xml:space="preserve">grudnia 2024 r. </w:t>
      </w:r>
      <w:r w:rsidR="00E231AE" w:rsidRPr="00A04CED">
        <w:rPr>
          <w:rFonts w:ascii="Times New Roman" w:hAnsi="Times New Roman" w:cs="Times New Roman"/>
          <w:sz w:val="24"/>
          <w:szCs w:val="24"/>
        </w:rPr>
        <w:t>staje się zbędny. Natomiast wszystkie jednostki z dotychczasowej trzeciej fali zostają wyłączone z nowego zakresu jednostek zobowiązanych do raportowani</w:t>
      </w:r>
      <w:r w:rsidR="006065B1" w:rsidRPr="00A04CED">
        <w:rPr>
          <w:rFonts w:ascii="Times New Roman" w:hAnsi="Times New Roman" w:cs="Times New Roman"/>
          <w:sz w:val="24"/>
          <w:szCs w:val="24"/>
        </w:rPr>
        <w:t>a</w:t>
      </w:r>
      <w:r w:rsidR="00E231AE" w:rsidRPr="00A04CED">
        <w:rPr>
          <w:rFonts w:ascii="Times New Roman" w:hAnsi="Times New Roman" w:cs="Times New Roman"/>
          <w:sz w:val="24"/>
          <w:szCs w:val="24"/>
        </w:rPr>
        <w:t>. Z tego powodu przepis przejściowy w pkt 3 również należy uchylić</w:t>
      </w:r>
      <w:r w:rsidR="00B7080C" w:rsidRPr="00A04CED">
        <w:rPr>
          <w:rFonts w:ascii="Times New Roman" w:hAnsi="Times New Roman" w:cs="Times New Roman"/>
          <w:sz w:val="24"/>
          <w:szCs w:val="24"/>
        </w:rPr>
        <w:t>. Jednocześnie należy zaznaczyć, że uchylenie pkt 3 nie skutkuje objęciem jednostek wskazanych w tym przepisie obowiązkiem sporządzania sprawozdawczości zrównoważonego rozwoju.</w:t>
      </w:r>
      <w:r w:rsidR="00A91B00" w:rsidRPr="00A04CED">
        <w:rPr>
          <w:rFonts w:ascii="Times New Roman" w:hAnsi="Times New Roman" w:cs="Times New Roman"/>
          <w:sz w:val="24"/>
          <w:szCs w:val="24"/>
        </w:rPr>
        <w:t xml:space="preserve"> </w:t>
      </w:r>
      <w:r w:rsidR="00B7080C" w:rsidRPr="00A04CED">
        <w:rPr>
          <w:rFonts w:ascii="Times New Roman" w:hAnsi="Times New Roman" w:cs="Times New Roman"/>
          <w:sz w:val="24"/>
          <w:szCs w:val="24"/>
        </w:rPr>
        <w:t>Uchylenie przepisu przejściowego nie może być interpretowane jako podstawa do nałożenia na te jednostki obowiązku sprawozdawczego za lata obrotowe poprzedzające wejście w życie projektowanych przepisów. Takie rozumienie projektowanych zmian byłoby niezgodne z zasadą niedziałania prawa wstecz, wywodzoną z zasady demokratycznego państwa praw</w:t>
      </w:r>
      <w:r w:rsidR="00484CB2">
        <w:rPr>
          <w:rFonts w:ascii="Times New Roman" w:hAnsi="Times New Roman" w:cs="Times New Roman"/>
          <w:sz w:val="24"/>
          <w:szCs w:val="24"/>
        </w:rPr>
        <w:t>nego</w:t>
      </w:r>
      <w:r w:rsidR="00B7080C" w:rsidRPr="00A04CED">
        <w:rPr>
          <w:rFonts w:ascii="Times New Roman" w:hAnsi="Times New Roman" w:cs="Times New Roman"/>
          <w:sz w:val="24"/>
          <w:szCs w:val="24"/>
        </w:rPr>
        <w:t>.</w:t>
      </w:r>
      <w:r w:rsidR="00A91B00" w:rsidRPr="00A04CED">
        <w:rPr>
          <w:rFonts w:ascii="Times New Roman" w:hAnsi="Times New Roman" w:cs="Times New Roman"/>
          <w:sz w:val="24"/>
          <w:szCs w:val="24"/>
        </w:rPr>
        <w:t xml:space="preserve"> Równocześnie zasadne jest pozostawienie art. 14 ust. 5 pkt 4 ww. ustawy, który określa harmonogram objęcia obowiązkiem </w:t>
      </w:r>
      <w:r w:rsidR="001E2835" w:rsidRPr="00A04CED">
        <w:rPr>
          <w:rFonts w:ascii="Times New Roman" w:hAnsi="Times New Roman" w:cs="Times New Roman"/>
          <w:sz w:val="24"/>
          <w:szCs w:val="24"/>
        </w:rPr>
        <w:t xml:space="preserve">publikacji </w:t>
      </w:r>
      <w:r w:rsidR="00A91B00" w:rsidRPr="00A04CED">
        <w:rPr>
          <w:rFonts w:ascii="Times New Roman" w:hAnsi="Times New Roman" w:cs="Times New Roman"/>
          <w:sz w:val="24"/>
          <w:szCs w:val="24"/>
        </w:rPr>
        <w:t>sprawozdawczości zrównoważonego rozwoju</w:t>
      </w:r>
      <w:r w:rsidR="001E2835" w:rsidRPr="00A04CED">
        <w:rPr>
          <w:rFonts w:ascii="Times New Roman" w:hAnsi="Times New Roman" w:cs="Times New Roman"/>
          <w:sz w:val="24"/>
          <w:szCs w:val="24"/>
        </w:rPr>
        <w:t xml:space="preserve"> jednostek z państw spoza EOG przez</w:t>
      </w:r>
      <w:r w:rsidR="00A91B00" w:rsidRPr="00A04CED">
        <w:rPr>
          <w:rFonts w:ascii="Times New Roman" w:hAnsi="Times New Roman" w:cs="Times New Roman"/>
          <w:sz w:val="24"/>
          <w:szCs w:val="24"/>
        </w:rPr>
        <w:t xml:space="preserve"> jednostk</w:t>
      </w:r>
      <w:r w:rsidR="001E2835" w:rsidRPr="00A04CED">
        <w:rPr>
          <w:rFonts w:ascii="Times New Roman" w:hAnsi="Times New Roman" w:cs="Times New Roman"/>
          <w:sz w:val="24"/>
          <w:szCs w:val="24"/>
        </w:rPr>
        <w:t>i</w:t>
      </w:r>
      <w:r w:rsidR="00A91B00" w:rsidRPr="00A04CED">
        <w:rPr>
          <w:rFonts w:ascii="Times New Roman" w:hAnsi="Times New Roman" w:cs="Times New Roman"/>
          <w:sz w:val="24"/>
          <w:szCs w:val="24"/>
        </w:rPr>
        <w:t xml:space="preserve"> zależn</w:t>
      </w:r>
      <w:r w:rsidR="001E2835" w:rsidRPr="00A04CED">
        <w:rPr>
          <w:rFonts w:ascii="Times New Roman" w:hAnsi="Times New Roman" w:cs="Times New Roman"/>
          <w:sz w:val="24"/>
          <w:szCs w:val="24"/>
        </w:rPr>
        <w:t>e</w:t>
      </w:r>
      <w:r w:rsidR="00A91B00" w:rsidRPr="00A04CED">
        <w:rPr>
          <w:rFonts w:ascii="Times New Roman" w:hAnsi="Times New Roman" w:cs="Times New Roman"/>
          <w:sz w:val="24"/>
          <w:szCs w:val="24"/>
        </w:rPr>
        <w:t xml:space="preserve"> i oddział</w:t>
      </w:r>
      <w:r w:rsidR="001E2835" w:rsidRPr="00A04CED">
        <w:rPr>
          <w:rFonts w:ascii="Times New Roman" w:hAnsi="Times New Roman" w:cs="Times New Roman"/>
          <w:sz w:val="24"/>
          <w:szCs w:val="24"/>
        </w:rPr>
        <w:t>y,</w:t>
      </w:r>
      <w:r w:rsidR="00A91B00" w:rsidRPr="00A04CED">
        <w:rPr>
          <w:rFonts w:ascii="Times New Roman" w:hAnsi="Times New Roman" w:cs="Times New Roman"/>
          <w:sz w:val="24"/>
          <w:szCs w:val="24"/>
        </w:rPr>
        <w:t xml:space="preserve"> o których mowa w art. 63zd ustawy </w:t>
      </w:r>
      <w:r w:rsidR="001E2835" w:rsidRPr="00A04CED">
        <w:rPr>
          <w:rFonts w:ascii="Times New Roman" w:hAnsi="Times New Roman" w:cs="Times New Roman"/>
          <w:sz w:val="24"/>
          <w:szCs w:val="24"/>
        </w:rPr>
        <w:t>zmienianej w art. 1</w:t>
      </w:r>
      <w:r w:rsidR="00A91B00" w:rsidRPr="00A04CED">
        <w:rPr>
          <w:rFonts w:ascii="Times New Roman" w:hAnsi="Times New Roman" w:cs="Times New Roman"/>
          <w:sz w:val="24"/>
          <w:szCs w:val="24"/>
        </w:rPr>
        <w:t>. Rozwiązanie to</w:t>
      </w:r>
      <w:r w:rsidR="001E2835" w:rsidRPr="00A04CED">
        <w:rPr>
          <w:rFonts w:ascii="Times New Roman" w:hAnsi="Times New Roman" w:cs="Times New Roman"/>
          <w:sz w:val="24"/>
          <w:szCs w:val="24"/>
        </w:rPr>
        <w:t xml:space="preserve"> jest</w:t>
      </w:r>
      <w:r w:rsidR="00A91B00" w:rsidRPr="00A04CED">
        <w:rPr>
          <w:rFonts w:ascii="Times New Roman" w:hAnsi="Times New Roman" w:cs="Times New Roman"/>
          <w:sz w:val="24"/>
          <w:szCs w:val="24"/>
        </w:rPr>
        <w:t xml:space="preserve"> spójne z art. 4 ust. 2 projektu ustawy, zgodnie z którym zmienione przepisy dotyczące tych jednostek będą miały zastosowanie po raz pierwszy do roku obrotowego rozpoczynającego się po dniu 31 grudnia 2027 r. Zachowanie dotychczasowego przepisu przejściowego</w:t>
      </w:r>
      <w:r w:rsidR="003F18C6" w:rsidRPr="00A04CED">
        <w:rPr>
          <w:rFonts w:ascii="Times New Roman" w:hAnsi="Times New Roman" w:cs="Times New Roman"/>
          <w:sz w:val="24"/>
          <w:szCs w:val="24"/>
        </w:rPr>
        <w:t xml:space="preserve"> art.</w:t>
      </w:r>
      <w:r w:rsidR="00484CB2">
        <w:rPr>
          <w:rFonts w:ascii="Times New Roman" w:hAnsi="Times New Roman" w:cs="Times New Roman"/>
          <w:sz w:val="24"/>
          <w:szCs w:val="24"/>
        </w:rPr>
        <w:t> </w:t>
      </w:r>
      <w:r w:rsidR="003F18C6" w:rsidRPr="00A04CED">
        <w:rPr>
          <w:rFonts w:ascii="Times New Roman" w:hAnsi="Times New Roman" w:cs="Times New Roman"/>
          <w:sz w:val="24"/>
          <w:szCs w:val="24"/>
        </w:rPr>
        <w:t>14 ust. 5 pkt 4 ustawy z dnia 6 grudnia 2024 r.</w:t>
      </w:r>
      <w:r w:rsidR="00A91B00" w:rsidRPr="00A04CED">
        <w:rPr>
          <w:rFonts w:ascii="Times New Roman" w:hAnsi="Times New Roman" w:cs="Times New Roman"/>
          <w:sz w:val="24"/>
          <w:szCs w:val="24"/>
        </w:rPr>
        <w:t xml:space="preserve"> pozwala zatem utrzymać przewidziany dla tych jednostek harmonogram stosowania obowiązku, bez naruszania nowych zasad określających zakres podmiotowy sprawozdawczości zrównoważonego rozwoju</w:t>
      </w:r>
      <w:r w:rsidR="00E231AE" w:rsidRPr="00A04CED">
        <w:rPr>
          <w:rFonts w:ascii="Times New Roman" w:hAnsi="Times New Roman" w:cs="Times New Roman"/>
          <w:sz w:val="24"/>
          <w:szCs w:val="24"/>
        </w:rPr>
        <w:t>;</w:t>
      </w:r>
    </w:p>
    <w:p w14:paraId="1CABA35B" w14:textId="01AD09A0" w:rsidR="00887CA5" w:rsidRPr="00A04CED" w:rsidRDefault="00887CA5" w:rsidP="009958B1">
      <w:pPr>
        <w:pStyle w:val="Akapitzlist"/>
        <w:numPr>
          <w:ilvl w:val="0"/>
          <w:numId w:val="22"/>
        </w:num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uchyla się ust. 7</w:t>
      </w:r>
      <w:r w:rsidRPr="00A04CED">
        <w:rPr>
          <w:rFonts w:ascii="Times New Roman" w:hAnsi="Times New Roman" w:cs="Times New Roman"/>
          <w:sz w:val="24"/>
          <w:szCs w:val="24"/>
        </w:rPr>
        <w:t xml:space="preserve">. </w:t>
      </w:r>
      <w:r w:rsidR="00D969A2" w:rsidRPr="00A04CED">
        <w:rPr>
          <w:rFonts w:ascii="Times New Roman" w:hAnsi="Times New Roman" w:cs="Times New Roman"/>
          <w:sz w:val="24"/>
          <w:szCs w:val="24"/>
        </w:rPr>
        <w:t>W związku z dodawanym ust. 5g w art. 63r oraz art.</w:t>
      </w:r>
      <w:r w:rsidR="00484CB2">
        <w:rPr>
          <w:rFonts w:ascii="Times New Roman" w:hAnsi="Times New Roman" w:cs="Times New Roman"/>
          <w:sz w:val="24"/>
          <w:szCs w:val="24"/>
        </w:rPr>
        <w:t xml:space="preserve"> </w:t>
      </w:r>
      <w:r w:rsidR="00D969A2" w:rsidRPr="00A04CED">
        <w:rPr>
          <w:rFonts w:ascii="Times New Roman" w:hAnsi="Times New Roman" w:cs="Times New Roman"/>
          <w:sz w:val="24"/>
          <w:szCs w:val="24"/>
        </w:rPr>
        <w:t>63x ustawy o rachunkowości, ust. 7 traci rację bytu i należy go uchylić (por. szczegółowe wyjaśnienie dotyczące wprowadzenia ww. ust. 5g powyżej).</w:t>
      </w:r>
    </w:p>
    <w:p w14:paraId="701CFF7F" w14:textId="7282E82E" w:rsidR="00A91B00" w:rsidRPr="009958B1" w:rsidRDefault="00D969A2"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W związku z tym, że atestacja sprawozdawczości zrównoważonego rozwoju ma pozostać na poziomie </w:t>
      </w:r>
      <w:r w:rsidR="00A0163E" w:rsidRPr="00A04CED">
        <w:rPr>
          <w:rFonts w:ascii="Times New Roman" w:hAnsi="Times New Roman" w:cs="Times New Roman"/>
          <w:sz w:val="24"/>
          <w:szCs w:val="24"/>
        </w:rPr>
        <w:t xml:space="preserve">dającym </w:t>
      </w:r>
      <w:r w:rsidRPr="00A04CED">
        <w:rPr>
          <w:rFonts w:ascii="Times New Roman" w:hAnsi="Times New Roman" w:cs="Times New Roman"/>
          <w:sz w:val="24"/>
          <w:szCs w:val="24"/>
        </w:rPr>
        <w:t>ograniczon</w:t>
      </w:r>
      <w:r w:rsidR="00A0163E" w:rsidRPr="00A04CED">
        <w:rPr>
          <w:rFonts w:ascii="Times New Roman" w:hAnsi="Times New Roman" w:cs="Times New Roman"/>
          <w:sz w:val="24"/>
          <w:szCs w:val="24"/>
        </w:rPr>
        <w:t>ą pewność</w:t>
      </w:r>
      <w:r w:rsidRPr="00A04CED">
        <w:rPr>
          <w:rFonts w:ascii="Times New Roman" w:hAnsi="Times New Roman" w:cs="Times New Roman"/>
          <w:sz w:val="24"/>
          <w:szCs w:val="24"/>
        </w:rPr>
        <w:t xml:space="preserve">, a nie jak pierwotnie przewidywała CSRD, że będzie ona docelowo prowadzona na poziomie </w:t>
      </w:r>
      <w:r w:rsidR="00A0163E" w:rsidRPr="00A04CED">
        <w:rPr>
          <w:rFonts w:ascii="Times New Roman" w:hAnsi="Times New Roman" w:cs="Times New Roman"/>
          <w:sz w:val="24"/>
          <w:szCs w:val="24"/>
        </w:rPr>
        <w:t xml:space="preserve">dającym </w:t>
      </w:r>
      <w:r w:rsidRPr="00A04CED">
        <w:rPr>
          <w:rFonts w:ascii="Times New Roman" w:hAnsi="Times New Roman" w:cs="Times New Roman"/>
          <w:sz w:val="24"/>
          <w:szCs w:val="24"/>
        </w:rPr>
        <w:t>wystarczając</w:t>
      </w:r>
      <w:r w:rsidR="00A0163E" w:rsidRPr="00A04CED">
        <w:rPr>
          <w:rFonts w:ascii="Times New Roman" w:hAnsi="Times New Roman" w:cs="Times New Roman"/>
          <w:sz w:val="24"/>
          <w:szCs w:val="24"/>
        </w:rPr>
        <w:t>ą pewność</w:t>
      </w:r>
      <w:r w:rsidRPr="00A04CED">
        <w:rPr>
          <w:rFonts w:ascii="Times New Roman" w:hAnsi="Times New Roman" w:cs="Times New Roman"/>
          <w:sz w:val="24"/>
          <w:szCs w:val="24"/>
        </w:rPr>
        <w:t xml:space="preserve"> (por. </w:t>
      </w:r>
      <w:r w:rsidR="00A0163E" w:rsidRPr="00A04CED">
        <w:rPr>
          <w:rFonts w:ascii="Times New Roman" w:hAnsi="Times New Roman" w:cs="Times New Roman"/>
          <w:sz w:val="24"/>
          <w:szCs w:val="24"/>
        </w:rPr>
        <w:t xml:space="preserve">wprowadzone dyrektywą 2026/470 nowe brzmienie ust. 3 w art. 26a dyrektywy 2006/43/WE, z którego usunięto dotychczasowy akapit </w:t>
      </w:r>
      <w:r w:rsidR="00942A1D" w:rsidRPr="00A04CED">
        <w:rPr>
          <w:rFonts w:ascii="Times New Roman" w:hAnsi="Times New Roman" w:cs="Times New Roman"/>
          <w:sz w:val="24"/>
          <w:szCs w:val="24"/>
        </w:rPr>
        <w:t>z</w:t>
      </w:r>
      <w:r w:rsidR="00A0163E" w:rsidRPr="00A04CED">
        <w:rPr>
          <w:rFonts w:ascii="Times New Roman" w:hAnsi="Times New Roman" w:cs="Times New Roman"/>
          <w:sz w:val="24"/>
          <w:szCs w:val="24"/>
        </w:rPr>
        <w:t xml:space="preserve">obowiązujący KE do przyjęcia – do 1 października 2028 r. </w:t>
      </w:r>
      <w:r w:rsidR="00484CB2">
        <w:rPr>
          <w:rFonts w:ascii="Times New Roman" w:hAnsi="Times New Roman" w:cs="Times New Roman"/>
          <w:sz w:val="24"/>
          <w:szCs w:val="24"/>
        </w:rPr>
        <w:t>–</w:t>
      </w:r>
      <w:r w:rsidR="00A0163E" w:rsidRPr="00A04CED">
        <w:rPr>
          <w:rFonts w:ascii="Times New Roman" w:hAnsi="Times New Roman" w:cs="Times New Roman"/>
          <w:sz w:val="24"/>
          <w:szCs w:val="24"/>
        </w:rPr>
        <w:t xml:space="preserve"> standardów atestacji dających wystarczającą pewność</w:t>
      </w:r>
      <w:r w:rsidR="00942A1D" w:rsidRPr="00A04CED">
        <w:rPr>
          <w:rFonts w:ascii="Times New Roman" w:hAnsi="Times New Roman" w:cs="Times New Roman"/>
          <w:sz w:val="24"/>
          <w:szCs w:val="24"/>
        </w:rPr>
        <w:t>)</w:t>
      </w:r>
      <w:r w:rsidR="00A0163E" w:rsidRPr="00A04CED">
        <w:rPr>
          <w:rFonts w:ascii="Times New Roman" w:hAnsi="Times New Roman" w:cs="Times New Roman"/>
          <w:sz w:val="24"/>
          <w:szCs w:val="24"/>
        </w:rPr>
        <w:t xml:space="preserve">, </w:t>
      </w:r>
      <w:r w:rsidR="00942A1D" w:rsidRPr="00A04CED">
        <w:rPr>
          <w:rFonts w:ascii="Times New Roman" w:hAnsi="Times New Roman" w:cs="Times New Roman"/>
          <w:b/>
          <w:bCs/>
          <w:sz w:val="24"/>
          <w:szCs w:val="24"/>
        </w:rPr>
        <w:t xml:space="preserve">należy uchylić </w:t>
      </w:r>
      <w:r w:rsidRPr="00A04CED">
        <w:rPr>
          <w:rFonts w:ascii="Times New Roman" w:hAnsi="Times New Roman" w:cs="Times New Roman"/>
          <w:b/>
          <w:bCs/>
          <w:sz w:val="24"/>
          <w:szCs w:val="24"/>
        </w:rPr>
        <w:t>art. 26 ustawy</w:t>
      </w:r>
      <w:r w:rsidRPr="00A04CED">
        <w:rPr>
          <w:rFonts w:ascii="Times New Roman" w:hAnsi="Times New Roman" w:cs="Times New Roman"/>
          <w:sz w:val="24"/>
          <w:szCs w:val="24"/>
        </w:rPr>
        <w:t>.</w:t>
      </w:r>
    </w:p>
    <w:p w14:paraId="019ED108" w14:textId="3813F14E" w:rsidR="009F5610" w:rsidRPr="00A04CED" w:rsidRDefault="003C1500"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b/>
          <w:bCs/>
          <w:sz w:val="24"/>
          <w:szCs w:val="24"/>
        </w:rPr>
        <w:t>Zgodnie z art. 4 ust. 1 projektu</w:t>
      </w:r>
      <w:r w:rsidRPr="00A04CED">
        <w:rPr>
          <w:rFonts w:ascii="Times New Roman" w:hAnsi="Times New Roman" w:cs="Times New Roman"/>
          <w:sz w:val="24"/>
          <w:szCs w:val="24"/>
        </w:rPr>
        <w:t xml:space="preserve"> z</w:t>
      </w:r>
      <w:r w:rsidR="00942A1D" w:rsidRPr="00A04CED">
        <w:rPr>
          <w:rFonts w:ascii="Times New Roman" w:hAnsi="Times New Roman" w:cs="Times New Roman"/>
          <w:sz w:val="24"/>
          <w:szCs w:val="24"/>
        </w:rPr>
        <w:t>mienione przepisy dotyczące sprawozdawczości zrównoważonego rozwoju, w tym nowy zakres jednostek zobowiązanych do raportowania</w:t>
      </w:r>
      <w:r w:rsidR="00D778A2" w:rsidRPr="00A04CED">
        <w:rPr>
          <w:rFonts w:ascii="Times New Roman" w:hAnsi="Times New Roman" w:cs="Times New Roman"/>
          <w:sz w:val="24"/>
          <w:szCs w:val="24"/>
        </w:rPr>
        <w:t>, a także zawężony zakres jednostek przedstawiających informacje na temat kluczowych zasobów niematerialnych</w:t>
      </w:r>
      <w:r w:rsidR="00942A1D" w:rsidRPr="00A04CED">
        <w:rPr>
          <w:rFonts w:ascii="Times New Roman" w:hAnsi="Times New Roman" w:cs="Times New Roman"/>
          <w:sz w:val="24"/>
          <w:szCs w:val="24"/>
        </w:rPr>
        <w:t xml:space="preserve"> (art. 1 projektu ustawy)</w:t>
      </w:r>
      <w:r w:rsidRPr="00A04CED">
        <w:rPr>
          <w:rFonts w:ascii="Times New Roman" w:hAnsi="Times New Roman" w:cs="Times New Roman"/>
          <w:sz w:val="24"/>
          <w:szCs w:val="24"/>
        </w:rPr>
        <w:t xml:space="preserve"> oraz zmienione przepisy ustawy o biegłych rewidentach, firmach audytorskich oraz nadzorze publicznym dotyczące atestacji </w:t>
      </w:r>
      <w:r w:rsidRPr="00A04CED">
        <w:rPr>
          <w:rFonts w:ascii="Times New Roman" w:hAnsi="Times New Roman" w:cs="Times New Roman"/>
          <w:sz w:val="24"/>
          <w:szCs w:val="24"/>
        </w:rPr>
        <w:lastRenderedPageBreak/>
        <w:t>sprawozdawczości ESG (art. 2 projektu)</w:t>
      </w:r>
      <w:r w:rsidR="00942A1D" w:rsidRPr="00A04CED">
        <w:rPr>
          <w:rFonts w:ascii="Times New Roman" w:hAnsi="Times New Roman" w:cs="Times New Roman"/>
          <w:sz w:val="24"/>
          <w:szCs w:val="24"/>
        </w:rPr>
        <w:t>, mają mieć zastosowanie po raz pierwszy do roku obrotowego rozpoczynającego się po 31 grudnia 2026</w:t>
      </w:r>
      <w:r w:rsidR="00D778A2" w:rsidRPr="00A04CED">
        <w:rPr>
          <w:rFonts w:ascii="Times New Roman" w:hAnsi="Times New Roman" w:cs="Times New Roman"/>
          <w:sz w:val="24"/>
          <w:szCs w:val="24"/>
        </w:rPr>
        <w:t xml:space="preserve"> r.</w:t>
      </w:r>
      <w:r w:rsidR="00942A1D" w:rsidRPr="00A04CED">
        <w:rPr>
          <w:rFonts w:ascii="Times New Roman" w:hAnsi="Times New Roman" w:cs="Times New Roman"/>
          <w:sz w:val="24"/>
          <w:szCs w:val="24"/>
        </w:rPr>
        <w:t xml:space="preserve"> </w:t>
      </w:r>
      <w:r w:rsidR="00D778A2" w:rsidRPr="00A04CED">
        <w:rPr>
          <w:rFonts w:ascii="Times New Roman" w:hAnsi="Times New Roman" w:cs="Times New Roman"/>
          <w:sz w:val="24"/>
          <w:szCs w:val="24"/>
        </w:rPr>
        <w:t>Wyjątek stanowią</w:t>
      </w:r>
      <w:r w:rsidR="009F5610" w:rsidRPr="00A04CED">
        <w:rPr>
          <w:rFonts w:ascii="Times New Roman" w:hAnsi="Times New Roman" w:cs="Times New Roman"/>
          <w:sz w:val="24"/>
          <w:szCs w:val="24"/>
        </w:rPr>
        <w:t>:</w:t>
      </w:r>
    </w:p>
    <w:p w14:paraId="28E401B0" w14:textId="231223ED" w:rsidR="009F5610" w:rsidRPr="00A04CED" w:rsidRDefault="00D778A2" w:rsidP="009958B1">
      <w:pPr>
        <w:pStyle w:val="Akapitzlist"/>
        <w:numPr>
          <w:ilvl w:val="0"/>
          <w:numId w:val="23"/>
        </w:num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zmienione przepisy art. 63zd </w:t>
      </w:r>
      <w:r w:rsidR="009F5610" w:rsidRPr="00A04CED">
        <w:rPr>
          <w:rFonts w:ascii="Times New Roman" w:hAnsi="Times New Roman" w:cs="Times New Roman"/>
          <w:sz w:val="24"/>
          <w:szCs w:val="24"/>
        </w:rPr>
        <w:t xml:space="preserve">ustawy o rachunkowości </w:t>
      </w:r>
      <w:r w:rsidRPr="00A04CED">
        <w:rPr>
          <w:rFonts w:ascii="Times New Roman" w:hAnsi="Times New Roman" w:cs="Times New Roman"/>
          <w:sz w:val="24"/>
          <w:szCs w:val="24"/>
        </w:rPr>
        <w:t>dotyczące publikacji sprawozdawczości zrównoważonego rozwoju jednostek z państw trzecich przez polskie jednostki zależne i oddziały, które będą miały zastosowanie po raz pierwszy do roku obrotowego rozpoczynającego się po 31 grudnia 2027 r., zgodnie z pierwotnym harmonogramem wejścia tych jednostek w ww. obowiązek, wskazanym w art. 14 ust. 5 pkt</w:t>
      </w:r>
      <w:r w:rsidR="00484CB2">
        <w:rPr>
          <w:rFonts w:ascii="Times New Roman" w:hAnsi="Times New Roman" w:cs="Times New Roman"/>
          <w:sz w:val="24"/>
          <w:szCs w:val="24"/>
        </w:rPr>
        <w:t> </w:t>
      </w:r>
      <w:r w:rsidRPr="00A04CED">
        <w:rPr>
          <w:rFonts w:ascii="Times New Roman" w:hAnsi="Times New Roman" w:cs="Times New Roman"/>
          <w:sz w:val="24"/>
          <w:szCs w:val="24"/>
        </w:rPr>
        <w:t>4 ustawy z 6 grudnia 2024 r.</w:t>
      </w:r>
      <w:r w:rsidR="00095E1A" w:rsidRPr="00A04CED">
        <w:rPr>
          <w:rFonts w:ascii="Times New Roman" w:hAnsi="Times New Roman" w:cs="Times New Roman"/>
          <w:sz w:val="24"/>
          <w:szCs w:val="24"/>
        </w:rPr>
        <w:t xml:space="preserve"> (por. </w:t>
      </w:r>
      <w:r w:rsidR="00095E1A" w:rsidRPr="00A04CED">
        <w:rPr>
          <w:rFonts w:ascii="Times New Roman" w:hAnsi="Times New Roman" w:cs="Times New Roman"/>
          <w:b/>
          <w:bCs/>
          <w:sz w:val="24"/>
          <w:szCs w:val="24"/>
        </w:rPr>
        <w:t>art. 4 ust. 2 projektu</w:t>
      </w:r>
      <w:r w:rsidR="00095E1A" w:rsidRPr="00A04CED">
        <w:rPr>
          <w:rFonts w:ascii="Times New Roman" w:hAnsi="Times New Roman" w:cs="Times New Roman"/>
          <w:sz w:val="24"/>
          <w:szCs w:val="24"/>
        </w:rPr>
        <w:t>)</w:t>
      </w:r>
      <w:r w:rsidR="00AB11AE" w:rsidRPr="00A04CED">
        <w:rPr>
          <w:rFonts w:ascii="Times New Roman" w:hAnsi="Times New Roman" w:cs="Times New Roman"/>
          <w:sz w:val="24"/>
          <w:szCs w:val="24"/>
        </w:rPr>
        <w:t>;</w:t>
      </w:r>
      <w:r w:rsidRPr="00A04CED">
        <w:rPr>
          <w:rFonts w:ascii="Times New Roman" w:hAnsi="Times New Roman" w:cs="Times New Roman"/>
          <w:sz w:val="24"/>
          <w:szCs w:val="24"/>
        </w:rPr>
        <w:t xml:space="preserve"> </w:t>
      </w:r>
    </w:p>
    <w:p w14:paraId="62B8BB7E" w14:textId="7EFF8E34" w:rsidR="009F5610" w:rsidRPr="00A04CED" w:rsidRDefault="009F5610" w:rsidP="009958B1">
      <w:pPr>
        <w:pStyle w:val="Akapitzlist"/>
        <w:numPr>
          <w:ilvl w:val="0"/>
          <w:numId w:val="23"/>
        </w:num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zmienione przepisy art. 205 w ust. 1a pkt 1 ustawy o biegłych rewidentach dotyczące warunków w zakresie członków organów zarządzających jednostki audytorskiej pochodzącej z państwa trzeciego, który będzie miał zastosowanie po zakończeniu obowiązywania przepisów odnośnie przejściowej rejestracji jednostek audytorskich z państw trzecich</w:t>
      </w:r>
      <w:r w:rsidR="00AB11AE" w:rsidRPr="00A04CED">
        <w:rPr>
          <w:rFonts w:ascii="Times New Roman" w:hAnsi="Times New Roman" w:cs="Times New Roman"/>
          <w:sz w:val="24"/>
          <w:szCs w:val="24"/>
        </w:rPr>
        <w:t>,</w:t>
      </w:r>
      <w:r w:rsidRPr="00A04CED">
        <w:rPr>
          <w:rFonts w:ascii="Times New Roman" w:hAnsi="Times New Roman" w:cs="Times New Roman"/>
          <w:sz w:val="24"/>
          <w:szCs w:val="24"/>
        </w:rPr>
        <w:t xml:space="preserve"> tj. do roku obrotowego rozpoczynającego się po 31 grudnia 2030 r.</w:t>
      </w:r>
      <w:r w:rsidR="00AB11AE" w:rsidRPr="00A04CED">
        <w:rPr>
          <w:rFonts w:ascii="Times New Roman" w:hAnsi="Times New Roman" w:cs="Times New Roman"/>
          <w:sz w:val="24"/>
          <w:szCs w:val="24"/>
        </w:rPr>
        <w:t>;</w:t>
      </w:r>
    </w:p>
    <w:p w14:paraId="77A558DA" w14:textId="30386821" w:rsidR="009F5610" w:rsidRPr="00A04CED" w:rsidRDefault="009F5610" w:rsidP="009958B1">
      <w:pPr>
        <w:pStyle w:val="Akapitzlist"/>
        <w:numPr>
          <w:ilvl w:val="0"/>
          <w:numId w:val="23"/>
        </w:num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przepisy rozdziału 13a ustawy o biegłych rewidentach dotyczące przejściowej rejestracji jednostek audytorskich z państw trzecich przeprowadzających atestacje takiej sprawozdawczości sporządzanej przez jednostki z państw trzecich notowanych na rynku regulowanym w Polsce, które będą miały zastosowanie</w:t>
      </w:r>
      <w:r w:rsidRPr="009958B1">
        <w:rPr>
          <w:rFonts w:ascii="Times New Roman" w:hAnsi="Times New Roman" w:cs="Times New Roman"/>
          <w:sz w:val="24"/>
          <w:szCs w:val="24"/>
        </w:rPr>
        <w:t xml:space="preserve"> </w:t>
      </w:r>
      <w:r w:rsidRPr="00A04CED">
        <w:rPr>
          <w:rFonts w:ascii="Times New Roman" w:hAnsi="Times New Roman" w:cs="Times New Roman"/>
          <w:sz w:val="24"/>
          <w:szCs w:val="24"/>
        </w:rPr>
        <w:t>do roku obrotowego rozpoczynającego się od 1 stycznia 2026 r.</w:t>
      </w:r>
    </w:p>
    <w:p w14:paraId="5F70AAA4" w14:textId="306768E1" w:rsidR="00534A13" w:rsidRPr="00A04CED" w:rsidRDefault="00942A1D"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Jednocześnie </w:t>
      </w:r>
      <w:r w:rsidR="003C1500" w:rsidRPr="00A04CED">
        <w:rPr>
          <w:rFonts w:ascii="Times New Roman" w:hAnsi="Times New Roman" w:cs="Times New Roman"/>
          <w:b/>
          <w:bCs/>
          <w:sz w:val="24"/>
          <w:szCs w:val="24"/>
        </w:rPr>
        <w:t xml:space="preserve">w art. 4 ust. </w:t>
      </w:r>
      <w:r w:rsidR="00095E1A" w:rsidRPr="00A04CED">
        <w:rPr>
          <w:rFonts w:ascii="Times New Roman" w:hAnsi="Times New Roman" w:cs="Times New Roman"/>
          <w:b/>
          <w:bCs/>
          <w:sz w:val="24"/>
          <w:szCs w:val="24"/>
        </w:rPr>
        <w:t>4</w:t>
      </w:r>
      <w:r w:rsidR="003C1500" w:rsidRPr="00A04CED">
        <w:rPr>
          <w:rFonts w:ascii="Times New Roman" w:hAnsi="Times New Roman" w:cs="Times New Roman"/>
          <w:b/>
          <w:bCs/>
          <w:sz w:val="24"/>
          <w:szCs w:val="24"/>
        </w:rPr>
        <w:t xml:space="preserve"> </w:t>
      </w:r>
      <w:r w:rsidR="00092809" w:rsidRPr="00A04CED">
        <w:rPr>
          <w:rFonts w:ascii="Times New Roman" w:hAnsi="Times New Roman" w:cs="Times New Roman"/>
          <w:b/>
          <w:bCs/>
          <w:sz w:val="24"/>
          <w:szCs w:val="24"/>
        </w:rPr>
        <w:t>projektu</w:t>
      </w:r>
      <w:r w:rsidR="00092809" w:rsidRPr="00A04CED">
        <w:rPr>
          <w:rFonts w:ascii="Times New Roman" w:hAnsi="Times New Roman" w:cs="Times New Roman"/>
          <w:sz w:val="24"/>
          <w:szCs w:val="24"/>
        </w:rPr>
        <w:t xml:space="preserve"> </w:t>
      </w:r>
      <w:r w:rsidR="003C1500" w:rsidRPr="00A04CED">
        <w:rPr>
          <w:rFonts w:ascii="Times New Roman" w:hAnsi="Times New Roman" w:cs="Times New Roman"/>
          <w:sz w:val="24"/>
          <w:szCs w:val="24"/>
        </w:rPr>
        <w:t xml:space="preserve">przewidziano przepisy przejściowe, określające zasady raportowania ESG i przedstawiania informacji na temat kluczowych zasobów niematerialnych za </w:t>
      </w:r>
      <w:r w:rsidR="00092809" w:rsidRPr="00A04CED">
        <w:rPr>
          <w:rFonts w:ascii="Times New Roman" w:hAnsi="Times New Roman" w:cs="Times New Roman"/>
          <w:sz w:val="24"/>
          <w:szCs w:val="24"/>
        </w:rPr>
        <w:t xml:space="preserve">rok obrotowy rozpoczynający się przed 1 stycznia 2027 r. przez jednostki z pierwszej fali już raportujące (zarówno te, które nadal będą objęte obowiązkiem raportowym po 1 stycznia 2027 r., jak również te, które znajdą się poza nowym zakresem, a jednocześnie nie skorzystają z opcji zaniechania raportowania za lata obrotowe 2025 i 2026 na mocy ustawy z dnia 27 lutego 2026 r.). Przepisy przejściowe w tym zakresie przewidują, że będą one to robiły </w:t>
      </w:r>
      <w:r w:rsidR="003C1500" w:rsidRPr="00A04CED">
        <w:rPr>
          <w:rFonts w:ascii="Times New Roman" w:hAnsi="Times New Roman" w:cs="Times New Roman"/>
          <w:sz w:val="24"/>
          <w:szCs w:val="24"/>
        </w:rPr>
        <w:t>na dotychczasowych zasadach</w:t>
      </w:r>
      <w:r w:rsidRPr="00A04CED">
        <w:rPr>
          <w:rFonts w:ascii="Times New Roman" w:hAnsi="Times New Roman" w:cs="Times New Roman"/>
          <w:sz w:val="24"/>
          <w:szCs w:val="24"/>
        </w:rPr>
        <w:t>.</w:t>
      </w:r>
      <w:r w:rsidR="00534A13" w:rsidRPr="00A04CED">
        <w:rPr>
          <w:rFonts w:ascii="Times New Roman" w:hAnsi="Times New Roman" w:cs="Times New Roman"/>
          <w:sz w:val="24"/>
          <w:szCs w:val="24"/>
        </w:rPr>
        <w:t xml:space="preserve"> Niemniej jednak w ust. 5 przewidziano wyjątek</w:t>
      </w:r>
      <w:r w:rsidR="009442C2" w:rsidRPr="00A04CED">
        <w:rPr>
          <w:rFonts w:ascii="Times New Roman" w:hAnsi="Times New Roman" w:cs="Times New Roman"/>
          <w:sz w:val="24"/>
          <w:szCs w:val="24"/>
        </w:rPr>
        <w:t xml:space="preserve"> dotyczący terminu rozpoczęcia stosowania uproszczeń, o których mowa w art. 63x ust. 1b i 8a, art. 63w ust. 1 oraz art. 63zb ust. 1 ustawy o rachunkowości. W toku warsztatów transpozycyjnych Komisja Europejska wskazała, że uproszczenia te mogą być stosowane już do roku obrotowego 2026, co jest zgodne z dyrektywą 2026/470, która nie określa terminu ich pierwszego zastosowania. Mając powyższe na uwadze, </w:t>
      </w:r>
      <w:r w:rsidR="009442C2" w:rsidRPr="00A04CED">
        <w:rPr>
          <w:rFonts w:ascii="Times New Roman" w:hAnsi="Times New Roman" w:cs="Times New Roman"/>
          <w:b/>
          <w:bCs/>
          <w:sz w:val="24"/>
          <w:szCs w:val="24"/>
        </w:rPr>
        <w:t>art. 4 ust. 5 projektu</w:t>
      </w:r>
      <w:r w:rsidR="009442C2" w:rsidRPr="00A04CED">
        <w:rPr>
          <w:rFonts w:ascii="Times New Roman" w:hAnsi="Times New Roman" w:cs="Times New Roman"/>
          <w:sz w:val="24"/>
          <w:szCs w:val="24"/>
        </w:rPr>
        <w:t xml:space="preserve"> przewiduje możliwość zastosowania tych uproszczeń po raz pierwszy do roku obrotowego rozpoczynającego się po dniu 31 grudnia 2025 r. </w:t>
      </w:r>
    </w:p>
    <w:bookmarkEnd w:id="5"/>
    <w:p w14:paraId="51EE078D" w14:textId="3231C1F4" w:rsidR="001A30CA" w:rsidRPr="00A04CED" w:rsidRDefault="001A30CA"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lastRenderedPageBreak/>
        <w:t>W art. 5 przewidziano przepis przejściowy wskazujący, iż do wniosków o wpis na listę jednostek audytorskich pochodzących z państw trzecich w zakresie przeprowadzania atestacji sprawozdawczości zrównoważonego rozwoju złożonych i nierozpatrzonych przed dniem wejścia w życie ustawy zastosowanie będą miały przepisy nowe</w:t>
      </w:r>
      <w:r w:rsidR="00095E1A" w:rsidRPr="00A04CED">
        <w:rPr>
          <w:rFonts w:ascii="Times New Roman" w:hAnsi="Times New Roman" w:cs="Times New Roman"/>
          <w:sz w:val="24"/>
          <w:szCs w:val="24"/>
        </w:rPr>
        <w:t>,</w:t>
      </w:r>
      <w:r w:rsidRPr="00A04CED">
        <w:rPr>
          <w:rFonts w:ascii="Times New Roman" w:hAnsi="Times New Roman" w:cs="Times New Roman"/>
          <w:sz w:val="24"/>
          <w:szCs w:val="24"/>
        </w:rPr>
        <w:t xml:space="preserve"> tj. przepisy epizodyczne</w:t>
      </w:r>
      <w:r w:rsidR="00095E1A" w:rsidRPr="00A04CED">
        <w:rPr>
          <w:rFonts w:ascii="Times New Roman" w:hAnsi="Times New Roman" w:cs="Times New Roman"/>
          <w:sz w:val="24"/>
          <w:szCs w:val="24"/>
        </w:rPr>
        <w:t>,</w:t>
      </w:r>
      <w:r w:rsidRPr="00A04CED">
        <w:rPr>
          <w:rFonts w:ascii="Times New Roman" w:hAnsi="Times New Roman" w:cs="Times New Roman"/>
          <w:sz w:val="24"/>
          <w:szCs w:val="24"/>
        </w:rPr>
        <w:t xml:space="preserve"> jako bardziej korzystne.</w:t>
      </w:r>
    </w:p>
    <w:p w14:paraId="51C0F7D4" w14:textId="39B78799" w:rsidR="00E17813" w:rsidRPr="00A04CED" w:rsidRDefault="0060622D" w:rsidP="009958B1">
      <w:pPr>
        <w:spacing w:before="120" w:after="0" w:line="360" w:lineRule="auto"/>
        <w:jc w:val="both"/>
        <w:rPr>
          <w:rFonts w:ascii="Times New Roman" w:hAnsi="Times New Roman" w:cs="Times New Roman"/>
          <w:sz w:val="24"/>
          <w:szCs w:val="24"/>
        </w:rPr>
      </w:pPr>
      <w:r w:rsidRPr="00A04CED">
        <w:rPr>
          <w:rFonts w:ascii="Times New Roman" w:hAnsi="Times New Roman" w:cs="Times New Roman"/>
          <w:sz w:val="24"/>
          <w:szCs w:val="24"/>
        </w:rPr>
        <w:t xml:space="preserve">Ustawa wchodzi w życie </w:t>
      </w:r>
      <w:r w:rsidR="00942A1D" w:rsidRPr="00A04CED">
        <w:rPr>
          <w:rFonts w:ascii="Times New Roman" w:hAnsi="Times New Roman" w:cs="Times New Roman"/>
          <w:sz w:val="24"/>
          <w:szCs w:val="24"/>
        </w:rPr>
        <w:t>z dniem 1 stycznia 2027 r.</w:t>
      </w:r>
    </w:p>
    <w:p w14:paraId="7E75B963" w14:textId="77777777" w:rsidR="0082391A" w:rsidRPr="00A04CED" w:rsidRDefault="0082391A" w:rsidP="009958B1">
      <w:pPr>
        <w:pStyle w:val="USTustnpkodeksu"/>
        <w:spacing w:before="120"/>
        <w:ind w:firstLine="0"/>
        <w:rPr>
          <w:rFonts w:ascii="Times New Roman" w:hAnsi="Times New Roman" w:cs="Times New Roman"/>
          <w:szCs w:val="24"/>
        </w:rPr>
      </w:pPr>
      <w:r w:rsidRPr="00A04CED">
        <w:rPr>
          <w:rFonts w:ascii="Times New Roman" w:hAnsi="Times New Roman" w:cs="Times New Roman"/>
          <w:szCs w:val="24"/>
        </w:rPr>
        <w:t>Projektowana regulacja nie wymaga przedłożenia instytucjom i organom Unii Europejskiej, w tym Europejskiemu Bankowi Centralnemu, w celu uzyskania opinii, dokonania powiadomienia, konsultacji albo uzgodnienia.</w:t>
      </w:r>
    </w:p>
    <w:p w14:paraId="0556155C" w14:textId="018BDF1B" w:rsidR="0082391A" w:rsidRPr="00A04CED" w:rsidRDefault="0082391A" w:rsidP="009958B1">
      <w:pPr>
        <w:pStyle w:val="USTustnpkodeksu"/>
        <w:spacing w:before="120"/>
        <w:ind w:firstLine="0"/>
        <w:rPr>
          <w:rFonts w:ascii="Times New Roman" w:hAnsi="Times New Roman" w:cs="Times New Roman"/>
          <w:szCs w:val="24"/>
        </w:rPr>
      </w:pPr>
      <w:r w:rsidRPr="00A04CED">
        <w:rPr>
          <w:rFonts w:ascii="Times New Roman" w:hAnsi="Times New Roman" w:cs="Times New Roman"/>
          <w:szCs w:val="24"/>
        </w:rPr>
        <w:t xml:space="preserve">Zawarte w projekcie ustawy regulacje nie stanowią przepisów technicznych w rozumieniu </w:t>
      </w:r>
      <w:r w:rsidRPr="009958B1">
        <w:rPr>
          <w:rFonts w:ascii="Times New Roman" w:hAnsi="Times New Roman" w:cs="Times New Roman"/>
          <w:szCs w:val="24"/>
        </w:rPr>
        <w:t>rozporządzenia Rady Ministrów z dnia 23 grudnia 2002 r. w sprawie sposobu funkcjonowania krajowego systemu notyfikacji norm i aktów prawnych</w:t>
      </w:r>
      <w:r w:rsidRPr="00A04CED">
        <w:rPr>
          <w:rFonts w:ascii="Times New Roman" w:hAnsi="Times New Roman" w:cs="Times New Roman"/>
          <w:szCs w:val="24"/>
        </w:rPr>
        <w:t xml:space="preserve"> (Dz. U. poz. 2039, z późn. zm.), dlatego też projekt ustawy nie podlega procedurze notyfikacji.</w:t>
      </w:r>
    </w:p>
    <w:p w14:paraId="6DFACAAC" w14:textId="7495F447" w:rsidR="00F143EB" w:rsidRPr="00A04CED" w:rsidRDefault="00F143EB" w:rsidP="009958B1">
      <w:pPr>
        <w:pStyle w:val="USTustnpkodeksu"/>
        <w:spacing w:before="120"/>
        <w:ind w:firstLine="0"/>
        <w:rPr>
          <w:rFonts w:ascii="Times New Roman" w:hAnsi="Times New Roman" w:cs="Times New Roman"/>
          <w:szCs w:val="24"/>
        </w:rPr>
      </w:pPr>
      <w:r w:rsidRPr="009958B1">
        <w:rPr>
          <w:rFonts w:ascii="Times New Roman" w:hAnsi="Times New Roman" w:cs="Times New Roman"/>
          <w:szCs w:val="24"/>
        </w:rPr>
        <w:t>Niniejszy projekt ustawy nie spełnia przesłanek notyfikacji Komisji Europejskiej w myśl art.</w:t>
      </w:r>
      <w:r w:rsidR="00784D00">
        <w:rPr>
          <w:rFonts w:ascii="Times New Roman" w:hAnsi="Times New Roman" w:cs="Times New Roman"/>
          <w:szCs w:val="24"/>
        </w:rPr>
        <w:t> </w:t>
      </w:r>
      <w:r w:rsidRPr="009958B1">
        <w:rPr>
          <w:rFonts w:ascii="Times New Roman" w:hAnsi="Times New Roman" w:cs="Times New Roman"/>
          <w:szCs w:val="24"/>
        </w:rPr>
        <w:t>15 ust. 7 oraz art. 39 ust. 5 dyrektywy 2006/123/WE</w:t>
      </w:r>
      <w:r w:rsidR="00F50056" w:rsidRPr="009958B1">
        <w:rPr>
          <w:rStyle w:val="Odwoanieprzypisudolnego"/>
          <w:rFonts w:ascii="Times New Roman" w:hAnsi="Times New Roman" w:cs="Times New Roman"/>
          <w:szCs w:val="24"/>
        </w:rPr>
        <w:footnoteReference w:id="10"/>
      </w:r>
      <w:r w:rsidRPr="009958B1">
        <w:rPr>
          <w:rFonts w:ascii="Times New Roman" w:hAnsi="Times New Roman" w:cs="Times New Roman"/>
          <w:szCs w:val="24"/>
        </w:rPr>
        <w:t xml:space="preserve">. W zakresie zmian do ustawy o biegłych rewidentach, firmach audytorskich oraz nadzorze publicznym, ujętych w niniejszym projekcie ustawy, nie wprowadza się bowiem żadnych przepisów stanowiących nadregulację w stosunku do zmian wprowadzonych przez dyrektywę 2026/470 do dyrektywy 2006/43/WE. W związku z tym projekt ustawy nie podlega notyfikacji na podstawie art. 68a ustawy </w:t>
      </w:r>
      <w:r w:rsidR="00F50056" w:rsidRPr="009958B1">
        <w:rPr>
          <w:rFonts w:ascii="Times New Roman" w:hAnsi="Times New Roman" w:cs="Times New Roman"/>
          <w:szCs w:val="24"/>
        </w:rPr>
        <w:t xml:space="preserve">z dnia 6 marca 2018 r. </w:t>
      </w:r>
      <w:r w:rsidR="00784D00">
        <w:rPr>
          <w:rFonts w:ascii="Times New Roman" w:hAnsi="Times New Roman" w:cs="Times New Roman"/>
          <w:szCs w:val="24"/>
        </w:rPr>
        <w:t>–</w:t>
      </w:r>
      <w:r w:rsidR="00F50056" w:rsidRPr="009958B1">
        <w:rPr>
          <w:rFonts w:ascii="Times New Roman" w:hAnsi="Times New Roman" w:cs="Times New Roman"/>
          <w:szCs w:val="24"/>
        </w:rPr>
        <w:t xml:space="preserve"> </w:t>
      </w:r>
      <w:r w:rsidRPr="009958B1">
        <w:rPr>
          <w:rFonts w:ascii="Times New Roman" w:hAnsi="Times New Roman" w:cs="Times New Roman"/>
          <w:szCs w:val="24"/>
        </w:rPr>
        <w:t>Prawo przedsiębiorców</w:t>
      </w:r>
      <w:r w:rsidR="00F50056" w:rsidRPr="009958B1">
        <w:rPr>
          <w:rFonts w:ascii="Times New Roman" w:hAnsi="Times New Roman" w:cs="Times New Roman"/>
          <w:szCs w:val="24"/>
        </w:rPr>
        <w:t xml:space="preserve"> (Dz</w:t>
      </w:r>
      <w:r w:rsidRPr="009958B1">
        <w:rPr>
          <w:rFonts w:ascii="Times New Roman" w:hAnsi="Times New Roman" w:cs="Times New Roman"/>
          <w:szCs w:val="24"/>
        </w:rPr>
        <w:t>.</w:t>
      </w:r>
      <w:r w:rsidR="00F50056" w:rsidRPr="009958B1">
        <w:rPr>
          <w:rFonts w:ascii="Times New Roman" w:hAnsi="Times New Roman" w:cs="Times New Roman"/>
          <w:szCs w:val="24"/>
        </w:rPr>
        <w:t xml:space="preserve"> U. z 2025 r. poz. 1480</w:t>
      </w:r>
      <w:r w:rsidR="00FD329B" w:rsidRPr="009958B1">
        <w:rPr>
          <w:rFonts w:ascii="Times New Roman" w:hAnsi="Times New Roman" w:cs="Times New Roman"/>
          <w:szCs w:val="24"/>
        </w:rPr>
        <w:t>,</w:t>
      </w:r>
      <w:r w:rsidR="00F50056" w:rsidRPr="009958B1">
        <w:rPr>
          <w:rFonts w:ascii="Times New Roman" w:hAnsi="Times New Roman" w:cs="Times New Roman"/>
          <w:szCs w:val="24"/>
        </w:rPr>
        <w:t xml:space="preserve"> z późn. zm.).</w:t>
      </w:r>
    </w:p>
    <w:p w14:paraId="527E30C7" w14:textId="77777777" w:rsidR="0082391A" w:rsidRPr="00A04CED" w:rsidRDefault="0082391A" w:rsidP="009958B1">
      <w:pPr>
        <w:pStyle w:val="USTustnpkodeksu"/>
        <w:spacing w:before="120"/>
        <w:ind w:firstLine="0"/>
        <w:rPr>
          <w:rFonts w:ascii="Times New Roman" w:hAnsi="Times New Roman" w:cs="Times New Roman"/>
          <w:szCs w:val="24"/>
        </w:rPr>
      </w:pPr>
      <w:r w:rsidRPr="00A04CED">
        <w:rPr>
          <w:rFonts w:ascii="Times New Roman" w:hAnsi="Times New Roman" w:cs="Times New Roman"/>
          <w:szCs w:val="24"/>
        </w:rPr>
        <w:t>Projekt ustawy jest zgodny z prawem UE.</w:t>
      </w:r>
    </w:p>
    <w:sectPr w:rsidR="0082391A" w:rsidRPr="00A04CED" w:rsidSect="00A04CE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10A3" w14:textId="77777777" w:rsidR="004A1B29" w:rsidRDefault="004A1B29" w:rsidP="0082391A">
      <w:pPr>
        <w:spacing w:after="0" w:line="240" w:lineRule="auto"/>
      </w:pPr>
      <w:r>
        <w:separator/>
      </w:r>
    </w:p>
  </w:endnote>
  <w:endnote w:type="continuationSeparator" w:id="0">
    <w:p w14:paraId="4470D1DD" w14:textId="77777777" w:rsidR="004A1B29" w:rsidRDefault="004A1B29" w:rsidP="00823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201994"/>
      <w:docPartObj>
        <w:docPartGallery w:val="Page Numbers (Bottom of Page)"/>
        <w:docPartUnique/>
      </w:docPartObj>
    </w:sdtPr>
    <w:sdtEndPr>
      <w:rPr>
        <w:rFonts w:ascii="Times New Roman" w:hAnsi="Times New Roman" w:cs="Times New Roman"/>
        <w:sz w:val="24"/>
        <w:szCs w:val="24"/>
      </w:rPr>
    </w:sdtEndPr>
    <w:sdtContent>
      <w:p w14:paraId="75D2BE7B" w14:textId="689E87DA" w:rsidR="00A04CED" w:rsidRPr="00A04CED" w:rsidRDefault="00A04CED" w:rsidP="00A04CED">
        <w:pPr>
          <w:pStyle w:val="Stopka"/>
          <w:jc w:val="center"/>
          <w:rPr>
            <w:rFonts w:ascii="Times New Roman" w:hAnsi="Times New Roman" w:cs="Times New Roman"/>
            <w:sz w:val="24"/>
            <w:szCs w:val="24"/>
          </w:rPr>
        </w:pPr>
        <w:r w:rsidRPr="00A04CED">
          <w:rPr>
            <w:rFonts w:ascii="Times New Roman" w:hAnsi="Times New Roman" w:cs="Times New Roman"/>
            <w:sz w:val="24"/>
            <w:szCs w:val="24"/>
          </w:rPr>
          <w:fldChar w:fldCharType="begin"/>
        </w:r>
        <w:r w:rsidRPr="00A04CED">
          <w:rPr>
            <w:rFonts w:ascii="Times New Roman" w:hAnsi="Times New Roman" w:cs="Times New Roman"/>
            <w:sz w:val="24"/>
            <w:szCs w:val="24"/>
          </w:rPr>
          <w:instrText>PAGE   \* MERGEFORMAT</w:instrText>
        </w:r>
        <w:r w:rsidRPr="00A04CED">
          <w:rPr>
            <w:rFonts w:ascii="Times New Roman" w:hAnsi="Times New Roman" w:cs="Times New Roman"/>
            <w:sz w:val="24"/>
            <w:szCs w:val="24"/>
          </w:rPr>
          <w:fldChar w:fldCharType="separate"/>
        </w:r>
        <w:r w:rsidRPr="00A04CED">
          <w:rPr>
            <w:rFonts w:ascii="Times New Roman" w:hAnsi="Times New Roman" w:cs="Times New Roman"/>
            <w:sz w:val="24"/>
            <w:szCs w:val="24"/>
          </w:rPr>
          <w:t>2</w:t>
        </w:r>
        <w:r w:rsidRPr="00A04CE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442DB" w14:textId="77777777" w:rsidR="004A1B29" w:rsidRDefault="004A1B29" w:rsidP="0082391A">
      <w:pPr>
        <w:spacing w:after="0" w:line="240" w:lineRule="auto"/>
      </w:pPr>
      <w:r>
        <w:separator/>
      </w:r>
    </w:p>
  </w:footnote>
  <w:footnote w:type="continuationSeparator" w:id="0">
    <w:p w14:paraId="36A75858" w14:textId="77777777" w:rsidR="004A1B29" w:rsidRDefault="004A1B29" w:rsidP="0082391A">
      <w:pPr>
        <w:spacing w:after="0" w:line="240" w:lineRule="auto"/>
      </w:pPr>
      <w:r>
        <w:continuationSeparator/>
      </w:r>
    </w:p>
  </w:footnote>
  <w:footnote w:id="1">
    <w:p w14:paraId="16B712A7" w14:textId="11F1683D" w:rsidR="00BB7F84" w:rsidRDefault="00BB7F84" w:rsidP="009958B1">
      <w:pPr>
        <w:pStyle w:val="Tekstprzypisudolnego"/>
        <w:ind w:left="284" w:hanging="284"/>
        <w:jc w:val="both"/>
      </w:pPr>
      <w:r>
        <w:rPr>
          <w:rStyle w:val="Odwoanieprzypisudolnego"/>
        </w:rPr>
        <w:footnoteRef/>
      </w:r>
      <w:r w:rsidR="00FB3816">
        <w:tab/>
      </w:r>
      <w:r w:rsidRPr="00D5152F">
        <w:rPr>
          <w:rFonts w:ascii="Times New Roman" w:hAnsi="Times New Roman"/>
        </w:rPr>
        <w:t>Dyrektywa Parlamentu Europejskiego i Rady (UE) 2022/2464 z dnia 14 grudnia 2022 r. w sprawie zmiany rozporządzenia (UE) nr 537/2014, dyrektywy 2004/109/WE, dyrektywy 2006/43/WE oraz dyrektywy 2013/34/UE w odniesieniu do sprawozdawczości przedsiębiorstw w zakresie zrównoważonego rozwoju (Dz. Urz. UE L 322 z 16.12.2022 r., str. 15</w:t>
      </w:r>
      <w:r>
        <w:rPr>
          <w:rFonts w:ascii="Times New Roman" w:hAnsi="Times New Roman"/>
        </w:rPr>
        <w:t>).</w:t>
      </w:r>
    </w:p>
  </w:footnote>
  <w:footnote w:id="2">
    <w:p w14:paraId="608FF96A" w14:textId="51DFEB65" w:rsidR="00A66B12" w:rsidRPr="004B3B29" w:rsidRDefault="00A66B12" w:rsidP="009958B1">
      <w:pPr>
        <w:pStyle w:val="Tekstprzypisudolnego"/>
        <w:spacing w:line="264" w:lineRule="auto"/>
        <w:ind w:left="284" w:hanging="284"/>
        <w:jc w:val="both"/>
        <w:rPr>
          <w:rFonts w:ascii="Times New Roman" w:hAnsi="Times New Roman"/>
        </w:rPr>
      </w:pPr>
      <w:r w:rsidRPr="004B3B29">
        <w:rPr>
          <w:rStyle w:val="Odwoanieprzypisudolnego"/>
          <w:rFonts w:ascii="Times New Roman" w:hAnsi="Times New Roman"/>
        </w:rPr>
        <w:footnoteRef/>
      </w:r>
      <w:r w:rsidR="00FB3816">
        <w:rPr>
          <w:rFonts w:ascii="Times New Roman" w:hAnsi="Times New Roman"/>
        </w:rPr>
        <w:tab/>
      </w:r>
      <w:r w:rsidRPr="004B3B29">
        <w:rPr>
          <w:rFonts w:ascii="Times New Roman" w:hAnsi="Times New Roman"/>
        </w:rPr>
        <w:t xml:space="preserve">Ustawa z dnia 6 grudnia 2024 r. o zmianie ustawy o rachunkowości, ustawy o biegłych rewidentach, firmach audytorskich oraz nadzorze publicznym oraz niektórych innych ustaw </w:t>
      </w:r>
      <w:r w:rsidR="00AC0EB0">
        <w:rPr>
          <w:rFonts w:ascii="Times New Roman" w:hAnsi="Times New Roman"/>
        </w:rPr>
        <w:t>(</w:t>
      </w:r>
      <w:r w:rsidRPr="004B3B29">
        <w:rPr>
          <w:rFonts w:ascii="Times New Roman" w:hAnsi="Times New Roman"/>
        </w:rPr>
        <w:t>Dz.</w:t>
      </w:r>
      <w:r w:rsidR="00FB3816">
        <w:rPr>
          <w:rFonts w:ascii="Times New Roman" w:hAnsi="Times New Roman"/>
        </w:rPr>
        <w:t xml:space="preserve"> </w:t>
      </w:r>
      <w:r w:rsidRPr="004B3B29">
        <w:rPr>
          <w:rFonts w:ascii="Times New Roman" w:hAnsi="Times New Roman"/>
        </w:rPr>
        <w:t>U. poz. 1863</w:t>
      </w:r>
      <w:r w:rsidR="00FB3816">
        <w:rPr>
          <w:rFonts w:ascii="Times New Roman" w:hAnsi="Times New Roman"/>
        </w:rPr>
        <w:t>, z późn. zm.</w:t>
      </w:r>
      <w:r w:rsidRPr="004B3B29">
        <w:rPr>
          <w:rFonts w:ascii="Times New Roman" w:hAnsi="Times New Roman"/>
        </w:rPr>
        <w:t>).</w:t>
      </w:r>
    </w:p>
  </w:footnote>
  <w:footnote w:id="3">
    <w:p w14:paraId="7CC8C30C" w14:textId="4277262F" w:rsidR="00AC0EB0" w:rsidRDefault="00AC0EB0" w:rsidP="009958B1">
      <w:pPr>
        <w:pStyle w:val="Tekstprzypisudolnego"/>
        <w:ind w:left="284" w:hanging="284"/>
        <w:jc w:val="both"/>
      </w:pPr>
      <w:r>
        <w:rPr>
          <w:rStyle w:val="Odwoanieprzypisudolnego"/>
        </w:rPr>
        <w:footnoteRef/>
      </w:r>
      <w:r w:rsidR="00FB3816">
        <w:tab/>
      </w:r>
      <w:r>
        <w:rPr>
          <w:rFonts w:ascii="Times New Roman" w:hAnsi="Times New Roman"/>
        </w:rPr>
        <w:t>D</w:t>
      </w:r>
      <w:r w:rsidRPr="00115533">
        <w:rPr>
          <w:rFonts w:ascii="Times New Roman" w:hAnsi="Times New Roman"/>
        </w:rPr>
        <w:t>yrektyw</w:t>
      </w:r>
      <w:r>
        <w:rPr>
          <w:rFonts w:ascii="Times New Roman" w:hAnsi="Times New Roman"/>
        </w:rPr>
        <w:t>a</w:t>
      </w:r>
      <w:r w:rsidRPr="00115533">
        <w:rPr>
          <w:rFonts w:ascii="Times New Roman" w:hAnsi="Times New Roman"/>
        </w:rPr>
        <w:t xml:space="preserve"> </w:t>
      </w:r>
      <w:r w:rsidRPr="00BE1C9F">
        <w:rPr>
          <w:rFonts w:ascii="Times New Roman" w:hAnsi="Times New Roman"/>
        </w:rPr>
        <w:t>Parlamentu Europejskiego i Rady (UE) 2025/794 z dnia 14 kwietnia 2025 r. w sprawie zmiany dyrektywy (UE) 2022/2464 i (UE) 2024/1760 w odniesieniu do dat, od których państwa członkowskie mają stosować niektóre wymogi dotyczące sprawozdawczości przedsiębiorstw w zakresie zrównoważonego rozwoju i niektóre wymogi w zakresie należytej staranności przedsiębiorstw w zakresie zrównoważonego rozwoju</w:t>
      </w:r>
      <w:r>
        <w:rPr>
          <w:rFonts w:ascii="Times New Roman" w:hAnsi="Times New Roman"/>
        </w:rPr>
        <w:t xml:space="preserve"> (Dz. Urz. UE L z 16.04.2025).</w:t>
      </w:r>
    </w:p>
  </w:footnote>
  <w:footnote w:id="4">
    <w:p w14:paraId="49F782DF" w14:textId="5FD0BA21" w:rsidR="00610177" w:rsidRPr="004B3B29" w:rsidRDefault="00610177" w:rsidP="009958B1">
      <w:pPr>
        <w:pStyle w:val="Tekstprzypisudolnego"/>
        <w:spacing w:line="264" w:lineRule="auto"/>
        <w:ind w:left="284" w:hanging="284"/>
        <w:jc w:val="both"/>
        <w:rPr>
          <w:rFonts w:ascii="Times New Roman" w:hAnsi="Times New Roman"/>
        </w:rPr>
      </w:pPr>
      <w:r w:rsidRPr="004B3B29">
        <w:rPr>
          <w:rStyle w:val="Odwoanieprzypisudolnego"/>
          <w:rFonts w:ascii="Times New Roman" w:hAnsi="Times New Roman"/>
        </w:rPr>
        <w:footnoteRef/>
      </w:r>
      <w:r w:rsidR="00FB3816">
        <w:rPr>
          <w:rFonts w:ascii="Times New Roman" w:hAnsi="Times New Roman"/>
        </w:rPr>
        <w:tab/>
      </w:r>
      <w:r w:rsidRPr="004B3B29">
        <w:rPr>
          <w:rFonts w:ascii="Times New Roman" w:hAnsi="Times New Roman"/>
        </w:rPr>
        <w:t>Ustawa z dnia 9 lipca 2025 r. zmieniająca ustawę o zmianie ustawy o rachunkowości, ustawy o biegłych rewidentach, firmach audytorskich oraz nadzorze publicznym oraz niektórych innych ustaw (Dz. U. z 2025 r. poz. 1020).</w:t>
      </w:r>
    </w:p>
  </w:footnote>
  <w:footnote w:id="5">
    <w:p w14:paraId="32552FFA" w14:textId="653E561B" w:rsidR="00BF2395" w:rsidRDefault="00BF2395" w:rsidP="009958B1">
      <w:pPr>
        <w:pStyle w:val="Tekstprzypisudolnego"/>
        <w:ind w:left="284" w:hanging="284"/>
        <w:jc w:val="both"/>
      </w:pPr>
      <w:r w:rsidRPr="00B02316">
        <w:rPr>
          <w:rStyle w:val="Odwoanieprzypisudolnego"/>
          <w:rFonts w:ascii="Times New Roman" w:hAnsi="Times New Roman"/>
        </w:rPr>
        <w:footnoteRef/>
      </w:r>
      <w:r w:rsidR="00E74AE8">
        <w:rPr>
          <w:rFonts w:ascii="Times New Roman" w:hAnsi="Times New Roman"/>
        </w:rPr>
        <w:tab/>
      </w:r>
      <w:r w:rsidRPr="007F3E46">
        <w:rPr>
          <w:rFonts w:ascii="Times New Roman" w:hAnsi="Times New Roman"/>
        </w:rPr>
        <w:t>Ustawa z dnia 27 lutego 2026 r. o zmianie ustawy o rachunkowości (Dz. U. poz. 333).</w:t>
      </w:r>
    </w:p>
  </w:footnote>
  <w:footnote w:id="6">
    <w:p w14:paraId="021E4E70" w14:textId="37C930FE" w:rsidR="00AE3688" w:rsidRPr="00A04CED" w:rsidRDefault="00AE3688" w:rsidP="009958B1">
      <w:pPr>
        <w:pStyle w:val="Tekstprzypisudolnego"/>
        <w:ind w:left="284" w:hanging="284"/>
        <w:jc w:val="both"/>
        <w:rPr>
          <w:rFonts w:ascii="Times New Roman" w:hAnsi="Times New Roman" w:cs="Times New Roman"/>
        </w:rPr>
      </w:pPr>
      <w:r>
        <w:rPr>
          <w:rStyle w:val="Odwoanieprzypisudolnego"/>
        </w:rPr>
        <w:footnoteRef/>
      </w:r>
      <w:r w:rsidR="00E74AE8">
        <w:tab/>
      </w:r>
      <w:r w:rsidRPr="00A04CED">
        <w:rPr>
          <w:rFonts w:ascii="Times New Roman" w:hAnsi="Times New Roman" w:cs="Times New Roman"/>
        </w:rPr>
        <w:t>Ustawa z dnia 29 września 1994 r. o rachunkowości (</w:t>
      </w:r>
      <w:r w:rsidR="00C6628E" w:rsidRPr="00A04CED">
        <w:rPr>
          <w:rFonts w:ascii="Times New Roman" w:hAnsi="Times New Roman" w:cs="Times New Roman"/>
        </w:rPr>
        <w:t>Dz. U. z 2026 r. poz. 522, 640</w:t>
      </w:r>
      <w:r w:rsidR="00E74AE8">
        <w:rPr>
          <w:rFonts w:ascii="Times New Roman" w:hAnsi="Times New Roman" w:cs="Times New Roman"/>
        </w:rPr>
        <w:t xml:space="preserve">, </w:t>
      </w:r>
      <w:r w:rsidR="00C6628E" w:rsidRPr="00A04CED">
        <w:rPr>
          <w:rFonts w:ascii="Times New Roman" w:hAnsi="Times New Roman" w:cs="Times New Roman"/>
        </w:rPr>
        <w:t>644</w:t>
      </w:r>
      <w:r w:rsidR="00E74AE8">
        <w:rPr>
          <w:rFonts w:ascii="Times New Roman" w:hAnsi="Times New Roman" w:cs="Times New Roman"/>
        </w:rPr>
        <w:t xml:space="preserve"> i 1206</w:t>
      </w:r>
      <w:r w:rsidRPr="00A04CED">
        <w:rPr>
          <w:rFonts w:ascii="Times New Roman" w:hAnsi="Times New Roman" w:cs="Times New Roman"/>
        </w:rPr>
        <w:t>).</w:t>
      </w:r>
    </w:p>
  </w:footnote>
  <w:footnote w:id="7">
    <w:p w14:paraId="13D8C0FC" w14:textId="482686FD" w:rsidR="00AE3688" w:rsidRPr="00A04CED" w:rsidRDefault="00AE3688" w:rsidP="009958B1">
      <w:pPr>
        <w:pStyle w:val="Tekstprzypisudolnego"/>
        <w:ind w:left="284" w:hanging="284"/>
        <w:jc w:val="both"/>
        <w:rPr>
          <w:rFonts w:ascii="Times New Roman" w:hAnsi="Times New Roman" w:cs="Times New Roman"/>
        </w:rPr>
      </w:pPr>
      <w:r w:rsidRPr="00A04CED">
        <w:rPr>
          <w:rStyle w:val="Odwoanieprzypisudolnego"/>
          <w:rFonts w:ascii="Times New Roman" w:hAnsi="Times New Roman" w:cs="Times New Roman"/>
        </w:rPr>
        <w:footnoteRef/>
      </w:r>
      <w:r w:rsidR="00E74AE8">
        <w:rPr>
          <w:rFonts w:ascii="Times New Roman" w:hAnsi="Times New Roman" w:cs="Times New Roman"/>
        </w:rPr>
        <w:tab/>
      </w:r>
      <w:r w:rsidRPr="00A04CED">
        <w:rPr>
          <w:rFonts w:ascii="Times New Roman" w:hAnsi="Times New Roman" w:cs="Times New Roman"/>
        </w:rPr>
        <w:t>Ustawa z dnia 11 maja 2017 r. o biegłych rewidentach, firmach audytorskich oraz nadzorze publicznym (Dz. U. z 2025 r. poz. 1891</w:t>
      </w:r>
      <w:r w:rsidR="00E74AE8">
        <w:rPr>
          <w:rFonts w:ascii="Times New Roman" w:hAnsi="Times New Roman" w:cs="Times New Roman"/>
        </w:rPr>
        <w:t>, z późn. zm.</w:t>
      </w:r>
      <w:r w:rsidR="009C53B2" w:rsidRPr="00A04CED">
        <w:rPr>
          <w:rFonts w:ascii="Times New Roman" w:hAnsi="Times New Roman" w:cs="Times New Roman"/>
        </w:rPr>
        <w:t>).</w:t>
      </w:r>
    </w:p>
  </w:footnote>
  <w:footnote w:id="8">
    <w:p w14:paraId="621DA2A2" w14:textId="3D28C11D" w:rsidR="008F2B9C" w:rsidRPr="008F2B9C" w:rsidRDefault="008F2B9C" w:rsidP="009958B1">
      <w:pPr>
        <w:pStyle w:val="Tekstprzypisudolnego"/>
        <w:ind w:left="284" w:hanging="284"/>
        <w:jc w:val="both"/>
        <w:rPr>
          <w:rFonts w:ascii="Times New Roman" w:hAnsi="Times New Roman" w:cs="Times New Roman"/>
        </w:rPr>
      </w:pPr>
      <w:r w:rsidRPr="009958B1">
        <w:rPr>
          <w:rStyle w:val="Odwoanieprzypisudolnego"/>
          <w:rFonts w:ascii="Times New Roman" w:hAnsi="Times New Roman" w:cs="Times New Roman"/>
        </w:rPr>
        <w:footnoteRef/>
      </w:r>
      <w:r w:rsidR="00E74AE8">
        <w:rPr>
          <w:rFonts w:ascii="Times New Roman" w:hAnsi="Times New Roman" w:cs="Times New Roman"/>
        </w:rPr>
        <w:tab/>
      </w:r>
      <w:r w:rsidRPr="00A04CED">
        <w:rPr>
          <w:rFonts w:ascii="Times New Roman" w:hAnsi="Times New Roman" w:cs="Times New Roman"/>
        </w:rPr>
        <w:t>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 Urz. L 182 z 29.</w:t>
      </w:r>
      <w:r w:rsidR="00E74AE8">
        <w:rPr>
          <w:rFonts w:ascii="Times New Roman" w:hAnsi="Times New Roman" w:cs="Times New Roman"/>
        </w:rPr>
        <w:t>0</w:t>
      </w:r>
      <w:r w:rsidRPr="00A04CED">
        <w:rPr>
          <w:rFonts w:ascii="Times New Roman" w:hAnsi="Times New Roman" w:cs="Times New Roman"/>
        </w:rPr>
        <w:t>6.2013, str. 19).</w:t>
      </w:r>
    </w:p>
  </w:footnote>
  <w:footnote w:id="9">
    <w:p w14:paraId="73A672B6" w14:textId="36D5333A" w:rsidR="007E39FC" w:rsidRDefault="007E39FC" w:rsidP="009958B1">
      <w:pPr>
        <w:pStyle w:val="Tekstprzypisudolnego"/>
        <w:ind w:left="284" w:hanging="284"/>
        <w:jc w:val="both"/>
      </w:pPr>
      <w:r>
        <w:rPr>
          <w:rStyle w:val="Odwoanieprzypisudolnego"/>
        </w:rPr>
        <w:footnoteRef/>
      </w:r>
      <w:r w:rsidR="00ED58CC">
        <w:tab/>
      </w:r>
      <w:r w:rsidRPr="008F2B9C">
        <w:rPr>
          <w:rFonts w:ascii="Times New Roman" w:hAnsi="Times New Roman" w:cs="Times New Roman"/>
        </w:rPr>
        <w:t xml:space="preserve">Dyrektywa </w:t>
      </w:r>
      <w:r w:rsidR="00E62E67" w:rsidRPr="008F2B9C">
        <w:rPr>
          <w:rFonts w:ascii="Times New Roman" w:hAnsi="Times New Roman" w:cs="Times New Roman"/>
        </w:rPr>
        <w:t>20</w:t>
      </w:r>
      <w:r w:rsidR="00E62E67">
        <w:rPr>
          <w:rFonts w:ascii="Times New Roman" w:hAnsi="Times New Roman" w:cs="Times New Roman"/>
        </w:rPr>
        <w:t>06</w:t>
      </w:r>
      <w:r w:rsidR="00E62E67" w:rsidRPr="008F2B9C">
        <w:rPr>
          <w:rFonts w:ascii="Times New Roman" w:hAnsi="Times New Roman" w:cs="Times New Roman"/>
        </w:rPr>
        <w:t>/4</w:t>
      </w:r>
      <w:r w:rsidR="00E62E67">
        <w:rPr>
          <w:rFonts w:ascii="Times New Roman" w:hAnsi="Times New Roman" w:cs="Times New Roman"/>
        </w:rPr>
        <w:t>3</w:t>
      </w:r>
      <w:r w:rsidR="00E62E67" w:rsidRPr="008F2B9C">
        <w:rPr>
          <w:rFonts w:ascii="Times New Roman" w:hAnsi="Times New Roman" w:cs="Times New Roman"/>
        </w:rPr>
        <w:t>/</w:t>
      </w:r>
      <w:r w:rsidR="00E62E67">
        <w:rPr>
          <w:rFonts w:ascii="Times New Roman" w:hAnsi="Times New Roman" w:cs="Times New Roman"/>
        </w:rPr>
        <w:t>W</w:t>
      </w:r>
      <w:r w:rsidR="00E62E67" w:rsidRPr="008F2B9C">
        <w:rPr>
          <w:rFonts w:ascii="Times New Roman" w:hAnsi="Times New Roman" w:cs="Times New Roman"/>
        </w:rPr>
        <w:t xml:space="preserve">E </w:t>
      </w:r>
      <w:r w:rsidRPr="008F2B9C">
        <w:rPr>
          <w:rFonts w:ascii="Times New Roman" w:hAnsi="Times New Roman" w:cs="Times New Roman"/>
        </w:rPr>
        <w:t xml:space="preserve">Parlamentu Europejskiego i Rady z dnia </w:t>
      </w:r>
      <w:r>
        <w:rPr>
          <w:rFonts w:ascii="Times New Roman" w:hAnsi="Times New Roman" w:cs="Times New Roman"/>
        </w:rPr>
        <w:t>17 maja</w:t>
      </w:r>
      <w:r w:rsidRPr="008F2B9C">
        <w:rPr>
          <w:rFonts w:ascii="Times New Roman" w:hAnsi="Times New Roman" w:cs="Times New Roman"/>
        </w:rPr>
        <w:t xml:space="preserve"> 20</w:t>
      </w:r>
      <w:r>
        <w:rPr>
          <w:rFonts w:ascii="Times New Roman" w:hAnsi="Times New Roman" w:cs="Times New Roman"/>
        </w:rPr>
        <w:t>06</w:t>
      </w:r>
      <w:r w:rsidRPr="008F2B9C">
        <w:rPr>
          <w:rFonts w:ascii="Times New Roman" w:hAnsi="Times New Roman" w:cs="Times New Roman"/>
        </w:rPr>
        <w:t xml:space="preserve"> r. w sprawie </w:t>
      </w:r>
      <w:r>
        <w:rPr>
          <w:rFonts w:ascii="Times New Roman" w:hAnsi="Times New Roman" w:cs="Times New Roman"/>
        </w:rPr>
        <w:t>ustawowych badań rocznych sprawozdań finansowych i skonsolidowanych sprawozdań finansowych, zmieniająca dyrektywy Rady 78/660/EWG i 83/349/EWG oraz uchylająca dyrektywę Rady 84/253/EWG</w:t>
      </w:r>
      <w:r w:rsidRPr="008F2B9C">
        <w:rPr>
          <w:rFonts w:ascii="Times New Roman" w:hAnsi="Times New Roman" w:cs="Times New Roman"/>
        </w:rPr>
        <w:t xml:space="preserve"> (Dz. Urz. L </w:t>
      </w:r>
      <w:r>
        <w:rPr>
          <w:rFonts w:ascii="Times New Roman" w:hAnsi="Times New Roman" w:cs="Times New Roman"/>
        </w:rPr>
        <w:t>157</w:t>
      </w:r>
      <w:r w:rsidRPr="008F2B9C">
        <w:rPr>
          <w:rFonts w:ascii="Times New Roman" w:hAnsi="Times New Roman" w:cs="Times New Roman"/>
        </w:rPr>
        <w:t xml:space="preserve"> z </w:t>
      </w:r>
      <w:r>
        <w:rPr>
          <w:rFonts w:ascii="Times New Roman" w:hAnsi="Times New Roman" w:cs="Times New Roman"/>
        </w:rPr>
        <w:t>9.06</w:t>
      </w:r>
      <w:r w:rsidRPr="008F2B9C">
        <w:rPr>
          <w:rFonts w:ascii="Times New Roman" w:hAnsi="Times New Roman" w:cs="Times New Roman"/>
        </w:rPr>
        <w:t>.20</w:t>
      </w:r>
      <w:r>
        <w:rPr>
          <w:rFonts w:ascii="Times New Roman" w:hAnsi="Times New Roman" w:cs="Times New Roman"/>
        </w:rPr>
        <w:t>06</w:t>
      </w:r>
      <w:r w:rsidRPr="008F2B9C">
        <w:rPr>
          <w:rFonts w:ascii="Times New Roman" w:hAnsi="Times New Roman" w:cs="Times New Roman"/>
        </w:rPr>
        <w:t xml:space="preserve">, str. </w:t>
      </w:r>
      <w:r>
        <w:rPr>
          <w:rFonts w:ascii="Times New Roman" w:hAnsi="Times New Roman" w:cs="Times New Roman"/>
        </w:rPr>
        <w:t>8</w:t>
      </w:r>
      <w:r w:rsidR="00E62E67">
        <w:rPr>
          <w:rFonts w:ascii="Times New Roman" w:hAnsi="Times New Roman" w:cs="Times New Roman"/>
        </w:rPr>
        <w:t>7</w:t>
      </w:r>
      <w:r w:rsidRPr="008F2B9C">
        <w:rPr>
          <w:rFonts w:ascii="Times New Roman" w:hAnsi="Times New Roman" w:cs="Times New Roman"/>
        </w:rPr>
        <w:t>).</w:t>
      </w:r>
    </w:p>
  </w:footnote>
  <w:footnote w:id="10">
    <w:p w14:paraId="0774333E" w14:textId="778E4517" w:rsidR="00F50056" w:rsidRPr="00CE3FF0" w:rsidRDefault="00F50056" w:rsidP="009958B1">
      <w:pPr>
        <w:pStyle w:val="Tekstprzypisudolnego"/>
        <w:ind w:left="284" w:hanging="284"/>
        <w:jc w:val="both"/>
        <w:rPr>
          <w:rFonts w:ascii="Times New Roman" w:hAnsi="Times New Roman" w:cs="Times New Roman"/>
        </w:rPr>
      </w:pPr>
      <w:r w:rsidRPr="00CE3FF0">
        <w:rPr>
          <w:rStyle w:val="Odwoanieprzypisudolnego"/>
          <w:rFonts w:ascii="Times New Roman" w:hAnsi="Times New Roman" w:cs="Times New Roman"/>
        </w:rPr>
        <w:footnoteRef/>
      </w:r>
      <w:r w:rsidR="00784D00">
        <w:rPr>
          <w:rFonts w:ascii="Times New Roman" w:hAnsi="Times New Roman" w:cs="Times New Roman"/>
        </w:rPr>
        <w:tab/>
      </w:r>
      <w:r w:rsidRPr="00CE3FF0">
        <w:rPr>
          <w:rFonts w:ascii="Times New Roman" w:hAnsi="Times New Roman" w:cs="Times New Roman"/>
        </w:rPr>
        <w:t>Dyrektywa 2006/123/WE Parlamentu Europejskiego i Rady z dnia 12 grudnia 2006 r. dotycząca usług na rynku wewnętrznym (Dz. Urz. UE L 376</w:t>
      </w:r>
      <w:r w:rsidR="00E62E67" w:rsidRPr="00CE3FF0">
        <w:rPr>
          <w:rFonts w:ascii="Times New Roman" w:hAnsi="Times New Roman" w:cs="Times New Roman"/>
        </w:rPr>
        <w:t xml:space="preserve"> z 27.12.2006</w:t>
      </w:r>
      <w:r w:rsidRPr="00CE3FF0">
        <w:rPr>
          <w:rFonts w:ascii="Times New Roman" w:hAnsi="Times New Roman" w:cs="Times New Roman"/>
        </w:rPr>
        <w:t xml:space="preserve">, str. </w:t>
      </w:r>
      <w:r w:rsidR="00E62E67" w:rsidRPr="00CE3FF0">
        <w:rPr>
          <w:rFonts w:ascii="Times New Roman" w:hAnsi="Times New Roman" w:cs="Times New Roman"/>
        </w:rPr>
        <w:t>36</w:t>
      </w:r>
      <w:r w:rsidRPr="00CE3FF0">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F24"/>
    <w:multiLevelType w:val="hybridMultilevel"/>
    <w:tmpl w:val="D846A02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00405E"/>
    <w:multiLevelType w:val="hybridMultilevel"/>
    <w:tmpl w:val="41360D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4B00AA"/>
    <w:multiLevelType w:val="hybridMultilevel"/>
    <w:tmpl w:val="D846A02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9E78CD"/>
    <w:multiLevelType w:val="hybridMultilevel"/>
    <w:tmpl w:val="507E5AC8"/>
    <w:lvl w:ilvl="0" w:tplc="DE6A23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C83075"/>
    <w:multiLevelType w:val="hybridMultilevel"/>
    <w:tmpl w:val="AA040652"/>
    <w:lvl w:ilvl="0" w:tplc="04150013">
      <w:start w:val="1"/>
      <w:numFmt w:val="upperRoman"/>
      <w:lvlText w:val="%1."/>
      <w:lvlJc w:val="right"/>
      <w:pPr>
        <w:ind w:left="1425" w:hanging="360"/>
      </w:pPr>
    </w:lvl>
    <w:lvl w:ilvl="1" w:tplc="6CE2884E">
      <w:start w:val="1"/>
      <w:numFmt w:val="decimal"/>
      <w:lvlText w:val="%2)"/>
      <w:lvlJc w:val="left"/>
      <w:pPr>
        <w:ind w:left="2145" w:hanging="360"/>
      </w:pPr>
      <w:rPr>
        <w:rFonts w:hint="default"/>
      </w:r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 w15:restartNumberingAfterBreak="0">
    <w:nsid w:val="10A12F5D"/>
    <w:multiLevelType w:val="hybridMultilevel"/>
    <w:tmpl w:val="3FA4C4C2"/>
    <w:lvl w:ilvl="0" w:tplc="A96AB438">
      <w:start w:val="1"/>
      <w:numFmt w:val="lowerLetter"/>
      <w:lvlText w:val="%1)"/>
      <w:lvlJc w:val="left"/>
      <w:pPr>
        <w:ind w:left="816" w:hanging="456"/>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015F0E"/>
    <w:multiLevelType w:val="hybridMultilevel"/>
    <w:tmpl w:val="ACFE106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E305193"/>
    <w:multiLevelType w:val="hybridMultilevel"/>
    <w:tmpl w:val="98300C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7E6600"/>
    <w:multiLevelType w:val="hybridMultilevel"/>
    <w:tmpl w:val="2FB82DD0"/>
    <w:lvl w:ilvl="0" w:tplc="2BDC1482">
      <w:start w:val="1"/>
      <w:numFmt w:val="lowerLetter"/>
      <w:lvlText w:val="%1)"/>
      <w:lvlJc w:val="left"/>
      <w:pPr>
        <w:ind w:left="795" w:hanging="43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EF5F4C"/>
    <w:multiLevelType w:val="hybridMultilevel"/>
    <w:tmpl w:val="D1D08F1A"/>
    <w:lvl w:ilvl="0" w:tplc="04150013">
      <w:start w:val="1"/>
      <w:numFmt w:val="upperRoman"/>
      <w:lvlText w:val="%1."/>
      <w:lvlJc w:val="right"/>
      <w:pPr>
        <w:ind w:left="1425" w:hanging="360"/>
      </w:pPr>
    </w:lvl>
    <w:lvl w:ilvl="1" w:tplc="6CE2884E">
      <w:start w:val="1"/>
      <w:numFmt w:val="decimal"/>
      <w:lvlText w:val="%2)"/>
      <w:lvlJc w:val="left"/>
      <w:pPr>
        <w:ind w:left="2145" w:hanging="360"/>
      </w:pPr>
      <w:rPr>
        <w:rFonts w:hint="default"/>
      </w:r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0" w15:restartNumberingAfterBreak="0">
    <w:nsid w:val="2FA46AB3"/>
    <w:multiLevelType w:val="hybridMultilevel"/>
    <w:tmpl w:val="2A348C6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04A482D"/>
    <w:multiLevelType w:val="hybridMultilevel"/>
    <w:tmpl w:val="4FC24FEC"/>
    <w:lvl w:ilvl="0" w:tplc="A5BEDCE2">
      <w:start w:val="1"/>
      <w:numFmt w:val="lowerLetter"/>
      <w:lvlText w:val="%1)"/>
      <w:lvlJc w:val="left"/>
      <w:pPr>
        <w:ind w:left="444" w:hanging="444"/>
      </w:pPr>
      <w:rPr>
        <w:rFonts w:hint="default"/>
      </w:rPr>
    </w:lvl>
    <w:lvl w:ilvl="1" w:tplc="64B4CDF0">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2D26334"/>
    <w:multiLevelType w:val="hybridMultilevel"/>
    <w:tmpl w:val="9F3C4AFA"/>
    <w:lvl w:ilvl="0" w:tplc="3C109D00">
      <w:start w:val="1"/>
      <w:numFmt w:val="upperRoman"/>
      <w:lvlText w:val="%1."/>
      <w:lvlJc w:val="left"/>
      <w:pPr>
        <w:ind w:left="1425" w:hanging="720"/>
      </w:pPr>
      <w:rPr>
        <w:rFonts w:hint="default"/>
      </w:rPr>
    </w:lvl>
    <w:lvl w:ilvl="1" w:tplc="FE5E23E6">
      <w:start w:val="1"/>
      <w:numFmt w:val="lowerLetter"/>
      <w:lvlText w:val="%2)"/>
      <w:lvlJc w:val="left"/>
      <w:pPr>
        <w:ind w:left="2133" w:hanging="708"/>
      </w:pPr>
      <w:rPr>
        <w:rFonts w:ascii="Times New Roman" w:hAnsi="Times New Roman" w:hint="default"/>
      </w:r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3" w15:restartNumberingAfterBreak="0">
    <w:nsid w:val="3B3F2EB6"/>
    <w:multiLevelType w:val="hybridMultilevel"/>
    <w:tmpl w:val="F73E89C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47206CB9"/>
    <w:multiLevelType w:val="hybridMultilevel"/>
    <w:tmpl w:val="7BFE4E5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E45555"/>
    <w:multiLevelType w:val="hybridMultilevel"/>
    <w:tmpl w:val="05CA51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C6768B"/>
    <w:multiLevelType w:val="hybridMultilevel"/>
    <w:tmpl w:val="C00C3DB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13C4445"/>
    <w:multiLevelType w:val="hybridMultilevel"/>
    <w:tmpl w:val="DE40DBEC"/>
    <w:lvl w:ilvl="0" w:tplc="A5BEDCE2">
      <w:start w:val="1"/>
      <w:numFmt w:val="lowerLetter"/>
      <w:lvlText w:val="%1)"/>
      <w:lvlJc w:val="left"/>
      <w:pPr>
        <w:ind w:left="509" w:hanging="444"/>
      </w:pPr>
      <w:rPr>
        <w:rFonts w:hint="default"/>
      </w:rPr>
    </w:lvl>
    <w:lvl w:ilvl="1" w:tplc="6DA26160">
      <w:start w:val="1"/>
      <w:numFmt w:val="decimal"/>
      <w:lvlText w:val="%2."/>
      <w:lvlJc w:val="left"/>
      <w:pPr>
        <w:ind w:left="1505" w:hanging="360"/>
      </w:pPr>
      <w:rPr>
        <w:rFonts w:hint="default"/>
      </w:r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8" w15:restartNumberingAfterBreak="0">
    <w:nsid w:val="51EB6417"/>
    <w:multiLevelType w:val="hybridMultilevel"/>
    <w:tmpl w:val="01E60C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07431E"/>
    <w:multiLevelType w:val="hybridMultilevel"/>
    <w:tmpl w:val="181C694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5CA6009"/>
    <w:multiLevelType w:val="hybridMultilevel"/>
    <w:tmpl w:val="1CE2873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58DA6165"/>
    <w:multiLevelType w:val="hybridMultilevel"/>
    <w:tmpl w:val="7432257C"/>
    <w:lvl w:ilvl="0" w:tplc="A96AB438">
      <w:start w:val="1"/>
      <w:numFmt w:val="lowerLetter"/>
      <w:lvlText w:val="%1)"/>
      <w:lvlJc w:val="left"/>
      <w:pPr>
        <w:ind w:left="816" w:hanging="456"/>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D2C3699"/>
    <w:multiLevelType w:val="hybridMultilevel"/>
    <w:tmpl w:val="95D80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0CE5FA2"/>
    <w:multiLevelType w:val="hybridMultilevel"/>
    <w:tmpl w:val="153847C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32F17BD"/>
    <w:multiLevelType w:val="hybridMultilevel"/>
    <w:tmpl w:val="80EEB14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1372C3"/>
    <w:multiLevelType w:val="hybridMultilevel"/>
    <w:tmpl w:val="FE5483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28013951">
    <w:abstractNumId w:val="4"/>
  </w:num>
  <w:num w:numId="2" w16cid:durableId="787554703">
    <w:abstractNumId w:val="7"/>
  </w:num>
  <w:num w:numId="3" w16cid:durableId="292564954">
    <w:abstractNumId w:val="22"/>
  </w:num>
  <w:num w:numId="4" w16cid:durableId="453981193">
    <w:abstractNumId w:val="3"/>
  </w:num>
  <w:num w:numId="5" w16cid:durableId="1258758258">
    <w:abstractNumId w:val="0"/>
  </w:num>
  <w:num w:numId="6" w16cid:durableId="1406226458">
    <w:abstractNumId w:val="12"/>
  </w:num>
  <w:num w:numId="7" w16cid:durableId="639844188">
    <w:abstractNumId w:val="2"/>
  </w:num>
  <w:num w:numId="8" w16cid:durableId="760218704">
    <w:abstractNumId w:val="1"/>
  </w:num>
  <w:num w:numId="9" w16cid:durableId="1421102688">
    <w:abstractNumId w:val="13"/>
  </w:num>
  <w:num w:numId="10" w16cid:durableId="1939412406">
    <w:abstractNumId w:val="14"/>
  </w:num>
  <w:num w:numId="11" w16cid:durableId="33579886">
    <w:abstractNumId w:val="25"/>
  </w:num>
  <w:num w:numId="12" w16cid:durableId="2108040749">
    <w:abstractNumId w:val="19"/>
  </w:num>
  <w:num w:numId="13" w16cid:durableId="1791050969">
    <w:abstractNumId w:val="16"/>
  </w:num>
  <w:num w:numId="14" w16cid:durableId="353264551">
    <w:abstractNumId w:val="15"/>
  </w:num>
  <w:num w:numId="15" w16cid:durableId="151138862">
    <w:abstractNumId w:val="6"/>
  </w:num>
  <w:num w:numId="16" w16cid:durableId="1784497411">
    <w:abstractNumId w:val="18"/>
  </w:num>
  <w:num w:numId="17" w16cid:durableId="2057580861">
    <w:abstractNumId w:val="5"/>
  </w:num>
  <w:num w:numId="18" w16cid:durableId="67264588">
    <w:abstractNumId w:val="21"/>
  </w:num>
  <w:num w:numId="19" w16cid:durableId="1862474916">
    <w:abstractNumId w:val="11"/>
  </w:num>
  <w:num w:numId="20" w16cid:durableId="1005745784">
    <w:abstractNumId w:val="17"/>
  </w:num>
  <w:num w:numId="21" w16cid:durableId="218833058">
    <w:abstractNumId w:val="9"/>
  </w:num>
  <w:num w:numId="22" w16cid:durableId="521168627">
    <w:abstractNumId w:val="23"/>
  </w:num>
  <w:num w:numId="23" w16cid:durableId="980698110">
    <w:abstractNumId w:val="10"/>
  </w:num>
  <w:num w:numId="24" w16cid:durableId="1540505499">
    <w:abstractNumId w:val="8"/>
  </w:num>
  <w:num w:numId="25" w16cid:durableId="552352684">
    <w:abstractNumId w:val="24"/>
  </w:num>
  <w:num w:numId="26" w16cid:durableId="19615739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71"/>
    <w:rsid w:val="000046D3"/>
    <w:rsid w:val="00017182"/>
    <w:rsid w:val="00024734"/>
    <w:rsid w:val="0002685D"/>
    <w:rsid w:val="00037BCC"/>
    <w:rsid w:val="000472C6"/>
    <w:rsid w:val="00047A45"/>
    <w:rsid w:val="000519E4"/>
    <w:rsid w:val="000632F9"/>
    <w:rsid w:val="00065950"/>
    <w:rsid w:val="000734ED"/>
    <w:rsid w:val="00080DBE"/>
    <w:rsid w:val="0008139B"/>
    <w:rsid w:val="000813BB"/>
    <w:rsid w:val="0008256E"/>
    <w:rsid w:val="000842C1"/>
    <w:rsid w:val="00085984"/>
    <w:rsid w:val="000870B2"/>
    <w:rsid w:val="00091210"/>
    <w:rsid w:val="00092809"/>
    <w:rsid w:val="00095E1A"/>
    <w:rsid w:val="000B009D"/>
    <w:rsid w:val="000B294C"/>
    <w:rsid w:val="000B408F"/>
    <w:rsid w:val="000B5549"/>
    <w:rsid w:val="000B652F"/>
    <w:rsid w:val="000C33E4"/>
    <w:rsid w:val="000C7783"/>
    <w:rsid w:val="000C7D6F"/>
    <w:rsid w:val="000D09F8"/>
    <w:rsid w:val="000D0B62"/>
    <w:rsid w:val="000D3D7E"/>
    <w:rsid w:val="000D4A80"/>
    <w:rsid w:val="000E2847"/>
    <w:rsid w:val="000E39A0"/>
    <w:rsid w:val="000E5DA4"/>
    <w:rsid w:val="000E5E2B"/>
    <w:rsid w:val="000F1080"/>
    <w:rsid w:val="000F23B6"/>
    <w:rsid w:val="000F40FE"/>
    <w:rsid w:val="001000C1"/>
    <w:rsid w:val="00104DDB"/>
    <w:rsid w:val="0010525B"/>
    <w:rsid w:val="00111314"/>
    <w:rsid w:val="00113437"/>
    <w:rsid w:val="00114CB0"/>
    <w:rsid w:val="00123707"/>
    <w:rsid w:val="001300BF"/>
    <w:rsid w:val="001358AA"/>
    <w:rsid w:val="00137EA3"/>
    <w:rsid w:val="00137EB3"/>
    <w:rsid w:val="001442FF"/>
    <w:rsid w:val="0014555D"/>
    <w:rsid w:val="00151149"/>
    <w:rsid w:val="00151573"/>
    <w:rsid w:val="001537D2"/>
    <w:rsid w:val="0015481A"/>
    <w:rsid w:val="00165E1B"/>
    <w:rsid w:val="00172593"/>
    <w:rsid w:val="001742BF"/>
    <w:rsid w:val="00176F8C"/>
    <w:rsid w:val="001944B2"/>
    <w:rsid w:val="001A2C64"/>
    <w:rsid w:val="001A30CA"/>
    <w:rsid w:val="001B0E02"/>
    <w:rsid w:val="001B1CF9"/>
    <w:rsid w:val="001B39DD"/>
    <w:rsid w:val="001B3D38"/>
    <w:rsid w:val="001B64FC"/>
    <w:rsid w:val="001C3B14"/>
    <w:rsid w:val="001D035A"/>
    <w:rsid w:val="001D7FAE"/>
    <w:rsid w:val="001E2835"/>
    <w:rsid w:val="001E5464"/>
    <w:rsid w:val="001E7A11"/>
    <w:rsid w:val="001F21A9"/>
    <w:rsid w:val="001F56C3"/>
    <w:rsid w:val="0021592B"/>
    <w:rsid w:val="00222398"/>
    <w:rsid w:val="00230406"/>
    <w:rsid w:val="00234EC5"/>
    <w:rsid w:val="00241C4C"/>
    <w:rsid w:val="0024263F"/>
    <w:rsid w:val="00245B5D"/>
    <w:rsid w:val="00247FEB"/>
    <w:rsid w:val="002500E1"/>
    <w:rsid w:val="00252E33"/>
    <w:rsid w:val="00254F3A"/>
    <w:rsid w:val="00264EC4"/>
    <w:rsid w:val="00266DF6"/>
    <w:rsid w:val="0027037C"/>
    <w:rsid w:val="002707B1"/>
    <w:rsid w:val="0027372E"/>
    <w:rsid w:val="002749CA"/>
    <w:rsid w:val="00280F85"/>
    <w:rsid w:val="0028121A"/>
    <w:rsid w:val="00282193"/>
    <w:rsid w:val="0028428E"/>
    <w:rsid w:val="002843FB"/>
    <w:rsid w:val="002927BC"/>
    <w:rsid w:val="0029420B"/>
    <w:rsid w:val="00294443"/>
    <w:rsid w:val="002A090A"/>
    <w:rsid w:val="002A266E"/>
    <w:rsid w:val="002B435F"/>
    <w:rsid w:val="002B613D"/>
    <w:rsid w:val="002B6837"/>
    <w:rsid w:val="002B6FC1"/>
    <w:rsid w:val="002C2501"/>
    <w:rsid w:val="002C2C07"/>
    <w:rsid w:val="002C3F35"/>
    <w:rsid w:val="002D10EF"/>
    <w:rsid w:val="002D1E6A"/>
    <w:rsid w:val="002D2492"/>
    <w:rsid w:val="002D4695"/>
    <w:rsid w:val="002D60DC"/>
    <w:rsid w:val="002E0E19"/>
    <w:rsid w:val="00303F21"/>
    <w:rsid w:val="00316397"/>
    <w:rsid w:val="00316E15"/>
    <w:rsid w:val="00331D1D"/>
    <w:rsid w:val="003353CC"/>
    <w:rsid w:val="003374BF"/>
    <w:rsid w:val="00353A7E"/>
    <w:rsid w:val="00355E7D"/>
    <w:rsid w:val="00362193"/>
    <w:rsid w:val="0036299C"/>
    <w:rsid w:val="00367DA8"/>
    <w:rsid w:val="0038070C"/>
    <w:rsid w:val="00380FF8"/>
    <w:rsid w:val="00382441"/>
    <w:rsid w:val="00382CC3"/>
    <w:rsid w:val="0038509D"/>
    <w:rsid w:val="00385ABF"/>
    <w:rsid w:val="00386FD5"/>
    <w:rsid w:val="003872EA"/>
    <w:rsid w:val="00390062"/>
    <w:rsid w:val="003902BC"/>
    <w:rsid w:val="003A3CD0"/>
    <w:rsid w:val="003A4928"/>
    <w:rsid w:val="003C1500"/>
    <w:rsid w:val="003C6B87"/>
    <w:rsid w:val="003C7653"/>
    <w:rsid w:val="003E72A5"/>
    <w:rsid w:val="003F18C6"/>
    <w:rsid w:val="004000FF"/>
    <w:rsid w:val="00401D6E"/>
    <w:rsid w:val="004137E4"/>
    <w:rsid w:val="00420A02"/>
    <w:rsid w:val="0043286E"/>
    <w:rsid w:val="00435A73"/>
    <w:rsid w:val="00435E29"/>
    <w:rsid w:val="004365EA"/>
    <w:rsid w:val="0044555D"/>
    <w:rsid w:val="004468CC"/>
    <w:rsid w:val="00451FEF"/>
    <w:rsid w:val="00466DBE"/>
    <w:rsid w:val="00476750"/>
    <w:rsid w:val="004849B5"/>
    <w:rsid w:val="00484CB2"/>
    <w:rsid w:val="00490B95"/>
    <w:rsid w:val="00493EA4"/>
    <w:rsid w:val="00496350"/>
    <w:rsid w:val="0049714F"/>
    <w:rsid w:val="00497748"/>
    <w:rsid w:val="004A1B29"/>
    <w:rsid w:val="004A2F31"/>
    <w:rsid w:val="004A6867"/>
    <w:rsid w:val="004A68C6"/>
    <w:rsid w:val="004B1FD1"/>
    <w:rsid w:val="004B2D72"/>
    <w:rsid w:val="004C15A9"/>
    <w:rsid w:val="004C730A"/>
    <w:rsid w:val="004D07AC"/>
    <w:rsid w:val="004D74B8"/>
    <w:rsid w:val="004D77F0"/>
    <w:rsid w:val="004E4347"/>
    <w:rsid w:val="004E6DCF"/>
    <w:rsid w:val="00506BBC"/>
    <w:rsid w:val="005204EE"/>
    <w:rsid w:val="00524E67"/>
    <w:rsid w:val="005259DF"/>
    <w:rsid w:val="00530E7E"/>
    <w:rsid w:val="00531046"/>
    <w:rsid w:val="005315FE"/>
    <w:rsid w:val="00534A13"/>
    <w:rsid w:val="0054210E"/>
    <w:rsid w:val="00542C24"/>
    <w:rsid w:val="00550BC0"/>
    <w:rsid w:val="00556180"/>
    <w:rsid w:val="00562E62"/>
    <w:rsid w:val="00566544"/>
    <w:rsid w:val="005721BC"/>
    <w:rsid w:val="00581E54"/>
    <w:rsid w:val="005870E9"/>
    <w:rsid w:val="00590A10"/>
    <w:rsid w:val="00591D3A"/>
    <w:rsid w:val="00591EAA"/>
    <w:rsid w:val="00592CB7"/>
    <w:rsid w:val="005959E4"/>
    <w:rsid w:val="005968DB"/>
    <w:rsid w:val="005A2AB0"/>
    <w:rsid w:val="005A602B"/>
    <w:rsid w:val="005A6FBE"/>
    <w:rsid w:val="005A7BE3"/>
    <w:rsid w:val="005B5CEA"/>
    <w:rsid w:val="005C3339"/>
    <w:rsid w:val="005C5F97"/>
    <w:rsid w:val="005D4157"/>
    <w:rsid w:val="005D7C3B"/>
    <w:rsid w:val="005E0FF5"/>
    <w:rsid w:val="005F4021"/>
    <w:rsid w:val="0060622D"/>
    <w:rsid w:val="006065B1"/>
    <w:rsid w:val="006066DA"/>
    <w:rsid w:val="00610177"/>
    <w:rsid w:val="006110E6"/>
    <w:rsid w:val="00615086"/>
    <w:rsid w:val="00621CB6"/>
    <w:rsid w:val="00623EBD"/>
    <w:rsid w:val="0062419A"/>
    <w:rsid w:val="00627704"/>
    <w:rsid w:val="00633C6F"/>
    <w:rsid w:val="00635A13"/>
    <w:rsid w:val="00635F3F"/>
    <w:rsid w:val="00642D2E"/>
    <w:rsid w:val="00645AF1"/>
    <w:rsid w:val="00652AA7"/>
    <w:rsid w:val="00653326"/>
    <w:rsid w:val="006546E0"/>
    <w:rsid w:val="006559F5"/>
    <w:rsid w:val="00655ED4"/>
    <w:rsid w:val="00660071"/>
    <w:rsid w:val="006614B7"/>
    <w:rsid w:val="00662638"/>
    <w:rsid w:val="006659E9"/>
    <w:rsid w:val="0067394D"/>
    <w:rsid w:val="00673A6B"/>
    <w:rsid w:val="00673B07"/>
    <w:rsid w:val="00682728"/>
    <w:rsid w:val="00693F4D"/>
    <w:rsid w:val="00695F0E"/>
    <w:rsid w:val="006A42B9"/>
    <w:rsid w:val="006B6682"/>
    <w:rsid w:val="006C1582"/>
    <w:rsid w:val="006C1D5C"/>
    <w:rsid w:val="006C20F4"/>
    <w:rsid w:val="006C4589"/>
    <w:rsid w:val="006D3F97"/>
    <w:rsid w:val="006D675C"/>
    <w:rsid w:val="006E02D8"/>
    <w:rsid w:val="006E6693"/>
    <w:rsid w:val="006E7FC1"/>
    <w:rsid w:val="006F3A8E"/>
    <w:rsid w:val="007009CB"/>
    <w:rsid w:val="0070108A"/>
    <w:rsid w:val="00704B26"/>
    <w:rsid w:val="0070757D"/>
    <w:rsid w:val="0071484C"/>
    <w:rsid w:val="00715BF0"/>
    <w:rsid w:val="007264E3"/>
    <w:rsid w:val="0075095D"/>
    <w:rsid w:val="0075137F"/>
    <w:rsid w:val="007515C9"/>
    <w:rsid w:val="00753B7C"/>
    <w:rsid w:val="00756E81"/>
    <w:rsid w:val="00765724"/>
    <w:rsid w:val="00770715"/>
    <w:rsid w:val="00771011"/>
    <w:rsid w:val="007745EF"/>
    <w:rsid w:val="00774B46"/>
    <w:rsid w:val="00780E9C"/>
    <w:rsid w:val="00783080"/>
    <w:rsid w:val="007834C9"/>
    <w:rsid w:val="00784D00"/>
    <w:rsid w:val="00790D0B"/>
    <w:rsid w:val="007A151A"/>
    <w:rsid w:val="007A1549"/>
    <w:rsid w:val="007A27CB"/>
    <w:rsid w:val="007A4F7F"/>
    <w:rsid w:val="007A6975"/>
    <w:rsid w:val="007B03C7"/>
    <w:rsid w:val="007B2360"/>
    <w:rsid w:val="007B2D40"/>
    <w:rsid w:val="007B72E0"/>
    <w:rsid w:val="007D4951"/>
    <w:rsid w:val="007D6F80"/>
    <w:rsid w:val="007E02A2"/>
    <w:rsid w:val="007E1349"/>
    <w:rsid w:val="007E39FC"/>
    <w:rsid w:val="007E3A04"/>
    <w:rsid w:val="007E5625"/>
    <w:rsid w:val="007F1004"/>
    <w:rsid w:val="007F45CF"/>
    <w:rsid w:val="008012C5"/>
    <w:rsid w:val="008029F0"/>
    <w:rsid w:val="00803AB0"/>
    <w:rsid w:val="0080450B"/>
    <w:rsid w:val="00812608"/>
    <w:rsid w:val="008133B8"/>
    <w:rsid w:val="0082391A"/>
    <w:rsid w:val="00833F53"/>
    <w:rsid w:val="0083501F"/>
    <w:rsid w:val="008440C9"/>
    <w:rsid w:val="00853780"/>
    <w:rsid w:val="008665B6"/>
    <w:rsid w:val="00867868"/>
    <w:rsid w:val="00871CF8"/>
    <w:rsid w:val="00873A57"/>
    <w:rsid w:val="008755E0"/>
    <w:rsid w:val="00877669"/>
    <w:rsid w:val="00877FEF"/>
    <w:rsid w:val="00887688"/>
    <w:rsid w:val="00887C65"/>
    <w:rsid w:val="00887CA5"/>
    <w:rsid w:val="00890BAE"/>
    <w:rsid w:val="008A084C"/>
    <w:rsid w:val="008C0EF4"/>
    <w:rsid w:val="008D4AA8"/>
    <w:rsid w:val="008D4E67"/>
    <w:rsid w:val="008D6345"/>
    <w:rsid w:val="008E0BE2"/>
    <w:rsid w:val="008E11A4"/>
    <w:rsid w:val="008E157D"/>
    <w:rsid w:val="008E6B5D"/>
    <w:rsid w:val="008E6FA7"/>
    <w:rsid w:val="008F2B9C"/>
    <w:rsid w:val="008F7E9B"/>
    <w:rsid w:val="0090244A"/>
    <w:rsid w:val="00905A4A"/>
    <w:rsid w:val="00907A50"/>
    <w:rsid w:val="00920394"/>
    <w:rsid w:val="009260D0"/>
    <w:rsid w:val="009274CD"/>
    <w:rsid w:val="00927502"/>
    <w:rsid w:val="00931F03"/>
    <w:rsid w:val="00934FDC"/>
    <w:rsid w:val="00942A1D"/>
    <w:rsid w:val="009442C2"/>
    <w:rsid w:val="009512EF"/>
    <w:rsid w:val="009549A3"/>
    <w:rsid w:val="00954A44"/>
    <w:rsid w:val="00956345"/>
    <w:rsid w:val="00960491"/>
    <w:rsid w:val="0096058D"/>
    <w:rsid w:val="00972492"/>
    <w:rsid w:val="009748B2"/>
    <w:rsid w:val="00981F72"/>
    <w:rsid w:val="00986CB0"/>
    <w:rsid w:val="00990616"/>
    <w:rsid w:val="0099079B"/>
    <w:rsid w:val="00992F6D"/>
    <w:rsid w:val="009935EC"/>
    <w:rsid w:val="009958B1"/>
    <w:rsid w:val="009C318D"/>
    <w:rsid w:val="009C53B2"/>
    <w:rsid w:val="009D1EA8"/>
    <w:rsid w:val="009D2FED"/>
    <w:rsid w:val="009E2B88"/>
    <w:rsid w:val="009F17AD"/>
    <w:rsid w:val="009F3087"/>
    <w:rsid w:val="009F3696"/>
    <w:rsid w:val="009F48A6"/>
    <w:rsid w:val="009F4D5A"/>
    <w:rsid w:val="009F5610"/>
    <w:rsid w:val="00A01334"/>
    <w:rsid w:val="00A0163E"/>
    <w:rsid w:val="00A04CED"/>
    <w:rsid w:val="00A051F7"/>
    <w:rsid w:val="00A15256"/>
    <w:rsid w:val="00A17033"/>
    <w:rsid w:val="00A264A6"/>
    <w:rsid w:val="00A3134A"/>
    <w:rsid w:val="00A36431"/>
    <w:rsid w:val="00A47946"/>
    <w:rsid w:val="00A50439"/>
    <w:rsid w:val="00A53D23"/>
    <w:rsid w:val="00A54E92"/>
    <w:rsid w:val="00A610DD"/>
    <w:rsid w:val="00A622A2"/>
    <w:rsid w:val="00A64A8C"/>
    <w:rsid w:val="00A66B12"/>
    <w:rsid w:val="00A70F23"/>
    <w:rsid w:val="00A75F12"/>
    <w:rsid w:val="00A827F0"/>
    <w:rsid w:val="00A91B00"/>
    <w:rsid w:val="00A93877"/>
    <w:rsid w:val="00A93A67"/>
    <w:rsid w:val="00A96159"/>
    <w:rsid w:val="00A96C07"/>
    <w:rsid w:val="00AA147F"/>
    <w:rsid w:val="00AA1C4D"/>
    <w:rsid w:val="00AA1F20"/>
    <w:rsid w:val="00AA35DF"/>
    <w:rsid w:val="00AA525A"/>
    <w:rsid w:val="00AA5B71"/>
    <w:rsid w:val="00AB0119"/>
    <w:rsid w:val="00AB11AE"/>
    <w:rsid w:val="00AB2E8D"/>
    <w:rsid w:val="00AB6AA2"/>
    <w:rsid w:val="00AC0EB0"/>
    <w:rsid w:val="00AC1E9B"/>
    <w:rsid w:val="00AD16E9"/>
    <w:rsid w:val="00AD3C47"/>
    <w:rsid w:val="00AD51E0"/>
    <w:rsid w:val="00AD548F"/>
    <w:rsid w:val="00AE3688"/>
    <w:rsid w:val="00AE5A20"/>
    <w:rsid w:val="00AF14DD"/>
    <w:rsid w:val="00AF2C69"/>
    <w:rsid w:val="00AF3896"/>
    <w:rsid w:val="00AF7198"/>
    <w:rsid w:val="00AF73ED"/>
    <w:rsid w:val="00B0093D"/>
    <w:rsid w:val="00B012D0"/>
    <w:rsid w:val="00B03DD7"/>
    <w:rsid w:val="00B20ACC"/>
    <w:rsid w:val="00B24258"/>
    <w:rsid w:val="00B32406"/>
    <w:rsid w:val="00B4506E"/>
    <w:rsid w:val="00B47731"/>
    <w:rsid w:val="00B51A25"/>
    <w:rsid w:val="00B53842"/>
    <w:rsid w:val="00B54FF5"/>
    <w:rsid w:val="00B559CA"/>
    <w:rsid w:val="00B5764B"/>
    <w:rsid w:val="00B63E79"/>
    <w:rsid w:val="00B7080C"/>
    <w:rsid w:val="00B72BFD"/>
    <w:rsid w:val="00B8696E"/>
    <w:rsid w:val="00B9536B"/>
    <w:rsid w:val="00B9642D"/>
    <w:rsid w:val="00BB642F"/>
    <w:rsid w:val="00BB7F84"/>
    <w:rsid w:val="00BC3586"/>
    <w:rsid w:val="00BC46FE"/>
    <w:rsid w:val="00BD5BBA"/>
    <w:rsid w:val="00BE1A1E"/>
    <w:rsid w:val="00BE5F8D"/>
    <w:rsid w:val="00BE6990"/>
    <w:rsid w:val="00BF2395"/>
    <w:rsid w:val="00BF2AEF"/>
    <w:rsid w:val="00BF68EC"/>
    <w:rsid w:val="00BF77E2"/>
    <w:rsid w:val="00BF7DB8"/>
    <w:rsid w:val="00C0367E"/>
    <w:rsid w:val="00C0609F"/>
    <w:rsid w:val="00C07AA2"/>
    <w:rsid w:val="00C154A3"/>
    <w:rsid w:val="00C16890"/>
    <w:rsid w:val="00C2375B"/>
    <w:rsid w:val="00C4285F"/>
    <w:rsid w:val="00C447F6"/>
    <w:rsid w:val="00C4535C"/>
    <w:rsid w:val="00C5041D"/>
    <w:rsid w:val="00C6628E"/>
    <w:rsid w:val="00C662A7"/>
    <w:rsid w:val="00C779E2"/>
    <w:rsid w:val="00C80B7C"/>
    <w:rsid w:val="00C83DEF"/>
    <w:rsid w:val="00C8439B"/>
    <w:rsid w:val="00C92120"/>
    <w:rsid w:val="00C93AFE"/>
    <w:rsid w:val="00CA41A5"/>
    <w:rsid w:val="00CB47D0"/>
    <w:rsid w:val="00CB5083"/>
    <w:rsid w:val="00CB6461"/>
    <w:rsid w:val="00CB68F3"/>
    <w:rsid w:val="00CC440C"/>
    <w:rsid w:val="00CC6EE8"/>
    <w:rsid w:val="00CD057D"/>
    <w:rsid w:val="00CE29FB"/>
    <w:rsid w:val="00CE3FF0"/>
    <w:rsid w:val="00CE4E59"/>
    <w:rsid w:val="00CE5AAF"/>
    <w:rsid w:val="00CF5FDC"/>
    <w:rsid w:val="00D0122F"/>
    <w:rsid w:val="00D03F2F"/>
    <w:rsid w:val="00D157D7"/>
    <w:rsid w:val="00D25113"/>
    <w:rsid w:val="00D3387F"/>
    <w:rsid w:val="00D33FE4"/>
    <w:rsid w:val="00D42354"/>
    <w:rsid w:val="00D42908"/>
    <w:rsid w:val="00D4410F"/>
    <w:rsid w:val="00D453AB"/>
    <w:rsid w:val="00D53152"/>
    <w:rsid w:val="00D61D68"/>
    <w:rsid w:val="00D65435"/>
    <w:rsid w:val="00D67774"/>
    <w:rsid w:val="00D708DF"/>
    <w:rsid w:val="00D778A2"/>
    <w:rsid w:val="00D8026B"/>
    <w:rsid w:val="00D80E18"/>
    <w:rsid w:val="00D83CCD"/>
    <w:rsid w:val="00D94F65"/>
    <w:rsid w:val="00D969A2"/>
    <w:rsid w:val="00D96CC7"/>
    <w:rsid w:val="00DA5771"/>
    <w:rsid w:val="00DB0DAA"/>
    <w:rsid w:val="00DB17CC"/>
    <w:rsid w:val="00DB46A6"/>
    <w:rsid w:val="00DB7D28"/>
    <w:rsid w:val="00DD1583"/>
    <w:rsid w:val="00DD32B9"/>
    <w:rsid w:val="00DD5F0B"/>
    <w:rsid w:val="00DD6C38"/>
    <w:rsid w:val="00DE1415"/>
    <w:rsid w:val="00DE5835"/>
    <w:rsid w:val="00DE7745"/>
    <w:rsid w:val="00DF0BBC"/>
    <w:rsid w:val="00DF2D7F"/>
    <w:rsid w:val="00E02A95"/>
    <w:rsid w:val="00E041E5"/>
    <w:rsid w:val="00E060E6"/>
    <w:rsid w:val="00E12512"/>
    <w:rsid w:val="00E13626"/>
    <w:rsid w:val="00E15305"/>
    <w:rsid w:val="00E17813"/>
    <w:rsid w:val="00E231AE"/>
    <w:rsid w:val="00E23EB0"/>
    <w:rsid w:val="00E326C0"/>
    <w:rsid w:val="00E362EA"/>
    <w:rsid w:val="00E37067"/>
    <w:rsid w:val="00E379AA"/>
    <w:rsid w:val="00E468E2"/>
    <w:rsid w:val="00E51F92"/>
    <w:rsid w:val="00E568EC"/>
    <w:rsid w:val="00E62E67"/>
    <w:rsid w:val="00E6550D"/>
    <w:rsid w:val="00E6574B"/>
    <w:rsid w:val="00E65ECF"/>
    <w:rsid w:val="00E66DC5"/>
    <w:rsid w:val="00E721B5"/>
    <w:rsid w:val="00E727A1"/>
    <w:rsid w:val="00E7390C"/>
    <w:rsid w:val="00E74AE8"/>
    <w:rsid w:val="00E76BDE"/>
    <w:rsid w:val="00E83C00"/>
    <w:rsid w:val="00E8427C"/>
    <w:rsid w:val="00E8786C"/>
    <w:rsid w:val="00E9212B"/>
    <w:rsid w:val="00EA7C6A"/>
    <w:rsid w:val="00EB1DBC"/>
    <w:rsid w:val="00EB4C2B"/>
    <w:rsid w:val="00ED2F63"/>
    <w:rsid w:val="00ED459E"/>
    <w:rsid w:val="00ED58CC"/>
    <w:rsid w:val="00ED74FF"/>
    <w:rsid w:val="00EE043D"/>
    <w:rsid w:val="00EE093C"/>
    <w:rsid w:val="00EE6D7B"/>
    <w:rsid w:val="00EF1CF8"/>
    <w:rsid w:val="00EF42FE"/>
    <w:rsid w:val="00EF49BB"/>
    <w:rsid w:val="00F041C4"/>
    <w:rsid w:val="00F05416"/>
    <w:rsid w:val="00F134FD"/>
    <w:rsid w:val="00F143EB"/>
    <w:rsid w:val="00F205B9"/>
    <w:rsid w:val="00F22028"/>
    <w:rsid w:val="00F330CD"/>
    <w:rsid w:val="00F3319D"/>
    <w:rsid w:val="00F33810"/>
    <w:rsid w:val="00F370CF"/>
    <w:rsid w:val="00F419D0"/>
    <w:rsid w:val="00F42BE3"/>
    <w:rsid w:val="00F471E5"/>
    <w:rsid w:val="00F50056"/>
    <w:rsid w:val="00F50E9C"/>
    <w:rsid w:val="00F5782B"/>
    <w:rsid w:val="00F709AA"/>
    <w:rsid w:val="00F71B45"/>
    <w:rsid w:val="00F833D4"/>
    <w:rsid w:val="00F83AA3"/>
    <w:rsid w:val="00F85AE0"/>
    <w:rsid w:val="00F8686D"/>
    <w:rsid w:val="00F965B1"/>
    <w:rsid w:val="00FA0122"/>
    <w:rsid w:val="00FA3D11"/>
    <w:rsid w:val="00FB0226"/>
    <w:rsid w:val="00FB3816"/>
    <w:rsid w:val="00FB7898"/>
    <w:rsid w:val="00FC11A5"/>
    <w:rsid w:val="00FC123B"/>
    <w:rsid w:val="00FC5876"/>
    <w:rsid w:val="00FC6396"/>
    <w:rsid w:val="00FC7D67"/>
    <w:rsid w:val="00FD329B"/>
    <w:rsid w:val="00FD47A7"/>
    <w:rsid w:val="00FD5312"/>
    <w:rsid w:val="00FE04F5"/>
    <w:rsid w:val="00FE1B83"/>
    <w:rsid w:val="00FF155B"/>
    <w:rsid w:val="00FF20E1"/>
    <w:rsid w:val="00FF5660"/>
    <w:rsid w:val="00FF5C15"/>
    <w:rsid w:val="00FF73E2"/>
    <w:rsid w:val="00FF7C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E1F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A1F2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2391A"/>
    <w:pPr>
      <w:ind w:left="720"/>
      <w:contextualSpacing/>
    </w:pPr>
  </w:style>
  <w:style w:type="character" w:styleId="Odwoanieprzypisudolnego">
    <w:name w:val="footnote reference"/>
    <w:aliases w:val="16 Point,Superscript 6 Point,Footnote Reference Number,Footnote Reference Superscript,BVI fnr,Footnote symbol,SUPERS,(Footnote Reference),Footnote,Voetnootverwijzing,Times 10 Point,Exposant 3 Point,note TESI,FR,ftref,FZ"/>
    <w:uiPriority w:val="99"/>
    <w:unhideWhenUsed/>
    <w:qFormat/>
    <w:rsid w:val="0082391A"/>
    <w:rPr>
      <w:vertAlign w:val="superscript"/>
    </w:rPr>
  </w:style>
  <w:style w:type="paragraph" w:styleId="Tekstprzypisudolnego">
    <w:name w:val="footnote text"/>
    <w:aliases w:val="Fußnotentextf,Note de bas de page Car Car Car Car Car Car Car Car Car Car,Note de bas de page Car Car Car Car,Note de bas de page Car Car Car Car Car Car Car Car Car,ft,Note de bas de page Car Car Car Car Car Car Car Car,fußn,fn"/>
    <w:basedOn w:val="Normalny"/>
    <w:link w:val="TekstprzypisudolnegoZnak"/>
    <w:uiPriority w:val="99"/>
    <w:unhideWhenUsed/>
    <w:qFormat/>
    <w:rsid w:val="0082391A"/>
    <w:pPr>
      <w:spacing w:after="0" w:line="240" w:lineRule="auto"/>
    </w:pPr>
    <w:rPr>
      <w:sz w:val="20"/>
      <w:szCs w:val="20"/>
    </w:rPr>
  </w:style>
  <w:style w:type="character" w:customStyle="1" w:styleId="TekstprzypisudolnegoZnak">
    <w:name w:val="Tekst przypisu dolnego Znak"/>
    <w:aliases w:val="Fußnotentextf Znak,Note de bas de page Car Car Car Car Car Car Car Car Car Car Znak,Note de bas de page Car Car Car Car Znak,Note de bas de page Car Car Car Car Car Car Car Car Car Znak,ft Znak,fußn Znak,fn Znak"/>
    <w:basedOn w:val="Domylnaczcionkaakapitu"/>
    <w:link w:val="Tekstprzypisudolnego"/>
    <w:uiPriority w:val="99"/>
    <w:rsid w:val="0082391A"/>
    <w:rPr>
      <w:sz w:val="20"/>
      <w:szCs w:val="20"/>
    </w:rPr>
  </w:style>
  <w:style w:type="paragraph" w:customStyle="1" w:styleId="USTustnpkodeksu">
    <w:name w:val="UST(§) – ust. (§ np. kodeksu)"/>
    <w:basedOn w:val="Normalny"/>
    <w:uiPriority w:val="12"/>
    <w:qFormat/>
    <w:rsid w:val="0082391A"/>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rsid w:val="00266DF6"/>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266DF6"/>
    <w:rPr>
      <w:rFonts w:ascii="Tahoma" w:eastAsia="Calibri" w:hAnsi="Tahoma" w:cs="Tahoma"/>
      <w:sz w:val="16"/>
      <w:szCs w:val="16"/>
    </w:rPr>
  </w:style>
  <w:style w:type="character" w:styleId="Odwoaniedokomentarza">
    <w:name w:val="annotation reference"/>
    <w:basedOn w:val="Domylnaczcionkaakapitu"/>
    <w:uiPriority w:val="99"/>
    <w:semiHidden/>
    <w:unhideWhenUsed/>
    <w:rsid w:val="00920394"/>
    <w:rPr>
      <w:sz w:val="16"/>
      <w:szCs w:val="16"/>
    </w:rPr>
  </w:style>
  <w:style w:type="paragraph" w:styleId="Tekstkomentarza">
    <w:name w:val="annotation text"/>
    <w:basedOn w:val="Normalny"/>
    <w:link w:val="TekstkomentarzaZnak"/>
    <w:uiPriority w:val="99"/>
    <w:unhideWhenUsed/>
    <w:rsid w:val="00920394"/>
    <w:pPr>
      <w:spacing w:line="240" w:lineRule="auto"/>
    </w:pPr>
    <w:rPr>
      <w:sz w:val="20"/>
      <w:szCs w:val="20"/>
    </w:rPr>
  </w:style>
  <w:style w:type="character" w:customStyle="1" w:styleId="TekstkomentarzaZnak">
    <w:name w:val="Tekst komentarza Znak"/>
    <w:basedOn w:val="Domylnaczcionkaakapitu"/>
    <w:link w:val="Tekstkomentarza"/>
    <w:uiPriority w:val="99"/>
    <w:rsid w:val="00920394"/>
    <w:rPr>
      <w:sz w:val="20"/>
      <w:szCs w:val="20"/>
    </w:rPr>
  </w:style>
  <w:style w:type="paragraph" w:styleId="Tematkomentarza">
    <w:name w:val="annotation subject"/>
    <w:basedOn w:val="Tekstkomentarza"/>
    <w:next w:val="Tekstkomentarza"/>
    <w:link w:val="TematkomentarzaZnak"/>
    <w:uiPriority w:val="99"/>
    <w:semiHidden/>
    <w:unhideWhenUsed/>
    <w:rsid w:val="00920394"/>
    <w:rPr>
      <w:b/>
      <w:bCs/>
    </w:rPr>
  </w:style>
  <w:style w:type="character" w:customStyle="1" w:styleId="TematkomentarzaZnak">
    <w:name w:val="Temat komentarza Znak"/>
    <w:basedOn w:val="TekstkomentarzaZnak"/>
    <w:link w:val="Tematkomentarza"/>
    <w:uiPriority w:val="99"/>
    <w:semiHidden/>
    <w:rsid w:val="00920394"/>
    <w:rPr>
      <w:b/>
      <w:bCs/>
      <w:sz w:val="20"/>
      <w:szCs w:val="20"/>
    </w:rPr>
  </w:style>
  <w:style w:type="paragraph" w:customStyle="1" w:styleId="PKTpunkt">
    <w:name w:val="PKT – punkt"/>
    <w:uiPriority w:val="13"/>
    <w:qFormat/>
    <w:rsid w:val="0060622D"/>
    <w:pPr>
      <w:spacing w:after="0" w:line="360" w:lineRule="auto"/>
      <w:ind w:left="510" w:hanging="510"/>
      <w:jc w:val="both"/>
    </w:pPr>
    <w:rPr>
      <w:rFonts w:ascii="Times" w:eastAsiaTheme="minorEastAsia" w:hAnsi="Times" w:cs="Arial"/>
      <w:bCs/>
      <w:sz w:val="24"/>
      <w:szCs w:val="20"/>
      <w:lang w:eastAsia="pl-PL"/>
    </w:rPr>
  </w:style>
  <w:style w:type="character" w:customStyle="1" w:styleId="ui-provider">
    <w:name w:val="ui-provider"/>
    <w:basedOn w:val="Domylnaczcionkaakapitu"/>
    <w:rsid w:val="003C1500"/>
  </w:style>
  <w:style w:type="paragraph" w:customStyle="1" w:styleId="Default">
    <w:name w:val="Default"/>
    <w:rsid w:val="00956345"/>
    <w:pPr>
      <w:autoSpaceDE w:val="0"/>
      <w:autoSpaceDN w:val="0"/>
      <w:adjustRightInd w:val="0"/>
      <w:spacing w:after="0" w:line="240" w:lineRule="auto"/>
    </w:pPr>
    <w:rPr>
      <w:rFonts w:ascii="Verdana" w:eastAsia="Times New Roman" w:hAnsi="Verdana" w:cs="Verdana"/>
      <w:color w:val="000000"/>
      <w:sz w:val="24"/>
      <w:szCs w:val="24"/>
      <w:lang w:eastAsia="pl-PL"/>
    </w:rPr>
  </w:style>
  <w:style w:type="paragraph" w:styleId="Tekstprzypisukocowego">
    <w:name w:val="endnote text"/>
    <w:basedOn w:val="Normalny"/>
    <w:link w:val="TekstprzypisukocowegoZnak"/>
    <w:uiPriority w:val="99"/>
    <w:semiHidden/>
    <w:unhideWhenUsed/>
    <w:rsid w:val="00E02A9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02A95"/>
    <w:rPr>
      <w:sz w:val="20"/>
      <w:szCs w:val="20"/>
    </w:rPr>
  </w:style>
  <w:style w:type="character" w:styleId="Odwoanieprzypisukocowego">
    <w:name w:val="endnote reference"/>
    <w:basedOn w:val="Domylnaczcionkaakapitu"/>
    <w:uiPriority w:val="99"/>
    <w:semiHidden/>
    <w:unhideWhenUsed/>
    <w:rsid w:val="00E02A95"/>
    <w:rPr>
      <w:vertAlign w:val="superscript"/>
    </w:rPr>
  </w:style>
  <w:style w:type="paragraph" w:styleId="Nagwek">
    <w:name w:val="header"/>
    <w:basedOn w:val="Normalny"/>
    <w:link w:val="NagwekZnak"/>
    <w:uiPriority w:val="99"/>
    <w:unhideWhenUsed/>
    <w:rsid w:val="000E5E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5E2B"/>
  </w:style>
  <w:style w:type="paragraph" w:styleId="Stopka">
    <w:name w:val="footer"/>
    <w:basedOn w:val="Normalny"/>
    <w:link w:val="StopkaZnak"/>
    <w:uiPriority w:val="99"/>
    <w:unhideWhenUsed/>
    <w:rsid w:val="000E5E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5E2B"/>
  </w:style>
  <w:style w:type="paragraph" w:styleId="Poprawka">
    <w:name w:val="Revision"/>
    <w:hidden/>
    <w:uiPriority w:val="99"/>
    <w:semiHidden/>
    <w:rsid w:val="00A04C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891191">
      <w:bodyDiv w:val="1"/>
      <w:marLeft w:val="0"/>
      <w:marRight w:val="0"/>
      <w:marTop w:val="0"/>
      <w:marBottom w:val="0"/>
      <w:divBdr>
        <w:top w:val="none" w:sz="0" w:space="0" w:color="auto"/>
        <w:left w:val="none" w:sz="0" w:space="0" w:color="auto"/>
        <w:bottom w:val="none" w:sz="0" w:space="0" w:color="auto"/>
        <w:right w:val="none" w:sz="0" w:space="0" w:color="auto"/>
      </w:divBdr>
    </w:div>
    <w:div w:id="797063414">
      <w:bodyDiv w:val="1"/>
      <w:marLeft w:val="0"/>
      <w:marRight w:val="0"/>
      <w:marTop w:val="0"/>
      <w:marBottom w:val="0"/>
      <w:divBdr>
        <w:top w:val="none" w:sz="0" w:space="0" w:color="auto"/>
        <w:left w:val="none" w:sz="0" w:space="0" w:color="auto"/>
        <w:bottom w:val="none" w:sz="0" w:space="0" w:color="auto"/>
        <w:right w:val="none" w:sz="0" w:space="0" w:color="auto"/>
      </w:divBdr>
    </w:div>
    <w:div w:id="1164932371">
      <w:bodyDiv w:val="1"/>
      <w:marLeft w:val="0"/>
      <w:marRight w:val="0"/>
      <w:marTop w:val="0"/>
      <w:marBottom w:val="0"/>
      <w:divBdr>
        <w:top w:val="none" w:sz="0" w:space="0" w:color="auto"/>
        <w:left w:val="none" w:sz="0" w:space="0" w:color="auto"/>
        <w:bottom w:val="none" w:sz="0" w:space="0" w:color="auto"/>
        <w:right w:val="none" w:sz="0" w:space="0" w:color="auto"/>
      </w:divBdr>
    </w:div>
    <w:div w:id="1201749813">
      <w:bodyDiv w:val="1"/>
      <w:marLeft w:val="0"/>
      <w:marRight w:val="0"/>
      <w:marTop w:val="0"/>
      <w:marBottom w:val="0"/>
      <w:divBdr>
        <w:top w:val="none" w:sz="0" w:space="0" w:color="auto"/>
        <w:left w:val="none" w:sz="0" w:space="0" w:color="auto"/>
        <w:bottom w:val="none" w:sz="0" w:space="0" w:color="auto"/>
        <w:right w:val="none" w:sz="0" w:space="0" w:color="auto"/>
      </w:divBdr>
    </w:div>
    <w:div w:id="183595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5B9F9-D6C7-4889-A602-FD8B5899B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8904</Words>
  <Characters>53426</Characters>
  <Application>Microsoft Office Word</Application>
  <DocSecurity>0</DocSecurity>
  <Lines>445</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2026-10-22T10:29:00Z</dcterms:created>
  <dcterms:modified xsi:type="dcterms:W3CDTF">2026-10-22T10:29:00Z</dcterms:modified>
</cp:coreProperties>
</file>