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A0C3F" w14:textId="65AFBE80" w:rsidR="004179AE" w:rsidRPr="00C82893" w:rsidRDefault="004E3550" w:rsidP="00C82893">
      <w:pPr>
        <w:pStyle w:val="OZNRODZAKTUtznustawalubrozporzdzenieiorganwydajcy"/>
        <w:spacing w:after="240"/>
        <w:rPr>
          <w:rFonts w:ascii="Times New Roman" w:hAnsi="Times New Roman"/>
          <w:b w:val="0"/>
          <w:bCs w:val="0"/>
          <w:spacing w:val="0"/>
        </w:rPr>
      </w:pPr>
      <w:r w:rsidRPr="00C82893">
        <w:rPr>
          <w:rFonts w:ascii="Times New Roman" w:hAnsi="Times New Roman"/>
          <w:b w:val="0"/>
          <w:bCs w:val="0"/>
          <w:spacing w:val="0"/>
        </w:rPr>
        <w:t>UZASADNIENIE</w:t>
      </w:r>
    </w:p>
    <w:p w14:paraId="6184FA18" w14:textId="24AE99FD" w:rsidR="007F07A2" w:rsidRPr="00B35ECF" w:rsidRDefault="007F07A2" w:rsidP="00C82893">
      <w:pPr>
        <w:spacing w:before="120"/>
        <w:jc w:val="both"/>
        <w:rPr>
          <w:rFonts w:cs="Times New Roman"/>
          <w:szCs w:val="24"/>
        </w:rPr>
      </w:pPr>
      <w:r w:rsidRPr="00B35ECF">
        <w:rPr>
          <w:rFonts w:cs="Times New Roman"/>
          <w:szCs w:val="24"/>
        </w:rPr>
        <w:t xml:space="preserve">Projektowana ustawa w art. 1 dokonuje wdrożenia </w:t>
      </w:r>
      <w:r w:rsidR="003B3F40" w:rsidRPr="00B35ECF">
        <w:rPr>
          <w:rFonts w:cs="Times New Roman"/>
          <w:szCs w:val="24"/>
        </w:rPr>
        <w:t>d</w:t>
      </w:r>
      <w:r w:rsidRPr="00B35ECF">
        <w:rPr>
          <w:rFonts w:cs="Times New Roman"/>
          <w:szCs w:val="24"/>
        </w:rPr>
        <w:t>yrektywy Parlamentu Europejskiego i</w:t>
      </w:r>
      <w:r w:rsidR="00231281" w:rsidRPr="00B35ECF">
        <w:rPr>
          <w:rFonts w:cs="Times New Roman"/>
          <w:szCs w:val="24"/>
        </w:rPr>
        <w:t> </w:t>
      </w:r>
      <w:r w:rsidRPr="00B35ECF">
        <w:rPr>
          <w:rFonts w:cs="Times New Roman"/>
          <w:szCs w:val="24"/>
        </w:rPr>
        <w:t xml:space="preserve">Rady (UE) 2024/884 z dnia 13 marca </w:t>
      </w:r>
      <w:r w:rsidR="0056255C" w:rsidRPr="00B35ECF">
        <w:rPr>
          <w:rFonts w:cs="Times New Roman"/>
          <w:szCs w:val="24"/>
        </w:rPr>
        <w:t>2024 </w:t>
      </w:r>
      <w:r w:rsidRPr="00B35ECF">
        <w:rPr>
          <w:rFonts w:cs="Times New Roman"/>
          <w:szCs w:val="24"/>
        </w:rPr>
        <w:t xml:space="preserve">r. w sprawie zmiany dyrektywy 2012/19/UE </w:t>
      </w:r>
      <w:r w:rsidR="00231281" w:rsidRPr="00B35ECF">
        <w:rPr>
          <w:rFonts w:cs="Times New Roman"/>
          <w:szCs w:val="24"/>
        </w:rPr>
        <w:t>w </w:t>
      </w:r>
      <w:r w:rsidRPr="00B35ECF">
        <w:rPr>
          <w:rFonts w:cs="Times New Roman"/>
          <w:szCs w:val="24"/>
        </w:rPr>
        <w:t>sprawie zużytego sprzętu elektrycznego i elektronicznego</w:t>
      </w:r>
      <w:r w:rsidR="00581624" w:rsidRPr="00B35ECF">
        <w:rPr>
          <w:rFonts w:cs="Times New Roman"/>
          <w:szCs w:val="24"/>
        </w:rPr>
        <w:t xml:space="preserve"> (WEEE) (Tekst mający znaczenie dla EOG)</w:t>
      </w:r>
      <w:r w:rsidR="00BD0B0F" w:rsidRPr="00B35ECF">
        <w:rPr>
          <w:rStyle w:val="Odwoanieprzypisudolnego"/>
          <w:rFonts w:cs="Times New Roman"/>
          <w:szCs w:val="24"/>
        </w:rPr>
        <w:footnoteReference w:id="1"/>
      </w:r>
      <w:r w:rsidR="00321CFE" w:rsidRPr="00B35ECF">
        <w:rPr>
          <w:rFonts w:cs="Times New Roman"/>
          <w:szCs w:val="24"/>
          <w:vertAlign w:val="superscript"/>
        </w:rPr>
        <w:t>)</w:t>
      </w:r>
      <w:r w:rsidR="00775029" w:rsidRPr="00B35ECF">
        <w:rPr>
          <w:rFonts w:cs="Times New Roman"/>
          <w:szCs w:val="24"/>
        </w:rPr>
        <w:t xml:space="preserve">, </w:t>
      </w:r>
      <w:r w:rsidR="00581624" w:rsidRPr="00B35ECF">
        <w:rPr>
          <w:rFonts w:cs="Times New Roman"/>
          <w:szCs w:val="24"/>
        </w:rPr>
        <w:t>zwanej dalej „dyrektywą 2024/884”.</w:t>
      </w:r>
    </w:p>
    <w:p w14:paraId="25A2EC61" w14:textId="50D27889" w:rsidR="007F07A2" w:rsidRPr="00B35ECF" w:rsidRDefault="003458B3" w:rsidP="00C82893">
      <w:pPr>
        <w:spacing w:before="120"/>
        <w:jc w:val="both"/>
        <w:rPr>
          <w:rFonts w:cs="Times New Roman"/>
          <w:szCs w:val="24"/>
        </w:rPr>
      </w:pPr>
      <w:r w:rsidRPr="00B35ECF">
        <w:rPr>
          <w:rFonts w:cs="Times New Roman"/>
          <w:szCs w:val="24"/>
        </w:rPr>
        <w:t xml:space="preserve">Dyrektywa 2024/884 wynika z </w:t>
      </w:r>
      <w:r w:rsidR="007F07A2" w:rsidRPr="00B35ECF">
        <w:rPr>
          <w:rFonts w:cs="Times New Roman"/>
          <w:szCs w:val="24"/>
        </w:rPr>
        <w:t>wyrok</w:t>
      </w:r>
      <w:r w:rsidRPr="00B35ECF">
        <w:rPr>
          <w:rFonts w:cs="Times New Roman"/>
          <w:szCs w:val="24"/>
        </w:rPr>
        <w:t>u</w:t>
      </w:r>
      <w:r w:rsidR="007F07A2" w:rsidRPr="00B35ECF">
        <w:rPr>
          <w:rFonts w:cs="Times New Roman"/>
          <w:szCs w:val="24"/>
        </w:rPr>
        <w:t xml:space="preserve"> Trybunał</w:t>
      </w:r>
      <w:r w:rsidR="00693EF2" w:rsidRPr="00B35ECF">
        <w:rPr>
          <w:rFonts w:cs="Times New Roman"/>
          <w:szCs w:val="24"/>
        </w:rPr>
        <w:t>u</w:t>
      </w:r>
      <w:r w:rsidR="007F07A2" w:rsidRPr="00B35ECF">
        <w:rPr>
          <w:rFonts w:cs="Times New Roman"/>
          <w:szCs w:val="24"/>
        </w:rPr>
        <w:t xml:space="preserve"> Sprawiedliwości Unii Europejskiej</w:t>
      </w:r>
      <w:r w:rsidR="001A3A56" w:rsidRPr="00B35ECF">
        <w:rPr>
          <w:rFonts w:cs="Times New Roman"/>
          <w:szCs w:val="24"/>
        </w:rPr>
        <w:t xml:space="preserve"> (TSUE)</w:t>
      </w:r>
      <w:r w:rsidR="007F07A2" w:rsidRPr="00B35ECF">
        <w:rPr>
          <w:rFonts w:cs="Times New Roman"/>
          <w:szCs w:val="24"/>
        </w:rPr>
        <w:t xml:space="preserve"> z dnia 25 stycznia 2022</w:t>
      </w:r>
      <w:r w:rsidR="001F6B07" w:rsidRPr="00B35ECF">
        <w:rPr>
          <w:rFonts w:cs="Times New Roman"/>
          <w:szCs w:val="24"/>
        </w:rPr>
        <w:t> </w:t>
      </w:r>
      <w:r w:rsidR="007F07A2" w:rsidRPr="00B35ECF">
        <w:rPr>
          <w:rFonts w:cs="Times New Roman"/>
          <w:szCs w:val="24"/>
        </w:rPr>
        <w:t>r. w sprawie C-181/20, w którym T</w:t>
      </w:r>
      <w:r w:rsidRPr="00B35ECF">
        <w:rPr>
          <w:rFonts w:cs="Times New Roman"/>
          <w:szCs w:val="24"/>
        </w:rPr>
        <w:t>SUE</w:t>
      </w:r>
      <w:r w:rsidR="007F07A2" w:rsidRPr="00B35ECF">
        <w:rPr>
          <w:rFonts w:cs="Times New Roman"/>
          <w:szCs w:val="24"/>
        </w:rPr>
        <w:t xml:space="preserve"> stwierdził nieważność art</w:t>
      </w:r>
      <w:r w:rsidR="0056255C" w:rsidRPr="00B35ECF">
        <w:rPr>
          <w:rFonts w:cs="Times New Roman"/>
          <w:szCs w:val="24"/>
        </w:rPr>
        <w:t>. </w:t>
      </w:r>
      <w:r w:rsidR="007F07A2" w:rsidRPr="00B35ECF">
        <w:rPr>
          <w:rFonts w:cs="Times New Roman"/>
          <w:szCs w:val="24"/>
        </w:rPr>
        <w:t>13 ust</w:t>
      </w:r>
      <w:r w:rsidR="0056255C" w:rsidRPr="00B35ECF">
        <w:rPr>
          <w:rFonts w:cs="Times New Roman"/>
          <w:szCs w:val="24"/>
        </w:rPr>
        <w:t>. </w:t>
      </w:r>
      <w:r w:rsidR="007F07A2" w:rsidRPr="00B35ECF">
        <w:rPr>
          <w:rFonts w:cs="Times New Roman"/>
          <w:szCs w:val="24"/>
        </w:rPr>
        <w:t xml:space="preserve">1 dyrektywy </w:t>
      </w:r>
      <w:r w:rsidR="003C4E35" w:rsidRPr="00B35ECF">
        <w:rPr>
          <w:rFonts w:cs="Times New Roman"/>
          <w:szCs w:val="24"/>
        </w:rPr>
        <w:t>Parlamentu Europejskiego i Rady 2012/19/UE z dnia 4 lipca 2012 r. w sprawie zużytego sprzętu elektrycznego i elektronicznego (WEEE)</w:t>
      </w:r>
      <w:r w:rsidR="007F7536" w:rsidRPr="00B35ECF">
        <w:rPr>
          <w:rStyle w:val="Odwoanieprzypisudolnego"/>
          <w:rFonts w:cs="Times New Roman"/>
          <w:szCs w:val="24"/>
        </w:rPr>
        <w:footnoteReference w:id="2"/>
      </w:r>
      <w:r w:rsidR="007F7536" w:rsidRPr="00B35ECF">
        <w:rPr>
          <w:rFonts w:cs="Times New Roman"/>
          <w:szCs w:val="24"/>
          <w:vertAlign w:val="superscript"/>
        </w:rPr>
        <w:t>)</w:t>
      </w:r>
      <w:r w:rsidR="003C4E35" w:rsidRPr="00B35ECF">
        <w:rPr>
          <w:rFonts w:cs="Times New Roman"/>
          <w:szCs w:val="24"/>
        </w:rPr>
        <w:t>, zwanej dalej „dyrektywą 2012/19/UE”,</w:t>
      </w:r>
      <w:r w:rsidR="007F07A2" w:rsidRPr="00B35ECF">
        <w:rPr>
          <w:rFonts w:cs="Times New Roman"/>
          <w:szCs w:val="24"/>
        </w:rPr>
        <w:t xml:space="preserve"> w zakresie, w jakim dotyczy on paneli fotowoltaicznych wprowadzonych do obrotu w okresie od dnia 13 sierpnia 2005 r. do dnia 13 sierpnia </w:t>
      </w:r>
      <w:r w:rsidR="0056255C" w:rsidRPr="00B35ECF">
        <w:rPr>
          <w:rFonts w:cs="Times New Roman"/>
          <w:szCs w:val="24"/>
        </w:rPr>
        <w:t>2012 </w:t>
      </w:r>
      <w:r w:rsidR="007F07A2" w:rsidRPr="00B35ECF">
        <w:rPr>
          <w:rFonts w:cs="Times New Roman"/>
          <w:szCs w:val="24"/>
        </w:rPr>
        <w:t>r., z</w:t>
      </w:r>
      <w:r w:rsidR="00B0412D" w:rsidRPr="00B35ECF">
        <w:rPr>
          <w:rFonts w:cs="Times New Roman"/>
          <w:szCs w:val="24"/>
        </w:rPr>
        <w:t> </w:t>
      </w:r>
      <w:r w:rsidR="007F07A2" w:rsidRPr="00B35ECF">
        <w:rPr>
          <w:rFonts w:cs="Times New Roman"/>
          <w:szCs w:val="24"/>
        </w:rPr>
        <w:t>powodu nieuzasadnionego skutku wstecznego.</w:t>
      </w:r>
      <w:r w:rsidR="003C4E35" w:rsidRPr="00B35ECF">
        <w:rPr>
          <w:rFonts w:cs="Times New Roman"/>
          <w:szCs w:val="24"/>
        </w:rPr>
        <w:t xml:space="preserve"> </w:t>
      </w:r>
      <w:r w:rsidR="007F07A2" w:rsidRPr="00B35ECF">
        <w:rPr>
          <w:rFonts w:cs="Times New Roman"/>
          <w:szCs w:val="24"/>
        </w:rPr>
        <w:t>Termin transpozycji</w:t>
      </w:r>
      <w:r w:rsidR="00E01F8E" w:rsidRPr="00B35ECF">
        <w:rPr>
          <w:rFonts w:cs="Times New Roman"/>
          <w:szCs w:val="24"/>
        </w:rPr>
        <w:t xml:space="preserve"> dyrektywy</w:t>
      </w:r>
      <w:r w:rsidR="007F07A2" w:rsidRPr="00B35ECF">
        <w:rPr>
          <w:rFonts w:cs="Times New Roman"/>
          <w:szCs w:val="24"/>
        </w:rPr>
        <w:t xml:space="preserve"> 2024/884 upły</w:t>
      </w:r>
      <w:r w:rsidR="00A41577" w:rsidRPr="00B35ECF">
        <w:rPr>
          <w:rFonts w:cs="Times New Roman"/>
          <w:szCs w:val="24"/>
        </w:rPr>
        <w:t>nął</w:t>
      </w:r>
      <w:r w:rsidR="007F07A2" w:rsidRPr="00B35ECF">
        <w:rPr>
          <w:rFonts w:cs="Times New Roman"/>
          <w:szCs w:val="24"/>
        </w:rPr>
        <w:t xml:space="preserve"> </w:t>
      </w:r>
      <w:r w:rsidR="0091614D" w:rsidRPr="00B35ECF">
        <w:rPr>
          <w:rFonts w:cs="Times New Roman"/>
          <w:szCs w:val="24"/>
        </w:rPr>
        <w:t>w</w:t>
      </w:r>
      <w:r w:rsidR="00BE60EB" w:rsidRPr="00B35ECF">
        <w:rPr>
          <w:rFonts w:cs="Times New Roman"/>
          <w:szCs w:val="24"/>
        </w:rPr>
        <w:t> </w:t>
      </w:r>
      <w:r w:rsidR="0091614D" w:rsidRPr="00B35ECF">
        <w:rPr>
          <w:rFonts w:cs="Times New Roman"/>
          <w:szCs w:val="24"/>
        </w:rPr>
        <w:t xml:space="preserve">dniu </w:t>
      </w:r>
      <w:r w:rsidR="007F07A2" w:rsidRPr="00B35ECF">
        <w:rPr>
          <w:rFonts w:cs="Times New Roman"/>
          <w:szCs w:val="24"/>
        </w:rPr>
        <w:t>9</w:t>
      </w:r>
      <w:r w:rsidR="00BD0B0F" w:rsidRPr="00B35ECF">
        <w:rPr>
          <w:rFonts w:cs="Times New Roman"/>
          <w:szCs w:val="24"/>
        </w:rPr>
        <w:t xml:space="preserve"> </w:t>
      </w:r>
      <w:r w:rsidR="007F07A2" w:rsidRPr="00B35ECF">
        <w:rPr>
          <w:rFonts w:cs="Times New Roman"/>
          <w:szCs w:val="24"/>
        </w:rPr>
        <w:t>października 2025 r.</w:t>
      </w:r>
    </w:p>
    <w:p w14:paraId="76531E06" w14:textId="0D1A5E3C" w:rsidR="007F07A2" w:rsidRPr="00B35ECF" w:rsidRDefault="007F07A2" w:rsidP="00C82893">
      <w:pPr>
        <w:spacing w:before="120"/>
        <w:jc w:val="both"/>
        <w:rPr>
          <w:rFonts w:cs="Times New Roman"/>
          <w:szCs w:val="24"/>
        </w:rPr>
      </w:pPr>
      <w:r w:rsidRPr="00B35ECF">
        <w:rPr>
          <w:rFonts w:cs="Times New Roman"/>
          <w:szCs w:val="24"/>
        </w:rPr>
        <w:t>Ponadto w lutym 2024 r. Komisja Europejska skierowała do Polski zarzuty nieprawidłowej transpozycji art. 8a ust. 5 akapit</w:t>
      </w:r>
      <w:r w:rsidR="00D35B4C" w:rsidRPr="00B35ECF">
        <w:rPr>
          <w:rFonts w:cs="Times New Roman"/>
          <w:szCs w:val="24"/>
        </w:rPr>
        <w:t>u</w:t>
      </w:r>
      <w:r w:rsidRPr="00B35ECF">
        <w:rPr>
          <w:rFonts w:cs="Times New Roman"/>
          <w:szCs w:val="24"/>
        </w:rPr>
        <w:t xml:space="preserve"> trzeci</w:t>
      </w:r>
      <w:r w:rsidR="00D35B4C" w:rsidRPr="00B35ECF">
        <w:rPr>
          <w:rFonts w:cs="Times New Roman"/>
          <w:szCs w:val="24"/>
        </w:rPr>
        <w:t>ego</w:t>
      </w:r>
      <w:r w:rsidRPr="00B35ECF">
        <w:rPr>
          <w:rFonts w:cs="Times New Roman"/>
          <w:szCs w:val="24"/>
        </w:rPr>
        <w:t xml:space="preserve"> </w:t>
      </w:r>
      <w:r w:rsidR="00805C5D" w:rsidRPr="00B35ECF">
        <w:rPr>
          <w:rFonts w:cs="Times New Roman"/>
          <w:szCs w:val="24"/>
        </w:rPr>
        <w:t>dyrektywy</w:t>
      </w:r>
      <w:r w:rsidR="00772BEC" w:rsidRPr="00B35ECF">
        <w:rPr>
          <w:rFonts w:cs="Times New Roman"/>
          <w:szCs w:val="24"/>
        </w:rPr>
        <w:t xml:space="preserve"> Parlamentu Europejskiego i Rady</w:t>
      </w:r>
      <w:r w:rsidR="00805C5D" w:rsidRPr="00B35ECF">
        <w:rPr>
          <w:rFonts w:cs="Times New Roman"/>
          <w:szCs w:val="24"/>
        </w:rPr>
        <w:t xml:space="preserve"> 2008/98/WE</w:t>
      </w:r>
      <w:r w:rsidR="00772BEC" w:rsidRPr="00B35ECF">
        <w:rPr>
          <w:rFonts w:cs="Times New Roman"/>
          <w:szCs w:val="24"/>
        </w:rPr>
        <w:t xml:space="preserve"> z dnia 19 listopada 2008 r. w sprawie odpadów oraz uchylającej niektóre dyrektywy</w:t>
      </w:r>
      <w:r w:rsidR="00A6597A" w:rsidRPr="00B35ECF">
        <w:rPr>
          <w:rFonts w:cs="Times New Roman"/>
          <w:szCs w:val="24"/>
        </w:rPr>
        <w:t xml:space="preserve"> (Tekst mający znaczenie dla EOG)</w:t>
      </w:r>
      <w:r w:rsidR="00772BEC" w:rsidRPr="00B35ECF">
        <w:rPr>
          <w:rStyle w:val="Odwoanieprzypisudolnego"/>
          <w:rFonts w:cs="Times New Roman"/>
          <w:szCs w:val="24"/>
        </w:rPr>
        <w:footnoteReference w:id="3"/>
      </w:r>
      <w:r w:rsidR="00BE60EB" w:rsidRPr="00B35ECF">
        <w:rPr>
          <w:rFonts w:cs="Times New Roman"/>
          <w:szCs w:val="24"/>
          <w:vertAlign w:val="superscript"/>
        </w:rPr>
        <w:t>)</w:t>
      </w:r>
      <w:r w:rsidR="00BE60EB" w:rsidRPr="00B35ECF">
        <w:rPr>
          <w:rFonts w:cs="Times New Roman"/>
          <w:szCs w:val="24"/>
        </w:rPr>
        <w:t>, zwanej dalej „dyrektywą 2008/98/WE”</w:t>
      </w:r>
      <w:r w:rsidR="00805C5D" w:rsidRPr="00B35ECF">
        <w:rPr>
          <w:rFonts w:cs="Times New Roman"/>
          <w:szCs w:val="24"/>
        </w:rPr>
        <w:t>, który został dodany dyrektywą Parlamentu Europejskiego i Rady (UE) 2018/851 z dnia 30 maja 2018 r. zmieniając</w:t>
      </w:r>
      <w:r w:rsidR="00772BEC" w:rsidRPr="00B35ECF">
        <w:rPr>
          <w:rFonts w:cs="Times New Roman"/>
          <w:szCs w:val="24"/>
        </w:rPr>
        <w:t>ą</w:t>
      </w:r>
      <w:r w:rsidR="00805C5D" w:rsidRPr="00B35ECF">
        <w:rPr>
          <w:rFonts w:cs="Times New Roman"/>
          <w:szCs w:val="24"/>
        </w:rPr>
        <w:t xml:space="preserve"> dyrektywę 2008/98/WE w sprawie odpadów</w:t>
      </w:r>
      <w:r w:rsidR="00A6597A" w:rsidRPr="00B35ECF">
        <w:rPr>
          <w:rFonts w:cs="Times New Roman"/>
          <w:szCs w:val="24"/>
        </w:rPr>
        <w:t xml:space="preserve"> (Tekst mający znaczenie dla EOG)</w:t>
      </w:r>
      <w:r w:rsidR="005E0F58" w:rsidRPr="00B35ECF">
        <w:rPr>
          <w:rStyle w:val="Odwoanieprzypisudolnego"/>
          <w:rFonts w:cs="Times New Roman"/>
          <w:szCs w:val="24"/>
        </w:rPr>
        <w:footnoteReference w:id="4"/>
      </w:r>
      <w:r w:rsidR="00C72E04" w:rsidRPr="00B35ECF">
        <w:rPr>
          <w:rFonts w:cs="Times New Roman"/>
          <w:szCs w:val="24"/>
          <w:vertAlign w:val="superscript"/>
        </w:rPr>
        <w:t>)</w:t>
      </w:r>
      <w:r w:rsidR="00CA53A7" w:rsidRPr="00B35ECF">
        <w:rPr>
          <w:rFonts w:cs="Times New Roman"/>
          <w:szCs w:val="24"/>
        </w:rPr>
        <w:t>, zwaną dalej „dyrektywą 2018/851”</w:t>
      </w:r>
      <w:r w:rsidRPr="00B35ECF">
        <w:rPr>
          <w:rFonts w:cs="Times New Roman"/>
          <w:szCs w:val="24"/>
        </w:rPr>
        <w:t>. Komisja wskazała, że</w:t>
      </w:r>
      <w:r w:rsidR="00085B02" w:rsidRPr="00B35ECF">
        <w:rPr>
          <w:rFonts w:cs="Times New Roman"/>
          <w:szCs w:val="24"/>
        </w:rPr>
        <w:t> </w:t>
      </w:r>
      <w:r w:rsidRPr="00B35ECF">
        <w:rPr>
          <w:rFonts w:cs="Times New Roman"/>
          <w:szCs w:val="24"/>
        </w:rPr>
        <w:t>transpozycja do polskiego porządku prawnego jest nieprawidłowa ze względu na brak instytucji upoważnionego przedstawiciela w ustawach z zakresu gospodarki odpadami.</w:t>
      </w:r>
    </w:p>
    <w:p w14:paraId="50DBFC1C" w14:textId="4D37682D" w:rsidR="004E3550" w:rsidRPr="00B35ECF" w:rsidRDefault="006C0976" w:rsidP="00C82893">
      <w:pPr>
        <w:spacing w:before="120"/>
        <w:jc w:val="both"/>
        <w:rPr>
          <w:rFonts w:cs="Times New Roman"/>
          <w:szCs w:val="24"/>
        </w:rPr>
      </w:pPr>
      <w:r w:rsidRPr="00B35ECF">
        <w:rPr>
          <w:rFonts w:cs="Times New Roman"/>
          <w:szCs w:val="24"/>
        </w:rPr>
        <w:t xml:space="preserve">Projekt przewiduje zmiany w </w:t>
      </w:r>
      <w:r w:rsidR="009B33F5" w:rsidRPr="00B35ECF">
        <w:rPr>
          <w:rFonts w:cs="Times New Roman"/>
          <w:szCs w:val="24"/>
        </w:rPr>
        <w:t xml:space="preserve">ustawie </w:t>
      </w:r>
      <w:r w:rsidR="004F6142" w:rsidRPr="00B35ECF">
        <w:rPr>
          <w:rFonts w:cs="Times New Roman"/>
          <w:szCs w:val="24"/>
        </w:rPr>
        <w:t>z dnia 11 września 2015 r. o zużytym sprzęcie elektrycznym i elektronicznym</w:t>
      </w:r>
      <w:r w:rsidR="004F6142" w:rsidRPr="00B35ECF">
        <w:rPr>
          <w:rStyle w:val="Odwoanieprzypisudolnego"/>
          <w:rFonts w:cs="Times New Roman"/>
          <w:szCs w:val="24"/>
        </w:rPr>
        <w:footnoteReference w:id="5"/>
      </w:r>
      <w:r w:rsidR="00321CFE" w:rsidRPr="00B35ECF">
        <w:rPr>
          <w:rFonts w:cs="Times New Roman"/>
          <w:szCs w:val="24"/>
          <w:vertAlign w:val="superscript"/>
        </w:rPr>
        <w:t>)</w:t>
      </w:r>
      <w:r w:rsidR="00581624" w:rsidRPr="00B35ECF">
        <w:rPr>
          <w:rFonts w:cs="Times New Roman"/>
          <w:szCs w:val="24"/>
        </w:rPr>
        <w:t xml:space="preserve">, zwanej dalej </w:t>
      </w:r>
      <w:r w:rsidR="00B35ECF">
        <w:rPr>
          <w:rFonts w:cs="Times New Roman"/>
          <w:szCs w:val="24"/>
        </w:rPr>
        <w:t>„</w:t>
      </w:r>
      <w:r w:rsidR="00581624" w:rsidRPr="00B35ECF">
        <w:rPr>
          <w:rFonts w:cs="Times New Roman"/>
          <w:szCs w:val="24"/>
        </w:rPr>
        <w:t>ustawą o zużytym sprzęcie elektrycznym i</w:t>
      </w:r>
      <w:r w:rsidR="00085B02" w:rsidRPr="00B35ECF">
        <w:rPr>
          <w:rFonts w:cs="Times New Roman"/>
          <w:szCs w:val="24"/>
        </w:rPr>
        <w:t> </w:t>
      </w:r>
      <w:r w:rsidR="00581624" w:rsidRPr="00B35ECF">
        <w:rPr>
          <w:rFonts w:cs="Times New Roman"/>
          <w:szCs w:val="24"/>
        </w:rPr>
        <w:t>elektronicznym”</w:t>
      </w:r>
      <w:r w:rsidR="004F6142" w:rsidRPr="00B35ECF">
        <w:rPr>
          <w:rFonts w:cs="Times New Roman"/>
          <w:szCs w:val="24"/>
        </w:rPr>
        <w:t>,</w:t>
      </w:r>
      <w:r w:rsidR="004F6142" w:rsidRPr="00C82893">
        <w:rPr>
          <w:rFonts w:cs="Times New Roman"/>
          <w:szCs w:val="24"/>
        </w:rPr>
        <w:t xml:space="preserve"> </w:t>
      </w:r>
      <w:r w:rsidR="0030047D" w:rsidRPr="00B35ECF">
        <w:rPr>
          <w:rFonts w:cs="Times New Roman"/>
          <w:szCs w:val="24"/>
        </w:rPr>
        <w:t xml:space="preserve">ustawie </w:t>
      </w:r>
      <w:r w:rsidR="00DC32EB" w:rsidRPr="00B35ECF">
        <w:rPr>
          <w:rFonts w:cs="Times New Roman"/>
          <w:szCs w:val="24"/>
        </w:rPr>
        <w:t>z dnia 20 stycznia 2005 r. o recyklingu pojazdów wycofanych z</w:t>
      </w:r>
      <w:r w:rsidR="00085B02" w:rsidRPr="00B35ECF">
        <w:rPr>
          <w:rFonts w:cs="Times New Roman"/>
          <w:szCs w:val="24"/>
        </w:rPr>
        <w:t> </w:t>
      </w:r>
      <w:r w:rsidR="00DC32EB" w:rsidRPr="00B35ECF">
        <w:rPr>
          <w:rFonts w:cs="Times New Roman"/>
          <w:szCs w:val="24"/>
        </w:rPr>
        <w:t>eksploatacji</w:t>
      </w:r>
      <w:r w:rsidR="00DC32EB" w:rsidRPr="00B35ECF">
        <w:rPr>
          <w:rStyle w:val="Odwoanieprzypisudolnego"/>
          <w:rFonts w:cs="Times New Roman"/>
          <w:szCs w:val="24"/>
        </w:rPr>
        <w:footnoteReference w:id="6"/>
      </w:r>
      <w:r w:rsidR="00321CFE" w:rsidRPr="00B35ECF">
        <w:rPr>
          <w:rFonts w:cs="Times New Roman"/>
          <w:szCs w:val="24"/>
          <w:vertAlign w:val="superscript"/>
        </w:rPr>
        <w:t>)</w:t>
      </w:r>
      <w:r w:rsidR="00581624" w:rsidRPr="00B35ECF">
        <w:rPr>
          <w:rFonts w:cs="Times New Roman"/>
          <w:szCs w:val="24"/>
        </w:rPr>
        <w:t>, zwanej dalej „ustaw</w:t>
      </w:r>
      <w:r w:rsidR="001B21F9">
        <w:rPr>
          <w:rFonts w:cs="Times New Roman"/>
          <w:szCs w:val="24"/>
        </w:rPr>
        <w:t>ą</w:t>
      </w:r>
      <w:r w:rsidR="00581624" w:rsidRPr="00B35ECF">
        <w:rPr>
          <w:rFonts w:cs="Times New Roman"/>
          <w:szCs w:val="24"/>
        </w:rPr>
        <w:t xml:space="preserve"> o recyklingu pojazdów wycofanych z eksploatacji”</w:t>
      </w:r>
      <w:r w:rsidR="00DC32EB" w:rsidRPr="00B35ECF">
        <w:rPr>
          <w:rFonts w:cs="Times New Roman"/>
          <w:szCs w:val="24"/>
        </w:rPr>
        <w:t xml:space="preserve"> </w:t>
      </w:r>
      <w:r w:rsidR="0030047D" w:rsidRPr="00B35ECF">
        <w:rPr>
          <w:rFonts w:cs="Times New Roman"/>
          <w:szCs w:val="24"/>
        </w:rPr>
        <w:t xml:space="preserve">ustawie </w:t>
      </w:r>
      <w:r w:rsidR="002D2F9A" w:rsidRPr="00B35ECF">
        <w:rPr>
          <w:rFonts w:cs="Times New Roman"/>
          <w:szCs w:val="24"/>
        </w:rPr>
        <w:t>z dnia 24 kwietnia 2009 r. o bateriach i akumulatorach</w:t>
      </w:r>
      <w:r w:rsidR="002D2F9A" w:rsidRPr="00B35ECF">
        <w:rPr>
          <w:rStyle w:val="Odwoanieprzypisudolnego"/>
          <w:rFonts w:cs="Times New Roman"/>
          <w:szCs w:val="24"/>
        </w:rPr>
        <w:footnoteReference w:id="7"/>
      </w:r>
      <w:r w:rsidR="002D2F9A" w:rsidRPr="00B35ECF">
        <w:rPr>
          <w:rFonts w:cs="Times New Roman"/>
          <w:szCs w:val="24"/>
          <w:vertAlign w:val="superscript"/>
        </w:rPr>
        <w:t>)</w:t>
      </w:r>
      <w:r w:rsidR="00581624" w:rsidRPr="00B35ECF">
        <w:rPr>
          <w:rFonts w:cs="Times New Roman"/>
          <w:szCs w:val="24"/>
        </w:rPr>
        <w:t>, zwanej dalej „ustawą o</w:t>
      </w:r>
      <w:r w:rsidR="00085B02" w:rsidRPr="00B35ECF">
        <w:rPr>
          <w:rFonts w:cs="Times New Roman"/>
          <w:szCs w:val="24"/>
        </w:rPr>
        <w:t> </w:t>
      </w:r>
      <w:r w:rsidR="00581624" w:rsidRPr="00B35ECF">
        <w:rPr>
          <w:rFonts w:cs="Times New Roman"/>
          <w:szCs w:val="24"/>
        </w:rPr>
        <w:t xml:space="preserve">bateriach i akumulatorach”, </w:t>
      </w:r>
      <w:r w:rsidR="00081C00" w:rsidRPr="00B35ECF">
        <w:rPr>
          <w:rFonts w:cs="Times New Roman"/>
          <w:szCs w:val="24"/>
        </w:rPr>
        <w:t xml:space="preserve">ustawie </w:t>
      </w:r>
      <w:r w:rsidR="00DC32EB" w:rsidRPr="00B35ECF">
        <w:rPr>
          <w:rFonts w:cs="Times New Roman"/>
          <w:szCs w:val="24"/>
        </w:rPr>
        <w:t>z dnia 14 grudnia 2012 r. o odpadach</w:t>
      </w:r>
      <w:r w:rsidR="00DC32EB" w:rsidRPr="00B35ECF">
        <w:rPr>
          <w:rStyle w:val="Odwoanieprzypisudolnego"/>
          <w:rFonts w:cs="Times New Roman"/>
          <w:szCs w:val="24"/>
        </w:rPr>
        <w:footnoteReference w:id="8"/>
      </w:r>
      <w:r w:rsidR="00321CFE" w:rsidRPr="00B35ECF">
        <w:rPr>
          <w:rFonts w:cs="Times New Roman"/>
          <w:szCs w:val="24"/>
          <w:vertAlign w:val="superscript"/>
        </w:rPr>
        <w:t>)</w:t>
      </w:r>
      <w:r w:rsidR="00581624" w:rsidRPr="00B35ECF">
        <w:rPr>
          <w:rFonts w:cs="Times New Roman"/>
          <w:szCs w:val="24"/>
        </w:rPr>
        <w:t xml:space="preserve">, zwanej dalej </w:t>
      </w:r>
      <w:r w:rsidR="00581624" w:rsidRPr="00B35ECF">
        <w:rPr>
          <w:rFonts w:cs="Times New Roman"/>
          <w:szCs w:val="24"/>
        </w:rPr>
        <w:lastRenderedPageBreak/>
        <w:t xml:space="preserve">„ustawą o odpadach”, </w:t>
      </w:r>
      <w:r w:rsidR="0030047D" w:rsidRPr="00B35ECF">
        <w:rPr>
          <w:rFonts w:cs="Times New Roman"/>
          <w:szCs w:val="24"/>
        </w:rPr>
        <w:t>oraz ustawie</w:t>
      </w:r>
      <w:r w:rsidR="00DC32EB" w:rsidRPr="00B35ECF">
        <w:rPr>
          <w:rFonts w:cs="Times New Roman"/>
          <w:szCs w:val="24"/>
        </w:rPr>
        <w:t xml:space="preserve"> </w:t>
      </w:r>
      <w:r w:rsidR="00F0371D" w:rsidRPr="00B35ECF">
        <w:rPr>
          <w:rFonts w:cs="Times New Roman"/>
          <w:szCs w:val="24"/>
        </w:rPr>
        <w:t>z dnia 13 czerwca 2013 r. o</w:t>
      </w:r>
      <w:r w:rsidR="00427E48" w:rsidRPr="00B35ECF">
        <w:rPr>
          <w:rFonts w:cs="Times New Roman"/>
          <w:szCs w:val="24"/>
        </w:rPr>
        <w:t> </w:t>
      </w:r>
      <w:r w:rsidR="00F0371D" w:rsidRPr="00B35ECF">
        <w:rPr>
          <w:rFonts w:cs="Times New Roman"/>
          <w:szCs w:val="24"/>
        </w:rPr>
        <w:t>gospodarce opakowaniami</w:t>
      </w:r>
      <w:r w:rsidR="00DC32EB" w:rsidRPr="00B35ECF">
        <w:rPr>
          <w:rFonts w:cs="Times New Roman"/>
          <w:szCs w:val="24"/>
        </w:rPr>
        <w:t xml:space="preserve"> </w:t>
      </w:r>
      <w:r w:rsidR="00F0371D" w:rsidRPr="00B35ECF">
        <w:rPr>
          <w:rFonts w:cs="Times New Roman"/>
          <w:szCs w:val="24"/>
        </w:rPr>
        <w:t>i</w:t>
      </w:r>
      <w:r w:rsidR="00085B02" w:rsidRPr="00B35ECF">
        <w:rPr>
          <w:rFonts w:cs="Times New Roman"/>
          <w:szCs w:val="24"/>
        </w:rPr>
        <w:t> </w:t>
      </w:r>
      <w:r w:rsidR="00F0371D" w:rsidRPr="00B35ECF">
        <w:rPr>
          <w:rFonts w:cs="Times New Roman"/>
          <w:szCs w:val="24"/>
        </w:rPr>
        <w:t>odpadami opakowaniowymi</w:t>
      </w:r>
      <w:r w:rsidR="00BB3C03" w:rsidRPr="00B35ECF">
        <w:rPr>
          <w:rStyle w:val="Odwoanieprzypisudolnego"/>
          <w:rFonts w:cs="Times New Roman"/>
          <w:szCs w:val="24"/>
        </w:rPr>
        <w:footnoteReference w:id="9"/>
      </w:r>
      <w:r w:rsidR="00321CFE" w:rsidRPr="00B35ECF">
        <w:rPr>
          <w:rFonts w:cs="Times New Roman"/>
          <w:szCs w:val="24"/>
          <w:vertAlign w:val="superscript"/>
        </w:rPr>
        <w:t>)</w:t>
      </w:r>
      <w:r w:rsidR="00DB109F" w:rsidRPr="00B35ECF">
        <w:rPr>
          <w:rFonts w:cs="Times New Roman"/>
          <w:szCs w:val="24"/>
        </w:rPr>
        <w:t>, zwanej dalej „ustawą o</w:t>
      </w:r>
      <w:r w:rsidRPr="00B35ECF">
        <w:rPr>
          <w:rFonts w:cs="Times New Roman"/>
          <w:szCs w:val="24"/>
        </w:rPr>
        <w:t xml:space="preserve"> </w:t>
      </w:r>
      <w:r w:rsidR="00DB109F" w:rsidRPr="00B35ECF">
        <w:rPr>
          <w:rFonts w:cs="Times New Roman"/>
          <w:szCs w:val="24"/>
        </w:rPr>
        <w:t>gospodarce opakowaniami i odpadami opakowaniowymi”.</w:t>
      </w:r>
    </w:p>
    <w:p w14:paraId="4D6B627B" w14:textId="51AE09B9" w:rsidR="00304DFD" w:rsidRPr="00B35ECF" w:rsidRDefault="00304DFD" w:rsidP="00C82893">
      <w:pPr>
        <w:spacing w:before="120"/>
        <w:jc w:val="both"/>
        <w:rPr>
          <w:rFonts w:cs="Times New Roman"/>
          <w:b/>
          <w:bCs/>
          <w:szCs w:val="24"/>
        </w:rPr>
      </w:pPr>
      <w:r w:rsidRPr="00B35ECF">
        <w:rPr>
          <w:rFonts w:cs="Times New Roman"/>
          <w:b/>
          <w:bCs/>
          <w:szCs w:val="24"/>
        </w:rPr>
        <w:t xml:space="preserve">Zmiany w ustawie o zużytym sprzęcie elektrycznym i elektronicznym </w:t>
      </w:r>
    </w:p>
    <w:p w14:paraId="2BADFA20" w14:textId="43192DE6" w:rsidR="00304DFD" w:rsidRPr="00B35ECF" w:rsidRDefault="00304DFD" w:rsidP="00C82893">
      <w:pPr>
        <w:spacing w:before="120"/>
        <w:jc w:val="both"/>
        <w:rPr>
          <w:rFonts w:cs="Times New Roman"/>
          <w:szCs w:val="24"/>
        </w:rPr>
      </w:pPr>
      <w:r w:rsidRPr="00B35ECF">
        <w:rPr>
          <w:rFonts w:cs="Times New Roman"/>
          <w:szCs w:val="24"/>
        </w:rPr>
        <w:t xml:space="preserve">Projektowane zmiany stanowią transpozycję do polskiego porządku prawnego przepisów dyrektywy 2024/884. </w:t>
      </w:r>
      <w:r w:rsidR="004E7D70" w:rsidRPr="00B35ECF">
        <w:rPr>
          <w:rFonts w:cs="Times New Roman"/>
          <w:szCs w:val="24"/>
        </w:rPr>
        <w:t>TSUE w</w:t>
      </w:r>
      <w:r w:rsidRPr="00B35ECF">
        <w:rPr>
          <w:rFonts w:cs="Times New Roman"/>
          <w:szCs w:val="24"/>
        </w:rPr>
        <w:t>yrokiem z dnia 25 stycznia 2022 r. w sprawie C-181/20</w:t>
      </w:r>
      <w:r w:rsidR="004E7D70" w:rsidRPr="00B35ECF">
        <w:rPr>
          <w:rFonts w:cs="Times New Roman"/>
          <w:szCs w:val="24"/>
        </w:rPr>
        <w:t xml:space="preserve">, zwanym dalej „wyrokiem TSUE”, </w:t>
      </w:r>
      <w:r w:rsidRPr="00B35ECF">
        <w:rPr>
          <w:rFonts w:cs="Times New Roman"/>
          <w:szCs w:val="24"/>
        </w:rPr>
        <w:t>stwierdził nieważność art. 13 ust. 1 dyrektywy 2012/19/UE. Rozważania TSUE dotyczyły nałożonego przez Republikę Czeską na operatorów elektrowni słonecznych obowiązku uiszczenia opłaty recyklingowej w celu realizacji obowiązku finansowania kosztów gospodarowania odpadami pochodzącymi z paneli fotowoltaicznych wprowadzonych do obrotu nie później niż w dniu 1 stycznia 2013 r. Jeden z operatorów zakwestionował zgodność tego mechanizmu z wymogami dyrektywy 2012/19</w:t>
      </w:r>
      <w:r w:rsidR="00060204" w:rsidRPr="00B35ECF">
        <w:rPr>
          <w:rFonts w:cs="Times New Roman"/>
          <w:szCs w:val="24"/>
        </w:rPr>
        <w:t>/UE</w:t>
      </w:r>
      <w:r w:rsidRPr="00B35ECF">
        <w:rPr>
          <w:rFonts w:cs="Times New Roman"/>
          <w:szCs w:val="24"/>
        </w:rPr>
        <w:t>, nakazującej finansowanie przedmiotowych kosztów przez producentów w odniesieniu do paneli wprowadzonych do obrotu po dniu 13 sierpnia 2005 r.</w:t>
      </w:r>
    </w:p>
    <w:p w14:paraId="5236A1A5" w14:textId="2864DEB3" w:rsidR="00304DFD" w:rsidRPr="00B35ECF" w:rsidRDefault="00304DFD" w:rsidP="00C82893">
      <w:pPr>
        <w:spacing w:before="120"/>
        <w:jc w:val="both"/>
        <w:rPr>
          <w:rFonts w:cs="Times New Roman"/>
          <w:szCs w:val="24"/>
        </w:rPr>
      </w:pPr>
      <w:r w:rsidRPr="00B35ECF">
        <w:rPr>
          <w:rFonts w:cs="Times New Roman"/>
          <w:szCs w:val="24"/>
        </w:rPr>
        <w:t>TSUE potwierdził zaistnienie powyższej niezgodności. Wskazał jednak, że sam przywoływany przepis dyrektywy jest dotknięty wadą nieważności, bowiem panele fotowoltaiczne zostały objęte zakresem dyrektywy dopiero z dniem 13 sierpnia 2012 r. Zgodnie z wywodem TSUE „</w:t>
      </w:r>
      <w:r w:rsidR="0056255C" w:rsidRPr="00B35ECF">
        <w:rPr>
          <w:rFonts w:cs="Times New Roman"/>
          <w:szCs w:val="24"/>
        </w:rPr>
        <w:t>w </w:t>
      </w:r>
      <w:r w:rsidRPr="00B35ECF">
        <w:rPr>
          <w:rFonts w:cs="Times New Roman"/>
          <w:szCs w:val="24"/>
        </w:rPr>
        <w:t>sytuacji gdy prawodawca Unii pozostawia najpierw państwom członkowskim możliwość określenia zasad podziału kosztów gospodarowania odpadami pochodzącymi z określonych produktów, a następnie postanawia ustanowić normę, zgodnie z</w:t>
      </w:r>
      <w:r w:rsidR="003D0254" w:rsidRPr="00B35ECF">
        <w:rPr>
          <w:rFonts w:cs="Times New Roman"/>
          <w:szCs w:val="24"/>
        </w:rPr>
        <w:t xml:space="preserve"> </w:t>
      </w:r>
      <w:r w:rsidRPr="00B35ECF">
        <w:rPr>
          <w:rFonts w:cs="Times New Roman"/>
          <w:szCs w:val="24"/>
        </w:rPr>
        <w:t>któr</w:t>
      </w:r>
      <w:r w:rsidR="003D0254" w:rsidRPr="00B35ECF">
        <w:rPr>
          <w:rFonts w:cs="Times New Roman"/>
          <w:szCs w:val="24"/>
        </w:rPr>
        <w:t>ą</w:t>
      </w:r>
      <w:r w:rsidRPr="00B35ECF">
        <w:rPr>
          <w:rFonts w:cs="Times New Roman"/>
          <w:szCs w:val="24"/>
        </w:rPr>
        <w:t xml:space="preserve"> we wszystkich państwach członkowskich koszty te powinny być ponoszone przez producentów, w tym w</w:t>
      </w:r>
      <w:r w:rsidR="00B0412D" w:rsidRPr="00B35ECF">
        <w:rPr>
          <w:rFonts w:cs="Times New Roman"/>
          <w:szCs w:val="24"/>
        </w:rPr>
        <w:t> </w:t>
      </w:r>
      <w:r w:rsidRPr="00B35ECF">
        <w:rPr>
          <w:rFonts w:cs="Times New Roman"/>
          <w:szCs w:val="24"/>
        </w:rPr>
        <w:t>odniesieniu do produktów, które wprowadzili oni już do obrotu w czasie obowiązywania tych wcześniejszych przepisów Unii Europejskiej, należy uznać, że norma ta jest stosowana z mocą wsteczną w</w:t>
      </w:r>
      <w:r w:rsidR="00427E48" w:rsidRPr="00B35ECF">
        <w:rPr>
          <w:rFonts w:cs="Times New Roman"/>
          <w:szCs w:val="24"/>
        </w:rPr>
        <w:t> </w:t>
      </w:r>
      <w:r w:rsidRPr="00B35ECF">
        <w:rPr>
          <w:rFonts w:cs="Times New Roman"/>
          <w:szCs w:val="24"/>
        </w:rPr>
        <w:t>rozumieniu orzecznictwa przywołanego w pkt 47 niniejszego wyroku, wobec czego może ona naruszać zasadę pewności prawa”. Na etapie projektowania paneli fotowoltaicznych ich producenci nie byli bowiem w stanie przewidzieć, że zostaną później zobowiązani do zapewnienia finansowania kosztów gospodarowania odpadami pochodzącymi z tych paneli.</w:t>
      </w:r>
    </w:p>
    <w:p w14:paraId="14E40817" w14:textId="1DE58775" w:rsidR="00304DFD" w:rsidRPr="00B35ECF" w:rsidRDefault="00304DFD" w:rsidP="00C82893">
      <w:pPr>
        <w:spacing w:before="120"/>
        <w:jc w:val="both"/>
        <w:rPr>
          <w:rFonts w:cs="Times New Roman"/>
          <w:szCs w:val="24"/>
        </w:rPr>
      </w:pPr>
      <w:r w:rsidRPr="00B35ECF">
        <w:rPr>
          <w:rFonts w:cs="Times New Roman"/>
          <w:szCs w:val="24"/>
        </w:rPr>
        <w:t>Dyrektywa 2024/884 dokonuje całościowej rewizji dyrektywy 2012/19</w:t>
      </w:r>
      <w:r w:rsidR="00060204" w:rsidRPr="00B35ECF">
        <w:rPr>
          <w:rFonts w:cs="Times New Roman"/>
          <w:szCs w:val="24"/>
        </w:rPr>
        <w:t>/UE</w:t>
      </w:r>
      <w:r w:rsidRPr="00B35ECF">
        <w:rPr>
          <w:rFonts w:cs="Times New Roman"/>
          <w:szCs w:val="24"/>
        </w:rPr>
        <w:t xml:space="preserve"> pod kątem zakresu stosowania jej przepisów w celu usunięcia dostrzeżonego przez TSUE naruszenia zasady pewności prawa. Dotychczasowy podział na sprzęt wprowadzony do obrotu do </w:t>
      </w:r>
      <w:r w:rsidR="00187F5A" w:rsidRPr="00B35ECF">
        <w:rPr>
          <w:rFonts w:cs="Times New Roman"/>
          <w:szCs w:val="24"/>
        </w:rPr>
        <w:t xml:space="preserve">dnia </w:t>
      </w:r>
      <w:r w:rsidRPr="00B35ECF">
        <w:rPr>
          <w:rFonts w:cs="Times New Roman"/>
          <w:szCs w:val="24"/>
        </w:rPr>
        <w:t xml:space="preserve">13 sierpnia </w:t>
      </w:r>
      <w:r w:rsidR="0056255C" w:rsidRPr="00B35ECF">
        <w:rPr>
          <w:rFonts w:cs="Times New Roman"/>
          <w:szCs w:val="24"/>
        </w:rPr>
        <w:t>2005 </w:t>
      </w:r>
      <w:r w:rsidRPr="00B35ECF">
        <w:rPr>
          <w:rFonts w:cs="Times New Roman"/>
          <w:szCs w:val="24"/>
        </w:rPr>
        <w:t xml:space="preserve">r. i po tym dniu został zastąpiony nowym podziałem na sprzęt: objęty zamkniętym </w:t>
      </w:r>
      <w:r w:rsidRPr="00B35ECF">
        <w:rPr>
          <w:rFonts w:cs="Times New Roman"/>
          <w:szCs w:val="24"/>
        </w:rPr>
        <w:lastRenderedPageBreak/>
        <w:t>katalogiem określonym w załączniku I do dyrektywy 2012/19</w:t>
      </w:r>
      <w:r w:rsidR="00060204" w:rsidRPr="00B35ECF">
        <w:rPr>
          <w:rFonts w:cs="Times New Roman"/>
          <w:szCs w:val="24"/>
        </w:rPr>
        <w:t>/UE</w:t>
      </w:r>
      <w:r w:rsidRPr="00B35ECF">
        <w:rPr>
          <w:rFonts w:cs="Times New Roman"/>
          <w:szCs w:val="24"/>
        </w:rPr>
        <w:t xml:space="preserve"> i wprowadzony do obrotu po dniu 13 sierpnia 2005 r., stanowiący panele fotowoltaiczne i wprowadzony do obrotu od dnia 13 sierpnia 2012 r., inny niż objęty zamkniętym katalogiem określonym w załączniku I do dyrektywy 2012/19</w:t>
      </w:r>
      <w:r w:rsidR="00060204" w:rsidRPr="00B35ECF">
        <w:rPr>
          <w:rFonts w:cs="Times New Roman"/>
          <w:szCs w:val="24"/>
        </w:rPr>
        <w:t>/UE</w:t>
      </w:r>
      <w:r w:rsidRPr="00B35ECF">
        <w:rPr>
          <w:rFonts w:cs="Times New Roman"/>
          <w:szCs w:val="24"/>
        </w:rPr>
        <w:t xml:space="preserve"> i wprowadzony do obrotu od dnia 15 sierpnia 2018 r.</w:t>
      </w:r>
      <w:r w:rsidR="003A285F" w:rsidRPr="00B35ECF">
        <w:rPr>
          <w:rFonts w:cs="Times New Roman"/>
          <w:szCs w:val="24"/>
        </w:rPr>
        <w:t xml:space="preserve"> oraz</w:t>
      </w:r>
      <w:r w:rsidRPr="00B35ECF">
        <w:rPr>
          <w:rFonts w:cs="Times New Roman"/>
          <w:szCs w:val="24"/>
        </w:rPr>
        <w:t xml:space="preserve"> sprzęt wprowadzony do obrotu przed tymi datami (dalej „sprzęt dawny”). </w:t>
      </w:r>
    </w:p>
    <w:p w14:paraId="7E551E25" w14:textId="1053467A" w:rsidR="008F44C2" w:rsidRPr="00B35ECF" w:rsidRDefault="000373BB" w:rsidP="00C82893">
      <w:pPr>
        <w:spacing w:before="120"/>
        <w:jc w:val="both"/>
        <w:rPr>
          <w:rFonts w:cs="Times New Roman"/>
          <w:szCs w:val="24"/>
        </w:rPr>
      </w:pPr>
      <w:r w:rsidRPr="00B35ECF">
        <w:rPr>
          <w:rFonts w:cs="Times New Roman"/>
          <w:szCs w:val="24"/>
        </w:rPr>
        <w:t xml:space="preserve">Podkreślenia wymaga, że zmiany wprowadzone </w:t>
      </w:r>
      <w:r w:rsidR="008F44C2" w:rsidRPr="00B35ECF">
        <w:rPr>
          <w:rFonts w:cs="Times New Roman"/>
          <w:szCs w:val="24"/>
        </w:rPr>
        <w:t>dyrektyw</w:t>
      </w:r>
      <w:r w:rsidRPr="00B35ECF">
        <w:rPr>
          <w:rFonts w:cs="Times New Roman"/>
          <w:szCs w:val="24"/>
        </w:rPr>
        <w:t>ą 2024/884</w:t>
      </w:r>
      <w:r w:rsidR="008F44C2" w:rsidRPr="00B35ECF">
        <w:rPr>
          <w:rFonts w:cs="Times New Roman"/>
          <w:szCs w:val="24"/>
        </w:rPr>
        <w:t xml:space="preserve"> stanow</w:t>
      </w:r>
      <w:r w:rsidR="0003606B" w:rsidRPr="00B35ECF">
        <w:rPr>
          <w:rFonts w:cs="Times New Roman"/>
          <w:szCs w:val="24"/>
        </w:rPr>
        <w:t>i</w:t>
      </w:r>
      <w:r w:rsidRPr="00B35ECF">
        <w:rPr>
          <w:rFonts w:cs="Times New Roman"/>
          <w:szCs w:val="24"/>
        </w:rPr>
        <w:t>ą</w:t>
      </w:r>
      <w:r w:rsidR="008F44C2" w:rsidRPr="00B35ECF">
        <w:rPr>
          <w:rFonts w:cs="Times New Roman"/>
          <w:szCs w:val="24"/>
        </w:rPr>
        <w:t xml:space="preserve"> reakcję na orzecznictwo TSUE, w którym zakwestionowano retroaktywne obciążanie producentów kosztami zagospodarowania odpadów w odniesieniu do produktów wprowadzonych do obrotu w okresie, gdy obowiązki te nie były jednoznacznie przewidziane. Wskazanie w ustawie krajowej daty wprost odpowiadającej dacie z dyrektywy – bez uwzględnienia specyfiki krajowego porządku prawnego – mogłoby budzić wątpliwości co do pełnej realizacji celu wyroku TSUE, którym było wyeliminowanie skutków retroaktywnych.</w:t>
      </w:r>
    </w:p>
    <w:p w14:paraId="1AAFA201" w14:textId="2AFF29F2" w:rsidR="008F44C2" w:rsidRPr="00B35ECF" w:rsidRDefault="008F44C2" w:rsidP="00C82893">
      <w:pPr>
        <w:spacing w:before="120"/>
        <w:jc w:val="both"/>
        <w:rPr>
          <w:rFonts w:cs="Times New Roman"/>
          <w:szCs w:val="24"/>
        </w:rPr>
      </w:pPr>
      <w:r w:rsidRPr="00B35ECF">
        <w:rPr>
          <w:rFonts w:cs="Times New Roman"/>
          <w:szCs w:val="24"/>
        </w:rPr>
        <w:t xml:space="preserve">Przyjęcie </w:t>
      </w:r>
      <w:r w:rsidR="00F33F9A" w:rsidRPr="00B35ECF">
        <w:rPr>
          <w:rFonts w:cs="Times New Roman"/>
          <w:szCs w:val="24"/>
        </w:rPr>
        <w:t xml:space="preserve">natomiast </w:t>
      </w:r>
      <w:r w:rsidRPr="00B35ECF">
        <w:rPr>
          <w:rFonts w:cs="Times New Roman"/>
          <w:szCs w:val="24"/>
        </w:rPr>
        <w:t xml:space="preserve">daty 13 </w:t>
      </w:r>
      <w:r w:rsidR="00102C0D" w:rsidRPr="00B35ECF">
        <w:rPr>
          <w:rFonts w:cs="Times New Roman"/>
          <w:szCs w:val="24"/>
        </w:rPr>
        <w:t>sierpnia</w:t>
      </w:r>
      <w:r w:rsidRPr="00B35ECF">
        <w:rPr>
          <w:rFonts w:cs="Times New Roman"/>
          <w:szCs w:val="24"/>
        </w:rPr>
        <w:t xml:space="preserve"> 2012 r. w ustawie krajowej mogłoby prowadzić do objęcia odpowiedzialnością finansową podmiotów, które w świetle krajowych regulacji nie miały w</w:t>
      </w:r>
      <w:r w:rsidR="002356C7" w:rsidRPr="00B35ECF">
        <w:rPr>
          <w:rFonts w:cs="Times New Roman"/>
          <w:szCs w:val="24"/>
        </w:rPr>
        <w:t> </w:t>
      </w:r>
      <w:r w:rsidRPr="00B35ECF">
        <w:rPr>
          <w:rFonts w:cs="Times New Roman"/>
          <w:szCs w:val="24"/>
        </w:rPr>
        <w:t xml:space="preserve">tym czasie dostatecznie skonkretyzowanego i przewidywalnego obowiązku ponoszenia kosztów gospodarowania odpadami </w:t>
      </w:r>
      <w:r w:rsidR="00102C0D" w:rsidRPr="00B35ECF">
        <w:rPr>
          <w:rFonts w:cs="Times New Roman"/>
          <w:szCs w:val="24"/>
        </w:rPr>
        <w:t xml:space="preserve">powstałymi </w:t>
      </w:r>
      <w:r w:rsidRPr="00B35ECF">
        <w:rPr>
          <w:rFonts w:cs="Times New Roman"/>
          <w:szCs w:val="24"/>
        </w:rPr>
        <w:t>z paneli fotowoltaicznych.</w:t>
      </w:r>
    </w:p>
    <w:p w14:paraId="5EE6B02A" w14:textId="77777777" w:rsidR="008F44C2" w:rsidRPr="00B35ECF" w:rsidRDefault="008F44C2" w:rsidP="00C82893">
      <w:pPr>
        <w:spacing w:before="120"/>
        <w:jc w:val="both"/>
        <w:rPr>
          <w:rFonts w:cs="Times New Roman"/>
          <w:szCs w:val="24"/>
        </w:rPr>
      </w:pPr>
      <w:r w:rsidRPr="00B35ECF">
        <w:rPr>
          <w:rFonts w:cs="Times New Roman"/>
          <w:szCs w:val="24"/>
        </w:rPr>
        <w:t>Takie rozwiązanie byłoby sprzeczne z konstytucyjną zasadą niedziałania prawa wstecz oraz zasadą ochrony zaufania obywatela do państwa i stanowionego przez nie prawa. Ustawodawca krajowy nie może wprowadzać regulacji, które w sposób pośredni lub bezpośredni skutkują retroaktywnym obciążeniem finansowym podmiotów prywatnych.</w:t>
      </w:r>
    </w:p>
    <w:p w14:paraId="657DDBD1" w14:textId="5A723555" w:rsidR="00A55FF2" w:rsidRPr="00B35ECF" w:rsidRDefault="008F44C2" w:rsidP="00C82893">
      <w:pPr>
        <w:spacing w:before="120"/>
        <w:jc w:val="both"/>
        <w:rPr>
          <w:rFonts w:cs="Times New Roman"/>
          <w:szCs w:val="24"/>
        </w:rPr>
      </w:pPr>
      <w:r w:rsidRPr="00B35ECF">
        <w:rPr>
          <w:rFonts w:cs="Times New Roman"/>
          <w:szCs w:val="24"/>
        </w:rPr>
        <w:t xml:space="preserve">Dyrektywa nie obowiązuje wprost w krajowym porządku prawnym, lecz wymaga implementacji. Państwo członkowskie jest zobowiązane do osiągnięcia celu dyrektywy, przy zachowaniu swobody co do formy i środków. W niniejszym przypadku celem dyrektywy </w:t>
      </w:r>
      <w:r w:rsidR="00CA53A7" w:rsidRPr="00B35ECF">
        <w:rPr>
          <w:rFonts w:cs="Times New Roman"/>
          <w:szCs w:val="24"/>
        </w:rPr>
        <w:t xml:space="preserve">2024/884 </w:t>
      </w:r>
      <w:r w:rsidRPr="00B35ECF">
        <w:rPr>
          <w:rFonts w:cs="Times New Roman"/>
          <w:szCs w:val="24"/>
        </w:rPr>
        <w:t xml:space="preserve">jest wyeliminowanie retroaktywności. Jeżeli literalne przeniesienie daty 13 </w:t>
      </w:r>
      <w:r w:rsidR="002356C7" w:rsidRPr="00B35ECF">
        <w:rPr>
          <w:rFonts w:cs="Times New Roman"/>
          <w:szCs w:val="24"/>
        </w:rPr>
        <w:t>sierpnia</w:t>
      </w:r>
      <w:r w:rsidRPr="00B35ECF">
        <w:rPr>
          <w:rFonts w:cs="Times New Roman"/>
          <w:szCs w:val="24"/>
        </w:rPr>
        <w:t xml:space="preserve"> 2012</w:t>
      </w:r>
      <w:r w:rsidR="00231281" w:rsidRPr="00B35ECF">
        <w:rPr>
          <w:rFonts w:cs="Times New Roman"/>
          <w:szCs w:val="24"/>
        </w:rPr>
        <w:t> </w:t>
      </w:r>
      <w:r w:rsidRPr="00B35ECF">
        <w:rPr>
          <w:rFonts w:cs="Times New Roman"/>
          <w:szCs w:val="24"/>
        </w:rPr>
        <w:t>r. prowadziłoby w realiach krajowych do skutku sprzecznego z tym celem (tj. do retroaktywnego obciążenia producentów), dat</w:t>
      </w:r>
      <w:r w:rsidR="004E7D70" w:rsidRPr="00B35ECF">
        <w:rPr>
          <w:rFonts w:cs="Times New Roman"/>
          <w:szCs w:val="24"/>
        </w:rPr>
        <w:t>a</w:t>
      </w:r>
      <w:r w:rsidRPr="00B35ECF">
        <w:rPr>
          <w:rFonts w:cs="Times New Roman"/>
          <w:szCs w:val="24"/>
        </w:rPr>
        <w:t xml:space="preserve"> t</w:t>
      </w:r>
      <w:r w:rsidR="004E7D70" w:rsidRPr="00B35ECF">
        <w:rPr>
          <w:rFonts w:cs="Times New Roman"/>
          <w:szCs w:val="24"/>
        </w:rPr>
        <w:t>a</w:t>
      </w:r>
      <w:r w:rsidRPr="00B35ECF">
        <w:rPr>
          <w:rFonts w:cs="Times New Roman"/>
          <w:szCs w:val="24"/>
        </w:rPr>
        <w:t xml:space="preserve"> wymaga modyfikacji na etapie implementacji.</w:t>
      </w:r>
      <w:r w:rsidR="00A55FF2" w:rsidRPr="00B35ECF">
        <w:rPr>
          <w:rFonts w:cs="Times New Roman"/>
          <w:szCs w:val="24"/>
        </w:rPr>
        <w:t xml:space="preserve"> Z tego względu implementacja dyrektywy </w:t>
      </w:r>
      <w:r w:rsidR="00CA53A7" w:rsidRPr="00B35ECF">
        <w:rPr>
          <w:rFonts w:cs="Times New Roman"/>
          <w:szCs w:val="24"/>
        </w:rPr>
        <w:t xml:space="preserve">2024/884 </w:t>
      </w:r>
      <w:r w:rsidR="00A55FF2" w:rsidRPr="00B35ECF">
        <w:rPr>
          <w:rFonts w:cs="Times New Roman"/>
          <w:szCs w:val="24"/>
        </w:rPr>
        <w:t xml:space="preserve">wymaga uwzględnienia nie tylko jej literalnego brzmienia, lecz także celu wynikającego z wyroku TSUE, jakim jest wyeliminowanie nieuzasadnionego skutku wstecznego. W krajowym porządku prawnym jest zatem </w:t>
      </w:r>
      <w:r w:rsidR="0091614D" w:rsidRPr="00B35ECF">
        <w:rPr>
          <w:rFonts w:cs="Times New Roman"/>
          <w:szCs w:val="24"/>
        </w:rPr>
        <w:t xml:space="preserve">konieczne </w:t>
      </w:r>
      <w:r w:rsidR="00A55FF2" w:rsidRPr="00B35ECF">
        <w:rPr>
          <w:rFonts w:cs="Times New Roman"/>
          <w:szCs w:val="24"/>
        </w:rPr>
        <w:t>takie określenie zakresu czasowego obowiązków, aby nie prowadził on do objęcia odpowiedzialnością podmiotów, które w chwili wprowadzania produktów do obrotu nie mogły racjonalnie przewidzieć powstania tych obowiązków.</w:t>
      </w:r>
    </w:p>
    <w:p w14:paraId="369F6938" w14:textId="0399E390" w:rsidR="008F44C2" w:rsidRPr="00B35ECF" w:rsidRDefault="008F44C2" w:rsidP="00C82893">
      <w:pPr>
        <w:spacing w:before="120"/>
        <w:jc w:val="both"/>
        <w:rPr>
          <w:rFonts w:cs="Times New Roman"/>
          <w:szCs w:val="24"/>
        </w:rPr>
      </w:pPr>
      <w:r w:rsidRPr="00B35ECF">
        <w:rPr>
          <w:rFonts w:cs="Times New Roman"/>
          <w:szCs w:val="24"/>
        </w:rPr>
        <w:lastRenderedPageBreak/>
        <w:t>Przyjęcie daty 1 stycznia 2016 r. odzwierciedla moment, od którego obowiązki producentów w</w:t>
      </w:r>
      <w:r w:rsidR="002356C7" w:rsidRPr="00B35ECF">
        <w:rPr>
          <w:rFonts w:cs="Times New Roman"/>
          <w:szCs w:val="24"/>
        </w:rPr>
        <w:t> </w:t>
      </w:r>
      <w:r w:rsidRPr="00B35ECF">
        <w:rPr>
          <w:rFonts w:cs="Times New Roman"/>
          <w:szCs w:val="24"/>
        </w:rPr>
        <w:t>zakresie paneli fotowoltaicznych były w krajowym systemie prawnym w sposób jednoznaczny określone i możliwe do przewidzenia.</w:t>
      </w:r>
    </w:p>
    <w:p w14:paraId="4ECAC884" w14:textId="13936C0F" w:rsidR="008F44C2" w:rsidRPr="00B35ECF" w:rsidRDefault="008F44C2" w:rsidP="00C82893">
      <w:pPr>
        <w:spacing w:before="120"/>
        <w:jc w:val="both"/>
        <w:rPr>
          <w:rFonts w:cs="Times New Roman"/>
          <w:b/>
          <w:bCs/>
          <w:szCs w:val="24"/>
        </w:rPr>
      </w:pPr>
      <w:r w:rsidRPr="00B35ECF">
        <w:rPr>
          <w:rFonts w:cs="Times New Roman"/>
          <w:szCs w:val="24"/>
        </w:rPr>
        <w:t>W przypadku sprzętu innego niż wymieniony w załączniku I do dyrektywy 2012/19/UE</w:t>
      </w:r>
      <w:r w:rsidRPr="00B35ECF">
        <w:rPr>
          <w:rFonts w:cs="Times New Roman"/>
          <w:b/>
          <w:bCs/>
          <w:szCs w:val="24"/>
        </w:rPr>
        <w:t xml:space="preserve"> </w:t>
      </w:r>
      <w:r w:rsidRPr="00B35ECF">
        <w:rPr>
          <w:rFonts w:cs="Times New Roman"/>
          <w:szCs w:val="24"/>
        </w:rPr>
        <w:t xml:space="preserve">dyrektywa </w:t>
      </w:r>
      <w:r w:rsidR="00CA53A7" w:rsidRPr="00B35ECF">
        <w:rPr>
          <w:rFonts w:cs="Times New Roman"/>
          <w:szCs w:val="24"/>
        </w:rPr>
        <w:t xml:space="preserve">2024/884 </w:t>
      </w:r>
      <w:r w:rsidRPr="00B35ECF">
        <w:rPr>
          <w:rFonts w:cs="Times New Roman"/>
          <w:szCs w:val="24"/>
        </w:rPr>
        <w:t xml:space="preserve">wskazuje datę 15 sierpnia 2018 r., natomiast projekt ustawy – 1 stycznia </w:t>
      </w:r>
      <w:r w:rsidR="00231281" w:rsidRPr="00B35ECF">
        <w:rPr>
          <w:rFonts w:cs="Times New Roman"/>
          <w:szCs w:val="24"/>
        </w:rPr>
        <w:t>2018 </w:t>
      </w:r>
      <w:r w:rsidRPr="00B35ECF">
        <w:rPr>
          <w:rFonts w:cs="Times New Roman"/>
          <w:szCs w:val="24"/>
        </w:rPr>
        <w:t>r.</w:t>
      </w:r>
    </w:p>
    <w:p w14:paraId="7F767435" w14:textId="57F83B0F" w:rsidR="008F44C2" w:rsidRPr="00B35ECF" w:rsidRDefault="008F44C2" w:rsidP="00C82893">
      <w:pPr>
        <w:spacing w:before="120"/>
        <w:jc w:val="both"/>
        <w:rPr>
          <w:rFonts w:cs="Times New Roman"/>
          <w:strike/>
          <w:szCs w:val="24"/>
        </w:rPr>
      </w:pPr>
      <w:r w:rsidRPr="00B35ECF">
        <w:rPr>
          <w:rFonts w:cs="Times New Roman"/>
          <w:szCs w:val="24"/>
        </w:rPr>
        <w:t>Od początku 2018 r. producenci funkcjonowali już pod rządami przepisów krajowych dotyczących zużytego sprzętu elektrycznego i elektronicznego, co oznacza, że mogli racjonalnie przewidywać objęcie tej kategorii obowiązkami ustawowymi. Przyjęcie daty 1</w:t>
      </w:r>
      <w:r w:rsidR="002356C7" w:rsidRPr="00B35ECF">
        <w:rPr>
          <w:rFonts w:cs="Times New Roman"/>
          <w:szCs w:val="24"/>
        </w:rPr>
        <w:t> </w:t>
      </w:r>
      <w:r w:rsidRPr="00B35ECF">
        <w:rPr>
          <w:rFonts w:cs="Times New Roman"/>
          <w:szCs w:val="24"/>
        </w:rPr>
        <w:t>stycznia 2018 r. nie prowadzi zatem do retroaktywnego rozszerzenia odpowiedzialności, lecz zapewnia spójność systemową.</w:t>
      </w:r>
    </w:p>
    <w:p w14:paraId="12996697" w14:textId="77777777" w:rsidR="00304DFD" w:rsidRPr="00B35ECF" w:rsidRDefault="00304DFD" w:rsidP="00C82893">
      <w:pPr>
        <w:spacing w:before="120"/>
        <w:jc w:val="both"/>
        <w:rPr>
          <w:rFonts w:cs="Times New Roman"/>
          <w:szCs w:val="24"/>
        </w:rPr>
      </w:pPr>
      <w:r w:rsidRPr="00B35ECF">
        <w:rPr>
          <w:rFonts w:cs="Times New Roman"/>
          <w:szCs w:val="24"/>
        </w:rPr>
        <w:t>Projektowana ustawa utrzymuje zasady podziału obowiązków w stosunku do sprzętu nowego i dawnego, modyfikując jedynie daty określające ten podział.</w:t>
      </w:r>
    </w:p>
    <w:p w14:paraId="220177FD" w14:textId="6A74D937" w:rsidR="00304DFD" w:rsidRPr="00B35ECF" w:rsidRDefault="00304DFD" w:rsidP="00C82893">
      <w:pPr>
        <w:spacing w:before="120"/>
        <w:jc w:val="both"/>
        <w:rPr>
          <w:rFonts w:cs="Times New Roman"/>
          <w:szCs w:val="24"/>
        </w:rPr>
      </w:pPr>
      <w:r w:rsidRPr="00B35ECF">
        <w:rPr>
          <w:rFonts w:cs="Times New Roman"/>
          <w:szCs w:val="24"/>
        </w:rPr>
        <w:t>Zgodnie z projektowanym art. 18</w:t>
      </w:r>
      <w:r w:rsidR="00E84A57" w:rsidRPr="00B35ECF">
        <w:rPr>
          <w:rFonts w:cs="Times New Roman"/>
          <w:szCs w:val="24"/>
        </w:rPr>
        <w:t xml:space="preserve"> ustawy o zużytym sprzęcie elektrycznym i elektronicznym</w:t>
      </w:r>
      <w:r w:rsidRPr="00B35ECF">
        <w:rPr>
          <w:rFonts w:cs="Times New Roman"/>
          <w:szCs w:val="24"/>
        </w:rPr>
        <w:t>, w przypadku sprzętu przeznaczonego dla gospodarstw domowych</w:t>
      </w:r>
      <w:r w:rsidR="0091614D" w:rsidRPr="00B35ECF">
        <w:rPr>
          <w:rFonts w:cs="Times New Roman"/>
          <w:szCs w:val="24"/>
        </w:rPr>
        <w:t>,</w:t>
      </w:r>
      <w:r w:rsidRPr="00B35ECF">
        <w:rPr>
          <w:rFonts w:cs="Times New Roman"/>
          <w:szCs w:val="24"/>
        </w:rPr>
        <w:t xml:space="preserve"> wprowadzający jest obowiązany do zorganizowania </w:t>
      </w:r>
      <w:r w:rsidR="0056255C" w:rsidRPr="00B35ECF">
        <w:rPr>
          <w:rFonts w:cs="Times New Roman"/>
          <w:szCs w:val="24"/>
        </w:rPr>
        <w:t>i </w:t>
      </w:r>
      <w:r w:rsidRPr="00B35ECF">
        <w:rPr>
          <w:rFonts w:cs="Times New Roman"/>
          <w:szCs w:val="24"/>
        </w:rPr>
        <w:t xml:space="preserve">sfinansowania zagospodarowania zużytego sprzętu. Obowiązek ten z zasady </w:t>
      </w:r>
      <w:r w:rsidR="00036CF6" w:rsidRPr="00B35ECF">
        <w:rPr>
          <w:rFonts w:cs="Times New Roman"/>
          <w:szCs w:val="24"/>
        </w:rPr>
        <w:t xml:space="preserve">jest </w:t>
      </w:r>
      <w:r w:rsidRPr="00B35ECF">
        <w:rPr>
          <w:rFonts w:cs="Times New Roman"/>
          <w:szCs w:val="24"/>
        </w:rPr>
        <w:t xml:space="preserve">odnoszony do sprzętu, który został przez niego wprowadzony do obrotu. W odniesieniu do sprzętu dawnego obowiązek ten odnosi się jednak do sprzętu tej samej grupy, proporcjonalnie do jego udziału w masie sprzętu wprowadzonego do obrotu. </w:t>
      </w:r>
    </w:p>
    <w:p w14:paraId="2D64E32D" w14:textId="1FBDFCEE" w:rsidR="00304DFD" w:rsidRPr="00B35ECF" w:rsidRDefault="00304DFD" w:rsidP="00C82893">
      <w:pPr>
        <w:spacing w:before="120"/>
        <w:jc w:val="both"/>
        <w:rPr>
          <w:rFonts w:cs="Times New Roman"/>
          <w:szCs w:val="24"/>
        </w:rPr>
      </w:pPr>
      <w:r w:rsidRPr="00B35ECF">
        <w:rPr>
          <w:rFonts w:cs="Times New Roman"/>
          <w:szCs w:val="24"/>
        </w:rPr>
        <w:t>Zgodnie z projektowanym art. 19</w:t>
      </w:r>
      <w:r w:rsidR="00E84A57" w:rsidRPr="00B35ECF">
        <w:rPr>
          <w:rFonts w:cs="Times New Roman"/>
          <w:szCs w:val="24"/>
        </w:rPr>
        <w:t xml:space="preserve"> ww. ustawy</w:t>
      </w:r>
      <w:r w:rsidRPr="00B35ECF">
        <w:rPr>
          <w:rFonts w:cs="Times New Roman"/>
          <w:szCs w:val="24"/>
        </w:rPr>
        <w:t>, w przypadku sprzętu innego niż przeznaczony dla gospodarstw domowych</w:t>
      </w:r>
      <w:r w:rsidR="0091614D" w:rsidRPr="00B35ECF">
        <w:rPr>
          <w:rFonts w:cs="Times New Roman"/>
          <w:szCs w:val="24"/>
        </w:rPr>
        <w:t>,</w:t>
      </w:r>
      <w:r w:rsidRPr="00B35ECF">
        <w:rPr>
          <w:rFonts w:cs="Times New Roman"/>
          <w:szCs w:val="24"/>
        </w:rPr>
        <w:t xml:space="preserve"> wprowadzający jest obowiązany do zorganizowania i</w:t>
      </w:r>
      <w:r w:rsidR="00BE60EB" w:rsidRPr="00B35ECF">
        <w:rPr>
          <w:rFonts w:cs="Times New Roman"/>
          <w:szCs w:val="24"/>
        </w:rPr>
        <w:t> </w:t>
      </w:r>
      <w:r w:rsidRPr="00B35ECF">
        <w:rPr>
          <w:rFonts w:cs="Times New Roman"/>
          <w:szCs w:val="24"/>
        </w:rPr>
        <w:t>sfinansowania zagospodarowania zużytego sprzętu innego niż dawny</w:t>
      </w:r>
      <w:r w:rsidR="003A285F" w:rsidRPr="00B35ECF">
        <w:rPr>
          <w:rFonts w:cs="Times New Roman"/>
          <w:szCs w:val="24"/>
        </w:rPr>
        <w:t>,</w:t>
      </w:r>
      <w:r w:rsidRPr="00B35ECF">
        <w:rPr>
          <w:rFonts w:cs="Times New Roman"/>
          <w:szCs w:val="24"/>
        </w:rPr>
        <w:t xml:space="preserve"> chyba że taki sprzęt jest przez niego zastępowany sprzętem tego samego rodzaju lub spełniającym te same funkcje. Jeżeli sprzęt nie został zastąpiony, to obowiązek ciąży na użytkowniku, o ile co innego nie wynika z</w:t>
      </w:r>
      <w:r w:rsidR="00B0412D" w:rsidRPr="00B35ECF">
        <w:rPr>
          <w:rFonts w:cs="Times New Roman"/>
          <w:szCs w:val="24"/>
        </w:rPr>
        <w:t> </w:t>
      </w:r>
      <w:r w:rsidRPr="00B35ECF">
        <w:rPr>
          <w:rFonts w:cs="Times New Roman"/>
          <w:szCs w:val="24"/>
        </w:rPr>
        <w:t>postanowień umownych.</w:t>
      </w:r>
    </w:p>
    <w:p w14:paraId="5AB8EABB" w14:textId="619B763F" w:rsidR="00304DFD" w:rsidRPr="00B35ECF" w:rsidRDefault="00304DFD" w:rsidP="00C82893">
      <w:pPr>
        <w:spacing w:before="120"/>
        <w:jc w:val="both"/>
        <w:rPr>
          <w:rFonts w:cs="Times New Roman"/>
          <w:szCs w:val="24"/>
        </w:rPr>
      </w:pPr>
      <w:r w:rsidRPr="00B35ECF">
        <w:rPr>
          <w:rFonts w:cs="Times New Roman"/>
          <w:szCs w:val="24"/>
        </w:rPr>
        <w:t xml:space="preserve">Istotą przepisów krajowych w zakresie rozszerzonej odpowiedzialności producenta sprzętu elektrycznego i elektronicznego jest obowiązek osiągnięcia minimalnych rocznych poziomów zbierania zużytego sprzętu obliczanych w stosunku do średniorocznej masy sprzętu wprowadzonego do obrotu (art. 20 ustawy o zużytym sprzęcie elektrycznym i elektronicznym), a następnie jego odzysku oraz przygotowania do ponownego użycia i recyklingu (art. 21 </w:t>
      </w:r>
      <w:r w:rsidR="003A285F" w:rsidRPr="00B35ECF">
        <w:rPr>
          <w:rFonts w:cs="Times New Roman"/>
          <w:szCs w:val="24"/>
        </w:rPr>
        <w:t xml:space="preserve">tej </w:t>
      </w:r>
      <w:r w:rsidRPr="00B35ECF">
        <w:rPr>
          <w:rFonts w:cs="Times New Roman"/>
          <w:szCs w:val="24"/>
        </w:rPr>
        <w:t xml:space="preserve">ustawy). Skutkiem przedmiotowych obowiązków jest zapewnienie popytu na usługi zbierania i przetwarzania zużytego sprzętu. Mechanizm ten </w:t>
      </w:r>
      <w:r w:rsidR="003D0254" w:rsidRPr="00B35ECF">
        <w:rPr>
          <w:rFonts w:cs="Times New Roman"/>
          <w:szCs w:val="24"/>
        </w:rPr>
        <w:t xml:space="preserve">pozostaje aktualny </w:t>
      </w:r>
      <w:r w:rsidRPr="00B35ECF">
        <w:rPr>
          <w:rFonts w:cs="Times New Roman"/>
          <w:szCs w:val="24"/>
        </w:rPr>
        <w:t>w</w:t>
      </w:r>
      <w:r w:rsidR="00B0412D" w:rsidRPr="00B35ECF">
        <w:rPr>
          <w:rFonts w:cs="Times New Roman"/>
          <w:szCs w:val="24"/>
        </w:rPr>
        <w:t> </w:t>
      </w:r>
      <w:r w:rsidRPr="00B35ECF">
        <w:rPr>
          <w:rFonts w:cs="Times New Roman"/>
          <w:szCs w:val="24"/>
        </w:rPr>
        <w:t xml:space="preserve">świetle przepisów </w:t>
      </w:r>
      <w:r w:rsidRPr="00B35ECF">
        <w:rPr>
          <w:rFonts w:cs="Times New Roman"/>
          <w:szCs w:val="24"/>
        </w:rPr>
        <w:lastRenderedPageBreak/>
        <w:t>dyrektywy</w:t>
      </w:r>
      <w:r w:rsidR="00CA53A7" w:rsidRPr="00B35ECF">
        <w:rPr>
          <w:rFonts w:cs="Times New Roman"/>
          <w:szCs w:val="24"/>
        </w:rPr>
        <w:t xml:space="preserve"> 2024/884</w:t>
      </w:r>
      <w:r w:rsidRPr="00B35ECF">
        <w:rPr>
          <w:rFonts w:cs="Times New Roman"/>
          <w:szCs w:val="24"/>
        </w:rPr>
        <w:t>.</w:t>
      </w:r>
      <w:r w:rsidR="003D0254" w:rsidRPr="00B35ECF">
        <w:rPr>
          <w:rFonts w:cs="Times New Roman"/>
          <w:szCs w:val="24"/>
        </w:rPr>
        <w:t xml:space="preserve"> </w:t>
      </w:r>
      <w:r w:rsidRPr="00B35ECF">
        <w:rPr>
          <w:rFonts w:cs="Times New Roman"/>
          <w:szCs w:val="24"/>
        </w:rPr>
        <w:t>Przepis art. 1 pkt 5 dyrektywy 2024/884 wprost wskazuje, że</w:t>
      </w:r>
      <w:r w:rsidR="00085B02" w:rsidRPr="00B35ECF">
        <w:rPr>
          <w:rFonts w:cs="Times New Roman"/>
          <w:szCs w:val="24"/>
        </w:rPr>
        <w:t> </w:t>
      </w:r>
      <w:r w:rsidRPr="00B35ECF">
        <w:rPr>
          <w:rFonts w:cs="Times New Roman"/>
          <w:szCs w:val="24"/>
        </w:rPr>
        <w:t>obowiązek oznakowania sprzętu nie ma zastosowania do sprzętu dawnego. Przepis ten nie wymaga implementacji – brak jego zastosowania do sprzętu dawnego wynika z obowiązującego brzmienia art</w:t>
      </w:r>
      <w:r w:rsidR="0056255C" w:rsidRPr="00B35ECF">
        <w:rPr>
          <w:rFonts w:cs="Times New Roman"/>
          <w:szCs w:val="24"/>
        </w:rPr>
        <w:t>. </w:t>
      </w:r>
      <w:r w:rsidRPr="00B35ECF">
        <w:rPr>
          <w:rFonts w:cs="Times New Roman"/>
          <w:szCs w:val="24"/>
        </w:rPr>
        <w:t>14 ust</w:t>
      </w:r>
      <w:r w:rsidR="0056255C" w:rsidRPr="00B35ECF">
        <w:rPr>
          <w:rFonts w:cs="Times New Roman"/>
          <w:szCs w:val="24"/>
        </w:rPr>
        <w:t>. </w:t>
      </w:r>
      <w:r w:rsidRPr="00B35ECF">
        <w:rPr>
          <w:rFonts w:cs="Times New Roman"/>
          <w:szCs w:val="24"/>
        </w:rPr>
        <w:t>1 ustawy o</w:t>
      </w:r>
      <w:r w:rsidR="0091614D" w:rsidRPr="00B35ECF">
        <w:rPr>
          <w:rFonts w:cs="Times New Roman"/>
          <w:szCs w:val="24"/>
        </w:rPr>
        <w:t xml:space="preserve"> </w:t>
      </w:r>
      <w:r w:rsidRPr="00B35ECF">
        <w:rPr>
          <w:rFonts w:cs="Times New Roman"/>
          <w:szCs w:val="24"/>
        </w:rPr>
        <w:t>zużytym sprzęcie elektrycznym i</w:t>
      </w:r>
      <w:r w:rsidR="00085B02" w:rsidRPr="00B35ECF">
        <w:rPr>
          <w:rFonts w:cs="Times New Roman"/>
          <w:szCs w:val="24"/>
        </w:rPr>
        <w:t> </w:t>
      </w:r>
      <w:r w:rsidRPr="00B35ECF">
        <w:rPr>
          <w:rFonts w:cs="Times New Roman"/>
          <w:szCs w:val="24"/>
        </w:rPr>
        <w:t>elektronicznym w</w:t>
      </w:r>
      <w:r w:rsidR="00427E48" w:rsidRPr="00B35ECF">
        <w:rPr>
          <w:rFonts w:cs="Times New Roman"/>
          <w:szCs w:val="24"/>
        </w:rPr>
        <w:t> </w:t>
      </w:r>
      <w:r w:rsidRPr="00B35ECF">
        <w:rPr>
          <w:rFonts w:cs="Times New Roman"/>
          <w:szCs w:val="24"/>
        </w:rPr>
        <w:t>odniesieniu do katalogu zamkniętego, a</w:t>
      </w:r>
      <w:r w:rsidR="00B0412D" w:rsidRPr="00B35ECF">
        <w:rPr>
          <w:rFonts w:cs="Times New Roman"/>
          <w:szCs w:val="24"/>
        </w:rPr>
        <w:t> </w:t>
      </w:r>
      <w:r w:rsidRPr="00B35ECF">
        <w:rPr>
          <w:rFonts w:cs="Times New Roman"/>
          <w:szCs w:val="24"/>
        </w:rPr>
        <w:t xml:space="preserve">w pozostałym zakresie z przepisów przejściowych: art. 112 ust. 1 </w:t>
      </w:r>
      <w:r w:rsidR="00BB0E7A" w:rsidRPr="00B35ECF">
        <w:rPr>
          <w:rFonts w:cs="Times New Roman"/>
          <w:szCs w:val="24"/>
        </w:rPr>
        <w:t>tej ustawy</w:t>
      </w:r>
      <w:r w:rsidR="00E84A57" w:rsidRPr="00B35ECF">
        <w:rPr>
          <w:rFonts w:cs="Times New Roman"/>
          <w:szCs w:val="24"/>
        </w:rPr>
        <w:t xml:space="preserve"> </w:t>
      </w:r>
      <w:r w:rsidR="0091614D" w:rsidRPr="00B35ECF">
        <w:rPr>
          <w:rFonts w:cs="Times New Roman"/>
          <w:szCs w:val="24"/>
        </w:rPr>
        <w:t xml:space="preserve">– </w:t>
      </w:r>
      <w:r w:rsidRPr="00B35ECF">
        <w:rPr>
          <w:rFonts w:cs="Times New Roman"/>
          <w:szCs w:val="24"/>
        </w:rPr>
        <w:t>w odniesieniu do katalogu otwartego</w:t>
      </w:r>
      <w:r w:rsidR="0091614D" w:rsidRPr="00B35ECF">
        <w:rPr>
          <w:rFonts w:cs="Times New Roman"/>
          <w:szCs w:val="24"/>
        </w:rPr>
        <w:t>,</w:t>
      </w:r>
      <w:r w:rsidRPr="00B35ECF">
        <w:rPr>
          <w:rFonts w:cs="Times New Roman"/>
          <w:szCs w:val="24"/>
        </w:rPr>
        <w:t xml:space="preserve"> art. 142</w:t>
      </w:r>
      <w:r w:rsidR="00BB0E7A" w:rsidRPr="00B35ECF">
        <w:rPr>
          <w:rFonts w:cs="Times New Roman"/>
          <w:szCs w:val="24"/>
        </w:rPr>
        <w:t xml:space="preserve"> tej ustawy</w:t>
      </w:r>
      <w:r w:rsidRPr="00B35ECF">
        <w:rPr>
          <w:rFonts w:cs="Times New Roman"/>
          <w:szCs w:val="24"/>
        </w:rPr>
        <w:t xml:space="preserve"> – w</w:t>
      </w:r>
      <w:r w:rsidR="00BE60EB" w:rsidRPr="00B35ECF">
        <w:rPr>
          <w:rFonts w:cs="Times New Roman"/>
          <w:szCs w:val="24"/>
        </w:rPr>
        <w:t> </w:t>
      </w:r>
      <w:r w:rsidRPr="00B35ECF">
        <w:rPr>
          <w:rFonts w:cs="Times New Roman"/>
          <w:szCs w:val="24"/>
        </w:rPr>
        <w:t>odniesieniu do paneli fotowoltaicznych</w:t>
      </w:r>
      <w:r w:rsidR="00BE60EB" w:rsidRPr="00B35ECF">
        <w:rPr>
          <w:rFonts w:cs="Times New Roman"/>
          <w:szCs w:val="24"/>
        </w:rPr>
        <w:t xml:space="preserve"> (od 1 stycznia 2016 r.)</w:t>
      </w:r>
      <w:r w:rsidRPr="00B35ECF">
        <w:rPr>
          <w:rFonts w:cs="Times New Roman"/>
          <w:szCs w:val="24"/>
        </w:rPr>
        <w:t>.</w:t>
      </w:r>
      <w:r w:rsidR="00BE60EB" w:rsidRPr="00B35ECF">
        <w:rPr>
          <w:rFonts w:cs="Times New Roman"/>
          <w:szCs w:val="24"/>
        </w:rPr>
        <w:t xml:space="preserve"> Z dat wejścia w życie obowiązku oznakowania sprzętu poszczególnych grup wynika, że nie zaistniał skutek retroaktywności, którego wyeliminowaniu służy przywoływany przepis dyrektywy.</w:t>
      </w:r>
      <w:r w:rsidR="003D0254" w:rsidRPr="00B35ECF">
        <w:rPr>
          <w:rFonts w:cs="Times New Roman"/>
          <w:szCs w:val="24"/>
        </w:rPr>
        <w:t xml:space="preserve"> </w:t>
      </w:r>
    </w:p>
    <w:p w14:paraId="3B6DD2C9" w14:textId="555129F6" w:rsidR="007608DA" w:rsidRPr="00B35ECF" w:rsidRDefault="007608DA" w:rsidP="00C82893">
      <w:pPr>
        <w:spacing w:before="120"/>
        <w:jc w:val="both"/>
        <w:rPr>
          <w:rFonts w:cs="Times New Roman"/>
          <w:szCs w:val="24"/>
        </w:rPr>
      </w:pPr>
      <w:r w:rsidRPr="00B35ECF">
        <w:rPr>
          <w:rFonts w:cs="Times New Roman"/>
          <w:szCs w:val="24"/>
        </w:rPr>
        <w:t>Obecnie przepisy ustawy o zużytym sprzęcie elektrycznym i elektronicznym oraz ustawy z dnia 11 maja 2001 r. o obowiązkach przedsiębiorców w zakresie gospodarowania niektórymi odpadami oraz o opłacie produktowej</w:t>
      </w:r>
      <w:r w:rsidRPr="00B35ECF">
        <w:rPr>
          <w:rStyle w:val="Odwoanieprzypisudolnego"/>
          <w:rFonts w:cs="Times New Roman"/>
          <w:szCs w:val="24"/>
        </w:rPr>
        <w:footnoteReference w:id="10"/>
      </w:r>
      <w:r w:rsidR="00A66D3F" w:rsidRPr="00B35ECF">
        <w:rPr>
          <w:rFonts w:cs="Times New Roman"/>
          <w:szCs w:val="24"/>
          <w:vertAlign w:val="superscript"/>
        </w:rPr>
        <w:t>)</w:t>
      </w:r>
      <w:r w:rsidRPr="00B35ECF">
        <w:rPr>
          <w:rFonts w:cs="Times New Roman"/>
          <w:szCs w:val="24"/>
        </w:rPr>
        <w:t xml:space="preserve"> zawierają przepisy dotyczące autoryzowanego przedstawiciela. Celem projektu jest wprowadzenie przepisów o wyznaczaniu autoryzowanego przedstawiciela do ustawy o gospodarce opakowaniami </w:t>
      </w:r>
      <w:r w:rsidR="0056255C" w:rsidRPr="00B35ECF">
        <w:rPr>
          <w:rFonts w:cs="Times New Roman"/>
          <w:szCs w:val="24"/>
        </w:rPr>
        <w:t>i </w:t>
      </w:r>
      <w:r w:rsidRPr="00B35ECF">
        <w:rPr>
          <w:rFonts w:cs="Times New Roman"/>
          <w:szCs w:val="24"/>
        </w:rPr>
        <w:t>odpadami opakowaniowymi</w:t>
      </w:r>
      <w:r w:rsidR="00ED01EB" w:rsidRPr="00B35ECF">
        <w:rPr>
          <w:rFonts w:cs="Times New Roman"/>
          <w:szCs w:val="24"/>
        </w:rPr>
        <w:t>,</w:t>
      </w:r>
      <w:r w:rsidRPr="00B35ECF">
        <w:rPr>
          <w:rFonts w:cs="Times New Roman"/>
          <w:szCs w:val="24"/>
        </w:rPr>
        <w:t xml:space="preserve"> ustawy</w:t>
      </w:r>
      <w:r w:rsidR="00BB0E7A" w:rsidRPr="00B35ECF">
        <w:rPr>
          <w:rFonts w:cs="Times New Roman"/>
          <w:szCs w:val="24"/>
        </w:rPr>
        <w:t xml:space="preserve"> </w:t>
      </w:r>
      <w:r w:rsidRPr="00B35ECF">
        <w:rPr>
          <w:rFonts w:cs="Times New Roman"/>
          <w:szCs w:val="24"/>
        </w:rPr>
        <w:t>o recyklingu pojazdów wycofanych z eksploatacji</w:t>
      </w:r>
      <w:r w:rsidR="00ED01EB" w:rsidRPr="00B35ECF">
        <w:rPr>
          <w:rFonts w:cs="Times New Roman"/>
          <w:szCs w:val="24"/>
        </w:rPr>
        <w:t xml:space="preserve"> oraz ustawy o bateriach i akumulatorach</w:t>
      </w:r>
      <w:r w:rsidRPr="00B35ECF">
        <w:rPr>
          <w:rFonts w:cs="Times New Roman"/>
          <w:szCs w:val="24"/>
        </w:rPr>
        <w:t>, w</w:t>
      </w:r>
      <w:r w:rsidR="00BE60EB" w:rsidRPr="00B35ECF">
        <w:rPr>
          <w:rFonts w:cs="Times New Roman"/>
          <w:szCs w:val="24"/>
        </w:rPr>
        <w:t> </w:t>
      </w:r>
      <w:r w:rsidRPr="00B35ECF">
        <w:rPr>
          <w:rFonts w:cs="Times New Roman"/>
          <w:szCs w:val="24"/>
        </w:rPr>
        <w:t>oparciu o funkcjonujący już model regulacyjny.</w:t>
      </w:r>
      <w:r w:rsidR="00094421" w:rsidRPr="00B35ECF">
        <w:rPr>
          <w:rFonts w:cs="Times New Roman"/>
          <w:szCs w:val="24"/>
        </w:rPr>
        <w:t xml:space="preserve"> </w:t>
      </w:r>
      <w:r w:rsidRPr="00B35ECF">
        <w:rPr>
          <w:rFonts w:cs="Times New Roman"/>
          <w:szCs w:val="24"/>
        </w:rPr>
        <w:t>Przepisy określające funkcjonowanie instytucji autoryzowanego przedstawiciela w tym zakresie zosta</w:t>
      </w:r>
      <w:r w:rsidR="00ED01EB" w:rsidRPr="00B35ECF">
        <w:rPr>
          <w:rFonts w:cs="Times New Roman"/>
          <w:szCs w:val="24"/>
        </w:rPr>
        <w:t>ły</w:t>
      </w:r>
      <w:r w:rsidRPr="00B35ECF">
        <w:rPr>
          <w:rFonts w:cs="Times New Roman"/>
          <w:szCs w:val="24"/>
        </w:rPr>
        <w:t xml:space="preserve"> uwzględnione </w:t>
      </w:r>
      <w:r w:rsidR="0056255C" w:rsidRPr="00B35ECF">
        <w:rPr>
          <w:rFonts w:cs="Times New Roman"/>
          <w:szCs w:val="24"/>
        </w:rPr>
        <w:t>w </w:t>
      </w:r>
      <w:r w:rsidR="00327107" w:rsidRPr="00B35ECF">
        <w:rPr>
          <w:rFonts w:cs="Times New Roman"/>
          <w:szCs w:val="24"/>
        </w:rPr>
        <w:t xml:space="preserve">projektowanej </w:t>
      </w:r>
      <w:r w:rsidRPr="00B35ECF">
        <w:rPr>
          <w:rFonts w:cs="Times New Roman"/>
          <w:szCs w:val="24"/>
        </w:rPr>
        <w:t>ustawie.</w:t>
      </w:r>
    </w:p>
    <w:p w14:paraId="1EE71E2B" w14:textId="77777777" w:rsidR="008464D1" w:rsidRPr="00B35ECF" w:rsidRDefault="008464D1" w:rsidP="00C82893">
      <w:pPr>
        <w:spacing w:before="120"/>
        <w:jc w:val="both"/>
        <w:rPr>
          <w:rFonts w:cs="Times New Roman"/>
          <w:b/>
          <w:bCs/>
          <w:szCs w:val="24"/>
        </w:rPr>
      </w:pPr>
      <w:r w:rsidRPr="00B35ECF">
        <w:rPr>
          <w:rFonts w:cs="Times New Roman"/>
          <w:b/>
          <w:bCs/>
          <w:szCs w:val="24"/>
        </w:rPr>
        <w:t>Zmiany w ustawie o recyklingu pojazdów wycofanych z eksploatacji</w:t>
      </w:r>
    </w:p>
    <w:p w14:paraId="6C0FAA81" w14:textId="3802AF31" w:rsidR="008464D1" w:rsidRPr="00B35ECF" w:rsidRDefault="006B10DC" w:rsidP="00C82893">
      <w:pPr>
        <w:spacing w:before="120"/>
        <w:jc w:val="both"/>
        <w:rPr>
          <w:rFonts w:cs="Times New Roman"/>
          <w:szCs w:val="24"/>
        </w:rPr>
      </w:pPr>
      <w:r w:rsidRPr="00B35ECF">
        <w:rPr>
          <w:rFonts w:cs="Times New Roman"/>
          <w:szCs w:val="24"/>
        </w:rPr>
        <w:t>P</w:t>
      </w:r>
      <w:r w:rsidR="008464D1" w:rsidRPr="00B35ECF">
        <w:rPr>
          <w:rFonts w:cs="Times New Roman"/>
          <w:szCs w:val="24"/>
        </w:rPr>
        <w:t>rojektowany art. 7a przewiduje dla wprowadzających pojazdy mających</w:t>
      </w:r>
      <w:r w:rsidR="0075793E" w:rsidRPr="00B35ECF">
        <w:rPr>
          <w:rFonts w:cs="Times New Roman"/>
          <w:szCs w:val="24"/>
        </w:rPr>
        <w:t xml:space="preserve"> miejsce zamieszkania albo</w:t>
      </w:r>
      <w:r w:rsidR="003F59EA" w:rsidRPr="00B35ECF">
        <w:rPr>
          <w:rFonts w:cs="Times New Roman"/>
          <w:szCs w:val="24"/>
        </w:rPr>
        <w:t xml:space="preserve"> </w:t>
      </w:r>
      <w:r w:rsidR="008464D1" w:rsidRPr="00B35ECF">
        <w:rPr>
          <w:rFonts w:cs="Times New Roman"/>
          <w:szCs w:val="24"/>
        </w:rPr>
        <w:t xml:space="preserve">siedzibę na </w:t>
      </w:r>
      <w:r w:rsidR="001C315B" w:rsidRPr="00B35ECF">
        <w:rPr>
          <w:rFonts w:cs="Times New Roman"/>
          <w:szCs w:val="24"/>
        </w:rPr>
        <w:t>terytorium państwa członkowskiego Unii Europejskiej innego niż Rzeczpospolita Polska</w:t>
      </w:r>
      <w:r w:rsidR="003F59EA" w:rsidRPr="00B35ECF">
        <w:rPr>
          <w:rFonts w:cs="Times New Roman"/>
          <w:szCs w:val="24"/>
        </w:rPr>
        <w:t>, Konfederacji Szwajcarskiej</w:t>
      </w:r>
      <w:r w:rsidR="001C315B" w:rsidRPr="00B35ECF">
        <w:rPr>
          <w:rFonts w:cs="Times New Roman"/>
          <w:szCs w:val="24"/>
        </w:rPr>
        <w:t xml:space="preserve"> lub na terytorium państwa członkowskiego Europejskiego Stowarzyszenia Wolnego Handlu (EFTA) – strony umowy o Europejskim Obszarze Gospodarczym </w:t>
      </w:r>
      <w:r w:rsidR="008464D1" w:rsidRPr="00B35ECF">
        <w:rPr>
          <w:rFonts w:cs="Times New Roman"/>
          <w:szCs w:val="24"/>
        </w:rPr>
        <w:t xml:space="preserve">uprawnienie do wyznaczenia autoryzowanego przedstawiciela odpowiedzialnego za wykonywanie na terytorium kraju obowiązków wprowadzającego pojazdy. Przepis określa zasady wyznaczania autoryzowanego przedstawiciela i katalog podmiotów mogących funkcjonować w takim charakterze. </w:t>
      </w:r>
      <w:r w:rsidR="0056255C" w:rsidRPr="00B35ECF">
        <w:rPr>
          <w:rFonts w:cs="Times New Roman"/>
          <w:szCs w:val="24"/>
        </w:rPr>
        <w:t>W </w:t>
      </w:r>
      <w:r w:rsidR="008464D1" w:rsidRPr="00B35ECF">
        <w:rPr>
          <w:rFonts w:cs="Times New Roman"/>
          <w:szCs w:val="24"/>
        </w:rPr>
        <w:t xml:space="preserve">przypadku ustanowienia autoryzowanego przedstawiciela jego mocodawca działa wyłącznie </w:t>
      </w:r>
      <w:r w:rsidR="0056255C" w:rsidRPr="00B35ECF">
        <w:rPr>
          <w:rFonts w:cs="Times New Roman"/>
          <w:szCs w:val="24"/>
        </w:rPr>
        <w:t>za </w:t>
      </w:r>
      <w:r w:rsidR="008464D1" w:rsidRPr="00B35ECF">
        <w:rPr>
          <w:rFonts w:cs="Times New Roman"/>
          <w:szCs w:val="24"/>
        </w:rPr>
        <w:t>pośrednictwem tego podmiotu. Autoryzowany przedstawiciel ponosi odpowiedzialność za wykonywanie obowiązków ustawowych</w:t>
      </w:r>
      <w:r w:rsidR="00D35B4C" w:rsidRPr="00B35ECF">
        <w:rPr>
          <w:rFonts w:cs="Times New Roman"/>
          <w:szCs w:val="24"/>
        </w:rPr>
        <w:t xml:space="preserve"> mocodawcy</w:t>
      </w:r>
      <w:r w:rsidR="008464D1" w:rsidRPr="00B35ECF">
        <w:rPr>
          <w:rFonts w:cs="Times New Roman"/>
          <w:szCs w:val="24"/>
        </w:rPr>
        <w:t>.</w:t>
      </w:r>
    </w:p>
    <w:p w14:paraId="44649A86" w14:textId="3401B54C" w:rsidR="00F73759" w:rsidRPr="00B35ECF" w:rsidRDefault="00F73759" w:rsidP="00C82893">
      <w:pPr>
        <w:spacing w:before="120"/>
        <w:jc w:val="both"/>
        <w:rPr>
          <w:rFonts w:cs="Times New Roman"/>
          <w:szCs w:val="24"/>
        </w:rPr>
      </w:pPr>
      <w:r w:rsidRPr="00B35ECF">
        <w:rPr>
          <w:rFonts w:cs="Times New Roman"/>
          <w:szCs w:val="24"/>
        </w:rPr>
        <w:t xml:space="preserve">Jednocześnie ujednolicono nazwę Europejskiego Stowarzyszenia Wolnego Handlu (EFTA) </w:t>
      </w:r>
      <w:r w:rsidRPr="00B35ECF">
        <w:rPr>
          <w:rFonts w:cs="Times New Roman"/>
          <w:szCs w:val="24"/>
        </w:rPr>
        <w:lastRenderedPageBreak/>
        <w:t>używaną w ustawie. Zmiana ma charakter redakcyjny, służy poprawie spójności przepisów i</w:t>
      </w:r>
      <w:r w:rsidR="00427E48" w:rsidRPr="00B35ECF">
        <w:rPr>
          <w:rFonts w:cs="Times New Roman"/>
          <w:szCs w:val="24"/>
        </w:rPr>
        <w:t> </w:t>
      </w:r>
      <w:r w:rsidRPr="00B35ECF">
        <w:rPr>
          <w:rFonts w:cs="Times New Roman"/>
          <w:szCs w:val="24"/>
        </w:rPr>
        <w:t>nie pociąga za sobą zmian merytorycznych.</w:t>
      </w:r>
    </w:p>
    <w:p w14:paraId="300D150B" w14:textId="04832636" w:rsidR="008464D1" w:rsidRPr="00B35ECF" w:rsidRDefault="008464D1" w:rsidP="00C82893">
      <w:pPr>
        <w:spacing w:before="120"/>
        <w:jc w:val="both"/>
        <w:rPr>
          <w:rFonts w:cs="Times New Roman"/>
          <w:szCs w:val="24"/>
        </w:rPr>
      </w:pPr>
      <w:r w:rsidRPr="00B35ECF">
        <w:rPr>
          <w:rFonts w:cs="Times New Roman"/>
          <w:szCs w:val="24"/>
        </w:rPr>
        <w:t>Projektowany art</w:t>
      </w:r>
      <w:r w:rsidR="0056255C" w:rsidRPr="00B35ECF">
        <w:rPr>
          <w:rFonts w:cs="Times New Roman"/>
          <w:szCs w:val="24"/>
        </w:rPr>
        <w:t>. </w:t>
      </w:r>
      <w:r w:rsidRPr="00B35ECF">
        <w:rPr>
          <w:rFonts w:cs="Times New Roman"/>
          <w:szCs w:val="24"/>
        </w:rPr>
        <w:t xml:space="preserve">7b </w:t>
      </w:r>
      <w:r w:rsidR="001B6D13" w:rsidRPr="00B35ECF">
        <w:rPr>
          <w:rFonts w:cs="Times New Roman"/>
          <w:szCs w:val="24"/>
        </w:rPr>
        <w:t xml:space="preserve">tej ustawy </w:t>
      </w:r>
      <w:r w:rsidRPr="00B35ECF">
        <w:rPr>
          <w:rFonts w:cs="Times New Roman"/>
          <w:szCs w:val="24"/>
        </w:rPr>
        <w:t>określa warunki zwolnienia z obowiązków ustawowych krajowych dystrybutorów pojazdów pochodzących od podmiotu, który ustanowił autoryzowanego przedstawiciela.</w:t>
      </w:r>
    </w:p>
    <w:p w14:paraId="00ED1C58" w14:textId="1D728BDE" w:rsidR="008464D1" w:rsidRPr="00B35ECF" w:rsidRDefault="008464D1" w:rsidP="00C82893">
      <w:pPr>
        <w:spacing w:before="120"/>
        <w:jc w:val="both"/>
        <w:rPr>
          <w:rFonts w:cs="Times New Roman"/>
          <w:szCs w:val="24"/>
        </w:rPr>
      </w:pPr>
      <w:r w:rsidRPr="00B35ECF">
        <w:rPr>
          <w:rFonts w:cs="Times New Roman"/>
          <w:szCs w:val="24"/>
        </w:rPr>
        <w:t xml:space="preserve">Projektowane zmiany wzorowane są na funkcjonujących od lat przepisach ustawy </w:t>
      </w:r>
      <w:r w:rsidR="0056255C" w:rsidRPr="00B35ECF">
        <w:rPr>
          <w:rFonts w:cs="Times New Roman"/>
          <w:szCs w:val="24"/>
        </w:rPr>
        <w:t>o </w:t>
      </w:r>
      <w:r w:rsidRPr="00B35ECF">
        <w:rPr>
          <w:rFonts w:cs="Times New Roman"/>
          <w:szCs w:val="24"/>
        </w:rPr>
        <w:t>zużytym sprzęcie elektrycznym</w:t>
      </w:r>
      <w:r w:rsidR="0003606B" w:rsidRPr="00B35ECF">
        <w:rPr>
          <w:rFonts w:cs="Times New Roman"/>
          <w:szCs w:val="24"/>
        </w:rPr>
        <w:t xml:space="preserve"> i</w:t>
      </w:r>
      <w:r w:rsidRPr="00B35ECF">
        <w:rPr>
          <w:rFonts w:cs="Times New Roman"/>
          <w:szCs w:val="24"/>
        </w:rPr>
        <w:t xml:space="preserve"> elektronicznym dotyczących instytucji autoryzowanego przedstawiciela.</w:t>
      </w:r>
    </w:p>
    <w:p w14:paraId="57FB12D5" w14:textId="77777777" w:rsidR="005073DB" w:rsidRPr="00B35ECF" w:rsidRDefault="005073DB" w:rsidP="00C82893">
      <w:pPr>
        <w:spacing w:before="120"/>
        <w:jc w:val="both"/>
        <w:rPr>
          <w:rFonts w:cs="Times New Roman"/>
          <w:b/>
          <w:bCs/>
          <w:szCs w:val="24"/>
        </w:rPr>
      </w:pPr>
      <w:r w:rsidRPr="00B35ECF">
        <w:rPr>
          <w:rFonts w:cs="Times New Roman"/>
          <w:b/>
          <w:bCs/>
          <w:szCs w:val="24"/>
        </w:rPr>
        <w:t xml:space="preserve">Zmiany w ustawie o bateriach i akumulatorach </w:t>
      </w:r>
    </w:p>
    <w:p w14:paraId="560E4C12" w14:textId="25C3A31A" w:rsidR="005073DB" w:rsidRPr="00B35ECF" w:rsidRDefault="005073DB" w:rsidP="00C82893">
      <w:pPr>
        <w:spacing w:before="120"/>
        <w:jc w:val="both"/>
        <w:rPr>
          <w:rFonts w:cs="Times New Roman"/>
          <w:szCs w:val="24"/>
        </w:rPr>
      </w:pPr>
      <w:r w:rsidRPr="00B35ECF">
        <w:rPr>
          <w:rFonts w:cs="Times New Roman"/>
          <w:szCs w:val="24"/>
        </w:rPr>
        <w:t>Projektowany art. 28a przewiduje dla wprowadzających baterie lub akumulatory mających</w:t>
      </w:r>
      <w:r w:rsidR="003F59EA" w:rsidRPr="00B35ECF">
        <w:rPr>
          <w:rFonts w:cs="Times New Roman"/>
          <w:szCs w:val="24"/>
        </w:rPr>
        <w:t xml:space="preserve"> miejsce zamieszkania albo</w:t>
      </w:r>
      <w:r w:rsidRPr="00B35ECF">
        <w:rPr>
          <w:rFonts w:cs="Times New Roman"/>
          <w:szCs w:val="24"/>
        </w:rPr>
        <w:t xml:space="preserve"> siedzibę na terytorium państwa członkowskiego Unii Europejskiej innego niż Rzeczpospolita Polska</w:t>
      </w:r>
      <w:r w:rsidR="003F59EA" w:rsidRPr="00B35ECF">
        <w:rPr>
          <w:rFonts w:cs="Times New Roman"/>
          <w:szCs w:val="24"/>
        </w:rPr>
        <w:t>, Konfederacji Szwajcarskiej</w:t>
      </w:r>
      <w:r w:rsidRPr="00B35ECF">
        <w:rPr>
          <w:rFonts w:cs="Times New Roman"/>
          <w:szCs w:val="24"/>
        </w:rPr>
        <w:t xml:space="preserve"> lub na terytorium państwa członkowskiego Europejskiego Stowarzyszenia Wolnego Handlu (EFTA) – strony umowy o</w:t>
      </w:r>
      <w:r w:rsidR="00BE60EB" w:rsidRPr="00B35ECF">
        <w:rPr>
          <w:rFonts w:cs="Times New Roman"/>
          <w:szCs w:val="24"/>
        </w:rPr>
        <w:t> </w:t>
      </w:r>
      <w:r w:rsidRPr="00B35ECF">
        <w:rPr>
          <w:rFonts w:cs="Times New Roman"/>
          <w:szCs w:val="24"/>
        </w:rPr>
        <w:t>Europejskim Obszarze Gospodarczym uprawnienie do wyznaczenia autoryzowanego przedstawiciela odpowiedzialnego za wykonywanie na terytorium kraju obowiązków wprowadzającego baterie lub akumulatory. Jednocześnie w przypadku sprzedaży tych produktów za pomocą środków porozumiewania się na odległość bezpośrednio użytkownikom końcowym przez wprowadzających baterie lub akumulatory mających siedzibę na terytorium państwa innego niż Rzeczpospolita Polska wyznaczenie autoryzowanego przedstawiciela będzie obowiązkowe. Przepis określa zasady wyznaczania autoryzowanego przedstawiciela i katalog podmiotów mogących funkcjonować w takim charakterze. W przypadku ustanowienia autoryzowanego przedstawiciela jego mocodawca działa wyłącznie za pośrednictwem tego podmiotu. Autoryzowany przedstawiciel ponosi odpowiedzialność za wykonywanie obowiązków ustawowych</w:t>
      </w:r>
      <w:r w:rsidR="00D35B4C" w:rsidRPr="00B35ECF">
        <w:rPr>
          <w:rFonts w:cs="Times New Roman"/>
          <w:szCs w:val="24"/>
        </w:rPr>
        <w:t xml:space="preserve"> mocodawcy</w:t>
      </w:r>
      <w:r w:rsidRPr="00B35ECF">
        <w:rPr>
          <w:rFonts w:cs="Times New Roman"/>
          <w:szCs w:val="24"/>
        </w:rPr>
        <w:t>.</w:t>
      </w:r>
    </w:p>
    <w:p w14:paraId="7D892E72" w14:textId="315F189B" w:rsidR="005073DB" w:rsidRPr="00B35ECF" w:rsidRDefault="00081C00" w:rsidP="00C82893">
      <w:pPr>
        <w:spacing w:before="120"/>
        <w:jc w:val="both"/>
        <w:rPr>
          <w:rFonts w:cs="Times New Roman"/>
          <w:szCs w:val="24"/>
        </w:rPr>
      </w:pPr>
      <w:r w:rsidRPr="00B35ECF">
        <w:rPr>
          <w:rFonts w:cs="Times New Roman"/>
          <w:szCs w:val="24"/>
        </w:rPr>
        <w:t>Ponadto</w:t>
      </w:r>
      <w:r w:rsidR="005073DB" w:rsidRPr="00B35ECF">
        <w:rPr>
          <w:rFonts w:cs="Times New Roman"/>
          <w:szCs w:val="24"/>
        </w:rPr>
        <w:t xml:space="preserve"> ujednolicono nazwę Europejskiego Stowarzyszenia Wolnego Handlu (EFTA) używaną w ustawie. Zmiana ma charakter redakcyjny, służy poprawie spójności przepisów i</w:t>
      </w:r>
      <w:r w:rsidR="00ED5561" w:rsidRPr="00B35ECF">
        <w:rPr>
          <w:rFonts w:cs="Times New Roman"/>
          <w:szCs w:val="24"/>
        </w:rPr>
        <w:t> </w:t>
      </w:r>
      <w:r w:rsidR="005073DB" w:rsidRPr="00B35ECF">
        <w:rPr>
          <w:rFonts w:cs="Times New Roman"/>
          <w:szCs w:val="24"/>
        </w:rPr>
        <w:t>nie pociąga za sobą zmian merytorycznych.</w:t>
      </w:r>
    </w:p>
    <w:p w14:paraId="12C7B870" w14:textId="77777777" w:rsidR="005073DB" w:rsidRPr="00B35ECF" w:rsidRDefault="005073DB" w:rsidP="00C82893">
      <w:pPr>
        <w:spacing w:before="120"/>
        <w:jc w:val="both"/>
        <w:rPr>
          <w:rFonts w:cs="Times New Roman"/>
          <w:szCs w:val="24"/>
        </w:rPr>
      </w:pPr>
      <w:r w:rsidRPr="00B35ECF">
        <w:rPr>
          <w:rFonts w:cs="Times New Roman"/>
          <w:szCs w:val="24"/>
        </w:rPr>
        <w:t xml:space="preserve">Projektowany art. 28b określa warunki zwolnienia z obowiązków ustawowych krajowych dystrybutorów produktów pochodzących od podmiotu, który ustanowił autoryzowanego przedstawiciela. Należy zauważyć, że to zwolnienie nie ma zastosowania do wprowadzających, którzy sprzedają swoje produkty na terytorium kraju za pomocą środków porozumiewania się na odległość bezpośrednio użytkownikom końcowym. Taka sytuacja jest podyktowana faktem, </w:t>
      </w:r>
      <w:r w:rsidRPr="00B35ECF">
        <w:rPr>
          <w:rFonts w:cs="Times New Roman"/>
          <w:szCs w:val="24"/>
        </w:rPr>
        <w:lastRenderedPageBreak/>
        <w:t>że we wprowadzeniu produktów nie uczestniczy krajowy przedsiębiorca, który mógłby zostać zwolniony z ustawowych obowiązków na rzecz autoryzowanego przedstawiciela wyznaczonego przez zagranicznego wprowadzającego.</w:t>
      </w:r>
    </w:p>
    <w:p w14:paraId="12FB5F41" w14:textId="77777777" w:rsidR="005073DB" w:rsidRPr="00B35ECF" w:rsidRDefault="005073DB" w:rsidP="00C82893">
      <w:pPr>
        <w:spacing w:before="120"/>
        <w:jc w:val="both"/>
        <w:rPr>
          <w:rFonts w:cs="Times New Roman"/>
          <w:szCs w:val="24"/>
        </w:rPr>
      </w:pPr>
      <w:r w:rsidRPr="00B35ECF">
        <w:rPr>
          <w:rFonts w:cs="Times New Roman"/>
          <w:szCs w:val="24"/>
        </w:rPr>
        <w:t>Projektowane zmiany wzorowane są na funkcjonujących od lat przepisach ustawy o zużytym sprzęcie elektrycznym i elektronicznym dotyczących instytucji autoryzowanego przedstawiciela.</w:t>
      </w:r>
    </w:p>
    <w:p w14:paraId="72DA4757" w14:textId="77777777" w:rsidR="008464D1" w:rsidRPr="00B35ECF" w:rsidRDefault="008464D1" w:rsidP="00C82893">
      <w:pPr>
        <w:spacing w:before="120"/>
        <w:jc w:val="both"/>
        <w:rPr>
          <w:rFonts w:cs="Times New Roman"/>
          <w:b/>
          <w:bCs/>
          <w:szCs w:val="24"/>
        </w:rPr>
      </w:pPr>
      <w:r w:rsidRPr="00B35ECF">
        <w:rPr>
          <w:rFonts w:cs="Times New Roman"/>
          <w:b/>
          <w:bCs/>
          <w:szCs w:val="24"/>
        </w:rPr>
        <w:t>Zmiany w ustawie o odpadach</w:t>
      </w:r>
    </w:p>
    <w:p w14:paraId="3AEFC214" w14:textId="3E4465C8" w:rsidR="008464D1" w:rsidRPr="00B35ECF" w:rsidRDefault="008464D1" w:rsidP="00C82893">
      <w:pPr>
        <w:spacing w:before="120"/>
        <w:jc w:val="both"/>
        <w:rPr>
          <w:rFonts w:cs="Times New Roman"/>
          <w:szCs w:val="24"/>
        </w:rPr>
      </w:pPr>
      <w:r w:rsidRPr="00B35ECF">
        <w:rPr>
          <w:rFonts w:cs="Times New Roman"/>
          <w:szCs w:val="24"/>
        </w:rPr>
        <w:t>Projektowane przepisy dotyczą koniecznych zmian w ustawie o odpadach wynikających z</w:t>
      </w:r>
      <w:r w:rsidR="00E37661" w:rsidRPr="00B35ECF">
        <w:rPr>
          <w:rFonts w:cs="Times New Roman"/>
          <w:szCs w:val="24"/>
        </w:rPr>
        <w:t> </w:t>
      </w:r>
      <w:r w:rsidRPr="00B35ECF">
        <w:rPr>
          <w:rFonts w:cs="Times New Roman"/>
          <w:szCs w:val="24"/>
        </w:rPr>
        <w:t>wprowadzenia</w:t>
      </w:r>
      <w:r w:rsidR="00E37661" w:rsidRPr="00B35ECF">
        <w:rPr>
          <w:rFonts w:cs="Times New Roman"/>
          <w:szCs w:val="24"/>
        </w:rPr>
        <w:t xml:space="preserve"> przepisów dot</w:t>
      </w:r>
      <w:r w:rsidR="00081C00" w:rsidRPr="00B35ECF">
        <w:rPr>
          <w:rFonts w:cs="Times New Roman"/>
          <w:szCs w:val="24"/>
        </w:rPr>
        <w:t>yczących</w:t>
      </w:r>
      <w:r w:rsidR="00E37661" w:rsidRPr="00B35ECF">
        <w:rPr>
          <w:rFonts w:cs="Times New Roman"/>
          <w:szCs w:val="24"/>
        </w:rPr>
        <w:t xml:space="preserve"> </w:t>
      </w:r>
      <w:r w:rsidRPr="00B35ECF">
        <w:rPr>
          <w:rFonts w:cs="Times New Roman"/>
          <w:szCs w:val="24"/>
        </w:rPr>
        <w:t>instytucji autoryzowanego przedstawiciela do ustawy o gospodarce opakowaniami i odpadami opakowaniowymi</w:t>
      </w:r>
      <w:r w:rsidR="000F43B0" w:rsidRPr="00B35ECF">
        <w:rPr>
          <w:rFonts w:cs="Times New Roman"/>
          <w:szCs w:val="24"/>
        </w:rPr>
        <w:t>, ustawy o bateriach i akumulatorach</w:t>
      </w:r>
      <w:r w:rsidRPr="00B35ECF">
        <w:rPr>
          <w:rFonts w:cs="Times New Roman"/>
          <w:szCs w:val="24"/>
        </w:rPr>
        <w:t xml:space="preserve"> oraz ustawy o recyklingu pojazdów wycofanych z eksploatacji. Wprowadzane zmiany stanowią rozszerzenie przepisów ustawy o</w:t>
      </w:r>
      <w:r w:rsidR="000F43B0" w:rsidRPr="00B35ECF">
        <w:rPr>
          <w:rFonts w:cs="Times New Roman"/>
          <w:szCs w:val="24"/>
        </w:rPr>
        <w:t> </w:t>
      </w:r>
      <w:r w:rsidRPr="00B35ECF">
        <w:rPr>
          <w:rFonts w:cs="Times New Roman"/>
          <w:szCs w:val="24"/>
        </w:rPr>
        <w:t>odpadach odnoszących się w</w:t>
      </w:r>
      <w:r w:rsidR="00E37661" w:rsidRPr="00B35ECF">
        <w:rPr>
          <w:rFonts w:cs="Times New Roman"/>
          <w:szCs w:val="24"/>
        </w:rPr>
        <w:t> </w:t>
      </w:r>
      <w:r w:rsidRPr="00B35ECF">
        <w:rPr>
          <w:rFonts w:cs="Times New Roman"/>
          <w:szCs w:val="24"/>
        </w:rPr>
        <w:t>obecnym stanie prawnym do instytucji autoryzowanego przedstawiciela z ustawy o zużytym sprzęcie elektrycznym i</w:t>
      </w:r>
      <w:r w:rsidR="00427E48" w:rsidRPr="00B35ECF">
        <w:rPr>
          <w:rFonts w:cs="Times New Roman"/>
          <w:szCs w:val="24"/>
        </w:rPr>
        <w:t> </w:t>
      </w:r>
      <w:r w:rsidRPr="00B35ECF">
        <w:rPr>
          <w:rFonts w:cs="Times New Roman"/>
          <w:szCs w:val="24"/>
        </w:rPr>
        <w:t>elektronicznym oraz ustawy z dnia 11 maja 2001</w:t>
      </w:r>
      <w:r w:rsidR="00B0412D" w:rsidRPr="00B35ECF">
        <w:rPr>
          <w:rFonts w:cs="Times New Roman"/>
          <w:szCs w:val="24"/>
        </w:rPr>
        <w:t> </w:t>
      </w:r>
      <w:r w:rsidRPr="00B35ECF">
        <w:rPr>
          <w:rFonts w:cs="Times New Roman"/>
          <w:szCs w:val="24"/>
        </w:rPr>
        <w:t>r. o obowiązkach przedsiębiorców w</w:t>
      </w:r>
      <w:r w:rsidR="00427E48" w:rsidRPr="00B35ECF">
        <w:rPr>
          <w:rFonts w:cs="Times New Roman"/>
          <w:szCs w:val="24"/>
        </w:rPr>
        <w:t> </w:t>
      </w:r>
      <w:r w:rsidRPr="00B35ECF">
        <w:rPr>
          <w:rFonts w:cs="Times New Roman"/>
          <w:szCs w:val="24"/>
        </w:rPr>
        <w:t>zakresie gospodarowania niektórymi odpadami oraz o</w:t>
      </w:r>
      <w:r w:rsidR="00B0412D" w:rsidRPr="00B35ECF">
        <w:rPr>
          <w:rFonts w:cs="Times New Roman"/>
          <w:szCs w:val="24"/>
        </w:rPr>
        <w:t> </w:t>
      </w:r>
      <w:r w:rsidRPr="00B35ECF">
        <w:rPr>
          <w:rFonts w:cs="Times New Roman"/>
          <w:szCs w:val="24"/>
        </w:rPr>
        <w:t>opłacie produktowej.</w:t>
      </w:r>
    </w:p>
    <w:p w14:paraId="2F691B15" w14:textId="688EE040" w:rsidR="00B576B3" w:rsidRPr="00B35ECF" w:rsidRDefault="00B576B3" w:rsidP="00C82893">
      <w:pPr>
        <w:spacing w:before="120"/>
        <w:jc w:val="both"/>
        <w:rPr>
          <w:rFonts w:cs="Times New Roman"/>
          <w:szCs w:val="24"/>
        </w:rPr>
      </w:pPr>
      <w:r w:rsidRPr="00B35ECF">
        <w:rPr>
          <w:rFonts w:cs="Times New Roman"/>
          <w:szCs w:val="24"/>
        </w:rPr>
        <w:t xml:space="preserve">Zgodnie ze </w:t>
      </w:r>
      <w:r w:rsidR="00984A6D" w:rsidRPr="00B35ECF">
        <w:rPr>
          <w:rFonts w:cs="Times New Roman"/>
          <w:szCs w:val="24"/>
        </w:rPr>
        <w:t>z</w:t>
      </w:r>
      <w:r w:rsidRPr="00B35ECF">
        <w:rPr>
          <w:rFonts w:cs="Times New Roman"/>
          <w:szCs w:val="24"/>
        </w:rPr>
        <w:t>mianami wprowadzony</w:t>
      </w:r>
      <w:r w:rsidR="00984A6D" w:rsidRPr="00B35ECF">
        <w:rPr>
          <w:rFonts w:cs="Times New Roman"/>
          <w:szCs w:val="24"/>
        </w:rPr>
        <w:t>mi</w:t>
      </w:r>
      <w:r w:rsidRPr="00B35ECF">
        <w:rPr>
          <w:rFonts w:cs="Times New Roman"/>
          <w:szCs w:val="24"/>
        </w:rPr>
        <w:t xml:space="preserve"> w art. 50 </w:t>
      </w:r>
      <w:r w:rsidR="008A4325" w:rsidRPr="00B35ECF">
        <w:rPr>
          <w:rFonts w:cs="Times New Roman"/>
          <w:szCs w:val="24"/>
        </w:rPr>
        <w:t xml:space="preserve">ustawy o odpadach </w:t>
      </w:r>
      <w:r w:rsidRPr="00B35ECF">
        <w:rPr>
          <w:rFonts w:cs="Times New Roman"/>
          <w:szCs w:val="24"/>
        </w:rPr>
        <w:t>marszałek województwa będzie dokonywał wpisu do rejestru BDO na wniosek poszczególnych autoryzowanych przedstawicieli. Jednocześnie</w:t>
      </w:r>
      <w:r w:rsidR="00CA1C2B">
        <w:rPr>
          <w:rFonts w:cs="Times New Roman"/>
          <w:szCs w:val="24"/>
        </w:rPr>
        <w:t>,</w:t>
      </w:r>
      <w:r w:rsidRPr="00B35ECF">
        <w:rPr>
          <w:rFonts w:cs="Times New Roman"/>
          <w:szCs w:val="24"/>
        </w:rPr>
        <w:t xml:space="preserve"> mając na uwadze art. 50 ust. 2 ustawy o odpadach</w:t>
      </w:r>
      <w:r w:rsidR="00CA1C2B">
        <w:rPr>
          <w:rFonts w:cs="Times New Roman"/>
          <w:szCs w:val="24"/>
        </w:rPr>
        <w:t>,</w:t>
      </w:r>
      <w:r w:rsidRPr="00B35ECF">
        <w:rPr>
          <w:rFonts w:cs="Times New Roman"/>
          <w:szCs w:val="24"/>
        </w:rPr>
        <w:t xml:space="preserve"> podmioty te będą obowiązane uzyskać wpis do rejestru przed rozpoczęciem działalności. </w:t>
      </w:r>
    </w:p>
    <w:p w14:paraId="199F8AE9" w14:textId="77777777" w:rsidR="00304DFD" w:rsidRPr="00B35ECF" w:rsidRDefault="00304DFD" w:rsidP="00C82893">
      <w:pPr>
        <w:spacing w:before="120"/>
        <w:jc w:val="both"/>
        <w:rPr>
          <w:rFonts w:cs="Times New Roman"/>
          <w:b/>
          <w:bCs/>
          <w:szCs w:val="24"/>
        </w:rPr>
      </w:pPr>
      <w:r w:rsidRPr="00B35ECF">
        <w:rPr>
          <w:rFonts w:cs="Times New Roman"/>
          <w:b/>
          <w:bCs/>
          <w:szCs w:val="24"/>
        </w:rPr>
        <w:t xml:space="preserve">Zmiany w ustawie o gospodarce opakowaniami i odpadami opakowaniowymi </w:t>
      </w:r>
    </w:p>
    <w:p w14:paraId="18A0D122" w14:textId="1C96616E" w:rsidR="00304DFD" w:rsidRPr="00B35ECF" w:rsidRDefault="00304DFD" w:rsidP="00C82893">
      <w:pPr>
        <w:spacing w:before="120"/>
        <w:jc w:val="both"/>
        <w:rPr>
          <w:rFonts w:cs="Times New Roman"/>
          <w:szCs w:val="24"/>
        </w:rPr>
      </w:pPr>
      <w:r w:rsidRPr="00B35ECF">
        <w:rPr>
          <w:rFonts w:cs="Times New Roman"/>
          <w:szCs w:val="24"/>
        </w:rPr>
        <w:t>Projektowany art. 26a przewiduje dla wprowadzających produkty w opakowaniach mających</w:t>
      </w:r>
      <w:r w:rsidR="003F59EA" w:rsidRPr="00B35ECF">
        <w:rPr>
          <w:rFonts w:cs="Times New Roman"/>
          <w:szCs w:val="24"/>
        </w:rPr>
        <w:t xml:space="preserve"> miejsce zamieszkania albo</w:t>
      </w:r>
      <w:r w:rsidRPr="00B35ECF">
        <w:rPr>
          <w:rFonts w:cs="Times New Roman"/>
          <w:szCs w:val="24"/>
        </w:rPr>
        <w:t xml:space="preserve"> siedzibę na terytorium </w:t>
      </w:r>
      <w:r w:rsidR="001C315B" w:rsidRPr="00B35ECF">
        <w:rPr>
          <w:rFonts w:cs="Times New Roman"/>
          <w:szCs w:val="24"/>
        </w:rPr>
        <w:t>państwa członkowskiego Unii Europejskiej innego niż Rzeczpospolita Polska</w:t>
      </w:r>
      <w:r w:rsidR="00971060" w:rsidRPr="00B35ECF">
        <w:rPr>
          <w:rFonts w:cs="Times New Roman"/>
          <w:szCs w:val="24"/>
        </w:rPr>
        <w:t>, Konfederacji Szwajcarskiej</w:t>
      </w:r>
      <w:r w:rsidR="001C315B" w:rsidRPr="00B35ECF">
        <w:rPr>
          <w:rFonts w:cs="Times New Roman"/>
          <w:szCs w:val="24"/>
        </w:rPr>
        <w:t xml:space="preserve"> lub na terytorium państwa członkowskiego Europejskiego Stowarzyszenia Wolnego Handlu (EFTA) – strony umowy o</w:t>
      </w:r>
      <w:r w:rsidR="00BE60EB" w:rsidRPr="00B35ECF">
        <w:rPr>
          <w:rFonts w:cs="Times New Roman"/>
          <w:szCs w:val="24"/>
        </w:rPr>
        <w:t> </w:t>
      </w:r>
      <w:r w:rsidR="001C315B" w:rsidRPr="00B35ECF">
        <w:rPr>
          <w:rFonts w:cs="Times New Roman"/>
          <w:szCs w:val="24"/>
        </w:rPr>
        <w:t>Europejskim Obszarze Gospodarczym</w:t>
      </w:r>
      <w:r w:rsidR="009E1E5F" w:rsidRPr="00B35ECF">
        <w:rPr>
          <w:rFonts w:cs="Times New Roman"/>
          <w:szCs w:val="24"/>
        </w:rPr>
        <w:t xml:space="preserve"> </w:t>
      </w:r>
      <w:r w:rsidRPr="00B35ECF">
        <w:rPr>
          <w:rFonts w:cs="Times New Roman"/>
          <w:szCs w:val="24"/>
        </w:rPr>
        <w:t>uprawnienie do</w:t>
      </w:r>
      <w:r w:rsidR="00971060" w:rsidRPr="00B35ECF">
        <w:rPr>
          <w:rFonts w:cs="Times New Roman"/>
          <w:szCs w:val="24"/>
        </w:rPr>
        <w:t> </w:t>
      </w:r>
      <w:r w:rsidRPr="00B35ECF">
        <w:rPr>
          <w:rFonts w:cs="Times New Roman"/>
          <w:szCs w:val="24"/>
        </w:rPr>
        <w:t xml:space="preserve">wyznaczenia autoryzowanego przedstawiciela odpowiedzialnego za wykonywanie na terytorium kraju obowiązków wprowadzającego produkty w opakowaniach. </w:t>
      </w:r>
      <w:r w:rsidR="005D6E0A" w:rsidRPr="00B35ECF">
        <w:rPr>
          <w:rFonts w:cs="Times New Roman"/>
          <w:szCs w:val="24"/>
        </w:rPr>
        <w:t xml:space="preserve">Jednocześnie w przypadku </w:t>
      </w:r>
      <w:r w:rsidR="000F43B0" w:rsidRPr="00B35ECF">
        <w:rPr>
          <w:rFonts w:cs="Times New Roman"/>
          <w:szCs w:val="24"/>
        </w:rPr>
        <w:t xml:space="preserve">sprzedaży tych produktów za pomocą środków porozumiewania się na odległość bezpośrednio użytkownikom końcowym przez </w:t>
      </w:r>
      <w:r w:rsidR="005D6E0A" w:rsidRPr="00B35ECF">
        <w:rPr>
          <w:rFonts w:cs="Times New Roman"/>
          <w:szCs w:val="24"/>
        </w:rPr>
        <w:t>wprowadzających produkty w opakowaniach mających siedzibę na terytorium państw</w:t>
      </w:r>
      <w:r w:rsidR="000F43B0" w:rsidRPr="00B35ECF">
        <w:rPr>
          <w:rFonts w:cs="Times New Roman"/>
          <w:szCs w:val="24"/>
        </w:rPr>
        <w:t>a innego niż Rzeczpospolita Polska</w:t>
      </w:r>
      <w:r w:rsidR="005D6E0A" w:rsidRPr="00B35ECF">
        <w:rPr>
          <w:rFonts w:cs="Times New Roman"/>
          <w:szCs w:val="24"/>
        </w:rPr>
        <w:t> wyznaczenie autoryzowanego przedstawiciela będzie obowiązkowe.</w:t>
      </w:r>
      <w:r w:rsidR="00E37661" w:rsidRPr="00B35ECF">
        <w:rPr>
          <w:rFonts w:cs="Times New Roman"/>
          <w:szCs w:val="24"/>
        </w:rPr>
        <w:t xml:space="preserve"> </w:t>
      </w:r>
      <w:r w:rsidRPr="00B35ECF">
        <w:rPr>
          <w:rFonts w:cs="Times New Roman"/>
          <w:szCs w:val="24"/>
        </w:rPr>
        <w:t>Przepis określa zasady wyznaczania autoryzowanego przedstawiciela i</w:t>
      </w:r>
      <w:r w:rsidR="00E37661" w:rsidRPr="00B35ECF">
        <w:rPr>
          <w:rFonts w:cs="Times New Roman"/>
          <w:szCs w:val="24"/>
        </w:rPr>
        <w:t> </w:t>
      </w:r>
      <w:r w:rsidRPr="00B35ECF">
        <w:rPr>
          <w:rFonts w:cs="Times New Roman"/>
          <w:szCs w:val="24"/>
        </w:rPr>
        <w:t xml:space="preserve">katalog podmiotów mogących funkcjonować w takim charakterze. </w:t>
      </w:r>
      <w:r w:rsidRPr="00B35ECF">
        <w:rPr>
          <w:rFonts w:cs="Times New Roman"/>
          <w:szCs w:val="24"/>
        </w:rPr>
        <w:lastRenderedPageBreak/>
        <w:t>W</w:t>
      </w:r>
      <w:r w:rsidR="00BE60EB" w:rsidRPr="00B35ECF">
        <w:rPr>
          <w:rFonts w:cs="Times New Roman"/>
          <w:szCs w:val="24"/>
        </w:rPr>
        <w:t> </w:t>
      </w:r>
      <w:r w:rsidRPr="00B35ECF">
        <w:rPr>
          <w:rFonts w:cs="Times New Roman"/>
          <w:szCs w:val="24"/>
        </w:rPr>
        <w:t>przypadku ustanowienia autoryzowanego przedstawiciela jego mocodawca działa wyłącznie za pośrednictwem tego podmiotu. Autoryzowany przedstawiciel ponosi odpowiedzialność za wykonywanie obowiązków ustawowych</w:t>
      </w:r>
      <w:r w:rsidR="00D35B4C" w:rsidRPr="00B35ECF">
        <w:rPr>
          <w:rFonts w:cs="Times New Roman"/>
          <w:szCs w:val="24"/>
        </w:rPr>
        <w:t xml:space="preserve"> mocodawcy</w:t>
      </w:r>
      <w:r w:rsidRPr="00B35ECF">
        <w:rPr>
          <w:rFonts w:cs="Times New Roman"/>
          <w:szCs w:val="24"/>
        </w:rPr>
        <w:t>.</w:t>
      </w:r>
    </w:p>
    <w:p w14:paraId="6C83B993" w14:textId="71ABCAF6" w:rsidR="00304DFD" w:rsidRPr="00B35ECF" w:rsidRDefault="00304DFD" w:rsidP="00C82893">
      <w:pPr>
        <w:spacing w:before="120"/>
        <w:jc w:val="both"/>
        <w:rPr>
          <w:rFonts w:cs="Times New Roman"/>
          <w:szCs w:val="24"/>
        </w:rPr>
      </w:pPr>
      <w:r w:rsidRPr="00B35ECF">
        <w:rPr>
          <w:rFonts w:cs="Times New Roman"/>
          <w:szCs w:val="24"/>
        </w:rPr>
        <w:t>Projektowany art. 26b określa warunki zwolnienia z obowiązków ustawowych krajowych dystrybutorów produktów pochodzących od podmiotu, który ustanowił autoryzowanego przedstawiciela.</w:t>
      </w:r>
      <w:r w:rsidR="00E51BE7" w:rsidRPr="00B35ECF">
        <w:rPr>
          <w:rFonts w:cs="Times New Roman"/>
          <w:szCs w:val="24"/>
        </w:rPr>
        <w:t xml:space="preserve"> Należy zauważyć, że to zwolnienie nie ma zastosowania do wprowadzających, którzy sprzedają swoje produkty na terytorium kraju za pomocą środków porozumiewania się na odległość bezpośrednio użytkownikom końcowym. Taka sytuacja jest podyktowana faktem, że we wprowadzeniu produktów nie uczestniczy krajowy przedsiębiorca, który mógłby zostać zwolniony z ustawowych obowiązków na rzecz autoryzowanego przedstawiciela wyznaczonego przez zagranicznego wprowadzającego.</w:t>
      </w:r>
    </w:p>
    <w:p w14:paraId="357AEEE2" w14:textId="77777777" w:rsidR="000F43B0" w:rsidRPr="00B35ECF" w:rsidRDefault="00304DFD" w:rsidP="00C82893">
      <w:pPr>
        <w:spacing w:before="120"/>
        <w:jc w:val="both"/>
        <w:rPr>
          <w:rFonts w:cs="Times New Roman"/>
          <w:szCs w:val="24"/>
        </w:rPr>
      </w:pPr>
      <w:r w:rsidRPr="00B35ECF">
        <w:rPr>
          <w:rFonts w:cs="Times New Roman"/>
          <w:szCs w:val="24"/>
        </w:rPr>
        <w:t>Projektowane zmiany wzorowane są na funkcjonujących od lat przepisach ustawy o zużytym sprzęcie elektrycznym i elektronicznym dotyczących instytucji autoryzowanego przedstawiciela.</w:t>
      </w:r>
    </w:p>
    <w:p w14:paraId="4BF8E4CC" w14:textId="6B284E2A" w:rsidR="00F53C5C" w:rsidRPr="00B35ECF" w:rsidRDefault="006234B2" w:rsidP="00C82893">
      <w:pPr>
        <w:spacing w:before="120"/>
        <w:jc w:val="both"/>
        <w:rPr>
          <w:rFonts w:cs="Times New Roman"/>
          <w:szCs w:val="24"/>
        </w:rPr>
      </w:pPr>
      <w:r w:rsidRPr="00B35ECF">
        <w:rPr>
          <w:rFonts w:cs="Times New Roman"/>
          <w:szCs w:val="24"/>
        </w:rPr>
        <w:t>Projekt ustawy jest zgodny z prawem Unii Europejskiej</w:t>
      </w:r>
      <w:r w:rsidR="00C7599D" w:rsidRPr="00B35ECF">
        <w:rPr>
          <w:rFonts w:cs="Times New Roman"/>
          <w:szCs w:val="24"/>
        </w:rPr>
        <w:t>.</w:t>
      </w:r>
    </w:p>
    <w:p w14:paraId="4046E9C9" w14:textId="5A07AE16" w:rsidR="006234B2" w:rsidRPr="00B35ECF" w:rsidRDefault="00D76DE8" w:rsidP="00C82893">
      <w:pPr>
        <w:spacing w:before="120"/>
        <w:jc w:val="both"/>
        <w:rPr>
          <w:rFonts w:cs="Times New Roman"/>
          <w:szCs w:val="24"/>
        </w:rPr>
      </w:pPr>
      <w:r w:rsidRPr="00B35ECF">
        <w:rPr>
          <w:rFonts w:cs="Times New Roman"/>
          <w:szCs w:val="24"/>
        </w:rPr>
        <w:t xml:space="preserve">Projekt </w:t>
      </w:r>
      <w:r w:rsidR="006234B2" w:rsidRPr="00B35ECF">
        <w:rPr>
          <w:rFonts w:cs="Times New Roman"/>
          <w:szCs w:val="24"/>
        </w:rPr>
        <w:t xml:space="preserve">dokonuje wdrożenia </w:t>
      </w:r>
      <w:r w:rsidR="00FE027F" w:rsidRPr="00B35ECF">
        <w:rPr>
          <w:rFonts w:cs="Times New Roman"/>
          <w:szCs w:val="24"/>
        </w:rPr>
        <w:t>d</w:t>
      </w:r>
      <w:r w:rsidR="004F6142" w:rsidRPr="00B35ECF">
        <w:rPr>
          <w:rFonts w:cs="Times New Roman"/>
          <w:szCs w:val="24"/>
        </w:rPr>
        <w:t xml:space="preserve">yrektywy 2024/884 oraz </w:t>
      </w:r>
      <w:r w:rsidR="00C7599D" w:rsidRPr="00B35ECF">
        <w:rPr>
          <w:rFonts w:cs="Times New Roman"/>
          <w:szCs w:val="24"/>
        </w:rPr>
        <w:t xml:space="preserve">art. 8a ust. 5 akapit trzeci </w:t>
      </w:r>
      <w:r w:rsidR="00EA2F7E" w:rsidRPr="00B35ECF">
        <w:rPr>
          <w:rFonts w:cs="Times New Roman"/>
          <w:szCs w:val="24"/>
        </w:rPr>
        <w:t>dyrektywy 2008/98/WE, który został dodany dyrektywą 2018/851</w:t>
      </w:r>
      <w:r w:rsidR="009D0F85" w:rsidRPr="00B35ECF">
        <w:rPr>
          <w:rFonts w:cs="Times New Roman"/>
          <w:szCs w:val="24"/>
        </w:rPr>
        <w:t>.</w:t>
      </w:r>
    </w:p>
    <w:p w14:paraId="3505B342" w14:textId="61527DAD" w:rsidR="006234B2" w:rsidRPr="00B35ECF" w:rsidRDefault="006234B2" w:rsidP="00C82893">
      <w:pPr>
        <w:spacing w:before="120"/>
        <w:jc w:val="both"/>
        <w:rPr>
          <w:rFonts w:cs="Times New Roman"/>
          <w:szCs w:val="24"/>
        </w:rPr>
      </w:pPr>
      <w:r w:rsidRPr="00B35ECF">
        <w:rPr>
          <w:rFonts w:cs="Times New Roman"/>
          <w:szCs w:val="24"/>
        </w:rPr>
        <w:t xml:space="preserve">Projekt </w:t>
      </w:r>
      <w:r w:rsidR="00C7599D" w:rsidRPr="00B35ECF">
        <w:rPr>
          <w:rFonts w:cs="Times New Roman"/>
          <w:szCs w:val="24"/>
        </w:rPr>
        <w:t xml:space="preserve">ustawy </w:t>
      </w:r>
      <w:r w:rsidR="00EA0CF1" w:rsidRPr="00B35ECF">
        <w:rPr>
          <w:rFonts w:cs="Times New Roman"/>
          <w:szCs w:val="24"/>
        </w:rPr>
        <w:t xml:space="preserve">nie </w:t>
      </w:r>
      <w:r w:rsidRPr="00B35ECF">
        <w:rPr>
          <w:rFonts w:cs="Times New Roman"/>
          <w:szCs w:val="24"/>
        </w:rPr>
        <w:t>podlega procedurze notyfikacji aktów prawnych określonej w przepisach rozporządzenia Rady Ministrów z dnia 23 grudnia 2002 r. w sprawie sposobu funkcjonowania krajowego systemu notyfikacji norm i aktów prawnych</w:t>
      </w:r>
      <w:r w:rsidR="00F77350" w:rsidRPr="00B35ECF">
        <w:rPr>
          <w:rStyle w:val="Odwoanieprzypisudolnego"/>
          <w:rFonts w:cs="Times New Roman"/>
          <w:szCs w:val="24"/>
        </w:rPr>
        <w:footnoteReference w:id="11"/>
      </w:r>
      <w:r w:rsidR="00A66D3F" w:rsidRPr="00B35ECF">
        <w:rPr>
          <w:rFonts w:cs="Times New Roman"/>
          <w:szCs w:val="24"/>
          <w:vertAlign w:val="superscript"/>
        </w:rPr>
        <w:t>)</w:t>
      </w:r>
      <w:r w:rsidRPr="00B35ECF">
        <w:rPr>
          <w:rFonts w:cs="Times New Roman"/>
          <w:szCs w:val="24"/>
        </w:rPr>
        <w:t>.</w:t>
      </w:r>
    </w:p>
    <w:p w14:paraId="27420B93" w14:textId="321B1F4A" w:rsidR="003A285F" w:rsidRPr="00B35ECF" w:rsidRDefault="00071C06" w:rsidP="00C82893">
      <w:pPr>
        <w:spacing w:before="120"/>
        <w:jc w:val="both"/>
        <w:rPr>
          <w:rFonts w:cs="Times New Roman"/>
          <w:szCs w:val="24"/>
        </w:rPr>
      </w:pPr>
      <w:r w:rsidRPr="00B35ECF">
        <w:rPr>
          <w:rFonts w:cs="Times New Roman"/>
          <w:szCs w:val="24"/>
        </w:rPr>
        <w:t xml:space="preserve">Projekt ustawy nie podlega </w:t>
      </w:r>
      <w:r w:rsidR="00081C00" w:rsidRPr="00B35ECF">
        <w:rPr>
          <w:rFonts w:cs="Times New Roman"/>
          <w:szCs w:val="24"/>
        </w:rPr>
        <w:t xml:space="preserve">procedurze </w:t>
      </w:r>
      <w:r w:rsidRPr="00B35ECF">
        <w:rPr>
          <w:rFonts w:cs="Times New Roman"/>
          <w:szCs w:val="24"/>
        </w:rPr>
        <w:t>notyfikacji usługowej. Projekt aktu nie zawiera wymogów nakładanych na usługodawców podlegających notyfikacji, o której mowa w art. 15 ust</w:t>
      </w:r>
      <w:r w:rsidR="0056255C" w:rsidRPr="00B35ECF">
        <w:rPr>
          <w:rFonts w:cs="Times New Roman"/>
          <w:szCs w:val="24"/>
        </w:rPr>
        <w:t>. </w:t>
      </w:r>
      <w:r w:rsidRPr="00B35ECF">
        <w:rPr>
          <w:rFonts w:cs="Times New Roman"/>
          <w:szCs w:val="24"/>
        </w:rPr>
        <w:t>7 i</w:t>
      </w:r>
      <w:r w:rsidR="0056255C" w:rsidRPr="00B35ECF">
        <w:rPr>
          <w:rFonts w:cs="Times New Roman"/>
          <w:szCs w:val="24"/>
        </w:rPr>
        <w:t> </w:t>
      </w:r>
      <w:r w:rsidRPr="00B35ECF">
        <w:rPr>
          <w:rFonts w:cs="Times New Roman"/>
          <w:szCs w:val="24"/>
        </w:rPr>
        <w:t>art.</w:t>
      </w:r>
      <w:r w:rsidR="0056255C" w:rsidRPr="00B35ECF">
        <w:rPr>
          <w:rFonts w:cs="Times New Roman"/>
          <w:szCs w:val="24"/>
        </w:rPr>
        <w:t> </w:t>
      </w:r>
      <w:r w:rsidRPr="00B35ECF">
        <w:rPr>
          <w:rFonts w:cs="Times New Roman"/>
          <w:szCs w:val="24"/>
        </w:rPr>
        <w:t>39 ust. 5 dyrektywy 2006/123/WE Parlamentu Europejskiego i Rady z dnia 12</w:t>
      </w:r>
      <w:r w:rsidR="00427E48" w:rsidRPr="00B35ECF">
        <w:rPr>
          <w:rFonts w:cs="Times New Roman"/>
          <w:szCs w:val="24"/>
        </w:rPr>
        <w:t> </w:t>
      </w:r>
      <w:r w:rsidRPr="00B35ECF">
        <w:rPr>
          <w:rFonts w:cs="Times New Roman"/>
          <w:szCs w:val="24"/>
        </w:rPr>
        <w:t>grudnia 2006 r. dotyczącej usług na rynku wewnętrznym</w:t>
      </w:r>
      <w:r w:rsidR="005E0F58" w:rsidRPr="00B35ECF">
        <w:rPr>
          <w:rStyle w:val="Odwoanieprzypisudolnego"/>
          <w:rFonts w:cs="Times New Roman"/>
          <w:szCs w:val="24"/>
        </w:rPr>
        <w:footnoteReference w:id="12"/>
      </w:r>
      <w:r w:rsidR="00C72E04" w:rsidRPr="00B35ECF">
        <w:rPr>
          <w:rFonts w:cs="Times New Roman"/>
          <w:szCs w:val="24"/>
          <w:vertAlign w:val="superscript"/>
        </w:rPr>
        <w:t>)</w:t>
      </w:r>
      <w:r w:rsidRPr="00B35ECF">
        <w:rPr>
          <w:rFonts w:cs="Times New Roman"/>
          <w:szCs w:val="24"/>
        </w:rPr>
        <w:t>.</w:t>
      </w:r>
    </w:p>
    <w:p w14:paraId="4EF9A2DA" w14:textId="558C1F44" w:rsidR="004179AE" w:rsidRPr="00B35ECF" w:rsidRDefault="004179AE" w:rsidP="00C82893">
      <w:pPr>
        <w:spacing w:before="120"/>
        <w:jc w:val="both"/>
        <w:rPr>
          <w:rFonts w:cs="Times New Roman"/>
          <w:szCs w:val="24"/>
        </w:rPr>
      </w:pPr>
      <w:r w:rsidRPr="00B35ECF">
        <w:rPr>
          <w:rFonts w:cs="Times New Roman"/>
          <w:szCs w:val="24"/>
        </w:rPr>
        <w:t xml:space="preserve">Projekt ustawy nie wymaga przedstawienia właściwym instytucjom i organom Unii Europejskiej, w tym Europejskiemu Bankowi Centralnemu, </w:t>
      </w:r>
      <w:r w:rsidR="005F0A0A" w:rsidRPr="00B35ECF">
        <w:rPr>
          <w:rFonts w:cs="Times New Roman"/>
          <w:szCs w:val="24"/>
        </w:rPr>
        <w:t xml:space="preserve">w </w:t>
      </w:r>
      <w:r w:rsidRPr="00B35ECF">
        <w:rPr>
          <w:rFonts w:cs="Times New Roman"/>
          <w:szCs w:val="24"/>
        </w:rPr>
        <w:t>cel</w:t>
      </w:r>
      <w:r w:rsidR="005F0A0A" w:rsidRPr="00B35ECF">
        <w:rPr>
          <w:rFonts w:cs="Times New Roman"/>
          <w:szCs w:val="24"/>
        </w:rPr>
        <w:t>u</w:t>
      </w:r>
      <w:r w:rsidRPr="00B35ECF">
        <w:rPr>
          <w:rFonts w:cs="Times New Roman"/>
          <w:szCs w:val="24"/>
        </w:rPr>
        <w:t xml:space="preserve"> uzyskania opinii, dokonania powiadomienia, konsultacji albo uzgodnienia projektu.</w:t>
      </w:r>
    </w:p>
    <w:p w14:paraId="51E21D0B" w14:textId="6799C801" w:rsidR="00724835" w:rsidRPr="00B35ECF" w:rsidRDefault="004179AE" w:rsidP="00C82893">
      <w:pPr>
        <w:spacing w:before="120"/>
        <w:jc w:val="both"/>
        <w:rPr>
          <w:rFonts w:cs="Times New Roman"/>
          <w:szCs w:val="24"/>
        </w:rPr>
      </w:pPr>
      <w:r w:rsidRPr="00B35ECF">
        <w:rPr>
          <w:rFonts w:cs="Times New Roman"/>
          <w:szCs w:val="24"/>
        </w:rPr>
        <w:t>Stosownie do art. 5 ustawy z dnia 7 lipca 2005 r. o działalności lobbingowej w procesie</w:t>
      </w:r>
      <w:r w:rsidR="00724835" w:rsidRPr="00B35ECF">
        <w:rPr>
          <w:rFonts w:cs="Times New Roman"/>
          <w:szCs w:val="24"/>
        </w:rPr>
        <w:t xml:space="preserve"> stanowienia prawa</w:t>
      </w:r>
      <w:r w:rsidR="00F77350" w:rsidRPr="00B35ECF">
        <w:rPr>
          <w:rStyle w:val="Odwoanieprzypisudolnego"/>
          <w:rFonts w:cs="Times New Roman"/>
          <w:szCs w:val="24"/>
        </w:rPr>
        <w:footnoteReference w:id="13"/>
      </w:r>
      <w:r w:rsidR="00A66D3F" w:rsidRPr="00B35ECF">
        <w:rPr>
          <w:rFonts w:cs="Times New Roman"/>
          <w:szCs w:val="24"/>
          <w:vertAlign w:val="superscript"/>
        </w:rPr>
        <w:t>)</w:t>
      </w:r>
      <w:r w:rsidR="00724835" w:rsidRPr="00B35ECF">
        <w:rPr>
          <w:rFonts w:cs="Times New Roman"/>
          <w:szCs w:val="24"/>
        </w:rPr>
        <w:t xml:space="preserve"> projekt ustawy zosta</w:t>
      </w:r>
      <w:r w:rsidR="00320448" w:rsidRPr="00B35ECF">
        <w:rPr>
          <w:rFonts w:cs="Times New Roman"/>
          <w:szCs w:val="24"/>
        </w:rPr>
        <w:t>ł</w:t>
      </w:r>
      <w:r w:rsidR="00724835" w:rsidRPr="00B35ECF">
        <w:rPr>
          <w:rFonts w:cs="Times New Roman"/>
          <w:szCs w:val="24"/>
        </w:rPr>
        <w:t xml:space="preserve"> zamieszczony w Biuletynie Informacji Publicznej, </w:t>
      </w:r>
      <w:r w:rsidR="00724835" w:rsidRPr="00B35ECF">
        <w:rPr>
          <w:rFonts w:cs="Times New Roman"/>
          <w:szCs w:val="24"/>
        </w:rPr>
        <w:lastRenderedPageBreak/>
        <w:t xml:space="preserve">na stronie podmiotowej Rządowego Centrum Legislacji, w serwisie </w:t>
      </w:r>
      <w:r w:rsidR="00CA1C2B">
        <w:rPr>
          <w:rFonts w:cs="Times New Roman"/>
          <w:szCs w:val="24"/>
        </w:rPr>
        <w:t>„</w:t>
      </w:r>
      <w:r w:rsidR="00724835" w:rsidRPr="00B35ECF">
        <w:rPr>
          <w:rFonts w:cs="Times New Roman"/>
          <w:szCs w:val="24"/>
        </w:rPr>
        <w:t>Rządowy Proces Legislacyjny</w:t>
      </w:r>
      <w:r w:rsidR="00CA1C2B">
        <w:rPr>
          <w:rFonts w:cs="Times New Roman"/>
          <w:szCs w:val="24"/>
        </w:rPr>
        <w:t>”</w:t>
      </w:r>
      <w:r w:rsidR="00724835" w:rsidRPr="00B35ECF">
        <w:rPr>
          <w:rFonts w:cs="Times New Roman"/>
          <w:szCs w:val="24"/>
        </w:rPr>
        <w:t xml:space="preserve">. </w:t>
      </w:r>
    </w:p>
    <w:p w14:paraId="55A29A16" w14:textId="57258A01" w:rsidR="00D962E5" w:rsidRPr="00B35ECF" w:rsidRDefault="00D962E5" w:rsidP="00C82893">
      <w:pPr>
        <w:spacing w:before="120"/>
        <w:jc w:val="both"/>
        <w:rPr>
          <w:rFonts w:cs="Times New Roman"/>
          <w:szCs w:val="24"/>
        </w:rPr>
      </w:pPr>
      <w:r w:rsidRPr="00B35ECF">
        <w:rPr>
          <w:rFonts w:cs="Times New Roman"/>
          <w:szCs w:val="24"/>
        </w:rPr>
        <w:t>Ustawa nie zawiera przepisów przejściowych</w:t>
      </w:r>
      <w:r w:rsidR="00526B89" w:rsidRPr="00B35ECF">
        <w:rPr>
          <w:rFonts w:cs="Times New Roman"/>
          <w:szCs w:val="24"/>
        </w:rPr>
        <w:t>,</w:t>
      </w:r>
      <w:r w:rsidRPr="00B35ECF">
        <w:rPr>
          <w:rFonts w:cs="Times New Roman"/>
          <w:szCs w:val="24"/>
        </w:rPr>
        <w:t xml:space="preserve"> ponieważ zakres i charakter zmian nie wymagają uregulowania wpływu nowej regulacji na istniejące stosunki prawne.</w:t>
      </w:r>
    </w:p>
    <w:p w14:paraId="49D14D8D" w14:textId="34AC4F28" w:rsidR="0013041E" w:rsidRPr="00B35ECF" w:rsidRDefault="00884DCB" w:rsidP="00C82893">
      <w:pPr>
        <w:spacing w:before="120"/>
        <w:jc w:val="both"/>
        <w:rPr>
          <w:rFonts w:cs="Times New Roman"/>
          <w:szCs w:val="24"/>
        </w:rPr>
      </w:pPr>
      <w:r w:rsidRPr="00B35ECF">
        <w:rPr>
          <w:rFonts w:cs="Times New Roman"/>
          <w:szCs w:val="24"/>
        </w:rPr>
        <w:t xml:space="preserve">Planuje się, że projektowana ustawa wejdzie w życie </w:t>
      </w:r>
      <w:r w:rsidR="00697B06" w:rsidRPr="00B35ECF">
        <w:rPr>
          <w:rFonts w:cs="Times New Roman"/>
          <w:szCs w:val="24"/>
        </w:rPr>
        <w:t xml:space="preserve">z dniem 1 stycznia 2027 r. z wyjątkiem art. 1, który wejdzie w życie po upływie 14 dni od dnia ogłoszenia. Wejście w życie zmian do ustawy o zużytym sprzęcie elektrycznym i elektronicznym we wcześniejszym terminie – </w:t>
      </w:r>
      <w:r w:rsidR="00320448" w:rsidRPr="00B35ECF">
        <w:rPr>
          <w:rFonts w:cs="Times New Roman"/>
          <w:szCs w:val="24"/>
        </w:rPr>
        <w:t>tj.</w:t>
      </w:r>
      <w:r w:rsidR="00BE60EB" w:rsidRPr="00B35ECF">
        <w:rPr>
          <w:rFonts w:cs="Times New Roman"/>
          <w:szCs w:val="24"/>
        </w:rPr>
        <w:t> </w:t>
      </w:r>
      <w:r w:rsidRPr="00B35ECF">
        <w:rPr>
          <w:rFonts w:cs="Times New Roman"/>
          <w:szCs w:val="24"/>
        </w:rPr>
        <w:t>po</w:t>
      </w:r>
      <w:r w:rsidR="00971060" w:rsidRPr="00B35ECF">
        <w:rPr>
          <w:rFonts w:cs="Times New Roman"/>
          <w:szCs w:val="24"/>
        </w:rPr>
        <w:t> </w:t>
      </w:r>
      <w:r w:rsidRPr="00B35ECF">
        <w:rPr>
          <w:rFonts w:cs="Times New Roman"/>
          <w:szCs w:val="24"/>
        </w:rPr>
        <w:t>upływie 14 dni od dnia ogłoszenia</w:t>
      </w:r>
      <w:r w:rsidR="00697B06" w:rsidRPr="00B35ECF">
        <w:rPr>
          <w:rFonts w:cs="Times New Roman"/>
          <w:szCs w:val="24"/>
        </w:rPr>
        <w:t xml:space="preserve"> –</w:t>
      </w:r>
      <w:r w:rsidRPr="00B35ECF">
        <w:rPr>
          <w:rFonts w:cs="Times New Roman"/>
          <w:szCs w:val="24"/>
        </w:rPr>
        <w:t xml:space="preserve"> </w:t>
      </w:r>
      <w:r w:rsidR="001177C2" w:rsidRPr="00B35ECF">
        <w:rPr>
          <w:rFonts w:cs="Times New Roman"/>
          <w:szCs w:val="24"/>
        </w:rPr>
        <w:t xml:space="preserve">jest </w:t>
      </w:r>
      <w:r w:rsidR="00697B06" w:rsidRPr="00B35ECF">
        <w:rPr>
          <w:rFonts w:cs="Times New Roman"/>
          <w:szCs w:val="24"/>
        </w:rPr>
        <w:t>podyktowane potrzebą możliwie szybkiego</w:t>
      </w:r>
      <w:r w:rsidRPr="00B35ECF">
        <w:rPr>
          <w:rFonts w:cs="Times New Roman"/>
          <w:szCs w:val="24"/>
        </w:rPr>
        <w:t xml:space="preserve"> wdrożenia dyrektywy 2024/884, której termin transpozycji upłynął </w:t>
      </w:r>
      <w:r w:rsidR="00697B06" w:rsidRPr="00B35ECF">
        <w:rPr>
          <w:rFonts w:cs="Times New Roman"/>
          <w:szCs w:val="24"/>
        </w:rPr>
        <w:t xml:space="preserve">w dniu </w:t>
      </w:r>
      <w:r w:rsidRPr="00B35ECF">
        <w:rPr>
          <w:rFonts w:cs="Times New Roman"/>
          <w:szCs w:val="24"/>
        </w:rPr>
        <w:t>9 października 2025</w:t>
      </w:r>
      <w:r w:rsidR="00971060" w:rsidRPr="00B35ECF">
        <w:rPr>
          <w:rFonts w:cs="Times New Roman"/>
          <w:szCs w:val="24"/>
        </w:rPr>
        <w:t> </w:t>
      </w:r>
      <w:r w:rsidRPr="00B35ECF">
        <w:rPr>
          <w:rFonts w:cs="Times New Roman"/>
          <w:szCs w:val="24"/>
        </w:rPr>
        <w:t>r.</w:t>
      </w:r>
    </w:p>
    <w:sectPr w:rsidR="0013041E" w:rsidRPr="00B35ECF" w:rsidSect="00B35EC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32244" w14:textId="77777777" w:rsidR="00235B72" w:rsidRDefault="00235B72" w:rsidP="00F0371D">
      <w:pPr>
        <w:spacing w:line="240" w:lineRule="auto"/>
      </w:pPr>
      <w:r>
        <w:separator/>
      </w:r>
    </w:p>
  </w:endnote>
  <w:endnote w:type="continuationSeparator" w:id="0">
    <w:p w14:paraId="023DC02D" w14:textId="77777777" w:rsidR="00235B72" w:rsidRDefault="00235B72" w:rsidP="00F037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16624"/>
      <w:docPartObj>
        <w:docPartGallery w:val="Page Numbers (Bottom of Page)"/>
        <w:docPartUnique/>
      </w:docPartObj>
    </w:sdtPr>
    <w:sdtEndPr/>
    <w:sdtContent>
      <w:p w14:paraId="14EBE685" w14:textId="4E4AA365" w:rsidR="00B35ECF" w:rsidRDefault="00B35ECF" w:rsidP="00B35ECF">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FE18" w14:textId="77777777" w:rsidR="00235B72" w:rsidRDefault="00235B72" w:rsidP="00F0371D">
      <w:pPr>
        <w:spacing w:line="240" w:lineRule="auto"/>
      </w:pPr>
      <w:r>
        <w:separator/>
      </w:r>
    </w:p>
  </w:footnote>
  <w:footnote w:type="continuationSeparator" w:id="0">
    <w:p w14:paraId="5AC584B0" w14:textId="77777777" w:rsidR="00235B72" w:rsidRDefault="00235B72" w:rsidP="00F0371D">
      <w:pPr>
        <w:spacing w:line="240" w:lineRule="auto"/>
      </w:pPr>
      <w:r>
        <w:continuationSeparator/>
      </w:r>
    </w:p>
  </w:footnote>
  <w:footnote w:id="1">
    <w:p w14:paraId="6F12E7AB" w14:textId="7A867B38" w:rsidR="00BD0B0F" w:rsidRPr="00804A94" w:rsidRDefault="00BD0B0F" w:rsidP="00022A53">
      <w:pPr>
        <w:pStyle w:val="Tekstprzypisudolnego"/>
        <w:rPr>
          <w:sz w:val="16"/>
          <w:szCs w:val="16"/>
        </w:rPr>
      </w:pPr>
      <w:r w:rsidRPr="00804A94">
        <w:rPr>
          <w:rStyle w:val="Odwoanieprzypisudolnego"/>
          <w:sz w:val="16"/>
          <w:szCs w:val="16"/>
        </w:rPr>
        <w:footnoteRef/>
      </w:r>
      <w:r w:rsidR="009A3F19" w:rsidRPr="009A3F19">
        <w:rPr>
          <w:sz w:val="16"/>
          <w:szCs w:val="16"/>
          <w:vertAlign w:val="superscript"/>
        </w:rPr>
        <w:t>)</w:t>
      </w:r>
      <w:r w:rsidRPr="00804A94">
        <w:rPr>
          <w:sz w:val="16"/>
          <w:szCs w:val="16"/>
        </w:rPr>
        <w:t xml:space="preserve"> Dz. Urz. UE L </w:t>
      </w:r>
      <w:r w:rsidR="00581624">
        <w:rPr>
          <w:sz w:val="16"/>
          <w:szCs w:val="16"/>
        </w:rPr>
        <w:t>2024/</w:t>
      </w:r>
      <w:r w:rsidRPr="00804A94">
        <w:rPr>
          <w:sz w:val="16"/>
          <w:szCs w:val="16"/>
        </w:rPr>
        <w:t>884 z 19.</w:t>
      </w:r>
      <w:r w:rsidR="00581624">
        <w:rPr>
          <w:sz w:val="16"/>
          <w:szCs w:val="16"/>
        </w:rPr>
        <w:t>0</w:t>
      </w:r>
      <w:r w:rsidRPr="00804A94">
        <w:rPr>
          <w:sz w:val="16"/>
          <w:szCs w:val="16"/>
        </w:rPr>
        <w:t>3.2024</w:t>
      </w:r>
      <w:r w:rsidR="003458B3">
        <w:rPr>
          <w:sz w:val="16"/>
          <w:szCs w:val="16"/>
        </w:rPr>
        <w:t>.</w:t>
      </w:r>
    </w:p>
  </w:footnote>
  <w:footnote w:id="2">
    <w:p w14:paraId="7FAEC552" w14:textId="73AE602D" w:rsidR="007F7536" w:rsidRDefault="007F7536" w:rsidP="007F7536">
      <w:pPr>
        <w:pStyle w:val="Tekstprzypisudolnego"/>
      </w:pPr>
      <w:r w:rsidRPr="0021517C">
        <w:rPr>
          <w:rStyle w:val="Odwoanieprzypisudolnego"/>
          <w:sz w:val="16"/>
          <w:szCs w:val="16"/>
        </w:rPr>
        <w:footnoteRef/>
      </w:r>
      <w:r w:rsidRPr="0021517C">
        <w:rPr>
          <w:sz w:val="16"/>
          <w:szCs w:val="16"/>
          <w:vertAlign w:val="superscript"/>
        </w:rPr>
        <w:t>)</w:t>
      </w:r>
      <w:r w:rsidRPr="0021517C">
        <w:rPr>
          <w:sz w:val="16"/>
          <w:szCs w:val="16"/>
        </w:rPr>
        <w:t xml:space="preserve"> </w:t>
      </w:r>
      <w:r w:rsidR="00772BEC" w:rsidRPr="00772BEC">
        <w:rPr>
          <w:sz w:val="16"/>
          <w:szCs w:val="16"/>
        </w:rPr>
        <w:t>Dz.</w:t>
      </w:r>
      <w:r w:rsidR="00A6597A">
        <w:rPr>
          <w:sz w:val="16"/>
          <w:szCs w:val="16"/>
        </w:rPr>
        <w:t xml:space="preserve"> </w:t>
      </w:r>
      <w:r w:rsidR="00772BEC" w:rsidRPr="00772BEC">
        <w:rPr>
          <w:sz w:val="16"/>
          <w:szCs w:val="16"/>
        </w:rPr>
        <w:t>U</w:t>
      </w:r>
      <w:r w:rsidR="00A6597A">
        <w:rPr>
          <w:sz w:val="16"/>
          <w:szCs w:val="16"/>
        </w:rPr>
        <w:t>rz</w:t>
      </w:r>
      <w:r w:rsidR="00772BEC" w:rsidRPr="00772BEC">
        <w:rPr>
          <w:sz w:val="16"/>
          <w:szCs w:val="16"/>
        </w:rPr>
        <w:t xml:space="preserve">. </w:t>
      </w:r>
      <w:r w:rsidR="00A6597A">
        <w:rPr>
          <w:sz w:val="16"/>
          <w:szCs w:val="16"/>
        </w:rPr>
        <w:t xml:space="preserve">UE </w:t>
      </w:r>
      <w:r w:rsidR="00772BEC" w:rsidRPr="00772BEC">
        <w:rPr>
          <w:sz w:val="16"/>
          <w:szCs w:val="16"/>
        </w:rPr>
        <w:t>L 197 z 24.</w:t>
      </w:r>
      <w:r w:rsidR="00A6597A">
        <w:rPr>
          <w:sz w:val="16"/>
          <w:szCs w:val="16"/>
        </w:rPr>
        <w:t>0</w:t>
      </w:r>
      <w:r w:rsidR="00772BEC" w:rsidRPr="00772BEC">
        <w:rPr>
          <w:sz w:val="16"/>
          <w:szCs w:val="16"/>
        </w:rPr>
        <w:t>7.2012, str. 38, z późn. zm.</w:t>
      </w:r>
    </w:p>
  </w:footnote>
  <w:footnote w:id="3">
    <w:p w14:paraId="475A7834" w14:textId="11222622" w:rsidR="00772BEC" w:rsidRDefault="00772BEC">
      <w:pPr>
        <w:pStyle w:val="Tekstprzypisudolnego"/>
      </w:pPr>
      <w:r w:rsidRPr="00772BEC">
        <w:rPr>
          <w:rStyle w:val="Odwoanieprzypisudolnego"/>
          <w:sz w:val="16"/>
          <w:szCs w:val="16"/>
        </w:rPr>
        <w:footnoteRef/>
      </w:r>
      <w:r w:rsidRPr="00772BEC">
        <w:rPr>
          <w:sz w:val="16"/>
          <w:szCs w:val="16"/>
          <w:vertAlign w:val="superscript"/>
        </w:rPr>
        <w:t>)</w:t>
      </w:r>
      <w:r>
        <w:t xml:space="preserve"> </w:t>
      </w:r>
      <w:r w:rsidRPr="00805C5D">
        <w:rPr>
          <w:sz w:val="16"/>
          <w:szCs w:val="16"/>
        </w:rPr>
        <w:t>Dz. Urz. UE L 312 z 22.11.2008, str. 3, z późn. zm.</w:t>
      </w:r>
    </w:p>
  </w:footnote>
  <w:footnote w:id="4">
    <w:p w14:paraId="5954BDDB" w14:textId="0DB043A6" w:rsidR="005E0F58" w:rsidRPr="0021517C" w:rsidRDefault="005E0F58">
      <w:pPr>
        <w:pStyle w:val="Tekstprzypisudolnego"/>
        <w:rPr>
          <w:sz w:val="16"/>
          <w:szCs w:val="16"/>
        </w:rPr>
      </w:pPr>
      <w:r w:rsidRPr="0021517C">
        <w:rPr>
          <w:rStyle w:val="Odwoanieprzypisudolnego"/>
          <w:sz w:val="16"/>
          <w:szCs w:val="16"/>
        </w:rPr>
        <w:footnoteRef/>
      </w:r>
      <w:r w:rsidR="00C72E04" w:rsidRPr="0021517C">
        <w:rPr>
          <w:sz w:val="16"/>
          <w:szCs w:val="16"/>
          <w:vertAlign w:val="superscript"/>
        </w:rPr>
        <w:t>)</w:t>
      </w:r>
      <w:r w:rsidRPr="0021517C">
        <w:rPr>
          <w:sz w:val="16"/>
          <w:szCs w:val="16"/>
        </w:rPr>
        <w:t xml:space="preserve"> Dz. Urz. UE L 150 z 14.06.2018, str. 109</w:t>
      </w:r>
      <w:r w:rsidR="00187F5A">
        <w:rPr>
          <w:sz w:val="16"/>
          <w:szCs w:val="16"/>
        </w:rPr>
        <w:t>.</w:t>
      </w:r>
    </w:p>
  </w:footnote>
  <w:footnote w:id="5">
    <w:p w14:paraId="13FF6537" w14:textId="1B2CFA30" w:rsidR="004F6142" w:rsidRPr="00804A94" w:rsidRDefault="004F6142" w:rsidP="00022A53">
      <w:pPr>
        <w:pStyle w:val="Tekstprzypisudolnego"/>
        <w:rPr>
          <w:sz w:val="16"/>
          <w:szCs w:val="16"/>
        </w:rPr>
      </w:pPr>
      <w:r w:rsidRPr="00804A94">
        <w:rPr>
          <w:rStyle w:val="Odwoanieprzypisudolnego"/>
          <w:sz w:val="16"/>
          <w:szCs w:val="16"/>
        </w:rPr>
        <w:footnoteRef/>
      </w:r>
      <w:r w:rsidR="009A3F19" w:rsidRPr="009A3F19">
        <w:rPr>
          <w:sz w:val="16"/>
          <w:szCs w:val="16"/>
          <w:vertAlign w:val="superscript"/>
        </w:rPr>
        <w:t>)</w:t>
      </w:r>
      <w:r w:rsidRPr="00804A94">
        <w:rPr>
          <w:sz w:val="16"/>
          <w:szCs w:val="16"/>
        </w:rPr>
        <w:t xml:space="preserve"> Dz. U. z 2024 r. poz. 573</w:t>
      </w:r>
      <w:r w:rsidR="00CD5445">
        <w:rPr>
          <w:sz w:val="16"/>
          <w:szCs w:val="16"/>
        </w:rPr>
        <w:t>,</w:t>
      </w:r>
      <w:r w:rsidR="000D1AEF">
        <w:rPr>
          <w:sz w:val="16"/>
          <w:szCs w:val="16"/>
        </w:rPr>
        <w:t xml:space="preserve"> z późn. zm.</w:t>
      </w:r>
      <w:r w:rsidR="009B33F5" w:rsidRPr="009B33F5">
        <w:rPr>
          <w:sz w:val="16"/>
          <w:szCs w:val="16"/>
        </w:rPr>
        <w:t xml:space="preserve"> </w:t>
      </w:r>
    </w:p>
  </w:footnote>
  <w:footnote w:id="6">
    <w:p w14:paraId="611CFD2F" w14:textId="48F11B9A" w:rsidR="00DC32EB" w:rsidRPr="00F13974" w:rsidRDefault="00DC32EB" w:rsidP="00022A53">
      <w:pPr>
        <w:pStyle w:val="Tekstprzypisudolnego"/>
        <w:rPr>
          <w:sz w:val="16"/>
          <w:szCs w:val="16"/>
        </w:rPr>
      </w:pPr>
      <w:r w:rsidRPr="00F13974">
        <w:rPr>
          <w:rStyle w:val="Odwoanieprzypisudolnego"/>
          <w:sz w:val="16"/>
          <w:szCs w:val="16"/>
        </w:rPr>
        <w:footnoteRef/>
      </w:r>
      <w:r w:rsidR="009A3F19" w:rsidRPr="009A3F19">
        <w:rPr>
          <w:sz w:val="16"/>
          <w:szCs w:val="16"/>
          <w:vertAlign w:val="superscript"/>
        </w:rPr>
        <w:t>)</w:t>
      </w:r>
      <w:r w:rsidRPr="00F13974">
        <w:rPr>
          <w:sz w:val="16"/>
          <w:szCs w:val="16"/>
        </w:rPr>
        <w:t xml:space="preserve"> Dz. U. z 2020 r. poz. 2056</w:t>
      </w:r>
      <w:r w:rsidR="0039353D">
        <w:rPr>
          <w:sz w:val="16"/>
          <w:szCs w:val="16"/>
        </w:rPr>
        <w:t>.</w:t>
      </w:r>
    </w:p>
  </w:footnote>
  <w:footnote w:id="7">
    <w:p w14:paraId="31D6B609" w14:textId="725A0567" w:rsidR="002D2F9A" w:rsidRDefault="002D2F9A">
      <w:pPr>
        <w:pStyle w:val="Tekstprzypisudolnego"/>
      </w:pPr>
      <w:r w:rsidRPr="002D2F9A">
        <w:rPr>
          <w:rStyle w:val="Odwoanieprzypisudolnego"/>
          <w:sz w:val="16"/>
          <w:szCs w:val="16"/>
        </w:rPr>
        <w:footnoteRef/>
      </w:r>
      <w:r w:rsidRPr="002D2F9A">
        <w:rPr>
          <w:sz w:val="16"/>
          <w:szCs w:val="16"/>
          <w:vertAlign w:val="superscript"/>
        </w:rPr>
        <w:t>)</w:t>
      </w:r>
      <w:r>
        <w:t xml:space="preserve"> </w:t>
      </w:r>
      <w:r w:rsidRPr="002D2F9A">
        <w:rPr>
          <w:sz w:val="16"/>
          <w:szCs w:val="16"/>
        </w:rPr>
        <w:t>Dz. U. z 2025 r. poz. 809</w:t>
      </w:r>
      <w:r w:rsidR="0039353D">
        <w:rPr>
          <w:sz w:val="16"/>
          <w:szCs w:val="16"/>
        </w:rPr>
        <w:t>.</w:t>
      </w:r>
    </w:p>
  </w:footnote>
  <w:footnote w:id="8">
    <w:p w14:paraId="6C1BE797" w14:textId="06BE9AFD" w:rsidR="00DC32EB" w:rsidRPr="00D92A2A" w:rsidRDefault="00DC32EB" w:rsidP="00022A53">
      <w:pPr>
        <w:pStyle w:val="Tekstprzypisudolnego"/>
        <w:rPr>
          <w:sz w:val="16"/>
          <w:szCs w:val="16"/>
        </w:rPr>
      </w:pPr>
      <w:r w:rsidRPr="00D92A2A">
        <w:rPr>
          <w:rStyle w:val="Odwoanieprzypisudolnego"/>
          <w:sz w:val="16"/>
          <w:szCs w:val="16"/>
        </w:rPr>
        <w:footnoteRef/>
      </w:r>
      <w:r w:rsidR="009A3F19" w:rsidRPr="009A3F19">
        <w:rPr>
          <w:sz w:val="16"/>
          <w:szCs w:val="16"/>
          <w:vertAlign w:val="superscript"/>
        </w:rPr>
        <w:t>)</w:t>
      </w:r>
      <w:r w:rsidRPr="00D92A2A">
        <w:rPr>
          <w:sz w:val="16"/>
          <w:szCs w:val="16"/>
        </w:rPr>
        <w:t xml:space="preserve"> Dz. U. z 202</w:t>
      </w:r>
      <w:r w:rsidR="00941322">
        <w:rPr>
          <w:sz w:val="16"/>
          <w:szCs w:val="16"/>
        </w:rPr>
        <w:t>6</w:t>
      </w:r>
      <w:r w:rsidRPr="00D92A2A">
        <w:rPr>
          <w:sz w:val="16"/>
          <w:szCs w:val="16"/>
        </w:rPr>
        <w:t xml:space="preserve"> r. poz. </w:t>
      </w:r>
      <w:r w:rsidR="00941322">
        <w:rPr>
          <w:sz w:val="16"/>
          <w:szCs w:val="16"/>
        </w:rPr>
        <w:t>1328</w:t>
      </w:r>
      <w:r w:rsidRPr="00D92A2A">
        <w:rPr>
          <w:sz w:val="16"/>
          <w:szCs w:val="16"/>
        </w:rPr>
        <w:t>.</w:t>
      </w:r>
    </w:p>
  </w:footnote>
  <w:footnote w:id="9">
    <w:p w14:paraId="3AA13817" w14:textId="70EBB199" w:rsidR="00BB3C03" w:rsidRPr="00804A94" w:rsidRDefault="00BB3C03" w:rsidP="00022A53">
      <w:pPr>
        <w:pStyle w:val="Tekstprzypisudolnego"/>
        <w:rPr>
          <w:sz w:val="16"/>
          <w:szCs w:val="16"/>
        </w:rPr>
      </w:pPr>
      <w:r w:rsidRPr="00804A94">
        <w:rPr>
          <w:rStyle w:val="Odwoanieprzypisudolnego"/>
          <w:sz w:val="16"/>
          <w:szCs w:val="16"/>
        </w:rPr>
        <w:footnoteRef/>
      </w:r>
      <w:r w:rsidR="009A3F19" w:rsidRPr="009A3F19">
        <w:rPr>
          <w:sz w:val="16"/>
          <w:szCs w:val="16"/>
          <w:vertAlign w:val="superscript"/>
        </w:rPr>
        <w:t>)</w:t>
      </w:r>
      <w:r w:rsidRPr="00804A94">
        <w:rPr>
          <w:sz w:val="16"/>
          <w:szCs w:val="16"/>
        </w:rPr>
        <w:t xml:space="preserve"> Dz.</w:t>
      </w:r>
      <w:r w:rsidR="00C1532D" w:rsidRPr="00804A94">
        <w:rPr>
          <w:sz w:val="16"/>
          <w:szCs w:val="16"/>
        </w:rPr>
        <w:t xml:space="preserve"> </w:t>
      </w:r>
      <w:r w:rsidRPr="00804A94">
        <w:rPr>
          <w:sz w:val="16"/>
          <w:szCs w:val="16"/>
        </w:rPr>
        <w:t xml:space="preserve">U. z </w:t>
      </w:r>
      <w:r w:rsidR="00CE70A7">
        <w:rPr>
          <w:sz w:val="16"/>
          <w:szCs w:val="16"/>
        </w:rPr>
        <w:t>2026</w:t>
      </w:r>
      <w:r w:rsidR="00CE70A7" w:rsidRPr="00804A94">
        <w:rPr>
          <w:sz w:val="16"/>
          <w:szCs w:val="16"/>
        </w:rPr>
        <w:t xml:space="preserve"> </w:t>
      </w:r>
      <w:r w:rsidRPr="00804A94">
        <w:rPr>
          <w:sz w:val="16"/>
          <w:szCs w:val="16"/>
        </w:rPr>
        <w:t>r. poz.</w:t>
      </w:r>
      <w:r w:rsidR="003A11DA">
        <w:rPr>
          <w:sz w:val="16"/>
          <w:szCs w:val="16"/>
        </w:rPr>
        <w:t xml:space="preserve"> </w:t>
      </w:r>
      <w:r w:rsidR="00CE70A7">
        <w:rPr>
          <w:sz w:val="16"/>
          <w:szCs w:val="16"/>
        </w:rPr>
        <w:t>619</w:t>
      </w:r>
      <w:r w:rsidR="0039353D">
        <w:rPr>
          <w:sz w:val="16"/>
          <w:szCs w:val="16"/>
        </w:rPr>
        <w:t>.</w:t>
      </w:r>
    </w:p>
  </w:footnote>
  <w:footnote w:id="10">
    <w:p w14:paraId="6FFBB681" w14:textId="235DE7B1" w:rsidR="007608DA" w:rsidRDefault="007608DA" w:rsidP="00022A53">
      <w:pPr>
        <w:pStyle w:val="Tekstprzypisudolnego"/>
      </w:pPr>
      <w:r w:rsidRPr="003424F5">
        <w:rPr>
          <w:rStyle w:val="Odwoanieprzypisudolnego"/>
          <w:sz w:val="16"/>
          <w:szCs w:val="16"/>
        </w:rPr>
        <w:footnoteRef/>
      </w:r>
      <w:r w:rsidR="00A66D3F" w:rsidRPr="00A66D3F">
        <w:rPr>
          <w:sz w:val="16"/>
          <w:szCs w:val="16"/>
          <w:vertAlign w:val="superscript"/>
        </w:rPr>
        <w:t>)</w:t>
      </w:r>
      <w:r w:rsidRPr="003424F5">
        <w:rPr>
          <w:sz w:val="16"/>
          <w:szCs w:val="16"/>
        </w:rPr>
        <w:t xml:space="preserve"> Dz. U. z 2024 r. poz. 433</w:t>
      </w:r>
      <w:r w:rsidR="000D1AEF">
        <w:rPr>
          <w:sz w:val="16"/>
          <w:szCs w:val="16"/>
        </w:rPr>
        <w:t>, z późn. zm</w:t>
      </w:r>
      <w:r w:rsidRPr="003424F5">
        <w:rPr>
          <w:sz w:val="16"/>
          <w:szCs w:val="16"/>
        </w:rPr>
        <w:t>.</w:t>
      </w:r>
    </w:p>
  </w:footnote>
  <w:footnote w:id="11">
    <w:p w14:paraId="09EC43DD" w14:textId="762B95AB" w:rsidR="00F77350" w:rsidRPr="00134462" w:rsidRDefault="00F77350" w:rsidP="00F77350">
      <w:pPr>
        <w:pStyle w:val="Tekstprzypisudolnego"/>
        <w:rPr>
          <w:sz w:val="16"/>
          <w:szCs w:val="16"/>
        </w:rPr>
      </w:pPr>
      <w:r w:rsidRPr="00022A53">
        <w:rPr>
          <w:rStyle w:val="Odwoanieprzypisudolnego"/>
          <w:sz w:val="16"/>
          <w:szCs w:val="16"/>
        </w:rPr>
        <w:footnoteRef/>
      </w:r>
      <w:r w:rsidR="00A66D3F" w:rsidRPr="00A66D3F">
        <w:rPr>
          <w:sz w:val="16"/>
          <w:szCs w:val="16"/>
          <w:vertAlign w:val="superscript"/>
        </w:rPr>
        <w:t>)</w:t>
      </w:r>
      <w:r w:rsidRPr="00022A53">
        <w:rPr>
          <w:sz w:val="16"/>
          <w:szCs w:val="16"/>
        </w:rPr>
        <w:t xml:space="preserve"> Dz. U.</w:t>
      </w:r>
      <w:hyperlink r:id="rId1" w:history="1">
        <w:r w:rsidR="000D1AEF" w:rsidRPr="00134462">
          <w:rPr>
            <w:rStyle w:val="Hipercze"/>
            <w:color w:val="auto"/>
            <w:sz w:val="16"/>
            <w:szCs w:val="16"/>
            <w:u w:val="none"/>
          </w:rPr>
          <w:t xml:space="preserve"> poz. </w:t>
        </w:r>
      </w:hyperlink>
      <w:r w:rsidR="00134462" w:rsidRPr="00C82893">
        <w:rPr>
          <w:sz w:val="16"/>
          <w:szCs w:val="16"/>
        </w:rPr>
        <w:t>2039, z późn. zm</w:t>
      </w:r>
      <w:r w:rsidR="001C3075" w:rsidRPr="00134462">
        <w:rPr>
          <w:sz w:val="16"/>
          <w:szCs w:val="16"/>
        </w:rPr>
        <w:t>.</w:t>
      </w:r>
    </w:p>
  </w:footnote>
  <w:footnote w:id="12">
    <w:p w14:paraId="1B5E0297" w14:textId="604A5971" w:rsidR="005E0F58" w:rsidRPr="0021517C" w:rsidRDefault="005E0F58">
      <w:pPr>
        <w:pStyle w:val="Tekstprzypisudolnego"/>
        <w:rPr>
          <w:sz w:val="16"/>
          <w:szCs w:val="16"/>
        </w:rPr>
      </w:pPr>
      <w:r w:rsidRPr="0021517C">
        <w:rPr>
          <w:rStyle w:val="Odwoanieprzypisudolnego"/>
          <w:sz w:val="16"/>
          <w:szCs w:val="16"/>
        </w:rPr>
        <w:footnoteRef/>
      </w:r>
      <w:r w:rsidR="00C72E04" w:rsidRPr="0021517C">
        <w:rPr>
          <w:sz w:val="16"/>
          <w:szCs w:val="16"/>
          <w:vertAlign w:val="superscript"/>
        </w:rPr>
        <w:t>)</w:t>
      </w:r>
      <w:r>
        <w:t xml:space="preserve"> </w:t>
      </w:r>
      <w:r w:rsidRPr="0021517C">
        <w:rPr>
          <w:sz w:val="16"/>
          <w:szCs w:val="16"/>
        </w:rPr>
        <w:t>Dz. Urz. UE L 376 z 27.12.2006, str. 36</w:t>
      </w:r>
      <w:r w:rsidR="00656350">
        <w:rPr>
          <w:sz w:val="16"/>
          <w:szCs w:val="16"/>
        </w:rPr>
        <w:t>.</w:t>
      </w:r>
    </w:p>
  </w:footnote>
  <w:footnote w:id="13">
    <w:p w14:paraId="39880EBD" w14:textId="3F97E894" w:rsidR="00F77350" w:rsidRDefault="00F77350" w:rsidP="00F77350">
      <w:pPr>
        <w:pStyle w:val="Tekstprzypisudolnego"/>
      </w:pPr>
      <w:r w:rsidRPr="00022A53">
        <w:rPr>
          <w:rStyle w:val="Odwoanieprzypisudolnego"/>
          <w:sz w:val="16"/>
          <w:szCs w:val="16"/>
        </w:rPr>
        <w:footnoteRef/>
      </w:r>
      <w:r w:rsidR="00A66D3F" w:rsidRPr="00A66D3F">
        <w:rPr>
          <w:sz w:val="16"/>
          <w:szCs w:val="16"/>
          <w:vertAlign w:val="superscript"/>
        </w:rPr>
        <w:t>)</w:t>
      </w:r>
      <w:r w:rsidRPr="00022A53">
        <w:rPr>
          <w:sz w:val="16"/>
          <w:szCs w:val="16"/>
        </w:rPr>
        <w:t xml:space="preserve"> Dz. U. z </w:t>
      </w:r>
      <w:r w:rsidR="0013492A">
        <w:rPr>
          <w:sz w:val="16"/>
          <w:szCs w:val="16"/>
        </w:rPr>
        <w:t>2026</w:t>
      </w:r>
      <w:r w:rsidR="0013492A" w:rsidRPr="00022A53">
        <w:rPr>
          <w:sz w:val="16"/>
          <w:szCs w:val="16"/>
        </w:rPr>
        <w:t xml:space="preserve"> </w:t>
      </w:r>
      <w:r w:rsidRPr="00022A53">
        <w:rPr>
          <w:sz w:val="16"/>
          <w:szCs w:val="16"/>
        </w:rPr>
        <w:t xml:space="preserve">r. poz. </w:t>
      </w:r>
      <w:r w:rsidR="0013492A">
        <w:rPr>
          <w:sz w:val="16"/>
          <w:szCs w:val="16"/>
        </w:rPr>
        <w:t>936.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7006C"/>
    <w:multiLevelType w:val="hybridMultilevel"/>
    <w:tmpl w:val="544655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A7600B"/>
    <w:multiLevelType w:val="hybridMultilevel"/>
    <w:tmpl w:val="C0CA83E0"/>
    <w:lvl w:ilvl="0" w:tplc="04150013">
      <w:start w:val="1"/>
      <w:numFmt w:val="upperRoman"/>
      <w:lvlText w:val="%1."/>
      <w:lvlJc w:val="righ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79B714C"/>
    <w:multiLevelType w:val="hybridMultilevel"/>
    <w:tmpl w:val="7EA052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AF83811"/>
    <w:multiLevelType w:val="hybridMultilevel"/>
    <w:tmpl w:val="3D6CCB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CFD27B6"/>
    <w:multiLevelType w:val="hybridMultilevel"/>
    <w:tmpl w:val="7B52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3EA5BE3"/>
    <w:multiLevelType w:val="hybridMultilevel"/>
    <w:tmpl w:val="A48CFC82"/>
    <w:lvl w:ilvl="0" w:tplc="14E2A5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C69531A"/>
    <w:multiLevelType w:val="hybridMultilevel"/>
    <w:tmpl w:val="17602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CC45D74"/>
    <w:multiLevelType w:val="hybridMultilevel"/>
    <w:tmpl w:val="E7205312"/>
    <w:lvl w:ilvl="0" w:tplc="088638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EE17230"/>
    <w:multiLevelType w:val="hybridMultilevel"/>
    <w:tmpl w:val="FDDC9DB2"/>
    <w:lvl w:ilvl="0" w:tplc="04150003">
      <w:start w:val="1"/>
      <w:numFmt w:val="bullet"/>
      <w:lvlText w:val="o"/>
      <w:lvlJc w:val="left"/>
      <w:pPr>
        <w:ind w:left="720" w:hanging="360"/>
      </w:pPr>
      <w:rPr>
        <w:rFonts w:ascii="Courier New" w:hAnsi="Courier New" w:cs="Courier Ne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0803C84"/>
    <w:multiLevelType w:val="hybridMultilevel"/>
    <w:tmpl w:val="51129D9A"/>
    <w:lvl w:ilvl="0" w:tplc="04150011">
      <w:start w:val="1"/>
      <w:numFmt w:val="decimal"/>
      <w:lvlText w:val="%1)"/>
      <w:lvlJc w:val="left"/>
      <w:pPr>
        <w:ind w:left="1495" w:hanging="360"/>
      </w:pPr>
    </w:lvl>
    <w:lvl w:ilvl="1" w:tplc="04150003">
      <w:start w:val="1"/>
      <w:numFmt w:val="bullet"/>
      <w:lvlText w:val="o"/>
      <w:lvlJc w:val="left"/>
      <w:pPr>
        <w:ind w:left="2215" w:hanging="360"/>
      </w:pPr>
      <w:rPr>
        <w:rFonts w:ascii="Courier New" w:hAnsi="Courier New" w:cs="Courier New" w:hint="default"/>
      </w:rPr>
    </w:lvl>
    <w:lvl w:ilvl="2" w:tplc="04150005">
      <w:start w:val="1"/>
      <w:numFmt w:val="bullet"/>
      <w:lvlText w:val=""/>
      <w:lvlJc w:val="left"/>
      <w:pPr>
        <w:ind w:left="2935" w:hanging="360"/>
      </w:pPr>
      <w:rPr>
        <w:rFonts w:ascii="Wingdings" w:hAnsi="Wingdings" w:hint="default"/>
      </w:rPr>
    </w:lvl>
    <w:lvl w:ilvl="3" w:tplc="04150001">
      <w:start w:val="1"/>
      <w:numFmt w:val="bullet"/>
      <w:lvlText w:val=""/>
      <w:lvlJc w:val="left"/>
      <w:pPr>
        <w:ind w:left="3655" w:hanging="360"/>
      </w:pPr>
      <w:rPr>
        <w:rFonts w:ascii="Symbol" w:hAnsi="Symbol" w:hint="default"/>
      </w:rPr>
    </w:lvl>
    <w:lvl w:ilvl="4" w:tplc="04150003">
      <w:start w:val="1"/>
      <w:numFmt w:val="bullet"/>
      <w:lvlText w:val="o"/>
      <w:lvlJc w:val="left"/>
      <w:pPr>
        <w:ind w:left="4375" w:hanging="360"/>
      </w:pPr>
      <w:rPr>
        <w:rFonts w:ascii="Courier New" w:hAnsi="Courier New" w:cs="Courier New" w:hint="default"/>
      </w:rPr>
    </w:lvl>
    <w:lvl w:ilvl="5" w:tplc="04150005">
      <w:start w:val="1"/>
      <w:numFmt w:val="bullet"/>
      <w:lvlText w:val=""/>
      <w:lvlJc w:val="left"/>
      <w:pPr>
        <w:ind w:left="5095" w:hanging="360"/>
      </w:pPr>
      <w:rPr>
        <w:rFonts w:ascii="Wingdings" w:hAnsi="Wingdings" w:hint="default"/>
      </w:rPr>
    </w:lvl>
    <w:lvl w:ilvl="6" w:tplc="04150001">
      <w:start w:val="1"/>
      <w:numFmt w:val="bullet"/>
      <w:lvlText w:val=""/>
      <w:lvlJc w:val="left"/>
      <w:pPr>
        <w:ind w:left="5815" w:hanging="360"/>
      </w:pPr>
      <w:rPr>
        <w:rFonts w:ascii="Symbol" w:hAnsi="Symbol" w:hint="default"/>
      </w:rPr>
    </w:lvl>
    <w:lvl w:ilvl="7" w:tplc="04150003">
      <w:start w:val="1"/>
      <w:numFmt w:val="bullet"/>
      <w:lvlText w:val="o"/>
      <w:lvlJc w:val="left"/>
      <w:pPr>
        <w:ind w:left="6535" w:hanging="360"/>
      </w:pPr>
      <w:rPr>
        <w:rFonts w:ascii="Courier New" w:hAnsi="Courier New" w:cs="Courier New" w:hint="default"/>
      </w:rPr>
    </w:lvl>
    <w:lvl w:ilvl="8" w:tplc="04150005">
      <w:start w:val="1"/>
      <w:numFmt w:val="bullet"/>
      <w:lvlText w:val=""/>
      <w:lvlJc w:val="left"/>
      <w:pPr>
        <w:ind w:left="7255" w:hanging="360"/>
      </w:pPr>
      <w:rPr>
        <w:rFonts w:ascii="Wingdings" w:hAnsi="Wingdings" w:hint="default"/>
      </w:rPr>
    </w:lvl>
  </w:abstractNum>
  <w:num w:numId="1" w16cid:durableId="1101025250">
    <w:abstractNumId w:val="2"/>
  </w:num>
  <w:num w:numId="2" w16cid:durableId="1084885859">
    <w:abstractNumId w:val="0"/>
  </w:num>
  <w:num w:numId="3" w16cid:durableId="1729567357">
    <w:abstractNumId w:val="3"/>
  </w:num>
  <w:num w:numId="4" w16cid:durableId="1775400358">
    <w:abstractNumId w:val="6"/>
  </w:num>
  <w:num w:numId="5" w16cid:durableId="1590385963">
    <w:abstractNumId w:val="8"/>
  </w:num>
  <w:num w:numId="6" w16cid:durableId="607198631">
    <w:abstractNumId w:val="5"/>
  </w:num>
  <w:num w:numId="7" w16cid:durableId="2042894385">
    <w:abstractNumId w:val="9"/>
    <w:lvlOverride w:ilvl="0">
      <w:startOverride w:val="1"/>
    </w:lvlOverride>
    <w:lvlOverride w:ilvl="1"/>
    <w:lvlOverride w:ilvl="2"/>
    <w:lvlOverride w:ilvl="3"/>
    <w:lvlOverride w:ilvl="4"/>
    <w:lvlOverride w:ilvl="5"/>
    <w:lvlOverride w:ilvl="6"/>
    <w:lvlOverride w:ilvl="7"/>
    <w:lvlOverride w:ilvl="8"/>
  </w:num>
  <w:num w:numId="8" w16cid:durableId="1942059234">
    <w:abstractNumId w:val="4"/>
  </w:num>
  <w:num w:numId="9" w16cid:durableId="274748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6697239">
    <w:abstractNumId w:val="1"/>
  </w:num>
  <w:num w:numId="11" w16cid:durableId="12772554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DFF"/>
    <w:rsid w:val="00001F33"/>
    <w:rsid w:val="00002E2A"/>
    <w:rsid w:val="00006C34"/>
    <w:rsid w:val="00022A53"/>
    <w:rsid w:val="00030982"/>
    <w:rsid w:val="0003606B"/>
    <w:rsid w:val="00036CF6"/>
    <w:rsid w:val="000373AE"/>
    <w:rsid w:val="000373BB"/>
    <w:rsid w:val="00042C2A"/>
    <w:rsid w:val="00053C06"/>
    <w:rsid w:val="00060155"/>
    <w:rsid w:val="00060204"/>
    <w:rsid w:val="00061BDC"/>
    <w:rsid w:val="00065A59"/>
    <w:rsid w:val="00071C06"/>
    <w:rsid w:val="00072342"/>
    <w:rsid w:val="00072917"/>
    <w:rsid w:val="00080C46"/>
    <w:rsid w:val="00081C00"/>
    <w:rsid w:val="00085B02"/>
    <w:rsid w:val="0009062D"/>
    <w:rsid w:val="00094421"/>
    <w:rsid w:val="00094F23"/>
    <w:rsid w:val="000964CB"/>
    <w:rsid w:val="000967EF"/>
    <w:rsid w:val="000A0BFF"/>
    <w:rsid w:val="000A405C"/>
    <w:rsid w:val="000A7A45"/>
    <w:rsid w:val="000C06E4"/>
    <w:rsid w:val="000C4C8B"/>
    <w:rsid w:val="000C5573"/>
    <w:rsid w:val="000C7DD0"/>
    <w:rsid w:val="000D1AEF"/>
    <w:rsid w:val="000D6F55"/>
    <w:rsid w:val="000D7DEC"/>
    <w:rsid w:val="000E4263"/>
    <w:rsid w:val="000E526C"/>
    <w:rsid w:val="000E7646"/>
    <w:rsid w:val="000F0609"/>
    <w:rsid w:val="000F0629"/>
    <w:rsid w:val="000F3E16"/>
    <w:rsid w:val="000F43B0"/>
    <w:rsid w:val="00102C0D"/>
    <w:rsid w:val="00103BEF"/>
    <w:rsid w:val="00112F62"/>
    <w:rsid w:val="00115483"/>
    <w:rsid w:val="00116411"/>
    <w:rsid w:val="001177C2"/>
    <w:rsid w:val="001224EC"/>
    <w:rsid w:val="0013041E"/>
    <w:rsid w:val="0013049B"/>
    <w:rsid w:val="00131E02"/>
    <w:rsid w:val="00133A6A"/>
    <w:rsid w:val="00134462"/>
    <w:rsid w:val="0013492A"/>
    <w:rsid w:val="001402F2"/>
    <w:rsid w:val="00144D5A"/>
    <w:rsid w:val="0014754A"/>
    <w:rsid w:val="00154CC1"/>
    <w:rsid w:val="00157215"/>
    <w:rsid w:val="00164858"/>
    <w:rsid w:val="001654FE"/>
    <w:rsid w:val="00172CBB"/>
    <w:rsid w:val="001854A8"/>
    <w:rsid w:val="00185BC7"/>
    <w:rsid w:val="00187F5A"/>
    <w:rsid w:val="00191346"/>
    <w:rsid w:val="0019287A"/>
    <w:rsid w:val="00196B15"/>
    <w:rsid w:val="001A0323"/>
    <w:rsid w:val="001A3A56"/>
    <w:rsid w:val="001B17B3"/>
    <w:rsid w:val="001B21F9"/>
    <w:rsid w:val="001B6143"/>
    <w:rsid w:val="001B6D13"/>
    <w:rsid w:val="001C3075"/>
    <w:rsid w:val="001C315B"/>
    <w:rsid w:val="001D2702"/>
    <w:rsid w:val="001D67E8"/>
    <w:rsid w:val="001E5061"/>
    <w:rsid w:val="001F3F33"/>
    <w:rsid w:val="001F6B07"/>
    <w:rsid w:val="002000D9"/>
    <w:rsid w:val="00202B9F"/>
    <w:rsid w:val="00205241"/>
    <w:rsid w:val="00205476"/>
    <w:rsid w:val="00205F57"/>
    <w:rsid w:val="00207916"/>
    <w:rsid w:val="0021243F"/>
    <w:rsid w:val="0021517C"/>
    <w:rsid w:val="002200B4"/>
    <w:rsid w:val="00224D42"/>
    <w:rsid w:val="00226FB3"/>
    <w:rsid w:val="00231281"/>
    <w:rsid w:val="00233A83"/>
    <w:rsid w:val="002356C7"/>
    <w:rsid w:val="00235985"/>
    <w:rsid w:val="00235B72"/>
    <w:rsid w:val="002462A5"/>
    <w:rsid w:val="00255B63"/>
    <w:rsid w:val="00261E0E"/>
    <w:rsid w:val="00271A7E"/>
    <w:rsid w:val="002724B7"/>
    <w:rsid w:val="00277BF4"/>
    <w:rsid w:val="00280B50"/>
    <w:rsid w:val="00281300"/>
    <w:rsid w:val="00286CA6"/>
    <w:rsid w:val="00292DDB"/>
    <w:rsid w:val="002A1723"/>
    <w:rsid w:val="002B4DFE"/>
    <w:rsid w:val="002C4C60"/>
    <w:rsid w:val="002C5482"/>
    <w:rsid w:val="002C7FEA"/>
    <w:rsid w:val="002D02E2"/>
    <w:rsid w:val="002D19DB"/>
    <w:rsid w:val="002D2F9A"/>
    <w:rsid w:val="002F17FB"/>
    <w:rsid w:val="002F1D30"/>
    <w:rsid w:val="002F452F"/>
    <w:rsid w:val="002F47D0"/>
    <w:rsid w:val="002F7E2A"/>
    <w:rsid w:val="0030047D"/>
    <w:rsid w:val="0030202F"/>
    <w:rsid w:val="003034AC"/>
    <w:rsid w:val="00304DFD"/>
    <w:rsid w:val="00320448"/>
    <w:rsid w:val="00321B1F"/>
    <w:rsid w:val="00321CFE"/>
    <w:rsid w:val="00327107"/>
    <w:rsid w:val="00336BCB"/>
    <w:rsid w:val="00344B3E"/>
    <w:rsid w:val="003458B3"/>
    <w:rsid w:val="003465D0"/>
    <w:rsid w:val="00350F7A"/>
    <w:rsid w:val="00351EDB"/>
    <w:rsid w:val="00356FA2"/>
    <w:rsid w:val="00373E4D"/>
    <w:rsid w:val="0037438F"/>
    <w:rsid w:val="00382FC5"/>
    <w:rsid w:val="00383CD8"/>
    <w:rsid w:val="003846AB"/>
    <w:rsid w:val="00385435"/>
    <w:rsid w:val="00392DD3"/>
    <w:rsid w:val="0039353D"/>
    <w:rsid w:val="003A11DA"/>
    <w:rsid w:val="003A285F"/>
    <w:rsid w:val="003A4090"/>
    <w:rsid w:val="003A6B76"/>
    <w:rsid w:val="003B0ABB"/>
    <w:rsid w:val="003B3763"/>
    <w:rsid w:val="003B3F40"/>
    <w:rsid w:val="003B6974"/>
    <w:rsid w:val="003C4E35"/>
    <w:rsid w:val="003D0254"/>
    <w:rsid w:val="003D3E60"/>
    <w:rsid w:val="003D6E41"/>
    <w:rsid w:val="003E5582"/>
    <w:rsid w:val="003E563A"/>
    <w:rsid w:val="003E5856"/>
    <w:rsid w:val="003F59EA"/>
    <w:rsid w:val="003F7317"/>
    <w:rsid w:val="004073B6"/>
    <w:rsid w:val="004115FA"/>
    <w:rsid w:val="00417731"/>
    <w:rsid w:val="004179AE"/>
    <w:rsid w:val="004220E0"/>
    <w:rsid w:val="004238AA"/>
    <w:rsid w:val="00427E48"/>
    <w:rsid w:val="00431252"/>
    <w:rsid w:val="00435EFF"/>
    <w:rsid w:val="0043690F"/>
    <w:rsid w:val="00452405"/>
    <w:rsid w:val="00463B14"/>
    <w:rsid w:val="00473BF6"/>
    <w:rsid w:val="0048302D"/>
    <w:rsid w:val="00484C49"/>
    <w:rsid w:val="00494E90"/>
    <w:rsid w:val="004A0BCC"/>
    <w:rsid w:val="004A4CD3"/>
    <w:rsid w:val="004B1025"/>
    <w:rsid w:val="004B1F8A"/>
    <w:rsid w:val="004B300B"/>
    <w:rsid w:val="004B7A50"/>
    <w:rsid w:val="004C28DA"/>
    <w:rsid w:val="004E0702"/>
    <w:rsid w:val="004E2339"/>
    <w:rsid w:val="004E2B09"/>
    <w:rsid w:val="004E3550"/>
    <w:rsid w:val="004E4524"/>
    <w:rsid w:val="004E4B50"/>
    <w:rsid w:val="004E79FB"/>
    <w:rsid w:val="004E7D70"/>
    <w:rsid w:val="004F3375"/>
    <w:rsid w:val="004F380B"/>
    <w:rsid w:val="004F6142"/>
    <w:rsid w:val="00504516"/>
    <w:rsid w:val="00506F12"/>
    <w:rsid w:val="005073DB"/>
    <w:rsid w:val="00521EEA"/>
    <w:rsid w:val="00523419"/>
    <w:rsid w:val="00526B89"/>
    <w:rsid w:val="00526F54"/>
    <w:rsid w:val="00541025"/>
    <w:rsid w:val="00544585"/>
    <w:rsid w:val="005515E3"/>
    <w:rsid w:val="00554053"/>
    <w:rsid w:val="00561491"/>
    <w:rsid w:val="0056255C"/>
    <w:rsid w:val="00580936"/>
    <w:rsid w:val="00581431"/>
    <w:rsid w:val="00581624"/>
    <w:rsid w:val="0058703F"/>
    <w:rsid w:val="00592EA1"/>
    <w:rsid w:val="005A086D"/>
    <w:rsid w:val="005A1A84"/>
    <w:rsid w:val="005A22A9"/>
    <w:rsid w:val="005A7874"/>
    <w:rsid w:val="005B19EE"/>
    <w:rsid w:val="005B280C"/>
    <w:rsid w:val="005C6C84"/>
    <w:rsid w:val="005C7A77"/>
    <w:rsid w:val="005D1D32"/>
    <w:rsid w:val="005D3D45"/>
    <w:rsid w:val="005D6E0A"/>
    <w:rsid w:val="005E0F58"/>
    <w:rsid w:val="005E1CDA"/>
    <w:rsid w:val="005E47AA"/>
    <w:rsid w:val="005E57E1"/>
    <w:rsid w:val="005E7257"/>
    <w:rsid w:val="005F0A0A"/>
    <w:rsid w:val="005F1CB1"/>
    <w:rsid w:val="005F2C58"/>
    <w:rsid w:val="006017AB"/>
    <w:rsid w:val="00603882"/>
    <w:rsid w:val="00603A36"/>
    <w:rsid w:val="00621A17"/>
    <w:rsid w:val="0062259C"/>
    <w:rsid w:val="006234B2"/>
    <w:rsid w:val="006254BD"/>
    <w:rsid w:val="006268D7"/>
    <w:rsid w:val="00633253"/>
    <w:rsid w:val="00637A47"/>
    <w:rsid w:val="006418FE"/>
    <w:rsid w:val="00656350"/>
    <w:rsid w:val="006604A4"/>
    <w:rsid w:val="00660C17"/>
    <w:rsid w:val="0067364F"/>
    <w:rsid w:val="00675637"/>
    <w:rsid w:val="00683B13"/>
    <w:rsid w:val="00685A66"/>
    <w:rsid w:val="006862D4"/>
    <w:rsid w:val="006924FD"/>
    <w:rsid w:val="00693EF2"/>
    <w:rsid w:val="00697905"/>
    <w:rsid w:val="00697B06"/>
    <w:rsid w:val="006A0E04"/>
    <w:rsid w:val="006B10DC"/>
    <w:rsid w:val="006B144A"/>
    <w:rsid w:val="006B4214"/>
    <w:rsid w:val="006B4480"/>
    <w:rsid w:val="006C0976"/>
    <w:rsid w:val="006D1D37"/>
    <w:rsid w:val="006D2EE8"/>
    <w:rsid w:val="006D3B24"/>
    <w:rsid w:val="006E3D63"/>
    <w:rsid w:val="006E4B51"/>
    <w:rsid w:val="006F1616"/>
    <w:rsid w:val="006F20DA"/>
    <w:rsid w:val="006F2151"/>
    <w:rsid w:val="006F54AC"/>
    <w:rsid w:val="007011A8"/>
    <w:rsid w:val="00701E9F"/>
    <w:rsid w:val="00702F8F"/>
    <w:rsid w:val="007162B8"/>
    <w:rsid w:val="00716A56"/>
    <w:rsid w:val="00721FDA"/>
    <w:rsid w:val="00724835"/>
    <w:rsid w:val="00730F58"/>
    <w:rsid w:val="00735314"/>
    <w:rsid w:val="00737AFA"/>
    <w:rsid w:val="0074038A"/>
    <w:rsid w:val="007500A9"/>
    <w:rsid w:val="00750DFF"/>
    <w:rsid w:val="0075203D"/>
    <w:rsid w:val="007535A5"/>
    <w:rsid w:val="00754EF5"/>
    <w:rsid w:val="00756541"/>
    <w:rsid w:val="0075793E"/>
    <w:rsid w:val="007608DA"/>
    <w:rsid w:val="00762FAE"/>
    <w:rsid w:val="00765791"/>
    <w:rsid w:val="00766248"/>
    <w:rsid w:val="00766B4F"/>
    <w:rsid w:val="00770DD1"/>
    <w:rsid w:val="00772BEC"/>
    <w:rsid w:val="00774A7E"/>
    <w:rsid w:val="00775029"/>
    <w:rsid w:val="00782E36"/>
    <w:rsid w:val="00783235"/>
    <w:rsid w:val="00786203"/>
    <w:rsid w:val="00797C62"/>
    <w:rsid w:val="007A6133"/>
    <w:rsid w:val="007A6FD0"/>
    <w:rsid w:val="007C40BE"/>
    <w:rsid w:val="007C548C"/>
    <w:rsid w:val="007C6F62"/>
    <w:rsid w:val="007D1F91"/>
    <w:rsid w:val="007D6EC7"/>
    <w:rsid w:val="007E23DC"/>
    <w:rsid w:val="007E615F"/>
    <w:rsid w:val="007F07A2"/>
    <w:rsid w:val="007F0BA9"/>
    <w:rsid w:val="007F2B40"/>
    <w:rsid w:val="007F7536"/>
    <w:rsid w:val="00804A94"/>
    <w:rsid w:val="00805C5D"/>
    <w:rsid w:val="008155D1"/>
    <w:rsid w:val="008163AC"/>
    <w:rsid w:val="00826E9F"/>
    <w:rsid w:val="008353BA"/>
    <w:rsid w:val="008363A2"/>
    <w:rsid w:val="00842339"/>
    <w:rsid w:val="008426B0"/>
    <w:rsid w:val="00842905"/>
    <w:rsid w:val="0084359D"/>
    <w:rsid w:val="00844E34"/>
    <w:rsid w:val="00845D3E"/>
    <w:rsid w:val="008464D1"/>
    <w:rsid w:val="008468A3"/>
    <w:rsid w:val="00847EB1"/>
    <w:rsid w:val="00851A75"/>
    <w:rsid w:val="00856321"/>
    <w:rsid w:val="00857BCD"/>
    <w:rsid w:val="008630EB"/>
    <w:rsid w:val="00875D77"/>
    <w:rsid w:val="00881D25"/>
    <w:rsid w:val="00884DCB"/>
    <w:rsid w:val="008913E9"/>
    <w:rsid w:val="008933E2"/>
    <w:rsid w:val="008A0697"/>
    <w:rsid w:val="008A4325"/>
    <w:rsid w:val="008B3D82"/>
    <w:rsid w:val="008C1238"/>
    <w:rsid w:val="008D1A1F"/>
    <w:rsid w:val="008D60F5"/>
    <w:rsid w:val="008E1449"/>
    <w:rsid w:val="008E5AE9"/>
    <w:rsid w:val="008F44C2"/>
    <w:rsid w:val="008F52F2"/>
    <w:rsid w:val="00901474"/>
    <w:rsid w:val="009075ED"/>
    <w:rsid w:val="009115F3"/>
    <w:rsid w:val="00914293"/>
    <w:rsid w:val="0091614D"/>
    <w:rsid w:val="00920138"/>
    <w:rsid w:val="0092415D"/>
    <w:rsid w:val="00925C21"/>
    <w:rsid w:val="00932214"/>
    <w:rsid w:val="00935476"/>
    <w:rsid w:val="00941322"/>
    <w:rsid w:val="00953C41"/>
    <w:rsid w:val="0095509C"/>
    <w:rsid w:val="0096186F"/>
    <w:rsid w:val="00971060"/>
    <w:rsid w:val="00972AB6"/>
    <w:rsid w:val="0097328E"/>
    <w:rsid w:val="00976E36"/>
    <w:rsid w:val="00981C3D"/>
    <w:rsid w:val="00984A6D"/>
    <w:rsid w:val="00987279"/>
    <w:rsid w:val="00992CFE"/>
    <w:rsid w:val="00996BB2"/>
    <w:rsid w:val="009A3E22"/>
    <w:rsid w:val="009A3F19"/>
    <w:rsid w:val="009A7C3A"/>
    <w:rsid w:val="009B33F5"/>
    <w:rsid w:val="009C63C9"/>
    <w:rsid w:val="009C6EC4"/>
    <w:rsid w:val="009D0F85"/>
    <w:rsid w:val="009D1D15"/>
    <w:rsid w:val="009D5586"/>
    <w:rsid w:val="009E1E5F"/>
    <w:rsid w:val="009E6D09"/>
    <w:rsid w:val="009F0C89"/>
    <w:rsid w:val="00A026DB"/>
    <w:rsid w:val="00A32375"/>
    <w:rsid w:val="00A33401"/>
    <w:rsid w:val="00A41577"/>
    <w:rsid w:val="00A55FF2"/>
    <w:rsid w:val="00A64B82"/>
    <w:rsid w:val="00A6597A"/>
    <w:rsid w:val="00A65B7E"/>
    <w:rsid w:val="00A66D3F"/>
    <w:rsid w:val="00A723B9"/>
    <w:rsid w:val="00A816B9"/>
    <w:rsid w:val="00A86FAD"/>
    <w:rsid w:val="00A875EA"/>
    <w:rsid w:val="00A902BB"/>
    <w:rsid w:val="00A91A51"/>
    <w:rsid w:val="00A95482"/>
    <w:rsid w:val="00A95AD7"/>
    <w:rsid w:val="00AA6957"/>
    <w:rsid w:val="00AA7B75"/>
    <w:rsid w:val="00AA7E89"/>
    <w:rsid w:val="00AB4B05"/>
    <w:rsid w:val="00AB4E23"/>
    <w:rsid w:val="00AB68A1"/>
    <w:rsid w:val="00AC4E50"/>
    <w:rsid w:val="00AD02B7"/>
    <w:rsid w:val="00AD0F6C"/>
    <w:rsid w:val="00AD273F"/>
    <w:rsid w:val="00AE2485"/>
    <w:rsid w:val="00AE27E3"/>
    <w:rsid w:val="00AE5E95"/>
    <w:rsid w:val="00AF0004"/>
    <w:rsid w:val="00AF3E7C"/>
    <w:rsid w:val="00B021B8"/>
    <w:rsid w:val="00B02F0A"/>
    <w:rsid w:val="00B0412D"/>
    <w:rsid w:val="00B06375"/>
    <w:rsid w:val="00B06984"/>
    <w:rsid w:val="00B13013"/>
    <w:rsid w:val="00B204A4"/>
    <w:rsid w:val="00B207C0"/>
    <w:rsid w:val="00B32D6D"/>
    <w:rsid w:val="00B32F3D"/>
    <w:rsid w:val="00B33776"/>
    <w:rsid w:val="00B337F0"/>
    <w:rsid w:val="00B343A6"/>
    <w:rsid w:val="00B34AD4"/>
    <w:rsid w:val="00B35ECF"/>
    <w:rsid w:val="00B37AAA"/>
    <w:rsid w:val="00B427BA"/>
    <w:rsid w:val="00B455F5"/>
    <w:rsid w:val="00B4614F"/>
    <w:rsid w:val="00B47B58"/>
    <w:rsid w:val="00B47E76"/>
    <w:rsid w:val="00B576B3"/>
    <w:rsid w:val="00B66731"/>
    <w:rsid w:val="00B672E5"/>
    <w:rsid w:val="00B75002"/>
    <w:rsid w:val="00B82662"/>
    <w:rsid w:val="00B832E2"/>
    <w:rsid w:val="00B83FEC"/>
    <w:rsid w:val="00B8541B"/>
    <w:rsid w:val="00B91F1B"/>
    <w:rsid w:val="00B95278"/>
    <w:rsid w:val="00B96F08"/>
    <w:rsid w:val="00BA16CB"/>
    <w:rsid w:val="00BA2157"/>
    <w:rsid w:val="00BB00A0"/>
    <w:rsid w:val="00BB0E7A"/>
    <w:rsid w:val="00BB3C03"/>
    <w:rsid w:val="00BB7AC8"/>
    <w:rsid w:val="00BC06B1"/>
    <w:rsid w:val="00BC6398"/>
    <w:rsid w:val="00BC7455"/>
    <w:rsid w:val="00BD0615"/>
    <w:rsid w:val="00BD0B0F"/>
    <w:rsid w:val="00BD1804"/>
    <w:rsid w:val="00BD40DE"/>
    <w:rsid w:val="00BD557B"/>
    <w:rsid w:val="00BD609C"/>
    <w:rsid w:val="00BD6896"/>
    <w:rsid w:val="00BD6EB1"/>
    <w:rsid w:val="00BE0BB3"/>
    <w:rsid w:val="00BE13E6"/>
    <w:rsid w:val="00BE60EB"/>
    <w:rsid w:val="00BF455F"/>
    <w:rsid w:val="00BF4D0C"/>
    <w:rsid w:val="00BF59F2"/>
    <w:rsid w:val="00BF6E0B"/>
    <w:rsid w:val="00C007CA"/>
    <w:rsid w:val="00C06E2B"/>
    <w:rsid w:val="00C116F2"/>
    <w:rsid w:val="00C1532D"/>
    <w:rsid w:val="00C154E8"/>
    <w:rsid w:val="00C20F7B"/>
    <w:rsid w:val="00C304E8"/>
    <w:rsid w:val="00C348DA"/>
    <w:rsid w:val="00C3535A"/>
    <w:rsid w:val="00C40769"/>
    <w:rsid w:val="00C41193"/>
    <w:rsid w:val="00C41A0F"/>
    <w:rsid w:val="00C424A9"/>
    <w:rsid w:val="00C42D1E"/>
    <w:rsid w:val="00C477E2"/>
    <w:rsid w:val="00C5498A"/>
    <w:rsid w:val="00C55881"/>
    <w:rsid w:val="00C702B6"/>
    <w:rsid w:val="00C72E04"/>
    <w:rsid w:val="00C72EAE"/>
    <w:rsid w:val="00C7599D"/>
    <w:rsid w:val="00C767E3"/>
    <w:rsid w:val="00C800F7"/>
    <w:rsid w:val="00C82893"/>
    <w:rsid w:val="00C83B87"/>
    <w:rsid w:val="00C904B8"/>
    <w:rsid w:val="00C914DE"/>
    <w:rsid w:val="00CA1C2B"/>
    <w:rsid w:val="00CA53A7"/>
    <w:rsid w:val="00CB00A6"/>
    <w:rsid w:val="00CD367A"/>
    <w:rsid w:val="00CD5445"/>
    <w:rsid w:val="00CD5C4C"/>
    <w:rsid w:val="00CD798A"/>
    <w:rsid w:val="00CD7B5B"/>
    <w:rsid w:val="00CE22EB"/>
    <w:rsid w:val="00CE5B05"/>
    <w:rsid w:val="00CE70A7"/>
    <w:rsid w:val="00CF1853"/>
    <w:rsid w:val="00CF52D1"/>
    <w:rsid w:val="00D04802"/>
    <w:rsid w:val="00D05EAF"/>
    <w:rsid w:val="00D06C79"/>
    <w:rsid w:val="00D2049A"/>
    <w:rsid w:val="00D33C94"/>
    <w:rsid w:val="00D35B4C"/>
    <w:rsid w:val="00D43077"/>
    <w:rsid w:val="00D5207F"/>
    <w:rsid w:val="00D53806"/>
    <w:rsid w:val="00D60168"/>
    <w:rsid w:val="00D623B8"/>
    <w:rsid w:val="00D650D6"/>
    <w:rsid w:val="00D76DE8"/>
    <w:rsid w:val="00D77FCE"/>
    <w:rsid w:val="00D85ABC"/>
    <w:rsid w:val="00D94D67"/>
    <w:rsid w:val="00D962E5"/>
    <w:rsid w:val="00D963B4"/>
    <w:rsid w:val="00DA7560"/>
    <w:rsid w:val="00DB109F"/>
    <w:rsid w:val="00DB4FA7"/>
    <w:rsid w:val="00DC32EB"/>
    <w:rsid w:val="00DD3667"/>
    <w:rsid w:val="00DD41A9"/>
    <w:rsid w:val="00DE067D"/>
    <w:rsid w:val="00DF309B"/>
    <w:rsid w:val="00E00679"/>
    <w:rsid w:val="00E01F8E"/>
    <w:rsid w:val="00E042D9"/>
    <w:rsid w:val="00E12A3E"/>
    <w:rsid w:val="00E12EBA"/>
    <w:rsid w:val="00E16E5A"/>
    <w:rsid w:val="00E20FC6"/>
    <w:rsid w:val="00E2467E"/>
    <w:rsid w:val="00E255E0"/>
    <w:rsid w:val="00E3084B"/>
    <w:rsid w:val="00E362FC"/>
    <w:rsid w:val="00E37661"/>
    <w:rsid w:val="00E42941"/>
    <w:rsid w:val="00E43503"/>
    <w:rsid w:val="00E50750"/>
    <w:rsid w:val="00E51BE7"/>
    <w:rsid w:val="00E5267E"/>
    <w:rsid w:val="00E52788"/>
    <w:rsid w:val="00E540BE"/>
    <w:rsid w:val="00E5638C"/>
    <w:rsid w:val="00E628F6"/>
    <w:rsid w:val="00E64877"/>
    <w:rsid w:val="00E70B5F"/>
    <w:rsid w:val="00E73ADB"/>
    <w:rsid w:val="00E77C4B"/>
    <w:rsid w:val="00E77F1A"/>
    <w:rsid w:val="00E8305A"/>
    <w:rsid w:val="00E84A57"/>
    <w:rsid w:val="00E8579E"/>
    <w:rsid w:val="00E91DF5"/>
    <w:rsid w:val="00E97E6B"/>
    <w:rsid w:val="00EA0CF1"/>
    <w:rsid w:val="00EA15B7"/>
    <w:rsid w:val="00EA28D0"/>
    <w:rsid w:val="00EA2F7E"/>
    <w:rsid w:val="00EA3027"/>
    <w:rsid w:val="00EB778B"/>
    <w:rsid w:val="00EC11F8"/>
    <w:rsid w:val="00EC2CE1"/>
    <w:rsid w:val="00EC3A90"/>
    <w:rsid w:val="00EC7BA0"/>
    <w:rsid w:val="00ED01EB"/>
    <w:rsid w:val="00ED0D12"/>
    <w:rsid w:val="00ED1778"/>
    <w:rsid w:val="00ED5561"/>
    <w:rsid w:val="00EF0F40"/>
    <w:rsid w:val="00EF5E28"/>
    <w:rsid w:val="00F0371D"/>
    <w:rsid w:val="00F1296B"/>
    <w:rsid w:val="00F17D22"/>
    <w:rsid w:val="00F22148"/>
    <w:rsid w:val="00F242B0"/>
    <w:rsid w:val="00F278B0"/>
    <w:rsid w:val="00F331A2"/>
    <w:rsid w:val="00F33754"/>
    <w:rsid w:val="00F33F9A"/>
    <w:rsid w:val="00F359A9"/>
    <w:rsid w:val="00F44898"/>
    <w:rsid w:val="00F46F75"/>
    <w:rsid w:val="00F53C5C"/>
    <w:rsid w:val="00F6066C"/>
    <w:rsid w:val="00F6282A"/>
    <w:rsid w:val="00F62E51"/>
    <w:rsid w:val="00F66EFB"/>
    <w:rsid w:val="00F67603"/>
    <w:rsid w:val="00F71F37"/>
    <w:rsid w:val="00F73759"/>
    <w:rsid w:val="00F7434F"/>
    <w:rsid w:val="00F77350"/>
    <w:rsid w:val="00F805BC"/>
    <w:rsid w:val="00F974F4"/>
    <w:rsid w:val="00F97865"/>
    <w:rsid w:val="00FA3498"/>
    <w:rsid w:val="00FB4E68"/>
    <w:rsid w:val="00FB6C7A"/>
    <w:rsid w:val="00FC2071"/>
    <w:rsid w:val="00FC6561"/>
    <w:rsid w:val="00FE027F"/>
    <w:rsid w:val="00FF0EC8"/>
    <w:rsid w:val="00FF34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0D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4E68"/>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E355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E3550"/>
    <w:rPr>
      <w:rFonts w:ascii="Segoe UI" w:hAnsi="Segoe UI" w:cs="Segoe UI"/>
      <w:sz w:val="18"/>
      <w:szCs w:val="18"/>
    </w:rPr>
  </w:style>
  <w:style w:type="paragraph" w:customStyle="1" w:styleId="ARTartustawynprozporzdzenia">
    <w:name w:val="ART(§) – art. ustawy (§ np. rozporządzenia)"/>
    <w:uiPriority w:val="14"/>
    <w:qFormat/>
    <w:rsid w:val="004E3550"/>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E3550"/>
    <w:rPr>
      <w:bCs/>
    </w:rPr>
  </w:style>
  <w:style w:type="paragraph" w:customStyle="1" w:styleId="OZNRODZAKTUtznustawalubrozporzdzenieiorganwydajcy">
    <w:name w:val="OZN_RODZ_AKTU – tzn. ustawa lub rozporządzenie i organ wydający"/>
    <w:next w:val="Normalny"/>
    <w:uiPriority w:val="5"/>
    <w:qFormat/>
    <w:rsid w:val="004E355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styleId="Odwoaniedokomentarza">
    <w:name w:val="annotation reference"/>
    <w:basedOn w:val="Domylnaczcionkaakapitu"/>
    <w:uiPriority w:val="99"/>
    <w:semiHidden/>
    <w:rsid w:val="004E3550"/>
    <w:rPr>
      <w:sz w:val="16"/>
      <w:szCs w:val="16"/>
    </w:rPr>
  </w:style>
  <w:style w:type="paragraph" w:styleId="Tekstkomentarza">
    <w:name w:val="annotation text"/>
    <w:basedOn w:val="Normalny"/>
    <w:link w:val="TekstkomentarzaZnak"/>
    <w:rsid w:val="004E3550"/>
    <w:rPr>
      <w:rFonts w:ascii="Times" w:eastAsia="Times New Roman" w:hAnsi="Times" w:cs="Times New Roman"/>
      <w:szCs w:val="24"/>
    </w:rPr>
  </w:style>
  <w:style w:type="character" w:customStyle="1" w:styleId="TekstkomentarzaZnak">
    <w:name w:val="Tekst komentarza Znak"/>
    <w:basedOn w:val="Domylnaczcionkaakapitu"/>
    <w:link w:val="Tekstkomentarza"/>
    <w:rsid w:val="004E3550"/>
    <w:rPr>
      <w:rFonts w:ascii="Times" w:eastAsia="Times New Roman" w:hAnsi="Times" w:cs="Times New Roman"/>
      <w:sz w:val="24"/>
      <w:szCs w:val="24"/>
      <w:lang w:eastAsia="pl-PL"/>
    </w:rPr>
  </w:style>
  <w:style w:type="paragraph" w:styleId="Akapitzlist">
    <w:name w:val="List Paragraph"/>
    <w:basedOn w:val="Normalny"/>
    <w:uiPriority w:val="34"/>
    <w:qFormat/>
    <w:rsid w:val="009075ED"/>
    <w:pPr>
      <w:ind w:left="720"/>
      <w:contextualSpacing/>
    </w:pPr>
  </w:style>
  <w:style w:type="paragraph" w:styleId="Tematkomentarza">
    <w:name w:val="annotation subject"/>
    <w:basedOn w:val="Tekstkomentarza"/>
    <w:next w:val="Tekstkomentarza"/>
    <w:link w:val="TematkomentarzaZnak"/>
    <w:uiPriority w:val="99"/>
    <w:semiHidden/>
    <w:unhideWhenUsed/>
    <w:rsid w:val="009075ED"/>
    <w:pPr>
      <w:spacing w:line="240" w:lineRule="auto"/>
    </w:pPr>
    <w:rPr>
      <w:rFonts w:ascii="Times New Roman" w:eastAsiaTheme="minorEastAsia" w:hAnsi="Times New Roman" w:cs="Arial"/>
      <w:b/>
      <w:bCs/>
      <w:sz w:val="20"/>
      <w:szCs w:val="20"/>
    </w:rPr>
  </w:style>
  <w:style w:type="character" w:customStyle="1" w:styleId="TematkomentarzaZnak">
    <w:name w:val="Temat komentarza Znak"/>
    <w:basedOn w:val="TekstkomentarzaZnak"/>
    <w:link w:val="Tematkomentarza"/>
    <w:uiPriority w:val="99"/>
    <w:semiHidden/>
    <w:rsid w:val="009075ED"/>
    <w:rPr>
      <w:rFonts w:ascii="Times New Roman" w:eastAsiaTheme="minorEastAsia" w:hAnsi="Times New Roman" w:cs="Arial"/>
      <w:b/>
      <w:bCs/>
      <w:sz w:val="20"/>
      <w:szCs w:val="20"/>
      <w:lang w:eastAsia="pl-PL"/>
    </w:rPr>
  </w:style>
  <w:style w:type="character" w:customStyle="1" w:styleId="articletitle">
    <w:name w:val="articletitle"/>
    <w:basedOn w:val="Domylnaczcionkaakapitu"/>
    <w:rsid w:val="009075ED"/>
  </w:style>
  <w:style w:type="character" w:customStyle="1" w:styleId="highlight">
    <w:name w:val="highlight"/>
    <w:basedOn w:val="Domylnaczcionkaakapitu"/>
    <w:rsid w:val="00932214"/>
  </w:style>
  <w:style w:type="character" w:styleId="Hipercze">
    <w:name w:val="Hyperlink"/>
    <w:uiPriority w:val="99"/>
    <w:unhideWhenUsed/>
    <w:rsid w:val="003E563A"/>
    <w:rPr>
      <w:color w:val="0000FF"/>
      <w:u w:val="single"/>
    </w:rPr>
  </w:style>
  <w:style w:type="paragraph" w:styleId="NormalnyWeb">
    <w:name w:val="Normal (Web)"/>
    <w:basedOn w:val="Normalny"/>
    <w:uiPriority w:val="99"/>
    <w:semiHidden/>
    <w:unhideWhenUsed/>
    <w:rsid w:val="00EB778B"/>
    <w:pPr>
      <w:widowControl/>
      <w:autoSpaceDE/>
      <w:autoSpaceDN/>
      <w:adjustRightInd/>
      <w:spacing w:before="100" w:beforeAutospacing="1" w:after="100" w:afterAutospacing="1" w:line="240" w:lineRule="auto"/>
    </w:pPr>
    <w:rPr>
      <w:rFonts w:eastAsia="Times New Roman" w:cs="Times New Roman"/>
      <w:szCs w:val="24"/>
    </w:rPr>
  </w:style>
  <w:style w:type="character" w:styleId="Uwydatnienie">
    <w:name w:val="Emphasis"/>
    <w:basedOn w:val="Domylnaczcionkaakapitu"/>
    <w:uiPriority w:val="20"/>
    <w:qFormat/>
    <w:rsid w:val="00EB778B"/>
    <w:rPr>
      <w:i/>
      <w:iCs/>
    </w:rPr>
  </w:style>
  <w:style w:type="character" w:styleId="Pogrubienie">
    <w:name w:val="Strong"/>
    <w:basedOn w:val="Domylnaczcionkaakapitu"/>
    <w:uiPriority w:val="22"/>
    <w:qFormat/>
    <w:rsid w:val="00EB778B"/>
    <w:rPr>
      <w:b/>
      <w:bCs/>
    </w:rPr>
  </w:style>
  <w:style w:type="character" w:styleId="Nierozpoznanawzmianka">
    <w:name w:val="Unresolved Mention"/>
    <w:basedOn w:val="Domylnaczcionkaakapitu"/>
    <w:uiPriority w:val="99"/>
    <w:semiHidden/>
    <w:unhideWhenUsed/>
    <w:rsid w:val="005F2C58"/>
    <w:rPr>
      <w:color w:val="605E5C"/>
      <w:shd w:val="clear" w:color="auto" w:fill="E1DFDD"/>
    </w:rPr>
  </w:style>
  <w:style w:type="paragraph" w:styleId="Poprawka">
    <w:name w:val="Revision"/>
    <w:hidden/>
    <w:uiPriority w:val="99"/>
    <w:semiHidden/>
    <w:rsid w:val="006C0976"/>
    <w:pPr>
      <w:spacing w:after="0" w:line="240" w:lineRule="auto"/>
    </w:pPr>
    <w:rPr>
      <w:rFonts w:ascii="Times New Roman" w:eastAsiaTheme="minorEastAsia" w:hAnsi="Times New Roman" w:cs="Arial"/>
      <w:sz w:val="24"/>
      <w:szCs w:val="20"/>
      <w:lang w:eastAsia="pl-PL"/>
    </w:rPr>
  </w:style>
  <w:style w:type="paragraph" w:styleId="Tekstprzypisudolnego">
    <w:name w:val="footnote text"/>
    <w:basedOn w:val="Normalny"/>
    <w:link w:val="TekstprzypisudolnegoZnak"/>
    <w:uiPriority w:val="99"/>
    <w:semiHidden/>
    <w:unhideWhenUsed/>
    <w:rsid w:val="00F0371D"/>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F0371D"/>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F0371D"/>
    <w:rPr>
      <w:vertAlign w:val="superscript"/>
    </w:rPr>
  </w:style>
  <w:style w:type="paragraph" w:customStyle="1" w:styleId="ZARTzmartartykuempunktem">
    <w:name w:val="Z/ART(§) – zm. art. (§) artykułem (punktem)"/>
    <w:basedOn w:val="ARTartustawynprozporzdzenia"/>
    <w:uiPriority w:val="30"/>
    <w:qFormat/>
    <w:rsid w:val="00EF0F40"/>
    <w:pPr>
      <w:spacing w:before="0"/>
      <w:ind w:left="510"/>
    </w:pPr>
  </w:style>
  <w:style w:type="paragraph" w:customStyle="1" w:styleId="oj-normal">
    <w:name w:val="oj-normal"/>
    <w:basedOn w:val="Normalny"/>
    <w:rsid w:val="007F7536"/>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oj-ti-art">
    <w:name w:val="oj-ti-art"/>
    <w:basedOn w:val="Normalny"/>
    <w:rsid w:val="007F7536"/>
    <w:pPr>
      <w:widowControl/>
      <w:autoSpaceDE/>
      <w:autoSpaceDN/>
      <w:adjustRightInd/>
      <w:spacing w:before="100" w:beforeAutospacing="1" w:after="100" w:afterAutospacing="1" w:line="240" w:lineRule="auto"/>
    </w:pPr>
    <w:rPr>
      <w:rFonts w:eastAsia="Times New Roman" w:cs="Times New Roman"/>
      <w:szCs w:val="24"/>
    </w:rPr>
  </w:style>
  <w:style w:type="paragraph" w:styleId="Nagwek">
    <w:name w:val="header"/>
    <w:basedOn w:val="Normalny"/>
    <w:link w:val="NagwekZnak"/>
    <w:uiPriority w:val="99"/>
    <w:unhideWhenUsed/>
    <w:rsid w:val="00B35ECF"/>
    <w:pPr>
      <w:tabs>
        <w:tab w:val="center" w:pos="4536"/>
        <w:tab w:val="right" w:pos="9072"/>
      </w:tabs>
      <w:spacing w:line="240" w:lineRule="auto"/>
    </w:pPr>
  </w:style>
  <w:style w:type="character" w:customStyle="1" w:styleId="NagwekZnak">
    <w:name w:val="Nagłówek Znak"/>
    <w:basedOn w:val="Domylnaczcionkaakapitu"/>
    <w:link w:val="Nagwek"/>
    <w:uiPriority w:val="99"/>
    <w:rsid w:val="00B35ECF"/>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B35ECF"/>
    <w:pPr>
      <w:tabs>
        <w:tab w:val="center" w:pos="4536"/>
        <w:tab w:val="right" w:pos="9072"/>
      </w:tabs>
      <w:spacing w:line="240" w:lineRule="auto"/>
    </w:pPr>
  </w:style>
  <w:style w:type="character" w:customStyle="1" w:styleId="StopkaZnak">
    <w:name w:val="Stopka Znak"/>
    <w:basedOn w:val="Domylnaczcionkaakapitu"/>
    <w:link w:val="Stopka"/>
    <w:uiPriority w:val="99"/>
    <w:rsid w:val="00B35ECF"/>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12472">
      <w:bodyDiv w:val="1"/>
      <w:marLeft w:val="0"/>
      <w:marRight w:val="0"/>
      <w:marTop w:val="0"/>
      <w:marBottom w:val="0"/>
      <w:divBdr>
        <w:top w:val="none" w:sz="0" w:space="0" w:color="auto"/>
        <w:left w:val="none" w:sz="0" w:space="0" w:color="auto"/>
        <w:bottom w:val="none" w:sz="0" w:space="0" w:color="auto"/>
        <w:right w:val="none" w:sz="0" w:space="0" w:color="auto"/>
      </w:divBdr>
    </w:div>
    <w:div w:id="227888510">
      <w:bodyDiv w:val="1"/>
      <w:marLeft w:val="0"/>
      <w:marRight w:val="0"/>
      <w:marTop w:val="0"/>
      <w:marBottom w:val="0"/>
      <w:divBdr>
        <w:top w:val="none" w:sz="0" w:space="0" w:color="auto"/>
        <w:left w:val="none" w:sz="0" w:space="0" w:color="auto"/>
        <w:bottom w:val="none" w:sz="0" w:space="0" w:color="auto"/>
        <w:right w:val="none" w:sz="0" w:space="0" w:color="auto"/>
      </w:divBdr>
      <w:divsChild>
        <w:div w:id="492914127">
          <w:marLeft w:val="0"/>
          <w:marRight w:val="0"/>
          <w:marTop w:val="0"/>
          <w:marBottom w:val="0"/>
          <w:divBdr>
            <w:top w:val="none" w:sz="0" w:space="0" w:color="auto"/>
            <w:left w:val="none" w:sz="0" w:space="0" w:color="auto"/>
            <w:bottom w:val="none" w:sz="0" w:space="0" w:color="auto"/>
            <w:right w:val="none" w:sz="0" w:space="0" w:color="auto"/>
          </w:divBdr>
          <w:divsChild>
            <w:div w:id="1397780458">
              <w:marLeft w:val="0"/>
              <w:marRight w:val="0"/>
              <w:marTop w:val="0"/>
              <w:marBottom w:val="0"/>
              <w:divBdr>
                <w:top w:val="none" w:sz="0" w:space="0" w:color="auto"/>
                <w:left w:val="none" w:sz="0" w:space="0" w:color="auto"/>
                <w:bottom w:val="none" w:sz="0" w:space="0" w:color="auto"/>
                <w:right w:val="none" w:sz="0" w:space="0" w:color="auto"/>
              </w:divBdr>
            </w:div>
          </w:divsChild>
        </w:div>
        <w:div w:id="1474056785">
          <w:marLeft w:val="0"/>
          <w:marRight w:val="0"/>
          <w:marTop w:val="0"/>
          <w:marBottom w:val="0"/>
          <w:divBdr>
            <w:top w:val="none" w:sz="0" w:space="0" w:color="auto"/>
            <w:left w:val="none" w:sz="0" w:space="0" w:color="auto"/>
            <w:bottom w:val="none" w:sz="0" w:space="0" w:color="auto"/>
            <w:right w:val="none" w:sz="0" w:space="0" w:color="auto"/>
          </w:divBdr>
          <w:divsChild>
            <w:div w:id="1655644932">
              <w:marLeft w:val="0"/>
              <w:marRight w:val="0"/>
              <w:marTop w:val="0"/>
              <w:marBottom w:val="0"/>
              <w:divBdr>
                <w:top w:val="none" w:sz="0" w:space="0" w:color="auto"/>
                <w:left w:val="none" w:sz="0" w:space="0" w:color="auto"/>
                <w:bottom w:val="none" w:sz="0" w:space="0" w:color="auto"/>
                <w:right w:val="none" w:sz="0" w:space="0" w:color="auto"/>
              </w:divBdr>
              <w:divsChild>
                <w:div w:id="96076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656891">
      <w:bodyDiv w:val="1"/>
      <w:marLeft w:val="0"/>
      <w:marRight w:val="0"/>
      <w:marTop w:val="0"/>
      <w:marBottom w:val="0"/>
      <w:divBdr>
        <w:top w:val="none" w:sz="0" w:space="0" w:color="auto"/>
        <w:left w:val="none" w:sz="0" w:space="0" w:color="auto"/>
        <w:bottom w:val="none" w:sz="0" w:space="0" w:color="auto"/>
        <w:right w:val="none" w:sz="0" w:space="0" w:color="auto"/>
      </w:divBdr>
      <w:divsChild>
        <w:div w:id="1731072487">
          <w:marLeft w:val="0"/>
          <w:marRight w:val="0"/>
          <w:marTop w:val="0"/>
          <w:marBottom w:val="0"/>
          <w:divBdr>
            <w:top w:val="none" w:sz="0" w:space="0" w:color="auto"/>
            <w:left w:val="none" w:sz="0" w:space="0" w:color="auto"/>
            <w:bottom w:val="none" w:sz="0" w:space="0" w:color="auto"/>
            <w:right w:val="none" w:sz="0" w:space="0" w:color="auto"/>
          </w:divBdr>
          <w:divsChild>
            <w:div w:id="508526220">
              <w:marLeft w:val="0"/>
              <w:marRight w:val="0"/>
              <w:marTop w:val="0"/>
              <w:marBottom w:val="0"/>
              <w:divBdr>
                <w:top w:val="none" w:sz="0" w:space="0" w:color="auto"/>
                <w:left w:val="none" w:sz="0" w:space="0" w:color="auto"/>
                <w:bottom w:val="none" w:sz="0" w:space="0" w:color="auto"/>
                <w:right w:val="none" w:sz="0" w:space="0" w:color="auto"/>
              </w:divBdr>
            </w:div>
          </w:divsChild>
        </w:div>
        <w:div w:id="862480942">
          <w:marLeft w:val="0"/>
          <w:marRight w:val="0"/>
          <w:marTop w:val="0"/>
          <w:marBottom w:val="0"/>
          <w:divBdr>
            <w:top w:val="none" w:sz="0" w:space="0" w:color="auto"/>
            <w:left w:val="none" w:sz="0" w:space="0" w:color="auto"/>
            <w:bottom w:val="none" w:sz="0" w:space="0" w:color="auto"/>
            <w:right w:val="none" w:sz="0" w:space="0" w:color="auto"/>
          </w:divBdr>
          <w:divsChild>
            <w:div w:id="1005938316">
              <w:marLeft w:val="0"/>
              <w:marRight w:val="0"/>
              <w:marTop w:val="0"/>
              <w:marBottom w:val="0"/>
              <w:divBdr>
                <w:top w:val="none" w:sz="0" w:space="0" w:color="auto"/>
                <w:left w:val="none" w:sz="0" w:space="0" w:color="auto"/>
                <w:bottom w:val="none" w:sz="0" w:space="0" w:color="auto"/>
                <w:right w:val="none" w:sz="0" w:space="0" w:color="auto"/>
              </w:divBdr>
              <w:divsChild>
                <w:div w:id="13767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344578">
      <w:bodyDiv w:val="1"/>
      <w:marLeft w:val="0"/>
      <w:marRight w:val="0"/>
      <w:marTop w:val="0"/>
      <w:marBottom w:val="0"/>
      <w:divBdr>
        <w:top w:val="none" w:sz="0" w:space="0" w:color="auto"/>
        <w:left w:val="none" w:sz="0" w:space="0" w:color="auto"/>
        <w:bottom w:val="none" w:sz="0" w:space="0" w:color="auto"/>
        <w:right w:val="none" w:sz="0" w:space="0" w:color="auto"/>
      </w:divBdr>
      <w:divsChild>
        <w:div w:id="1765880229">
          <w:marLeft w:val="0"/>
          <w:marRight w:val="0"/>
          <w:marTop w:val="0"/>
          <w:marBottom w:val="0"/>
          <w:divBdr>
            <w:top w:val="none" w:sz="0" w:space="0" w:color="auto"/>
            <w:left w:val="none" w:sz="0" w:space="0" w:color="auto"/>
            <w:bottom w:val="none" w:sz="0" w:space="0" w:color="auto"/>
            <w:right w:val="none" w:sz="0" w:space="0" w:color="auto"/>
          </w:divBdr>
        </w:div>
      </w:divsChild>
    </w:div>
    <w:div w:id="664356482">
      <w:bodyDiv w:val="1"/>
      <w:marLeft w:val="0"/>
      <w:marRight w:val="0"/>
      <w:marTop w:val="0"/>
      <w:marBottom w:val="0"/>
      <w:divBdr>
        <w:top w:val="none" w:sz="0" w:space="0" w:color="auto"/>
        <w:left w:val="none" w:sz="0" w:space="0" w:color="auto"/>
        <w:bottom w:val="none" w:sz="0" w:space="0" w:color="auto"/>
        <w:right w:val="none" w:sz="0" w:space="0" w:color="auto"/>
      </w:divBdr>
      <w:divsChild>
        <w:div w:id="101075635">
          <w:marLeft w:val="0"/>
          <w:marRight w:val="0"/>
          <w:marTop w:val="0"/>
          <w:marBottom w:val="0"/>
          <w:divBdr>
            <w:top w:val="none" w:sz="0" w:space="0" w:color="auto"/>
            <w:left w:val="none" w:sz="0" w:space="0" w:color="auto"/>
            <w:bottom w:val="none" w:sz="0" w:space="0" w:color="auto"/>
            <w:right w:val="none" w:sz="0" w:space="0" w:color="auto"/>
          </w:divBdr>
          <w:divsChild>
            <w:div w:id="49499975">
              <w:marLeft w:val="0"/>
              <w:marRight w:val="0"/>
              <w:marTop w:val="0"/>
              <w:marBottom w:val="0"/>
              <w:divBdr>
                <w:top w:val="none" w:sz="0" w:space="0" w:color="auto"/>
                <w:left w:val="none" w:sz="0" w:space="0" w:color="auto"/>
                <w:bottom w:val="none" w:sz="0" w:space="0" w:color="auto"/>
                <w:right w:val="none" w:sz="0" w:space="0" w:color="auto"/>
              </w:divBdr>
            </w:div>
          </w:divsChild>
        </w:div>
        <w:div w:id="120652064">
          <w:marLeft w:val="0"/>
          <w:marRight w:val="0"/>
          <w:marTop w:val="0"/>
          <w:marBottom w:val="0"/>
          <w:divBdr>
            <w:top w:val="none" w:sz="0" w:space="0" w:color="auto"/>
            <w:left w:val="none" w:sz="0" w:space="0" w:color="auto"/>
            <w:bottom w:val="none" w:sz="0" w:space="0" w:color="auto"/>
            <w:right w:val="none" w:sz="0" w:space="0" w:color="auto"/>
          </w:divBdr>
          <w:divsChild>
            <w:div w:id="24135195">
              <w:marLeft w:val="0"/>
              <w:marRight w:val="0"/>
              <w:marTop w:val="0"/>
              <w:marBottom w:val="0"/>
              <w:divBdr>
                <w:top w:val="none" w:sz="0" w:space="0" w:color="auto"/>
                <w:left w:val="none" w:sz="0" w:space="0" w:color="auto"/>
                <w:bottom w:val="none" w:sz="0" w:space="0" w:color="auto"/>
                <w:right w:val="none" w:sz="0" w:space="0" w:color="auto"/>
              </w:divBdr>
            </w:div>
          </w:divsChild>
        </w:div>
        <w:div w:id="835220038">
          <w:marLeft w:val="0"/>
          <w:marRight w:val="0"/>
          <w:marTop w:val="0"/>
          <w:marBottom w:val="0"/>
          <w:divBdr>
            <w:top w:val="none" w:sz="0" w:space="0" w:color="auto"/>
            <w:left w:val="none" w:sz="0" w:space="0" w:color="auto"/>
            <w:bottom w:val="none" w:sz="0" w:space="0" w:color="auto"/>
            <w:right w:val="none" w:sz="0" w:space="0" w:color="auto"/>
          </w:divBdr>
          <w:divsChild>
            <w:div w:id="1394231396">
              <w:marLeft w:val="0"/>
              <w:marRight w:val="0"/>
              <w:marTop w:val="0"/>
              <w:marBottom w:val="0"/>
              <w:divBdr>
                <w:top w:val="none" w:sz="0" w:space="0" w:color="auto"/>
                <w:left w:val="none" w:sz="0" w:space="0" w:color="auto"/>
                <w:bottom w:val="none" w:sz="0" w:space="0" w:color="auto"/>
                <w:right w:val="none" w:sz="0" w:space="0" w:color="auto"/>
              </w:divBdr>
            </w:div>
          </w:divsChild>
        </w:div>
        <w:div w:id="836118267">
          <w:marLeft w:val="0"/>
          <w:marRight w:val="0"/>
          <w:marTop w:val="0"/>
          <w:marBottom w:val="0"/>
          <w:divBdr>
            <w:top w:val="none" w:sz="0" w:space="0" w:color="auto"/>
            <w:left w:val="none" w:sz="0" w:space="0" w:color="auto"/>
            <w:bottom w:val="none" w:sz="0" w:space="0" w:color="auto"/>
            <w:right w:val="none" w:sz="0" w:space="0" w:color="auto"/>
          </w:divBdr>
          <w:divsChild>
            <w:div w:id="176576139">
              <w:marLeft w:val="0"/>
              <w:marRight w:val="0"/>
              <w:marTop w:val="0"/>
              <w:marBottom w:val="0"/>
              <w:divBdr>
                <w:top w:val="none" w:sz="0" w:space="0" w:color="auto"/>
                <w:left w:val="none" w:sz="0" w:space="0" w:color="auto"/>
                <w:bottom w:val="none" w:sz="0" w:space="0" w:color="auto"/>
                <w:right w:val="none" w:sz="0" w:space="0" w:color="auto"/>
              </w:divBdr>
              <w:divsChild>
                <w:div w:id="685257562">
                  <w:marLeft w:val="0"/>
                  <w:marRight w:val="0"/>
                  <w:marTop w:val="0"/>
                  <w:marBottom w:val="0"/>
                  <w:divBdr>
                    <w:top w:val="none" w:sz="0" w:space="0" w:color="auto"/>
                    <w:left w:val="none" w:sz="0" w:space="0" w:color="auto"/>
                    <w:bottom w:val="none" w:sz="0" w:space="0" w:color="auto"/>
                    <w:right w:val="none" w:sz="0" w:space="0" w:color="auto"/>
                  </w:divBdr>
                  <w:divsChild>
                    <w:div w:id="81279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29454">
              <w:marLeft w:val="0"/>
              <w:marRight w:val="0"/>
              <w:marTop w:val="0"/>
              <w:marBottom w:val="0"/>
              <w:divBdr>
                <w:top w:val="none" w:sz="0" w:space="0" w:color="auto"/>
                <w:left w:val="none" w:sz="0" w:space="0" w:color="auto"/>
                <w:bottom w:val="none" w:sz="0" w:space="0" w:color="auto"/>
                <w:right w:val="none" w:sz="0" w:space="0" w:color="auto"/>
              </w:divBdr>
              <w:divsChild>
                <w:div w:id="509878732">
                  <w:marLeft w:val="0"/>
                  <w:marRight w:val="0"/>
                  <w:marTop w:val="0"/>
                  <w:marBottom w:val="0"/>
                  <w:divBdr>
                    <w:top w:val="none" w:sz="0" w:space="0" w:color="auto"/>
                    <w:left w:val="none" w:sz="0" w:space="0" w:color="auto"/>
                    <w:bottom w:val="none" w:sz="0" w:space="0" w:color="auto"/>
                    <w:right w:val="none" w:sz="0" w:space="0" w:color="auto"/>
                  </w:divBdr>
                  <w:divsChild>
                    <w:div w:id="19477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61403">
              <w:marLeft w:val="0"/>
              <w:marRight w:val="0"/>
              <w:marTop w:val="0"/>
              <w:marBottom w:val="0"/>
              <w:divBdr>
                <w:top w:val="none" w:sz="0" w:space="0" w:color="auto"/>
                <w:left w:val="none" w:sz="0" w:space="0" w:color="auto"/>
                <w:bottom w:val="none" w:sz="0" w:space="0" w:color="auto"/>
                <w:right w:val="none" w:sz="0" w:space="0" w:color="auto"/>
              </w:divBdr>
            </w:div>
            <w:div w:id="1742095089">
              <w:marLeft w:val="0"/>
              <w:marRight w:val="0"/>
              <w:marTop w:val="0"/>
              <w:marBottom w:val="0"/>
              <w:divBdr>
                <w:top w:val="none" w:sz="0" w:space="0" w:color="auto"/>
                <w:left w:val="none" w:sz="0" w:space="0" w:color="auto"/>
                <w:bottom w:val="none" w:sz="0" w:space="0" w:color="auto"/>
                <w:right w:val="none" w:sz="0" w:space="0" w:color="auto"/>
              </w:divBdr>
              <w:divsChild>
                <w:div w:id="476727307">
                  <w:marLeft w:val="0"/>
                  <w:marRight w:val="0"/>
                  <w:marTop w:val="0"/>
                  <w:marBottom w:val="0"/>
                  <w:divBdr>
                    <w:top w:val="none" w:sz="0" w:space="0" w:color="auto"/>
                    <w:left w:val="none" w:sz="0" w:space="0" w:color="auto"/>
                    <w:bottom w:val="none" w:sz="0" w:space="0" w:color="auto"/>
                    <w:right w:val="none" w:sz="0" w:space="0" w:color="auto"/>
                  </w:divBdr>
                  <w:divsChild>
                    <w:div w:id="833112567">
                      <w:marLeft w:val="0"/>
                      <w:marRight w:val="0"/>
                      <w:marTop w:val="0"/>
                      <w:marBottom w:val="0"/>
                      <w:divBdr>
                        <w:top w:val="none" w:sz="0" w:space="0" w:color="auto"/>
                        <w:left w:val="none" w:sz="0" w:space="0" w:color="auto"/>
                        <w:bottom w:val="none" w:sz="0" w:space="0" w:color="auto"/>
                        <w:right w:val="none" w:sz="0" w:space="0" w:color="auto"/>
                      </w:divBdr>
                      <w:divsChild>
                        <w:div w:id="1250962943">
                          <w:marLeft w:val="0"/>
                          <w:marRight w:val="0"/>
                          <w:marTop w:val="0"/>
                          <w:marBottom w:val="0"/>
                          <w:divBdr>
                            <w:top w:val="none" w:sz="0" w:space="0" w:color="auto"/>
                            <w:left w:val="none" w:sz="0" w:space="0" w:color="auto"/>
                            <w:bottom w:val="none" w:sz="0" w:space="0" w:color="auto"/>
                            <w:right w:val="none" w:sz="0" w:space="0" w:color="auto"/>
                          </w:divBdr>
                        </w:div>
                      </w:divsChild>
                    </w:div>
                    <w:div w:id="1014959899">
                      <w:marLeft w:val="0"/>
                      <w:marRight w:val="0"/>
                      <w:marTop w:val="0"/>
                      <w:marBottom w:val="0"/>
                      <w:divBdr>
                        <w:top w:val="none" w:sz="0" w:space="0" w:color="auto"/>
                        <w:left w:val="none" w:sz="0" w:space="0" w:color="auto"/>
                        <w:bottom w:val="none" w:sz="0" w:space="0" w:color="auto"/>
                        <w:right w:val="none" w:sz="0" w:space="0" w:color="auto"/>
                      </w:divBdr>
                    </w:div>
                    <w:div w:id="1880241137">
                      <w:marLeft w:val="0"/>
                      <w:marRight w:val="0"/>
                      <w:marTop w:val="0"/>
                      <w:marBottom w:val="0"/>
                      <w:divBdr>
                        <w:top w:val="none" w:sz="0" w:space="0" w:color="auto"/>
                        <w:left w:val="none" w:sz="0" w:space="0" w:color="auto"/>
                        <w:bottom w:val="none" w:sz="0" w:space="0" w:color="auto"/>
                        <w:right w:val="none" w:sz="0" w:space="0" w:color="auto"/>
                      </w:divBdr>
                      <w:divsChild>
                        <w:div w:id="49337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397355">
              <w:marLeft w:val="0"/>
              <w:marRight w:val="0"/>
              <w:marTop w:val="0"/>
              <w:marBottom w:val="0"/>
              <w:divBdr>
                <w:top w:val="none" w:sz="0" w:space="0" w:color="auto"/>
                <w:left w:val="none" w:sz="0" w:space="0" w:color="auto"/>
                <w:bottom w:val="none" w:sz="0" w:space="0" w:color="auto"/>
                <w:right w:val="none" w:sz="0" w:space="0" w:color="auto"/>
              </w:divBdr>
              <w:divsChild>
                <w:div w:id="793599316">
                  <w:marLeft w:val="0"/>
                  <w:marRight w:val="0"/>
                  <w:marTop w:val="0"/>
                  <w:marBottom w:val="0"/>
                  <w:divBdr>
                    <w:top w:val="none" w:sz="0" w:space="0" w:color="auto"/>
                    <w:left w:val="none" w:sz="0" w:space="0" w:color="auto"/>
                    <w:bottom w:val="none" w:sz="0" w:space="0" w:color="auto"/>
                    <w:right w:val="none" w:sz="0" w:space="0" w:color="auto"/>
                  </w:divBdr>
                  <w:divsChild>
                    <w:div w:id="84397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338933">
          <w:marLeft w:val="0"/>
          <w:marRight w:val="0"/>
          <w:marTop w:val="0"/>
          <w:marBottom w:val="0"/>
          <w:divBdr>
            <w:top w:val="none" w:sz="0" w:space="0" w:color="auto"/>
            <w:left w:val="none" w:sz="0" w:space="0" w:color="auto"/>
            <w:bottom w:val="none" w:sz="0" w:space="0" w:color="auto"/>
            <w:right w:val="none" w:sz="0" w:space="0" w:color="auto"/>
          </w:divBdr>
        </w:div>
      </w:divsChild>
    </w:div>
    <w:div w:id="959071298">
      <w:bodyDiv w:val="1"/>
      <w:marLeft w:val="0"/>
      <w:marRight w:val="0"/>
      <w:marTop w:val="0"/>
      <w:marBottom w:val="0"/>
      <w:divBdr>
        <w:top w:val="none" w:sz="0" w:space="0" w:color="auto"/>
        <w:left w:val="none" w:sz="0" w:space="0" w:color="auto"/>
        <w:bottom w:val="none" w:sz="0" w:space="0" w:color="auto"/>
        <w:right w:val="none" w:sz="0" w:space="0" w:color="auto"/>
      </w:divBdr>
    </w:div>
    <w:div w:id="1071930979">
      <w:bodyDiv w:val="1"/>
      <w:marLeft w:val="0"/>
      <w:marRight w:val="0"/>
      <w:marTop w:val="0"/>
      <w:marBottom w:val="0"/>
      <w:divBdr>
        <w:top w:val="none" w:sz="0" w:space="0" w:color="auto"/>
        <w:left w:val="none" w:sz="0" w:space="0" w:color="auto"/>
        <w:bottom w:val="none" w:sz="0" w:space="0" w:color="auto"/>
        <w:right w:val="none" w:sz="0" w:space="0" w:color="auto"/>
      </w:divBdr>
    </w:div>
    <w:div w:id="1246957167">
      <w:bodyDiv w:val="1"/>
      <w:marLeft w:val="0"/>
      <w:marRight w:val="0"/>
      <w:marTop w:val="0"/>
      <w:marBottom w:val="0"/>
      <w:divBdr>
        <w:top w:val="none" w:sz="0" w:space="0" w:color="auto"/>
        <w:left w:val="none" w:sz="0" w:space="0" w:color="auto"/>
        <w:bottom w:val="none" w:sz="0" w:space="0" w:color="auto"/>
        <w:right w:val="none" w:sz="0" w:space="0" w:color="auto"/>
      </w:divBdr>
    </w:div>
    <w:div w:id="1376345010">
      <w:bodyDiv w:val="1"/>
      <w:marLeft w:val="0"/>
      <w:marRight w:val="0"/>
      <w:marTop w:val="0"/>
      <w:marBottom w:val="0"/>
      <w:divBdr>
        <w:top w:val="none" w:sz="0" w:space="0" w:color="auto"/>
        <w:left w:val="none" w:sz="0" w:space="0" w:color="auto"/>
        <w:bottom w:val="none" w:sz="0" w:space="0" w:color="auto"/>
        <w:right w:val="none" w:sz="0" w:space="0" w:color="auto"/>
      </w:divBdr>
    </w:div>
    <w:div w:id="1646274677">
      <w:bodyDiv w:val="1"/>
      <w:marLeft w:val="0"/>
      <w:marRight w:val="0"/>
      <w:marTop w:val="0"/>
      <w:marBottom w:val="0"/>
      <w:divBdr>
        <w:top w:val="none" w:sz="0" w:space="0" w:color="auto"/>
        <w:left w:val="none" w:sz="0" w:space="0" w:color="auto"/>
        <w:bottom w:val="none" w:sz="0" w:space="0" w:color="auto"/>
        <w:right w:val="none" w:sz="0" w:space="0" w:color="auto"/>
      </w:divBdr>
      <w:divsChild>
        <w:div w:id="126246011">
          <w:marLeft w:val="0"/>
          <w:marRight w:val="0"/>
          <w:marTop w:val="0"/>
          <w:marBottom w:val="0"/>
          <w:divBdr>
            <w:top w:val="none" w:sz="0" w:space="0" w:color="auto"/>
            <w:left w:val="none" w:sz="0" w:space="0" w:color="auto"/>
            <w:bottom w:val="none" w:sz="0" w:space="0" w:color="auto"/>
            <w:right w:val="none" w:sz="0" w:space="0" w:color="auto"/>
          </w:divBdr>
          <w:divsChild>
            <w:div w:id="817570528">
              <w:marLeft w:val="0"/>
              <w:marRight w:val="0"/>
              <w:marTop w:val="0"/>
              <w:marBottom w:val="0"/>
              <w:divBdr>
                <w:top w:val="none" w:sz="0" w:space="0" w:color="auto"/>
                <w:left w:val="none" w:sz="0" w:space="0" w:color="auto"/>
                <w:bottom w:val="none" w:sz="0" w:space="0" w:color="auto"/>
                <w:right w:val="none" w:sz="0" w:space="0" w:color="auto"/>
              </w:divBdr>
            </w:div>
          </w:divsChild>
        </w:div>
        <w:div w:id="1379671921">
          <w:marLeft w:val="0"/>
          <w:marRight w:val="0"/>
          <w:marTop w:val="0"/>
          <w:marBottom w:val="0"/>
          <w:divBdr>
            <w:top w:val="none" w:sz="0" w:space="0" w:color="auto"/>
            <w:left w:val="none" w:sz="0" w:space="0" w:color="auto"/>
            <w:bottom w:val="none" w:sz="0" w:space="0" w:color="auto"/>
            <w:right w:val="none" w:sz="0" w:space="0" w:color="auto"/>
          </w:divBdr>
        </w:div>
        <w:div w:id="1771272413">
          <w:marLeft w:val="0"/>
          <w:marRight w:val="0"/>
          <w:marTop w:val="0"/>
          <w:marBottom w:val="0"/>
          <w:divBdr>
            <w:top w:val="none" w:sz="0" w:space="0" w:color="auto"/>
            <w:left w:val="none" w:sz="0" w:space="0" w:color="auto"/>
            <w:bottom w:val="none" w:sz="0" w:space="0" w:color="auto"/>
            <w:right w:val="none" w:sz="0" w:space="0" w:color="auto"/>
          </w:divBdr>
          <w:divsChild>
            <w:div w:id="207298237">
              <w:marLeft w:val="0"/>
              <w:marRight w:val="0"/>
              <w:marTop w:val="0"/>
              <w:marBottom w:val="0"/>
              <w:divBdr>
                <w:top w:val="none" w:sz="0" w:space="0" w:color="auto"/>
                <w:left w:val="none" w:sz="0" w:space="0" w:color="auto"/>
                <w:bottom w:val="none" w:sz="0" w:space="0" w:color="auto"/>
                <w:right w:val="none" w:sz="0" w:space="0" w:color="auto"/>
              </w:divBdr>
            </w:div>
            <w:div w:id="374815256">
              <w:marLeft w:val="0"/>
              <w:marRight w:val="0"/>
              <w:marTop w:val="0"/>
              <w:marBottom w:val="0"/>
              <w:divBdr>
                <w:top w:val="none" w:sz="0" w:space="0" w:color="auto"/>
                <w:left w:val="none" w:sz="0" w:space="0" w:color="auto"/>
                <w:bottom w:val="none" w:sz="0" w:space="0" w:color="auto"/>
                <w:right w:val="none" w:sz="0" w:space="0" w:color="auto"/>
              </w:divBdr>
              <w:divsChild>
                <w:div w:id="1796677851">
                  <w:marLeft w:val="0"/>
                  <w:marRight w:val="0"/>
                  <w:marTop w:val="0"/>
                  <w:marBottom w:val="0"/>
                  <w:divBdr>
                    <w:top w:val="none" w:sz="0" w:space="0" w:color="auto"/>
                    <w:left w:val="none" w:sz="0" w:space="0" w:color="auto"/>
                    <w:bottom w:val="none" w:sz="0" w:space="0" w:color="auto"/>
                    <w:right w:val="none" w:sz="0" w:space="0" w:color="auto"/>
                  </w:divBdr>
                  <w:divsChild>
                    <w:div w:id="102841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557499">
              <w:marLeft w:val="0"/>
              <w:marRight w:val="0"/>
              <w:marTop w:val="0"/>
              <w:marBottom w:val="0"/>
              <w:divBdr>
                <w:top w:val="none" w:sz="0" w:space="0" w:color="auto"/>
                <w:left w:val="none" w:sz="0" w:space="0" w:color="auto"/>
                <w:bottom w:val="none" w:sz="0" w:space="0" w:color="auto"/>
                <w:right w:val="none" w:sz="0" w:space="0" w:color="auto"/>
              </w:divBdr>
              <w:divsChild>
                <w:div w:id="1514102072">
                  <w:marLeft w:val="0"/>
                  <w:marRight w:val="0"/>
                  <w:marTop w:val="0"/>
                  <w:marBottom w:val="0"/>
                  <w:divBdr>
                    <w:top w:val="none" w:sz="0" w:space="0" w:color="auto"/>
                    <w:left w:val="none" w:sz="0" w:space="0" w:color="auto"/>
                    <w:bottom w:val="none" w:sz="0" w:space="0" w:color="auto"/>
                    <w:right w:val="none" w:sz="0" w:space="0" w:color="auto"/>
                  </w:divBdr>
                  <w:divsChild>
                    <w:div w:id="91574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9433">
              <w:marLeft w:val="0"/>
              <w:marRight w:val="0"/>
              <w:marTop w:val="0"/>
              <w:marBottom w:val="0"/>
              <w:divBdr>
                <w:top w:val="none" w:sz="0" w:space="0" w:color="auto"/>
                <w:left w:val="none" w:sz="0" w:space="0" w:color="auto"/>
                <w:bottom w:val="none" w:sz="0" w:space="0" w:color="auto"/>
                <w:right w:val="none" w:sz="0" w:space="0" w:color="auto"/>
              </w:divBdr>
              <w:divsChild>
                <w:div w:id="1241596198">
                  <w:marLeft w:val="0"/>
                  <w:marRight w:val="0"/>
                  <w:marTop w:val="0"/>
                  <w:marBottom w:val="0"/>
                  <w:divBdr>
                    <w:top w:val="none" w:sz="0" w:space="0" w:color="auto"/>
                    <w:left w:val="none" w:sz="0" w:space="0" w:color="auto"/>
                    <w:bottom w:val="none" w:sz="0" w:space="0" w:color="auto"/>
                    <w:right w:val="none" w:sz="0" w:space="0" w:color="auto"/>
                  </w:divBdr>
                  <w:divsChild>
                    <w:div w:id="449711956">
                      <w:marLeft w:val="0"/>
                      <w:marRight w:val="0"/>
                      <w:marTop w:val="0"/>
                      <w:marBottom w:val="0"/>
                      <w:divBdr>
                        <w:top w:val="none" w:sz="0" w:space="0" w:color="auto"/>
                        <w:left w:val="none" w:sz="0" w:space="0" w:color="auto"/>
                        <w:bottom w:val="none" w:sz="0" w:space="0" w:color="auto"/>
                        <w:right w:val="none" w:sz="0" w:space="0" w:color="auto"/>
                      </w:divBdr>
                    </w:div>
                    <w:div w:id="1165630458">
                      <w:marLeft w:val="0"/>
                      <w:marRight w:val="0"/>
                      <w:marTop w:val="0"/>
                      <w:marBottom w:val="0"/>
                      <w:divBdr>
                        <w:top w:val="none" w:sz="0" w:space="0" w:color="auto"/>
                        <w:left w:val="none" w:sz="0" w:space="0" w:color="auto"/>
                        <w:bottom w:val="none" w:sz="0" w:space="0" w:color="auto"/>
                        <w:right w:val="none" w:sz="0" w:space="0" w:color="auto"/>
                      </w:divBdr>
                      <w:divsChild>
                        <w:div w:id="1310817177">
                          <w:marLeft w:val="0"/>
                          <w:marRight w:val="0"/>
                          <w:marTop w:val="0"/>
                          <w:marBottom w:val="0"/>
                          <w:divBdr>
                            <w:top w:val="none" w:sz="0" w:space="0" w:color="auto"/>
                            <w:left w:val="none" w:sz="0" w:space="0" w:color="auto"/>
                            <w:bottom w:val="none" w:sz="0" w:space="0" w:color="auto"/>
                            <w:right w:val="none" w:sz="0" w:space="0" w:color="auto"/>
                          </w:divBdr>
                        </w:div>
                      </w:divsChild>
                    </w:div>
                    <w:div w:id="1179001140">
                      <w:marLeft w:val="0"/>
                      <w:marRight w:val="0"/>
                      <w:marTop w:val="0"/>
                      <w:marBottom w:val="0"/>
                      <w:divBdr>
                        <w:top w:val="none" w:sz="0" w:space="0" w:color="auto"/>
                        <w:left w:val="none" w:sz="0" w:space="0" w:color="auto"/>
                        <w:bottom w:val="none" w:sz="0" w:space="0" w:color="auto"/>
                        <w:right w:val="none" w:sz="0" w:space="0" w:color="auto"/>
                      </w:divBdr>
                      <w:divsChild>
                        <w:div w:id="21910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757567">
              <w:marLeft w:val="0"/>
              <w:marRight w:val="0"/>
              <w:marTop w:val="0"/>
              <w:marBottom w:val="0"/>
              <w:divBdr>
                <w:top w:val="none" w:sz="0" w:space="0" w:color="auto"/>
                <w:left w:val="none" w:sz="0" w:space="0" w:color="auto"/>
                <w:bottom w:val="none" w:sz="0" w:space="0" w:color="auto"/>
                <w:right w:val="none" w:sz="0" w:space="0" w:color="auto"/>
              </w:divBdr>
              <w:divsChild>
                <w:div w:id="431823349">
                  <w:marLeft w:val="0"/>
                  <w:marRight w:val="0"/>
                  <w:marTop w:val="0"/>
                  <w:marBottom w:val="0"/>
                  <w:divBdr>
                    <w:top w:val="none" w:sz="0" w:space="0" w:color="auto"/>
                    <w:left w:val="none" w:sz="0" w:space="0" w:color="auto"/>
                    <w:bottom w:val="none" w:sz="0" w:space="0" w:color="auto"/>
                    <w:right w:val="none" w:sz="0" w:space="0" w:color="auto"/>
                  </w:divBdr>
                  <w:divsChild>
                    <w:div w:id="94885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665138">
          <w:marLeft w:val="0"/>
          <w:marRight w:val="0"/>
          <w:marTop w:val="0"/>
          <w:marBottom w:val="0"/>
          <w:divBdr>
            <w:top w:val="none" w:sz="0" w:space="0" w:color="auto"/>
            <w:left w:val="none" w:sz="0" w:space="0" w:color="auto"/>
            <w:bottom w:val="none" w:sz="0" w:space="0" w:color="auto"/>
            <w:right w:val="none" w:sz="0" w:space="0" w:color="auto"/>
          </w:divBdr>
          <w:divsChild>
            <w:div w:id="1064992366">
              <w:marLeft w:val="0"/>
              <w:marRight w:val="0"/>
              <w:marTop w:val="0"/>
              <w:marBottom w:val="0"/>
              <w:divBdr>
                <w:top w:val="none" w:sz="0" w:space="0" w:color="auto"/>
                <w:left w:val="none" w:sz="0" w:space="0" w:color="auto"/>
                <w:bottom w:val="none" w:sz="0" w:space="0" w:color="auto"/>
                <w:right w:val="none" w:sz="0" w:space="0" w:color="auto"/>
              </w:divBdr>
            </w:div>
          </w:divsChild>
        </w:div>
        <w:div w:id="1900897383">
          <w:marLeft w:val="0"/>
          <w:marRight w:val="0"/>
          <w:marTop w:val="0"/>
          <w:marBottom w:val="0"/>
          <w:divBdr>
            <w:top w:val="none" w:sz="0" w:space="0" w:color="auto"/>
            <w:left w:val="none" w:sz="0" w:space="0" w:color="auto"/>
            <w:bottom w:val="none" w:sz="0" w:space="0" w:color="auto"/>
            <w:right w:val="none" w:sz="0" w:space="0" w:color="auto"/>
          </w:divBdr>
          <w:divsChild>
            <w:div w:id="174857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18996">
      <w:bodyDiv w:val="1"/>
      <w:marLeft w:val="0"/>
      <w:marRight w:val="0"/>
      <w:marTop w:val="0"/>
      <w:marBottom w:val="0"/>
      <w:divBdr>
        <w:top w:val="none" w:sz="0" w:space="0" w:color="auto"/>
        <w:left w:val="none" w:sz="0" w:space="0" w:color="auto"/>
        <w:bottom w:val="none" w:sz="0" w:space="0" w:color="auto"/>
        <w:right w:val="none" w:sz="0" w:space="0" w:color="auto"/>
      </w:divBdr>
      <w:divsChild>
        <w:div w:id="626277554">
          <w:marLeft w:val="0"/>
          <w:marRight w:val="0"/>
          <w:marTop w:val="0"/>
          <w:marBottom w:val="0"/>
          <w:divBdr>
            <w:top w:val="none" w:sz="0" w:space="0" w:color="auto"/>
            <w:left w:val="none" w:sz="0" w:space="0" w:color="auto"/>
            <w:bottom w:val="none" w:sz="0" w:space="0" w:color="auto"/>
            <w:right w:val="none" w:sz="0" w:space="0" w:color="auto"/>
          </w:divBdr>
          <w:divsChild>
            <w:div w:id="60177533">
              <w:marLeft w:val="0"/>
              <w:marRight w:val="0"/>
              <w:marTop w:val="0"/>
              <w:marBottom w:val="0"/>
              <w:divBdr>
                <w:top w:val="none" w:sz="0" w:space="0" w:color="auto"/>
                <w:left w:val="none" w:sz="0" w:space="0" w:color="auto"/>
                <w:bottom w:val="none" w:sz="0" w:space="0" w:color="auto"/>
                <w:right w:val="none" w:sz="0" w:space="0" w:color="auto"/>
              </w:divBdr>
              <w:divsChild>
                <w:div w:id="1710299191">
                  <w:marLeft w:val="0"/>
                  <w:marRight w:val="0"/>
                  <w:marTop w:val="0"/>
                  <w:marBottom w:val="0"/>
                  <w:divBdr>
                    <w:top w:val="none" w:sz="0" w:space="0" w:color="auto"/>
                    <w:left w:val="none" w:sz="0" w:space="0" w:color="auto"/>
                    <w:bottom w:val="none" w:sz="0" w:space="0" w:color="auto"/>
                    <w:right w:val="none" w:sz="0" w:space="0" w:color="auto"/>
                  </w:divBdr>
                  <w:divsChild>
                    <w:div w:id="1988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33009">
              <w:marLeft w:val="0"/>
              <w:marRight w:val="0"/>
              <w:marTop w:val="0"/>
              <w:marBottom w:val="0"/>
              <w:divBdr>
                <w:top w:val="none" w:sz="0" w:space="0" w:color="auto"/>
                <w:left w:val="none" w:sz="0" w:space="0" w:color="auto"/>
                <w:bottom w:val="none" w:sz="0" w:space="0" w:color="auto"/>
                <w:right w:val="none" w:sz="0" w:space="0" w:color="auto"/>
              </w:divBdr>
              <w:divsChild>
                <w:div w:id="623116581">
                  <w:marLeft w:val="0"/>
                  <w:marRight w:val="0"/>
                  <w:marTop w:val="0"/>
                  <w:marBottom w:val="0"/>
                  <w:divBdr>
                    <w:top w:val="none" w:sz="0" w:space="0" w:color="auto"/>
                    <w:left w:val="none" w:sz="0" w:space="0" w:color="auto"/>
                    <w:bottom w:val="none" w:sz="0" w:space="0" w:color="auto"/>
                    <w:right w:val="none" w:sz="0" w:space="0" w:color="auto"/>
                  </w:divBdr>
                  <w:divsChild>
                    <w:div w:id="51145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382167">
              <w:marLeft w:val="0"/>
              <w:marRight w:val="0"/>
              <w:marTop w:val="0"/>
              <w:marBottom w:val="0"/>
              <w:divBdr>
                <w:top w:val="none" w:sz="0" w:space="0" w:color="auto"/>
                <w:left w:val="none" w:sz="0" w:space="0" w:color="auto"/>
                <w:bottom w:val="none" w:sz="0" w:space="0" w:color="auto"/>
                <w:right w:val="none" w:sz="0" w:space="0" w:color="auto"/>
              </w:divBdr>
            </w:div>
          </w:divsChild>
        </w:div>
        <w:div w:id="1143154670">
          <w:marLeft w:val="0"/>
          <w:marRight w:val="0"/>
          <w:marTop w:val="0"/>
          <w:marBottom w:val="0"/>
          <w:divBdr>
            <w:top w:val="none" w:sz="0" w:space="0" w:color="auto"/>
            <w:left w:val="none" w:sz="0" w:space="0" w:color="auto"/>
            <w:bottom w:val="none" w:sz="0" w:space="0" w:color="auto"/>
            <w:right w:val="none" w:sz="0" w:space="0" w:color="auto"/>
          </w:divBdr>
          <w:divsChild>
            <w:div w:id="497843464">
              <w:marLeft w:val="0"/>
              <w:marRight w:val="0"/>
              <w:marTop w:val="0"/>
              <w:marBottom w:val="0"/>
              <w:divBdr>
                <w:top w:val="none" w:sz="0" w:space="0" w:color="auto"/>
                <w:left w:val="none" w:sz="0" w:space="0" w:color="auto"/>
                <w:bottom w:val="none" w:sz="0" w:space="0" w:color="auto"/>
                <w:right w:val="none" w:sz="0" w:space="0" w:color="auto"/>
              </w:divBdr>
            </w:div>
          </w:divsChild>
        </w:div>
        <w:div w:id="1608998571">
          <w:marLeft w:val="0"/>
          <w:marRight w:val="0"/>
          <w:marTop w:val="0"/>
          <w:marBottom w:val="0"/>
          <w:divBdr>
            <w:top w:val="none" w:sz="0" w:space="0" w:color="auto"/>
            <w:left w:val="none" w:sz="0" w:space="0" w:color="auto"/>
            <w:bottom w:val="none" w:sz="0" w:space="0" w:color="auto"/>
            <w:right w:val="none" w:sz="0" w:space="0" w:color="auto"/>
          </w:divBdr>
        </w:div>
      </w:divsChild>
    </w:div>
    <w:div w:id="1843541165">
      <w:bodyDiv w:val="1"/>
      <w:marLeft w:val="0"/>
      <w:marRight w:val="0"/>
      <w:marTop w:val="0"/>
      <w:marBottom w:val="0"/>
      <w:divBdr>
        <w:top w:val="none" w:sz="0" w:space="0" w:color="auto"/>
        <w:left w:val="none" w:sz="0" w:space="0" w:color="auto"/>
        <w:bottom w:val="none" w:sz="0" w:space="0" w:color="auto"/>
        <w:right w:val="none" w:sz="0" w:space="0" w:color="auto"/>
      </w:divBdr>
    </w:div>
    <w:div w:id="1902867196">
      <w:bodyDiv w:val="1"/>
      <w:marLeft w:val="0"/>
      <w:marRight w:val="0"/>
      <w:marTop w:val="0"/>
      <w:marBottom w:val="0"/>
      <w:divBdr>
        <w:top w:val="none" w:sz="0" w:space="0" w:color="auto"/>
        <w:left w:val="none" w:sz="0" w:space="0" w:color="auto"/>
        <w:bottom w:val="none" w:sz="0" w:space="0" w:color="auto"/>
        <w:right w:val="none" w:sz="0" w:space="0" w:color="auto"/>
      </w:divBdr>
    </w:div>
    <w:div w:id="197120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piop.rcl.gov.pl/index.php?r=skorowidz/aktprawnydetail&amp;id_akt_prawny=234826"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CBC80A-60EB-4815-8707-6C661DD1F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2878</Words>
  <Characters>17274</Characters>
  <Application>Microsoft Office Word</Application>
  <DocSecurity>0</DocSecurity>
  <Lines>143</Lines>
  <Paragraphs>40</Paragraphs>
  <ScaleCrop>false</ScaleCrop>
  <Company/>
  <LinksUpToDate>false</LinksUpToDate>
  <CharactersWithSpaces>20112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2026-10-22T10:35:00Z</dcterms:created>
  <dcterms:modified xsi:type="dcterms:W3CDTF">2026-10-22T10:35:00Z</dcterms:modified>
</cp:coreProperties>
</file>