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8785" w14:textId="77777777" w:rsidR="001424DC" w:rsidRPr="00714AAD" w:rsidRDefault="001424DC" w:rsidP="001424DC">
      <w:pPr>
        <w:spacing w:line="360" w:lineRule="auto"/>
        <w:jc w:val="center"/>
      </w:pPr>
      <w:r w:rsidRPr="00714AAD">
        <w:t>UZASADNIENIE</w:t>
      </w:r>
    </w:p>
    <w:p w14:paraId="10CBFD91" w14:textId="77777777" w:rsidR="001424DC" w:rsidRDefault="001424DC" w:rsidP="001424DC">
      <w:pPr>
        <w:spacing w:line="360" w:lineRule="auto"/>
        <w:jc w:val="center"/>
        <w:rPr>
          <w:b/>
          <w:bCs/>
        </w:rPr>
      </w:pPr>
    </w:p>
    <w:p w14:paraId="7CCB6E14" w14:textId="77777777" w:rsidR="001424DC" w:rsidRDefault="001424DC" w:rsidP="00212B58">
      <w:pPr>
        <w:spacing w:after="240" w:line="360" w:lineRule="auto"/>
        <w:jc w:val="both"/>
        <w:rPr>
          <w:b/>
        </w:rPr>
      </w:pPr>
      <w:r>
        <w:rPr>
          <w:b/>
        </w:rPr>
        <w:t>I. Potrzeba i cel wydania ustawy</w:t>
      </w:r>
    </w:p>
    <w:p w14:paraId="234ADD45" w14:textId="77777777" w:rsidR="00E479D2" w:rsidRPr="00E41427" w:rsidRDefault="001424DC" w:rsidP="00E41427">
      <w:pPr>
        <w:spacing w:after="240" w:line="360" w:lineRule="auto"/>
        <w:jc w:val="both"/>
      </w:pPr>
      <w:r>
        <w:t>Celem projektu ustawy o zmianie ustawy – Karta Nauczyciela jest</w:t>
      </w:r>
      <w:r w:rsidR="00E76C6C">
        <w:t xml:space="preserve"> </w:t>
      </w:r>
      <w:r w:rsidR="00E76C6C" w:rsidRPr="00E76C6C">
        <w:t>systemowe zagwarantowanie odpowiedniego wzrostu średniego wynagrodzenia nauczycieli początkujących</w:t>
      </w:r>
      <w:r w:rsidR="00B8357C">
        <w:t xml:space="preserve">. W związku z tym, iż </w:t>
      </w:r>
      <w:r w:rsidR="00560C35">
        <w:t xml:space="preserve">w zakresie ustalania średniego wynagrodzenia </w:t>
      </w:r>
      <w:r w:rsidR="00560C35" w:rsidRPr="00560C35">
        <w:t xml:space="preserve">nauczycieli początkujących </w:t>
      </w:r>
      <w:r w:rsidR="00B8357C" w:rsidRPr="00B8357C">
        <w:t>rozwiązania przyjęte</w:t>
      </w:r>
      <w:r w:rsidR="00560C35">
        <w:t xml:space="preserve"> </w:t>
      </w:r>
      <w:r w:rsidR="00B8357C" w:rsidRPr="00B8357C">
        <w:t xml:space="preserve">w ustawach „okołobudżetowych” </w:t>
      </w:r>
      <w:r w:rsidR="00560C35">
        <w:t>na</w:t>
      </w:r>
      <w:r w:rsidR="00560C35" w:rsidRPr="00560C35">
        <w:t xml:space="preserve"> lata 2024–2026</w:t>
      </w:r>
      <w:r w:rsidR="00560C35">
        <w:t xml:space="preserve"> </w:t>
      </w:r>
      <w:r w:rsidR="00B8357C" w:rsidRPr="00B8357C">
        <w:t>miały charakter epizodyczny,</w:t>
      </w:r>
      <w:r w:rsidR="00560C35">
        <w:t xml:space="preserve"> z</w:t>
      </w:r>
      <w:r w:rsidR="00B8357C" w:rsidRPr="00B8357C">
        <w:t xml:space="preserve">agwarantowanie </w:t>
      </w:r>
      <w:r w:rsidR="00560C35">
        <w:t>tym nau</w:t>
      </w:r>
      <w:r w:rsidR="00B8357C" w:rsidRPr="00B8357C">
        <w:t>czycielom odpowiedniego wzrostu wynagrodzeń w 2027 r. wymaga zmiany legislacyjnej</w:t>
      </w:r>
      <w:r w:rsidR="00560C35">
        <w:t>.</w:t>
      </w:r>
      <w:r w:rsidR="00B8357C">
        <w:t xml:space="preserve"> </w:t>
      </w:r>
    </w:p>
    <w:p w14:paraId="0A17580B" w14:textId="77777777" w:rsidR="00B8357C" w:rsidRPr="00212B58" w:rsidRDefault="00B8357C" w:rsidP="00B8357C">
      <w:pPr>
        <w:spacing w:after="240" w:line="360" w:lineRule="auto"/>
        <w:jc w:val="both"/>
        <w:rPr>
          <w:b/>
          <w:bCs/>
        </w:rPr>
      </w:pPr>
      <w:r w:rsidRPr="003800A4">
        <w:rPr>
          <w:b/>
          <w:bCs/>
        </w:rPr>
        <w:t>II. Szczegółowa charakterystyka proponowanych zmian</w:t>
      </w:r>
    </w:p>
    <w:p w14:paraId="3C994569" w14:textId="77777777" w:rsidR="00B8357C" w:rsidRPr="00B8357C" w:rsidRDefault="00B8357C" w:rsidP="00B50B8B">
      <w:pPr>
        <w:spacing w:after="240" w:line="360" w:lineRule="auto"/>
        <w:jc w:val="both"/>
        <w:rPr>
          <w:b/>
          <w:bCs/>
        </w:rPr>
      </w:pPr>
      <w:r>
        <w:t>W projekcie ustawy proponuje się zmian</w:t>
      </w:r>
      <w:r w:rsidR="00B50B8B">
        <w:t>ę</w:t>
      </w:r>
      <w:r>
        <w:t xml:space="preserve"> </w:t>
      </w:r>
      <w:r w:rsidR="00560C35">
        <w:t>ustaw</w:t>
      </w:r>
      <w:r w:rsidR="00B50B8B">
        <w:t>y</w:t>
      </w:r>
      <w:r w:rsidR="00560C35">
        <w:t xml:space="preserve"> z dnia 26 stycznia 1982 r. – Karta Nauczyciela (Dz. U. z 2026 r. poz. 515), zwanej dalej „ustawą”</w:t>
      </w:r>
      <w:r w:rsidR="00B50B8B">
        <w:t xml:space="preserve">, </w:t>
      </w:r>
      <w:r w:rsidR="00B50B8B" w:rsidRPr="00B50B8B">
        <w:t>polegającą na</w:t>
      </w:r>
      <w:r w:rsidR="00B50B8B">
        <w:t xml:space="preserve"> </w:t>
      </w:r>
      <w:r w:rsidRPr="00B50B8B">
        <w:t>podwyższeni</w:t>
      </w:r>
      <w:r w:rsidR="00B50B8B" w:rsidRPr="00B50B8B">
        <w:t>u</w:t>
      </w:r>
      <w:r w:rsidRPr="00B50B8B">
        <w:t xml:space="preserve"> wskaźnika kwoty bazowej, określanej dla nauczycieli corocznie w</w:t>
      </w:r>
      <w:r w:rsidR="00E41427">
        <w:t xml:space="preserve"> </w:t>
      </w:r>
      <w:r w:rsidRPr="00B50B8B">
        <w:t>ustawie budżetowej, w</w:t>
      </w:r>
      <w:r w:rsidR="00E41427">
        <w:t> </w:t>
      </w:r>
      <w:r w:rsidRPr="00B50B8B">
        <w:t>oparciu o który ustalane jest średnie wynagrodzenie nauczycieli początkujących</w:t>
      </w:r>
      <w:r w:rsidR="00B50B8B" w:rsidRPr="00B50B8B">
        <w:t xml:space="preserve">. </w:t>
      </w:r>
    </w:p>
    <w:p w14:paraId="5F089573" w14:textId="77777777" w:rsidR="00212B58" w:rsidRDefault="00235B3D" w:rsidP="00212B58">
      <w:pPr>
        <w:spacing w:after="240" w:line="360" w:lineRule="auto"/>
        <w:contextualSpacing/>
        <w:jc w:val="both"/>
      </w:pPr>
      <w:r>
        <w:t>Obecnie, z</w:t>
      </w:r>
      <w:r w:rsidR="00E76C6C">
        <w:t>godnie z art. 30 ust. 3 ustawy, średnie wynagrodzenie nauczycieli stanowi dla:</w:t>
      </w:r>
    </w:p>
    <w:p w14:paraId="675A417B" w14:textId="77777777" w:rsidR="00E76C6C" w:rsidRDefault="00E76C6C" w:rsidP="00293801">
      <w:pPr>
        <w:numPr>
          <w:ilvl w:val="0"/>
          <w:numId w:val="2"/>
        </w:numPr>
        <w:spacing w:after="240" w:line="360" w:lineRule="auto"/>
        <w:ind w:left="426" w:hanging="437"/>
        <w:contextualSpacing/>
        <w:jc w:val="both"/>
      </w:pPr>
      <w:r>
        <w:t>nauczyciela początkującego – 120 %,</w:t>
      </w:r>
    </w:p>
    <w:p w14:paraId="0C8EEA52" w14:textId="77777777" w:rsidR="00E76C6C" w:rsidRDefault="00E76C6C" w:rsidP="00293801">
      <w:pPr>
        <w:numPr>
          <w:ilvl w:val="0"/>
          <w:numId w:val="2"/>
        </w:numPr>
        <w:spacing w:after="240" w:line="360" w:lineRule="auto"/>
        <w:ind w:left="426" w:hanging="437"/>
        <w:contextualSpacing/>
        <w:jc w:val="both"/>
      </w:pPr>
      <w:r>
        <w:t>nauczyciela mianowanego – 144 %,</w:t>
      </w:r>
    </w:p>
    <w:p w14:paraId="61C00F13" w14:textId="77777777" w:rsidR="00E76C6C" w:rsidRDefault="00E76C6C" w:rsidP="00293801">
      <w:pPr>
        <w:numPr>
          <w:ilvl w:val="0"/>
          <w:numId w:val="2"/>
        </w:numPr>
        <w:spacing w:after="240" w:line="360" w:lineRule="auto"/>
        <w:ind w:left="426" w:hanging="437"/>
        <w:contextualSpacing/>
        <w:jc w:val="both"/>
      </w:pPr>
      <w:r>
        <w:t xml:space="preserve">nauczyciela dyplomowanego – 184 % </w:t>
      </w:r>
    </w:p>
    <w:p w14:paraId="200F2A17" w14:textId="77777777" w:rsidR="00E76C6C" w:rsidRDefault="00E76C6C" w:rsidP="00212B58">
      <w:pPr>
        <w:spacing w:after="240" w:line="360" w:lineRule="auto"/>
        <w:jc w:val="both"/>
      </w:pPr>
      <w:r>
        <w:t>– kwoty bazowej, określanej dla nauczycieli corocznie w ustawie budżetowej.</w:t>
      </w:r>
    </w:p>
    <w:p w14:paraId="00CE7433" w14:textId="0706FDF1" w:rsidR="00B50B8B" w:rsidRDefault="00E76C6C" w:rsidP="00212B58">
      <w:pPr>
        <w:spacing w:after="240" w:line="360" w:lineRule="auto"/>
        <w:jc w:val="both"/>
      </w:pPr>
      <w:r>
        <w:t>Kwota bazowa dla nauczycieli określona w art. 9 ust. 2 ustawy budżetowej na rok 2024 z dnia 18 stycznia 2024 r. (Dz. U. poz. 122, z późn. zm.) zagwarantowała wzrost średnich wynagrodzeń wszystkich nauczycieli o 30 %. Ponadto przepisem art. 3 ustawy z dnia 16 stycznia 2024 r. o szczególnych rozwiązaniach służących realizacji ustawy budżetowej na rok 2024 (Dz. U. poz. 123, z późn. zm.) w roku 2024 dodatkowo zwiększono średnie wynagrodzenie nauczycieli początkujących ustalone w sposób określony w art. 30 ust. 3 pkt 1 ustawy o 2,308 %. W wyniku powyższych zmian, w 2024 r. średnie wynagrodzenie nauczycieli początkujących zostało zwiększone o 33 %, zaś nauczycieli mianowanych i</w:t>
      </w:r>
      <w:r w:rsidR="00B8357C">
        <w:t> </w:t>
      </w:r>
      <w:r>
        <w:t>dyplomowanych o 30 %. W latach 2025 i 2026, w celu zagwarantowania takiego samego procentowego wzrostu wynagrodzenia nauczycieli początkujących jak nauczycieli mianowanych i dyplomowanych, odpowiednio w art. 3 ustawy z dnia 21 listopada 2024 r. o</w:t>
      </w:r>
      <w:r w:rsidR="00B8357C">
        <w:t> </w:t>
      </w:r>
      <w:r>
        <w:t xml:space="preserve">szczególnych rozwiązaniach służących realizacji ustawy budżetowej na rok 2025 (Dz. U. poz. 1925) i art. 3 ustawy z dnia 7 </w:t>
      </w:r>
      <w:r>
        <w:lastRenderedPageBreak/>
        <w:t>listopada 2025 r. o szczególnych rozwiązaniach służących realizacji ustawy budżetowej na rok 2026 (Dz. U. poz. 1840) były zawarte przepisy, które dodatkowo zwiększały średnie wynagrodzenie nauczycieli początkujących o 2,308</w:t>
      </w:r>
      <w:r w:rsidR="00235B3D">
        <w:t xml:space="preserve"> </w:t>
      </w:r>
      <w:r>
        <w:t xml:space="preserve">%. </w:t>
      </w:r>
    </w:p>
    <w:p w14:paraId="0B4C72B7" w14:textId="2D2C1829" w:rsidR="00B50B8B" w:rsidRDefault="00B50B8B" w:rsidP="00212B58">
      <w:pPr>
        <w:spacing w:after="240" w:line="360" w:lineRule="auto"/>
        <w:jc w:val="both"/>
      </w:pPr>
      <w:r w:rsidRPr="00B50B8B">
        <w:t>W dniu 9 czerwca 2026 r. Rada Ministrów, w oparciu o dokument pt. „Propozycja średniorocznych wskaźników wzrostu wynagrodzeń w państwowej sferze budżetowej na rok 2027 oraz informacja o prognozowanych wielkościach makroekonomicznych na rok 2027”, przyjęła średnioroczny wskaźnik wzrostu wynagrodzeń w 2027 r. na poziomie 103,0 %. Zgodnie z powyższym planowana kwota bazowa dla nauczycieli na 2027 r. będzie wyższa niż w 2026 r. o 3 %. Planowana wysokość kwoty bazowej dla nauczycieli generuje wzrost średniego wynagrodzenia nauczycieli mianowanych i dyplomowanych od dnia 1 stycznia 2027 r. o 3 %. W przypadku nauczycieli początkujących sam wzrost kwoty bazowej nie przekłada się na zapowiedziany wzrost wynagrodzenia średniego. Określony w ustawie wskaźnik dla nauczycieli początkujących – 120 %, przy wzroście kwoty bazowej dla nauczycieli o 3 %, gwarantuje nauczycielom początkującym wzrost średniego wynagrodzenia w 2027 r. jedynie o 0,68 %.</w:t>
      </w:r>
    </w:p>
    <w:p w14:paraId="0ED99413" w14:textId="77777777" w:rsidR="00B50B8B" w:rsidRDefault="00E76C6C" w:rsidP="00212B58">
      <w:pPr>
        <w:spacing w:after="240" w:line="360" w:lineRule="auto"/>
        <w:jc w:val="both"/>
      </w:pPr>
      <w:r>
        <w:t>W</w:t>
      </w:r>
      <w:r w:rsidR="00B8357C">
        <w:t> </w:t>
      </w:r>
      <w:r>
        <w:t xml:space="preserve">związku z tym, iż rozwiązania przyjęte w ww. ustawach „okołobudżetowych” miały charakter epizodyczny, tj. obowiązywały tylko w jednym roku, zagwarantowanie nauczycielom początkującym odpowiedniego wzrostu wynagrodzeń w 2027 r. wymaga kolejnej zmiany legislacyjnej. </w:t>
      </w:r>
    </w:p>
    <w:p w14:paraId="4C1267B8" w14:textId="77777777" w:rsidR="00E76C6C" w:rsidRDefault="00E76C6C" w:rsidP="00212B58">
      <w:pPr>
        <w:spacing w:after="240" w:line="360" w:lineRule="auto"/>
        <w:jc w:val="both"/>
      </w:pPr>
      <w:r>
        <w:t>Jednak dalsze coroczne dodatkowe zwiększanie średniego wynagrodzenia nauczycieli początkujących względem wynagrodzenia ustalonego na podstawie art. 30 ust. 3 pkt 1 ustawy na mocy przepisu szczególnego nie znajduje uzasadnienia. Dlatego też proponuje się systemowe uregulowanie w ustawie kwestii ustalania średniego wynagrodzenia nauczycieli początkujących</w:t>
      </w:r>
      <w:r w:rsidR="0079647E">
        <w:t>.</w:t>
      </w:r>
    </w:p>
    <w:p w14:paraId="7921D29F" w14:textId="30259B74" w:rsidR="0079647E" w:rsidRDefault="0079647E" w:rsidP="0079647E">
      <w:pPr>
        <w:spacing w:after="240" w:line="360" w:lineRule="auto"/>
        <w:jc w:val="both"/>
      </w:pPr>
      <w:r>
        <w:t>W celu zapewnienia nauczycielom początkującym stałego rozwiązania w zakresie ustalania wysokości średniego wynagrodzenia proponuje się zmianę art. 30 ust. 3 pkt 1 ustawy polegającą na podwyższeniu wskaźnika kwoty bazowej, określanej dla nauczycieli corocznie w ustawie budżetowej, w oparciu o który ustalane jest średnie wynagrodzenie nauczycieli początkujących, ze 120 % do 122,</w:t>
      </w:r>
      <w:r w:rsidR="00B50B8B">
        <w:t>769</w:t>
      </w:r>
      <w:r w:rsidR="00D75C27">
        <w:t>6</w:t>
      </w:r>
      <w:r>
        <w:t xml:space="preserve"> %. Obecnie nauczyciele początkujący nie posiadają prawnej gwarancji dodatkowego zwiększenia średniego wynagrodzenia w 2027 r. oraz w</w:t>
      </w:r>
      <w:r w:rsidR="00E479D2">
        <w:t> </w:t>
      </w:r>
      <w:r>
        <w:t xml:space="preserve">kolejnych latach, a bez odpowiedniego zwiększenia tego wskaźnika wzrost średniego </w:t>
      </w:r>
      <w:r>
        <w:lastRenderedPageBreak/>
        <w:t>wynagrodzenia nauczycieli początkujących w 2027 r. byłby niższy niż prognozowany wskaźnik inflacji.</w:t>
      </w:r>
      <w:r w:rsidR="00B50B8B">
        <w:t xml:space="preserve"> </w:t>
      </w:r>
      <w:r w:rsidR="00B50B8B" w:rsidRPr="00B50B8B">
        <w:t>Określenie procentowej relacji średniego wynagrodzenia nauczyciela początkującego w stosunku do kwoty bazowej określanej corocznie dla nauczycieli w ustawie budżetowej na poziomie 122,7696 % zagwarantuje w 2027 r. i w kolejnych latach taki sam procentowy wzrost średniego wynagrodzenia nauczycieli początkujących jak nauczycieli mianowanych i dyplomowanych. Średnie wynagrodzenia nauczycieli początkujących ustalone w oparciu o proponowany wskaźnik oraz planowaną na 2027 r. wysokość kwoty bazowej dla nauczycieli, tak jak średnie wynagrodzenia nauczycieli mianowanych i</w:t>
      </w:r>
      <w:r w:rsidR="00E41427">
        <w:t> </w:t>
      </w:r>
      <w:r w:rsidR="00B50B8B" w:rsidRPr="00B50B8B">
        <w:t xml:space="preserve">dyplomowanych, wzrosną </w:t>
      </w:r>
      <w:r w:rsidR="00B50B8B">
        <w:t xml:space="preserve">od </w:t>
      </w:r>
      <w:r w:rsidR="00235B3D">
        <w:t xml:space="preserve">dnia </w:t>
      </w:r>
      <w:r w:rsidR="00B50B8B">
        <w:t xml:space="preserve">1 stycznia 2027 r. </w:t>
      </w:r>
      <w:r w:rsidR="00B50B8B" w:rsidRPr="00B50B8B">
        <w:t>o 3 %.</w:t>
      </w:r>
    </w:p>
    <w:p w14:paraId="219A1EF1" w14:textId="77777777" w:rsidR="00AB235B" w:rsidRDefault="0079647E" w:rsidP="00E41427">
      <w:pPr>
        <w:spacing w:line="360" w:lineRule="auto"/>
        <w:jc w:val="both"/>
      </w:pPr>
      <w:r>
        <w:t>Rozwiązanie polegające na podwyższeniu wskaźnika kwoty bazowej będzie miało zastosowanie do ustalania wysokości średniego wynagrodzenia nauczycieli początkujących przysługującego od dnia 1 stycznia 2027 r.</w:t>
      </w:r>
      <w:r w:rsidR="00E479D2">
        <w:t xml:space="preserve"> W związku z tym, iż planuje się, że projektowana ustawa wejdzie w życie </w:t>
      </w:r>
      <w:r w:rsidR="00850030">
        <w:t xml:space="preserve">z dniem 1 stycznia </w:t>
      </w:r>
      <w:r w:rsidR="00E479D2">
        <w:t xml:space="preserve">2027 r., w art. 2 projektu ustawy doprecyzowano kwestię wypłaty podwyżki wynagrodzeń wynikającej z tej zmiany w 2027 r. </w:t>
      </w:r>
      <w:r w:rsidR="00E479D2" w:rsidRPr="00E479D2">
        <w:t>W roku 2027 podwyższenie wynagrodzeń dla nauczycieli początkujących w</w:t>
      </w:r>
      <w:r w:rsidR="00B31871">
        <w:t xml:space="preserve"> </w:t>
      </w:r>
      <w:r w:rsidR="00E479D2" w:rsidRPr="00E479D2">
        <w:t xml:space="preserve">związku ze zwiększeniem średniego wynagrodzenia </w:t>
      </w:r>
      <w:r w:rsidR="00E479D2">
        <w:t xml:space="preserve">w wyniku rozwiązania przewidzianego w projekcie ustawy </w:t>
      </w:r>
      <w:r w:rsidR="00E479D2" w:rsidRPr="00E479D2">
        <w:t>nast</w:t>
      </w:r>
      <w:r w:rsidR="00E479D2">
        <w:t xml:space="preserve">ąpi </w:t>
      </w:r>
      <w:r w:rsidR="00E479D2" w:rsidRPr="00E479D2">
        <w:t>niepóźniej niż w ciągu 3 miesięcy po ogłoszeniu ustawy budżetowej, z wyrównaniem od dnia 1 stycznia 2027 r.</w:t>
      </w:r>
    </w:p>
    <w:p w14:paraId="30A1BCB9" w14:textId="77777777" w:rsidR="00E41427" w:rsidRDefault="00E41427" w:rsidP="00E41427">
      <w:pPr>
        <w:spacing w:line="360" w:lineRule="auto"/>
        <w:jc w:val="both"/>
      </w:pPr>
    </w:p>
    <w:p w14:paraId="47D1CF63" w14:textId="77777777" w:rsidR="00F86F0E" w:rsidRDefault="00F86F0E" w:rsidP="00212B58">
      <w:pPr>
        <w:spacing w:after="240" w:line="360" w:lineRule="auto"/>
        <w:jc w:val="both"/>
      </w:pPr>
      <w:r w:rsidRPr="00F86F0E">
        <w:t>Skutki wynikające z projekt</w:t>
      </w:r>
      <w:r w:rsidR="00F255D5">
        <w:t>owanej</w:t>
      </w:r>
      <w:r w:rsidRPr="00F86F0E">
        <w:t xml:space="preserve"> ustawy (zmiana wskaźnika wynagrodzenia średniego nauczycieli początkujących) zostały już zaplanowane w zakresie jednostek samorządu terytorialnego w kwocie potrzeb oświatowych na 2027 r. i uwzględnione przy proponowanym podziale łącznej kwoty potrzeb oświatowych między jednostki samorządu terytorialnego w</w:t>
      </w:r>
      <w:r w:rsidR="00E41427">
        <w:t> </w:t>
      </w:r>
      <w:r w:rsidRPr="00F86F0E">
        <w:t xml:space="preserve">roku 2027. </w:t>
      </w:r>
      <w:r w:rsidR="00B31871" w:rsidRPr="00B31871">
        <w:t xml:space="preserve">Uwzględnienie tych skutków w kwocie potrzeb oświatowych </w:t>
      </w:r>
      <w:r w:rsidR="007077C7">
        <w:t>powoduje</w:t>
      </w:r>
      <w:r w:rsidR="00B31871" w:rsidRPr="00B31871">
        <w:t xml:space="preserve"> odpowiednie zwiększenie dochodów jednostek samorządu terytorialnego, w tym w przypadku jednostek </w:t>
      </w:r>
      <w:r w:rsidR="00B35435" w:rsidRPr="00B31871">
        <w:t xml:space="preserve">samorządu terytorialnego </w:t>
      </w:r>
      <w:r w:rsidR="00B31871" w:rsidRPr="00B31871">
        <w:t xml:space="preserve">otrzymujących subwencję ogólną </w:t>
      </w:r>
      <w:r w:rsidR="00B35435">
        <w:t xml:space="preserve">wpływa </w:t>
      </w:r>
      <w:r w:rsidR="00B31871" w:rsidRPr="00B31871">
        <w:t>na wysokość należnej im subwencji</w:t>
      </w:r>
      <w:r w:rsidR="00B35435">
        <w:t xml:space="preserve"> ogólnej</w:t>
      </w:r>
      <w:r w:rsidR="00B31871" w:rsidRPr="00B31871">
        <w:t>. W przypadku jednostek samorządu terytorialnego, którym subwencja ogólna nie przysługuje z uwagi na poziom ich dochodów, źródłem finansowania skutków projektowanej zmiany są pozostałe dochody tych jednostek.</w:t>
      </w:r>
      <w:r w:rsidR="00B31871">
        <w:t xml:space="preserve"> </w:t>
      </w:r>
      <w:r w:rsidRPr="00F86F0E">
        <w:t>W zakresie organów administracji rządowej prowadzących szkoły skutki wynikające z podwyższenia średnich wynagrodzeń nauczycieli początkujących w 2027 r. zostaną zaplanowane w rezerwie celowej budżetu państwa</w:t>
      </w:r>
      <w:r>
        <w:t xml:space="preserve">. </w:t>
      </w:r>
      <w:r w:rsidRPr="00F86F0E">
        <w:t xml:space="preserve">Projektowane zmiany nie wymagają dodatkowego zwiększenia kwoty </w:t>
      </w:r>
      <w:r w:rsidRPr="00F86F0E">
        <w:lastRenderedPageBreak/>
        <w:t>potrzeb oświatowych oraz zapewnienia dodatkowych środków w rezerwie celowej budżetu państwa dla organów administracji rządowej prowadzących szkoły.</w:t>
      </w:r>
    </w:p>
    <w:p w14:paraId="570DDC0F" w14:textId="77777777" w:rsidR="003436BC" w:rsidRDefault="006D4BEA" w:rsidP="003436BC">
      <w:pPr>
        <w:spacing w:before="120" w:after="240" w:line="360" w:lineRule="auto"/>
        <w:jc w:val="both"/>
      </w:pPr>
      <w:r>
        <w:t xml:space="preserve">Proponuje się, aby </w:t>
      </w:r>
      <w:r w:rsidR="00F255D5">
        <w:t xml:space="preserve">projektowana </w:t>
      </w:r>
      <w:r>
        <w:t xml:space="preserve">ustawa weszła w życie z dniem </w:t>
      </w:r>
      <w:r w:rsidR="00850030">
        <w:t xml:space="preserve">1 stycznia 2027 r. </w:t>
      </w:r>
      <w:r>
        <w:t xml:space="preserve">(art. </w:t>
      </w:r>
      <w:r w:rsidR="00682443">
        <w:t>3</w:t>
      </w:r>
      <w:r>
        <w:t xml:space="preserve"> projektu ustawy). </w:t>
      </w:r>
      <w:r w:rsidR="003436BC">
        <w:t xml:space="preserve">Wejście w życie </w:t>
      </w:r>
      <w:r w:rsidR="00A90347">
        <w:t>ustawy</w:t>
      </w:r>
      <w:r w:rsidR="003436BC">
        <w:t xml:space="preserve"> w </w:t>
      </w:r>
      <w:r w:rsidR="00A5094A">
        <w:t xml:space="preserve">ww. </w:t>
      </w:r>
      <w:r w:rsidR="003436BC">
        <w:t xml:space="preserve">terminie wynika z faktu, że </w:t>
      </w:r>
      <w:r w:rsidR="00A90347">
        <w:t>r</w:t>
      </w:r>
      <w:r w:rsidR="003436BC" w:rsidRPr="003436BC">
        <w:t>ozwiązanie polegające na</w:t>
      </w:r>
      <w:r w:rsidR="001A0B26">
        <w:t xml:space="preserve"> </w:t>
      </w:r>
      <w:r w:rsidR="003436BC" w:rsidRPr="003436BC">
        <w:t xml:space="preserve">podwyższeniu wskaźnika kwoty bazowej będzie miało zastosowanie do ustalania wysokości średniego wynagrodzenia nauczycieli początkujących przysługującego od dnia 1 stycznia 2027 r. </w:t>
      </w:r>
      <w:r w:rsidR="00A90347">
        <w:t>Jednocześnie w art. 2 projektu ustawy określono, że w</w:t>
      </w:r>
      <w:r w:rsidR="003436BC" w:rsidRPr="003436BC">
        <w:t xml:space="preserve"> roku 2027 podwyższenie wynagrodzeń dla nauczycieli początkujących w związku ze zwiększeniem średniego wynagrodzenia w</w:t>
      </w:r>
      <w:r w:rsidR="00A90347">
        <w:t> </w:t>
      </w:r>
      <w:r w:rsidR="003436BC" w:rsidRPr="003436BC">
        <w:t>wyniku rozwiązania przewidzianego w projekcie ustawy nastąpi niepóźniej niż w ciągu 3 miesięcy po ogłoszeniu ustawy budżetowej, z wyrównaniem od dnia 1 stycznia 2027 r.</w:t>
      </w:r>
      <w:r w:rsidR="00A90347">
        <w:t xml:space="preserve"> </w:t>
      </w:r>
      <w:r w:rsidR="003436BC">
        <w:t xml:space="preserve">Proponowany termin wejścia w życie </w:t>
      </w:r>
      <w:r w:rsidR="00A90347">
        <w:t>ustawy</w:t>
      </w:r>
      <w:r w:rsidR="003436BC">
        <w:t xml:space="preserve"> jest podyktowany koniecznością pilne</w:t>
      </w:r>
      <w:r w:rsidR="00A90347">
        <w:t>go zapewnienia wzrostu średniego wynagrodzenia nauczycieli początkujących w 2027 r. oraz umożliwienia wypłaty podwyżki wynikającej z tej zmiany w</w:t>
      </w:r>
      <w:r w:rsidR="00A5094A">
        <w:t> </w:t>
      </w:r>
      <w:r w:rsidR="00A90347">
        <w:t xml:space="preserve">tym samym terminie co podwyżki wynikające ze wzrostu kwoty bazowej określanej corocznie dla nauczycieli w ustawie budżetowej. </w:t>
      </w:r>
      <w:r w:rsidR="003436BC">
        <w:t>Takie rozwiązanie jest dopuszczalne z</w:t>
      </w:r>
      <w:r w:rsidR="00A5094A">
        <w:t> </w:t>
      </w:r>
      <w:r w:rsidR="003436BC">
        <w:t xml:space="preserve">punktu widzenia zasad demokratycznego państwa prawnego i uzasadnione interesem adresatów zawartych w nim norm prawnych. </w:t>
      </w:r>
    </w:p>
    <w:p w14:paraId="49C01626" w14:textId="77777777" w:rsidR="006D4BEA" w:rsidRDefault="006D4BEA" w:rsidP="006D4BEA">
      <w:pPr>
        <w:pStyle w:val="menfont"/>
        <w:tabs>
          <w:tab w:val="left" w:pos="567"/>
        </w:tabs>
        <w:spacing w:before="12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Projekt ustawy nie zawiera przepisów technicznych i w związku z tym nie podlega procedurze notyfikacji aktów prawnych określonej w rozporządzeniu Rady Ministrów z dnia 23 grudnia 2002 r. w sprawie sposobu funkcjonowania krajowego systemu notyfikacji norm i</w:t>
      </w:r>
      <w:r w:rsidR="003436BC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>aktów prawnych (Dz. U. poz. 2039, z późn. zm.).</w:t>
      </w:r>
    </w:p>
    <w:p w14:paraId="691E7C74" w14:textId="77777777" w:rsidR="006D4BEA" w:rsidRDefault="006D4BEA" w:rsidP="006D4BEA">
      <w:pPr>
        <w:pStyle w:val="menfont"/>
        <w:spacing w:before="12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Przedmiot projektowanej ustawy nie jest objęty zakresem prawa Unii Europejskiej.</w:t>
      </w:r>
    </w:p>
    <w:p w14:paraId="51996760" w14:textId="77777777" w:rsidR="006D4BEA" w:rsidRDefault="006D4BEA" w:rsidP="006D4BEA">
      <w:pPr>
        <w:pStyle w:val="menfont"/>
        <w:spacing w:before="12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Projekt ustawy nie wymaga</w:t>
      </w:r>
      <w:r w:rsidR="007077C7">
        <w:rPr>
          <w:rFonts w:ascii="Times New Roman" w:hAnsi="Times New Roman" w:cs="Times New Roman"/>
          <w:color w:val="000000"/>
        </w:rPr>
        <w:t>ł</w:t>
      </w:r>
      <w:r>
        <w:rPr>
          <w:rFonts w:ascii="Times New Roman" w:hAnsi="Times New Roman" w:cs="Times New Roman"/>
          <w:color w:val="000000"/>
        </w:rPr>
        <w:t xml:space="preserve"> przedstawienia właściwym organom i instytucjom Unii Europejskiej, w tym Europejskiemu Bankowi Centralnemu, w celu uzyskania opinii, dokonania powiadomienia, konsultacji albo uzgodnienia</w:t>
      </w:r>
      <w:r w:rsidRPr="00F90DC6">
        <w:rPr>
          <w:rFonts w:ascii="Times New Roman" w:hAnsi="Times New Roman" w:cs="Times New Roman"/>
          <w:color w:val="000000"/>
        </w:rPr>
        <w:t>, zgodnie z § 27 ust. 4 uchwały nr 190 Rady Ministrów z dnia 29 października 2013 r. – Regulamin pracy Rady Ministrów (M.P. z 2026 r. poz. 404).</w:t>
      </w:r>
    </w:p>
    <w:p w14:paraId="051FA3AC" w14:textId="77777777" w:rsidR="006D4BEA" w:rsidRDefault="006D4BEA" w:rsidP="006D4BEA">
      <w:pPr>
        <w:pStyle w:val="NIEARTTEKSTtekstnieartykuowanynppodstprawnarozplubpreambua"/>
        <w:ind w:firstLine="0"/>
      </w:pPr>
      <w:r>
        <w:t>Projekt ustawy nie podlega</w:t>
      </w:r>
      <w:r w:rsidR="007077C7">
        <w:t>ł</w:t>
      </w:r>
      <w:r>
        <w:t xml:space="preserve"> ocenie w zakresie oceny skutków regulacji w trybie § 32 uchwały nr 190 Rady Ministrów z dnia 29 października 2013 r. – Regulamin pracy Rady Ministrów</w:t>
      </w:r>
      <w:r w:rsidR="008240C2">
        <w:t>.</w:t>
      </w:r>
    </w:p>
    <w:p w14:paraId="29D6B023" w14:textId="77777777" w:rsidR="006D4BEA" w:rsidRDefault="006D4BEA" w:rsidP="006D4BEA">
      <w:pPr>
        <w:pStyle w:val="NIEARTTEKSTtekstnieartykuowanynppodstprawnarozplubpreambua"/>
        <w:ind w:firstLine="0"/>
      </w:pPr>
      <w:r>
        <w:t>Projekt ustawy nie ma wpływu na działalność mikroprzedsiębiorców, małych i średnich przedsiębiorców w rozumieniu ustawy z dnia 6 marca 2018 r. – Prawo przedsiębiorców (Dz. U. z 2025 r. poz. 1480, z późn. zm.).</w:t>
      </w:r>
    </w:p>
    <w:p w14:paraId="2C300077" w14:textId="028A5D2B" w:rsidR="006D4BEA" w:rsidRDefault="006D4BEA" w:rsidP="006D4BEA">
      <w:pPr>
        <w:pStyle w:val="menfont"/>
        <w:spacing w:before="120" w:line="360" w:lineRule="auto"/>
        <w:jc w:val="both"/>
      </w:pPr>
      <w:r>
        <w:rPr>
          <w:rFonts w:ascii="Times New Roman" w:hAnsi="Times New Roman" w:cs="Times New Roman"/>
          <w:color w:val="000000"/>
        </w:rPr>
        <w:lastRenderedPageBreak/>
        <w:t xml:space="preserve">Odnosząc się do § 12 pkt 1 w związku z </w:t>
      </w:r>
      <w:r w:rsidRPr="00F90DC6">
        <w:rPr>
          <w:rFonts w:ascii="Times New Roman" w:hAnsi="Times New Roman" w:cs="Times New Roman"/>
          <w:color w:val="000000"/>
        </w:rPr>
        <w:t>§ 1</w:t>
      </w:r>
      <w:r>
        <w:rPr>
          <w:rFonts w:ascii="Times New Roman" w:hAnsi="Times New Roman" w:cs="Times New Roman"/>
          <w:color w:val="000000"/>
        </w:rPr>
        <w:t>3</w:t>
      </w:r>
      <w:r w:rsidRPr="00F90DC6">
        <w:rPr>
          <w:rFonts w:ascii="Times New Roman" w:hAnsi="Times New Roman" w:cs="Times New Roman"/>
          <w:color w:val="000000"/>
        </w:rPr>
        <w:t xml:space="preserve">2 </w:t>
      </w:r>
      <w:r>
        <w:rPr>
          <w:rFonts w:ascii="Times New Roman" w:hAnsi="Times New Roman" w:cs="Times New Roman"/>
          <w:color w:val="000000"/>
        </w:rPr>
        <w:t>załącznika do rozporządzenia Prezesa Rady Ministrów z dnia 20 czerwca 2002 r. w sprawie „Zasad techniki prawodawczej” (Dz. U. z 2026 r. poz. 300), należy stwierdzić, że projekt ustawy uwzględnia regulacje, w stosunku do których nie ma możliwości, aby mogły być podjęte za pomocą alternatywnych środków.</w:t>
      </w:r>
    </w:p>
    <w:p w14:paraId="488E8F3A" w14:textId="77777777" w:rsidR="006D4BEA" w:rsidRDefault="006D4BEA" w:rsidP="006D4BEA">
      <w:pPr>
        <w:spacing w:before="120" w:line="360" w:lineRule="auto"/>
        <w:jc w:val="both"/>
      </w:pPr>
      <w:r>
        <w:rPr>
          <w:color w:val="000000"/>
        </w:rPr>
        <w:t xml:space="preserve">Zgodnie z art. 5 ustawy z dnia 7 lipca 2005 r. o działalności lobbingowej w procesie stanowienia prawa (Dz. U. z </w:t>
      </w:r>
      <w:r w:rsidR="008240C2">
        <w:rPr>
          <w:color w:val="000000"/>
        </w:rPr>
        <w:t xml:space="preserve">2026 </w:t>
      </w:r>
      <w:r>
        <w:rPr>
          <w:color w:val="000000"/>
        </w:rPr>
        <w:t xml:space="preserve">r. poz. </w:t>
      </w:r>
      <w:r w:rsidR="008240C2">
        <w:rPr>
          <w:color w:val="000000"/>
        </w:rPr>
        <w:t>936</w:t>
      </w:r>
      <w:r>
        <w:rPr>
          <w:color w:val="000000"/>
        </w:rPr>
        <w:t xml:space="preserve">) </w:t>
      </w:r>
      <w:r w:rsidRPr="006D4BEA">
        <w:rPr>
          <w:color w:val="000000"/>
        </w:rPr>
        <w:t xml:space="preserve">w związku z § 52 ust. 1 uchwały nr 190 Rady Ministrów z dnia 29 października 2013 r. – Regulamin pracy Rady Ministrów </w:t>
      </w:r>
      <w:r>
        <w:rPr>
          <w:color w:val="000000"/>
        </w:rPr>
        <w:t>projekt zosta</w:t>
      </w:r>
      <w:r w:rsidR="00B31871">
        <w:rPr>
          <w:color w:val="000000"/>
        </w:rPr>
        <w:t>ł</w:t>
      </w:r>
      <w:r>
        <w:rPr>
          <w:color w:val="000000"/>
        </w:rPr>
        <w:t xml:space="preserve"> zamieszczony w Biuletynie Informacji Publicznej na stronie podmiotowej Rządowego Centrum Legislacji w serwisie Rządowy Proces Legislacyjny.</w:t>
      </w:r>
    </w:p>
    <w:p w14:paraId="20196E2D" w14:textId="77777777" w:rsidR="006D4BEA" w:rsidRPr="001424DC" w:rsidRDefault="006D4BEA" w:rsidP="006D4BEA"/>
    <w:sectPr w:rsidR="006D4BEA" w:rsidRPr="001424DC" w:rsidSect="007C5A4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E357" w14:textId="77777777" w:rsidR="00E14879" w:rsidRDefault="00E14879" w:rsidP="00560C35">
      <w:r>
        <w:separator/>
      </w:r>
    </w:p>
  </w:endnote>
  <w:endnote w:type="continuationSeparator" w:id="0">
    <w:p w14:paraId="5C8102D7" w14:textId="77777777" w:rsidR="00E14879" w:rsidRDefault="00E14879" w:rsidP="00560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035501"/>
      <w:docPartObj>
        <w:docPartGallery w:val="Page Numbers (Bottom of Page)"/>
        <w:docPartUnique/>
      </w:docPartObj>
    </w:sdtPr>
    <w:sdtEndPr/>
    <w:sdtContent>
      <w:p w14:paraId="23E48C67" w14:textId="404D57D3" w:rsidR="00560C35" w:rsidRDefault="007C5A4E" w:rsidP="007C5A4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2781" w14:textId="77777777" w:rsidR="00E14879" w:rsidRDefault="00E14879" w:rsidP="00560C35">
      <w:r>
        <w:separator/>
      </w:r>
    </w:p>
  </w:footnote>
  <w:footnote w:type="continuationSeparator" w:id="0">
    <w:p w14:paraId="5E5C4446" w14:textId="77777777" w:rsidR="00E14879" w:rsidRDefault="00E14879" w:rsidP="00560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62F2"/>
    <w:multiLevelType w:val="hybridMultilevel"/>
    <w:tmpl w:val="62024700"/>
    <w:lvl w:ilvl="0" w:tplc="27DCA78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17381"/>
    <w:multiLevelType w:val="hybridMultilevel"/>
    <w:tmpl w:val="D7708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94D14"/>
    <w:multiLevelType w:val="hybridMultilevel"/>
    <w:tmpl w:val="59DEEE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315BD"/>
    <w:multiLevelType w:val="hybridMultilevel"/>
    <w:tmpl w:val="23780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C02FB"/>
    <w:multiLevelType w:val="hybridMultilevel"/>
    <w:tmpl w:val="94ECAE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1E1C9C"/>
    <w:multiLevelType w:val="hybridMultilevel"/>
    <w:tmpl w:val="CD049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674091">
    <w:abstractNumId w:val="3"/>
  </w:num>
  <w:num w:numId="2" w16cid:durableId="2067290368">
    <w:abstractNumId w:val="2"/>
  </w:num>
  <w:num w:numId="3" w16cid:durableId="1472794817">
    <w:abstractNumId w:val="4"/>
  </w:num>
  <w:num w:numId="4" w16cid:durableId="1381519561">
    <w:abstractNumId w:val="5"/>
  </w:num>
  <w:num w:numId="5" w16cid:durableId="1920866877">
    <w:abstractNumId w:val="1"/>
  </w:num>
  <w:num w:numId="6" w16cid:durableId="134454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92"/>
    <w:rsid w:val="00006348"/>
    <w:rsid w:val="000151F3"/>
    <w:rsid w:val="000358C5"/>
    <w:rsid w:val="000422A9"/>
    <w:rsid w:val="000602FB"/>
    <w:rsid w:val="00061A20"/>
    <w:rsid w:val="000D1D25"/>
    <w:rsid w:val="000E0D74"/>
    <w:rsid w:val="00111FAE"/>
    <w:rsid w:val="001424DC"/>
    <w:rsid w:val="0015096B"/>
    <w:rsid w:val="00166686"/>
    <w:rsid w:val="00193246"/>
    <w:rsid w:val="001A0B26"/>
    <w:rsid w:val="001A7300"/>
    <w:rsid w:val="001C11AC"/>
    <w:rsid w:val="00212B58"/>
    <w:rsid w:val="00213EB6"/>
    <w:rsid w:val="00230302"/>
    <w:rsid w:val="00235B3D"/>
    <w:rsid w:val="00257E0C"/>
    <w:rsid w:val="002737BA"/>
    <w:rsid w:val="00293801"/>
    <w:rsid w:val="00297C8E"/>
    <w:rsid w:val="003062D5"/>
    <w:rsid w:val="0030719F"/>
    <w:rsid w:val="003358BA"/>
    <w:rsid w:val="003436BC"/>
    <w:rsid w:val="00374771"/>
    <w:rsid w:val="003800A4"/>
    <w:rsid w:val="00385986"/>
    <w:rsid w:val="003A09A2"/>
    <w:rsid w:val="003A435F"/>
    <w:rsid w:val="00402262"/>
    <w:rsid w:val="00404BB0"/>
    <w:rsid w:val="00411B83"/>
    <w:rsid w:val="00421B67"/>
    <w:rsid w:val="0043353B"/>
    <w:rsid w:val="00445796"/>
    <w:rsid w:val="004605ED"/>
    <w:rsid w:val="004D05CB"/>
    <w:rsid w:val="004E2410"/>
    <w:rsid w:val="00504525"/>
    <w:rsid w:val="0054207B"/>
    <w:rsid w:val="00547680"/>
    <w:rsid w:val="00560C35"/>
    <w:rsid w:val="0059716D"/>
    <w:rsid w:val="005D08B6"/>
    <w:rsid w:val="005F6362"/>
    <w:rsid w:val="006242FA"/>
    <w:rsid w:val="00641DFB"/>
    <w:rsid w:val="00647960"/>
    <w:rsid w:val="00682443"/>
    <w:rsid w:val="006921E8"/>
    <w:rsid w:val="00695FBB"/>
    <w:rsid w:val="006A5AA5"/>
    <w:rsid w:val="006D4BEA"/>
    <w:rsid w:val="006E7583"/>
    <w:rsid w:val="00704C9C"/>
    <w:rsid w:val="007077C7"/>
    <w:rsid w:val="00714AAD"/>
    <w:rsid w:val="00752871"/>
    <w:rsid w:val="0079647E"/>
    <w:rsid w:val="007A2825"/>
    <w:rsid w:val="007A739E"/>
    <w:rsid w:val="007C27D4"/>
    <w:rsid w:val="007C2FAE"/>
    <w:rsid w:val="007C5A4E"/>
    <w:rsid w:val="007D011B"/>
    <w:rsid w:val="007E1894"/>
    <w:rsid w:val="007E257A"/>
    <w:rsid w:val="00801F65"/>
    <w:rsid w:val="00804092"/>
    <w:rsid w:val="008060A8"/>
    <w:rsid w:val="00807019"/>
    <w:rsid w:val="008240C2"/>
    <w:rsid w:val="00831AFE"/>
    <w:rsid w:val="00850030"/>
    <w:rsid w:val="008916AF"/>
    <w:rsid w:val="008A2D15"/>
    <w:rsid w:val="008A687F"/>
    <w:rsid w:val="008C4A77"/>
    <w:rsid w:val="008D77AB"/>
    <w:rsid w:val="009066BB"/>
    <w:rsid w:val="00922417"/>
    <w:rsid w:val="009E23F6"/>
    <w:rsid w:val="009E356A"/>
    <w:rsid w:val="00A5094A"/>
    <w:rsid w:val="00A7160D"/>
    <w:rsid w:val="00A8373E"/>
    <w:rsid w:val="00A90347"/>
    <w:rsid w:val="00A95B12"/>
    <w:rsid w:val="00AA1AA7"/>
    <w:rsid w:val="00AB0878"/>
    <w:rsid w:val="00AB235B"/>
    <w:rsid w:val="00AD4236"/>
    <w:rsid w:val="00AE7F63"/>
    <w:rsid w:val="00B03499"/>
    <w:rsid w:val="00B25671"/>
    <w:rsid w:val="00B31871"/>
    <w:rsid w:val="00B35435"/>
    <w:rsid w:val="00B50B8B"/>
    <w:rsid w:val="00B8357C"/>
    <w:rsid w:val="00BD33EC"/>
    <w:rsid w:val="00BD6487"/>
    <w:rsid w:val="00C06627"/>
    <w:rsid w:val="00C253B8"/>
    <w:rsid w:val="00C76344"/>
    <w:rsid w:val="00C76672"/>
    <w:rsid w:val="00C82B27"/>
    <w:rsid w:val="00C93CC8"/>
    <w:rsid w:val="00D06826"/>
    <w:rsid w:val="00D11686"/>
    <w:rsid w:val="00D11E92"/>
    <w:rsid w:val="00D3587B"/>
    <w:rsid w:val="00D75C27"/>
    <w:rsid w:val="00DA2638"/>
    <w:rsid w:val="00DA44EB"/>
    <w:rsid w:val="00DD0F72"/>
    <w:rsid w:val="00DF7DE3"/>
    <w:rsid w:val="00E13BCD"/>
    <w:rsid w:val="00E14879"/>
    <w:rsid w:val="00E154E5"/>
    <w:rsid w:val="00E16D7D"/>
    <w:rsid w:val="00E41427"/>
    <w:rsid w:val="00E42B11"/>
    <w:rsid w:val="00E479D2"/>
    <w:rsid w:val="00E76C6C"/>
    <w:rsid w:val="00E86725"/>
    <w:rsid w:val="00EB1CC1"/>
    <w:rsid w:val="00EF26CA"/>
    <w:rsid w:val="00F255D5"/>
    <w:rsid w:val="00F3163E"/>
    <w:rsid w:val="00F47F46"/>
    <w:rsid w:val="00F500C2"/>
    <w:rsid w:val="00F50546"/>
    <w:rsid w:val="00F50AD5"/>
    <w:rsid w:val="00F86F0E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26A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nfont">
    <w:name w:val="men font"/>
    <w:basedOn w:val="Normalny"/>
    <w:qFormat/>
    <w:rsid w:val="006D4BEA"/>
    <w:pPr>
      <w:suppressAutoHyphens/>
    </w:pPr>
    <w:rPr>
      <w:rFonts w:ascii="Arial" w:hAnsi="Arial" w:cs="Arial"/>
      <w:lang w:eastAsia="zh-CN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qFormat/>
    <w:rsid w:val="006D4BEA"/>
    <w:pPr>
      <w:suppressAutoHyphens/>
      <w:autoSpaceDE w:val="0"/>
      <w:spacing w:before="120" w:line="360" w:lineRule="auto"/>
      <w:ind w:firstLine="510"/>
      <w:jc w:val="both"/>
    </w:pPr>
    <w:rPr>
      <w:rFonts w:ascii="Times" w:hAnsi="Times" w:cs="Arial"/>
      <w:bCs/>
      <w:szCs w:val="20"/>
      <w:lang w:eastAsia="zh-CN"/>
    </w:rPr>
  </w:style>
  <w:style w:type="paragraph" w:styleId="Nagwek">
    <w:name w:val="header"/>
    <w:basedOn w:val="Normalny"/>
    <w:link w:val="NagwekZnak"/>
    <w:rsid w:val="00560C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60C3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560C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60C35"/>
    <w:rPr>
      <w:sz w:val="24"/>
      <w:szCs w:val="24"/>
    </w:rPr>
  </w:style>
  <w:style w:type="paragraph" w:styleId="Poprawka">
    <w:name w:val="Revision"/>
    <w:hidden/>
    <w:uiPriority w:val="99"/>
    <w:semiHidden/>
    <w:rsid w:val="008240C2"/>
    <w:rPr>
      <w:sz w:val="24"/>
      <w:szCs w:val="24"/>
    </w:rPr>
  </w:style>
  <w:style w:type="character" w:styleId="Odwoaniedokomentarza">
    <w:name w:val="annotation reference"/>
    <w:rsid w:val="00824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24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40C2"/>
  </w:style>
  <w:style w:type="paragraph" w:styleId="Tematkomentarza">
    <w:name w:val="annotation subject"/>
    <w:basedOn w:val="Tekstkomentarza"/>
    <w:next w:val="Tekstkomentarza"/>
    <w:link w:val="TematkomentarzaZnak"/>
    <w:rsid w:val="008240C2"/>
    <w:rPr>
      <w:b/>
      <w:bCs/>
    </w:rPr>
  </w:style>
  <w:style w:type="character" w:customStyle="1" w:styleId="TematkomentarzaZnak">
    <w:name w:val="Temat komentarza Znak"/>
    <w:link w:val="Tematkomentarza"/>
    <w:rsid w:val="008240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1486</Words>
  <Characters>8918</Characters>
  <Application>Microsoft Office Word</Application>
  <DocSecurity>0</DocSecurity>
  <Lines>74</Lines>
  <Paragraphs>20</Paragraphs>
  <ScaleCrop>false</ScaleCrop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2026-10-22T10:32:00Z</dcterms:created>
  <dcterms:modified xsi:type="dcterms:W3CDTF">2026-10-22T10:32:00Z</dcterms:modified>
</cp:coreProperties>
</file>