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11403" w14:textId="77777777" w:rsidR="001E7A8B" w:rsidRPr="007508E6" w:rsidRDefault="001E7A8B" w:rsidP="007508E6">
      <w:pPr>
        <w:pStyle w:val="TYTUAKTUprzedmiotregulacjiustawylubrozporzdzenia"/>
        <w:keepNext w:val="0"/>
        <w:spacing w:after="120"/>
        <w:rPr>
          <w:rFonts w:ascii="Times New Roman" w:hAnsi="Times New Roman" w:cs="Times New Roman"/>
          <w:b w:val="0"/>
          <w:bCs w:val="0"/>
          <w:lang w:eastAsia="en-US"/>
        </w:rPr>
      </w:pPr>
      <w:r w:rsidRPr="007508E6">
        <w:rPr>
          <w:rFonts w:ascii="Times New Roman" w:hAnsi="Times New Roman" w:cs="Times New Roman"/>
          <w:b w:val="0"/>
          <w:bCs w:val="0"/>
          <w:lang w:eastAsia="en-US"/>
        </w:rPr>
        <w:t>UZASADNIENIE</w:t>
      </w:r>
    </w:p>
    <w:p w14:paraId="27097954" w14:textId="7DCA47A4"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Projektowana zmiana przewiduje przedłużenie do dnia 31 grudnia 203</w:t>
      </w:r>
      <w:r w:rsidRPr="007508E6">
        <w:rPr>
          <w:rFonts w:ascii="Times New Roman" w:hAnsi="Times New Roman" w:cs="Times New Roman"/>
        </w:rPr>
        <w:t>2</w:t>
      </w:r>
      <w:r w:rsidRPr="007508E6">
        <w:rPr>
          <w:rFonts w:ascii="Times New Roman" w:hAnsi="Times New Roman" w:cs="Times New Roman"/>
          <w:lang w:eastAsia="en-US"/>
        </w:rPr>
        <w:t xml:space="preserve"> r. obowiązywania rozwiązania określonego w art. 262 ustawy z dnia 3 lipca 2018 r. – Przepisy wprowadzające ustawę – Prawo o szkolnictwie wyższym i nauce (Dz. U. poz. 1669, z późn. zm.), zgodnie z</w:t>
      </w:r>
      <w:r w:rsidRPr="007508E6">
        <w:rPr>
          <w:rFonts w:ascii="Times New Roman" w:hAnsi="Times New Roman" w:cs="Times New Roman"/>
        </w:rPr>
        <w:t> </w:t>
      </w:r>
      <w:r w:rsidRPr="007508E6">
        <w:rPr>
          <w:rFonts w:ascii="Times New Roman" w:hAnsi="Times New Roman" w:cs="Times New Roman"/>
          <w:lang w:eastAsia="en-US"/>
        </w:rPr>
        <w:t xml:space="preserve">którym </w:t>
      </w:r>
      <w:r w:rsidRPr="007508E6">
        <w:rPr>
          <w:rFonts w:ascii="Times New Roman" w:hAnsi="Times New Roman" w:cs="Times New Roman"/>
        </w:rPr>
        <w:t xml:space="preserve">w latach 2019–2026 </w:t>
      </w:r>
      <w:r w:rsidRPr="007508E6">
        <w:rPr>
          <w:rFonts w:ascii="Times New Roman" w:hAnsi="Times New Roman" w:cs="Times New Roman"/>
          <w:lang w:eastAsia="en-US"/>
        </w:rPr>
        <w:t>dla pracowników uczelni publiczn</w:t>
      </w:r>
      <w:r w:rsidRPr="007508E6">
        <w:rPr>
          <w:rFonts w:ascii="Times New Roman" w:hAnsi="Times New Roman" w:cs="Times New Roman"/>
        </w:rPr>
        <w:t>ej dokonuje się</w:t>
      </w:r>
      <w:r w:rsidRPr="007508E6">
        <w:rPr>
          <w:rFonts w:ascii="Times New Roman" w:hAnsi="Times New Roman" w:cs="Times New Roman"/>
          <w:lang w:eastAsia="en-US"/>
        </w:rPr>
        <w:t xml:space="preserve"> odpis</w:t>
      </w:r>
      <w:r w:rsidRPr="007508E6">
        <w:rPr>
          <w:rFonts w:ascii="Times New Roman" w:hAnsi="Times New Roman" w:cs="Times New Roman"/>
        </w:rPr>
        <w:t>u</w:t>
      </w:r>
      <w:r w:rsidRPr="007508E6">
        <w:rPr>
          <w:rFonts w:ascii="Times New Roman" w:hAnsi="Times New Roman" w:cs="Times New Roman"/>
          <w:lang w:eastAsia="en-US"/>
        </w:rPr>
        <w:t xml:space="preserve"> na </w:t>
      </w:r>
      <w:r w:rsidRPr="007508E6">
        <w:rPr>
          <w:rFonts w:ascii="Times New Roman" w:hAnsi="Times New Roman" w:cs="Times New Roman"/>
        </w:rPr>
        <w:t>z</w:t>
      </w:r>
      <w:r w:rsidRPr="007508E6">
        <w:rPr>
          <w:rFonts w:ascii="Times New Roman" w:hAnsi="Times New Roman" w:cs="Times New Roman"/>
          <w:lang w:eastAsia="en-US"/>
        </w:rPr>
        <w:t xml:space="preserve">akładowy </w:t>
      </w:r>
      <w:r w:rsidRPr="007508E6">
        <w:rPr>
          <w:rFonts w:ascii="Times New Roman" w:hAnsi="Times New Roman" w:cs="Times New Roman"/>
        </w:rPr>
        <w:t>f</w:t>
      </w:r>
      <w:r w:rsidRPr="007508E6">
        <w:rPr>
          <w:rFonts w:ascii="Times New Roman" w:hAnsi="Times New Roman" w:cs="Times New Roman"/>
          <w:lang w:eastAsia="en-US"/>
        </w:rPr>
        <w:t xml:space="preserve">undusz </w:t>
      </w:r>
      <w:r w:rsidRPr="007508E6">
        <w:rPr>
          <w:rFonts w:ascii="Times New Roman" w:hAnsi="Times New Roman" w:cs="Times New Roman"/>
        </w:rPr>
        <w:t>ś</w:t>
      </w:r>
      <w:r w:rsidRPr="007508E6">
        <w:rPr>
          <w:rFonts w:ascii="Times New Roman" w:hAnsi="Times New Roman" w:cs="Times New Roman"/>
          <w:lang w:eastAsia="en-US"/>
        </w:rPr>
        <w:t xml:space="preserve">wiadczeń </w:t>
      </w:r>
      <w:r w:rsidRPr="007508E6">
        <w:rPr>
          <w:rFonts w:ascii="Times New Roman" w:hAnsi="Times New Roman" w:cs="Times New Roman"/>
        </w:rPr>
        <w:t>s</w:t>
      </w:r>
      <w:r w:rsidRPr="007508E6">
        <w:rPr>
          <w:rFonts w:ascii="Times New Roman" w:hAnsi="Times New Roman" w:cs="Times New Roman"/>
          <w:lang w:eastAsia="en-US"/>
        </w:rPr>
        <w:t>ocjalnych</w:t>
      </w:r>
      <w:r w:rsidRPr="007508E6">
        <w:rPr>
          <w:rFonts w:ascii="Times New Roman" w:hAnsi="Times New Roman" w:cs="Times New Roman"/>
        </w:rPr>
        <w:t>, zwany dalej „ZFŚS”,</w:t>
      </w:r>
      <w:r w:rsidRPr="007508E6">
        <w:rPr>
          <w:rFonts w:ascii="Times New Roman" w:hAnsi="Times New Roman" w:cs="Times New Roman"/>
          <w:lang w:eastAsia="en-US"/>
        </w:rPr>
        <w:t xml:space="preserve"> w wysokości </w:t>
      </w:r>
      <w:r w:rsidRPr="007508E6">
        <w:rPr>
          <w:rFonts w:ascii="Times New Roman" w:hAnsi="Times New Roman" w:cs="Times New Roman"/>
        </w:rPr>
        <w:t xml:space="preserve">kwoty </w:t>
      </w:r>
      <w:r w:rsidRPr="007508E6">
        <w:rPr>
          <w:rFonts w:ascii="Times New Roman" w:hAnsi="Times New Roman" w:cs="Times New Roman"/>
          <w:lang w:eastAsia="en-US"/>
        </w:rPr>
        <w:t xml:space="preserve">odpisu dokonanego w 2018 </w:t>
      </w:r>
      <w:r w:rsidRPr="007508E6">
        <w:rPr>
          <w:rFonts w:ascii="Times New Roman" w:hAnsi="Times New Roman" w:cs="Times New Roman"/>
        </w:rPr>
        <w:t>r.</w:t>
      </w:r>
      <w:r w:rsidRPr="007508E6">
        <w:rPr>
          <w:rFonts w:ascii="Times New Roman" w:hAnsi="Times New Roman" w:cs="Times New Roman"/>
          <w:lang w:eastAsia="en-US"/>
        </w:rPr>
        <w:t>, z możliwością jego zwiększenia – po uzgodnieniu ze związkami zawodowymi – do poziomu niewyższego niż 6,5% planowanych przez uczelnię w roku poprzednim rocznych wynagrodzeń osobowych.</w:t>
      </w:r>
    </w:p>
    <w:p w14:paraId="318054E0"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Przedłużenie obowiązywania mechanizmu przewidzianego w art. 262 zmienianej ustawy do 203</w:t>
      </w:r>
      <w:r w:rsidRPr="007508E6">
        <w:rPr>
          <w:rFonts w:ascii="Times New Roman" w:hAnsi="Times New Roman" w:cs="Times New Roman"/>
        </w:rPr>
        <w:t>2</w:t>
      </w:r>
      <w:r w:rsidRPr="007508E6">
        <w:rPr>
          <w:rFonts w:ascii="Times New Roman" w:hAnsi="Times New Roman" w:cs="Times New Roman"/>
          <w:lang w:eastAsia="en-US"/>
        </w:rPr>
        <w:t xml:space="preserve"> r. ma charakter stabilizujący i osłonowy dla gospodarki finansowej uczelni, umożliwi prowadzenie długofalowej polityki finansowej przez uczelnie publiczne oraz zapewni większą przewidywalność planowania budżetowego</w:t>
      </w:r>
      <w:r w:rsidRPr="007508E6">
        <w:rPr>
          <w:rFonts w:ascii="Times New Roman" w:hAnsi="Times New Roman" w:cs="Times New Roman"/>
        </w:rPr>
        <w:t>,</w:t>
      </w:r>
      <w:r w:rsidRPr="007508E6">
        <w:rPr>
          <w:rFonts w:ascii="Times New Roman" w:hAnsi="Times New Roman" w:cs="Times New Roman"/>
          <w:lang w:eastAsia="en-US"/>
        </w:rPr>
        <w:t xml:space="preserve"> zarówno po stronie uczelni, jak i ministra nadzorującego uczelnię.</w:t>
      </w:r>
    </w:p>
    <w:p w14:paraId="2344D930" w14:textId="1C47EE34"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System szkolnictwa wyższego i nauk</w:t>
      </w:r>
      <w:r w:rsidRPr="007508E6">
        <w:rPr>
          <w:rFonts w:ascii="Times New Roman" w:hAnsi="Times New Roman" w:cs="Times New Roman"/>
        </w:rPr>
        <w:t>i</w:t>
      </w:r>
      <w:r w:rsidRPr="007508E6">
        <w:rPr>
          <w:rFonts w:ascii="Times New Roman" w:hAnsi="Times New Roman" w:cs="Times New Roman"/>
          <w:lang w:eastAsia="en-US"/>
        </w:rPr>
        <w:t xml:space="preserve"> w Polsce pozostaje w okresie długotrwałej transformacji organizacyjnej, finansowej i demograficznej. Od wejścia w życie ustawy </w:t>
      </w:r>
      <w:r w:rsidRPr="007508E6">
        <w:rPr>
          <w:rFonts w:ascii="Times New Roman" w:hAnsi="Times New Roman" w:cs="Times New Roman"/>
        </w:rPr>
        <w:t xml:space="preserve">z dnia 20 lipca 2018 r. </w:t>
      </w:r>
      <w:r w:rsidRPr="007508E6">
        <w:rPr>
          <w:rFonts w:ascii="Times New Roman" w:hAnsi="Times New Roman" w:cs="Times New Roman"/>
          <w:lang w:eastAsia="en-US"/>
        </w:rPr>
        <w:t xml:space="preserve">– Prawo o szkolnictwie wyższym i nauce </w:t>
      </w:r>
      <w:r w:rsidRPr="007508E6">
        <w:rPr>
          <w:rFonts w:ascii="Times New Roman" w:hAnsi="Times New Roman" w:cs="Times New Roman"/>
        </w:rPr>
        <w:t>(Dz. U. z 2024 r. poz. 1571, z</w:t>
      </w:r>
      <w:r w:rsidR="004D2078">
        <w:rPr>
          <w:rFonts w:ascii="Times New Roman" w:hAnsi="Times New Roman" w:cs="Times New Roman"/>
        </w:rPr>
        <w:t> </w:t>
      </w:r>
      <w:r w:rsidRPr="007508E6">
        <w:rPr>
          <w:rFonts w:ascii="Times New Roman" w:hAnsi="Times New Roman" w:cs="Times New Roman"/>
        </w:rPr>
        <w:t>późn.</w:t>
      </w:r>
      <w:r w:rsidR="004D2078">
        <w:rPr>
          <w:rFonts w:ascii="Times New Roman" w:hAnsi="Times New Roman" w:cs="Times New Roman"/>
        </w:rPr>
        <w:t> </w:t>
      </w:r>
      <w:r w:rsidRPr="007508E6">
        <w:rPr>
          <w:rFonts w:ascii="Times New Roman" w:hAnsi="Times New Roman" w:cs="Times New Roman"/>
        </w:rPr>
        <w:t xml:space="preserve">zm.) </w:t>
      </w:r>
      <w:r w:rsidRPr="007508E6">
        <w:rPr>
          <w:rFonts w:ascii="Times New Roman" w:hAnsi="Times New Roman" w:cs="Times New Roman"/>
          <w:lang w:eastAsia="en-US"/>
        </w:rPr>
        <w:t xml:space="preserve">uczelnie publiczne funkcjonują w warunkach zwiększonej zmienności otoczenia prawnego i ekonomicznego. Dotyczy to w szczególności nowych zasad finansowania uczelni, ewaluacji działalności naukowej, polityki wynagrodzeń oraz rosnących oczekiwań dotyczących umiędzynarodowienia i komercjalizacji </w:t>
      </w:r>
      <w:r w:rsidRPr="007508E6">
        <w:rPr>
          <w:rFonts w:ascii="Times New Roman" w:hAnsi="Times New Roman" w:cs="Times New Roman"/>
        </w:rPr>
        <w:t xml:space="preserve">wyników </w:t>
      </w:r>
      <w:r w:rsidRPr="007508E6">
        <w:rPr>
          <w:rFonts w:ascii="Times New Roman" w:hAnsi="Times New Roman" w:cs="Times New Roman"/>
          <w:lang w:eastAsia="en-US"/>
        </w:rPr>
        <w:t xml:space="preserve">badań naukowych. </w:t>
      </w:r>
    </w:p>
    <w:p w14:paraId="234CC8AD"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W ostatnich latach uczelnie publiczne zostały dodatkowo obciążone skutkami nadzwyczajnych zjawisk gospodarczych i społecznych, w tym skutkami pandemii COVID-19, gwałtownym wzrostem inflacji, wzrostem cen energii i usług, presją płacową wynikającą ze</w:t>
      </w:r>
      <w:r w:rsidRPr="007508E6">
        <w:rPr>
          <w:rFonts w:ascii="Times New Roman" w:hAnsi="Times New Roman" w:cs="Times New Roman"/>
        </w:rPr>
        <w:t> </w:t>
      </w:r>
      <w:r w:rsidRPr="007508E6">
        <w:rPr>
          <w:rFonts w:ascii="Times New Roman" w:hAnsi="Times New Roman" w:cs="Times New Roman"/>
          <w:lang w:eastAsia="en-US"/>
        </w:rPr>
        <w:t>zmian na rynku pracy, koniecznością finansowania cyfryzacji procesu dydaktycznego i</w:t>
      </w:r>
      <w:r w:rsidRPr="007508E6">
        <w:rPr>
          <w:rFonts w:ascii="Times New Roman" w:hAnsi="Times New Roman" w:cs="Times New Roman"/>
        </w:rPr>
        <w:t> </w:t>
      </w:r>
      <w:r w:rsidRPr="007508E6">
        <w:rPr>
          <w:rFonts w:ascii="Times New Roman" w:hAnsi="Times New Roman" w:cs="Times New Roman"/>
          <w:lang w:eastAsia="en-US"/>
        </w:rPr>
        <w:t xml:space="preserve">administracyjnego oraz zwiększonych kosztów infrastruktury badawczej i laboratoryjnej. </w:t>
      </w:r>
    </w:p>
    <w:p w14:paraId="53BB5E34"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Jednocześnie sektor szkolnictwa wyższego mierzy się z wyzwaniami demograficznymi związanymi ze spadkiem liczby studentów w części ośrodków akademickich oraz rosnącą konkurencją międzynarodową o wysoko wykwalifikowaną kadrę naukową i dydaktyczną. W</w:t>
      </w:r>
      <w:r w:rsidRPr="007508E6">
        <w:rPr>
          <w:rFonts w:ascii="Times New Roman" w:hAnsi="Times New Roman" w:cs="Times New Roman"/>
        </w:rPr>
        <w:t> </w:t>
      </w:r>
      <w:r w:rsidRPr="007508E6">
        <w:rPr>
          <w:rFonts w:ascii="Times New Roman" w:hAnsi="Times New Roman" w:cs="Times New Roman"/>
          <w:lang w:eastAsia="en-US"/>
        </w:rPr>
        <w:t xml:space="preserve">konsekwencji uczelnie publiczne </w:t>
      </w:r>
      <w:r w:rsidRPr="007508E6">
        <w:rPr>
          <w:rFonts w:ascii="Times New Roman" w:hAnsi="Times New Roman" w:cs="Times New Roman"/>
        </w:rPr>
        <w:t xml:space="preserve">są </w:t>
      </w:r>
      <w:r w:rsidRPr="007508E6">
        <w:rPr>
          <w:rFonts w:ascii="Times New Roman" w:hAnsi="Times New Roman" w:cs="Times New Roman"/>
          <w:lang w:eastAsia="en-US"/>
        </w:rPr>
        <w:t>zobowiązane do utrzymywania wysokiego poziomu jakości kształcenia i badań naukowych</w:t>
      </w:r>
      <w:r w:rsidRPr="007508E6">
        <w:rPr>
          <w:rFonts w:ascii="Times New Roman" w:hAnsi="Times New Roman" w:cs="Times New Roman"/>
        </w:rPr>
        <w:t>,</w:t>
      </w:r>
      <w:r w:rsidRPr="007508E6">
        <w:rPr>
          <w:rFonts w:ascii="Times New Roman" w:hAnsi="Times New Roman" w:cs="Times New Roman"/>
          <w:lang w:eastAsia="en-US"/>
        </w:rPr>
        <w:t xml:space="preserve"> przy jednoczesnym zachowaniu stabilności finansowej. </w:t>
      </w:r>
    </w:p>
    <w:p w14:paraId="5619C40F"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lastRenderedPageBreak/>
        <w:t xml:space="preserve">W tym kontekście utrzymanie przewidywalnych i stabilnych zasad dotyczących naliczania odpisu na zakładowy fundusz świadczeń socjalnych należy uznać za istotny element bezpieczeństwa finansowego uczelni publicznych. Mechanizm określony w art. 262 zmienianej ustawy pozwala ograniczyć ryzyko wystąpienia gwałtownego wzrostu kosztów stałych działalności uczelni, który mógłby negatywnie wpłynąć na realizację działalności statutowej, na poziom inwestycji infrastrukturalnych, zdolność uczelni do uczestnictwa w projektach międzynarodowych i badawczych, a także na stabilność zatrudnienia. </w:t>
      </w:r>
    </w:p>
    <w:p w14:paraId="3583651E" w14:textId="0E8A132A"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 xml:space="preserve">Należy podkreślić, że koszty osobowe stanowią dominującą część budżetów uczelni publicznych. W warunkach systematycznego wzrostu wynagrodzeń oraz konieczności dostosowania poziomu płac do realiów rynku pracy automatyczny wzrost podstawy naliczania odpisu na ZFŚS skutkowałby dalszym zwiększeniem obciążeń finansowych uczelni, bez jednoczesnego zagwarantowania proporcjonalnego wzrostu finansowania ze środków publicznych. </w:t>
      </w:r>
    </w:p>
    <w:p w14:paraId="0CCAF86F"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Jednocześnie projektowana regulacja zachowuje możliwość zwiększenia wysokości odpisu przez uczelnię –</w:t>
      </w:r>
      <w:r w:rsidRPr="007508E6">
        <w:rPr>
          <w:rFonts w:ascii="Times New Roman" w:hAnsi="Times New Roman" w:cs="Times New Roman"/>
        </w:rPr>
        <w:t xml:space="preserve"> po uzgodnieniu ze związkami zawodowymi działającymi w uczelni </w:t>
      </w:r>
      <w:r w:rsidRPr="007508E6">
        <w:rPr>
          <w:rFonts w:ascii="Times New Roman" w:hAnsi="Times New Roman" w:cs="Times New Roman"/>
          <w:lang w:eastAsia="en-US"/>
        </w:rPr>
        <w:t>– co pozw</w:t>
      </w:r>
      <w:r w:rsidRPr="007508E6">
        <w:rPr>
          <w:rFonts w:ascii="Times New Roman" w:hAnsi="Times New Roman" w:cs="Times New Roman"/>
        </w:rPr>
        <w:t>oli na</w:t>
      </w:r>
      <w:r w:rsidRPr="007508E6">
        <w:rPr>
          <w:rFonts w:ascii="Times New Roman" w:hAnsi="Times New Roman" w:cs="Times New Roman"/>
          <w:lang w:eastAsia="en-US"/>
        </w:rPr>
        <w:t xml:space="preserve"> </w:t>
      </w:r>
      <w:r w:rsidRPr="007508E6">
        <w:rPr>
          <w:rFonts w:ascii="Times New Roman" w:hAnsi="Times New Roman" w:cs="Times New Roman"/>
        </w:rPr>
        <w:t xml:space="preserve">każdorazowe </w:t>
      </w:r>
      <w:r w:rsidRPr="007508E6">
        <w:rPr>
          <w:rFonts w:ascii="Times New Roman" w:hAnsi="Times New Roman" w:cs="Times New Roman"/>
          <w:lang w:eastAsia="en-US"/>
        </w:rPr>
        <w:t>uwzględnia</w:t>
      </w:r>
      <w:r w:rsidRPr="007508E6">
        <w:rPr>
          <w:rFonts w:ascii="Times New Roman" w:hAnsi="Times New Roman" w:cs="Times New Roman"/>
        </w:rPr>
        <w:t>nie</w:t>
      </w:r>
      <w:r w:rsidRPr="007508E6">
        <w:rPr>
          <w:rFonts w:ascii="Times New Roman" w:hAnsi="Times New Roman" w:cs="Times New Roman"/>
          <w:lang w:eastAsia="en-US"/>
        </w:rPr>
        <w:t xml:space="preserve"> indywidualn</w:t>
      </w:r>
      <w:r w:rsidRPr="007508E6">
        <w:rPr>
          <w:rFonts w:ascii="Times New Roman" w:hAnsi="Times New Roman" w:cs="Times New Roman"/>
        </w:rPr>
        <w:t>ej</w:t>
      </w:r>
      <w:r w:rsidRPr="007508E6">
        <w:rPr>
          <w:rFonts w:ascii="Times New Roman" w:hAnsi="Times New Roman" w:cs="Times New Roman"/>
          <w:lang w:eastAsia="en-US"/>
        </w:rPr>
        <w:t xml:space="preserve"> sytuacj</w:t>
      </w:r>
      <w:r w:rsidRPr="007508E6">
        <w:rPr>
          <w:rFonts w:ascii="Times New Roman" w:hAnsi="Times New Roman" w:cs="Times New Roman"/>
        </w:rPr>
        <w:t>i</w:t>
      </w:r>
      <w:r w:rsidRPr="007508E6">
        <w:rPr>
          <w:rFonts w:ascii="Times New Roman" w:hAnsi="Times New Roman" w:cs="Times New Roman"/>
          <w:lang w:eastAsia="en-US"/>
        </w:rPr>
        <w:t xml:space="preserve"> finansow</w:t>
      </w:r>
      <w:r w:rsidRPr="007508E6">
        <w:rPr>
          <w:rFonts w:ascii="Times New Roman" w:hAnsi="Times New Roman" w:cs="Times New Roman"/>
        </w:rPr>
        <w:t>ej</w:t>
      </w:r>
      <w:r w:rsidRPr="007508E6">
        <w:rPr>
          <w:rFonts w:ascii="Times New Roman" w:hAnsi="Times New Roman" w:cs="Times New Roman"/>
          <w:lang w:eastAsia="en-US"/>
        </w:rPr>
        <w:t xml:space="preserve"> poszczególnych uczelni oraz potrzeb pracowników. Rozwiązanie to zapewni odpowiednią elastyczność systemu przy jednoczesnym utrzymaniu podstawowego celu regulacji, jakim jest stabilizacja finansowa sektora szkolnictwa wyższego i nauki.</w:t>
      </w:r>
    </w:p>
    <w:p w14:paraId="61A96734"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 xml:space="preserve">Proponuje się, aby ustawa weszła w życie z dniem 1 stycznia 2027 r., co zapewni ciągłość obowiązywania regulacji oraz umożliwi uwzględnienie nowych przepisów w planach rzeczowo-finansowych uczelni publicznych na rok 2027. </w:t>
      </w:r>
    </w:p>
    <w:p w14:paraId="3AE92E87" w14:textId="4CBCD1BE"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Należy wskazać</w:t>
      </w:r>
      <w:r w:rsidR="006356B5">
        <w:rPr>
          <w:rFonts w:ascii="Times New Roman" w:hAnsi="Times New Roman" w:cs="Times New Roman"/>
          <w:lang w:eastAsia="en-US"/>
        </w:rPr>
        <w:t xml:space="preserve"> na</w:t>
      </w:r>
      <w:r w:rsidRPr="007508E6">
        <w:rPr>
          <w:rFonts w:ascii="Times New Roman" w:hAnsi="Times New Roman" w:cs="Times New Roman"/>
          <w:lang w:eastAsia="en-US"/>
        </w:rPr>
        <w:t xml:space="preserve"> brak możliwości podjęcia alternatywnych w stosunku do uchwalenia projektowanej ustawy środków umożliwiających osiągnięcie zamierzonego celu.</w:t>
      </w:r>
    </w:p>
    <w:p w14:paraId="1EAAB574"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Projektowana ustawa nie podlega notyfikacji zgodnie z przepisami rozporządzenia Rady Ministrów z dnia 23 grudnia 2002 r. w sprawie sposobu funkcjonowania krajowego systemu notyfikacji norm i aktów prawnych (Dz. U. poz. 2039 oraz z 2004 r. poz. 597).</w:t>
      </w:r>
    </w:p>
    <w:p w14:paraId="15FFF6C3"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Projektowana ustawa nie dotyczy majątkowych praw i obowiązków przedsiębiorców lub praw i obowiązków przedsiębiorców wobec organów administracji publicznej.</w:t>
      </w:r>
    </w:p>
    <w:p w14:paraId="17AA6598"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Projektowana ustawa nie wpływa na działalność mikroprzedsiębiorców, małych i średnich przedsiębiorców.</w:t>
      </w:r>
    </w:p>
    <w:p w14:paraId="7F082805" w14:textId="02C734C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lastRenderedPageBreak/>
        <w:t>Projektowana ustawa nie podlegała ocenie w zakresie oceny skutków regulacji w trybie § 32 uchwały nr 190 Rady Ministrów z dnia 29 października 2013 r. – Regulamin pracy Rady Ministrów (M.P. z 202</w:t>
      </w:r>
      <w:r w:rsidRPr="007508E6">
        <w:rPr>
          <w:rFonts w:ascii="Times New Roman" w:hAnsi="Times New Roman" w:cs="Times New Roman"/>
        </w:rPr>
        <w:t>6</w:t>
      </w:r>
      <w:r w:rsidRPr="007508E6">
        <w:rPr>
          <w:rFonts w:ascii="Times New Roman" w:hAnsi="Times New Roman" w:cs="Times New Roman"/>
          <w:lang w:eastAsia="en-US"/>
        </w:rPr>
        <w:t xml:space="preserve"> r. poz. </w:t>
      </w:r>
      <w:r w:rsidRPr="007508E6">
        <w:rPr>
          <w:rFonts w:ascii="Times New Roman" w:hAnsi="Times New Roman" w:cs="Times New Roman"/>
        </w:rPr>
        <w:t>404</w:t>
      </w:r>
      <w:r w:rsidRPr="007508E6">
        <w:rPr>
          <w:rFonts w:ascii="Times New Roman" w:hAnsi="Times New Roman" w:cs="Times New Roman"/>
          <w:lang w:eastAsia="en-US"/>
        </w:rPr>
        <w:t>).</w:t>
      </w:r>
    </w:p>
    <w:p w14:paraId="76F443AB" w14:textId="77777777" w:rsidR="001E7A8B" w:rsidRPr="007508E6" w:rsidRDefault="001E7A8B" w:rsidP="00EF0618">
      <w:pPr>
        <w:pStyle w:val="NIEARTTEKSTtekstnieartykuowanynppodstprawnarozplubpreambua"/>
        <w:rPr>
          <w:rFonts w:ascii="Times New Roman" w:hAnsi="Times New Roman" w:cs="Times New Roman"/>
          <w:lang w:eastAsia="en-US"/>
        </w:rPr>
      </w:pPr>
      <w:r w:rsidRPr="007508E6">
        <w:rPr>
          <w:rFonts w:ascii="Times New Roman" w:hAnsi="Times New Roman" w:cs="Times New Roman"/>
          <w:lang w:eastAsia="en-US"/>
        </w:rPr>
        <w:t>Projektowana ustawa nie wymaga przedstawienia właściwym organom i instytucjom Unii Europejskiej, w tym Europejskiemu Bankowi Centralnemu, w celu uzyskania opinii, dokonania powiadomienia, konsultacji albo uzgodnienia.</w:t>
      </w:r>
    </w:p>
    <w:p w14:paraId="7411E6BC" w14:textId="5499A294" w:rsidR="002408AB" w:rsidRPr="00EF0618" w:rsidRDefault="001E7A8B" w:rsidP="007508E6">
      <w:pPr>
        <w:spacing w:before="120"/>
        <w:ind w:firstLine="510"/>
        <w:rPr>
          <w:rFonts w:cs="Times New Roman"/>
        </w:rPr>
      </w:pPr>
      <w:r w:rsidRPr="00EF0618">
        <w:rPr>
          <w:rFonts w:cs="Times New Roman"/>
          <w:lang w:eastAsia="en-US"/>
        </w:rPr>
        <w:t>Projektowana ustawa nie jest sprzeczna z prawem Unii Europejskiej.</w:t>
      </w:r>
    </w:p>
    <w:sectPr w:rsidR="002408AB" w:rsidRPr="00EF0618" w:rsidSect="00EF0618">
      <w:footerReference w:type="default" r:id="rId7"/>
      <w:footnotePr>
        <w:numRestart w:val="eachSect"/>
      </w:footnotePr>
      <w:pgSz w:w="11906" w:h="16838"/>
      <w:pgMar w:top="1418" w:right="1418" w:bottom="1418"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6DBF" w14:textId="77777777" w:rsidR="006A75C8" w:rsidRDefault="006A75C8" w:rsidP="00EF0618">
      <w:pPr>
        <w:spacing w:line="240" w:lineRule="auto"/>
      </w:pPr>
      <w:r>
        <w:separator/>
      </w:r>
    </w:p>
  </w:endnote>
  <w:endnote w:type="continuationSeparator" w:id="0">
    <w:p w14:paraId="58874182" w14:textId="77777777" w:rsidR="006A75C8" w:rsidRDefault="006A75C8" w:rsidP="00EF06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028469"/>
      <w:docPartObj>
        <w:docPartGallery w:val="Page Numbers (Bottom of Page)"/>
        <w:docPartUnique/>
      </w:docPartObj>
    </w:sdtPr>
    <w:sdtEndPr/>
    <w:sdtContent>
      <w:p w14:paraId="2F082082" w14:textId="0ECF45F7" w:rsidR="00EF0618" w:rsidRDefault="00EF0618">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0CB6F" w14:textId="77777777" w:rsidR="006A75C8" w:rsidRDefault="006A75C8" w:rsidP="00EF0618">
      <w:pPr>
        <w:spacing w:line="240" w:lineRule="auto"/>
      </w:pPr>
      <w:r>
        <w:separator/>
      </w:r>
    </w:p>
  </w:footnote>
  <w:footnote w:type="continuationSeparator" w:id="0">
    <w:p w14:paraId="19AF0F8E" w14:textId="77777777" w:rsidR="006A75C8" w:rsidRDefault="006A75C8" w:rsidP="00EF061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A8B"/>
    <w:rsid w:val="00072E67"/>
    <w:rsid w:val="00081434"/>
    <w:rsid w:val="000B151D"/>
    <w:rsid w:val="00145174"/>
    <w:rsid w:val="001E7A8B"/>
    <w:rsid w:val="001F099E"/>
    <w:rsid w:val="001F304E"/>
    <w:rsid w:val="00235D5C"/>
    <w:rsid w:val="002408AB"/>
    <w:rsid w:val="00243652"/>
    <w:rsid w:val="002E3C7C"/>
    <w:rsid w:val="00352B18"/>
    <w:rsid w:val="003A4490"/>
    <w:rsid w:val="00413139"/>
    <w:rsid w:val="004D2078"/>
    <w:rsid w:val="00564F07"/>
    <w:rsid w:val="00585C0D"/>
    <w:rsid w:val="005B578D"/>
    <w:rsid w:val="0060360B"/>
    <w:rsid w:val="006356B5"/>
    <w:rsid w:val="006A75C8"/>
    <w:rsid w:val="00742B2F"/>
    <w:rsid w:val="007508E6"/>
    <w:rsid w:val="00863BF3"/>
    <w:rsid w:val="008A3A08"/>
    <w:rsid w:val="008C7840"/>
    <w:rsid w:val="00916D13"/>
    <w:rsid w:val="00955061"/>
    <w:rsid w:val="00A04792"/>
    <w:rsid w:val="00A05C3F"/>
    <w:rsid w:val="00A34243"/>
    <w:rsid w:val="00A43B13"/>
    <w:rsid w:val="00A65A4F"/>
    <w:rsid w:val="00A77EB0"/>
    <w:rsid w:val="00A86524"/>
    <w:rsid w:val="00BF31FB"/>
    <w:rsid w:val="00C4439F"/>
    <w:rsid w:val="00C67B2B"/>
    <w:rsid w:val="00C778B8"/>
    <w:rsid w:val="00CA6044"/>
    <w:rsid w:val="00CD4E8C"/>
    <w:rsid w:val="00CF1FCA"/>
    <w:rsid w:val="00D567C5"/>
    <w:rsid w:val="00DC121E"/>
    <w:rsid w:val="00DD2257"/>
    <w:rsid w:val="00E06759"/>
    <w:rsid w:val="00EF0618"/>
    <w:rsid w:val="00F33838"/>
    <w:rsid w:val="00F40D4D"/>
    <w:rsid w:val="00F56829"/>
    <w:rsid w:val="00F62624"/>
    <w:rsid w:val="00F87D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E8FA"/>
  <w15:chartTrackingRefBased/>
  <w15:docId w15:val="{872EF06B-4844-4EA5-A440-CB439CC2F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7A8B"/>
    <w:pPr>
      <w:widowControl w:val="0"/>
      <w:autoSpaceDE w:val="0"/>
      <w:autoSpaceDN w:val="0"/>
      <w:adjustRightInd w:val="0"/>
      <w:spacing w:after="0" w:line="360" w:lineRule="auto"/>
    </w:pPr>
    <w:rPr>
      <w:rFonts w:ascii="Times New Roman" w:eastAsiaTheme="minorEastAsia" w:hAnsi="Times New Roman" w:cs="Arial"/>
      <w:kern w:val="0"/>
      <w:sz w:val="24"/>
      <w:szCs w:val="20"/>
      <w:lang w:eastAsia="pl-PL"/>
    </w:rPr>
  </w:style>
  <w:style w:type="paragraph" w:styleId="Nagwek1">
    <w:name w:val="heading 1"/>
    <w:basedOn w:val="Normalny"/>
    <w:next w:val="Normalny"/>
    <w:link w:val="Nagwek1Znak"/>
    <w:uiPriority w:val="9"/>
    <w:qFormat/>
    <w:rsid w:val="001E7A8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1E7A8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1E7A8B"/>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1E7A8B"/>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1E7A8B"/>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1E7A8B"/>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7A8B"/>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7A8B"/>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7A8B"/>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7A8B"/>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1E7A8B"/>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1E7A8B"/>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1E7A8B"/>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1E7A8B"/>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1E7A8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7A8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7A8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7A8B"/>
    <w:rPr>
      <w:rFonts w:eastAsiaTheme="majorEastAsia" w:cstheme="majorBidi"/>
      <w:color w:val="272727" w:themeColor="text1" w:themeTint="D8"/>
    </w:rPr>
  </w:style>
  <w:style w:type="paragraph" w:styleId="Tytu">
    <w:name w:val="Title"/>
    <w:basedOn w:val="Normalny"/>
    <w:next w:val="Normalny"/>
    <w:link w:val="TytuZnak"/>
    <w:uiPriority w:val="10"/>
    <w:qFormat/>
    <w:rsid w:val="001E7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7A8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7A8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7A8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7A8B"/>
    <w:pPr>
      <w:spacing w:before="160"/>
      <w:jc w:val="center"/>
    </w:pPr>
    <w:rPr>
      <w:i/>
      <w:iCs/>
      <w:color w:val="404040" w:themeColor="text1" w:themeTint="BF"/>
    </w:rPr>
  </w:style>
  <w:style w:type="character" w:customStyle="1" w:styleId="CytatZnak">
    <w:name w:val="Cytat Znak"/>
    <w:basedOn w:val="Domylnaczcionkaakapitu"/>
    <w:link w:val="Cytat"/>
    <w:uiPriority w:val="29"/>
    <w:rsid w:val="001E7A8B"/>
    <w:rPr>
      <w:i/>
      <w:iCs/>
      <w:color w:val="404040" w:themeColor="text1" w:themeTint="BF"/>
    </w:rPr>
  </w:style>
  <w:style w:type="paragraph" w:styleId="Akapitzlist">
    <w:name w:val="List Paragraph"/>
    <w:basedOn w:val="Normalny"/>
    <w:uiPriority w:val="34"/>
    <w:qFormat/>
    <w:rsid w:val="001E7A8B"/>
    <w:pPr>
      <w:ind w:left="720"/>
      <w:contextualSpacing/>
    </w:pPr>
  </w:style>
  <w:style w:type="character" w:styleId="Wyrnienieintensywne">
    <w:name w:val="Intense Emphasis"/>
    <w:basedOn w:val="Domylnaczcionkaakapitu"/>
    <w:uiPriority w:val="21"/>
    <w:qFormat/>
    <w:rsid w:val="001E7A8B"/>
    <w:rPr>
      <w:i/>
      <w:iCs/>
      <w:color w:val="2E74B5" w:themeColor="accent1" w:themeShade="BF"/>
    </w:rPr>
  </w:style>
  <w:style w:type="paragraph" w:styleId="Cytatintensywny">
    <w:name w:val="Intense Quote"/>
    <w:basedOn w:val="Normalny"/>
    <w:next w:val="Normalny"/>
    <w:link w:val="CytatintensywnyZnak"/>
    <w:uiPriority w:val="30"/>
    <w:qFormat/>
    <w:rsid w:val="001E7A8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1E7A8B"/>
    <w:rPr>
      <w:i/>
      <w:iCs/>
      <w:color w:val="2E74B5" w:themeColor="accent1" w:themeShade="BF"/>
    </w:rPr>
  </w:style>
  <w:style w:type="character" w:styleId="Odwoanieintensywne">
    <w:name w:val="Intense Reference"/>
    <w:basedOn w:val="Domylnaczcionkaakapitu"/>
    <w:uiPriority w:val="32"/>
    <w:qFormat/>
    <w:rsid w:val="001E7A8B"/>
    <w:rPr>
      <w:b/>
      <w:bCs/>
      <w:smallCaps/>
      <w:color w:val="2E74B5" w:themeColor="accent1" w:themeShade="BF"/>
      <w:spacing w:val="5"/>
    </w:rPr>
  </w:style>
  <w:style w:type="paragraph" w:styleId="Nagwek">
    <w:name w:val="header"/>
    <w:basedOn w:val="Normalny"/>
    <w:link w:val="NagwekZnak"/>
    <w:uiPriority w:val="99"/>
    <w:semiHidden/>
    <w:rsid w:val="001E7A8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1E7A8B"/>
    <w:rPr>
      <w:rFonts w:ascii="Times" w:eastAsia="Times New Roman" w:hAnsi="Times" w:cs="Times New Roman"/>
      <w:kern w:val="1"/>
      <w:sz w:val="24"/>
      <w:szCs w:val="24"/>
      <w:lang w:eastAsia="ar-SA"/>
    </w:rPr>
  </w:style>
  <w:style w:type="paragraph" w:customStyle="1" w:styleId="TYTUAKTUprzedmiotregulacjiustawylubrozporzdzenia">
    <w:name w:val="TYTUŁ_AKTU – przedmiot regulacji ustawy lub rozporządzenia"/>
    <w:next w:val="Normalny"/>
    <w:uiPriority w:val="6"/>
    <w:qFormat/>
    <w:rsid w:val="001E7A8B"/>
    <w:pPr>
      <w:keepNext/>
      <w:suppressAutoHyphens/>
      <w:spacing w:before="120" w:after="360" w:line="360" w:lineRule="auto"/>
      <w:jc w:val="center"/>
    </w:pPr>
    <w:rPr>
      <w:rFonts w:ascii="Times" w:eastAsiaTheme="minorEastAsia" w:hAnsi="Times" w:cs="Arial"/>
      <w:b/>
      <w:bCs/>
      <w:kern w:val="0"/>
      <w:sz w:val="24"/>
      <w:szCs w:val="24"/>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1E7A8B"/>
    <w:pPr>
      <w:widowControl/>
      <w:suppressAutoHyphens/>
      <w:spacing w:before="120"/>
      <w:ind w:firstLine="510"/>
      <w:jc w:val="both"/>
    </w:pPr>
    <w:rPr>
      <w:rFonts w:ascii="Times" w:hAnsi="Times"/>
      <w:bCs/>
    </w:rPr>
  </w:style>
  <w:style w:type="paragraph" w:styleId="Stopka">
    <w:name w:val="footer"/>
    <w:basedOn w:val="Normalny"/>
    <w:link w:val="StopkaZnak"/>
    <w:uiPriority w:val="99"/>
    <w:unhideWhenUsed/>
    <w:rsid w:val="00EF0618"/>
    <w:pPr>
      <w:tabs>
        <w:tab w:val="center" w:pos="4536"/>
        <w:tab w:val="right" w:pos="9072"/>
      </w:tabs>
      <w:spacing w:line="240" w:lineRule="auto"/>
    </w:pPr>
  </w:style>
  <w:style w:type="character" w:customStyle="1" w:styleId="StopkaZnak">
    <w:name w:val="Stopka Znak"/>
    <w:basedOn w:val="Domylnaczcionkaakapitu"/>
    <w:link w:val="Stopka"/>
    <w:uiPriority w:val="99"/>
    <w:rsid w:val="00EF0618"/>
    <w:rPr>
      <w:rFonts w:ascii="Times New Roman" w:eastAsiaTheme="minorEastAsia" w:hAnsi="Times New Roman" w:cs="Arial"/>
      <w:kern w:val="0"/>
      <w:sz w:val="24"/>
      <w:szCs w:val="20"/>
      <w:lang w:eastAsia="pl-PL"/>
    </w:rPr>
  </w:style>
  <w:style w:type="paragraph" w:styleId="Poprawka">
    <w:name w:val="Revision"/>
    <w:hidden/>
    <w:uiPriority w:val="99"/>
    <w:semiHidden/>
    <w:rsid w:val="00EF0618"/>
    <w:pPr>
      <w:spacing w:after="0" w:line="240" w:lineRule="auto"/>
    </w:pPr>
    <w:rPr>
      <w:rFonts w:ascii="Times New Roman" w:eastAsiaTheme="minorEastAsia" w:hAnsi="Times New Roman" w:cs="Arial"/>
      <w:kern w:val="0"/>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7FA68-19C5-43F6-A4BA-89773C88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4566</Characters>
  <Application>Microsoft Office Word</Application>
  <DocSecurity>0</DocSecurity>
  <Lines>38</Lines>
  <Paragraphs>10</Paragraphs>
  <ScaleCrop>false</ScaleCrop>
  <Company>KPRM</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Wójcik Aleksandra</cp:lastModifiedBy>
  <cp:revision>2</cp:revision>
  <dcterms:created xsi:type="dcterms:W3CDTF">2026-10-20T12:27:00Z</dcterms:created>
  <dcterms:modified xsi:type="dcterms:W3CDTF">2026-10-20T12:27:00Z</dcterms:modified>
</cp:coreProperties>
</file>