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56A01" w14:textId="77777777" w:rsidR="00595F64" w:rsidRPr="00595F64" w:rsidRDefault="00595F64" w:rsidP="00595F64">
      <w:pPr>
        <w:pStyle w:val="OZNPROJEKTUwskazaniedatylubwersjiprojektu"/>
        <w:keepNext/>
      </w:pPr>
      <w:bookmarkStart w:id="0" w:name="_Hlk178332390"/>
      <w:bookmarkStart w:id="1" w:name="_Hlk179213469"/>
      <w:r w:rsidRPr="00595F64">
        <w:t>Projekt</w:t>
      </w:r>
    </w:p>
    <w:p w14:paraId="4DA05AA4" w14:textId="77777777" w:rsidR="00595F64" w:rsidRPr="00595F64" w:rsidRDefault="00595F64" w:rsidP="00595F64">
      <w:pPr>
        <w:pStyle w:val="OZNRODZAKTUtznustawalubrozporzdzenieiorganwydajcy"/>
      </w:pPr>
      <w:r w:rsidRPr="00595F64">
        <w:t>USTAWA</w:t>
      </w:r>
    </w:p>
    <w:p w14:paraId="1BC21ADA" w14:textId="4DBA4167" w:rsidR="00595F64" w:rsidRPr="00595F64" w:rsidRDefault="00595F64" w:rsidP="00595F64">
      <w:pPr>
        <w:pStyle w:val="DATAAKTUdatauchwalenialubwydaniaaktu"/>
      </w:pPr>
      <w:r w:rsidRPr="00595F64">
        <w:t>z dnia</w:t>
      </w:r>
    </w:p>
    <w:p w14:paraId="008CD3D2" w14:textId="6F168F9E" w:rsidR="00595F64" w:rsidRPr="00595F64" w:rsidRDefault="00595F64" w:rsidP="00595F64">
      <w:pPr>
        <w:pStyle w:val="TYTUAKTUprzedmiotregulacjiustawylubrozporzdzenia"/>
      </w:pPr>
      <w:r w:rsidRPr="00595F64">
        <w:t xml:space="preserve">o zmianie ustawy – Prawo upadłościowe, ustawy – Prawo restrukturyzacyjne </w:t>
      </w:r>
      <w:r w:rsidR="00F62891">
        <w:br/>
      </w:r>
      <w:r w:rsidRPr="00595F64">
        <w:t>oraz ustawy o Krajowym Rejestrze Zadłużonych</w:t>
      </w:r>
    </w:p>
    <w:p w14:paraId="35A6E2BA" w14:textId="77777777" w:rsidR="00595F64" w:rsidRPr="00595F64" w:rsidRDefault="00595F64" w:rsidP="00595F64">
      <w:pPr>
        <w:pStyle w:val="ARTartustawynprozporzdzenia"/>
        <w:keepNext/>
      </w:pPr>
      <w:r w:rsidRPr="00595F64">
        <w:rPr>
          <w:rStyle w:val="Ppogrubienie"/>
        </w:rPr>
        <w:t>Art. 1.</w:t>
      </w:r>
      <w:r w:rsidRPr="00595F64">
        <w:t xml:space="preserve"> W ustawie z dnia 28 lutego 2003 r. </w:t>
      </w:r>
      <w:bookmarkStart w:id="2" w:name="_Hlk205462538"/>
      <w:r w:rsidRPr="00595F64">
        <w:t>–</w:t>
      </w:r>
      <w:bookmarkEnd w:id="2"/>
      <w:r w:rsidRPr="00595F64">
        <w:t xml:space="preserve"> Prawo upadłościowe (Dz. U. z 2026 r. poz. 913) wprowadza się następujące zmiany:</w:t>
      </w:r>
    </w:p>
    <w:p w14:paraId="5E54BF54" w14:textId="77777777" w:rsidR="00595F64" w:rsidRPr="00595F64" w:rsidRDefault="00595F64" w:rsidP="00595F64">
      <w:pPr>
        <w:pStyle w:val="PKTpunkt"/>
        <w:keepNext/>
      </w:pPr>
      <w:r w:rsidRPr="00595F64">
        <w:t>1)</w:t>
      </w:r>
      <w:r w:rsidRPr="00595F64">
        <w:tab/>
        <w:t>w art. 168 po ust. 4 dodaje się ust. 4a w brzmieniu:</w:t>
      </w:r>
    </w:p>
    <w:p w14:paraId="743CE2F0" w14:textId="3F8C25AD" w:rsidR="00595F64" w:rsidRPr="00595F64" w:rsidRDefault="00595F64" w:rsidP="00595F64">
      <w:pPr>
        <w:pStyle w:val="ZUSTzmustartykuempunktem"/>
      </w:pPr>
      <w:r w:rsidRPr="00595F64">
        <w:t>„4a. Sprawozdania, o których mowa w ust. 1, 2 i 4, rozpoznaje sędzia-komisarz po wysłuchaniu</w:t>
      </w:r>
      <w:r w:rsidR="00A55B67">
        <w:t>,</w:t>
      </w:r>
      <w:r w:rsidRPr="00595F64">
        <w:t xml:space="preserve"> w miarę potrzeby i możliwości</w:t>
      </w:r>
      <w:r w:rsidR="00A55B67">
        <w:t>,</w:t>
      </w:r>
      <w:r w:rsidRPr="00595F64">
        <w:t xml:space="preserve"> syndyka, upadłego i członków rady wierzycieli.”;</w:t>
      </w:r>
    </w:p>
    <w:p w14:paraId="5EDB00D4" w14:textId="77777777" w:rsidR="00595F64" w:rsidRPr="00595F64" w:rsidRDefault="00595F64" w:rsidP="00595F64">
      <w:pPr>
        <w:pStyle w:val="PKTpunkt"/>
        <w:keepNext/>
      </w:pPr>
      <w:r w:rsidRPr="00595F64">
        <w:t>2)</w:t>
      </w:r>
      <w:bookmarkStart w:id="3" w:name="_Hlk209596848"/>
      <w:r w:rsidRPr="00595F64">
        <w:tab/>
        <w:t>w art. 219 ust. 4 otrzymuje brzmienie:</w:t>
      </w:r>
      <w:bookmarkEnd w:id="3"/>
    </w:p>
    <w:p w14:paraId="12BBB7BC" w14:textId="358ACE5D" w:rsidR="00595F64" w:rsidRPr="00595F64" w:rsidRDefault="00595F64" w:rsidP="00595F64">
      <w:pPr>
        <w:pStyle w:val="ZUSTzmustartykuempunktem"/>
      </w:pPr>
      <w:bookmarkStart w:id="4" w:name="_Hlk209596927"/>
      <w:r w:rsidRPr="00595F64">
        <w:t>„4. Ujawnienia informacji o prawomocności orzeczenia mogą dokonać w systemie teleinformatycznym obsługującym postępowanie sądowe sąd, sędzia-komisarz, referendarz sądowy, przewodniczący, asystent sędziego albo pracownik sekretariatu.”;</w:t>
      </w:r>
    </w:p>
    <w:bookmarkEnd w:id="4"/>
    <w:p w14:paraId="46845E4B" w14:textId="77777777" w:rsidR="00595F64" w:rsidRPr="00595F64" w:rsidRDefault="00595F64" w:rsidP="00595F64">
      <w:pPr>
        <w:pStyle w:val="PKTpunkt"/>
        <w:keepNext/>
      </w:pPr>
      <w:r w:rsidRPr="00595F64">
        <w:t>3)</w:t>
      </w:r>
      <w:r w:rsidRPr="00595F64">
        <w:tab/>
        <w:t>w art. 221 po ust. 1 dodaje się ust. 1a w brzmieniu:</w:t>
      </w:r>
    </w:p>
    <w:p w14:paraId="5F224986" w14:textId="1C7A6B19" w:rsidR="00595F64" w:rsidRPr="00595F64" w:rsidRDefault="00595F64" w:rsidP="00595F64">
      <w:pPr>
        <w:pStyle w:val="ZUSTzmustartykuempunktem"/>
      </w:pPr>
      <w:r w:rsidRPr="00595F64">
        <w:t>„1a. Obwieszczenia mogą dokonać sąd, sędzia-komisarz, referendarz sądowy, przewodniczący, asystent sędziego albo pracownik sekretariatu.”;</w:t>
      </w:r>
    </w:p>
    <w:p w14:paraId="45B3DD29" w14:textId="2F774963" w:rsidR="0047589B" w:rsidRPr="001C157B" w:rsidRDefault="007E497D" w:rsidP="0047589B">
      <w:pPr>
        <w:pStyle w:val="PKTpunkt"/>
        <w:keepNext/>
      </w:pPr>
      <w:r w:rsidRPr="001C157B">
        <w:t>4</w:t>
      </w:r>
      <w:r w:rsidR="0047589B" w:rsidRPr="001C157B">
        <w:t>)</w:t>
      </w:r>
      <w:r w:rsidR="0047589B" w:rsidRPr="001C157B">
        <w:tab/>
        <w:t>w art. 222 ust. 1a otrzymuje brzmienie:</w:t>
      </w:r>
    </w:p>
    <w:p w14:paraId="4E1C196D" w14:textId="0E47321C" w:rsidR="0047589B" w:rsidRPr="001C157B" w:rsidRDefault="0047589B" w:rsidP="0047589B">
      <w:pPr>
        <w:pStyle w:val="ZUSTzmustartykuempunktem"/>
      </w:pPr>
      <w:r w:rsidRPr="001C157B">
        <w:t>„1a</w:t>
      </w:r>
      <w:r w:rsidR="00556885" w:rsidRPr="001C157B">
        <w:t>.</w:t>
      </w:r>
      <w:r w:rsidRPr="001C157B">
        <w:t> Zażalenia na postanowienia sądu upadłościowego rozpoznaje sąd upadłościowy w innym składzie z wyjątkiem zażaleń na postanowienia, o których mowa w art. 163 ust. 4, art. 166 ust. 6, art. 172 ust. 1, art. 362 ust. 1, art. 365 ust. 3, art. 366 ust. 3, art. 368, art. 370a ust. 10, art. 370d ust. 1</w:t>
      </w:r>
      <w:r w:rsidR="00F62891" w:rsidRPr="001C157B">
        <w:t>–</w:t>
      </w:r>
      <w:r w:rsidRPr="001C157B">
        <w:t>2a, art. 370e ust. 1, art. 371 ust. 3, art. 491</w:t>
      </w:r>
      <w:r w:rsidRPr="0047589B">
        <w:rPr>
          <w:vertAlign w:val="superscript"/>
        </w:rPr>
        <w:t>[1]</w:t>
      </w:r>
      <w:r w:rsidRPr="0047589B">
        <w:t xml:space="preserve"> </w:t>
      </w:r>
      <w:r w:rsidRPr="001C157B">
        <w:t>ust. 2, art. 491</w:t>
      </w:r>
      <w:r w:rsidRPr="0047589B">
        <w:rPr>
          <w:vertAlign w:val="superscript"/>
        </w:rPr>
        <w:t xml:space="preserve">[5] </w:t>
      </w:r>
      <w:r w:rsidRPr="001C157B">
        <w:t>ust. 2, art. 491</w:t>
      </w:r>
      <w:r w:rsidRPr="0047589B">
        <w:rPr>
          <w:vertAlign w:val="superscript"/>
        </w:rPr>
        <w:t>[12a]</w:t>
      </w:r>
      <w:r w:rsidRPr="0047589B">
        <w:t xml:space="preserve"> </w:t>
      </w:r>
      <w:r w:rsidRPr="001C157B">
        <w:t>ust. 8, art. 491</w:t>
      </w:r>
      <w:r w:rsidRPr="0047589B">
        <w:rPr>
          <w:vertAlign w:val="superscript"/>
        </w:rPr>
        <w:t>[14]</w:t>
      </w:r>
      <w:r w:rsidRPr="0047589B">
        <w:t xml:space="preserve"> </w:t>
      </w:r>
      <w:r w:rsidRPr="001C157B">
        <w:t>ust. 7, art. 491</w:t>
      </w:r>
      <w:r w:rsidRPr="0047589B">
        <w:rPr>
          <w:vertAlign w:val="superscript"/>
        </w:rPr>
        <w:t>[19]</w:t>
      </w:r>
      <w:r w:rsidRPr="0047589B">
        <w:t xml:space="preserve"> </w:t>
      </w:r>
      <w:r w:rsidRPr="001C157B">
        <w:t>ust. 1</w:t>
      </w:r>
      <w:r w:rsidR="00F62891" w:rsidRPr="001C157B">
        <w:t>–</w:t>
      </w:r>
      <w:r w:rsidRPr="001C157B">
        <w:t>3, art. 491</w:t>
      </w:r>
      <w:r w:rsidRPr="0047589B">
        <w:rPr>
          <w:vertAlign w:val="superscript"/>
        </w:rPr>
        <w:t>[20]</w:t>
      </w:r>
      <w:r w:rsidRPr="001C157B">
        <w:t xml:space="preserve"> ust. 1 i art. 491</w:t>
      </w:r>
      <w:r w:rsidRPr="0047589B">
        <w:rPr>
          <w:vertAlign w:val="superscript"/>
        </w:rPr>
        <w:t>[22]</w:t>
      </w:r>
      <w:r w:rsidRPr="0047589B">
        <w:t xml:space="preserve"> </w:t>
      </w:r>
      <w:r w:rsidRPr="001C157B">
        <w:t>ust. 1 i 2, które rozpoznaje sąd drugiej instancji w składzie trzech sędziów zawodowych.”;</w:t>
      </w:r>
    </w:p>
    <w:p w14:paraId="416B7132" w14:textId="0784348E" w:rsidR="00595F64" w:rsidRPr="00595F64" w:rsidRDefault="007E497D" w:rsidP="00595F64">
      <w:pPr>
        <w:pStyle w:val="PKTpunkt"/>
        <w:keepNext/>
      </w:pPr>
      <w:r>
        <w:t>5</w:t>
      </w:r>
      <w:r w:rsidR="00595F64" w:rsidRPr="00595F64">
        <w:t>)</w:t>
      </w:r>
      <w:r w:rsidR="00595F64" w:rsidRPr="00595F64">
        <w:tab/>
        <w:t>w art. 370a:</w:t>
      </w:r>
    </w:p>
    <w:p w14:paraId="51E26AFF" w14:textId="77777777" w:rsidR="00595F64" w:rsidRPr="00595F64" w:rsidRDefault="00595F64" w:rsidP="00595F64">
      <w:pPr>
        <w:pStyle w:val="LITlitera"/>
        <w:keepNext/>
      </w:pPr>
      <w:r w:rsidRPr="00595F64">
        <w:t>a)</w:t>
      </w:r>
      <w:r w:rsidRPr="00595F64">
        <w:tab/>
        <w:t>ust. 1 otrzymuje brzmienie:</w:t>
      </w:r>
    </w:p>
    <w:p w14:paraId="762F9EB0" w14:textId="7E8E2B18" w:rsidR="00595F64" w:rsidRPr="00595F64" w:rsidRDefault="00595F64" w:rsidP="00595F64">
      <w:pPr>
        <w:pStyle w:val="ZLITUSTzmustliter"/>
      </w:pPr>
      <w:r w:rsidRPr="00595F64">
        <w:t xml:space="preserve">„1. W postanowieniu o ustaleniu planu spłaty wierzycieli sąd ustala, czy upadły doprowadził do swojej niewypłacalności lub istotnie zwiększył jej stopień umyślnie lub wskutek rażącego niedbalstwa, oraz określa, w jakim zakresie i okresie, </w:t>
      </w:r>
      <w:r w:rsidRPr="00595F64">
        <w:lastRenderedPageBreak/>
        <w:t>niedłuższym niż trzydzieści sześć miesięcy, upadły jest obowiązany spłacać zobowiązania uznane na liście wierzytelności</w:t>
      </w:r>
      <w:r w:rsidR="00A55B67">
        <w:t>,</w:t>
      </w:r>
      <w:r w:rsidRPr="00595F64">
        <w:t xml:space="preserve"> a niewykonane w toku postępowania upadłościowego na podstawie planów podziału.”,</w:t>
      </w:r>
    </w:p>
    <w:p w14:paraId="1BE7AEEA" w14:textId="77777777" w:rsidR="00595F64" w:rsidRPr="00595F64" w:rsidRDefault="00595F64" w:rsidP="00595F64">
      <w:pPr>
        <w:pStyle w:val="LITlitera"/>
        <w:keepNext/>
      </w:pPr>
      <w:r w:rsidRPr="00595F64">
        <w:t>b)</w:t>
      </w:r>
      <w:r w:rsidRPr="00595F64">
        <w:tab/>
        <w:t>po ust. 1 dodaje się ust. 1a w brzmieniu:</w:t>
      </w:r>
    </w:p>
    <w:p w14:paraId="222E0CEB" w14:textId="391ECDE4" w:rsidR="00595F64" w:rsidRPr="00595F64" w:rsidRDefault="00595F64" w:rsidP="00595F64">
      <w:pPr>
        <w:pStyle w:val="ZLITUSTzmustliter"/>
      </w:pPr>
      <w:r w:rsidRPr="00595F64">
        <w:t>„1a. W postanowieniu o ustaleniu planu spłaty wierzycieli sąd wskazuje również, że zobowiązania upadłego powstałe przed dniem ogłoszenia upadłości, które nie zostały zaspokojone w postępowaniu upadłościowym na podstawie planów podziału lub po zakończeniu postępowania upadłościowego na podstawie planu spłaty wierzycieli, podlegają umorzeniu z mocy prawa z upływem trzech miesięcy od upływu okresu, na który został ustalony plan spłaty wierzycieli, pod warunkiem że plan spłaty wierzycieli nie zostanie prawomocnie zmieniony lub uchylony wskutek rozpoznania wniosku, o którym mowa w art. 370d ust. 1 lub 2 lub art. 370e ust. 1, złożonego przed upływem wskazanego powyżej terminu trzech miesięcy.”,</w:t>
      </w:r>
    </w:p>
    <w:p w14:paraId="5BB258E7" w14:textId="77777777" w:rsidR="00595F64" w:rsidRPr="00595F64" w:rsidRDefault="00595F64" w:rsidP="00595F64">
      <w:pPr>
        <w:pStyle w:val="LITlitera"/>
        <w:keepNext/>
      </w:pPr>
      <w:r w:rsidRPr="00595F64">
        <w:t>c)</w:t>
      </w:r>
      <w:r w:rsidRPr="00595F64">
        <w:tab/>
        <w:t>po ust. 10 dodaje się ust. 10a w brzmieniu:</w:t>
      </w:r>
    </w:p>
    <w:p w14:paraId="64098556" w14:textId="37492EA4" w:rsidR="00595F64" w:rsidRPr="00595F64" w:rsidRDefault="00595F64" w:rsidP="00595F64">
      <w:pPr>
        <w:pStyle w:val="ZLITUSTzmustliter"/>
      </w:pPr>
      <w:bookmarkStart w:id="5" w:name="_Hlk193273388"/>
      <w:r w:rsidRPr="00595F64">
        <w:t>„10a. W obwieszczeniu informacji o prawomocności postanowienia</w:t>
      </w:r>
      <w:r w:rsidR="008B4B05">
        <w:t xml:space="preserve"> </w:t>
      </w:r>
      <w:r w:rsidR="008B4B05" w:rsidRPr="001C157B">
        <w:t>o</w:t>
      </w:r>
      <w:r w:rsidRPr="001C157B">
        <w:t xml:space="preserve"> ustaleni</w:t>
      </w:r>
      <w:r w:rsidR="008B4B05" w:rsidRPr="001C157B">
        <w:t>u</w:t>
      </w:r>
      <w:r w:rsidRPr="00595F64">
        <w:t xml:space="preserve"> planu spłaty wierzycieli oznacza się także dzień, z upływem którego zobowiązania upadłego ulegną umorzeniu z mocy prawa na zasadach określonych w ust. 1a, oraz stwierdza się, że umorzeniu nie podlegają zobowiązania, o których mowa w art. 370f ust. 2.”;</w:t>
      </w:r>
    </w:p>
    <w:bookmarkEnd w:id="5"/>
    <w:p w14:paraId="5C4D11E7" w14:textId="50D70398" w:rsidR="00595F64" w:rsidRPr="00595F64" w:rsidRDefault="007E497D" w:rsidP="00595F64">
      <w:pPr>
        <w:pStyle w:val="PKTpunkt"/>
      </w:pPr>
      <w:r>
        <w:t>6</w:t>
      </w:r>
      <w:r w:rsidR="00595F64" w:rsidRPr="00595F64">
        <w:t>)</w:t>
      </w:r>
      <w:r w:rsidR="00595F64" w:rsidRPr="00595F64">
        <w:tab/>
        <w:t>uchyla się art. 370b;</w:t>
      </w:r>
    </w:p>
    <w:p w14:paraId="7325F04B" w14:textId="33CC6AAD" w:rsidR="0047589B" w:rsidRPr="001C157B" w:rsidRDefault="007E497D" w:rsidP="0047589B">
      <w:pPr>
        <w:pStyle w:val="PKTpunkt"/>
        <w:keepNext/>
      </w:pPr>
      <w:bookmarkStart w:id="6" w:name="_Hlk193273308"/>
      <w:r w:rsidRPr="001C157B">
        <w:t>7</w:t>
      </w:r>
      <w:r w:rsidR="00595F64" w:rsidRPr="001C157B">
        <w:t>)</w:t>
      </w:r>
      <w:r w:rsidR="00595F64" w:rsidRPr="001C157B">
        <w:tab/>
      </w:r>
      <w:r w:rsidR="0047589B" w:rsidRPr="001C157B">
        <w:t>w art. 370c ust. 4 otrzymuje brzmienie:</w:t>
      </w:r>
    </w:p>
    <w:p w14:paraId="146C34CA" w14:textId="1180552D" w:rsidR="00595F64" w:rsidRPr="001C157B" w:rsidRDefault="0047589B" w:rsidP="0047589B">
      <w:pPr>
        <w:pStyle w:val="ZUSTzmustartykuempunktem"/>
      </w:pPr>
      <w:r w:rsidRPr="001C157B">
        <w:t>„4. Upadły jest obowiązany składać do akt corocznie, do końca maja, sprawozdanie ze swojej sytuacji majątkowej i zawodowej za poprzedni rok kalendarzowy, w którym wykazuje osiągnięte przychody oraz nabyte składniki majątkowe o wartości przekraczającej przeciętne miesięczne wynagrodzenie w sektorze przedsiębiorstw bez wypłat nagród z zysku za ostatni kwartał okresu sprawozdawczego, ogłoszone przez Prezesa Głównego Urzędu Statystycznego, jak również swoje możliwości zarobkowe, wydatki konieczne na utrzymanie siebie i osób pozostających na jego utrzymaniu, w tym na zaspokojenie potrzeb mieszkaniowych. Do sprawozdania upadły dołącza kopię rocznego zeznania podatkowego. Sąd nie bada z urzędu treści ani formy dokumentów, o których mowa w zdaniu pierwszym i drugim.”;</w:t>
      </w:r>
    </w:p>
    <w:p w14:paraId="1631E45B" w14:textId="613AC975" w:rsidR="00595F64" w:rsidRPr="00595F64" w:rsidRDefault="007E497D" w:rsidP="00595F64">
      <w:pPr>
        <w:pStyle w:val="PKTpunkt"/>
        <w:keepNext/>
      </w:pPr>
      <w:bookmarkStart w:id="7" w:name="_Hlk181780860"/>
      <w:bookmarkEnd w:id="6"/>
      <w:r>
        <w:lastRenderedPageBreak/>
        <w:t>8</w:t>
      </w:r>
      <w:r w:rsidR="00595F64" w:rsidRPr="00595F64">
        <w:t>)</w:t>
      </w:r>
      <w:r w:rsidR="00595F64" w:rsidRPr="00595F64">
        <w:tab/>
        <w:t>w art. 370d:</w:t>
      </w:r>
    </w:p>
    <w:p w14:paraId="131228AA" w14:textId="77777777" w:rsidR="00595F64" w:rsidRPr="00595F64" w:rsidRDefault="00595F64" w:rsidP="00595F64">
      <w:pPr>
        <w:pStyle w:val="LITlitera"/>
        <w:keepNext/>
      </w:pPr>
      <w:r w:rsidRPr="00595F64">
        <w:t>a)</w:t>
      </w:r>
      <w:r w:rsidRPr="00595F64">
        <w:tab/>
        <w:t>ust. 1 i 1a otrzymują brzmienie:</w:t>
      </w:r>
    </w:p>
    <w:p w14:paraId="3AAEBEAD" w14:textId="0A6A0329" w:rsidR="00595F64" w:rsidRPr="00595F64" w:rsidRDefault="00595F64" w:rsidP="00595F64">
      <w:pPr>
        <w:pStyle w:val="ZLITUSTzmustliter"/>
      </w:pPr>
      <w:r w:rsidRPr="00595F64">
        <w:t>„1. Jeżeli upadły nie może wywiązać się z obowiązków określonych w planie spłaty wierzycieli, sąd na jego wniosek po wysłuchaniu wierzycieli może zmienić plan spłaty wierzycieli. Sąd może przedłużyć termin spłaty zobowiązań na dalszy okres nieprzekraczający osiemnastu miesięcy.</w:t>
      </w:r>
    </w:p>
    <w:p w14:paraId="5CD5C02C" w14:textId="69B9553A" w:rsidR="00595F64" w:rsidRPr="00595F64" w:rsidRDefault="00595F64" w:rsidP="00595F64">
      <w:pPr>
        <w:pStyle w:val="ZLITUSTzmustliter"/>
      </w:pPr>
      <w:r w:rsidRPr="00595F64">
        <w:t>1a. Jeżeli brak możliwości wywiązania się z obowiązków określonych w planie spłaty wierzycieli ma charakter trwały i wynika z okoliczności niezależnych od upadłego, sąd na wniosek upadłego, po wysłuchaniu wierzycieli, może uchylić plan spłaty wierzycieli i umorzyć niewykonane zobowiązania upadłego, o których mowa w art. 369 ust. 1.”,</w:t>
      </w:r>
    </w:p>
    <w:p w14:paraId="535B3E32" w14:textId="30753C04" w:rsidR="0047589B" w:rsidRPr="001C157B" w:rsidRDefault="007E497D" w:rsidP="00595F64">
      <w:pPr>
        <w:pStyle w:val="LITlitera"/>
        <w:keepNext/>
      </w:pPr>
      <w:r w:rsidRPr="001C157B">
        <w:t>b</w:t>
      </w:r>
      <w:r w:rsidR="0047589B" w:rsidRPr="001C157B">
        <w:t>)</w:t>
      </w:r>
      <w:r w:rsidR="0047589B" w:rsidRPr="001C157B">
        <w:tab/>
        <w:t>w ust. 2 skreśla się zdanie trzecie,</w:t>
      </w:r>
    </w:p>
    <w:p w14:paraId="0F3A4336" w14:textId="4914CC8F" w:rsidR="00595F64" w:rsidRPr="00595F64" w:rsidRDefault="007E497D" w:rsidP="00595F64">
      <w:pPr>
        <w:pStyle w:val="LITlitera"/>
        <w:keepNext/>
      </w:pPr>
      <w:r>
        <w:t>c</w:t>
      </w:r>
      <w:r w:rsidR="00595F64" w:rsidRPr="00595F64">
        <w:t>)</w:t>
      </w:r>
      <w:r w:rsidR="00595F64" w:rsidRPr="00595F64">
        <w:tab/>
        <w:t>po ust. 2 dodaje się ust. 2a i 2b w brzmieniu:</w:t>
      </w:r>
    </w:p>
    <w:p w14:paraId="49311F52" w14:textId="5CA011A8" w:rsidR="00595F64" w:rsidRPr="00595F64" w:rsidRDefault="00595F64" w:rsidP="00595F64">
      <w:pPr>
        <w:pStyle w:val="ZLITUSTzmustliter"/>
      </w:pPr>
      <w:r w:rsidRPr="00595F64">
        <w:t>„2a.</w:t>
      </w:r>
      <w:bookmarkStart w:id="8" w:name="_Hlk184020861"/>
      <w:r w:rsidRPr="00595F64">
        <w:t xml:space="preserve"> W razie wcześniejszej spłaty wierzycieli w zakresie objętym planem spłaty wierzycieli upadły może wystąpić z wnioskiem </w:t>
      </w:r>
      <w:r w:rsidRPr="001C157B">
        <w:t>o</w:t>
      </w:r>
      <w:r w:rsidR="00E042AB" w:rsidRPr="001C157B">
        <w:t xml:space="preserve"> jego</w:t>
      </w:r>
      <w:r w:rsidRPr="001C157B">
        <w:t xml:space="preserve"> zmianę </w:t>
      </w:r>
      <w:r w:rsidRPr="00595F64">
        <w:t>poprzez skrócenie okresu</w:t>
      </w:r>
      <w:r w:rsidR="00E042AB">
        <w:t xml:space="preserve">, </w:t>
      </w:r>
      <w:r w:rsidR="00E042AB" w:rsidRPr="001C157B">
        <w:t>na który został ustalony</w:t>
      </w:r>
      <w:r w:rsidRPr="001C157B">
        <w:t xml:space="preserve"> plan</w:t>
      </w:r>
      <w:r w:rsidR="00E042AB" w:rsidRPr="001C157B">
        <w:t xml:space="preserve"> spłaty wierzycieli</w:t>
      </w:r>
      <w:r w:rsidRPr="00595F64">
        <w:t xml:space="preserve">, przy czym sąd może skrócić </w:t>
      </w:r>
      <w:r w:rsidR="005B0C6F" w:rsidRPr="001C157B">
        <w:t xml:space="preserve">ten </w:t>
      </w:r>
      <w:r w:rsidRPr="00595F64">
        <w:t xml:space="preserve">okres niewięcej niż o połowę, </w:t>
      </w:r>
      <w:r w:rsidR="005B0C6F" w:rsidRPr="001C157B">
        <w:t xml:space="preserve">jeżeli </w:t>
      </w:r>
      <w:r w:rsidRPr="00595F64">
        <w:t>nie prowadzi to do pokrzywdzenia wierzycieli oraz jest uzasadnione względami słuszności lub względami humanitarnymi. Sąd może wysłuchać upadłego i wierzycieli objętych planem spłaty</w:t>
      </w:r>
      <w:r w:rsidR="00556885">
        <w:t xml:space="preserve"> </w:t>
      </w:r>
      <w:r w:rsidR="00556885" w:rsidRPr="001C157B">
        <w:t>wierzycieli</w:t>
      </w:r>
      <w:r w:rsidRPr="00595F64">
        <w:t>.</w:t>
      </w:r>
      <w:bookmarkEnd w:id="7"/>
      <w:bookmarkEnd w:id="8"/>
    </w:p>
    <w:p w14:paraId="7C8B692C" w14:textId="16BDC578" w:rsidR="00595F64" w:rsidRPr="00595F64" w:rsidRDefault="00595F64" w:rsidP="00595F64">
      <w:pPr>
        <w:pStyle w:val="ZLITUSTzmustliter"/>
      </w:pPr>
      <w:r w:rsidRPr="00595F64">
        <w:t>2b. Na postanowienia sądu w przedmiocie wniosków, o których mowa w ust. 1–2a, przysługują zażalenia.”,</w:t>
      </w:r>
    </w:p>
    <w:p w14:paraId="0B4EBBC4" w14:textId="7DC5864B" w:rsidR="00595F64" w:rsidRPr="00595F64" w:rsidRDefault="007E497D" w:rsidP="00595F64">
      <w:pPr>
        <w:pStyle w:val="LITlitera"/>
        <w:keepNext/>
      </w:pPr>
      <w:r>
        <w:t>d</w:t>
      </w:r>
      <w:r w:rsidR="00595F64" w:rsidRPr="00595F64">
        <w:t>)</w:t>
      </w:r>
      <w:r w:rsidR="00595F64" w:rsidRPr="00595F64">
        <w:tab/>
        <w:t>po ust. 3 dodaje się ust. 3a w brzmieniu:</w:t>
      </w:r>
    </w:p>
    <w:p w14:paraId="66860E91" w14:textId="11EEA6E1" w:rsidR="00595F64" w:rsidRPr="00595F64" w:rsidRDefault="00595F64" w:rsidP="00595F64">
      <w:pPr>
        <w:pStyle w:val="ZLITUSTzmustliter"/>
      </w:pPr>
      <w:r w:rsidRPr="00595F64">
        <w:t xml:space="preserve">„3a. W przypadku oddalenia wniosku wierzyciela, o którym mowa w ust. 2, złożonego w stosunku do </w:t>
      </w:r>
      <w:r w:rsidR="00F55CF8" w:rsidRPr="001C157B">
        <w:t>upadłego</w:t>
      </w:r>
      <w:r w:rsidRPr="00595F64">
        <w:t xml:space="preserve">, który nie złożył w terminie sprawozdania, o którym mowa w art. 370c ust. 4, kosztami sądowymi obciąża się </w:t>
      </w:r>
      <w:r w:rsidR="00F55CF8" w:rsidRPr="001C157B">
        <w:t>upadłego</w:t>
      </w:r>
      <w:r w:rsidRPr="00595F64">
        <w:t>, chyba że zachodzą okoliczności wskazane w art. 102 ustawy z dnia 17 listopada 1964 r. – Kodeks postępowania cywilnego.”,</w:t>
      </w:r>
    </w:p>
    <w:p w14:paraId="3FE9ABA4" w14:textId="175DCACA" w:rsidR="00595F64" w:rsidRPr="00595F64" w:rsidRDefault="007E497D" w:rsidP="00595F64">
      <w:pPr>
        <w:pStyle w:val="LITlitera"/>
        <w:keepNext/>
      </w:pPr>
      <w:r>
        <w:t>e</w:t>
      </w:r>
      <w:r w:rsidR="00595F64" w:rsidRPr="00595F64">
        <w:t>)</w:t>
      </w:r>
      <w:r w:rsidR="00595F64" w:rsidRPr="00595F64">
        <w:tab/>
        <w:t>ust. 4 otrzymuje brzmienie:</w:t>
      </w:r>
    </w:p>
    <w:p w14:paraId="026A79B0" w14:textId="29AF81A9" w:rsidR="00595F64" w:rsidRPr="00595F64" w:rsidRDefault="00595F64" w:rsidP="00595F64">
      <w:pPr>
        <w:pStyle w:val="ZLITUSTzmustliter"/>
      </w:pPr>
      <w:r w:rsidRPr="00595F64">
        <w:t xml:space="preserve">„4. Postanowienie sądu o zmianie planu spłaty wierzycieli oraz o uchyleniu planu spłaty wierzycieli i umorzeniu niewykonanych zobowiązań, o których mowa w art. 369 ust. 1, obwieszcza się. Postanowienie sądu drugiej instancji w przedmiocie rozpoznania zażalenia na postanowienie sądu o zmianie planu spłaty wierzycieli oraz </w:t>
      </w:r>
      <w:r w:rsidRPr="00595F64">
        <w:lastRenderedPageBreak/>
        <w:t>o uchyleniu planu spłaty wierzycieli i umorzeniu niewykonanych zobowiązań, o których mowa w art. 369 ust. 1, oraz informację o prawomocności postanowienia sądu o zmianie planu spłaty wierzycieli oraz postanowienia sądu o uchyleniu planu spłaty wierzycieli i umorzeniu niewykonanych zobowiązań, o których mowa w art. 369 ust. 1, obwieszcza się.”,</w:t>
      </w:r>
    </w:p>
    <w:p w14:paraId="49CB16E0" w14:textId="2922C74B" w:rsidR="00595F64" w:rsidRPr="00595F64" w:rsidRDefault="007E497D" w:rsidP="00595F64">
      <w:pPr>
        <w:pStyle w:val="LITlitera"/>
        <w:keepNext/>
      </w:pPr>
      <w:r>
        <w:t>f</w:t>
      </w:r>
      <w:r w:rsidR="00595F64" w:rsidRPr="00595F64">
        <w:t>)</w:t>
      </w:r>
      <w:r w:rsidR="00595F64" w:rsidRPr="00595F64">
        <w:tab/>
        <w:t>dodaje się ust. 5 w brzmieniu:</w:t>
      </w:r>
    </w:p>
    <w:p w14:paraId="0F39633A" w14:textId="45CFB236" w:rsidR="00595F64" w:rsidRPr="00595F64" w:rsidRDefault="00595F64" w:rsidP="00595F64">
      <w:pPr>
        <w:pStyle w:val="ZLITUSTzmustliter"/>
      </w:pPr>
      <w:r w:rsidRPr="001C157B">
        <w:t>„5. </w:t>
      </w:r>
      <w:r w:rsidR="00007FC1" w:rsidRPr="001C157B">
        <w:t>W przypadku zmiany planu spłaty wierzycieli na podstawie ust. 1 lub 2 przepisy art. 370a ust. 1a oraz ust. 10a stosuje się odpowiednio.</w:t>
      </w:r>
      <w:r w:rsidRPr="00595F64">
        <w:t>”;</w:t>
      </w:r>
    </w:p>
    <w:p w14:paraId="27A05601" w14:textId="736911BB" w:rsidR="00595F64" w:rsidRPr="00595F64" w:rsidRDefault="007E497D" w:rsidP="00595F64">
      <w:pPr>
        <w:pStyle w:val="PKTpunkt"/>
        <w:keepNext/>
      </w:pPr>
      <w:r>
        <w:t>9</w:t>
      </w:r>
      <w:r w:rsidR="00595F64" w:rsidRPr="00595F64">
        <w:t>)</w:t>
      </w:r>
      <w:r w:rsidR="00595F64" w:rsidRPr="00595F64">
        <w:tab/>
        <w:t>w art. 370e:</w:t>
      </w:r>
    </w:p>
    <w:p w14:paraId="4D10251A" w14:textId="77777777" w:rsidR="00595F64" w:rsidRPr="00595F64" w:rsidRDefault="00595F64" w:rsidP="00595F64">
      <w:pPr>
        <w:pStyle w:val="LITlitera"/>
        <w:keepNext/>
      </w:pPr>
      <w:r w:rsidRPr="00595F64">
        <w:t>a)</w:t>
      </w:r>
      <w:r w:rsidRPr="00595F64">
        <w:tab/>
        <w:t>ust. 1 otrzymuje brzmienie:</w:t>
      </w:r>
    </w:p>
    <w:p w14:paraId="7F6C2DE2" w14:textId="1D5E4AC9" w:rsidR="00595F64" w:rsidRPr="00595F64" w:rsidRDefault="00595F64" w:rsidP="00595F64">
      <w:pPr>
        <w:pStyle w:val="ZLITUSTzmustliter"/>
      </w:pPr>
      <w:r w:rsidRPr="00595F64">
        <w:t>„1. W przypadku niewykonywania przez upadłego obowiązków ustalonych w planie spłaty wierzycieli sąd na wniosek wierzyciela lub upadłego uchyla plan spłaty wierzycieli po wysłuchaniu upadłego i wierzycieli objętych planem spłaty wierzycieli, chyba że uchybienie obowiązkom jest nieznaczne lub umorzenie pozostałej części zobowiązań upadłego jest uzasadnione względami słuszności lub względami humanitarnymi. Na postanowienie sądu w przedmiocie wniosku przysługuje zażalenie.”,</w:t>
      </w:r>
    </w:p>
    <w:p w14:paraId="74293654" w14:textId="77777777" w:rsidR="00595F64" w:rsidRPr="00595F64" w:rsidRDefault="00595F64" w:rsidP="00595F64">
      <w:pPr>
        <w:pStyle w:val="LITlitera"/>
        <w:keepNext/>
      </w:pPr>
      <w:r w:rsidRPr="00595F64">
        <w:t>b)</w:t>
      </w:r>
      <w:r w:rsidRPr="00595F64">
        <w:tab/>
        <w:t>w ust. 2:</w:t>
      </w:r>
    </w:p>
    <w:p w14:paraId="6C161ED6" w14:textId="77777777" w:rsidR="00595F64" w:rsidRPr="00595F64" w:rsidRDefault="00595F64" w:rsidP="00595F64">
      <w:pPr>
        <w:pStyle w:val="TIRtiret"/>
      </w:pPr>
      <w:r w:rsidRPr="00595F64">
        <w:t>–</w:t>
      </w:r>
      <w:r w:rsidRPr="00595F64">
        <w:tab/>
        <w:t>uchyla się pkt 1,</w:t>
      </w:r>
    </w:p>
    <w:p w14:paraId="27A9EE5B" w14:textId="77777777" w:rsidR="00595F64" w:rsidRPr="00595F64" w:rsidRDefault="00595F64" w:rsidP="00595F64">
      <w:pPr>
        <w:pStyle w:val="TIRtiret"/>
        <w:keepNext/>
      </w:pPr>
      <w:r w:rsidRPr="00595F64">
        <w:t>–</w:t>
      </w:r>
      <w:r w:rsidRPr="00595F64">
        <w:tab/>
        <w:t>pkt 2 otrzymuje brzmienie:</w:t>
      </w:r>
    </w:p>
    <w:p w14:paraId="3D29E137" w14:textId="14FAE5C3" w:rsidR="00595F64" w:rsidRPr="00595F64" w:rsidRDefault="00595F64" w:rsidP="00595F64">
      <w:pPr>
        <w:pStyle w:val="ZTIRPKTzmpkttiret"/>
      </w:pPr>
      <w:r w:rsidRPr="00595F64">
        <w:t>„2)</w:t>
      </w:r>
      <w:r w:rsidRPr="00595F64">
        <w:tab/>
        <w:t>w sprawozdaniu, o którym mowa w art. 370c ust. 4, zataił osiągnięte przychody lub nabyte składniki majątkowe, o których mowa w tym przepisie;”;</w:t>
      </w:r>
    </w:p>
    <w:p w14:paraId="0AB1D1C0" w14:textId="2F457FFB" w:rsidR="00595F64" w:rsidRPr="00595F64" w:rsidRDefault="007E497D" w:rsidP="00595F64">
      <w:pPr>
        <w:pStyle w:val="PKTpunkt"/>
        <w:keepNext/>
      </w:pPr>
      <w:bookmarkStart w:id="9" w:name="_Hlk215676928"/>
      <w:r>
        <w:t>10</w:t>
      </w:r>
      <w:r w:rsidR="00595F64" w:rsidRPr="00595F64">
        <w:t>)</w:t>
      </w:r>
      <w:r w:rsidR="00595F64" w:rsidRPr="00595F64">
        <w:tab/>
        <w:t>w art. 370f:</w:t>
      </w:r>
    </w:p>
    <w:p w14:paraId="62C87343" w14:textId="77777777" w:rsidR="00595F64" w:rsidRPr="00595F64" w:rsidRDefault="00595F64" w:rsidP="00595F64">
      <w:pPr>
        <w:pStyle w:val="LITlitera"/>
        <w:keepNext/>
      </w:pPr>
      <w:bookmarkStart w:id="10" w:name="_Hlk210123785"/>
      <w:r w:rsidRPr="00595F64">
        <w:t>a)</w:t>
      </w:r>
      <w:r w:rsidRPr="00595F64">
        <w:tab/>
        <w:t>ust. 1 otrzymuje brzmienie:</w:t>
      </w:r>
    </w:p>
    <w:bookmarkEnd w:id="10"/>
    <w:p w14:paraId="3EFABA3D" w14:textId="629EBB35" w:rsidR="00595F64" w:rsidRPr="00595F64" w:rsidRDefault="00595F64" w:rsidP="00595F64">
      <w:pPr>
        <w:pStyle w:val="ZLITUSTzmustliter"/>
        <w:keepNext/>
      </w:pPr>
      <w:r w:rsidRPr="00595F64">
        <w:t>„1. Jeżeli upadły ani żaden z wierzycieli nie złoży wniosku, o którym mowa w art. 370d ust. 1 lub 2 lub art. 370e ust. 1, w terminie trzech miesięcy od upływu okresu, na który został ustalony plan spłaty wierzycieli, obwieszcza się informację o dacie, w której zobowiązania upadłego, o których mowa w art. 369 ust. 1, niewykonane w wyniku wykonania planu spłaty wierzycieli uległy umorzeniu z mocy prawa. W obwieszczeniu wskazuje się:</w:t>
      </w:r>
    </w:p>
    <w:p w14:paraId="33C79B64" w14:textId="77777777" w:rsidR="00595F64" w:rsidRPr="00595F64" w:rsidRDefault="00595F64" w:rsidP="00595F64">
      <w:pPr>
        <w:pStyle w:val="ZLITPKTzmpktliter"/>
      </w:pPr>
      <w:r w:rsidRPr="00595F64">
        <w:t>1)</w:t>
      </w:r>
      <w:r w:rsidRPr="00595F64">
        <w:tab/>
        <w:t xml:space="preserve">imię i nazwisko oraz numer PESEL upadłego, a jeżeli upadły nie posiada numeru PESEL – inne dane umożliwiające jego jednoznaczną identyfikację, w </w:t>
      </w:r>
      <w:r w:rsidRPr="00595F64">
        <w:lastRenderedPageBreak/>
        <w:t>szczególności numer paszportu i oznaczenie państwa wystawiającego paszport albo numer karty pobytu w Rzeczypospolitej Polskiej, albo numer w zagranicznym rejestrze, albo zagraniczny numer identyfikacji lub identyfikacji podatkowej;</w:t>
      </w:r>
    </w:p>
    <w:p w14:paraId="0BA10E05" w14:textId="37B02258" w:rsidR="00595F64" w:rsidRPr="001C157B" w:rsidRDefault="00595F64" w:rsidP="00595F64">
      <w:pPr>
        <w:pStyle w:val="ZLITPKTzmpktliter"/>
      </w:pPr>
      <w:r w:rsidRPr="001C157B">
        <w:t>2)</w:t>
      </w:r>
      <w:r w:rsidRPr="001C157B">
        <w:tab/>
      </w:r>
      <w:r w:rsidR="00007FC1" w:rsidRPr="001C157B">
        <w:t>NIP, jeżeli upadły miał taki numer w ciągu ostatnich dziesięciu lat przed dniem złożenia wniosku o ogłoszenie upadłości;</w:t>
      </w:r>
    </w:p>
    <w:p w14:paraId="3CA37C41" w14:textId="77777777" w:rsidR="00595F64" w:rsidRPr="00595F64" w:rsidRDefault="00595F64" w:rsidP="00595F64">
      <w:pPr>
        <w:pStyle w:val="ZLITPKTzmpktliter"/>
      </w:pPr>
      <w:r w:rsidRPr="00595F64">
        <w:t>3)</w:t>
      </w:r>
      <w:r w:rsidRPr="00595F64">
        <w:tab/>
        <w:t>datę i sygnaturę postanowienia o ustaleniu planu spłaty wierzycieli;</w:t>
      </w:r>
    </w:p>
    <w:p w14:paraId="66E2AA6B" w14:textId="30D97E0F" w:rsidR="00595F64" w:rsidRPr="00595F64" w:rsidRDefault="00595F64" w:rsidP="00595F64">
      <w:pPr>
        <w:pStyle w:val="ZLITPKTzmpktliter"/>
      </w:pPr>
      <w:r w:rsidRPr="00595F64">
        <w:t>4)</w:t>
      </w:r>
      <w:r w:rsidRPr="00595F64">
        <w:tab/>
        <w:t>informację, że umorzeniu nie uległy zobowiązania upadłego, o których mowa w ust. 2.”,</w:t>
      </w:r>
    </w:p>
    <w:p w14:paraId="20B0BECA" w14:textId="77777777" w:rsidR="00595F64" w:rsidRPr="00595F64" w:rsidRDefault="00595F64" w:rsidP="00595F64">
      <w:pPr>
        <w:pStyle w:val="LITlitera"/>
        <w:keepNext/>
      </w:pPr>
      <w:r w:rsidRPr="00595F64">
        <w:t>b)</w:t>
      </w:r>
      <w:r w:rsidRPr="00595F64">
        <w:tab/>
        <w:t>po ust. 1 dodaje się ust. 1a w brzmieniu:</w:t>
      </w:r>
    </w:p>
    <w:p w14:paraId="3793FEC9" w14:textId="680BD620" w:rsidR="00595F64" w:rsidRPr="00595F64" w:rsidRDefault="00595F64" w:rsidP="00595F64">
      <w:pPr>
        <w:pStyle w:val="ZLITUSTzmustliter"/>
      </w:pPr>
      <w:r w:rsidRPr="00595F64">
        <w:t>„1a. Jeżeli zostanie złożony wniosek, o którym mowa w art. 370d ust. 1 lub 2 lub art. 370e ust. 1, w terminie trzech miesięcy od upływu okresu, na który został ustalony plan spłaty wierzycieli, obwieszczenia, o którym mowa w ust. 1, dokonuje się niezwłocznie po uprawomocnieniu się zarządzenia o zwrocie tego wniosku, postanowienia o odrzuceniu albo o oddaleniu tego wniosku albo o umorzeniu postępowania w przedmiocie rozpoznania tego wniosku.”,</w:t>
      </w:r>
    </w:p>
    <w:bookmarkEnd w:id="9"/>
    <w:p w14:paraId="43A22FB9" w14:textId="77777777" w:rsidR="00595F64" w:rsidRPr="00595F64" w:rsidRDefault="00595F64" w:rsidP="00595F64">
      <w:pPr>
        <w:pStyle w:val="LITlitera"/>
      </w:pPr>
      <w:r w:rsidRPr="00595F64">
        <w:t>c)</w:t>
      </w:r>
      <w:r w:rsidRPr="00595F64">
        <w:tab/>
        <w:t>uchyla się ust. 3 i 3a,</w:t>
      </w:r>
    </w:p>
    <w:p w14:paraId="400DA9B8" w14:textId="77777777" w:rsidR="00595F64" w:rsidRPr="00595F64" w:rsidRDefault="00595F64" w:rsidP="00595F64">
      <w:pPr>
        <w:pStyle w:val="LITlitera"/>
        <w:keepNext/>
      </w:pPr>
      <w:r w:rsidRPr="00595F64">
        <w:t>d)</w:t>
      </w:r>
      <w:r w:rsidRPr="00595F64">
        <w:tab/>
        <w:t>ust. 4 otrzymuje brzmienie:</w:t>
      </w:r>
    </w:p>
    <w:p w14:paraId="6734C5B1" w14:textId="40D55789" w:rsidR="00595F64" w:rsidRPr="00595F64" w:rsidRDefault="00595F64" w:rsidP="00595F64">
      <w:pPr>
        <w:pStyle w:val="ZLITUSTzmustliter"/>
      </w:pPr>
      <w:r w:rsidRPr="00595F64">
        <w:t>„4. Po umorzeniu zobowiązań, o których mowa w art. 369 ust. 1, niewykonanych w wyniku wykonania planu spłaty wierzycieli niedopuszczalne jest wszczęcie postępowania egzekucyjnego dotyczącego wierzytelności wynikających z zobowiązań upadłego, o których mowa w art. 369 ust. 1, niewykonanych w wyniku wykonania planu spłaty wierzycieli, z wyjątkiem wierzytelności wynikających z zobowiązań, o których mowa w ust. 2.”,</w:t>
      </w:r>
    </w:p>
    <w:p w14:paraId="6E910CF0" w14:textId="77777777" w:rsidR="00595F64" w:rsidRPr="00595F64" w:rsidRDefault="00595F64" w:rsidP="00595F64">
      <w:pPr>
        <w:pStyle w:val="LITlitera"/>
        <w:keepNext/>
      </w:pPr>
      <w:r w:rsidRPr="00595F64">
        <w:t>e)</w:t>
      </w:r>
      <w:r w:rsidRPr="00595F64">
        <w:tab/>
        <w:t>dodaje się ust. 5 w brzmieniu:</w:t>
      </w:r>
    </w:p>
    <w:p w14:paraId="4DAA33C5" w14:textId="07BA2830" w:rsidR="00595F64" w:rsidRPr="00595F64" w:rsidRDefault="00595F64" w:rsidP="00595F64">
      <w:pPr>
        <w:pStyle w:val="ZLITUSTzmustliter"/>
      </w:pPr>
      <w:r w:rsidRPr="00595F64">
        <w:t>„5. Przepis ust. 4 stosuje się także w okresie pomiędzy upływem okresu, na który został ustalony plan spłaty wierzycieli, a dniem, z upływem którego zobowiązania upadłego ulegają umorzeniu z mocy prawa,</w:t>
      </w:r>
      <w:r w:rsidR="00DE5989">
        <w:t xml:space="preserve"> </w:t>
      </w:r>
      <w:r w:rsidR="00DE5989" w:rsidRPr="001C157B">
        <w:t xml:space="preserve">oznaczonym w obwieszczeniu, o którym mowa </w:t>
      </w:r>
      <w:r w:rsidRPr="001C157B">
        <w:t>w art. 370a ust. 10a.</w:t>
      </w:r>
      <w:r w:rsidRPr="00595F64">
        <w:t>”;</w:t>
      </w:r>
    </w:p>
    <w:p w14:paraId="7EF3D64A" w14:textId="263B770B" w:rsidR="00007FC1" w:rsidRPr="001C157B" w:rsidRDefault="00595F64" w:rsidP="00007FC1">
      <w:pPr>
        <w:pStyle w:val="PKTpunkt"/>
        <w:keepNext/>
      </w:pPr>
      <w:bookmarkStart w:id="11" w:name="_Hlk210125002"/>
      <w:r w:rsidRPr="001C157B">
        <w:t>1</w:t>
      </w:r>
      <w:r w:rsidR="007E497D" w:rsidRPr="001C157B">
        <w:t>1</w:t>
      </w:r>
      <w:r w:rsidRPr="001C157B">
        <w:t>)</w:t>
      </w:r>
      <w:r w:rsidRPr="001C157B">
        <w:tab/>
      </w:r>
      <w:bookmarkStart w:id="12" w:name="_Hlk210125047"/>
      <w:bookmarkEnd w:id="11"/>
      <w:r w:rsidR="00007FC1" w:rsidRPr="001C157B">
        <w:t>w art. 491</w:t>
      </w:r>
      <w:r w:rsidR="00007FC1" w:rsidRPr="00007FC1">
        <w:rPr>
          <w:vertAlign w:val="superscript"/>
        </w:rPr>
        <w:t>[1]</w:t>
      </w:r>
      <w:r w:rsidR="00007FC1" w:rsidRPr="00007FC1">
        <w:t xml:space="preserve"> </w:t>
      </w:r>
      <w:r w:rsidR="00007FC1" w:rsidRPr="001C157B">
        <w:t>ust. 3 otrzymuje brzmienie:</w:t>
      </w:r>
    </w:p>
    <w:p w14:paraId="1590EBA7" w14:textId="3D57E5AA" w:rsidR="00007FC1" w:rsidRPr="00595F64" w:rsidRDefault="00007FC1" w:rsidP="00007FC1">
      <w:pPr>
        <w:pStyle w:val="ZUSTzmustartykuempunktem"/>
      </w:pPr>
      <w:r w:rsidRPr="001C157B">
        <w:t>„3. W postępowaniu, o którym mowa w ust. 2, stosuje się przepisy art. 491</w:t>
      </w:r>
      <w:r w:rsidRPr="00007FC1">
        <w:rPr>
          <w:vertAlign w:val="superscript"/>
        </w:rPr>
        <w:t>[3]</w:t>
      </w:r>
      <w:r w:rsidRPr="00007FC1">
        <w:t xml:space="preserve"> </w:t>
      </w:r>
      <w:r w:rsidRPr="001C157B">
        <w:t>ust. 2 i art. 491</w:t>
      </w:r>
      <w:r w:rsidRPr="00007FC1">
        <w:rPr>
          <w:vertAlign w:val="superscript"/>
        </w:rPr>
        <w:t>[7]</w:t>
      </w:r>
      <w:r w:rsidRPr="001C157B">
        <w:t>–491</w:t>
      </w:r>
      <w:r w:rsidRPr="00007FC1">
        <w:rPr>
          <w:vertAlign w:val="superscript"/>
        </w:rPr>
        <w:t>[10]</w:t>
      </w:r>
      <w:r w:rsidRPr="00007FC1">
        <w:t>.”;</w:t>
      </w:r>
    </w:p>
    <w:bookmarkEnd w:id="12"/>
    <w:p w14:paraId="558D30E0" w14:textId="4A85F909" w:rsidR="00595F64" w:rsidRPr="00595F64" w:rsidRDefault="00595F64" w:rsidP="00595F64">
      <w:pPr>
        <w:pStyle w:val="PKTpunkt"/>
        <w:keepNext/>
      </w:pPr>
      <w:r w:rsidRPr="00595F64">
        <w:lastRenderedPageBreak/>
        <w:t>1</w:t>
      </w:r>
      <w:r w:rsidR="007E497D">
        <w:t>2</w:t>
      </w:r>
      <w:r w:rsidRPr="00595F64">
        <w:t>)</w:t>
      </w:r>
      <w:r w:rsidRPr="00595F64">
        <w:tab/>
        <w:t>w art. 491</w:t>
      </w:r>
      <w:r w:rsidRPr="00595F64">
        <w:rPr>
          <w:rStyle w:val="IGindeksgrny"/>
        </w:rPr>
        <w:t>[2]</w:t>
      </w:r>
      <w:r w:rsidRPr="00595F64">
        <w:t xml:space="preserve"> w ust. 1 zdanie pierwsze otrzymuje brzmienie:</w:t>
      </w:r>
    </w:p>
    <w:p w14:paraId="2498E9E7" w14:textId="3E12A24E" w:rsidR="00595F64" w:rsidRPr="00595F64" w:rsidRDefault="00595F64" w:rsidP="00595F64">
      <w:pPr>
        <w:pStyle w:val="ZFRAGzmfragmentunpzdaniaartykuempunktem"/>
      </w:pPr>
      <w:r w:rsidRPr="00595F64">
        <w:t>„</w:t>
      </w:r>
      <w:bookmarkStart w:id="13" w:name="_Hlk236916512"/>
      <w:r w:rsidRPr="00595F64">
        <w:t>W sprawach nieuregulowanych w niniejszym tytule przepisy o postępowaniu upadłościowym stosuje się odpowiednio, z tym że przepisów art. 21, art. 25, art. 145, art. 150 ust. 2, art. 151–155, art. 163, art. 164, art. 168 ust. 1, 2 i 5, art. 176 ust. 2, art. 244, art. 245, art. 253–264, art. 307 ust. 1, art. 337–339, art. 343 ust. 1a, art. 346 ust. 2 i art. 347–356 oraz art. 358–366 nie stosuje się.</w:t>
      </w:r>
      <w:bookmarkEnd w:id="13"/>
      <w:r w:rsidRPr="00595F64">
        <w:t>”;</w:t>
      </w:r>
    </w:p>
    <w:p w14:paraId="1952054F" w14:textId="3DCB4C1A" w:rsidR="00595F64" w:rsidRPr="00595F64" w:rsidRDefault="00595F64" w:rsidP="00595F64">
      <w:pPr>
        <w:pStyle w:val="PKTpunkt"/>
        <w:keepNext/>
      </w:pPr>
      <w:r w:rsidRPr="00595F64">
        <w:t>1</w:t>
      </w:r>
      <w:r w:rsidR="007E497D">
        <w:t>3</w:t>
      </w:r>
      <w:r w:rsidRPr="00595F64">
        <w:t>)</w:t>
      </w:r>
      <w:r w:rsidRPr="00595F64">
        <w:tab/>
        <w:t>w art. 491</w:t>
      </w:r>
      <w:r w:rsidRPr="00595F64">
        <w:rPr>
          <w:rStyle w:val="IGindeksgrny"/>
        </w:rPr>
        <w:t>[3]</w:t>
      </w:r>
      <w:r w:rsidRPr="00595F64">
        <w:t xml:space="preserve"> dotychczasową treść oznacza się jako ust. 1 i </w:t>
      </w:r>
      <w:r w:rsidRPr="001C157B">
        <w:t xml:space="preserve">dodaje </w:t>
      </w:r>
      <w:r w:rsidR="008F5576" w:rsidRPr="001C157B">
        <w:t xml:space="preserve">się </w:t>
      </w:r>
      <w:r w:rsidRPr="00595F64">
        <w:t>ust. 2 w brzmieniu:</w:t>
      </w:r>
    </w:p>
    <w:p w14:paraId="7AA258A0" w14:textId="2C877418" w:rsidR="00595F64" w:rsidRPr="00595F64" w:rsidRDefault="00595F64" w:rsidP="00595F64">
      <w:pPr>
        <w:pStyle w:val="ZUSTzmustartykuempunktem"/>
      </w:pPr>
      <w:r w:rsidRPr="00595F64">
        <w:t>„2. W przedmiocie wynagrodzenia syndyka orzeka sąd upadłościowy w składzie jednego sędziego zawodowego.”;</w:t>
      </w:r>
    </w:p>
    <w:p w14:paraId="412EE36B" w14:textId="3D6CC3BE" w:rsidR="00595F64" w:rsidRPr="00595F64" w:rsidRDefault="00595F64" w:rsidP="00595F64">
      <w:pPr>
        <w:pStyle w:val="PKTpunkt"/>
        <w:keepNext/>
      </w:pPr>
      <w:bookmarkStart w:id="14" w:name="_Hlk215670691"/>
      <w:r w:rsidRPr="00595F64">
        <w:t>1</w:t>
      </w:r>
      <w:r w:rsidR="007E497D">
        <w:t>4</w:t>
      </w:r>
      <w:r w:rsidRPr="00595F64">
        <w:t>)</w:t>
      </w:r>
      <w:r w:rsidRPr="00595F64">
        <w:tab/>
        <w:t>w art. 491</w:t>
      </w:r>
      <w:r w:rsidRPr="00595F64">
        <w:rPr>
          <w:rStyle w:val="IGindeksgrny"/>
        </w:rPr>
        <w:t>[7]</w:t>
      </w:r>
      <w:r w:rsidRPr="00595F64">
        <w:t>:</w:t>
      </w:r>
    </w:p>
    <w:p w14:paraId="3ED74BEC" w14:textId="77777777" w:rsidR="00595F64" w:rsidRPr="00595F64" w:rsidRDefault="00595F64" w:rsidP="00595F64">
      <w:pPr>
        <w:pStyle w:val="LITlitera"/>
        <w:keepNext/>
      </w:pPr>
      <w:r w:rsidRPr="00595F64">
        <w:t>a)</w:t>
      </w:r>
      <w:r w:rsidRPr="00595F64">
        <w:tab/>
        <w:t>ust. 3 otrzymuje brzmienie:</w:t>
      </w:r>
    </w:p>
    <w:p w14:paraId="64888495" w14:textId="4DFA9FD2" w:rsidR="00595F64" w:rsidRPr="00595F64" w:rsidRDefault="00595F64" w:rsidP="00595F64">
      <w:pPr>
        <w:pStyle w:val="ZLITUSTzmustliter"/>
      </w:pPr>
      <w:bookmarkStart w:id="15" w:name="_Hlk210122994"/>
      <w:r w:rsidRPr="00595F64">
        <w:t xml:space="preserve">„3. Zryczałtowane koszty postępowania prowadzonego według przepisów niniejszego tytułu inne niż wynagrodzenie syndyka wynoszą niewięcej niż </w:t>
      </w:r>
      <w:r w:rsidR="00002B9F" w:rsidRPr="001C157B">
        <w:t>jedną piątą</w:t>
      </w:r>
      <w:r w:rsidRPr="00595F64">
        <w:t xml:space="preserve"> przeciętnego miesięcznego wynagrodzenia w sektorze przedsiębiorstw bez wypłat nagród z zysku w trzecim kwartale roku poprzedniego, ogłoszonego przez Prezesa Głównego Urzędu Statystycznego.”,</w:t>
      </w:r>
    </w:p>
    <w:p w14:paraId="64533EE3" w14:textId="7FBE259A" w:rsidR="00595F64" w:rsidRPr="00595F64" w:rsidRDefault="00595F64" w:rsidP="00595F64">
      <w:pPr>
        <w:pStyle w:val="LITlitera"/>
        <w:keepNext/>
      </w:pPr>
      <w:r w:rsidRPr="00595F64">
        <w:t>b)</w:t>
      </w:r>
      <w:r w:rsidRPr="00595F64">
        <w:tab/>
        <w:t>po ust. 3 dodaje się ust. 3a i 3b w brzmieniu:</w:t>
      </w:r>
    </w:p>
    <w:p w14:paraId="68A086D8" w14:textId="4D6F2458" w:rsidR="00595F64" w:rsidRPr="00595F64" w:rsidRDefault="00595F64" w:rsidP="00595F64">
      <w:pPr>
        <w:pStyle w:val="ZLITUSTzmustliter"/>
      </w:pPr>
      <w:r w:rsidRPr="00595F64">
        <w:t>„3a. W postanowieniu o ogłoszeniu upadłości sąd przyznaje syndykowi zaliczkę na pokrycie tych kosztów, chyba że majątek upadłego pozwala na bieżące pokrywanie kosztów postępowania.</w:t>
      </w:r>
    </w:p>
    <w:p w14:paraId="7161FA63" w14:textId="1E282D0D" w:rsidR="00595F64" w:rsidRDefault="00595F64" w:rsidP="00595F64">
      <w:pPr>
        <w:pStyle w:val="ZLITUSTzmustliter"/>
      </w:pPr>
      <w:r w:rsidRPr="00595F64">
        <w:t>3b. W dalszym toku postępowania sąd może ustalić, że koszty postępowania mogą przekroczyć wysokość kosztów zryczałtowanych, i przyznać syndykowi wyższą zaliczkę na ich pokrycie oraz zarządzić jej niezwłoczną wypłatę tymczasowo ze środków Skarbu Państwa tylko wówczas, gdy zwiększone koszty postępowania wynikają ze znacznego rozmiaru masy upadłości, w szczególności gdy w skład masy upadłości wchodzi nieruchomość, lub z konieczności dochodzenia przekazania do masy upadłości tego, co wskutek czynności dłużnika bezskutecznych wobec masy upadłości lub wierzycieli ubyło z majątku upadłego lub do niego nie weszło.”</w:t>
      </w:r>
      <w:r w:rsidR="00E44F6C">
        <w:t>,</w:t>
      </w:r>
    </w:p>
    <w:p w14:paraId="5820F4DC" w14:textId="77777777" w:rsidR="00E44F6C" w:rsidRPr="001C157B" w:rsidRDefault="00E44F6C" w:rsidP="00E44F6C">
      <w:pPr>
        <w:pStyle w:val="LITlitera"/>
        <w:keepNext/>
      </w:pPr>
      <w:r w:rsidRPr="001C157B">
        <w:t>c)</w:t>
      </w:r>
      <w:r w:rsidRPr="001C157B">
        <w:tab/>
        <w:t>ust. 5 otrzymuje brzmienie:</w:t>
      </w:r>
    </w:p>
    <w:p w14:paraId="0924D2CB" w14:textId="791527C8" w:rsidR="00E44F6C" w:rsidRPr="001C157B" w:rsidRDefault="00E44F6C" w:rsidP="00E44F6C">
      <w:pPr>
        <w:pStyle w:val="ZLITUSTzmustliter"/>
      </w:pPr>
      <w:r w:rsidRPr="001C157B">
        <w:t>„5. W przypadku postępowania wszczętego wyłącznie na wniosek wierzyciela przepisów ust. 1, 3a i 3b nie stosuje się, jeżeli dłużnik nie sprzeciwia się umorzeniu postępowania. Przed umorzeniem postępowania sąd wysłuchuje dłużnika.”;</w:t>
      </w:r>
    </w:p>
    <w:p w14:paraId="56CF93B6" w14:textId="1DAAA11E" w:rsidR="00595F64" w:rsidRPr="00595F64" w:rsidRDefault="00595F64" w:rsidP="00595F64">
      <w:pPr>
        <w:pStyle w:val="PKTpunkt"/>
        <w:keepNext/>
      </w:pPr>
      <w:bookmarkStart w:id="16" w:name="_Hlk215676996"/>
      <w:bookmarkEnd w:id="14"/>
      <w:bookmarkEnd w:id="15"/>
      <w:r w:rsidRPr="00595F64">
        <w:lastRenderedPageBreak/>
        <w:t>1</w:t>
      </w:r>
      <w:r w:rsidR="007E497D">
        <w:t>5</w:t>
      </w:r>
      <w:r w:rsidRPr="00595F64">
        <w:t>)</w:t>
      </w:r>
      <w:r w:rsidRPr="00595F64">
        <w:tab/>
        <w:t>w art. 491</w:t>
      </w:r>
      <w:r w:rsidRPr="00595F64">
        <w:rPr>
          <w:rStyle w:val="IGindeksgrny"/>
        </w:rPr>
        <w:t>[9]</w:t>
      </w:r>
      <w:r w:rsidRPr="00595F64">
        <w:t>:</w:t>
      </w:r>
    </w:p>
    <w:bookmarkEnd w:id="16"/>
    <w:p w14:paraId="74628EBF" w14:textId="77777777" w:rsidR="00595F64" w:rsidRPr="00595F64" w:rsidRDefault="00595F64" w:rsidP="00595F64">
      <w:pPr>
        <w:pStyle w:val="LITlitera"/>
      </w:pPr>
      <w:r w:rsidRPr="00595F64">
        <w:t>a)</w:t>
      </w:r>
      <w:r w:rsidRPr="00595F64">
        <w:tab/>
        <w:t>uchyla się ust. 1,</w:t>
      </w:r>
    </w:p>
    <w:p w14:paraId="040B293B" w14:textId="77777777" w:rsidR="00595F64" w:rsidRPr="00595F64" w:rsidRDefault="00595F64" w:rsidP="00595F64">
      <w:pPr>
        <w:pStyle w:val="LITlitera"/>
        <w:keepNext/>
      </w:pPr>
      <w:r w:rsidRPr="00595F64">
        <w:t>b)</w:t>
      </w:r>
      <w:r w:rsidRPr="00595F64">
        <w:tab/>
        <w:t>ust. 2 i 3 otrzymują brzmienie:</w:t>
      </w:r>
    </w:p>
    <w:p w14:paraId="3B396904" w14:textId="07D0AF9B" w:rsidR="00595F64" w:rsidRPr="00595F64" w:rsidRDefault="00595F64" w:rsidP="00595F64">
      <w:pPr>
        <w:pStyle w:val="ZLITUSTzmustliter"/>
      </w:pPr>
      <w:r w:rsidRPr="00595F64">
        <w:t>„2. Wynagrodzenie syndyka wynosi równowartość przeciętnego miesięcznego wynagrodzenia w sektorze przedsiębiorstw bez wypłat nagród z zysku w trzecim kwartale roku poprzedniego, ogłoszonego przez Prezesa Głównego Urzędu Statystycznego.</w:t>
      </w:r>
    </w:p>
    <w:p w14:paraId="247E9B37" w14:textId="13C855CB" w:rsidR="00595F64" w:rsidRPr="00595F64" w:rsidRDefault="00595F64" w:rsidP="00595F64">
      <w:pPr>
        <w:pStyle w:val="ZLITUSTzmustliter"/>
      </w:pPr>
      <w:r w:rsidRPr="00595F64">
        <w:t>3. Jeżeli wysokość wynagrodzenia syndyka, o której mowa w ust. 2, byłaby rażąco wygórowana w stosunku do nakładu jego pracy wynikającego z przebiegu prowadzonego postępowania, w szczególności w razie umorzenia postępowania na wczesnym etapie, sąd może z urzędu obniżyć wynagrodzenie syndyka do wysokości nieniższej niż jedna czwarta przeciętnego wynagrodzenia, o którym mowa w ust. 2.”,</w:t>
      </w:r>
    </w:p>
    <w:p w14:paraId="281561E0" w14:textId="77777777" w:rsidR="00595F64" w:rsidRPr="00595F64" w:rsidRDefault="00595F64" w:rsidP="00595F64">
      <w:pPr>
        <w:pStyle w:val="LITlitera"/>
        <w:keepNext/>
      </w:pPr>
      <w:r w:rsidRPr="00595F64">
        <w:t>c)</w:t>
      </w:r>
      <w:r w:rsidRPr="00595F64">
        <w:tab/>
        <w:t>po ust. 3 dodaje się ust. 3a–3e w brzmieniu:</w:t>
      </w:r>
    </w:p>
    <w:p w14:paraId="5758A07F" w14:textId="3E1FB171" w:rsidR="00595F64" w:rsidRPr="00595F64" w:rsidRDefault="00595F64" w:rsidP="00595F64">
      <w:pPr>
        <w:pStyle w:val="ZLITUSTzmustliter"/>
      </w:pPr>
      <w:r w:rsidRPr="00595F64">
        <w:t>„3a. Jeżeli jest to uzasadnione istotnie zwiększonym nakładem pracy syndyka skutkującym wzrostem funduszów masy upadłości, w szczególności wskutek podjęcia przez syndyka czynności związanych z dochodzeniem przekazania do masy upadłości tego, co wskutek czynności dłużnika bezskutecznych wobec masy upadłości lub wierzycieli ubyło z majątku upadłego lub do niego nie weszło, sąd na wniosek syndyka może ustalić jego wynagrodzenie w wysokości do czterokrotności przeciętnego miesięcznego wynagrodzenia, o którym mowa w ust. 2.</w:t>
      </w:r>
    </w:p>
    <w:p w14:paraId="7E1204F8" w14:textId="77777777" w:rsidR="00595F64" w:rsidRPr="00595F64" w:rsidRDefault="00595F64" w:rsidP="00595F64">
      <w:pPr>
        <w:pStyle w:val="ZLITUSTzmustliter"/>
      </w:pPr>
      <w:r w:rsidRPr="00595F64">
        <w:t>3b. W szczególnie uzasadnionych przypadkach, gdy przemawia za tym znaczny stopień skomplikowania sytuacji prawnej i faktycznej masy upadłości, jej rozproszenie i stan majątku, a zwłaszcza, gdy w skład masy upadłości wchodzą nieruchomości, wierzytelności sporne lub będące przedmiotem postępowania spadkowego, sąd na wniosek syndyka może ustalić jego wynagrodzenie na zasadach określonych w art. 162.</w:t>
      </w:r>
    </w:p>
    <w:p w14:paraId="1455A052" w14:textId="3CB586DF" w:rsidR="00595F64" w:rsidRPr="00595F64" w:rsidRDefault="00595F64" w:rsidP="00595F64">
      <w:pPr>
        <w:pStyle w:val="ZLITUSTzmustliter"/>
      </w:pPr>
      <w:r w:rsidRPr="00595F64">
        <w:t>3c. W przypadkach, o których mowa w ust. 3–3b, sąd ustala wysokość wynagrodzenia syndyka w postanowieniu o ustaleniu planu spłaty wierzycieli, o umorzeniu zobowiązań upadłego bez ustalenia planu spłaty wierzycieli, o warunkowym umorzeniu zobowiązań upadłego bez ustalenia planu spłaty wierzycieli, postanowieniu, o którym mowa w art. 491</w:t>
      </w:r>
      <w:r w:rsidRPr="00595F64">
        <w:rPr>
          <w:rStyle w:val="IGindeksgrny"/>
        </w:rPr>
        <w:t>[14a]</w:t>
      </w:r>
      <w:r w:rsidRPr="00595F64">
        <w:t>, albo postanowieniu o umorzeniu postępowania.</w:t>
      </w:r>
    </w:p>
    <w:p w14:paraId="33F437F1" w14:textId="1B03F1A8" w:rsidR="00595F64" w:rsidRPr="00595F64" w:rsidRDefault="00595F64" w:rsidP="00595F64">
      <w:pPr>
        <w:pStyle w:val="ZLITUSTzmustliter"/>
      </w:pPr>
      <w:r w:rsidRPr="00595F64">
        <w:lastRenderedPageBreak/>
        <w:t>3d. Syndyk jest uprawniony do pobrania wynagrodzenia po uprawomocnieniu się postanowienia, o którym mowa w ust. 3c. W przypadku gdy środki masy upadłości nie pozwalają na pokrycie wynagrodzenia syndyka, w postanowieniu, o którym mowa w ust. 3c, sąd określa wysokość wynagrodzenia, która zostanie wypłacona ze środków Skarbu Państwa.</w:t>
      </w:r>
    </w:p>
    <w:p w14:paraId="3B12DD56" w14:textId="552D081C" w:rsidR="00595F64" w:rsidRPr="00595F64" w:rsidRDefault="00595F64" w:rsidP="00595F64">
      <w:pPr>
        <w:pStyle w:val="ZLITUSTzmustliter"/>
      </w:pPr>
      <w:r w:rsidRPr="00595F64">
        <w:t xml:space="preserve">3e. W części, w jakiej wynagrodzenie syndyka ma zostać wypłacone ze środków Skarbu Państwa, w planie spłaty </w:t>
      </w:r>
      <w:r w:rsidR="005B6518" w:rsidRPr="001C157B">
        <w:t xml:space="preserve">wierzycieli </w:t>
      </w:r>
      <w:r w:rsidRPr="00595F64">
        <w:t>uwzględnia się tę część wynagrodzenia jako koszty postępowania tymczasowo pokryte przez Skarb Państwa.”,</w:t>
      </w:r>
    </w:p>
    <w:p w14:paraId="5DC1FC57" w14:textId="77777777" w:rsidR="00595F64" w:rsidRPr="00595F64" w:rsidRDefault="00595F64" w:rsidP="00595F64">
      <w:pPr>
        <w:pStyle w:val="LITlitera"/>
      </w:pPr>
      <w:r w:rsidRPr="00595F64">
        <w:t>d)</w:t>
      </w:r>
      <w:r w:rsidRPr="00595F64">
        <w:tab/>
        <w:t>uchyla się ust. 4;</w:t>
      </w:r>
    </w:p>
    <w:p w14:paraId="75FA761C" w14:textId="611A41DB" w:rsidR="00595F64" w:rsidRPr="00595F64" w:rsidRDefault="00595F64" w:rsidP="00595F64">
      <w:pPr>
        <w:pStyle w:val="PKTpunkt"/>
        <w:keepNext/>
      </w:pPr>
      <w:r w:rsidRPr="00595F64">
        <w:t>1</w:t>
      </w:r>
      <w:r w:rsidR="007E497D">
        <w:t>6</w:t>
      </w:r>
      <w:r w:rsidRPr="00595F64">
        <w:t>)</w:t>
      </w:r>
      <w:r w:rsidRPr="00595F64">
        <w:tab/>
        <w:t xml:space="preserve">w </w:t>
      </w:r>
      <w:bookmarkStart w:id="17" w:name="_Hlk236917348"/>
      <w:r w:rsidRPr="00595F64">
        <w:t>art. 491</w:t>
      </w:r>
      <w:r w:rsidRPr="00595F64">
        <w:rPr>
          <w:rStyle w:val="IGindeksgrny"/>
        </w:rPr>
        <w:t>[14]</w:t>
      </w:r>
      <w:r w:rsidRPr="00595F64">
        <w:t xml:space="preserve"> </w:t>
      </w:r>
      <w:bookmarkEnd w:id="17"/>
      <w:r w:rsidRPr="00595F64">
        <w:t>po ust. 7 dodaje się ust. 7a w brzmieniu:</w:t>
      </w:r>
    </w:p>
    <w:p w14:paraId="24920E94" w14:textId="07BF9275" w:rsidR="00595F64" w:rsidRPr="00595F64" w:rsidRDefault="00595F64" w:rsidP="00595F64">
      <w:pPr>
        <w:pStyle w:val="ZUSTzmustartykuempunktem"/>
      </w:pPr>
      <w:r w:rsidRPr="00595F64">
        <w:t>„7a. </w:t>
      </w:r>
      <w:bookmarkStart w:id="18" w:name="_Hlk236917375"/>
      <w:r w:rsidRPr="00595F64">
        <w:t xml:space="preserve">W obwieszczeniu informacji o prawomocności postanowienia </w:t>
      </w:r>
      <w:r w:rsidR="00354099" w:rsidRPr="001C157B">
        <w:t xml:space="preserve">o </w:t>
      </w:r>
      <w:r w:rsidRPr="001C157B">
        <w:t>ustaleni</w:t>
      </w:r>
      <w:r w:rsidR="00354099" w:rsidRPr="001C157B">
        <w:t>u</w:t>
      </w:r>
      <w:r w:rsidRPr="00595F64">
        <w:t xml:space="preserve"> planu spłaty wierzycieli</w:t>
      </w:r>
      <w:bookmarkEnd w:id="18"/>
      <w:r w:rsidRPr="00595F64">
        <w:t xml:space="preserve"> oznacza się także dzień, z upływem którego zobowiązania upadłego ulegną umorzeniu z mocy prawa na zasadach określonych w art. 491</w:t>
      </w:r>
      <w:r w:rsidRPr="00595F64">
        <w:rPr>
          <w:rStyle w:val="IGindeksgrny"/>
        </w:rPr>
        <w:t>[15]</w:t>
      </w:r>
      <w:r w:rsidRPr="00595F64">
        <w:t xml:space="preserve"> ust. 1 pkt 5, oraz stwierdza się, że umorzeniu nie podlegają zobowiązania, o których mowa w art. 491</w:t>
      </w:r>
      <w:r w:rsidRPr="00595F64">
        <w:rPr>
          <w:rStyle w:val="IGindeksgrny"/>
        </w:rPr>
        <w:t>[21]</w:t>
      </w:r>
      <w:r w:rsidRPr="00595F64">
        <w:t xml:space="preserve"> ust. 2.”;</w:t>
      </w:r>
    </w:p>
    <w:p w14:paraId="124607BB" w14:textId="62307165" w:rsidR="00595F64" w:rsidRPr="00595F64" w:rsidRDefault="00595F64" w:rsidP="00595F64">
      <w:pPr>
        <w:pStyle w:val="PKTpunkt"/>
        <w:keepNext/>
      </w:pPr>
      <w:r w:rsidRPr="00595F64">
        <w:t>1</w:t>
      </w:r>
      <w:r w:rsidR="007E497D">
        <w:t>7</w:t>
      </w:r>
      <w:r w:rsidRPr="00595F64">
        <w:t>)</w:t>
      </w:r>
      <w:r w:rsidRPr="00595F64">
        <w:tab/>
        <w:t>w art. 491</w:t>
      </w:r>
      <w:r w:rsidRPr="00595F64">
        <w:rPr>
          <w:rStyle w:val="IGindeksgrny"/>
        </w:rPr>
        <w:t xml:space="preserve">[15] </w:t>
      </w:r>
      <w:r w:rsidRPr="00595F64">
        <w:t>w ust. 1:</w:t>
      </w:r>
    </w:p>
    <w:p w14:paraId="23A33ABF" w14:textId="77777777" w:rsidR="00595F64" w:rsidRPr="00595F64" w:rsidRDefault="00595F64" w:rsidP="00595F64">
      <w:pPr>
        <w:pStyle w:val="LITlitera"/>
        <w:keepNext/>
      </w:pPr>
      <w:r w:rsidRPr="00595F64">
        <w:t>a)</w:t>
      </w:r>
      <w:r w:rsidRPr="00595F64">
        <w:tab/>
        <w:t>pkt 4 otrzymuje brzmienie:</w:t>
      </w:r>
    </w:p>
    <w:p w14:paraId="48117280" w14:textId="028C65D1" w:rsidR="00595F64" w:rsidRPr="00595F64" w:rsidRDefault="00595F64" w:rsidP="00595F64">
      <w:pPr>
        <w:pStyle w:val="ZLITPKTzmpktliter"/>
      </w:pPr>
      <w:r w:rsidRPr="00595F64">
        <w:t>„4)</w:t>
      </w:r>
      <w:r w:rsidRPr="00595F64">
        <w:tab/>
        <w:t>określa, w jakim zakresie i okresie, niedłuższym niż trzydzieści sześć miesięcy, upadły jest obowiązany spłacać zobowiązania, które w postępowaniu upadłościowym prowadzonym zgodnie z przepisami części pierwszej zostałyby uznane na liście wierzytelności;”,</w:t>
      </w:r>
    </w:p>
    <w:p w14:paraId="60626C6B" w14:textId="77777777" w:rsidR="00595F64" w:rsidRPr="00595F64" w:rsidRDefault="00595F64" w:rsidP="00595F64">
      <w:pPr>
        <w:pStyle w:val="LITlitera"/>
        <w:keepNext/>
      </w:pPr>
      <w:r w:rsidRPr="00595F64">
        <w:t>b)</w:t>
      </w:r>
      <w:r w:rsidRPr="00595F64">
        <w:tab/>
        <w:t>dodaje się pkt 5 w brzmieniu:</w:t>
      </w:r>
    </w:p>
    <w:p w14:paraId="3AE62F7F" w14:textId="1E7FD1CB" w:rsidR="00595F64" w:rsidRPr="00595F64" w:rsidRDefault="00595F64" w:rsidP="00595F64">
      <w:pPr>
        <w:pStyle w:val="ZLITPKTzmpktliter"/>
      </w:pPr>
      <w:r w:rsidRPr="00595F64">
        <w:t>„5)</w:t>
      </w:r>
      <w:r w:rsidRPr="00595F64">
        <w:tab/>
        <w:t>wskazuje, że zobowiązania upadłego powstałe przed dniem ogłoszenia upadłości i niewykonane w wyniku wykonania planu spłaty wierzycieli podlegają umorzeniu z mocy prawa z upływem trzech miesięcy od upływu okresu, na który został ustalony plan spłaty wierzycieli, pod warunkiem że plan spłaty wierzycieli nie zostanie prawomocnie zmieniony lub uchylony wskutek rozpoznania wniosku, o którym mowa w art. 491</w:t>
      </w:r>
      <w:r w:rsidRPr="00595F64">
        <w:rPr>
          <w:rStyle w:val="IGindeksgrny"/>
        </w:rPr>
        <w:t>[19]</w:t>
      </w:r>
      <w:r w:rsidRPr="00595F64">
        <w:t xml:space="preserve"> ust. 1 lub 3 lub art. 491</w:t>
      </w:r>
      <w:r w:rsidRPr="00595F64">
        <w:rPr>
          <w:rStyle w:val="IGindeksgrny"/>
        </w:rPr>
        <w:t>[20]</w:t>
      </w:r>
      <w:r w:rsidRPr="00595F64">
        <w:t xml:space="preserve"> ust. 1, złożonego przed upływem wskazanego powyżej terminu trzech miesięcy.”;</w:t>
      </w:r>
    </w:p>
    <w:p w14:paraId="2BB8E0D2" w14:textId="499350C3" w:rsidR="00595F64" w:rsidRPr="00595F64" w:rsidRDefault="00595F64" w:rsidP="00595F64">
      <w:pPr>
        <w:pStyle w:val="PKTpunkt"/>
      </w:pPr>
      <w:r w:rsidRPr="00595F64">
        <w:t>1</w:t>
      </w:r>
      <w:r w:rsidR="007E497D">
        <w:t>8</w:t>
      </w:r>
      <w:r w:rsidRPr="00595F64">
        <w:t>)</w:t>
      </w:r>
      <w:r w:rsidRPr="00595F64">
        <w:tab/>
        <w:t>uchyla się art. 491</w:t>
      </w:r>
      <w:r w:rsidRPr="00595F64">
        <w:rPr>
          <w:rStyle w:val="IGindeksgrny"/>
        </w:rPr>
        <w:t>[17]</w:t>
      </w:r>
      <w:r w:rsidRPr="00595F64">
        <w:t>;</w:t>
      </w:r>
    </w:p>
    <w:p w14:paraId="6E95AF47" w14:textId="70C3A8A3" w:rsidR="00595F64" w:rsidRPr="001C157B" w:rsidRDefault="00595F64" w:rsidP="00595F64">
      <w:pPr>
        <w:pStyle w:val="PKTpunkt"/>
        <w:keepNext/>
      </w:pPr>
      <w:r w:rsidRPr="001C157B">
        <w:lastRenderedPageBreak/>
        <w:t>1</w:t>
      </w:r>
      <w:r w:rsidR="007E497D" w:rsidRPr="001C157B">
        <w:t>9</w:t>
      </w:r>
      <w:r w:rsidRPr="001C157B">
        <w:t>)</w:t>
      </w:r>
      <w:r w:rsidRPr="001C157B">
        <w:tab/>
        <w:t>w art. 491</w:t>
      </w:r>
      <w:r w:rsidRPr="00595F64">
        <w:rPr>
          <w:rStyle w:val="IGindeksgrny"/>
        </w:rPr>
        <w:t xml:space="preserve">[18] </w:t>
      </w:r>
      <w:r w:rsidRPr="001C157B">
        <w:t>ust. 3 otrzymuje brzmienie:</w:t>
      </w:r>
    </w:p>
    <w:p w14:paraId="7F723292" w14:textId="12375660" w:rsidR="00595F64" w:rsidRPr="001C157B" w:rsidRDefault="00595F64" w:rsidP="00595F64">
      <w:pPr>
        <w:pStyle w:val="ZUSTzmustartykuempunktem"/>
      </w:pPr>
      <w:r w:rsidRPr="001C157B">
        <w:t>„3. </w:t>
      </w:r>
      <w:bookmarkStart w:id="19" w:name="_Hlk179212340"/>
      <w:r w:rsidR="00F31A45" w:rsidRPr="001C157B">
        <w:t>Upadły jest obowiązany składać do akt corocznie, do końca maja, sprawozdanie ze swojej sytuacji majątkowej i zawodowej za poprzedni rok kalendarzowy, w którym wykazuje osiągnięte przychody oraz nabyte składniki majątkowe o wartości przekraczającej przeciętne miesięczne wynagrodzenie w sektorze przedsiębiorstw bez wypłat nagród z zysku za ostatni kwartał okresu sprawozdawczego, ogłoszone przez Prezesa Głównego Urzędu Statystycznego, jak również swoje możliwości zarobkowe, wydatki konieczne na utrzymanie siebie i osób pozostających na jego utrzymaniu, w tym na zaspokojenie potrzeb mieszkaniowych. Do sprawozdania upadły dołącza kopię rocznego zeznania podatkowego. Sąd nie bada z urzędu treści ani formy dokumentów, o których mowa w zdaniu pierwszym i drugim.</w:t>
      </w:r>
      <w:r w:rsidRPr="001C157B">
        <w:t>”</w:t>
      </w:r>
      <w:bookmarkEnd w:id="19"/>
      <w:r w:rsidRPr="001C157B">
        <w:t>;</w:t>
      </w:r>
    </w:p>
    <w:p w14:paraId="5B0B0DF0" w14:textId="4CA935E3" w:rsidR="00595F64" w:rsidRPr="00595F64" w:rsidRDefault="007E497D" w:rsidP="00595F64">
      <w:pPr>
        <w:pStyle w:val="PKTpunkt"/>
        <w:keepNext/>
      </w:pPr>
      <w:bookmarkStart w:id="20" w:name="_Hlk181780885"/>
      <w:r>
        <w:t>20</w:t>
      </w:r>
      <w:r w:rsidR="00595F64" w:rsidRPr="00595F64">
        <w:t>)</w:t>
      </w:r>
      <w:r w:rsidR="00595F64" w:rsidRPr="00595F64">
        <w:tab/>
        <w:t>w art. 491</w:t>
      </w:r>
      <w:r w:rsidR="00595F64" w:rsidRPr="00595F64">
        <w:rPr>
          <w:rStyle w:val="IGindeksgrny"/>
        </w:rPr>
        <w:t>[19]</w:t>
      </w:r>
      <w:r w:rsidR="00595F64" w:rsidRPr="00595F64">
        <w:t>:</w:t>
      </w:r>
    </w:p>
    <w:p w14:paraId="5222969D" w14:textId="77777777" w:rsidR="00595F64" w:rsidRPr="00595F64" w:rsidRDefault="00595F64" w:rsidP="00595F64">
      <w:pPr>
        <w:pStyle w:val="LITlitera"/>
        <w:keepNext/>
      </w:pPr>
      <w:r w:rsidRPr="00595F64">
        <w:t>a)</w:t>
      </w:r>
      <w:r w:rsidRPr="00595F64">
        <w:tab/>
        <w:t>ust. 1 i 2 otrzymują brzmienie:</w:t>
      </w:r>
    </w:p>
    <w:p w14:paraId="13F8EA7E" w14:textId="5956CD8F" w:rsidR="00595F64" w:rsidRPr="00595F64" w:rsidRDefault="00595F64" w:rsidP="00595F64">
      <w:pPr>
        <w:pStyle w:val="ZLITUSTzmustliter"/>
      </w:pPr>
      <w:r w:rsidRPr="00595F64">
        <w:t xml:space="preserve">„1. Jeżeli upadły nie może wywiązać się z obowiązków określonych w planie spłaty wierzycieli, sąd na jego wniosek, po wysłuchaniu wierzycieli, może zmienić plan spłaty wierzycieli. Sąd może przedłużyć termin spłaty </w:t>
      </w:r>
      <w:r w:rsidR="00181E31" w:rsidRPr="001C157B">
        <w:t xml:space="preserve">zobowiązań </w:t>
      </w:r>
      <w:r w:rsidRPr="00595F64">
        <w:t>na dalszy okres nieprzekraczający osiemnastu miesięcy. Na postanowienie sądu w przedmiocie wniosku przysługuje zażalenie.</w:t>
      </w:r>
    </w:p>
    <w:p w14:paraId="4F489500" w14:textId="7BD3C66D" w:rsidR="00595F64" w:rsidRPr="00595F64" w:rsidRDefault="00595F64" w:rsidP="00595F64">
      <w:pPr>
        <w:pStyle w:val="ZLITUSTzmustliter"/>
      </w:pPr>
      <w:r w:rsidRPr="00595F64">
        <w:t>2. Jeżeli brak możliwości wywiązania się z obowiązków określonych w planie spłaty wierzycieli ma charakter trwały i wynika z okoliczności niezależnych od upadłego, sąd na wniosek upadłego, po wysłuchaniu wierzycieli, może uchylić plan spłaty wierzycieli i umorzyć niewykonane zobowiązania upadłego, o których mowa w art. 491</w:t>
      </w:r>
      <w:r w:rsidRPr="00595F64">
        <w:rPr>
          <w:rStyle w:val="IGindeksgrny"/>
        </w:rPr>
        <w:t>[15]</w:t>
      </w:r>
      <w:r w:rsidRPr="00595F64">
        <w:t xml:space="preserve"> ust. 1–3. </w:t>
      </w:r>
      <w:bookmarkStart w:id="21" w:name="_Hlk204679532"/>
      <w:r w:rsidRPr="00595F64">
        <w:t>Na postanowienie sądu w przedmiocie wniosku przysługuje zażalenie</w:t>
      </w:r>
      <w:bookmarkEnd w:id="21"/>
      <w:r w:rsidRPr="00595F64">
        <w:t>.”,</w:t>
      </w:r>
    </w:p>
    <w:p w14:paraId="2E8907CE" w14:textId="77777777" w:rsidR="00595F64" w:rsidRPr="00595F64" w:rsidRDefault="00595F64" w:rsidP="00595F64">
      <w:pPr>
        <w:pStyle w:val="LITlitera"/>
        <w:keepNext/>
      </w:pPr>
      <w:r w:rsidRPr="00595F64">
        <w:t>b)</w:t>
      </w:r>
      <w:r w:rsidRPr="00595F64">
        <w:tab/>
        <w:t>po ust. 3 dodaje się ust. 3a w brzmieniu:</w:t>
      </w:r>
    </w:p>
    <w:p w14:paraId="59FD2567" w14:textId="5B270895" w:rsidR="00595F64" w:rsidRPr="00595F64" w:rsidRDefault="00595F64" w:rsidP="00595F64">
      <w:pPr>
        <w:pStyle w:val="ZLITUSTzmustliter"/>
      </w:pPr>
      <w:r w:rsidRPr="00595F64">
        <w:t xml:space="preserve">„3a. W razie wcześniejszej spłaty wierzycieli w zakresie objętym planem spłaty wierzycieli upadły może wystąpić z wnioskiem o </w:t>
      </w:r>
      <w:r w:rsidR="000C40F7" w:rsidRPr="001C157B">
        <w:t xml:space="preserve">jego </w:t>
      </w:r>
      <w:r w:rsidRPr="001C157B">
        <w:t xml:space="preserve">zmianę </w:t>
      </w:r>
      <w:r w:rsidRPr="00595F64">
        <w:t>poprzez skrócenie okresu</w:t>
      </w:r>
      <w:r w:rsidR="000C40F7">
        <w:t xml:space="preserve">, </w:t>
      </w:r>
      <w:r w:rsidR="000C40F7" w:rsidRPr="001C157B">
        <w:t>na który został ustalony plan spłaty wierzycieli</w:t>
      </w:r>
      <w:r w:rsidRPr="00595F64">
        <w:t xml:space="preserve">, przy czym sąd może skrócić </w:t>
      </w:r>
      <w:r w:rsidR="0044431C" w:rsidRPr="001C157B">
        <w:t xml:space="preserve">ten </w:t>
      </w:r>
      <w:r w:rsidRPr="001C157B">
        <w:t xml:space="preserve">okres niewięcej </w:t>
      </w:r>
      <w:r w:rsidRPr="00595F64">
        <w:t xml:space="preserve">niż o połowę, </w:t>
      </w:r>
      <w:r w:rsidR="0044431C" w:rsidRPr="001C157B">
        <w:t xml:space="preserve">jeżeli </w:t>
      </w:r>
      <w:r w:rsidRPr="00595F64">
        <w:t>nie prowadzi to do pokrzywdzenia wierzycieli oraz jest uzasadnione względami słuszności lub względami humanitarnymi. Sąd może wysłuchać upadłego i wierzycieli objętych planem spłaty</w:t>
      </w:r>
      <w:r w:rsidR="008D32BC">
        <w:t xml:space="preserve"> </w:t>
      </w:r>
      <w:r w:rsidR="008D32BC" w:rsidRPr="001C157B">
        <w:t>wierzycieli</w:t>
      </w:r>
      <w:r w:rsidRPr="00595F64">
        <w:t>. Na postanowienie sądu w przedmiocie wniosku przysługuje zażalenie.”</w:t>
      </w:r>
      <w:bookmarkEnd w:id="20"/>
      <w:r w:rsidRPr="00595F64">
        <w:t>,</w:t>
      </w:r>
    </w:p>
    <w:p w14:paraId="5F90C9C4" w14:textId="77777777" w:rsidR="00595F64" w:rsidRPr="00595F64" w:rsidRDefault="00595F64" w:rsidP="00595F64">
      <w:pPr>
        <w:pStyle w:val="LITlitera"/>
        <w:keepNext/>
      </w:pPr>
      <w:r w:rsidRPr="00595F64">
        <w:lastRenderedPageBreak/>
        <w:t>c)</w:t>
      </w:r>
      <w:r w:rsidRPr="00595F64">
        <w:tab/>
        <w:t>po ust. 4 dodaje się ust. 4a i 4b w brzmieniu:</w:t>
      </w:r>
    </w:p>
    <w:p w14:paraId="50994CE1" w14:textId="44AB182E" w:rsidR="00595F64" w:rsidRPr="00595F64" w:rsidRDefault="00595F64" w:rsidP="00595F64">
      <w:pPr>
        <w:pStyle w:val="ZLITUSTzmustliter"/>
      </w:pPr>
      <w:r w:rsidRPr="00595F64">
        <w:t>„4a. W przypadku oddalenia wniosku wierzyciela, o którym mowa w ust. 3, złożonego w stosunku do upadłego, który nie złożył w terminie sprawozdania, o którym mowa w art. 491</w:t>
      </w:r>
      <w:r w:rsidRPr="00595F64">
        <w:rPr>
          <w:rStyle w:val="IGindeksgrny"/>
        </w:rPr>
        <w:t>[18]</w:t>
      </w:r>
      <w:r w:rsidRPr="00595F64">
        <w:t xml:space="preserve"> ust. 3, kosztami sądowymi obciąża się upadłego, chyba że zachodzą okoliczności wskazane w art. 102 ustawy z dnia 17 listopada 1964 r. – Kodeks postępowania cywilnego.</w:t>
      </w:r>
    </w:p>
    <w:p w14:paraId="24272410" w14:textId="085F8C84" w:rsidR="00595F64" w:rsidRPr="001C157B" w:rsidRDefault="00595F64" w:rsidP="00595F64">
      <w:pPr>
        <w:pStyle w:val="ZLITUSTzmustliter"/>
      </w:pPr>
      <w:r w:rsidRPr="001C157B">
        <w:t>4b. </w:t>
      </w:r>
      <w:r w:rsidR="004449DC" w:rsidRPr="001C157B">
        <w:t>W przypadku zmiany planu spłaty wierzycieli na podstawie ust. 1 lub 3 przepisy art. 491</w:t>
      </w:r>
      <w:r w:rsidR="004449DC" w:rsidRPr="004449DC">
        <w:rPr>
          <w:vertAlign w:val="superscript"/>
        </w:rPr>
        <w:t>[14]</w:t>
      </w:r>
      <w:r w:rsidR="004449DC" w:rsidRPr="004449DC">
        <w:t xml:space="preserve"> </w:t>
      </w:r>
      <w:r w:rsidR="004449DC" w:rsidRPr="001C157B">
        <w:t>ust. 7a oraz art. 491</w:t>
      </w:r>
      <w:r w:rsidR="004449DC" w:rsidRPr="004449DC">
        <w:rPr>
          <w:vertAlign w:val="superscript"/>
        </w:rPr>
        <w:t>[15]</w:t>
      </w:r>
      <w:r w:rsidR="004449DC" w:rsidRPr="004449DC">
        <w:t xml:space="preserve"> </w:t>
      </w:r>
      <w:r w:rsidR="004449DC" w:rsidRPr="001C157B">
        <w:t>ust. 1 pkt 5 stosuje się odpowiednio.</w:t>
      </w:r>
      <w:r w:rsidRPr="001C157B">
        <w:t>”,</w:t>
      </w:r>
    </w:p>
    <w:p w14:paraId="0C9F48DE" w14:textId="77777777" w:rsidR="00595F64" w:rsidRPr="00595F64" w:rsidRDefault="00595F64" w:rsidP="00595F64">
      <w:pPr>
        <w:pStyle w:val="LITlitera"/>
        <w:keepNext/>
      </w:pPr>
      <w:r w:rsidRPr="00595F64">
        <w:t>d)</w:t>
      </w:r>
      <w:r w:rsidRPr="00595F64">
        <w:tab/>
        <w:t>ust. 5 otrzymuje brzmienie:</w:t>
      </w:r>
    </w:p>
    <w:p w14:paraId="55BB11F6" w14:textId="52F9B335" w:rsidR="00595F64" w:rsidRPr="00595F64" w:rsidRDefault="00595F64" w:rsidP="00595F64">
      <w:pPr>
        <w:pStyle w:val="ZLITUSTzmustliter"/>
      </w:pPr>
      <w:r w:rsidRPr="00595F64">
        <w:t>„5. Postanowienie o zmianie planu spłaty wierzycieli obwieszcza się. Postanowienie sądu drugiej instancji w przedmiocie rozpoznania zażalenia na postanowienie o zmianie planu spłaty wierzycieli oraz informację o prawomocności postanowienia o zmianie planu spłaty wierzycieli obwieszcza się.”;</w:t>
      </w:r>
    </w:p>
    <w:p w14:paraId="04ACF5BE" w14:textId="1B75BDD3" w:rsidR="00595F64" w:rsidRPr="00595F64" w:rsidRDefault="00595F64" w:rsidP="00595F64">
      <w:pPr>
        <w:pStyle w:val="PKTpunkt"/>
        <w:keepNext/>
      </w:pPr>
      <w:r w:rsidRPr="00595F64">
        <w:t>2</w:t>
      </w:r>
      <w:r w:rsidR="007E497D">
        <w:t>1</w:t>
      </w:r>
      <w:r w:rsidRPr="00595F64">
        <w:t>)</w:t>
      </w:r>
      <w:r w:rsidRPr="00595F64">
        <w:tab/>
        <w:t xml:space="preserve">w </w:t>
      </w:r>
      <w:bookmarkStart w:id="22" w:name="_Hlk236924755"/>
      <w:r w:rsidRPr="00595F64">
        <w:t>art. 491</w:t>
      </w:r>
      <w:r w:rsidRPr="00595F64">
        <w:rPr>
          <w:rStyle w:val="IGindeksgrny"/>
        </w:rPr>
        <w:t>[20]</w:t>
      </w:r>
      <w:r w:rsidRPr="00595F64">
        <w:t>:</w:t>
      </w:r>
    </w:p>
    <w:bookmarkEnd w:id="22"/>
    <w:p w14:paraId="7A5C38A9" w14:textId="77777777" w:rsidR="00595F64" w:rsidRPr="00595F64" w:rsidRDefault="00595F64" w:rsidP="00595F64">
      <w:pPr>
        <w:pStyle w:val="LITlitera"/>
        <w:keepNext/>
      </w:pPr>
      <w:r w:rsidRPr="00595F64">
        <w:t>a)</w:t>
      </w:r>
      <w:r w:rsidRPr="00595F64">
        <w:tab/>
        <w:t>ust. 1 otrzymuje brzmienie:</w:t>
      </w:r>
    </w:p>
    <w:p w14:paraId="3EF6A5E7" w14:textId="1C9ACB9A" w:rsidR="00595F64" w:rsidRPr="00595F64" w:rsidRDefault="00595F64" w:rsidP="00595F64">
      <w:pPr>
        <w:pStyle w:val="ZLITUSTzmustliter"/>
      </w:pPr>
      <w:r w:rsidRPr="00595F64">
        <w:t>„1. W razie niewykonywania przez upadłego obowiązków określonych w planie spłaty wierzycieli sąd na wniosek wierzyciela lub upadłego, po wysłuchaniu upadłego i wierzycieli objętych planem spłaty wierzycieli, uchyla plan spłaty wierzycieli, chyba że uchybienie obowiązkom jest nieznaczne lub dalsze wykonywanie planu spłaty wierzycieli jest uzasadnione względami słuszności lub względami humanitarnymi. Na postanowienie sądu w przedmiocie wniosku przysługuje zażalenie.”,</w:t>
      </w:r>
    </w:p>
    <w:p w14:paraId="17476829" w14:textId="77777777" w:rsidR="00595F64" w:rsidRPr="00595F64" w:rsidRDefault="00595F64" w:rsidP="00595F64">
      <w:pPr>
        <w:pStyle w:val="LITlitera"/>
        <w:keepNext/>
      </w:pPr>
      <w:bookmarkStart w:id="23" w:name="_Hlk179212952"/>
      <w:r w:rsidRPr="00595F64">
        <w:t>b)</w:t>
      </w:r>
      <w:r w:rsidRPr="00595F64">
        <w:tab/>
        <w:t>w ust. 2:</w:t>
      </w:r>
    </w:p>
    <w:p w14:paraId="2973AD2F" w14:textId="77777777" w:rsidR="00595F64" w:rsidRPr="00595F64" w:rsidRDefault="00595F64" w:rsidP="00595F64">
      <w:pPr>
        <w:pStyle w:val="TIRtiret"/>
      </w:pPr>
      <w:r w:rsidRPr="00595F64">
        <w:t>–</w:t>
      </w:r>
      <w:r w:rsidRPr="00595F64">
        <w:tab/>
        <w:t>uchyla się pkt 1,</w:t>
      </w:r>
    </w:p>
    <w:p w14:paraId="55C7B811" w14:textId="77777777" w:rsidR="00595F64" w:rsidRPr="00595F64" w:rsidRDefault="00595F64" w:rsidP="00595F64">
      <w:pPr>
        <w:pStyle w:val="TIRtiret"/>
        <w:keepNext/>
      </w:pPr>
      <w:r w:rsidRPr="00595F64">
        <w:t>–</w:t>
      </w:r>
      <w:r w:rsidRPr="00595F64">
        <w:tab/>
        <w:t>pkt 2 otrzymuje brzmienie:</w:t>
      </w:r>
    </w:p>
    <w:p w14:paraId="69ED55C4" w14:textId="6292E4E3" w:rsidR="00595F64" w:rsidRPr="00595F64" w:rsidRDefault="00595F64" w:rsidP="00595F64">
      <w:pPr>
        <w:pStyle w:val="ZTIRPKTzmpkttiret"/>
      </w:pPr>
      <w:r w:rsidRPr="00595F64">
        <w:t>„2)</w:t>
      </w:r>
      <w:r w:rsidRPr="00595F64">
        <w:tab/>
        <w:t xml:space="preserve">w sprawozdaniu, o którym mowa w </w:t>
      </w:r>
      <w:bookmarkStart w:id="24" w:name="_Hlk236924814"/>
      <w:r w:rsidRPr="00595F64">
        <w:t>art. 491</w:t>
      </w:r>
      <w:r w:rsidRPr="00595F64">
        <w:rPr>
          <w:rStyle w:val="IGindeksgrny"/>
        </w:rPr>
        <w:t>[18]</w:t>
      </w:r>
      <w:r w:rsidRPr="00595F64">
        <w:t xml:space="preserve"> ust. 3</w:t>
      </w:r>
      <w:bookmarkEnd w:id="24"/>
      <w:r w:rsidRPr="00595F64">
        <w:t>, zataił osiągnięte przychody lub nabyte składniki majątkowe, o których mowa w tym przepisie;”;</w:t>
      </w:r>
    </w:p>
    <w:p w14:paraId="51002821" w14:textId="0FD8B591" w:rsidR="00595F64" w:rsidRPr="00595F64" w:rsidRDefault="00595F64" w:rsidP="00595F64">
      <w:pPr>
        <w:pStyle w:val="PKTpunkt"/>
        <w:keepNext/>
      </w:pPr>
      <w:bookmarkStart w:id="25" w:name="_Hlk215676827"/>
      <w:r w:rsidRPr="00595F64">
        <w:t>2</w:t>
      </w:r>
      <w:r w:rsidR="007E497D">
        <w:t>2</w:t>
      </w:r>
      <w:r w:rsidRPr="00595F64">
        <w:t>)</w:t>
      </w:r>
      <w:r w:rsidRPr="00595F64">
        <w:tab/>
        <w:t xml:space="preserve">w </w:t>
      </w:r>
      <w:bookmarkStart w:id="26" w:name="_Hlk236919798"/>
      <w:r w:rsidRPr="00595F64">
        <w:t>art. 491</w:t>
      </w:r>
      <w:r w:rsidRPr="00595F64">
        <w:rPr>
          <w:rStyle w:val="IGindeksgrny"/>
        </w:rPr>
        <w:t>[21</w:t>
      </w:r>
      <w:bookmarkEnd w:id="26"/>
      <w:r w:rsidRPr="00595F64">
        <w:rPr>
          <w:rStyle w:val="IGindeksgrny"/>
        </w:rPr>
        <w:t>]</w:t>
      </w:r>
      <w:r w:rsidRPr="00595F64">
        <w:t>:</w:t>
      </w:r>
    </w:p>
    <w:p w14:paraId="0E10515C" w14:textId="77777777" w:rsidR="00595F64" w:rsidRPr="00595F64" w:rsidRDefault="00595F64" w:rsidP="00595F64">
      <w:pPr>
        <w:pStyle w:val="LITlitera"/>
        <w:keepNext/>
      </w:pPr>
      <w:r w:rsidRPr="00595F64">
        <w:t>a)</w:t>
      </w:r>
      <w:r w:rsidRPr="00595F64">
        <w:tab/>
        <w:t>ust. 1 otrzymuje brzmienie:</w:t>
      </w:r>
    </w:p>
    <w:p w14:paraId="230DE1F5" w14:textId="68C11232" w:rsidR="00595F64" w:rsidRPr="00595F64" w:rsidRDefault="00595F64" w:rsidP="00595F64">
      <w:pPr>
        <w:pStyle w:val="ZLITUSTzmustliter"/>
        <w:keepNext/>
      </w:pPr>
      <w:r w:rsidRPr="00595F64">
        <w:t>„1. Jeżeli upadły ani żaden z wierzycieli nie złoży wniosku, o którym mowa w art. 491</w:t>
      </w:r>
      <w:r w:rsidRPr="00595F64">
        <w:rPr>
          <w:rStyle w:val="IGindeksgrny"/>
        </w:rPr>
        <w:t>[19]</w:t>
      </w:r>
      <w:r w:rsidRPr="00595F64">
        <w:t xml:space="preserve"> ust. 1 lub 3 lub art. 491</w:t>
      </w:r>
      <w:r w:rsidRPr="00595F64">
        <w:rPr>
          <w:rStyle w:val="IGindeksgrny"/>
        </w:rPr>
        <w:t>[20]</w:t>
      </w:r>
      <w:r w:rsidRPr="00595F64">
        <w:t xml:space="preserve"> ust. 1, w terminie trzech miesięcy od upływu okresu, na który został ustalony plan spłaty wierzycieli, obwieszcza się informację o </w:t>
      </w:r>
      <w:r w:rsidRPr="00595F64">
        <w:lastRenderedPageBreak/>
        <w:t>dacie, w której zobowiązania upadłego powstałe przed dniem ogłoszenia upadłości i niewykonane w wyniku wykonania planu spłaty wierzycieli uległy umorzeniu z mocy prawa. W obwieszczeniu wskazuje się:</w:t>
      </w:r>
    </w:p>
    <w:p w14:paraId="66A23BEF" w14:textId="77777777" w:rsidR="00595F64" w:rsidRPr="00595F64" w:rsidRDefault="00595F64" w:rsidP="00595F64">
      <w:pPr>
        <w:pStyle w:val="ZLITPKTzmpktliter"/>
      </w:pPr>
      <w:r w:rsidRPr="00595F64">
        <w:t>1)</w:t>
      </w:r>
      <w:r w:rsidRPr="00595F64">
        <w:tab/>
        <w:t>imię i nazwisko oraz numer PESEL upadłego, a jeżeli upadły nie posiada numeru PESEL – inne dane umożliwiające jego jednoznaczną identyfikację, w szczególności numer paszportu i oznaczenie państwa wystawiającego paszport albo numer karty pobytu w Rzeczypospolitej Polskiej, albo numer w zagranicznym rejestrze, albo zagraniczny numer identyfikacji lub identyfikacji podatkowej;</w:t>
      </w:r>
    </w:p>
    <w:p w14:paraId="78E2280C" w14:textId="47255760" w:rsidR="00595F64" w:rsidRPr="001C157B" w:rsidRDefault="00595F64" w:rsidP="00595F64">
      <w:pPr>
        <w:pStyle w:val="ZLITPKTzmpktliter"/>
      </w:pPr>
      <w:r w:rsidRPr="001C157B">
        <w:t>2)</w:t>
      </w:r>
      <w:r w:rsidRPr="001C157B">
        <w:tab/>
      </w:r>
      <w:r w:rsidR="00A5563F" w:rsidRPr="001C157B">
        <w:t>NIP, jeżeli upadły miał taki numer w ciągu ostatnich dziesięciu lat przed dniem złożenia wniosku o ogłoszenie upadłości;</w:t>
      </w:r>
    </w:p>
    <w:p w14:paraId="1727479A" w14:textId="77777777" w:rsidR="00595F64" w:rsidRPr="00595F64" w:rsidRDefault="00595F64" w:rsidP="00595F64">
      <w:pPr>
        <w:pStyle w:val="ZLITPKTzmpktliter"/>
      </w:pPr>
      <w:r w:rsidRPr="00595F64">
        <w:t>3)</w:t>
      </w:r>
      <w:r w:rsidRPr="00595F64">
        <w:tab/>
        <w:t>datę i sygnaturę postanowienia o ustaleniu planu spłaty wierzycieli;</w:t>
      </w:r>
    </w:p>
    <w:p w14:paraId="58F2A082" w14:textId="33F6B1C3" w:rsidR="00595F64" w:rsidRPr="00595F64" w:rsidRDefault="00595F64" w:rsidP="00595F64">
      <w:pPr>
        <w:pStyle w:val="ZLITPKTzmpktliter"/>
      </w:pPr>
      <w:r w:rsidRPr="00595F64">
        <w:t>4)</w:t>
      </w:r>
      <w:r w:rsidRPr="00595F64">
        <w:tab/>
        <w:t>informację, że umorzeniu nie uległy zobowiązania upadłego, o których mowa w ust. 2.”,</w:t>
      </w:r>
    </w:p>
    <w:p w14:paraId="6F047297" w14:textId="77777777" w:rsidR="00595F64" w:rsidRPr="00595F64" w:rsidRDefault="00595F64" w:rsidP="00595F64">
      <w:pPr>
        <w:pStyle w:val="LITlitera"/>
        <w:keepNext/>
      </w:pPr>
      <w:r w:rsidRPr="00595F64">
        <w:t>b)</w:t>
      </w:r>
      <w:r w:rsidRPr="00595F64">
        <w:tab/>
        <w:t>po ust. 1 dodaje się ust. 1a w brzmieniu:</w:t>
      </w:r>
    </w:p>
    <w:p w14:paraId="18AD031E" w14:textId="7382D06E" w:rsidR="00595F64" w:rsidRPr="00595F64" w:rsidRDefault="00595F64" w:rsidP="00595F64">
      <w:pPr>
        <w:pStyle w:val="ZLITUSTzmustliter"/>
      </w:pPr>
      <w:r w:rsidRPr="00595F64">
        <w:t>„1a. Jeżeli zostanie złożony wniosek, o którym mowa w art. 491</w:t>
      </w:r>
      <w:r w:rsidRPr="00595F64">
        <w:rPr>
          <w:rStyle w:val="IGindeksgrny"/>
        </w:rPr>
        <w:t>[19]</w:t>
      </w:r>
      <w:r w:rsidRPr="00595F64">
        <w:t xml:space="preserve"> ust. 1 lub 3 lub art. 491</w:t>
      </w:r>
      <w:r w:rsidRPr="00595F64">
        <w:rPr>
          <w:rStyle w:val="IGindeksgrny"/>
        </w:rPr>
        <w:t>[20]</w:t>
      </w:r>
      <w:r w:rsidRPr="00595F64">
        <w:t xml:space="preserve"> ust. 1, w terminie trzech miesięcy od upływu okresu, na który został ustalony plan spłaty wierzycieli, obwieszczenia, o którym mowa w ust. 1, dokonuje się niezwłocznie po uprawomocnieniu się zarządzenia o zwrocie tego wniosku, postanowienia o odrzuceniu albo o oddaleniu tego wniosku albo o umorzeniu postępowania w przedmiocie rozpoznania tego wniosku.”,</w:t>
      </w:r>
    </w:p>
    <w:bookmarkEnd w:id="23"/>
    <w:bookmarkEnd w:id="25"/>
    <w:p w14:paraId="405D5DE8" w14:textId="77777777" w:rsidR="00595F64" w:rsidRPr="00595F64" w:rsidRDefault="00595F64" w:rsidP="00595F64">
      <w:pPr>
        <w:pStyle w:val="LITlitera"/>
      </w:pPr>
      <w:r w:rsidRPr="00595F64">
        <w:t>c)</w:t>
      </w:r>
      <w:r w:rsidRPr="00595F64">
        <w:tab/>
        <w:t>uchyla się ust. 2a,</w:t>
      </w:r>
    </w:p>
    <w:p w14:paraId="58E8561C" w14:textId="77777777" w:rsidR="00595F64" w:rsidRPr="00595F64" w:rsidRDefault="00595F64" w:rsidP="00595F64">
      <w:pPr>
        <w:pStyle w:val="LITlitera"/>
        <w:keepNext/>
      </w:pPr>
      <w:r w:rsidRPr="00595F64">
        <w:t>d)</w:t>
      </w:r>
      <w:r w:rsidRPr="00595F64">
        <w:tab/>
        <w:t>ust. 3 otrzymuje brzmienie:</w:t>
      </w:r>
    </w:p>
    <w:p w14:paraId="643C5F4A" w14:textId="6E17D238" w:rsidR="00595F64" w:rsidRPr="00595F64" w:rsidRDefault="00595F64" w:rsidP="00595F64">
      <w:pPr>
        <w:pStyle w:val="ZLITUSTzmustliter"/>
      </w:pPr>
      <w:r w:rsidRPr="00595F64">
        <w:t>„3. Po umorzeniu zobowiązań niedopuszczalne jest wszczęcie postępowania egzekucyjnego dotyczącego wierzytelności powstałej przed dniem ustalenia planu spłaty wierzycieli, z wyjątkiem wierzytelności wynikających z zobowiązań, o których mowa w ust. 2.”,</w:t>
      </w:r>
    </w:p>
    <w:p w14:paraId="7B208208" w14:textId="77777777" w:rsidR="00595F64" w:rsidRPr="00595F64" w:rsidRDefault="00595F64" w:rsidP="00595F64">
      <w:pPr>
        <w:pStyle w:val="LITlitera"/>
        <w:keepNext/>
      </w:pPr>
      <w:r w:rsidRPr="00595F64">
        <w:t>e)</w:t>
      </w:r>
      <w:r w:rsidRPr="00595F64">
        <w:tab/>
        <w:t>dodaje się ust. 4 w brzmieniu:</w:t>
      </w:r>
    </w:p>
    <w:p w14:paraId="2929592E" w14:textId="3308BC9E" w:rsidR="00595F64" w:rsidRPr="00595F64" w:rsidRDefault="00595F64" w:rsidP="00595F64">
      <w:pPr>
        <w:pStyle w:val="ZLITUSTzmustliter"/>
      </w:pPr>
      <w:r w:rsidRPr="00595F64">
        <w:t xml:space="preserve">„4. Przepis ust. 3 stosuje się także w okresie pomiędzy upływem okresu, na który został ustalony plan spłaty wierzycieli, a dniem, z upływem którego zobowiązania upadłego ulegają umorzeniu z mocy prawa, </w:t>
      </w:r>
      <w:r w:rsidR="0001572D" w:rsidRPr="001C157B">
        <w:t xml:space="preserve">oznaczonym w obwieszczeniu, o którym mowa </w:t>
      </w:r>
      <w:r w:rsidRPr="00595F64">
        <w:t>w art. 491</w:t>
      </w:r>
      <w:r w:rsidRPr="00595F64">
        <w:rPr>
          <w:rStyle w:val="IGindeksgrny"/>
        </w:rPr>
        <w:t>[14]</w:t>
      </w:r>
      <w:r w:rsidRPr="00595F64">
        <w:t xml:space="preserve"> ust. 7a.”.</w:t>
      </w:r>
    </w:p>
    <w:p w14:paraId="324EFF52" w14:textId="77777777" w:rsidR="00595F64" w:rsidRPr="00595F64" w:rsidRDefault="00595F64" w:rsidP="00595F64">
      <w:pPr>
        <w:pStyle w:val="ARTartustawynprozporzdzenia"/>
        <w:keepNext/>
      </w:pPr>
      <w:bookmarkStart w:id="27" w:name="_Hlk193273586"/>
      <w:r w:rsidRPr="00595F64">
        <w:rPr>
          <w:rStyle w:val="Ppogrubienie"/>
        </w:rPr>
        <w:lastRenderedPageBreak/>
        <w:t>Art. 2.</w:t>
      </w:r>
      <w:r w:rsidRPr="00595F64">
        <w:t> W ustawie z dnia 15 maja 2015 r. – Prawo restrukturyzacyjne (Dz. U. z 2026 r. poz. 533) wprowadza się następujące zmiany:</w:t>
      </w:r>
    </w:p>
    <w:p w14:paraId="1BA5BCD1" w14:textId="77777777" w:rsidR="00595F64" w:rsidRPr="00595F64" w:rsidRDefault="00595F64" w:rsidP="00595F64">
      <w:pPr>
        <w:pStyle w:val="PKTpunkt"/>
        <w:keepNext/>
      </w:pPr>
      <w:r w:rsidRPr="00595F64">
        <w:t>1)</w:t>
      </w:r>
      <w:r w:rsidRPr="00595F64">
        <w:tab/>
        <w:t>w art. 197 ust. 6 otrzymuje brzmienie:</w:t>
      </w:r>
    </w:p>
    <w:p w14:paraId="4049511A" w14:textId="482C5F59" w:rsidR="00595F64" w:rsidRPr="00595F64" w:rsidRDefault="00595F64" w:rsidP="00595F64">
      <w:pPr>
        <w:pStyle w:val="ZUSTzmustartykuempunktem"/>
      </w:pPr>
      <w:bookmarkStart w:id="28" w:name="_Hlk193274513"/>
      <w:bookmarkEnd w:id="27"/>
      <w:r w:rsidRPr="00595F64">
        <w:t>„6. Ujawnienia informacji o prawomocności orzeczenia mogą dokonać w systemie teleinformatycznym obsługującym postępowanie sądowe sąd, sędzia-komisarz, referendarz sądowy, przewodniczący, asystent sędziego albo pracownik sekretariatu.”;</w:t>
      </w:r>
    </w:p>
    <w:p w14:paraId="57B92E9B" w14:textId="77777777" w:rsidR="00595F64" w:rsidRPr="00595F64" w:rsidRDefault="00595F64" w:rsidP="00595F64">
      <w:pPr>
        <w:pStyle w:val="PKTpunkt"/>
        <w:keepNext/>
      </w:pPr>
      <w:r w:rsidRPr="00595F64">
        <w:t>2)</w:t>
      </w:r>
      <w:r w:rsidRPr="00595F64">
        <w:tab/>
        <w:t>w art. 199 po ust. 1 dodaje się ust. 1a w brzmieniu:</w:t>
      </w:r>
    </w:p>
    <w:p w14:paraId="763DDA2E" w14:textId="073837D5" w:rsidR="00595F64" w:rsidRPr="00595F64" w:rsidRDefault="00595F64" w:rsidP="00595F64">
      <w:pPr>
        <w:pStyle w:val="ZUSTzmustartykuempunktem"/>
      </w:pPr>
      <w:r w:rsidRPr="00595F64">
        <w:t>„1a. Obwieszczenia mogą dokonać sąd, sędzia-komisarz, referendarz sądowy, przewodniczący, asystent sędziego albo pracownik sekretariatu.”.</w:t>
      </w:r>
    </w:p>
    <w:bookmarkEnd w:id="28"/>
    <w:p w14:paraId="3DE809CD" w14:textId="77777777" w:rsidR="00595F64" w:rsidRPr="00595F64" w:rsidRDefault="00595F64" w:rsidP="00595F64">
      <w:pPr>
        <w:pStyle w:val="ARTartustawynprozporzdzenia"/>
        <w:keepNext/>
      </w:pPr>
      <w:r w:rsidRPr="00595F64">
        <w:rPr>
          <w:rStyle w:val="Ppogrubienie"/>
        </w:rPr>
        <w:t>Art. 3.</w:t>
      </w:r>
      <w:r w:rsidRPr="00595F64">
        <w:t> W ustawie z dnia 6 grudnia 2018 r. o Krajowym Rejestrze Zadłużonych (Dz. U. z 2025 r. poz. 1584 i 1792) w art. 11 w ust. 4 pkt 1 otrzymuje brzmienie:</w:t>
      </w:r>
    </w:p>
    <w:p w14:paraId="09CCD751" w14:textId="30A8BB4A" w:rsidR="00595F64" w:rsidRPr="00595F64" w:rsidRDefault="00595F64" w:rsidP="00595F64">
      <w:pPr>
        <w:pStyle w:val="ZPKTzmpktartykuempunktem"/>
      </w:pPr>
      <w:r w:rsidRPr="00595F64">
        <w:t>„1)</w:t>
      </w:r>
      <w:r w:rsidRPr="00595F64">
        <w:tab/>
        <w:t>3 lat od dnia uprawomocnienia się postanowienia o stwierdzeniu wykonania planu spłaty wierzycieli i umorzeniu zobowiązań upadłego, o umorzeniu zobowiązań bez ustalenia planu spłaty wierzycieli albo od dnia obwieszczenia informacji o dacie, w której zobowiązania upadłego uległy umorzeniu z mocy prawa albo”.</w:t>
      </w:r>
    </w:p>
    <w:p w14:paraId="126CE9BD" w14:textId="57F8882F" w:rsidR="00595F64" w:rsidRPr="00595F64" w:rsidRDefault="00595F64" w:rsidP="00595F64">
      <w:pPr>
        <w:pStyle w:val="ARTartustawynprozporzdzenia"/>
      </w:pPr>
      <w:r w:rsidRPr="00595F64">
        <w:rPr>
          <w:rStyle w:val="Ppogrubienie"/>
        </w:rPr>
        <w:t>Art. 4.</w:t>
      </w:r>
      <w:r w:rsidRPr="00595F64">
        <w:t> </w:t>
      </w:r>
      <w:r w:rsidRPr="001C157B">
        <w:t xml:space="preserve">1. </w:t>
      </w:r>
      <w:r w:rsidR="00D17A53" w:rsidRPr="001C157B">
        <w:t xml:space="preserve">W sprawach, w których przed dniem wejścia w życie niniejszej ustawy wpłynął wniosek o ogłoszenie upadłości, stosuje się przepisy </w:t>
      </w:r>
      <w:bookmarkStart w:id="29" w:name="_Hlk184023175"/>
      <w:r w:rsidR="00D17A53" w:rsidRPr="001C157B">
        <w:t xml:space="preserve">ustawy zmienianej w art. 1, </w:t>
      </w:r>
      <w:bookmarkEnd w:id="29"/>
      <w:r w:rsidR="00D17A53" w:rsidRPr="001C157B">
        <w:t>w brzmieniu nadanym niniejszą ustawą, z uwzględnieniem art. 5–8.</w:t>
      </w:r>
    </w:p>
    <w:p w14:paraId="774FAAAF" w14:textId="7660F214" w:rsidR="00595F64" w:rsidRPr="00595F64" w:rsidRDefault="00595F64" w:rsidP="00595F64">
      <w:pPr>
        <w:pStyle w:val="USTustnpkodeksu"/>
      </w:pPr>
      <w:r w:rsidRPr="00595F64">
        <w:t xml:space="preserve">2. W sprawach, w których przed dniem wejścia w życie niniejszej ustawy wpłynął wniosek </w:t>
      </w:r>
      <w:r w:rsidR="00D70EEF" w:rsidRPr="001C157B">
        <w:t>restrukturyzacyjny</w:t>
      </w:r>
      <w:r w:rsidRPr="001C157B">
        <w:t xml:space="preserve">, stosuje </w:t>
      </w:r>
      <w:r w:rsidRPr="00595F64">
        <w:t>się przepisy ustawy zmienianej w art. 2, w brzmieniu nadanym niniejszą ustawą.</w:t>
      </w:r>
    </w:p>
    <w:p w14:paraId="29DCDA3F" w14:textId="77777777" w:rsidR="00D17A53" w:rsidRPr="001C157B" w:rsidRDefault="00595F64" w:rsidP="00D17A53">
      <w:pPr>
        <w:pStyle w:val="ARTartustawynprozporzdzenia"/>
      </w:pPr>
      <w:r w:rsidRPr="00595F64">
        <w:rPr>
          <w:rStyle w:val="Ppogrubienie"/>
        </w:rPr>
        <w:t>Art. 5.</w:t>
      </w:r>
      <w:r w:rsidRPr="00595F64">
        <w:t> </w:t>
      </w:r>
      <w:r w:rsidR="00D17A53" w:rsidRPr="001C157B">
        <w:t xml:space="preserve">1. W sprawach, </w:t>
      </w:r>
      <w:bookmarkStart w:id="30" w:name="_Hlk236926118"/>
      <w:r w:rsidR="00D17A53" w:rsidRPr="001C157B">
        <w:t>w których przed dniem wejścia w życie niniejszej ustawy zostało wydane postanowienie o ustaleniu planu spłaty wierzycieli</w:t>
      </w:r>
      <w:bookmarkEnd w:id="30"/>
      <w:r w:rsidR="00D17A53" w:rsidRPr="001C157B">
        <w:t xml:space="preserve">, stosuje się przepisy dotychczasowe, z wyjątkiem </w:t>
      </w:r>
      <w:bookmarkStart w:id="31" w:name="_Hlk236926099"/>
      <w:r w:rsidR="00D17A53" w:rsidRPr="001C157B">
        <w:t>art. 219 ust. 4, art. 221 ust. 1a, art. 370e ust. 1 i 2, art. 491</w:t>
      </w:r>
      <w:r w:rsidR="00D17A53" w:rsidRPr="00D17A53">
        <w:rPr>
          <w:vertAlign w:val="superscript"/>
        </w:rPr>
        <w:t xml:space="preserve">[20] </w:t>
      </w:r>
      <w:r w:rsidR="00D17A53" w:rsidRPr="001C157B">
        <w:t>ust. 1 i 2 ustawy zmienianej w art. 1, które stosuje się w brzmieniu nadanym niniejszą ustawą</w:t>
      </w:r>
      <w:bookmarkEnd w:id="31"/>
      <w:r w:rsidR="00D17A53" w:rsidRPr="001C157B">
        <w:t>.</w:t>
      </w:r>
    </w:p>
    <w:p w14:paraId="18AD705E" w14:textId="77777777" w:rsidR="00D17A53" w:rsidRPr="001C157B" w:rsidRDefault="00D17A53" w:rsidP="00D17A53">
      <w:pPr>
        <w:pStyle w:val="USTustnpkodeksu"/>
      </w:pPr>
      <w:r w:rsidRPr="001C157B">
        <w:t>2. W sprawach, w których przed dniem wejścia w życie niniejszej ustawy zostało wydane postanowienie sądu drugiej instancji w przedmiocie ustalenia planu spłaty wierzycieli, umorzenia zobowiązań upadłego bez ustalenia planu spłaty wierzycieli, warunkowego umorzenia zobowiązań upadłego bez ustalenia planu spłaty wierzycieli, zmiany planu spłaty wierzycieli lub uchylenia planu spłaty wierzycieli i umorzenia niewykonanych zobowiązań upadłego, do postępowania kasacyjnego stosuje się przepisy dotychczasowe.</w:t>
      </w:r>
    </w:p>
    <w:p w14:paraId="4653F02A" w14:textId="50BC7295" w:rsidR="00D17A53" w:rsidRPr="001C157B" w:rsidRDefault="00D17A53" w:rsidP="00D17A53">
      <w:pPr>
        <w:pStyle w:val="USTustnpkodeksu"/>
      </w:pPr>
      <w:r w:rsidRPr="001C157B">
        <w:lastRenderedPageBreak/>
        <w:t>3. W sprawach, w których przed dniem wejścia w życie niniejszej ustawy został złożony wniosek o uchylenie lub zmianę planu spłaty wierzycieli, do rozpoznania takiego wniosku stosuje się przepisy dotychczasowe.</w:t>
      </w:r>
    </w:p>
    <w:p w14:paraId="57A5B4F9" w14:textId="1C381C87" w:rsidR="00CD44FB" w:rsidRPr="001C157B" w:rsidRDefault="00595F64" w:rsidP="00CD44FB">
      <w:pPr>
        <w:pStyle w:val="ARTartustawynprozporzdzenia"/>
      </w:pPr>
      <w:r w:rsidRPr="00595F64">
        <w:rPr>
          <w:rStyle w:val="Ppogrubienie"/>
        </w:rPr>
        <w:t>Art. 6.</w:t>
      </w:r>
      <w:r w:rsidRPr="00595F64">
        <w:t> </w:t>
      </w:r>
      <w:r w:rsidR="00CD44FB" w:rsidRPr="001C157B">
        <w:t>1</w:t>
      </w:r>
      <w:r w:rsidR="00556885" w:rsidRPr="001C157B">
        <w:t>.</w:t>
      </w:r>
      <w:r w:rsidR="00CD44FB" w:rsidRPr="001C157B">
        <w:t xml:space="preserve"> W sprawach, w których przed dniem wejścia w życie niniejszej ustawy ogłoszono upadłość, przepisy art. 491</w:t>
      </w:r>
      <w:r w:rsidR="00CD44FB" w:rsidRPr="00CD44FB">
        <w:rPr>
          <w:vertAlign w:val="superscript"/>
        </w:rPr>
        <w:t>[1]</w:t>
      </w:r>
      <w:r w:rsidR="00CD44FB" w:rsidRPr="00CD44FB">
        <w:t xml:space="preserve">, </w:t>
      </w:r>
      <w:r w:rsidR="00CD44FB" w:rsidRPr="001C157B">
        <w:t>art. 491</w:t>
      </w:r>
      <w:r w:rsidR="00CD44FB" w:rsidRPr="00CD44FB">
        <w:rPr>
          <w:vertAlign w:val="superscript"/>
        </w:rPr>
        <w:t>[7]</w:t>
      </w:r>
      <w:r w:rsidR="00CD44FB" w:rsidRPr="00CD44FB">
        <w:t xml:space="preserve"> </w:t>
      </w:r>
      <w:r w:rsidR="00CD44FB" w:rsidRPr="001C157B">
        <w:t>oraz art. 491</w:t>
      </w:r>
      <w:r w:rsidR="00CD44FB" w:rsidRPr="00CD44FB">
        <w:rPr>
          <w:vertAlign w:val="superscript"/>
        </w:rPr>
        <w:t>[9]</w:t>
      </w:r>
      <w:r w:rsidR="00CD44FB" w:rsidRPr="00CD44FB">
        <w:t xml:space="preserve"> </w:t>
      </w:r>
      <w:r w:rsidR="00CD44FB" w:rsidRPr="001C157B">
        <w:t xml:space="preserve">ustawy zmienianej w art. 1 stosuje się w brzmieniu dotychczasowym. </w:t>
      </w:r>
    </w:p>
    <w:p w14:paraId="0B1CA1EE" w14:textId="77777777" w:rsidR="00CD44FB" w:rsidRPr="001C157B" w:rsidRDefault="00CD44FB" w:rsidP="00CD44FB">
      <w:pPr>
        <w:pStyle w:val="USTustnpkodeksu"/>
      </w:pPr>
      <w:r w:rsidRPr="001C157B">
        <w:t>2. Do postępowań, o których mowa w art. 491</w:t>
      </w:r>
      <w:r w:rsidRPr="00CD44FB">
        <w:rPr>
          <w:vertAlign w:val="superscript"/>
        </w:rPr>
        <w:t xml:space="preserve">[1] </w:t>
      </w:r>
      <w:r w:rsidRPr="001C157B">
        <w:t>ust. 2 ustawy zmienianej w art. 1, w których przed dniem wejścia w życie niniejszej ustawy ogłoszono upadłość, stosuje się przepis art. 491</w:t>
      </w:r>
      <w:r w:rsidRPr="00CD44FB">
        <w:rPr>
          <w:vertAlign w:val="superscript"/>
        </w:rPr>
        <w:t>[3]</w:t>
      </w:r>
      <w:r w:rsidRPr="00CD44FB">
        <w:t xml:space="preserve"> </w:t>
      </w:r>
      <w:r w:rsidRPr="001C157B">
        <w:t>ust. 2 ustawy zmienianej w art. 1.</w:t>
      </w:r>
    </w:p>
    <w:p w14:paraId="7859ADBC" w14:textId="414D7531" w:rsidR="00595F64" w:rsidRPr="00595F64" w:rsidRDefault="00595F64" w:rsidP="00595F64">
      <w:pPr>
        <w:pStyle w:val="ARTartustawynprozporzdzenia"/>
      </w:pPr>
      <w:bookmarkStart w:id="32" w:name="_Hlk215677134"/>
      <w:r w:rsidRPr="00595F64">
        <w:rPr>
          <w:rStyle w:val="Ppogrubienie"/>
        </w:rPr>
        <w:t>Art. 7.</w:t>
      </w:r>
      <w:r w:rsidRPr="00595F64">
        <w:t xml:space="preserve"> 1. </w:t>
      </w:r>
      <w:bookmarkStart w:id="33" w:name="_Hlk183507283"/>
      <w:bookmarkEnd w:id="32"/>
      <w:r w:rsidRPr="00595F64">
        <w:t xml:space="preserve">Od dnia </w:t>
      </w:r>
      <w:r w:rsidR="008D65A8" w:rsidRPr="001C157B">
        <w:t xml:space="preserve">upływu </w:t>
      </w:r>
      <w:r w:rsidRPr="00595F64">
        <w:t xml:space="preserve">okresu, na który został ustalony plan spłaty wierzycieli, do dnia </w:t>
      </w:r>
      <w:r w:rsidR="008D65A8" w:rsidRPr="001C157B">
        <w:t>u</w:t>
      </w:r>
      <w:r w:rsidRPr="001C157B">
        <w:t>prawomocn</w:t>
      </w:r>
      <w:r w:rsidR="008D65A8" w:rsidRPr="001C157B">
        <w:t xml:space="preserve">ienia się </w:t>
      </w:r>
      <w:r w:rsidRPr="00595F64">
        <w:t>postanowienia, o którym mowa w art. 370d ust. 1 lub 2 lub art. 370e ust. 1 ustawy zmienianej w art. 1, niedopuszczalne jest wszczęcie postępowania egzekucyjnego dotyczącego wierzytelności wynikających z zobowiązań upadłego, o których mowa w art. 369 ust. 1 ustawy zmienianej w art. 1, niewykonanych w wyniku wykonania planu spłaty wierzycieli, z wyjątkiem wierzytelności wynikających z zobowiązań, o których mowa w art. 370f ust. 2 ustawy zmienianej w art. 1.</w:t>
      </w:r>
    </w:p>
    <w:p w14:paraId="236AF6BE" w14:textId="0DFC2BED" w:rsidR="00595F64" w:rsidRPr="00595F64" w:rsidRDefault="00595F64" w:rsidP="00595F64">
      <w:pPr>
        <w:pStyle w:val="USTustnpkodeksu"/>
      </w:pPr>
      <w:r w:rsidRPr="00595F64">
        <w:t xml:space="preserve">2. </w:t>
      </w:r>
      <w:r w:rsidR="00D571F2" w:rsidRPr="001C157B">
        <w:t xml:space="preserve">Od </w:t>
      </w:r>
      <w:r w:rsidRPr="001C157B">
        <w:t xml:space="preserve">dnia </w:t>
      </w:r>
      <w:r w:rsidRPr="00595F64">
        <w:t xml:space="preserve">upływu okresu, na który został ustalony plan spłaty wierzycieli, do dnia </w:t>
      </w:r>
      <w:r w:rsidR="00D571F2" w:rsidRPr="001C157B">
        <w:t xml:space="preserve">uprawomocnienia się </w:t>
      </w:r>
      <w:r w:rsidRPr="00595F64">
        <w:t>postanowienia, o którym mowa w art. 491</w:t>
      </w:r>
      <w:r w:rsidRPr="00595F64">
        <w:rPr>
          <w:rStyle w:val="IGindeksgrny"/>
        </w:rPr>
        <w:t>[19]</w:t>
      </w:r>
      <w:r w:rsidRPr="00595F64">
        <w:t xml:space="preserve"> ust. 1 lub 3 lub art. 491</w:t>
      </w:r>
      <w:r w:rsidRPr="00595F64">
        <w:rPr>
          <w:rStyle w:val="IGindeksgrny"/>
        </w:rPr>
        <w:t>[20]</w:t>
      </w:r>
      <w:r w:rsidRPr="00595F64">
        <w:t xml:space="preserve"> ust. 1 ustawy zmienianej w art. 1, niedopuszczalne jest wszczęcie postępowania egzekucyjnego dotyczącego wierzytelności powstałej przed dniem ustalenia planu spłaty wierzycieli, z wyjątkiem wierzytelności wynikających z zobowiązań, o których mowa w art. 491</w:t>
      </w:r>
      <w:r w:rsidRPr="00595F64">
        <w:rPr>
          <w:rStyle w:val="IGindeksgrny"/>
        </w:rPr>
        <w:t>[21]</w:t>
      </w:r>
      <w:r w:rsidRPr="00595F64">
        <w:t xml:space="preserve"> ust. 2 ustawy zmienianej w art. 1.</w:t>
      </w:r>
    </w:p>
    <w:p w14:paraId="59888ACC" w14:textId="2A460545" w:rsidR="00595F64" w:rsidRPr="00595F64" w:rsidRDefault="00595F64" w:rsidP="00595F64">
      <w:pPr>
        <w:pStyle w:val="ARTartustawynprozporzdzenia"/>
      </w:pPr>
      <w:bookmarkStart w:id="34" w:name="_Hlk215677210"/>
      <w:bookmarkEnd w:id="33"/>
      <w:r w:rsidRPr="00595F64">
        <w:rPr>
          <w:rStyle w:val="Ppogrubienie"/>
        </w:rPr>
        <w:t>Art. 8.</w:t>
      </w:r>
      <w:r w:rsidRPr="00595F64">
        <w:t xml:space="preserve"> 1. </w:t>
      </w:r>
      <w:bookmarkStart w:id="35" w:name="_Hlk215677383"/>
      <w:bookmarkStart w:id="36" w:name="_Hlk187687660"/>
      <w:bookmarkEnd w:id="34"/>
      <w:r w:rsidRPr="00595F64">
        <w:t>Postanowienie, o którym mowa w art. 370f</w:t>
      </w:r>
      <w:r w:rsidR="00FD6926">
        <w:t xml:space="preserve"> </w:t>
      </w:r>
      <w:r w:rsidR="00FD6926" w:rsidRPr="001C157B">
        <w:t>ust. 1</w:t>
      </w:r>
      <w:r w:rsidRPr="00595F64">
        <w:t xml:space="preserve"> lub art. 491</w:t>
      </w:r>
      <w:r w:rsidRPr="00595F64">
        <w:rPr>
          <w:rStyle w:val="IGindeksgrny"/>
        </w:rPr>
        <w:t>[21]</w:t>
      </w:r>
      <w:r w:rsidRPr="00595F64">
        <w:t xml:space="preserve"> ust. 1 ustawy zmienianej w art. 1, w brzmieniu dotychczasowym, może wydać także referendarz sądowy. Wniesienie skargi na postanowienie referendarza sądowego nie powoduje utraty mocy przez zaskarżone postanowienie. Sąd rozpoznaje skargę w składzie jednego sędziego jako sąd drugiej instancji, stosując odpowiednio przepisy o zażaleniu. Rozpoznając skargę, sąd wydaje postanowienie, w którym zaskarżone postanowienie referendarza sądowego utrzymuje w mocy albo je zmienia.</w:t>
      </w:r>
    </w:p>
    <w:p w14:paraId="6641A1A7" w14:textId="77777777" w:rsidR="00595F64" w:rsidRPr="00595F64" w:rsidRDefault="00595F64" w:rsidP="00595F64">
      <w:pPr>
        <w:pStyle w:val="USTustnpkodeksu"/>
      </w:pPr>
      <w:r w:rsidRPr="00595F64">
        <w:t>2. Informację o prawomocności postanowienia obwieszcza się.</w:t>
      </w:r>
      <w:bookmarkEnd w:id="35"/>
      <w:bookmarkEnd w:id="36"/>
    </w:p>
    <w:bookmarkEnd w:id="0"/>
    <w:bookmarkEnd w:id="1"/>
    <w:p w14:paraId="7EE372EF" w14:textId="2F8719B4" w:rsidR="00595F64" w:rsidRPr="001C157B" w:rsidRDefault="00595F64" w:rsidP="00595F64">
      <w:pPr>
        <w:pStyle w:val="ARTartustawynprozporzdzenia"/>
      </w:pPr>
      <w:r w:rsidRPr="00595F64">
        <w:rPr>
          <w:rStyle w:val="Ppogrubienie"/>
        </w:rPr>
        <w:t>Art. 9.</w:t>
      </w:r>
      <w:r w:rsidRPr="00595F64">
        <w:t> </w:t>
      </w:r>
      <w:r w:rsidR="0044493A" w:rsidRPr="001C157B">
        <w:t>Ustawa wchodzi w życie po upływie 6 miesięcy od dnia ogłoszenia.</w:t>
      </w:r>
    </w:p>
    <w:p w14:paraId="5CDFA458" w14:textId="77777777" w:rsidR="005E31CC" w:rsidRPr="00595F64" w:rsidRDefault="005E31CC" w:rsidP="00C53EFB">
      <w:pPr>
        <w:rPr>
          <w:rStyle w:val="Ppogrubienie"/>
          <w:b w:val="0"/>
        </w:rPr>
      </w:pPr>
    </w:p>
    <w:sectPr w:rsidR="005E31CC" w:rsidRPr="00595F64" w:rsidSect="0091576D">
      <w:headerReference w:type="default" r:id="rId9"/>
      <w:headerReference w:type="first" r:id="rId10"/>
      <w:footnotePr>
        <w:numRestart w:val="eachSect"/>
      </w:footnotePr>
      <w:pgSz w:w="11906" w:h="16838"/>
      <w:pgMar w:top="1559" w:right="1418" w:bottom="1559" w:left="1418"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18073" w14:textId="77777777" w:rsidR="00E75A84" w:rsidRDefault="00E75A84">
      <w:r>
        <w:separator/>
      </w:r>
    </w:p>
  </w:endnote>
  <w:endnote w:type="continuationSeparator" w:id="0">
    <w:p w14:paraId="166DC56F" w14:textId="77777777" w:rsidR="00E75A84" w:rsidRDefault="00E75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C4ED5" w14:textId="77777777" w:rsidR="00E75A84" w:rsidRDefault="00E75A84">
      <w:r>
        <w:separator/>
      </w:r>
    </w:p>
  </w:footnote>
  <w:footnote w:type="continuationSeparator" w:id="0">
    <w:p w14:paraId="01780717" w14:textId="77777777" w:rsidR="00E75A84" w:rsidRDefault="00E75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1B09" w14:textId="1DFFFF70" w:rsidR="00CD7822" w:rsidRDefault="00CD7822" w:rsidP="00C53EFB">
    <w:pPr>
      <w:pStyle w:val="Nagwek"/>
      <w:pBdr>
        <w:bottom w:val="single" w:sz="6" w:space="12" w:color="auto"/>
      </w:pBdr>
      <w:rPr>
        <w:b/>
      </w:rPr>
    </w:pPr>
    <w:r w:rsidRPr="00287EAD">
      <w:rPr>
        <w:b/>
      </w:rPr>
      <w:t xml:space="preserve">Liczba stron :  </w:t>
    </w:r>
    <w:fldSimple w:instr=" NUMPAGES   \* MERGEFORMAT ">
      <w:r>
        <w:t>1</w:t>
      </w:r>
    </w:fldSimple>
    <w:r w:rsidRPr="00287EAD">
      <w:rPr>
        <w:b/>
      </w:rPr>
      <w:t xml:space="preserve">     Data :   </w:t>
    </w:r>
    <w:fldSimple w:instr=" DATE   \* MERGEFORMAT ">
      <w:r w:rsidR="00243C45" w:rsidRPr="00243C45">
        <w:rPr>
          <w:b/>
          <w:noProof/>
        </w:rPr>
        <w:t>2026-11-06</w:t>
      </w:r>
    </w:fldSimple>
    <w:r>
      <w:rPr>
        <w:b/>
      </w:rPr>
      <w:t xml:space="preserve">      Nazwa pliku :  </w:t>
    </w:r>
    <w:sdt>
      <w:sdtPr>
        <w:id w:val="12236052"/>
        <w:docPartObj>
          <w:docPartGallery w:val="Page Numbers (Top of Page)"/>
          <w:docPartUnique/>
        </w:docPartObj>
      </w:sdtPr>
      <w:sdtEndPr/>
      <w:sdtContent>
        <w:r>
          <w:t xml:space="preserve"> </w:t>
        </w:r>
        <w:r w:rsidRPr="00C53EFB">
          <w:rPr>
            <w:rStyle w:val="Ppogrubienie"/>
          </w:rPr>
          <w:fldChar w:fldCharType="begin"/>
        </w:r>
        <w:r w:rsidRPr="00C53EFB">
          <w:rPr>
            <w:rStyle w:val="Ppogrubienie"/>
          </w:rPr>
          <w:instrText xml:space="preserve"> FILENAME  \* Upper  \* MERGEFORMAT </w:instrText>
        </w:r>
        <w:r w:rsidRPr="00C53EFB">
          <w:rPr>
            <w:rStyle w:val="Ppogrubienie"/>
          </w:rPr>
          <w:fldChar w:fldCharType="separate"/>
        </w:r>
        <w:r w:rsidR="004737F9">
          <w:rPr>
            <w:rStyle w:val="Ppogrubienie"/>
            <w:noProof/>
          </w:rPr>
          <w:t>V5_366-9.NK</w:t>
        </w:r>
        <w:r w:rsidRPr="00C53EFB">
          <w:rPr>
            <w:rStyle w:val="Ppogrubienie"/>
          </w:rPr>
          <w:fldChar w:fldCharType="end"/>
        </w:r>
        <w:r w:rsidR="00595F64">
          <w:rPr>
            <w:rStyle w:val="Ppogrubienie"/>
          </w:rPr>
          <w:tab/>
        </w:r>
        <w:r w:rsidRPr="00C53EFB">
          <w:rPr>
            <w:rStyle w:val="Ppogrubienie"/>
          </w:rPr>
          <w:t xml:space="preserve"> </w:t>
        </w:r>
        <w:r>
          <w:t xml:space="preserve"> </w:t>
        </w:r>
        <w:r>
          <w:fldChar w:fldCharType="begin"/>
        </w:r>
        <w:r>
          <w:instrText xml:space="preserve"> PAGE   \* MERGEFORMAT </w:instrText>
        </w:r>
        <w:r>
          <w:fldChar w:fldCharType="separate"/>
        </w:r>
        <w:r>
          <w:t>1</w:t>
        </w:r>
        <w:r>
          <w:rPr>
            <w:noProof/>
          </w:rPr>
          <w:fldChar w:fldCharType="end"/>
        </w:r>
      </w:sdtContent>
    </w:sdt>
  </w:p>
  <w:p w14:paraId="00CB01AA" w14:textId="5C29FAD5" w:rsidR="00CD7822" w:rsidRPr="00306403" w:rsidRDefault="00CD7822" w:rsidP="00C53EFB">
    <w:pPr>
      <w:pStyle w:val="Nagwek"/>
      <w:pBdr>
        <w:bottom w:val="single" w:sz="6" w:space="12" w:color="auto"/>
      </w:pBdr>
      <w:rPr>
        <w:b/>
        <w:szCs w:val="20"/>
      </w:rPr>
    </w:pPr>
    <w:r>
      <w:rPr>
        <w:b/>
        <w:szCs w:val="20"/>
      </w:rPr>
      <w:t xml:space="preserve">X kadencja/druk nr </w:t>
    </w:r>
    <w:r w:rsidR="00595F64" w:rsidRPr="00595F64">
      <w:rPr>
        <w:rStyle w:val="Ppogrubienie"/>
      </w:rPr>
      <w:t>3085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FC1C" w14:textId="26C079E9" w:rsidR="00084E7F" w:rsidRPr="00084E7F" w:rsidRDefault="00084E7F" w:rsidP="00084E7F">
    <w:pPr>
      <w:pStyle w:val="Nagwek"/>
      <w:rPr>
        <w:rStyle w:val="Ppogrubienie"/>
      </w:rPr>
    </w:pPr>
    <w:r w:rsidRPr="00084E7F">
      <w:rPr>
        <w:rStyle w:val="Ppogrubienie"/>
      </w:rPr>
      <w:t xml:space="preserve">Liczba stron :  </w:t>
    </w:r>
    <w:r w:rsidRPr="00084E7F">
      <w:rPr>
        <w:rStyle w:val="Ppogrubienie"/>
      </w:rPr>
      <w:fldChar w:fldCharType="begin"/>
    </w:r>
    <w:r w:rsidRPr="00084E7F">
      <w:rPr>
        <w:rStyle w:val="Ppogrubienie"/>
      </w:rPr>
      <w:instrText xml:space="preserve"> NUMPAGES   \* MERGEFORMAT </w:instrText>
    </w:r>
    <w:r w:rsidRPr="00084E7F">
      <w:rPr>
        <w:rStyle w:val="Ppogrubienie"/>
      </w:rPr>
      <w:fldChar w:fldCharType="separate"/>
    </w:r>
    <w:r w:rsidR="00395835">
      <w:rPr>
        <w:rStyle w:val="Ppogrubienie"/>
        <w:noProof/>
      </w:rPr>
      <w:t>1</w:t>
    </w:r>
    <w:r w:rsidRPr="00084E7F">
      <w:rPr>
        <w:rStyle w:val="Ppogrubienie"/>
      </w:rPr>
      <w:fldChar w:fldCharType="end"/>
    </w:r>
    <w:r w:rsidRPr="00084E7F">
      <w:rPr>
        <w:rStyle w:val="Ppogrubienie"/>
      </w:rPr>
      <w:t xml:space="preserve">     Data :   </w:t>
    </w:r>
    <w:r w:rsidRPr="00084E7F">
      <w:rPr>
        <w:rStyle w:val="Ppogrubienie"/>
      </w:rPr>
      <w:fldChar w:fldCharType="begin"/>
    </w:r>
    <w:r w:rsidRPr="00084E7F">
      <w:rPr>
        <w:rStyle w:val="Ppogrubienie"/>
      </w:rPr>
      <w:instrText xml:space="preserve"> DATE   \* MERGEFORMAT </w:instrText>
    </w:r>
    <w:r w:rsidRPr="00084E7F">
      <w:rPr>
        <w:rStyle w:val="Ppogrubienie"/>
      </w:rPr>
      <w:fldChar w:fldCharType="separate"/>
    </w:r>
    <w:r w:rsidR="00243C45">
      <w:rPr>
        <w:rStyle w:val="Ppogrubienie"/>
        <w:noProof/>
      </w:rPr>
      <w:t>2026-11-06</w:t>
    </w:r>
    <w:r w:rsidRPr="00084E7F">
      <w:rPr>
        <w:rStyle w:val="Ppogrubienie"/>
      </w:rPr>
      <w:fldChar w:fldCharType="end"/>
    </w:r>
    <w:r w:rsidRPr="00084E7F">
      <w:rPr>
        <w:rStyle w:val="Ppogrubienie"/>
      </w:rPr>
      <w:t xml:space="preserve">      Nazwa pliku :  </w:t>
    </w:r>
    <w:sdt>
      <w:sdtPr>
        <w:rPr>
          <w:rStyle w:val="Ppogrubienie"/>
        </w:rPr>
        <w:id w:val="1445964973"/>
        <w:docPartObj>
          <w:docPartGallery w:val="Page Numbers (Top of Page)"/>
          <w:docPartUnique/>
        </w:docPartObj>
      </w:sdtPr>
      <w:sdtEndPr>
        <w:rPr>
          <w:rStyle w:val="Ppogrubienie"/>
        </w:rPr>
      </w:sdtEndPr>
      <w:sdtContent>
        <w:r w:rsidRPr="00084E7F">
          <w:rPr>
            <w:rStyle w:val="Ppogrubienie"/>
          </w:rPr>
          <w:t xml:space="preserve"> </w:t>
        </w:r>
        <w:r w:rsidRPr="00084E7F">
          <w:rPr>
            <w:rStyle w:val="Ppogrubienie"/>
          </w:rPr>
          <w:fldChar w:fldCharType="begin"/>
        </w:r>
        <w:r w:rsidRPr="00084E7F">
          <w:rPr>
            <w:rStyle w:val="Ppogrubienie"/>
          </w:rPr>
          <w:instrText xml:space="preserve"> FILENAME  \* Upper  \* MERGEFORMAT </w:instrText>
        </w:r>
        <w:r w:rsidRPr="00084E7F">
          <w:rPr>
            <w:rStyle w:val="Ppogrubienie"/>
          </w:rPr>
          <w:fldChar w:fldCharType="separate"/>
        </w:r>
        <w:r w:rsidR="004737F9">
          <w:rPr>
            <w:rStyle w:val="Ppogrubienie"/>
            <w:noProof/>
          </w:rPr>
          <w:t>V5_366-9.NK</w:t>
        </w:r>
        <w:r w:rsidRPr="00084E7F">
          <w:rPr>
            <w:rStyle w:val="Ppogrubienie"/>
          </w:rPr>
          <w:fldChar w:fldCharType="end"/>
        </w:r>
        <w:r w:rsidRPr="00084E7F">
          <w:rPr>
            <w:rStyle w:val="Ppogrubienie"/>
          </w:rPr>
          <w:t xml:space="preserve">  </w:t>
        </w:r>
        <w:r w:rsidRPr="00084E7F">
          <w:rPr>
            <w:rStyle w:val="Ppogrubienie"/>
          </w:rPr>
          <w:fldChar w:fldCharType="begin"/>
        </w:r>
        <w:r w:rsidRPr="00084E7F">
          <w:rPr>
            <w:rStyle w:val="Ppogrubienie"/>
          </w:rPr>
          <w:instrText xml:space="preserve"> PAGE   \* MERGEFORMAT </w:instrText>
        </w:r>
        <w:r w:rsidRPr="00084E7F">
          <w:rPr>
            <w:rStyle w:val="Ppogrubienie"/>
          </w:rPr>
          <w:fldChar w:fldCharType="separate"/>
        </w:r>
        <w:r w:rsidR="00395835">
          <w:rPr>
            <w:rStyle w:val="Ppogrubienie"/>
            <w:noProof/>
          </w:rPr>
          <w:t>1</w:t>
        </w:r>
        <w:r w:rsidRPr="00084E7F">
          <w:rPr>
            <w:rStyle w:val="Ppogrubienie"/>
          </w:rPr>
          <w:fldChar w:fldCharType="end"/>
        </w:r>
      </w:sdtContent>
    </w:sdt>
  </w:p>
  <w:p w14:paraId="3C2790BE" w14:textId="77777777" w:rsidR="00084E7F" w:rsidRPr="00084E7F" w:rsidRDefault="00084E7F" w:rsidP="00084E7F">
    <w:pPr>
      <w:pStyle w:val="Nagwek"/>
    </w:pPr>
    <w:r>
      <w:rPr>
        <w:b/>
        <w:noProof/>
        <w:lang w:eastAsia="pl-PL"/>
      </w:rPr>
      <mc:AlternateContent>
        <mc:Choice Requires="wps">
          <w:drawing>
            <wp:anchor distT="0" distB="0" distL="114300" distR="114300" simplePos="0" relativeHeight="251656704" behindDoc="0" locked="0" layoutInCell="1" allowOverlap="1" wp14:anchorId="0FFA1D0F" wp14:editId="09397F13">
              <wp:simplePos x="0" y="0"/>
              <wp:positionH relativeFrom="column">
                <wp:posOffset>-176530</wp:posOffset>
              </wp:positionH>
              <wp:positionV relativeFrom="paragraph">
                <wp:posOffset>239395</wp:posOffset>
              </wp:positionV>
              <wp:extent cx="5781675" cy="1"/>
              <wp:effectExtent l="0" t="0" r="9525" b="19050"/>
              <wp:wrapNone/>
              <wp:docPr id="1" name="Łącznik prostoliniowy 1"/>
              <wp:cNvGraphicFramePr/>
              <a:graphic xmlns:a="http://schemas.openxmlformats.org/drawingml/2006/main">
                <a:graphicData uri="http://schemas.microsoft.com/office/word/2010/wordprocessingShape">
                  <wps:wsp>
                    <wps:cNvCnPr/>
                    <wps:spPr>
                      <a:xfrm flipV="1">
                        <a:off x="0" y="0"/>
                        <a:ext cx="5781675"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E12E5A1" id="Łącznik prostoliniowy 1" o:spid="_x0000_s1026" style="position:absolute;flip:y;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9pt,18.85pt" to="441.3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" strokecolor="black [3040]"/>
          </w:pict>
        </mc:Fallback>
      </mc:AlternateContent>
    </w:r>
    <w:r w:rsidRPr="00084E7F">
      <w:rPr>
        <w:rStyle w:val="Ppogrubienie"/>
      </w:rPr>
      <w:t>VII kadencja/druk nr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F94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CBCD7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F618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3CF3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188AE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B071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E2B0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287B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9ACF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B1A14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41325"/>
    <w:multiLevelType w:val="hybridMultilevel"/>
    <w:tmpl w:val="8026A820"/>
    <w:lvl w:ilvl="0" w:tplc="04150017">
      <w:start w:val="1"/>
      <w:numFmt w:val="lowerLetter"/>
      <w:lvlText w:val="%1)"/>
      <w:lvlJc w:val="left"/>
      <w:pPr>
        <w:tabs>
          <w:tab w:val="num" w:pos="921"/>
        </w:tabs>
        <w:ind w:left="921" w:hanging="360"/>
      </w:pPr>
      <w:rPr>
        <w:rFonts w:cs="Times New Roman"/>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11" w15:restartNumberingAfterBreak="0">
    <w:nsid w:val="0B3D59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051BF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433443"/>
    <w:multiLevelType w:val="hybridMultilevel"/>
    <w:tmpl w:val="20DACD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C93D3D"/>
    <w:multiLevelType w:val="hybridMultilevel"/>
    <w:tmpl w:val="726AC678"/>
    <w:lvl w:ilvl="0" w:tplc="46F0F402">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15" w15:restartNumberingAfterBreak="0">
    <w:nsid w:val="162111DC"/>
    <w:multiLevelType w:val="singleLevel"/>
    <w:tmpl w:val="9D2C0646"/>
    <w:lvl w:ilvl="0">
      <w:start w:val="1"/>
      <w:numFmt w:val="bullet"/>
      <w:lvlText w:val="-"/>
      <w:lvlJc w:val="left"/>
      <w:pPr>
        <w:tabs>
          <w:tab w:val="num" w:pos="1211"/>
        </w:tabs>
        <w:ind w:left="1211" w:hanging="360"/>
      </w:pPr>
      <w:rPr>
        <w:rFonts w:hint="default"/>
      </w:rPr>
    </w:lvl>
  </w:abstractNum>
  <w:abstractNum w:abstractNumId="16" w15:restartNumberingAfterBreak="0">
    <w:nsid w:val="1F653082"/>
    <w:multiLevelType w:val="hybridMultilevel"/>
    <w:tmpl w:val="1850341C"/>
    <w:lvl w:ilvl="0" w:tplc="152234C0">
      <w:start w:val="1"/>
      <w:numFmt w:val="lowerLetter"/>
      <w:lvlText w:val="%1)"/>
      <w:lvlJc w:val="left"/>
      <w:pPr>
        <w:tabs>
          <w:tab w:val="num" w:pos="1068"/>
        </w:tabs>
        <w:ind w:left="1068" w:hanging="360"/>
      </w:pPr>
      <w:rPr>
        <w:rFonts w:cs="Times New Roman" w:hint="default"/>
      </w:rPr>
    </w:lvl>
    <w:lvl w:ilvl="1" w:tplc="E114772A">
      <w:start w:val="1"/>
      <w:numFmt w:val="none"/>
      <w:lvlText w:val="abc)"/>
      <w:lvlJc w:val="left"/>
      <w:pPr>
        <w:tabs>
          <w:tab w:val="num" w:pos="1788"/>
        </w:tabs>
        <w:ind w:left="1788" w:hanging="360"/>
      </w:pPr>
      <w:rPr>
        <w:rFonts w:cs="Times New Roman" w:hint="default"/>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7" w15:restartNumberingAfterBreak="0">
    <w:nsid w:val="20EA6547"/>
    <w:multiLevelType w:val="hybridMultilevel"/>
    <w:tmpl w:val="23E2E270"/>
    <w:lvl w:ilvl="0" w:tplc="C90091C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6841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20" w15:restartNumberingAfterBreak="0">
    <w:nsid w:val="21B545D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104CA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D85ACF"/>
    <w:multiLevelType w:val="hybridMultilevel"/>
    <w:tmpl w:val="2D880CC4"/>
    <w:lvl w:ilvl="0" w:tplc="AEF8DF3A">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23" w15:restartNumberingAfterBreak="0">
    <w:nsid w:val="2F5D38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1C61B4"/>
    <w:multiLevelType w:val="singleLevel"/>
    <w:tmpl w:val="1ECCD4F4"/>
    <w:lvl w:ilvl="0">
      <w:start w:val="1"/>
      <w:numFmt w:val="decimal"/>
      <w:lvlText w:val="%1)"/>
      <w:lvlJc w:val="left"/>
      <w:pPr>
        <w:tabs>
          <w:tab w:val="num" w:pos="397"/>
        </w:tabs>
        <w:ind w:left="397" w:hanging="397"/>
      </w:pPr>
      <w:rPr>
        <w:rFonts w:cs="Times New Roman"/>
      </w:rPr>
    </w:lvl>
  </w:abstractNum>
  <w:abstractNum w:abstractNumId="25" w15:restartNumberingAfterBreak="0">
    <w:nsid w:val="34DA3F7B"/>
    <w:multiLevelType w:val="hybridMultilevel"/>
    <w:tmpl w:val="2F52C65C"/>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94131B"/>
    <w:multiLevelType w:val="multilevel"/>
    <w:tmpl w:val="0415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40401F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D450BC"/>
    <w:multiLevelType w:val="hybridMultilevel"/>
    <w:tmpl w:val="DB9EE22E"/>
    <w:lvl w:ilvl="0" w:tplc="99C0CC2A">
      <w:start w:val="2"/>
      <w:numFmt w:val="lowerLetter"/>
      <w:lvlText w:val="%1)"/>
      <w:lvlJc w:val="left"/>
      <w:pPr>
        <w:tabs>
          <w:tab w:val="num" w:pos="921"/>
        </w:tabs>
        <w:ind w:left="921" w:hanging="360"/>
      </w:pPr>
      <w:rPr>
        <w:rFonts w:cs="Times New Roman" w:hint="default"/>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29" w15:restartNumberingAfterBreak="0">
    <w:nsid w:val="45A8018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1BE20CA"/>
    <w:multiLevelType w:val="hybridMultilevel"/>
    <w:tmpl w:val="E6EEC812"/>
    <w:lvl w:ilvl="0" w:tplc="E9A4CF94">
      <w:start w:val="1"/>
      <w:numFmt w:val="lowerLetter"/>
      <w:lvlText w:val="%1)"/>
      <w:lvlJc w:val="left"/>
      <w:pPr>
        <w:ind w:left="1863" w:hanging="48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1" w15:restartNumberingAfterBreak="0">
    <w:nsid w:val="547560F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7A1036E"/>
    <w:multiLevelType w:val="hybridMultilevel"/>
    <w:tmpl w:val="C7D821C8"/>
    <w:lvl w:ilvl="0" w:tplc="A47C90BA">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3" w15:restartNumberingAfterBreak="0">
    <w:nsid w:val="5A9A09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A757D5"/>
    <w:multiLevelType w:val="singleLevel"/>
    <w:tmpl w:val="92B6EFF2"/>
    <w:lvl w:ilvl="0">
      <w:start w:val="1"/>
      <w:numFmt w:val="lowerLetter"/>
      <w:lvlText w:val="%1)"/>
      <w:lvlJc w:val="left"/>
      <w:pPr>
        <w:tabs>
          <w:tab w:val="num" w:pos="786"/>
        </w:tabs>
        <w:ind w:left="786" w:hanging="360"/>
      </w:pPr>
      <w:rPr>
        <w:rFonts w:cs="Times New Roman" w:hint="default"/>
      </w:rPr>
    </w:lvl>
  </w:abstractNum>
  <w:abstractNum w:abstractNumId="35" w15:restartNumberingAfterBreak="0">
    <w:nsid w:val="6A6444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022F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AE40EF"/>
    <w:multiLevelType w:val="hybridMultilevel"/>
    <w:tmpl w:val="47F848EC"/>
    <w:lvl w:ilvl="0" w:tplc="39DE455C">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38" w15:restartNumberingAfterBreak="0">
    <w:nsid w:val="76600E1C"/>
    <w:multiLevelType w:val="singleLevel"/>
    <w:tmpl w:val="917A9C24"/>
    <w:lvl w:ilvl="0">
      <w:start w:val="1"/>
      <w:numFmt w:val="decimal"/>
      <w:lvlText w:val="%1)"/>
      <w:lvlJc w:val="left"/>
      <w:pPr>
        <w:tabs>
          <w:tab w:val="num" w:pos="360"/>
        </w:tabs>
        <w:ind w:left="360" w:hanging="360"/>
      </w:pPr>
      <w:rPr>
        <w:rFonts w:cs="Times New Roman" w:hint="default"/>
      </w:rPr>
    </w:lvl>
  </w:abstractNum>
  <w:abstractNum w:abstractNumId="39" w15:restartNumberingAfterBreak="0">
    <w:nsid w:val="773D30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9603AC"/>
    <w:multiLevelType w:val="hybridMultilevel"/>
    <w:tmpl w:val="9E06FCA8"/>
    <w:lvl w:ilvl="0" w:tplc="04150011">
      <w:start w:val="1"/>
      <w:numFmt w:val="decimal"/>
      <w:lvlText w:val="%1)"/>
      <w:lvlJc w:val="left"/>
      <w:pPr>
        <w:tabs>
          <w:tab w:val="num" w:pos="360"/>
        </w:tabs>
        <w:ind w:left="360" w:hanging="360"/>
      </w:pPr>
      <w:rPr>
        <w:rFonts w:hint="default"/>
        <w:sz w:val="24"/>
        <w:szCs w:val="24"/>
      </w:rPr>
    </w:lvl>
    <w:lvl w:ilvl="1" w:tplc="04150011">
      <w:start w:val="1"/>
      <w:numFmt w:val="decimal"/>
      <w:lvlText w:val="%2)"/>
      <w:lvlJc w:val="left"/>
      <w:pPr>
        <w:tabs>
          <w:tab w:val="num" w:pos="1080"/>
        </w:tabs>
        <w:ind w:left="1080" w:hanging="360"/>
      </w:pPr>
      <w:rPr>
        <w:rFonts w:hint="default"/>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825823415">
    <w:abstractNumId w:val="24"/>
  </w:num>
  <w:num w:numId="2" w16cid:durableId="697512432">
    <w:abstractNumId w:val="24"/>
  </w:num>
  <w:num w:numId="3" w16cid:durableId="2113281625">
    <w:abstractNumId w:val="19"/>
  </w:num>
  <w:num w:numId="4" w16cid:durableId="79646328">
    <w:abstractNumId w:val="19"/>
  </w:num>
  <w:num w:numId="5" w16cid:durableId="1252161746">
    <w:abstractNumId w:val="38"/>
  </w:num>
  <w:num w:numId="6" w16cid:durableId="894508430">
    <w:abstractNumId w:val="34"/>
  </w:num>
  <w:num w:numId="7" w16cid:durableId="530649816">
    <w:abstractNumId w:val="38"/>
  </w:num>
  <w:num w:numId="8" w16cid:durableId="253629618">
    <w:abstractNumId w:val="34"/>
  </w:num>
  <w:num w:numId="9" w16cid:durableId="2050647812">
    <w:abstractNumId w:val="38"/>
  </w:num>
  <w:num w:numId="10" w16cid:durableId="2067561320">
    <w:abstractNumId w:val="34"/>
  </w:num>
  <w:num w:numId="11" w16cid:durableId="1714571004">
    <w:abstractNumId w:val="15"/>
  </w:num>
  <w:num w:numId="12" w16cid:durableId="599875265">
    <w:abstractNumId w:val="10"/>
  </w:num>
  <w:num w:numId="13" w16cid:durableId="2043822253">
    <w:abstractNumId w:val="16"/>
  </w:num>
  <w:num w:numId="14" w16cid:durableId="691765114">
    <w:abstractNumId w:val="28"/>
  </w:num>
  <w:num w:numId="15" w16cid:durableId="429544340">
    <w:abstractNumId w:val="15"/>
  </w:num>
  <w:num w:numId="16" w16cid:durableId="1653290762">
    <w:abstractNumId w:val="17"/>
  </w:num>
  <w:num w:numId="17" w16cid:durableId="1951862542">
    <w:abstractNumId w:val="8"/>
  </w:num>
  <w:num w:numId="18" w16cid:durableId="476535764">
    <w:abstractNumId w:val="3"/>
  </w:num>
  <w:num w:numId="19" w16cid:durableId="465391454">
    <w:abstractNumId w:val="2"/>
  </w:num>
  <w:num w:numId="20" w16cid:durableId="1584606594">
    <w:abstractNumId w:val="1"/>
  </w:num>
  <w:num w:numId="21" w16cid:durableId="2067334228">
    <w:abstractNumId w:val="0"/>
  </w:num>
  <w:num w:numId="22" w16cid:durableId="1391884536">
    <w:abstractNumId w:val="9"/>
  </w:num>
  <w:num w:numId="23" w16cid:durableId="578444046">
    <w:abstractNumId w:val="7"/>
  </w:num>
  <w:num w:numId="24" w16cid:durableId="1282885876">
    <w:abstractNumId w:val="6"/>
  </w:num>
  <w:num w:numId="25" w16cid:durableId="2048866217">
    <w:abstractNumId w:val="5"/>
  </w:num>
  <w:num w:numId="26" w16cid:durableId="1107385680">
    <w:abstractNumId w:val="4"/>
  </w:num>
  <w:num w:numId="27" w16cid:durableId="1622957913">
    <w:abstractNumId w:val="36"/>
  </w:num>
  <w:num w:numId="28" w16cid:durableId="1243030328">
    <w:abstractNumId w:val="27"/>
  </w:num>
  <w:num w:numId="29" w16cid:durableId="815297834">
    <w:abstractNumId w:val="39"/>
  </w:num>
  <w:num w:numId="30" w16cid:durableId="1675766395">
    <w:abstractNumId w:val="35"/>
  </w:num>
  <w:num w:numId="31" w16cid:durableId="377628352">
    <w:abstractNumId w:val="20"/>
  </w:num>
  <w:num w:numId="32" w16cid:durableId="797801961">
    <w:abstractNumId w:val="11"/>
  </w:num>
  <w:num w:numId="33" w16cid:durableId="2058583341">
    <w:abstractNumId w:val="33"/>
  </w:num>
  <w:num w:numId="34" w16cid:durableId="719017878">
    <w:abstractNumId w:val="21"/>
  </w:num>
  <w:num w:numId="35" w16cid:durableId="353465156">
    <w:abstractNumId w:val="18"/>
  </w:num>
  <w:num w:numId="36" w16cid:durableId="97797612">
    <w:abstractNumId w:val="23"/>
  </w:num>
  <w:num w:numId="37" w16cid:durableId="1035157284">
    <w:abstractNumId w:val="29"/>
  </w:num>
  <w:num w:numId="38" w16cid:durableId="1746606437">
    <w:abstractNumId w:val="26"/>
  </w:num>
  <w:num w:numId="39" w16cid:durableId="641036828">
    <w:abstractNumId w:val="14"/>
  </w:num>
  <w:num w:numId="40" w16cid:durableId="380177710">
    <w:abstractNumId w:val="32"/>
  </w:num>
  <w:num w:numId="41" w16cid:durableId="1084835481">
    <w:abstractNumId w:val="30"/>
  </w:num>
  <w:num w:numId="42" w16cid:durableId="1839996779">
    <w:abstractNumId w:val="22"/>
  </w:num>
  <w:num w:numId="43" w16cid:durableId="1779446150">
    <w:abstractNumId w:val="37"/>
  </w:num>
  <w:num w:numId="44" w16cid:durableId="628977962">
    <w:abstractNumId w:val="13"/>
  </w:num>
  <w:num w:numId="45" w16cid:durableId="1914004834">
    <w:abstractNumId w:val="40"/>
  </w:num>
  <w:num w:numId="46" w16cid:durableId="932906556">
    <w:abstractNumId w:val="25"/>
  </w:num>
  <w:num w:numId="47" w16cid:durableId="334262088">
    <w:abstractNumId w:val="12"/>
  </w:num>
  <w:num w:numId="48" w16cid:durableId="8968623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styleLockTheme/>
  <w:styleLockQFSet/>
  <w:defaultTabStop w:val="170"/>
  <w:hyphenationZone w:val="425"/>
  <w:drawingGridHorizontalSpacing w:val="187"/>
  <w:displayHorizontalDrawingGridEvery w:val="0"/>
  <w:displayVerticalDrawingGridEvery w:val="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BA3"/>
    <w:rsid w:val="000012DA"/>
    <w:rsid w:val="0000246E"/>
    <w:rsid w:val="00002B9F"/>
    <w:rsid w:val="00003862"/>
    <w:rsid w:val="00007FC1"/>
    <w:rsid w:val="00012A35"/>
    <w:rsid w:val="0001572D"/>
    <w:rsid w:val="00016099"/>
    <w:rsid w:val="00017DC2"/>
    <w:rsid w:val="00021522"/>
    <w:rsid w:val="000225DD"/>
    <w:rsid w:val="00023471"/>
    <w:rsid w:val="00023F13"/>
    <w:rsid w:val="00030634"/>
    <w:rsid w:val="000319C1"/>
    <w:rsid w:val="00031A8B"/>
    <w:rsid w:val="00031BCA"/>
    <w:rsid w:val="000328C8"/>
    <w:rsid w:val="000330FA"/>
    <w:rsid w:val="0003362F"/>
    <w:rsid w:val="00036B63"/>
    <w:rsid w:val="00037E1A"/>
    <w:rsid w:val="00043495"/>
    <w:rsid w:val="00046A75"/>
    <w:rsid w:val="00047312"/>
    <w:rsid w:val="000508BD"/>
    <w:rsid w:val="000517AB"/>
    <w:rsid w:val="0005339C"/>
    <w:rsid w:val="0005571B"/>
    <w:rsid w:val="00055AD7"/>
    <w:rsid w:val="00056456"/>
    <w:rsid w:val="00057AB3"/>
    <w:rsid w:val="00060076"/>
    <w:rsid w:val="00060432"/>
    <w:rsid w:val="00060D87"/>
    <w:rsid w:val="000615A5"/>
    <w:rsid w:val="00064E4C"/>
    <w:rsid w:val="00066901"/>
    <w:rsid w:val="00071BEE"/>
    <w:rsid w:val="000736CD"/>
    <w:rsid w:val="0007533B"/>
    <w:rsid w:val="0007545D"/>
    <w:rsid w:val="000760BF"/>
    <w:rsid w:val="0007613E"/>
    <w:rsid w:val="00076BFC"/>
    <w:rsid w:val="000814A7"/>
    <w:rsid w:val="00084E7F"/>
    <w:rsid w:val="0008557B"/>
    <w:rsid w:val="00085CE7"/>
    <w:rsid w:val="000906EE"/>
    <w:rsid w:val="00091BA2"/>
    <w:rsid w:val="000944EF"/>
    <w:rsid w:val="0009732D"/>
    <w:rsid w:val="000973F0"/>
    <w:rsid w:val="000A1296"/>
    <w:rsid w:val="000A1C27"/>
    <w:rsid w:val="000A1DAD"/>
    <w:rsid w:val="000A2649"/>
    <w:rsid w:val="000A323B"/>
    <w:rsid w:val="000B298D"/>
    <w:rsid w:val="000B5B2D"/>
    <w:rsid w:val="000B5DCE"/>
    <w:rsid w:val="000C05BA"/>
    <w:rsid w:val="000C0E8F"/>
    <w:rsid w:val="000C40F7"/>
    <w:rsid w:val="000C4BC4"/>
    <w:rsid w:val="000D0110"/>
    <w:rsid w:val="000D2468"/>
    <w:rsid w:val="000D318A"/>
    <w:rsid w:val="000D6173"/>
    <w:rsid w:val="000D6F83"/>
    <w:rsid w:val="000E25CC"/>
    <w:rsid w:val="000E3694"/>
    <w:rsid w:val="000E490F"/>
    <w:rsid w:val="000E6241"/>
    <w:rsid w:val="000F2B13"/>
    <w:rsid w:val="000F2BE3"/>
    <w:rsid w:val="000F3D0D"/>
    <w:rsid w:val="000F6ED4"/>
    <w:rsid w:val="000F7A6E"/>
    <w:rsid w:val="00100541"/>
    <w:rsid w:val="001042BA"/>
    <w:rsid w:val="00106D03"/>
    <w:rsid w:val="00110465"/>
    <w:rsid w:val="00110628"/>
    <w:rsid w:val="0011245A"/>
    <w:rsid w:val="0011493E"/>
    <w:rsid w:val="00115B72"/>
    <w:rsid w:val="00116416"/>
    <w:rsid w:val="001209EC"/>
    <w:rsid w:val="00120A9E"/>
    <w:rsid w:val="00125A9C"/>
    <w:rsid w:val="001270A2"/>
    <w:rsid w:val="00131237"/>
    <w:rsid w:val="001329AC"/>
    <w:rsid w:val="00134CA0"/>
    <w:rsid w:val="0014026F"/>
    <w:rsid w:val="00147A47"/>
    <w:rsid w:val="00147AA1"/>
    <w:rsid w:val="001520CF"/>
    <w:rsid w:val="0015667C"/>
    <w:rsid w:val="00157110"/>
    <w:rsid w:val="0015742A"/>
    <w:rsid w:val="00157DA1"/>
    <w:rsid w:val="00163147"/>
    <w:rsid w:val="00164C57"/>
    <w:rsid w:val="00164C9D"/>
    <w:rsid w:val="00166C5C"/>
    <w:rsid w:val="00172F7A"/>
    <w:rsid w:val="00173150"/>
    <w:rsid w:val="00173390"/>
    <w:rsid w:val="001736F0"/>
    <w:rsid w:val="00173BB3"/>
    <w:rsid w:val="001740D0"/>
    <w:rsid w:val="00174F2C"/>
    <w:rsid w:val="00180F2A"/>
    <w:rsid w:val="00181E31"/>
    <w:rsid w:val="00184B91"/>
    <w:rsid w:val="00184D4A"/>
    <w:rsid w:val="00186EC1"/>
    <w:rsid w:val="001918AF"/>
    <w:rsid w:val="00191E1F"/>
    <w:rsid w:val="0019473B"/>
    <w:rsid w:val="001952B1"/>
    <w:rsid w:val="00196E39"/>
    <w:rsid w:val="00197649"/>
    <w:rsid w:val="001A01FB"/>
    <w:rsid w:val="001A10E9"/>
    <w:rsid w:val="001A183D"/>
    <w:rsid w:val="001A2B65"/>
    <w:rsid w:val="001A3CD3"/>
    <w:rsid w:val="001A5BEF"/>
    <w:rsid w:val="001A7F15"/>
    <w:rsid w:val="001A7F72"/>
    <w:rsid w:val="001B342E"/>
    <w:rsid w:val="001C157B"/>
    <w:rsid w:val="001C1832"/>
    <w:rsid w:val="001C188C"/>
    <w:rsid w:val="001D1783"/>
    <w:rsid w:val="001D53CD"/>
    <w:rsid w:val="001D55A3"/>
    <w:rsid w:val="001D5AF5"/>
    <w:rsid w:val="001E1E73"/>
    <w:rsid w:val="001E4E0C"/>
    <w:rsid w:val="001E526D"/>
    <w:rsid w:val="001E5655"/>
    <w:rsid w:val="001F1832"/>
    <w:rsid w:val="001F220F"/>
    <w:rsid w:val="001F25B3"/>
    <w:rsid w:val="001F6616"/>
    <w:rsid w:val="001F6638"/>
    <w:rsid w:val="00202BD4"/>
    <w:rsid w:val="00204599"/>
    <w:rsid w:val="00204A97"/>
    <w:rsid w:val="002114EF"/>
    <w:rsid w:val="002166AD"/>
    <w:rsid w:val="00217871"/>
    <w:rsid w:val="00221ED8"/>
    <w:rsid w:val="002231EA"/>
    <w:rsid w:val="00223FDF"/>
    <w:rsid w:val="002279C0"/>
    <w:rsid w:val="0023727E"/>
    <w:rsid w:val="00242081"/>
    <w:rsid w:val="00243777"/>
    <w:rsid w:val="00243C45"/>
    <w:rsid w:val="002441CD"/>
    <w:rsid w:val="002501A3"/>
    <w:rsid w:val="0025166C"/>
    <w:rsid w:val="00251963"/>
    <w:rsid w:val="002555D4"/>
    <w:rsid w:val="00261A16"/>
    <w:rsid w:val="00263522"/>
    <w:rsid w:val="00264EC6"/>
    <w:rsid w:val="00271013"/>
    <w:rsid w:val="00273FE4"/>
    <w:rsid w:val="002765B4"/>
    <w:rsid w:val="00276A94"/>
    <w:rsid w:val="00287575"/>
    <w:rsid w:val="0029405D"/>
    <w:rsid w:val="00294FA6"/>
    <w:rsid w:val="00295A6F"/>
    <w:rsid w:val="002A20C4"/>
    <w:rsid w:val="002A48B5"/>
    <w:rsid w:val="002A570F"/>
    <w:rsid w:val="002A7292"/>
    <w:rsid w:val="002A7358"/>
    <w:rsid w:val="002A7902"/>
    <w:rsid w:val="002B0F6B"/>
    <w:rsid w:val="002B23B8"/>
    <w:rsid w:val="002B4429"/>
    <w:rsid w:val="002B68A6"/>
    <w:rsid w:val="002B7FAF"/>
    <w:rsid w:val="002D0C4F"/>
    <w:rsid w:val="002D1364"/>
    <w:rsid w:val="002D4D30"/>
    <w:rsid w:val="002D5000"/>
    <w:rsid w:val="002D598D"/>
    <w:rsid w:val="002D7188"/>
    <w:rsid w:val="002E1DE3"/>
    <w:rsid w:val="002E2AB6"/>
    <w:rsid w:val="002E3F34"/>
    <w:rsid w:val="002E5F79"/>
    <w:rsid w:val="002E64FA"/>
    <w:rsid w:val="002F0A00"/>
    <w:rsid w:val="002F0CFA"/>
    <w:rsid w:val="002F669F"/>
    <w:rsid w:val="00301C97"/>
    <w:rsid w:val="0031004C"/>
    <w:rsid w:val="003105F6"/>
    <w:rsid w:val="00311297"/>
    <w:rsid w:val="003113BE"/>
    <w:rsid w:val="003122CA"/>
    <w:rsid w:val="003148FD"/>
    <w:rsid w:val="003150D7"/>
    <w:rsid w:val="00321080"/>
    <w:rsid w:val="00322D45"/>
    <w:rsid w:val="0032569A"/>
    <w:rsid w:val="00325A1F"/>
    <w:rsid w:val="003268F9"/>
    <w:rsid w:val="00330BAF"/>
    <w:rsid w:val="00334E3A"/>
    <w:rsid w:val="003361DD"/>
    <w:rsid w:val="00341A6A"/>
    <w:rsid w:val="00345B9C"/>
    <w:rsid w:val="00352DAE"/>
    <w:rsid w:val="00354099"/>
    <w:rsid w:val="00354EB9"/>
    <w:rsid w:val="003602AE"/>
    <w:rsid w:val="00360929"/>
    <w:rsid w:val="003647D5"/>
    <w:rsid w:val="003674B0"/>
    <w:rsid w:val="0037727C"/>
    <w:rsid w:val="00377E70"/>
    <w:rsid w:val="00380904"/>
    <w:rsid w:val="003823EE"/>
    <w:rsid w:val="00382960"/>
    <w:rsid w:val="003846F7"/>
    <w:rsid w:val="003851ED"/>
    <w:rsid w:val="00385B39"/>
    <w:rsid w:val="00386785"/>
    <w:rsid w:val="00390E89"/>
    <w:rsid w:val="00391B1A"/>
    <w:rsid w:val="00394423"/>
    <w:rsid w:val="00395835"/>
    <w:rsid w:val="00396942"/>
    <w:rsid w:val="00396B49"/>
    <w:rsid w:val="00396E3E"/>
    <w:rsid w:val="003A306E"/>
    <w:rsid w:val="003A60DC"/>
    <w:rsid w:val="003A6A46"/>
    <w:rsid w:val="003A7A63"/>
    <w:rsid w:val="003B000C"/>
    <w:rsid w:val="003B0F1D"/>
    <w:rsid w:val="003B4A57"/>
    <w:rsid w:val="003C0AD9"/>
    <w:rsid w:val="003C0ED0"/>
    <w:rsid w:val="003C1D49"/>
    <w:rsid w:val="003C35C4"/>
    <w:rsid w:val="003D12C2"/>
    <w:rsid w:val="003D31B9"/>
    <w:rsid w:val="003D3867"/>
    <w:rsid w:val="003E0D1A"/>
    <w:rsid w:val="003E2DA3"/>
    <w:rsid w:val="003F020D"/>
    <w:rsid w:val="003F03D9"/>
    <w:rsid w:val="003F2C6B"/>
    <w:rsid w:val="003F2FBE"/>
    <w:rsid w:val="003F318D"/>
    <w:rsid w:val="003F5BAE"/>
    <w:rsid w:val="003F6ED7"/>
    <w:rsid w:val="00401C84"/>
    <w:rsid w:val="00403210"/>
    <w:rsid w:val="004035BB"/>
    <w:rsid w:val="004035EB"/>
    <w:rsid w:val="00406AEF"/>
    <w:rsid w:val="00407332"/>
    <w:rsid w:val="00407828"/>
    <w:rsid w:val="00413D8E"/>
    <w:rsid w:val="004140F2"/>
    <w:rsid w:val="00417B22"/>
    <w:rsid w:val="00421085"/>
    <w:rsid w:val="004225A4"/>
    <w:rsid w:val="0042465E"/>
    <w:rsid w:val="00424DF7"/>
    <w:rsid w:val="00431BA3"/>
    <w:rsid w:val="00432B76"/>
    <w:rsid w:val="00434D01"/>
    <w:rsid w:val="00435D26"/>
    <w:rsid w:val="00440C99"/>
    <w:rsid w:val="0044175C"/>
    <w:rsid w:val="0044431C"/>
    <w:rsid w:val="0044493A"/>
    <w:rsid w:val="004449DC"/>
    <w:rsid w:val="00445F4D"/>
    <w:rsid w:val="004504C0"/>
    <w:rsid w:val="004540A5"/>
    <w:rsid w:val="004550FB"/>
    <w:rsid w:val="0045632B"/>
    <w:rsid w:val="0046111A"/>
    <w:rsid w:val="00462946"/>
    <w:rsid w:val="00463DA8"/>
    <w:rsid w:val="00463F43"/>
    <w:rsid w:val="00464B94"/>
    <w:rsid w:val="004653A8"/>
    <w:rsid w:val="00465A0B"/>
    <w:rsid w:val="0047077C"/>
    <w:rsid w:val="00470B05"/>
    <w:rsid w:val="0047207C"/>
    <w:rsid w:val="00472CD6"/>
    <w:rsid w:val="004737F9"/>
    <w:rsid w:val="00474E3C"/>
    <w:rsid w:val="0047589B"/>
    <w:rsid w:val="00480A58"/>
    <w:rsid w:val="00482151"/>
    <w:rsid w:val="00485FAD"/>
    <w:rsid w:val="00487AED"/>
    <w:rsid w:val="00491EDF"/>
    <w:rsid w:val="00492A3F"/>
    <w:rsid w:val="00494F62"/>
    <w:rsid w:val="004A2001"/>
    <w:rsid w:val="004A3590"/>
    <w:rsid w:val="004B00A7"/>
    <w:rsid w:val="004B25E2"/>
    <w:rsid w:val="004B34D7"/>
    <w:rsid w:val="004B5037"/>
    <w:rsid w:val="004B5B2F"/>
    <w:rsid w:val="004B626A"/>
    <w:rsid w:val="004B660E"/>
    <w:rsid w:val="004C05BD"/>
    <w:rsid w:val="004C3AB3"/>
    <w:rsid w:val="004C3B06"/>
    <w:rsid w:val="004C3F97"/>
    <w:rsid w:val="004C7EE7"/>
    <w:rsid w:val="004D2DEE"/>
    <w:rsid w:val="004D2E1F"/>
    <w:rsid w:val="004D7FD9"/>
    <w:rsid w:val="004E1324"/>
    <w:rsid w:val="004E19A5"/>
    <w:rsid w:val="004E37E5"/>
    <w:rsid w:val="004E3FDB"/>
    <w:rsid w:val="004F1F4A"/>
    <w:rsid w:val="004F296D"/>
    <w:rsid w:val="004F508B"/>
    <w:rsid w:val="004F695F"/>
    <w:rsid w:val="004F6CA4"/>
    <w:rsid w:val="00500752"/>
    <w:rsid w:val="00501A50"/>
    <w:rsid w:val="0050222D"/>
    <w:rsid w:val="00503AF3"/>
    <w:rsid w:val="0050696D"/>
    <w:rsid w:val="0051094B"/>
    <w:rsid w:val="005110D7"/>
    <w:rsid w:val="00511D99"/>
    <w:rsid w:val="005128D3"/>
    <w:rsid w:val="005147E8"/>
    <w:rsid w:val="005158F2"/>
    <w:rsid w:val="00526DFC"/>
    <w:rsid w:val="00526F43"/>
    <w:rsid w:val="00527651"/>
    <w:rsid w:val="005315BE"/>
    <w:rsid w:val="005363AB"/>
    <w:rsid w:val="00544EF4"/>
    <w:rsid w:val="00545E53"/>
    <w:rsid w:val="005479D9"/>
    <w:rsid w:val="00556885"/>
    <w:rsid w:val="005572BD"/>
    <w:rsid w:val="00557A12"/>
    <w:rsid w:val="00560AC7"/>
    <w:rsid w:val="00561AFB"/>
    <w:rsid w:val="00561FA8"/>
    <w:rsid w:val="005635ED"/>
    <w:rsid w:val="00565253"/>
    <w:rsid w:val="00570191"/>
    <w:rsid w:val="00570570"/>
    <w:rsid w:val="00572512"/>
    <w:rsid w:val="00573EE6"/>
    <w:rsid w:val="0057547F"/>
    <w:rsid w:val="005754EE"/>
    <w:rsid w:val="0057617E"/>
    <w:rsid w:val="00576497"/>
    <w:rsid w:val="005835E7"/>
    <w:rsid w:val="0058397F"/>
    <w:rsid w:val="00583BF8"/>
    <w:rsid w:val="00585F33"/>
    <w:rsid w:val="00591124"/>
    <w:rsid w:val="00595F64"/>
    <w:rsid w:val="00597024"/>
    <w:rsid w:val="005A0274"/>
    <w:rsid w:val="005A095C"/>
    <w:rsid w:val="005A669D"/>
    <w:rsid w:val="005A75D8"/>
    <w:rsid w:val="005B0C6F"/>
    <w:rsid w:val="005B6518"/>
    <w:rsid w:val="005B713E"/>
    <w:rsid w:val="005C03B6"/>
    <w:rsid w:val="005C348E"/>
    <w:rsid w:val="005C68E1"/>
    <w:rsid w:val="005D3763"/>
    <w:rsid w:val="005D55E1"/>
    <w:rsid w:val="005E19F7"/>
    <w:rsid w:val="005E31CC"/>
    <w:rsid w:val="005E4F04"/>
    <w:rsid w:val="005E62C2"/>
    <w:rsid w:val="005E6C71"/>
    <w:rsid w:val="005F0963"/>
    <w:rsid w:val="005F2824"/>
    <w:rsid w:val="005F2EBA"/>
    <w:rsid w:val="005F35ED"/>
    <w:rsid w:val="005F7812"/>
    <w:rsid w:val="005F7A88"/>
    <w:rsid w:val="00603A1A"/>
    <w:rsid w:val="006046D5"/>
    <w:rsid w:val="00607A93"/>
    <w:rsid w:val="00610C08"/>
    <w:rsid w:val="00611F74"/>
    <w:rsid w:val="00615772"/>
    <w:rsid w:val="00621256"/>
    <w:rsid w:val="00621FCC"/>
    <w:rsid w:val="00622E4B"/>
    <w:rsid w:val="006333DA"/>
    <w:rsid w:val="00635134"/>
    <w:rsid w:val="006356E2"/>
    <w:rsid w:val="00642A65"/>
    <w:rsid w:val="00645DCE"/>
    <w:rsid w:val="006465AC"/>
    <w:rsid w:val="006465BF"/>
    <w:rsid w:val="00653B22"/>
    <w:rsid w:val="00657BF4"/>
    <w:rsid w:val="006603FB"/>
    <w:rsid w:val="006608DF"/>
    <w:rsid w:val="006623AC"/>
    <w:rsid w:val="006678AF"/>
    <w:rsid w:val="006701EF"/>
    <w:rsid w:val="00673BA5"/>
    <w:rsid w:val="00680058"/>
    <w:rsid w:val="00681F9F"/>
    <w:rsid w:val="006840EA"/>
    <w:rsid w:val="006844E2"/>
    <w:rsid w:val="00685267"/>
    <w:rsid w:val="006872AE"/>
    <w:rsid w:val="00690082"/>
    <w:rsid w:val="00690252"/>
    <w:rsid w:val="006946BB"/>
    <w:rsid w:val="006969FA"/>
    <w:rsid w:val="006A35D5"/>
    <w:rsid w:val="006A748A"/>
    <w:rsid w:val="006C419E"/>
    <w:rsid w:val="006C4A31"/>
    <w:rsid w:val="006C5AC2"/>
    <w:rsid w:val="006C6AFB"/>
    <w:rsid w:val="006D2735"/>
    <w:rsid w:val="006D45B2"/>
    <w:rsid w:val="006E0FCC"/>
    <w:rsid w:val="006E1E96"/>
    <w:rsid w:val="006E5E21"/>
    <w:rsid w:val="006F2648"/>
    <w:rsid w:val="006F279D"/>
    <w:rsid w:val="006F2F10"/>
    <w:rsid w:val="006F482B"/>
    <w:rsid w:val="006F6311"/>
    <w:rsid w:val="00701952"/>
    <w:rsid w:val="00702556"/>
    <w:rsid w:val="0070277E"/>
    <w:rsid w:val="00704156"/>
    <w:rsid w:val="007069FC"/>
    <w:rsid w:val="00711221"/>
    <w:rsid w:val="00712675"/>
    <w:rsid w:val="00713808"/>
    <w:rsid w:val="007151B6"/>
    <w:rsid w:val="0071520D"/>
    <w:rsid w:val="00715EDB"/>
    <w:rsid w:val="007160D5"/>
    <w:rsid w:val="007163FB"/>
    <w:rsid w:val="00717C2E"/>
    <w:rsid w:val="007204FA"/>
    <w:rsid w:val="00720B8A"/>
    <w:rsid w:val="007213B3"/>
    <w:rsid w:val="0072457F"/>
    <w:rsid w:val="00725406"/>
    <w:rsid w:val="00725883"/>
    <w:rsid w:val="0072621B"/>
    <w:rsid w:val="00727F7F"/>
    <w:rsid w:val="00730555"/>
    <w:rsid w:val="007312CC"/>
    <w:rsid w:val="00736A64"/>
    <w:rsid w:val="00737F6A"/>
    <w:rsid w:val="007410B6"/>
    <w:rsid w:val="007447A5"/>
    <w:rsid w:val="00744C6F"/>
    <w:rsid w:val="007457F6"/>
    <w:rsid w:val="00745ABB"/>
    <w:rsid w:val="00746E38"/>
    <w:rsid w:val="00747CD5"/>
    <w:rsid w:val="00753B51"/>
    <w:rsid w:val="00756629"/>
    <w:rsid w:val="007575D2"/>
    <w:rsid w:val="00757B4F"/>
    <w:rsid w:val="00757B6A"/>
    <w:rsid w:val="007610E0"/>
    <w:rsid w:val="007621AA"/>
    <w:rsid w:val="0076260A"/>
    <w:rsid w:val="00764A67"/>
    <w:rsid w:val="00770F6B"/>
    <w:rsid w:val="00771883"/>
    <w:rsid w:val="00776DC2"/>
    <w:rsid w:val="00780122"/>
    <w:rsid w:val="0078214B"/>
    <w:rsid w:val="0078498A"/>
    <w:rsid w:val="00785A55"/>
    <w:rsid w:val="00786094"/>
    <w:rsid w:val="00792207"/>
    <w:rsid w:val="00792B64"/>
    <w:rsid w:val="00792E29"/>
    <w:rsid w:val="0079379A"/>
    <w:rsid w:val="00794953"/>
    <w:rsid w:val="007A1F2F"/>
    <w:rsid w:val="007A2A5C"/>
    <w:rsid w:val="007A5150"/>
    <w:rsid w:val="007A5373"/>
    <w:rsid w:val="007A789F"/>
    <w:rsid w:val="007B567F"/>
    <w:rsid w:val="007B75BC"/>
    <w:rsid w:val="007C0BD6"/>
    <w:rsid w:val="007C3806"/>
    <w:rsid w:val="007C5BB7"/>
    <w:rsid w:val="007D07D5"/>
    <w:rsid w:val="007D1C64"/>
    <w:rsid w:val="007D32DD"/>
    <w:rsid w:val="007D6DCE"/>
    <w:rsid w:val="007D72C4"/>
    <w:rsid w:val="007E2CFE"/>
    <w:rsid w:val="007E497D"/>
    <w:rsid w:val="007E59C9"/>
    <w:rsid w:val="007F0072"/>
    <w:rsid w:val="007F2EB6"/>
    <w:rsid w:val="007F54C3"/>
    <w:rsid w:val="00802949"/>
    <w:rsid w:val="0080301E"/>
    <w:rsid w:val="0080365F"/>
    <w:rsid w:val="00812BE5"/>
    <w:rsid w:val="00817429"/>
    <w:rsid w:val="00821514"/>
    <w:rsid w:val="00821E35"/>
    <w:rsid w:val="00824591"/>
    <w:rsid w:val="00824AED"/>
    <w:rsid w:val="00827820"/>
    <w:rsid w:val="00831B8B"/>
    <w:rsid w:val="00832D23"/>
    <w:rsid w:val="0083405D"/>
    <w:rsid w:val="008352D4"/>
    <w:rsid w:val="00836DB9"/>
    <w:rsid w:val="00837C67"/>
    <w:rsid w:val="008415B0"/>
    <w:rsid w:val="00842028"/>
    <w:rsid w:val="008436B8"/>
    <w:rsid w:val="008460B6"/>
    <w:rsid w:val="00850C9D"/>
    <w:rsid w:val="00852B59"/>
    <w:rsid w:val="00856272"/>
    <w:rsid w:val="008563FF"/>
    <w:rsid w:val="0086018B"/>
    <w:rsid w:val="008611DD"/>
    <w:rsid w:val="008620DE"/>
    <w:rsid w:val="00866867"/>
    <w:rsid w:val="00872257"/>
    <w:rsid w:val="008753E6"/>
    <w:rsid w:val="0087738C"/>
    <w:rsid w:val="008802AF"/>
    <w:rsid w:val="00881926"/>
    <w:rsid w:val="0088318F"/>
    <w:rsid w:val="0088331D"/>
    <w:rsid w:val="008852B0"/>
    <w:rsid w:val="00885AE7"/>
    <w:rsid w:val="00886B60"/>
    <w:rsid w:val="00887889"/>
    <w:rsid w:val="008920FF"/>
    <w:rsid w:val="008926E8"/>
    <w:rsid w:val="00894F19"/>
    <w:rsid w:val="00896A10"/>
    <w:rsid w:val="008971B5"/>
    <w:rsid w:val="008A276C"/>
    <w:rsid w:val="008A5D26"/>
    <w:rsid w:val="008A67A9"/>
    <w:rsid w:val="008A6B13"/>
    <w:rsid w:val="008A6ECB"/>
    <w:rsid w:val="008B0BF9"/>
    <w:rsid w:val="008B2866"/>
    <w:rsid w:val="008B3859"/>
    <w:rsid w:val="008B436D"/>
    <w:rsid w:val="008B4B05"/>
    <w:rsid w:val="008B4E49"/>
    <w:rsid w:val="008B7712"/>
    <w:rsid w:val="008B7B26"/>
    <w:rsid w:val="008C3524"/>
    <w:rsid w:val="008C4061"/>
    <w:rsid w:val="008C4229"/>
    <w:rsid w:val="008C4B89"/>
    <w:rsid w:val="008C5BE0"/>
    <w:rsid w:val="008C62DB"/>
    <w:rsid w:val="008C7233"/>
    <w:rsid w:val="008D2434"/>
    <w:rsid w:val="008D32BC"/>
    <w:rsid w:val="008D65A8"/>
    <w:rsid w:val="008E171D"/>
    <w:rsid w:val="008E2785"/>
    <w:rsid w:val="008E78A3"/>
    <w:rsid w:val="008F0654"/>
    <w:rsid w:val="008F06CB"/>
    <w:rsid w:val="008F2E83"/>
    <w:rsid w:val="008F5576"/>
    <w:rsid w:val="008F612A"/>
    <w:rsid w:val="0090293D"/>
    <w:rsid w:val="009034DE"/>
    <w:rsid w:val="00905396"/>
    <w:rsid w:val="0090605D"/>
    <w:rsid w:val="00906419"/>
    <w:rsid w:val="00912889"/>
    <w:rsid w:val="00913A42"/>
    <w:rsid w:val="00914167"/>
    <w:rsid w:val="009143DB"/>
    <w:rsid w:val="00915065"/>
    <w:rsid w:val="0091576D"/>
    <w:rsid w:val="00917CE5"/>
    <w:rsid w:val="009217C0"/>
    <w:rsid w:val="00925241"/>
    <w:rsid w:val="00925CEC"/>
    <w:rsid w:val="00926A3F"/>
    <w:rsid w:val="0092794E"/>
    <w:rsid w:val="00930D30"/>
    <w:rsid w:val="0093295A"/>
    <w:rsid w:val="009332A2"/>
    <w:rsid w:val="00937598"/>
    <w:rsid w:val="0093790B"/>
    <w:rsid w:val="00943751"/>
    <w:rsid w:val="00946DD0"/>
    <w:rsid w:val="009509E6"/>
    <w:rsid w:val="00952018"/>
    <w:rsid w:val="00952800"/>
    <w:rsid w:val="0095300D"/>
    <w:rsid w:val="00956812"/>
    <w:rsid w:val="0095719A"/>
    <w:rsid w:val="009623E9"/>
    <w:rsid w:val="00963EEB"/>
    <w:rsid w:val="009648BC"/>
    <w:rsid w:val="00964C2F"/>
    <w:rsid w:val="00965F88"/>
    <w:rsid w:val="00984E03"/>
    <w:rsid w:val="009858FB"/>
    <w:rsid w:val="00987E85"/>
    <w:rsid w:val="009A0D12"/>
    <w:rsid w:val="009A1987"/>
    <w:rsid w:val="009A2BEE"/>
    <w:rsid w:val="009A5289"/>
    <w:rsid w:val="009A7A53"/>
    <w:rsid w:val="009B0402"/>
    <w:rsid w:val="009B0B75"/>
    <w:rsid w:val="009B16DF"/>
    <w:rsid w:val="009B4CB2"/>
    <w:rsid w:val="009B6701"/>
    <w:rsid w:val="009B6EF7"/>
    <w:rsid w:val="009B7000"/>
    <w:rsid w:val="009B739C"/>
    <w:rsid w:val="009C04EC"/>
    <w:rsid w:val="009C328C"/>
    <w:rsid w:val="009C39BA"/>
    <w:rsid w:val="009C4444"/>
    <w:rsid w:val="009C79AD"/>
    <w:rsid w:val="009C7CA6"/>
    <w:rsid w:val="009D3316"/>
    <w:rsid w:val="009D55AA"/>
    <w:rsid w:val="009E3E77"/>
    <w:rsid w:val="009E3FAB"/>
    <w:rsid w:val="009E5B3F"/>
    <w:rsid w:val="009E7D90"/>
    <w:rsid w:val="009F1AB0"/>
    <w:rsid w:val="009F501D"/>
    <w:rsid w:val="00A039D5"/>
    <w:rsid w:val="00A046AD"/>
    <w:rsid w:val="00A079C1"/>
    <w:rsid w:val="00A12520"/>
    <w:rsid w:val="00A130FD"/>
    <w:rsid w:val="00A13D6D"/>
    <w:rsid w:val="00A14769"/>
    <w:rsid w:val="00A16151"/>
    <w:rsid w:val="00A16EC6"/>
    <w:rsid w:val="00A17C06"/>
    <w:rsid w:val="00A2126E"/>
    <w:rsid w:val="00A21706"/>
    <w:rsid w:val="00A2181E"/>
    <w:rsid w:val="00A24FCC"/>
    <w:rsid w:val="00A26080"/>
    <w:rsid w:val="00A26A90"/>
    <w:rsid w:val="00A26B27"/>
    <w:rsid w:val="00A30E4F"/>
    <w:rsid w:val="00A32253"/>
    <w:rsid w:val="00A3310E"/>
    <w:rsid w:val="00A333A0"/>
    <w:rsid w:val="00A36260"/>
    <w:rsid w:val="00A37E70"/>
    <w:rsid w:val="00A437E1"/>
    <w:rsid w:val="00A4685E"/>
    <w:rsid w:val="00A50CD4"/>
    <w:rsid w:val="00A51191"/>
    <w:rsid w:val="00A5563F"/>
    <w:rsid w:val="00A55B67"/>
    <w:rsid w:val="00A56D62"/>
    <w:rsid w:val="00A56F07"/>
    <w:rsid w:val="00A5762C"/>
    <w:rsid w:val="00A600FC"/>
    <w:rsid w:val="00A60BCA"/>
    <w:rsid w:val="00A638DA"/>
    <w:rsid w:val="00A65B41"/>
    <w:rsid w:val="00A65E00"/>
    <w:rsid w:val="00A66A78"/>
    <w:rsid w:val="00A7436E"/>
    <w:rsid w:val="00A74E96"/>
    <w:rsid w:val="00A75A8E"/>
    <w:rsid w:val="00A824DD"/>
    <w:rsid w:val="00A83676"/>
    <w:rsid w:val="00A83B7B"/>
    <w:rsid w:val="00A84274"/>
    <w:rsid w:val="00A850F3"/>
    <w:rsid w:val="00A864E3"/>
    <w:rsid w:val="00A94574"/>
    <w:rsid w:val="00A95936"/>
    <w:rsid w:val="00A96265"/>
    <w:rsid w:val="00A97084"/>
    <w:rsid w:val="00AA1BA3"/>
    <w:rsid w:val="00AA1C2C"/>
    <w:rsid w:val="00AA35F6"/>
    <w:rsid w:val="00AA667C"/>
    <w:rsid w:val="00AA6E91"/>
    <w:rsid w:val="00AA7439"/>
    <w:rsid w:val="00AB047E"/>
    <w:rsid w:val="00AB0B0A"/>
    <w:rsid w:val="00AB0BB7"/>
    <w:rsid w:val="00AB22C6"/>
    <w:rsid w:val="00AB2AD0"/>
    <w:rsid w:val="00AB67FC"/>
    <w:rsid w:val="00AC00F2"/>
    <w:rsid w:val="00AC31B5"/>
    <w:rsid w:val="00AC4EA1"/>
    <w:rsid w:val="00AC5381"/>
    <w:rsid w:val="00AC5920"/>
    <w:rsid w:val="00AD0E65"/>
    <w:rsid w:val="00AD2BF2"/>
    <w:rsid w:val="00AD4E90"/>
    <w:rsid w:val="00AD5422"/>
    <w:rsid w:val="00AD77AB"/>
    <w:rsid w:val="00AE4179"/>
    <w:rsid w:val="00AE4400"/>
    <w:rsid w:val="00AE4425"/>
    <w:rsid w:val="00AE4FBE"/>
    <w:rsid w:val="00AE650F"/>
    <w:rsid w:val="00AE6555"/>
    <w:rsid w:val="00AE7080"/>
    <w:rsid w:val="00AE7D16"/>
    <w:rsid w:val="00AF4CAA"/>
    <w:rsid w:val="00AF571A"/>
    <w:rsid w:val="00AF60A0"/>
    <w:rsid w:val="00AF67FC"/>
    <w:rsid w:val="00AF7DF5"/>
    <w:rsid w:val="00B006E5"/>
    <w:rsid w:val="00B024C2"/>
    <w:rsid w:val="00B07700"/>
    <w:rsid w:val="00B13921"/>
    <w:rsid w:val="00B1528C"/>
    <w:rsid w:val="00B16ACD"/>
    <w:rsid w:val="00B21487"/>
    <w:rsid w:val="00B232D1"/>
    <w:rsid w:val="00B24DB5"/>
    <w:rsid w:val="00B31F9E"/>
    <w:rsid w:val="00B3268F"/>
    <w:rsid w:val="00B32C2C"/>
    <w:rsid w:val="00B33A1A"/>
    <w:rsid w:val="00B33E6C"/>
    <w:rsid w:val="00B371CC"/>
    <w:rsid w:val="00B41CD9"/>
    <w:rsid w:val="00B427E6"/>
    <w:rsid w:val="00B428A6"/>
    <w:rsid w:val="00B43E1F"/>
    <w:rsid w:val="00B45FBC"/>
    <w:rsid w:val="00B51A7D"/>
    <w:rsid w:val="00B535C2"/>
    <w:rsid w:val="00B55544"/>
    <w:rsid w:val="00B642FC"/>
    <w:rsid w:val="00B64D26"/>
    <w:rsid w:val="00B64FBB"/>
    <w:rsid w:val="00B70E22"/>
    <w:rsid w:val="00B774CB"/>
    <w:rsid w:val="00B80402"/>
    <w:rsid w:val="00B80B9A"/>
    <w:rsid w:val="00B830B7"/>
    <w:rsid w:val="00B848EA"/>
    <w:rsid w:val="00B84B2B"/>
    <w:rsid w:val="00B90500"/>
    <w:rsid w:val="00B9176C"/>
    <w:rsid w:val="00B935A4"/>
    <w:rsid w:val="00BA561A"/>
    <w:rsid w:val="00BB0DC6"/>
    <w:rsid w:val="00BB15E4"/>
    <w:rsid w:val="00BB1E19"/>
    <w:rsid w:val="00BB21D1"/>
    <w:rsid w:val="00BB32F2"/>
    <w:rsid w:val="00BB4338"/>
    <w:rsid w:val="00BB6C0E"/>
    <w:rsid w:val="00BB7B38"/>
    <w:rsid w:val="00BC11E5"/>
    <w:rsid w:val="00BC4BC6"/>
    <w:rsid w:val="00BC52FD"/>
    <w:rsid w:val="00BC6E62"/>
    <w:rsid w:val="00BC7443"/>
    <w:rsid w:val="00BD0648"/>
    <w:rsid w:val="00BD1040"/>
    <w:rsid w:val="00BD34AA"/>
    <w:rsid w:val="00BE0C44"/>
    <w:rsid w:val="00BE1B8B"/>
    <w:rsid w:val="00BE2A18"/>
    <w:rsid w:val="00BE2C01"/>
    <w:rsid w:val="00BE41EC"/>
    <w:rsid w:val="00BE56FB"/>
    <w:rsid w:val="00BF3DDE"/>
    <w:rsid w:val="00BF6589"/>
    <w:rsid w:val="00BF6F7F"/>
    <w:rsid w:val="00C00647"/>
    <w:rsid w:val="00C02764"/>
    <w:rsid w:val="00C04CEF"/>
    <w:rsid w:val="00C0662F"/>
    <w:rsid w:val="00C11943"/>
    <w:rsid w:val="00C12E96"/>
    <w:rsid w:val="00C14763"/>
    <w:rsid w:val="00C16141"/>
    <w:rsid w:val="00C230D1"/>
    <w:rsid w:val="00C2363F"/>
    <w:rsid w:val="00C236C8"/>
    <w:rsid w:val="00C260B1"/>
    <w:rsid w:val="00C26E56"/>
    <w:rsid w:val="00C31406"/>
    <w:rsid w:val="00C37194"/>
    <w:rsid w:val="00C3785C"/>
    <w:rsid w:val="00C40637"/>
    <w:rsid w:val="00C40F6C"/>
    <w:rsid w:val="00C44426"/>
    <w:rsid w:val="00C445F3"/>
    <w:rsid w:val="00C451F4"/>
    <w:rsid w:val="00C45EB1"/>
    <w:rsid w:val="00C53EFB"/>
    <w:rsid w:val="00C54A3A"/>
    <w:rsid w:val="00C55566"/>
    <w:rsid w:val="00C563FB"/>
    <w:rsid w:val="00C56448"/>
    <w:rsid w:val="00C57B8B"/>
    <w:rsid w:val="00C667BE"/>
    <w:rsid w:val="00C6766B"/>
    <w:rsid w:val="00C72223"/>
    <w:rsid w:val="00C76417"/>
    <w:rsid w:val="00C7726F"/>
    <w:rsid w:val="00C823DA"/>
    <w:rsid w:val="00C8259F"/>
    <w:rsid w:val="00C82746"/>
    <w:rsid w:val="00C8312F"/>
    <w:rsid w:val="00C84C47"/>
    <w:rsid w:val="00C858A4"/>
    <w:rsid w:val="00C86AFA"/>
    <w:rsid w:val="00C92840"/>
    <w:rsid w:val="00C967DC"/>
    <w:rsid w:val="00CA154B"/>
    <w:rsid w:val="00CB18D0"/>
    <w:rsid w:val="00CB1C8A"/>
    <w:rsid w:val="00CB24F5"/>
    <w:rsid w:val="00CB2663"/>
    <w:rsid w:val="00CB3BBE"/>
    <w:rsid w:val="00CB59E9"/>
    <w:rsid w:val="00CC0D6A"/>
    <w:rsid w:val="00CC3831"/>
    <w:rsid w:val="00CC3E3D"/>
    <w:rsid w:val="00CC519B"/>
    <w:rsid w:val="00CC637B"/>
    <w:rsid w:val="00CD12C1"/>
    <w:rsid w:val="00CD214E"/>
    <w:rsid w:val="00CD44FB"/>
    <w:rsid w:val="00CD46FA"/>
    <w:rsid w:val="00CD5973"/>
    <w:rsid w:val="00CD7822"/>
    <w:rsid w:val="00CE31A6"/>
    <w:rsid w:val="00CE5AC5"/>
    <w:rsid w:val="00CF09AA"/>
    <w:rsid w:val="00CF4813"/>
    <w:rsid w:val="00CF5233"/>
    <w:rsid w:val="00CF582B"/>
    <w:rsid w:val="00D029B8"/>
    <w:rsid w:val="00D02F60"/>
    <w:rsid w:val="00D045FD"/>
    <w:rsid w:val="00D0464E"/>
    <w:rsid w:val="00D04A96"/>
    <w:rsid w:val="00D07A7B"/>
    <w:rsid w:val="00D10E06"/>
    <w:rsid w:val="00D15197"/>
    <w:rsid w:val="00D16820"/>
    <w:rsid w:val="00D169C8"/>
    <w:rsid w:val="00D1793F"/>
    <w:rsid w:val="00D17A53"/>
    <w:rsid w:val="00D2148E"/>
    <w:rsid w:val="00D22AF5"/>
    <w:rsid w:val="00D235EA"/>
    <w:rsid w:val="00D247A9"/>
    <w:rsid w:val="00D32721"/>
    <w:rsid w:val="00D328DC"/>
    <w:rsid w:val="00D3305A"/>
    <w:rsid w:val="00D33387"/>
    <w:rsid w:val="00D402FB"/>
    <w:rsid w:val="00D4041A"/>
    <w:rsid w:val="00D4718E"/>
    <w:rsid w:val="00D47D7A"/>
    <w:rsid w:val="00D50ABD"/>
    <w:rsid w:val="00D55290"/>
    <w:rsid w:val="00D571F2"/>
    <w:rsid w:val="00D57791"/>
    <w:rsid w:val="00D6046A"/>
    <w:rsid w:val="00D62870"/>
    <w:rsid w:val="00D655D9"/>
    <w:rsid w:val="00D65872"/>
    <w:rsid w:val="00D676F3"/>
    <w:rsid w:val="00D70EEF"/>
    <w:rsid w:val="00D70EF5"/>
    <w:rsid w:val="00D71024"/>
    <w:rsid w:val="00D71A25"/>
    <w:rsid w:val="00D71FCF"/>
    <w:rsid w:val="00D72A54"/>
    <w:rsid w:val="00D72CC1"/>
    <w:rsid w:val="00D76EC9"/>
    <w:rsid w:val="00D80E7D"/>
    <w:rsid w:val="00D81397"/>
    <w:rsid w:val="00D848B9"/>
    <w:rsid w:val="00D90E69"/>
    <w:rsid w:val="00D91368"/>
    <w:rsid w:val="00D93106"/>
    <w:rsid w:val="00D933E9"/>
    <w:rsid w:val="00D9505D"/>
    <w:rsid w:val="00D953D0"/>
    <w:rsid w:val="00D959F5"/>
    <w:rsid w:val="00D96884"/>
    <w:rsid w:val="00DA3FDD"/>
    <w:rsid w:val="00DA7017"/>
    <w:rsid w:val="00DA7028"/>
    <w:rsid w:val="00DB1AD2"/>
    <w:rsid w:val="00DB2B58"/>
    <w:rsid w:val="00DB5206"/>
    <w:rsid w:val="00DB6276"/>
    <w:rsid w:val="00DB63F5"/>
    <w:rsid w:val="00DC1C6B"/>
    <w:rsid w:val="00DC2C2E"/>
    <w:rsid w:val="00DC4AF0"/>
    <w:rsid w:val="00DC64AA"/>
    <w:rsid w:val="00DC7886"/>
    <w:rsid w:val="00DD0CF2"/>
    <w:rsid w:val="00DE1554"/>
    <w:rsid w:val="00DE2901"/>
    <w:rsid w:val="00DE590F"/>
    <w:rsid w:val="00DE5989"/>
    <w:rsid w:val="00DE7DC1"/>
    <w:rsid w:val="00DF3F7E"/>
    <w:rsid w:val="00DF7648"/>
    <w:rsid w:val="00E00E29"/>
    <w:rsid w:val="00E02BAB"/>
    <w:rsid w:val="00E02F4F"/>
    <w:rsid w:val="00E042AB"/>
    <w:rsid w:val="00E04CEB"/>
    <w:rsid w:val="00E060BC"/>
    <w:rsid w:val="00E11420"/>
    <w:rsid w:val="00E132FB"/>
    <w:rsid w:val="00E170B7"/>
    <w:rsid w:val="00E177DD"/>
    <w:rsid w:val="00E178B6"/>
    <w:rsid w:val="00E20900"/>
    <w:rsid w:val="00E20C7F"/>
    <w:rsid w:val="00E2396E"/>
    <w:rsid w:val="00E24728"/>
    <w:rsid w:val="00E276AC"/>
    <w:rsid w:val="00E312F0"/>
    <w:rsid w:val="00E34A35"/>
    <w:rsid w:val="00E37C2F"/>
    <w:rsid w:val="00E4096F"/>
    <w:rsid w:val="00E41C28"/>
    <w:rsid w:val="00E44F6C"/>
    <w:rsid w:val="00E46308"/>
    <w:rsid w:val="00E51E17"/>
    <w:rsid w:val="00E52DAB"/>
    <w:rsid w:val="00E539B0"/>
    <w:rsid w:val="00E55994"/>
    <w:rsid w:val="00E60606"/>
    <w:rsid w:val="00E60C66"/>
    <w:rsid w:val="00E6164D"/>
    <w:rsid w:val="00E618C9"/>
    <w:rsid w:val="00E62774"/>
    <w:rsid w:val="00E6307C"/>
    <w:rsid w:val="00E636FA"/>
    <w:rsid w:val="00E66C50"/>
    <w:rsid w:val="00E679D3"/>
    <w:rsid w:val="00E71208"/>
    <w:rsid w:val="00E71444"/>
    <w:rsid w:val="00E71C91"/>
    <w:rsid w:val="00E720A1"/>
    <w:rsid w:val="00E75A84"/>
    <w:rsid w:val="00E75DDA"/>
    <w:rsid w:val="00E773E8"/>
    <w:rsid w:val="00E83ADD"/>
    <w:rsid w:val="00E84F38"/>
    <w:rsid w:val="00E85623"/>
    <w:rsid w:val="00E87441"/>
    <w:rsid w:val="00E91FAE"/>
    <w:rsid w:val="00E96E3F"/>
    <w:rsid w:val="00EA270C"/>
    <w:rsid w:val="00EA4974"/>
    <w:rsid w:val="00EA532E"/>
    <w:rsid w:val="00EB06D9"/>
    <w:rsid w:val="00EB192B"/>
    <w:rsid w:val="00EB19ED"/>
    <w:rsid w:val="00EB1CAB"/>
    <w:rsid w:val="00EC0F5A"/>
    <w:rsid w:val="00EC2A2A"/>
    <w:rsid w:val="00EC4265"/>
    <w:rsid w:val="00EC4CEB"/>
    <w:rsid w:val="00EC659E"/>
    <w:rsid w:val="00ED2072"/>
    <w:rsid w:val="00ED2AE0"/>
    <w:rsid w:val="00ED5553"/>
    <w:rsid w:val="00ED5E36"/>
    <w:rsid w:val="00ED6961"/>
    <w:rsid w:val="00EE2746"/>
    <w:rsid w:val="00EF0B96"/>
    <w:rsid w:val="00EF3486"/>
    <w:rsid w:val="00EF47AF"/>
    <w:rsid w:val="00EF53B6"/>
    <w:rsid w:val="00F00B73"/>
    <w:rsid w:val="00F066D9"/>
    <w:rsid w:val="00F115CA"/>
    <w:rsid w:val="00F13A1E"/>
    <w:rsid w:val="00F14817"/>
    <w:rsid w:val="00F14EBA"/>
    <w:rsid w:val="00F1510F"/>
    <w:rsid w:val="00F1533A"/>
    <w:rsid w:val="00F15E5A"/>
    <w:rsid w:val="00F17F0A"/>
    <w:rsid w:val="00F215DF"/>
    <w:rsid w:val="00F2668F"/>
    <w:rsid w:val="00F2742F"/>
    <w:rsid w:val="00F2753B"/>
    <w:rsid w:val="00F31A45"/>
    <w:rsid w:val="00F33F8B"/>
    <w:rsid w:val="00F340B2"/>
    <w:rsid w:val="00F43390"/>
    <w:rsid w:val="00F443B2"/>
    <w:rsid w:val="00F458D8"/>
    <w:rsid w:val="00F50237"/>
    <w:rsid w:val="00F53596"/>
    <w:rsid w:val="00F55BA8"/>
    <w:rsid w:val="00F55CF8"/>
    <w:rsid w:val="00F55DB1"/>
    <w:rsid w:val="00F56ACA"/>
    <w:rsid w:val="00F600FE"/>
    <w:rsid w:val="00F62891"/>
    <w:rsid w:val="00F62E4D"/>
    <w:rsid w:val="00F63A44"/>
    <w:rsid w:val="00F66B34"/>
    <w:rsid w:val="00F675B9"/>
    <w:rsid w:val="00F711C9"/>
    <w:rsid w:val="00F74C59"/>
    <w:rsid w:val="00F75C3A"/>
    <w:rsid w:val="00F82E30"/>
    <w:rsid w:val="00F831CB"/>
    <w:rsid w:val="00F848A3"/>
    <w:rsid w:val="00F84ACF"/>
    <w:rsid w:val="00F85742"/>
    <w:rsid w:val="00F85BF8"/>
    <w:rsid w:val="00F871CE"/>
    <w:rsid w:val="00F87802"/>
    <w:rsid w:val="00F91BEF"/>
    <w:rsid w:val="00F92657"/>
    <w:rsid w:val="00F92C0A"/>
    <w:rsid w:val="00F9415B"/>
    <w:rsid w:val="00F96A9F"/>
    <w:rsid w:val="00FA13C2"/>
    <w:rsid w:val="00FA7F91"/>
    <w:rsid w:val="00FB121C"/>
    <w:rsid w:val="00FB1CDD"/>
    <w:rsid w:val="00FB2C2F"/>
    <w:rsid w:val="00FB305C"/>
    <w:rsid w:val="00FB64DF"/>
    <w:rsid w:val="00FC2E3D"/>
    <w:rsid w:val="00FC3BDE"/>
    <w:rsid w:val="00FD041B"/>
    <w:rsid w:val="00FD1DBE"/>
    <w:rsid w:val="00FD25A7"/>
    <w:rsid w:val="00FD27B6"/>
    <w:rsid w:val="00FD3689"/>
    <w:rsid w:val="00FD42A3"/>
    <w:rsid w:val="00FD6926"/>
    <w:rsid w:val="00FD7468"/>
    <w:rsid w:val="00FD7CE0"/>
    <w:rsid w:val="00FE0B3B"/>
    <w:rsid w:val="00FE1984"/>
    <w:rsid w:val="00FE1BE2"/>
    <w:rsid w:val="00FE730A"/>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A50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0"/>
    <w:lsdException w:name="List Paragraph" w:semiHidden="1" w:qFormat="1"/>
    <w:lsdException w:name="Quote" w:semiHidden="1" w:qFormat="1"/>
    <w:lsdException w:name="Intense Quote" w:semiHidden="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15DF"/>
    <w:pPr>
      <w:widowControl w:val="0"/>
      <w:autoSpaceDE w:val="0"/>
      <w:autoSpaceDN w:val="0"/>
      <w:adjustRightInd w:val="0"/>
      <w:spacing w:before="113" w:line="220" w:lineRule="exact"/>
      <w:jc w:val="both"/>
    </w:pPr>
    <w:rPr>
      <w:rFonts w:eastAsiaTheme="minorEastAsia" w:cs="Arial"/>
      <w:sz w:val="20"/>
      <w:szCs w:val="20"/>
    </w:rPr>
  </w:style>
  <w:style w:type="paragraph" w:styleId="Nagwek1">
    <w:name w:val="heading 1"/>
    <w:basedOn w:val="Normalny"/>
    <w:next w:val="Normalny"/>
    <w:link w:val="Nagwek1Znak"/>
    <w:uiPriority w:val="99"/>
    <w:qFormat/>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paragraph" w:styleId="Nagwek2">
    <w:name w:val="heading 2"/>
    <w:basedOn w:val="Normalny"/>
    <w:next w:val="Normalny"/>
    <w:link w:val="Nagwek2Znak"/>
    <w:uiPriority w:val="99"/>
    <w:qFormat/>
    <w:rsid w:val="007B567F"/>
    <w:pPr>
      <w:keepNext/>
      <w:widowControl/>
      <w:autoSpaceDE/>
      <w:autoSpaceDN/>
      <w:adjustRightInd/>
      <w:spacing w:before="240" w:after="60" w:line="240" w:lineRule="auto"/>
      <w:outlineLvl w:val="1"/>
    </w:pPr>
    <w:rPr>
      <w:rFonts w:ascii="Arial" w:eastAsiaTheme="minorHAnsi" w:hAnsi="Arial" w:cstheme="minorBidi"/>
      <w:b/>
      <w:i/>
      <w:szCs w:val="22"/>
      <w:lang w:eastAsia="en-US"/>
    </w:rPr>
  </w:style>
  <w:style w:type="paragraph" w:styleId="Nagwek3">
    <w:name w:val="heading 3"/>
    <w:basedOn w:val="Normalny"/>
    <w:next w:val="Normalny"/>
    <w:link w:val="Nagwek3Znak"/>
    <w:uiPriority w:val="99"/>
    <w:qFormat/>
    <w:rsid w:val="008A67A9"/>
    <w:pPr>
      <w:keepNext/>
      <w:ind w:left="360"/>
      <w:jc w:val="center"/>
      <w:outlineLvl w:val="2"/>
    </w:pPr>
    <w:rPr>
      <w:rFonts w:eastAsia="Arial Unicode MS" w:cs="Times New Roman"/>
      <w:b/>
      <w:sz w:val="26"/>
    </w:rPr>
  </w:style>
  <w:style w:type="paragraph" w:styleId="Nagwek5">
    <w:name w:val="heading 5"/>
    <w:basedOn w:val="Normalny"/>
    <w:next w:val="Normalny"/>
    <w:link w:val="Nagwek5Znak"/>
    <w:uiPriority w:val="9"/>
    <w:semiHidden/>
    <w:unhideWhenUsed/>
    <w:qFormat/>
    <w:rsid w:val="007B567F"/>
    <w:pPr>
      <w:keepNext/>
      <w:keepLines/>
      <w:widowControl/>
      <w:autoSpaceDE/>
      <w:autoSpaceDN/>
      <w:adjustRightInd/>
      <w:spacing w:before="200" w:after="60" w:line="240" w:lineRule="auto"/>
      <w:outlineLvl w:val="4"/>
    </w:pPr>
    <w:rPr>
      <w:rFonts w:asciiTheme="majorHAnsi" w:eastAsiaTheme="majorEastAsia" w:hAnsiTheme="majorHAnsi" w:cstheme="majorBidi"/>
      <w:color w:val="243F60" w:themeColor="accent1" w:themeShade="7F"/>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aliases w:val="OZNAKA OPOMBE,FZ,number,SUPERS,Footnote Reference Superscript,BVI fnr,Footnote symbol,Footnote,(Footnote Reference),Footnote reference number,note TESI,EN Footnote Reference,Voetnootverwijzing,Times 10 Point,Exposant 3 Point"/>
    <w:uiPriority w:val="99"/>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autoSpaceDE/>
      <w:autoSpaceDN/>
      <w:adjustRightInd/>
    </w:pPr>
    <w:rPr>
      <w:rFonts w:eastAsia="Times New Roman" w:cs="Times New Roman"/>
      <w:kern w:val="1"/>
      <w:szCs w:val="24"/>
      <w:lang w:eastAsia="ar-SA"/>
    </w:rPr>
  </w:style>
  <w:style w:type="character" w:customStyle="1" w:styleId="NagwekZnak">
    <w:name w:val="Nagłówek Znak"/>
    <w:link w:val="Nagwek"/>
    <w:uiPriority w:val="99"/>
    <w:rsid w:val="00060076"/>
    <w:rPr>
      <w:rFonts w:eastAsiaTheme="minorEastAsia" w:cs="Arial"/>
      <w:kern w:val="1"/>
      <w:sz w:val="20"/>
      <w:szCs w:val="20"/>
      <w:lang w:eastAsia="ar-SA"/>
    </w:rPr>
  </w:style>
  <w:style w:type="paragraph" w:styleId="Stopka">
    <w:name w:val="footer"/>
    <w:basedOn w:val="Normalny"/>
    <w:link w:val="StopkaZnak"/>
    <w:uiPriority w:val="99"/>
    <w:rsid w:val="004C3F97"/>
    <w:pPr>
      <w:tabs>
        <w:tab w:val="center" w:pos="4536"/>
        <w:tab w:val="right" w:pos="9072"/>
      </w:tabs>
      <w:suppressAutoHyphens/>
      <w:autoSpaceDE/>
      <w:autoSpaceDN/>
      <w:adjustRightInd/>
    </w:pPr>
    <w:rPr>
      <w:rFonts w:eastAsia="Times New Roman"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99"/>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eastAsia="Times New Roman"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rsid w:val="00023F13"/>
    <w:rPr>
      <w:sz w:val="16"/>
      <w:szCs w:val="16"/>
    </w:rPr>
  </w:style>
  <w:style w:type="paragraph" w:styleId="Tekstkomentarza">
    <w:name w:val="annotation text"/>
    <w:basedOn w:val="Normalny"/>
    <w:link w:val="TekstkomentarzaZnak"/>
    <w:uiPriority w:val="99"/>
    <w:rsid w:val="00023F13"/>
    <w:rPr>
      <w:rFonts w:eastAsia="Times New Roman"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9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99"/>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rsid w:val="00341A6A"/>
    <w:rPr>
      <w:color w:val="808080"/>
    </w:rPr>
  </w:style>
  <w:style w:type="paragraph" w:customStyle="1" w:styleId="Notatkanamarginesie">
    <w:name w:val="Notatka na marginesie"/>
    <w:basedOn w:val="Normalny"/>
    <w:qFormat/>
    <w:rsid w:val="00F92657"/>
    <w:pPr>
      <w:spacing w:line="240" w:lineRule="auto"/>
    </w:pPr>
  </w:style>
  <w:style w:type="character" w:customStyle="1" w:styleId="Nagwek3Znak">
    <w:name w:val="Nagłówek 3 Znak"/>
    <w:basedOn w:val="Domylnaczcionkaakapitu"/>
    <w:link w:val="Nagwek3"/>
    <w:rsid w:val="008A67A9"/>
    <w:rPr>
      <w:rFonts w:ascii="Times New Roman" w:eastAsia="Arial Unicode MS" w:hAnsi="Times New Roman"/>
      <w:b/>
      <w:sz w:val="26"/>
      <w:szCs w:val="20"/>
    </w:rPr>
  </w:style>
  <w:style w:type="paragraph" w:styleId="Akapitzlist">
    <w:name w:val="List Paragraph"/>
    <w:basedOn w:val="Normalny"/>
    <w:uiPriority w:val="99"/>
    <w:qFormat/>
    <w:rsid w:val="008A67A9"/>
    <w:pPr>
      <w:ind w:left="720"/>
      <w:contextualSpacing/>
    </w:pPr>
    <w:rPr>
      <w:rFonts w:ascii="Calibri" w:eastAsia="Calibri" w:hAnsi="Calibri" w:cs="Times New Roman"/>
    </w:rPr>
  </w:style>
  <w:style w:type="paragraph" w:styleId="Tekstpodstawowywcity">
    <w:name w:val="Body Text Indent"/>
    <w:basedOn w:val="Normalny"/>
    <w:link w:val="TekstpodstawowywcityZnak"/>
    <w:uiPriority w:val="99"/>
    <w:rsid w:val="008A67A9"/>
    <w:pPr>
      <w:ind w:firstLine="900"/>
    </w:pPr>
    <w:rPr>
      <w:rFonts w:eastAsia="Times New Roman" w:cs="Times New Roman"/>
      <w:b/>
      <w:sz w:val="26"/>
    </w:rPr>
  </w:style>
  <w:style w:type="character" w:customStyle="1" w:styleId="TekstpodstawowywcityZnak">
    <w:name w:val="Tekst podstawowy wcięty Znak"/>
    <w:basedOn w:val="Domylnaczcionkaakapitu"/>
    <w:link w:val="Tekstpodstawowywcity"/>
    <w:rsid w:val="008A67A9"/>
    <w:rPr>
      <w:rFonts w:ascii="Times New Roman" w:hAnsi="Times New Roman"/>
      <w:b/>
      <w:sz w:val="26"/>
      <w:szCs w:val="20"/>
    </w:rPr>
  </w:style>
  <w:style w:type="paragraph" w:styleId="Tekstpodstawowywcity3">
    <w:name w:val="Body Text Indent 3"/>
    <w:basedOn w:val="Normalny"/>
    <w:link w:val="Tekstpodstawowywcity3Znak"/>
    <w:rsid w:val="008A67A9"/>
    <w:pPr>
      <w:tabs>
        <w:tab w:val="left" w:pos="0"/>
      </w:tabs>
      <w:spacing w:line="240" w:lineRule="auto"/>
      <w:ind w:firstLine="900"/>
    </w:pPr>
    <w:rPr>
      <w:rFonts w:eastAsia="Times New Roman" w:cs="Times New Roman"/>
      <w:b/>
      <w:bCs/>
      <w:color w:val="000000"/>
      <w:szCs w:val="24"/>
    </w:rPr>
  </w:style>
  <w:style w:type="character" w:customStyle="1" w:styleId="Tekstpodstawowywcity3Znak">
    <w:name w:val="Tekst podstawowy wcięty 3 Znak"/>
    <w:basedOn w:val="Domylnaczcionkaakapitu"/>
    <w:link w:val="Tekstpodstawowywcity3"/>
    <w:rsid w:val="008A67A9"/>
    <w:rPr>
      <w:rFonts w:ascii="Times New Roman" w:hAnsi="Times New Roman"/>
      <w:b/>
      <w:bCs/>
      <w:color w:val="000000"/>
    </w:rPr>
  </w:style>
  <w:style w:type="paragraph" w:styleId="Tekstprzypisukocowego">
    <w:name w:val="endnote text"/>
    <w:basedOn w:val="Normalny"/>
    <w:link w:val="TekstprzypisukocowegoZnak"/>
    <w:unhideWhenUsed/>
    <w:rsid w:val="008A67A9"/>
    <w:pPr>
      <w:spacing w:line="240" w:lineRule="auto"/>
    </w:pPr>
    <w:rPr>
      <w:rFonts w:ascii="Calibri" w:eastAsia="Calibri" w:hAnsi="Calibri" w:cs="Times New Roman"/>
    </w:rPr>
  </w:style>
  <w:style w:type="character" w:customStyle="1" w:styleId="TekstprzypisukocowegoZnak">
    <w:name w:val="Tekst przypisu końcowego Znak"/>
    <w:basedOn w:val="Domylnaczcionkaakapitu"/>
    <w:link w:val="Tekstprzypisukocowego"/>
    <w:uiPriority w:val="99"/>
    <w:semiHidden/>
    <w:rsid w:val="008A67A9"/>
    <w:rPr>
      <w:rFonts w:ascii="Calibri" w:eastAsia="Calibri" w:hAnsi="Calibri"/>
      <w:sz w:val="20"/>
      <w:szCs w:val="20"/>
    </w:rPr>
  </w:style>
  <w:style w:type="character" w:styleId="Hipercze">
    <w:name w:val="Hyperlink"/>
    <w:basedOn w:val="Domylnaczcionkaakapitu"/>
    <w:uiPriority w:val="99"/>
    <w:semiHidden/>
    <w:unhideWhenUsed/>
    <w:rsid w:val="008A67A9"/>
    <w:rPr>
      <w:color w:val="0000FF"/>
      <w:u w:val="single"/>
    </w:rPr>
  </w:style>
  <w:style w:type="paragraph" w:styleId="NormalnyWeb">
    <w:name w:val="Normal (Web)"/>
    <w:basedOn w:val="Normalny"/>
    <w:unhideWhenUsed/>
    <w:rsid w:val="008A67A9"/>
    <w:rPr>
      <w:rFonts w:cs="Times New Roman"/>
      <w:szCs w:val="24"/>
    </w:rPr>
  </w:style>
  <w:style w:type="character" w:styleId="Odwoanieprzypisukocowego">
    <w:name w:val="endnote reference"/>
    <w:basedOn w:val="Domylnaczcionkaakapitu"/>
    <w:semiHidden/>
    <w:unhideWhenUsed/>
    <w:rsid w:val="008A67A9"/>
    <w:rPr>
      <w:vertAlign w:val="superscript"/>
    </w:rPr>
  </w:style>
  <w:style w:type="character" w:customStyle="1" w:styleId="Nagwek2Znak">
    <w:name w:val="Nagłówek 2 Znak"/>
    <w:basedOn w:val="Domylnaczcionkaakapitu"/>
    <w:link w:val="Nagwek2"/>
    <w:uiPriority w:val="99"/>
    <w:rsid w:val="007B567F"/>
    <w:rPr>
      <w:rFonts w:ascii="Arial" w:eastAsiaTheme="minorHAnsi" w:hAnsi="Arial" w:cstheme="minorBidi"/>
      <w:b/>
      <w:i/>
      <w:szCs w:val="22"/>
      <w:lang w:eastAsia="en-US"/>
    </w:rPr>
  </w:style>
  <w:style w:type="character" w:customStyle="1" w:styleId="Nagwek5Znak">
    <w:name w:val="Nagłówek 5 Znak"/>
    <w:basedOn w:val="Domylnaczcionkaakapitu"/>
    <w:link w:val="Nagwek5"/>
    <w:uiPriority w:val="9"/>
    <w:semiHidden/>
    <w:rsid w:val="007B567F"/>
    <w:rPr>
      <w:rFonts w:asciiTheme="majorHAnsi" w:eastAsiaTheme="majorEastAsia" w:hAnsiTheme="majorHAnsi" w:cstheme="majorBidi"/>
      <w:color w:val="243F60" w:themeColor="accent1" w:themeShade="7F"/>
      <w:szCs w:val="22"/>
      <w:lang w:eastAsia="en-US"/>
    </w:rPr>
  </w:style>
  <w:style w:type="character" w:styleId="Numerstrony">
    <w:name w:val="page number"/>
    <w:basedOn w:val="Domylnaczcionkaakapitu"/>
    <w:uiPriority w:val="99"/>
    <w:rsid w:val="007B567F"/>
  </w:style>
  <w:style w:type="character" w:styleId="Numerwiersza">
    <w:name w:val="line number"/>
    <w:basedOn w:val="Domylnaczcionkaakapitu"/>
    <w:uiPriority w:val="99"/>
    <w:rsid w:val="007B567F"/>
  </w:style>
  <w:style w:type="paragraph" w:styleId="Tekstpodstawowy">
    <w:name w:val="Body Text"/>
    <w:basedOn w:val="Normalny"/>
    <w:link w:val="TekstpodstawowyZnak"/>
    <w:uiPriority w:val="99"/>
    <w:rsid w:val="007B567F"/>
    <w:pPr>
      <w:suppressAutoHyphens/>
      <w:autoSpaceDE/>
      <w:autoSpaceDN/>
      <w:adjustRightInd/>
      <w:spacing w:before="60" w:after="120" w:line="240" w:lineRule="auto"/>
    </w:pPr>
    <w:rPr>
      <w:rFonts w:ascii="Calibri" w:eastAsiaTheme="minorHAnsi" w:hAnsi="Calibri" w:cstheme="minorBidi"/>
      <w:szCs w:val="22"/>
      <w:lang w:eastAsia="en-US"/>
    </w:rPr>
  </w:style>
  <w:style w:type="character" w:customStyle="1" w:styleId="TekstpodstawowyZnak">
    <w:name w:val="Tekst podstawowy Znak"/>
    <w:basedOn w:val="Domylnaczcionkaakapitu"/>
    <w:link w:val="Tekstpodstawowy"/>
    <w:uiPriority w:val="99"/>
    <w:rsid w:val="007B567F"/>
    <w:rPr>
      <w:rFonts w:ascii="Calibri" w:eastAsiaTheme="minorHAnsi" w:hAnsi="Calibri" w:cstheme="minorBidi"/>
      <w:szCs w:val="22"/>
      <w:lang w:eastAsia="en-US"/>
    </w:rPr>
  </w:style>
  <w:style w:type="paragraph" w:styleId="Tekstpodstawowyzwciciem">
    <w:name w:val="Body Text First Indent"/>
    <w:basedOn w:val="Tekstpodstawowy"/>
    <w:link w:val="TekstpodstawowyzwciciemZnak"/>
    <w:uiPriority w:val="99"/>
    <w:semiHidden/>
    <w:unhideWhenUsed/>
    <w:rsid w:val="007B567F"/>
    <w:pPr>
      <w:widowControl/>
      <w:suppressAutoHyphens w:val="0"/>
      <w:spacing w:after="60"/>
      <w:ind w:firstLine="360"/>
    </w:pPr>
  </w:style>
  <w:style w:type="character" w:customStyle="1" w:styleId="TekstpodstawowyzwciciemZnak">
    <w:name w:val="Tekst podstawowy z wcięciem Znak"/>
    <w:basedOn w:val="TekstpodstawowyZnak"/>
    <w:link w:val="Tekstpodstawowyzwciciem"/>
    <w:uiPriority w:val="99"/>
    <w:semiHidden/>
    <w:rsid w:val="007B567F"/>
    <w:rPr>
      <w:rFonts w:ascii="Calibri" w:eastAsiaTheme="minorHAnsi" w:hAnsi="Calibri" w:cstheme="minorBidi"/>
      <w:szCs w:val="22"/>
      <w:lang w:eastAsia="en-US"/>
    </w:rPr>
  </w:style>
  <w:style w:type="paragraph" w:styleId="Tekstpodstawowyzwciciem2">
    <w:name w:val="Body Text First Indent 2"/>
    <w:basedOn w:val="Tekstpodstawowywcity"/>
    <w:link w:val="Tekstpodstawowyzwciciem2Znak"/>
    <w:uiPriority w:val="99"/>
    <w:semiHidden/>
    <w:unhideWhenUsed/>
    <w:rsid w:val="007B567F"/>
    <w:pPr>
      <w:widowControl/>
      <w:autoSpaceDE/>
      <w:autoSpaceDN/>
      <w:adjustRightInd/>
      <w:spacing w:before="60" w:after="60" w:line="240" w:lineRule="auto"/>
      <w:ind w:left="360" w:firstLine="360"/>
    </w:pPr>
    <w:rPr>
      <w:rFonts w:eastAsiaTheme="minorHAnsi" w:cstheme="minorBidi"/>
      <w:b w:val="0"/>
      <w:sz w:val="24"/>
      <w:szCs w:val="22"/>
      <w:lang w:eastAsia="en-US"/>
    </w:rPr>
  </w:style>
  <w:style w:type="character" w:customStyle="1" w:styleId="Tekstpodstawowyzwciciem2Znak">
    <w:name w:val="Tekst podstawowy z wcięciem 2 Znak"/>
    <w:basedOn w:val="TekstpodstawowywcityZnak"/>
    <w:link w:val="Tekstpodstawowyzwciciem2"/>
    <w:uiPriority w:val="99"/>
    <w:semiHidden/>
    <w:rsid w:val="007B567F"/>
    <w:rPr>
      <w:rFonts w:ascii="Times New Roman" w:eastAsiaTheme="minorHAnsi" w:hAnsi="Times New Roman" w:cstheme="minorBidi"/>
      <w:b w:val="0"/>
      <w:sz w:val="26"/>
      <w:szCs w:val="22"/>
      <w:lang w:eastAsia="en-US"/>
    </w:rPr>
  </w:style>
  <w:style w:type="paragraph" w:styleId="Tytu">
    <w:name w:val="Title"/>
    <w:basedOn w:val="Normalny"/>
    <w:link w:val="TytuZnak"/>
    <w:uiPriority w:val="99"/>
    <w:qFormat/>
    <w:rsid w:val="007B567F"/>
    <w:pPr>
      <w:widowControl/>
      <w:autoSpaceDE/>
      <w:autoSpaceDN/>
      <w:adjustRightInd/>
      <w:spacing w:before="240" w:after="200" w:line="276" w:lineRule="auto"/>
      <w:jc w:val="center"/>
    </w:pPr>
    <w:rPr>
      <w:rFonts w:ascii="Arial" w:eastAsia="Times New Roman" w:hAnsi="Arial" w:cstheme="minorBidi"/>
      <w:b/>
      <w:kern w:val="28"/>
      <w:sz w:val="32"/>
      <w:szCs w:val="22"/>
      <w:lang w:eastAsia="en-US"/>
    </w:rPr>
  </w:style>
  <w:style w:type="character" w:customStyle="1" w:styleId="TytuZnak">
    <w:name w:val="Tytuł Znak"/>
    <w:basedOn w:val="Domylnaczcionkaakapitu"/>
    <w:link w:val="Tytu"/>
    <w:uiPriority w:val="99"/>
    <w:rsid w:val="007B567F"/>
    <w:rPr>
      <w:rFonts w:ascii="Arial" w:hAnsi="Arial" w:cstheme="minorBidi"/>
      <w:b/>
      <w:kern w:val="28"/>
      <w:sz w:val="32"/>
      <w:szCs w:val="22"/>
      <w:lang w:eastAsia="en-US"/>
    </w:rPr>
  </w:style>
  <w:style w:type="character" w:styleId="Uwydatnienie">
    <w:name w:val="Emphasis"/>
    <w:basedOn w:val="Domylnaczcionkaakapitu"/>
    <w:qFormat/>
    <w:rsid w:val="007B567F"/>
    <w:rPr>
      <w:i/>
      <w:iCs/>
    </w:rPr>
  </w:style>
  <w:style w:type="paragraph" w:styleId="Poprawka">
    <w:name w:val="Revision"/>
    <w:rsid w:val="00F215DF"/>
    <w:pPr>
      <w:spacing w:line="240" w:lineRule="auto"/>
    </w:pPr>
    <w:rPr>
      <w:rFonts w:ascii="Times New Roman" w:hAnsi="Times New Roman"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725186">
      <w:bodyDiv w:val="1"/>
      <w:marLeft w:val="0"/>
      <w:marRight w:val="0"/>
      <w:marTop w:val="0"/>
      <w:marBottom w:val="0"/>
      <w:divBdr>
        <w:top w:val="none" w:sz="0" w:space="0" w:color="auto"/>
        <w:left w:val="none" w:sz="0" w:space="0" w:color="auto"/>
        <w:bottom w:val="none" w:sz="0" w:space="0" w:color="auto"/>
        <w:right w:val="none" w:sz="0" w:space="0" w:color="auto"/>
      </w:divBdr>
    </w:div>
    <w:div w:id="619803382">
      <w:bodyDiv w:val="1"/>
      <w:marLeft w:val="0"/>
      <w:marRight w:val="0"/>
      <w:marTop w:val="0"/>
      <w:marBottom w:val="0"/>
      <w:divBdr>
        <w:top w:val="none" w:sz="0" w:space="0" w:color="auto"/>
        <w:left w:val="none" w:sz="0" w:space="0" w:color="auto"/>
        <w:bottom w:val="none" w:sz="0" w:space="0" w:color="auto"/>
        <w:right w:val="none" w:sz="0" w:space="0" w:color="auto"/>
      </w:divBdr>
    </w:div>
    <w:div w:id="102309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6A02EE-2BEC-4DA1-B8B3-11F7EDE9C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3844</Words>
  <Characters>23068</Characters>
  <Application>Microsoft Office Word</Application>
  <DocSecurity>0</DocSecurity>
  <Lines>192</Lines>
  <Paragraphs>53</Paragraphs>
  <ScaleCrop>false</ScaleCrop>
  <Company/>
  <LinksUpToDate>false</LinksUpToDate>
  <CharactersWithSpaces>26859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2026-11-06T13:24:00Z</dcterms:created>
  <dcterms:modified xsi:type="dcterms:W3CDTF">2026-11-06T13:24:00Z</dcterms:modified>
  <cp:category/>
</cp:coreProperties>
</file>