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9E2BC" w14:textId="0E0D2DB5" w:rsidR="001D70CC" w:rsidRPr="004234D3" w:rsidRDefault="0063481F" w:rsidP="004234D3">
      <w:pPr>
        <w:spacing w:after="240" w:line="360" w:lineRule="auto"/>
        <w:jc w:val="center"/>
        <w:rPr>
          <w:rFonts w:ascii="Times New Roman" w:hAnsi="Times New Roman" w:cs="Times New Roman"/>
          <w:sz w:val="24"/>
          <w:szCs w:val="24"/>
        </w:rPr>
      </w:pPr>
      <w:r w:rsidRPr="004234D3">
        <w:rPr>
          <w:rFonts w:ascii="Times New Roman" w:hAnsi="Times New Roman" w:cs="Times New Roman"/>
          <w:sz w:val="24"/>
          <w:szCs w:val="24"/>
        </w:rPr>
        <w:t>UZASADNIENIE</w:t>
      </w:r>
    </w:p>
    <w:p w14:paraId="382D1182" w14:textId="51506819" w:rsidR="000413F5" w:rsidRPr="00F46123" w:rsidRDefault="000413F5"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Projekt ustawy przewiduje zmiany w ustawie PIT</w:t>
      </w:r>
      <w:r w:rsidRPr="00F46123">
        <w:rPr>
          <w:rStyle w:val="Odwoanieprzypisudolnego"/>
          <w:rFonts w:ascii="Times New Roman" w:hAnsi="Times New Roman" w:cs="Times New Roman"/>
          <w:sz w:val="24"/>
          <w:szCs w:val="24"/>
        </w:rPr>
        <w:footnoteReference w:id="1"/>
      </w:r>
      <w:r w:rsidRPr="00F46123">
        <w:rPr>
          <w:rFonts w:ascii="Times New Roman" w:hAnsi="Times New Roman" w:cs="Times New Roman"/>
          <w:sz w:val="24"/>
          <w:szCs w:val="24"/>
        </w:rPr>
        <w:t>, ustawie CIT</w:t>
      </w:r>
      <w:r w:rsidRPr="00F46123">
        <w:rPr>
          <w:rStyle w:val="Odwoanieprzypisudolnego"/>
          <w:rFonts w:ascii="Times New Roman" w:hAnsi="Times New Roman" w:cs="Times New Roman"/>
          <w:sz w:val="24"/>
          <w:szCs w:val="24"/>
        </w:rPr>
        <w:footnoteReference w:id="2"/>
      </w:r>
      <w:r w:rsidRPr="00F46123">
        <w:rPr>
          <w:rFonts w:ascii="Times New Roman" w:hAnsi="Times New Roman" w:cs="Times New Roman"/>
          <w:sz w:val="24"/>
          <w:szCs w:val="24"/>
        </w:rPr>
        <w:t xml:space="preserve"> oraz ustawie o ryczałcie</w:t>
      </w:r>
      <w:r w:rsidRPr="00F46123">
        <w:rPr>
          <w:rStyle w:val="Odwoanieprzypisudolnego"/>
          <w:rFonts w:ascii="Times New Roman" w:hAnsi="Times New Roman" w:cs="Times New Roman"/>
          <w:sz w:val="24"/>
          <w:szCs w:val="24"/>
        </w:rPr>
        <w:footnoteReference w:id="3"/>
      </w:r>
      <w:r w:rsidRPr="00F46123">
        <w:rPr>
          <w:rFonts w:ascii="Times New Roman" w:hAnsi="Times New Roman" w:cs="Times New Roman"/>
          <w:sz w:val="24"/>
          <w:szCs w:val="24"/>
        </w:rPr>
        <w:t>.</w:t>
      </w:r>
    </w:p>
    <w:p w14:paraId="795DC401" w14:textId="1A917AA5" w:rsidR="00A96D70" w:rsidRPr="00F46123" w:rsidRDefault="00A96D70"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Płacenie podatków to konstytucyjny obowiązek wynikający w Polsce wprost z art. 84 Konstytucji RP</w:t>
      </w:r>
      <w:r w:rsidRPr="00F46123">
        <w:rPr>
          <w:rFonts w:ascii="Times New Roman" w:hAnsi="Times New Roman" w:cs="Times New Roman"/>
          <w:sz w:val="24"/>
          <w:szCs w:val="24"/>
          <w:vertAlign w:val="superscript"/>
        </w:rPr>
        <w:footnoteReference w:id="4"/>
      </w:r>
      <w:r w:rsidRPr="00F46123">
        <w:rPr>
          <w:rFonts w:ascii="Times New Roman" w:hAnsi="Times New Roman" w:cs="Times New Roman"/>
          <w:sz w:val="24"/>
          <w:szCs w:val="24"/>
        </w:rPr>
        <w:t>, który stanowi fundament funkcjonowania państwa. Uczciwe rozliczanie się jest wyrazem nowoczesnego patriotyzmu i troski o wspólne dobro. Obowiązek ten nie może być jednak nadmiernie uciążliwy.</w:t>
      </w:r>
    </w:p>
    <w:p w14:paraId="52561ED8" w14:textId="77777777" w:rsidR="00A178EB" w:rsidRPr="00F46123" w:rsidRDefault="00A96D70"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 xml:space="preserve">Dobry system podatkowy powinien spełniać kilka podstawowych warunków. Jednym z nich jest sprawiedliwość podatkowa. Sprawiedliwość podatkowa to zasada, że każdy płaci podatki na rzecz państwa według swoich realnych możliwości zarobkowych. Opiera się na równym traktowaniu osób w takiej samej sytuacji oraz na wyższych obciążeniach dla osób </w:t>
      </w:r>
      <w:r w:rsidR="008D2DCC" w:rsidRPr="00F46123">
        <w:rPr>
          <w:rFonts w:ascii="Times New Roman" w:hAnsi="Times New Roman" w:cs="Times New Roman"/>
          <w:sz w:val="24"/>
          <w:szCs w:val="24"/>
        </w:rPr>
        <w:t xml:space="preserve">i podmiotów </w:t>
      </w:r>
      <w:r w:rsidRPr="00F46123">
        <w:rPr>
          <w:rFonts w:ascii="Times New Roman" w:hAnsi="Times New Roman" w:cs="Times New Roman"/>
          <w:sz w:val="24"/>
          <w:szCs w:val="24"/>
        </w:rPr>
        <w:t xml:space="preserve">bogatszych. </w:t>
      </w:r>
    </w:p>
    <w:p w14:paraId="0887E641" w14:textId="0EC1E5DA" w:rsidR="008D2DCC" w:rsidRPr="00F46123" w:rsidRDefault="00A96D70"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Skala podatkow</w:t>
      </w:r>
      <w:r w:rsidR="0035159D" w:rsidRPr="00F46123">
        <w:rPr>
          <w:rFonts w:ascii="Times New Roman" w:hAnsi="Times New Roman" w:cs="Times New Roman"/>
          <w:sz w:val="24"/>
          <w:szCs w:val="24"/>
        </w:rPr>
        <w:t xml:space="preserve">a </w:t>
      </w:r>
      <w:r w:rsidRPr="00F46123">
        <w:rPr>
          <w:rFonts w:ascii="Times New Roman" w:hAnsi="Times New Roman" w:cs="Times New Roman"/>
          <w:sz w:val="24"/>
          <w:szCs w:val="24"/>
        </w:rPr>
        <w:t>w ustawie PIT formalnie spełnia te wymagania, jednak obecna jej konstrukcja sprawia, że przekroczenie progu podatkowego powoduje skokowy</w:t>
      </w:r>
      <w:r w:rsidR="0035159D" w:rsidRPr="00F46123">
        <w:rPr>
          <w:rFonts w:ascii="Times New Roman" w:hAnsi="Times New Roman" w:cs="Times New Roman"/>
          <w:sz w:val="24"/>
          <w:szCs w:val="24"/>
        </w:rPr>
        <w:t xml:space="preserve"> (bo aż o 20 punktów procentowych)</w:t>
      </w:r>
      <w:r w:rsidRPr="00F46123">
        <w:rPr>
          <w:rFonts w:ascii="Times New Roman" w:hAnsi="Times New Roman" w:cs="Times New Roman"/>
          <w:sz w:val="24"/>
          <w:szCs w:val="24"/>
        </w:rPr>
        <w:t xml:space="preserve"> wzrost obciążeń podatkowych podatników</w:t>
      </w:r>
      <w:r w:rsidR="0035159D" w:rsidRPr="00F46123">
        <w:rPr>
          <w:rFonts w:ascii="Times New Roman" w:hAnsi="Times New Roman" w:cs="Times New Roman"/>
          <w:sz w:val="24"/>
          <w:szCs w:val="24"/>
        </w:rPr>
        <w:t xml:space="preserve">, którzy przekraczają roczny próg dochodu w wysokości 120 000 zł. </w:t>
      </w:r>
      <w:r w:rsidRPr="00F46123">
        <w:rPr>
          <w:rFonts w:ascii="Times New Roman" w:hAnsi="Times New Roman" w:cs="Times New Roman"/>
          <w:sz w:val="24"/>
          <w:szCs w:val="24"/>
        </w:rPr>
        <w:t>Taka konstrukcja skali podatkowej powoduje, że podatek w</w:t>
      </w:r>
      <w:r w:rsidR="006B6E46" w:rsidRPr="00F46123">
        <w:rPr>
          <w:rFonts w:ascii="Times New Roman" w:hAnsi="Times New Roman" w:cs="Times New Roman"/>
          <w:sz w:val="24"/>
          <w:szCs w:val="24"/>
        </w:rPr>
        <w:t> </w:t>
      </w:r>
      <w:r w:rsidRPr="00F46123">
        <w:rPr>
          <w:rFonts w:ascii="Times New Roman" w:hAnsi="Times New Roman" w:cs="Times New Roman"/>
          <w:sz w:val="24"/>
          <w:szCs w:val="24"/>
        </w:rPr>
        <w:t>tym kształcie postrzegany jest jako przejaw nadmiernego fiskalizmu</w:t>
      </w:r>
      <w:r w:rsidR="003D5623" w:rsidRPr="00F46123">
        <w:rPr>
          <w:rFonts w:ascii="Times New Roman" w:hAnsi="Times New Roman" w:cs="Times New Roman"/>
          <w:sz w:val="24"/>
          <w:szCs w:val="24"/>
        </w:rPr>
        <w:t>,</w:t>
      </w:r>
      <w:r w:rsidR="0035159D" w:rsidRPr="00F46123">
        <w:rPr>
          <w:rFonts w:ascii="Times New Roman" w:hAnsi="Times New Roman" w:cs="Times New Roman"/>
          <w:sz w:val="24"/>
          <w:szCs w:val="24"/>
        </w:rPr>
        <w:t xml:space="preserve"> szczególnie dla podatników zaliczanych do tzw. „klasy średniej”, która stanowi fundament gospodarczy państwa</w:t>
      </w:r>
      <w:r w:rsidRPr="00F46123">
        <w:rPr>
          <w:rFonts w:ascii="Times New Roman" w:hAnsi="Times New Roman" w:cs="Times New Roman"/>
          <w:sz w:val="24"/>
          <w:szCs w:val="24"/>
        </w:rPr>
        <w:t>.</w:t>
      </w:r>
      <w:r w:rsidR="0035159D" w:rsidRPr="00F46123">
        <w:rPr>
          <w:rFonts w:ascii="Times New Roman" w:hAnsi="Times New Roman" w:cs="Times New Roman"/>
          <w:sz w:val="24"/>
          <w:szCs w:val="24"/>
        </w:rPr>
        <w:t xml:space="preserve"> </w:t>
      </w:r>
      <w:r w:rsidRPr="00F46123">
        <w:rPr>
          <w:rFonts w:ascii="Times New Roman" w:hAnsi="Times New Roman" w:cs="Times New Roman"/>
          <w:sz w:val="24"/>
          <w:szCs w:val="24"/>
        </w:rPr>
        <w:t xml:space="preserve">Stąd projektowana ustawa w zakresie zmian w ustawie PIT jest skierowana </w:t>
      </w:r>
      <w:r w:rsidR="0035159D" w:rsidRPr="00F46123">
        <w:rPr>
          <w:rFonts w:ascii="Times New Roman" w:hAnsi="Times New Roman" w:cs="Times New Roman"/>
          <w:sz w:val="24"/>
          <w:szCs w:val="24"/>
        </w:rPr>
        <w:t xml:space="preserve">właśnie </w:t>
      </w:r>
      <w:r w:rsidR="00A178EB" w:rsidRPr="00F46123">
        <w:rPr>
          <w:rFonts w:ascii="Times New Roman" w:hAnsi="Times New Roman" w:cs="Times New Roman"/>
          <w:sz w:val="24"/>
          <w:szCs w:val="24"/>
        </w:rPr>
        <w:t xml:space="preserve">do </w:t>
      </w:r>
      <w:r w:rsidR="0035159D" w:rsidRPr="00F46123">
        <w:rPr>
          <w:rFonts w:ascii="Times New Roman" w:hAnsi="Times New Roman" w:cs="Times New Roman"/>
          <w:sz w:val="24"/>
          <w:szCs w:val="24"/>
        </w:rPr>
        <w:t>klasy średniej, a dokładnie do około</w:t>
      </w:r>
      <w:r w:rsidRPr="00F46123">
        <w:rPr>
          <w:rFonts w:ascii="Times New Roman" w:hAnsi="Times New Roman" w:cs="Times New Roman"/>
          <w:sz w:val="24"/>
          <w:szCs w:val="24"/>
        </w:rPr>
        <w:t xml:space="preserve"> 3,5 mln podatników opłacających podatek według skali podatkowej, czyli do osób uzyskujących dochody </w:t>
      </w:r>
      <w:r w:rsidR="0035159D" w:rsidRPr="00F46123">
        <w:rPr>
          <w:rFonts w:ascii="Times New Roman" w:hAnsi="Times New Roman" w:cs="Times New Roman"/>
          <w:sz w:val="24"/>
          <w:szCs w:val="24"/>
        </w:rPr>
        <w:t xml:space="preserve">głównie </w:t>
      </w:r>
      <w:r w:rsidRPr="00F46123">
        <w:rPr>
          <w:rFonts w:ascii="Times New Roman" w:hAnsi="Times New Roman" w:cs="Times New Roman"/>
          <w:sz w:val="24"/>
          <w:szCs w:val="24"/>
        </w:rPr>
        <w:t xml:space="preserve">z pracy zarobkowej, niezależnie od tego, jaki zawód wykonują. </w:t>
      </w:r>
    </w:p>
    <w:p w14:paraId="23BAB499" w14:textId="02468145" w:rsidR="00A96D70" w:rsidRPr="00F46123" w:rsidRDefault="006E3BFA"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Korzystne dla podatników z</w:t>
      </w:r>
      <w:r w:rsidR="00A178EB" w:rsidRPr="00F46123">
        <w:rPr>
          <w:rFonts w:ascii="Times New Roman" w:hAnsi="Times New Roman" w:cs="Times New Roman"/>
          <w:sz w:val="24"/>
          <w:szCs w:val="24"/>
        </w:rPr>
        <w:t xml:space="preserve">miany </w:t>
      </w:r>
      <w:r w:rsidRPr="00F46123">
        <w:rPr>
          <w:rFonts w:ascii="Times New Roman" w:hAnsi="Times New Roman" w:cs="Times New Roman"/>
          <w:sz w:val="24"/>
          <w:szCs w:val="24"/>
        </w:rPr>
        <w:t>parametrów</w:t>
      </w:r>
      <w:r w:rsidR="00A178EB" w:rsidRPr="00F46123">
        <w:rPr>
          <w:rFonts w:ascii="Times New Roman" w:hAnsi="Times New Roman" w:cs="Times New Roman"/>
          <w:sz w:val="24"/>
          <w:szCs w:val="24"/>
        </w:rPr>
        <w:t xml:space="preserve"> skali podatkowej</w:t>
      </w:r>
      <w:r w:rsidRPr="00F46123">
        <w:rPr>
          <w:rFonts w:ascii="Times New Roman" w:hAnsi="Times New Roman" w:cs="Times New Roman"/>
          <w:sz w:val="24"/>
          <w:szCs w:val="24"/>
        </w:rPr>
        <w:t xml:space="preserve"> wymagają pozyskania źródeł ich sfinansowania. </w:t>
      </w:r>
      <w:r w:rsidR="00A96D70" w:rsidRPr="00F46123">
        <w:rPr>
          <w:rFonts w:ascii="Times New Roman" w:hAnsi="Times New Roman" w:cs="Times New Roman"/>
          <w:sz w:val="24"/>
          <w:szCs w:val="24"/>
        </w:rPr>
        <w:t xml:space="preserve">Proponowana reforma jest </w:t>
      </w:r>
      <w:r w:rsidR="00FB0807" w:rsidRPr="00F46123">
        <w:rPr>
          <w:rFonts w:ascii="Times New Roman" w:hAnsi="Times New Roman" w:cs="Times New Roman"/>
          <w:sz w:val="24"/>
          <w:szCs w:val="24"/>
        </w:rPr>
        <w:t>w tym kontekście</w:t>
      </w:r>
      <w:r w:rsidR="00A96D70" w:rsidRPr="00F46123">
        <w:rPr>
          <w:rFonts w:ascii="Times New Roman" w:hAnsi="Times New Roman" w:cs="Times New Roman"/>
          <w:sz w:val="24"/>
          <w:szCs w:val="24"/>
        </w:rPr>
        <w:t xml:space="preserve"> </w:t>
      </w:r>
      <w:r w:rsidR="00FB0807" w:rsidRPr="00F46123">
        <w:rPr>
          <w:rFonts w:ascii="Times New Roman" w:hAnsi="Times New Roman" w:cs="Times New Roman"/>
          <w:sz w:val="24"/>
          <w:szCs w:val="24"/>
        </w:rPr>
        <w:t xml:space="preserve">ściśle powiązana z </w:t>
      </w:r>
      <w:r w:rsidR="00A96D70" w:rsidRPr="00F46123">
        <w:rPr>
          <w:rFonts w:ascii="Times New Roman" w:hAnsi="Times New Roman" w:cs="Times New Roman"/>
          <w:sz w:val="24"/>
          <w:szCs w:val="24"/>
        </w:rPr>
        <w:t>innymi zmianami w</w:t>
      </w:r>
      <w:r w:rsidR="00FB0807" w:rsidRPr="00F46123">
        <w:rPr>
          <w:rFonts w:ascii="Times New Roman" w:hAnsi="Times New Roman" w:cs="Times New Roman"/>
          <w:sz w:val="24"/>
          <w:szCs w:val="24"/>
        </w:rPr>
        <w:t> </w:t>
      </w:r>
      <w:r w:rsidR="00A96D70" w:rsidRPr="00F46123">
        <w:rPr>
          <w:rFonts w:ascii="Times New Roman" w:hAnsi="Times New Roman" w:cs="Times New Roman"/>
          <w:sz w:val="24"/>
          <w:szCs w:val="24"/>
        </w:rPr>
        <w:t>ustawie PIT (</w:t>
      </w:r>
      <w:r w:rsidRPr="00F46123">
        <w:rPr>
          <w:rFonts w:ascii="Times New Roman" w:hAnsi="Times New Roman" w:cs="Times New Roman"/>
          <w:sz w:val="24"/>
          <w:szCs w:val="24"/>
        </w:rPr>
        <w:t xml:space="preserve">podwyższenie stawki </w:t>
      </w:r>
      <w:r w:rsidR="00A96D70" w:rsidRPr="00F46123">
        <w:rPr>
          <w:rFonts w:ascii="Times New Roman" w:hAnsi="Times New Roman" w:cs="Times New Roman"/>
          <w:sz w:val="24"/>
          <w:szCs w:val="24"/>
        </w:rPr>
        <w:t>danin</w:t>
      </w:r>
      <w:r w:rsidRPr="00F46123">
        <w:rPr>
          <w:rFonts w:ascii="Times New Roman" w:hAnsi="Times New Roman" w:cs="Times New Roman"/>
          <w:sz w:val="24"/>
          <w:szCs w:val="24"/>
        </w:rPr>
        <w:t>y</w:t>
      </w:r>
      <w:r w:rsidR="00A96D70" w:rsidRPr="00F46123">
        <w:rPr>
          <w:rFonts w:ascii="Times New Roman" w:hAnsi="Times New Roman" w:cs="Times New Roman"/>
          <w:sz w:val="24"/>
          <w:szCs w:val="24"/>
        </w:rPr>
        <w:t xml:space="preserve"> solidarnościow</w:t>
      </w:r>
      <w:r w:rsidRPr="00F46123">
        <w:rPr>
          <w:rFonts w:ascii="Times New Roman" w:hAnsi="Times New Roman" w:cs="Times New Roman"/>
          <w:sz w:val="24"/>
          <w:szCs w:val="24"/>
        </w:rPr>
        <w:t>ej</w:t>
      </w:r>
      <w:r w:rsidR="00A96D70" w:rsidRPr="00F46123">
        <w:rPr>
          <w:rFonts w:ascii="Times New Roman" w:hAnsi="Times New Roman" w:cs="Times New Roman"/>
          <w:sz w:val="24"/>
          <w:szCs w:val="24"/>
        </w:rPr>
        <w:t>), w ustawie CIT</w:t>
      </w:r>
      <w:r w:rsidRPr="00F46123">
        <w:rPr>
          <w:rFonts w:ascii="Times New Roman" w:hAnsi="Times New Roman" w:cs="Times New Roman"/>
          <w:sz w:val="24"/>
          <w:szCs w:val="24"/>
        </w:rPr>
        <w:t xml:space="preserve"> (podwyższenie stawki podatku dla największych podmiotów)</w:t>
      </w:r>
      <w:r w:rsidR="00A96D70" w:rsidRPr="00F46123">
        <w:rPr>
          <w:rFonts w:ascii="Times New Roman" w:hAnsi="Times New Roman" w:cs="Times New Roman"/>
          <w:sz w:val="24"/>
          <w:szCs w:val="24"/>
        </w:rPr>
        <w:t>, jak i w ustawie o ryczałcie</w:t>
      </w:r>
      <w:r w:rsidRPr="00F46123">
        <w:rPr>
          <w:rFonts w:ascii="Times New Roman" w:hAnsi="Times New Roman" w:cs="Times New Roman"/>
          <w:sz w:val="24"/>
          <w:szCs w:val="24"/>
        </w:rPr>
        <w:t xml:space="preserve"> (obniżenie limitu przychodów warunkującego wybór ryczałtu od przychodów ewidencjonowanych)</w:t>
      </w:r>
      <w:r w:rsidR="00A96D70" w:rsidRPr="00F46123">
        <w:rPr>
          <w:rFonts w:ascii="Times New Roman" w:hAnsi="Times New Roman" w:cs="Times New Roman"/>
          <w:sz w:val="24"/>
          <w:szCs w:val="24"/>
        </w:rPr>
        <w:t xml:space="preserve">. </w:t>
      </w:r>
    </w:p>
    <w:p w14:paraId="5894424D" w14:textId="77777777" w:rsidR="005F5B38" w:rsidRPr="00F46123" w:rsidRDefault="00397E84"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lastRenderedPageBreak/>
        <w:t xml:space="preserve">Przyjęte rozwiązania służą bardziej równomiernemu rozłożeniu ciężarów publicznych, przy jednoczesnym zachowaniu stabilności finansów publicznych oraz możliwości finansowania kluczowych zadań państwa. </w:t>
      </w:r>
    </w:p>
    <w:p w14:paraId="4744085E" w14:textId="1E888D2D" w:rsidR="006E3BFA" w:rsidRDefault="00397E84"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Projekt nie zmierza do zwiększenia fiskalizmu jako takiego, lecz do takiego ukształtowania obowiązków podatkowych, aby w większym stopniu uwzględniały one rzeczywist</w:t>
      </w:r>
      <w:r w:rsidR="00FB0807" w:rsidRPr="00F46123">
        <w:rPr>
          <w:rFonts w:ascii="Times New Roman" w:hAnsi="Times New Roman" w:cs="Times New Roman"/>
          <w:sz w:val="24"/>
          <w:szCs w:val="24"/>
        </w:rPr>
        <w:t>e</w:t>
      </w:r>
      <w:r w:rsidRPr="00F46123">
        <w:rPr>
          <w:rFonts w:ascii="Times New Roman" w:hAnsi="Times New Roman" w:cs="Times New Roman"/>
          <w:sz w:val="24"/>
          <w:szCs w:val="24"/>
        </w:rPr>
        <w:t xml:space="preserve"> </w:t>
      </w:r>
      <w:r w:rsidR="00FB0807" w:rsidRPr="00F46123">
        <w:rPr>
          <w:rFonts w:ascii="Times New Roman" w:hAnsi="Times New Roman" w:cs="Times New Roman"/>
          <w:sz w:val="24"/>
          <w:szCs w:val="24"/>
        </w:rPr>
        <w:t xml:space="preserve">możliwości płatnicze </w:t>
      </w:r>
      <w:r w:rsidRPr="00F46123">
        <w:rPr>
          <w:rFonts w:ascii="Times New Roman" w:hAnsi="Times New Roman" w:cs="Times New Roman"/>
          <w:sz w:val="24"/>
          <w:szCs w:val="24"/>
        </w:rPr>
        <w:t>poszczególnych grup podatników</w:t>
      </w:r>
      <w:r w:rsidR="006E3BFA" w:rsidRPr="00F46123">
        <w:rPr>
          <w:rFonts w:ascii="Times New Roman" w:hAnsi="Times New Roman" w:cs="Times New Roman"/>
          <w:sz w:val="24"/>
          <w:szCs w:val="24"/>
        </w:rPr>
        <w:t>. W związku z tym proponowane zmiany przewidują zwiększenie obciążeń przede wszystkim tych podmiotów i osób, które dysponują największym potencjałem finansowym oraz osiągają najwyższe dochody</w:t>
      </w:r>
      <w:r w:rsidR="00FB0807" w:rsidRPr="00F46123">
        <w:rPr>
          <w:rFonts w:ascii="Times New Roman" w:hAnsi="Times New Roman" w:cs="Times New Roman"/>
          <w:sz w:val="24"/>
          <w:szCs w:val="24"/>
        </w:rPr>
        <w:t>/przychody</w:t>
      </w:r>
      <w:r w:rsidR="006E3BFA" w:rsidRPr="00F46123">
        <w:rPr>
          <w:rFonts w:ascii="Times New Roman" w:hAnsi="Times New Roman" w:cs="Times New Roman"/>
          <w:sz w:val="24"/>
          <w:szCs w:val="24"/>
        </w:rPr>
        <w:t>.</w:t>
      </w:r>
    </w:p>
    <w:p w14:paraId="779CA7F9" w14:textId="77777777" w:rsidR="00F46123" w:rsidRPr="00F46123" w:rsidRDefault="00F46123" w:rsidP="004234D3">
      <w:pPr>
        <w:spacing w:after="120" w:line="360" w:lineRule="auto"/>
        <w:jc w:val="both"/>
        <w:rPr>
          <w:rFonts w:ascii="Times New Roman" w:hAnsi="Times New Roman" w:cs="Times New Roman"/>
          <w:sz w:val="24"/>
          <w:szCs w:val="24"/>
        </w:rPr>
      </w:pPr>
    </w:p>
    <w:p w14:paraId="186999D7" w14:textId="391A4C65" w:rsidR="00A11399" w:rsidRPr="00F46123" w:rsidRDefault="00A11399" w:rsidP="004234D3">
      <w:pPr>
        <w:spacing w:after="120" w:line="360" w:lineRule="auto"/>
        <w:jc w:val="both"/>
        <w:rPr>
          <w:rFonts w:ascii="Times New Roman" w:hAnsi="Times New Roman" w:cs="Times New Roman"/>
          <w:b/>
          <w:bCs/>
          <w:color w:val="2F5496" w:themeColor="accent1" w:themeShade="BF"/>
          <w:sz w:val="24"/>
          <w:szCs w:val="24"/>
        </w:rPr>
      </w:pPr>
      <w:r w:rsidRPr="00F46123">
        <w:rPr>
          <w:rFonts w:ascii="Times New Roman" w:hAnsi="Times New Roman" w:cs="Times New Roman"/>
          <w:b/>
          <w:bCs/>
          <w:color w:val="2F5496" w:themeColor="accent1" w:themeShade="BF"/>
          <w:sz w:val="24"/>
          <w:szCs w:val="24"/>
        </w:rPr>
        <w:t>I. Zmiany w ustaw</w:t>
      </w:r>
      <w:r w:rsidR="003D5623" w:rsidRPr="00F46123">
        <w:rPr>
          <w:rFonts w:ascii="Times New Roman" w:hAnsi="Times New Roman" w:cs="Times New Roman"/>
          <w:b/>
          <w:bCs/>
          <w:color w:val="2F5496" w:themeColor="accent1" w:themeShade="BF"/>
          <w:sz w:val="24"/>
          <w:szCs w:val="24"/>
        </w:rPr>
        <w:t>ie</w:t>
      </w:r>
      <w:r w:rsidRPr="00F46123">
        <w:rPr>
          <w:rFonts w:ascii="Times New Roman" w:hAnsi="Times New Roman" w:cs="Times New Roman"/>
          <w:b/>
          <w:bCs/>
          <w:color w:val="2F5496" w:themeColor="accent1" w:themeShade="BF"/>
          <w:sz w:val="24"/>
          <w:szCs w:val="24"/>
        </w:rPr>
        <w:t xml:space="preserve"> PIT</w:t>
      </w:r>
    </w:p>
    <w:p w14:paraId="2CDDC69D" w14:textId="6D6A0C5F" w:rsidR="000413F5" w:rsidRPr="00F46123" w:rsidRDefault="000413F5"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W</w:t>
      </w:r>
      <w:r w:rsidR="001D70CC" w:rsidRPr="00F46123">
        <w:rPr>
          <w:rFonts w:ascii="Times New Roman" w:hAnsi="Times New Roman" w:cs="Times New Roman"/>
          <w:sz w:val="24"/>
          <w:szCs w:val="24"/>
        </w:rPr>
        <w:t xml:space="preserve"> ustawie </w:t>
      </w:r>
      <w:r w:rsidRPr="00F46123">
        <w:rPr>
          <w:rFonts w:ascii="Times New Roman" w:hAnsi="Times New Roman" w:cs="Times New Roman"/>
          <w:sz w:val="24"/>
          <w:szCs w:val="24"/>
        </w:rPr>
        <w:t>PIT proponuje się zmiany</w:t>
      </w:r>
      <w:r w:rsidR="005A0161" w:rsidRPr="00F46123">
        <w:rPr>
          <w:rFonts w:ascii="Times New Roman" w:hAnsi="Times New Roman" w:cs="Times New Roman"/>
          <w:sz w:val="24"/>
          <w:szCs w:val="24"/>
        </w:rPr>
        <w:t xml:space="preserve"> w zakresie</w:t>
      </w:r>
      <w:r w:rsidRPr="00F46123">
        <w:rPr>
          <w:rFonts w:ascii="Times New Roman" w:hAnsi="Times New Roman" w:cs="Times New Roman"/>
          <w:sz w:val="24"/>
          <w:szCs w:val="24"/>
        </w:rPr>
        <w:t>:</w:t>
      </w:r>
    </w:p>
    <w:p w14:paraId="58D3E16F" w14:textId="40F187F9" w:rsidR="000413F5" w:rsidRPr="00F46123" w:rsidRDefault="000413F5" w:rsidP="004234D3">
      <w:pPr>
        <w:pStyle w:val="Akapitzlist"/>
        <w:numPr>
          <w:ilvl w:val="0"/>
          <w:numId w:val="11"/>
        </w:numPr>
        <w:spacing w:after="120" w:line="360" w:lineRule="auto"/>
        <w:contextualSpacing w:val="0"/>
        <w:jc w:val="both"/>
        <w:rPr>
          <w:rFonts w:ascii="Times New Roman" w:hAnsi="Times New Roman" w:cs="Times New Roman"/>
          <w:sz w:val="24"/>
          <w:szCs w:val="24"/>
        </w:rPr>
      </w:pPr>
      <w:r w:rsidRPr="00F46123">
        <w:rPr>
          <w:rFonts w:ascii="Times New Roman" w:hAnsi="Times New Roman" w:cs="Times New Roman"/>
          <w:sz w:val="24"/>
          <w:szCs w:val="24"/>
        </w:rPr>
        <w:t>parametrów skali podatkowej,</w:t>
      </w:r>
    </w:p>
    <w:p w14:paraId="3809B252" w14:textId="73D04DD1" w:rsidR="000413F5" w:rsidRPr="00F46123" w:rsidRDefault="000413F5" w:rsidP="004234D3">
      <w:pPr>
        <w:pStyle w:val="Akapitzlist"/>
        <w:numPr>
          <w:ilvl w:val="0"/>
          <w:numId w:val="11"/>
        </w:numPr>
        <w:spacing w:after="120" w:line="360" w:lineRule="auto"/>
        <w:contextualSpacing w:val="0"/>
        <w:jc w:val="both"/>
        <w:rPr>
          <w:rFonts w:ascii="Times New Roman" w:hAnsi="Times New Roman" w:cs="Times New Roman"/>
          <w:sz w:val="24"/>
          <w:szCs w:val="24"/>
        </w:rPr>
      </w:pPr>
      <w:r w:rsidRPr="00F46123">
        <w:rPr>
          <w:rFonts w:ascii="Times New Roman" w:hAnsi="Times New Roman" w:cs="Times New Roman"/>
          <w:sz w:val="24"/>
          <w:szCs w:val="24"/>
        </w:rPr>
        <w:t>daniny solidarnościowej</w:t>
      </w:r>
      <w:r w:rsidR="003D5623" w:rsidRPr="00F46123">
        <w:rPr>
          <w:rFonts w:ascii="Times New Roman" w:hAnsi="Times New Roman" w:cs="Times New Roman"/>
          <w:sz w:val="24"/>
          <w:szCs w:val="24"/>
        </w:rPr>
        <w:t>.</w:t>
      </w:r>
    </w:p>
    <w:p w14:paraId="1E296CB5" w14:textId="1C64E802" w:rsidR="005A0161" w:rsidRPr="00F46123" w:rsidRDefault="00F62B52" w:rsidP="004234D3">
      <w:pPr>
        <w:spacing w:after="120" w:line="360" w:lineRule="auto"/>
        <w:jc w:val="both"/>
        <w:rPr>
          <w:rFonts w:ascii="Times New Roman" w:hAnsi="Times New Roman" w:cs="Times New Roman"/>
          <w:b/>
          <w:bCs/>
          <w:sz w:val="24"/>
          <w:szCs w:val="24"/>
        </w:rPr>
      </w:pPr>
      <w:r w:rsidRPr="00F46123">
        <w:rPr>
          <w:rFonts w:ascii="Times New Roman" w:hAnsi="Times New Roman" w:cs="Times New Roman"/>
          <w:b/>
          <w:bCs/>
          <w:sz w:val="24"/>
          <w:szCs w:val="24"/>
        </w:rPr>
        <w:t>1</w:t>
      </w:r>
      <w:r w:rsidR="005A0161" w:rsidRPr="00F46123">
        <w:rPr>
          <w:rFonts w:ascii="Times New Roman" w:hAnsi="Times New Roman" w:cs="Times New Roman"/>
          <w:b/>
          <w:bCs/>
          <w:sz w:val="24"/>
          <w:szCs w:val="24"/>
        </w:rPr>
        <w:t>. Zmiana parametrów skali podatkowej</w:t>
      </w:r>
      <w:r w:rsidR="000F31E1" w:rsidRPr="00F46123">
        <w:rPr>
          <w:rFonts w:ascii="Times New Roman" w:hAnsi="Times New Roman" w:cs="Times New Roman"/>
          <w:b/>
          <w:bCs/>
          <w:sz w:val="24"/>
          <w:szCs w:val="24"/>
        </w:rPr>
        <w:t xml:space="preserve"> (art. 1 pkt </w:t>
      </w:r>
      <w:r w:rsidRPr="00F46123">
        <w:rPr>
          <w:rFonts w:ascii="Times New Roman" w:hAnsi="Times New Roman" w:cs="Times New Roman"/>
          <w:b/>
          <w:bCs/>
          <w:sz w:val="24"/>
          <w:szCs w:val="24"/>
        </w:rPr>
        <w:t>1</w:t>
      </w:r>
      <w:r w:rsidR="000F31E1" w:rsidRPr="00F46123">
        <w:rPr>
          <w:rFonts w:ascii="Times New Roman" w:hAnsi="Times New Roman" w:cs="Times New Roman"/>
          <w:b/>
          <w:bCs/>
          <w:sz w:val="24"/>
          <w:szCs w:val="24"/>
        </w:rPr>
        <w:t xml:space="preserve"> </w:t>
      </w:r>
      <w:r w:rsidR="0031650D" w:rsidRPr="00F46123">
        <w:rPr>
          <w:rFonts w:ascii="Times New Roman" w:hAnsi="Times New Roman" w:cs="Times New Roman"/>
          <w:b/>
          <w:bCs/>
          <w:sz w:val="24"/>
          <w:szCs w:val="24"/>
        </w:rPr>
        <w:t xml:space="preserve">i </w:t>
      </w:r>
      <w:r w:rsidR="0089434A" w:rsidRPr="00F46123">
        <w:rPr>
          <w:rFonts w:ascii="Times New Roman" w:hAnsi="Times New Roman" w:cs="Times New Roman"/>
          <w:b/>
          <w:bCs/>
          <w:sz w:val="24"/>
          <w:szCs w:val="24"/>
        </w:rPr>
        <w:t>3</w:t>
      </w:r>
      <w:r w:rsidR="0031650D" w:rsidRPr="00F46123">
        <w:rPr>
          <w:rFonts w:ascii="Times New Roman" w:hAnsi="Times New Roman" w:cs="Times New Roman"/>
          <w:b/>
          <w:bCs/>
          <w:sz w:val="24"/>
          <w:szCs w:val="24"/>
        </w:rPr>
        <w:t xml:space="preserve"> </w:t>
      </w:r>
      <w:r w:rsidR="000F31E1" w:rsidRPr="00F46123">
        <w:rPr>
          <w:rFonts w:ascii="Times New Roman" w:hAnsi="Times New Roman" w:cs="Times New Roman"/>
          <w:b/>
          <w:bCs/>
          <w:sz w:val="24"/>
          <w:szCs w:val="24"/>
        </w:rPr>
        <w:t>projektu ustawy)</w:t>
      </w:r>
    </w:p>
    <w:p w14:paraId="497A7F50" w14:textId="264480A5" w:rsidR="005A0161" w:rsidRPr="00F46123" w:rsidRDefault="005A0161"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Obecna konstrukcja skali podatkowej składa się z dwóch stawek podatku 12</w:t>
      </w:r>
      <w:r w:rsidR="003F796C" w:rsidRPr="00F46123">
        <w:rPr>
          <w:rFonts w:ascii="Times New Roman" w:hAnsi="Times New Roman" w:cs="Times New Roman"/>
          <w:sz w:val="24"/>
          <w:szCs w:val="24"/>
        </w:rPr>
        <w:t xml:space="preserve"> </w:t>
      </w:r>
      <w:r w:rsidRPr="00F46123">
        <w:rPr>
          <w:rFonts w:ascii="Times New Roman" w:hAnsi="Times New Roman" w:cs="Times New Roman"/>
          <w:sz w:val="24"/>
          <w:szCs w:val="24"/>
        </w:rPr>
        <w:t>% i 32</w:t>
      </w:r>
      <w:r w:rsidR="003F796C" w:rsidRPr="00F46123">
        <w:rPr>
          <w:rFonts w:ascii="Times New Roman" w:hAnsi="Times New Roman" w:cs="Times New Roman"/>
          <w:sz w:val="24"/>
          <w:szCs w:val="24"/>
        </w:rPr>
        <w:t xml:space="preserve"> </w:t>
      </w:r>
      <w:r w:rsidRPr="00F46123">
        <w:rPr>
          <w:rFonts w:ascii="Times New Roman" w:hAnsi="Times New Roman" w:cs="Times New Roman"/>
          <w:sz w:val="24"/>
          <w:szCs w:val="24"/>
        </w:rPr>
        <w:t>% oraz jednego progu dochodów w wysokości 120 tys. zł. Tak duża różnica w wysokości stawek podatkowych skutkuje tym, że podatnicy, którzy ze swoimi dochodami „przechodzą” do drugiego przedziału dochodowego</w:t>
      </w:r>
      <w:r w:rsidR="004234D3">
        <w:rPr>
          <w:rFonts w:ascii="Times New Roman" w:hAnsi="Times New Roman" w:cs="Times New Roman"/>
          <w:sz w:val="24"/>
          <w:szCs w:val="24"/>
        </w:rPr>
        <w:t>,</w:t>
      </w:r>
      <w:r w:rsidRPr="00F46123">
        <w:rPr>
          <w:rFonts w:ascii="Times New Roman" w:hAnsi="Times New Roman" w:cs="Times New Roman"/>
          <w:sz w:val="24"/>
          <w:szCs w:val="24"/>
        </w:rPr>
        <w:t xml:space="preserve"> „od razu” płacą znacznie wyższ</w:t>
      </w:r>
      <w:r w:rsidR="00E20D65" w:rsidRPr="00F46123">
        <w:rPr>
          <w:rFonts w:ascii="Times New Roman" w:hAnsi="Times New Roman" w:cs="Times New Roman"/>
          <w:sz w:val="24"/>
          <w:szCs w:val="24"/>
        </w:rPr>
        <w:t>e zaliczki na</w:t>
      </w:r>
      <w:r w:rsidRPr="00F46123">
        <w:rPr>
          <w:rFonts w:ascii="Times New Roman" w:hAnsi="Times New Roman" w:cs="Times New Roman"/>
          <w:sz w:val="24"/>
          <w:szCs w:val="24"/>
        </w:rPr>
        <w:t xml:space="preserve"> podatek (32</w:t>
      </w:r>
      <w:r w:rsidR="003F796C" w:rsidRPr="00F46123">
        <w:rPr>
          <w:rFonts w:ascii="Times New Roman" w:hAnsi="Times New Roman" w:cs="Times New Roman"/>
          <w:sz w:val="24"/>
          <w:szCs w:val="24"/>
        </w:rPr>
        <w:t xml:space="preserve"> </w:t>
      </w:r>
      <w:r w:rsidRPr="00F46123">
        <w:rPr>
          <w:rFonts w:ascii="Times New Roman" w:hAnsi="Times New Roman" w:cs="Times New Roman"/>
          <w:sz w:val="24"/>
          <w:szCs w:val="24"/>
        </w:rPr>
        <w:t>% od nadwyżki ponad 120 tys. zł), przez co mają znacznie mniej rozporządzalnych dochodów. W</w:t>
      </w:r>
      <w:r w:rsidR="00FB0807" w:rsidRPr="00F46123">
        <w:rPr>
          <w:rFonts w:ascii="Times New Roman" w:hAnsi="Times New Roman" w:cs="Times New Roman"/>
          <w:sz w:val="24"/>
          <w:szCs w:val="24"/>
        </w:rPr>
        <w:t> </w:t>
      </w:r>
      <w:r w:rsidRPr="00F46123">
        <w:rPr>
          <w:rFonts w:ascii="Times New Roman" w:hAnsi="Times New Roman" w:cs="Times New Roman"/>
          <w:sz w:val="24"/>
          <w:szCs w:val="24"/>
        </w:rPr>
        <w:t>konsekwencji, uzyskanie dochodów w wysokości przekraczającej próg dochodowy w skali powoduje skokowy wzrost o 20 p</w:t>
      </w:r>
      <w:r w:rsidR="005F5B38" w:rsidRPr="00F46123">
        <w:rPr>
          <w:rFonts w:ascii="Times New Roman" w:hAnsi="Times New Roman" w:cs="Times New Roman"/>
          <w:sz w:val="24"/>
          <w:szCs w:val="24"/>
        </w:rPr>
        <w:t xml:space="preserve">unktów </w:t>
      </w:r>
      <w:r w:rsidRPr="00F46123">
        <w:rPr>
          <w:rFonts w:ascii="Times New Roman" w:hAnsi="Times New Roman" w:cs="Times New Roman"/>
          <w:sz w:val="24"/>
          <w:szCs w:val="24"/>
        </w:rPr>
        <w:t>p</w:t>
      </w:r>
      <w:r w:rsidR="005F5B38" w:rsidRPr="00F46123">
        <w:rPr>
          <w:rFonts w:ascii="Times New Roman" w:hAnsi="Times New Roman" w:cs="Times New Roman"/>
          <w:sz w:val="24"/>
          <w:szCs w:val="24"/>
        </w:rPr>
        <w:t>rocentowych</w:t>
      </w:r>
      <w:r w:rsidRPr="00F46123">
        <w:rPr>
          <w:rFonts w:ascii="Times New Roman" w:hAnsi="Times New Roman" w:cs="Times New Roman"/>
          <w:sz w:val="24"/>
          <w:szCs w:val="24"/>
        </w:rPr>
        <w:t xml:space="preserve"> stawki podatku dochodowego i</w:t>
      </w:r>
      <w:r w:rsidR="00FB0807" w:rsidRPr="00F46123">
        <w:rPr>
          <w:rFonts w:ascii="Times New Roman" w:hAnsi="Times New Roman" w:cs="Times New Roman"/>
          <w:sz w:val="24"/>
          <w:szCs w:val="24"/>
        </w:rPr>
        <w:t> </w:t>
      </w:r>
      <w:r w:rsidRPr="00F46123">
        <w:rPr>
          <w:rFonts w:ascii="Times New Roman" w:hAnsi="Times New Roman" w:cs="Times New Roman"/>
          <w:sz w:val="24"/>
          <w:szCs w:val="24"/>
        </w:rPr>
        <w:t>znaczny spadek dochodów (np. wynagrodzenia) netto.</w:t>
      </w:r>
    </w:p>
    <w:p w14:paraId="5E2A0937" w14:textId="49E91565" w:rsidR="000F31E1" w:rsidRPr="00F46123" w:rsidRDefault="000F31E1"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W</w:t>
      </w:r>
      <w:r w:rsidR="00EC09E0" w:rsidRPr="00F46123">
        <w:rPr>
          <w:rFonts w:ascii="Times New Roman" w:hAnsi="Times New Roman" w:cs="Times New Roman"/>
          <w:sz w:val="24"/>
          <w:szCs w:val="24"/>
        </w:rPr>
        <w:t>edłu</w:t>
      </w:r>
      <w:r w:rsidRPr="00F46123">
        <w:rPr>
          <w:rFonts w:ascii="Times New Roman" w:hAnsi="Times New Roman" w:cs="Times New Roman"/>
          <w:sz w:val="24"/>
          <w:szCs w:val="24"/>
        </w:rPr>
        <w:t xml:space="preserve">g skali podatkowej dochody opodatkowują </w:t>
      </w:r>
      <w:r w:rsidR="00E20D65" w:rsidRPr="00F46123">
        <w:rPr>
          <w:rFonts w:ascii="Times New Roman" w:hAnsi="Times New Roman" w:cs="Times New Roman"/>
          <w:sz w:val="24"/>
          <w:szCs w:val="24"/>
        </w:rPr>
        <w:t>zarówno</w:t>
      </w:r>
      <w:r w:rsidRPr="00F46123">
        <w:rPr>
          <w:rFonts w:ascii="Times New Roman" w:hAnsi="Times New Roman" w:cs="Times New Roman"/>
          <w:sz w:val="24"/>
          <w:szCs w:val="24"/>
        </w:rPr>
        <w:t xml:space="preserve"> osoby aktywne zawodowo, tj. osoby zatrudnione w ramach stosunku pracy, jak i umów cywilnoprawnych czy prowadzące działalność gospodarczą, </w:t>
      </w:r>
      <w:r w:rsidR="00E20D65" w:rsidRPr="00F46123">
        <w:rPr>
          <w:rFonts w:ascii="Times New Roman" w:hAnsi="Times New Roman" w:cs="Times New Roman"/>
          <w:sz w:val="24"/>
          <w:szCs w:val="24"/>
        </w:rPr>
        <w:t xml:space="preserve">jak </w:t>
      </w:r>
      <w:r w:rsidRPr="00F46123">
        <w:rPr>
          <w:rFonts w:ascii="Times New Roman" w:hAnsi="Times New Roman" w:cs="Times New Roman"/>
          <w:sz w:val="24"/>
          <w:szCs w:val="24"/>
        </w:rPr>
        <w:t>również emeryci i renciści. Skala podatkowa ma również zastosowanie do dochodów z praw majątkowych, dochodów kwalifikowanych do tzw. innych źródeł przychodów (w tym do zasiłków z ubezpieczenia społecznego, np. zasiłku macierzyńskiego).</w:t>
      </w:r>
    </w:p>
    <w:p w14:paraId="45B16897" w14:textId="0042B81C" w:rsidR="000F31E1" w:rsidRPr="00F46123" w:rsidRDefault="000F31E1"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 xml:space="preserve">Z kolei dynamicznie rosnące płace Polaków spowodowały, że z roku na rok większa ich grupa przekracza próg dochodu 120 </w:t>
      </w:r>
      <w:r w:rsidR="00F300C1" w:rsidRPr="00F46123">
        <w:rPr>
          <w:rFonts w:ascii="Times New Roman" w:hAnsi="Times New Roman" w:cs="Times New Roman"/>
          <w:sz w:val="24"/>
          <w:szCs w:val="24"/>
        </w:rPr>
        <w:t>tys.</w:t>
      </w:r>
      <w:r w:rsidRPr="00F46123">
        <w:rPr>
          <w:rFonts w:ascii="Times New Roman" w:hAnsi="Times New Roman" w:cs="Times New Roman"/>
          <w:sz w:val="24"/>
          <w:szCs w:val="24"/>
        </w:rPr>
        <w:t xml:space="preserve"> zł i płaci podatek od nadwyżki według wyższej, 32</w:t>
      </w:r>
      <w:r w:rsidR="003F796C" w:rsidRPr="00F46123">
        <w:rPr>
          <w:rFonts w:ascii="Times New Roman" w:hAnsi="Times New Roman" w:cs="Times New Roman"/>
          <w:sz w:val="24"/>
          <w:szCs w:val="24"/>
        </w:rPr>
        <w:t xml:space="preserve"> </w:t>
      </w:r>
      <w:r w:rsidRPr="00F46123">
        <w:rPr>
          <w:rFonts w:ascii="Times New Roman" w:hAnsi="Times New Roman" w:cs="Times New Roman"/>
          <w:sz w:val="24"/>
          <w:szCs w:val="24"/>
        </w:rPr>
        <w:t xml:space="preserve">% stawki podatku. </w:t>
      </w:r>
    </w:p>
    <w:p w14:paraId="11DE3469" w14:textId="7D30646D" w:rsidR="000F31E1" w:rsidRPr="00F46123" w:rsidRDefault="000F31E1"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lastRenderedPageBreak/>
        <w:t>Według danych MF pochodzących z zeznań podatkowych za 2024 r., według skali podatkowej rozliczyło się ok. 26 mln podatników.</w:t>
      </w:r>
    </w:p>
    <w:p w14:paraId="346120A0" w14:textId="0C85FC84" w:rsidR="00E20D65" w:rsidRPr="00F46123" w:rsidRDefault="000F31E1"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 xml:space="preserve">Zmiana w ustawie </w:t>
      </w:r>
      <w:r w:rsidR="00F300C1" w:rsidRPr="00F46123">
        <w:rPr>
          <w:rFonts w:ascii="Times New Roman" w:hAnsi="Times New Roman" w:cs="Times New Roman"/>
          <w:sz w:val="24"/>
          <w:szCs w:val="24"/>
        </w:rPr>
        <w:t>PIT</w:t>
      </w:r>
      <w:r w:rsidRPr="00F46123">
        <w:rPr>
          <w:rFonts w:ascii="Times New Roman" w:hAnsi="Times New Roman" w:cs="Times New Roman"/>
          <w:sz w:val="24"/>
          <w:szCs w:val="24"/>
        </w:rPr>
        <w:t xml:space="preserve">, która polega na </w:t>
      </w:r>
      <w:r w:rsidR="00E20D65" w:rsidRPr="00F46123">
        <w:rPr>
          <w:rFonts w:ascii="Times New Roman" w:hAnsi="Times New Roman" w:cs="Times New Roman"/>
          <w:sz w:val="24"/>
          <w:szCs w:val="24"/>
        </w:rPr>
        <w:t>zmianie parametrów skali podatkowej</w:t>
      </w:r>
      <w:r w:rsidR="005F5B38" w:rsidRPr="00F46123">
        <w:rPr>
          <w:rFonts w:ascii="Times New Roman" w:hAnsi="Times New Roman" w:cs="Times New Roman"/>
          <w:sz w:val="24"/>
          <w:szCs w:val="24"/>
        </w:rPr>
        <w:t>,</w:t>
      </w:r>
      <w:r w:rsidRPr="00F46123">
        <w:rPr>
          <w:rFonts w:ascii="Times New Roman" w:hAnsi="Times New Roman" w:cs="Times New Roman"/>
          <w:sz w:val="24"/>
          <w:szCs w:val="24"/>
        </w:rPr>
        <w:t xml:space="preserve"> stanowi</w:t>
      </w:r>
      <w:r w:rsidR="00E20D65" w:rsidRPr="00F46123">
        <w:rPr>
          <w:rFonts w:ascii="Times New Roman" w:hAnsi="Times New Roman" w:cs="Times New Roman"/>
          <w:sz w:val="24"/>
          <w:szCs w:val="24"/>
        </w:rPr>
        <w:t>:</w:t>
      </w:r>
    </w:p>
    <w:p w14:paraId="35B0055E" w14:textId="585454F1" w:rsidR="000F31E1" w:rsidRPr="00F46123" w:rsidRDefault="000F31E1" w:rsidP="004234D3">
      <w:pPr>
        <w:pStyle w:val="Akapitzlist"/>
        <w:numPr>
          <w:ilvl w:val="0"/>
          <w:numId w:val="6"/>
        </w:numPr>
        <w:spacing w:after="120" w:line="360" w:lineRule="auto"/>
        <w:contextualSpacing w:val="0"/>
        <w:jc w:val="both"/>
        <w:rPr>
          <w:rFonts w:ascii="Times New Roman" w:hAnsi="Times New Roman" w:cs="Times New Roman"/>
          <w:sz w:val="24"/>
          <w:szCs w:val="24"/>
        </w:rPr>
      </w:pPr>
      <w:r w:rsidRPr="00F46123">
        <w:rPr>
          <w:rFonts w:ascii="Times New Roman" w:hAnsi="Times New Roman" w:cs="Times New Roman"/>
          <w:sz w:val="24"/>
          <w:szCs w:val="24"/>
        </w:rPr>
        <w:t>realizację ustaleń programowych „Koalicji 15 października”, dotyczących zmniejszenia obciążeń podatkowych nakładanych na pracujących, w celu pobudzenia aktywności zawodowej i wsparcia rodzin</w:t>
      </w:r>
      <w:r w:rsidR="007D654C" w:rsidRPr="00F46123">
        <w:rPr>
          <w:rFonts w:ascii="Times New Roman" w:hAnsi="Times New Roman" w:cs="Times New Roman"/>
          <w:sz w:val="24"/>
          <w:szCs w:val="24"/>
        </w:rPr>
        <w:t>,</w:t>
      </w:r>
    </w:p>
    <w:p w14:paraId="04F5EF6B" w14:textId="532D5E92" w:rsidR="005A0161" w:rsidRPr="00F46123" w:rsidRDefault="000F31E1" w:rsidP="004234D3">
      <w:pPr>
        <w:pStyle w:val="Akapitzlist"/>
        <w:numPr>
          <w:ilvl w:val="0"/>
          <w:numId w:val="6"/>
        </w:numPr>
        <w:spacing w:after="120" w:line="360" w:lineRule="auto"/>
        <w:contextualSpacing w:val="0"/>
        <w:jc w:val="both"/>
        <w:rPr>
          <w:rFonts w:ascii="Times New Roman" w:hAnsi="Times New Roman" w:cs="Times New Roman"/>
          <w:sz w:val="24"/>
          <w:szCs w:val="24"/>
        </w:rPr>
      </w:pPr>
      <w:r w:rsidRPr="00F46123">
        <w:rPr>
          <w:rFonts w:ascii="Times New Roman" w:hAnsi="Times New Roman" w:cs="Times New Roman"/>
          <w:sz w:val="24"/>
          <w:szCs w:val="24"/>
        </w:rPr>
        <w:t>odpowied</w:t>
      </w:r>
      <w:r w:rsidR="00E20D65" w:rsidRPr="00F46123">
        <w:rPr>
          <w:rFonts w:ascii="Times New Roman" w:hAnsi="Times New Roman" w:cs="Times New Roman"/>
          <w:sz w:val="24"/>
          <w:szCs w:val="24"/>
        </w:rPr>
        <w:t>ź</w:t>
      </w:r>
      <w:r w:rsidRPr="00F46123">
        <w:rPr>
          <w:rFonts w:ascii="Times New Roman" w:hAnsi="Times New Roman" w:cs="Times New Roman"/>
          <w:sz w:val="24"/>
          <w:szCs w:val="24"/>
        </w:rPr>
        <w:t xml:space="preserve"> na oczekiwania społeczne, </w:t>
      </w:r>
      <w:r w:rsidR="00E20D65" w:rsidRPr="00F46123">
        <w:rPr>
          <w:rFonts w:ascii="Times New Roman" w:hAnsi="Times New Roman" w:cs="Times New Roman"/>
          <w:sz w:val="24"/>
          <w:szCs w:val="24"/>
        </w:rPr>
        <w:t xml:space="preserve">polegające na likwidacji </w:t>
      </w:r>
      <w:r w:rsidR="005A0161" w:rsidRPr="00F46123">
        <w:rPr>
          <w:rFonts w:ascii="Times New Roman" w:hAnsi="Times New Roman" w:cs="Times New Roman"/>
          <w:sz w:val="24"/>
          <w:szCs w:val="24"/>
        </w:rPr>
        <w:t>skokow</w:t>
      </w:r>
      <w:r w:rsidR="00E20D65" w:rsidRPr="00F46123">
        <w:rPr>
          <w:rFonts w:ascii="Times New Roman" w:hAnsi="Times New Roman" w:cs="Times New Roman"/>
          <w:sz w:val="24"/>
          <w:szCs w:val="24"/>
        </w:rPr>
        <w:t>ego</w:t>
      </w:r>
      <w:r w:rsidR="005A0161" w:rsidRPr="00F46123">
        <w:rPr>
          <w:rFonts w:ascii="Times New Roman" w:hAnsi="Times New Roman" w:cs="Times New Roman"/>
          <w:sz w:val="24"/>
          <w:szCs w:val="24"/>
        </w:rPr>
        <w:t xml:space="preserve"> wzrost</w:t>
      </w:r>
      <w:r w:rsidR="00E20D65" w:rsidRPr="00F46123">
        <w:rPr>
          <w:rFonts w:ascii="Times New Roman" w:hAnsi="Times New Roman" w:cs="Times New Roman"/>
          <w:sz w:val="24"/>
          <w:szCs w:val="24"/>
        </w:rPr>
        <w:t>u</w:t>
      </w:r>
      <w:r w:rsidR="005A0161" w:rsidRPr="00F46123">
        <w:rPr>
          <w:rFonts w:ascii="Times New Roman" w:hAnsi="Times New Roman" w:cs="Times New Roman"/>
          <w:sz w:val="24"/>
          <w:szCs w:val="24"/>
        </w:rPr>
        <w:t xml:space="preserve"> stawki podatku po przekroczeniu progu dochodów w wysokości 120 tys. zł, i</w:t>
      </w:r>
      <w:r w:rsidR="00F46123" w:rsidRPr="00F46123">
        <w:rPr>
          <w:rFonts w:ascii="Times New Roman" w:hAnsi="Times New Roman" w:cs="Times New Roman"/>
          <w:sz w:val="24"/>
          <w:szCs w:val="24"/>
        </w:rPr>
        <w:t> </w:t>
      </w:r>
      <w:r w:rsidR="005A0161" w:rsidRPr="00F46123">
        <w:rPr>
          <w:rFonts w:ascii="Times New Roman" w:hAnsi="Times New Roman" w:cs="Times New Roman"/>
          <w:sz w:val="24"/>
          <w:szCs w:val="24"/>
        </w:rPr>
        <w:t>w</w:t>
      </w:r>
      <w:r w:rsidR="00F46123" w:rsidRPr="00F46123">
        <w:rPr>
          <w:rFonts w:ascii="Times New Roman" w:hAnsi="Times New Roman" w:cs="Times New Roman"/>
          <w:sz w:val="24"/>
          <w:szCs w:val="24"/>
        </w:rPr>
        <w:t> </w:t>
      </w:r>
      <w:r w:rsidR="005A0161" w:rsidRPr="00F46123">
        <w:rPr>
          <w:rFonts w:ascii="Times New Roman" w:hAnsi="Times New Roman" w:cs="Times New Roman"/>
          <w:sz w:val="24"/>
          <w:szCs w:val="24"/>
        </w:rPr>
        <w:t xml:space="preserve">konsekwencji </w:t>
      </w:r>
      <w:r w:rsidR="00E20D65" w:rsidRPr="00F46123">
        <w:rPr>
          <w:rFonts w:ascii="Times New Roman" w:hAnsi="Times New Roman" w:cs="Times New Roman"/>
          <w:sz w:val="24"/>
          <w:szCs w:val="24"/>
        </w:rPr>
        <w:t xml:space="preserve">uczynieniu obowiązku podatkowego </w:t>
      </w:r>
      <w:r w:rsidR="005A0161" w:rsidRPr="00F46123">
        <w:rPr>
          <w:rFonts w:ascii="Times New Roman" w:hAnsi="Times New Roman" w:cs="Times New Roman"/>
          <w:sz w:val="24"/>
          <w:szCs w:val="24"/>
        </w:rPr>
        <w:t>bardziej przyjazny</w:t>
      </w:r>
      <w:r w:rsidR="00E20D65" w:rsidRPr="00F46123">
        <w:rPr>
          <w:rFonts w:ascii="Times New Roman" w:hAnsi="Times New Roman" w:cs="Times New Roman"/>
          <w:sz w:val="24"/>
          <w:szCs w:val="24"/>
        </w:rPr>
        <w:t>m</w:t>
      </w:r>
      <w:r w:rsidR="005A0161" w:rsidRPr="00F46123">
        <w:rPr>
          <w:rFonts w:ascii="Times New Roman" w:hAnsi="Times New Roman" w:cs="Times New Roman"/>
          <w:sz w:val="24"/>
          <w:szCs w:val="24"/>
        </w:rPr>
        <w:t xml:space="preserve"> dla podatników.</w:t>
      </w:r>
    </w:p>
    <w:p w14:paraId="0A3D31BA" w14:textId="790BAA67" w:rsidR="005F5B38" w:rsidRPr="00F46123" w:rsidRDefault="005A0161"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Proponuje się skalę podatkową z trzema przedziałami dochodów. Pierwszy do 130 tys. zł ze stawką 12</w:t>
      </w:r>
      <w:r w:rsidR="009D680F" w:rsidRPr="00F46123">
        <w:rPr>
          <w:rFonts w:ascii="Times New Roman" w:hAnsi="Times New Roman" w:cs="Times New Roman"/>
          <w:sz w:val="24"/>
          <w:szCs w:val="24"/>
        </w:rPr>
        <w:t xml:space="preserve"> </w:t>
      </w:r>
      <w:r w:rsidRPr="00F46123">
        <w:rPr>
          <w:rFonts w:ascii="Times New Roman" w:hAnsi="Times New Roman" w:cs="Times New Roman"/>
          <w:sz w:val="24"/>
          <w:szCs w:val="24"/>
        </w:rPr>
        <w:t>%, drugi będzie obejmował dochody w przedziale ponad 130 tys. zł do 150 tys. zł ze stawką 24</w:t>
      </w:r>
      <w:r w:rsidR="003F796C" w:rsidRPr="00F46123">
        <w:rPr>
          <w:rFonts w:ascii="Times New Roman" w:hAnsi="Times New Roman" w:cs="Times New Roman"/>
          <w:sz w:val="24"/>
          <w:szCs w:val="24"/>
        </w:rPr>
        <w:t xml:space="preserve"> </w:t>
      </w:r>
      <w:r w:rsidRPr="00F46123">
        <w:rPr>
          <w:rFonts w:ascii="Times New Roman" w:hAnsi="Times New Roman" w:cs="Times New Roman"/>
          <w:sz w:val="24"/>
          <w:szCs w:val="24"/>
        </w:rPr>
        <w:t>% i trzeci przedział będzie obejmował dochody przekraczające 150 tys. zł ze stawką 32</w:t>
      </w:r>
      <w:r w:rsidR="009D680F" w:rsidRPr="00F46123">
        <w:rPr>
          <w:rFonts w:ascii="Times New Roman" w:hAnsi="Times New Roman" w:cs="Times New Roman"/>
          <w:sz w:val="24"/>
          <w:szCs w:val="24"/>
        </w:rPr>
        <w:t xml:space="preserve"> </w:t>
      </w:r>
      <w:r w:rsidRPr="00F46123">
        <w:rPr>
          <w:rFonts w:ascii="Times New Roman" w:hAnsi="Times New Roman" w:cs="Times New Roman"/>
          <w:sz w:val="24"/>
          <w:szCs w:val="24"/>
        </w:rPr>
        <w:t xml:space="preserve">%. </w:t>
      </w:r>
    </w:p>
    <w:p w14:paraId="489A00DB" w14:textId="6A377A73" w:rsidR="005A0161" w:rsidRPr="00F46123" w:rsidRDefault="005A0161"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Te zmiany oznaczają, że pierwszy przedział zostanie podwyższony o 10 tys. zł, tj. z obecnego 120 tys. zł do 130 tys. zł, drugi przedział zyska nowy, wyższy próg (będzie to 150 tys. zł) oraz znacznie niższą stawkę (zamiast 32</w:t>
      </w:r>
      <w:r w:rsidR="003F796C" w:rsidRPr="00F46123">
        <w:rPr>
          <w:rFonts w:ascii="Times New Roman" w:hAnsi="Times New Roman" w:cs="Times New Roman"/>
          <w:sz w:val="24"/>
          <w:szCs w:val="24"/>
        </w:rPr>
        <w:t xml:space="preserve"> </w:t>
      </w:r>
      <w:r w:rsidRPr="00F46123">
        <w:rPr>
          <w:rFonts w:ascii="Times New Roman" w:hAnsi="Times New Roman" w:cs="Times New Roman"/>
          <w:sz w:val="24"/>
          <w:szCs w:val="24"/>
        </w:rPr>
        <w:t>% będzie to 24</w:t>
      </w:r>
      <w:r w:rsidR="003F796C" w:rsidRPr="00F46123">
        <w:rPr>
          <w:rFonts w:ascii="Times New Roman" w:hAnsi="Times New Roman" w:cs="Times New Roman"/>
          <w:sz w:val="24"/>
          <w:szCs w:val="24"/>
        </w:rPr>
        <w:t xml:space="preserve"> </w:t>
      </w:r>
      <w:r w:rsidRPr="00F46123">
        <w:rPr>
          <w:rFonts w:ascii="Times New Roman" w:hAnsi="Times New Roman" w:cs="Times New Roman"/>
          <w:sz w:val="24"/>
          <w:szCs w:val="24"/>
        </w:rPr>
        <w:t>%), a trzeci przedział ze stawką 32</w:t>
      </w:r>
      <w:r w:rsidR="003F796C" w:rsidRPr="00F46123">
        <w:rPr>
          <w:rFonts w:ascii="Times New Roman" w:hAnsi="Times New Roman" w:cs="Times New Roman"/>
          <w:sz w:val="24"/>
          <w:szCs w:val="24"/>
        </w:rPr>
        <w:t xml:space="preserve"> </w:t>
      </w:r>
      <w:r w:rsidRPr="00F46123">
        <w:rPr>
          <w:rFonts w:ascii="Times New Roman" w:hAnsi="Times New Roman" w:cs="Times New Roman"/>
          <w:sz w:val="24"/>
          <w:szCs w:val="24"/>
        </w:rPr>
        <w:t>% będzie obejmował dochody dopiero powyżej 150 tys. zł. Kwota wolna od podatku pozostanie na obecnym poziomie 30 tys. zł. Dzięki takiemu rozwiązaniu podatnicy opłacający podatki w</w:t>
      </w:r>
      <w:r w:rsidR="005F5B38" w:rsidRPr="00F46123">
        <w:rPr>
          <w:rFonts w:ascii="Times New Roman" w:hAnsi="Times New Roman" w:cs="Times New Roman"/>
          <w:sz w:val="24"/>
          <w:szCs w:val="24"/>
        </w:rPr>
        <w:t>edłu</w:t>
      </w:r>
      <w:r w:rsidRPr="00F46123">
        <w:rPr>
          <w:rFonts w:ascii="Times New Roman" w:hAnsi="Times New Roman" w:cs="Times New Roman"/>
          <w:sz w:val="24"/>
          <w:szCs w:val="24"/>
        </w:rPr>
        <w:t>g skali podatkowej zapłacą znacznie niższe podatki.</w:t>
      </w:r>
    </w:p>
    <w:p w14:paraId="79499406" w14:textId="5B063963" w:rsidR="00DB3FB9" w:rsidRPr="00F46123" w:rsidRDefault="00DB3FB9"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Skutkiem podniesienia wysokości pierwszego progu dochodowego ze 120 tys. zł do 130 tys. zł będzie:</w:t>
      </w:r>
    </w:p>
    <w:p w14:paraId="6230A497" w14:textId="6D618B21" w:rsidR="00DB3FB9" w:rsidRPr="00F46123" w:rsidRDefault="00DB3FB9" w:rsidP="004234D3">
      <w:pPr>
        <w:pStyle w:val="Akapitzlist"/>
        <w:numPr>
          <w:ilvl w:val="0"/>
          <w:numId w:val="4"/>
        </w:numPr>
        <w:spacing w:after="120" w:line="360" w:lineRule="auto"/>
        <w:contextualSpacing w:val="0"/>
        <w:jc w:val="both"/>
        <w:rPr>
          <w:rFonts w:ascii="Times New Roman" w:hAnsi="Times New Roman" w:cs="Times New Roman"/>
          <w:sz w:val="24"/>
          <w:szCs w:val="24"/>
        </w:rPr>
      </w:pPr>
      <w:r w:rsidRPr="00F46123">
        <w:rPr>
          <w:rFonts w:ascii="Times New Roman" w:hAnsi="Times New Roman" w:cs="Times New Roman"/>
          <w:sz w:val="24"/>
          <w:szCs w:val="24"/>
        </w:rPr>
        <w:t>wzrost ze 120 tys. zł do 130 tys. zł limitu możliwych do zastosowania w roku podatkowym zryczałtowanych 50</w:t>
      </w:r>
      <w:r w:rsidR="003F796C" w:rsidRPr="00F46123">
        <w:rPr>
          <w:rFonts w:ascii="Times New Roman" w:hAnsi="Times New Roman" w:cs="Times New Roman"/>
          <w:sz w:val="24"/>
          <w:szCs w:val="24"/>
        </w:rPr>
        <w:t xml:space="preserve"> </w:t>
      </w:r>
      <w:r w:rsidRPr="00F46123">
        <w:rPr>
          <w:rFonts w:ascii="Times New Roman" w:hAnsi="Times New Roman" w:cs="Times New Roman"/>
          <w:sz w:val="24"/>
          <w:szCs w:val="24"/>
        </w:rPr>
        <w:t xml:space="preserve">% kosztów uzyskania przychodów przysługujących np. twórcom z tytułu korzystania z praw autorskich i artystom wykonawcom z praw pokrewnych, </w:t>
      </w:r>
    </w:p>
    <w:p w14:paraId="08F3D2A5" w14:textId="0E91DAF6" w:rsidR="009979A5" w:rsidRPr="00F46123" w:rsidRDefault="009979A5" w:rsidP="004234D3">
      <w:pPr>
        <w:pStyle w:val="Akapitzlist"/>
        <w:numPr>
          <w:ilvl w:val="0"/>
          <w:numId w:val="8"/>
        </w:numPr>
        <w:autoSpaceDE w:val="0"/>
        <w:autoSpaceDN w:val="0"/>
        <w:adjustRightInd w:val="0"/>
        <w:spacing w:after="120" w:line="360" w:lineRule="auto"/>
        <w:ind w:left="714" w:hanging="357"/>
        <w:contextualSpacing w:val="0"/>
        <w:jc w:val="both"/>
        <w:rPr>
          <w:rFonts w:ascii="Times New Roman" w:hAnsi="Times New Roman" w:cs="Times New Roman"/>
          <w:sz w:val="24"/>
          <w:szCs w:val="24"/>
          <w:lang w:eastAsia="pl-PL"/>
        </w:rPr>
      </w:pPr>
      <w:r w:rsidRPr="00F46123">
        <w:rPr>
          <w:rFonts w:ascii="Times New Roman" w:hAnsi="Times New Roman" w:cs="Times New Roman"/>
          <w:sz w:val="24"/>
          <w:szCs w:val="24"/>
          <w:lang w:eastAsia="pl-PL"/>
        </w:rPr>
        <w:t>wzrost ze 120 tys. zł do 130 tys. zł bazy podatkowej dla zakładów pracy chronionej i</w:t>
      </w:r>
      <w:r w:rsidR="00F46123" w:rsidRPr="00F46123">
        <w:rPr>
          <w:rFonts w:ascii="Times New Roman" w:hAnsi="Times New Roman" w:cs="Times New Roman"/>
          <w:sz w:val="24"/>
          <w:szCs w:val="24"/>
          <w:lang w:eastAsia="pl-PL"/>
        </w:rPr>
        <w:t> </w:t>
      </w:r>
      <w:r w:rsidRPr="00F46123">
        <w:rPr>
          <w:rFonts w:ascii="Times New Roman" w:hAnsi="Times New Roman" w:cs="Times New Roman"/>
          <w:sz w:val="24"/>
          <w:szCs w:val="24"/>
          <w:lang w:eastAsia="pl-PL"/>
        </w:rPr>
        <w:t xml:space="preserve">zakładów aktywności zawodowej, które to zakłady zaliczki na podatek od dochodów ze stosunku pracy (i stosunków pokrewnych) oraz od zasiłków z ubezpieczenia społecznego przekazują na szczególnych zasadach. Zaliczki pobrane za miesiące od początku roku do miesiąca włącznie, w którym dochód podatnika uzyskany od początku </w:t>
      </w:r>
      <w:r w:rsidRPr="00F46123">
        <w:rPr>
          <w:rFonts w:ascii="Times New Roman" w:hAnsi="Times New Roman" w:cs="Times New Roman"/>
          <w:sz w:val="24"/>
          <w:szCs w:val="24"/>
          <w:lang w:eastAsia="pl-PL"/>
        </w:rPr>
        <w:lastRenderedPageBreak/>
        <w:t>roku u tego rodzaju płatnika przekroczył kwotę stanowiącą górną granicę pierwszego przedziału skali podatkowej, nie trafiają do urzędu skarbowego. Są natomiast przekazywane przez zakłady pracy chronionej w 40</w:t>
      </w:r>
      <w:r w:rsidR="009D680F"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na Państwowy Fundusz Rehabilitacji Osób Niepełnosprawnych i w 60</w:t>
      </w:r>
      <w:r w:rsidR="003F796C"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na zakładowy fundusz rehabilitacji osób niepełnosprawnych, a przez zakłady aktywności zawodowej – w 100</w:t>
      </w:r>
      <w:r w:rsidR="003F796C"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na zakładowy fundusz aktywności.</w:t>
      </w:r>
    </w:p>
    <w:p w14:paraId="4826F543" w14:textId="0C89D3A1" w:rsidR="005A0161" w:rsidRPr="00F46123" w:rsidRDefault="005A0161" w:rsidP="004234D3">
      <w:pPr>
        <w:pStyle w:val="Akapitzlist"/>
        <w:spacing w:after="120" w:line="360" w:lineRule="auto"/>
        <w:ind w:left="0"/>
        <w:contextualSpacing w:val="0"/>
        <w:jc w:val="both"/>
        <w:rPr>
          <w:rFonts w:ascii="Times New Roman" w:hAnsi="Times New Roman" w:cs="Times New Roman"/>
          <w:sz w:val="24"/>
          <w:szCs w:val="24"/>
        </w:rPr>
      </w:pPr>
      <w:r w:rsidRPr="00F46123">
        <w:rPr>
          <w:rFonts w:ascii="Times New Roman" w:hAnsi="Times New Roman" w:cs="Times New Roman"/>
          <w:sz w:val="24"/>
          <w:szCs w:val="24"/>
        </w:rPr>
        <w:t xml:space="preserve">Konsekwencją </w:t>
      </w:r>
      <w:r w:rsidR="00DB3FB9" w:rsidRPr="00F46123">
        <w:rPr>
          <w:rFonts w:ascii="Times New Roman" w:hAnsi="Times New Roman" w:cs="Times New Roman"/>
          <w:sz w:val="24"/>
          <w:szCs w:val="24"/>
        </w:rPr>
        <w:t>proponowanych zmian</w:t>
      </w:r>
      <w:r w:rsidRPr="00F46123">
        <w:rPr>
          <w:rFonts w:ascii="Times New Roman" w:hAnsi="Times New Roman" w:cs="Times New Roman"/>
          <w:sz w:val="24"/>
          <w:szCs w:val="24"/>
        </w:rPr>
        <w:t xml:space="preserve"> będą zmiany dostosowawcze polegające na odzwierciedleniu nowych parametrów skali podatkowej w przepisach normujących pobór zaliczek przez płatników.</w:t>
      </w:r>
      <w:r w:rsidR="00DB3FB9" w:rsidRPr="00F46123">
        <w:rPr>
          <w:rFonts w:ascii="Times New Roman" w:hAnsi="Times New Roman" w:cs="Times New Roman"/>
          <w:sz w:val="24"/>
          <w:szCs w:val="24"/>
        </w:rPr>
        <w:t xml:space="preserve"> </w:t>
      </w:r>
      <w:r w:rsidRPr="00F46123">
        <w:rPr>
          <w:rFonts w:ascii="Times New Roman" w:hAnsi="Times New Roman" w:cs="Times New Roman"/>
          <w:sz w:val="24"/>
          <w:szCs w:val="24"/>
        </w:rPr>
        <w:t>Proponuje się, aby zmiany te weszły w życie z dniem 1 stycznia 2027</w:t>
      </w:r>
      <w:r w:rsidR="00F46123" w:rsidRPr="00F46123">
        <w:rPr>
          <w:rFonts w:ascii="Times New Roman" w:hAnsi="Times New Roman" w:cs="Times New Roman"/>
          <w:sz w:val="24"/>
          <w:szCs w:val="24"/>
        </w:rPr>
        <w:t> </w:t>
      </w:r>
      <w:r w:rsidRPr="00F46123">
        <w:rPr>
          <w:rFonts w:ascii="Times New Roman" w:hAnsi="Times New Roman" w:cs="Times New Roman"/>
          <w:sz w:val="24"/>
          <w:szCs w:val="24"/>
        </w:rPr>
        <w:t>r. i miały zastosowanie do dochodów (przychodów) uzyskanych od tego dnia. Oznacza to, że zmniejszą się obciążenia podatkowe tej części podatników, którzy opodatkowują dochody w</w:t>
      </w:r>
      <w:r w:rsidR="005F5B38" w:rsidRPr="00F46123">
        <w:rPr>
          <w:rFonts w:ascii="Times New Roman" w:hAnsi="Times New Roman" w:cs="Times New Roman"/>
          <w:sz w:val="24"/>
          <w:szCs w:val="24"/>
        </w:rPr>
        <w:t>edłu</w:t>
      </w:r>
      <w:r w:rsidRPr="00F46123">
        <w:rPr>
          <w:rFonts w:ascii="Times New Roman" w:hAnsi="Times New Roman" w:cs="Times New Roman"/>
          <w:sz w:val="24"/>
          <w:szCs w:val="24"/>
        </w:rPr>
        <w:t>g skali podatkowej. Zmiana ta będzie odczuwalna już w trakcie roku, przy poborze zaliczek na podatek, a definitywnie zastosowana w rozliczeniu podatku za 2027 r.</w:t>
      </w:r>
    </w:p>
    <w:p w14:paraId="0BEEFD7D" w14:textId="38AB38E6" w:rsidR="0082442A" w:rsidRPr="00F46123" w:rsidRDefault="00F62B52" w:rsidP="004234D3">
      <w:pPr>
        <w:spacing w:after="120" w:line="360" w:lineRule="auto"/>
        <w:jc w:val="both"/>
        <w:rPr>
          <w:rFonts w:ascii="Times New Roman" w:hAnsi="Times New Roman" w:cs="Times New Roman"/>
          <w:b/>
          <w:bCs/>
          <w:sz w:val="24"/>
          <w:szCs w:val="24"/>
          <w:lang w:eastAsia="pl-PL"/>
        </w:rPr>
      </w:pPr>
      <w:r w:rsidRPr="00F46123">
        <w:rPr>
          <w:rFonts w:ascii="Times New Roman" w:hAnsi="Times New Roman" w:cs="Times New Roman"/>
          <w:b/>
          <w:bCs/>
          <w:sz w:val="24"/>
          <w:szCs w:val="24"/>
          <w:lang w:eastAsia="pl-PL"/>
        </w:rPr>
        <w:t>2</w:t>
      </w:r>
      <w:r w:rsidR="0082442A" w:rsidRPr="00F46123">
        <w:rPr>
          <w:rFonts w:ascii="Times New Roman" w:hAnsi="Times New Roman" w:cs="Times New Roman"/>
          <w:b/>
          <w:bCs/>
          <w:sz w:val="24"/>
          <w:szCs w:val="24"/>
          <w:lang w:eastAsia="pl-PL"/>
        </w:rPr>
        <w:t>. Zmiana w zakresie daniny solidarnościowej</w:t>
      </w:r>
      <w:r w:rsidR="00A11399" w:rsidRPr="00F46123">
        <w:rPr>
          <w:rFonts w:ascii="Times New Roman" w:hAnsi="Times New Roman" w:cs="Times New Roman"/>
          <w:b/>
          <w:bCs/>
          <w:sz w:val="24"/>
          <w:szCs w:val="24"/>
          <w:lang w:eastAsia="pl-PL"/>
        </w:rPr>
        <w:t xml:space="preserve"> (art. 1 pkt </w:t>
      </w:r>
      <w:r w:rsidR="0089434A" w:rsidRPr="00F46123">
        <w:rPr>
          <w:rFonts w:ascii="Times New Roman" w:hAnsi="Times New Roman" w:cs="Times New Roman"/>
          <w:b/>
          <w:bCs/>
          <w:sz w:val="24"/>
          <w:szCs w:val="24"/>
          <w:lang w:eastAsia="pl-PL"/>
        </w:rPr>
        <w:t>2</w:t>
      </w:r>
      <w:r w:rsidR="00A11399" w:rsidRPr="00F46123">
        <w:rPr>
          <w:rFonts w:ascii="Times New Roman" w:hAnsi="Times New Roman" w:cs="Times New Roman"/>
          <w:b/>
          <w:bCs/>
          <w:sz w:val="24"/>
          <w:szCs w:val="24"/>
          <w:lang w:eastAsia="pl-PL"/>
        </w:rPr>
        <w:t xml:space="preserve"> projektu ustawy)</w:t>
      </w:r>
    </w:p>
    <w:p w14:paraId="05BB85DA" w14:textId="4FA4488F" w:rsidR="0082442A" w:rsidRPr="00F46123" w:rsidRDefault="0082442A" w:rsidP="004234D3">
      <w:pPr>
        <w:spacing w:after="120" w:line="360" w:lineRule="auto"/>
        <w:jc w:val="both"/>
        <w:rPr>
          <w:rFonts w:ascii="Times New Roman" w:hAnsi="Times New Roman" w:cs="Times New Roman"/>
          <w:sz w:val="24"/>
          <w:szCs w:val="24"/>
          <w:lang w:eastAsia="pl-PL"/>
        </w:rPr>
      </w:pPr>
      <w:r w:rsidRPr="00F46123">
        <w:rPr>
          <w:rFonts w:ascii="Times New Roman" w:hAnsi="Times New Roman" w:cs="Times New Roman"/>
          <w:sz w:val="24"/>
          <w:szCs w:val="24"/>
          <w:lang w:eastAsia="pl-PL"/>
        </w:rPr>
        <w:t>Danina solidarnościowa obowiązuje od 1 stycznia 2019 r. i dotyczy osób fizycznych, które osiągnęły roczny dochód (po odliczeniach) powyżej 1 mln zł. Stawka tej daniny od początku jej obowiązywania wynosi 4</w:t>
      </w:r>
      <w:r w:rsidR="003F796C"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i obejmuje dochód stanowiący nadwyżkę ponad 1 mln zł.</w:t>
      </w:r>
    </w:p>
    <w:p w14:paraId="6307AB01" w14:textId="2CBF94DE" w:rsidR="0082442A" w:rsidRDefault="0082442A" w:rsidP="004234D3">
      <w:pPr>
        <w:spacing w:after="120" w:line="360" w:lineRule="auto"/>
        <w:jc w:val="both"/>
        <w:rPr>
          <w:rFonts w:ascii="Times New Roman" w:hAnsi="Times New Roman" w:cs="Times New Roman"/>
          <w:sz w:val="24"/>
          <w:szCs w:val="24"/>
          <w:lang w:eastAsia="pl-PL"/>
        </w:rPr>
      </w:pPr>
      <w:r w:rsidRPr="00F46123">
        <w:rPr>
          <w:rFonts w:ascii="Times New Roman" w:hAnsi="Times New Roman" w:cs="Times New Roman"/>
          <w:sz w:val="24"/>
          <w:szCs w:val="24"/>
          <w:lang w:eastAsia="pl-PL"/>
        </w:rPr>
        <w:t>Ponieważ danina solidarnościowa dotyczy osób o najwyższych dochodach (39 tys. osób, w</w:t>
      </w:r>
      <w:r w:rsidR="005F5B38" w:rsidRPr="00F46123">
        <w:rPr>
          <w:rFonts w:ascii="Times New Roman" w:hAnsi="Times New Roman" w:cs="Times New Roman"/>
          <w:sz w:val="24"/>
          <w:szCs w:val="24"/>
          <w:lang w:eastAsia="pl-PL"/>
        </w:rPr>
        <w:t>edłu</w:t>
      </w:r>
      <w:r w:rsidRPr="00F46123">
        <w:rPr>
          <w:rFonts w:ascii="Times New Roman" w:hAnsi="Times New Roman" w:cs="Times New Roman"/>
          <w:sz w:val="24"/>
          <w:szCs w:val="24"/>
          <w:lang w:eastAsia="pl-PL"/>
        </w:rPr>
        <w:t>g danych M</w:t>
      </w:r>
      <w:r w:rsidR="004F10CC" w:rsidRPr="00F46123">
        <w:rPr>
          <w:rFonts w:ascii="Times New Roman" w:hAnsi="Times New Roman" w:cs="Times New Roman"/>
          <w:sz w:val="24"/>
          <w:szCs w:val="24"/>
          <w:lang w:eastAsia="pl-PL"/>
        </w:rPr>
        <w:t xml:space="preserve">inisterstwa </w:t>
      </w:r>
      <w:r w:rsidRPr="00F46123">
        <w:rPr>
          <w:rFonts w:ascii="Times New Roman" w:hAnsi="Times New Roman" w:cs="Times New Roman"/>
          <w:sz w:val="24"/>
          <w:szCs w:val="24"/>
          <w:lang w:eastAsia="pl-PL"/>
        </w:rPr>
        <w:t>F</w:t>
      </w:r>
      <w:r w:rsidR="004F10CC" w:rsidRPr="00F46123">
        <w:rPr>
          <w:rFonts w:ascii="Times New Roman" w:hAnsi="Times New Roman" w:cs="Times New Roman"/>
          <w:sz w:val="24"/>
          <w:szCs w:val="24"/>
          <w:lang w:eastAsia="pl-PL"/>
        </w:rPr>
        <w:t>inansów</w:t>
      </w:r>
      <w:r w:rsidRPr="00F46123">
        <w:rPr>
          <w:rFonts w:ascii="Times New Roman" w:hAnsi="Times New Roman" w:cs="Times New Roman"/>
          <w:sz w:val="24"/>
          <w:szCs w:val="24"/>
          <w:lang w:eastAsia="pl-PL"/>
        </w:rPr>
        <w:t xml:space="preserve"> z deklaracji złożonych w 2024 r.), a obecna stawka tej daniny jest stosunkowo niska, proponuje się jej podwyższenie o 1 p</w:t>
      </w:r>
      <w:r w:rsidR="004F10CC" w:rsidRPr="00F46123">
        <w:rPr>
          <w:rFonts w:ascii="Times New Roman" w:hAnsi="Times New Roman" w:cs="Times New Roman"/>
          <w:sz w:val="24"/>
          <w:szCs w:val="24"/>
          <w:lang w:eastAsia="pl-PL"/>
        </w:rPr>
        <w:t xml:space="preserve">unkt </w:t>
      </w:r>
      <w:r w:rsidRPr="00F46123">
        <w:rPr>
          <w:rFonts w:ascii="Times New Roman" w:hAnsi="Times New Roman" w:cs="Times New Roman"/>
          <w:sz w:val="24"/>
          <w:szCs w:val="24"/>
          <w:lang w:eastAsia="pl-PL"/>
        </w:rPr>
        <w:t>p</w:t>
      </w:r>
      <w:r w:rsidR="004F10CC" w:rsidRPr="00F46123">
        <w:rPr>
          <w:rFonts w:ascii="Times New Roman" w:hAnsi="Times New Roman" w:cs="Times New Roman"/>
          <w:sz w:val="24"/>
          <w:szCs w:val="24"/>
          <w:lang w:eastAsia="pl-PL"/>
        </w:rPr>
        <w:t>rocentowy, tj.</w:t>
      </w:r>
      <w:r w:rsidRPr="00F46123">
        <w:rPr>
          <w:rFonts w:ascii="Times New Roman" w:hAnsi="Times New Roman" w:cs="Times New Roman"/>
          <w:sz w:val="24"/>
          <w:szCs w:val="24"/>
          <w:lang w:eastAsia="pl-PL"/>
        </w:rPr>
        <w:t xml:space="preserve"> z 4</w:t>
      </w:r>
      <w:r w:rsidR="003F796C"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do 5</w:t>
      </w:r>
      <w:r w:rsidR="003F796C"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xml:space="preserve">% podstawy obliczenia tej daniny. Podwyższenie stawki daniny </w:t>
      </w:r>
      <w:r w:rsidR="004F10CC" w:rsidRPr="00F46123">
        <w:rPr>
          <w:rFonts w:ascii="Times New Roman" w:hAnsi="Times New Roman" w:cs="Times New Roman"/>
          <w:sz w:val="24"/>
          <w:szCs w:val="24"/>
          <w:lang w:eastAsia="pl-PL"/>
        </w:rPr>
        <w:t xml:space="preserve">solidarnościowej </w:t>
      </w:r>
      <w:r w:rsidRPr="00F46123">
        <w:rPr>
          <w:rFonts w:ascii="Times New Roman" w:hAnsi="Times New Roman" w:cs="Times New Roman"/>
          <w:sz w:val="24"/>
          <w:szCs w:val="24"/>
          <w:lang w:eastAsia="pl-PL"/>
        </w:rPr>
        <w:t>nie będzie stanowiło zbyt odczuwalnego obciążenia</w:t>
      </w:r>
      <w:r w:rsidR="00A11399" w:rsidRPr="00F46123">
        <w:rPr>
          <w:rFonts w:ascii="Times New Roman" w:hAnsi="Times New Roman" w:cs="Times New Roman"/>
          <w:sz w:val="24"/>
          <w:szCs w:val="24"/>
          <w:lang w:eastAsia="pl-PL"/>
        </w:rPr>
        <w:t xml:space="preserve"> dla obowiązanych do jej zapłaty</w:t>
      </w:r>
      <w:r w:rsidRPr="00F46123">
        <w:rPr>
          <w:rFonts w:ascii="Times New Roman" w:hAnsi="Times New Roman" w:cs="Times New Roman"/>
          <w:sz w:val="24"/>
          <w:szCs w:val="24"/>
          <w:lang w:eastAsia="pl-PL"/>
        </w:rPr>
        <w:t xml:space="preserve">, a z drugiej strony pozwoli zmniejszyć skutek dla sektora finansów publicznych wynikający ze zmiany w skali podatkowej (stosowanej przez 26 mln podatników). Proponuje się, aby zmiana stawki daniny solidarnościowej weszła w życie z dniem 1 stycznia 2027 r. i miała zastosowanie do tej daniny, której termin zapłaty upływa z dniem </w:t>
      </w:r>
      <w:r w:rsidR="0096068D" w:rsidRPr="00F46123">
        <w:rPr>
          <w:rFonts w:ascii="Times New Roman" w:hAnsi="Times New Roman" w:cs="Times New Roman"/>
          <w:sz w:val="24"/>
          <w:szCs w:val="24"/>
          <w:lang w:eastAsia="pl-PL"/>
        </w:rPr>
        <w:t xml:space="preserve">2 maja </w:t>
      </w:r>
      <w:r w:rsidRPr="00F46123">
        <w:rPr>
          <w:rFonts w:ascii="Times New Roman" w:hAnsi="Times New Roman" w:cs="Times New Roman"/>
          <w:sz w:val="24"/>
          <w:szCs w:val="24"/>
          <w:lang w:eastAsia="pl-PL"/>
        </w:rPr>
        <w:t>2028</w:t>
      </w:r>
      <w:r w:rsidR="003F796C" w:rsidRPr="00F46123">
        <w:rPr>
          <w:rFonts w:ascii="Times New Roman" w:hAnsi="Times New Roman" w:cs="Times New Roman"/>
          <w:sz w:val="24"/>
          <w:szCs w:val="24"/>
          <w:lang w:eastAsia="pl-PL"/>
        </w:rPr>
        <w:t> </w:t>
      </w:r>
      <w:r w:rsidRPr="00F46123">
        <w:rPr>
          <w:rFonts w:ascii="Times New Roman" w:hAnsi="Times New Roman" w:cs="Times New Roman"/>
          <w:sz w:val="24"/>
          <w:szCs w:val="24"/>
          <w:lang w:eastAsia="pl-PL"/>
        </w:rPr>
        <w:t>r. Do jej obliczenia brane będą pod uwagę dochody wykazywane w</w:t>
      </w:r>
      <w:r w:rsidR="00A11399" w:rsidRPr="00F46123">
        <w:rPr>
          <w:rFonts w:ascii="Times New Roman" w:hAnsi="Times New Roman" w:cs="Times New Roman"/>
          <w:sz w:val="24"/>
          <w:szCs w:val="24"/>
          <w:lang w:eastAsia="pl-PL"/>
        </w:rPr>
        <w:t> </w:t>
      </w:r>
      <w:r w:rsidRPr="00F46123">
        <w:rPr>
          <w:rFonts w:ascii="Times New Roman" w:hAnsi="Times New Roman" w:cs="Times New Roman"/>
          <w:sz w:val="24"/>
          <w:szCs w:val="24"/>
          <w:lang w:eastAsia="pl-PL"/>
        </w:rPr>
        <w:t xml:space="preserve">zeznaniach PIT składanych od 1 maja 2027 r. do </w:t>
      </w:r>
      <w:r w:rsidR="0096068D" w:rsidRPr="00F46123">
        <w:rPr>
          <w:rFonts w:ascii="Times New Roman" w:hAnsi="Times New Roman" w:cs="Times New Roman"/>
          <w:sz w:val="24"/>
          <w:szCs w:val="24"/>
          <w:lang w:eastAsia="pl-PL"/>
        </w:rPr>
        <w:t>2 maja</w:t>
      </w:r>
      <w:r w:rsidRPr="00F46123">
        <w:rPr>
          <w:rFonts w:ascii="Times New Roman" w:hAnsi="Times New Roman" w:cs="Times New Roman"/>
          <w:sz w:val="24"/>
          <w:szCs w:val="24"/>
          <w:lang w:eastAsia="pl-PL"/>
        </w:rPr>
        <w:t xml:space="preserve"> 2028</w:t>
      </w:r>
      <w:r w:rsidR="00F8776F" w:rsidRPr="00F46123">
        <w:rPr>
          <w:rFonts w:ascii="Times New Roman" w:hAnsi="Times New Roman" w:cs="Times New Roman"/>
          <w:sz w:val="24"/>
          <w:szCs w:val="24"/>
          <w:lang w:eastAsia="pl-PL"/>
        </w:rPr>
        <w:t> </w:t>
      </w:r>
      <w:r w:rsidRPr="00F46123">
        <w:rPr>
          <w:rFonts w:ascii="Times New Roman" w:hAnsi="Times New Roman" w:cs="Times New Roman"/>
          <w:sz w:val="24"/>
          <w:szCs w:val="24"/>
          <w:lang w:eastAsia="pl-PL"/>
        </w:rPr>
        <w:t>r. Oznacza to, że do 30 kwietnia 2027 r. osoby fizyczne obowiązane do zapłaty daniny solidarnościowej zastosują obecną stawkę, czyli 4</w:t>
      </w:r>
      <w:r w:rsidR="003F796C"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od nadwyżki ponad 1 mln zł dochodu.</w:t>
      </w:r>
    </w:p>
    <w:p w14:paraId="4CBEC318" w14:textId="77777777" w:rsidR="00E1286B" w:rsidRPr="00F46123" w:rsidRDefault="00E1286B" w:rsidP="004234D3">
      <w:pPr>
        <w:spacing w:after="120" w:line="360" w:lineRule="auto"/>
        <w:jc w:val="both"/>
        <w:rPr>
          <w:rFonts w:ascii="Times New Roman" w:hAnsi="Times New Roman" w:cs="Times New Roman"/>
          <w:sz w:val="24"/>
          <w:szCs w:val="24"/>
          <w:lang w:eastAsia="pl-PL"/>
        </w:rPr>
      </w:pPr>
    </w:p>
    <w:p w14:paraId="71ED9290" w14:textId="33C0CCD7" w:rsidR="00A11399" w:rsidRPr="00F46123" w:rsidRDefault="00D02E9D" w:rsidP="006D140B">
      <w:pPr>
        <w:keepNext/>
        <w:keepLines/>
        <w:autoSpaceDE w:val="0"/>
        <w:autoSpaceDN w:val="0"/>
        <w:adjustRightInd w:val="0"/>
        <w:spacing w:after="120" w:line="360" w:lineRule="auto"/>
        <w:jc w:val="both"/>
        <w:rPr>
          <w:rFonts w:ascii="Times New Roman" w:hAnsi="Times New Roman" w:cs="Times New Roman"/>
          <w:b/>
          <w:bCs/>
          <w:color w:val="2F5496" w:themeColor="accent1" w:themeShade="BF"/>
          <w:sz w:val="24"/>
          <w:szCs w:val="24"/>
          <w:lang w:eastAsia="pl-PL"/>
        </w:rPr>
      </w:pPr>
      <w:r w:rsidRPr="00F46123">
        <w:rPr>
          <w:rFonts w:ascii="Times New Roman" w:hAnsi="Times New Roman" w:cs="Times New Roman"/>
          <w:b/>
          <w:bCs/>
          <w:color w:val="2F5496" w:themeColor="accent1" w:themeShade="BF"/>
          <w:sz w:val="24"/>
          <w:szCs w:val="24"/>
          <w:lang w:eastAsia="pl-PL"/>
        </w:rPr>
        <w:lastRenderedPageBreak/>
        <w:t xml:space="preserve">II. </w:t>
      </w:r>
      <w:r w:rsidR="00A11399" w:rsidRPr="00F46123">
        <w:rPr>
          <w:rFonts w:ascii="Times New Roman" w:hAnsi="Times New Roman" w:cs="Times New Roman"/>
          <w:b/>
          <w:bCs/>
          <w:color w:val="2F5496" w:themeColor="accent1" w:themeShade="BF"/>
          <w:sz w:val="24"/>
          <w:szCs w:val="24"/>
          <w:lang w:eastAsia="pl-PL"/>
        </w:rPr>
        <w:t>Zmiany w ustaw</w:t>
      </w:r>
      <w:r w:rsidR="003D5623" w:rsidRPr="00F46123">
        <w:rPr>
          <w:rFonts w:ascii="Times New Roman" w:hAnsi="Times New Roman" w:cs="Times New Roman"/>
          <w:b/>
          <w:bCs/>
          <w:color w:val="2F5496" w:themeColor="accent1" w:themeShade="BF"/>
          <w:sz w:val="24"/>
          <w:szCs w:val="24"/>
          <w:lang w:eastAsia="pl-PL"/>
        </w:rPr>
        <w:t>ie</w:t>
      </w:r>
      <w:r w:rsidR="00A11399" w:rsidRPr="00F46123">
        <w:rPr>
          <w:rFonts w:ascii="Times New Roman" w:hAnsi="Times New Roman" w:cs="Times New Roman"/>
          <w:b/>
          <w:bCs/>
          <w:color w:val="2F5496" w:themeColor="accent1" w:themeShade="BF"/>
          <w:sz w:val="24"/>
          <w:szCs w:val="24"/>
          <w:lang w:eastAsia="pl-PL"/>
        </w:rPr>
        <w:t xml:space="preserve"> CIT</w:t>
      </w:r>
    </w:p>
    <w:p w14:paraId="25A0E838" w14:textId="6325FCA2" w:rsidR="00A55742" w:rsidRPr="00F46123" w:rsidRDefault="00A74767" w:rsidP="004234D3">
      <w:pPr>
        <w:autoSpaceDE w:val="0"/>
        <w:autoSpaceDN w:val="0"/>
        <w:adjustRightInd w:val="0"/>
        <w:spacing w:after="120" w:line="360" w:lineRule="auto"/>
        <w:jc w:val="both"/>
        <w:rPr>
          <w:rFonts w:ascii="Times New Roman" w:hAnsi="Times New Roman" w:cs="Times New Roman"/>
          <w:b/>
          <w:bCs/>
          <w:sz w:val="24"/>
          <w:szCs w:val="24"/>
          <w:lang w:eastAsia="pl-PL"/>
        </w:rPr>
      </w:pPr>
      <w:r w:rsidRPr="00F46123">
        <w:rPr>
          <w:rFonts w:ascii="Times New Roman" w:hAnsi="Times New Roman" w:cs="Times New Roman"/>
          <w:b/>
          <w:bCs/>
          <w:sz w:val="24"/>
          <w:szCs w:val="24"/>
          <w:lang w:eastAsia="pl-PL"/>
        </w:rPr>
        <w:t>Wprowadzenie</w:t>
      </w:r>
      <w:r w:rsidR="00A11399" w:rsidRPr="00F46123">
        <w:rPr>
          <w:rFonts w:ascii="Times New Roman" w:hAnsi="Times New Roman" w:cs="Times New Roman"/>
          <w:b/>
          <w:bCs/>
          <w:sz w:val="24"/>
          <w:szCs w:val="24"/>
          <w:lang w:eastAsia="pl-PL"/>
        </w:rPr>
        <w:t xml:space="preserve"> </w:t>
      </w:r>
      <w:r w:rsidR="00A55742" w:rsidRPr="00F46123">
        <w:rPr>
          <w:rFonts w:ascii="Times New Roman" w:hAnsi="Times New Roman" w:cs="Times New Roman"/>
          <w:b/>
          <w:bCs/>
          <w:sz w:val="24"/>
          <w:szCs w:val="24"/>
          <w:lang w:eastAsia="pl-PL"/>
        </w:rPr>
        <w:t>staw</w:t>
      </w:r>
      <w:r w:rsidRPr="00F46123">
        <w:rPr>
          <w:rFonts w:ascii="Times New Roman" w:hAnsi="Times New Roman" w:cs="Times New Roman"/>
          <w:b/>
          <w:bCs/>
          <w:sz w:val="24"/>
          <w:szCs w:val="24"/>
          <w:lang w:eastAsia="pl-PL"/>
        </w:rPr>
        <w:t>ki</w:t>
      </w:r>
      <w:r w:rsidR="00A55742" w:rsidRPr="00F46123">
        <w:rPr>
          <w:rFonts w:ascii="Times New Roman" w:hAnsi="Times New Roman" w:cs="Times New Roman"/>
          <w:b/>
          <w:bCs/>
          <w:sz w:val="24"/>
          <w:szCs w:val="24"/>
          <w:lang w:eastAsia="pl-PL"/>
        </w:rPr>
        <w:t xml:space="preserve"> podatku CIT</w:t>
      </w:r>
      <w:r w:rsidRPr="00F46123">
        <w:rPr>
          <w:rFonts w:ascii="Times New Roman" w:eastAsia="Times New Roman" w:hAnsi="Times New Roman" w:cs="Times New Roman"/>
          <w:sz w:val="24"/>
          <w:szCs w:val="24"/>
          <w:lang w:eastAsia="pl-PL"/>
        </w:rPr>
        <w:t xml:space="preserve"> </w:t>
      </w:r>
      <w:r w:rsidRPr="00F46123">
        <w:rPr>
          <w:rFonts w:ascii="Times New Roman" w:hAnsi="Times New Roman" w:cs="Times New Roman"/>
          <w:b/>
          <w:bCs/>
          <w:sz w:val="24"/>
          <w:szCs w:val="24"/>
          <w:lang w:eastAsia="pl-PL"/>
        </w:rPr>
        <w:t xml:space="preserve">w wysokości 22 % dla największych podatników </w:t>
      </w:r>
      <w:r w:rsidR="00D73B35" w:rsidRPr="00F46123">
        <w:rPr>
          <w:rFonts w:ascii="Times New Roman" w:hAnsi="Times New Roman" w:cs="Times New Roman"/>
          <w:b/>
          <w:bCs/>
          <w:sz w:val="24"/>
          <w:szCs w:val="24"/>
          <w:lang w:eastAsia="pl-PL"/>
        </w:rPr>
        <w:t>(art.</w:t>
      </w:r>
      <w:r w:rsidR="00C31812">
        <w:rPr>
          <w:rFonts w:ascii="Times New Roman" w:hAnsi="Times New Roman" w:cs="Times New Roman"/>
          <w:b/>
          <w:bCs/>
          <w:sz w:val="24"/>
          <w:szCs w:val="24"/>
          <w:lang w:eastAsia="pl-PL"/>
        </w:rPr>
        <w:t> </w:t>
      </w:r>
      <w:r w:rsidR="00D73B35" w:rsidRPr="00F46123">
        <w:rPr>
          <w:rFonts w:ascii="Times New Roman" w:hAnsi="Times New Roman" w:cs="Times New Roman"/>
          <w:b/>
          <w:bCs/>
          <w:sz w:val="24"/>
          <w:szCs w:val="24"/>
          <w:lang w:eastAsia="pl-PL"/>
        </w:rPr>
        <w:t>2</w:t>
      </w:r>
      <w:r w:rsidR="00B33F11" w:rsidRPr="00F46123">
        <w:rPr>
          <w:rFonts w:ascii="Times New Roman" w:hAnsi="Times New Roman" w:cs="Times New Roman"/>
          <w:b/>
          <w:bCs/>
          <w:sz w:val="24"/>
          <w:szCs w:val="24"/>
          <w:lang w:eastAsia="pl-PL"/>
        </w:rPr>
        <w:t xml:space="preserve"> </w:t>
      </w:r>
      <w:r w:rsidR="00D73B35" w:rsidRPr="00F46123">
        <w:rPr>
          <w:rFonts w:ascii="Times New Roman" w:hAnsi="Times New Roman" w:cs="Times New Roman"/>
          <w:b/>
          <w:bCs/>
          <w:sz w:val="24"/>
          <w:szCs w:val="24"/>
          <w:lang w:eastAsia="pl-PL"/>
        </w:rPr>
        <w:t>projektu ustawy)</w:t>
      </w:r>
    </w:p>
    <w:p w14:paraId="14EAFA3E" w14:textId="648779D9" w:rsidR="00A55742" w:rsidRPr="00F46123" w:rsidRDefault="00A55742" w:rsidP="004234D3">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W obowiązującym stanie prawnym zgodnie z art. 19 ust. 1 ustawy CIT podatek (z pewnymi zastrzeżeniami zdefiniowanymi w przepisach art. 21, art. 22, art. 24a, art. 24b, art. 24ca, art.</w:t>
      </w:r>
      <w:r w:rsidR="00C31812">
        <w:rPr>
          <w:rFonts w:ascii="Times New Roman" w:eastAsia="Times New Roman" w:hAnsi="Times New Roman" w:cs="Times New Roman"/>
          <w:sz w:val="24"/>
          <w:szCs w:val="24"/>
          <w:lang w:eastAsia="pl-PL"/>
        </w:rPr>
        <w:t> </w:t>
      </w:r>
      <w:r w:rsidRPr="00F46123">
        <w:rPr>
          <w:rFonts w:ascii="Times New Roman" w:eastAsia="Times New Roman" w:hAnsi="Times New Roman" w:cs="Times New Roman"/>
          <w:sz w:val="24"/>
          <w:szCs w:val="24"/>
          <w:lang w:eastAsia="pl-PL"/>
        </w:rPr>
        <w:t>24d i art. 24f) wynosi</w:t>
      </w:r>
      <w:r w:rsidR="006C7551"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19</w:t>
      </w:r>
      <w:r w:rsidR="006C7551"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podstawy opodatkowania (art. 19 ust. 1 pkt 1 ustawy CIT)</w:t>
      </w:r>
      <w:r w:rsidR="00BF737C" w:rsidRPr="00F46123">
        <w:rPr>
          <w:rFonts w:ascii="Times New Roman" w:eastAsia="Times New Roman" w:hAnsi="Times New Roman" w:cs="Times New Roman"/>
          <w:sz w:val="24"/>
          <w:szCs w:val="24"/>
          <w:lang w:eastAsia="pl-PL"/>
        </w:rPr>
        <w:t>.</w:t>
      </w:r>
    </w:p>
    <w:p w14:paraId="158ECE6E" w14:textId="1D3C750F" w:rsidR="00A55742" w:rsidRPr="00F46123" w:rsidRDefault="00A55742" w:rsidP="004234D3">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Proponowanym rozwiązaniem jest nowelizacja wymienion</w:t>
      </w:r>
      <w:r w:rsidR="00BF737C" w:rsidRPr="00F46123">
        <w:rPr>
          <w:rFonts w:ascii="Times New Roman" w:eastAsia="Times New Roman" w:hAnsi="Times New Roman" w:cs="Times New Roman"/>
          <w:sz w:val="24"/>
          <w:szCs w:val="24"/>
          <w:lang w:eastAsia="pl-PL"/>
        </w:rPr>
        <w:t>ego</w:t>
      </w:r>
      <w:r w:rsidRPr="00F46123">
        <w:rPr>
          <w:rFonts w:ascii="Times New Roman" w:eastAsia="Times New Roman" w:hAnsi="Times New Roman" w:cs="Times New Roman"/>
          <w:sz w:val="24"/>
          <w:szCs w:val="24"/>
          <w:lang w:eastAsia="pl-PL"/>
        </w:rPr>
        <w:t xml:space="preserve"> przepis</w:t>
      </w:r>
      <w:r w:rsidR="00BF737C" w:rsidRPr="00F46123">
        <w:rPr>
          <w:rFonts w:ascii="Times New Roman" w:eastAsia="Times New Roman" w:hAnsi="Times New Roman" w:cs="Times New Roman"/>
          <w:sz w:val="24"/>
          <w:szCs w:val="24"/>
          <w:lang w:eastAsia="pl-PL"/>
        </w:rPr>
        <w:t>u</w:t>
      </w:r>
      <w:r w:rsidRPr="00F46123">
        <w:rPr>
          <w:rFonts w:ascii="Times New Roman" w:eastAsia="Times New Roman" w:hAnsi="Times New Roman" w:cs="Times New Roman"/>
          <w:sz w:val="24"/>
          <w:szCs w:val="24"/>
          <w:lang w:eastAsia="pl-PL"/>
        </w:rPr>
        <w:t xml:space="preserve"> art. 19 ustawy CIT, która skutkować będzie</w:t>
      </w:r>
      <w:r w:rsidR="00EC2C34" w:rsidRPr="00F46123">
        <w:rPr>
          <w:rFonts w:ascii="Times New Roman" w:eastAsia="Times New Roman" w:hAnsi="Times New Roman" w:cs="Times New Roman"/>
          <w:sz w:val="24"/>
          <w:szCs w:val="24"/>
          <w:lang w:eastAsia="pl-PL"/>
        </w:rPr>
        <w:t xml:space="preserve"> dodaniem do ust. 1 nowej stawki 22</w:t>
      </w:r>
      <w:r w:rsidR="006C7551" w:rsidRPr="00F46123">
        <w:rPr>
          <w:rFonts w:ascii="Times New Roman" w:eastAsia="Times New Roman" w:hAnsi="Times New Roman" w:cs="Times New Roman"/>
          <w:sz w:val="24"/>
          <w:szCs w:val="24"/>
          <w:lang w:eastAsia="pl-PL"/>
        </w:rPr>
        <w:t xml:space="preserve"> </w:t>
      </w:r>
      <w:r w:rsidR="00EC2C34" w:rsidRPr="00F46123">
        <w:rPr>
          <w:rFonts w:ascii="Times New Roman" w:eastAsia="Times New Roman" w:hAnsi="Times New Roman" w:cs="Times New Roman"/>
          <w:sz w:val="24"/>
          <w:szCs w:val="24"/>
          <w:lang w:eastAsia="pl-PL"/>
        </w:rPr>
        <w:t>% dla szczególnej grupy podatników.</w:t>
      </w:r>
    </w:p>
    <w:p w14:paraId="3C9F9F31" w14:textId="77777777" w:rsidR="00F00859" w:rsidRPr="00F46123" w:rsidRDefault="000854B3" w:rsidP="004234D3">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Proponowana zmiana zakłada objęcie nową, wyższą stawką CIT w wysokości 22</w:t>
      </w:r>
      <w:r w:rsidR="007F0D5D"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podatników</w:t>
      </w:r>
      <w:r w:rsidR="00F8776F" w:rsidRPr="00F46123">
        <w:rPr>
          <w:rFonts w:ascii="Times New Roman" w:eastAsia="Times New Roman" w:hAnsi="Times New Roman" w:cs="Times New Roman"/>
          <w:sz w:val="24"/>
          <w:szCs w:val="24"/>
          <w:lang w:eastAsia="pl-PL"/>
        </w:rPr>
        <w:t>, w tym podatkowe grupy kapitałowe (PGK), których przychody osiągnięte w poprzednim roku podatkowym przekroczyły równowartość w złotych kwoty 50 mln euro.</w:t>
      </w:r>
      <w:r w:rsidR="00F00859" w:rsidRPr="00F46123">
        <w:rPr>
          <w:rFonts w:ascii="Times New Roman" w:eastAsia="Times New Roman" w:hAnsi="Times New Roman" w:cs="Times New Roman"/>
          <w:sz w:val="24"/>
          <w:szCs w:val="24"/>
          <w:lang w:eastAsia="pl-PL"/>
        </w:rPr>
        <w:t xml:space="preserve"> </w:t>
      </w:r>
    </w:p>
    <w:p w14:paraId="35E88D2B" w14:textId="46138FF3" w:rsidR="000E40F2" w:rsidRDefault="00F00859" w:rsidP="004234D3">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 xml:space="preserve">Projektowana stawka 22 % została sformułowana </w:t>
      </w:r>
      <w:r w:rsidR="00DA366C" w:rsidRPr="00F46123">
        <w:rPr>
          <w:rFonts w:ascii="Times New Roman" w:eastAsia="Times New Roman" w:hAnsi="Times New Roman" w:cs="Times New Roman"/>
          <w:sz w:val="24"/>
          <w:szCs w:val="24"/>
          <w:lang w:eastAsia="pl-PL"/>
        </w:rPr>
        <w:t xml:space="preserve">z zastrzeżeniem pierwszeństwa stosowania stawek określonych </w:t>
      </w:r>
      <w:r w:rsidRPr="00F46123">
        <w:rPr>
          <w:rFonts w:ascii="Times New Roman" w:eastAsia="Times New Roman" w:hAnsi="Times New Roman" w:cs="Times New Roman"/>
          <w:sz w:val="24"/>
          <w:szCs w:val="24"/>
          <w:lang w:eastAsia="pl-PL"/>
        </w:rPr>
        <w:t>art. 19 ust. 1 pkt 3 i 4 ustawy CIT. Przepisy te przewidują odrębne stawki opodatkowania dla instytucji finansowych, tj. stawkę docelową 23</w:t>
      </w:r>
      <w:r w:rsidR="00F46123" w:rsidRPr="00F46123">
        <w:rPr>
          <w:rFonts w:ascii="Times New Roman" w:eastAsia="Times New Roman" w:hAnsi="Times New Roman" w:cs="Times New Roman"/>
          <w:sz w:val="24"/>
          <w:szCs w:val="24"/>
          <w:lang w:eastAsia="pl-PL"/>
        </w:rPr>
        <w:t> </w:t>
      </w:r>
      <w:r w:rsidRPr="00F46123">
        <w:rPr>
          <w:rFonts w:ascii="Times New Roman" w:eastAsia="Times New Roman" w:hAnsi="Times New Roman" w:cs="Times New Roman"/>
          <w:sz w:val="24"/>
          <w:szCs w:val="24"/>
          <w:lang w:eastAsia="pl-PL"/>
        </w:rPr>
        <w:t>% dla banków krajowych, banków zagranicznych, instytucji kredytowych oraz, w</w:t>
      </w:r>
      <w:r w:rsidR="00F46123" w:rsidRPr="00F46123">
        <w:rPr>
          <w:rFonts w:ascii="Times New Roman" w:eastAsia="Times New Roman" w:hAnsi="Times New Roman" w:cs="Times New Roman"/>
          <w:sz w:val="24"/>
          <w:szCs w:val="24"/>
          <w:lang w:eastAsia="pl-PL"/>
        </w:rPr>
        <w:t> </w:t>
      </w:r>
      <w:r w:rsidRPr="00F46123">
        <w:rPr>
          <w:rFonts w:ascii="Times New Roman" w:eastAsia="Times New Roman" w:hAnsi="Times New Roman" w:cs="Times New Roman"/>
          <w:sz w:val="24"/>
          <w:szCs w:val="24"/>
          <w:lang w:eastAsia="pl-PL"/>
        </w:rPr>
        <w:t xml:space="preserve">odpowiednim zakresie, podatkowych grup kapitałowych, w skład których wchodzi bank krajowy, a także stawkę 21 % dla banków spółdzielczych i spółdzielczych kas oszczędnościowo-kredytowych. </w:t>
      </w:r>
      <w:r w:rsidR="00CB1EAB" w:rsidRPr="00F46123">
        <w:rPr>
          <w:rFonts w:ascii="Times New Roman" w:eastAsia="Times New Roman" w:hAnsi="Times New Roman" w:cs="Times New Roman"/>
          <w:sz w:val="24"/>
          <w:szCs w:val="24"/>
          <w:lang w:eastAsia="pl-PL"/>
        </w:rPr>
        <w:t xml:space="preserve">Zatem stawka 22 % nie </w:t>
      </w:r>
      <w:r w:rsidR="001A2055">
        <w:rPr>
          <w:rFonts w:ascii="Times New Roman" w:eastAsia="Times New Roman" w:hAnsi="Times New Roman" w:cs="Times New Roman"/>
          <w:sz w:val="24"/>
          <w:szCs w:val="24"/>
          <w:lang w:eastAsia="pl-PL"/>
        </w:rPr>
        <w:t>znajdzie</w:t>
      </w:r>
      <w:r w:rsidR="00CB1EAB" w:rsidRPr="00F46123">
        <w:rPr>
          <w:rFonts w:ascii="Times New Roman" w:eastAsia="Times New Roman" w:hAnsi="Times New Roman" w:cs="Times New Roman"/>
          <w:sz w:val="24"/>
          <w:szCs w:val="24"/>
          <w:lang w:eastAsia="pl-PL"/>
        </w:rPr>
        <w:t xml:space="preserve"> zastosowania do podatników objętych szczególnymi stawkami określonymi w art. 19 ust. 1 pkt 3 i 4 </w:t>
      </w:r>
      <w:r w:rsidR="001A2055">
        <w:rPr>
          <w:rFonts w:ascii="Times New Roman" w:eastAsia="Times New Roman" w:hAnsi="Times New Roman" w:cs="Times New Roman"/>
          <w:sz w:val="24"/>
          <w:szCs w:val="24"/>
          <w:lang w:eastAsia="pl-PL"/>
        </w:rPr>
        <w:t xml:space="preserve">lit. a </w:t>
      </w:r>
      <w:r w:rsidR="00CB1EAB" w:rsidRPr="00F46123">
        <w:rPr>
          <w:rFonts w:ascii="Times New Roman" w:eastAsia="Times New Roman" w:hAnsi="Times New Roman" w:cs="Times New Roman"/>
          <w:sz w:val="24"/>
          <w:szCs w:val="24"/>
          <w:lang w:eastAsia="pl-PL"/>
        </w:rPr>
        <w:t>ustawy CIT. W tym zakresie przepisy te stanowią wyjątek od projektowanej regulacji i zachowują pierwszeństwo stosowania.</w:t>
      </w:r>
      <w:r w:rsidR="00F46D87" w:rsidRPr="00F46123">
        <w:rPr>
          <w:rFonts w:ascii="Times New Roman" w:eastAsia="Times New Roman" w:hAnsi="Times New Roman" w:cs="Times New Roman"/>
          <w:sz w:val="24"/>
          <w:szCs w:val="24"/>
          <w:lang w:eastAsia="pl-PL"/>
        </w:rPr>
        <w:t xml:space="preserve"> </w:t>
      </w:r>
    </w:p>
    <w:p w14:paraId="3BABE824" w14:textId="0B256D8E" w:rsidR="006D4651" w:rsidRPr="00F46123" w:rsidRDefault="006D4651" w:rsidP="004234D3">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W związku z wprowadzeniem stawki 22 % zmieniono również brzmienie art. 19 ust. 1f ustawy CIT. Zmiana ma charakter dostosowujący i dotyczy podatkowych grup kapitałowych, o których mowa w art. 19 ust. 1 pkt 3 lit. b ustawy CIT, tj. podatkowych grup kapitałowych, w skład których wchodzi bank krajowy. W konsekwencji do tej części podstawy opodatkowania podatkowej grupy kapitałowej, która nie podlega opodatkowaniu według szczególnej stawki określonej w art. 19 ust. 1 pkt 3 lit. b, zastosowanie znajdzie stawka 19</w:t>
      </w:r>
      <w:r w:rsidR="009D680F"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albo 22</w:t>
      </w:r>
      <w:r w:rsidR="009D680F"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w zależności od spełnienia ustawowych przesłanek. Projektowany przepis nie odwołuje się do stawki 9</w:t>
      </w:r>
      <w:r w:rsidR="009D680F"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o której mowa w art. 19 ust. 1 pkt 2 ustawy CIT, ponieważ podatkowe grupy kapitałowe nie są uprawnione do korzystania z tej preferencyjnej stawki opodatkowania.</w:t>
      </w:r>
    </w:p>
    <w:p w14:paraId="58498DD0" w14:textId="100B1F73" w:rsidR="005F6AEA" w:rsidRPr="00F46123" w:rsidRDefault="005F6AEA" w:rsidP="004234D3">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 xml:space="preserve">Projektowana stawka 22 % nie pokrywa się zakresem zastosowania ze stawką 9 %, o której mowa w art. 19 ust. 1 pkt 2 ustawy CIT. Zgodnie z art. 19 ust. 1d stawkę 9 % mogą stosować </w:t>
      </w:r>
      <w:r w:rsidRPr="00F46123">
        <w:rPr>
          <w:rFonts w:ascii="Times New Roman" w:eastAsia="Times New Roman" w:hAnsi="Times New Roman" w:cs="Times New Roman"/>
          <w:sz w:val="24"/>
          <w:szCs w:val="24"/>
          <w:lang w:eastAsia="pl-PL"/>
        </w:rPr>
        <w:lastRenderedPageBreak/>
        <w:t>wyłącznie podatnicy posiadający status małego podatnika, którego uzyskanie jest uzależnione od nieprzekroczenia w poprzednim roku podatkowym limitu przychodów odpowiadającego równowartości 2 mln euro. Podatnicy, których przychody w poprzednim roku podatkowym przekroczyły równowartość 50 mln euro, nie spełniają przesłanek uznania za małego podatnika, a tym samym nie mogą korzystać ze stawki 9 %.</w:t>
      </w:r>
    </w:p>
    <w:p w14:paraId="2B3BDACD" w14:textId="34544E82" w:rsidR="0003569A" w:rsidRPr="00F46123" w:rsidRDefault="0003569A" w:rsidP="004234D3">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Wyższa, 22</w:t>
      </w:r>
      <w:r w:rsidR="009D680F"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stawka CIT obejmie również podatników wchodzący</w:t>
      </w:r>
      <w:r w:rsidR="00F17EF1" w:rsidRPr="00F46123">
        <w:rPr>
          <w:rFonts w:ascii="Times New Roman" w:eastAsia="Times New Roman" w:hAnsi="Times New Roman" w:cs="Times New Roman"/>
          <w:sz w:val="24"/>
          <w:szCs w:val="24"/>
          <w:lang w:eastAsia="pl-PL"/>
        </w:rPr>
        <w:t>ch</w:t>
      </w:r>
      <w:r w:rsidRPr="00F46123">
        <w:rPr>
          <w:rFonts w:ascii="Times New Roman" w:eastAsia="Times New Roman" w:hAnsi="Times New Roman" w:cs="Times New Roman"/>
          <w:sz w:val="24"/>
          <w:szCs w:val="24"/>
          <w:lang w:eastAsia="pl-PL"/>
        </w:rPr>
        <w:t xml:space="preserve"> w skład grup krajowych lub grup międzynarodowych w rozumieniu ustawy z dnia 6 listopada 2024 r. o opodatkowaniu wyrównawczym jednostek składowych grup międzynarodowych i krajowych. Regulacja ta pełni funkcję antyabuzywną. Ma na celu przeciwdziałanie sytuacjom, w których działalność gospodarcza prowadzona jest poprzez sieć podmiotów należących do tej samej grupy krajowej lub międzynarodowej, lecz ocena ich sytuacji ekonomicznej wyłącznie na poziomie jednostkowym nie odzwierciedla faktycznej siły ekonomicznej całej grupy. Ponadto wyodrębnienie tej kategorii podatników jest uzasadnione szczególną skalą prowadzonej przez nich działalności gospodarczej. Projektowany przepis dotyczy bowiem podatników należących do grup krajowych i międzynarodowych, osiągających przychód grupowy wynoszący co najmniej 750 mln euro. Wysokość progu 750 mln euro koresponduje z rozwiązaniami stosowanymi w prawie międzynarodowym i unijnym wobec największych grup przedsiębiorstw. Przyjęcie tej wartości pozwala objąć regulacją podmioty o największej skali działalności.</w:t>
      </w:r>
    </w:p>
    <w:p w14:paraId="20016D90" w14:textId="730DEC9F" w:rsidR="009A4A35" w:rsidRPr="00F46123" w:rsidRDefault="009A4A35" w:rsidP="004234D3">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Projekt przewiduje również przepisy doprecyzowujące sposób ustalania obowiązku stosowania stawki 22</w:t>
      </w:r>
      <w:r w:rsidR="00F46D87"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oraz regulacje mające na celu przeciwdziałanie obchodzeniu projektowanych rozwiązań. W tym celu określono sposób przeliczania na złote progu przychodowego 50 mln euro, od którego uzależnione jest stosowanie podwyższonej stawki podatku, oraz zasady jego ustalania w przypadku roku podatkowego krótszego albo dłuższego niż 12 miesięcy. Rozwiązania te mają charakter techniczny i służą zapewnieniu jednolitego stosowania przepisów niezależnie od długości przyjętego roku podatkowego.</w:t>
      </w:r>
    </w:p>
    <w:p w14:paraId="30BA8CB4" w14:textId="215490EB" w:rsidR="009A4A35" w:rsidRPr="00F46123" w:rsidRDefault="009A4A35" w:rsidP="004234D3">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Ponadto wprowadzono szczególne regulacje odnoszące się do podatników uczestniczących w</w:t>
      </w:r>
      <w:r w:rsidR="00F46123" w:rsidRPr="00F46123">
        <w:rPr>
          <w:rFonts w:ascii="Times New Roman" w:eastAsia="Times New Roman" w:hAnsi="Times New Roman" w:cs="Times New Roman"/>
          <w:sz w:val="24"/>
          <w:szCs w:val="24"/>
          <w:lang w:eastAsia="pl-PL"/>
        </w:rPr>
        <w:t> </w:t>
      </w:r>
      <w:r w:rsidRPr="00F46123">
        <w:rPr>
          <w:rFonts w:ascii="Times New Roman" w:eastAsia="Times New Roman" w:hAnsi="Times New Roman" w:cs="Times New Roman"/>
          <w:sz w:val="24"/>
          <w:szCs w:val="24"/>
          <w:lang w:eastAsia="pl-PL"/>
        </w:rPr>
        <w:t>procesach reorganizacyjnych, takich jak podziały oraz wniesienie przedsiębiorstwa, jego zorganizowanej części albo istotnych składników majątkowych do innego podmiotu. Celem tych przepisów jest przeciwdziałanie możliwości unikania stosowania stawki 22</w:t>
      </w:r>
      <w:r w:rsidR="009D680F"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xml:space="preserve">% poprzez dokonywanie </w:t>
      </w:r>
      <w:r w:rsidR="009301B1" w:rsidRPr="00F46123">
        <w:rPr>
          <w:rFonts w:ascii="Times New Roman" w:eastAsia="Times New Roman" w:hAnsi="Times New Roman" w:cs="Times New Roman"/>
          <w:sz w:val="24"/>
          <w:szCs w:val="24"/>
          <w:lang w:eastAsia="pl-PL"/>
        </w:rPr>
        <w:t>restrukturyzacji</w:t>
      </w:r>
      <w:r w:rsidRPr="00F46123">
        <w:rPr>
          <w:rFonts w:ascii="Times New Roman" w:eastAsia="Times New Roman" w:hAnsi="Times New Roman" w:cs="Times New Roman"/>
          <w:sz w:val="24"/>
          <w:szCs w:val="24"/>
          <w:lang w:eastAsia="pl-PL"/>
        </w:rPr>
        <w:t xml:space="preserve"> skutkujących zmianą poziomu przychodów uwzględnianych przy ustalaniu obowiązku stosowania tej stawki. W przypadkach określonych w</w:t>
      </w:r>
      <w:r w:rsidR="001A2055">
        <w:rPr>
          <w:rFonts w:ascii="Times New Roman" w:eastAsia="Times New Roman" w:hAnsi="Times New Roman" w:cs="Times New Roman"/>
          <w:sz w:val="24"/>
          <w:szCs w:val="24"/>
          <w:lang w:eastAsia="pl-PL"/>
        </w:rPr>
        <w:t> </w:t>
      </w:r>
      <w:r w:rsidRPr="00F46123">
        <w:rPr>
          <w:rFonts w:ascii="Times New Roman" w:eastAsia="Times New Roman" w:hAnsi="Times New Roman" w:cs="Times New Roman"/>
          <w:sz w:val="24"/>
          <w:szCs w:val="24"/>
          <w:lang w:eastAsia="pl-PL"/>
        </w:rPr>
        <w:t>projektowanych przepisach podatnicy będą obowiązani do stosowania stawki 22</w:t>
      </w:r>
      <w:r w:rsidR="009D680F"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xml:space="preserve">% również </w:t>
      </w:r>
      <w:r w:rsidRPr="00F46123">
        <w:rPr>
          <w:rFonts w:ascii="Times New Roman" w:eastAsia="Times New Roman" w:hAnsi="Times New Roman" w:cs="Times New Roman"/>
          <w:sz w:val="24"/>
          <w:szCs w:val="24"/>
          <w:lang w:eastAsia="pl-PL"/>
        </w:rPr>
        <w:lastRenderedPageBreak/>
        <w:t>w roku dokonania reorganizacji oraz w</w:t>
      </w:r>
      <w:r w:rsidR="00EF4B10" w:rsidRPr="00F46123">
        <w:rPr>
          <w:rFonts w:ascii="Times New Roman" w:eastAsia="Times New Roman" w:hAnsi="Times New Roman" w:cs="Times New Roman"/>
          <w:sz w:val="24"/>
          <w:szCs w:val="24"/>
          <w:lang w:eastAsia="pl-PL"/>
        </w:rPr>
        <w:t xml:space="preserve"> 2 latach</w:t>
      </w:r>
      <w:r w:rsidRPr="00F46123">
        <w:rPr>
          <w:rFonts w:ascii="Times New Roman" w:eastAsia="Times New Roman" w:hAnsi="Times New Roman" w:cs="Times New Roman"/>
          <w:sz w:val="24"/>
          <w:szCs w:val="24"/>
          <w:lang w:eastAsia="pl-PL"/>
        </w:rPr>
        <w:t xml:space="preserve"> bezpośrednio po nim następujący</w:t>
      </w:r>
      <w:r w:rsidR="009301B1" w:rsidRPr="00F46123">
        <w:rPr>
          <w:rFonts w:ascii="Times New Roman" w:eastAsia="Times New Roman" w:hAnsi="Times New Roman" w:cs="Times New Roman"/>
          <w:sz w:val="24"/>
          <w:szCs w:val="24"/>
          <w:lang w:eastAsia="pl-PL"/>
        </w:rPr>
        <w:t>ch</w:t>
      </w:r>
      <w:r w:rsidRPr="00F46123">
        <w:rPr>
          <w:rFonts w:ascii="Times New Roman" w:eastAsia="Times New Roman" w:hAnsi="Times New Roman" w:cs="Times New Roman"/>
          <w:sz w:val="24"/>
          <w:szCs w:val="24"/>
          <w:lang w:eastAsia="pl-PL"/>
        </w:rPr>
        <w:t>.</w:t>
      </w:r>
    </w:p>
    <w:p w14:paraId="32261AF8" w14:textId="02011E93" w:rsidR="009301B1" w:rsidRPr="00F46123" w:rsidRDefault="009A4A35" w:rsidP="004234D3">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Rozwiązania te mają na celu zapewnienie</w:t>
      </w:r>
      <w:r w:rsidR="005F6AEA" w:rsidRPr="00F46123">
        <w:rPr>
          <w:rFonts w:ascii="Times New Roman" w:eastAsia="Times New Roman" w:hAnsi="Times New Roman" w:cs="Times New Roman"/>
          <w:sz w:val="24"/>
          <w:szCs w:val="24"/>
          <w:lang w:eastAsia="pl-PL"/>
        </w:rPr>
        <w:t xml:space="preserve"> skuteczności projektowanych regulacji określających zakres podmiotowy stosowania stawki 22 %.</w:t>
      </w:r>
    </w:p>
    <w:p w14:paraId="68F5514D" w14:textId="77777777" w:rsidR="00E72A13" w:rsidRPr="00E72A13" w:rsidRDefault="00E72A13" w:rsidP="004234D3">
      <w:pPr>
        <w:widowControl w:val="0"/>
        <w:autoSpaceDE w:val="0"/>
        <w:autoSpaceDN w:val="0"/>
        <w:adjustRightInd w:val="0"/>
        <w:spacing w:after="120" w:line="360" w:lineRule="auto"/>
        <w:jc w:val="both"/>
        <w:rPr>
          <w:rFonts w:ascii="Times New Roman" w:eastAsia="Times New Roman" w:hAnsi="Times New Roman" w:cs="Times New Roman"/>
          <w:bCs/>
          <w:sz w:val="24"/>
          <w:szCs w:val="24"/>
          <w:lang w:eastAsia="pl-PL"/>
        </w:rPr>
      </w:pPr>
      <w:r w:rsidRPr="00E72A13">
        <w:rPr>
          <w:rFonts w:ascii="Times New Roman" w:eastAsia="Times New Roman" w:hAnsi="Times New Roman" w:cs="Times New Roman"/>
          <w:bCs/>
          <w:sz w:val="24"/>
          <w:szCs w:val="24"/>
          <w:lang w:eastAsia="pl-PL"/>
        </w:rPr>
        <w:t>W ramach powyższych projektowanych zmian, reguluje się kwestię objęcia stawką podatku CIT w wysokości 22 % podatników, którzy w wyniku łączenia przejęli majątek innego podmiotu, w tym podatników nowo utworzonych. Do takich podatników będzie się stosować stawkę 22 % także w ich pierwszym roku podatkowym (albo w roku połączenia – jeżeli w związku z połączeniem skorzystali oni z możliwości niezamykania ksiąg podatkowych), jeżeli warunki do objęcia wyższą stawką podatku spełniał co najmniej jeden z łączących się podatników.</w:t>
      </w:r>
    </w:p>
    <w:p w14:paraId="0E9CDDB3" w14:textId="244B0E62" w:rsidR="00EF4B10" w:rsidRPr="00F46123" w:rsidRDefault="00DA366C" w:rsidP="004234D3">
      <w:pPr>
        <w:widowControl w:val="0"/>
        <w:autoSpaceDE w:val="0"/>
        <w:autoSpaceDN w:val="0"/>
        <w:adjustRightInd w:val="0"/>
        <w:spacing w:after="120" w:line="360" w:lineRule="auto"/>
        <w:jc w:val="both"/>
        <w:rPr>
          <w:rFonts w:ascii="Times New Roman" w:eastAsia="Times New Roman" w:hAnsi="Times New Roman" w:cs="Times New Roman"/>
          <w:bCs/>
          <w:sz w:val="24"/>
          <w:szCs w:val="24"/>
          <w:lang w:eastAsia="pl-PL"/>
        </w:rPr>
      </w:pPr>
      <w:r w:rsidRPr="00F46123">
        <w:rPr>
          <w:rFonts w:ascii="Times New Roman" w:eastAsia="Times New Roman" w:hAnsi="Times New Roman" w:cs="Times New Roman"/>
          <w:bCs/>
          <w:sz w:val="24"/>
          <w:szCs w:val="24"/>
          <w:lang w:eastAsia="pl-PL"/>
        </w:rPr>
        <w:t xml:space="preserve">Analogicznie proponuje się uregulować kwestię </w:t>
      </w:r>
      <w:r w:rsidR="003F1F57" w:rsidRPr="00F46123">
        <w:rPr>
          <w:rFonts w:ascii="Times New Roman" w:eastAsia="Times New Roman" w:hAnsi="Times New Roman" w:cs="Times New Roman"/>
          <w:bCs/>
          <w:sz w:val="24"/>
          <w:szCs w:val="24"/>
          <w:lang w:eastAsia="pl-PL"/>
        </w:rPr>
        <w:t>podatkowych grup kapitałowych (PGK) utworzonych po wejściu w życie nowych regulacji. W przypadku takiej grupy nie</w:t>
      </w:r>
      <w:r w:rsidR="001A2055">
        <w:rPr>
          <w:rFonts w:ascii="Times New Roman" w:eastAsia="Times New Roman" w:hAnsi="Times New Roman" w:cs="Times New Roman"/>
          <w:bCs/>
          <w:sz w:val="24"/>
          <w:szCs w:val="24"/>
          <w:lang w:eastAsia="pl-PL"/>
        </w:rPr>
        <w:t xml:space="preserve"> można zastosować wprost warunku odnoszącego się do poziomu przychodów z poprzedniego r</w:t>
      </w:r>
      <w:r w:rsidR="00491D9B">
        <w:rPr>
          <w:rFonts w:ascii="Times New Roman" w:eastAsia="Times New Roman" w:hAnsi="Times New Roman" w:cs="Times New Roman"/>
          <w:bCs/>
          <w:sz w:val="24"/>
          <w:szCs w:val="24"/>
          <w:lang w:eastAsia="pl-PL"/>
        </w:rPr>
        <w:t>o</w:t>
      </w:r>
      <w:r w:rsidR="001A2055">
        <w:rPr>
          <w:rFonts w:ascii="Times New Roman" w:eastAsia="Times New Roman" w:hAnsi="Times New Roman" w:cs="Times New Roman"/>
          <w:bCs/>
          <w:sz w:val="24"/>
          <w:szCs w:val="24"/>
          <w:lang w:eastAsia="pl-PL"/>
        </w:rPr>
        <w:t>ku podatkowego (jako, że PGK wówczas jeszcze nie istniała)</w:t>
      </w:r>
      <w:r w:rsidR="003F1F57" w:rsidRPr="00F46123">
        <w:rPr>
          <w:rFonts w:ascii="Times New Roman" w:eastAsia="Times New Roman" w:hAnsi="Times New Roman" w:cs="Times New Roman"/>
          <w:bCs/>
          <w:sz w:val="24"/>
          <w:szCs w:val="24"/>
          <w:lang w:eastAsia="pl-PL"/>
        </w:rPr>
        <w:t xml:space="preserve">. </w:t>
      </w:r>
      <w:r w:rsidR="001A2055">
        <w:rPr>
          <w:rFonts w:ascii="Times New Roman" w:eastAsia="Times New Roman" w:hAnsi="Times New Roman" w:cs="Times New Roman"/>
          <w:bCs/>
          <w:sz w:val="24"/>
          <w:szCs w:val="24"/>
          <w:lang w:eastAsia="pl-PL"/>
        </w:rPr>
        <w:t xml:space="preserve">Z tego powodu </w:t>
      </w:r>
      <w:r w:rsidR="003F1F57" w:rsidRPr="00F46123">
        <w:rPr>
          <w:rFonts w:ascii="Times New Roman" w:eastAsia="Times New Roman" w:hAnsi="Times New Roman" w:cs="Times New Roman"/>
          <w:bCs/>
          <w:sz w:val="24"/>
          <w:szCs w:val="24"/>
          <w:lang w:eastAsia="pl-PL"/>
        </w:rPr>
        <w:t xml:space="preserve">limit ten </w:t>
      </w:r>
      <w:r w:rsidR="001A2055">
        <w:rPr>
          <w:rFonts w:ascii="Times New Roman" w:eastAsia="Times New Roman" w:hAnsi="Times New Roman" w:cs="Times New Roman"/>
          <w:bCs/>
          <w:sz w:val="24"/>
          <w:szCs w:val="24"/>
          <w:lang w:eastAsia="pl-PL"/>
        </w:rPr>
        <w:t xml:space="preserve">będzie odnoszony </w:t>
      </w:r>
      <w:r w:rsidR="003F1F57" w:rsidRPr="00F46123">
        <w:rPr>
          <w:rFonts w:ascii="Times New Roman" w:eastAsia="Times New Roman" w:hAnsi="Times New Roman" w:cs="Times New Roman"/>
          <w:bCs/>
          <w:sz w:val="24"/>
          <w:szCs w:val="24"/>
          <w:lang w:eastAsia="pl-PL"/>
        </w:rPr>
        <w:t xml:space="preserve">do </w:t>
      </w:r>
      <w:r w:rsidR="001A2055">
        <w:rPr>
          <w:rFonts w:ascii="Times New Roman" w:eastAsia="Times New Roman" w:hAnsi="Times New Roman" w:cs="Times New Roman"/>
          <w:bCs/>
          <w:sz w:val="24"/>
          <w:szCs w:val="24"/>
          <w:lang w:eastAsia="pl-PL"/>
        </w:rPr>
        <w:t xml:space="preserve">przychodów </w:t>
      </w:r>
      <w:r w:rsidR="003F1F57" w:rsidRPr="00F46123">
        <w:rPr>
          <w:rFonts w:ascii="Times New Roman" w:eastAsia="Times New Roman" w:hAnsi="Times New Roman" w:cs="Times New Roman"/>
          <w:bCs/>
          <w:sz w:val="24"/>
          <w:szCs w:val="24"/>
          <w:lang w:eastAsia="pl-PL"/>
        </w:rPr>
        <w:t xml:space="preserve">spółek, które utworzyły PGK. </w:t>
      </w:r>
      <w:r w:rsidR="00EF4B10" w:rsidRPr="00F46123">
        <w:rPr>
          <w:rFonts w:ascii="Times New Roman" w:eastAsia="Times New Roman" w:hAnsi="Times New Roman" w:cs="Times New Roman"/>
          <w:bCs/>
          <w:sz w:val="24"/>
          <w:szCs w:val="24"/>
          <w:lang w:eastAsia="pl-PL"/>
        </w:rPr>
        <w:t>W przypadku takiego PGK, podwyższoną stawkę CIT stosować się będzie także w pierwszym roku podatkowym</w:t>
      </w:r>
      <w:r w:rsidR="00EF4B10" w:rsidRPr="00F46123">
        <w:rPr>
          <w:rFonts w:ascii="Times New Roman" w:eastAsia="Times New Roman" w:hAnsi="Times New Roman" w:cs="Times New Roman"/>
          <w:sz w:val="24"/>
          <w:szCs w:val="24"/>
          <w:lang w:eastAsia="pl-PL"/>
        </w:rPr>
        <w:t xml:space="preserve"> tej grupy, jeżeli warunki dla objęcia tą stawką spełniała co najmniej jedna spółka tworząca tę grupę</w:t>
      </w:r>
      <w:r w:rsidR="00626422">
        <w:rPr>
          <w:rFonts w:ascii="Times New Roman" w:eastAsia="Times New Roman" w:hAnsi="Times New Roman" w:cs="Times New Roman"/>
          <w:sz w:val="24"/>
          <w:szCs w:val="24"/>
          <w:lang w:eastAsia="pl-PL"/>
        </w:rPr>
        <w:t>.</w:t>
      </w:r>
    </w:p>
    <w:p w14:paraId="2B39ED83" w14:textId="42EE63FB" w:rsidR="00F00859" w:rsidRPr="00F46123" w:rsidRDefault="00BF737C" w:rsidP="004234D3">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 xml:space="preserve">Celem </w:t>
      </w:r>
      <w:r w:rsidR="0003569A" w:rsidRPr="00F46123">
        <w:rPr>
          <w:rFonts w:ascii="Times New Roman" w:eastAsia="Times New Roman" w:hAnsi="Times New Roman" w:cs="Times New Roman"/>
          <w:sz w:val="24"/>
          <w:szCs w:val="24"/>
          <w:lang w:eastAsia="pl-PL"/>
        </w:rPr>
        <w:t xml:space="preserve">zwiększenia o 3 punkty procentowe stawki CIT dla wyżej wskazanych największych podmiotów gospodarczych </w:t>
      </w:r>
      <w:r w:rsidRPr="00F46123">
        <w:rPr>
          <w:rFonts w:ascii="Times New Roman" w:eastAsia="Times New Roman" w:hAnsi="Times New Roman" w:cs="Times New Roman"/>
          <w:sz w:val="24"/>
          <w:szCs w:val="24"/>
          <w:lang w:eastAsia="pl-PL"/>
        </w:rPr>
        <w:t xml:space="preserve">jest zwiększenie </w:t>
      </w:r>
      <w:r w:rsidR="0003569A" w:rsidRPr="00F46123">
        <w:rPr>
          <w:rFonts w:ascii="Times New Roman" w:eastAsia="Times New Roman" w:hAnsi="Times New Roman" w:cs="Times New Roman"/>
          <w:sz w:val="24"/>
          <w:szCs w:val="24"/>
          <w:lang w:eastAsia="pl-PL"/>
        </w:rPr>
        <w:t xml:space="preserve">ich </w:t>
      </w:r>
      <w:r w:rsidRPr="00F46123">
        <w:rPr>
          <w:rFonts w:ascii="Times New Roman" w:eastAsia="Times New Roman" w:hAnsi="Times New Roman" w:cs="Times New Roman"/>
          <w:sz w:val="24"/>
          <w:szCs w:val="24"/>
          <w:lang w:eastAsia="pl-PL"/>
        </w:rPr>
        <w:t xml:space="preserve">udziału w finansowaniu wydatków publicznych, przy jednoczesnym zachowaniu dotychczasowych zasad opodatkowania pozostałych podatników. </w:t>
      </w:r>
    </w:p>
    <w:p w14:paraId="5D826C26" w14:textId="51FE40A8" w:rsidR="00CB1EAB" w:rsidRPr="00F46123" w:rsidRDefault="00BF737C" w:rsidP="004234D3">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Przyjęte rozwiązanie uwzględnia większą zdolność płatniczą podmiotów o najwyższej skali działalności, realizując zasadę sprawiedliwości podatkowej oraz przyczyniając się do zwiększenia dochodów budżetu państwa.</w:t>
      </w:r>
    </w:p>
    <w:p w14:paraId="30F4CE91" w14:textId="043128D2" w:rsidR="00107DFE" w:rsidRDefault="005E16CF" w:rsidP="004234D3">
      <w:pPr>
        <w:autoSpaceDE w:val="0"/>
        <w:autoSpaceDN w:val="0"/>
        <w:adjustRightInd w:val="0"/>
        <w:spacing w:after="120" w:line="360" w:lineRule="auto"/>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W projekcie przewidziano również regulację dostosowującą zasady wpłacania uproszczonych zaliczek na podatek dochodowy od osób prawnych przez podatników objętych nową stawką 22</w:t>
      </w:r>
      <w:r w:rsidR="009D680F" w:rsidRPr="00F46123">
        <w:rPr>
          <w:rFonts w:ascii="Times New Roman" w:eastAsia="Times New Roman" w:hAnsi="Times New Roman" w:cs="Times New Roman"/>
          <w:sz w:val="24"/>
          <w:szCs w:val="24"/>
          <w:lang w:eastAsia="pl-PL"/>
        </w:rPr>
        <w:t> </w:t>
      </w:r>
      <w:r w:rsidRPr="00F46123">
        <w:rPr>
          <w:rFonts w:ascii="Times New Roman" w:eastAsia="Times New Roman" w:hAnsi="Times New Roman" w:cs="Times New Roman"/>
          <w:sz w:val="24"/>
          <w:szCs w:val="24"/>
          <w:lang w:eastAsia="pl-PL"/>
        </w:rPr>
        <w:t>%. Rozwiązanie to ma na celu zapewnienie adekwatności wysokości zaliczek do zwiększonego zobowiązania podatkowego w przypadku podatników ustalających zaliczki na podstawie podatku należnego wykazanego w zeznaniu za rok, w którym obowiązywała stawka 19</w:t>
      </w:r>
      <w:r w:rsidR="006C7551"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W tym celu kwota uproszczonej zaliczki zostanie podwyższona o 15,8</w:t>
      </w:r>
      <w:r w:rsidR="00A74767"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co odpowiada relacji pomiędzy dotychczasową stawką 19</w:t>
      </w:r>
      <w:r w:rsidR="006C7551"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a projektowaną stawką 22</w:t>
      </w:r>
      <w:r w:rsidR="00A74767" w:rsidRPr="00F46123">
        <w:rPr>
          <w:rFonts w:ascii="Times New Roman" w:eastAsia="Times New Roman" w:hAnsi="Times New Roman" w:cs="Times New Roman"/>
          <w:sz w:val="24"/>
          <w:szCs w:val="24"/>
          <w:lang w:eastAsia="pl-PL"/>
        </w:rPr>
        <w:t xml:space="preserve"> </w:t>
      </w:r>
      <w:r w:rsidRPr="00F46123">
        <w:rPr>
          <w:rFonts w:ascii="Times New Roman" w:eastAsia="Times New Roman" w:hAnsi="Times New Roman" w:cs="Times New Roman"/>
          <w:sz w:val="24"/>
          <w:szCs w:val="24"/>
          <w:lang w:eastAsia="pl-PL"/>
        </w:rPr>
        <w:t xml:space="preserve">%. </w:t>
      </w:r>
      <w:r w:rsidR="00BE5E89" w:rsidRPr="00F46123">
        <w:rPr>
          <w:rFonts w:ascii="Times New Roman" w:eastAsia="Times New Roman" w:hAnsi="Times New Roman" w:cs="Times New Roman"/>
          <w:sz w:val="24"/>
          <w:szCs w:val="24"/>
          <w:lang w:eastAsia="pl-PL"/>
        </w:rPr>
        <w:t xml:space="preserve">Regulacja ta zapewni uwzględnienie podwyższonej stawki podatku już na etapie ustalania i wpłacania </w:t>
      </w:r>
      <w:r w:rsidR="00BE5E89" w:rsidRPr="00F46123">
        <w:rPr>
          <w:rFonts w:ascii="Times New Roman" w:eastAsia="Times New Roman" w:hAnsi="Times New Roman" w:cs="Times New Roman"/>
          <w:sz w:val="24"/>
          <w:szCs w:val="24"/>
          <w:lang w:eastAsia="pl-PL"/>
        </w:rPr>
        <w:lastRenderedPageBreak/>
        <w:t>uproszczonych zaliczek za 2027 r. Rozwiązanie to służy zachowaniu większej zgodności pomiędzy wysokością wpłacanych zaliczek a przewidywanym zobowiązaniem podatkowym, ograniczając ryzyko powstania znacznych niedopłat przy rozliczeniu rocznym. Ponadto zwiększy ono przewidywalność obciążeń podatkowych po stronie podatników objętych nową stawką podatku.</w:t>
      </w:r>
      <w:r w:rsidR="006D4651" w:rsidRPr="00F46123">
        <w:rPr>
          <w:rFonts w:ascii="Times New Roman" w:eastAsia="Times New Roman" w:hAnsi="Times New Roman" w:cs="Times New Roman"/>
          <w:sz w:val="24"/>
          <w:szCs w:val="24"/>
          <w:lang w:eastAsia="pl-PL"/>
        </w:rPr>
        <w:t xml:space="preserve"> Przepis ten zatem znajdzie zastosowanie do zaliczek wpłacanych za lata podatkowe rozpoczynające się po dniu 31 grudnia 2026 r. </w:t>
      </w:r>
      <w:r w:rsidR="005F6AEA" w:rsidRPr="00F46123">
        <w:rPr>
          <w:rFonts w:ascii="Times New Roman" w:eastAsia="Times New Roman" w:hAnsi="Times New Roman" w:cs="Times New Roman"/>
          <w:sz w:val="24"/>
          <w:szCs w:val="24"/>
          <w:lang w:eastAsia="pl-PL"/>
        </w:rPr>
        <w:t>Przy ustalaniu ich wysokości podstawą kalkulacji może być podatek należny wynikający z zeznań składanych za lata podatkowe, w których obowiązywała stawka 19 %. Jest to konsekwencją konstrukcji uproszczonej formy wpłacania zaliczek, opartej na danych historycznych wynikających z</w:t>
      </w:r>
      <w:r w:rsidR="00F46123" w:rsidRPr="00F46123">
        <w:rPr>
          <w:rFonts w:ascii="Times New Roman" w:eastAsia="Times New Roman" w:hAnsi="Times New Roman" w:cs="Times New Roman"/>
          <w:sz w:val="24"/>
          <w:szCs w:val="24"/>
          <w:lang w:eastAsia="pl-PL"/>
        </w:rPr>
        <w:t> </w:t>
      </w:r>
      <w:r w:rsidR="005F6AEA" w:rsidRPr="00F46123">
        <w:rPr>
          <w:rFonts w:ascii="Times New Roman" w:eastAsia="Times New Roman" w:hAnsi="Times New Roman" w:cs="Times New Roman"/>
          <w:sz w:val="24"/>
          <w:szCs w:val="24"/>
          <w:lang w:eastAsia="pl-PL"/>
        </w:rPr>
        <w:t>wcześniej złożonych zeznań podatkowych.</w:t>
      </w:r>
      <w:r w:rsidR="00F46D87" w:rsidRPr="00F46123">
        <w:rPr>
          <w:rFonts w:ascii="Times New Roman" w:eastAsia="Times New Roman" w:hAnsi="Times New Roman" w:cs="Times New Roman"/>
          <w:sz w:val="24"/>
          <w:szCs w:val="24"/>
          <w:lang w:eastAsia="pl-PL"/>
        </w:rPr>
        <w:t xml:space="preserve"> </w:t>
      </w:r>
      <w:r w:rsidR="00107DFE">
        <w:rPr>
          <w:rFonts w:ascii="Times New Roman" w:eastAsia="Times New Roman" w:hAnsi="Times New Roman" w:cs="Times New Roman"/>
          <w:sz w:val="24"/>
          <w:szCs w:val="24"/>
          <w:lang w:eastAsia="pl-PL"/>
        </w:rPr>
        <w:t>Na podobnych zasadach uregulowano sytuację, gdy podatnik wpłacający zaliczki uproszczone (w roku, w którym stosować będzie stawkę podatku w wysokości 19 %) bazować będzie na podatku obliczonym wg stawki 22 %. W takim przypadku zaliczki te będą zmniejszane o 13,6 %.</w:t>
      </w:r>
    </w:p>
    <w:p w14:paraId="607FAE8E" w14:textId="58202A67" w:rsidR="000772AF" w:rsidRPr="00F46123" w:rsidRDefault="00A55742" w:rsidP="004234D3">
      <w:pPr>
        <w:autoSpaceDE w:val="0"/>
        <w:autoSpaceDN w:val="0"/>
        <w:adjustRightInd w:val="0"/>
        <w:spacing w:after="120" w:line="360" w:lineRule="auto"/>
        <w:jc w:val="both"/>
        <w:rPr>
          <w:rFonts w:ascii="Times New Roman" w:hAnsi="Times New Roman" w:cs="Times New Roman"/>
          <w:sz w:val="24"/>
          <w:szCs w:val="24"/>
          <w:lang w:eastAsia="pl-PL"/>
        </w:rPr>
      </w:pPr>
      <w:r w:rsidRPr="00F46123">
        <w:rPr>
          <w:rFonts w:ascii="Times New Roman" w:hAnsi="Times New Roman" w:cs="Times New Roman"/>
          <w:sz w:val="24"/>
          <w:szCs w:val="24"/>
          <w:lang w:eastAsia="pl-PL"/>
        </w:rPr>
        <w:t>Efektem projektowanych zmian będzie poprawa wyniku sektora finansów publicznych, w tym również ograniczenie ryzyka przekroczenia w</w:t>
      </w:r>
      <w:r w:rsidR="00F46123" w:rsidRPr="00F46123">
        <w:rPr>
          <w:rFonts w:ascii="Times New Roman" w:hAnsi="Times New Roman" w:cs="Times New Roman"/>
          <w:sz w:val="24"/>
          <w:szCs w:val="24"/>
          <w:lang w:eastAsia="pl-PL"/>
        </w:rPr>
        <w:t> </w:t>
      </w:r>
      <w:r w:rsidRPr="00F46123">
        <w:rPr>
          <w:rFonts w:ascii="Times New Roman" w:hAnsi="Times New Roman" w:cs="Times New Roman"/>
          <w:sz w:val="24"/>
          <w:szCs w:val="24"/>
          <w:lang w:eastAsia="pl-PL"/>
        </w:rPr>
        <w:t>przyszłości przez państwowy dług publiczny określonych w ustawach poziomów.</w:t>
      </w:r>
    </w:p>
    <w:p w14:paraId="12664B1E" w14:textId="3D8DAFA9" w:rsidR="00A11399" w:rsidRPr="00F46123" w:rsidRDefault="00D02E9D" w:rsidP="004234D3">
      <w:pPr>
        <w:pStyle w:val="TekstpismaMFodstep12"/>
        <w:spacing w:before="0" w:after="120" w:line="360" w:lineRule="auto"/>
        <w:jc w:val="both"/>
        <w:rPr>
          <w:rFonts w:ascii="Times New Roman" w:hAnsi="Times New Roman"/>
          <w:b/>
          <w:bCs/>
          <w:color w:val="2F5496" w:themeColor="accent1" w:themeShade="BF"/>
          <w:sz w:val="24"/>
          <w:szCs w:val="24"/>
        </w:rPr>
      </w:pPr>
      <w:r w:rsidRPr="00F46123">
        <w:rPr>
          <w:rFonts w:ascii="Times New Roman" w:hAnsi="Times New Roman"/>
          <w:b/>
          <w:bCs/>
          <w:color w:val="2F5496" w:themeColor="accent1" w:themeShade="BF"/>
          <w:sz w:val="24"/>
          <w:szCs w:val="24"/>
        </w:rPr>
        <w:t xml:space="preserve">III. </w:t>
      </w:r>
      <w:r w:rsidR="00A55742" w:rsidRPr="00F46123">
        <w:rPr>
          <w:rFonts w:ascii="Times New Roman" w:hAnsi="Times New Roman"/>
          <w:b/>
          <w:bCs/>
          <w:color w:val="2F5496" w:themeColor="accent1" w:themeShade="BF"/>
          <w:sz w:val="24"/>
          <w:szCs w:val="24"/>
        </w:rPr>
        <w:t>Zmian</w:t>
      </w:r>
      <w:r w:rsidRPr="00F46123">
        <w:rPr>
          <w:rFonts w:ascii="Times New Roman" w:hAnsi="Times New Roman"/>
          <w:b/>
          <w:bCs/>
          <w:color w:val="2F5496" w:themeColor="accent1" w:themeShade="BF"/>
          <w:sz w:val="24"/>
          <w:szCs w:val="24"/>
        </w:rPr>
        <w:t>y</w:t>
      </w:r>
      <w:r w:rsidR="00A55742" w:rsidRPr="00F46123">
        <w:rPr>
          <w:rFonts w:ascii="Times New Roman" w:hAnsi="Times New Roman"/>
          <w:b/>
          <w:bCs/>
          <w:color w:val="2F5496" w:themeColor="accent1" w:themeShade="BF"/>
          <w:sz w:val="24"/>
          <w:szCs w:val="24"/>
        </w:rPr>
        <w:t xml:space="preserve"> </w:t>
      </w:r>
      <w:r w:rsidR="00A11399" w:rsidRPr="00F46123">
        <w:rPr>
          <w:rFonts w:ascii="Times New Roman" w:hAnsi="Times New Roman"/>
          <w:b/>
          <w:bCs/>
          <w:color w:val="2F5496" w:themeColor="accent1" w:themeShade="BF"/>
          <w:sz w:val="24"/>
          <w:szCs w:val="24"/>
        </w:rPr>
        <w:t>w ustaw</w:t>
      </w:r>
      <w:r w:rsidR="003D5623" w:rsidRPr="00F46123">
        <w:rPr>
          <w:rFonts w:ascii="Times New Roman" w:hAnsi="Times New Roman"/>
          <w:b/>
          <w:bCs/>
          <w:color w:val="2F5496" w:themeColor="accent1" w:themeShade="BF"/>
          <w:sz w:val="24"/>
          <w:szCs w:val="24"/>
        </w:rPr>
        <w:t>ie</w:t>
      </w:r>
      <w:r w:rsidR="00A11399" w:rsidRPr="00F46123">
        <w:rPr>
          <w:rFonts w:ascii="Times New Roman" w:hAnsi="Times New Roman"/>
          <w:b/>
          <w:bCs/>
          <w:color w:val="2F5496" w:themeColor="accent1" w:themeShade="BF"/>
          <w:sz w:val="24"/>
          <w:szCs w:val="24"/>
        </w:rPr>
        <w:t xml:space="preserve"> o ryczałcie</w:t>
      </w:r>
    </w:p>
    <w:p w14:paraId="52978C92" w14:textId="721AD723" w:rsidR="00A55742" w:rsidRPr="00F46123" w:rsidRDefault="00A11399" w:rsidP="004234D3">
      <w:pPr>
        <w:pStyle w:val="TekstpismaMFodstep12"/>
        <w:spacing w:before="0" w:after="120" w:line="360" w:lineRule="auto"/>
        <w:jc w:val="both"/>
        <w:rPr>
          <w:rFonts w:ascii="Times New Roman" w:hAnsi="Times New Roman"/>
          <w:b/>
          <w:bCs/>
          <w:sz w:val="24"/>
          <w:szCs w:val="24"/>
        </w:rPr>
      </w:pPr>
      <w:r w:rsidRPr="00F46123">
        <w:rPr>
          <w:rFonts w:ascii="Times New Roman" w:hAnsi="Times New Roman"/>
          <w:b/>
          <w:bCs/>
          <w:sz w:val="24"/>
          <w:szCs w:val="24"/>
        </w:rPr>
        <w:t xml:space="preserve">Zmiana </w:t>
      </w:r>
      <w:r w:rsidR="00A55742" w:rsidRPr="00F46123">
        <w:rPr>
          <w:rFonts w:ascii="Times New Roman" w:hAnsi="Times New Roman"/>
          <w:b/>
          <w:bCs/>
          <w:sz w:val="24"/>
          <w:szCs w:val="24"/>
        </w:rPr>
        <w:t xml:space="preserve">limitu warunkującego stosowanie opodatkowania ryczałtem od przychodów ewidencjonowanych </w:t>
      </w:r>
      <w:r w:rsidR="00D73B35" w:rsidRPr="00F46123">
        <w:rPr>
          <w:rFonts w:ascii="Times New Roman" w:hAnsi="Times New Roman"/>
          <w:b/>
          <w:bCs/>
          <w:sz w:val="24"/>
          <w:szCs w:val="24"/>
        </w:rPr>
        <w:t>(art. 3 projektu ustawy)</w:t>
      </w:r>
    </w:p>
    <w:p w14:paraId="1AF892FC" w14:textId="7DFA9028" w:rsidR="00A55742" w:rsidRPr="00F46123" w:rsidRDefault="00A55742" w:rsidP="004234D3">
      <w:pPr>
        <w:spacing w:after="120" w:line="360" w:lineRule="auto"/>
        <w:jc w:val="both"/>
        <w:rPr>
          <w:rFonts w:ascii="Times New Roman" w:hAnsi="Times New Roman" w:cs="Times New Roman"/>
          <w:sz w:val="24"/>
          <w:szCs w:val="24"/>
          <w:lang w:eastAsia="pl-PL"/>
        </w:rPr>
      </w:pPr>
      <w:r w:rsidRPr="00F46123">
        <w:rPr>
          <w:rFonts w:ascii="Times New Roman" w:hAnsi="Times New Roman" w:cs="Times New Roman"/>
          <w:sz w:val="24"/>
          <w:szCs w:val="24"/>
          <w:lang w:eastAsia="pl-PL"/>
        </w:rPr>
        <w:t>Opodatkowanie ryczałtem od przychodów ewidencjonowanych zostało wprowadzone ustawą z dnia 20 listopada 1998 r. o zryczałtowanym podatku dochodowym od niektórych przychodów osiąganych przez osoby fizyczne, która to nadawała dotychczasowym rozporządzeniom rangę ustawową celem dostosowania regulacji do nowej konstytucji. Ustawa ta wprowadziła próg przychodu uprawniający do ryczałtu w wysokości 400 tys. zł.</w:t>
      </w:r>
    </w:p>
    <w:p w14:paraId="4D2B8E22" w14:textId="16644FC7" w:rsidR="00A55742" w:rsidRPr="00F46123" w:rsidRDefault="00A55742" w:rsidP="004234D3">
      <w:pPr>
        <w:spacing w:after="120" w:line="360" w:lineRule="auto"/>
        <w:jc w:val="both"/>
        <w:rPr>
          <w:rFonts w:ascii="Times New Roman" w:hAnsi="Times New Roman" w:cs="Times New Roman"/>
          <w:sz w:val="24"/>
          <w:szCs w:val="24"/>
          <w:lang w:eastAsia="pl-PL"/>
        </w:rPr>
      </w:pPr>
      <w:r w:rsidRPr="00F46123">
        <w:rPr>
          <w:rFonts w:ascii="Times New Roman" w:hAnsi="Times New Roman" w:cs="Times New Roman"/>
          <w:sz w:val="24"/>
          <w:szCs w:val="24"/>
          <w:lang w:eastAsia="pl-PL"/>
        </w:rPr>
        <w:t>Obecnie limit warunkujący stosowanie opodatkowania ryczałtem od przychodów ewidencjonowanych wynosi 2 mln euro. W tej wysokości obowiązuje od 2021 r. i został podwyższony z 250 tys. euro do 2</w:t>
      </w:r>
      <w:r w:rsidR="003F796C" w:rsidRPr="00F46123">
        <w:rPr>
          <w:rFonts w:ascii="Times New Roman" w:hAnsi="Times New Roman" w:cs="Times New Roman"/>
          <w:sz w:val="24"/>
          <w:szCs w:val="24"/>
          <w:lang w:eastAsia="pl-PL"/>
        </w:rPr>
        <w:t> </w:t>
      </w:r>
      <w:r w:rsidRPr="00F46123">
        <w:rPr>
          <w:rFonts w:ascii="Times New Roman" w:hAnsi="Times New Roman" w:cs="Times New Roman"/>
          <w:sz w:val="24"/>
          <w:szCs w:val="24"/>
          <w:lang w:eastAsia="pl-PL"/>
        </w:rPr>
        <w:t>mln euro, czyli ośmiokrotnie. Przedsiębiorca, który w trakcie roku przekracza limit przychodów warunkujący wybór ryczałtu, traci prawo do tej formy opodatkowania dopiero od następnego roku. Oznacza to że, niezależnie od wielkości osiągniętych przychodów, do końca roku korzysta z uproszczonej formy opodatkowania.</w:t>
      </w:r>
    </w:p>
    <w:p w14:paraId="1AF89E39" w14:textId="6FE89C35" w:rsidR="00A55742" w:rsidRPr="00F46123" w:rsidRDefault="00A55742" w:rsidP="004234D3">
      <w:pPr>
        <w:spacing w:after="120" w:line="360" w:lineRule="auto"/>
        <w:jc w:val="both"/>
        <w:rPr>
          <w:rFonts w:ascii="Times New Roman" w:hAnsi="Times New Roman" w:cs="Times New Roman"/>
          <w:sz w:val="24"/>
          <w:szCs w:val="24"/>
          <w:lang w:eastAsia="pl-PL"/>
        </w:rPr>
      </w:pPr>
      <w:r w:rsidRPr="00F46123">
        <w:rPr>
          <w:rFonts w:ascii="Times New Roman" w:hAnsi="Times New Roman" w:cs="Times New Roman"/>
          <w:sz w:val="24"/>
          <w:szCs w:val="24"/>
        </w:rPr>
        <w:t xml:space="preserve">Z danych wykazanych w zeznaniach podatkowych złożonych za 2024 r. wynika, że z tej formy opodatkowania korzystają przedsiębiorcy, których przychody są znaczące. W 2024 r. 43 tysiące </w:t>
      </w:r>
      <w:r w:rsidRPr="00F46123">
        <w:rPr>
          <w:rFonts w:ascii="Times New Roman" w:hAnsi="Times New Roman" w:cs="Times New Roman"/>
          <w:sz w:val="24"/>
          <w:szCs w:val="24"/>
        </w:rPr>
        <w:lastRenderedPageBreak/>
        <w:t xml:space="preserve">podatników uzyskało przychody przekraczające 250 tys. euro, z tego około </w:t>
      </w:r>
      <w:r w:rsidR="00F3439D" w:rsidRPr="00F46123">
        <w:rPr>
          <w:rFonts w:ascii="Times New Roman" w:hAnsi="Times New Roman" w:cs="Times New Roman"/>
          <w:sz w:val="24"/>
          <w:szCs w:val="24"/>
        </w:rPr>
        <w:t>400</w:t>
      </w:r>
      <w:r w:rsidRPr="00F46123">
        <w:rPr>
          <w:rFonts w:ascii="Times New Roman" w:hAnsi="Times New Roman" w:cs="Times New Roman"/>
          <w:sz w:val="24"/>
          <w:szCs w:val="24"/>
        </w:rPr>
        <w:t xml:space="preserve"> podatników – przychody ponad 2 mln euro. Ł</w:t>
      </w:r>
      <w:r w:rsidRPr="00F46123">
        <w:rPr>
          <w:rFonts w:ascii="Times New Roman" w:hAnsi="Times New Roman" w:cs="Times New Roman"/>
          <w:sz w:val="24"/>
          <w:szCs w:val="24"/>
          <w:lang w:eastAsia="pl-PL"/>
        </w:rPr>
        <w:t>ączne przychody uzyskane przez tę grupę podatników w 2024 r. wyniosły 102 mld zł, z tego 5,6 mld zł stanowiły przychody podatników, którzy uzyskali przychody przekraczające ustawowy limit (2 mln euro). W grupie tej zdarzają się podatnicy, którzy osiągają przychody ponad 100 mln zł. Co więcej liczba podatników przekraczających próg 250 tys. euro dynamicznie rośnie</w:t>
      </w:r>
      <w:r w:rsidR="00F3439D"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xml:space="preserve"> z 8,7</w:t>
      </w:r>
      <w:r w:rsidR="00F3439D" w:rsidRPr="00F46123">
        <w:rPr>
          <w:rFonts w:ascii="Times New Roman" w:hAnsi="Times New Roman" w:cs="Times New Roman"/>
          <w:sz w:val="24"/>
          <w:szCs w:val="24"/>
          <w:lang w:eastAsia="pl-PL"/>
        </w:rPr>
        <w:t> </w:t>
      </w:r>
      <w:r w:rsidRPr="00F46123">
        <w:rPr>
          <w:rFonts w:ascii="Times New Roman" w:hAnsi="Times New Roman" w:cs="Times New Roman"/>
          <w:sz w:val="24"/>
          <w:szCs w:val="24"/>
          <w:lang w:eastAsia="pl-PL"/>
        </w:rPr>
        <w:t>tys. w pierwszym roku wprowadzenia obecnego limitu, 23,3 tys. w 2022 r. (Polski Ład) do 42,4 tys. w 2024</w:t>
      </w:r>
      <w:r w:rsidR="00F3439D" w:rsidRPr="00F46123">
        <w:rPr>
          <w:rFonts w:ascii="Times New Roman" w:hAnsi="Times New Roman" w:cs="Times New Roman"/>
          <w:sz w:val="24"/>
          <w:szCs w:val="24"/>
          <w:lang w:eastAsia="pl-PL"/>
        </w:rPr>
        <w:t> </w:t>
      </w:r>
      <w:r w:rsidRPr="00F46123">
        <w:rPr>
          <w:rFonts w:ascii="Times New Roman" w:hAnsi="Times New Roman" w:cs="Times New Roman"/>
          <w:sz w:val="24"/>
          <w:szCs w:val="24"/>
          <w:lang w:eastAsia="pl-PL"/>
        </w:rPr>
        <w:t>r.</w:t>
      </w:r>
    </w:p>
    <w:p w14:paraId="4EDAAB73" w14:textId="77777777" w:rsidR="00A55742" w:rsidRPr="00F46123" w:rsidRDefault="00A55742" w:rsidP="004234D3">
      <w:pPr>
        <w:spacing w:after="120" w:line="360" w:lineRule="auto"/>
        <w:jc w:val="both"/>
        <w:rPr>
          <w:rFonts w:ascii="Times New Roman" w:hAnsi="Times New Roman" w:cs="Times New Roman"/>
          <w:spacing w:val="-2"/>
          <w:sz w:val="24"/>
          <w:szCs w:val="24"/>
        </w:rPr>
      </w:pPr>
      <w:r w:rsidRPr="00F46123">
        <w:rPr>
          <w:rFonts w:ascii="Times New Roman" w:hAnsi="Times New Roman" w:cs="Times New Roman"/>
          <w:sz w:val="24"/>
          <w:szCs w:val="24"/>
        </w:rPr>
        <w:t>W celu dostosowania zakresu stosowania ryczałtu od przychodów ewidencjonowanych do jego pierwotnych założeń</w:t>
      </w:r>
      <w:r w:rsidRPr="00F46123" w:rsidDel="008112CB">
        <w:rPr>
          <w:rFonts w:ascii="Times New Roman" w:hAnsi="Times New Roman" w:cs="Times New Roman"/>
          <w:sz w:val="24"/>
          <w:szCs w:val="24"/>
        </w:rPr>
        <w:t xml:space="preserve"> </w:t>
      </w:r>
      <w:r w:rsidRPr="00F46123">
        <w:rPr>
          <w:rFonts w:ascii="Times New Roman" w:hAnsi="Times New Roman" w:cs="Times New Roman"/>
          <w:sz w:val="24"/>
          <w:szCs w:val="24"/>
        </w:rPr>
        <w:t>proponuje się zatem o</w:t>
      </w:r>
      <w:r w:rsidRPr="00F46123">
        <w:rPr>
          <w:rFonts w:ascii="Times New Roman" w:hAnsi="Times New Roman" w:cs="Times New Roman"/>
          <w:spacing w:val="-2"/>
          <w:sz w:val="24"/>
          <w:szCs w:val="24"/>
        </w:rPr>
        <w:t>bniżenie limitu przychodów warunkującego możliwość wyboru opodatkowania ryczałtem od przychodów ewidencjonowanych z 2 mln euro do 250 tys. euro.</w:t>
      </w:r>
    </w:p>
    <w:p w14:paraId="35F04434" w14:textId="2632B0AD" w:rsidR="00A55742" w:rsidRPr="00F46123" w:rsidRDefault="00A55742" w:rsidP="004234D3">
      <w:pPr>
        <w:spacing w:after="120" w:line="360" w:lineRule="auto"/>
        <w:jc w:val="both"/>
        <w:rPr>
          <w:rFonts w:ascii="Times New Roman" w:hAnsi="Times New Roman" w:cs="Times New Roman"/>
          <w:sz w:val="24"/>
          <w:szCs w:val="24"/>
          <w:lang w:eastAsia="pl-PL"/>
        </w:rPr>
      </w:pPr>
      <w:r w:rsidRPr="00F46123">
        <w:rPr>
          <w:rFonts w:ascii="Times New Roman" w:hAnsi="Times New Roman" w:cs="Times New Roman"/>
          <w:sz w:val="24"/>
          <w:szCs w:val="24"/>
          <w:lang w:eastAsia="pl-PL"/>
        </w:rPr>
        <w:t>Jednocześnie przychody te nie są uwzględniane przy rozliczaniu daniny solidarnościowej, którą płacą osoby fizyczne od nadwyżki ponad 1 mln zł sumy dochodów, np. ze stosunku pracy. Dodatkowo ta forma opodatkowania dla części podatników jest bardzo korzystna z uwagi na preferencyjną wysokość składki zdrowotnej. Ryczałt od przychodów ewidencjonowanych jest formą opodatkowania, która umożliwia opłacanie składki zdrowotnej z górnym limitem.</w:t>
      </w:r>
      <w:r w:rsidRPr="00F46123">
        <w:rPr>
          <w:rFonts w:ascii="Times New Roman" w:hAnsi="Times New Roman" w:cs="Times New Roman"/>
          <w:sz w:val="24"/>
          <w:szCs w:val="24"/>
        </w:rPr>
        <w:t xml:space="preserve"> </w:t>
      </w:r>
      <w:r w:rsidRPr="00F46123">
        <w:rPr>
          <w:rFonts w:ascii="Times New Roman" w:hAnsi="Times New Roman" w:cs="Times New Roman"/>
          <w:sz w:val="24"/>
          <w:szCs w:val="24"/>
          <w:lang w:eastAsia="pl-PL"/>
        </w:rPr>
        <w:t>Mianowicie, powyżej 300 tys. zł przychodu podstawa obliczenia składki to 180</w:t>
      </w:r>
      <w:r w:rsidR="003F796C" w:rsidRPr="00F46123">
        <w:rPr>
          <w:rFonts w:ascii="Times New Roman" w:hAnsi="Times New Roman" w:cs="Times New Roman"/>
          <w:sz w:val="24"/>
          <w:szCs w:val="24"/>
          <w:lang w:eastAsia="pl-PL"/>
        </w:rPr>
        <w:t xml:space="preserve"> </w:t>
      </w:r>
      <w:r w:rsidRPr="00F46123">
        <w:rPr>
          <w:rFonts w:ascii="Times New Roman" w:hAnsi="Times New Roman" w:cs="Times New Roman"/>
          <w:sz w:val="24"/>
          <w:szCs w:val="24"/>
          <w:lang w:eastAsia="pl-PL"/>
        </w:rPr>
        <w:t>% przeciętnego wynagrodzenia. W tej samej wysokości składkę wyliczy więc przedsiębiorca, który osiągnie ponad 250 tys. euro, czy 2 mln euro przychodu.</w:t>
      </w:r>
    </w:p>
    <w:p w14:paraId="5D75482B" w14:textId="49BD9D9B" w:rsidR="00A55742" w:rsidRPr="00F46123" w:rsidRDefault="00A55742" w:rsidP="004234D3">
      <w:pPr>
        <w:spacing w:after="120" w:line="360" w:lineRule="auto"/>
        <w:jc w:val="both"/>
        <w:rPr>
          <w:rFonts w:ascii="Times New Roman" w:hAnsi="Times New Roman" w:cs="Times New Roman"/>
          <w:sz w:val="24"/>
          <w:szCs w:val="24"/>
          <w:lang w:eastAsia="pl-PL"/>
        </w:rPr>
      </w:pPr>
      <w:r w:rsidRPr="00F46123">
        <w:rPr>
          <w:rFonts w:ascii="Times New Roman" w:hAnsi="Times New Roman" w:cs="Times New Roman"/>
          <w:sz w:val="24"/>
          <w:szCs w:val="24"/>
          <w:lang w:eastAsia="pl-PL"/>
        </w:rPr>
        <w:t>W rzeczywistości z tej formy opodatkowania korzystają również przedsiębiorcy o bardzo wysokich przychodach, którzy, rozliczając się na zasadach ogólnych, płaciliby wyższe składki zdrowotne oraz daninę solidarnościową. Nierzadko ponoszą oni mniejsze obciążenia podatkowo-składkowe niż pracownicy z o wiele niższymi przychodami.</w:t>
      </w:r>
    </w:p>
    <w:p w14:paraId="775E8C2F" w14:textId="13E13F4C" w:rsidR="00A55742" w:rsidRPr="00F46123" w:rsidRDefault="00A55742" w:rsidP="004234D3">
      <w:pPr>
        <w:spacing w:after="120" w:line="360" w:lineRule="auto"/>
        <w:jc w:val="both"/>
        <w:rPr>
          <w:rFonts w:ascii="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Zakłada się, że wprowadzenie nowych regulacji w postaci obniżenia limitu przychodów z</w:t>
      </w:r>
      <w:r w:rsidR="00F46123" w:rsidRPr="00F46123">
        <w:rPr>
          <w:rFonts w:ascii="Times New Roman" w:hAnsi="Times New Roman" w:cs="Times New Roman"/>
          <w:sz w:val="24"/>
          <w:szCs w:val="24"/>
        </w:rPr>
        <w:t> </w:t>
      </w:r>
      <w:r w:rsidRPr="00F46123">
        <w:rPr>
          <w:rFonts w:ascii="Times New Roman" w:eastAsia="Times New Roman" w:hAnsi="Times New Roman" w:cs="Times New Roman"/>
          <w:sz w:val="24"/>
          <w:szCs w:val="24"/>
          <w:lang w:eastAsia="pl-PL"/>
        </w:rPr>
        <w:t>2</w:t>
      </w:r>
      <w:r w:rsidR="00F46123" w:rsidRPr="00F46123">
        <w:rPr>
          <w:rFonts w:ascii="Times New Roman" w:eastAsia="Times New Roman" w:hAnsi="Times New Roman" w:cs="Times New Roman"/>
          <w:sz w:val="24"/>
          <w:szCs w:val="24"/>
          <w:lang w:eastAsia="pl-PL"/>
        </w:rPr>
        <w:t> </w:t>
      </w:r>
      <w:r w:rsidRPr="00F46123">
        <w:rPr>
          <w:rFonts w:ascii="Times New Roman" w:eastAsia="Times New Roman" w:hAnsi="Times New Roman" w:cs="Times New Roman"/>
          <w:sz w:val="24"/>
          <w:szCs w:val="24"/>
          <w:lang w:eastAsia="pl-PL"/>
        </w:rPr>
        <w:t xml:space="preserve">mln euro na 250 tys. euro warunkującego możliwość korzystania z tej formy opodatkowania przez przedsiębiorców ograniczy skalę korzystania z preferencyjnych rozwiązań przez podmioty o wysokich przychodach. Przyczyni się także do powrotu do </w:t>
      </w:r>
      <w:r w:rsidRPr="00F46123">
        <w:rPr>
          <w:rFonts w:ascii="Times New Roman" w:hAnsi="Times New Roman" w:cs="Times New Roman"/>
          <w:sz w:val="24"/>
          <w:szCs w:val="24"/>
        </w:rPr>
        <w:t xml:space="preserve">pierwotnych założeń opodatkowania ryczałtem od przychodów ewidencjonowanych, czyli jako uproszczonej formy opodatkowania, która była </w:t>
      </w:r>
      <w:r w:rsidRPr="00F46123">
        <w:rPr>
          <w:rFonts w:ascii="Times New Roman" w:hAnsi="Times New Roman" w:cs="Times New Roman"/>
          <w:sz w:val="24"/>
          <w:szCs w:val="24"/>
          <w:lang w:eastAsia="pl-PL"/>
        </w:rPr>
        <w:t>adresowana do przedsiębiorców prowadzących działalność w niewielkich rozmiarach.</w:t>
      </w:r>
    </w:p>
    <w:p w14:paraId="5F2AC05C" w14:textId="6B0E7BF0" w:rsidR="001D70CC" w:rsidRPr="00F46123" w:rsidRDefault="0089434A" w:rsidP="006D140B">
      <w:pPr>
        <w:keepNext/>
        <w:keepLines/>
        <w:spacing w:after="120" w:line="360" w:lineRule="auto"/>
        <w:jc w:val="both"/>
        <w:rPr>
          <w:rFonts w:ascii="Times New Roman" w:hAnsi="Times New Roman" w:cs="Times New Roman"/>
          <w:b/>
          <w:bCs/>
          <w:color w:val="2F5496" w:themeColor="accent1" w:themeShade="BF"/>
          <w:sz w:val="24"/>
          <w:szCs w:val="24"/>
        </w:rPr>
      </w:pPr>
      <w:r w:rsidRPr="00F46123">
        <w:rPr>
          <w:rFonts w:ascii="Times New Roman" w:hAnsi="Times New Roman" w:cs="Times New Roman"/>
          <w:b/>
          <w:bCs/>
          <w:color w:val="2F5496" w:themeColor="accent1" w:themeShade="BF"/>
          <w:sz w:val="24"/>
          <w:szCs w:val="24"/>
        </w:rPr>
        <w:lastRenderedPageBreak/>
        <w:t>I</w:t>
      </w:r>
      <w:r w:rsidR="00D02E9D" w:rsidRPr="00F46123">
        <w:rPr>
          <w:rFonts w:ascii="Times New Roman" w:hAnsi="Times New Roman" w:cs="Times New Roman"/>
          <w:b/>
          <w:bCs/>
          <w:color w:val="2F5496" w:themeColor="accent1" w:themeShade="BF"/>
          <w:sz w:val="24"/>
          <w:szCs w:val="24"/>
        </w:rPr>
        <w:t xml:space="preserve">V. </w:t>
      </w:r>
      <w:r w:rsidR="001D70CC" w:rsidRPr="00F46123">
        <w:rPr>
          <w:rFonts w:ascii="Times New Roman" w:hAnsi="Times New Roman" w:cs="Times New Roman"/>
          <w:b/>
          <w:bCs/>
          <w:color w:val="2F5496" w:themeColor="accent1" w:themeShade="BF"/>
          <w:sz w:val="24"/>
          <w:szCs w:val="24"/>
        </w:rPr>
        <w:t xml:space="preserve">Przepisy przejściowe </w:t>
      </w:r>
      <w:r w:rsidR="00A55742" w:rsidRPr="00F46123">
        <w:rPr>
          <w:rFonts w:ascii="Times New Roman" w:hAnsi="Times New Roman" w:cs="Times New Roman"/>
          <w:b/>
          <w:bCs/>
          <w:color w:val="2F5496" w:themeColor="accent1" w:themeShade="BF"/>
          <w:sz w:val="24"/>
          <w:szCs w:val="24"/>
        </w:rPr>
        <w:t>i końcowe</w:t>
      </w:r>
    </w:p>
    <w:p w14:paraId="062274F3" w14:textId="634F859B" w:rsidR="001D70CC" w:rsidRPr="00F46123" w:rsidRDefault="001D70CC" w:rsidP="006D140B">
      <w:pPr>
        <w:keepNext/>
        <w:keepLines/>
        <w:spacing w:after="120" w:line="360" w:lineRule="auto"/>
        <w:jc w:val="both"/>
        <w:rPr>
          <w:rFonts w:ascii="Times New Roman" w:hAnsi="Times New Roman" w:cs="Times New Roman"/>
          <w:b/>
          <w:bCs/>
          <w:sz w:val="24"/>
          <w:szCs w:val="24"/>
        </w:rPr>
      </w:pPr>
      <w:bookmarkStart w:id="0" w:name="_Hlk238218218"/>
      <w:r w:rsidRPr="00F46123">
        <w:rPr>
          <w:rFonts w:ascii="Times New Roman" w:hAnsi="Times New Roman" w:cs="Times New Roman"/>
          <w:b/>
          <w:bCs/>
          <w:sz w:val="24"/>
          <w:szCs w:val="24"/>
        </w:rPr>
        <w:t xml:space="preserve">Art. </w:t>
      </w:r>
      <w:r w:rsidR="00E224B7" w:rsidRPr="00F46123">
        <w:rPr>
          <w:rFonts w:ascii="Times New Roman" w:hAnsi="Times New Roman" w:cs="Times New Roman"/>
          <w:b/>
          <w:bCs/>
          <w:sz w:val="24"/>
          <w:szCs w:val="24"/>
        </w:rPr>
        <w:t>4</w:t>
      </w:r>
      <w:r w:rsidRPr="00F46123">
        <w:rPr>
          <w:rFonts w:ascii="Times New Roman" w:hAnsi="Times New Roman" w:cs="Times New Roman"/>
          <w:b/>
          <w:bCs/>
          <w:sz w:val="24"/>
          <w:szCs w:val="24"/>
        </w:rPr>
        <w:t xml:space="preserve"> projektu ustaw</w:t>
      </w:r>
      <w:r w:rsidR="00737D09" w:rsidRPr="00F46123">
        <w:rPr>
          <w:rFonts w:ascii="Times New Roman" w:hAnsi="Times New Roman" w:cs="Times New Roman"/>
          <w:b/>
          <w:bCs/>
          <w:sz w:val="24"/>
          <w:szCs w:val="24"/>
        </w:rPr>
        <w:t>y</w:t>
      </w:r>
    </w:p>
    <w:p w14:paraId="7FECAD66" w14:textId="664D0C13" w:rsidR="00F9067C" w:rsidRPr="00F46123" w:rsidRDefault="00737D09"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 xml:space="preserve">Przepis art. 4 </w:t>
      </w:r>
      <w:r w:rsidR="00AF14BF" w:rsidRPr="00F46123">
        <w:rPr>
          <w:rFonts w:ascii="Times New Roman" w:hAnsi="Times New Roman" w:cs="Times New Roman"/>
          <w:sz w:val="24"/>
          <w:szCs w:val="24"/>
        </w:rPr>
        <w:t>ust. 1</w:t>
      </w:r>
      <w:r w:rsidR="00045158" w:rsidRPr="00F46123">
        <w:rPr>
          <w:rFonts w:ascii="Times New Roman" w:hAnsi="Times New Roman" w:cs="Times New Roman"/>
          <w:sz w:val="24"/>
          <w:szCs w:val="24"/>
        </w:rPr>
        <w:t xml:space="preserve"> projektu ustawy</w:t>
      </w:r>
      <w:r w:rsidR="00AF14BF" w:rsidRPr="00F46123">
        <w:rPr>
          <w:rFonts w:ascii="Times New Roman" w:hAnsi="Times New Roman" w:cs="Times New Roman"/>
          <w:sz w:val="24"/>
          <w:szCs w:val="24"/>
        </w:rPr>
        <w:t xml:space="preserve">, co do zasady, </w:t>
      </w:r>
      <w:r w:rsidRPr="00F46123">
        <w:rPr>
          <w:rFonts w:ascii="Times New Roman" w:hAnsi="Times New Roman" w:cs="Times New Roman"/>
          <w:sz w:val="24"/>
          <w:szCs w:val="24"/>
        </w:rPr>
        <w:t xml:space="preserve">zachowuje w mocy oświadczenia podatnika złożone </w:t>
      </w:r>
      <w:r w:rsidR="00FA2D5D" w:rsidRPr="00F46123">
        <w:rPr>
          <w:rFonts w:ascii="Times New Roman" w:hAnsi="Times New Roman" w:cs="Times New Roman"/>
          <w:sz w:val="24"/>
          <w:szCs w:val="24"/>
        </w:rPr>
        <w:t>płatnikowi</w:t>
      </w:r>
      <w:r w:rsidRPr="00F46123">
        <w:rPr>
          <w:rFonts w:ascii="Times New Roman" w:hAnsi="Times New Roman" w:cs="Times New Roman"/>
          <w:sz w:val="24"/>
          <w:szCs w:val="24"/>
        </w:rPr>
        <w:t xml:space="preserve"> przed wejściem w życie projektowanej ustawy, dla celów uwzględnienia w</w:t>
      </w:r>
      <w:r w:rsidR="006B6E46" w:rsidRPr="00F46123">
        <w:rPr>
          <w:rFonts w:ascii="Times New Roman" w:hAnsi="Times New Roman" w:cs="Times New Roman"/>
          <w:sz w:val="24"/>
          <w:szCs w:val="24"/>
        </w:rPr>
        <w:t> </w:t>
      </w:r>
      <w:r w:rsidRPr="00F46123">
        <w:rPr>
          <w:rFonts w:ascii="Times New Roman" w:hAnsi="Times New Roman" w:cs="Times New Roman"/>
          <w:sz w:val="24"/>
          <w:szCs w:val="24"/>
        </w:rPr>
        <w:t xml:space="preserve">zaliczkach na podatek zamiaru podatnika skorzystania ze wspólnego opodatkowania dochodów małżonków </w:t>
      </w:r>
      <w:r w:rsidR="00F9067C" w:rsidRPr="00F46123">
        <w:rPr>
          <w:rFonts w:ascii="Times New Roman" w:hAnsi="Times New Roman" w:cs="Times New Roman"/>
          <w:sz w:val="24"/>
          <w:szCs w:val="24"/>
        </w:rPr>
        <w:t xml:space="preserve">albo </w:t>
      </w:r>
      <w:r w:rsidRPr="00F46123">
        <w:rPr>
          <w:rFonts w:ascii="Times New Roman" w:hAnsi="Times New Roman" w:cs="Times New Roman"/>
          <w:sz w:val="24"/>
          <w:szCs w:val="24"/>
        </w:rPr>
        <w:t xml:space="preserve">preferencyjnego opodatkowania przewidzianego dla osób samotnie wychowujących dzieci. </w:t>
      </w:r>
      <w:r w:rsidR="00AF14BF" w:rsidRPr="00F46123">
        <w:rPr>
          <w:rFonts w:ascii="Times New Roman" w:hAnsi="Times New Roman" w:cs="Times New Roman"/>
          <w:sz w:val="24"/>
          <w:szCs w:val="24"/>
        </w:rPr>
        <w:t>Jeżeli jednak podatnik</w:t>
      </w:r>
      <w:r w:rsidR="00452214" w:rsidRPr="00F46123">
        <w:rPr>
          <w:rFonts w:ascii="Times New Roman" w:hAnsi="Times New Roman" w:cs="Times New Roman"/>
          <w:sz w:val="24"/>
          <w:szCs w:val="24"/>
        </w:rPr>
        <w:t xml:space="preserve">, który nadal chce korzystać ze </w:t>
      </w:r>
      <w:bookmarkStart w:id="1" w:name="_Hlk240549032"/>
      <w:r w:rsidR="00452214" w:rsidRPr="00F46123">
        <w:rPr>
          <w:rFonts w:ascii="Times New Roman" w:hAnsi="Times New Roman" w:cs="Times New Roman"/>
          <w:sz w:val="24"/>
          <w:szCs w:val="24"/>
        </w:rPr>
        <w:t>szczególnego sposobu poboru zaliczek na podatek przewidzianego dla podatników zamierzających opodatkować dochody w sposób preferencyjny przewidziany dla małżonków i osób samotnie wychowujących dzieci</w:t>
      </w:r>
      <w:r w:rsidR="00AF14BF" w:rsidRPr="00F46123">
        <w:rPr>
          <w:rFonts w:ascii="Times New Roman" w:hAnsi="Times New Roman" w:cs="Times New Roman"/>
          <w:sz w:val="24"/>
          <w:szCs w:val="24"/>
        </w:rPr>
        <w:t xml:space="preserve"> </w:t>
      </w:r>
      <w:bookmarkEnd w:id="1"/>
      <w:r w:rsidR="00452214" w:rsidRPr="00F46123">
        <w:rPr>
          <w:rFonts w:ascii="Times New Roman" w:hAnsi="Times New Roman" w:cs="Times New Roman"/>
          <w:sz w:val="24"/>
          <w:szCs w:val="24"/>
        </w:rPr>
        <w:t xml:space="preserve">(art. 6 ust. 2 albo odpowiednio ust. 4d ustawy PIT) oraz który </w:t>
      </w:r>
      <w:r w:rsidR="00AF14BF" w:rsidRPr="00F46123">
        <w:rPr>
          <w:rFonts w:ascii="Times New Roman" w:hAnsi="Times New Roman" w:cs="Times New Roman"/>
          <w:sz w:val="24"/>
          <w:szCs w:val="24"/>
        </w:rPr>
        <w:t>przewiduje, że jego roczne dochody</w:t>
      </w:r>
      <w:r w:rsidR="002200C5" w:rsidRPr="00F46123">
        <w:rPr>
          <w:rFonts w:ascii="Times New Roman" w:hAnsi="Times New Roman" w:cs="Times New Roman"/>
          <w:sz w:val="24"/>
          <w:szCs w:val="24"/>
        </w:rPr>
        <w:t>,</w:t>
      </w:r>
      <w:r w:rsidR="00AF14BF" w:rsidRPr="00F46123">
        <w:rPr>
          <w:rFonts w:ascii="Times New Roman" w:hAnsi="Times New Roman" w:cs="Times New Roman"/>
          <w:sz w:val="24"/>
          <w:szCs w:val="24"/>
        </w:rPr>
        <w:t xml:space="preserve"> począwszy od 2027 r.</w:t>
      </w:r>
      <w:r w:rsidR="002200C5" w:rsidRPr="00F46123">
        <w:rPr>
          <w:rFonts w:ascii="Times New Roman" w:hAnsi="Times New Roman" w:cs="Times New Roman"/>
          <w:sz w:val="24"/>
          <w:szCs w:val="24"/>
        </w:rPr>
        <w:t>,</w:t>
      </w:r>
      <w:r w:rsidR="00AF14BF" w:rsidRPr="00F46123">
        <w:rPr>
          <w:rFonts w:ascii="Times New Roman" w:hAnsi="Times New Roman" w:cs="Times New Roman"/>
          <w:sz w:val="24"/>
          <w:szCs w:val="24"/>
        </w:rPr>
        <w:t xml:space="preserve"> przekroczą 150 000 zł, to będzie jednak obowiązany</w:t>
      </w:r>
      <w:r w:rsidR="002200C5" w:rsidRPr="00F46123">
        <w:rPr>
          <w:rFonts w:ascii="Times New Roman" w:hAnsi="Times New Roman" w:cs="Times New Roman"/>
          <w:sz w:val="24"/>
          <w:szCs w:val="24"/>
        </w:rPr>
        <w:t>, na po</w:t>
      </w:r>
      <w:r w:rsidR="00D87B8E">
        <w:rPr>
          <w:rFonts w:ascii="Times New Roman" w:hAnsi="Times New Roman" w:cs="Times New Roman"/>
          <w:sz w:val="24"/>
          <w:szCs w:val="24"/>
        </w:rPr>
        <w:t>d</w:t>
      </w:r>
      <w:r w:rsidR="002200C5" w:rsidRPr="00F46123">
        <w:rPr>
          <w:rFonts w:ascii="Times New Roman" w:hAnsi="Times New Roman" w:cs="Times New Roman"/>
          <w:sz w:val="24"/>
          <w:szCs w:val="24"/>
        </w:rPr>
        <w:t>stawie art. 4 ust. 2 projektowanej ustawy,</w:t>
      </w:r>
      <w:r w:rsidR="00AF14BF" w:rsidRPr="00F46123">
        <w:rPr>
          <w:rFonts w:ascii="Times New Roman" w:hAnsi="Times New Roman" w:cs="Times New Roman"/>
          <w:sz w:val="24"/>
          <w:szCs w:val="24"/>
        </w:rPr>
        <w:t xml:space="preserve"> do złożenia </w:t>
      </w:r>
      <w:r w:rsidR="00452214" w:rsidRPr="00F46123">
        <w:rPr>
          <w:rFonts w:ascii="Times New Roman" w:hAnsi="Times New Roman" w:cs="Times New Roman"/>
          <w:sz w:val="24"/>
          <w:szCs w:val="24"/>
        </w:rPr>
        <w:t xml:space="preserve">nowego </w:t>
      </w:r>
      <w:r w:rsidR="00AF14BF" w:rsidRPr="00F46123">
        <w:rPr>
          <w:rFonts w:ascii="Times New Roman" w:hAnsi="Times New Roman" w:cs="Times New Roman"/>
          <w:sz w:val="24"/>
          <w:szCs w:val="24"/>
        </w:rPr>
        <w:t>oświadczenia</w:t>
      </w:r>
      <w:r w:rsidR="002200C5" w:rsidRPr="00F46123">
        <w:rPr>
          <w:rFonts w:ascii="Times New Roman" w:hAnsi="Times New Roman" w:cs="Times New Roman"/>
          <w:sz w:val="24"/>
          <w:szCs w:val="24"/>
        </w:rPr>
        <w:t>, o którym mowa w</w:t>
      </w:r>
      <w:r w:rsidR="00AF14BF" w:rsidRPr="00F46123">
        <w:rPr>
          <w:rFonts w:ascii="Times New Roman" w:hAnsi="Times New Roman" w:cs="Times New Roman"/>
          <w:sz w:val="24"/>
          <w:szCs w:val="24"/>
        </w:rPr>
        <w:t xml:space="preserve"> dodawan</w:t>
      </w:r>
      <w:r w:rsidR="002200C5" w:rsidRPr="00F46123">
        <w:rPr>
          <w:rFonts w:ascii="Times New Roman" w:hAnsi="Times New Roman" w:cs="Times New Roman"/>
          <w:sz w:val="24"/>
          <w:szCs w:val="24"/>
        </w:rPr>
        <w:t>ym</w:t>
      </w:r>
      <w:r w:rsidR="00AF14BF" w:rsidRPr="00F46123">
        <w:rPr>
          <w:rFonts w:ascii="Times New Roman" w:hAnsi="Times New Roman" w:cs="Times New Roman"/>
          <w:sz w:val="24"/>
          <w:szCs w:val="24"/>
        </w:rPr>
        <w:t xml:space="preserve"> pkt 3 w art. 32 ust. 3</w:t>
      </w:r>
      <w:r w:rsidR="002200C5" w:rsidRPr="00F46123">
        <w:rPr>
          <w:rFonts w:ascii="Times New Roman" w:hAnsi="Times New Roman" w:cs="Times New Roman"/>
          <w:sz w:val="24"/>
          <w:szCs w:val="24"/>
        </w:rPr>
        <w:t xml:space="preserve"> ustawy PIT.</w:t>
      </w:r>
      <w:r w:rsidR="00452214" w:rsidRPr="00F46123">
        <w:rPr>
          <w:rFonts w:ascii="Times New Roman" w:hAnsi="Times New Roman" w:cs="Times New Roman"/>
          <w:sz w:val="24"/>
          <w:szCs w:val="24"/>
        </w:rPr>
        <w:t xml:space="preserve"> Jeżeli takiego zamiaru nie będzie podtrzymywał, </w:t>
      </w:r>
      <w:r w:rsidR="00F9067C" w:rsidRPr="00F46123">
        <w:rPr>
          <w:rFonts w:ascii="Times New Roman" w:hAnsi="Times New Roman" w:cs="Times New Roman"/>
          <w:sz w:val="24"/>
          <w:szCs w:val="24"/>
        </w:rPr>
        <w:t xml:space="preserve">to nie złoży takiego oświadczenia. </w:t>
      </w:r>
    </w:p>
    <w:bookmarkEnd w:id="0"/>
    <w:p w14:paraId="73EE59D4" w14:textId="77777777" w:rsidR="00E1286B" w:rsidRDefault="00E1286B" w:rsidP="004234D3">
      <w:pPr>
        <w:spacing w:after="120" w:line="360" w:lineRule="auto"/>
        <w:jc w:val="both"/>
        <w:rPr>
          <w:rFonts w:ascii="Times New Roman" w:hAnsi="Times New Roman" w:cs="Times New Roman"/>
          <w:b/>
          <w:bCs/>
          <w:sz w:val="24"/>
          <w:szCs w:val="24"/>
        </w:rPr>
      </w:pPr>
    </w:p>
    <w:p w14:paraId="3411DD11" w14:textId="4D4F3D45" w:rsidR="00737D09" w:rsidRPr="00F46123" w:rsidRDefault="00737D09" w:rsidP="004234D3">
      <w:pPr>
        <w:spacing w:after="120" w:line="360" w:lineRule="auto"/>
        <w:jc w:val="both"/>
        <w:rPr>
          <w:rFonts w:ascii="Times New Roman" w:hAnsi="Times New Roman" w:cs="Times New Roman"/>
          <w:b/>
          <w:bCs/>
          <w:sz w:val="24"/>
          <w:szCs w:val="24"/>
        </w:rPr>
      </w:pPr>
      <w:r w:rsidRPr="00F46123">
        <w:rPr>
          <w:rFonts w:ascii="Times New Roman" w:hAnsi="Times New Roman" w:cs="Times New Roman"/>
          <w:b/>
          <w:bCs/>
          <w:sz w:val="24"/>
          <w:szCs w:val="24"/>
        </w:rPr>
        <w:t>Art. 5 projektu ustawy</w:t>
      </w:r>
    </w:p>
    <w:p w14:paraId="1C20E6F9" w14:textId="7145360C" w:rsidR="00877A25" w:rsidRPr="00F46123" w:rsidRDefault="001D70CC" w:rsidP="004234D3">
      <w:pPr>
        <w:spacing w:after="120" w:line="360" w:lineRule="auto"/>
        <w:jc w:val="both"/>
        <w:rPr>
          <w:rFonts w:ascii="Times New Roman" w:hAnsi="Times New Roman" w:cs="Times New Roman"/>
          <w:bCs/>
          <w:sz w:val="24"/>
          <w:szCs w:val="24"/>
        </w:rPr>
      </w:pPr>
      <w:r w:rsidRPr="00F46123">
        <w:rPr>
          <w:rFonts w:ascii="Times New Roman" w:hAnsi="Times New Roman" w:cs="Times New Roman"/>
          <w:sz w:val="24"/>
          <w:szCs w:val="24"/>
        </w:rPr>
        <w:t>Przepisy</w:t>
      </w:r>
      <w:r w:rsidR="00F4443F" w:rsidRPr="00F46123">
        <w:rPr>
          <w:rFonts w:ascii="Times New Roman" w:hAnsi="Times New Roman" w:cs="Times New Roman"/>
          <w:sz w:val="24"/>
          <w:szCs w:val="24"/>
        </w:rPr>
        <w:t xml:space="preserve"> </w:t>
      </w:r>
      <w:r w:rsidR="006F4173" w:rsidRPr="00F46123">
        <w:rPr>
          <w:rFonts w:ascii="Times New Roman" w:hAnsi="Times New Roman" w:cs="Times New Roman"/>
          <w:sz w:val="24"/>
          <w:szCs w:val="24"/>
        </w:rPr>
        <w:t xml:space="preserve">art. </w:t>
      </w:r>
      <w:r w:rsidR="00FA2D5D" w:rsidRPr="00F46123">
        <w:rPr>
          <w:rFonts w:ascii="Times New Roman" w:hAnsi="Times New Roman" w:cs="Times New Roman"/>
          <w:sz w:val="24"/>
          <w:szCs w:val="24"/>
        </w:rPr>
        <w:t xml:space="preserve">5 </w:t>
      </w:r>
      <w:r w:rsidR="00045158" w:rsidRPr="00F46123">
        <w:rPr>
          <w:rFonts w:ascii="Times New Roman" w:hAnsi="Times New Roman" w:cs="Times New Roman"/>
          <w:sz w:val="24"/>
          <w:szCs w:val="24"/>
        </w:rPr>
        <w:t xml:space="preserve">projektu ustawy </w:t>
      </w:r>
      <w:r w:rsidR="00F4443F" w:rsidRPr="00F46123">
        <w:rPr>
          <w:rFonts w:ascii="Times New Roman" w:hAnsi="Times New Roman" w:cs="Times New Roman"/>
          <w:sz w:val="24"/>
          <w:szCs w:val="24"/>
        </w:rPr>
        <w:t>wskazuj</w:t>
      </w:r>
      <w:r w:rsidR="006F4173" w:rsidRPr="00F46123">
        <w:rPr>
          <w:rFonts w:ascii="Times New Roman" w:hAnsi="Times New Roman" w:cs="Times New Roman"/>
          <w:sz w:val="24"/>
          <w:szCs w:val="24"/>
        </w:rPr>
        <w:t>ą</w:t>
      </w:r>
      <w:r w:rsidR="00A85DB4" w:rsidRPr="00F46123">
        <w:rPr>
          <w:rFonts w:ascii="Times New Roman" w:hAnsi="Times New Roman" w:cs="Times New Roman"/>
          <w:sz w:val="24"/>
          <w:szCs w:val="24"/>
        </w:rPr>
        <w:t>,</w:t>
      </w:r>
      <w:r w:rsidR="00F4443F" w:rsidRPr="00F46123">
        <w:rPr>
          <w:rFonts w:ascii="Times New Roman" w:hAnsi="Times New Roman" w:cs="Times New Roman"/>
          <w:sz w:val="24"/>
          <w:szCs w:val="24"/>
        </w:rPr>
        <w:t xml:space="preserve"> </w:t>
      </w:r>
      <w:r w:rsidR="00207D6F" w:rsidRPr="00F46123">
        <w:rPr>
          <w:rFonts w:ascii="Times New Roman" w:hAnsi="Times New Roman" w:cs="Times New Roman"/>
          <w:sz w:val="24"/>
          <w:szCs w:val="24"/>
        </w:rPr>
        <w:t xml:space="preserve">do jakich dochodów (przychodów), tj. od kiedy uzyskanych, </w:t>
      </w:r>
      <w:r w:rsidR="006F4173" w:rsidRPr="00F46123">
        <w:rPr>
          <w:rFonts w:ascii="Times New Roman" w:hAnsi="Times New Roman" w:cs="Times New Roman"/>
          <w:sz w:val="24"/>
          <w:szCs w:val="24"/>
        </w:rPr>
        <w:t>będą miały zastosowanie</w:t>
      </w:r>
      <w:r w:rsidR="00207D6F" w:rsidRPr="00F46123">
        <w:rPr>
          <w:rFonts w:ascii="Times New Roman" w:hAnsi="Times New Roman" w:cs="Times New Roman"/>
          <w:sz w:val="24"/>
          <w:szCs w:val="24"/>
        </w:rPr>
        <w:t xml:space="preserve"> nowe regulacje</w:t>
      </w:r>
      <w:r w:rsidR="00F4443F" w:rsidRPr="00F46123">
        <w:rPr>
          <w:rFonts w:ascii="Times New Roman" w:hAnsi="Times New Roman" w:cs="Times New Roman"/>
          <w:sz w:val="24"/>
          <w:szCs w:val="24"/>
        </w:rPr>
        <w:t xml:space="preserve">. </w:t>
      </w:r>
      <w:r w:rsidR="006F4173" w:rsidRPr="00F46123">
        <w:rPr>
          <w:rFonts w:ascii="Times New Roman" w:hAnsi="Times New Roman" w:cs="Times New Roman"/>
          <w:sz w:val="24"/>
          <w:szCs w:val="24"/>
        </w:rPr>
        <w:t xml:space="preserve">Zatem przepisy </w:t>
      </w:r>
      <w:r w:rsidR="00A55742" w:rsidRPr="00F46123">
        <w:rPr>
          <w:rFonts w:ascii="Times New Roman" w:hAnsi="Times New Roman" w:cs="Times New Roman"/>
          <w:sz w:val="24"/>
          <w:szCs w:val="24"/>
        </w:rPr>
        <w:t>ustawy PIT i ustawy o</w:t>
      </w:r>
      <w:r w:rsidR="00F46123" w:rsidRPr="00F46123">
        <w:rPr>
          <w:rFonts w:ascii="Times New Roman" w:hAnsi="Times New Roman" w:cs="Times New Roman"/>
          <w:sz w:val="24"/>
          <w:szCs w:val="24"/>
        </w:rPr>
        <w:t> </w:t>
      </w:r>
      <w:r w:rsidR="00A55742" w:rsidRPr="00F46123">
        <w:rPr>
          <w:rFonts w:ascii="Times New Roman" w:hAnsi="Times New Roman" w:cs="Times New Roman"/>
          <w:sz w:val="24"/>
          <w:szCs w:val="24"/>
        </w:rPr>
        <w:t xml:space="preserve">ryczałcie </w:t>
      </w:r>
      <w:r w:rsidR="006F4173" w:rsidRPr="00F46123">
        <w:rPr>
          <w:rFonts w:ascii="Times New Roman" w:hAnsi="Times New Roman" w:cs="Times New Roman"/>
          <w:sz w:val="24"/>
          <w:szCs w:val="24"/>
        </w:rPr>
        <w:t xml:space="preserve">w zaproponowanym nowym kształcie </w:t>
      </w:r>
      <w:r w:rsidRPr="00F46123">
        <w:rPr>
          <w:rFonts w:ascii="Times New Roman" w:hAnsi="Times New Roman" w:cs="Times New Roman"/>
          <w:sz w:val="24"/>
          <w:szCs w:val="24"/>
          <w:lang w:eastAsia="pl-PL"/>
        </w:rPr>
        <w:t xml:space="preserve">będą miały zastosowanie do dochodów (przychodów) uzyskanych </w:t>
      </w:r>
      <w:r w:rsidRPr="00F46123">
        <w:rPr>
          <w:rFonts w:ascii="Times New Roman" w:hAnsi="Times New Roman" w:cs="Times New Roman"/>
          <w:sz w:val="24"/>
          <w:szCs w:val="24"/>
        </w:rPr>
        <w:t>od dnia 1 stycznia 2027 r.</w:t>
      </w:r>
      <w:r w:rsidR="00877A25" w:rsidRPr="00F46123">
        <w:rPr>
          <w:rFonts w:ascii="Times New Roman" w:hAnsi="Times New Roman" w:cs="Times New Roman"/>
          <w:bCs/>
          <w:sz w:val="24"/>
          <w:szCs w:val="24"/>
        </w:rPr>
        <w:t xml:space="preserve"> Oznacza to, że w 2027 r. ryczałt będzie mógł </w:t>
      </w:r>
      <w:r w:rsidR="00045158" w:rsidRPr="00F46123">
        <w:rPr>
          <w:rFonts w:ascii="Times New Roman" w:hAnsi="Times New Roman" w:cs="Times New Roman"/>
          <w:bCs/>
          <w:sz w:val="24"/>
          <w:szCs w:val="24"/>
        </w:rPr>
        <w:t>stosować</w:t>
      </w:r>
      <w:r w:rsidR="00877A25" w:rsidRPr="00F46123">
        <w:rPr>
          <w:rFonts w:ascii="Times New Roman" w:hAnsi="Times New Roman" w:cs="Times New Roman"/>
          <w:bCs/>
          <w:sz w:val="24"/>
          <w:szCs w:val="24"/>
        </w:rPr>
        <w:t xml:space="preserve"> podatnik, jeżeli jego przychody osiągnięte w 2026 r. nie przekroczyły 250 tys. euro. </w:t>
      </w:r>
    </w:p>
    <w:p w14:paraId="4CDF4750" w14:textId="77777777" w:rsidR="00E1286B" w:rsidRDefault="00413E80" w:rsidP="004234D3">
      <w:pPr>
        <w:spacing w:after="120" w:line="360" w:lineRule="auto"/>
        <w:jc w:val="both"/>
        <w:rPr>
          <w:rFonts w:ascii="Times New Roman" w:hAnsi="Times New Roman" w:cs="Times New Roman"/>
          <w:bCs/>
          <w:sz w:val="24"/>
          <w:szCs w:val="24"/>
        </w:rPr>
      </w:pPr>
      <w:r w:rsidRPr="00F46123">
        <w:rPr>
          <w:rFonts w:ascii="Times New Roman" w:hAnsi="Times New Roman" w:cs="Times New Roman"/>
          <w:bCs/>
          <w:sz w:val="24"/>
          <w:szCs w:val="24"/>
        </w:rPr>
        <w:t>Dodatkowo</w:t>
      </w:r>
      <w:r w:rsidR="00877A25" w:rsidRPr="00F46123">
        <w:rPr>
          <w:rFonts w:ascii="Times New Roman" w:hAnsi="Times New Roman" w:cs="Times New Roman"/>
          <w:bCs/>
          <w:sz w:val="24"/>
          <w:szCs w:val="24"/>
        </w:rPr>
        <w:t>,</w:t>
      </w:r>
      <w:r w:rsidRPr="00F46123">
        <w:rPr>
          <w:rFonts w:ascii="Times New Roman" w:hAnsi="Times New Roman" w:cs="Times New Roman"/>
          <w:bCs/>
          <w:sz w:val="24"/>
          <w:szCs w:val="24"/>
        </w:rPr>
        <w:t xml:space="preserve"> stosowanie regulacji dotyczącej zmiany parametrów skali zostało wprost uzależnione od skutecznego wejścia w życie przepisów stanowiących główne źródło finansowania tych korzystnych dla podatników zmian. Omawiana regulacja podkreśla bezpośrednie powiązanie regulacji skutkujących ubytkiem dochodów sektora finansów publicznych z rozwiązaniami finansującymi</w:t>
      </w:r>
      <w:r w:rsidR="00A85DB4" w:rsidRPr="00F46123">
        <w:rPr>
          <w:rFonts w:ascii="Times New Roman" w:hAnsi="Times New Roman" w:cs="Times New Roman"/>
          <w:bCs/>
          <w:sz w:val="24"/>
          <w:szCs w:val="24"/>
        </w:rPr>
        <w:t xml:space="preserve"> ten ubytek</w:t>
      </w:r>
      <w:r w:rsidRPr="00F46123">
        <w:rPr>
          <w:rFonts w:ascii="Times New Roman" w:hAnsi="Times New Roman" w:cs="Times New Roman"/>
          <w:bCs/>
          <w:sz w:val="24"/>
          <w:szCs w:val="24"/>
        </w:rPr>
        <w:t xml:space="preserve">, co stanowi wyraz uwzględnienia przez projektodawców konstytucyjnej zasady </w:t>
      </w:r>
      <w:r w:rsidR="00D52C23" w:rsidRPr="00F46123">
        <w:rPr>
          <w:rFonts w:ascii="Times New Roman" w:hAnsi="Times New Roman" w:cs="Times New Roman"/>
          <w:bCs/>
          <w:sz w:val="24"/>
          <w:szCs w:val="24"/>
        </w:rPr>
        <w:t xml:space="preserve">dbałości o stan finansów państwa. </w:t>
      </w:r>
      <w:r w:rsidR="00D3358C" w:rsidRPr="00F46123">
        <w:rPr>
          <w:rFonts w:ascii="Times New Roman" w:hAnsi="Times New Roman" w:cs="Times New Roman"/>
          <w:bCs/>
          <w:sz w:val="24"/>
          <w:szCs w:val="24"/>
        </w:rPr>
        <w:t xml:space="preserve">Trybunał Konstytucyjny wielokrotnie podkreślał, że stabilność finansów publicznych oraz przeciwdziałanie nadmiernemu zadłużeniu to wartości o fundamentalnym znaczeniu. </w:t>
      </w:r>
      <w:r w:rsidR="00D52C23" w:rsidRPr="00F46123">
        <w:rPr>
          <w:rFonts w:ascii="Times New Roman" w:hAnsi="Times New Roman" w:cs="Times New Roman"/>
          <w:bCs/>
          <w:sz w:val="24"/>
          <w:szCs w:val="24"/>
        </w:rPr>
        <w:t xml:space="preserve">Zasada ta, wyprowadzana z konkretnych norm </w:t>
      </w:r>
      <w:r w:rsidR="00A85DB4" w:rsidRPr="00F46123">
        <w:rPr>
          <w:rFonts w:ascii="Times New Roman" w:hAnsi="Times New Roman" w:cs="Times New Roman"/>
          <w:bCs/>
          <w:sz w:val="24"/>
          <w:szCs w:val="24"/>
        </w:rPr>
        <w:t>u</w:t>
      </w:r>
      <w:r w:rsidR="00D52C23" w:rsidRPr="00F46123">
        <w:rPr>
          <w:rFonts w:ascii="Times New Roman" w:hAnsi="Times New Roman" w:cs="Times New Roman"/>
          <w:bCs/>
          <w:sz w:val="24"/>
          <w:szCs w:val="24"/>
        </w:rPr>
        <w:t xml:space="preserve">stawy </w:t>
      </w:r>
      <w:r w:rsidR="00A85DB4" w:rsidRPr="00F46123">
        <w:rPr>
          <w:rFonts w:ascii="Times New Roman" w:hAnsi="Times New Roman" w:cs="Times New Roman"/>
          <w:bCs/>
          <w:sz w:val="24"/>
          <w:szCs w:val="24"/>
        </w:rPr>
        <w:t>z</w:t>
      </w:r>
      <w:r w:rsidR="00D52C23" w:rsidRPr="00F46123">
        <w:rPr>
          <w:rFonts w:ascii="Times New Roman" w:hAnsi="Times New Roman" w:cs="Times New Roman"/>
          <w:bCs/>
          <w:sz w:val="24"/>
          <w:szCs w:val="24"/>
        </w:rPr>
        <w:t xml:space="preserve">asadniczej, w szczególności jej art. 216 ust. 5, nakazuje, aby zmiany skutkujące zmniejszeniem dochodów sektora jednostek finansów </w:t>
      </w:r>
      <w:r w:rsidR="00D52C23" w:rsidRPr="00F46123">
        <w:rPr>
          <w:rFonts w:ascii="Times New Roman" w:hAnsi="Times New Roman" w:cs="Times New Roman"/>
          <w:bCs/>
          <w:sz w:val="24"/>
          <w:szCs w:val="24"/>
        </w:rPr>
        <w:lastRenderedPageBreak/>
        <w:t xml:space="preserve">publicznych, a tym samym zwiększeniem poziomu długu </w:t>
      </w:r>
      <w:r w:rsidR="00D3358C" w:rsidRPr="00F46123">
        <w:rPr>
          <w:rFonts w:ascii="Times New Roman" w:hAnsi="Times New Roman" w:cs="Times New Roman"/>
          <w:bCs/>
          <w:sz w:val="24"/>
          <w:szCs w:val="24"/>
        </w:rPr>
        <w:t>sektora instytucji rządowych i</w:t>
      </w:r>
      <w:r w:rsidR="006B6E46" w:rsidRPr="00F46123">
        <w:rPr>
          <w:rFonts w:ascii="Times New Roman" w:hAnsi="Times New Roman" w:cs="Times New Roman"/>
          <w:bCs/>
          <w:sz w:val="24"/>
          <w:szCs w:val="24"/>
        </w:rPr>
        <w:t> </w:t>
      </w:r>
      <w:r w:rsidR="00D3358C" w:rsidRPr="00F46123">
        <w:rPr>
          <w:rFonts w:ascii="Times New Roman" w:hAnsi="Times New Roman" w:cs="Times New Roman"/>
          <w:bCs/>
          <w:sz w:val="24"/>
          <w:szCs w:val="24"/>
        </w:rPr>
        <w:t xml:space="preserve">samorządowych </w:t>
      </w:r>
      <w:r w:rsidR="00D52C23" w:rsidRPr="00F46123">
        <w:rPr>
          <w:rFonts w:ascii="Times New Roman" w:hAnsi="Times New Roman" w:cs="Times New Roman"/>
          <w:bCs/>
          <w:sz w:val="24"/>
          <w:szCs w:val="24"/>
        </w:rPr>
        <w:t xml:space="preserve">były wprowadzane w sposób odpowiedzialny. </w:t>
      </w:r>
      <w:r w:rsidR="00D3358C" w:rsidRPr="00F46123">
        <w:rPr>
          <w:rFonts w:ascii="Times New Roman" w:hAnsi="Times New Roman" w:cs="Times New Roman"/>
          <w:bCs/>
          <w:sz w:val="24"/>
          <w:szCs w:val="24"/>
        </w:rPr>
        <w:t>Niniejszy projekt realizuje ten wymóg</w:t>
      </w:r>
      <w:r w:rsidR="00A85DB4" w:rsidRPr="00F46123">
        <w:rPr>
          <w:rFonts w:ascii="Times New Roman" w:hAnsi="Times New Roman" w:cs="Times New Roman"/>
          <w:bCs/>
          <w:sz w:val="24"/>
          <w:szCs w:val="24"/>
        </w:rPr>
        <w:t>,</w:t>
      </w:r>
      <w:r w:rsidR="00D3358C" w:rsidRPr="00F46123">
        <w:rPr>
          <w:rFonts w:ascii="Times New Roman" w:hAnsi="Times New Roman" w:cs="Times New Roman"/>
          <w:bCs/>
          <w:sz w:val="24"/>
          <w:szCs w:val="24"/>
        </w:rPr>
        <w:t xml:space="preserve"> traktując proponowane rozwiązania jako nierozerwalną całość pod względem skutków</w:t>
      </w:r>
      <w:r w:rsidR="00A85DB4" w:rsidRPr="00F46123">
        <w:rPr>
          <w:rFonts w:ascii="Times New Roman" w:hAnsi="Times New Roman" w:cs="Times New Roman"/>
          <w:bCs/>
          <w:sz w:val="24"/>
          <w:szCs w:val="24"/>
        </w:rPr>
        <w:t>,</w:t>
      </w:r>
      <w:r w:rsidR="00D3358C" w:rsidRPr="00F46123">
        <w:rPr>
          <w:rFonts w:ascii="Times New Roman" w:hAnsi="Times New Roman" w:cs="Times New Roman"/>
          <w:bCs/>
          <w:sz w:val="24"/>
          <w:szCs w:val="24"/>
        </w:rPr>
        <w:t xml:space="preserve"> jakie generuje po stronie </w:t>
      </w:r>
      <w:r w:rsidR="00A85DB4" w:rsidRPr="00F46123">
        <w:rPr>
          <w:rFonts w:ascii="Times New Roman" w:hAnsi="Times New Roman" w:cs="Times New Roman"/>
          <w:bCs/>
          <w:sz w:val="24"/>
          <w:szCs w:val="24"/>
        </w:rPr>
        <w:t xml:space="preserve">dochodów </w:t>
      </w:r>
      <w:r w:rsidR="00D3358C" w:rsidRPr="00F46123">
        <w:rPr>
          <w:rFonts w:ascii="Times New Roman" w:hAnsi="Times New Roman" w:cs="Times New Roman"/>
          <w:bCs/>
          <w:sz w:val="24"/>
          <w:szCs w:val="24"/>
        </w:rPr>
        <w:t xml:space="preserve">sektora finansów publicznych. </w:t>
      </w:r>
    </w:p>
    <w:p w14:paraId="21C68520" w14:textId="5B970D1F" w:rsidR="00E1286B" w:rsidRPr="00F46123" w:rsidDel="00D87B8E" w:rsidRDefault="00E1286B" w:rsidP="004234D3">
      <w:pPr>
        <w:spacing w:after="120" w:line="360" w:lineRule="auto"/>
        <w:jc w:val="both"/>
        <w:rPr>
          <w:rFonts w:ascii="Times New Roman" w:hAnsi="Times New Roman" w:cs="Times New Roman"/>
          <w:bCs/>
          <w:sz w:val="24"/>
          <w:szCs w:val="24"/>
        </w:rPr>
      </w:pPr>
      <w:r w:rsidRPr="00F46123" w:rsidDel="00D87B8E">
        <w:rPr>
          <w:rFonts w:ascii="Times New Roman" w:hAnsi="Times New Roman" w:cs="Times New Roman"/>
          <w:sz w:val="24"/>
          <w:szCs w:val="24"/>
        </w:rPr>
        <w:t xml:space="preserve">Natomiast przepis ustawy PIT dotyczący daniny solidarnościowej, który wprowadza wyższą stawkę tej daniny, będzie miał zastosowanie </w:t>
      </w:r>
      <w:r w:rsidRPr="00F46123" w:rsidDel="00D87B8E">
        <w:rPr>
          <w:rFonts w:ascii="Times New Roman" w:hAnsi="Times New Roman" w:cs="Times New Roman"/>
          <w:bCs/>
          <w:sz w:val="24"/>
          <w:szCs w:val="24"/>
        </w:rPr>
        <w:t>po raz pierwszy do daniny solidarnościowej, której termin zapłaty upływa z dniem 2 maja 2028 r.</w:t>
      </w:r>
    </w:p>
    <w:p w14:paraId="182DC847" w14:textId="34CE885B" w:rsidR="00E224B7" w:rsidRPr="00F46123" w:rsidRDefault="00E224B7" w:rsidP="004234D3">
      <w:pPr>
        <w:spacing w:after="120" w:line="360" w:lineRule="auto"/>
        <w:jc w:val="both"/>
        <w:rPr>
          <w:rFonts w:ascii="Times New Roman" w:hAnsi="Times New Roman" w:cs="Times New Roman"/>
          <w:b/>
          <w:bCs/>
          <w:sz w:val="24"/>
          <w:szCs w:val="24"/>
        </w:rPr>
      </w:pPr>
      <w:r w:rsidRPr="00F46123">
        <w:rPr>
          <w:rFonts w:ascii="Times New Roman" w:hAnsi="Times New Roman" w:cs="Times New Roman"/>
          <w:b/>
          <w:bCs/>
          <w:sz w:val="24"/>
          <w:szCs w:val="24"/>
        </w:rPr>
        <w:t xml:space="preserve">Art. </w:t>
      </w:r>
      <w:r w:rsidR="00737D09" w:rsidRPr="00F46123">
        <w:rPr>
          <w:rFonts w:ascii="Times New Roman" w:hAnsi="Times New Roman" w:cs="Times New Roman"/>
          <w:b/>
          <w:bCs/>
          <w:sz w:val="24"/>
          <w:szCs w:val="24"/>
        </w:rPr>
        <w:t xml:space="preserve">6 </w:t>
      </w:r>
      <w:r w:rsidRPr="00F46123">
        <w:rPr>
          <w:rFonts w:ascii="Times New Roman" w:hAnsi="Times New Roman" w:cs="Times New Roman"/>
          <w:b/>
          <w:bCs/>
          <w:sz w:val="24"/>
          <w:szCs w:val="24"/>
        </w:rPr>
        <w:t xml:space="preserve">projektu ustawy </w:t>
      </w:r>
    </w:p>
    <w:p w14:paraId="3226BBB2" w14:textId="073768D8" w:rsidR="003E1AA1" w:rsidRPr="00F46123" w:rsidRDefault="003E1AA1" w:rsidP="004234D3">
      <w:pPr>
        <w:shd w:val="clear" w:color="auto" w:fill="FFFFFF"/>
        <w:spacing w:after="120" w:line="360" w:lineRule="auto"/>
        <w:jc w:val="both"/>
        <w:rPr>
          <w:rFonts w:ascii="Times New Roman" w:eastAsia="Times New Roman" w:hAnsi="Times New Roman" w:cs="Times New Roman"/>
          <w:bCs/>
          <w:sz w:val="24"/>
          <w:szCs w:val="24"/>
          <w:lang w:eastAsia="pl-PL"/>
        </w:rPr>
      </w:pPr>
      <w:r w:rsidRPr="00F46123">
        <w:rPr>
          <w:rFonts w:ascii="Times New Roman" w:eastAsia="Times New Roman" w:hAnsi="Times New Roman" w:cs="Times New Roman"/>
          <w:bCs/>
          <w:sz w:val="24"/>
          <w:szCs w:val="24"/>
          <w:lang w:eastAsia="pl-PL"/>
        </w:rPr>
        <w:t xml:space="preserve">Projektowany przepis przewiduje stosowanie nowych regulacji ustawy </w:t>
      </w:r>
      <w:r w:rsidR="00877A25" w:rsidRPr="00F46123">
        <w:rPr>
          <w:rFonts w:ascii="Times New Roman" w:eastAsia="Times New Roman" w:hAnsi="Times New Roman" w:cs="Times New Roman"/>
          <w:bCs/>
          <w:sz w:val="24"/>
          <w:szCs w:val="24"/>
          <w:lang w:eastAsia="pl-PL"/>
        </w:rPr>
        <w:t>CIT</w:t>
      </w:r>
      <w:r w:rsidRPr="00F46123">
        <w:rPr>
          <w:rFonts w:ascii="Times New Roman" w:eastAsia="Times New Roman" w:hAnsi="Times New Roman" w:cs="Times New Roman"/>
          <w:bCs/>
          <w:sz w:val="24"/>
          <w:szCs w:val="24"/>
          <w:lang w:eastAsia="pl-PL"/>
        </w:rPr>
        <w:t xml:space="preserve"> do dochodów (przychodów) uzyskiwanych w roku podatkowym rozpoczynającym się </w:t>
      </w:r>
      <w:bookmarkStart w:id="2" w:name="_Hlk240618061"/>
      <w:r w:rsidRPr="00F46123">
        <w:rPr>
          <w:rFonts w:ascii="Times New Roman" w:eastAsia="Times New Roman" w:hAnsi="Times New Roman" w:cs="Times New Roman"/>
          <w:bCs/>
          <w:sz w:val="24"/>
          <w:szCs w:val="24"/>
          <w:lang w:eastAsia="pl-PL"/>
        </w:rPr>
        <w:t>po dniu 31 grudnia 2026 r.</w:t>
      </w:r>
      <w:bookmarkEnd w:id="2"/>
      <w:r w:rsidRPr="00F46123">
        <w:rPr>
          <w:rFonts w:ascii="Times New Roman" w:eastAsia="Times New Roman" w:hAnsi="Times New Roman" w:cs="Times New Roman"/>
          <w:bCs/>
          <w:sz w:val="24"/>
          <w:szCs w:val="24"/>
          <w:lang w:eastAsia="pl-PL"/>
        </w:rPr>
        <w:t xml:space="preserve"> Jednocześnie</w:t>
      </w:r>
      <w:r w:rsidR="00340D6C" w:rsidRPr="00F46123">
        <w:rPr>
          <w:rFonts w:ascii="Times New Roman" w:eastAsia="Times New Roman" w:hAnsi="Times New Roman" w:cs="Times New Roman"/>
          <w:bCs/>
          <w:sz w:val="24"/>
          <w:szCs w:val="24"/>
          <w:lang w:eastAsia="pl-PL"/>
        </w:rPr>
        <w:t xml:space="preserve"> ocena </w:t>
      </w:r>
      <w:r w:rsidRPr="00F46123">
        <w:rPr>
          <w:rFonts w:ascii="Times New Roman" w:eastAsia="Times New Roman" w:hAnsi="Times New Roman" w:cs="Times New Roman"/>
          <w:bCs/>
          <w:sz w:val="24"/>
          <w:szCs w:val="24"/>
          <w:lang w:eastAsia="pl-PL"/>
        </w:rPr>
        <w:t>spełnienia przesłanki przekroczenia równowartości 50 mln euro, warunkującej stosowanie stawki 22</w:t>
      </w:r>
      <w:r w:rsidR="00A85DB4" w:rsidRPr="00F46123">
        <w:rPr>
          <w:rFonts w:ascii="Times New Roman" w:eastAsia="Times New Roman" w:hAnsi="Times New Roman" w:cs="Times New Roman"/>
          <w:bCs/>
          <w:sz w:val="24"/>
          <w:szCs w:val="24"/>
          <w:lang w:eastAsia="pl-PL"/>
        </w:rPr>
        <w:t xml:space="preserve"> </w:t>
      </w:r>
      <w:r w:rsidRPr="00F46123">
        <w:rPr>
          <w:rFonts w:ascii="Times New Roman" w:eastAsia="Times New Roman" w:hAnsi="Times New Roman" w:cs="Times New Roman"/>
          <w:bCs/>
          <w:sz w:val="24"/>
          <w:szCs w:val="24"/>
          <w:lang w:eastAsia="pl-PL"/>
        </w:rPr>
        <w:t xml:space="preserve">% od roku podatkowego rozpoczynającego się </w:t>
      </w:r>
      <w:r w:rsidR="001827C0" w:rsidRPr="00F46123">
        <w:rPr>
          <w:rFonts w:ascii="Times New Roman" w:eastAsia="Times New Roman" w:hAnsi="Times New Roman" w:cs="Times New Roman"/>
          <w:bCs/>
          <w:sz w:val="24"/>
          <w:szCs w:val="24"/>
          <w:lang w:eastAsia="pl-PL"/>
        </w:rPr>
        <w:t>po dniu 31</w:t>
      </w:r>
      <w:r w:rsidR="00F46123" w:rsidRPr="00F46123">
        <w:rPr>
          <w:rFonts w:ascii="Times New Roman" w:hAnsi="Times New Roman" w:cs="Times New Roman"/>
          <w:sz w:val="24"/>
          <w:szCs w:val="24"/>
        </w:rPr>
        <w:t> </w:t>
      </w:r>
      <w:r w:rsidR="001827C0" w:rsidRPr="00F46123">
        <w:rPr>
          <w:rFonts w:ascii="Times New Roman" w:eastAsia="Times New Roman" w:hAnsi="Times New Roman" w:cs="Times New Roman"/>
          <w:bCs/>
          <w:sz w:val="24"/>
          <w:szCs w:val="24"/>
          <w:lang w:eastAsia="pl-PL"/>
        </w:rPr>
        <w:t>grudnia 2026 r.</w:t>
      </w:r>
      <w:r w:rsidRPr="00F46123">
        <w:rPr>
          <w:rFonts w:ascii="Times New Roman" w:eastAsia="Times New Roman" w:hAnsi="Times New Roman" w:cs="Times New Roman"/>
          <w:bCs/>
          <w:sz w:val="24"/>
          <w:szCs w:val="24"/>
          <w:lang w:eastAsia="pl-PL"/>
        </w:rPr>
        <w:t>, będzie dokonywana na podstawie przychodów osiągniętych w roku podatkowym bezpośrednio poprzedzającym ten rok.</w:t>
      </w:r>
    </w:p>
    <w:p w14:paraId="110391AE" w14:textId="55A199EC" w:rsidR="001D70CC" w:rsidRPr="00F46123" w:rsidRDefault="001D70CC" w:rsidP="004234D3">
      <w:pPr>
        <w:spacing w:after="120" w:line="360" w:lineRule="auto"/>
        <w:jc w:val="both"/>
        <w:rPr>
          <w:rFonts w:ascii="Times New Roman" w:hAnsi="Times New Roman" w:cs="Times New Roman"/>
          <w:b/>
          <w:bCs/>
          <w:sz w:val="24"/>
          <w:szCs w:val="24"/>
        </w:rPr>
      </w:pPr>
      <w:r w:rsidRPr="00F46123">
        <w:rPr>
          <w:rFonts w:ascii="Times New Roman" w:hAnsi="Times New Roman" w:cs="Times New Roman"/>
          <w:b/>
          <w:bCs/>
          <w:sz w:val="24"/>
          <w:szCs w:val="24"/>
        </w:rPr>
        <w:t xml:space="preserve">Art. </w:t>
      </w:r>
      <w:r w:rsidR="00737D09" w:rsidRPr="00F46123">
        <w:rPr>
          <w:rFonts w:ascii="Times New Roman" w:hAnsi="Times New Roman" w:cs="Times New Roman"/>
          <w:b/>
          <w:bCs/>
          <w:sz w:val="24"/>
          <w:szCs w:val="24"/>
        </w:rPr>
        <w:t xml:space="preserve">7 </w:t>
      </w:r>
      <w:r w:rsidRPr="00F46123">
        <w:rPr>
          <w:rFonts w:ascii="Times New Roman" w:hAnsi="Times New Roman" w:cs="Times New Roman"/>
          <w:b/>
          <w:bCs/>
          <w:sz w:val="24"/>
          <w:szCs w:val="24"/>
        </w:rPr>
        <w:t xml:space="preserve">projektu ustawy </w:t>
      </w:r>
    </w:p>
    <w:p w14:paraId="732D25D7" w14:textId="3FF32F54" w:rsidR="001D70CC" w:rsidRPr="00F46123" w:rsidRDefault="001D70CC"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 xml:space="preserve">Przepis określa wejście w życie ustawy z dniem 1 stycznia 2027 r. </w:t>
      </w:r>
    </w:p>
    <w:p w14:paraId="0BBA7ECD" w14:textId="77777777" w:rsidR="00730915" w:rsidRPr="00F46123" w:rsidRDefault="00730915"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Termin wejścia w życie projektu ustawy określony na dzień 1 stycznia 2027 r. uzasadniony jest okolicznością, że proponowane w tym projekcie zmiany są korzystne dla 3,5 mln osób, zatem w interesie tych osób jest jak najszybsze wejście tych przepisów w życie.</w:t>
      </w:r>
    </w:p>
    <w:p w14:paraId="0CF84047" w14:textId="77777777" w:rsidR="001D70CC" w:rsidRPr="00F46123" w:rsidRDefault="001D70CC" w:rsidP="004234D3">
      <w:pPr>
        <w:spacing w:after="120" w:line="360" w:lineRule="auto"/>
        <w:jc w:val="both"/>
        <w:rPr>
          <w:rFonts w:ascii="Times New Roman" w:hAnsi="Times New Roman" w:cs="Times New Roman"/>
          <w:b/>
          <w:bCs/>
          <w:sz w:val="24"/>
          <w:szCs w:val="24"/>
        </w:rPr>
      </w:pPr>
      <w:r w:rsidRPr="00F46123">
        <w:rPr>
          <w:rFonts w:ascii="Times New Roman" w:hAnsi="Times New Roman" w:cs="Times New Roman"/>
          <w:b/>
          <w:bCs/>
          <w:sz w:val="24"/>
          <w:szCs w:val="24"/>
        </w:rPr>
        <w:t>Wpływ na MŚP</w:t>
      </w:r>
    </w:p>
    <w:p w14:paraId="2AC6947F" w14:textId="23641861" w:rsidR="001D70CC" w:rsidRPr="00F46123" w:rsidRDefault="001E4183" w:rsidP="004234D3">
      <w:pPr>
        <w:pStyle w:val="NormalnyWeb"/>
        <w:spacing w:before="0" w:beforeAutospacing="0" w:after="120" w:afterAutospacing="0" w:line="360" w:lineRule="auto"/>
        <w:jc w:val="both"/>
      </w:pPr>
      <w:r w:rsidRPr="00F46123">
        <w:t xml:space="preserve">Proponowane zmiany </w:t>
      </w:r>
      <w:r w:rsidR="00D02E9D" w:rsidRPr="00F46123">
        <w:t xml:space="preserve">w zakresie </w:t>
      </w:r>
      <w:r w:rsidRPr="00F46123">
        <w:t xml:space="preserve">podatku </w:t>
      </w:r>
      <w:r w:rsidR="00D02E9D" w:rsidRPr="00F46123">
        <w:t>PIT</w:t>
      </w:r>
      <w:r w:rsidRPr="00F46123">
        <w:rPr>
          <w:bCs/>
          <w:color w:val="000000"/>
        </w:rPr>
        <w:t xml:space="preserve"> </w:t>
      </w:r>
      <w:r w:rsidRPr="00F46123">
        <w:rPr>
          <w:bCs/>
        </w:rPr>
        <w:t xml:space="preserve">mogą mieć wpływ na sektor MŚP. </w:t>
      </w:r>
      <w:r w:rsidR="001D70CC" w:rsidRPr="00F46123">
        <w:t xml:space="preserve">Projektowane regulacje będą oddziaływać przede wszystkim na podatników osiągających najwyższe przychody opodatkowane ryczałtem od przychodów ewidencjonowanych, tj. na podatników osiągających przychody przekraczające równowartość 250 tys. euro rocznie. W przypadku mniejszych przedsiębiorców, czyli takich, których przychody będą </w:t>
      </w:r>
      <w:r w:rsidR="00045158" w:rsidRPr="00F46123">
        <w:t>niższe niż</w:t>
      </w:r>
      <w:r w:rsidR="001D70CC" w:rsidRPr="00F46123">
        <w:t xml:space="preserve"> 250 tys. euro rocznie</w:t>
      </w:r>
      <w:r w:rsidR="00045158" w:rsidRPr="00F46123">
        <w:t>,</w:t>
      </w:r>
      <w:r w:rsidR="001D70CC" w:rsidRPr="00F46123">
        <w:t xml:space="preserve"> nowe regulacje nie będą miały znaczenia.</w:t>
      </w:r>
    </w:p>
    <w:p w14:paraId="756E396D" w14:textId="5207FB88" w:rsidR="00E224B7" w:rsidRPr="00F46123" w:rsidRDefault="00E224B7" w:rsidP="004234D3">
      <w:pPr>
        <w:pStyle w:val="NormalnyWeb"/>
        <w:spacing w:before="0" w:beforeAutospacing="0" w:after="120" w:afterAutospacing="0" w:line="360" w:lineRule="auto"/>
        <w:jc w:val="both"/>
        <w:rPr>
          <w:bCs/>
        </w:rPr>
      </w:pPr>
      <w:r w:rsidRPr="00F46123">
        <w:t>Proponowane podwyższenie stawki podatku CIT</w:t>
      </w:r>
      <w:r w:rsidRPr="00F46123">
        <w:rPr>
          <w:bCs/>
          <w:color w:val="000000"/>
        </w:rPr>
        <w:t xml:space="preserve"> </w:t>
      </w:r>
      <w:r w:rsidRPr="00F46123">
        <w:rPr>
          <w:bCs/>
        </w:rPr>
        <w:t>mo</w:t>
      </w:r>
      <w:r w:rsidR="00591F4F" w:rsidRPr="00F46123">
        <w:rPr>
          <w:bCs/>
        </w:rPr>
        <w:t>że</w:t>
      </w:r>
      <w:r w:rsidRPr="00F46123">
        <w:rPr>
          <w:bCs/>
        </w:rPr>
        <w:t xml:space="preserve"> mieć wpływ na sektor MŚP. Zwiększenie obciążenia podatkiem dochodowym od osób prawnych dotyczy podatników opłacających podatek na ogólnych zasadach według 19</w:t>
      </w:r>
      <w:r w:rsidR="003F796C" w:rsidRPr="00F46123">
        <w:rPr>
          <w:bCs/>
        </w:rPr>
        <w:t xml:space="preserve"> </w:t>
      </w:r>
      <w:r w:rsidRPr="00F46123">
        <w:rPr>
          <w:bCs/>
        </w:rPr>
        <w:t xml:space="preserve">% stawki, co oznacza, iż część podatników z grupy MŚP może zostać objęta tymi rozwiązaniami. Przy czym, duża część tej grupy podatników w dalszym ciągu będzie uprawniona do </w:t>
      </w:r>
      <w:r w:rsidR="009301B1" w:rsidRPr="00F46123">
        <w:rPr>
          <w:bCs/>
        </w:rPr>
        <w:t xml:space="preserve">dotychczasowej </w:t>
      </w:r>
      <w:r w:rsidRPr="00F46123">
        <w:rPr>
          <w:bCs/>
        </w:rPr>
        <w:t>stawki podatku CIT.</w:t>
      </w:r>
    </w:p>
    <w:p w14:paraId="1F3BA887" w14:textId="77777777" w:rsidR="001D70CC" w:rsidRPr="00F46123" w:rsidRDefault="001D70CC" w:rsidP="004234D3">
      <w:pPr>
        <w:shd w:val="clear" w:color="auto" w:fill="FFFFFF" w:themeFill="background1"/>
        <w:spacing w:after="120" w:line="360" w:lineRule="auto"/>
        <w:jc w:val="both"/>
        <w:rPr>
          <w:rFonts w:ascii="Times New Roman" w:eastAsia="Times New Roman" w:hAnsi="Times New Roman" w:cs="Times New Roman"/>
          <w:b/>
          <w:color w:val="000000" w:themeColor="text1"/>
          <w:sz w:val="24"/>
          <w:szCs w:val="24"/>
          <w:lang w:eastAsia="pl-PL"/>
        </w:rPr>
      </w:pPr>
      <w:r w:rsidRPr="00F46123">
        <w:rPr>
          <w:rFonts w:ascii="Times New Roman" w:eastAsia="Times New Roman" w:hAnsi="Times New Roman" w:cs="Times New Roman"/>
          <w:b/>
          <w:sz w:val="24"/>
          <w:szCs w:val="24"/>
          <w:lang w:eastAsia="pl-PL"/>
        </w:rPr>
        <w:lastRenderedPageBreak/>
        <w:t>Dodatkowe informacje</w:t>
      </w:r>
    </w:p>
    <w:p w14:paraId="4EBCF518" w14:textId="1A8ECC3B" w:rsidR="001D70CC" w:rsidRPr="00F46123" w:rsidRDefault="001D70CC"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 xml:space="preserve">Stosownie do postanowień art. 5 ustawy z dnia 7 lipca 2005 r. o działalności lobbingowej w procesie stanowienia prawa (Dz. U. z 2026 poz. 936) oraz § 52 uchwały nr 190 Rady Ministrów z dnia 29 października 2013 r. – Regulamin pracy Rady Ministrów (M.P. z 2026 r. poz. 404), projekt ustawy </w:t>
      </w:r>
      <w:r w:rsidR="00FA6F96">
        <w:rPr>
          <w:rFonts w:ascii="Times New Roman" w:hAnsi="Times New Roman" w:cs="Times New Roman"/>
          <w:sz w:val="24"/>
          <w:szCs w:val="24"/>
        </w:rPr>
        <w:t>zostanie</w:t>
      </w:r>
      <w:r w:rsidRPr="00F46123">
        <w:rPr>
          <w:rFonts w:ascii="Times New Roman" w:hAnsi="Times New Roman" w:cs="Times New Roman"/>
          <w:sz w:val="24"/>
          <w:szCs w:val="24"/>
        </w:rPr>
        <w:t xml:space="preserve"> udostępniony w Biuletynie Informacji Publicznej Rządowego Centrum Legislacji na stronie internetowej Rządowego Centrum Legislacji, w serwisie Rządowy Proces Legislacyjny.</w:t>
      </w:r>
    </w:p>
    <w:p w14:paraId="42138072" w14:textId="77777777" w:rsidR="001D70CC" w:rsidRPr="00F46123" w:rsidRDefault="001D70CC" w:rsidP="004234D3">
      <w:pPr>
        <w:shd w:val="clear" w:color="auto" w:fill="FFFFFF" w:themeFill="background1"/>
        <w:spacing w:after="120" w:line="360" w:lineRule="auto"/>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Projekt ustawy jest zgodny z prawem Unii Europejskiej.</w:t>
      </w:r>
    </w:p>
    <w:p w14:paraId="01337062" w14:textId="77777777" w:rsidR="001D70CC" w:rsidRPr="00F46123" w:rsidRDefault="001D70CC"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Projekt ustawy nie wymaga przedstawienia właściwym instytucjom i organom Unii Europejskiej, w tym Europejskiemu Bankowi Centralnemu, w celu uzyskania opinii, dokonania konsultacji albo uzgodnienia.</w:t>
      </w:r>
    </w:p>
    <w:p w14:paraId="2D6B0059" w14:textId="03542851" w:rsidR="001D70CC" w:rsidRPr="00F46123" w:rsidRDefault="001D70CC" w:rsidP="004234D3">
      <w:pPr>
        <w:spacing w:after="120" w:line="360" w:lineRule="auto"/>
        <w:jc w:val="both"/>
        <w:rPr>
          <w:rFonts w:ascii="Times New Roman" w:hAnsi="Times New Roman" w:cs="Times New Roman"/>
          <w:sz w:val="24"/>
          <w:szCs w:val="24"/>
        </w:rPr>
      </w:pPr>
      <w:r w:rsidRPr="00F46123">
        <w:rPr>
          <w:rFonts w:ascii="Times New Roman" w:hAnsi="Times New Roman" w:cs="Times New Roman"/>
          <w:sz w:val="24"/>
          <w:szCs w:val="24"/>
        </w:rPr>
        <w:t>Projektowana ustawa nie podlega notyfikacji, zgodnie z trybem określonym w przepisach rozporządzenia Rady Ministrów z dnia 23 grudnia 2002 r. w sprawie sposobu funkcjonowania krajowego systemu notyfikacji norm i aktów prawnych (Dz. U. poz. 2039, z późn. zm.).</w:t>
      </w:r>
    </w:p>
    <w:p w14:paraId="7CF91844" w14:textId="71F22C03" w:rsidR="001D70CC" w:rsidRPr="00F46123" w:rsidRDefault="001D70CC" w:rsidP="004234D3">
      <w:pPr>
        <w:autoSpaceDE w:val="0"/>
        <w:autoSpaceDN w:val="0"/>
        <w:spacing w:after="120" w:line="360" w:lineRule="auto"/>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Projekt ustawy nie wywiera wpływu na obszar danych osobowych. W związku z tym, nie przeprowadzono oceny skutków dla ochrony danych osobowych, o której mowa w art. 35 ust.</w:t>
      </w:r>
      <w:r w:rsidR="00C31812">
        <w:rPr>
          <w:rFonts w:ascii="Times New Roman" w:eastAsia="Times New Roman" w:hAnsi="Times New Roman" w:cs="Times New Roman"/>
          <w:sz w:val="24"/>
          <w:szCs w:val="24"/>
          <w:lang w:eastAsia="pl-PL"/>
        </w:rPr>
        <w:t> </w:t>
      </w:r>
      <w:r w:rsidRPr="00F46123">
        <w:rPr>
          <w:rFonts w:ascii="Times New Roman" w:eastAsia="Times New Roman" w:hAnsi="Times New Roman" w:cs="Times New Roman"/>
          <w:sz w:val="24"/>
          <w:szCs w:val="24"/>
          <w:lang w:eastAsia="pl-PL"/>
        </w:rPr>
        <w:t>1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Pr="00F46123">
        <w:rPr>
          <w:rFonts w:ascii="Times New Roman" w:eastAsia="Times New Roman" w:hAnsi="Times New Roman" w:cs="Times New Roman"/>
          <w:sz w:val="24"/>
          <w:szCs w:val="24"/>
          <w:vertAlign w:val="superscript"/>
          <w:lang w:eastAsia="pl-PL"/>
        </w:rPr>
        <w:footnoteReference w:id="5"/>
      </w:r>
      <w:r w:rsidRPr="00F46123">
        <w:rPr>
          <w:rFonts w:ascii="Times New Roman" w:eastAsia="Times New Roman" w:hAnsi="Times New Roman" w:cs="Times New Roman"/>
          <w:sz w:val="24"/>
          <w:szCs w:val="24"/>
          <w:lang w:eastAsia="pl-PL"/>
        </w:rPr>
        <w:t>.</w:t>
      </w:r>
    </w:p>
    <w:p w14:paraId="7B24EE69" w14:textId="77777777" w:rsidR="001D70CC" w:rsidRPr="00F46123" w:rsidRDefault="001D70CC" w:rsidP="004234D3">
      <w:pPr>
        <w:autoSpaceDE w:val="0"/>
        <w:autoSpaceDN w:val="0"/>
        <w:spacing w:after="120" w:line="360" w:lineRule="auto"/>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Jednocześnie należy wskazać, że nie ma możliwości podjęcia alternatywnych w stosunku do ustawy środków umożliwiających osiągnięcie zamierzonego celu.</w:t>
      </w:r>
    </w:p>
    <w:p w14:paraId="4EC550E8" w14:textId="59068372" w:rsidR="001400A6" w:rsidRPr="00F46123" w:rsidRDefault="001D70CC" w:rsidP="004234D3">
      <w:pPr>
        <w:shd w:val="clear" w:color="auto" w:fill="FFFFFF" w:themeFill="background1"/>
        <w:spacing w:after="120" w:line="360" w:lineRule="auto"/>
        <w:jc w:val="both"/>
        <w:rPr>
          <w:rFonts w:ascii="Times New Roman" w:eastAsia="Times New Roman" w:hAnsi="Times New Roman" w:cs="Times New Roman"/>
          <w:sz w:val="24"/>
          <w:szCs w:val="24"/>
          <w:lang w:eastAsia="pl-PL"/>
        </w:rPr>
      </w:pPr>
      <w:r w:rsidRPr="00F46123">
        <w:rPr>
          <w:rFonts w:ascii="Times New Roman" w:eastAsia="Times New Roman" w:hAnsi="Times New Roman" w:cs="Times New Roman"/>
          <w:sz w:val="24"/>
          <w:szCs w:val="24"/>
          <w:lang w:eastAsia="pl-PL"/>
        </w:rPr>
        <w:t>Projekt nie stwarza zagrożeń korupcyjnych.</w:t>
      </w:r>
    </w:p>
    <w:sectPr w:rsidR="001400A6" w:rsidRPr="00F46123" w:rsidSect="00423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62856" w14:textId="77777777" w:rsidR="00E60FA3" w:rsidRDefault="00E60FA3" w:rsidP="0063481F">
      <w:pPr>
        <w:spacing w:after="0" w:line="240" w:lineRule="auto"/>
      </w:pPr>
      <w:r>
        <w:separator/>
      </w:r>
    </w:p>
  </w:endnote>
  <w:endnote w:type="continuationSeparator" w:id="0">
    <w:p w14:paraId="4C1602F5" w14:textId="77777777" w:rsidR="00E60FA3" w:rsidRDefault="00E60FA3" w:rsidP="00634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508670793"/>
      <w:docPartObj>
        <w:docPartGallery w:val="Page Numbers (Bottom of Page)"/>
        <w:docPartUnique/>
      </w:docPartObj>
    </w:sdtPr>
    <w:sdtEndPr/>
    <w:sdtContent>
      <w:p w14:paraId="5DDF5E84" w14:textId="3F2021BF" w:rsidR="00CF7E86" w:rsidRPr="004234D3" w:rsidRDefault="00CF7E86" w:rsidP="004234D3">
        <w:pPr>
          <w:pStyle w:val="Stopka"/>
          <w:jc w:val="center"/>
          <w:rPr>
            <w:rFonts w:ascii="Times New Roman" w:hAnsi="Times New Roman" w:cs="Times New Roman"/>
            <w:sz w:val="24"/>
            <w:szCs w:val="24"/>
          </w:rPr>
        </w:pPr>
        <w:r w:rsidRPr="004234D3">
          <w:rPr>
            <w:rFonts w:ascii="Times New Roman" w:hAnsi="Times New Roman" w:cs="Times New Roman"/>
            <w:sz w:val="24"/>
            <w:szCs w:val="24"/>
          </w:rPr>
          <w:fldChar w:fldCharType="begin"/>
        </w:r>
        <w:r w:rsidRPr="004234D3">
          <w:rPr>
            <w:rFonts w:ascii="Times New Roman" w:hAnsi="Times New Roman" w:cs="Times New Roman"/>
            <w:sz w:val="24"/>
            <w:szCs w:val="24"/>
          </w:rPr>
          <w:instrText>PAGE   \* MERGEFORMAT</w:instrText>
        </w:r>
        <w:r w:rsidRPr="004234D3">
          <w:rPr>
            <w:rFonts w:ascii="Times New Roman" w:hAnsi="Times New Roman" w:cs="Times New Roman"/>
            <w:sz w:val="24"/>
            <w:szCs w:val="24"/>
          </w:rPr>
          <w:fldChar w:fldCharType="separate"/>
        </w:r>
        <w:r w:rsidRPr="004234D3">
          <w:rPr>
            <w:rFonts w:ascii="Times New Roman" w:hAnsi="Times New Roman" w:cs="Times New Roman"/>
            <w:sz w:val="24"/>
            <w:szCs w:val="24"/>
          </w:rPr>
          <w:t>2</w:t>
        </w:r>
        <w:r w:rsidRPr="004234D3">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6EC28" w14:textId="77777777" w:rsidR="00E60FA3" w:rsidRDefault="00E60FA3" w:rsidP="0063481F">
      <w:pPr>
        <w:spacing w:after="0" w:line="240" w:lineRule="auto"/>
      </w:pPr>
      <w:r>
        <w:separator/>
      </w:r>
    </w:p>
  </w:footnote>
  <w:footnote w:type="continuationSeparator" w:id="0">
    <w:p w14:paraId="34264E7B" w14:textId="77777777" w:rsidR="00E60FA3" w:rsidRDefault="00E60FA3" w:rsidP="0063481F">
      <w:pPr>
        <w:spacing w:after="0" w:line="240" w:lineRule="auto"/>
      </w:pPr>
      <w:r>
        <w:continuationSeparator/>
      </w:r>
    </w:p>
  </w:footnote>
  <w:footnote w:id="1">
    <w:p w14:paraId="2A7ECF53" w14:textId="3045F80B" w:rsidR="000413F5" w:rsidRPr="00F46D87" w:rsidRDefault="000413F5" w:rsidP="000413F5">
      <w:pPr>
        <w:pStyle w:val="Tekstprzypisudolnego"/>
        <w:jc w:val="both"/>
        <w:rPr>
          <w:rFonts w:ascii="Times New Roman" w:hAnsi="Times New Roman" w:cs="Times New Roman"/>
        </w:rPr>
      </w:pPr>
      <w:r w:rsidRPr="00F46D87">
        <w:rPr>
          <w:rStyle w:val="Odwoanieprzypisudolnego"/>
          <w:rFonts w:ascii="Times New Roman" w:hAnsi="Times New Roman" w:cs="Times New Roman"/>
        </w:rPr>
        <w:footnoteRef/>
      </w:r>
      <w:r w:rsidRPr="00AF14BF">
        <w:rPr>
          <w:rFonts w:ascii="Times New Roman" w:hAnsi="Times New Roman" w:cs="Times New Roman"/>
        </w:rPr>
        <w:t xml:space="preserve"> Ustawa</w:t>
      </w:r>
      <w:r w:rsidRPr="002200C5">
        <w:rPr>
          <w:rFonts w:ascii="Times New Roman" w:hAnsi="Times New Roman" w:cs="Times New Roman"/>
        </w:rPr>
        <w:t xml:space="preserve"> z dnia 26 lipca 1991 r. o podatku do</w:t>
      </w:r>
      <w:r w:rsidRPr="00AF14BF">
        <w:rPr>
          <w:rFonts w:ascii="Times New Roman" w:hAnsi="Times New Roman" w:cs="Times New Roman"/>
        </w:rPr>
        <w:t>chodowym od osób fizycznych (Dz. U. z 2026 r. poz. 592, z późn. zm.).</w:t>
      </w:r>
    </w:p>
  </w:footnote>
  <w:footnote w:id="2">
    <w:p w14:paraId="76DE3FC7" w14:textId="0B67DE7D" w:rsidR="000413F5" w:rsidRPr="00AF14BF" w:rsidRDefault="000413F5" w:rsidP="000413F5">
      <w:pPr>
        <w:pStyle w:val="Tekstprzypisudolnego"/>
        <w:jc w:val="both"/>
        <w:rPr>
          <w:rFonts w:ascii="Times New Roman" w:hAnsi="Times New Roman" w:cs="Times New Roman"/>
        </w:rPr>
      </w:pPr>
      <w:r w:rsidRPr="00AF14BF">
        <w:rPr>
          <w:rStyle w:val="Odwoanieprzypisudolnego"/>
          <w:rFonts w:ascii="Times New Roman" w:hAnsi="Times New Roman" w:cs="Times New Roman"/>
        </w:rPr>
        <w:footnoteRef/>
      </w:r>
      <w:r w:rsidRPr="00AF14BF">
        <w:rPr>
          <w:rFonts w:ascii="Times New Roman" w:hAnsi="Times New Roman" w:cs="Times New Roman"/>
        </w:rPr>
        <w:t xml:space="preserve"> Ustawa</w:t>
      </w:r>
      <w:r w:rsidRPr="002200C5">
        <w:rPr>
          <w:rFonts w:ascii="Times New Roman" w:hAnsi="Times New Roman" w:cs="Times New Roman"/>
        </w:rPr>
        <w:t xml:space="preserve"> z dnia 15 lutego 199</w:t>
      </w:r>
      <w:r w:rsidR="001F4DD9" w:rsidRPr="00AF14BF">
        <w:rPr>
          <w:rFonts w:ascii="Times New Roman" w:hAnsi="Times New Roman" w:cs="Times New Roman"/>
        </w:rPr>
        <w:t>2</w:t>
      </w:r>
      <w:r w:rsidRPr="00AF14BF">
        <w:rPr>
          <w:rFonts w:ascii="Times New Roman" w:hAnsi="Times New Roman" w:cs="Times New Roman"/>
        </w:rPr>
        <w:t xml:space="preserve"> r. o podatku dochodowym od osób prawnych (Dz. U. z 2026 r. poz. poz. 554, z późn. zm.).</w:t>
      </w:r>
    </w:p>
  </w:footnote>
  <w:footnote w:id="3">
    <w:p w14:paraId="2747D8D8" w14:textId="77777777" w:rsidR="000413F5" w:rsidRPr="00AF14BF" w:rsidRDefault="000413F5" w:rsidP="000413F5">
      <w:pPr>
        <w:pStyle w:val="Tekstprzypisudolnego"/>
        <w:jc w:val="both"/>
        <w:rPr>
          <w:rFonts w:ascii="Times New Roman" w:hAnsi="Times New Roman" w:cs="Times New Roman"/>
        </w:rPr>
      </w:pPr>
      <w:r w:rsidRPr="00AF14BF">
        <w:rPr>
          <w:rStyle w:val="Odwoanieprzypisudolnego"/>
          <w:rFonts w:ascii="Times New Roman" w:hAnsi="Times New Roman" w:cs="Times New Roman"/>
        </w:rPr>
        <w:footnoteRef/>
      </w:r>
      <w:r w:rsidRPr="00AF14BF">
        <w:rPr>
          <w:rFonts w:ascii="Times New Roman" w:hAnsi="Times New Roman" w:cs="Times New Roman"/>
        </w:rPr>
        <w:t xml:space="preserve"> Ustawa z dnia 20 listopada 1998 r. o zryczałtowanym podatku dochodowym od niektórych przychodów osiąganych przez osoby fizyczne (Dz. U. z 2025 r. poz. 843, z późn. zm.). </w:t>
      </w:r>
    </w:p>
  </w:footnote>
  <w:footnote w:id="4">
    <w:p w14:paraId="716A81BB" w14:textId="77777777" w:rsidR="00A96D70" w:rsidRDefault="00A96D70" w:rsidP="00A96D70">
      <w:pPr>
        <w:pStyle w:val="Tekstprzypisudolnego"/>
        <w:jc w:val="both"/>
      </w:pPr>
      <w:r w:rsidRPr="00F46D87">
        <w:rPr>
          <w:rStyle w:val="Odwoanieprzypisudolnego"/>
          <w:rFonts w:ascii="Times New Roman" w:hAnsi="Times New Roman" w:cs="Times New Roman"/>
        </w:rPr>
        <w:footnoteRef/>
      </w:r>
      <w:r w:rsidRPr="00F46D87">
        <w:rPr>
          <w:rFonts w:ascii="Times New Roman" w:hAnsi="Times New Roman" w:cs="Times New Roman"/>
        </w:rPr>
        <w:t xml:space="preserve"> Ustawa z dnia 2 kwietnia 1997 r. – Konstytucja Rzeczypospolitej Polskiej (Dz. U. poz. 483, z późn. zm.).</w:t>
      </w:r>
    </w:p>
  </w:footnote>
  <w:footnote w:id="5">
    <w:p w14:paraId="41DC696C" w14:textId="77777777" w:rsidR="001D70CC" w:rsidRPr="009505A2" w:rsidRDefault="001D70CC" w:rsidP="001D70CC">
      <w:pPr>
        <w:pStyle w:val="Tekstprzypisudolnego"/>
        <w:rPr>
          <w:rFonts w:ascii="Times New Roman" w:hAnsi="Times New Roman" w:cs="Times New Roman"/>
        </w:rPr>
      </w:pPr>
      <w:r w:rsidRPr="009505A2">
        <w:rPr>
          <w:rStyle w:val="Odwoanieprzypisudolnego"/>
          <w:rFonts w:ascii="Times New Roman" w:hAnsi="Times New Roman" w:cs="Times New Roman"/>
        </w:rPr>
        <w:footnoteRef/>
      </w:r>
      <w:r w:rsidRPr="009505A2">
        <w:rPr>
          <w:rFonts w:ascii="Times New Roman" w:hAnsi="Times New Roman" w:cs="Times New Roman"/>
        </w:rPr>
        <w:t xml:space="preserve"> Dz. Urz. UE L 119 z 04.05.2016, z późn. zm.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6739"/>
    <w:multiLevelType w:val="hybridMultilevel"/>
    <w:tmpl w:val="7960B3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4E050C"/>
    <w:multiLevelType w:val="hybridMultilevel"/>
    <w:tmpl w:val="811C80C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6A27286"/>
    <w:multiLevelType w:val="hybridMultilevel"/>
    <w:tmpl w:val="81B224A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2803148"/>
    <w:multiLevelType w:val="hybridMultilevel"/>
    <w:tmpl w:val="2C900D18"/>
    <w:lvl w:ilvl="0" w:tplc="87B0DD6E">
      <w:start w:val="1"/>
      <w:numFmt w:val="upperRoman"/>
      <w:lvlText w:val="%1."/>
      <w:lvlJc w:val="righ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 w15:restartNumberingAfterBreak="0">
    <w:nsid w:val="32A341E0"/>
    <w:multiLevelType w:val="hybridMultilevel"/>
    <w:tmpl w:val="F61890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3766343"/>
    <w:multiLevelType w:val="hybridMultilevel"/>
    <w:tmpl w:val="77E8A2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A94510B"/>
    <w:multiLevelType w:val="hybridMultilevel"/>
    <w:tmpl w:val="36B6609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489598E"/>
    <w:multiLevelType w:val="hybridMultilevel"/>
    <w:tmpl w:val="A6F8E852"/>
    <w:lvl w:ilvl="0" w:tplc="04150001">
      <w:start w:val="1"/>
      <w:numFmt w:val="bullet"/>
      <w:lvlText w:val=""/>
      <w:lvlJc w:val="left"/>
      <w:pPr>
        <w:ind w:left="785" w:hanging="360"/>
      </w:pPr>
      <w:rPr>
        <w:rFonts w:ascii="Symbol" w:hAnsi="Symbol"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8" w15:restartNumberingAfterBreak="0">
    <w:nsid w:val="696633E1"/>
    <w:multiLevelType w:val="hybridMultilevel"/>
    <w:tmpl w:val="D7A2E6D0"/>
    <w:lvl w:ilvl="0" w:tplc="06E616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6F572FC4"/>
    <w:multiLevelType w:val="hybridMultilevel"/>
    <w:tmpl w:val="B4D02F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7ECB7E55"/>
    <w:multiLevelType w:val="hybridMultilevel"/>
    <w:tmpl w:val="CBD668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22661194">
    <w:abstractNumId w:val="3"/>
  </w:num>
  <w:num w:numId="2" w16cid:durableId="52895578">
    <w:abstractNumId w:val="0"/>
  </w:num>
  <w:num w:numId="3" w16cid:durableId="1633713069">
    <w:abstractNumId w:val="7"/>
  </w:num>
  <w:num w:numId="4" w16cid:durableId="1291863378">
    <w:abstractNumId w:val="9"/>
  </w:num>
  <w:num w:numId="5" w16cid:durableId="1902324982">
    <w:abstractNumId w:val="1"/>
  </w:num>
  <w:num w:numId="6" w16cid:durableId="1713580322">
    <w:abstractNumId w:val="10"/>
  </w:num>
  <w:num w:numId="7" w16cid:durableId="948924964">
    <w:abstractNumId w:val="8"/>
  </w:num>
  <w:num w:numId="8" w16cid:durableId="1886983544">
    <w:abstractNumId w:val="4"/>
  </w:num>
  <w:num w:numId="9" w16cid:durableId="40905984">
    <w:abstractNumId w:val="2"/>
  </w:num>
  <w:num w:numId="10" w16cid:durableId="805002743">
    <w:abstractNumId w:val="5"/>
  </w:num>
  <w:num w:numId="11" w16cid:durableId="20986687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29A"/>
    <w:rsid w:val="0000489F"/>
    <w:rsid w:val="0000536F"/>
    <w:rsid w:val="00031B29"/>
    <w:rsid w:val="0003521A"/>
    <w:rsid w:val="0003569A"/>
    <w:rsid w:val="000413F5"/>
    <w:rsid w:val="00045158"/>
    <w:rsid w:val="00051861"/>
    <w:rsid w:val="00056365"/>
    <w:rsid w:val="00074CC0"/>
    <w:rsid w:val="000772AF"/>
    <w:rsid w:val="000854B3"/>
    <w:rsid w:val="000A53BA"/>
    <w:rsid w:val="000A6BA8"/>
    <w:rsid w:val="000C6AD3"/>
    <w:rsid w:val="000D18A2"/>
    <w:rsid w:val="000E046B"/>
    <w:rsid w:val="000E40F2"/>
    <w:rsid w:val="000F20CD"/>
    <w:rsid w:val="000F31E1"/>
    <w:rsid w:val="00102C8E"/>
    <w:rsid w:val="00103374"/>
    <w:rsid w:val="00104FC9"/>
    <w:rsid w:val="00107DFE"/>
    <w:rsid w:val="00110FA5"/>
    <w:rsid w:val="001113BC"/>
    <w:rsid w:val="00112268"/>
    <w:rsid w:val="00113539"/>
    <w:rsid w:val="00113C77"/>
    <w:rsid w:val="0013419F"/>
    <w:rsid w:val="001400A6"/>
    <w:rsid w:val="001565FF"/>
    <w:rsid w:val="00164F32"/>
    <w:rsid w:val="00166F82"/>
    <w:rsid w:val="0017229A"/>
    <w:rsid w:val="00172CC8"/>
    <w:rsid w:val="001747A6"/>
    <w:rsid w:val="00175722"/>
    <w:rsid w:val="00176533"/>
    <w:rsid w:val="001807B1"/>
    <w:rsid w:val="001808B6"/>
    <w:rsid w:val="001827C0"/>
    <w:rsid w:val="00183096"/>
    <w:rsid w:val="00190C35"/>
    <w:rsid w:val="00191567"/>
    <w:rsid w:val="001A2055"/>
    <w:rsid w:val="001B5E3C"/>
    <w:rsid w:val="001C16CA"/>
    <w:rsid w:val="001D031B"/>
    <w:rsid w:val="001D70CC"/>
    <w:rsid w:val="001D7C1F"/>
    <w:rsid w:val="001E19FC"/>
    <w:rsid w:val="001E4183"/>
    <w:rsid w:val="001F4DD9"/>
    <w:rsid w:val="001F51A9"/>
    <w:rsid w:val="0020743A"/>
    <w:rsid w:val="00207D6F"/>
    <w:rsid w:val="002200C5"/>
    <w:rsid w:val="00220FBC"/>
    <w:rsid w:val="002254D7"/>
    <w:rsid w:val="00227156"/>
    <w:rsid w:val="0023674D"/>
    <w:rsid w:val="00241F12"/>
    <w:rsid w:val="0024357F"/>
    <w:rsid w:val="00252264"/>
    <w:rsid w:val="002869DA"/>
    <w:rsid w:val="002A4B42"/>
    <w:rsid w:val="002A5D57"/>
    <w:rsid w:val="002B047D"/>
    <w:rsid w:val="002B7F32"/>
    <w:rsid w:val="002C49BC"/>
    <w:rsid w:val="002D04C0"/>
    <w:rsid w:val="002D77E4"/>
    <w:rsid w:val="002E4DE3"/>
    <w:rsid w:val="002E76C6"/>
    <w:rsid w:val="00305C2F"/>
    <w:rsid w:val="0031650D"/>
    <w:rsid w:val="00320337"/>
    <w:rsid w:val="003231CE"/>
    <w:rsid w:val="00326496"/>
    <w:rsid w:val="00326A2D"/>
    <w:rsid w:val="003303B6"/>
    <w:rsid w:val="00331667"/>
    <w:rsid w:val="00340D6C"/>
    <w:rsid w:val="003420C2"/>
    <w:rsid w:val="0035159D"/>
    <w:rsid w:val="003615B9"/>
    <w:rsid w:val="003626E1"/>
    <w:rsid w:val="003636E2"/>
    <w:rsid w:val="00377172"/>
    <w:rsid w:val="00380D2B"/>
    <w:rsid w:val="0038799D"/>
    <w:rsid w:val="00396ADD"/>
    <w:rsid w:val="00397E84"/>
    <w:rsid w:val="003A39B8"/>
    <w:rsid w:val="003C7A18"/>
    <w:rsid w:val="003D1231"/>
    <w:rsid w:val="003D5623"/>
    <w:rsid w:val="003D570F"/>
    <w:rsid w:val="003E0047"/>
    <w:rsid w:val="003E1AA1"/>
    <w:rsid w:val="003F1F57"/>
    <w:rsid w:val="003F796C"/>
    <w:rsid w:val="004016AE"/>
    <w:rsid w:val="00413E80"/>
    <w:rsid w:val="004234D3"/>
    <w:rsid w:val="00430426"/>
    <w:rsid w:val="004341B0"/>
    <w:rsid w:val="004438BB"/>
    <w:rsid w:val="004478B6"/>
    <w:rsid w:val="00450016"/>
    <w:rsid w:val="00452214"/>
    <w:rsid w:val="00472B3D"/>
    <w:rsid w:val="00476581"/>
    <w:rsid w:val="00491D9B"/>
    <w:rsid w:val="004B21F8"/>
    <w:rsid w:val="004B25B8"/>
    <w:rsid w:val="004F10CC"/>
    <w:rsid w:val="004F4A67"/>
    <w:rsid w:val="005241C5"/>
    <w:rsid w:val="00532A78"/>
    <w:rsid w:val="00544472"/>
    <w:rsid w:val="00551A48"/>
    <w:rsid w:val="005574B5"/>
    <w:rsid w:val="00570C88"/>
    <w:rsid w:val="00580140"/>
    <w:rsid w:val="005802DC"/>
    <w:rsid w:val="00580EEC"/>
    <w:rsid w:val="0058774C"/>
    <w:rsid w:val="00591F4F"/>
    <w:rsid w:val="005A0161"/>
    <w:rsid w:val="005B77D9"/>
    <w:rsid w:val="005C25F3"/>
    <w:rsid w:val="005C5009"/>
    <w:rsid w:val="005C6058"/>
    <w:rsid w:val="005E16CF"/>
    <w:rsid w:val="005E635D"/>
    <w:rsid w:val="005F415D"/>
    <w:rsid w:val="005F5B38"/>
    <w:rsid w:val="005F6AEA"/>
    <w:rsid w:val="00600074"/>
    <w:rsid w:val="00606B41"/>
    <w:rsid w:val="00626422"/>
    <w:rsid w:val="0063481F"/>
    <w:rsid w:val="00644A42"/>
    <w:rsid w:val="0066173A"/>
    <w:rsid w:val="0066427C"/>
    <w:rsid w:val="00666908"/>
    <w:rsid w:val="00667E30"/>
    <w:rsid w:val="00671446"/>
    <w:rsid w:val="006747B2"/>
    <w:rsid w:val="00685B94"/>
    <w:rsid w:val="00692785"/>
    <w:rsid w:val="00692B09"/>
    <w:rsid w:val="006949DE"/>
    <w:rsid w:val="006B2202"/>
    <w:rsid w:val="006B6E46"/>
    <w:rsid w:val="006C7551"/>
    <w:rsid w:val="006D140B"/>
    <w:rsid w:val="006D4651"/>
    <w:rsid w:val="006E15CE"/>
    <w:rsid w:val="006E1EDD"/>
    <w:rsid w:val="006E3BFA"/>
    <w:rsid w:val="006E4D38"/>
    <w:rsid w:val="006E66F5"/>
    <w:rsid w:val="006F4173"/>
    <w:rsid w:val="006F534D"/>
    <w:rsid w:val="006F61EE"/>
    <w:rsid w:val="00703BDD"/>
    <w:rsid w:val="00711828"/>
    <w:rsid w:val="00711F11"/>
    <w:rsid w:val="0073057C"/>
    <w:rsid w:val="00730788"/>
    <w:rsid w:val="00730915"/>
    <w:rsid w:val="00735E24"/>
    <w:rsid w:val="007361C8"/>
    <w:rsid w:val="00737D09"/>
    <w:rsid w:val="00737FEB"/>
    <w:rsid w:val="007437FC"/>
    <w:rsid w:val="00746054"/>
    <w:rsid w:val="00763548"/>
    <w:rsid w:val="0076619A"/>
    <w:rsid w:val="00782103"/>
    <w:rsid w:val="007929A6"/>
    <w:rsid w:val="007A25DB"/>
    <w:rsid w:val="007D654C"/>
    <w:rsid w:val="007D7380"/>
    <w:rsid w:val="007D7F25"/>
    <w:rsid w:val="007E04A3"/>
    <w:rsid w:val="007F0D5D"/>
    <w:rsid w:val="007F255B"/>
    <w:rsid w:val="007F4202"/>
    <w:rsid w:val="007F7C02"/>
    <w:rsid w:val="0081719F"/>
    <w:rsid w:val="0082442A"/>
    <w:rsid w:val="008255B6"/>
    <w:rsid w:val="00834B8D"/>
    <w:rsid w:val="00843E80"/>
    <w:rsid w:val="00845F7A"/>
    <w:rsid w:val="008628A2"/>
    <w:rsid w:val="00877A25"/>
    <w:rsid w:val="0089434A"/>
    <w:rsid w:val="008A13B4"/>
    <w:rsid w:val="008A536C"/>
    <w:rsid w:val="008B6476"/>
    <w:rsid w:val="008C7D17"/>
    <w:rsid w:val="008D2DCC"/>
    <w:rsid w:val="008D3E9A"/>
    <w:rsid w:val="008D4801"/>
    <w:rsid w:val="008F2BBE"/>
    <w:rsid w:val="008F771A"/>
    <w:rsid w:val="00907184"/>
    <w:rsid w:val="00911049"/>
    <w:rsid w:val="00911387"/>
    <w:rsid w:val="00911F2D"/>
    <w:rsid w:val="00915537"/>
    <w:rsid w:val="00927BF8"/>
    <w:rsid w:val="009301B1"/>
    <w:rsid w:val="009313C7"/>
    <w:rsid w:val="009327FA"/>
    <w:rsid w:val="0096068D"/>
    <w:rsid w:val="00961A58"/>
    <w:rsid w:val="009651EC"/>
    <w:rsid w:val="00971FAD"/>
    <w:rsid w:val="00972410"/>
    <w:rsid w:val="00984FED"/>
    <w:rsid w:val="00987622"/>
    <w:rsid w:val="009979A5"/>
    <w:rsid w:val="009A11C0"/>
    <w:rsid w:val="009A4A35"/>
    <w:rsid w:val="009A73B4"/>
    <w:rsid w:val="009C684A"/>
    <w:rsid w:val="009C7419"/>
    <w:rsid w:val="009D680F"/>
    <w:rsid w:val="009E5AC2"/>
    <w:rsid w:val="009E5F22"/>
    <w:rsid w:val="009F406B"/>
    <w:rsid w:val="00A04BAC"/>
    <w:rsid w:val="00A05F74"/>
    <w:rsid w:val="00A11399"/>
    <w:rsid w:val="00A117A9"/>
    <w:rsid w:val="00A178EB"/>
    <w:rsid w:val="00A25C89"/>
    <w:rsid w:val="00A26445"/>
    <w:rsid w:val="00A27F08"/>
    <w:rsid w:val="00A31D3A"/>
    <w:rsid w:val="00A37EE5"/>
    <w:rsid w:val="00A5231E"/>
    <w:rsid w:val="00A547E5"/>
    <w:rsid w:val="00A55742"/>
    <w:rsid w:val="00A55937"/>
    <w:rsid w:val="00A65048"/>
    <w:rsid w:val="00A74767"/>
    <w:rsid w:val="00A85DB4"/>
    <w:rsid w:val="00A96D70"/>
    <w:rsid w:val="00AA22F5"/>
    <w:rsid w:val="00AC05AB"/>
    <w:rsid w:val="00AF1465"/>
    <w:rsid w:val="00AF14BF"/>
    <w:rsid w:val="00AF29CC"/>
    <w:rsid w:val="00AF7A16"/>
    <w:rsid w:val="00B05B41"/>
    <w:rsid w:val="00B07A3D"/>
    <w:rsid w:val="00B30DBC"/>
    <w:rsid w:val="00B33F11"/>
    <w:rsid w:val="00B35B6D"/>
    <w:rsid w:val="00B54826"/>
    <w:rsid w:val="00B5502C"/>
    <w:rsid w:val="00B563F0"/>
    <w:rsid w:val="00B57666"/>
    <w:rsid w:val="00B62634"/>
    <w:rsid w:val="00B654A0"/>
    <w:rsid w:val="00B67AF1"/>
    <w:rsid w:val="00B757AE"/>
    <w:rsid w:val="00B76285"/>
    <w:rsid w:val="00B94589"/>
    <w:rsid w:val="00B96F82"/>
    <w:rsid w:val="00BA1DD1"/>
    <w:rsid w:val="00BD7F96"/>
    <w:rsid w:val="00BE33A8"/>
    <w:rsid w:val="00BE3B18"/>
    <w:rsid w:val="00BE3F0C"/>
    <w:rsid w:val="00BE5E89"/>
    <w:rsid w:val="00BE6829"/>
    <w:rsid w:val="00BF5280"/>
    <w:rsid w:val="00BF737C"/>
    <w:rsid w:val="00C00784"/>
    <w:rsid w:val="00C01FCA"/>
    <w:rsid w:val="00C03EAA"/>
    <w:rsid w:val="00C04E9E"/>
    <w:rsid w:val="00C04FE3"/>
    <w:rsid w:val="00C0530B"/>
    <w:rsid w:val="00C17C83"/>
    <w:rsid w:val="00C17E91"/>
    <w:rsid w:val="00C2344D"/>
    <w:rsid w:val="00C31812"/>
    <w:rsid w:val="00C36840"/>
    <w:rsid w:val="00C4431B"/>
    <w:rsid w:val="00C5543F"/>
    <w:rsid w:val="00C624E8"/>
    <w:rsid w:val="00C67B75"/>
    <w:rsid w:val="00C76949"/>
    <w:rsid w:val="00C81CE0"/>
    <w:rsid w:val="00C84144"/>
    <w:rsid w:val="00CA50DF"/>
    <w:rsid w:val="00CA663E"/>
    <w:rsid w:val="00CB023F"/>
    <w:rsid w:val="00CB1EAB"/>
    <w:rsid w:val="00CB54E0"/>
    <w:rsid w:val="00CC2940"/>
    <w:rsid w:val="00CC3C9B"/>
    <w:rsid w:val="00CC486F"/>
    <w:rsid w:val="00CC6B71"/>
    <w:rsid w:val="00CD2EB4"/>
    <w:rsid w:val="00CD7902"/>
    <w:rsid w:val="00CE1703"/>
    <w:rsid w:val="00CE3605"/>
    <w:rsid w:val="00CE50B6"/>
    <w:rsid w:val="00CF3DE9"/>
    <w:rsid w:val="00CF7E86"/>
    <w:rsid w:val="00D02702"/>
    <w:rsid w:val="00D02E9D"/>
    <w:rsid w:val="00D3358C"/>
    <w:rsid w:val="00D402AB"/>
    <w:rsid w:val="00D52C23"/>
    <w:rsid w:val="00D558E5"/>
    <w:rsid w:val="00D608DA"/>
    <w:rsid w:val="00D63439"/>
    <w:rsid w:val="00D713A1"/>
    <w:rsid w:val="00D73B35"/>
    <w:rsid w:val="00D749EB"/>
    <w:rsid w:val="00D87B8E"/>
    <w:rsid w:val="00DA02F3"/>
    <w:rsid w:val="00DA366C"/>
    <w:rsid w:val="00DA604C"/>
    <w:rsid w:val="00DB1D48"/>
    <w:rsid w:val="00DB3FB9"/>
    <w:rsid w:val="00DC17E2"/>
    <w:rsid w:val="00DC7EDB"/>
    <w:rsid w:val="00DD0391"/>
    <w:rsid w:val="00DD4AFB"/>
    <w:rsid w:val="00DE14E5"/>
    <w:rsid w:val="00DE7978"/>
    <w:rsid w:val="00DF2A56"/>
    <w:rsid w:val="00DF2F54"/>
    <w:rsid w:val="00E1286B"/>
    <w:rsid w:val="00E20D65"/>
    <w:rsid w:val="00E224B7"/>
    <w:rsid w:val="00E2259C"/>
    <w:rsid w:val="00E25C12"/>
    <w:rsid w:val="00E3281C"/>
    <w:rsid w:val="00E50987"/>
    <w:rsid w:val="00E60DC6"/>
    <w:rsid w:val="00E60FA3"/>
    <w:rsid w:val="00E64EC0"/>
    <w:rsid w:val="00E658CB"/>
    <w:rsid w:val="00E67793"/>
    <w:rsid w:val="00E72A13"/>
    <w:rsid w:val="00E97D32"/>
    <w:rsid w:val="00EC09E0"/>
    <w:rsid w:val="00EC2C34"/>
    <w:rsid w:val="00EC3A24"/>
    <w:rsid w:val="00EC5D02"/>
    <w:rsid w:val="00ED355D"/>
    <w:rsid w:val="00ED6500"/>
    <w:rsid w:val="00EE20AD"/>
    <w:rsid w:val="00EF35DD"/>
    <w:rsid w:val="00EF4B10"/>
    <w:rsid w:val="00F00859"/>
    <w:rsid w:val="00F021EA"/>
    <w:rsid w:val="00F021F2"/>
    <w:rsid w:val="00F039FF"/>
    <w:rsid w:val="00F055AB"/>
    <w:rsid w:val="00F124E7"/>
    <w:rsid w:val="00F14D0E"/>
    <w:rsid w:val="00F15101"/>
    <w:rsid w:val="00F17EF1"/>
    <w:rsid w:val="00F23893"/>
    <w:rsid w:val="00F24D3E"/>
    <w:rsid w:val="00F25543"/>
    <w:rsid w:val="00F300C1"/>
    <w:rsid w:val="00F3186D"/>
    <w:rsid w:val="00F3439D"/>
    <w:rsid w:val="00F36C40"/>
    <w:rsid w:val="00F4443F"/>
    <w:rsid w:val="00F46123"/>
    <w:rsid w:val="00F46D87"/>
    <w:rsid w:val="00F47426"/>
    <w:rsid w:val="00F5737B"/>
    <w:rsid w:val="00F62B52"/>
    <w:rsid w:val="00F72F00"/>
    <w:rsid w:val="00F77BED"/>
    <w:rsid w:val="00F8210B"/>
    <w:rsid w:val="00F82C17"/>
    <w:rsid w:val="00F84CD4"/>
    <w:rsid w:val="00F8776F"/>
    <w:rsid w:val="00F87F2B"/>
    <w:rsid w:val="00F9067C"/>
    <w:rsid w:val="00F923B3"/>
    <w:rsid w:val="00F939BE"/>
    <w:rsid w:val="00FA0871"/>
    <w:rsid w:val="00FA2D5D"/>
    <w:rsid w:val="00FA6F96"/>
    <w:rsid w:val="00FB0807"/>
    <w:rsid w:val="00FB1892"/>
    <w:rsid w:val="00FB1FF8"/>
    <w:rsid w:val="00FB692D"/>
    <w:rsid w:val="00FC7AB5"/>
    <w:rsid w:val="00FD2891"/>
    <w:rsid w:val="00FD5A05"/>
    <w:rsid w:val="00FE24F1"/>
    <w:rsid w:val="00FF64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B7C8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7229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551A48"/>
    <w:pPr>
      <w:spacing w:after="200" w:line="276" w:lineRule="auto"/>
      <w:ind w:left="720"/>
      <w:contextualSpacing/>
    </w:pPr>
  </w:style>
  <w:style w:type="character" w:customStyle="1" w:styleId="AkapitzlistZnak">
    <w:name w:val="Akapit z listą Znak"/>
    <w:link w:val="Akapitzlist"/>
    <w:uiPriority w:val="34"/>
    <w:rsid w:val="00551A48"/>
  </w:style>
  <w:style w:type="paragraph" w:styleId="Tekstprzypisudolnego">
    <w:name w:val="footnote text"/>
    <w:basedOn w:val="Normalny"/>
    <w:link w:val="TekstprzypisudolnegoZnak"/>
    <w:uiPriority w:val="99"/>
    <w:unhideWhenUsed/>
    <w:rsid w:val="006949D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6949DE"/>
    <w:rPr>
      <w:sz w:val="20"/>
      <w:szCs w:val="20"/>
    </w:rPr>
  </w:style>
  <w:style w:type="character" w:styleId="Odwoanieprzypisudolnego">
    <w:name w:val="footnote reference"/>
    <w:aliases w:val="przypisy dolne,Footnote Reference Number,Footnote reference number,Footnote symbol,note TESI,SUPERS,EN Footnote Reference,Appel note de bas de p,Nota,Footnote Reference/,BVI fnr, BVI fnr,Footnote Reference Superscript,FZ,Char1"/>
    <w:basedOn w:val="Domylnaczcionkaakapitu"/>
    <w:link w:val="Times10Point"/>
    <w:uiPriority w:val="99"/>
    <w:unhideWhenUsed/>
    <w:qFormat/>
    <w:rsid w:val="006949DE"/>
    <w:rPr>
      <w:vertAlign w:val="superscript"/>
    </w:rPr>
  </w:style>
  <w:style w:type="character" w:styleId="Odwoaniedokomentarza">
    <w:name w:val="annotation reference"/>
    <w:uiPriority w:val="99"/>
    <w:semiHidden/>
    <w:unhideWhenUsed/>
    <w:rsid w:val="00C624E8"/>
    <w:rPr>
      <w:sz w:val="16"/>
      <w:szCs w:val="16"/>
    </w:rPr>
  </w:style>
  <w:style w:type="paragraph" w:styleId="Tekstkomentarza">
    <w:name w:val="annotation text"/>
    <w:basedOn w:val="Normalny"/>
    <w:link w:val="TekstkomentarzaZnak"/>
    <w:uiPriority w:val="99"/>
    <w:unhideWhenUsed/>
    <w:rsid w:val="00C624E8"/>
    <w:pPr>
      <w:spacing w:after="0" w:line="276" w:lineRule="auto"/>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rsid w:val="00C624E8"/>
    <w:rPr>
      <w:rFonts w:ascii="Calibri" w:eastAsia="Calibri" w:hAnsi="Calibri" w:cs="Times New Roman"/>
      <w:sz w:val="20"/>
      <w:szCs w:val="20"/>
    </w:rPr>
  </w:style>
  <w:style w:type="paragraph" w:customStyle="1" w:styleId="Default">
    <w:name w:val="Default"/>
    <w:rsid w:val="001400A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styleId="NormalnyWeb">
    <w:name w:val="Normal (Web)"/>
    <w:basedOn w:val="Normalny"/>
    <w:uiPriority w:val="99"/>
    <w:semiHidden/>
    <w:unhideWhenUsed/>
    <w:rsid w:val="000C6AD3"/>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uiPriority w:val="99"/>
    <w:semiHidden/>
    <w:unhideWhenUsed/>
    <w:rsid w:val="004B25B8"/>
    <w:pPr>
      <w:spacing w:after="160" w:line="240" w:lineRule="auto"/>
    </w:pPr>
    <w:rPr>
      <w:rFonts w:asciiTheme="minorHAnsi" w:eastAsiaTheme="minorHAnsi" w:hAnsiTheme="minorHAnsi" w:cstheme="minorBidi"/>
      <w:b/>
      <w:bCs/>
    </w:rPr>
  </w:style>
  <w:style w:type="character" w:customStyle="1" w:styleId="TematkomentarzaZnak">
    <w:name w:val="Temat komentarza Znak"/>
    <w:basedOn w:val="TekstkomentarzaZnak"/>
    <w:link w:val="Tematkomentarza"/>
    <w:uiPriority w:val="99"/>
    <w:semiHidden/>
    <w:rsid w:val="004B25B8"/>
    <w:rPr>
      <w:rFonts w:ascii="Calibri" w:eastAsia="Calibri" w:hAnsi="Calibri" w:cs="Times New Roman"/>
      <w:b/>
      <w:bCs/>
      <w:sz w:val="20"/>
      <w:szCs w:val="20"/>
    </w:rPr>
  </w:style>
  <w:style w:type="paragraph" w:customStyle="1" w:styleId="TekstpismaMFodstep12">
    <w:name w:val="Tekst pisma MF odstep 12"/>
    <w:basedOn w:val="Normalny"/>
    <w:rsid w:val="001D70CC"/>
    <w:pPr>
      <w:spacing w:before="240" w:after="0" w:line="260" w:lineRule="exact"/>
    </w:pPr>
    <w:rPr>
      <w:rFonts w:ascii="Lato" w:eastAsia="Lato" w:hAnsi="Lato" w:cs="Times New Roman"/>
    </w:rPr>
  </w:style>
  <w:style w:type="paragraph" w:customStyle="1" w:styleId="Times10Point">
    <w:name w:val="Times 10 Point"/>
    <w:aliases w:val="2001+ Fußnotenzeichen,Exposant 3 Point,Odwołanie przypisu,Ref,de nota al pie,footnote ref,number"/>
    <w:basedOn w:val="Normalny"/>
    <w:link w:val="Odwoanieprzypisudolnego"/>
    <w:uiPriority w:val="99"/>
    <w:rsid w:val="004F4A67"/>
    <w:pPr>
      <w:keepNext/>
      <w:keepLines/>
      <w:spacing w:before="240" w:after="120" w:line="240" w:lineRule="exact"/>
      <w:jc w:val="both"/>
      <w:outlineLvl w:val="3"/>
    </w:pPr>
    <w:rPr>
      <w:vertAlign w:val="superscript"/>
    </w:rPr>
  </w:style>
  <w:style w:type="character" w:customStyle="1" w:styleId="hgkelc">
    <w:name w:val="hgkelc"/>
    <w:basedOn w:val="Domylnaczcionkaakapitu"/>
    <w:rsid w:val="0020743A"/>
  </w:style>
  <w:style w:type="character" w:styleId="Hipercze">
    <w:name w:val="Hyperlink"/>
    <w:basedOn w:val="Domylnaczcionkaakapitu"/>
    <w:uiPriority w:val="99"/>
    <w:unhideWhenUsed/>
    <w:rsid w:val="00397E84"/>
    <w:rPr>
      <w:color w:val="0563C1" w:themeColor="hyperlink"/>
      <w:u w:val="single"/>
    </w:rPr>
  </w:style>
  <w:style w:type="character" w:styleId="Nierozpoznanawzmianka">
    <w:name w:val="Unresolved Mention"/>
    <w:basedOn w:val="Domylnaczcionkaakapitu"/>
    <w:uiPriority w:val="99"/>
    <w:semiHidden/>
    <w:unhideWhenUsed/>
    <w:rsid w:val="00397E84"/>
    <w:rPr>
      <w:color w:val="605E5C"/>
      <w:shd w:val="clear" w:color="auto" w:fill="E1DFDD"/>
    </w:rPr>
  </w:style>
  <w:style w:type="paragraph" w:styleId="Nagwek">
    <w:name w:val="header"/>
    <w:basedOn w:val="Normalny"/>
    <w:link w:val="NagwekZnak"/>
    <w:uiPriority w:val="99"/>
    <w:unhideWhenUsed/>
    <w:rsid w:val="00CF7E8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F7E86"/>
  </w:style>
  <w:style w:type="paragraph" w:styleId="Stopka">
    <w:name w:val="footer"/>
    <w:basedOn w:val="Normalny"/>
    <w:link w:val="StopkaZnak"/>
    <w:uiPriority w:val="99"/>
    <w:unhideWhenUsed/>
    <w:rsid w:val="00CF7E8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F7E86"/>
  </w:style>
  <w:style w:type="paragraph" w:styleId="Tekstprzypisukocowego">
    <w:name w:val="endnote text"/>
    <w:basedOn w:val="Normalny"/>
    <w:link w:val="TekstprzypisukocowegoZnak"/>
    <w:uiPriority w:val="99"/>
    <w:semiHidden/>
    <w:unhideWhenUsed/>
    <w:rsid w:val="001F4DD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F4DD9"/>
    <w:rPr>
      <w:sz w:val="20"/>
      <w:szCs w:val="20"/>
    </w:rPr>
  </w:style>
  <w:style w:type="character" w:styleId="Odwoanieprzypisukocowego">
    <w:name w:val="endnote reference"/>
    <w:basedOn w:val="Domylnaczcionkaakapitu"/>
    <w:uiPriority w:val="99"/>
    <w:semiHidden/>
    <w:unhideWhenUsed/>
    <w:rsid w:val="001F4DD9"/>
    <w:rPr>
      <w:vertAlign w:val="superscript"/>
    </w:rPr>
  </w:style>
  <w:style w:type="paragraph" w:styleId="Poprawka">
    <w:name w:val="Revision"/>
    <w:hidden/>
    <w:uiPriority w:val="99"/>
    <w:semiHidden/>
    <w:rsid w:val="004234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38939">
      <w:bodyDiv w:val="1"/>
      <w:marLeft w:val="0"/>
      <w:marRight w:val="0"/>
      <w:marTop w:val="0"/>
      <w:marBottom w:val="0"/>
      <w:divBdr>
        <w:top w:val="none" w:sz="0" w:space="0" w:color="auto"/>
        <w:left w:val="none" w:sz="0" w:space="0" w:color="auto"/>
        <w:bottom w:val="none" w:sz="0" w:space="0" w:color="auto"/>
        <w:right w:val="none" w:sz="0" w:space="0" w:color="auto"/>
      </w:divBdr>
      <w:divsChild>
        <w:div w:id="1612737357">
          <w:marLeft w:val="0"/>
          <w:marRight w:val="0"/>
          <w:marTop w:val="0"/>
          <w:marBottom w:val="0"/>
          <w:divBdr>
            <w:top w:val="none" w:sz="0" w:space="0" w:color="auto"/>
            <w:left w:val="none" w:sz="0" w:space="0" w:color="auto"/>
            <w:bottom w:val="none" w:sz="0" w:space="0" w:color="auto"/>
            <w:right w:val="none" w:sz="0" w:space="0" w:color="auto"/>
          </w:divBdr>
        </w:div>
      </w:divsChild>
    </w:div>
    <w:div w:id="94592988">
      <w:bodyDiv w:val="1"/>
      <w:marLeft w:val="0"/>
      <w:marRight w:val="0"/>
      <w:marTop w:val="0"/>
      <w:marBottom w:val="0"/>
      <w:divBdr>
        <w:top w:val="none" w:sz="0" w:space="0" w:color="auto"/>
        <w:left w:val="none" w:sz="0" w:space="0" w:color="auto"/>
        <w:bottom w:val="none" w:sz="0" w:space="0" w:color="auto"/>
        <w:right w:val="none" w:sz="0" w:space="0" w:color="auto"/>
      </w:divBdr>
      <w:divsChild>
        <w:div w:id="1539393234">
          <w:marLeft w:val="0"/>
          <w:marRight w:val="0"/>
          <w:marTop w:val="0"/>
          <w:marBottom w:val="0"/>
          <w:divBdr>
            <w:top w:val="none" w:sz="0" w:space="0" w:color="auto"/>
            <w:left w:val="none" w:sz="0" w:space="0" w:color="auto"/>
            <w:bottom w:val="none" w:sz="0" w:space="0" w:color="auto"/>
            <w:right w:val="none" w:sz="0" w:space="0" w:color="auto"/>
          </w:divBdr>
        </w:div>
      </w:divsChild>
    </w:div>
    <w:div w:id="198127931">
      <w:bodyDiv w:val="1"/>
      <w:marLeft w:val="0"/>
      <w:marRight w:val="0"/>
      <w:marTop w:val="0"/>
      <w:marBottom w:val="0"/>
      <w:divBdr>
        <w:top w:val="none" w:sz="0" w:space="0" w:color="auto"/>
        <w:left w:val="none" w:sz="0" w:space="0" w:color="auto"/>
        <w:bottom w:val="none" w:sz="0" w:space="0" w:color="auto"/>
        <w:right w:val="none" w:sz="0" w:space="0" w:color="auto"/>
      </w:divBdr>
      <w:divsChild>
        <w:div w:id="1045643559">
          <w:marLeft w:val="0"/>
          <w:marRight w:val="0"/>
          <w:marTop w:val="0"/>
          <w:marBottom w:val="0"/>
          <w:divBdr>
            <w:top w:val="none" w:sz="0" w:space="0" w:color="auto"/>
            <w:left w:val="none" w:sz="0" w:space="0" w:color="auto"/>
            <w:bottom w:val="none" w:sz="0" w:space="0" w:color="auto"/>
            <w:right w:val="none" w:sz="0" w:space="0" w:color="auto"/>
          </w:divBdr>
        </w:div>
      </w:divsChild>
    </w:div>
    <w:div w:id="214046849">
      <w:bodyDiv w:val="1"/>
      <w:marLeft w:val="0"/>
      <w:marRight w:val="0"/>
      <w:marTop w:val="0"/>
      <w:marBottom w:val="0"/>
      <w:divBdr>
        <w:top w:val="none" w:sz="0" w:space="0" w:color="auto"/>
        <w:left w:val="none" w:sz="0" w:space="0" w:color="auto"/>
        <w:bottom w:val="none" w:sz="0" w:space="0" w:color="auto"/>
        <w:right w:val="none" w:sz="0" w:space="0" w:color="auto"/>
      </w:divBdr>
      <w:divsChild>
        <w:div w:id="160779076">
          <w:marLeft w:val="0"/>
          <w:marRight w:val="0"/>
          <w:marTop w:val="0"/>
          <w:marBottom w:val="0"/>
          <w:divBdr>
            <w:top w:val="none" w:sz="0" w:space="0" w:color="auto"/>
            <w:left w:val="none" w:sz="0" w:space="0" w:color="auto"/>
            <w:bottom w:val="none" w:sz="0" w:space="0" w:color="auto"/>
            <w:right w:val="none" w:sz="0" w:space="0" w:color="auto"/>
          </w:divBdr>
        </w:div>
      </w:divsChild>
    </w:div>
    <w:div w:id="222374969">
      <w:bodyDiv w:val="1"/>
      <w:marLeft w:val="0"/>
      <w:marRight w:val="0"/>
      <w:marTop w:val="0"/>
      <w:marBottom w:val="0"/>
      <w:divBdr>
        <w:top w:val="none" w:sz="0" w:space="0" w:color="auto"/>
        <w:left w:val="none" w:sz="0" w:space="0" w:color="auto"/>
        <w:bottom w:val="none" w:sz="0" w:space="0" w:color="auto"/>
        <w:right w:val="none" w:sz="0" w:space="0" w:color="auto"/>
      </w:divBdr>
      <w:divsChild>
        <w:div w:id="1083263979">
          <w:marLeft w:val="0"/>
          <w:marRight w:val="0"/>
          <w:marTop w:val="0"/>
          <w:marBottom w:val="0"/>
          <w:divBdr>
            <w:top w:val="none" w:sz="0" w:space="0" w:color="auto"/>
            <w:left w:val="none" w:sz="0" w:space="0" w:color="auto"/>
            <w:bottom w:val="none" w:sz="0" w:space="0" w:color="auto"/>
            <w:right w:val="none" w:sz="0" w:space="0" w:color="auto"/>
          </w:divBdr>
        </w:div>
      </w:divsChild>
    </w:div>
    <w:div w:id="332806807">
      <w:bodyDiv w:val="1"/>
      <w:marLeft w:val="0"/>
      <w:marRight w:val="0"/>
      <w:marTop w:val="0"/>
      <w:marBottom w:val="0"/>
      <w:divBdr>
        <w:top w:val="none" w:sz="0" w:space="0" w:color="auto"/>
        <w:left w:val="none" w:sz="0" w:space="0" w:color="auto"/>
        <w:bottom w:val="none" w:sz="0" w:space="0" w:color="auto"/>
        <w:right w:val="none" w:sz="0" w:space="0" w:color="auto"/>
      </w:divBdr>
      <w:divsChild>
        <w:div w:id="874394414">
          <w:marLeft w:val="0"/>
          <w:marRight w:val="0"/>
          <w:marTop w:val="0"/>
          <w:marBottom w:val="0"/>
          <w:divBdr>
            <w:top w:val="none" w:sz="0" w:space="0" w:color="auto"/>
            <w:left w:val="none" w:sz="0" w:space="0" w:color="auto"/>
            <w:bottom w:val="none" w:sz="0" w:space="0" w:color="auto"/>
            <w:right w:val="none" w:sz="0" w:space="0" w:color="auto"/>
          </w:divBdr>
          <w:divsChild>
            <w:div w:id="434712365">
              <w:marLeft w:val="0"/>
              <w:marRight w:val="0"/>
              <w:marTop w:val="0"/>
              <w:marBottom w:val="0"/>
              <w:divBdr>
                <w:top w:val="none" w:sz="0" w:space="0" w:color="auto"/>
                <w:left w:val="none" w:sz="0" w:space="0" w:color="auto"/>
                <w:bottom w:val="none" w:sz="0" w:space="0" w:color="auto"/>
                <w:right w:val="none" w:sz="0" w:space="0" w:color="auto"/>
              </w:divBdr>
            </w:div>
            <w:div w:id="2045907384">
              <w:marLeft w:val="0"/>
              <w:marRight w:val="0"/>
              <w:marTop w:val="0"/>
              <w:marBottom w:val="0"/>
              <w:divBdr>
                <w:top w:val="none" w:sz="0" w:space="0" w:color="auto"/>
                <w:left w:val="none" w:sz="0" w:space="0" w:color="auto"/>
                <w:bottom w:val="none" w:sz="0" w:space="0" w:color="auto"/>
                <w:right w:val="none" w:sz="0" w:space="0" w:color="auto"/>
              </w:divBdr>
            </w:div>
            <w:div w:id="1336811247">
              <w:marLeft w:val="0"/>
              <w:marRight w:val="0"/>
              <w:marTop w:val="0"/>
              <w:marBottom w:val="0"/>
              <w:divBdr>
                <w:top w:val="none" w:sz="0" w:space="0" w:color="auto"/>
                <w:left w:val="none" w:sz="0" w:space="0" w:color="auto"/>
                <w:bottom w:val="none" w:sz="0" w:space="0" w:color="auto"/>
                <w:right w:val="none" w:sz="0" w:space="0" w:color="auto"/>
              </w:divBdr>
            </w:div>
            <w:div w:id="1000884542">
              <w:marLeft w:val="0"/>
              <w:marRight w:val="0"/>
              <w:marTop w:val="0"/>
              <w:marBottom w:val="0"/>
              <w:divBdr>
                <w:top w:val="none" w:sz="0" w:space="0" w:color="auto"/>
                <w:left w:val="none" w:sz="0" w:space="0" w:color="auto"/>
                <w:bottom w:val="none" w:sz="0" w:space="0" w:color="auto"/>
                <w:right w:val="none" w:sz="0" w:space="0" w:color="auto"/>
              </w:divBdr>
            </w:div>
            <w:div w:id="1953439836">
              <w:marLeft w:val="0"/>
              <w:marRight w:val="0"/>
              <w:marTop w:val="0"/>
              <w:marBottom w:val="0"/>
              <w:divBdr>
                <w:top w:val="none" w:sz="0" w:space="0" w:color="auto"/>
                <w:left w:val="none" w:sz="0" w:space="0" w:color="auto"/>
                <w:bottom w:val="none" w:sz="0" w:space="0" w:color="auto"/>
                <w:right w:val="none" w:sz="0" w:space="0" w:color="auto"/>
              </w:divBdr>
            </w:div>
            <w:div w:id="150297135">
              <w:marLeft w:val="0"/>
              <w:marRight w:val="0"/>
              <w:marTop w:val="0"/>
              <w:marBottom w:val="0"/>
              <w:divBdr>
                <w:top w:val="none" w:sz="0" w:space="0" w:color="auto"/>
                <w:left w:val="none" w:sz="0" w:space="0" w:color="auto"/>
                <w:bottom w:val="none" w:sz="0" w:space="0" w:color="auto"/>
                <w:right w:val="none" w:sz="0" w:space="0" w:color="auto"/>
              </w:divBdr>
            </w:div>
            <w:div w:id="1623071723">
              <w:marLeft w:val="0"/>
              <w:marRight w:val="0"/>
              <w:marTop w:val="0"/>
              <w:marBottom w:val="0"/>
              <w:divBdr>
                <w:top w:val="none" w:sz="0" w:space="0" w:color="auto"/>
                <w:left w:val="none" w:sz="0" w:space="0" w:color="auto"/>
                <w:bottom w:val="none" w:sz="0" w:space="0" w:color="auto"/>
                <w:right w:val="none" w:sz="0" w:space="0" w:color="auto"/>
              </w:divBdr>
            </w:div>
            <w:div w:id="254821753">
              <w:marLeft w:val="0"/>
              <w:marRight w:val="0"/>
              <w:marTop w:val="0"/>
              <w:marBottom w:val="0"/>
              <w:divBdr>
                <w:top w:val="none" w:sz="0" w:space="0" w:color="auto"/>
                <w:left w:val="none" w:sz="0" w:space="0" w:color="auto"/>
                <w:bottom w:val="none" w:sz="0" w:space="0" w:color="auto"/>
                <w:right w:val="none" w:sz="0" w:space="0" w:color="auto"/>
              </w:divBdr>
            </w:div>
            <w:div w:id="149514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763785">
      <w:bodyDiv w:val="1"/>
      <w:marLeft w:val="0"/>
      <w:marRight w:val="0"/>
      <w:marTop w:val="0"/>
      <w:marBottom w:val="0"/>
      <w:divBdr>
        <w:top w:val="none" w:sz="0" w:space="0" w:color="auto"/>
        <w:left w:val="none" w:sz="0" w:space="0" w:color="auto"/>
        <w:bottom w:val="none" w:sz="0" w:space="0" w:color="auto"/>
        <w:right w:val="none" w:sz="0" w:space="0" w:color="auto"/>
      </w:divBdr>
      <w:divsChild>
        <w:div w:id="1303727043">
          <w:marLeft w:val="0"/>
          <w:marRight w:val="0"/>
          <w:marTop w:val="0"/>
          <w:marBottom w:val="0"/>
          <w:divBdr>
            <w:top w:val="none" w:sz="0" w:space="0" w:color="auto"/>
            <w:left w:val="none" w:sz="0" w:space="0" w:color="auto"/>
            <w:bottom w:val="none" w:sz="0" w:space="0" w:color="auto"/>
            <w:right w:val="none" w:sz="0" w:space="0" w:color="auto"/>
          </w:divBdr>
        </w:div>
      </w:divsChild>
    </w:div>
    <w:div w:id="450250111">
      <w:bodyDiv w:val="1"/>
      <w:marLeft w:val="0"/>
      <w:marRight w:val="0"/>
      <w:marTop w:val="0"/>
      <w:marBottom w:val="0"/>
      <w:divBdr>
        <w:top w:val="none" w:sz="0" w:space="0" w:color="auto"/>
        <w:left w:val="none" w:sz="0" w:space="0" w:color="auto"/>
        <w:bottom w:val="none" w:sz="0" w:space="0" w:color="auto"/>
        <w:right w:val="none" w:sz="0" w:space="0" w:color="auto"/>
      </w:divBdr>
      <w:divsChild>
        <w:div w:id="360397881">
          <w:marLeft w:val="0"/>
          <w:marRight w:val="0"/>
          <w:marTop w:val="0"/>
          <w:marBottom w:val="240"/>
          <w:divBdr>
            <w:top w:val="none" w:sz="0" w:space="0" w:color="auto"/>
            <w:left w:val="none" w:sz="0" w:space="0" w:color="auto"/>
            <w:bottom w:val="none" w:sz="0" w:space="0" w:color="auto"/>
            <w:right w:val="none" w:sz="0" w:space="0" w:color="auto"/>
          </w:divBdr>
        </w:div>
        <w:div w:id="2001500968">
          <w:marLeft w:val="0"/>
          <w:marRight w:val="0"/>
          <w:marTop w:val="360"/>
          <w:marBottom w:val="180"/>
          <w:divBdr>
            <w:top w:val="none" w:sz="0" w:space="0" w:color="auto"/>
            <w:left w:val="none" w:sz="0" w:space="0" w:color="auto"/>
            <w:bottom w:val="none" w:sz="0" w:space="0" w:color="auto"/>
            <w:right w:val="none" w:sz="0" w:space="0" w:color="auto"/>
          </w:divBdr>
        </w:div>
        <w:div w:id="1154907322">
          <w:marLeft w:val="0"/>
          <w:marRight w:val="0"/>
          <w:marTop w:val="0"/>
          <w:marBottom w:val="0"/>
          <w:divBdr>
            <w:top w:val="none" w:sz="0" w:space="0" w:color="auto"/>
            <w:left w:val="none" w:sz="0" w:space="0" w:color="auto"/>
            <w:bottom w:val="none" w:sz="0" w:space="0" w:color="auto"/>
            <w:right w:val="none" w:sz="0" w:space="0" w:color="auto"/>
          </w:divBdr>
          <w:divsChild>
            <w:div w:id="1832064273">
              <w:marLeft w:val="0"/>
              <w:marRight w:val="0"/>
              <w:marTop w:val="180"/>
              <w:marBottom w:val="240"/>
              <w:divBdr>
                <w:top w:val="none" w:sz="0" w:space="0" w:color="auto"/>
                <w:left w:val="none" w:sz="0" w:space="0" w:color="auto"/>
                <w:bottom w:val="none" w:sz="0" w:space="0" w:color="auto"/>
                <w:right w:val="none" w:sz="0" w:space="0" w:color="auto"/>
              </w:divBdr>
            </w:div>
          </w:divsChild>
        </w:div>
        <w:div w:id="904144477">
          <w:marLeft w:val="0"/>
          <w:marRight w:val="0"/>
          <w:marTop w:val="0"/>
          <w:marBottom w:val="0"/>
          <w:divBdr>
            <w:top w:val="none" w:sz="0" w:space="0" w:color="auto"/>
            <w:left w:val="none" w:sz="0" w:space="0" w:color="auto"/>
            <w:bottom w:val="none" w:sz="0" w:space="0" w:color="auto"/>
            <w:right w:val="none" w:sz="0" w:space="0" w:color="auto"/>
          </w:divBdr>
        </w:div>
        <w:div w:id="1086265627">
          <w:marLeft w:val="0"/>
          <w:marRight w:val="0"/>
          <w:marTop w:val="0"/>
          <w:marBottom w:val="0"/>
          <w:divBdr>
            <w:top w:val="none" w:sz="0" w:space="0" w:color="auto"/>
            <w:left w:val="none" w:sz="0" w:space="0" w:color="auto"/>
            <w:bottom w:val="none" w:sz="0" w:space="0" w:color="auto"/>
            <w:right w:val="none" w:sz="0" w:space="0" w:color="auto"/>
          </w:divBdr>
        </w:div>
        <w:div w:id="487016208">
          <w:marLeft w:val="0"/>
          <w:marRight w:val="0"/>
          <w:marTop w:val="0"/>
          <w:marBottom w:val="0"/>
          <w:divBdr>
            <w:top w:val="none" w:sz="0" w:space="0" w:color="auto"/>
            <w:left w:val="none" w:sz="0" w:space="0" w:color="auto"/>
            <w:bottom w:val="none" w:sz="0" w:space="0" w:color="auto"/>
            <w:right w:val="none" w:sz="0" w:space="0" w:color="auto"/>
          </w:divBdr>
        </w:div>
        <w:div w:id="1090465892">
          <w:marLeft w:val="0"/>
          <w:marRight w:val="0"/>
          <w:marTop w:val="0"/>
          <w:marBottom w:val="0"/>
          <w:divBdr>
            <w:top w:val="none" w:sz="0" w:space="0" w:color="auto"/>
            <w:left w:val="none" w:sz="0" w:space="0" w:color="auto"/>
            <w:bottom w:val="none" w:sz="0" w:space="0" w:color="auto"/>
            <w:right w:val="none" w:sz="0" w:space="0" w:color="auto"/>
          </w:divBdr>
          <w:divsChild>
            <w:div w:id="1519196790">
              <w:marLeft w:val="0"/>
              <w:marRight w:val="0"/>
              <w:marTop w:val="360"/>
              <w:marBottom w:val="180"/>
              <w:divBdr>
                <w:top w:val="none" w:sz="0" w:space="0" w:color="auto"/>
                <w:left w:val="none" w:sz="0" w:space="0" w:color="auto"/>
                <w:bottom w:val="none" w:sz="0" w:space="0" w:color="auto"/>
                <w:right w:val="none" w:sz="0" w:space="0" w:color="auto"/>
              </w:divBdr>
            </w:div>
          </w:divsChild>
        </w:div>
        <w:div w:id="351885113">
          <w:marLeft w:val="0"/>
          <w:marRight w:val="0"/>
          <w:marTop w:val="0"/>
          <w:marBottom w:val="0"/>
          <w:divBdr>
            <w:top w:val="none" w:sz="0" w:space="0" w:color="auto"/>
            <w:left w:val="none" w:sz="0" w:space="0" w:color="auto"/>
            <w:bottom w:val="none" w:sz="0" w:space="0" w:color="auto"/>
            <w:right w:val="none" w:sz="0" w:space="0" w:color="auto"/>
          </w:divBdr>
          <w:divsChild>
            <w:div w:id="1909270745">
              <w:marLeft w:val="0"/>
              <w:marRight w:val="0"/>
              <w:marTop w:val="180"/>
              <w:marBottom w:val="240"/>
              <w:divBdr>
                <w:top w:val="none" w:sz="0" w:space="0" w:color="auto"/>
                <w:left w:val="none" w:sz="0" w:space="0" w:color="auto"/>
                <w:bottom w:val="none" w:sz="0" w:space="0" w:color="auto"/>
                <w:right w:val="none" w:sz="0" w:space="0" w:color="auto"/>
              </w:divBdr>
            </w:div>
          </w:divsChild>
        </w:div>
        <w:div w:id="374306684">
          <w:marLeft w:val="0"/>
          <w:marRight w:val="0"/>
          <w:marTop w:val="0"/>
          <w:marBottom w:val="0"/>
          <w:divBdr>
            <w:top w:val="none" w:sz="0" w:space="0" w:color="auto"/>
            <w:left w:val="none" w:sz="0" w:space="0" w:color="auto"/>
            <w:bottom w:val="none" w:sz="0" w:space="0" w:color="auto"/>
            <w:right w:val="none" w:sz="0" w:space="0" w:color="auto"/>
          </w:divBdr>
        </w:div>
        <w:div w:id="2134863031">
          <w:marLeft w:val="0"/>
          <w:marRight w:val="0"/>
          <w:marTop w:val="0"/>
          <w:marBottom w:val="0"/>
          <w:divBdr>
            <w:top w:val="none" w:sz="0" w:space="0" w:color="auto"/>
            <w:left w:val="none" w:sz="0" w:space="0" w:color="auto"/>
            <w:bottom w:val="none" w:sz="0" w:space="0" w:color="auto"/>
            <w:right w:val="none" w:sz="0" w:space="0" w:color="auto"/>
          </w:divBdr>
        </w:div>
        <w:div w:id="1551184166">
          <w:marLeft w:val="0"/>
          <w:marRight w:val="0"/>
          <w:marTop w:val="0"/>
          <w:marBottom w:val="0"/>
          <w:divBdr>
            <w:top w:val="none" w:sz="0" w:space="0" w:color="auto"/>
            <w:left w:val="none" w:sz="0" w:space="0" w:color="auto"/>
            <w:bottom w:val="none" w:sz="0" w:space="0" w:color="auto"/>
            <w:right w:val="none" w:sz="0" w:space="0" w:color="auto"/>
          </w:divBdr>
        </w:div>
      </w:divsChild>
    </w:div>
    <w:div w:id="471093083">
      <w:bodyDiv w:val="1"/>
      <w:marLeft w:val="0"/>
      <w:marRight w:val="0"/>
      <w:marTop w:val="0"/>
      <w:marBottom w:val="0"/>
      <w:divBdr>
        <w:top w:val="none" w:sz="0" w:space="0" w:color="auto"/>
        <w:left w:val="none" w:sz="0" w:space="0" w:color="auto"/>
        <w:bottom w:val="none" w:sz="0" w:space="0" w:color="auto"/>
        <w:right w:val="none" w:sz="0" w:space="0" w:color="auto"/>
      </w:divBdr>
      <w:divsChild>
        <w:div w:id="1893615231">
          <w:marLeft w:val="0"/>
          <w:marRight w:val="0"/>
          <w:marTop w:val="0"/>
          <w:marBottom w:val="0"/>
          <w:divBdr>
            <w:top w:val="none" w:sz="0" w:space="0" w:color="auto"/>
            <w:left w:val="none" w:sz="0" w:space="0" w:color="auto"/>
            <w:bottom w:val="none" w:sz="0" w:space="0" w:color="auto"/>
            <w:right w:val="none" w:sz="0" w:space="0" w:color="auto"/>
          </w:divBdr>
        </w:div>
      </w:divsChild>
    </w:div>
    <w:div w:id="539514943">
      <w:bodyDiv w:val="1"/>
      <w:marLeft w:val="0"/>
      <w:marRight w:val="0"/>
      <w:marTop w:val="0"/>
      <w:marBottom w:val="0"/>
      <w:divBdr>
        <w:top w:val="none" w:sz="0" w:space="0" w:color="auto"/>
        <w:left w:val="none" w:sz="0" w:space="0" w:color="auto"/>
        <w:bottom w:val="none" w:sz="0" w:space="0" w:color="auto"/>
        <w:right w:val="none" w:sz="0" w:space="0" w:color="auto"/>
      </w:divBdr>
      <w:divsChild>
        <w:div w:id="1711564418">
          <w:marLeft w:val="0"/>
          <w:marRight w:val="0"/>
          <w:marTop w:val="0"/>
          <w:marBottom w:val="0"/>
          <w:divBdr>
            <w:top w:val="none" w:sz="0" w:space="0" w:color="auto"/>
            <w:left w:val="none" w:sz="0" w:space="0" w:color="auto"/>
            <w:bottom w:val="none" w:sz="0" w:space="0" w:color="auto"/>
            <w:right w:val="none" w:sz="0" w:space="0" w:color="auto"/>
          </w:divBdr>
        </w:div>
      </w:divsChild>
    </w:div>
    <w:div w:id="572854312">
      <w:bodyDiv w:val="1"/>
      <w:marLeft w:val="0"/>
      <w:marRight w:val="0"/>
      <w:marTop w:val="0"/>
      <w:marBottom w:val="0"/>
      <w:divBdr>
        <w:top w:val="none" w:sz="0" w:space="0" w:color="auto"/>
        <w:left w:val="none" w:sz="0" w:space="0" w:color="auto"/>
        <w:bottom w:val="none" w:sz="0" w:space="0" w:color="auto"/>
        <w:right w:val="none" w:sz="0" w:space="0" w:color="auto"/>
      </w:divBdr>
      <w:divsChild>
        <w:div w:id="2083483847">
          <w:marLeft w:val="0"/>
          <w:marRight w:val="0"/>
          <w:marTop w:val="0"/>
          <w:marBottom w:val="0"/>
          <w:divBdr>
            <w:top w:val="none" w:sz="0" w:space="0" w:color="auto"/>
            <w:left w:val="none" w:sz="0" w:space="0" w:color="auto"/>
            <w:bottom w:val="none" w:sz="0" w:space="0" w:color="auto"/>
            <w:right w:val="none" w:sz="0" w:space="0" w:color="auto"/>
          </w:divBdr>
        </w:div>
      </w:divsChild>
    </w:div>
    <w:div w:id="675814688">
      <w:bodyDiv w:val="1"/>
      <w:marLeft w:val="0"/>
      <w:marRight w:val="0"/>
      <w:marTop w:val="0"/>
      <w:marBottom w:val="0"/>
      <w:divBdr>
        <w:top w:val="none" w:sz="0" w:space="0" w:color="auto"/>
        <w:left w:val="none" w:sz="0" w:space="0" w:color="auto"/>
        <w:bottom w:val="none" w:sz="0" w:space="0" w:color="auto"/>
        <w:right w:val="none" w:sz="0" w:space="0" w:color="auto"/>
      </w:divBdr>
      <w:divsChild>
        <w:div w:id="1848474300">
          <w:marLeft w:val="0"/>
          <w:marRight w:val="0"/>
          <w:marTop w:val="0"/>
          <w:marBottom w:val="0"/>
          <w:divBdr>
            <w:top w:val="none" w:sz="0" w:space="0" w:color="auto"/>
            <w:left w:val="none" w:sz="0" w:space="0" w:color="auto"/>
            <w:bottom w:val="none" w:sz="0" w:space="0" w:color="auto"/>
            <w:right w:val="none" w:sz="0" w:space="0" w:color="auto"/>
          </w:divBdr>
        </w:div>
      </w:divsChild>
    </w:div>
    <w:div w:id="680282422">
      <w:bodyDiv w:val="1"/>
      <w:marLeft w:val="0"/>
      <w:marRight w:val="0"/>
      <w:marTop w:val="0"/>
      <w:marBottom w:val="0"/>
      <w:divBdr>
        <w:top w:val="none" w:sz="0" w:space="0" w:color="auto"/>
        <w:left w:val="none" w:sz="0" w:space="0" w:color="auto"/>
        <w:bottom w:val="none" w:sz="0" w:space="0" w:color="auto"/>
        <w:right w:val="none" w:sz="0" w:space="0" w:color="auto"/>
      </w:divBdr>
    </w:div>
    <w:div w:id="1145050153">
      <w:bodyDiv w:val="1"/>
      <w:marLeft w:val="0"/>
      <w:marRight w:val="0"/>
      <w:marTop w:val="0"/>
      <w:marBottom w:val="0"/>
      <w:divBdr>
        <w:top w:val="none" w:sz="0" w:space="0" w:color="auto"/>
        <w:left w:val="none" w:sz="0" w:space="0" w:color="auto"/>
        <w:bottom w:val="none" w:sz="0" w:space="0" w:color="auto"/>
        <w:right w:val="none" w:sz="0" w:space="0" w:color="auto"/>
      </w:divBdr>
    </w:div>
    <w:div w:id="1159731969">
      <w:bodyDiv w:val="1"/>
      <w:marLeft w:val="0"/>
      <w:marRight w:val="0"/>
      <w:marTop w:val="0"/>
      <w:marBottom w:val="0"/>
      <w:divBdr>
        <w:top w:val="none" w:sz="0" w:space="0" w:color="auto"/>
        <w:left w:val="none" w:sz="0" w:space="0" w:color="auto"/>
        <w:bottom w:val="none" w:sz="0" w:space="0" w:color="auto"/>
        <w:right w:val="none" w:sz="0" w:space="0" w:color="auto"/>
      </w:divBdr>
      <w:divsChild>
        <w:div w:id="1724868483">
          <w:marLeft w:val="0"/>
          <w:marRight w:val="0"/>
          <w:marTop w:val="0"/>
          <w:marBottom w:val="0"/>
          <w:divBdr>
            <w:top w:val="none" w:sz="0" w:space="0" w:color="auto"/>
            <w:left w:val="none" w:sz="0" w:space="0" w:color="auto"/>
            <w:bottom w:val="none" w:sz="0" w:space="0" w:color="auto"/>
            <w:right w:val="none" w:sz="0" w:space="0" w:color="auto"/>
          </w:divBdr>
        </w:div>
      </w:divsChild>
    </w:div>
    <w:div w:id="1185175456">
      <w:bodyDiv w:val="1"/>
      <w:marLeft w:val="0"/>
      <w:marRight w:val="0"/>
      <w:marTop w:val="0"/>
      <w:marBottom w:val="0"/>
      <w:divBdr>
        <w:top w:val="none" w:sz="0" w:space="0" w:color="auto"/>
        <w:left w:val="none" w:sz="0" w:space="0" w:color="auto"/>
        <w:bottom w:val="none" w:sz="0" w:space="0" w:color="auto"/>
        <w:right w:val="none" w:sz="0" w:space="0" w:color="auto"/>
      </w:divBdr>
      <w:divsChild>
        <w:div w:id="483277700">
          <w:marLeft w:val="0"/>
          <w:marRight w:val="0"/>
          <w:marTop w:val="0"/>
          <w:marBottom w:val="0"/>
          <w:divBdr>
            <w:top w:val="none" w:sz="0" w:space="0" w:color="auto"/>
            <w:left w:val="none" w:sz="0" w:space="0" w:color="auto"/>
            <w:bottom w:val="none" w:sz="0" w:space="0" w:color="auto"/>
            <w:right w:val="none" w:sz="0" w:space="0" w:color="auto"/>
          </w:divBdr>
        </w:div>
      </w:divsChild>
    </w:div>
    <w:div w:id="1397626372">
      <w:bodyDiv w:val="1"/>
      <w:marLeft w:val="0"/>
      <w:marRight w:val="0"/>
      <w:marTop w:val="0"/>
      <w:marBottom w:val="0"/>
      <w:divBdr>
        <w:top w:val="none" w:sz="0" w:space="0" w:color="auto"/>
        <w:left w:val="none" w:sz="0" w:space="0" w:color="auto"/>
        <w:bottom w:val="none" w:sz="0" w:space="0" w:color="auto"/>
        <w:right w:val="none" w:sz="0" w:space="0" w:color="auto"/>
      </w:divBdr>
      <w:divsChild>
        <w:div w:id="324407322">
          <w:marLeft w:val="0"/>
          <w:marRight w:val="0"/>
          <w:marTop w:val="0"/>
          <w:marBottom w:val="0"/>
          <w:divBdr>
            <w:top w:val="none" w:sz="0" w:space="0" w:color="auto"/>
            <w:left w:val="none" w:sz="0" w:space="0" w:color="auto"/>
            <w:bottom w:val="none" w:sz="0" w:space="0" w:color="auto"/>
            <w:right w:val="none" w:sz="0" w:space="0" w:color="auto"/>
          </w:divBdr>
        </w:div>
      </w:divsChild>
    </w:div>
    <w:div w:id="1420131958">
      <w:bodyDiv w:val="1"/>
      <w:marLeft w:val="0"/>
      <w:marRight w:val="0"/>
      <w:marTop w:val="0"/>
      <w:marBottom w:val="0"/>
      <w:divBdr>
        <w:top w:val="none" w:sz="0" w:space="0" w:color="auto"/>
        <w:left w:val="none" w:sz="0" w:space="0" w:color="auto"/>
        <w:bottom w:val="none" w:sz="0" w:space="0" w:color="auto"/>
        <w:right w:val="none" w:sz="0" w:space="0" w:color="auto"/>
      </w:divBdr>
      <w:divsChild>
        <w:div w:id="1351445630">
          <w:marLeft w:val="0"/>
          <w:marRight w:val="0"/>
          <w:marTop w:val="0"/>
          <w:marBottom w:val="0"/>
          <w:divBdr>
            <w:top w:val="none" w:sz="0" w:space="0" w:color="auto"/>
            <w:left w:val="none" w:sz="0" w:space="0" w:color="auto"/>
            <w:bottom w:val="none" w:sz="0" w:space="0" w:color="auto"/>
            <w:right w:val="none" w:sz="0" w:space="0" w:color="auto"/>
          </w:divBdr>
        </w:div>
      </w:divsChild>
    </w:div>
    <w:div w:id="1422491034">
      <w:bodyDiv w:val="1"/>
      <w:marLeft w:val="0"/>
      <w:marRight w:val="0"/>
      <w:marTop w:val="0"/>
      <w:marBottom w:val="0"/>
      <w:divBdr>
        <w:top w:val="none" w:sz="0" w:space="0" w:color="auto"/>
        <w:left w:val="none" w:sz="0" w:space="0" w:color="auto"/>
        <w:bottom w:val="none" w:sz="0" w:space="0" w:color="auto"/>
        <w:right w:val="none" w:sz="0" w:space="0" w:color="auto"/>
      </w:divBdr>
      <w:divsChild>
        <w:div w:id="1753433345">
          <w:marLeft w:val="0"/>
          <w:marRight w:val="0"/>
          <w:marTop w:val="0"/>
          <w:marBottom w:val="0"/>
          <w:divBdr>
            <w:top w:val="none" w:sz="0" w:space="0" w:color="auto"/>
            <w:left w:val="none" w:sz="0" w:space="0" w:color="auto"/>
            <w:bottom w:val="none" w:sz="0" w:space="0" w:color="auto"/>
            <w:right w:val="none" w:sz="0" w:space="0" w:color="auto"/>
          </w:divBdr>
        </w:div>
      </w:divsChild>
    </w:div>
    <w:div w:id="1551653237">
      <w:bodyDiv w:val="1"/>
      <w:marLeft w:val="0"/>
      <w:marRight w:val="0"/>
      <w:marTop w:val="0"/>
      <w:marBottom w:val="0"/>
      <w:divBdr>
        <w:top w:val="none" w:sz="0" w:space="0" w:color="auto"/>
        <w:left w:val="none" w:sz="0" w:space="0" w:color="auto"/>
        <w:bottom w:val="none" w:sz="0" w:space="0" w:color="auto"/>
        <w:right w:val="none" w:sz="0" w:space="0" w:color="auto"/>
      </w:divBdr>
      <w:divsChild>
        <w:div w:id="1090857799">
          <w:marLeft w:val="0"/>
          <w:marRight w:val="0"/>
          <w:marTop w:val="0"/>
          <w:marBottom w:val="0"/>
          <w:divBdr>
            <w:top w:val="none" w:sz="0" w:space="0" w:color="auto"/>
            <w:left w:val="none" w:sz="0" w:space="0" w:color="auto"/>
            <w:bottom w:val="none" w:sz="0" w:space="0" w:color="auto"/>
            <w:right w:val="none" w:sz="0" w:space="0" w:color="auto"/>
          </w:divBdr>
        </w:div>
      </w:divsChild>
    </w:div>
    <w:div w:id="1596523232">
      <w:bodyDiv w:val="1"/>
      <w:marLeft w:val="0"/>
      <w:marRight w:val="0"/>
      <w:marTop w:val="0"/>
      <w:marBottom w:val="0"/>
      <w:divBdr>
        <w:top w:val="none" w:sz="0" w:space="0" w:color="auto"/>
        <w:left w:val="none" w:sz="0" w:space="0" w:color="auto"/>
        <w:bottom w:val="none" w:sz="0" w:space="0" w:color="auto"/>
        <w:right w:val="none" w:sz="0" w:space="0" w:color="auto"/>
      </w:divBdr>
      <w:divsChild>
        <w:div w:id="2137216288">
          <w:marLeft w:val="0"/>
          <w:marRight w:val="0"/>
          <w:marTop w:val="0"/>
          <w:marBottom w:val="0"/>
          <w:divBdr>
            <w:top w:val="none" w:sz="0" w:space="0" w:color="auto"/>
            <w:left w:val="none" w:sz="0" w:space="0" w:color="auto"/>
            <w:bottom w:val="none" w:sz="0" w:space="0" w:color="auto"/>
            <w:right w:val="none" w:sz="0" w:space="0" w:color="auto"/>
          </w:divBdr>
        </w:div>
      </w:divsChild>
    </w:div>
    <w:div w:id="1929732261">
      <w:bodyDiv w:val="1"/>
      <w:marLeft w:val="0"/>
      <w:marRight w:val="0"/>
      <w:marTop w:val="0"/>
      <w:marBottom w:val="0"/>
      <w:divBdr>
        <w:top w:val="none" w:sz="0" w:space="0" w:color="auto"/>
        <w:left w:val="none" w:sz="0" w:space="0" w:color="auto"/>
        <w:bottom w:val="none" w:sz="0" w:space="0" w:color="auto"/>
        <w:right w:val="none" w:sz="0" w:space="0" w:color="auto"/>
      </w:divBdr>
      <w:divsChild>
        <w:div w:id="692847652">
          <w:marLeft w:val="0"/>
          <w:marRight w:val="0"/>
          <w:marTop w:val="0"/>
          <w:marBottom w:val="0"/>
          <w:divBdr>
            <w:top w:val="none" w:sz="0" w:space="0" w:color="auto"/>
            <w:left w:val="none" w:sz="0" w:space="0" w:color="auto"/>
            <w:bottom w:val="none" w:sz="0" w:space="0" w:color="auto"/>
            <w:right w:val="none" w:sz="0" w:space="0" w:color="auto"/>
          </w:divBdr>
        </w:div>
      </w:divsChild>
    </w:div>
    <w:div w:id="2039502420">
      <w:bodyDiv w:val="1"/>
      <w:marLeft w:val="0"/>
      <w:marRight w:val="0"/>
      <w:marTop w:val="0"/>
      <w:marBottom w:val="0"/>
      <w:divBdr>
        <w:top w:val="none" w:sz="0" w:space="0" w:color="auto"/>
        <w:left w:val="none" w:sz="0" w:space="0" w:color="auto"/>
        <w:bottom w:val="none" w:sz="0" w:space="0" w:color="auto"/>
        <w:right w:val="none" w:sz="0" w:space="0" w:color="auto"/>
      </w:divBdr>
      <w:divsChild>
        <w:div w:id="722295527">
          <w:marLeft w:val="0"/>
          <w:marRight w:val="0"/>
          <w:marTop w:val="0"/>
          <w:marBottom w:val="0"/>
          <w:divBdr>
            <w:top w:val="none" w:sz="0" w:space="0" w:color="auto"/>
            <w:left w:val="none" w:sz="0" w:space="0" w:color="auto"/>
            <w:bottom w:val="none" w:sz="0" w:space="0" w:color="auto"/>
            <w:right w:val="none" w:sz="0" w:space="0" w:color="auto"/>
          </w:divBdr>
        </w:div>
      </w:divsChild>
    </w:div>
    <w:div w:id="2062829114">
      <w:bodyDiv w:val="1"/>
      <w:marLeft w:val="0"/>
      <w:marRight w:val="0"/>
      <w:marTop w:val="0"/>
      <w:marBottom w:val="0"/>
      <w:divBdr>
        <w:top w:val="none" w:sz="0" w:space="0" w:color="auto"/>
        <w:left w:val="none" w:sz="0" w:space="0" w:color="auto"/>
        <w:bottom w:val="none" w:sz="0" w:space="0" w:color="auto"/>
        <w:right w:val="none" w:sz="0" w:space="0" w:color="auto"/>
      </w:divBdr>
      <w:divsChild>
        <w:div w:id="16960373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21959-E053-4E29-A7E7-761ACD815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3961</Words>
  <Characters>23769</Characters>
  <Application>Microsoft Office Word</Application>
  <DocSecurity>0</DocSecurity>
  <Lines>198</Lines>
  <Paragraphs>55</Paragraphs>
  <ScaleCrop>false</ScaleCrop>
  <Company/>
  <LinksUpToDate>false</LinksUpToDate>
  <CharactersWithSpaces>27675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2026-11-04T14:45:00Z</dcterms:created>
  <dcterms:modified xsi:type="dcterms:W3CDTF">2026-11-04T14:45:00Z</dcterms:modified>
</cp:coreProperties>
</file>