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6C8C9" w14:textId="77777777" w:rsidR="000842DE" w:rsidRPr="006B4029" w:rsidRDefault="000842DE" w:rsidP="006B4029">
      <w:pPr>
        <w:spacing w:after="240" w:line="360" w:lineRule="auto"/>
        <w:jc w:val="center"/>
        <w:rPr>
          <w:rFonts w:ascii="Times New Roman" w:eastAsia="Calibri" w:hAnsi="Times New Roman" w:cs="Times New Roman"/>
          <w:bCs/>
          <w:kern w:val="0"/>
          <w:sz w:val="24"/>
          <w:szCs w:val="24"/>
          <w14:ligatures w14:val="none"/>
        </w:rPr>
      </w:pPr>
      <w:r w:rsidRPr="006B4029">
        <w:rPr>
          <w:rFonts w:ascii="Times New Roman" w:eastAsia="Calibri" w:hAnsi="Times New Roman" w:cs="Times New Roman"/>
          <w:bCs/>
          <w:kern w:val="0"/>
          <w:sz w:val="24"/>
          <w:szCs w:val="24"/>
          <w14:ligatures w14:val="none"/>
        </w:rPr>
        <w:t>UZASADNIENIE</w:t>
      </w:r>
    </w:p>
    <w:p w14:paraId="62B19B63" w14:textId="77777777" w:rsidR="000842DE" w:rsidRPr="006B4029" w:rsidRDefault="000842DE" w:rsidP="006B4029">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6B4029">
        <w:rPr>
          <w:rFonts w:ascii="Times New Roman" w:eastAsia="Times New Roman" w:hAnsi="Times New Roman" w:cs="Times New Roman"/>
          <w:bCs/>
          <w:kern w:val="0"/>
          <w:sz w:val="24"/>
          <w:szCs w:val="24"/>
          <w:lang w:eastAsia="pl-PL"/>
          <w14:ligatures w14:val="none"/>
        </w:rPr>
        <w:t xml:space="preserve">Projekt nowelizacji ustawy z dnia 10 grudnia 1993 r. o zaopatrzeniu emerytalnym żołnierzy zawodowych oraz ich rodzin (Dz. U. z 2025 r. poz. 305 oraz z 2026 r. poz. 26), zwanej dalej „ustawą emerytalną”, zakłada rozszerzenie kręgu formacji służb mundurowych wymienionych w art. 18a ust. 2 pkt 2 ustawy emerytalnej o służbę w Służbie Celnej, umożliwiając tym samym żołnierzom powołanym po raz pierwszy po dniu 31 grudnia 2012 r. do zawodowej służby wojskowej uwzględnienie okresu pełnienia tej służby przed dniem 1 stycznia 2013 r. w 15-letnim okresie wymaganym do uzyskania prawa do emerytury wojskowej. </w:t>
      </w:r>
    </w:p>
    <w:p w14:paraId="52A31309" w14:textId="77777777" w:rsidR="000842DE" w:rsidRPr="006B4029" w:rsidRDefault="000842DE" w:rsidP="006B4029">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6B4029">
        <w:rPr>
          <w:rFonts w:ascii="Times New Roman" w:eastAsia="Times New Roman" w:hAnsi="Times New Roman" w:cs="Times New Roman"/>
          <w:bCs/>
          <w:kern w:val="0"/>
          <w:sz w:val="24"/>
          <w:szCs w:val="24"/>
          <w:lang w:eastAsia="pl-PL"/>
          <w14:ligatures w14:val="none"/>
        </w:rPr>
        <w:t xml:space="preserve">W wyniku wniesionego obywatelskiego projektu ustawy o zmianie ustawy 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 oraz niektórych innych ustaw, będącego skutkiem wykonania wyroku Trybunału Konstytucyjnego z dnia 3 marca 2015 r., sygn. akt K 39/13, rozszerzono zakres podmiotowy ustawy z dnia 18 lutego 1994 r. o zaopatrzeniu emerytalnym funkcjonariuszy Policji, Agencji Bezpieczeństwa Wewnętrznego, Agencji Wywiadu, Służby Kontrwywiadu Wojskowego, Centralnego Biura Antykorupcyjnego, Straży Granicznej, Straży Marszałkowskiej, Służby Ochrony Państwa, Państwowej Straży Pożarnej, Służby Celno-Skarbowej i Służby Więziennej (Dz. U. z 2026 r. poz. 505), przez objęcie ww. ustawą funkcjonariuszy Służby Celnej. </w:t>
      </w:r>
    </w:p>
    <w:p w14:paraId="551E1397" w14:textId="77777777" w:rsidR="000842DE" w:rsidRPr="006B4029" w:rsidRDefault="000842DE" w:rsidP="006B4029">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6B4029">
        <w:rPr>
          <w:rFonts w:ascii="Times New Roman" w:eastAsia="Times New Roman" w:hAnsi="Times New Roman" w:cs="Times New Roman"/>
          <w:bCs/>
          <w:kern w:val="0"/>
          <w:sz w:val="24"/>
          <w:szCs w:val="24"/>
          <w:lang w:eastAsia="pl-PL"/>
          <w14:ligatures w14:val="none"/>
        </w:rPr>
        <w:t>Trybunał Konstytucyjny w przywołanym wyroku podkreślił konieczność objęcia funkcjonariuszy Służby Celnej systemem zaopatrzenia emerytalnego właściwym dla służb mundurowych, wskazując na tożsamość wykonywanych przez nich zadań z zadaniami realizowanymi przez funkcjonariuszy Policji.</w:t>
      </w:r>
    </w:p>
    <w:p w14:paraId="7DE26117" w14:textId="77777777" w:rsidR="000842DE" w:rsidRPr="006B4029" w:rsidRDefault="000842DE" w:rsidP="006B4029">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6B4029">
        <w:rPr>
          <w:rFonts w:ascii="Times New Roman" w:eastAsia="Times New Roman" w:hAnsi="Times New Roman" w:cs="Times New Roman"/>
          <w:bCs/>
          <w:kern w:val="0"/>
          <w:sz w:val="24"/>
          <w:szCs w:val="24"/>
          <w:lang w:eastAsia="pl-PL"/>
          <w14:ligatures w14:val="none"/>
        </w:rPr>
        <w:t>Zarówno wobec żołnierzy zawodowych, jak i funkcjonariuszy, jednym z warunków decydujących o zasadach nabycia prawa do emerytury pozostaje data przyjęcia do służby.</w:t>
      </w:r>
    </w:p>
    <w:p w14:paraId="70B3BC5E" w14:textId="5A842779" w:rsidR="000842DE" w:rsidRPr="006B4029" w:rsidRDefault="000842DE" w:rsidP="006B4029">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6B4029">
        <w:rPr>
          <w:rFonts w:ascii="Times New Roman" w:eastAsia="Times New Roman" w:hAnsi="Times New Roman" w:cs="Times New Roman"/>
          <w:bCs/>
          <w:kern w:val="0"/>
          <w:sz w:val="24"/>
          <w:szCs w:val="24"/>
          <w:lang w:eastAsia="pl-PL"/>
          <w14:ligatures w14:val="none"/>
        </w:rPr>
        <w:t>Zgodnie z art. 12 ustawy emerytalnej, w przypadku żołnierza zawodowego, który wstąpił do służby przed dniem 1 stycznia 2013 r.</w:t>
      </w:r>
      <w:r w:rsidR="00BA5398">
        <w:rPr>
          <w:rFonts w:ascii="Times New Roman" w:eastAsia="Times New Roman" w:hAnsi="Times New Roman" w:cs="Times New Roman"/>
          <w:bCs/>
          <w:kern w:val="0"/>
          <w:sz w:val="24"/>
          <w:szCs w:val="24"/>
          <w:lang w:eastAsia="pl-PL"/>
          <w14:ligatures w14:val="none"/>
        </w:rPr>
        <w:t>,</w:t>
      </w:r>
      <w:r w:rsidRPr="006B4029">
        <w:rPr>
          <w:rFonts w:ascii="Times New Roman" w:eastAsia="Times New Roman" w:hAnsi="Times New Roman" w:cs="Times New Roman"/>
          <w:bCs/>
          <w:kern w:val="0"/>
          <w:sz w:val="24"/>
          <w:szCs w:val="24"/>
          <w:lang w:eastAsia="pl-PL"/>
          <w14:ligatures w14:val="none"/>
        </w:rPr>
        <w:t xml:space="preserve"> prawo do emerytury przysługuje, jeżeli w</w:t>
      </w:r>
      <w:r w:rsidR="002905FA">
        <w:rPr>
          <w:rFonts w:ascii="Times New Roman" w:eastAsia="Times New Roman" w:hAnsi="Times New Roman" w:cs="Times New Roman"/>
          <w:bCs/>
          <w:kern w:val="0"/>
          <w:sz w:val="24"/>
          <w:szCs w:val="24"/>
          <w:lang w:eastAsia="pl-PL"/>
          <w14:ligatures w14:val="none"/>
        </w:rPr>
        <w:t xml:space="preserve"> </w:t>
      </w:r>
      <w:r w:rsidRPr="006B4029">
        <w:rPr>
          <w:rFonts w:ascii="Times New Roman" w:eastAsia="Times New Roman" w:hAnsi="Times New Roman" w:cs="Times New Roman"/>
          <w:bCs/>
          <w:kern w:val="0"/>
          <w:sz w:val="24"/>
          <w:szCs w:val="24"/>
          <w:lang w:eastAsia="pl-PL"/>
          <w14:ligatures w14:val="none"/>
        </w:rPr>
        <w:t xml:space="preserve">dniu zwolnienia ze służby legitymuje się co najmniej 15-letnim okresem służby wojskowej, z uwzględnieniem okresów równorzędnych z tą służbą. Za równorzędne ze służbą wojskową uznaje się także okresy służby brane pod uwagę przy ustalaniu prawa do emerytury policyjnej, w tym m.in. okresy służby w Służbie Celnej (art. 13 ust. 1 pkt 2 ustawy emerytalnej). </w:t>
      </w:r>
    </w:p>
    <w:p w14:paraId="3A4E5CA8" w14:textId="4B3EE624" w:rsidR="000842DE" w:rsidRPr="006B4029" w:rsidRDefault="000842DE" w:rsidP="006B4029">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6B4029">
        <w:rPr>
          <w:rFonts w:ascii="Times New Roman" w:eastAsia="Times New Roman" w:hAnsi="Times New Roman" w:cs="Times New Roman"/>
          <w:bCs/>
          <w:kern w:val="0"/>
          <w:sz w:val="24"/>
          <w:szCs w:val="24"/>
          <w:lang w:eastAsia="pl-PL"/>
          <w14:ligatures w14:val="none"/>
        </w:rPr>
        <w:lastRenderedPageBreak/>
        <w:t xml:space="preserve">W przypadku żołnierza powołanego do zawodowej służby wojskowej po raz pierwszy po 31 grudnia 2012 r. ustawodawca przewiduje odmienne zasady ustalania prawa i wysokości emerytury. </w:t>
      </w:r>
    </w:p>
    <w:p w14:paraId="6B457245" w14:textId="460C8FD5" w:rsidR="000842DE" w:rsidRPr="006B4029" w:rsidRDefault="000842DE" w:rsidP="006B4029">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6B4029">
        <w:rPr>
          <w:rFonts w:ascii="Times New Roman" w:eastAsia="Times New Roman" w:hAnsi="Times New Roman" w:cs="Times New Roman"/>
          <w:bCs/>
          <w:kern w:val="0"/>
          <w:sz w:val="24"/>
          <w:szCs w:val="24"/>
          <w:lang w:eastAsia="pl-PL"/>
          <w14:ligatures w14:val="none"/>
        </w:rPr>
        <w:t>Zgodnie z aktualnym brzmieniem art. 18a i art. 18b ustawy emerytalnej żołnierzowi powołanemu po raz pierwszy do zawodowej służby wojskowej lub służby kandydackiej po dniu 31 grudnia 2012 r. emerytura przysługuje, jeżeli w dniu zwolnienia z zawodowej służby wojskowej posiada co najmniej 25</w:t>
      </w:r>
      <w:r w:rsidR="002905FA">
        <w:rPr>
          <w:rFonts w:ascii="Times New Roman" w:eastAsia="Times New Roman" w:hAnsi="Times New Roman" w:cs="Times New Roman"/>
          <w:bCs/>
          <w:kern w:val="0"/>
          <w:sz w:val="24"/>
          <w:szCs w:val="24"/>
          <w:lang w:eastAsia="pl-PL"/>
          <w14:ligatures w14:val="none"/>
        </w:rPr>
        <w:t xml:space="preserve"> </w:t>
      </w:r>
      <w:r w:rsidRPr="006B4029">
        <w:rPr>
          <w:rFonts w:ascii="Times New Roman" w:eastAsia="Times New Roman" w:hAnsi="Times New Roman" w:cs="Times New Roman"/>
          <w:bCs/>
          <w:kern w:val="0"/>
          <w:sz w:val="24"/>
          <w:szCs w:val="24"/>
          <w:lang w:eastAsia="pl-PL"/>
          <w14:ligatures w14:val="none"/>
        </w:rPr>
        <w:t>lat służby wojskowej w Siłach Zbrojnych R</w:t>
      </w:r>
      <w:r w:rsidR="00BA5398">
        <w:rPr>
          <w:rFonts w:ascii="Times New Roman" w:eastAsia="Times New Roman" w:hAnsi="Times New Roman" w:cs="Times New Roman"/>
          <w:bCs/>
          <w:kern w:val="0"/>
          <w:sz w:val="24"/>
          <w:szCs w:val="24"/>
          <w:lang w:eastAsia="pl-PL"/>
          <w14:ligatures w14:val="none"/>
        </w:rPr>
        <w:t xml:space="preserve">zeczypospolitej </w:t>
      </w:r>
      <w:r w:rsidRPr="006B4029">
        <w:rPr>
          <w:rFonts w:ascii="Times New Roman" w:eastAsia="Times New Roman" w:hAnsi="Times New Roman" w:cs="Times New Roman"/>
          <w:bCs/>
          <w:kern w:val="0"/>
          <w:sz w:val="24"/>
          <w:szCs w:val="24"/>
          <w:lang w:eastAsia="pl-PL"/>
          <w14:ligatures w14:val="none"/>
        </w:rPr>
        <w:t>P</w:t>
      </w:r>
      <w:r w:rsidR="00BA5398">
        <w:rPr>
          <w:rFonts w:ascii="Times New Roman" w:eastAsia="Times New Roman" w:hAnsi="Times New Roman" w:cs="Times New Roman"/>
          <w:bCs/>
          <w:kern w:val="0"/>
          <w:sz w:val="24"/>
          <w:szCs w:val="24"/>
          <w:lang w:eastAsia="pl-PL"/>
          <w14:ligatures w14:val="none"/>
        </w:rPr>
        <w:t>olskiej</w:t>
      </w:r>
      <w:r w:rsidRPr="006B4029">
        <w:rPr>
          <w:rFonts w:ascii="Times New Roman" w:eastAsia="Times New Roman" w:hAnsi="Times New Roman" w:cs="Times New Roman"/>
          <w:bCs/>
          <w:kern w:val="0"/>
          <w:sz w:val="24"/>
          <w:szCs w:val="24"/>
          <w:lang w:eastAsia="pl-PL"/>
          <w14:ligatures w14:val="none"/>
        </w:rPr>
        <w:t xml:space="preserve"> </w:t>
      </w:r>
      <w:r w:rsidRPr="006B4029">
        <w:rPr>
          <w:rFonts w:ascii="Times New Roman" w:eastAsia="Times New Roman" w:hAnsi="Times New Roman" w:cs="Times New Roman"/>
          <w:kern w:val="0"/>
          <w:sz w:val="24"/>
          <w:szCs w:val="24"/>
          <w:lang w:eastAsia="pl-PL"/>
          <w14:ligatures w14:val="none"/>
        </w:rPr>
        <w:t>z uwzględnieniem okresów równorzędnych ze służbą wojskową.</w:t>
      </w:r>
    </w:p>
    <w:p w14:paraId="623DA7B7" w14:textId="77777777" w:rsidR="000842DE" w:rsidRPr="006B4029" w:rsidRDefault="000842DE" w:rsidP="006B4029">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6B4029">
        <w:rPr>
          <w:rFonts w:ascii="Times New Roman" w:eastAsia="Times New Roman" w:hAnsi="Times New Roman" w:cs="Times New Roman"/>
          <w:bCs/>
          <w:kern w:val="0"/>
          <w:sz w:val="24"/>
          <w:szCs w:val="24"/>
          <w:lang w:eastAsia="pl-PL"/>
          <w14:ligatures w14:val="none"/>
        </w:rPr>
        <w:t xml:space="preserve">Powyższych regulacji prawnych w zakresie wymogu posiadania 25 lat służby wojskowej nie stosuje się, w myśl art. 18a ust. 2 pkt 2, w stosunku do żołnierza: </w:t>
      </w:r>
    </w:p>
    <w:p w14:paraId="725811FC" w14:textId="77777777" w:rsidR="000842DE" w:rsidRPr="006B4029" w:rsidRDefault="000842DE" w:rsidP="006B4029">
      <w:pPr>
        <w:numPr>
          <w:ilvl w:val="0"/>
          <w:numId w:val="1"/>
        </w:numPr>
        <w:suppressAutoHyphens/>
        <w:autoSpaceDE w:val="0"/>
        <w:autoSpaceDN w:val="0"/>
        <w:adjustRightInd w:val="0"/>
        <w:spacing w:after="0" w:line="360" w:lineRule="auto"/>
        <w:ind w:left="426" w:hanging="426"/>
        <w:jc w:val="both"/>
        <w:rPr>
          <w:rFonts w:ascii="Times New Roman" w:eastAsia="Times New Roman" w:hAnsi="Times New Roman" w:cs="Times New Roman"/>
          <w:bCs/>
          <w:kern w:val="0"/>
          <w:sz w:val="24"/>
          <w:szCs w:val="24"/>
          <w:lang w:eastAsia="pl-PL"/>
          <w14:ligatures w14:val="none"/>
        </w:rPr>
      </w:pPr>
      <w:r w:rsidRPr="006B4029">
        <w:rPr>
          <w:rFonts w:ascii="Times New Roman" w:eastAsia="Times New Roman" w:hAnsi="Times New Roman" w:cs="Times New Roman"/>
          <w:bCs/>
          <w:kern w:val="0"/>
          <w:sz w:val="24"/>
          <w:szCs w:val="24"/>
          <w:lang w:eastAsia="pl-PL"/>
          <w14:ligatures w14:val="none"/>
        </w:rPr>
        <w:t>pełniącego służbę kandydacką w dniu 1 stycznia 2013 r., w przypadku powołania do zawodowej służby wojskowej bezpośrednio po ukończeniu służby kandydackiej;</w:t>
      </w:r>
    </w:p>
    <w:p w14:paraId="37B6F013" w14:textId="77777777" w:rsidR="000842DE" w:rsidRPr="006B4029" w:rsidRDefault="000842DE" w:rsidP="006B4029">
      <w:pPr>
        <w:numPr>
          <w:ilvl w:val="0"/>
          <w:numId w:val="1"/>
        </w:numPr>
        <w:suppressAutoHyphens/>
        <w:autoSpaceDE w:val="0"/>
        <w:autoSpaceDN w:val="0"/>
        <w:adjustRightInd w:val="0"/>
        <w:spacing w:after="0" w:line="360" w:lineRule="auto"/>
        <w:ind w:left="426" w:hanging="426"/>
        <w:jc w:val="both"/>
        <w:rPr>
          <w:rFonts w:ascii="Times New Roman" w:eastAsia="Times New Roman" w:hAnsi="Times New Roman" w:cs="Times New Roman"/>
          <w:bCs/>
          <w:kern w:val="0"/>
          <w:sz w:val="24"/>
          <w:szCs w:val="24"/>
          <w:lang w:eastAsia="pl-PL"/>
          <w14:ligatures w14:val="none"/>
        </w:rPr>
      </w:pPr>
      <w:r w:rsidRPr="006B4029">
        <w:rPr>
          <w:rFonts w:ascii="Times New Roman" w:eastAsia="Times New Roman" w:hAnsi="Times New Roman" w:cs="Times New Roman"/>
          <w:bCs/>
          <w:kern w:val="0"/>
          <w:sz w:val="24"/>
          <w:szCs w:val="24"/>
          <w:lang w:eastAsia="pl-PL"/>
          <w14:ligatures w14:val="none"/>
        </w:rPr>
        <w:t>powołanego do zawodowej służby wojskowej po dniu 31 grudnia 2012 r., jeżeli przed tym powołaniem pełnił służbę w Policji, Urzędzie Ochrony Państwa, Agencji Bezpieczeństwa Wewnętrznego, Agencji Wywiadu, Służbie Kontrwywiadu Wojskowego, Służbie Wywiadu Wojskowego, Centralnym Biurze Antykorupcyjnym, Straży Granicznej, Biurze Ochrony Rządu, Państwowej Straży Pożarnej lub Służbie Więziennej, do której został powołany przed dniem 1 stycznia 2013 r.</w:t>
      </w:r>
    </w:p>
    <w:p w14:paraId="0024E8BD" w14:textId="18283572" w:rsidR="000842DE" w:rsidRPr="006B4029" w:rsidRDefault="000842DE" w:rsidP="006B4029">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6B4029">
        <w:rPr>
          <w:rFonts w:ascii="Times New Roman" w:eastAsia="Times New Roman" w:hAnsi="Times New Roman" w:cs="Times New Roman"/>
          <w:bCs/>
          <w:kern w:val="0"/>
          <w:sz w:val="24"/>
          <w:szCs w:val="24"/>
          <w:lang w:eastAsia="pl-PL"/>
          <w14:ligatures w14:val="none"/>
        </w:rPr>
        <w:t>Przepis ten określa katalog służb, z wyłączeniem Służby Celnej, które zostały objęte tzw. mundurowym systemem zaopatrzenia emerytalnego, uprawniającym osoby pełniące w</w:t>
      </w:r>
      <w:r w:rsidR="002905FA">
        <w:rPr>
          <w:rFonts w:ascii="Times New Roman" w:eastAsia="Times New Roman" w:hAnsi="Times New Roman" w:cs="Times New Roman"/>
          <w:bCs/>
          <w:kern w:val="0"/>
          <w:sz w:val="24"/>
          <w:szCs w:val="24"/>
          <w:lang w:eastAsia="pl-PL"/>
          <w14:ligatures w14:val="none"/>
        </w:rPr>
        <w:t xml:space="preserve"> </w:t>
      </w:r>
      <w:r w:rsidRPr="006B4029">
        <w:rPr>
          <w:rFonts w:ascii="Times New Roman" w:eastAsia="Times New Roman" w:hAnsi="Times New Roman" w:cs="Times New Roman"/>
          <w:bCs/>
          <w:kern w:val="0"/>
          <w:sz w:val="24"/>
          <w:szCs w:val="24"/>
          <w:lang w:eastAsia="pl-PL"/>
          <w14:ligatures w14:val="none"/>
        </w:rPr>
        <w:t xml:space="preserve">nich służbę do nabycia prawa do emerytury wojskowej na tzw. starych zasadach (15 lat okresu służby wojskowej wraz z okresami równorzędnymi). </w:t>
      </w:r>
    </w:p>
    <w:p w14:paraId="23015A5A" w14:textId="77777777" w:rsidR="000842DE" w:rsidRPr="003A5856" w:rsidRDefault="000842DE" w:rsidP="006B4029">
      <w:pPr>
        <w:suppressAutoHyphens/>
        <w:autoSpaceDE w:val="0"/>
        <w:autoSpaceDN w:val="0"/>
        <w:adjustRightInd w:val="0"/>
        <w:spacing w:before="120" w:after="0" w:line="360" w:lineRule="auto"/>
        <w:jc w:val="both"/>
        <w:rPr>
          <w:rFonts w:ascii="Times New Roman" w:eastAsia="Times New Roman" w:hAnsi="Times New Roman" w:cs="Times New Roman"/>
          <w:b/>
          <w:bCs/>
          <w:kern w:val="0"/>
          <w:sz w:val="24"/>
          <w:szCs w:val="24"/>
          <w:lang w:eastAsia="pl-PL"/>
          <w14:ligatures w14:val="none"/>
        </w:rPr>
      </w:pPr>
      <w:r w:rsidRPr="006B4029">
        <w:rPr>
          <w:rFonts w:ascii="Times New Roman" w:eastAsia="Times New Roman" w:hAnsi="Times New Roman" w:cs="Times New Roman"/>
          <w:bCs/>
          <w:kern w:val="0"/>
          <w:sz w:val="24"/>
          <w:szCs w:val="24"/>
          <w:lang w:eastAsia="pl-PL"/>
          <w14:ligatures w14:val="none"/>
        </w:rPr>
        <w:t>Okres służby w Służbie Celnej, zgodnie z art. 18b ust. 3 ustawy emerytalnej, jest zaliczany na równi z okresem służby wojskowej, nie stanowi jednak podstawy do odstąpienia od wymogu posiadania co najmniej 25-letniego stażu służby wojskowej, uprawniającego do uzyskania prawa do emerytury wojskowej.</w:t>
      </w:r>
      <w:r w:rsidRPr="003A5856">
        <w:rPr>
          <w:rFonts w:ascii="Times New Roman" w:eastAsia="Times New Roman" w:hAnsi="Times New Roman" w:cs="Times New Roman"/>
          <w:b/>
          <w:bCs/>
          <w:kern w:val="0"/>
          <w:sz w:val="24"/>
          <w:szCs w:val="24"/>
          <w:lang w:eastAsia="pl-PL"/>
          <w14:ligatures w14:val="none"/>
        </w:rPr>
        <w:t xml:space="preserve"> </w:t>
      </w:r>
    </w:p>
    <w:p w14:paraId="05F3F150" w14:textId="77777777" w:rsidR="000842DE" w:rsidRPr="006B4029" w:rsidRDefault="000842DE" w:rsidP="006B4029">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6B4029">
        <w:rPr>
          <w:rFonts w:ascii="Times New Roman" w:eastAsia="Times New Roman" w:hAnsi="Times New Roman" w:cs="Times New Roman"/>
          <w:bCs/>
          <w:kern w:val="0"/>
          <w:sz w:val="24"/>
          <w:szCs w:val="24"/>
          <w:lang w:eastAsia="pl-PL"/>
          <w14:ligatures w14:val="none"/>
        </w:rPr>
        <w:t>Projekt nowelizacji ustawy przewiduje zaliczenie okresów pełnienia służby w Służbie Celnej do wojskowej wysługi emerytalnej osób, które po dniu 31 grudnia 2012 r. pełniły zawodową służbę wojskową. W rezultacie osoby te będą mogły nabyć prawo do emerytury wojskowej po osiągnięciu 15 lat łącznej wysługi emerytalnej, obejmującej zarówno okres służby w Służbie Celnej, jak i okres zawodowej służby wojskowej, zamiast wymaganych obecnie 25 lat zawodowej służby wojskowej.</w:t>
      </w:r>
    </w:p>
    <w:p w14:paraId="7A7D37EA" w14:textId="59972011" w:rsidR="000842DE" w:rsidRPr="006B4029" w:rsidRDefault="000842DE" w:rsidP="006B4029">
      <w:pPr>
        <w:suppressAutoHyphens/>
        <w:autoSpaceDE w:val="0"/>
        <w:autoSpaceDN w:val="0"/>
        <w:adjustRightInd w:val="0"/>
        <w:spacing w:before="120" w:after="0" w:line="360" w:lineRule="auto"/>
        <w:ind w:right="-18"/>
        <w:jc w:val="both"/>
        <w:rPr>
          <w:rFonts w:ascii="Times New Roman" w:eastAsia="Times New Roman" w:hAnsi="Times New Roman" w:cs="Times New Roman"/>
          <w:bCs/>
          <w:kern w:val="0"/>
          <w:sz w:val="24"/>
          <w:szCs w:val="24"/>
          <w:lang w:eastAsia="pl-PL"/>
          <w14:ligatures w14:val="none"/>
        </w:rPr>
      </w:pPr>
      <w:r w:rsidRPr="006B4029">
        <w:rPr>
          <w:rFonts w:ascii="Times New Roman" w:eastAsia="Times New Roman" w:hAnsi="Times New Roman" w:cs="Times New Roman"/>
          <w:bCs/>
          <w:kern w:val="0"/>
          <w:sz w:val="24"/>
          <w:szCs w:val="24"/>
          <w:lang w:eastAsia="pl-PL"/>
          <w14:ligatures w14:val="none"/>
        </w:rPr>
        <w:lastRenderedPageBreak/>
        <w:t>Procedowane rozwiązania stanowią odzwierciedlenie regulacji obowiązujących w</w:t>
      </w:r>
      <w:r w:rsidR="002905FA">
        <w:rPr>
          <w:rFonts w:ascii="Times New Roman" w:eastAsia="Times New Roman" w:hAnsi="Times New Roman" w:cs="Times New Roman"/>
          <w:bCs/>
          <w:kern w:val="0"/>
          <w:sz w:val="24"/>
          <w:szCs w:val="24"/>
          <w:lang w:eastAsia="pl-PL"/>
          <w14:ligatures w14:val="none"/>
        </w:rPr>
        <w:t xml:space="preserve"> </w:t>
      </w:r>
      <w:r w:rsidRPr="006B4029">
        <w:rPr>
          <w:rFonts w:ascii="Times New Roman" w:eastAsia="Times New Roman" w:hAnsi="Times New Roman" w:cs="Times New Roman"/>
          <w:bCs/>
          <w:kern w:val="0"/>
          <w:sz w:val="24"/>
          <w:szCs w:val="24"/>
          <w:lang w:eastAsia="pl-PL"/>
          <w14:ligatures w14:val="none"/>
        </w:rPr>
        <w:t>ustawie z dnia 18 lutego 1994 r. o zaopatrzeniu emerytalnym funkcjonariuszy Policji, Agencji Bezpieczeństwa Wewnętrznego, Agencji Wywiadu, Służby Kontrwywiadu Wojskowego, Centralnego Biura Antykorupcyjnego, Straży Granicznej, Straży Marszałkowskiej, Służby Ochrony Państwa, Państwowej Straży Pożarnej, Służby Celno-Skarbowej i Służby Więziennej oraz ich rodzin, tj. w art. 18a ust. 2 pkt 1</w:t>
      </w:r>
      <w:r w:rsidR="00BA5398">
        <w:rPr>
          <w:rFonts w:ascii="Times New Roman" w:eastAsia="Times New Roman" w:hAnsi="Times New Roman" w:cs="Times New Roman"/>
          <w:bCs/>
          <w:kern w:val="0"/>
          <w:sz w:val="24"/>
          <w:szCs w:val="24"/>
          <w:lang w:eastAsia="pl-PL"/>
          <w14:ligatures w14:val="none"/>
        </w:rPr>
        <w:t>,</w:t>
      </w:r>
      <w:r w:rsidRPr="006B4029">
        <w:rPr>
          <w:rFonts w:ascii="Times New Roman" w:eastAsia="Times New Roman" w:hAnsi="Times New Roman" w:cs="Times New Roman"/>
          <w:bCs/>
          <w:kern w:val="0"/>
          <w:sz w:val="24"/>
          <w:szCs w:val="24"/>
          <w:lang w:eastAsia="pl-PL"/>
          <w14:ligatures w14:val="none"/>
        </w:rPr>
        <w:t xml:space="preserve"> i zapewniają spójność systemową między pragmatykami emerytalnymi służb mundurowych.</w:t>
      </w:r>
    </w:p>
    <w:p w14:paraId="30D71281" w14:textId="77777777" w:rsidR="000842DE" w:rsidRPr="006B4029" w:rsidRDefault="000842DE" w:rsidP="006B4029">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bookmarkStart w:id="0" w:name="_Hlk220417752"/>
      <w:r w:rsidRPr="006B4029">
        <w:rPr>
          <w:rFonts w:ascii="Times New Roman" w:eastAsia="Times New Roman" w:hAnsi="Times New Roman" w:cs="Times New Roman"/>
          <w:bCs/>
          <w:kern w:val="0"/>
          <w:sz w:val="24"/>
          <w:szCs w:val="24"/>
          <w:lang w:eastAsia="pl-PL"/>
          <w14:ligatures w14:val="none"/>
        </w:rPr>
        <w:t xml:space="preserve">W celu zapewnienia systemowej spójności projektowanej regulacji konieczne jest również ujednolicenie zasad ustalania uprawnień emerytalnych określonych </w:t>
      </w:r>
      <w:bookmarkEnd w:id="0"/>
      <w:r w:rsidRPr="006B4029">
        <w:rPr>
          <w:rFonts w:ascii="Times New Roman" w:eastAsia="Times New Roman" w:hAnsi="Times New Roman" w:cs="Times New Roman"/>
          <w:bCs/>
          <w:kern w:val="0"/>
          <w:sz w:val="24"/>
          <w:szCs w:val="24"/>
          <w:lang w:eastAsia="pl-PL"/>
          <w14:ligatures w14:val="none"/>
        </w:rPr>
        <w:t>w:</w:t>
      </w:r>
    </w:p>
    <w:p w14:paraId="45EDBA80" w14:textId="77777777" w:rsidR="000842DE" w:rsidRPr="006B4029" w:rsidRDefault="000842DE" w:rsidP="006B4029">
      <w:pPr>
        <w:numPr>
          <w:ilvl w:val="0"/>
          <w:numId w:val="2"/>
        </w:numPr>
        <w:suppressAutoHyphens/>
        <w:autoSpaceDE w:val="0"/>
        <w:autoSpaceDN w:val="0"/>
        <w:adjustRightInd w:val="0"/>
        <w:spacing w:after="0" w:line="360" w:lineRule="auto"/>
        <w:ind w:left="426" w:hanging="426"/>
        <w:jc w:val="both"/>
        <w:rPr>
          <w:rFonts w:ascii="Times New Roman" w:eastAsia="Times New Roman" w:hAnsi="Times New Roman" w:cs="Times New Roman"/>
          <w:bCs/>
          <w:kern w:val="0"/>
          <w:sz w:val="24"/>
          <w:szCs w:val="24"/>
          <w:lang w:eastAsia="pl-PL"/>
          <w14:ligatures w14:val="none"/>
        </w:rPr>
      </w:pPr>
      <w:r w:rsidRPr="006B4029">
        <w:rPr>
          <w:rFonts w:ascii="Times New Roman" w:eastAsia="Times New Roman" w:hAnsi="Times New Roman" w:cs="Times New Roman"/>
          <w:bCs/>
          <w:kern w:val="0"/>
          <w:sz w:val="24"/>
          <w:szCs w:val="24"/>
          <w:lang w:eastAsia="pl-PL"/>
          <w14:ligatures w14:val="none"/>
        </w:rPr>
        <w:t>art. 32a oraz art. 32c, które regulują zasady ponownego ustalenia wysokości emerytury w przypadku ponownego powołania emeryta do zawodowej służby wojskowej albo przyjęcia do służby w jednej z formacji mundurowych oraz możliwość doliczenia nieuwzględnionych dotychczas w wymiarze świadczenia okresów służby,</w:t>
      </w:r>
    </w:p>
    <w:p w14:paraId="4C189FF5" w14:textId="77777777" w:rsidR="000842DE" w:rsidRPr="006B4029" w:rsidRDefault="000842DE" w:rsidP="006B4029">
      <w:pPr>
        <w:numPr>
          <w:ilvl w:val="0"/>
          <w:numId w:val="2"/>
        </w:numPr>
        <w:suppressAutoHyphens/>
        <w:autoSpaceDE w:val="0"/>
        <w:autoSpaceDN w:val="0"/>
        <w:adjustRightInd w:val="0"/>
        <w:spacing w:after="0" w:line="360" w:lineRule="auto"/>
        <w:ind w:left="426" w:hanging="426"/>
        <w:jc w:val="both"/>
        <w:rPr>
          <w:rFonts w:ascii="Times New Roman" w:eastAsia="Times New Roman" w:hAnsi="Times New Roman" w:cs="Times New Roman"/>
          <w:bCs/>
          <w:kern w:val="0"/>
          <w:sz w:val="24"/>
          <w:szCs w:val="24"/>
          <w:lang w:eastAsia="pl-PL"/>
          <w14:ligatures w14:val="none"/>
        </w:rPr>
      </w:pPr>
      <w:r w:rsidRPr="006B4029">
        <w:rPr>
          <w:rFonts w:ascii="Times New Roman" w:eastAsia="Times New Roman" w:hAnsi="Times New Roman" w:cs="Times New Roman"/>
          <w:bCs/>
          <w:kern w:val="0"/>
          <w:sz w:val="24"/>
          <w:szCs w:val="24"/>
          <w:lang w:eastAsia="pl-PL"/>
          <w14:ligatures w14:val="none"/>
        </w:rPr>
        <w:t>art. 39a regulującego zasady zawieszenia prawa do emerytury wojskowej w przypadku ponownego powołania emeryta do zawodowej służby wojskowej albo przyjęcia do służby w jednej z formacji mundurowych</w:t>
      </w:r>
    </w:p>
    <w:p w14:paraId="67BD6393" w14:textId="77777777" w:rsidR="000842DE" w:rsidRPr="006B4029" w:rsidRDefault="000842DE" w:rsidP="006B4029">
      <w:pPr>
        <w:suppressAutoHyphens/>
        <w:autoSpaceDE w:val="0"/>
        <w:autoSpaceDN w:val="0"/>
        <w:adjustRightInd w:val="0"/>
        <w:spacing w:after="0" w:line="360" w:lineRule="auto"/>
        <w:jc w:val="both"/>
        <w:rPr>
          <w:rFonts w:ascii="Times New Roman" w:eastAsia="Times New Roman" w:hAnsi="Times New Roman" w:cs="Times New Roman"/>
          <w:bCs/>
          <w:kern w:val="0"/>
          <w:sz w:val="24"/>
          <w:szCs w:val="24"/>
          <w:lang w:eastAsia="pl-PL"/>
          <w14:ligatures w14:val="none"/>
        </w:rPr>
      </w:pPr>
      <w:r w:rsidRPr="006B4029">
        <w:rPr>
          <w:rFonts w:ascii="Times New Roman" w:eastAsia="Times New Roman" w:hAnsi="Times New Roman" w:cs="Times New Roman"/>
          <w:bCs/>
          <w:kern w:val="0"/>
          <w:sz w:val="24"/>
          <w:szCs w:val="24"/>
          <w:lang w:eastAsia="pl-PL"/>
          <w14:ligatures w14:val="none"/>
        </w:rPr>
        <w:t>– przez uwzględnienie w ww. przepisach Służby Celno-Skarbowej, gwarantując tym samym ciągłość uprawnień emerytalnych osobom posiadającym wskazane okresy służby.</w:t>
      </w:r>
    </w:p>
    <w:p w14:paraId="67A1FBFB" w14:textId="28B8AF52" w:rsidR="000842DE" w:rsidRPr="006B4029" w:rsidRDefault="000842DE" w:rsidP="006B4029">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6B4029">
        <w:rPr>
          <w:rFonts w:ascii="Times New Roman" w:eastAsia="Times New Roman" w:hAnsi="Times New Roman" w:cs="Times New Roman"/>
          <w:bCs/>
          <w:kern w:val="0"/>
          <w:sz w:val="24"/>
          <w:szCs w:val="24"/>
          <w:lang w:eastAsia="pl-PL"/>
          <w14:ligatures w14:val="none"/>
        </w:rPr>
        <w:t xml:space="preserve">Służba Celno-Skarbowa jest formacją, która powstała z dniem 1 marca 2017 r. na mocy przepisów ustawy z dnia 16 listopada 2016 r. </w:t>
      </w:r>
      <w:r w:rsidR="002905FA">
        <w:rPr>
          <w:rFonts w:ascii="Times New Roman" w:eastAsia="Times New Roman" w:hAnsi="Times New Roman" w:cs="Times New Roman"/>
          <w:bCs/>
          <w:kern w:val="0"/>
          <w:sz w:val="24"/>
          <w:szCs w:val="24"/>
          <w:lang w:eastAsia="pl-PL"/>
          <w14:ligatures w14:val="none"/>
        </w:rPr>
        <w:t>–</w:t>
      </w:r>
      <w:r w:rsidRPr="006B4029">
        <w:rPr>
          <w:rFonts w:ascii="Times New Roman" w:eastAsia="Times New Roman" w:hAnsi="Times New Roman" w:cs="Times New Roman"/>
          <w:bCs/>
          <w:kern w:val="0"/>
          <w:sz w:val="24"/>
          <w:szCs w:val="24"/>
          <w:lang w:eastAsia="pl-PL"/>
          <w14:ligatures w14:val="none"/>
        </w:rPr>
        <w:t xml:space="preserve"> przepisy wprowadzające ustawę o Krajowej Administracji Skarbowej (Dz. U. poz. 1948, z późn. zm.) oraz ustawy z dnia 16</w:t>
      </w:r>
      <w:r w:rsidR="002905FA">
        <w:rPr>
          <w:rFonts w:ascii="Times New Roman" w:eastAsia="Times New Roman" w:hAnsi="Times New Roman" w:cs="Times New Roman"/>
          <w:bCs/>
          <w:kern w:val="0"/>
          <w:sz w:val="24"/>
          <w:szCs w:val="24"/>
          <w:lang w:eastAsia="pl-PL"/>
          <w14:ligatures w14:val="none"/>
        </w:rPr>
        <w:t xml:space="preserve"> </w:t>
      </w:r>
      <w:r w:rsidRPr="006B4029">
        <w:rPr>
          <w:rFonts w:ascii="Times New Roman" w:eastAsia="Times New Roman" w:hAnsi="Times New Roman" w:cs="Times New Roman"/>
          <w:bCs/>
          <w:kern w:val="0"/>
          <w:sz w:val="24"/>
          <w:szCs w:val="24"/>
          <w:lang w:eastAsia="pl-PL"/>
          <w14:ligatures w14:val="none"/>
        </w:rPr>
        <w:t xml:space="preserve">listopada 2016 r. o Krajowej Administracji Skarbowej (Dz. U. z 2025 r. poz. 1131, z późn. zm.) i jest kontynuacją Służby Celnej funkcjonującej od 1999 r. w oparciu o ustawę z dnia 24 lipca 1999 r. o Służbie Celnej (Dz. U. poz. 802, z późn. zm.). </w:t>
      </w:r>
    </w:p>
    <w:p w14:paraId="4C4CB682" w14:textId="502AB2F5" w:rsidR="000842DE" w:rsidRPr="006B4029" w:rsidRDefault="000842DE" w:rsidP="006B4029">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6B4029">
        <w:rPr>
          <w:rFonts w:ascii="Times New Roman" w:eastAsia="Times New Roman" w:hAnsi="Times New Roman" w:cs="Times New Roman"/>
          <w:bCs/>
          <w:kern w:val="0"/>
          <w:sz w:val="24"/>
          <w:szCs w:val="24"/>
          <w:lang w:eastAsia="pl-PL"/>
          <w14:ligatures w14:val="none"/>
        </w:rPr>
        <w:t>Aktualne brzmienie art. 32a i art. 32c nie obejmuje swym zakresem służby w Służbie Celno-Skarbowej, co skutkuje brakiem podstawy prawnej do zmiany wysokości emerytury wojskowej poprzez doliczenie pominiętych dotychczas w wymiarze świadczenia okresów pełnienia tej służby, w przypadku ponownego przyjęcia emeryta wojskowego do służby w</w:t>
      </w:r>
      <w:r w:rsidR="002905FA">
        <w:rPr>
          <w:rFonts w:ascii="Times New Roman" w:eastAsia="Times New Roman" w:hAnsi="Times New Roman" w:cs="Times New Roman"/>
          <w:bCs/>
          <w:kern w:val="0"/>
          <w:sz w:val="24"/>
          <w:szCs w:val="24"/>
          <w:lang w:eastAsia="pl-PL"/>
          <w14:ligatures w14:val="none"/>
        </w:rPr>
        <w:t xml:space="preserve"> </w:t>
      </w:r>
      <w:r w:rsidRPr="006B4029">
        <w:rPr>
          <w:rFonts w:ascii="Times New Roman" w:eastAsia="Times New Roman" w:hAnsi="Times New Roman" w:cs="Times New Roman"/>
          <w:bCs/>
          <w:kern w:val="0"/>
          <w:sz w:val="24"/>
          <w:szCs w:val="24"/>
          <w:lang w:eastAsia="pl-PL"/>
          <w14:ligatures w14:val="none"/>
        </w:rPr>
        <w:t xml:space="preserve">Służbie Celno-Skarbowej. </w:t>
      </w:r>
    </w:p>
    <w:p w14:paraId="36026967" w14:textId="77777777" w:rsidR="000842DE" w:rsidRPr="006B4029" w:rsidRDefault="000842DE" w:rsidP="006B4029">
      <w:pPr>
        <w:suppressAutoHyphens/>
        <w:autoSpaceDE w:val="0"/>
        <w:autoSpaceDN w:val="0"/>
        <w:adjustRightInd w:val="0"/>
        <w:spacing w:before="120" w:after="0" w:line="360" w:lineRule="auto"/>
        <w:jc w:val="both"/>
        <w:rPr>
          <w:rFonts w:ascii="Times New Roman" w:eastAsia="Times New Roman" w:hAnsi="Times New Roman" w:cs="Times New Roman"/>
          <w:kern w:val="0"/>
          <w:sz w:val="24"/>
          <w:szCs w:val="24"/>
          <w:lang w:eastAsia="pl-PL"/>
          <w14:ligatures w14:val="none"/>
        </w:rPr>
      </w:pPr>
      <w:r w:rsidRPr="006B4029">
        <w:rPr>
          <w:rFonts w:ascii="Times New Roman" w:eastAsia="Times New Roman" w:hAnsi="Times New Roman" w:cs="Times New Roman"/>
          <w:kern w:val="0"/>
          <w:sz w:val="24"/>
          <w:szCs w:val="24"/>
          <w:lang w:eastAsia="pl-PL"/>
          <w14:ligatures w14:val="none"/>
        </w:rPr>
        <w:t xml:space="preserve">Projektowane art. 32a i art. 32c (w zw. z art. 15 ust. 3a) ustawy będą miały zastosowanie do wszystkich emerytów wojskowych, którzy po nabyciu prawa do emerytury wojskowej pełnili służbę w Służbie Celnej lub Służbie Celno-Skarbowej, również w przypadku, gdy w chwili </w:t>
      </w:r>
      <w:r w:rsidRPr="006B4029">
        <w:rPr>
          <w:rFonts w:ascii="Times New Roman" w:eastAsia="Times New Roman" w:hAnsi="Times New Roman" w:cs="Times New Roman"/>
          <w:kern w:val="0"/>
          <w:sz w:val="24"/>
          <w:szCs w:val="24"/>
          <w:lang w:eastAsia="pl-PL"/>
          <w14:ligatures w14:val="none"/>
        </w:rPr>
        <w:lastRenderedPageBreak/>
        <w:t>ustalania prawa do emerytury wojskowej w ich wysłudze emerytalnej nie uwzględniono okresów tej służby, o których mowa w art. 13 ust. 1 pkt 2 ustawy.</w:t>
      </w:r>
    </w:p>
    <w:p w14:paraId="15925589" w14:textId="1BD789A5" w:rsidR="000842DE" w:rsidRPr="006B4029" w:rsidRDefault="000842DE" w:rsidP="006B4029">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6B4029">
        <w:rPr>
          <w:rFonts w:ascii="Times New Roman" w:eastAsia="Times New Roman" w:hAnsi="Times New Roman" w:cs="Times New Roman"/>
          <w:bCs/>
          <w:kern w:val="0"/>
          <w:sz w:val="24"/>
          <w:szCs w:val="24"/>
          <w:lang w:eastAsia="pl-PL"/>
          <w14:ligatures w14:val="none"/>
        </w:rPr>
        <w:t>Dla zapewnienia jednolitego charakteru projektowanych regulacji zachodzi potrzeba dokonania również zmiany art. 39a ustawy, który uprawniać będzie do zawieszenia prawa do emerytury wojskowej w przypadku ponownego przyjęcia emeryta do służby w Służbie Celno-Skarbowej. W innym przypadku prowadziłoby to do uprzywilejowania tej grupy żołnierzy zawodowych wobec funkcjonariuszy pozostałych służb mundurowych.</w:t>
      </w:r>
    </w:p>
    <w:p w14:paraId="29E81654" w14:textId="36C83ACF" w:rsidR="000842DE" w:rsidRPr="006B4029" w:rsidRDefault="000842DE" w:rsidP="006B4029">
      <w:pPr>
        <w:spacing w:before="120" w:after="0" w:line="360" w:lineRule="auto"/>
        <w:ind w:right="-18"/>
        <w:jc w:val="both"/>
        <w:rPr>
          <w:rFonts w:ascii="Times New Roman" w:eastAsia="Times New Roman" w:hAnsi="Times New Roman" w:cs="Times New Roman"/>
          <w:kern w:val="0"/>
          <w:sz w:val="24"/>
          <w:szCs w:val="24"/>
          <w:lang w:eastAsia="pl-PL"/>
          <w14:ligatures w14:val="none"/>
        </w:rPr>
      </w:pPr>
      <w:r w:rsidRPr="006B4029">
        <w:rPr>
          <w:rFonts w:ascii="Times New Roman" w:eastAsia="Times New Roman" w:hAnsi="Times New Roman" w:cs="Times New Roman"/>
          <w:kern w:val="0"/>
          <w:sz w:val="24"/>
          <w:szCs w:val="24"/>
          <w:lang w:eastAsia="pl-PL"/>
          <w14:ligatures w14:val="none"/>
        </w:rPr>
        <w:t>W celu jednoznacznego określenia zakresu czasowego oraz merytorycznego obowiązywania nowych regulacji w stosunku do osób nimi objętych oraz wyeliminowania wątpliwości interpretacyjnych związanych z wejściem w życie projektowanej regulacji do projektu ustawy wprowadzono art. 2–4. Rozwiązanie to ma istotne znaczenie, ponieważ zakłada się, że regulacja obejmuje również osoby zwolnione ze służby wojskowej przed dniem jej wejścia w życie.</w:t>
      </w:r>
    </w:p>
    <w:p w14:paraId="47AD58C6" w14:textId="3A84F60F" w:rsidR="000842DE" w:rsidRPr="006B4029" w:rsidRDefault="000842DE" w:rsidP="006B4029">
      <w:pPr>
        <w:spacing w:before="120" w:after="0" w:line="360" w:lineRule="auto"/>
        <w:ind w:right="-18"/>
        <w:jc w:val="both"/>
        <w:rPr>
          <w:rFonts w:ascii="Times New Roman" w:eastAsia="Times New Roman" w:hAnsi="Times New Roman" w:cs="Times New Roman"/>
          <w:kern w:val="0"/>
          <w:sz w:val="24"/>
          <w:szCs w:val="24"/>
          <w:lang w:eastAsia="pl-PL"/>
          <w14:ligatures w14:val="none"/>
        </w:rPr>
      </w:pPr>
      <w:r w:rsidRPr="006B4029">
        <w:rPr>
          <w:rFonts w:ascii="Times New Roman" w:eastAsia="Times New Roman" w:hAnsi="Times New Roman" w:cs="Times New Roman"/>
          <w:kern w:val="0"/>
          <w:sz w:val="24"/>
          <w:szCs w:val="24"/>
          <w:lang w:eastAsia="pl-PL"/>
          <w14:ligatures w14:val="none"/>
        </w:rPr>
        <w:t xml:space="preserve">Dzięki projektowanym zmianom służba w Służbie Celnej i w Służbie Celno-Skarbowej zostanie uwzględniona przy ustalaniu prawa do emerytury wojskowej i doliczona do wysługi emerytalnej, co spowoduje wyższą podstawę wymiaru emerytury. Prawo do świadczeń na zasadach określonych w zmienianej ustawie powstaje nie wcześniej niż od dnia wejścia w życie ustawy – po złożeniu wniosku. </w:t>
      </w:r>
    </w:p>
    <w:p w14:paraId="60338FFA" w14:textId="77777777" w:rsidR="000842DE" w:rsidRPr="006B4029" w:rsidRDefault="000842DE" w:rsidP="006B4029">
      <w:pPr>
        <w:spacing w:before="120" w:after="0" w:line="360" w:lineRule="auto"/>
        <w:ind w:right="-18"/>
        <w:jc w:val="both"/>
        <w:rPr>
          <w:rFonts w:ascii="Times New Roman" w:eastAsia="Times New Roman" w:hAnsi="Times New Roman" w:cs="Times New Roman"/>
          <w:kern w:val="0"/>
          <w:sz w:val="24"/>
          <w:szCs w:val="24"/>
          <w:lang w:eastAsia="pl-PL"/>
          <w14:ligatures w14:val="none"/>
        </w:rPr>
      </w:pPr>
      <w:r w:rsidRPr="006B4029">
        <w:rPr>
          <w:rFonts w:ascii="Times New Roman" w:eastAsia="Times New Roman" w:hAnsi="Times New Roman" w:cs="Times New Roman"/>
          <w:kern w:val="0"/>
          <w:sz w:val="24"/>
          <w:szCs w:val="24"/>
          <w:lang w:eastAsia="pl-PL"/>
          <w14:ligatures w14:val="none"/>
        </w:rPr>
        <w:t>W odniesieniu natomiast do propozycji brzmienia art. 3 wyjaśnienia dodatkowo wymaga, że wskazanie „na wniosek” ma charakter doprecyzowujący i służy usunięciu ewentualnych niejasności co do tego, że uprawnienie przewidziane w tym przepisie przysługuje od dnia wejścia w życie ustawy, pod warunkiem złożenia wniosku. Intencją projektodawcy jest podkreślenie momentu skutku zaistniałego w wyniku przedmiotowego doliczenia nieuwzględnionych dotychczas w wymiarze świadczenia okresów służby w Służbie Celno-Skarbowej i ma na celu wyeliminowanie wątpliwości interpretacyjnych i ewentualnego dochodzenia wypłaty wstecz.</w:t>
      </w:r>
    </w:p>
    <w:p w14:paraId="352740D0" w14:textId="77777777" w:rsidR="000842DE" w:rsidRPr="006B4029" w:rsidRDefault="000842DE" w:rsidP="006B4029">
      <w:pPr>
        <w:spacing w:before="120" w:after="0" w:line="360" w:lineRule="auto"/>
        <w:ind w:right="-18"/>
        <w:jc w:val="both"/>
        <w:rPr>
          <w:rFonts w:ascii="Times New Roman" w:eastAsia="Times New Roman" w:hAnsi="Times New Roman" w:cs="Times New Roman"/>
          <w:kern w:val="0"/>
          <w:sz w:val="24"/>
          <w:szCs w:val="24"/>
          <w:lang w:eastAsia="pl-PL"/>
          <w14:ligatures w14:val="none"/>
        </w:rPr>
      </w:pPr>
      <w:r w:rsidRPr="006B4029">
        <w:rPr>
          <w:rFonts w:ascii="Times New Roman" w:eastAsia="Times New Roman" w:hAnsi="Times New Roman" w:cs="Times New Roman"/>
          <w:kern w:val="0"/>
          <w:sz w:val="24"/>
          <w:szCs w:val="24"/>
          <w:lang w:eastAsia="pl-PL"/>
          <w14:ligatures w14:val="none"/>
        </w:rPr>
        <w:t>Projekt zakłada objęcie zasadą zawieszenia prawa do świadczenia emerytalnego również emerytów przyjętych do służby w Służbie Celno-Skarbowej przed dniem wejścia w życie niniejszej ustawy. W stosunku do tych osób prawo do emerytury ulega zawieszeniu od pierwszego dnia miesiąca następującego po miesiącu, w którym niniejsza ustawa weszła w życie. Celem regulacji jest zapewnienie jednolitości stosowania prawa i usunięcie wątpliwości dotyczących nierównego traktowania emerytów znajdujących się w porównywalnej sytuacji prawnej, bez wprowadzania nieuzasadnionego uprzywilejowania którejkolwiek z grup.</w:t>
      </w:r>
    </w:p>
    <w:p w14:paraId="3DEE40FB" w14:textId="77777777" w:rsidR="000842DE" w:rsidRPr="006B4029" w:rsidRDefault="000842DE" w:rsidP="006B4029">
      <w:pPr>
        <w:spacing w:before="120" w:after="0" w:line="360" w:lineRule="auto"/>
        <w:ind w:right="-18"/>
        <w:jc w:val="both"/>
        <w:rPr>
          <w:rFonts w:ascii="Times New Roman" w:eastAsia="Times New Roman" w:hAnsi="Times New Roman" w:cs="Times New Roman"/>
          <w:kern w:val="0"/>
          <w:sz w:val="24"/>
          <w:szCs w:val="24"/>
          <w:lang w:eastAsia="pl-PL"/>
          <w14:ligatures w14:val="none"/>
        </w:rPr>
      </w:pPr>
      <w:r w:rsidRPr="006B4029">
        <w:rPr>
          <w:rFonts w:ascii="Times New Roman" w:eastAsia="Times New Roman" w:hAnsi="Times New Roman" w:cs="Times New Roman"/>
          <w:kern w:val="0"/>
          <w:sz w:val="24"/>
          <w:szCs w:val="24"/>
          <w:lang w:eastAsia="pl-PL"/>
          <w14:ligatures w14:val="none"/>
        </w:rPr>
        <w:lastRenderedPageBreak/>
        <w:t>Proponuje się, aby ustawa weszła w życie pierwszego dnia miesiąca następującego po miesiącu ogłoszenia. Powiązanie wejścia w życie przepisów z pierwszym dniem miesiąca kalendarzowego zapewnia przejrzystość w stosowaniu prawa i ułatwia prowadzenie ewentualnych rozliczeń.</w:t>
      </w:r>
    </w:p>
    <w:p w14:paraId="783FB9B8" w14:textId="77777777" w:rsidR="000842DE" w:rsidRPr="006B4029" w:rsidRDefault="000842DE" w:rsidP="006B4029">
      <w:pPr>
        <w:suppressAutoHyphens/>
        <w:autoSpaceDE w:val="0"/>
        <w:autoSpaceDN w:val="0"/>
        <w:adjustRightInd w:val="0"/>
        <w:spacing w:before="120" w:after="0" w:line="360" w:lineRule="auto"/>
        <w:jc w:val="both"/>
        <w:rPr>
          <w:rFonts w:ascii="Times New Roman" w:eastAsia="Times New Roman" w:hAnsi="Times New Roman" w:cs="Times New Roman"/>
          <w:kern w:val="0"/>
          <w:sz w:val="24"/>
          <w:szCs w:val="24"/>
          <w:lang w:eastAsia="pl-PL"/>
          <w14:ligatures w14:val="none"/>
        </w:rPr>
      </w:pPr>
      <w:r w:rsidRPr="006B4029">
        <w:rPr>
          <w:rFonts w:ascii="Times New Roman" w:eastAsia="Times New Roman" w:hAnsi="Times New Roman" w:cs="Times New Roman"/>
          <w:kern w:val="0"/>
          <w:sz w:val="24"/>
          <w:szCs w:val="24"/>
          <w:lang w:eastAsia="pl-PL"/>
          <w14:ligatures w14:val="none"/>
        </w:rPr>
        <w:t xml:space="preserve">Zakres przedmiotowej regulacji nie jest objęty prawem Unii Europejskiej. </w:t>
      </w:r>
    </w:p>
    <w:p w14:paraId="3FC4AE32" w14:textId="77777777" w:rsidR="000842DE" w:rsidRPr="006B4029" w:rsidRDefault="000842DE" w:rsidP="006B4029">
      <w:pPr>
        <w:suppressAutoHyphens/>
        <w:autoSpaceDE w:val="0"/>
        <w:autoSpaceDN w:val="0"/>
        <w:adjustRightInd w:val="0"/>
        <w:spacing w:before="120" w:after="0" w:line="360" w:lineRule="auto"/>
        <w:jc w:val="both"/>
        <w:rPr>
          <w:rFonts w:ascii="Times New Roman" w:eastAsia="Times New Roman" w:hAnsi="Times New Roman" w:cs="Times New Roman"/>
          <w:kern w:val="0"/>
          <w:sz w:val="24"/>
          <w:szCs w:val="24"/>
          <w:lang w:eastAsia="pl-PL"/>
          <w14:ligatures w14:val="none"/>
        </w:rPr>
      </w:pPr>
      <w:r w:rsidRPr="006B4029">
        <w:rPr>
          <w:rFonts w:ascii="Times New Roman" w:eastAsia="Times New Roman" w:hAnsi="Times New Roman" w:cs="Times New Roman"/>
          <w:kern w:val="0"/>
          <w:sz w:val="24"/>
          <w:szCs w:val="24"/>
          <w:lang w:eastAsia="pl-PL"/>
          <w14:ligatures w14:val="none"/>
        </w:rPr>
        <w:t>Projekt ustawy nie wymaga przedstawienia właściwym organom i instytucjom Unii Europejskiej, w tym Europejskiemu Bankowi Centralnemu, w celu uzyskania opinii, dokonania powiadomienia, konsultacji albo uzgodnienia.</w:t>
      </w:r>
    </w:p>
    <w:p w14:paraId="775B92CC" w14:textId="60E34B3D" w:rsidR="000842DE" w:rsidRPr="006B4029" w:rsidRDefault="000842DE" w:rsidP="006B4029">
      <w:pPr>
        <w:suppressAutoHyphens/>
        <w:autoSpaceDE w:val="0"/>
        <w:autoSpaceDN w:val="0"/>
        <w:adjustRightInd w:val="0"/>
        <w:spacing w:before="120" w:after="0" w:line="360" w:lineRule="auto"/>
        <w:jc w:val="both"/>
        <w:rPr>
          <w:rFonts w:ascii="Times New Roman" w:eastAsia="Times New Roman" w:hAnsi="Times New Roman" w:cs="Times New Roman"/>
          <w:kern w:val="0"/>
          <w:sz w:val="24"/>
          <w:szCs w:val="24"/>
          <w:lang w:eastAsia="pl-PL"/>
          <w14:ligatures w14:val="none"/>
        </w:rPr>
      </w:pPr>
      <w:r w:rsidRPr="006B4029">
        <w:rPr>
          <w:rFonts w:ascii="Times New Roman" w:eastAsia="Times New Roman" w:hAnsi="Times New Roman" w:cs="Times New Roman"/>
          <w:kern w:val="0"/>
          <w:sz w:val="24"/>
          <w:szCs w:val="24"/>
          <w:lang w:eastAsia="pl-PL"/>
          <w14:ligatures w14:val="none"/>
        </w:rPr>
        <w:t>Projekt ustawy nie zawiera przepisów technicznych w rozumieniu rozporządzenia Rady Ministrów z dnia 23 grudnia 2002 r. w sprawie sposobu funkcjonowania krajowego systemu notyfikacji</w:t>
      </w:r>
      <w:r w:rsidR="003B70B8">
        <w:rPr>
          <w:rFonts w:ascii="Times New Roman" w:eastAsia="Times New Roman" w:hAnsi="Times New Roman" w:cs="Times New Roman"/>
          <w:kern w:val="0"/>
          <w:sz w:val="24"/>
          <w:szCs w:val="24"/>
          <w:lang w:eastAsia="pl-PL"/>
          <w14:ligatures w14:val="none"/>
        </w:rPr>
        <w:t xml:space="preserve"> norm</w:t>
      </w:r>
      <w:r w:rsidRPr="006B4029">
        <w:rPr>
          <w:rFonts w:ascii="Times New Roman" w:eastAsia="Times New Roman" w:hAnsi="Times New Roman" w:cs="Times New Roman"/>
          <w:kern w:val="0"/>
          <w:sz w:val="24"/>
          <w:szCs w:val="24"/>
          <w:lang w:eastAsia="pl-PL"/>
          <w14:ligatures w14:val="none"/>
        </w:rPr>
        <w:t xml:space="preserve"> i aktów prawnych (Dz. U. poz. 2039, z późn. zm.) i nie podlega notyfikacji Komisji Europejskiej.</w:t>
      </w:r>
    </w:p>
    <w:p w14:paraId="0F1B85C3" w14:textId="19E075A4" w:rsidR="000842DE" w:rsidRPr="006B4029" w:rsidRDefault="000842DE" w:rsidP="006B4029">
      <w:pPr>
        <w:suppressAutoHyphens/>
        <w:autoSpaceDE w:val="0"/>
        <w:autoSpaceDN w:val="0"/>
        <w:adjustRightInd w:val="0"/>
        <w:spacing w:before="120" w:after="0" w:line="360" w:lineRule="auto"/>
        <w:jc w:val="both"/>
        <w:rPr>
          <w:rFonts w:ascii="Times New Roman" w:eastAsia="Times New Roman" w:hAnsi="Times New Roman" w:cs="Times New Roman"/>
          <w:kern w:val="0"/>
          <w:sz w:val="24"/>
          <w:szCs w:val="24"/>
          <w:lang w:eastAsia="pl-PL"/>
          <w14:ligatures w14:val="none"/>
        </w:rPr>
      </w:pPr>
      <w:r w:rsidRPr="006B4029">
        <w:rPr>
          <w:rFonts w:ascii="Times New Roman" w:eastAsia="Times New Roman" w:hAnsi="Times New Roman" w:cs="Times New Roman"/>
          <w:kern w:val="0"/>
          <w:sz w:val="24"/>
          <w:szCs w:val="24"/>
          <w:lang w:eastAsia="pl-PL"/>
          <w14:ligatures w14:val="none"/>
        </w:rPr>
        <w:t>Zawarte w projekcie regulacje nie będą miały wpływu na mikro-, małych i średnich przedsiębior</w:t>
      </w:r>
      <w:r w:rsidR="003B70B8">
        <w:rPr>
          <w:rFonts w:ascii="Times New Roman" w:eastAsia="Times New Roman" w:hAnsi="Times New Roman" w:cs="Times New Roman"/>
          <w:kern w:val="0"/>
          <w:sz w:val="24"/>
          <w:szCs w:val="24"/>
          <w:lang w:eastAsia="pl-PL"/>
          <w14:ligatures w14:val="none"/>
        </w:rPr>
        <w:t>ców</w:t>
      </w:r>
      <w:r w:rsidRPr="006B4029">
        <w:rPr>
          <w:rFonts w:ascii="Times New Roman" w:eastAsia="Times New Roman" w:hAnsi="Times New Roman" w:cs="Times New Roman"/>
          <w:kern w:val="0"/>
          <w:sz w:val="24"/>
          <w:szCs w:val="24"/>
          <w:lang w:eastAsia="pl-PL"/>
          <w14:ligatures w14:val="none"/>
        </w:rPr>
        <w:t xml:space="preserve"> zgodnie z ustawą z dnia 6 marca 2018 r. – Prawo przedsiębiorców (Dz. U. z 2025 r. poz. 1480, z późn. zm.).</w:t>
      </w:r>
    </w:p>
    <w:p w14:paraId="2DE741D0" w14:textId="530DE666" w:rsidR="000842DE" w:rsidRPr="006B4029" w:rsidRDefault="000842DE" w:rsidP="006B4029">
      <w:pPr>
        <w:suppressAutoHyphens/>
        <w:autoSpaceDE w:val="0"/>
        <w:autoSpaceDN w:val="0"/>
        <w:adjustRightInd w:val="0"/>
        <w:spacing w:before="120" w:after="0" w:line="360" w:lineRule="auto"/>
        <w:jc w:val="both"/>
        <w:rPr>
          <w:rFonts w:ascii="Times New Roman" w:eastAsia="Times New Roman" w:hAnsi="Times New Roman" w:cs="Times New Roman"/>
          <w:kern w:val="0"/>
          <w:sz w:val="24"/>
          <w:szCs w:val="24"/>
          <w:lang w:eastAsia="pl-PL"/>
          <w14:ligatures w14:val="none"/>
        </w:rPr>
      </w:pPr>
      <w:r w:rsidRPr="006B4029">
        <w:rPr>
          <w:rFonts w:ascii="Times New Roman" w:eastAsia="Times New Roman" w:hAnsi="Times New Roman" w:cs="Times New Roman"/>
          <w:kern w:val="0"/>
          <w:sz w:val="24"/>
          <w:szCs w:val="24"/>
          <w:lang w:eastAsia="pl-PL"/>
          <w14:ligatures w14:val="none"/>
        </w:rPr>
        <w:t xml:space="preserve">Projekt ustawy stosownie do wymogów art. 5 ustawy z dnia 7 lipca 2005 r. o działalności lobbingowej w procesie stanowienia prawa (Dz. U. z 2026 r. poz. 936), w związku z § 52 uchwały nr 190 Rady Ministrów z dnia 29 października 2013 r. </w:t>
      </w:r>
      <w:r w:rsidR="002905FA">
        <w:rPr>
          <w:rFonts w:ascii="Times New Roman" w:eastAsia="Times New Roman" w:hAnsi="Times New Roman" w:cs="Times New Roman"/>
          <w:kern w:val="0"/>
          <w:sz w:val="24"/>
          <w:szCs w:val="24"/>
          <w:lang w:eastAsia="pl-PL"/>
          <w14:ligatures w14:val="none"/>
        </w:rPr>
        <w:t>–</w:t>
      </w:r>
      <w:r w:rsidRPr="006B4029">
        <w:rPr>
          <w:rFonts w:ascii="Times New Roman" w:eastAsia="Times New Roman" w:hAnsi="Times New Roman" w:cs="Times New Roman"/>
          <w:kern w:val="0"/>
          <w:sz w:val="24"/>
          <w:szCs w:val="24"/>
          <w:lang w:eastAsia="pl-PL"/>
          <w14:ligatures w14:val="none"/>
        </w:rPr>
        <w:t xml:space="preserve"> Regulamin pracy Rady Ministrów (M.P. z 2026 r. poz. 404), został zamieszczony w Biuletynie Informacji Publicznej na stronie podmiotowej Rządowego Centrum Legislacji. Podmioty nie zgłosiły zainteresowania pracami nad projektem.</w:t>
      </w:r>
    </w:p>
    <w:p w14:paraId="114D1AC8" w14:textId="7D01F5FE" w:rsidR="0037084B" w:rsidRPr="006B4029" w:rsidRDefault="000842DE" w:rsidP="006B4029">
      <w:pPr>
        <w:spacing w:before="120" w:after="0" w:line="360" w:lineRule="auto"/>
        <w:jc w:val="both"/>
        <w:rPr>
          <w:rFonts w:ascii="Times New Roman" w:hAnsi="Times New Roman" w:cs="Times New Roman"/>
          <w:sz w:val="24"/>
          <w:szCs w:val="24"/>
        </w:rPr>
      </w:pPr>
      <w:r w:rsidRPr="006B4029">
        <w:rPr>
          <w:rFonts w:ascii="Times New Roman" w:eastAsia="Times New Roman" w:hAnsi="Times New Roman" w:cs="Times New Roman"/>
          <w:kern w:val="0"/>
          <w:sz w:val="24"/>
          <w:szCs w:val="24"/>
          <w:lang w:eastAsia="pl-PL"/>
          <w14:ligatures w14:val="none"/>
        </w:rPr>
        <w:t xml:space="preserve">Projekt nie będzie podlegał dokonaniu oceny OSR przez koordynatora OSR w trybie § 32 uchwały nr 190 Rady Ministrów z dnia 29 października 2013 r. </w:t>
      </w:r>
      <w:r w:rsidR="002905FA">
        <w:rPr>
          <w:rFonts w:ascii="Times New Roman" w:eastAsia="Times New Roman" w:hAnsi="Times New Roman" w:cs="Times New Roman"/>
          <w:kern w:val="0"/>
          <w:sz w:val="24"/>
          <w:szCs w:val="24"/>
          <w:lang w:eastAsia="pl-PL"/>
          <w14:ligatures w14:val="none"/>
        </w:rPr>
        <w:t>–</w:t>
      </w:r>
      <w:r w:rsidRPr="006B4029">
        <w:rPr>
          <w:rFonts w:ascii="Times New Roman" w:eastAsia="Times New Roman" w:hAnsi="Times New Roman" w:cs="Times New Roman"/>
          <w:kern w:val="0"/>
          <w:sz w:val="24"/>
          <w:szCs w:val="24"/>
          <w:lang w:eastAsia="pl-PL"/>
          <w14:ligatures w14:val="none"/>
        </w:rPr>
        <w:t xml:space="preserve"> Regulamin pracy Rady Ministrów, lecz w trybie § 42 ust. 1 tego Regulaminu.</w:t>
      </w:r>
    </w:p>
    <w:sectPr w:rsidR="0037084B" w:rsidRPr="006B4029" w:rsidSect="003A5856">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0CA3B" w14:textId="77777777" w:rsidR="006F1017" w:rsidRDefault="006F1017" w:rsidP="003A5856">
      <w:pPr>
        <w:spacing w:after="0" w:line="240" w:lineRule="auto"/>
      </w:pPr>
      <w:r>
        <w:separator/>
      </w:r>
    </w:p>
  </w:endnote>
  <w:endnote w:type="continuationSeparator" w:id="0">
    <w:p w14:paraId="3064CE96" w14:textId="77777777" w:rsidR="006F1017" w:rsidRDefault="006F1017" w:rsidP="003A5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9657261"/>
      <w:docPartObj>
        <w:docPartGallery w:val="Page Numbers (Bottom of Page)"/>
        <w:docPartUnique/>
      </w:docPartObj>
    </w:sdtPr>
    <w:sdtEndPr>
      <w:rPr>
        <w:rFonts w:ascii="Times New Roman" w:hAnsi="Times New Roman" w:cs="Times New Roman"/>
        <w:sz w:val="24"/>
        <w:szCs w:val="24"/>
      </w:rPr>
    </w:sdtEndPr>
    <w:sdtContent>
      <w:p w14:paraId="19B737B2" w14:textId="0BA4CAD8" w:rsidR="003A5856" w:rsidRPr="003A5856" w:rsidRDefault="003A5856" w:rsidP="003A5856">
        <w:pPr>
          <w:pStyle w:val="Stopka"/>
          <w:jc w:val="center"/>
          <w:rPr>
            <w:rFonts w:ascii="Times New Roman" w:hAnsi="Times New Roman" w:cs="Times New Roman"/>
            <w:sz w:val="24"/>
            <w:szCs w:val="24"/>
          </w:rPr>
        </w:pPr>
        <w:r w:rsidRPr="003A5856">
          <w:rPr>
            <w:rFonts w:ascii="Times New Roman" w:hAnsi="Times New Roman" w:cs="Times New Roman"/>
            <w:sz w:val="24"/>
            <w:szCs w:val="24"/>
          </w:rPr>
          <w:fldChar w:fldCharType="begin"/>
        </w:r>
        <w:r w:rsidRPr="003A5856">
          <w:rPr>
            <w:rFonts w:ascii="Times New Roman" w:hAnsi="Times New Roman" w:cs="Times New Roman"/>
            <w:sz w:val="24"/>
            <w:szCs w:val="24"/>
          </w:rPr>
          <w:instrText>PAGE   \* MERGEFORMAT</w:instrText>
        </w:r>
        <w:r w:rsidRPr="003A5856">
          <w:rPr>
            <w:rFonts w:ascii="Times New Roman" w:hAnsi="Times New Roman" w:cs="Times New Roman"/>
            <w:sz w:val="24"/>
            <w:szCs w:val="24"/>
          </w:rPr>
          <w:fldChar w:fldCharType="separate"/>
        </w:r>
        <w:r w:rsidRPr="003A5856">
          <w:rPr>
            <w:rFonts w:ascii="Times New Roman" w:hAnsi="Times New Roman" w:cs="Times New Roman"/>
            <w:sz w:val="24"/>
            <w:szCs w:val="24"/>
          </w:rPr>
          <w:t>2</w:t>
        </w:r>
        <w:r w:rsidRPr="003A5856">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39331" w14:textId="77777777" w:rsidR="006F1017" w:rsidRDefault="006F1017" w:rsidP="003A5856">
      <w:pPr>
        <w:spacing w:after="0" w:line="240" w:lineRule="auto"/>
      </w:pPr>
      <w:r>
        <w:separator/>
      </w:r>
    </w:p>
  </w:footnote>
  <w:footnote w:type="continuationSeparator" w:id="0">
    <w:p w14:paraId="503A1F02" w14:textId="77777777" w:rsidR="006F1017" w:rsidRDefault="006F1017" w:rsidP="003A58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346E7B"/>
    <w:multiLevelType w:val="hybridMultilevel"/>
    <w:tmpl w:val="589853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B6421B9"/>
    <w:multiLevelType w:val="hybridMultilevel"/>
    <w:tmpl w:val="C48CAD46"/>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num w:numId="1" w16cid:durableId="2045668632">
    <w:abstractNumId w:val="1"/>
  </w:num>
  <w:num w:numId="2" w16cid:durableId="1414745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DE"/>
    <w:rsid w:val="000026C9"/>
    <w:rsid w:val="000842DE"/>
    <w:rsid w:val="000C0ACF"/>
    <w:rsid w:val="00235CC5"/>
    <w:rsid w:val="002905FA"/>
    <w:rsid w:val="00345CEC"/>
    <w:rsid w:val="0037084B"/>
    <w:rsid w:val="003A5856"/>
    <w:rsid w:val="003B70B8"/>
    <w:rsid w:val="00513781"/>
    <w:rsid w:val="006B4029"/>
    <w:rsid w:val="006F1017"/>
    <w:rsid w:val="00770FCA"/>
    <w:rsid w:val="00864901"/>
    <w:rsid w:val="00A42630"/>
    <w:rsid w:val="00B13216"/>
    <w:rsid w:val="00BA5398"/>
    <w:rsid w:val="00D01147"/>
    <w:rsid w:val="00E42914"/>
    <w:rsid w:val="00E6608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3C90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842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0842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0842D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842D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842D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842D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842D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842D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842D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842D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842D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842D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842D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842D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842D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842D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842D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842DE"/>
    <w:rPr>
      <w:rFonts w:eastAsiaTheme="majorEastAsia" w:cstheme="majorBidi"/>
      <w:color w:val="272727" w:themeColor="text1" w:themeTint="D8"/>
    </w:rPr>
  </w:style>
  <w:style w:type="paragraph" w:styleId="Tytu">
    <w:name w:val="Title"/>
    <w:basedOn w:val="Normalny"/>
    <w:next w:val="Normalny"/>
    <w:link w:val="TytuZnak"/>
    <w:uiPriority w:val="10"/>
    <w:qFormat/>
    <w:rsid w:val="000842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842D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842D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842D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842DE"/>
    <w:pPr>
      <w:spacing w:before="160"/>
      <w:jc w:val="center"/>
    </w:pPr>
    <w:rPr>
      <w:i/>
      <w:iCs/>
      <w:color w:val="404040" w:themeColor="text1" w:themeTint="BF"/>
    </w:rPr>
  </w:style>
  <w:style w:type="character" w:customStyle="1" w:styleId="CytatZnak">
    <w:name w:val="Cytat Znak"/>
    <w:basedOn w:val="Domylnaczcionkaakapitu"/>
    <w:link w:val="Cytat"/>
    <w:uiPriority w:val="29"/>
    <w:rsid w:val="000842DE"/>
    <w:rPr>
      <w:i/>
      <w:iCs/>
      <w:color w:val="404040" w:themeColor="text1" w:themeTint="BF"/>
    </w:rPr>
  </w:style>
  <w:style w:type="paragraph" w:styleId="Akapitzlist">
    <w:name w:val="List Paragraph"/>
    <w:basedOn w:val="Normalny"/>
    <w:uiPriority w:val="34"/>
    <w:qFormat/>
    <w:rsid w:val="000842DE"/>
    <w:pPr>
      <w:ind w:left="720"/>
      <w:contextualSpacing/>
    </w:pPr>
  </w:style>
  <w:style w:type="character" w:styleId="Wyrnienieintensywne">
    <w:name w:val="Intense Emphasis"/>
    <w:basedOn w:val="Domylnaczcionkaakapitu"/>
    <w:uiPriority w:val="21"/>
    <w:qFormat/>
    <w:rsid w:val="000842DE"/>
    <w:rPr>
      <w:i/>
      <w:iCs/>
      <w:color w:val="0F4761" w:themeColor="accent1" w:themeShade="BF"/>
    </w:rPr>
  </w:style>
  <w:style w:type="paragraph" w:styleId="Cytatintensywny">
    <w:name w:val="Intense Quote"/>
    <w:basedOn w:val="Normalny"/>
    <w:next w:val="Normalny"/>
    <w:link w:val="CytatintensywnyZnak"/>
    <w:uiPriority w:val="30"/>
    <w:qFormat/>
    <w:rsid w:val="000842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842DE"/>
    <w:rPr>
      <w:i/>
      <w:iCs/>
      <w:color w:val="0F4761" w:themeColor="accent1" w:themeShade="BF"/>
    </w:rPr>
  </w:style>
  <w:style w:type="character" w:styleId="Odwoanieintensywne">
    <w:name w:val="Intense Reference"/>
    <w:basedOn w:val="Domylnaczcionkaakapitu"/>
    <w:uiPriority w:val="32"/>
    <w:qFormat/>
    <w:rsid w:val="000842DE"/>
    <w:rPr>
      <w:b/>
      <w:bCs/>
      <w:smallCaps/>
      <w:color w:val="0F4761" w:themeColor="accent1" w:themeShade="BF"/>
      <w:spacing w:val="5"/>
    </w:rPr>
  </w:style>
  <w:style w:type="paragraph" w:styleId="Nagwek">
    <w:name w:val="header"/>
    <w:basedOn w:val="Normalny"/>
    <w:link w:val="NagwekZnak"/>
    <w:uiPriority w:val="99"/>
    <w:unhideWhenUsed/>
    <w:rsid w:val="003A585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A5856"/>
  </w:style>
  <w:style w:type="paragraph" w:styleId="Stopka">
    <w:name w:val="footer"/>
    <w:basedOn w:val="Normalny"/>
    <w:link w:val="StopkaZnak"/>
    <w:uiPriority w:val="99"/>
    <w:unhideWhenUsed/>
    <w:rsid w:val="003A585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A5856"/>
  </w:style>
  <w:style w:type="paragraph" w:styleId="Poprawka">
    <w:name w:val="Revision"/>
    <w:hidden/>
    <w:uiPriority w:val="99"/>
    <w:semiHidden/>
    <w:rsid w:val="003A58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1686</Words>
  <Characters>10117</Characters>
  <Application>Microsoft Office Word</Application>
  <DocSecurity>0</DocSecurity>
  <Lines>84</Lines>
  <Paragraphs>23</Paragraphs>
  <ScaleCrop>false</ScaleCrop>
  <Company/>
  <LinksUpToDate>false</LinksUpToDate>
  <CharactersWithSpaces>11780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2026-11-04T17:33:00Z</dcterms:created>
  <dcterms:modified xsi:type="dcterms:W3CDTF">2026-11-04T17:33:00Z</dcterms:modified>
</cp:coreProperties>
</file>