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F9050" w14:textId="2DA52295" w:rsidR="0044203D" w:rsidRPr="004F6220" w:rsidRDefault="003F2985" w:rsidP="005D621C">
      <w:pPr>
        <w:spacing w:after="240" w:line="360" w:lineRule="auto"/>
        <w:jc w:val="center"/>
        <w:rPr>
          <w:rFonts w:ascii="Times New Roman" w:hAnsi="Times New Roman" w:cs="Times New Roman"/>
          <w:sz w:val="24"/>
          <w:szCs w:val="24"/>
        </w:rPr>
      </w:pPr>
      <w:r w:rsidRPr="005D621C">
        <w:rPr>
          <w:rFonts w:ascii="Times New Roman" w:hAnsi="Times New Roman" w:cs="Times New Roman"/>
          <w:bCs/>
          <w:sz w:val="24"/>
          <w:szCs w:val="24"/>
        </w:rPr>
        <w:t>UZASADNIENIE</w:t>
      </w:r>
    </w:p>
    <w:p w14:paraId="47547225" w14:textId="58A2A28C" w:rsidR="007B778F" w:rsidRPr="004F6220" w:rsidRDefault="00F569CF" w:rsidP="005D621C">
      <w:pPr>
        <w:spacing w:before="120" w:after="0" w:line="360" w:lineRule="auto"/>
        <w:jc w:val="both"/>
        <w:rPr>
          <w:rFonts w:ascii="Times New Roman" w:hAnsi="Times New Roman" w:cs="Times New Roman"/>
          <w:i/>
          <w:iCs/>
          <w:sz w:val="24"/>
          <w:szCs w:val="24"/>
        </w:rPr>
      </w:pPr>
      <w:r w:rsidRPr="004F6220">
        <w:rPr>
          <w:rFonts w:ascii="Times New Roman" w:hAnsi="Times New Roman" w:cs="Times New Roman"/>
          <w:sz w:val="24"/>
          <w:szCs w:val="24"/>
        </w:rPr>
        <w:t xml:space="preserve">Projektowana </w:t>
      </w:r>
      <w:r w:rsidR="001D4428" w:rsidRPr="004F6220">
        <w:rPr>
          <w:rFonts w:ascii="Times New Roman" w:hAnsi="Times New Roman" w:cs="Times New Roman"/>
          <w:i/>
          <w:iCs/>
          <w:sz w:val="24"/>
          <w:szCs w:val="24"/>
        </w:rPr>
        <w:t xml:space="preserve">ustawa o </w:t>
      </w:r>
      <w:r w:rsidR="00E51440" w:rsidRPr="004F6220">
        <w:rPr>
          <w:rFonts w:ascii="Times New Roman" w:hAnsi="Times New Roman" w:cs="Times New Roman"/>
          <w:i/>
          <w:iCs/>
          <w:sz w:val="24"/>
          <w:szCs w:val="24"/>
        </w:rPr>
        <w:t>zmianie niektórych ustaw w związku z usprawnieniem funkcjonowania rynku kapitałowego</w:t>
      </w:r>
      <w:r w:rsidR="007B778F" w:rsidRPr="004F6220">
        <w:rPr>
          <w:rFonts w:ascii="Times New Roman" w:hAnsi="Times New Roman" w:cs="Times New Roman"/>
          <w:sz w:val="24"/>
          <w:szCs w:val="24"/>
        </w:rPr>
        <w:t>:</w:t>
      </w:r>
    </w:p>
    <w:p w14:paraId="262A006B" w14:textId="332C7F94" w:rsidR="007B778F" w:rsidRPr="004F6220" w:rsidRDefault="007B778F" w:rsidP="005D621C">
      <w:pPr>
        <w:spacing w:after="0" w:line="360" w:lineRule="auto"/>
        <w:ind w:left="425" w:hanging="425"/>
        <w:jc w:val="both"/>
        <w:rPr>
          <w:rFonts w:ascii="Times New Roman" w:hAnsi="Times New Roman" w:cs="Times New Roman"/>
          <w:sz w:val="24"/>
          <w:szCs w:val="24"/>
        </w:rPr>
      </w:pPr>
      <w:r w:rsidRPr="004F6220">
        <w:rPr>
          <w:rFonts w:ascii="Times New Roman" w:hAnsi="Times New Roman" w:cs="Times New Roman"/>
          <w:sz w:val="24"/>
          <w:szCs w:val="24"/>
        </w:rPr>
        <w:t>1)</w:t>
      </w:r>
      <w:r w:rsidRPr="004F6220">
        <w:rPr>
          <w:rFonts w:ascii="Times New Roman" w:hAnsi="Times New Roman" w:cs="Times New Roman"/>
          <w:sz w:val="24"/>
          <w:szCs w:val="24"/>
        </w:rPr>
        <w:tab/>
      </w:r>
      <w:r w:rsidR="001D4428" w:rsidRPr="004F6220">
        <w:rPr>
          <w:rFonts w:ascii="Times New Roman" w:hAnsi="Times New Roman" w:cs="Times New Roman"/>
          <w:sz w:val="24"/>
          <w:szCs w:val="24"/>
        </w:rPr>
        <w:t>dokona transpozycji dyrektywy Parlamentu Europejskiego i Rady (UE) 2024/2811 z dnia 23 października 2024 r. w sprawie zmiany dyrektywy 2014/65/UE w celu zwiększenia atrakcyjności publicznych rynków kapitałowych w Unii dla spółek i ułatwienia małym i</w:t>
      </w:r>
      <w:r w:rsidR="00E51440" w:rsidRPr="004F6220">
        <w:rPr>
          <w:rFonts w:ascii="Times New Roman" w:hAnsi="Times New Roman" w:cs="Times New Roman"/>
          <w:sz w:val="24"/>
          <w:szCs w:val="24"/>
        </w:rPr>
        <w:t> </w:t>
      </w:r>
      <w:r w:rsidR="001D4428" w:rsidRPr="004F6220">
        <w:rPr>
          <w:rFonts w:ascii="Times New Roman" w:hAnsi="Times New Roman" w:cs="Times New Roman"/>
          <w:sz w:val="24"/>
          <w:szCs w:val="24"/>
        </w:rPr>
        <w:t>średnim przedsiębiorstwom dostępu do kapitału oraz uchylenia dyrektywy 2001/34/WE (Dz.</w:t>
      </w:r>
      <w:r w:rsidR="00E6072A" w:rsidRPr="004F6220">
        <w:rPr>
          <w:rFonts w:ascii="Times New Roman" w:hAnsi="Times New Roman" w:cs="Times New Roman"/>
          <w:sz w:val="24"/>
          <w:szCs w:val="24"/>
        </w:rPr>
        <w:t xml:space="preserve"> </w:t>
      </w:r>
      <w:r w:rsidR="001D4428" w:rsidRPr="004F6220">
        <w:rPr>
          <w:rFonts w:ascii="Times New Roman" w:hAnsi="Times New Roman" w:cs="Times New Roman"/>
          <w:sz w:val="24"/>
          <w:szCs w:val="24"/>
        </w:rPr>
        <w:t>U</w:t>
      </w:r>
      <w:r w:rsidR="006051F3" w:rsidRPr="004F6220">
        <w:rPr>
          <w:rFonts w:ascii="Times New Roman" w:hAnsi="Times New Roman" w:cs="Times New Roman"/>
          <w:sz w:val="24"/>
          <w:szCs w:val="24"/>
        </w:rPr>
        <w:t>rz</w:t>
      </w:r>
      <w:r w:rsidR="001D4428" w:rsidRPr="004F6220">
        <w:rPr>
          <w:rFonts w:ascii="Times New Roman" w:hAnsi="Times New Roman" w:cs="Times New Roman"/>
          <w:sz w:val="24"/>
          <w:szCs w:val="24"/>
        </w:rPr>
        <w:t>.</w:t>
      </w:r>
      <w:r w:rsidR="00E6072A" w:rsidRPr="004F6220">
        <w:rPr>
          <w:rFonts w:ascii="Times New Roman" w:hAnsi="Times New Roman" w:cs="Times New Roman"/>
          <w:sz w:val="24"/>
          <w:szCs w:val="24"/>
        </w:rPr>
        <w:t xml:space="preserve"> UE</w:t>
      </w:r>
      <w:r w:rsidR="001D4428" w:rsidRPr="004F6220">
        <w:rPr>
          <w:rFonts w:ascii="Times New Roman" w:hAnsi="Times New Roman" w:cs="Times New Roman"/>
          <w:sz w:val="24"/>
          <w:szCs w:val="24"/>
        </w:rPr>
        <w:t xml:space="preserve"> L 2024/2811, 14.11.2024)</w:t>
      </w:r>
      <w:r w:rsidR="000749ED" w:rsidRPr="004F6220">
        <w:rPr>
          <w:rFonts w:ascii="Times New Roman" w:hAnsi="Times New Roman" w:cs="Times New Roman"/>
          <w:sz w:val="24"/>
          <w:szCs w:val="24"/>
        </w:rPr>
        <w:t>, zwanej dalej „dyrektywą 2024/2811”</w:t>
      </w:r>
      <w:r w:rsidRPr="004F6220">
        <w:rPr>
          <w:rFonts w:ascii="Times New Roman" w:hAnsi="Times New Roman" w:cs="Times New Roman"/>
          <w:sz w:val="24"/>
          <w:szCs w:val="24"/>
        </w:rPr>
        <w:t>;</w:t>
      </w:r>
    </w:p>
    <w:p w14:paraId="6CA7104B" w14:textId="4D271540" w:rsidR="007B778F" w:rsidRPr="004F6220" w:rsidRDefault="007B778F" w:rsidP="005D621C">
      <w:pPr>
        <w:spacing w:after="0" w:line="360" w:lineRule="auto"/>
        <w:ind w:left="425" w:hanging="425"/>
        <w:jc w:val="both"/>
        <w:rPr>
          <w:rFonts w:ascii="Times New Roman" w:hAnsi="Times New Roman" w:cs="Times New Roman"/>
          <w:sz w:val="24"/>
          <w:szCs w:val="24"/>
        </w:rPr>
      </w:pPr>
      <w:r w:rsidRPr="004F6220">
        <w:rPr>
          <w:rFonts w:ascii="Times New Roman" w:hAnsi="Times New Roman" w:cs="Times New Roman"/>
          <w:sz w:val="24"/>
          <w:szCs w:val="24"/>
        </w:rPr>
        <w:t>2)</w:t>
      </w:r>
      <w:r w:rsidRPr="004F6220">
        <w:rPr>
          <w:rFonts w:ascii="Times New Roman" w:hAnsi="Times New Roman" w:cs="Times New Roman"/>
          <w:sz w:val="24"/>
          <w:szCs w:val="24"/>
        </w:rPr>
        <w:tab/>
        <w:t>służy</w:t>
      </w:r>
      <w:r w:rsidR="000749ED" w:rsidRPr="004F6220">
        <w:rPr>
          <w:rFonts w:ascii="Times New Roman" w:hAnsi="Times New Roman" w:cs="Times New Roman"/>
          <w:sz w:val="24"/>
          <w:szCs w:val="24"/>
        </w:rPr>
        <w:t xml:space="preserve"> stosowani</w:t>
      </w:r>
      <w:r w:rsidRPr="004F6220">
        <w:rPr>
          <w:rFonts w:ascii="Times New Roman" w:hAnsi="Times New Roman" w:cs="Times New Roman"/>
          <w:sz w:val="24"/>
          <w:szCs w:val="24"/>
        </w:rPr>
        <w:t>u</w:t>
      </w:r>
      <w:r w:rsidR="000749ED" w:rsidRPr="004F6220">
        <w:rPr>
          <w:rFonts w:ascii="Times New Roman" w:hAnsi="Times New Roman" w:cs="Times New Roman"/>
          <w:sz w:val="24"/>
          <w:szCs w:val="24"/>
        </w:rPr>
        <w:t xml:space="preserve"> rozporządzenia </w:t>
      </w:r>
      <w:r w:rsidR="001D4428" w:rsidRPr="004F6220">
        <w:rPr>
          <w:rFonts w:ascii="Times New Roman" w:hAnsi="Times New Roman" w:cs="Times New Roman"/>
          <w:sz w:val="24"/>
          <w:szCs w:val="24"/>
        </w:rPr>
        <w:t>Parlamentu Europejskiego i Rady (UE) 2024/2809 z dnia 23 października 2024 r. w sprawie zmiany rozporządzenia (UE) 2017/1129, (UE) nr</w:t>
      </w:r>
      <w:r w:rsidR="00E51440" w:rsidRPr="004F6220">
        <w:rPr>
          <w:rFonts w:ascii="Times New Roman" w:hAnsi="Times New Roman" w:cs="Times New Roman"/>
          <w:sz w:val="24"/>
          <w:szCs w:val="24"/>
        </w:rPr>
        <w:t> </w:t>
      </w:r>
      <w:r w:rsidR="001D4428" w:rsidRPr="004F6220">
        <w:rPr>
          <w:rFonts w:ascii="Times New Roman" w:hAnsi="Times New Roman" w:cs="Times New Roman"/>
          <w:sz w:val="24"/>
          <w:szCs w:val="24"/>
        </w:rPr>
        <w:t>596/2014 i (UE) nr 600/2014 w celu zwiększenia atrakcyjności publicznych rynków kapitałowych w Unii dla spółek oraz ułatwienia małym i średnim przedsiębiorstwom dostępu do kapitału (Dz.</w:t>
      </w:r>
      <w:r w:rsidR="00E6072A" w:rsidRPr="004F6220">
        <w:rPr>
          <w:rFonts w:ascii="Times New Roman" w:hAnsi="Times New Roman" w:cs="Times New Roman"/>
          <w:sz w:val="24"/>
          <w:szCs w:val="24"/>
        </w:rPr>
        <w:t xml:space="preserve"> </w:t>
      </w:r>
      <w:r w:rsidR="001D4428" w:rsidRPr="004F6220">
        <w:rPr>
          <w:rFonts w:ascii="Times New Roman" w:hAnsi="Times New Roman" w:cs="Times New Roman"/>
          <w:sz w:val="24"/>
          <w:szCs w:val="24"/>
        </w:rPr>
        <w:t>U</w:t>
      </w:r>
      <w:r w:rsidR="006051F3" w:rsidRPr="004F6220">
        <w:rPr>
          <w:rFonts w:ascii="Times New Roman" w:hAnsi="Times New Roman" w:cs="Times New Roman"/>
          <w:sz w:val="24"/>
          <w:szCs w:val="24"/>
        </w:rPr>
        <w:t>rz</w:t>
      </w:r>
      <w:r w:rsidR="001D4428" w:rsidRPr="004F6220">
        <w:rPr>
          <w:rFonts w:ascii="Times New Roman" w:hAnsi="Times New Roman" w:cs="Times New Roman"/>
          <w:sz w:val="24"/>
          <w:szCs w:val="24"/>
        </w:rPr>
        <w:t xml:space="preserve">. </w:t>
      </w:r>
      <w:r w:rsidR="00E6072A" w:rsidRPr="004F6220">
        <w:rPr>
          <w:rFonts w:ascii="Times New Roman" w:hAnsi="Times New Roman" w:cs="Times New Roman"/>
          <w:sz w:val="24"/>
          <w:szCs w:val="24"/>
        </w:rPr>
        <w:t xml:space="preserve">UE </w:t>
      </w:r>
      <w:r w:rsidR="001D4428" w:rsidRPr="004F6220">
        <w:rPr>
          <w:rFonts w:ascii="Times New Roman" w:hAnsi="Times New Roman" w:cs="Times New Roman"/>
          <w:sz w:val="24"/>
          <w:szCs w:val="24"/>
        </w:rPr>
        <w:t>L 2024/2809, 14.11.2024)</w:t>
      </w:r>
      <w:r w:rsidR="000749ED" w:rsidRPr="004F6220">
        <w:rPr>
          <w:rFonts w:ascii="Times New Roman" w:hAnsi="Times New Roman" w:cs="Times New Roman"/>
          <w:sz w:val="24"/>
          <w:szCs w:val="24"/>
        </w:rPr>
        <w:t>, zwanego dalej „rozporządzeniem 2024/2809”</w:t>
      </w:r>
      <w:r w:rsidRPr="004F6220">
        <w:rPr>
          <w:rFonts w:ascii="Times New Roman" w:hAnsi="Times New Roman" w:cs="Times New Roman"/>
          <w:sz w:val="24"/>
          <w:szCs w:val="24"/>
        </w:rPr>
        <w:t>;</w:t>
      </w:r>
    </w:p>
    <w:p w14:paraId="44D2165B" w14:textId="039E9E3E" w:rsidR="000749ED" w:rsidRPr="004F6220" w:rsidRDefault="007B778F" w:rsidP="005D621C">
      <w:pPr>
        <w:spacing w:after="0" w:line="360" w:lineRule="auto"/>
        <w:ind w:left="425" w:hanging="425"/>
        <w:jc w:val="both"/>
        <w:rPr>
          <w:rFonts w:ascii="Times New Roman" w:hAnsi="Times New Roman" w:cs="Times New Roman"/>
          <w:sz w:val="24"/>
          <w:szCs w:val="24"/>
        </w:rPr>
      </w:pPr>
      <w:r w:rsidRPr="004F6220">
        <w:rPr>
          <w:rFonts w:ascii="Times New Roman" w:hAnsi="Times New Roman" w:cs="Times New Roman"/>
          <w:sz w:val="24"/>
          <w:szCs w:val="24"/>
        </w:rPr>
        <w:t>3)</w:t>
      </w:r>
      <w:r w:rsidRPr="004F6220">
        <w:rPr>
          <w:rFonts w:ascii="Times New Roman" w:hAnsi="Times New Roman" w:cs="Times New Roman"/>
          <w:sz w:val="24"/>
          <w:szCs w:val="24"/>
        </w:rPr>
        <w:tab/>
        <w:t>służy stosowaniu rozporządzenia Parlamentu Europejskiego i Rady (UE) 2024/3005 z dnia 27 listopada 2024 r. w sprawie przejrzystości i rzetelności działalności ratingowej z zakresu ochrony środowiska, polityki społecznej i ładu korporacyjnego (ESG) oraz zmiany rozporządzeń (UE) 2019/2088 i (UE) 2023/2859 (Dz. Urz. UE L 2024/3005 z 12.12.2024)</w:t>
      </w:r>
      <w:r w:rsidRPr="005D621C">
        <w:rPr>
          <w:rFonts w:ascii="Times New Roman" w:hAnsi="Times New Roman" w:cs="Times New Roman"/>
          <w:sz w:val="24"/>
          <w:szCs w:val="24"/>
        </w:rPr>
        <w:t xml:space="preserve"> </w:t>
      </w:r>
      <w:r w:rsidRPr="004F6220">
        <w:rPr>
          <w:rFonts w:ascii="Times New Roman" w:hAnsi="Times New Roman" w:cs="Times New Roman"/>
          <w:sz w:val="24"/>
          <w:szCs w:val="24"/>
        </w:rPr>
        <w:t>zwanego dalej „rozporządzeniem 2024/3005”;</w:t>
      </w:r>
    </w:p>
    <w:p w14:paraId="36669217" w14:textId="6F6712D6" w:rsidR="009C31C0" w:rsidRPr="004F6220" w:rsidRDefault="00674747" w:rsidP="005D621C">
      <w:pPr>
        <w:spacing w:after="0" w:line="360" w:lineRule="auto"/>
        <w:ind w:left="425" w:hanging="425"/>
        <w:jc w:val="both"/>
        <w:rPr>
          <w:rFonts w:ascii="Times New Roman" w:hAnsi="Times New Roman" w:cs="Times New Roman"/>
          <w:sz w:val="24"/>
          <w:szCs w:val="24"/>
        </w:rPr>
      </w:pPr>
      <w:r w:rsidRPr="004F6220">
        <w:rPr>
          <w:rFonts w:ascii="Times New Roman" w:hAnsi="Times New Roman" w:cs="Times New Roman"/>
          <w:sz w:val="24"/>
          <w:szCs w:val="24"/>
        </w:rPr>
        <w:t>4</w:t>
      </w:r>
      <w:r w:rsidR="00E6072A" w:rsidRPr="004F6220">
        <w:rPr>
          <w:rFonts w:ascii="Times New Roman" w:hAnsi="Times New Roman" w:cs="Times New Roman"/>
          <w:sz w:val="24"/>
          <w:szCs w:val="24"/>
        </w:rPr>
        <w:t>)</w:t>
      </w:r>
      <w:r w:rsidR="00E6072A" w:rsidRPr="004F6220">
        <w:rPr>
          <w:rFonts w:ascii="Times New Roman" w:hAnsi="Times New Roman" w:cs="Times New Roman"/>
          <w:sz w:val="24"/>
          <w:szCs w:val="24"/>
        </w:rPr>
        <w:tab/>
      </w:r>
      <w:r w:rsidR="009C31C0" w:rsidRPr="004F6220">
        <w:rPr>
          <w:rFonts w:ascii="Times New Roman" w:hAnsi="Times New Roman" w:cs="Times New Roman"/>
          <w:sz w:val="24"/>
          <w:szCs w:val="24"/>
        </w:rPr>
        <w:t xml:space="preserve">dostosowuje </w:t>
      </w:r>
      <w:r w:rsidR="00E67EBD" w:rsidRPr="004F6220">
        <w:rPr>
          <w:rFonts w:ascii="Times New Roman" w:hAnsi="Times New Roman" w:cs="Times New Roman"/>
          <w:sz w:val="24"/>
          <w:szCs w:val="24"/>
        </w:rPr>
        <w:t>przepisy</w:t>
      </w:r>
      <w:r w:rsidR="009C31C0" w:rsidRPr="004F6220">
        <w:rPr>
          <w:rFonts w:ascii="Times New Roman" w:hAnsi="Times New Roman" w:cs="Times New Roman"/>
          <w:sz w:val="24"/>
          <w:szCs w:val="24"/>
        </w:rPr>
        <w:t xml:space="preserve"> do zmian wynikających z zastąpienia rozporządzenia Komisji nr 1031/2010 z dnia 12 listopada 2010 r. w sprawie harmonogramu, kwestii administracyjnych oraz pozostałych aspektów sprzedaży na aukcji uprawnień do emisji gazów cieplarnianych na mocy dyrektywy 2003/87/WE Parlamentu Europejskiego i Rady ustanawiającej system handlu przydziałami emisji gazów cieplarnianych we Wspólnocie (Dz. Urz. UE L, 1031/2010, 18.11.2010), zwanego dalej „rozporządzeniem 1031/2010”, przez rozporządzenie delegowane Komisji 2023/2830 z dnia 17 października 2023 r. uzupełniające dyrektywę 2003/87/WE Parlamentu Europejskiego i Rady przez ustanowienie przepisów dotyczących harmonogramu, kwestii administracyjnych oraz pozostałych aspektów sprzedaży na aukcji uprawnień do emisji gazów cieplarnianych (Dz. Urz. UE L 2023/2830, 20.12.2023</w:t>
      </w:r>
      <w:r w:rsidR="00E67EBD" w:rsidRPr="004F6220">
        <w:rPr>
          <w:rFonts w:ascii="Times New Roman" w:hAnsi="Times New Roman" w:cs="Times New Roman"/>
          <w:sz w:val="24"/>
          <w:szCs w:val="24"/>
        </w:rPr>
        <w:t>, z późn. zm.</w:t>
      </w:r>
      <w:r w:rsidR="009C31C0" w:rsidRPr="004F6220">
        <w:rPr>
          <w:rFonts w:ascii="Times New Roman" w:hAnsi="Times New Roman" w:cs="Times New Roman"/>
          <w:sz w:val="24"/>
          <w:szCs w:val="24"/>
        </w:rPr>
        <w:t>), zwane dalej „rozporządzeniem 2023/2830”;</w:t>
      </w:r>
    </w:p>
    <w:p w14:paraId="57FD716A" w14:textId="3665CE09" w:rsidR="007B778F" w:rsidRPr="004F6220" w:rsidRDefault="009C31C0" w:rsidP="005D621C">
      <w:pPr>
        <w:spacing w:after="0" w:line="360" w:lineRule="auto"/>
        <w:ind w:left="425" w:hanging="425"/>
        <w:jc w:val="both"/>
        <w:rPr>
          <w:rFonts w:ascii="Times New Roman" w:hAnsi="Times New Roman" w:cs="Times New Roman"/>
          <w:sz w:val="24"/>
          <w:szCs w:val="24"/>
        </w:rPr>
      </w:pPr>
      <w:r w:rsidRPr="004F6220">
        <w:rPr>
          <w:rFonts w:ascii="Times New Roman" w:hAnsi="Times New Roman" w:cs="Times New Roman"/>
          <w:sz w:val="24"/>
          <w:szCs w:val="24"/>
        </w:rPr>
        <w:lastRenderedPageBreak/>
        <w:t>5)</w:t>
      </w:r>
      <w:r w:rsidRPr="004F6220">
        <w:rPr>
          <w:rFonts w:ascii="Times New Roman" w:hAnsi="Times New Roman" w:cs="Times New Roman"/>
          <w:sz w:val="24"/>
          <w:szCs w:val="24"/>
        </w:rPr>
        <w:tab/>
      </w:r>
      <w:r w:rsidR="00E6072A" w:rsidRPr="004F6220">
        <w:rPr>
          <w:rFonts w:ascii="Times New Roman" w:hAnsi="Times New Roman" w:cs="Times New Roman"/>
          <w:sz w:val="24"/>
          <w:szCs w:val="24"/>
        </w:rPr>
        <w:t>przewiduje rezygnację z niektórych wymogów przewidzianych w prawie krajowym z</w:t>
      </w:r>
      <w:r w:rsidR="00E51440" w:rsidRPr="004F6220">
        <w:rPr>
          <w:rFonts w:ascii="Times New Roman" w:hAnsi="Times New Roman" w:cs="Times New Roman"/>
          <w:sz w:val="24"/>
          <w:szCs w:val="24"/>
        </w:rPr>
        <w:t> </w:t>
      </w:r>
      <w:r w:rsidR="00E6072A" w:rsidRPr="004F6220">
        <w:rPr>
          <w:rFonts w:ascii="Times New Roman" w:hAnsi="Times New Roman" w:cs="Times New Roman"/>
          <w:sz w:val="24"/>
          <w:szCs w:val="24"/>
        </w:rPr>
        <w:t xml:space="preserve">zakresu obrotu instrumentami finansowymi, które nie </w:t>
      </w:r>
      <w:r w:rsidR="00B51DF6" w:rsidRPr="004F6220">
        <w:rPr>
          <w:rFonts w:ascii="Times New Roman" w:hAnsi="Times New Roman" w:cs="Times New Roman"/>
          <w:sz w:val="24"/>
          <w:szCs w:val="24"/>
        </w:rPr>
        <w:t xml:space="preserve">wynikają z prawa Unii Europejskiej i mogą stanowić tzw. </w:t>
      </w:r>
      <w:r w:rsidR="00B51DF6" w:rsidRPr="004F6220">
        <w:rPr>
          <w:rFonts w:ascii="Times New Roman" w:hAnsi="Times New Roman" w:cs="Times New Roman"/>
          <w:i/>
          <w:iCs/>
          <w:sz w:val="24"/>
          <w:szCs w:val="24"/>
        </w:rPr>
        <w:t>gold-plating</w:t>
      </w:r>
      <w:r w:rsidR="00B51DF6" w:rsidRPr="004F6220">
        <w:rPr>
          <w:rFonts w:ascii="Times New Roman" w:hAnsi="Times New Roman" w:cs="Times New Roman"/>
          <w:sz w:val="24"/>
          <w:szCs w:val="24"/>
        </w:rPr>
        <w:t>.</w:t>
      </w:r>
    </w:p>
    <w:p w14:paraId="31651F8A" w14:textId="35869638" w:rsidR="00B51DF6" w:rsidRPr="004F6220" w:rsidRDefault="007D23CB"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Pakiet regulacji obejmujący dyrektywę 2024/2811 oraz rozporządzenie 2024/2809 został przyjęty w odpowiedzi na zidentyfikowane bariery utrudniające spółkom – w szczególności małym i średnim przedsiębiorstwom – dostęp do rynków kapitałowych w Unii Europejskiej. Dotychczasowy proces wejścia na zorganizowane rynki kapitałowe jest bowiem postrzegany jako nadmiernie kosztowny i złożony, a także obciążony rozbudowanymi obowiązkami informacyjnymi i raportowymi. Celem wskazanych aktów prawnych jest zatem ograniczenie nadmiernych kosztów oraz wymogów formalnych związanych z pozyskiwaniem kapitału na rynku publicznym w Unii Europejskiej. W szczególności rozporządzenie 2024/2809 zmierza do usunięcia barier wynikających z długości, złożoności oraz kosztów sporządzania dokumentacji prospektowej, zarówno w przypadku pierwszego dopuszczenia papierów wartościowych do obrotu na rynku, jak i w odniesieniu do ofert wtórnych. Pośrednim celem pakietu regulacyjnego jest zwiększenie atrakcyjności unijnych rynków kapitałowych jako źródła finansowania działalności gospodarczej.</w:t>
      </w:r>
      <w:r w:rsidR="00063F58" w:rsidRPr="004F6220">
        <w:rPr>
          <w:rFonts w:ascii="Times New Roman" w:eastAsia="Times New Roman" w:hAnsi="Times New Roman" w:cs="Times New Roman"/>
          <w:sz w:val="24"/>
          <w:szCs w:val="24"/>
          <w:lang w:eastAsia="pl-PL"/>
        </w:rPr>
        <w:t xml:space="preserve"> </w:t>
      </w:r>
      <w:r w:rsidR="00B51DF6" w:rsidRPr="004F6220">
        <w:rPr>
          <w:rFonts w:ascii="Times New Roman" w:eastAsia="Times New Roman" w:hAnsi="Times New Roman" w:cs="Times New Roman"/>
          <w:sz w:val="24"/>
          <w:szCs w:val="24"/>
          <w:lang w:eastAsia="pl-PL"/>
        </w:rPr>
        <w:t>Dyrektywa 2024/2811 przewiduje obowiązek przyjęcia przez państwa członkowskie przepisów niezbędnych do jej wykonania do dnia 5</w:t>
      </w:r>
      <w:r w:rsidR="00E51440" w:rsidRPr="004F6220">
        <w:rPr>
          <w:rFonts w:ascii="Times New Roman" w:eastAsia="Times New Roman" w:hAnsi="Times New Roman" w:cs="Times New Roman"/>
          <w:sz w:val="24"/>
          <w:szCs w:val="24"/>
          <w:lang w:eastAsia="pl-PL"/>
        </w:rPr>
        <w:t> </w:t>
      </w:r>
      <w:r w:rsidR="00B51DF6" w:rsidRPr="004F6220">
        <w:rPr>
          <w:rFonts w:ascii="Times New Roman" w:eastAsia="Times New Roman" w:hAnsi="Times New Roman" w:cs="Times New Roman"/>
          <w:sz w:val="24"/>
          <w:szCs w:val="24"/>
          <w:lang w:eastAsia="pl-PL"/>
        </w:rPr>
        <w:t>czerwca 2026 r. Natomiast rozporządzenie 2024/2809 nakłada na państwa członkowskie obowiązek ustanowienia przepisów krajowych zapewniających stosowanie określonych sankcji w tym samym terminie.</w:t>
      </w:r>
    </w:p>
    <w:p w14:paraId="559A2654" w14:textId="7ACABA77" w:rsidR="007D23CB" w:rsidRPr="004F6220" w:rsidRDefault="00B51DF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Mając na uwadze, że zarówno dyrektywa Parlamentu Europejskiego i Rady 2014/65/UE z dnia 15 maja 2014 r. w sprawie rynków instrumentów finansowych oraz zmieniająca dyrektywę 2002/92/WE i dyrektywę 2011/61/UE (Dz.</w:t>
      </w:r>
      <w:r w:rsidR="00AD4353"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Urz.</w:t>
      </w:r>
      <w:r w:rsidR="00AD4353" w:rsidRPr="004F6220">
        <w:rPr>
          <w:rFonts w:ascii="Times New Roman" w:eastAsia="Times New Roman" w:hAnsi="Times New Roman" w:cs="Times New Roman"/>
          <w:sz w:val="24"/>
          <w:szCs w:val="24"/>
          <w:lang w:eastAsia="pl-PL"/>
        </w:rPr>
        <w:t xml:space="preserve"> UE </w:t>
      </w:r>
      <w:r w:rsidRPr="004F6220">
        <w:rPr>
          <w:rFonts w:ascii="Times New Roman" w:eastAsia="Times New Roman" w:hAnsi="Times New Roman" w:cs="Times New Roman"/>
          <w:sz w:val="24"/>
          <w:szCs w:val="24"/>
          <w:lang w:eastAsia="pl-PL"/>
        </w:rPr>
        <w:t>L 173, 12.06.20</w:t>
      </w:r>
      <w:r w:rsidR="000A29F8" w:rsidRPr="004F6220">
        <w:rPr>
          <w:rFonts w:ascii="Times New Roman" w:eastAsia="Times New Roman" w:hAnsi="Times New Roman" w:cs="Times New Roman"/>
          <w:sz w:val="24"/>
          <w:szCs w:val="24"/>
          <w:lang w:eastAsia="pl-PL"/>
        </w:rPr>
        <w:t>1</w:t>
      </w:r>
      <w:r w:rsidRPr="004F6220">
        <w:rPr>
          <w:rFonts w:ascii="Times New Roman" w:eastAsia="Times New Roman" w:hAnsi="Times New Roman" w:cs="Times New Roman"/>
          <w:sz w:val="24"/>
          <w:szCs w:val="24"/>
          <w:lang w:eastAsia="pl-PL"/>
        </w:rPr>
        <w:t>4</w:t>
      </w:r>
      <w:r w:rsidR="000A29F8" w:rsidRPr="004F6220">
        <w:rPr>
          <w:rFonts w:ascii="Times New Roman" w:eastAsia="Times New Roman" w:hAnsi="Times New Roman" w:cs="Times New Roman"/>
          <w:sz w:val="24"/>
          <w:szCs w:val="24"/>
          <w:lang w:eastAsia="pl-PL"/>
        </w:rPr>
        <w:t>, str. 349, z późn. zm.</w:t>
      </w:r>
      <w:r w:rsidRPr="004F6220">
        <w:rPr>
          <w:rFonts w:ascii="Times New Roman" w:eastAsia="Times New Roman" w:hAnsi="Times New Roman" w:cs="Times New Roman"/>
          <w:sz w:val="24"/>
          <w:szCs w:val="24"/>
          <w:lang w:eastAsia="pl-PL"/>
        </w:rPr>
        <w:t>), zwana dalej „dyrektywą 2014/65”, zmieniana dyrektywą 2024/2811, jak i uchylana przez nią dyrektywa 2001/34/WE Parlamentu Europejskiego i Rady z dnia 28 maja 2001 r. w sprawie dopuszczenia papierów wartościowych do publicznego obrotu giełdowego oraz informacji dotyczących tych papierów wartościowych, które podlegają publikacji (Dz.</w:t>
      </w:r>
      <w:r w:rsidR="000A29F8"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Urz.</w:t>
      </w:r>
      <w:r w:rsidR="000A29F8" w:rsidRPr="004F6220">
        <w:rPr>
          <w:rFonts w:ascii="Times New Roman" w:eastAsia="Times New Roman" w:hAnsi="Times New Roman" w:cs="Times New Roman"/>
          <w:sz w:val="24"/>
          <w:szCs w:val="24"/>
          <w:lang w:eastAsia="pl-PL"/>
        </w:rPr>
        <w:t xml:space="preserve"> UE</w:t>
      </w:r>
      <w:r w:rsidRPr="004F6220">
        <w:rPr>
          <w:rFonts w:ascii="Times New Roman" w:eastAsia="Times New Roman" w:hAnsi="Times New Roman" w:cs="Times New Roman"/>
          <w:sz w:val="24"/>
          <w:szCs w:val="24"/>
          <w:lang w:eastAsia="pl-PL"/>
        </w:rPr>
        <w:t xml:space="preserve"> L 184, 6.07.2001</w:t>
      </w:r>
      <w:r w:rsidR="000A29F8" w:rsidRPr="004F6220">
        <w:rPr>
          <w:rFonts w:ascii="Times New Roman" w:eastAsia="Times New Roman" w:hAnsi="Times New Roman" w:cs="Times New Roman"/>
          <w:sz w:val="24"/>
          <w:szCs w:val="24"/>
          <w:lang w:eastAsia="pl-PL"/>
        </w:rPr>
        <w:t>, str. 1, z późn. zm.</w:t>
      </w:r>
      <w:r w:rsidRPr="004F6220">
        <w:rPr>
          <w:rFonts w:ascii="Times New Roman" w:eastAsia="Times New Roman" w:hAnsi="Times New Roman" w:cs="Times New Roman"/>
          <w:sz w:val="24"/>
          <w:szCs w:val="24"/>
          <w:lang w:eastAsia="pl-PL"/>
        </w:rPr>
        <w:t>), zostały zaimplementowane do polskiego porządku prawnego w</w:t>
      </w:r>
      <w:r w:rsidR="00E51440" w:rsidRPr="004F6220">
        <w:rPr>
          <w:rFonts w:ascii="Times New Roman" w:eastAsia="Times New Roman" w:hAnsi="Times New Roman" w:cs="Times New Roman"/>
          <w:sz w:val="24"/>
          <w:szCs w:val="24"/>
          <w:lang w:eastAsia="pl-PL"/>
        </w:rPr>
        <w:t> </w:t>
      </w:r>
      <w:r w:rsidRPr="004F6220">
        <w:rPr>
          <w:rFonts w:ascii="Times New Roman" w:eastAsia="Times New Roman" w:hAnsi="Times New Roman" w:cs="Times New Roman"/>
          <w:sz w:val="24"/>
          <w:szCs w:val="24"/>
          <w:lang w:eastAsia="pl-PL"/>
        </w:rPr>
        <w:t>ustawie z dnia 29 lipca 2005 r. o obrocie instrumentami finansowymi (Dz. U. z 2024 r. poz.</w:t>
      </w:r>
      <w:r w:rsidR="00E51440" w:rsidRPr="004F6220">
        <w:rPr>
          <w:rFonts w:ascii="Times New Roman" w:eastAsia="Times New Roman" w:hAnsi="Times New Roman" w:cs="Times New Roman"/>
          <w:sz w:val="24"/>
          <w:szCs w:val="24"/>
          <w:lang w:eastAsia="pl-PL"/>
        </w:rPr>
        <w:t> </w:t>
      </w:r>
      <w:r w:rsidRPr="004F6220">
        <w:rPr>
          <w:rFonts w:ascii="Times New Roman" w:eastAsia="Times New Roman" w:hAnsi="Times New Roman" w:cs="Times New Roman"/>
          <w:sz w:val="24"/>
          <w:szCs w:val="24"/>
          <w:lang w:eastAsia="pl-PL"/>
        </w:rPr>
        <w:t>722, z późn. zm.), zwanej dalej „ustawą o obrocie</w:t>
      </w:r>
      <w:r w:rsidR="00933F7B" w:rsidRPr="004F6220">
        <w:rPr>
          <w:rFonts w:ascii="Times New Roman" w:eastAsia="Times New Roman" w:hAnsi="Times New Roman" w:cs="Times New Roman"/>
          <w:sz w:val="24"/>
          <w:szCs w:val="24"/>
          <w:lang w:eastAsia="pl-PL"/>
        </w:rPr>
        <w:t xml:space="preserve"> instrumentami finansowymi</w:t>
      </w:r>
      <w:r w:rsidRPr="004F6220">
        <w:rPr>
          <w:rFonts w:ascii="Times New Roman" w:eastAsia="Times New Roman" w:hAnsi="Times New Roman" w:cs="Times New Roman"/>
          <w:sz w:val="24"/>
          <w:szCs w:val="24"/>
          <w:lang w:eastAsia="pl-PL"/>
        </w:rPr>
        <w:t xml:space="preserve">”, transpozycja dyrektywy 2024/2811 powinna nastąpić poprzez zmianę tej ustawy. W ujęciu szczegółowym najistotniejsze zmiany przewidziane w dyrektywie 2024/2811 dotyczą zasad </w:t>
      </w:r>
      <w:r w:rsidRPr="004F6220">
        <w:rPr>
          <w:rFonts w:ascii="Times New Roman" w:eastAsia="Times New Roman" w:hAnsi="Times New Roman" w:cs="Times New Roman"/>
          <w:sz w:val="24"/>
          <w:szCs w:val="24"/>
          <w:lang w:eastAsia="pl-PL"/>
        </w:rPr>
        <w:lastRenderedPageBreak/>
        <w:t xml:space="preserve">funkcjonowania rynków rozwoju MŚP oraz regulacji odnoszących się do prowadzenia badań </w:t>
      </w:r>
      <w:r w:rsidR="001542F2" w:rsidRPr="004F6220">
        <w:rPr>
          <w:rFonts w:ascii="Times New Roman" w:eastAsia="Times New Roman" w:hAnsi="Times New Roman" w:cs="Times New Roman"/>
          <w:sz w:val="24"/>
          <w:szCs w:val="24"/>
          <w:lang w:eastAsia="pl-PL"/>
        </w:rPr>
        <w:t>inwestycyjnych</w:t>
      </w:r>
      <w:r w:rsidRPr="004F6220">
        <w:rPr>
          <w:rFonts w:ascii="Times New Roman" w:eastAsia="Times New Roman" w:hAnsi="Times New Roman" w:cs="Times New Roman"/>
          <w:sz w:val="24"/>
          <w:szCs w:val="24"/>
          <w:lang w:eastAsia="pl-PL"/>
        </w:rPr>
        <w:t>.</w:t>
      </w:r>
    </w:p>
    <w:p w14:paraId="10EFC04E" w14:textId="7716EA99" w:rsidR="00B51DF6" w:rsidRPr="004F6220" w:rsidRDefault="00B51DF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Rozporządzenie 2024/2809 wprowadza natomiast zmiany do rozporządzenia Parlamentu Europejskiego i Rady (UE) 2017/1129 z dnia 14 czerwca 2017 r. w sprawie prospektu, który ma być publikowany w związku z ofertą publiczną papierów wartościowych lub dopuszczeniem ich do obrotu na rynku regulowanym oraz uchylenia dyrektywy 2003/71/WE (Dz.</w:t>
      </w:r>
      <w:r w:rsidR="000A29F8"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 xml:space="preserve">Urz. </w:t>
      </w:r>
      <w:r w:rsidR="000A29F8" w:rsidRPr="004F6220">
        <w:rPr>
          <w:rFonts w:ascii="Times New Roman" w:eastAsia="Times New Roman" w:hAnsi="Times New Roman" w:cs="Times New Roman"/>
          <w:sz w:val="24"/>
          <w:szCs w:val="24"/>
          <w:lang w:eastAsia="pl-PL"/>
        </w:rPr>
        <w:t xml:space="preserve">UE </w:t>
      </w:r>
      <w:r w:rsidRPr="004F6220">
        <w:rPr>
          <w:rFonts w:ascii="Times New Roman" w:eastAsia="Times New Roman" w:hAnsi="Times New Roman" w:cs="Times New Roman"/>
          <w:sz w:val="24"/>
          <w:szCs w:val="24"/>
          <w:lang w:eastAsia="pl-PL"/>
        </w:rPr>
        <w:t>L 168, 30.06.2017</w:t>
      </w:r>
      <w:r w:rsidR="000A29F8" w:rsidRPr="004F6220">
        <w:rPr>
          <w:rFonts w:ascii="Times New Roman" w:eastAsia="Times New Roman" w:hAnsi="Times New Roman" w:cs="Times New Roman"/>
          <w:sz w:val="24"/>
          <w:szCs w:val="24"/>
          <w:lang w:eastAsia="pl-PL"/>
        </w:rPr>
        <w:t>, str. 12, z późn. zm.</w:t>
      </w:r>
      <w:r w:rsidRPr="004F6220">
        <w:rPr>
          <w:rFonts w:ascii="Times New Roman" w:eastAsia="Times New Roman" w:hAnsi="Times New Roman" w:cs="Times New Roman"/>
          <w:sz w:val="24"/>
          <w:szCs w:val="24"/>
          <w:lang w:eastAsia="pl-PL"/>
        </w:rPr>
        <w:t>), zwanego dalej „rozporządzeniem 2017/1129”, rozporządzenia Parlamentu Europejskiego i Rady (UE) nr 596/2014 z dnia 16 kwietnia 2014 r. w sprawie nadużyć na rynku (rozporządzenie w sprawie nadużyć na rynku) oraz uchylającego dyrektywę 2003/6/WE Parlamentu Europejskiego i Rady i dyrektywy Komisji 2003/124/WE, 2003/125/WE i 2004/72/WE (Dz.</w:t>
      </w:r>
      <w:r w:rsidR="000A29F8"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 xml:space="preserve">Urz. </w:t>
      </w:r>
      <w:r w:rsidR="000A29F8" w:rsidRPr="004F6220">
        <w:rPr>
          <w:rFonts w:ascii="Times New Roman" w:eastAsia="Times New Roman" w:hAnsi="Times New Roman" w:cs="Times New Roman"/>
          <w:sz w:val="24"/>
          <w:szCs w:val="24"/>
          <w:lang w:eastAsia="pl-PL"/>
        </w:rPr>
        <w:t xml:space="preserve">UE </w:t>
      </w:r>
      <w:r w:rsidRPr="004F6220">
        <w:rPr>
          <w:rFonts w:ascii="Times New Roman" w:eastAsia="Times New Roman" w:hAnsi="Times New Roman" w:cs="Times New Roman"/>
          <w:sz w:val="24"/>
          <w:szCs w:val="24"/>
          <w:lang w:eastAsia="pl-PL"/>
        </w:rPr>
        <w:t>L 173, 12.06.2014</w:t>
      </w:r>
      <w:r w:rsidR="000A29F8" w:rsidRPr="004F6220">
        <w:rPr>
          <w:rFonts w:ascii="Times New Roman" w:eastAsia="Times New Roman" w:hAnsi="Times New Roman" w:cs="Times New Roman"/>
          <w:sz w:val="24"/>
          <w:szCs w:val="24"/>
          <w:lang w:eastAsia="pl-PL"/>
        </w:rPr>
        <w:t>, str. 1, z późn. zm.</w:t>
      </w:r>
      <w:r w:rsidRPr="004F6220">
        <w:rPr>
          <w:rFonts w:ascii="Times New Roman" w:eastAsia="Times New Roman" w:hAnsi="Times New Roman" w:cs="Times New Roman"/>
          <w:sz w:val="24"/>
          <w:szCs w:val="24"/>
          <w:lang w:eastAsia="pl-PL"/>
        </w:rPr>
        <w:t>)</w:t>
      </w:r>
      <w:r w:rsidR="009C31C0" w:rsidRPr="004F6220">
        <w:rPr>
          <w:rFonts w:ascii="Times New Roman" w:eastAsia="Times New Roman" w:hAnsi="Times New Roman" w:cs="Times New Roman"/>
          <w:sz w:val="24"/>
          <w:szCs w:val="24"/>
          <w:lang w:eastAsia="pl-PL"/>
        </w:rPr>
        <w:t>, zwanego dalej „rozporządzeniem 596/2014”,</w:t>
      </w:r>
      <w:r w:rsidRPr="004F6220">
        <w:rPr>
          <w:rFonts w:ascii="Times New Roman" w:eastAsia="Times New Roman" w:hAnsi="Times New Roman" w:cs="Times New Roman"/>
          <w:sz w:val="24"/>
          <w:szCs w:val="24"/>
          <w:lang w:eastAsia="pl-PL"/>
        </w:rPr>
        <w:t xml:space="preserve"> oraz rozporządzenia Parlamentu Europejskiego i Rady (UE) nr 600/2014 z dnia 15 maja 2014 r. w sprawie rynków instrumentów finansowych oraz zmieniającego rozporządzenie (EU) nr 648/2012 (Dz.</w:t>
      </w:r>
      <w:r w:rsidR="000A29F8"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 xml:space="preserve">Urz. </w:t>
      </w:r>
      <w:r w:rsidR="000A29F8" w:rsidRPr="004F6220">
        <w:rPr>
          <w:rFonts w:ascii="Times New Roman" w:eastAsia="Times New Roman" w:hAnsi="Times New Roman" w:cs="Times New Roman"/>
          <w:sz w:val="24"/>
          <w:szCs w:val="24"/>
          <w:lang w:eastAsia="pl-PL"/>
        </w:rPr>
        <w:t xml:space="preserve">UE </w:t>
      </w:r>
      <w:r w:rsidRPr="004F6220">
        <w:rPr>
          <w:rFonts w:ascii="Times New Roman" w:eastAsia="Times New Roman" w:hAnsi="Times New Roman" w:cs="Times New Roman"/>
          <w:sz w:val="24"/>
          <w:szCs w:val="24"/>
          <w:lang w:eastAsia="pl-PL"/>
        </w:rPr>
        <w:t>L 173, 12.06.2014</w:t>
      </w:r>
      <w:r w:rsidR="000A29F8" w:rsidRPr="004F6220">
        <w:rPr>
          <w:rFonts w:ascii="Times New Roman" w:eastAsia="Times New Roman" w:hAnsi="Times New Roman" w:cs="Times New Roman"/>
          <w:sz w:val="24"/>
          <w:szCs w:val="24"/>
          <w:lang w:eastAsia="pl-PL"/>
        </w:rPr>
        <w:t xml:space="preserve">, str. </w:t>
      </w:r>
      <w:r w:rsidR="00E8671B" w:rsidRPr="004F6220">
        <w:rPr>
          <w:rFonts w:ascii="Times New Roman" w:eastAsia="Times New Roman" w:hAnsi="Times New Roman" w:cs="Times New Roman"/>
          <w:sz w:val="24"/>
          <w:szCs w:val="24"/>
          <w:lang w:eastAsia="pl-PL"/>
        </w:rPr>
        <w:t>84, z późn. zm.</w:t>
      </w:r>
      <w:r w:rsidRPr="004F6220">
        <w:rPr>
          <w:rFonts w:ascii="Times New Roman" w:eastAsia="Times New Roman" w:hAnsi="Times New Roman" w:cs="Times New Roman"/>
          <w:sz w:val="24"/>
          <w:szCs w:val="24"/>
          <w:lang w:eastAsia="pl-PL"/>
        </w:rPr>
        <w:t>)</w:t>
      </w:r>
      <w:r w:rsidR="00157305" w:rsidRPr="004F6220">
        <w:rPr>
          <w:rFonts w:ascii="Times New Roman" w:eastAsia="Times New Roman" w:hAnsi="Times New Roman" w:cs="Times New Roman"/>
          <w:sz w:val="24"/>
          <w:szCs w:val="24"/>
          <w:lang w:eastAsia="pl-PL"/>
        </w:rPr>
        <w:t>, zwanego dalej „rozporządzeniem 600/2014”</w:t>
      </w:r>
      <w:r w:rsidRPr="004F6220">
        <w:rPr>
          <w:rFonts w:ascii="Times New Roman" w:eastAsia="Times New Roman" w:hAnsi="Times New Roman" w:cs="Times New Roman"/>
          <w:sz w:val="24"/>
          <w:szCs w:val="24"/>
          <w:lang w:eastAsia="pl-PL"/>
        </w:rPr>
        <w:t>. Stosowaniu dwóch ostatnich rozporządzeń służą przepisy ustawy o obrocie</w:t>
      </w:r>
      <w:r w:rsidR="00933F7B" w:rsidRPr="004F6220">
        <w:rPr>
          <w:rFonts w:ascii="Times New Roman" w:eastAsia="Times New Roman" w:hAnsi="Times New Roman" w:cs="Times New Roman"/>
          <w:sz w:val="24"/>
          <w:szCs w:val="24"/>
          <w:lang w:eastAsia="pl-PL"/>
        </w:rPr>
        <w:t xml:space="preserve"> instrumentami finansowymi</w:t>
      </w:r>
      <w:r w:rsidRPr="004F6220">
        <w:rPr>
          <w:rFonts w:ascii="Times New Roman" w:eastAsia="Times New Roman" w:hAnsi="Times New Roman" w:cs="Times New Roman"/>
          <w:sz w:val="24"/>
          <w:szCs w:val="24"/>
          <w:lang w:eastAsia="pl-PL"/>
        </w:rPr>
        <w:t>, w</w:t>
      </w:r>
      <w:r w:rsidR="00933F7B" w:rsidRPr="004F6220">
        <w:rPr>
          <w:rFonts w:ascii="Times New Roman" w:eastAsia="Times New Roman" w:hAnsi="Times New Roman" w:cs="Times New Roman"/>
          <w:sz w:val="24"/>
          <w:szCs w:val="24"/>
          <w:lang w:eastAsia="pl-PL"/>
        </w:rPr>
        <w:t> </w:t>
      </w:r>
      <w:r w:rsidRPr="004F6220">
        <w:rPr>
          <w:rFonts w:ascii="Times New Roman" w:eastAsia="Times New Roman" w:hAnsi="Times New Roman" w:cs="Times New Roman"/>
          <w:sz w:val="24"/>
          <w:szCs w:val="24"/>
          <w:lang w:eastAsia="pl-PL"/>
        </w:rPr>
        <w:t>szczególności przepisy o charakterze sankcyjnym. Z kolei zasady i warunki przeprowadzania oferty publicznej papierów wartościowych oraz wprowadzania ich do obrotu na rynku regulowanym, w zakresie nieuregulowanym przepisami rozporządzenia 2017/1129, zostały określone w ustawie z dnia 29 lipca 2005 r. o ofercie publicznej i warunkach wprowadzania instrumentów finansowych do zorganizowanego systemu obrotu oraz o spółkach publicznych (Dz. U. z 2025 r. poz. 592</w:t>
      </w:r>
      <w:r w:rsidR="00090655" w:rsidRPr="004F6220">
        <w:rPr>
          <w:rFonts w:ascii="Times New Roman" w:eastAsia="Times New Roman" w:hAnsi="Times New Roman" w:cs="Times New Roman"/>
          <w:sz w:val="24"/>
          <w:szCs w:val="24"/>
          <w:lang w:eastAsia="pl-PL"/>
        </w:rPr>
        <w:t>, z późn. zm.</w:t>
      </w:r>
      <w:r w:rsidRPr="004F6220">
        <w:rPr>
          <w:rFonts w:ascii="Times New Roman" w:eastAsia="Times New Roman" w:hAnsi="Times New Roman" w:cs="Times New Roman"/>
          <w:sz w:val="24"/>
          <w:szCs w:val="24"/>
          <w:lang w:eastAsia="pl-PL"/>
        </w:rPr>
        <w:t>), zwanej dalej „ustawą o ofercie publicznej”. W konsekwencji zmiany wprowadzone do rozporządzenia 2017/1129 wymagają również odpowiednich zmian, w przeważającej mierze o charakterze dostosowawczym, w tej ustawie. Najistotniejsze z nich obejmują modyfikacje regulacji dotyczących progów wyłączeń z obowiązku sporządzania prospektu, w tym dolnego progu, poniżej którego rozporządzenie nie znajduje zastosowania. Zmiany te dotyczą również innych tytułów zwolnień z obowiązku prospektowego, w tym w odniesieniu do emitentów, których papiery wartościowe są już dopuszczone do obrotu na rynku. Ponadto wprowadzone zmiany odnoszą się do dokumentów ofertowych, w tym dokumentów wymaganych dla ofert przeprowadzanych poniżej wskazanych progów.</w:t>
      </w:r>
    </w:p>
    <w:p w14:paraId="7BA80DA8" w14:textId="37742F5B" w:rsidR="00B51DF6" w:rsidRPr="004F6220" w:rsidRDefault="00B51DF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Ponadto projekt ustawy zapewnia możliwość stosowania rozporządzenia 2024/3005, które wprowadza wspólne podejście regulacyjne w zakresie ratingów ESG, aby zwiększyć </w:t>
      </w:r>
      <w:r w:rsidRPr="004F6220">
        <w:rPr>
          <w:rFonts w:ascii="Times New Roman" w:eastAsia="Times New Roman" w:hAnsi="Times New Roman" w:cs="Times New Roman"/>
          <w:sz w:val="24"/>
          <w:szCs w:val="24"/>
          <w:lang w:eastAsia="pl-PL"/>
        </w:rPr>
        <w:lastRenderedPageBreak/>
        <w:t>rzetelność, przejrzystość, w miarę możliwości porównywalność, odpowiedzialność, rozliczalność, dobre zarządzanie i niezależność działalności w zakresie ratingów ESG, przyczyniając się tym samym do przejrzystości i jakości ratingów ESG oraz do programu zrównoważonego finansowania Unii Europejskiej. Celem tego rozporządzenia jest przyczynienie się do sprawnego funkcjonowania rynku wewnętrznego, a zarazem osiągnięcie wysokiego poziomu ochrony konsumentów i inwestorów oraz zapobieganie pseudoekologicznemu marketingowi i innym rodzajom wprowadzania w błąd, w tym pseudospołecznemu marketingowi, przez wprowadzenie wymogów dotyczących przejrzystości ratingów ESG oraz zasad organizacji i postępowania dostawców ratingów ESG.</w:t>
      </w:r>
    </w:p>
    <w:p w14:paraId="50C6124F" w14:textId="604A8CBB" w:rsidR="00541B0C" w:rsidRPr="004F6220" w:rsidRDefault="009C31C0" w:rsidP="005D621C">
      <w:pPr>
        <w:pStyle w:val="NormalnyWeb"/>
        <w:spacing w:before="120" w:beforeAutospacing="0" w:after="0" w:afterAutospacing="0" w:line="360" w:lineRule="auto"/>
        <w:jc w:val="both"/>
      </w:pPr>
      <w:r w:rsidRPr="004F6220">
        <w:t xml:space="preserve">W zakresie </w:t>
      </w:r>
      <w:r w:rsidR="00A70E21" w:rsidRPr="004F6220">
        <w:t>zmian wynikających z zastąpienia rozporządzenia 1031/2010 przez rozporządzenie 2023/2830</w:t>
      </w:r>
      <w:r w:rsidRPr="004F6220">
        <w:t xml:space="preserve"> zauważenia wymaga, że i</w:t>
      </w:r>
      <w:r w:rsidR="00A70E21" w:rsidRPr="004F6220">
        <w:t xml:space="preserve">stotne znaczenie dla zakresu projektowanych dostosowań </w:t>
      </w:r>
      <w:r w:rsidR="00E67EBD" w:rsidRPr="004F6220">
        <w:t xml:space="preserve">ma </w:t>
      </w:r>
      <w:r w:rsidR="00A70E21" w:rsidRPr="004F6220">
        <w:t xml:space="preserve">zmiana zasad dotyczących formy instrumentów sprzedawanych na aukcji. Rozporządzenie 1031/2010 przewidywało możliwość sprzedaży uprawnień </w:t>
      </w:r>
      <w:r w:rsidRPr="004F6220">
        <w:t xml:space="preserve">do emisji </w:t>
      </w:r>
      <w:r w:rsidR="00A70E21" w:rsidRPr="004F6220">
        <w:t xml:space="preserve">zarówno w formie dwudniowych kontraktów na rynku kasowym, jak i pięciodniowych kontraktów terminowych typu future. Rozporządzenie 2023/2830 przewiduje natomiast sprzedaż na aukcji uprawnień </w:t>
      </w:r>
      <w:r w:rsidRPr="004F6220">
        <w:t xml:space="preserve">do emisji </w:t>
      </w:r>
      <w:r w:rsidR="00A70E21" w:rsidRPr="004F6220">
        <w:t>jedynie w formie dwudniowych kontraktów na rynku kasowym. W konsekwencji przepisy krajowe odnoszące się do pięciodniowych kontraktów terminowych typu future, jako formy produktów sprzedawanych na aukcji, wymagają usunięcia lub odpowiedniego dostosowania.</w:t>
      </w:r>
      <w:r w:rsidRPr="004F6220">
        <w:t xml:space="preserve"> </w:t>
      </w:r>
      <w:r w:rsidR="00A70E21" w:rsidRPr="004F6220">
        <w:t xml:space="preserve">Kolejna grupa zmian wynika z kwalifikacji prawnej uprawnień do emisji. Od momentu stosowania dyrektywy 2014/65 uprawnienia do emisji zostały uznane za instrumenty finansowe. Klasyfikacja ta ma znaczenie nie tylko dla zasad obrotu tymi produktami, lecz również dla stosowania regulacji dotyczących nadużyć na rynku. W konsekwencji do uprawnień do emisji oraz związanych z nimi produktów i zachowań dotyczących ich obrotu, w tym zachowań związanych ze sprzedażą na aukcjach, </w:t>
      </w:r>
      <w:r w:rsidRPr="004F6220">
        <w:t xml:space="preserve">bezpośrednie </w:t>
      </w:r>
      <w:r w:rsidR="00A70E21" w:rsidRPr="004F6220">
        <w:t>zastosowanie znajduje rozporządzenie 596/2014.</w:t>
      </w:r>
      <w:r w:rsidRPr="004F6220">
        <w:t xml:space="preserve"> Przewidziane projektem zmiany </w:t>
      </w:r>
      <w:r w:rsidR="00A70E21" w:rsidRPr="004F6220">
        <w:t xml:space="preserve">obejmują zatem przede wszystkim aktualizację odesłań do </w:t>
      </w:r>
      <w:r w:rsidR="0043381A" w:rsidRPr="004F6220">
        <w:t xml:space="preserve">zastąpionego </w:t>
      </w:r>
      <w:r w:rsidR="00A70E21" w:rsidRPr="004F6220">
        <w:t xml:space="preserve">rozporządzenia 1031/2010, dostosowanie przepisów do zmienionej konstrukcji regulacji dotyczących aukcji oraz usunięcie tych rozwiązań, które stały się zbędne w związku z objęciem uprawnień do emisji ogólnymi zasadami właściwym dla instrumentów finansowych. </w:t>
      </w:r>
      <w:r w:rsidR="00541B0C" w:rsidRPr="004F6220">
        <w:t xml:space="preserve">Ponadto w projekcie ustawy przewidziano kompleksowy katalog zmian w ustawach, których przepisy odwołują się do zastępowanego rozporządzenia 1031/2010, z wyłączeniem art. 102 ustawy z dnia 15 grudnia 2017 r. o dystrybucji ubezpieczeń (Dz. U. z 2026 r. poz. 12, z późn. zm.). Wskazany przepis ma charakter przejściowy, natomiast norma prawna wynikająca z tego przepisu, przewidująca wydłużenie z 12 do 36 miesięcy czas </w:t>
      </w:r>
      <w:r w:rsidR="00C235A2" w:rsidRPr="004F6220">
        <w:lastRenderedPageBreak/>
        <w:t>dla podmiotów</w:t>
      </w:r>
      <w:r w:rsidR="00541B0C" w:rsidRPr="004F6220">
        <w:t xml:space="preserve">, które na podstawie art. 29a ustawy </w:t>
      </w:r>
      <w:r w:rsidR="00C235A2" w:rsidRPr="004F6220">
        <w:t xml:space="preserve">o obrocie instrumentami finansowymi </w:t>
      </w:r>
      <w:r w:rsidR="00541B0C" w:rsidRPr="004F6220">
        <w:t>uzyskały zezwolenie na prowadzenie platformy aukcyjnej przed dniem wejścia w życie niniejszej ustawy</w:t>
      </w:r>
      <w:r w:rsidR="00C235A2" w:rsidRPr="004F6220">
        <w:t xml:space="preserve"> o działalności ubezpieczeniowej</w:t>
      </w:r>
      <w:r w:rsidR="00541B0C" w:rsidRPr="004F6220">
        <w:t xml:space="preserve">, na złożenie wniosku o wpis do wykazu, o którym mowa w załączniku III do rozporządzenia 1031/2010, </w:t>
      </w:r>
      <w:r w:rsidR="00C235A2" w:rsidRPr="004F6220">
        <w:t>już została zrealizowana, a co za tym idzie wygasła</w:t>
      </w:r>
      <w:r w:rsidR="00541B0C" w:rsidRPr="004F6220">
        <w:t>.</w:t>
      </w:r>
    </w:p>
    <w:p w14:paraId="39D2E800" w14:textId="27B1355D" w:rsidR="00017903" w:rsidRPr="004F6220" w:rsidRDefault="0043381A" w:rsidP="005D621C">
      <w:pPr>
        <w:spacing w:before="120" w:after="0" w:line="360" w:lineRule="auto"/>
        <w:jc w:val="both"/>
        <w:rPr>
          <w:rFonts w:ascii="Times New Roman" w:eastAsia="Times New Roman" w:hAnsi="Times New Roman" w:cs="Times New Roman"/>
          <w:sz w:val="24"/>
          <w:szCs w:val="24"/>
          <w:lang w:eastAsia="pl-PL"/>
        </w:rPr>
      </w:pPr>
      <w:bookmarkStart w:id="0" w:name="_Hlk224305952"/>
      <w:r w:rsidRPr="004F6220">
        <w:rPr>
          <w:rFonts w:ascii="Times New Roman" w:eastAsia="Times New Roman" w:hAnsi="Times New Roman" w:cs="Times New Roman"/>
          <w:sz w:val="24"/>
          <w:szCs w:val="24"/>
          <w:lang w:eastAsia="pl-PL"/>
        </w:rPr>
        <w:t>W</w:t>
      </w:r>
      <w:r w:rsidR="00017903" w:rsidRPr="004F6220">
        <w:rPr>
          <w:rFonts w:ascii="Times New Roman" w:eastAsia="Times New Roman" w:hAnsi="Times New Roman" w:cs="Times New Roman"/>
          <w:sz w:val="24"/>
          <w:szCs w:val="24"/>
          <w:lang w:eastAsia="pl-PL"/>
        </w:rPr>
        <w:t xml:space="preserve"> związku ze zmianami wprowadzanymi </w:t>
      </w:r>
      <w:r w:rsidR="00BE7B44" w:rsidRPr="004F6220">
        <w:rPr>
          <w:rFonts w:ascii="Times New Roman" w:eastAsia="Times New Roman" w:hAnsi="Times New Roman" w:cs="Times New Roman"/>
          <w:sz w:val="24"/>
          <w:szCs w:val="24"/>
          <w:lang w:eastAsia="pl-PL"/>
        </w:rPr>
        <w:t xml:space="preserve">do </w:t>
      </w:r>
      <w:r w:rsidRPr="004F6220">
        <w:rPr>
          <w:rFonts w:ascii="Times New Roman" w:eastAsia="Times New Roman" w:hAnsi="Times New Roman" w:cs="Times New Roman"/>
          <w:sz w:val="24"/>
          <w:szCs w:val="24"/>
          <w:lang w:eastAsia="pl-PL"/>
        </w:rPr>
        <w:t xml:space="preserve">ustawy o obrocie instrumentami finansowymi oraz ustawy o ofercie publicznej </w:t>
      </w:r>
      <w:r w:rsidR="00017903" w:rsidRPr="004F6220">
        <w:rPr>
          <w:rFonts w:ascii="Times New Roman" w:eastAsia="Times New Roman" w:hAnsi="Times New Roman" w:cs="Times New Roman"/>
          <w:sz w:val="24"/>
          <w:szCs w:val="24"/>
          <w:lang w:eastAsia="pl-PL"/>
        </w:rPr>
        <w:t xml:space="preserve">konieczne jest dokonanie odpowiednich zmian również w </w:t>
      </w:r>
      <w:r w:rsidR="00493CF4" w:rsidRPr="004F6220">
        <w:rPr>
          <w:rFonts w:ascii="Times New Roman" w:eastAsia="Times New Roman" w:hAnsi="Times New Roman" w:cs="Times New Roman"/>
          <w:sz w:val="24"/>
          <w:szCs w:val="24"/>
          <w:lang w:eastAsia="pl-PL"/>
        </w:rPr>
        <w:t>ustawie z dnia 29 sierpnia 1997 r. – Prawo bankowe (Dz. U. z 2026 r. poz. 38, z późn. zm.), zwanej dalej „</w:t>
      </w:r>
      <w:r w:rsidR="00E242D1">
        <w:rPr>
          <w:rFonts w:ascii="Times New Roman" w:eastAsia="Times New Roman" w:hAnsi="Times New Roman" w:cs="Times New Roman"/>
          <w:sz w:val="24"/>
          <w:szCs w:val="24"/>
          <w:lang w:eastAsia="pl-PL"/>
        </w:rPr>
        <w:t xml:space="preserve">ustawą – </w:t>
      </w:r>
      <w:r w:rsidR="00493CF4" w:rsidRPr="004F6220">
        <w:rPr>
          <w:rFonts w:ascii="Times New Roman" w:eastAsia="Times New Roman" w:hAnsi="Times New Roman" w:cs="Times New Roman"/>
          <w:sz w:val="24"/>
          <w:szCs w:val="24"/>
          <w:lang w:eastAsia="pl-PL"/>
        </w:rPr>
        <w:t>Praw</w:t>
      </w:r>
      <w:r w:rsidR="00E242D1">
        <w:rPr>
          <w:rFonts w:ascii="Times New Roman" w:eastAsia="Times New Roman" w:hAnsi="Times New Roman" w:cs="Times New Roman"/>
          <w:sz w:val="24"/>
          <w:szCs w:val="24"/>
          <w:lang w:eastAsia="pl-PL"/>
        </w:rPr>
        <w:t>o</w:t>
      </w:r>
      <w:r w:rsidR="00493CF4" w:rsidRPr="004F6220">
        <w:rPr>
          <w:rFonts w:ascii="Times New Roman" w:eastAsia="Times New Roman" w:hAnsi="Times New Roman" w:cs="Times New Roman"/>
          <w:sz w:val="24"/>
          <w:szCs w:val="24"/>
          <w:lang w:eastAsia="pl-PL"/>
        </w:rPr>
        <w:t xml:space="preserve"> bankow</w:t>
      </w:r>
      <w:r w:rsidR="00E242D1">
        <w:rPr>
          <w:rFonts w:ascii="Times New Roman" w:eastAsia="Times New Roman" w:hAnsi="Times New Roman" w:cs="Times New Roman"/>
          <w:sz w:val="24"/>
          <w:szCs w:val="24"/>
          <w:lang w:eastAsia="pl-PL"/>
        </w:rPr>
        <w:t>e</w:t>
      </w:r>
      <w:r w:rsidR="00493CF4" w:rsidRPr="004F6220">
        <w:rPr>
          <w:rFonts w:ascii="Times New Roman" w:eastAsia="Times New Roman" w:hAnsi="Times New Roman" w:cs="Times New Roman"/>
          <w:sz w:val="24"/>
          <w:szCs w:val="24"/>
          <w:lang w:eastAsia="pl-PL"/>
        </w:rPr>
        <w:t xml:space="preserve">”, </w:t>
      </w:r>
      <w:r w:rsidR="00A67ED3" w:rsidRPr="004F6220">
        <w:rPr>
          <w:rFonts w:ascii="Times New Roman" w:eastAsia="Times New Roman" w:hAnsi="Times New Roman" w:cs="Times New Roman"/>
          <w:sz w:val="24"/>
          <w:szCs w:val="24"/>
          <w:lang w:eastAsia="pl-PL"/>
        </w:rPr>
        <w:t xml:space="preserve">ustawie z dnia 15 września 2000 r. </w:t>
      </w:r>
      <w:r w:rsidR="004978C4">
        <w:rPr>
          <w:rFonts w:ascii="Times New Roman" w:eastAsia="Times New Roman" w:hAnsi="Times New Roman" w:cs="Times New Roman"/>
          <w:sz w:val="24"/>
          <w:szCs w:val="24"/>
          <w:lang w:eastAsia="pl-PL"/>
        </w:rPr>
        <w:t>–</w:t>
      </w:r>
      <w:r w:rsidR="007435C6" w:rsidRPr="004F6220">
        <w:rPr>
          <w:rFonts w:ascii="Times New Roman" w:eastAsia="Times New Roman" w:hAnsi="Times New Roman" w:cs="Times New Roman"/>
          <w:sz w:val="24"/>
          <w:szCs w:val="24"/>
          <w:lang w:eastAsia="pl-PL"/>
        </w:rPr>
        <w:t xml:space="preserve"> </w:t>
      </w:r>
      <w:r w:rsidR="00A67ED3" w:rsidRPr="004F6220">
        <w:rPr>
          <w:rFonts w:ascii="Times New Roman" w:eastAsia="Times New Roman" w:hAnsi="Times New Roman" w:cs="Times New Roman"/>
          <w:sz w:val="24"/>
          <w:szCs w:val="24"/>
          <w:lang w:eastAsia="pl-PL"/>
        </w:rPr>
        <w:t>Kodeks spółek handlowych (Dz. U. z 2024 r. poz. 18</w:t>
      </w:r>
      <w:r w:rsidR="007435C6" w:rsidRPr="004F6220">
        <w:rPr>
          <w:rFonts w:ascii="Times New Roman" w:eastAsia="Times New Roman" w:hAnsi="Times New Roman" w:cs="Times New Roman"/>
          <w:sz w:val="24"/>
          <w:szCs w:val="24"/>
          <w:lang w:eastAsia="pl-PL"/>
        </w:rPr>
        <w:t>, z późn. zm.</w:t>
      </w:r>
      <w:r w:rsidR="00A67ED3" w:rsidRPr="004F6220">
        <w:rPr>
          <w:rFonts w:ascii="Times New Roman" w:eastAsia="Times New Roman" w:hAnsi="Times New Roman" w:cs="Times New Roman"/>
          <w:sz w:val="24"/>
          <w:szCs w:val="24"/>
          <w:lang w:eastAsia="pl-PL"/>
        </w:rPr>
        <w:t xml:space="preserve">), zwanej dalej „Kodeksem </w:t>
      </w:r>
      <w:r w:rsidR="00AC64E1" w:rsidRPr="004F6220">
        <w:rPr>
          <w:rFonts w:ascii="Times New Roman" w:eastAsia="Times New Roman" w:hAnsi="Times New Roman" w:cs="Times New Roman"/>
          <w:sz w:val="24"/>
          <w:szCs w:val="24"/>
          <w:lang w:eastAsia="pl-PL"/>
        </w:rPr>
        <w:t xml:space="preserve">spółek </w:t>
      </w:r>
      <w:r w:rsidR="00A67ED3" w:rsidRPr="004F6220">
        <w:rPr>
          <w:rFonts w:ascii="Times New Roman" w:eastAsia="Times New Roman" w:hAnsi="Times New Roman" w:cs="Times New Roman"/>
          <w:sz w:val="24"/>
          <w:szCs w:val="24"/>
          <w:lang w:eastAsia="pl-PL"/>
        </w:rPr>
        <w:t>handlowy</w:t>
      </w:r>
      <w:r w:rsidR="00AC64E1" w:rsidRPr="004F6220">
        <w:rPr>
          <w:rFonts w:ascii="Times New Roman" w:eastAsia="Times New Roman" w:hAnsi="Times New Roman" w:cs="Times New Roman"/>
          <w:sz w:val="24"/>
          <w:szCs w:val="24"/>
          <w:lang w:eastAsia="pl-PL"/>
        </w:rPr>
        <w:t>ch</w:t>
      </w:r>
      <w:r w:rsidR="00A67ED3" w:rsidRPr="004F6220">
        <w:rPr>
          <w:rFonts w:ascii="Times New Roman" w:eastAsia="Times New Roman" w:hAnsi="Times New Roman" w:cs="Times New Roman"/>
          <w:sz w:val="24"/>
          <w:szCs w:val="24"/>
          <w:lang w:eastAsia="pl-PL"/>
        </w:rPr>
        <w:t xml:space="preserve">”, </w:t>
      </w:r>
      <w:r w:rsidR="00E06CE4" w:rsidRPr="004F6220">
        <w:rPr>
          <w:rFonts w:ascii="Times New Roman" w:hAnsi="Times New Roman" w:cs="Times New Roman"/>
          <w:sz w:val="24"/>
          <w:szCs w:val="24"/>
        </w:rPr>
        <w:t>ustawie z dnia 26 października 2000 r. o giełdach towarowych (Dz. U. z 2025 r. poz. 1119</w:t>
      </w:r>
      <w:r w:rsidRPr="004F6220">
        <w:rPr>
          <w:rFonts w:ascii="Times New Roman" w:hAnsi="Times New Roman" w:cs="Times New Roman"/>
          <w:sz w:val="24"/>
          <w:szCs w:val="24"/>
        </w:rPr>
        <w:t>, z późn. zm.</w:t>
      </w:r>
      <w:r w:rsidR="00E06CE4" w:rsidRPr="004F6220">
        <w:rPr>
          <w:rFonts w:ascii="Times New Roman" w:hAnsi="Times New Roman" w:cs="Times New Roman"/>
          <w:sz w:val="24"/>
          <w:szCs w:val="24"/>
        </w:rPr>
        <w:t xml:space="preserve">), zwanej dalej „ustawą o giełdach towarowych”, </w:t>
      </w:r>
      <w:r w:rsidR="00A67ED3" w:rsidRPr="004F6220">
        <w:rPr>
          <w:rFonts w:ascii="Times New Roman" w:eastAsia="Times New Roman" w:hAnsi="Times New Roman" w:cs="Times New Roman"/>
          <w:sz w:val="24"/>
          <w:szCs w:val="24"/>
          <w:lang w:eastAsia="pl-PL"/>
        </w:rPr>
        <w:t xml:space="preserve">ustawie z dnia 27 maja 2004 r. o funduszach inwestycyjnych i zarządzaniu alternatywnymi funduszami inwestycyjnymi (Dz. U. z 2026 r. poz. 60, </w:t>
      </w:r>
      <w:r w:rsidR="007435C6" w:rsidRPr="004F6220">
        <w:rPr>
          <w:rFonts w:ascii="Times New Roman" w:eastAsia="Times New Roman" w:hAnsi="Times New Roman" w:cs="Times New Roman"/>
          <w:sz w:val="24"/>
          <w:szCs w:val="24"/>
          <w:lang w:eastAsia="pl-PL"/>
        </w:rPr>
        <w:t>z późn. zm.</w:t>
      </w:r>
      <w:r w:rsidR="00A67ED3" w:rsidRPr="004F6220">
        <w:rPr>
          <w:rFonts w:ascii="Times New Roman" w:eastAsia="Times New Roman" w:hAnsi="Times New Roman" w:cs="Times New Roman"/>
          <w:sz w:val="24"/>
          <w:szCs w:val="24"/>
          <w:lang w:eastAsia="pl-PL"/>
        </w:rPr>
        <w:t xml:space="preserve">), zwanej dalej „ustawą o funduszach inwestycyjnych”, </w:t>
      </w:r>
      <w:r w:rsidR="00017903" w:rsidRPr="004F6220">
        <w:rPr>
          <w:rFonts w:ascii="Times New Roman" w:eastAsia="Times New Roman" w:hAnsi="Times New Roman" w:cs="Times New Roman"/>
          <w:sz w:val="24"/>
          <w:szCs w:val="24"/>
          <w:lang w:eastAsia="pl-PL"/>
        </w:rPr>
        <w:t>ustawie z dnia 29 lipca 2005 r. o nadzorze nad rynkiem kapitałowym (Dz. U. z 2024 r. poz. 1161, z późn. zm.),</w:t>
      </w:r>
      <w:r w:rsidR="00E8671B" w:rsidRPr="004F6220">
        <w:rPr>
          <w:rFonts w:ascii="Times New Roman" w:eastAsia="Times New Roman" w:hAnsi="Times New Roman" w:cs="Times New Roman"/>
          <w:sz w:val="24"/>
          <w:szCs w:val="24"/>
          <w:lang w:eastAsia="pl-PL"/>
        </w:rPr>
        <w:t xml:space="preserve"> zwanej dalej „ustaw</w:t>
      </w:r>
      <w:r w:rsidR="004978C4">
        <w:rPr>
          <w:rFonts w:ascii="Times New Roman" w:eastAsia="Times New Roman" w:hAnsi="Times New Roman" w:cs="Times New Roman"/>
          <w:sz w:val="24"/>
          <w:szCs w:val="24"/>
          <w:lang w:eastAsia="pl-PL"/>
        </w:rPr>
        <w:t>ą</w:t>
      </w:r>
      <w:r w:rsidR="00E8671B" w:rsidRPr="004F6220">
        <w:rPr>
          <w:rFonts w:ascii="Times New Roman" w:eastAsia="Times New Roman" w:hAnsi="Times New Roman" w:cs="Times New Roman"/>
          <w:sz w:val="24"/>
          <w:szCs w:val="24"/>
          <w:lang w:eastAsia="pl-PL"/>
        </w:rPr>
        <w:t xml:space="preserve"> o nadzorze nad rynkiem kapitałowym”,</w:t>
      </w:r>
      <w:r w:rsidR="00017903" w:rsidRPr="004F6220">
        <w:rPr>
          <w:rFonts w:ascii="Times New Roman" w:eastAsia="Times New Roman" w:hAnsi="Times New Roman" w:cs="Times New Roman"/>
          <w:sz w:val="24"/>
          <w:szCs w:val="24"/>
          <w:lang w:eastAsia="pl-PL"/>
        </w:rPr>
        <w:t xml:space="preserve"> ustawie z dnia 21 lipca 2006 r. o nadzorze nad rynkiem finansowym (Dz. U. z 2025 r. poz. 640</w:t>
      </w:r>
      <w:r w:rsidR="000C0515" w:rsidRPr="004F6220">
        <w:rPr>
          <w:rFonts w:ascii="Times New Roman" w:eastAsia="Times New Roman" w:hAnsi="Times New Roman" w:cs="Times New Roman"/>
          <w:sz w:val="24"/>
          <w:szCs w:val="24"/>
          <w:lang w:eastAsia="pl-PL"/>
        </w:rPr>
        <w:t>, z późn. zm</w:t>
      </w:r>
      <w:r w:rsidR="004C4905" w:rsidRPr="004F6220">
        <w:rPr>
          <w:rFonts w:ascii="Times New Roman" w:eastAsia="Times New Roman" w:hAnsi="Times New Roman" w:cs="Times New Roman"/>
          <w:sz w:val="24"/>
          <w:szCs w:val="24"/>
          <w:lang w:eastAsia="pl-PL"/>
        </w:rPr>
        <w:t>.</w:t>
      </w:r>
      <w:r w:rsidR="00017903" w:rsidRPr="004F6220">
        <w:rPr>
          <w:rFonts w:ascii="Times New Roman" w:eastAsia="Times New Roman" w:hAnsi="Times New Roman" w:cs="Times New Roman"/>
          <w:sz w:val="24"/>
          <w:szCs w:val="24"/>
          <w:lang w:eastAsia="pl-PL"/>
        </w:rPr>
        <w:t>)</w:t>
      </w:r>
      <w:r w:rsidR="00E8671B" w:rsidRPr="004F6220">
        <w:rPr>
          <w:rFonts w:ascii="Times New Roman" w:eastAsia="Times New Roman" w:hAnsi="Times New Roman" w:cs="Times New Roman"/>
          <w:sz w:val="24"/>
          <w:szCs w:val="24"/>
          <w:lang w:eastAsia="pl-PL"/>
        </w:rPr>
        <w:t>, zwanej dalej „ustawą o nadzorze nad rynkiem finansowym”</w:t>
      </w:r>
      <w:r w:rsidR="00E06CE4" w:rsidRPr="004F6220">
        <w:rPr>
          <w:rFonts w:ascii="Times New Roman" w:eastAsia="Times New Roman" w:hAnsi="Times New Roman" w:cs="Times New Roman"/>
          <w:sz w:val="24"/>
          <w:szCs w:val="24"/>
          <w:lang w:eastAsia="pl-PL"/>
        </w:rPr>
        <w:t xml:space="preserve">, </w:t>
      </w:r>
      <w:r w:rsidR="00E06CE4" w:rsidRPr="004F6220">
        <w:rPr>
          <w:rFonts w:ascii="Times New Roman" w:hAnsi="Times New Roman" w:cs="Times New Roman"/>
          <w:sz w:val="24"/>
          <w:szCs w:val="24"/>
        </w:rPr>
        <w:t>ustawie z dnia 17 lipca 2009 r. o systemie zarządzania emisjami gazów cieplarnianych i innych substancji (Dz. U. z 2026 r. poz. 526</w:t>
      </w:r>
      <w:r w:rsidRPr="004F6220">
        <w:rPr>
          <w:rFonts w:ascii="Times New Roman" w:hAnsi="Times New Roman" w:cs="Times New Roman"/>
          <w:sz w:val="24"/>
          <w:szCs w:val="24"/>
        </w:rPr>
        <w:t>, z późn. zm.</w:t>
      </w:r>
      <w:r w:rsidR="00E06CE4" w:rsidRPr="004F6220">
        <w:rPr>
          <w:rFonts w:ascii="Times New Roman" w:hAnsi="Times New Roman" w:cs="Times New Roman"/>
          <w:sz w:val="24"/>
          <w:szCs w:val="24"/>
        </w:rPr>
        <w:t>)</w:t>
      </w:r>
      <w:r w:rsidR="00017903" w:rsidRPr="004F6220">
        <w:rPr>
          <w:rFonts w:ascii="Times New Roman" w:eastAsia="Times New Roman" w:hAnsi="Times New Roman" w:cs="Times New Roman"/>
          <w:sz w:val="24"/>
          <w:szCs w:val="24"/>
          <w:lang w:eastAsia="pl-PL"/>
        </w:rPr>
        <w:t xml:space="preserve"> oraz w ustawie z dnia 15 stycznia 2015 r. o obligacjach (Dz. U. z 2025 r. poz. 1667)</w:t>
      </w:r>
      <w:r w:rsidR="00E8671B" w:rsidRPr="004F6220">
        <w:rPr>
          <w:rFonts w:ascii="Times New Roman" w:eastAsia="Times New Roman" w:hAnsi="Times New Roman" w:cs="Times New Roman"/>
          <w:sz w:val="24"/>
          <w:szCs w:val="24"/>
          <w:lang w:eastAsia="pl-PL"/>
        </w:rPr>
        <w:t>, zwanej dalej „ustawą o obligacjach”</w:t>
      </w:r>
      <w:r w:rsidR="00017903" w:rsidRPr="004F6220">
        <w:rPr>
          <w:rFonts w:ascii="Times New Roman" w:eastAsia="Times New Roman" w:hAnsi="Times New Roman" w:cs="Times New Roman"/>
          <w:sz w:val="24"/>
          <w:szCs w:val="24"/>
          <w:lang w:eastAsia="pl-PL"/>
        </w:rPr>
        <w:t>.</w:t>
      </w:r>
    </w:p>
    <w:bookmarkEnd w:id="0"/>
    <w:p w14:paraId="3FAE36F4" w14:textId="4F7153AA" w:rsidR="002D02B6" w:rsidRPr="004F6220" w:rsidRDefault="002D02B6" w:rsidP="005D621C">
      <w:pPr>
        <w:spacing w:before="120" w:after="0" w:line="360" w:lineRule="auto"/>
        <w:rPr>
          <w:rFonts w:ascii="Times New Roman" w:hAnsi="Times New Roman" w:cs="Times New Roman"/>
          <w:b/>
          <w:bCs/>
          <w:sz w:val="24"/>
          <w:szCs w:val="24"/>
          <w:u w:val="single"/>
        </w:rPr>
      </w:pPr>
      <w:r w:rsidRPr="004F6220">
        <w:rPr>
          <w:rFonts w:ascii="Times New Roman" w:hAnsi="Times New Roman" w:cs="Times New Roman"/>
          <w:b/>
          <w:bCs/>
          <w:sz w:val="24"/>
          <w:szCs w:val="24"/>
          <w:u w:val="single"/>
        </w:rPr>
        <w:t xml:space="preserve">Omówienie projektowanych zmian </w:t>
      </w:r>
    </w:p>
    <w:p w14:paraId="4B8DDA51" w14:textId="1CE25F50" w:rsidR="00493CF4" w:rsidRPr="004F6220" w:rsidRDefault="00493CF4"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 xml:space="preserve">1. Zmiana w </w:t>
      </w:r>
      <w:r w:rsidR="002203E8" w:rsidRPr="004F6220">
        <w:rPr>
          <w:rFonts w:ascii="Times New Roman" w:eastAsia="Times New Roman" w:hAnsi="Times New Roman" w:cs="Times New Roman"/>
          <w:b/>
          <w:bCs/>
          <w:smallCaps/>
          <w:sz w:val="24"/>
          <w:szCs w:val="24"/>
          <w:lang w:eastAsia="pl-PL"/>
        </w:rPr>
        <w:t>Prawie bankowym</w:t>
      </w:r>
    </w:p>
    <w:p w14:paraId="64E95965" w14:textId="5671F11A" w:rsidR="00F94C57" w:rsidRPr="004F6220" w:rsidRDefault="00F94C57" w:rsidP="005D621C">
      <w:pPr>
        <w:pStyle w:val="NormalnyWeb"/>
        <w:spacing w:before="120" w:beforeAutospacing="0" w:after="0" w:afterAutospacing="0" w:line="360" w:lineRule="auto"/>
        <w:jc w:val="both"/>
      </w:pPr>
      <w:r w:rsidRPr="004F6220">
        <w:t xml:space="preserve">Skreślenie </w:t>
      </w:r>
      <w:r w:rsidRPr="004F6220">
        <w:rPr>
          <w:b/>
          <w:bCs/>
        </w:rPr>
        <w:t>zdania drugiego</w:t>
      </w:r>
      <w:r w:rsidRPr="004F6220">
        <w:t xml:space="preserve"> w </w:t>
      </w:r>
      <w:r w:rsidRPr="004F6220">
        <w:rPr>
          <w:b/>
          <w:bCs/>
        </w:rPr>
        <w:t>art. 88p ust. 2</w:t>
      </w:r>
      <w:r w:rsidRPr="004F6220">
        <w:t xml:space="preserve"> ustawy – Prawo bankowe jest konsekwencją zmian w ustawie o ofercie publicznej, polegających na uchyleniu art. 37a oraz art. 37b ust. 3a. </w:t>
      </w:r>
      <w:r w:rsidR="00125F6B" w:rsidRPr="004F6220">
        <w:t xml:space="preserve">Wobec przewidzianego projektem braku obowiązku wcześniejszego zawiadamiania Komisji Nadzoru Finansowego (dalej także jako: Komisja, KNF) o planowanej ofercie, nie ma potrzeby zastrzegania w art. 88p ust. 2 zdanie drugie ustawy – Prawo bankowe, że nie stosuje się </w:t>
      </w:r>
      <w:r w:rsidRPr="004F6220">
        <w:t xml:space="preserve">w odniesieniu do bankowych praw pochodnych </w:t>
      </w:r>
      <w:r w:rsidR="00125F6B" w:rsidRPr="004F6220">
        <w:t>takiego obowiązku</w:t>
      </w:r>
      <w:r w:rsidRPr="004F6220">
        <w:t>.</w:t>
      </w:r>
    </w:p>
    <w:p w14:paraId="2AC5E558" w14:textId="03779059" w:rsidR="00AC64E1" w:rsidRPr="004F6220" w:rsidRDefault="00493CF4"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2</w:t>
      </w:r>
      <w:r w:rsidR="00AC64E1" w:rsidRPr="004F6220">
        <w:rPr>
          <w:rFonts w:ascii="Times New Roman" w:eastAsia="Times New Roman" w:hAnsi="Times New Roman" w:cs="Times New Roman"/>
          <w:b/>
          <w:bCs/>
          <w:smallCaps/>
          <w:sz w:val="24"/>
          <w:szCs w:val="24"/>
          <w:lang w:eastAsia="pl-PL"/>
        </w:rPr>
        <w:t>. Zmiana w Kodeksie spółek handlowych</w:t>
      </w:r>
    </w:p>
    <w:p w14:paraId="7B9F5F4A" w14:textId="32DCD77C" w:rsidR="00AC64E1" w:rsidRPr="004F6220" w:rsidRDefault="00AC64E1" w:rsidP="005D621C">
      <w:pPr>
        <w:pStyle w:val="NormalnyWeb"/>
        <w:spacing w:before="120" w:beforeAutospacing="0" w:after="0" w:afterAutospacing="0" w:line="360" w:lineRule="auto"/>
        <w:jc w:val="both"/>
      </w:pPr>
      <w:r w:rsidRPr="004F6220">
        <w:t xml:space="preserve">Zmiana </w:t>
      </w:r>
      <w:r w:rsidRPr="004F6220">
        <w:rPr>
          <w:b/>
          <w:bCs/>
        </w:rPr>
        <w:t>art. 431 § 4</w:t>
      </w:r>
      <w:r w:rsidRPr="004F6220">
        <w:t xml:space="preserve"> </w:t>
      </w:r>
      <w:r w:rsidR="004C4905" w:rsidRPr="004F6220">
        <w:t xml:space="preserve">Kodeksu spółek handlowych </w:t>
      </w:r>
      <w:r w:rsidRPr="004F6220">
        <w:t xml:space="preserve">ma na celu dostosowanie ww. przepisu do aktualnego stanu prawnego, w którym memoranda informacyjne nie są zatwierdzane przez </w:t>
      </w:r>
      <w:r w:rsidRPr="004F6220">
        <w:lastRenderedPageBreak/>
        <w:t xml:space="preserve">KNF. Przedłużony termin na zgłoszenie uchwały o podwyższenie kapitału zakładowego w zakresie ofert publicznych objętych prospektem albo memorandum informacyjnym wynikał z faktu, iż w stanie prawnym w którym została wprowadzona ww. regulacja zarówno prospekt, jak i memorandum podlegały zatwierdzeniu przez KNF, przy czym subskrypcja akcji mogła się rozpocząć dopiero po zatwierdzeniu prospektu albo memorandum informacyjnego. Ze względu na konieczność przeprowadzenia postępowania w przedmiocie zatwierdzenia prospektu lub memorandum ustawodawca uznał, że okres na przeprowadzenie subskrypcji mógłby </w:t>
      </w:r>
      <w:r w:rsidR="004C4905" w:rsidRPr="004F6220">
        <w:t>o</w:t>
      </w:r>
      <w:r w:rsidRPr="004F6220">
        <w:t xml:space="preserve">kazać </w:t>
      </w:r>
      <w:r w:rsidR="004C4905" w:rsidRPr="004F6220">
        <w:t xml:space="preserve">się </w:t>
      </w:r>
      <w:r w:rsidRPr="004F6220">
        <w:t>zbyt krótki. Dlatego termin na zgłoszenie do rejestru uchwały w przypadku tego rodzaju ofert został przedłużony do 12 miesięcy. W okresie tym emitent powinien uzyskać zatwierdzenie prospektu lub memorandum, a następnie przeprowadzić subskrypcję. W aktualnym stanie prawnym jedynym dokumentem zatwierdzanym przez KNF jest prospekt. W związku z powyższym przedłużony termin powinien odnosić się wyłącznie do ofert objętych prospektem. Dokonując zmiany ww. przepisu</w:t>
      </w:r>
      <w:r w:rsidR="007435C6" w:rsidRPr="004F6220">
        <w:t>,</w:t>
      </w:r>
      <w:r w:rsidRPr="004F6220">
        <w:t xml:space="preserve"> należy </w:t>
      </w:r>
      <w:r w:rsidR="004C4905" w:rsidRPr="004F6220">
        <w:t xml:space="preserve">dodatkowo </w:t>
      </w:r>
      <w:r w:rsidRPr="004F6220">
        <w:t xml:space="preserve">skorygować </w:t>
      </w:r>
      <w:r w:rsidR="004C4905" w:rsidRPr="004F6220">
        <w:t xml:space="preserve">ten </w:t>
      </w:r>
      <w:r w:rsidRPr="004F6220">
        <w:t xml:space="preserve">przepis w zakresie dotyczącym terminu na zgłoszenie uchwały liczonego od dnia przydziału akcji. Zgodnie z dosłownym brzmieniem przepisu w aktualnym brzmieniu wniosek powinien być złożony </w:t>
      </w:r>
      <w:r w:rsidR="0018574E" w:rsidRPr="004F6220">
        <w:t>niepóźniej</w:t>
      </w:r>
      <w:r w:rsidRPr="004F6220">
        <w:t xml:space="preserve"> niż po upływie miesiąca od dnia przydziału akcji. Dosłowne odczytanie tego sformułowania prowadziłoby do stwierdzenia, że wniosek taki może być złożony dowolnie późno, np. 3 miesiące po upływie tego terminu, gdyż zawsze byłby składany </w:t>
      </w:r>
      <w:r w:rsidR="0018574E" w:rsidRPr="004F6220">
        <w:t>niepóźniej</w:t>
      </w:r>
      <w:r w:rsidRPr="004F6220">
        <w:t xml:space="preserve"> niż po jego upływie. Należy więc przyjąć, że intencją ustawodawcy było wyłączenie możliwości złożenia wniosku po upływie tego terminu, co oznacza, że podwyższenie kapitału powinno być zgłoszone do rejestru przed jego upływem.</w:t>
      </w:r>
    </w:p>
    <w:p w14:paraId="16EFB3F1" w14:textId="673902E2" w:rsidR="00B85D4A" w:rsidRPr="004F6220" w:rsidRDefault="00B85D4A"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3. Zmiany w ustawie o giełdach towarowych</w:t>
      </w:r>
    </w:p>
    <w:p w14:paraId="2F2D9F27" w14:textId="4EC4A03F" w:rsidR="00B85D4A" w:rsidRPr="004F6220" w:rsidRDefault="00125F6B" w:rsidP="005D621C">
      <w:pPr>
        <w:pStyle w:val="NormalnyWeb"/>
        <w:spacing w:before="120" w:beforeAutospacing="0" w:after="0" w:afterAutospacing="0" w:line="360" w:lineRule="auto"/>
        <w:jc w:val="both"/>
      </w:pPr>
      <w:r w:rsidRPr="004F6220">
        <w:t xml:space="preserve">Zmiany w ustawie o giełdach towarowych są konsekwencją zastąpienia rozporządzenia 1031/2010 przez rozporządzenie 2023/2830. </w:t>
      </w:r>
      <w:r w:rsidR="00B85D4A" w:rsidRPr="004F6220">
        <w:t xml:space="preserve">W </w:t>
      </w:r>
      <w:r w:rsidR="00B85D4A" w:rsidRPr="004F6220">
        <w:rPr>
          <w:b/>
          <w:bCs/>
        </w:rPr>
        <w:t>art. 2</w:t>
      </w:r>
      <w:r w:rsidR="00B85D4A" w:rsidRPr="004F6220">
        <w:t xml:space="preserve"> ustawy o giełdach towarowych uchyla się </w:t>
      </w:r>
      <w:r w:rsidR="00B85D4A" w:rsidRPr="004F6220">
        <w:rPr>
          <w:b/>
          <w:bCs/>
        </w:rPr>
        <w:t>pkt 21</w:t>
      </w:r>
      <w:r w:rsidR="00B85D4A" w:rsidRPr="004F6220">
        <w:t xml:space="preserve"> oraz </w:t>
      </w:r>
      <w:r w:rsidR="00B85D4A" w:rsidRPr="004F6220">
        <w:rPr>
          <w:b/>
          <w:bCs/>
        </w:rPr>
        <w:t>pkt 22</w:t>
      </w:r>
      <w:r w:rsidR="00B85D4A" w:rsidRPr="004F6220">
        <w:t xml:space="preserve"> </w:t>
      </w:r>
      <w:r w:rsidR="00F548D3" w:rsidRPr="004F6220">
        <w:t xml:space="preserve">dodane przez art. 113 pkt 1 ustawy z dnia 12 czerwca 2015 r. o systemie handlu uprawnieniami do emisji gazów cieplarnianych (Dz. U. poz. 1223), </w:t>
      </w:r>
      <w:r w:rsidR="00B85D4A" w:rsidRPr="004F6220">
        <w:t xml:space="preserve">zawierające odpowiednio definicję „rozporządzenia 1031/2010” oraz definicję „platformy aukcyjnej”. W przypadku pkt 21, w związku z zastąpieniem rozporządzenia 1031/2010 przez rozporządzenie 2023/2830, co do zasady należałoby zastąpić dotychczasową definicję przez definicję nowego rozporządzenia. Po uwzględnieniu projektowanych zmian odesłanie do rozporządzenia 2023/2830 będzie jednak występowało w ustawie tylko w jednym miejscu, wobec czego wprowadzanie jego definicji jest zbędne. Analogicznie, pierwszy pkt 22, zawierający definicję „platformy aukcyjnej”, traci zastosowanie w związku z uchyleniem przepisów ustawy o </w:t>
      </w:r>
      <w:r w:rsidR="00B85D4A" w:rsidRPr="004F6220">
        <w:lastRenderedPageBreak/>
        <w:t>giełdach towarowych, w których pojęcie to było wykorzystywane. W konsekwencji po wejściu w życie projektowanych zmian utrzymywanie definicji pojęcia „platformy aukcyjnej” będzie bezprzedmiotowe.</w:t>
      </w:r>
    </w:p>
    <w:p w14:paraId="043F7310" w14:textId="77777777" w:rsidR="00B85D4A" w:rsidRPr="004F6220" w:rsidRDefault="00B85D4A" w:rsidP="005D621C">
      <w:pPr>
        <w:pStyle w:val="NormalnyWeb"/>
        <w:spacing w:before="120" w:beforeAutospacing="0" w:after="0" w:afterAutospacing="0" w:line="360" w:lineRule="auto"/>
        <w:jc w:val="both"/>
      </w:pPr>
      <w:r w:rsidRPr="004F6220">
        <w:t xml:space="preserve">Uchylenie </w:t>
      </w:r>
      <w:r w:rsidRPr="004F6220">
        <w:rPr>
          <w:b/>
          <w:bCs/>
        </w:rPr>
        <w:t>art. 5 ust. 2c pkt 4</w:t>
      </w:r>
      <w:r w:rsidRPr="004F6220">
        <w:t xml:space="preserve"> ustawy o giełdach towarowych pozostaje w bezpośrednim związku ze zmianami wprowadzanymi w ustawie o obrocie instrumentami finansowymi, dotyczącymi pięciodniowych kontraktów terminowych typu future. Rozporządzenie 2023/2830 nie przewiduje sprzedaży na aukcji uprawnień w formie pięciodniowych kontraktów terminowych typu future. Zgodnie z art. 4 ust. 2 tego rozporządzenia każde państwo członkowskie sprzedaje bowiem uprawnienia w formie dwudniowych kontraktów na rynku kasowym. W konsekwencji dalsze utrzymywanie przepisu odnoszącego się do pięciodniowych kontraktów terminowych typu future stało się bezprzedmiotowe. Jednocześnie nie ma potrzeby uzupełniania art. 5 ust. 2c ustawy o odrębną regulację dotyczącą dwudniowych kontraktów na rynku kasowym. W art. 5 ust. 2c pkt 2 przewidziano bowiem możliwość prowadzenia na rynku regulowanym obrotu instrumentami finansowymi obejmującymi uprawnienia do emisji, natomiast pkt 3 obejmuje instrumenty pochodne, których instrumentem bazowym są te instrumenty finansowe. </w:t>
      </w:r>
    </w:p>
    <w:p w14:paraId="112DE2C4" w14:textId="77777777" w:rsidR="00B85D4A" w:rsidRPr="004F6220" w:rsidRDefault="00B85D4A" w:rsidP="005D621C">
      <w:pPr>
        <w:pStyle w:val="NormalnyWeb"/>
        <w:spacing w:before="120" w:beforeAutospacing="0" w:after="0" w:afterAutospacing="0" w:line="360" w:lineRule="auto"/>
        <w:jc w:val="both"/>
      </w:pPr>
      <w:r w:rsidRPr="004F6220">
        <w:t xml:space="preserve">Zmiana </w:t>
      </w:r>
      <w:r w:rsidRPr="004F6220">
        <w:rPr>
          <w:b/>
          <w:bCs/>
        </w:rPr>
        <w:t>art. 5 ust. 2f</w:t>
      </w:r>
      <w:r w:rsidRPr="004F6220">
        <w:t xml:space="preserve"> ustawy o giełdach towarowych jest konsekwencją uchylenia w art. 2 pierwszego pkt 22, zawierającego definicję „platformy aukcyjnej”. W związku z rezygnacją z definiowania tego pojęcia w ustawie o giełdach towarowych konieczne jest wskazanie, że użyte w art. 5 ust. 2f pojęcie „platforma aukcyjna” należy rozumieć zgodnie z definicją zawartą w art. 3 pkt 10a ustawy o obrocie instrumentami finansowymi. Odpowiedniej zmianie redakcyjnej podlegają również kolejne odesłania do tej ustawy, które zastąpiono sformułowaniem „tej ustawy”. </w:t>
      </w:r>
    </w:p>
    <w:p w14:paraId="2861244A" w14:textId="3561366C" w:rsidR="00B85D4A" w:rsidRPr="004F6220" w:rsidRDefault="00B85D4A" w:rsidP="005D621C">
      <w:pPr>
        <w:pStyle w:val="NormalnyWeb"/>
        <w:spacing w:before="120" w:beforeAutospacing="0" w:after="0" w:afterAutospacing="0" w:line="360" w:lineRule="auto"/>
        <w:jc w:val="both"/>
      </w:pPr>
      <w:r w:rsidRPr="004F6220">
        <w:t xml:space="preserve">W związku z projektowanym uchyleniem art. 55d ustawy o giełdach towarowych, regulującego prowadzenie listy osób mających dostęp do informacji wewnętrznych, konieczne jest odpowiednie dostosowanie </w:t>
      </w:r>
      <w:r w:rsidRPr="004F6220">
        <w:rPr>
          <w:b/>
          <w:bCs/>
        </w:rPr>
        <w:t>tytułu rozdziału 8</w:t>
      </w:r>
      <w:r w:rsidRPr="004F6220">
        <w:t xml:space="preserve">. Po dokonaniu projektowanych zmian rozdział ten będzie obejmował wyłącznie przepisy dotyczące tajemnicy zawodowej, wobec czego z jego tytułu </w:t>
      </w:r>
      <w:r w:rsidR="00ED2D54" w:rsidRPr="004F6220">
        <w:t xml:space="preserve">usuwane jest </w:t>
      </w:r>
      <w:r w:rsidRPr="004F6220">
        <w:t>odniesieni</w:t>
      </w:r>
      <w:r w:rsidR="00ED2D54" w:rsidRPr="004F6220">
        <w:t>e</w:t>
      </w:r>
      <w:r w:rsidRPr="004F6220">
        <w:t xml:space="preserve"> do listy osób mających dostęp do informacji wewnętrznych. </w:t>
      </w:r>
    </w:p>
    <w:p w14:paraId="31B9EF5E" w14:textId="77777777" w:rsidR="00B85D4A" w:rsidRPr="004F6220" w:rsidRDefault="00B85D4A" w:rsidP="005D621C">
      <w:pPr>
        <w:pStyle w:val="NormalnyWeb"/>
        <w:spacing w:before="120" w:beforeAutospacing="0" w:after="0" w:afterAutospacing="0" w:line="360" w:lineRule="auto"/>
        <w:jc w:val="both"/>
      </w:pPr>
      <w:r w:rsidRPr="004F6220">
        <w:t xml:space="preserve">Objęcie uprawnień do emisji zakresem instrumentów finansowych na podstawie dyrektywy 2014/65 spowodowało, że do uprawnień do emisji oraz instrumentów opartych na tych uprawnieniach zastosowanie znalazły przepisy rozporządzenia 596/2014. W konsekwencji bezprzedmiotowe stało się utrzymywanie w ustawie o giełdach towarowych odrębnej regulacji, </w:t>
      </w:r>
      <w:r w:rsidRPr="004F6220">
        <w:lastRenderedPageBreak/>
        <w:t xml:space="preserve">zawartej w </w:t>
      </w:r>
      <w:r w:rsidRPr="004F6220">
        <w:rPr>
          <w:b/>
          <w:bCs/>
        </w:rPr>
        <w:t>art. 55d</w:t>
      </w:r>
      <w:r w:rsidRPr="004F6220">
        <w:t>, a określającej szczegółową zawartość listy osób mających dostęp do informacji wewnętrznych, której podstawę stanowił art. 42 ust. 1 rozporządzenia 1031/2010. W związku z powyższym art. 55d ustawy o giełdach towarowych należy uchylić.</w:t>
      </w:r>
    </w:p>
    <w:p w14:paraId="4520C3BD" w14:textId="0BF35326" w:rsidR="00B85D4A" w:rsidRPr="004F6220" w:rsidRDefault="00B85D4A" w:rsidP="005D621C">
      <w:pPr>
        <w:pStyle w:val="NormalnyWeb"/>
        <w:spacing w:before="120" w:beforeAutospacing="0" w:after="0" w:afterAutospacing="0" w:line="360" w:lineRule="auto"/>
        <w:jc w:val="both"/>
      </w:pPr>
      <w:r w:rsidRPr="004F6220">
        <w:t xml:space="preserve">W aktualnym stanie prawnym kwestie związane z wykorzystywaniem i ujawnianiem informacji poufnych oraz manipulacjami na rynku, również w odniesieniu do uprawnień do emisji, regulują przepisy rozporządzenia 596/2014. Dotychczasowe </w:t>
      </w:r>
      <w:r w:rsidRPr="004F6220">
        <w:rPr>
          <w:b/>
          <w:bCs/>
        </w:rPr>
        <w:t>art. 58a–58c</w:t>
      </w:r>
      <w:r w:rsidRPr="004F6220">
        <w:t xml:space="preserve"> oraz </w:t>
      </w:r>
      <w:r w:rsidRPr="004F6220">
        <w:rPr>
          <w:b/>
          <w:bCs/>
        </w:rPr>
        <w:t>art. 59a</w:t>
      </w:r>
      <w:r w:rsidR="009A535D" w:rsidRPr="004F6220">
        <w:rPr>
          <w:b/>
          <w:bCs/>
        </w:rPr>
        <w:t xml:space="preserve"> i </w:t>
      </w:r>
      <w:r w:rsidRPr="004F6220">
        <w:rPr>
          <w:b/>
          <w:bCs/>
        </w:rPr>
        <w:t>59b</w:t>
      </w:r>
      <w:r w:rsidRPr="004F6220">
        <w:t xml:space="preserve"> ustawy o giełdach towarowych zawierają szczególne przepisy sankcyjne odnoszące się do zakazów określonych w rozporządzeniu 1031/2010. Wraz z zastąpieniem tego rozporządzenia przez rozporządzenie 2023/2830, przy jednoczesnym objęciu wskazanych zachowań zakazami wynikającymi z rozporządzenia 596/2014, utrzymywanie odrębnych przepisów karnych w ustawie o giełdach towarowych stało się zbędne. W odniesieniu do wykorzystywania informacji poufnych, ich ujawniania oraz rekomendowania lub nakłaniania do określonych działań zastosowanie znajdą odpowiednio art. 181, art. 180 i art. 182 ustawy o obrocie instrumentami finansowymi. Natomiast w zakresie manipulacji na rynku właściwy jest art. 183 tej ustawy. Z kolei naruszenie obowiązku prowadzenia list osób mających dostęp do informacji poufnych jest objęte sankcją art. 175a ustawy o obrocie instrumentami finansowymi. </w:t>
      </w:r>
    </w:p>
    <w:p w14:paraId="1B1E6996" w14:textId="77777777" w:rsidR="00A27A31" w:rsidRPr="004F6220" w:rsidRDefault="00934F66" w:rsidP="005D621C">
      <w:pPr>
        <w:pStyle w:val="NormalnyWeb"/>
        <w:spacing w:before="120" w:beforeAutospacing="0" w:after="0" w:afterAutospacing="0" w:line="360" w:lineRule="auto"/>
        <w:jc w:val="both"/>
      </w:pPr>
      <w:r w:rsidRPr="004F6220">
        <w:t xml:space="preserve">Z kolei uchylenie </w:t>
      </w:r>
      <w:r w:rsidRPr="004F6220">
        <w:rPr>
          <w:b/>
          <w:bCs/>
        </w:rPr>
        <w:t>art. 59c i 59d</w:t>
      </w:r>
      <w:r w:rsidRPr="004F6220">
        <w:t xml:space="preserve"> ustawy pozostaje w związku z przyjęciem, że platforma aukcyjna funkcjonuje w ramach rynku regulowanego. Art. 59c ustawy o giełdach towarowych określa szczególne uprawnienia Komisji związane z możliwością żądania unieważnienia aukcji w przypadku zagrożenia bezpieczeństwa jej przebiegu lub interesów uczestników rynku, a także zasady postępowania w związku z takim żądaniem. Zakres tej regulacji został uwzględniony w art. 20a ustawy o obrocie instrumentami finansowymi, który po dokonaniu projektowanej zmiany będzie odnosił się do unieważnienia aukcji prowadzonej na platformie aukcyjnej. Z kolei art. 59d ustawy o giełdach towarowych reguluje możliwość zawieszenia lub wykluczenia z obrotu dwudniowych kontraktów na rynku kasowym na żądanie Komisji oraz związane z tym obowiązki informacyjne. Z uwagi na </w:t>
      </w:r>
      <w:r w:rsidR="00A27A31" w:rsidRPr="004F6220">
        <w:t xml:space="preserve">uznanie </w:t>
      </w:r>
      <w:r w:rsidRPr="004F6220">
        <w:t xml:space="preserve">uprawnień do emisji </w:t>
      </w:r>
      <w:r w:rsidR="00A27A31" w:rsidRPr="004F6220">
        <w:t xml:space="preserve">za instrumenty </w:t>
      </w:r>
      <w:r w:rsidRPr="004F6220">
        <w:t>finansow</w:t>
      </w:r>
      <w:r w:rsidR="00A27A31" w:rsidRPr="004F6220">
        <w:t xml:space="preserve">e </w:t>
      </w:r>
      <w:r w:rsidRPr="004F6220">
        <w:t xml:space="preserve">oraz funkcjonowanie platformy aukcyjnej w ramach rynku regulowanego, do zawieszenia lub wykluczenia z obrotu tych instrumentów zastosowanie znajdują ogólne przepisy dotyczące rynku regulowanego, w szczególności art. 20 ustawy o obrocie instrumentami finansowymi. </w:t>
      </w:r>
    </w:p>
    <w:p w14:paraId="04FC2F93" w14:textId="1CE94DBF" w:rsidR="00AC64E1" w:rsidRPr="004F6220" w:rsidRDefault="00B85D4A"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lastRenderedPageBreak/>
        <w:t>4</w:t>
      </w:r>
      <w:r w:rsidR="00AC64E1" w:rsidRPr="004F6220">
        <w:rPr>
          <w:rFonts w:ascii="Times New Roman" w:eastAsia="Times New Roman" w:hAnsi="Times New Roman" w:cs="Times New Roman"/>
          <w:b/>
          <w:bCs/>
          <w:smallCaps/>
          <w:sz w:val="24"/>
          <w:szCs w:val="24"/>
          <w:lang w:eastAsia="pl-PL"/>
        </w:rPr>
        <w:t xml:space="preserve">. Zmiany w ustawie o </w:t>
      </w:r>
      <w:r w:rsidR="004C4905" w:rsidRPr="004F6220">
        <w:rPr>
          <w:rFonts w:ascii="Times New Roman" w:eastAsia="Times New Roman" w:hAnsi="Times New Roman" w:cs="Times New Roman"/>
          <w:b/>
          <w:bCs/>
          <w:smallCaps/>
          <w:sz w:val="24"/>
          <w:szCs w:val="24"/>
          <w:lang w:eastAsia="pl-PL"/>
        </w:rPr>
        <w:t>funduszach inwestycyjnych</w:t>
      </w:r>
    </w:p>
    <w:p w14:paraId="4731353F" w14:textId="057CD86D" w:rsidR="00A868BC" w:rsidRPr="004F6220" w:rsidRDefault="00A868BC" w:rsidP="005D621C">
      <w:pPr>
        <w:pStyle w:val="NormalnyWeb"/>
        <w:spacing w:before="120" w:beforeAutospacing="0" w:after="0" w:afterAutospacing="0" w:line="360" w:lineRule="auto"/>
        <w:jc w:val="both"/>
      </w:pPr>
      <w:r w:rsidRPr="004F6220">
        <w:t xml:space="preserve">Zmiana zawarta w </w:t>
      </w:r>
      <w:r w:rsidRPr="004F6220">
        <w:rPr>
          <w:b/>
          <w:bCs/>
        </w:rPr>
        <w:t xml:space="preserve">art. </w:t>
      </w:r>
      <w:r w:rsidR="002D081C" w:rsidRPr="004F6220">
        <w:rPr>
          <w:b/>
          <w:bCs/>
        </w:rPr>
        <w:t>4</w:t>
      </w:r>
      <w:r w:rsidRPr="004F6220">
        <w:rPr>
          <w:b/>
          <w:bCs/>
        </w:rPr>
        <w:t xml:space="preserve"> pkt 1</w:t>
      </w:r>
      <w:r w:rsidRPr="004F6220">
        <w:t xml:space="preserve"> projektu ma na celu ujednolicenie terminologii stosowanej w ustawie o funduszach inwestycyjnych </w:t>
      </w:r>
      <w:r w:rsidR="00ED2D54" w:rsidRPr="004F6220">
        <w:t xml:space="preserve">w odniesieniu do podstawowego dokumentu informacyjnego sporządzanego w związku z ofertą publiczną, </w:t>
      </w:r>
      <w:r w:rsidRPr="004F6220">
        <w:t>poprzez zastąpienie, w odpowiednich przypadkach, używanych w różnych jednostkach redakcyjnych wyrazów „prospekt emisyjny” wyrazem „prospekt”. W ustawie o funduszach inwestycyjnych pojęcie „prospekt” odnosi się do prospektu emisyjnego, natomiast odrębnie uregulowane jest pojęcie „prospektu informacyjnego”</w:t>
      </w:r>
      <w:r w:rsidR="00ED2D54" w:rsidRPr="004F6220">
        <w:t>, który na mocy ustawy o funduszach inwestycyjnych jest sporządzany przez fundusze inwestycyjne otwarte oraz specjalistyczne fundusze inwestycyjne otwarte</w:t>
      </w:r>
      <w:r w:rsidRPr="004F6220">
        <w:t>. Wprowadzenie jednolitego określenia „prospekt” w odniesieniu do prospektu emisyjnego ma zatem charakter porządkujący i nie powoduje zmiany zakresu znaczeniowego tego pojęcia ani nie prowadzi do utożsamienia go z prospektem informacyjnym. Tym samym zmiana służy ujednoliceniu terminologii stosowanej w ustawie i wyeliminowaniu zbędnego różnicowania określenia tego samego dokumentu.</w:t>
      </w:r>
    </w:p>
    <w:p w14:paraId="1A976273" w14:textId="15A115D4" w:rsidR="00AC64E1" w:rsidRPr="004F6220" w:rsidRDefault="00AC64E1" w:rsidP="005D621C">
      <w:pPr>
        <w:pStyle w:val="NormalnyWeb"/>
        <w:spacing w:before="120" w:beforeAutospacing="0" w:after="0" w:afterAutospacing="0" w:line="360" w:lineRule="auto"/>
        <w:jc w:val="both"/>
      </w:pPr>
      <w:r w:rsidRPr="004F6220">
        <w:t xml:space="preserve">Zmiana </w:t>
      </w:r>
      <w:r w:rsidRPr="004F6220">
        <w:rPr>
          <w:b/>
          <w:bCs/>
        </w:rPr>
        <w:t xml:space="preserve">art. 118 i </w:t>
      </w:r>
      <w:r w:rsidR="007435C6" w:rsidRPr="004F6220">
        <w:rPr>
          <w:b/>
          <w:bCs/>
        </w:rPr>
        <w:t xml:space="preserve">art. </w:t>
      </w:r>
      <w:r w:rsidRPr="004F6220">
        <w:rPr>
          <w:b/>
          <w:bCs/>
        </w:rPr>
        <w:t>119</w:t>
      </w:r>
      <w:r w:rsidRPr="004F6220">
        <w:t xml:space="preserve"> ustawy o funduszach ma na celu dostosowanie ww. przepisów do aktualnego stanu prawnego, w którym memoranda informacyjne nie są zatwierdzane przez Komisję Nadzoru Finansowego.</w:t>
      </w:r>
    </w:p>
    <w:p w14:paraId="2D34391E" w14:textId="3D5860B1" w:rsidR="00EB2E5D" w:rsidRPr="004F6220" w:rsidRDefault="00B85D4A"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5</w:t>
      </w:r>
      <w:r w:rsidR="00EB2E5D" w:rsidRPr="004F6220">
        <w:rPr>
          <w:rFonts w:ascii="Times New Roman" w:eastAsia="Times New Roman" w:hAnsi="Times New Roman" w:cs="Times New Roman"/>
          <w:b/>
          <w:bCs/>
          <w:smallCaps/>
          <w:sz w:val="24"/>
          <w:szCs w:val="24"/>
          <w:lang w:eastAsia="pl-PL"/>
        </w:rPr>
        <w:t>. Zmian</w:t>
      </w:r>
      <w:r w:rsidR="00473EA6" w:rsidRPr="004F6220">
        <w:rPr>
          <w:rFonts w:ascii="Times New Roman" w:eastAsia="Times New Roman" w:hAnsi="Times New Roman" w:cs="Times New Roman"/>
          <w:b/>
          <w:bCs/>
          <w:smallCaps/>
          <w:sz w:val="24"/>
          <w:szCs w:val="24"/>
          <w:lang w:eastAsia="pl-PL"/>
        </w:rPr>
        <w:t>a</w:t>
      </w:r>
      <w:r w:rsidR="00EB2E5D" w:rsidRPr="004F6220">
        <w:rPr>
          <w:rFonts w:ascii="Times New Roman" w:eastAsia="Times New Roman" w:hAnsi="Times New Roman" w:cs="Times New Roman"/>
          <w:b/>
          <w:bCs/>
          <w:smallCaps/>
          <w:sz w:val="24"/>
          <w:szCs w:val="24"/>
          <w:lang w:eastAsia="pl-PL"/>
        </w:rPr>
        <w:t xml:space="preserve"> w ustawie o nadzorze nad rynkiem kapitałowym</w:t>
      </w:r>
    </w:p>
    <w:p w14:paraId="61345ED8" w14:textId="0511373A" w:rsidR="006A401F" w:rsidRPr="004F6220" w:rsidRDefault="006A401F" w:rsidP="005D621C">
      <w:pPr>
        <w:pStyle w:val="NormalnyWeb"/>
        <w:spacing w:before="120" w:beforeAutospacing="0" w:after="0" w:afterAutospacing="0" w:line="360" w:lineRule="auto"/>
        <w:jc w:val="both"/>
      </w:pPr>
      <w:r w:rsidRPr="004F6220">
        <w:t xml:space="preserve">Zmiana </w:t>
      </w:r>
      <w:r w:rsidRPr="004F6220">
        <w:rPr>
          <w:b/>
          <w:bCs/>
        </w:rPr>
        <w:t>art. 2 pkt 5c</w:t>
      </w:r>
      <w:r w:rsidRPr="004F6220">
        <w:t xml:space="preserve"> ustawy o nadzorze nad rynkiem kapitałowym wynika z konieczności dostosowania terminologii tej ustawy do aktualnych przepisów Unii Europejskiej dotyczących sprzedaży uprawnień do emisji na aukcji. Dotychczasowa definicja „rozporządzenia 1031/2010” zostaje zastąpiona definicją „rozporządzenia 2023/2830”, co zapewni spójność terminologii oraz prawidłowe stosowanie odesłań do tego rozporządzenia zawartych w dalszych przepisach ustawy.</w:t>
      </w:r>
    </w:p>
    <w:p w14:paraId="63506A22" w14:textId="42722F8E" w:rsidR="006A401F" w:rsidRPr="004F6220" w:rsidRDefault="006A401F" w:rsidP="005D621C">
      <w:pPr>
        <w:pStyle w:val="NormalnyWeb"/>
        <w:spacing w:before="120" w:beforeAutospacing="0" w:after="0" w:afterAutospacing="0" w:line="360" w:lineRule="auto"/>
        <w:jc w:val="both"/>
      </w:pPr>
      <w:r w:rsidRPr="004F6220">
        <w:t xml:space="preserve">Uchylenie </w:t>
      </w:r>
      <w:r w:rsidRPr="004F6220">
        <w:rPr>
          <w:b/>
          <w:bCs/>
        </w:rPr>
        <w:t>art.</w:t>
      </w:r>
      <w:r w:rsidR="00CD549E" w:rsidRPr="004F6220">
        <w:rPr>
          <w:b/>
          <w:bCs/>
        </w:rPr>
        <w:t> </w:t>
      </w:r>
      <w:r w:rsidRPr="004F6220">
        <w:rPr>
          <w:b/>
          <w:bCs/>
        </w:rPr>
        <w:t>2 pkt</w:t>
      </w:r>
      <w:r w:rsidR="00CD549E" w:rsidRPr="004F6220">
        <w:rPr>
          <w:b/>
          <w:bCs/>
        </w:rPr>
        <w:t> </w:t>
      </w:r>
      <w:r w:rsidRPr="004F6220">
        <w:rPr>
          <w:b/>
          <w:bCs/>
        </w:rPr>
        <w:t>6 lit.</w:t>
      </w:r>
      <w:r w:rsidR="00CD549E" w:rsidRPr="004F6220">
        <w:rPr>
          <w:b/>
          <w:bCs/>
        </w:rPr>
        <w:t> </w:t>
      </w:r>
      <w:r w:rsidRPr="004F6220">
        <w:rPr>
          <w:b/>
          <w:bCs/>
        </w:rPr>
        <w:t>d</w:t>
      </w:r>
      <w:r w:rsidRPr="004F6220">
        <w:t xml:space="preserve"> ustawy o nadzorze nad rynkiem kapitałowym stanowi konsekwencję zmiany kwalifikacji prawnej uprawnień do emisji. </w:t>
      </w:r>
      <w:r w:rsidR="00CD549E" w:rsidRPr="004F6220">
        <w:t>Uchylany p</w:t>
      </w:r>
      <w:r w:rsidRPr="004F6220">
        <w:t>rzepis został wprowadzony w celu objęcia pojęciem „rynku kapitałowego” rynku dwudniowych kontraktów na rynku kasowym, o których mowa w rozporządzeniu 1031/2010, w zakresie, w jakim do obrotu tymi uprawnieniami stosowano przepisy tego rozporządzenia.</w:t>
      </w:r>
      <w:r w:rsidR="00CD549E" w:rsidRPr="004F6220">
        <w:t xml:space="preserve"> </w:t>
      </w:r>
      <w:r w:rsidRPr="004F6220">
        <w:t>Uprawnienia do emisji zostały następnie</w:t>
      </w:r>
      <w:r w:rsidR="00CD549E" w:rsidRPr="004F6220">
        <w:t xml:space="preserve">, zgodnie z nowelizacją dyrektywy 2014/65, zaliczone </w:t>
      </w:r>
      <w:r w:rsidRPr="004F6220">
        <w:t xml:space="preserve">do instrumentów finansowych. W związku z tym rynek uprawnień do emisji objęty jest obecnie zakresem pojęcia „rynku papierów wartościowych i innych instrumentów finansowych”, o którym mowa w art. </w:t>
      </w:r>
      <w:r w:rsidRPr="004F6220">
        <w:lastRenderedPageBreak/>
        <w:t>2 pkt 6 lit. a ustawy o nadzorze nad rynkiem kapitałowym</w:t>
      </w:r>
      <w:r w:rsidR="00CD549E" w:rsidRPr="004F6220">
        <w:t>, a o</w:t>
      </w:r>
      <w:r w:rsidRPr="004F6220">
        <w:t>drębne wskazywanie w art. 2 pkt 6 lit. d rynku dwudniowych kontraktów na rynku kasowym stało się zbędne.</w:t>
      </w:r>
    </w:p>
    <w:p w14:paraId="63DC3B02" w14:textId="280098D8" w:rsidR="003A642A" w:rsidRPr="004F6220" w:rsidRDefault="003A642A" w:rsidP="005D621C">
      <w:pPr>
        <w:pStyle w:val="NormalnyWeb"/>
        <w:spacing w:before="120" w:beforeAutospacing="0" w:after="0" w:afterAutospacing="0" w:line="360" w:lineRule="auto"/>
        <w:jc w:val="both"/>
      </w:pPr>
      <w:r w:rsidRPr="004F6220">
        <w:t xml:space="preserve">Dostosowania wymaga również </w:t>
      </w:r>
      <w:r w:rsidRPr="004F6220">
        <w:rPr>
          <w:b/>
          <w:bCs/>
        </w:rPr>
        <w:t>art. 3 ust. 2</w:t>
      </w:r>
      <w:r w:rsidRPr="004F6220">
        <w:t xml:space="preserve"> ustawy, określający zakres właściwości Komisji Nadzoru Finansowego jako właściwego organu w rozumieniu rozporządzenia regulującego zasady sprzedaży na aukcji uprawnień do emisji. W miejsce odesłania do rozporządzenia 1031/2010 wprowadza się odesłanie do rozporządzenia 2023/2830, a wyłączenie dotyczące art. 55 ust. 1 rozporządzenia 1031/2010 zastępuje się wyłączeniem dotyczącym art. 46 ust. 1 rozporządzenia 2023/2830.</w:t>
      </w:r>
    </w:p>
    <w:p w14:paraId="11ADF61C" w14:textId="5458FE09" w:rsidR="00EB2E5D" w:rsidRPr="004F6220" w:rsidRDefault="00EB2E5D" w:rsidP="005D621C">
      <w:pPr>
        <w:pStyle w:val="NormalnyWeb"/>
        <w:spacing w:before="120" w:beforeAutospacing="0" w:after="0" w:afterAutospacing="0" w:line="360" w:lineRule="auto"/>
        <w:jc w:val="both"/>
      </w:pPr>
      <w:r w:rsidRPr="004F6220">
        <w:rPr>
          <w:b/>
          <w:bCs/>
        </w:rPr>
        <w:t>Dodanie w art. 21 w ust. 12 pkt 4</w:t>
      </w:r>
      <w:r w:rsidRPr="004F6220">
        <w:t xml:space="preserve"> ustawy o nadzorze nad rynkiem kapitałowym ma na celu wdrożenie art. 25a rozporządzenia 596/2014 w brzmieniu nadanym rozporządzeniem 2024/2809. Wskazane przepisy prawa unijnego ustanawiają między innymi mechanizm wymiany danych między właściwymi organami nadzoru dotyczących zleceń dokonywanych w systemach obrotu. Art. 25a rozporządzenia 596/2014 należy uznać za lex specialis w stosunku do przepisów rozdziału 3 ustawy o nadzorze nad rynkiem kapitałowym określających zasady wymiany informacji mi</w:t>
      </w:r>
      <w:r w:rsidR="00D96DB1">
        <w:t>ę</w:t>
      </w:r>
      <w:r w:rsidRPr="004F6220">
        <w:t>dzy organami nadzoru, co wymagało wprowadzenia stosownego zastrzeżenia w art. 21 ust. 12 tej ustawy.</w:t>
      </w:r>
    </w:p>
    <w:p w14:paraId="78EA3521" w14:textId="489A0A00" w:rsidR="00A41703" w:rsidRPr="004F6220" w:rsidRDefault="00A41703" w:rsidP="005D621C">
      <w:pPr>
        <w:pStyle w:val="NormalnyWeb"/>
        <w:spacing w:before="120" w:beforeAutospacing="0" w:after="0" w:afterAutospacing="0" w:line="360" w:lineRule="auto"/>
        <w:jc w:val="both"/>
      </w:pPr>
      <w:r w:rsidRPr="004F6220">
        <w:t xml:space="preserve">Zmiana </w:t>
      </w:r>
      <w:r w:rsidRPr="004F6220">
        <w:rPr>
          <w:b/>
          <w:bCs/>
        </w:rPr>
        <w:t>art. 24 pkt 1</w:t>
      </w:r>
      <w:r w:rsidRPr="004F6220">
        <w:t xml:space="preserve"> ustawy o nadzorze nad rynkiem kapitałowym wynika z dostosowania zakresu informacji objętych uprawnieniami Komisji Nadzoru Finansowego do regulacji zawartych w rozporządzeniu 2023/2830 oraz rozporządzeniu 596/2014. W dotychczasowym stanie prawnym przepis ten odwoływał się zarówno do informacji poufnych w rozumieniu rozporządzenia 596/2014, jak i do szczególnych kategorii informacji określonych w rozporządzeniu 1031/2010, w tym informacji wewnętrznych oraz informacji poufnych związanych z przeprowadzaniem aukcji. W odniesieniu do informacji dotyczących uprawnień do emisji zastosowanie znajduje obecnie rozporządzenie 596/2014, jednocześnie rozporządzenie 2023/2830 zachowuje odrębną regulację dotyczącą ochrony informacji poufnych związanych bezpośrednio z przebiegiem aukcji. W związku z powyższym art. 24 pkt 1 otrzymuje brzmienie uwzględniające zarówno informacje poufne w rozumieniu art. 7 rozporządzenia 596/2014, jak i informacje poufne, o których mowa w art. 53 ust. 1 rozporządzenia 2023/2830. </w:t>
      </w:r>
    </w:p>
    <w:p w14:paraId="05326C98" w14:textId="67701F89" w:rsidR="00E860C0" w:rsidRPr="004F6220" w:rsidRDefault="00E860C0" w:rsidP="005D621C">
      <w:pPr>
        <w:pStyle w:val="NormalnyWeb"/>
        <w:spacing w:before="120" w:beforeAutospacing="0" w:after="0" w:afterAutospacing="0" w:line="360" w:lineRule="auto"/>
        <w:jc w:val="both"/>
      </w:pPr>
      <w:r w:rsidRPr="004F6220">
        <w:t xml:space="preserve">Dostosowania wymaga również </w:t>
      </w:r>
      <w:r w:rsidRPr="004F6220">
        <w:rPr>
          <w:b/>
          <w:bCs/>
        </w:rPr>
        <w:t>art. 25 ust. 1</w:t>
      </w:r>
      <w:r w:rsidRPr="004F6220">
        <w:t xml:space="preserve"> ustawy, określający przypadki, w których Komisja może zdecydować o przekazaniu do publicznej wiadomości informacji dotyczących naruszeń przepisów regulujących funkcjonowanie rynku kapitałowego. W </w:t>
      </w:r>
      <w:r w:rsidRPr="004F6220">
        <w:rPr>
          <w:b/>
          <w:bCs/>
        </w:rPr>
        <w:t>pkt 1</w:t>
      </w:r>
      <w:r w:rsidRPr="004F6220">
        <w:t xml:space="preserve"> odesłanie do </w:t>
      </w:r>
      <w:r w:rsidRPr="004F6220">
        <w:lastRenderedPageBreak/>
        <w:t xml:space="preserve">rozporządzenia 1031/2010 zastępuje się odesłaniem do rozporządzenia 2023/2830, aby katalog przepisów, których naruszenia mogą być objęte informacją przekazywaną do publicznej wiadomości, odpowiadał obowiązującemu stanowi prawnemu. Jednocześnie w </w:t>
      </w:r>
      <w:r w:rsidRPr="004F6220">
        <w:rPr>
          <w:b/>
          <w:bCs/>
        </w:rPr>
        <w:t>pkt 3</w:t>
      </w:r>
      <w:r w:rsidRPr="004F6220">
        <w:t xml:space="preserve"> usuwa się odniesienie do manipulacji, o której mowa w rozporządzeniu 1031/2010. Rozporządzenie 2023/2830 nie utrzymuje odrębnego reżimu dotyczącego manipulacji na rynku ustanowionego w rozporządzeniu 1031/2010, a w odniesieniu do uprawnień do emisji zastosowanie znajdują przepisy rozporządzenia 596/2014. </w:t>
      </w:r>
    </w:p>
    <w:p w14:paraId="2FD81FF0" w14:textId="02824B02" w:rsidR="00017F3A" w:rsidRPr="004F6220" w:rsidRDefault="00B85D4A"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6</w:t>
      </w:r>
      <w:r w:rsidR="00017F3A" w:rsidRPr="004F6220">
        <w:rPr>
          <w:rFonts w:ascii="Times New Roman" w:eastAsia="Times New Roman" w:hAnsi="Times New Roman" w:cs="Times New Roman"/>
          <w:b/>
          <w:bCs/>
          <w:smallCaps/>
          <w:sz w:val="24"/>
          <w:szCs w:val="24"/>
          <w:lang w:eastAsia="pl-PL"/>
        </w:rPr>
        <w:t xml:space="preserve">. Zmiany w ustawie </w:t>
      </w:r>
      <w:r w:rsidR="00EA3DC3" w:rsidRPr="004F6220">
        <w:rPr>
          <w:rFonts w:ascii="Times New Roman" w:eastAsia="Times New Roman" w:hAnsi="Times New Roman" w:cs="Times New Roman"/>
          <w:b/>
          <w:bCs/>
          <w:smallCaps/>
          <w:sz w:val="24"/>
          <w:szCs w:val="24"/>
          <w:lang w:eastAsia="pl-PL"/>
        </w:rPr>
        <w:t>o obrocie</w:t>
      </w:r>
      <w:r w:rsidR="00473EA6" w:rsidRPr="004F6220">
        <w:rPr>
          <w:rFonts w:ascii="Times New Roman" w:eastAsia="Times New Roman" w:hAnsi="Times New Roman" w:cs="Times New Roman"/>
          <w:b/>
          <w:bCs/>
          <w:smallCaps/>
          <w:sz w:val="24"/>
          <w:szCs w:val="24"/>
          <w:lang w:eastAsia="pl-PL"/>
        </w:rPr>
        <w:t xml:space="preserve"> instrumentami finansowymi</w:t>
      </w:r>
    </w:p>
    <w:p w14:paraId="22EFD006" w14:textId="75168385" w:rsidR="00017F3A" w:rsidRPr="004F6220" w:rsidRDefault="00017F3A" w:rsidP="005D621C">
      <w:pPr>
        <w:keepNext/>
        <w:spacing w:before="120" w:after="0" w:line="360" w:lineRule="auto"/>
        <w:jc w:val="both"/>
        <w:rPr>
          <w:rFonts w:ascii="Times New Roman" w:hAnsi="Times New Roman" w:cs="Times New Roman"/>
          <w:b/>
          <w:bCs/>
          <w:sz w:val="24"/>
          <w:szCs w:val="24"/>
        </w:rPr>
      </w:pPr>
      <w:r w:rsidRPr="004F6220">
        <w:rPr>
          <w:rFonts w:ascii="Times New Roman" w:hAnsi="Times New Roman" w:cs="Times New Roman"/>
          <w:b/>
          <w:bCs/>
          <w:sz w:val="24"/>
          <w:szCs w:val="24"/>
        </w:rPr>
        <w:t>Zmiana w art. 3 pkt 46</w:t>
      </w:r>
      <w:r w:rsidR="00376A44" w:rsidRPr="004F6220">
        <w:rPr>
          <w:rFonts w:ascii="Times New Roman" w:hAnsi="Times New Roman" w:cs="Times New Roman"/>
          <w:b/>
          <w:bCs/>
          <w:sz w:val="24"/>
          <w:szCs w:val="24"/>
        </w:rPr>
        <w:t>b</w:t>
      </w:r>
      <w:r w:rsidRPr="004F6220">
        <w:rPr>
          <w:rFonts w:ascii="Times New Roman" w:hAnsi="Times New Roman" w:cs="Times New Roman"/>
          <w:b/>
          <w:bCs/>
          <w:sz w:val="24"/>
          <w:szCs w:val="24"/>
        </w:rPr>
        <w:t>, art. 16 ust. 6, art. 16a ust. 1a i 2</w:t>
      </w:r>
      <w:r w:rsidR="000B7389">
        <w:rPr>
          <w:rFonts w:ascii="Times New Roman" w:hAnsi="Times New Roman" w:cs="Times New Roman"/>
          <w:b/>
          <w:bCs/>
          <w:sz w:val="24"/>
          <w:szCs w:val="24"/>
        </w:rPr>
        <w:t>–</w:t>
      </w:r>
      <w:r w:rsidRPr="004F6220">
        <w:rPr>
          <w:rFonts w:ascii="Times New Roman" w:hAnsi="Times New Roman" w:cs="Times New Roman"/>
          <w:b/>
          <w:bCs/>
          <w:sz w:val="24"/>
          <w:szCs w:val="24"/>
        </w:rPr>
        <w:t>6, art. 69g, 78g ust. 2a i 3–7 oraz art. 78i ust. 1</w:t>
      </w:r>
      <w:r w:rsidR="00D54393" w:rsidRPr="004F6220">
        <w:rPr>
          <w:rFonts w:ascii="Times New Roman" w:hAnsi="Times New Roman" w:cs="Times New Roman"/>
          <w:b/>
          <w:bCs/>
          <w:sz w:val="24"/>
          <w:szCs w:val="24"/>
        </w:rPr>
        <w:t xml:space="preserve"> i 2</w:t>
      </w:r>
      <w:r w:rsidR="00873993" w:rsidRPr="004F6220">
        <w:rPr>
          <w:rFonts w:ascii="Times New Roman" w:hAnsi="Times New Roman" w:cs="Times New Roman"/>
          <w:b/>
          <w:bCs/>
          <w:sz w:val="24"/>
          <w:szCs w:val="24"/>
        </w:rPr>
        <w:t xml:space="preserve"> ustawy o obrocie</w:t>
      </w:r>
      <w:r w:rsidR="00933F7B" w:rsidRPr="004F6220">
        <w:rPr>
          <w:rFonts w:ascii="Times New Roman" w:hAnsi="Times New Roman" w:cs="Times New Roman"/>
          <w:b/>
          <w:bCs/>
          <w:sz w:val="24"/>
          <w:szCs w:val="24"/>
        </w:rPr>
        <w:t xml:space="preserve"> instrumentami finansowymi</w:t>
      </w:r>
      <w:r w:rsidRPr="004F6220">
        <w:rPr>
          <w:rFonts w:ascii="Times New Roman" w:hAnsi="Times New Roman" w:cs="Times New Roman"/>
          <w:b/>
          <w:bCs/>
          <w:sz w:val="24"/>
          <w:szCs w:val="24"/>
        </w:rPr>
        <w:t xml:space="preserve"> – rynki rozwoju MŚP</w:t>
      </w:r>
    </w:p>
    <w:p w14:paraId="45CB983E" w14:textId="535E0A58" w:rsidR="004A65D3" w:rsidRPr="004F6220" w:rsidRDefault="004A65D3" w:rsidP="005D621C">
      <w:pPr>
        <w:pStyle w:val="NormalnyWeb"/>
        <w:spacing w:before="120" w:beforeAutospacing="0" w:after="0" w:afterAutospacing="0" w:line="360" w:lineRule="auto"/>
        <w:jc w:val="both"/>
      </w:pPr>
      <w:r w:rsidRPr="004F6220">
        <w:t>Dyrektywa 2014/65 wprowadziła nową kategorię zorganizowanego rynku obrotu – rynek rozwoju MŚP. Stanowi on wielostronną platformę obrotu, na której dokonywany jest obrót instrumentami finansowymi emitowanymi przez małe i średnie przedsiębiorstwa. Kilkuletni okres obowiązywania tej regulacji potwierdził, że rynki rozwoju MŚP realizują swój podsta</w:t>
      </w:r>
      <w:r w:rsidR="000B7389">
        <w:t>wo</w:t>
      </w:r>
      <w:r w:rsidRPr="004F6220">
        <w:t xml:space="preserve">wy cel, jakim jest ułatwienie dostępu do kapitału małym i średnim przedsiębiorstwom, a w konsekwencji wspieranie rozwoju gospodarki realnej. Jednocześnie ujawniły się bariery utrudniające funkcjonowanie tych wyspecjalizowanych rynków. W odpowiedzi na zidentyfikowane trudności zdecydowano o umożliwieniu ubiegania się o status rynku rozwoju MŚP nie tylko przez odrębne platformy obrotu, lecz także przez segmenty takich platform. Warunkiem uzyskania przez segment statusu rynku rozwoju MŚP jest jego wyraźne oddzielenie od pozostałych segmentów danej platformy. </w:t>
      </w:r>
    </w:p>
    <w:p w14:paraId="69112527" w14:textId="115BCBE0" w:rsidR="00376A44" w:rsidRPr="004F6220" w:rsidRDefault="004A65D3" w:rsidP="005D621C">
      <w:pPr>
        <w:pStyle w:val="NormalnyWeb"/>
        <w:spacing w:before="120" w:beforeAutospacing="0" w:after="0" w:afterAutospacing="0" w:line="360" w:lineRule="auto"/>
        <w:jc w:val="both"/>
      </w:pPr>
      <w:r w:rsidRPr="004F6220">
        <w:t xml:space="preserve">Na gruncie ustawy o obrocie </w:t>
      </w:r>
      <w:r w:rsidR="003A3C41" w:rsidRPr="004F6220">
        <w:t xml:space="preserve">instrumentami finansowymi </w:t>
      </w:r>
      <w:r w:rsidRPr="004F6220">
        <w:t xml:space="preserve">rynek rozwoju MŚP funkcjonuje jako ASO MŚP (alternatywny system obrotu MŚP). Umożliwienie uzyskania statusu ASO MŚP przez segment alternatywnego systemu obrotu, rozumiany jako oddzielna część, wymaga modyfikacji definicji zawartej w </w:t>
      </w:r>
      <w:r w:rsidRPr="004F6220">
        <w:rPr>
          <w:b/>
          <w:bCs/>
        </w:rPr>
        <w:t>art. 3 pkt 46</w:t>
      </w:r>
      <w:r w:rsidR="00376A44" w:rsidRPr="004F6220">
        <w:rPr>
          <w:b/>
          <w:bCs/>
        </w:rPr>
        <w:t>b</w:t>
      </w:r>
      <w:r w:rsidRPr="004F6220">
        <w:t xml:space="preserve"> ustawy</w:t>
      </w:r>
      <w:r w:rsidR="00D77C93" w:rsidRPr="004F6220">
        <w:t xml:space="preserve"> o obrocie</w:t>
      </w:r>
      <w:r w:rsidR="003A3C41" w:rsidRPr="004F6220">
        <w:t xml:space="preserve"> instrumentami finansowymi</w:t>
      </w:r>
      <w:r w:rsidRPr="004F6220">
        <w:t xml:space="preserve">. </w:t>
      </w:r>
      <w:r w:rsidR="00376A44" w:rsidRPr="004F6220">
        <w:t xml:space="preserve">Zmiana ma na celu umożliwienie objęcia statusem ASO MŚP również wyodrębnionego segmentu ASO, w którym dokonywany jest obrót instrumentami finansowymi emitowanymi przez małych i średnich przedsiębiorców. </w:t>
      </w:r>
    </w:p>
    <w:p w14:paraId="15A74B9B" w14:textId="6E570658" w:rsidR="004A65D3" w:rsidRPr="004F6220" w:rsidRDefault="004A65D3" w:rsidP="005D621C">
      <w:pPr>
        <w:pStyle w:val="NormalnyWeb"/>
        <w:spacing w:before="120" w:beforeAutospacing="0" w:after="0" w:afterAutospacing="0" w:line="360" w:lineRule="auto"/>
        <w:jc w:val="both"/>
      </w:pPr>
      <w:r w:rsidRPr="004F6220">
        <w:t xml:space="preserve">Rynki rozwoju MŚP funkcjonujące w Polsce podlegają wpisowi do rejestru prowadzonego przez </w:t>
      </w:r>
      <w:r w:rsidR="00475E28" w:rsidRPr="004F6220">
        <w:t>KNF</w:t>
      </w:r>
      <w:r w:rsidRPr="004F6220">
        <w:t>. Wpis danego rynku do rejestru stanowi potwierdzenie spełnienia warunków przewidzianych dla tego rodzaju rynku. W odniesieniu do alternatywnych systemów obrotu prowadzonych przez spółk</w:t>
      </w:r>
      <w:r w:rsidR="00FE2D94" w:rsidRPr="004F6220">
        <w:t xml:space="preserve">ę </w:t>
      </w:r>
      <w:r w:rsidRPr="004F6220">
        <w:t>prowadząc</w:t>
      </w:r>
      <w:r w:rsidR="00FE2D94" w:rsidRPr="004F6220">
        <w:t xml:space="preserve">ą </w:t>
      </w:r>
      <w:r w:rsidRPr="004F6220">
        <w:t xml:space="preserve">rynek regulowany warunki te zostały określone w art. </w:t>
      </w:r>
      <w:r w:rsidRPr="004F6220">
        <w:lastRenderedPageBreak/>
        <w:t>16a ust. 1 ustawy o obrocie</w:t>
      </w:r>
      <w:r w:rsidR="003A3C41" w:rsidRPr="004F6220">
        <w:t xml:space="preserve"> instrumentami finansowymi</w:t>
      </w:r>
      <w:r w:rsidRPr="004F6220">
        <w:t xml:space="preserve">, natomiast w odniesieniu do </w:t>
      </w:r>
      <w:r w:rsidR="006A29A1" w:rsidRPr="004F6220">
        <w:t xml:space="preserve">alternatywnych systemów obrotu </w:t>
      </w:r>
      <w:r w:rsidRPr="004F6220">
        <w:t>prowadzonych przez firmy inwestycyjne – w art. 78g ust. 2 tej ustawy.</w:t>
      </w:r>
      <w:r w:rsidR="006A29A1" w:rsidRPr="004F6220">
        <w:t xml:space="preserve"> </w:t>
      </w:r>
      <w:r w:rsidRPr="004F6220">
        <w:t xml:space="preserve">Projektowany </w:t>
      </w:r>
      <w:r w:rsidRPr="004F6220">
        <w:rPr>
          <w:b/>
          <w:bCs/>
        </w:rPr>
        <w:t>art.</w:t>
      </w:r>
      <w:r w:rsidR="006A29A1" w:rsidRPr="004F6220">
        <w:rPr>
          <w:b/>
          <w:bCs/>
        </w:rPr>
        <w:t> </w:t>
      </w:r>
      <w:r w:rsidRPr="004F6220">
        <w:rPr>
          <w:b/>
          <w:bCs/>
        </w:rPr>
        <w:t>16a ust.</w:t>
      </w:r>
      <w:r w:rsidR="006A29A1" w:rsidRPr="004F6220">
        <w:rPr>
          <w:b/>
          <w:bCs/>
        </w:rPr>
        <w:t> </w:t>
      </w:r>
      <w:r w:rsidRPr="004F6220">
        <w:rPr>
          <w:b/>
          <w:bCs/>
        </w:rPr>
        <w:t>1a</w:t>
      </w:r>
      <w:r w:rsidRPr="004F6220">
        <w:t xml:space="preserve"> ustanawia analogiczne warunki w odniesieniu do segmentu </w:t>
      </w:r>
      <w:r w:rsidR="006A29A1" w:rsidRPr="004F6220">
        <w:t xml:space="preserve">alternatywnego systemu obrotu </w:t>
      </w:r>
      <w:r w:rsidRPr="004F6220">
        <w:t xml:space="preserve">prowadzonego przez spółkę prowadzącą rynek regulowany, zaś </w:t>
      </w:r>
      <w:r w:rsidR="006A29A1" w:rsidRPr="004F6220">
        <w:t xml:space="preserve">projektowany </w:t>
      </w:r>
      <w:r w:rsidRPr="004F6220">
        <w:rPr>
          <w:b/>
          <w:bCs/>
        </w:rPr>
        <w:t>art.</w:t>
      </w:r>
      <w:r w:rsidR="006A29A1" w:rsidRPr="004F6220">
        <w:rPr>
          <w:b/>
          <w:bCs/>
        </w:rPr>
        <w:t> </w:t>
      </w:r>
      <w:r w:rsidRPr="004F6220">
        <w:rPr>
          <w:b/>
          <w:bCs/>
        </w:rPr>
        <w:t>78g ust.</w:t>
      </w:r>
      <w:r w:rsidR="006A29A1" w:rsidRPr="004F6220">
        <w:rPr>
          <w:b/>
          <w:bCs/>
        </w:rPr>
        <w:t> </w:t>
      </w:r>
      <w:r w:rsidRPr="004F6220">
        <w:rPr>
          <w:b/>
          <w:bCs/>
        </w:rPr>
        <w:t>2a</w:t>
      </w:r>
      <w:r w:rsidRPr="004F6220">
        <w:t xml:space="preserve"> – w odniesieniu do segmentu </w:t>
      </w:r>
      <w:r w:rsidR="006A29A1" w:rsidRPr="004F6220">
        <w:t xml:space="preserve">alternatywnego systemu obrotu </w:t>
      </w:r>
      <w:r w:rsidRPr="004F6220">
        <w:t>prowadzonego przez firmę inwestycyjną.</w:t>
      </w:r>
      <w:r w:rsidR="006A29A1" w:rsidRPr="004F6220">
        <w:t xml:space="preserve"> </w:t>
      </w:r>
      <w:r w:rsidRPr="004F6220">
        <w:t xml:space="preserve">Uzasadnieniem przyjęcia takiej konstrukcji jest zapewnienie bezpiecznego funkcjonowania rynków rozwoju MŚP prowadzonych w formie segmentów </w:t>
      </w:r>
      <w:r w:rsidR="006A29A1" w:rsidRPr="004F6220">
        <w:t>alternatywnego systemu obrotu</w:t>
      </w:r>
      <w:r w:rsidRPr="004F6220">
        <w:t>, na poziomie porównywalnym z wymogami obowiązującymi w odniesieniu do ASO</w:t>
      </w:r>
      <w:r w:rsidR="006A29A1" w:rsidRPr="004F6220">
        <w:t xml:space="preserve"> MŚP</w:t>
      </w:r>
      <w:r w:rsidRPr="004F6220">
        <w:t xml:space="preserve"> stanowiących rynki rozwoju MŚP.</w:t>
      </w:r>
      <w:r w:rsidR="006A29A1" w:rsidRPr="004F6220">
        <w:t xml:space="preserve"> </w:t>
      </w:r>
      <w:r w:rsidRPr="004F6220">
        <w:t>Wprowadzane wymogi mają na celu zapewnienie integralności rynku oraz pewności obrotu, a także służą ochronie inwestorów, prawidłowemu funkcjonowaniu rynku oraz skutecznemu sprawowaniu nad nim nadzoru.</w:t>
      </w:r>
      <w:r w:rsidR="006A29A1" w:rsidRPr="004F6220">
        <w:t xml:space="preserve"> </w:t>
      </w:r>
      <w:r w:rsidRPr="004F6220">
        <w:t xml:space="preserve">Poza warunkami identycznymi jak w przypadku ASO będących rynkami rozwoju MŚP, regulacje dotyczące segmentów </w:t>
      </w:r>
      <w:r w:rsidR="006A29A1" w:rsidRPr="004F6220">
        <w:t xml:space="preserve">alternatywnego systemu obrotu </w:t>
      </w:r>
      <w:r w:rsidRPr="004F6220">
        <w:t>przewidują również wymóg wyraźnego oddzielenia danego segmentu ASO od pozostałych segmentów tego systemu obrotu</w:t>
      </w:r>
      <w:r w:rsidR="00D77C93" w:rsidRPr="004F6220">
        <w:t xml:space="preserve">, a także obowiązek </w:t>
      </w:r>
      <w:r w:rsidRPr="004F6220">
        <w:t xml:space="preserve">przekazywania – na żądanie </w:t>
      </w:r>
      <w:r w:rsidR="00475E28" w:rsidRPr="004F6220">
        <w:t xml:space="preserve">KNF </w:t>
      </w:r>
      <w:r w:rsidRPr="004F6220">
        <w:t xml:space="preserve">lub jej upoważnionego przedstawiciela – wykazu instrumentów finansowych notowanych w ramach segmentu </w:t>
      </w:r>
      <w:r w:rsidR="00FE2D94" w:rsidRPr="004F6220">
        <w:t xml:space="preserve">alternatywnego systemu obrotu </w:t>
      </w:r>
      <w:r w:rsidRPr="004F6220">
        <w:t xml:space="preserve">zarejestrowanego jako rynek rozwoju MŚP, a także kopii dokumentów oraz innych nośników informacji, jak również udzielania pisemnych lub ustnych wyjaśnień dotyczących zasad funkcjonowania tego segmentu </w:t>
      </w:r>
      <w:r w:rsidR="00FE2D94" w:rsidRPr="004F6220">
        <w:t>alternatywnego systemu obrotu</w:t>
      </w:r>
      <w:r w:rsidRPr="004F6220">
        <w:t>.</w:t>
      </w:r>
      <w:r w:rsidR="001F2118" w:rsidRPr="004F6220">
        <w:t xml:space="preserve"> </w:t>
      </w:r>
    </w:p>
    <w:p w14:paraId="4943F1E2" w14:textId="1081A26A" w:rsidR="00A44CAD" w:rsidRPr="004F6220" w:rsidRDefault="00A44CAD" w:rsidP="005D621C">
      <w:pPr>
        <w:pStyle w:val="NormalnyWeb"/>
        <w:spacing w:before="120" w:beforeAutospacing="0" w:after="0" w:afterAutospacing="0" w:line="360" w:lineRule="auto"/>
        <w:jc w:val="both"/>
      </w:pPr>
      <w:r w:rsidRPr="004F6220">
        <w:t>Celem zmian przewidzianych w projektowany</w:t>
      </w:r>
      <w:r w:rsidR="00234A60" w:rsidRPr="004F6220">
        <w:t>m</w:t>
      </w:r>
      <w:r w:rsidRPr="004F6220">
        <w:t xml:space="preserve"> </w:t>
      </w:r>
      <w:r w:rsidRPr="004F6220">
        <w:rPr>
          <w:b/>
          <w:bCs/>
        </w:rPr>
        <w:t>art. 78i ust. 1</w:t>
      </w:r>
      <w:r w:rsidR="00D54393" w:rsidRPr="004F6220">
        <w:rPr>
          <w:b/>
          <w:bCs/>
        </w:rPr>
        <w:t xml:space="preserve"> i 2</w:t>
      </w:r>
      <w:r w:rsidRPr="004F6220">
        <w:t xml:space="preserve"> ustawy o obrocie</w:t>
      </w:r>
      <w:r w:rsidR="003A3C41" w:rsidRPr="004F6220">
        <w:t xml:space="preserve"> instrumentami finansowymi</w:t>
      </w:r>
      <w:r w:rsidRPr="004F6220">
        <w:t xml:space="preserve"> jest umożliwienie, aby instrumenty wprowadzone do obrotu na rynku rozwoju MŚP – w krajowym porządku prawnym wprowadzone do obrotu w ASO MŚP – mogły być sprawnie wprowadzane do innego systemu obrotu instrumentami finansowymi. Przyjęcie takiego rozwiązania znajduje uzasadnienie w dążeniu do ograniczenia fragmentacji płynności obrotu instrumentami finansowymi emitowanymi przez małe i średnie przedsiębiorstwa, co ma szczególne znaczenie z uwagi na relatywnie niską płynność tych instrumentów. </w:t>
      </w:r>
    </w:p>
    <w:p w14:paraId="4E0C3EEB" w14:textId="5B197BF3" w:rsidR="004A65D3" w:rsidRPr="004F6220" w:rsidRDefault="004A65D3" w:rsidP="005D621C">
      <w:pPr>
        <w:pStyle w:val="NormalnyWeb"/>
        <w:spacing w:before="120" w:beforeAutospacing="0" w:after="0" w:afterAutospacing="0" w:line="360" w:lineRule="auto"/>
        <w:jc w:val="both"/>
      </w:pPr>
      <w:r w:rsidRPr="004F6220">
        <w:t xml:space="preserve">Zmiany brzmienia </w:t>
      </w:r>
      <w:r w:rsidRPr="004F6220">
        <w:rPr>
          <w:b/>
          <w:bCs/>
        </w:rPr>
        <w:t>art.</w:t>
      </w:r>
      <w:r w:rsidR="001F2118" w:rsidRPr="004F6220">
        <w:rPr>
          <w:b/>
          <w:bCs/>
        </w:rPr>
        <w:t> </w:t>
      </w:r>
      <w:r w:rsidRPr="004F6220">
        <w:rPr>
          <w:b/>
          <w:bCs/>
        </w:rPr>
        <w:t>16 ust.</w:t>
      </w:r>
      <w:r w:rsidR="001F2118" w:rsidRPr="004F6220">
        <w:rPr>
          <w:b/>
          <w:bCs/>
        </w:rPr>
        <w:t> </w:t>
      </w:r>
      <w:r w:rsidRPr="004F6220">
        <w:rPr>
          <w:b/>
          <w:bCs/>
        </w:rPr>
        <w:t>6</w:t>
      </w:r>
      <w:r w:rsidRPr="004F6220">
        <w:t xml:space="preserve">, </w:t>
      </w:r>
      <w:r w:rsidRPr="004F6220">
        <w:rPr>
          <w:b/>
          <w:bCs/>
        </w:rPr>
        <w:t>art.</w:t>
      </w:r>
      <w:r w:rsidR="001F2118" w:rsidRPr="004F6220">
        <w:rPr>
          <w:b/>
          <w:bCs/>
        </w:rPr>
        <w:t> </w:t>
      </w:r>
      <w:r w:rsidRPr="004F6220">
        <w:rPr>
          <w:b/>
          <w:bCs/>
        </w:rPr>
        <w:t>16a ust.</w:t>
      </w:r>
      <w:r w:rsidR="001F2118" w:rsidRPr="004F6220">
        <w:rPr>
          <w:b/>
          <w:bCs/>
        </w:rPr>
        <w:t> </w:t>
      </w:r>
      <w:r w:rsidRPr="004F6220">
        <w:rPr>
          <w:b/>
          <w:bCs/>
        </w:rPr>
        <w:t>2</w:t>
      </w:r>
      <w:r w:rsidR="001F2118" w:rsidRPr="004F6220">
        <w:rPr>
          <w:b/>
          <w:bCs/>
        </w:rPr>
        <w:t>–6</w:t>
      </w:r>
      <w:r w:rsidRPr="004F6220">
        <w:t xml:space="preserve">, </w:t>
      </w:r>
      <w:r w:rsidRPr="004F6220">
        <w:rPr>
          <w:b/>
          <w:bCs/>
        </w:rPr>
        <w:t>art.</w:t>
      </w:r>
      <w:r w:rsidR="001F2118" w:rsidRPr="004F6220">
        <w:rPr>
          <w:b/>
          <w:bCs/>
        </w:rPr>
        <w:t> </w:t>
      </w:r>
      <w:r w:rsidRPr="004F6220">
        <w:rPr>
          <w:b/>
          <w:bCs/>
        </w:rPr>
        <w:t>69g</w:t>
      </w:r>
      <w:r w:rsidRPr="004F6220">
        <w:t xml:space="preserve">, a także </w:t>
      </w:r>
      <w:r w:rsidRPr="004F6220">
        <w:rPr>
          <w:b/>
          <w:bCs/>
        </w:rPr>
        <w:t>art.</w:t>
      </w:r>
      <w:r w:rsidR="001F2118" w:rsidRPr="004F6220">
        <w:rPr>
          <w:b/>
          <w:bCs/>
        </w:rPr>
        <w:t> </w:t>
      </w:r>
      <w:r w:rsidRPr="004F6220">
        <w:rPr>
          <w:b/>
          <w:bCs/>
        </w:rPr>
        <w:t>78g ust.</w:t>
      </w:r>
      <w:r w:rsidR="001F2118" w:rsidRPr="004F6220">
        <w:rPr>
          <w:b/>
          <w:bCs/>
        </w:rPr>
        <w:t> </w:t>
      </w:r>
      <w:r w:rsidRPr="004F6220">
        <w:rPr>
          <w:b/>
          <w:bCs/>
        </w:rPr>
        <w:t>3</w:t>
      </w:r>
      <w:r w:rsidR="001F2118" w:rsidRPr="004F6220">
        <w:rPr>
          <w:b/>
          <w:bCs/>
        </w:rPr>
        <w:t>–7</w:t>
      </w:r>
      <w:r w:rsidR="001F2118" w:rsidRPr="004F6220">
        <w:t xml:space="preserve"> ustawy o obrocie </w:t>
      </w:r>
      <w:r w:rsidR="003A3C41" w:rsidRPr="004F6220">
        <w:t xml:space="preserve">instrumentami finansowymi </w:t>
      </w:r>
      <w:r w:rsidRPr="004F6220">
        <w:t>mają charakter zmian wynikowych.</w:t>
      </w:r>
      <w:r w:rsidR="00E1459A" w:rsidRPr="004F6220">
        <w:t xml:space="preserve"> Rozszerzenie zakresu art. 16 ust. 6 oraz art. 69g ustawy o obrocie </w:t>
      </w:r>
      <w:r w:rsidR="003A3C41" w:rsidRPr="004F6220">
        <w:t xml:space="preserve">instrumentami finansowymi </w:t>
      </w:r>
      <w:r w:rsidR="00E1459A" w:rsidRPr="004F6220">
        <w:t xml:space="preserve">na segment ASO ma na celu zapewnienie możliwości dokonania wpisu segmentu ASO do rejestru ASO MŚP już na etapie udzielania zezwolenia na prowadzenie alternatywnego systemu obrotu. </w:t>
      </w:r>
      <w:r w:rsidR="00E1459A" w:rsidRPr="004F6220">
        <w:lastRenderedPageBreak/>
        <w:t>Przepisy te pełnią funkcję proceduralną, umożliwiając dokonanie wpisu do rejestru równocześnie z rozstrzygnięciem dotyczącym prowadzenia ASO albo jego segmentu, natomiast projektowane art. 16a ust. 1a oraz art. 78g ust. 2a określają materialnoprawne warunki uzyskania przez segment alternatywnego systemu obrotu statusu ASO MŚP.</w:t>
      </w:r>
      <w:r w:rsidR="007454C1" w:rsidRPr="004F6220">
        <w:t xml:space="preserve"> </w:t>
      </w:r>
      <w:r w:rsidR="00C83C22" w:rsidRPr="004F6220">
        <w:t>W ten sposób z</w:t>
      </w:r>
      <w:r w:rsidR="00E1459A" w:rsidRPr="004F6220">
        <w:t xml:space="preserve">achowane zostało dotychczasowe rozwiązanie </w:t>
      </w:r>
      <w:r w:rsidR="007454C1" w:rsidRPr="004F6220">
        <w:t xml:space="preserve">legislacyjne </w:t>
      </w:r>
      <w:r w:rsidR="00721889" w:rsidRPr="004F6220">
        <w:t xml:space="preserve">– ograniczony zakres odesłania do warunków wpisu, co </w:t>
      </w:r>
      <w:r w:rsidR="00E1459A" w:rsidRPr="004F6220">
        <w:t xml:space="preserve">służy umożliwieniu uzyskania statusu </w:t>
      </w:r>
      <w:r w:rsidR="00721889" w:rsidRPr="004F6220">
        <w:t xml:space="preserve">ASO </w:t>
      </w:r>
      <w:r w:rsidR="00E1459A" w:rsidRPr="004F6220">
        <w:t xml:space="preserve">MŚP już na etapie tworzenia </w:t>
      </w:r>
      <w:r w:rsidR="00721889" w:rsidRPr="004F6220">
        <w:t xml:space="preserve">ASO </w:t>
      </w:r>
      <w:r w:rsidR="00E1459A" w:rsidRPr="004F6220">
        <w:t>albo jego segmentu. Na etapie ubiegania się o zezwolenie na prowadzenie ASO albo o wpis do rejestru ASO MŚP podmiot prowadzący ten system obrotu może bowiem nie posiadać jeszcze wystarczającej liczby emitentów spełniających kryteria MŚP, mimo że docelowo rynek ten ma być przeznaczony dla takich emitentów. Spełnianie warunków funkcjonowania ASO MŚP podlega następnie bieżącej weryfikacji przez KNF, która może wykreślić ASO albo segment ASO z rejestru w przypadku trwałego niespełniania wymogów ustawowych.</w:t>
      </w:r>
      <w:r w:rsidR="007454C1" w:rsidRPr="004F6220">
        <w:t xml:space="preserve"> </w:t>
      </w:r>
    </w:p>
    <w:p w14:paraId="7BB5047F" w14:textId="7BC086DD" w:rsidR="0082136C" w:rsidRPr="004F6220" w:rsidRDefault="0082136C" w:rsidP="005D621C">
      <w:pPr>
        <w:keepNext/>
        <w:spacing w:before="120" w:after="0" w:line="360" w:lineRule="auto"/>
        <w:jc w:val="both"/>
        <w:rPr>
          <w:rFonts w:ascii="Times New Roman" w:hAnsi="Times New Roman" w:cs="Times New Roman"/>
          <w:b/>
          <w:bCs/>
          <w:sz w:val="24"/>
          <w:szCs w:val="24"/>
        </w:rPr>
      </w:pPr>
      <w:r w:rsidRPr="004F6220">
        <w:rPr>
          <w:rFonts w:ascii="Times New Roman" w:hAnsi="Times New Roman" w:cs="Times New Roman"/>
          <w:b/>
          <w:bCs/>
          <w:sz w:val="24"/>
          <w:szCs w:val="24"/>
        </w:rPr>
        <w:t>Zmiany w art. 3 pkt 58a i 58b, art. 83c ust. 3a</w:t>
      </w:r>
      <w:r w:rsidR="000B7389">
        <w:rPr>
          <w:rFonts w:ascii="Times New Roman" w:hAnsi="Times New Roman" w:cs="Times New Roman"/>
          <w:b/>
          <w:bCs/>
          <w:sz w:val="24"/>
          <w:szCs w:val="24"/>
        </w:rPr>
        <w:t>–</w:t>
      </w:r>
      <w:r w:rsidRPr="004F6220">
        <w:rPr>
          <w:rFonts w:ascii="Times New Roman" w:hAnsi="Times New Roman" w:cs="Times New Roman"/>
          <w:b/>
          <w:bCs/>
          <w:sz w:val="24"/>
          <w:szCs w:val="24"/>
        </w:rPr>
        <w:t xml:space="preserve">3d oraz art. 167ab ustawy o obrocie instrumentami finansowymi – badania inwestycyjne </w:t>
      </w:r>
    </w:p>
    <w:p w14:paraId="7CF454C0" w14:textId="52C8A560" w:rsidR="002D02B6" w:rsidRPr="004F6220" w:rsidRDefault="002D02B6" w:rsidP="005D621C">
      <w:pPr>
        <w:pStyle w:val="NormalnyWeb"/>
        <w:spacing w:before="120" w:beforeAutospacing="0" w:after="0" w:afterAutospacing="0" w:line="360" w:lineRule="auto"/>
        <w:jc w:val="both"/>
      </w:pPr>
      <w:r w:rsidRPr="004F6220">
        <w:t xml:space="preserve">Dyrektywa </w:t>
      </w:r>
      <w:r w:rsidR="006051F3" w:rsidRPr="004F6220">
        <w:t xml:space="preserve">2014/65 wraz z dyrektywą </w:t>
      </w:r>
      <w:r w:rsidR="005D7C05" w:rsidRPr="004F6220">
        <w:t>delegowaną Komisji (UE) 2017/593 z dnia 7 kwietnia 2016 r. uzupełniającą dyrektywę Parlamentu Europejskiego i Rady 2014/65/UE w odniesieniu do zabezpieczenia instrumentów finansowych i środków pieniężnych należących do klientów, zobowiązań w zakresie zarządzania produktami oraz zasad mających zastosowanie do oferowania lub przyjmowania wynagrodzeń, prowizji bądź innych korzyści pieniężnych lub niepieniężnych (Dz.</w:t>
      </w:r>
      <w:r w:rsidR="00475E28" w:rsidRPr="004F6220">
        <w:t xml:space="preserve"> </w:t>
      </w:r>
      <w:r w:rsidR="005D7C05" w:rsidRPr="004F6220">
        <w:t xml:space="preserve">Urz. </w:t>
      </w:r>
      <w:r w:rsidR="00475E28" w:rsidRPr="004F6220">
        <w:t xml:space="preserve">UE </w:t>
      </w:r>
      <w:r w:rsidR="005D7C05" w:rsidRPr="004F6220">
        <w:t xml:space="preserve">L 87, 31.03.2017), zwaną dalej „dyrektywą 2017/593”, </w:t>
      </w:r>
      <w:r w:rsidRPr="004F6220">
        <w:t>uregulowały zasady dotyczące badań</w:t>
      </w:r>
      <w:r w:rsidR="001542F2" w:rsidRPr="004F6220">
        <w:t xml:space="preserve"> inwestycyjnych</w:t>
      </w:r>
      <w:r w:rsidRPr="004F6220">
        <w:t>, tj. materiałów lub usług o charakterze analitycznym odnoszących się do instrumentów finansowych, emitentów lub określonych branż, których celem jest wspomaganie decyzji inwestycyjnych. Co do zasady regulacje te wprowadziły wymóg rozdzielenia płatności otrzymywanych przez firmy inwestycyjne z tytułu prowizji maklerskich od wynagrodzenia związanego z</w:t>
      </w:r>
      <w:r w:rsidR="001542F2" w:rsidRPr="004F6220">
        <w:t xml:space="preserve"> przygotowywaniem badań inwestycyjnych</w:t>
      </w:r>
      <w:r w:rsidRPr="004F6220">
        <w:t xml:space="preserve">. W praktyce doprowadziło to do ograniczenia liczby publikowanych badań, określanego jako spadek tzw. pokrycia analitycznego. Zjawisko to ma charakter niekorzystny, gdyż ogranicza dostęp inwestorów do informacji, zmniejsza widoczność spółek notowanych na rynku giełdowym, a w konsekwencji utrudnia pozyskiwanie kapitału, w szczególności przez małe i średnie przedsiębiorstwa. Negatywne skutki tego procesu oddziałują pośrednio na gospodarkę realną. W odpowiedzi na powyższe problemy zmiana dyrektywy 2017/593 dopuściła możliwość stosowania łącznych płatności za usługi w zakresie realizacji transakcji </w:t>
      </w:r>
      <w:r w:rsidRPr="004F6220">
        <w:lastRenderedPageBreak/>
        <w:t xml:space="preserve">oraz badań w odniesieniu do emitentów o określonej, niskiej kapitalizacji rynkowej. Rozwiązanie to okazało się jednak niewystarczające, wobec czego dyrektywa 2024/2811 wprowadza dalsze istotne zmiany mające na celu zwiększenie dostępności i wiarygodności badań inwestycyjnych. </w:t>
      </w:r>
    </w:p>
    <w:p w14:paraId="4464453B" w14:textId="2402CEBD" w:rsidR="002D02B6" w:rsidRPr="004F6220" w:rsidRDefault="002D02B6" w:rsidP="005D621C">
      <w:pPr>
        <w:pStyle w:val="NormalnyWeb"/>
        <w:spacing w:before="120" w:beforeAutospacing="0" w:after="0" w:afterAutospacing="0" w:line="360" w:lineRule="auto"/>
        <w:jc w:val="both"/>
      </w:pPr>
      <w:r w:rsidRPr="004F6220">
        <w:t xml:space="preserve">Zgodnie z </w:t>
      </w:r>
      <w:r w:rsidR="00610F95" w:rsidRPr="004F6220">
        <w:t xml:space="preserve">projektowanym </w:t>
      </w:r>
      <w:r w:rsidRPr="004F6220">
        <w:rPr>
          <w:b/>
          <w:bCs/>
        </w:rPr>
        <w:t>art. 83c ust. </w:t>
      </w:r>
      <w:r w:rsidR="0046513B" w:rsidRPr="004F6220">
        <w:rPr>
          <w:b/>
          <w:bCs/>
        </w:rPr>
        <w:t>3</w:t>
      </w:r>
      <w:r w:rsidR="00873993" w:rsidRPr="004F6220">
        <w:rPr>
          <w:b/>
          <w:bCs/>
        </w:rPr>
        <w:t>b</w:t>
      </w:r>
      <w:r w:rsidRPr="004F6220">
        <w:t xml:space="preserve"> </w:t>
      </w:r>
      <w:r w:rsidR="006611F9" w:rsidRPr="004F6220">
        <w:t xml:space="preserve">ustawy o obrocie </w:t>
      </w:r>
      <w:r w:rsidR="003A3C41" w:rsidRPr="004F6220">
        <w:t xml:space="preserve">instrumentami finansowymi </w:t>
      </w:r>
      <w:r w:rsidR="00D06D7D" w:rsidRPr="004F6220">
        <w:t>badania inwestycyjne</w:t>
      </w:r>
      <w:r w:rsidRPr="004F6220">
        <w:t xml:space="preserve"> udostępniane przez firmę inwestycyjną klientom lub potencjalnym klientom w całości lub w części finansowan</w:t>
      </w:r>
      <w:r w:rsidR="00D06D7D" w:rsidRPr="004F6220">
        <w:t>e</w:t>
      </w:r>
      <w:r w:rsidRPr="004F6220">
        <w:t xml:space="preserve"> przez emitenta, </w:t>
      </w:r>
      <w:r w:rsidR="00873993" w:rsidRPr="004F6220">
        <w:t xml:space="preserve">powinny być </w:t>
      </w:r>
      <w:r w:rsidRPr="004F6220">
        <w:t>oznaczane jako „badania sponsorowane przez emitenta”</w:t>
      </w:r>
      <w:r w:rsidR="00873993" w:rsidRPr="004F6220">
        <w:t>, o ile zostały przygotowane zgodnie z unijnym kodeksem postępowania dotyczącym badań sponsorowanych przez emitenta</w:t>
      </w:r>
      <w:r w:rsidRPr="004F6220">
        <w:t xml:space="preserve">. </w:t>
      </w:r>
      <w:r w:rsidR="00873993" w:rsidRPr="004F6220">
        <w:t>Kodeks ten zostanie ustanowiony w przepisach regulacyjnych standardów technicznych wydany</w:t>
      </w:r>
      <w:r w:rsidR="00F3323D">
        <w:t>ch</w:t>
      </w:r>
      <w:r w:rsidR="00873993" w:rsidRPr="004F6220">
        <w:t xml:space="preserve"> na podstawie art. 24 ust. 3c dyrektywy 2014/65. </w:t>
      </w:r>
      <w:r w:rsidRPr="004F6220">
        <w:t>Na pierwszej stronie tych materiałów zamieszcza się również informację, że zostały one sporządzone zgodnie z „unijnym kodeksem postępowania dotyczącym badań sponsorowanych przez emitenta”</w:t>
      </w:r>
      <w:r w:rsidR="00924942" w:rsidRPr="004F6220">
        <w:t xml:space="preserve"> (</w:t>
      </w:r>
      <w:r w:rsidR="00924942" w:rsidRPr="004F6220">
        <w:rPr>
          <w:b/>
          <w:bCs/>
        </w:rPr>
        <w:t xml:space="preserve">art. 83c ust. </w:t>
      </w:r>
      <w:r w:rsidR="0046513B" w:rsidRPr="004F6220">
        <w:rPr>
          <w:b/>
          <w:bCs/>
        </w:rPr>
        <w:t>3</w:t>
      </w:r>
      <w:r w:rsidR="00924942" w:rsidRPr="004F6220">
        <w:rPr>
          <w:b/>
          <w:bCs/>
        </w:rPr>
        <w:t>c</w:t>
      </w:r>
      <w:r w:rsidR="00924942" w:rsidRPr="004F6220">
        <w:t>)</w:t>
      </w:r>
      <w:r w:rsidRPr="004F6220">
        <w:t xml:space="preserve">. Celem tego rozwiązania jest zwiększenie zaufania inwestorów do badań sponsorowanych przez emitenta, a tym samym zwiększenie ich wykorzystania w procesach inwestycyjnych. W konsekwencji regulacja ta ma sprzyjać większej skłonności do sporządzania takich badań, i prowadzić do zwiększenia pokrycia analitycznego spółek notowanych na rynku, w szczególności spółek o mniejszej kapitalizacji. Obowiązek wyraźnego oznaczania badań sponsorowanych przez emitenta ma ponadto na celu zapobieżenie ich myleniu z innymi rodzajami rekomendacji, które nie są sporządzane zgodnie z unijnym kodeksem postępowania. </w:t>
      </w:r>
    </w:p>
    <w:p w14:paraId="55C0CF76" w14:textId="452F44EA" w:rsidR="002D02B6" w:rsidRPr="004F6220" w:rsidRDefault="002D02B6" w:rsidP="005D621C">
      <w:pPr>
        <w:pStyle w:val="NormalnyWeb"/>
        <w:spacing w:before="120" w:beforeAutospacing="0" w:after="0" w:afterAutospacing="0" w:line="360" w:lineRule="auto"/>
        <w:jc w:val="both"/>
      </w:pPr>
      <w:r w:rsidRPr="004F6220">
        <w:t xml:space="preserve">Należy podkreślić, że fakt nieprzygotowywania badań zgodnie z „unijnym kodeksem postępowania dotyczącym badań sponsorowanych przez emitenta” nie oznacza pełnej dowolności w zakresie ich sporządzania. Zgodnie z </w:t>
      </w:r>
      <w:r w:rsidR="00EC641D" w:rsidRPr="004F6220">
        <w:t xml:space="preserve">projektowanym </w:t>
      </w:r>
      <w:r w:rsidRPr="004F6220">
        <w:rPr>
          <w:b/>
          <w:bCs/>
        </w:rPr>
        <w:t>art. 83c ust. </w:t>
      </w:r>
      <w:r w:rsidR="0046513B" w:rsidRPr="004F6220">
        <w:rPr>
          <w:b/>
          <w:bCs/>
        </w:rPr>
        <w:t>3</w:t>
      </w:r>
      <w:r w:rsidR="00924942" w:rsidRPr="004F6220">
        <w:rPr>
          <w:b/>
          <w:bCs/>
        </w:rPr>
        <w:t>a</w:t>
      </w:r>
      <w:r w:rsidRPr="004F6220">
        <w:t xml:space="preserve"> </w:t>
      </w:r>
      <w:r w:rsidR="00EC641D" w:rsidRPr="004F6220">
        <w:t>ustawy o obrocie</w:t>
      </w:r>
      <w:r w:rsidR="003A3C41" w:rsidRPr="004F6220">
        <w:t xml:space="preserve"> instrumentami finansowymi</w:t>
      </w:r>
      <w:r w:rsidR="00EC641D" w:rsidRPr="004F6220">
        <w:t xml:space="preserve"> </w:t>
      </w:r>
      <w:r w:rsidRPr="004F6220">
        <w:t xml:space="preserve">materiały analityczne, o których mowa w tym przepisie, powinny być sporządzane zgodnie z art. 36 i </w:t>
      </w:r>
      <w:r w:rsidR="00F3323D">
        <w:t xml:space="preserve">art. </w:t>
      </w:r>
      <w:r w:rsidRPr="004F6220">
        <w:t xml:space="preserve">37 rozporządzenia </w:t>
      </w:r>
      <w:r w:rsidR="00EC641D" w:rsidRPr="004F6220">
        <w:t>delegowanego Komisji (UE) 2017/565 z dnia 25 kwietnia 2016 r. uzupełniającego dyrektywę Parlamentu Europejskiego i Rady 2014/65/UE w odniesieniu do wymogów organizacyjnych i warunków prowadzenia działalności przez firmy inwestycyjne oraz pojęć zdefiniowanych na potrzeby tej dyrektywy (Dz.</w:t>
      </w:r>
      <w:r w:rsidR="000B0960" w:rsidRPr="004F6220">
        <w:t xml:space="preserve"> </w:t>
      </w:r>
      <w:r w:rsidR="00EC641D" w:rsidRPr="004F6220">
        <w:t xml:space="preserve">Urz. </w:t>
      </w:r>
      <w:r w:rsidR="000B0960" w:rsidRPr="004F6220">
        <w:t xml:space="preserve">UE </w:t>
      </w:r>
      <w:r w:rsidR="00EC641D" w:rsidRPr="004F6220">
        <w:t>L 87, 31.03.2017)</w:t>
      </w:r>
      <w:r w:rsidR="00750A6C" w:rsidRPr="004F6220">
        <w:t>, zwanego dalej „rozporządzeniem 2017/565”,</w:t>
      </w:r>
      <w:r w:rsidR="00EC641D" w:rsidRPr="004F6220">
        <w:t xml:space="preserve"> </w:t>
      </w:r>
      <w:r w:rsidRPr="004F6220">
        <w:t xml:space="preserve">oraz w sposób wyraźny oznaczane jako </w:t>
      </w:r>
      <w:r w:rsidR="00D06D7D" w:rsidRPr="004F6220">
        <w:t>badania inwestycyjne</w:t>
      </w:r>
      <w:r w:rsidRPr="004F6220">
        <w:t>.</w:t>
      </w:r>
    </w:p>
    <w:p w14:paraId="1A3D9098" w14:textId="69171E65" w:rsidR="002D02B6" w:rsidRPr="004F6220" w:rsidRDefault="002D02B6" w:rsidP="005D621C">
      <w:pPr>
        <w:pStyle w:val="NormalnyWeb"/>
        <w:spacing w:before="120" w:beforeAutospacing="0" w:after="0" w:afterAutospacing="0" w:line="360" w:lineRule="auto"/>
        <w:jc w:val="both"/>
      </w:pPr>
      <w:r w:rsidRPr="004F6220">
        <w:t xml:space="preserve">W celu zapewnienia, aby badania sponsorowane przez emitenta i oznaczone jako takie były sporządzane zgodnie z unijnym kodeksem postępowania, </w:t>
      </w:r>
      <w:r w:rsidR="000B0960" w:rsidRPr="004F6220">
        <w:t xml:space="preserve">proponuje </w:t>
      </w:r>
      <w:r w:rsidR="00EC641D" w:rsidRPr="004F6220">
        <w:t xml:space="preserve">się wprowadzenie </w:t>
      </w:r>
      <w:r w:rsidRPr="004F6220">
        <w:t xml:space="preserve">art. 83c ust. 4d oraz art. 167ab. Zgodnie z </w:t>
      </w:r>
      <w:r w:rsidRPr="004F6220">
        <w:rPr>
          <w:b/>
          <w:bCs/>
        </w:rPr>
        <w:t>art. 83c ust. </w:t>
      </w:r>
      <w:r w:rsidR="0046513B" w:rsidRPr="004F6220">
        <w:rPr>
          <w:b/>
          <w:bCs/>
        </w:rPr>
        <w:t>3</w:t>
      </w:r>
      <w:r w:rsidRPr="004F6220">
        <w:rPr>
          <w:b/>
          <w:bCs/>
        </w:rPr>
        <w:t>d</w:t>
      </w:r>
      <w:r w:rsidRPr="004F6220">
        <w:t xml:space="preserve"> </w:t>
      </w:r>
      <w:r w:rsidR="00EC641D" w:rsidRPr="004F6220">
        <w:t>ustawy o obrocie</w:t>
      </w:r>
      <w:r w:rsidR="003A3C41" w:rsidRPr="004F6220">
        <w:t xml:space="preserve"> instrumentami finansowymi</w:t>
      </w:r>
      <w:r w:rsidR="00EC641D" w:rsidRPr="004F6220">
        <w:t xml:space="preserve"> </w:t>
      </w:r>
      <w:r w:rsidRPr="004F6220">
        <w:lastRenderedPageBreak/>
        <w:t xml:space="preserve">firmy inwestycyjne sporządzające lub udostępniające badania sponsorowane przez emitenta </w:t>
      </w:r>
      <w:r w:rsidR="00EC641D" w:rsidRPr="004F6220">
        <w:t xml:space="preserve">będą </w:t>
      </w:r>
      <w:r w:rsidRPr="004F6220">
        <w:t>zobowiązane do stosowania w prowadzonej działalności odpowiednich rozwiązań organizacyjnych, zapewniających zgodność tych badań z wymogami określonymi w obowiązujących przepisach prawa. Natomiast</w:t>
      </w:r>
      <w:r w:rsidR="00EC641D" w:rsidRPr="004F6220">
        <w:t xml:space="preserve"> projekt</w:t>
      </w:r>
      <w:r w:rsidR="00234A60" w:rsidRPr="004F6220">
        <w:t>owany</w:t>
      </w:r>
      <w:r w:rsidRPr="004F6220">
        <w:t xml:space="preserve"> </w:t>
      </w:r>
      <w:r w:rsidRPr="004F6220">
        <w:rPr>
          <w:b/>
          <w:bCs/>
        </w:rPr>
        <w:t>art. 167ab</w:t>
      </w:r>
      <w:r w:rsidRPr="004F6220">
        <w:t xml:space="preserve"> </w:t>
      </w:r>
      <w:r w:rsidR="00EC641D" w:rsidRPr="004F6220">
        <w:t xml:space="preserve">tej samej ustawy </w:t>
      </w:r>
      <w:r w:rsidRPr="004F6220">
        <w:t>wprowadza sankcje za naruszenie obowiązków wynikających z nowych regulacji.</w:t>
      </w:r>
    </w:p>
    <w:p w14:paraId="46E0DAA7" w14:textId="6CE5E628" w:rsidR="002D02B6" w:rsidRPr="004F6220" w:rsidRDefault="002D02B6" w:rsidP="005D621C">
      <w:pPr>
        <w:pStyle w:val="NormalnyWeb"/>
        <w:spacing w:before="120" w:beforeAutospacing="0" w:after="0" w:afterAutospacing="0" w:line="360" w:lineRule="auto"/>
        <w:jc w:val="both"/>
      </w:pPr>
      <w:r w:rsidRPr="004F6220">
        <w:t>Z uwagi na ustawowy charakter wprowadzanych zmian konieczne było uzupełnienie ustawy o definicję „</w:t>
      </w:r>
      <w:r w:rsidR="00D06D7D" w:rsidRPr="004F6220">
        <w:t>badań inwestycyjnych</w:t>
      </w:r>
      <w:r w:rsidRPr="004F6220">
        <w:t>”, zawartą w</w:t>
      </w:r>
      <w:r w:rsidR="00EC641D" w:rsidRPr="004F6220">
        <w:t xml:space="preserve"> projektowanym</w:t>
      </w:r>
      <w:r w:rsidRPr="004F6220">
        <w:t xml:space="preserve"> </w:t>
      </w:r>
      <w:r w:rsidRPr="004F6220">
        <w:rPr>
          <w:b/>
          <w:bCs/>
        </w:rPr>
        <w:t>art. 3 pkt </w:t>
      </w:r>
      <w:r w:rsidR="00A42E3D" w:rsidRPr="004F6220">
        <w:rPr>
          <w:b/>
          <w:bCs/>
        </w:rPr>
        <w:t>58a</w:t>
      </w:r>
      <w:r w:rsidRPr="004F6220">
        <w:t xml:space="preserve">. Definicja ta </w:t>
      </w:r>
      <w:r w:rsidR="00C93069" w:rsidRPr="004F6220">
        <w:t>bazuje na</w:t>
      </w:r>
      <w:r w:rsidRPr="004F6220">
        <w:t xml:space="preserve"> definicji dotychczas funkcjonującej na poziomie przepisów wykonawczych.</w:t>
      </w:r>
    </w:p>
    <w:p w14:paraId="59BDFCBF" w14:textId="2D6C18DE" w:rsidR="00A42E3D" w:rsidRPr="004F6220" w:rsidRDefault="00C93069" w:rsidP="005D621C">
      <w:pPr>
        <w:pStyle w:val="NormalnyWeb"/>
        <w:spacing w:before="120" w:beforeAutospacing="0" w:after="0" w:afterAutospacing="0" w:line="360" w:lineRule="auto"/>
        <w:jc w:val="both"/>
      </w:pPr>
      <w:r w:rsidRPr="004F6220">
        <w:t xml:space="preserve">Jednocześnie, w związku z wprowadzeniem do ustawy regulacji dotyczących badań sponsorowanych przez emitenta, konieczne jest zdefiniowanie pojęcia „unijnego kodeksu postępowania dotyczącego badań sponsorowanych przez emitenta” w projektowanym </w:t>
      </w:r>
      <w:r w:rsidRPr="004F6220">
        <w:rPr>
          <w:b/>
          <w:bCs/>
        </w:rPr>
        <w:t>art. 3 pkt 58b</w:t>
      </w:r>
      <w:r w:rsidRPr="004F6220">
        <w:t>. Definicja ta odsyła do kodeksu postępowania ustanowionego w regulacyjnych standardach technicznych wydanych na podstawie art. 24 ust. 3c dyrektywy 2014/65/UE, co ma na celu zapewnienie spójności terminologicznej projektowanych przepisów z regulacjami prawa Unii Europejskiej.</w:t>
      </w:r>
    </w:p>
    <w:p w14:paraId="6AEBAB03" w14:textId="5B8443FF" w:rsidR="00A15962" w:rsidRPr="004F6220" w:rsidRDefault="0014554C" w:rsidP="005D621C">
      <w:pPr>
        <w:keepNext/>
        <w:spacing w:before="120" w:after="0" w:line="360" w:lineRule="auto"/>
        <w:jc w:val="both"/>
        <w:rPr>
          <w:rFonts w:ascii="Times New Roman" w:hAnsi="Times New Roman" w:cs="Times New Roman"/>
          <w:b/>
          <w:bCs/>
          <w:sz w:val="24"/>
          <w:szCs w:val="24"/>
        </w:rPr>
      </w:pPr>
      <w:bookmarkStart w:id="1" w:name="_Hlk223690426"/>
      <w:r w:rsidRPr="004F6220">
        <w:rPr>
          <w:rFonts w:ascii="Times New Roman" w:hAnsi="Times New Roman" w:cs="Times New Roman"/>
          <w:b/>
          <w:bCs/>
          <w:sz w:val="24"/>
          <w:szCs w:val="24"/>
        </w:rPr>
        <w:t>Zmiany w art. 16 ust. 1, 1a i 2, art. 17 ust. 1 pkt 2</w:t>
      </w:r>
      <w:r w:rsidR="00933F7B" w:rsidRPr="004F6220">
        <w:rPr>
          <w:rFonts w:ascii="Times New Roman" w:hAnsi="Times New Roman" w:cs="Times New Roman"/>
          <w:b/>
          <w:bCs/>
          <w:sz w:val="24"/>
          <w:szCs w:val="24"/>
        </w:rPr>
        <w:t xml:space="preserve"> ora</w:t>
      </w:r>
      <w:r w:rsidR="00A65D20" w:rsidRPr="004F6220">
        <w:rPr>
          <w:rFonts w:ascii="Times New Roman" w:hAnsi="Times New Roman" w:cs="Times New Roman"/>
          <w:b/>
          <w:bCs/>
          <w:sz w:val="24"/>
          <w:szCs w:val="24"/>
        </w:rPr>
        <w:t>z</w:t>
      </w:r>
      <w:r w:rsidR="00933F7B" w:rsidRPr="004F6220">
        <w:rPr>
          <w:rFonts w:ascii="Times New Roman" w:hAnsi="Times New Roman" w:cs="Times New Roman"/>
          <w:b/>
          <w:bCs/>
          <w:sz w:val="24"/>
          <w:szCs w:val="24"/>
        </w:rPr>
        <w:t xml:space="preserve"> art. 32 ust. 5 i 6 </w:t>
      </w:r>
      <w:r w:rsidRPr="004F6220">
        <w:rPr>
          <w:rFonts w:ascii="Times New Roman" w:hAnsi="Times New Roman" w:cs="Times New Roman"/>
          <w:b/>
          <w:bCs/>
          <w:sz w:val="24"/>
          <w:szCs w:val="24"/>
        </w:rPr>
        <w:t>ustawy o obrocie</w:t>
      </w:r>
      <w:bookmarkEnd w:id="1"/>
      <w:r w:rsidR="00933F7B" w:rsidRPr="004F6220">
        <w:rPr>
          <w:rFonts w:ascii="Times New Roman" w:hAnsi="Times New Roman" w:cs="Times New Roman"/>
          <w:b/>
          <w:bCs/>
          <w:sz w:val="24"/>
          <w:szCs w:val="24"/>
        </w:rPr>
        <w:t xml:space="preserve"> instrumentami finansowymi –</w:t>
      </w:r>
      <w:r w:rsidR="004D253B" w:rsidRPr="004F6220">
        <w:rPr>
          <w:rFonts w:ascii="Times New Roman" w:hAnsi="Times New Roman" w:cs="Times New Roman"/>
          <w:b/>
          <w:bCs/>
          <w:sz w:val="24"/>
          <w:szCs w:val="24"/>
        </w:rPr>
        <w:t xml:space="preserve"> </w:t>
      </w:r>
      <w:r w:rsidRPr="004F6220">
        <w:rPr>
          <w:rFonts w:ascii="Times New Roman" w:hAnsi="Times New Roman" w:cs="Times New Roman"/>
          <w:b/>
          <w:bCs/>
          <w:sz w:val="24"/>
          <w:szCs w:val="24"/>
        </w:rPr>
        <w:t>rezygnacja z wydzielania w ramach rynku regulowanego rynku oficjalnych notowań</w:t>
      </w:r>
    </w:p>
    <w:p w14:paraId="27BF4D78" w14:textId="0BFCB68B" w:rsidR="00811492" w:rsidRPr="004F6220" w:rsidRDefault="0014554C"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Dyrektywa 2024/2811 w zakresie swojej regulacji uchyla również dyrektywę 2001/34/WE Parlamentu Europejskiego i Rady z dnia 28 maja 2001 r. w sprawie dopuszczenia papierów wartościowych do publicznego obrotu giełdowego oraz informacji dotyczących tych papierów wartościowych, które podlegają publikacji (Dz.</w:t>
      </w:r>
      <w:r w:rsidR="000B0960" w:rsidRPr="004F6220">
        <w:rPr>
          <w:rFonts w:ascii="Times New Roman" w:hAnsi="Times New Roman" w:cs="Times New Roman"/>
          <w:sz w:val="24"/>
          <w:szCs w:val="24"/>
        </w:rPr>
        <w:t xml:space="preserve"> </w:t>
      </w:r>
      <w:r w:rsidRPr="004F6220">
        <w:rPr>
          <w:rFonts w:ascii="Times New Roman" w:hAnsi="Times New Roman" w:cs="Times New Roman"/>
          <w:sz w:val="24"/>
          <w:szCs w:val="24"/>
        </w:rPr>
        <w:t>U</w:t>
      </w:r>
      <w:r w:rsidR="000B0960" w:rsidRPr="004F6220">
        <w:rPr>
          <w:rFonts w:ascii="Times New Roman" w:hAnsi="Times New Roman" w:cs="Times New Roman"/>
          <w:sz w:val="24"/>
          <w:szCs w:val="24"/>
        </w:rPr>
        <w:t>rz</w:t>
      </w:r>
      <w:r w:rsidRPr="004F6220">
        <w:rPr>
          <w:rFonts w:ascii="Times New Roman" w:hAnsi="Times New Roman" w:cs="Times New Roman"/>
          <w:sz w:val="24"/>
          <w:szCs w:val="24"/>
        </w:rPr>
        <w:t>.</w:t>
      </w:r>
      <w:r w:rsidR="000B0960" w:rsidRPr="004F6220">
        <w:rPr>
          <w:rFonts w:ascii="Times New Roman" w:hAnsi="Times New Roman" w:cs="Times New Roman"/>
          <w:sz w:val="24"/>
          <w:szCs w:val="24"/>
        </w:rPr>
        <w:t xml:space="preserve"> UE</w:t>
      </w:r>
      <w:r w:rsidRPr="004F6220">
        <w:rPr>
          <w:rFonts w:ascii="Times New Roman" w:hAnsi="Times New Roman" w:cs="Times New Roman"/>
          <w:sz w:val="24"/>
          <w:szCs w:val="24"/>
        </w:rPr>
        <w:t xml:space="preserve"> L 184 z </w:t>
      </w:r>
      <w:r w:rsidR="000B7389">
        <w:rPr>
          <w:rFonts w:ascii="Times New Roman" w:hAnsi="Times New Roman" w:cs="Times New Roman"/>
          <w:sz w:val="24"/>
          <w:szCs w:val="24"/>
        </w:rPr>
        <w:t>0</w:t>
      </w:r>
      <w:r w:rsidRPr="004F6220">
        <w:rPr>
          <w:rFonts w:ascii="Times New Roman" w:hAnsi="Times New Roman" w:cs="Times New Roman"/>
          <w:sz w:val="24"/>
          <w:szCs w:val="24"/>
        </w:rPr>
        <w:t>6.</w:t>
      </w:r>
      <w:r w:rsidR="000B7389">
        <w:rPr>
          <w:rFonts w:ascii="Times New Roman" w:hAnsi="Times New Roman" w:cs="Times New Roman"/>
          <w:sz w:val="24"/>
          <w:szCs w:val="24"/>
        </w:rPr>
        <w:t>0</w:t>
      </w:r>
      <w:r w:rsidRPr="004F6220">
        <w:rPr>
          <w:rFonts w:ascii="Times New Roman" w:hAnsi="Times New Roman" w:cs="Times New Roman"/>
          <w:sz w:val="24"/>
          <w:szCs w:val="24"/>
        </w:rPr>
        <w:t xml:space="preserve">7.2001, s. 1, z późn. zm.), zwaną dalej „dyrektywą 2001/34/WE”. </w:t>
      </w:r>
      <w:r w:rsidR="00627DC2" w:rsidRPr="004F6220">
        <w:rPr>
          <w:rFonts w:ascii="Times New Roman" w:hAnsi="Times New Roman" w:cs="Times New Roman"/>
          <w:sz w:val="24"/>
          <w:szCs w:val="24"/>
        </w:rPr>
        <w:t>Wynikało to z faktu, że d</w:t>
      </w:r>
      <w:r w:rsidRPr="004F6220">
        <w:rPr>
          <w:rFonts w:ascii="Times New Roman" w:hAnsi="Times New Roman" w:cs="Times New Roman"/>
          <w:sz w:val="24"/>
          <w:szCs w:val="24"/>
        </w:rPr>
        <w:t>yrektywa 2001/34/WE była kilkukrotnie gruntowanie zmieniana</w:t>
      </w:r>
      <w:r w:rsidR="00627DC2" w:rsidRPr="004F6220">
        <w:rPr>
          <w:rFonts w:ascii="Times New Roman" w:hAnsi="Times New Roman" w:cs="Times New Roman"/>
          <w:sz w:val="24"/>
          <w:szCs w:val="24"/>
        </w:rPr>
        <w:t>, na skute</w:t>
      </w:r>
      <w:r w:rsidR="00AF46E3" w:rsidRPr="004F6220">
        <w:rPr>
          <w:rFonts w:ascii="Times New Roman" w:hAnsi="Times New Roman" w:cs="Times New Roman"/>
          <w:sz w:val="24"/>
          <w:szCs w:val="24"/>
        </w:rPr>
        <w:t>k</w:t>
      </w:r>
      <w:r w:rsidR="00627DC2" w:rsidRPr="004F6220">
        <w:rPr>
          <w:rFonts w:ascii="Times New Roman" w:hAnsi="Times New Roman" w:cs="Times New Roman"/>
          <w:sz w:val="24"/>
          <w:szCs w:val="24"/>
        </w:rPr>
        <w:t xml:space="preserve"> czego duże </w:t>
      </w:r>
      <w:r w:rsidRPr="004F6220">
        <w:rPr>
          <w:rFonts w:ascii="Times New Roman" w:hAnsi="Times New Roman" w:cs="Times New Roman"/>
          <w:sz w:val="24"/>
          <w:szCs w:val="24"/>
        </w:rPr>
        <w:t xml:space="preserve">fragmenty </w:t>
      </w:r>
      <w:r w:rsidR="00627DC2" w:rsidRPr="004F6220">
        <w:rPr>
          <w:rFonts w:ascii="Times New Roman" w:hAnsi="Times New Roman" w:cs="Times New Roman"/>
          <w:sz w:val="24"/>
          <w:szCs w:val="24"/>
        </w:rPr>
        <w:t>tej dyrektywy zostały uchylone</w:t>
      </w:r>
      <w:r w:rsidR="00811492" w:rsidRPr="004F6220">
        <w:rPr>
          <w:rFonts w:ascii="Times New Roman" w:hAnsi="Times New Roman" w:cs="Times New Roman"/>
          <w:sz w:val="24"/>
          <w:szCs w:val="24"/>
        </w:rPr>
        <w:t xml:space="preserve"> lub zawarte w innych przepisach prawa UE z zakresu rynku regulowanego. W Polsce koncepcja „dopuszczenia papierów wartościowych do publicznego obrotu giełdowego” przewidziana w dyrektywie 2001/34/WE oraz „dopuszczenia instrumentów finansowych do obrotu na rynku regulowanym” przewidziana w dyrektywie 2014/65 została wdrożona poprzez możliwość wyodrębnienia przez spółkę prowadząca rynek regulowany, w ramach organizowania rynku regulowanego, rynku oficjalnych notowań, spełniającego dodatkowe, w stosunku do minimalnych wymogów określonych dla rynku regulowanego, wymogi dotyczące emitentów papierów wartościowych oraz papierów wartościowych będących przedmiotem </w:t>
      </w:r>
      <w:r w:rsidR="00811492" w:rsidRPr="004F6220">
        <w:rPr>
          <w:rFonts w:ascii="Times New Roman" w:hAnsi="Times New Roman" w:cs="Times New Roman"/>
          <w:sz w:val="24"/>
          <w:szCs w:val="24"/>
        </w:rPr>
        <w:lastRenderedPageBreak/>
        <w:t xml:space="preserve">obrotu na tym rynku. </w:t>
      </w:r>
      <w:r w:rsidR="00D46DC5" w:rsidRPr="004F6220">
        <w:rPr>
          <w:rFonts w:ascii="Times New Roman" w:hAnsi="Times New Roman" w:cs="Times New Roman"/>
          <w:sz w:val="24"/>
          <w:szCs w:val="24"/>
        </w:rPr>
        <w:t xml:space="preserve">Przy czym część z tych dodatkowych wymogów dla spółek i papierów wartościowych dopuszczonych do obrotu na rynku oficjalnych notowań wynikały wprost z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00D46DC5" w:rsidRPr="004F6220">
        <w:rPr>
          <w:rFonts w:ascii="Times New Roman" w:hAnsi="Times New Roman" w:cs="Times New Roman"/>
          <w:sz w:val="24"/>
          <w:szCs w:val="24"/>
        </w:rPr>
        <w:t xml:space="preserve">oraz ustawy o ofercie publicznej i stanowiły implementację w prawie krajowym </w:t>
      </w:r>
      <w:r w:rsidR="00811492" w:rsidRPr="004F6220">
        <w:rPr>
          <w:rFonts w:ascii="Times New Roman" w:hAnsi="Times New Roman" w:cs="Times New Roman"/>
          <w:sz w:val="24"/>
          <w:szCs w:val="24"/>
        </w:rPr>
        <w:t xml:space="preserve">uchylanej dyrektywy 2001/34/WE. </w:t>
      </w:r>
    </w:p>
    <w:p w14:paraId="6B0A005E" w14:textId="723BB203" w:rsidR="00811492" w:rsidRPr="004F6220" w:rsidRDefault="00D46DC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Mając powyższe na uwadze</w:t>
      </w:r>
      <w:r w:rsidR="00A65589">
        <w:rPr>
          <w:rFonts w:ascii="Times New Roman" w:hAnsi="Times New Roman" w:cs="Times New Roman"/>
          <w:sz w:val="24"/>
          <w:szCs w:val="24"/>
        </w:rPr>
        <w:t>,</w:t>
      </w:r>
      <w:r w:rsidRPr="004F6220">
        <w:rPr>
          <w:rFonts w:ascii="Times New Roman" w:hAnsi="Times New Roman" w:cs="Times New Roman"/>
          <w:sz w:val="24"/>
          <w:szCs w:val="24"/>
        </w:rPr>
        <w:t xml:space="preserve"> w projekcie przewidziano uchylenie w art. 16 ust. 2</w:t>
      </w:r>
      <w:r w:rsidR="0093249D" w:rsidRPr="004F6220">
        <w:rPr>
          <w:rFonts w:ascii="Times New Roman" w:hAnsi="Times New Roman" w:cs="Times New Roman"/>
          <w:sz w:val="24"/>
          <w:szCs w:val="24"/>
        </w:rPr>
        <w:t xml:space="preserve">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który wskazywał na możliwość wyodrębnienia w ramach rynku regulowanego tzw. rynku oficjalnych notowa</w:t>
      </w:r>
      <w:r w:rsidR="003114EF" w:rsidRPr="004F6220">
        <w:rPr>
          <w:rFonts w:ascii="Times New Roman" w:hAnsi="Times New Roman" w:cs="Times New Roman"/>
          <w:sz w:val="24"/>
          <w:szCs w:val="24"/>
        </w:rPr>
        <w:t>ń</w:t>
      </w:r>
      <w:r w:rsidRPr="004F6220">
        <w:rPr>
          <w:rFonts w:ascii="Times New Roman" w:hAnsi="Times New Roman" w:cs="Times New Roman"/>
          <w:sz w:val="24"/>
          <w:szCs w:val="24"/>
        </w:rPr>
        <w:t>, a w zamian tego umożliwi</w:t>
      </w:r>
      <w:r w:rsidR="00FE36B1">
        <w:rPr>
          <w:rFonts w:ascii="Times New Roman" w:hAnsi="Times New Roman" w:cs="Times New Roman"/>
          <w:sz w:val="24"/>
          <w:szCs w:val="24"/>
        </w:rPr>
        <w:t>enie</w:t>
      </w:r>
      <w:r w:rsidRPr="004F6220">
        <w:rPr>
          <w:rFonts w:ascii="Times New Roman" w:hAnsi="Times New Roman" w:cs="Times New Roman"/>
          <w:sz w:val="24"/>
          <w:szCs w:val="24"/>
        </w:rPr>
        <w:t xml:space="preserve"> spółce prowadzącej rynek regulowany wyodrębniani</w:t>
      </w:r>
      <w:r w:rsidR="00FE36B1">
        <w:rPr>
          <w:rFonts w:ascii="Times New Roman" w:hAnsi="Times New Roman" w:cs="Times New Roman"/>
          <w:sz w:val="24"/>
          <w:szCs w:val="24"/>
        </w:rPr>
        <w:t>a</w:t>
      </w:r>
      <w:r w:rsidRPr="004F6220">
        <w:rPr>
          <w:rFonts w:ascii="Times New Roman" w:hAnsi="Times New Roman" w:cs="Times New Roman"/>
          <w:sz w:val="24"/>
          <w:szCs w:val="24"/>
        </w:rPr>
        <w:t xml:space="preserve"> dowolnych segmentów rynku regulowanego, w szczególności ze względu na rodzaj papierów wartościowych lub innych instrumentów finansowych, jak również rodzaj ich emitentów (zmiana </w:t>
      </w:r>
      <w:r w:rsidRPr="004F6220">
        <w:rPr>
          <w:rFonts w:ascii="Times New Roman" w:hAnsi="Times New Roman" w:cs="Times New Roman"/>
          <w:b/>
          <w:bCs/>
          <w:sz w:val="24"/>
          <w:szCs w:val="24"/>
        </w:rPr>
        <w:t>art. 16 ust. 1</w:t>
      </w:r>
      <w:r w:rsidRPr="004F6220">
        <w:rPr>
          <w:rFonts w:ascii="Times New Roman" w:hAnsi="Times New Roman" w:cs="Times New Roman"/>
          <w:sz w:val="24"/>
          <w:szCs w:val="24"/>
        </w:rPr>
        <w:t xml:space="preserve">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xml:space="preserve">). Ponadto spółka prowadząca rynek regulowany będzie mogła określić dla tego segmentu rynku regulowanego dodatkowe, w stosunku do minimalnych wymogów określonych dla </w:t>
      </w:r>
      <w:r w:rsidR="0093249D" w:rsidRPr="004F6220">
        <w:rPr>
          <w:rFonts w:ascii="Times New Roman" w:hAnsi="Times New Roman" w:cs="Times New Roman"/>
          <w:sz w:val="24"/>
          <w:szCs w:val="24"/>
        </w:rPr>
        <w:t xml:space="preserve">rynku regulowanego w przepisach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0093249D" w:rsidRPr="004F6220">
        <w:rPr>
          <w:rFonts w:ascii="Times New Roman" w:hAnsi="Times New Roman" w:cs="Times New Roman"/>
          <w:sz w:val="24"/>
          <w:szCs w:val="24"/>
        </w:rPr>
        <w:t xml:space="preserve">i aktów wykonawczych, wymogi dotyczące papierów wartościowych oraz emitentów papierów wartościowych będących przedmiotem obrotu w danym segmencie rynku (dodanie w </w:t>
      </w:r>
      <w:r w:rsidR="0093249D" w:rsidRPr="004F6220">
        <w:rPr>
          <w:rFonts w:ascii="Times New Roman" w:hAnsi="Times New Roman" w:cs="Times New Roman"/>
          <w:b/>
          <w:bCs/>
          <w:sz w:val="24"/>
          <w:szCs w:val="24"/>
        </w:rPr>
        <w:t>art. 16 ust. 1a</w:t>
      </w:r>
      <w:r w:rsidR="0093249D" w:rsidRPr="004F6220">
        <w:rPr>
          <w:rFonts w:ascii="Times New Roman" w:hAnsi="Times New Roman" w:cs="Times New Roman"/>
          <w:sz w:val="24"/>
          <w:szCs w:val="24"/>
        </w:rPr>
        <w:t xml:space="preserve">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0093249D" w:rsidRPr="004F6220">
        <w:rPr>
          <w:rFonts w:ascii="Times New Roman" w:hAnsi="Times New Roman" w:cs="Times New Roman"/>
          <w:sz w:val="24"/>
          <w:szCs w:val="24"/>
        </w:rPr>
        <w:t>).</w:t>
      </w:r>
    </w:p>
    <w:p w14:paraId="22360BB3" w14:textId="77291905" w:rsidR="0093249D" w:rsidRPr="004F6220" w:rsidRDefault="0093249D" w:rsidP="005D621C">
      <w:pPr>
        <w:spacing w:before="120" w:after="0" w:line="360" w:lineRule="auto"/>
        <w:jc w:val="both"/>
        <w:rPr>
          <w:rFonts w:ascii="Times New Roman" w:hAnsi="Times New Roman" w:cs="Times New Roman"/>
          <w:sz w:val="24"/>
          <w:szCs w:val="24"/>
        </w:rPr>
      </w:pPr>
      <w:bookmarkStart w:id="2" w:name="_Hlk225181261"/>
      <w:r w:rsidRPr="004F6220">
        <w:rPr>
          <w:rFonts w:ascii="Times New Roman" w:hAnsi="Times New Roman" w:cs="Times New Roman"/>
          <w:sz w:val="24"/>
          <w:szCs w:val="24"/>
        </w:rPr>
        <w:t xml:space="preserve">W związku z uchyleniem dyrektywy 2001/34/WE, a co za tym idzie rezygnacją z możliwości wyodrębniania w ramach rynku regulowanego rynku oficjalnych notowań, w odniesieniu do którego miały zastosowanie przepisy uchylanej dyrektywy dotyczące </w:t>
      </w:r>
      <w:r w:rsidR="004E0EF0" w:rsidRPr="004F6220">
        <w:rPr>
          <w:rFonts w:ascii="Times New Roman" w:hAnsi="Times New Roman" w:cs="Times New Roman"/>
          <w:sz w:val="24"/>
          <w:szCs w:val="24"/>
        </w:rPr>
        <w:t>warunków</w:t>
      </w:r>
      <w:r w:rsidR="00A65589">
        <w:rPr>
          <w:rFonts w:ascii="Times New Roman" w:hAnsi="Times New Roman" w:cs="Times New Roman"/>
          <w:sz w:val="24"/>
          <w:szCs w:val="24"/>
        </w:rPr>
        <w:t>,</w:t>
      </w:r>
      <w:r w:rsidR="004E0EF0" w:rsidRPr="004F6220">
        <w:rPr>
          <w:rFonts w:ascii="Times New Roman" w:hAnsi="Times New Roman" w:cs="Times New Roman"/>
          <w:sz w:val="24"/>
          <w:szCs w:val="24"/>
        </w:rPr>
        <w:t xml:space="preserve"> jakie musz</w:t>
      </w:r>
      <w:r w:rsidR="00A65589">
        <w:rPr>
          <w:rFonts w:ascii="Times New Roman" w:hAnsi="Times New Roman" w:cs="Times New Roman"/>
          <w:sz w:val="24"/>
          <w:szCs w:val="24"/>
        </w:rPr>
        <w:t>ą</w:t>
      </w:r>
      <w:r w:rsidR="004E0EF0" w:rsidRPr="004F6220">
        <w:rPr>
          <w:rFonts w:ascii="Times New Roman" w:hAnsi="Times New Roman" w:cs="Times New Roman"/>
          <w:sz w:val="24"/>
          <w:szCs w:val="24"/>
        </w:rPr>
        <w:t xml:space="preserve"> spełniać papiery wartościowe dopuszczone do obrotu na rynku oficjalnych notowań oraz ich emitenci, w projekcie przewidziano uchylenie w </w:t>
      </w:r>
      <w:r w:rsidR="004E0EF0" w:rsidRPr="004F6220">
        <w:rPr>
          <w:rFonts w:ascii="Times New Roman" w:hAnsi="Times New Roman" w:cs="Times New Roman"/>
          <w:b/>
          <w:bCs/>
          <w:sz w:val="24"/>
          <w:szCs w:val="24"/>
        </w:rPr>
        <w:t xml:space="preserve">art. 17 ust. </w:t>
      </w:r>
      <w:r w:rsidR="005C50DC" w:rsidRPr="004F6220">
        <w:rPr>
          <w:rFonts w:ascii="Times New Roman" w:hAnsi="Times New Roman" w:cs="Times New Roman"/>
          <w:b/>
          <w:bCs/>
          <w:sz w:val="24"/>
          <w:szCs w:val="24"/>
        </w:rPr>
        <w:t xml:space="preserve">1 pkt </w:t>
      </w:r>
      <w:r w:rsidR="004E0EF0" w:rsidRPr="004F6220">
        <w:rPr>
          <w:rFonts w:ascii="Times New Roman" w:hAnsi="Times New Roman" w:cs="Times New Roman"/>
          <w:b/>
          <w:bCs/>
          <w:sz w:val="24"/>
          <w:szCs w:val="24"/>
        </w:rPr>
        <w:t>2</w:t>
      </w:r>
      <w:r w:rsidR="004E0EF0" w:rsidRPr="004F6220">
        <w:rPr>
          <w:rFonts w:ascii="Times New Roman" w:hAnsi="Times New Roman" w:cs="Times New Roman"/>
          <w:sz w:val="24"/>
          <w:szCs w:val="24"/>
        </w:rPr>
        <w:t xml:space="preserve"> ustawy o obrocie</w:t>
      </w:r>
      <w:r w:rsidR="003A3C41" w:rsidRPr="004F6220">
        <w:rPr>
          <w:rFonts w:ascii="Times New Roman" w:eastAsia="Times New Roman" w:hAnsi="Times New Roman" w:cs="Times New Roman"/>
          <w:sz w:val="24"/>
          <w:szCs w:val="24"/>
          <w:lang w:eastAsia="pl-PL"/>
        </w:rPr>
        <w:t xml:space="preserve"> instrumentami finansowymi</w:t>
      </w:r>
      <w:r w:rsidR="004E0EF0" w:rsidRPr="004F6220">
        <w:rPr>
          <w:rFonts w:ascii="Times New Roman" w:hAnsi="Times New Roman" w:cs="Times New Roman"/>
          <w:sz w:val="24"/>
          <w:szCs w:val="24"/>
        </w:rPr>
        <w:t xml:space="preserve">, który stanowi upoważnienie dla ministra właściwego do spraw instytucji finansowych do określenia szczegółowych warunków, jakie musi spełniać rynek oficjalnych notowań oraz emitenci papierów wartościowych dopuszczonych do obrotu na tym rynku. </w:t>
      </w:r>
    </w:p>
    <w:bookmarkEnd w:id="2"/>
    <w:p w14:paraId="0561FA14" w14:textId="340DEAFB" w:rsidR="0014554C" w:rsidRPr="004F6220" w:rsidRDefault="0016550F"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Podobnie</w:t>
      </w:r>
      <w:r w:rsidR="000B0960" w:rsidRPr="004F6220">
        <w:rPr>
          <w:rFonts w:ascii="Times New Roman" w:hAnsi="Times New Roman" w:cs="Times New Roman"/>
          <w:sz w:val="24"/>
          <w:szCs w:val="24"/>
        </w:rPr>
        <w:t>,</w:t>
      </w:r>
      <w:r w:rsidRPr="004F6220">
        <w:rPr>
          <w:rFonts w:ascii="Times New Roman" w:hAnsi="Times New Roman" w:cs="Times New Roman"/>
          <w:sz w:val="24"/>
          <w:szCs w:val="24"/>
        </w:rPr>
        <w:t xml:space="preserve"> jeśli chodzi o </w:t>
      </w:r>
      <w:r w:rsidRPr="004F6220">
        <w:rPr>
          <w:rFonts w:ascii="Times New Roman" w:hAnsi="Times New Roman" w:cs="Times New Roman"/>
          <w:b/>
          <w:bCs/>
          <w:sz w:val="24"/>
          <w:szCs w:val="24"/>
        </w:rPr>
        <w:t xml:space="preserve">uchylenie w art. 32 ustawy o obrocie </w:t>
      </w:r>
      <w:r w:rsidR="003A3C41" w:rsidRPr="004F6220">
        <w:rPr>
          <w:rFonts w:ascii="Times New Roman" w:hAnsi="Times New Roman" w:cs="Times New Roman"/>
          <w:b/>
          <w:bCs/>
          <w:sz w:val="24"/>
          <w:szCs w:val="24"/>
        </w:rPr>
        <w:t xml:space="preserve">instrumentami finansowymi </w:t>
      </w:r>
      <w:r w:rsidRPr="004F6220">
        <w:rPr>
          <w:rFonts w:ascii="Times New Roman" w:hAnsi="Times New Roman" w:cs="Times New Roman"/>
          <w:b/>
          <w:bCs/>
          <w:sz w:val="24"/>
          <w:szCs w:val="24"/>
        </w:rPr>
        <w:t>ust. 5 i 6</w:t>
      </w:r>
      <w:r w:rsidRPr="004F6220">
        <w:rPr>
          <w:rFonts w:ascii="Times New Roman" w:hAnsi="Times New Roman" w:cs="Times New Roman"/>
          <w:sz w:val="24"/>
          <w:szCs w:val="24"/>
        </w:rPr>
        <w:t xml:space="preserve">, które stanowiły </w:t>
      </w:r>
      <w:r w:rsidR="00014C0A" w:rsidRPr="004F6220">
        <w:rPr>
          <w:rFonts w:ascii="Times New Roman" w:hAnsi="Times New Roman" w:cs="Times New Roman"/>
          <w:sz w:val="24"/>
          <w:szCs w:val="24"/>
        </w:rPr>
        <w:t xml:space="preserve">dodatkowe wymagania </w:t>
      </w:r>
      <w:r w:rsidRPr="004F6220">
        <w:rPr>
          <w:rFonts w:ascii="Times New Roman" w:hAnsi="Times New Roman" w:cs="Times New Roman"/>
          <w:sz w:val="24"/>
          <w:szCs w:val="24"/>
        </w:rPr>
        <w:t xml:space="preserve">dla </w:t>
      </w:r>
      <w:r w:rsidR="00014C0A" w:rsidRPr="004F6220">
        <w:rPr>
          <w:rFonts w:ascii="Times New Roman" w:hAnsi="Times New Roman" w:cs="Times New Roman"/>
          <w:sz w:val="24"/>
          <w:szCs w:val="24"/>
        </w:rPr>
        <w:t>dopuszczenia obligacji zamiennych, obligacji z prawem pierwszeństwa lub warrantów subskrypcyjnych do obrotu na rynku oficjalnych notowań oraz spółek</w:t>
      </w:r>
      <w:r w:rsidRPr="004F6220">
        <w:rPr>
          <w:rFonts w:ascii="Times New Roman" w:hAnsi="Times New Roman" w:cs="Times New Roman"/>
          <w:sz w:val="24"/>
          <w:szCs w:val="24"/>
        </w:rPr>
        <w:t>, któr</w:t>
      </w:r>
      <w:r w:rsidR="00014C0A" w:rsidRPr="004F6220">
        <w:rPr>
          <w:rFonts w:ascii="Times New Roman" w:hAnsi="Times New Roman" w:cs="Times New Roman"/>
          <w:sz w:val="24"/>
          <w:szCs w:val="24"/>
        </w:rPr>
        <w:t>ych a</w:t>
      </w:r>
      <w:r w:rsidRPr="004F6220">
        <w:rPr>
          <w:rFonts w:ascii="Times New Roman" w:hAnsi="Times New Roman" w:cs="Times New Roman"/>
          <w:sz w:val="24"/>
          <w:szCs w:val="24"/>
        </w:rPr>
        <w:t xml:space="preserve">kcje są </w:t>
      </w:r>
      <w:r w:rsidR="00014C0A" w:rsidRPr="004F6220">
        <w:rPr>
          <w:rFonts w:ascii="Times New Roman" w:hAnsi="Times New Roman" w:cs="Times New Roman"/>
          <w:sz w:val="24"/>
          <w:szCs w:val="24"/>
        </w:rPr>
        <w:t xml:space="preserve">już </w:t>
      </w:r>
      <w:r w:rsidRPr="004F6220">
        <w:rPr>
          <w:rFonts w:ascii="Times New Roman" w:hAnsi="Times New Roman" w:cs="Times New Roman"/>
          <w:sz w:val="24"/>
          <w:szCs w:val="24"/>
        </w:rPr>
        <w:t xml:space="preserve">dopuszczone do obrotu na danym rynku oficjalnych notowań, </w:t>
      </w:r>
      <w:r w:rsidR="00014C0A" w:rsidRPr="004F6220">
        <w:rPr>
          <w:rFonts w:ascii="Times New Roman" w:hAnsi="Times New Roman" w:cs="Times New Roman"/>
          <w:sz w:val="24"/>
          <w:szCs w:val="24"/>
        </w:rPr>
        <w:t>w</w:t>
      </w:r>
      <w:r w:rsidR="00933F7B" w:rsidRPr="004F6220">
        <w:rPr>
          <w:rFonts w:ascii="Times New Roman" w:hAnsi="Times New Roman" w:cs="Times New Roman"/>
          <w:sz w:val="24"/>
          <w:szCs w:val="24"/>
        </w:rPr>
        <w:t> </w:t>
      </w:r>
      <w:r w:rsidR="00014C0A" w:rsidRPr="004F6220">
        <w:rPr>
          <w:rFonts w:ascii="Times New Roman" w:hAnsi="Times New Roman" w:cs="Times New Roman"/>
          <w:sz w:val="24"/>
          <w:szCs w:val="24"/>
        </w:rPr>
        <w:t>zakresie nowo emitowanych akcji</w:t>
      </w:r>
      <w:r w:rsidRPr="004F6220">
        <w:rPr>
          <w:rFonts w:ascii="Times New Roman" w:hAnsi="Times New Roman" w:cs="Times New Roman"/>
          <w:sz w:val="24"/>
          <w:szCs w:val="24"/>
        </w:rPr>
        <w:t>.</w:t>
      </w:r>
      <w:r w:rsidR="00014C0A" w:rsidRPr="004F6220">
        <w:rPr>
          <w:rFonts w:ascii="Times New Roman" w:hAnsi="Times New Roman" w:cs="Times New Roman"/>
          <w:sz w:val="24"/>
          <w:szCs w:val="24"/>
        </w:rPr>
        <w:t xml:space="preserve"> W związku z odstąpieniem od możliwości wydzielenia w ramach rynku regulowanego rynku oficjalnych notowań przepisy te stają się „martwe”.</w:t>
      </w:r>
    </w:p>
    <w:p w14:paraId="142A05CE" w14:textId="370C1FF3" w:rsidR="008B4F40" w:rsidRPr="004F6220" w:rsidRDefault="008B4F40" w:rsidP="005D621C">
      <w:pPr>
        <w:keepNext/>
        <w:spacing w:before="120" w:after="0" w:line="360" w:lineRule="auto"/>
        <w:jc w:val="both"/>
        <w:rPr>
          <w:rFonts w:ascii="Times New Roman" w:hAnsi="Times New Roman" w:cs="Times New Roman"/>
          <w:b/>
          <w:bCs/>
          <w:sz w:val="24"/>
          <w:szCs w:val="24"/>
        </w:rPr>
      </w:pPr>
      <w:r w:rsidRPr="004F6220">
        <w:rPr>
          <w:rFonts w:ascii="Times New Roman" w:hAnsi="Times New Roman" w:cs="Times New Roman"/>
          <w:b/>
          <w:bCs/>
          <w:sz w:val="24"/>
          <w:szCs w:val="24"/>
        </w:rPr>
        <w:lastRenderedPageBreak/>
        <w:t>Zmiany w art. 3 pkt 4c, 10a</w:t>
      </w:r>
      <w:r w:rsidR="00E67EBD" w:rsidRPr="004F6220">
        <w:rPr>
          <w:rFonts w:ascii="Times New Roman" w:hAnsi="Times New Roman" w:cs="Times New Roman"/>
          <w:b/>
          <w:bCs/>
          <w:sz w:val="24"/>
          <w:szCs w:val="24"/>
        </w:rPr>
        <w:t>, 30a</w:t>
      </w:r>
      <w:r w:rsidRPr="004F6220">
        <w:rPr>
          <w:rFonts w:ascii="Times New Roman" w:hAnsi="Times New Roman" w:cs="Times New Roman"/>
          <w:b/>
          <w:bCs/>
          <w:sz w:val="24"/>
          <w:szCs w:val="24"/>
        </w:rPr>
        <w:t xml:space="preserve"> i 30b, art. 13a, art. 17 ust. 1, art. 20a, art. 29a, art. 29b, art. 30a, art. 48 ust. 2 pkt 4, art. 68a ust. 4a i 4b, art. 82, art. 85, art. 111, art. 149 ust. 1 pkt 11, art. 150 ust. 1 pkt 15 lit. c i pkt 18, art. 165a ust. 1 pkt 1 i 6, art. 167 ust. 1 pkt 1, art. 167aa ust. 1 oraz art. 169a ust. 1aa ustawy o obrocie instrumentami finansowymi – dostosowanie krajowego porządku prawnego do zmian wynikających z zastąpienia rozporządzenia 1031/2010 przez rozporządzenie 2023/2830</w:t>
      </w:r>
    </w:p>
    <w:p w14:paraId="336A7794" w14:textId="77777777" w:rsidR="00F3000C" w:rsidRPr="004F6220" w:rsidRDefault="00F3000C" w:rsidP="005D621C">
      <w:pPr>
        <w:pStyle w:val="NormalnyWeb"/>
        <w:spacing w:before="120" w:beforeAutospacing="0" w:after="0" w:afterAutospacing="0" w:line="360" w:lineRule="auto"/>
        <w:jc w:val="both"/>
      </w:pPr>
      <w:r w:rsidRPr="004F6220">
        <w:t xml:space="preserve">W związku z zastąpieniem rozporządzenia 1031/2010 przez rozporządzenie 2023/2830 w projekcie ustawy przewidziano zmianę </w:t>
      </w:r>
      <w:r w:rsidRPr="004F6220">
        <w:rPr>
          <w:b/>
          <w:bCs/>
        </w:rPr>
        <w:t>art. 3 pkt 4c</w:t>
      </w:r>
      <w:r w:rsidRPr="004F6220">
        <w:t xml:space="preserve"> ustawy o obrocie instrumentami finansowymi polegającą na zastąpieniu definicji pojęcia „rozporządzenie 1031/2010” definicją pojęcia „rozporządzenie 2023/2830”. </w:t>
      </w:r>
    </w:p>
    <w:p w14:paraId="167A35DF" w14:textId="18262216" w:rsidR="00F3000C" w:rsidRPr="004F6220" w:rsidRDefault="00F3000C" w:rsidP="005D621C">
      <w:pPr>
        <w:pStyle w:val="NormalnyWeb"/>
        <w:spacing w:before="120" w:beforeAutospacing="0" w:after="0" w:afterAutospacing="0" w:line="360" w:lineRule="auto"/>
        <w:jc w:val="both"/>
      </w:pPr>
      <w:r w:rsidRPr="004F6220">
        <w:t xml:space="preserve">Zmiana w </w:t>
      </w:r>
      <w:r w:rsidRPr="004F6220">
        <w:rPr>
          <w:b/>
          <w:bCs/>
        </w:rPr>
        <w:t>art. 3 pkt 10a</w:t>
      </w:r>
      <w:r w:rsidRPr="004F6220">
        <w:t xml:space="preserve"> ustawy o obrocie instrumentami finansowymi aktualizuje definicję „platformy aukcyjnej”. Nowe odesłanie uwzględnia art. 30 rozporządzenia 2023/2830, regulujący zadania </w:t>
      </w:r>
      <w:r w:rsidRPr="004F6220">
        <w:rPr>
          <w:i/>
          <w:iCs/>
        </w:rPr>
        <w:t>platform typu opt-out</w:t>
      </w:r>
      <w:r w:rsidRPr="004F6220">
        <w:t xml:space="preserve">, które pod względem funkcjonalnym odpowiadają dotychczasowym zadaniom platformy aukcyjnej. Modyfikacja </w:t>
      </w:r>
      <w:r w:rsidRPr="004F6220">
        <w:rPr>
          <w:b/>
          <w:bCs/>
        </w:rPr>
        <w:t>art. 3 pkt 30a</w:t>
      </w:r>
      <w:r w:rsidRPr="004F6220">
        <w:t xml:space="preserve"> ustawy o obrocie instrumentami finansowymi wynika z konieczności aktualizacji odesłania do przepisów prawa Unii po uchyleniu rozporządzenia 1031/2010. </w:t>
      </w:r>
    </w:p>
    <w:p w14:paraId="69715BF7" w14:textId="77777777" w:rsidR="00F3000C" w:rsidRPr="004F6220" w:rsidRDefault="00F3000C" w:rsidP="005D621C">
      <w:pPr>
        <w:pStyle w:val="NormalnyWeb"/>
        <w:spacing w:before="120" w:beforeAutospacing="0" w:after="0" w:afterAutospacing="0" w:line="360" w:lineRule="auto"/>
        <w:jc w:val="both"/>
      </w:pPr>
      <w:r w:rsidRPr="004F6220">
        <w:t xml:space="preserve">Uchylenie </w:t>
      </w:r>
      <w:r w:rsidRPr="004F6220">
        <w:rPr>
          <w:b/>
          <w:bCs/>
        </w:rPr>
        <w:t>pkt 30b w art. 3</w:t>
      </w:r>
      <w:r w:rsidRPr="004F6220">
        <w:t xml:space="preserve"> ustawy o obrocie instrumentami finansowymi jest konsekwencją odstąpienia w przepisach rozporządzenia 2023/2830 od definiowania pojęcia „pięciodniowych kontraktów terminowych typu future” (</w:t>
      </w:r>
      <w:r w:rsidRPr="004F6220">
        <w:rPr>
          <w:i/>
          <w:iCs/>
        </w:rPr>
        <w:t>five-day futures</w:t>
      </w:r>
      <w:r w:rsidRPr="004F6220">
        <w:t xml:space="preserve">), które było dotychczas uregulowane w rozporządzeniu 1031/2010. W związku z brakiem analogicznej definicji na gruncie nowego rozporządzenia unijnego, utrzymywanie dotychczasowej definicji w ustawie stało się bezprzedmiotowe i mogłoby prowadzić do niezgodności z aktualnymi ramami prawnymi UE. Wskazać przy tym należy, że usunięcie powyższego pojęcia z katalogu definicji ustawowych pociąga za sobą konieczność wprowadzenia odpowiednich zmian dostosowawczych w dalszych przepisach ustawy, w szczególności w odniesieniu do jej art. 29a, co zostało uwzględnione w projekcie. </w:t>
      </w:r>
    </w:p>
    <w:p w14:paraId="3CE1F629" w14:textId="77777777" w:rsidR="00F3000C" w:rsidRPr="004F6220" w:rsidRDefault="00F3000C" w:rsidP="005D621C">
      <w:pPr>
        <w:pStyle w:val="NormalnyWeb"/>
        <w:spacing w:before="120" w:beforeAutospacing="0" w:after="0" w:afterAutospacing="0" w:line="360" w:lineRule="auto"/>
        <w:jc w:val="both"/>
      </w:pPr>
      <w:r w:rsidRPr="004F6220">
        <w:t xml:space="preserve">Zmiana </w:t>
      </w:r>
      <w:r w:rsidRPr="004F6220">
        <w:rPr>
          <w:b/>
          <w:bCs/>
        </w:rPr>
        <w:t>art. 13a</w:t>
      </w:r>
      <w:r w:rsidRPr="004F6220">
        <w:t xml:space="preserve"> ustawy o obrocie instrumentami finansowymi ma charakter dostosowawczy. Jej celem jest zastąpienie dotychczasowego odesłania do art. 59 ust. 2 i 3 rozporządzenia 1031/2010 odwołaniem do odpowiednich przepisów nowego rozporządzenia 2023/2830, tj. do art. 50 ust. 2 i 3 tego rozporządzenia. Modyfikacja ta jest bezpośrednią konsekwencją uchylenia dotychczasowego aktu unijnego oraz zastąpienia go nową regulacją. </w:t>
      </w:r>
    </w:p>
    <w:p w14:paraId="645F17C5" w14:textId="7D29AD40" w:rsidR="005859E4" w:rsidRPr="004F6220" w:rsidRDefault="0078069D" w:rsidP="005D621C">
      <w:pPr>
        <w:pStyle w:val="NormalnyWeb"/>
        <w:spacing w:before="120" w:beforeAutospacing="0" w:after="0" w:afterAutospacing="0" w:line="360" w:lineRule="auto"/>
        <w:jc w:val="both"/>
      </w:pPr>
      <w:r w:rsidRPr="004F6220">
        <w:lastRenderedPageBreak/>
        <w:t xml:space="preserve">Zmiany w </w:t>
      </w:r>
      <w:r w:rsidRPr="004F6220">
        <w:rPr>
          <w:b/>
          <w:bCs/>
        </w:rPr>
        <w:t>art. 17 ust. 1</w:t>
      </w:r>
      <w:r w:rsidRPr="004F6220">
        <w:t xml:space="preserve"> ustawy o obrocie instrumentami finansowymi mają dwojaki charakter. Po pierwsze w pkt 1 </w:t>
      </w:r>
      <w:r w:rsidR="00C235A2" w:rsidRPr="004F6220">
        <w:t>zastąpiono wyraz „oraz” wyrazami „ , w tym”</w:t>
      </w:r>
      <w:r w:rsidRPr="004F6220">
        <w:t xml:space="preserve">. Zmiana ta </w:t>
      </w:r>
      <w:r w:rsidR="009E4723" w:rsidRPr="004F6220">
        <w:t>wynika</w:t>
      </w:r>
      <w:r w:rsidRPr="004F6220">
        <w:t xml:space="preserve"> z </w:t>
      </w:r>
      <w:r w:rsidR="009E4723" w:rsidRPr="004F6220">
        <w:t xml:space="preserve">przyjętego </w:t>
      </w:r>
      <w:r w:rsidRPr="004F6220">
        <w:t xml:space="preserve">w projekcie </w:t>
      </w:r>
      <w:r w:rsidR="009E4723" w:rsidRPr="004F6220">
        <w:t>założenia</w:t>
      </w:r>
      <w:r w:rsidRPr="004F6220">
        <w:t xml:space="preserve">, zgodnie z którym platforma aukcyjna stanowi element rynku regulowanego i funkcjonuje w ramach jego zasad działania. </w:t>
      </w:r>
      <w:r w:rsidR="00863D4B" w:rsidRPr="004F6220">
        <w:t>Niemniej z</w:t>
      </w:r>
      <w:r w:rsidR="00E446CB" w:rsidRPr="004F6220">
        <w:t xml:space="preserve"> uwagi na specyfikę tego elementu rynku regulowanego, poza przepisami ustawy o obrocie instrumentami finansowymi dotyczącymi rynku regulowanego, w dalszym </w:t>
      </w:r>
      <w:r w:rsidR="00863D4B" w:rsidRPr="004F6220">
        <w:t xml:space="preserve">ciągu konieczne jest utrzymanie niektórych przepisów odnoszących się wprost do </w:t>
      </w:r>
      <w:r w:rsidR="00E446CB" w:rsidRPr="004F6220">
        <w:t>platform</w:t>
      </w:r>
      <w:r w:rsidR="00863D4B" w:rsidRPr="004F6220">
        <w:t xml:space="preserve">y </w:t>
      </w:r>
      <w:r w:rsidR="00E446CB" w:rsidRPr="004F6220">
        <w:t>aukcyjnej</w:t>
      </w:r>
      <w:r w:rsidR="00863D4B" w:rsidRPr="004F6220">
        <w:t>.</w:t>
      </w:r>
      <w:r w:rsidR="00E446CB" w:rsidRPr="004F6220">
        <w:t xml:space="preserve"> </w:t>
      </w:r>
      <w:r w:rsidR="00863D4B" w:rsidRPr="004F6220">
        <w:t xml:space="preserve">Zasada ta powinna również znaleźć zastosowanie </w:t>
      </w:r>
      <w:r w:rsidR="00E446CB" w:rsidRPr="004F6220">
        <w:t xml:space="preserve">w wydawanym na podstawie art. 17 ust. 1 pkt 1 ustawy o obrocie instrumentami finansowymi przez ministra właściwego do spraw instytucji finansowych rozporządzeniu. </w:t>
      </w:r>
      <w:r w:rsidRPr="004F6220">
        <w:t xml:space="preserve">Konsekwencją tego jest również zmiana </w:t>
      </w:r>
      <w:r w:rsidRPr="004F6220">
        <w:rPr>
          <w:b/>
          <w:bCs/>
        </w:rPr>
        <w:t>części wspólnej</w:t>
      </w:r>
      <w:r w:rsidRPr="004F6220">
        <w:t xml:space="preserve"> art. 17 ust. 1.</w:t>
      </w:r>
    </w:p>
    <w:p w14:paraId="43AD5E28" w14:textId="2CBAC9F8" w:rsidR="00F3000C" w:rsidRPr="004F6220" w:rsidRDefault="00F3000C" w:rsidP="005D621C">
      <w:pPr>
        <w:pStyle w:val="NormalnyWeb"/>
        <w:spacing w:before="120" w:beforeAutospacing="0" w:after="0" w:afterAutospacing="0" w:line="360" w:lineRule="auto"/>
        <w:jc w:val="both"/>
      </w:pPr>
      <w:r w:rsidRPr="004F6220">
        <w:t xml:space="preserve">Nowelizacja części wspólnej upoważnienia ustawowego zawartego w </w:t>
      </w:r>
      <w:r w:rsidRPr="004F6220">
        <w:rPr>
          <w:b/>
          <w:bCs/>
        </w:rPr>
        <w:t>art. 17 ust. 1</w:t>
      </w:r>
      <w:r w:rsidRPr="004F6220">
        <w:t xml:space="preserve"> ustawy o obrocie instrumentami finansowymi zmierza </w:t>
      </w:r>
      <w:r w:rsidR="00863D4B" w:rsidRPr="004F6220">
        <w:t xml:space="preserve">także </w:t>
      </w:r>
      <w:r w:rsidRPr="004F6220">
        <w:t>do wyeliminowania zbędnych odesłań do przepisów prawa Unii Europejskiej. Rozporządzenie UE wiąże w całości i jest bezpośrednio stosowane we wszystkich państwach członkowskich. Oznacza to brak możliwości powielania, modyfikowania czy odmiennego regulowania w przepisach krajowego aktu wykonawczego kwestii objętych zakresem uregulowania unijnego. W konsekwencji nieprawidłowe jest zastrzeganie w delegacji ustawowej wytycznych określających zakres wykonania upoważnienia „w zakresie nieuregulowanym” rozporządzeniem unijnym. Wykreślenie przedmiotowych zastrzeżeń i odesłań do artykułów rozporządzenia upraszcza wytyczne wykonawcze, nie zmieniając zakresu upoważnienia.</w:t>
      </w:r>
    </w:p>
    <w:p w14:paraId="6B2E4067" w14:textId="6DEE512F" w:rsidR="005620EE" w:rsidRPr="004F6220" w:rsidRDefault="005620EE" w:rsidP="005D621C">
      <w:pPr>
        <w:pStyle w:val="NormalnyWeb"/>
        <w:spacing w:before="120" w:beforeAutospacing="0" w:after="0" w:afterAutospacing="0" w:line="360" w:lineRule="auto"/>
        <w:jc w:val="both"/>
      </w:pPr>
      <w:r w:rsidRPr="004F6220">
        <w:t xml:space="preserve">W </w:t>
      </w:r>
      <w:r w:rsidRPr="004F6220">
        <w:rPr>
          <w:b/>
          <w:bCs/>
        </w:rPr>
        <w:t>art. 20a</w:t>
      </w:r>
      <w:r w:rsidRPr="004F6220">
        <w:t xml:space="preserve"> ustawy o obrocie instrumentami finansowymi wprowadza się zmiany dostosowujące zasady unieważniania aukcji do regulacji rozporządzenia 2023/2830. W </w:t>
      </w:r>
      <w:r w:rsidRPr="004F6220">
        <w:rPr>
          <w:b/>
          <w:bCs/>
        </w:rPr>
        <w:t>ust. 1</w:t>
      </w:r>
      <w:r w:rsidRPr="004F6220">
        <w:t xml:space="preserve"> zastąpienie wyrazów „pięciodniowymi kontraktami terminowymi typu future” wyrazami „na platformie aukcyjnej” wynika z faktu, że rozporządzenie 2023/2830 nie przewiduje już sprzedaży na aukcji uprawnień w formie pięciodniowych kontraktów terminowych typu future. W efekcie przesłanka odnosząca się dotychczas do przebiegu aukcji pięciodniowymi kontraktami terminowymi typu future będzie odnosić się do bezpieczeństwa przebiegu aukcji na platformie aukcyjnej</w:t>
      </w:r>
      <w:r w:rsidR="00B02F55" w:rsidRPr="004F6220">
        <w:t>, na które mogą być oferowane wyłącznie takie instrumenty finansowe</w:t>
      </w:r>
      <w:r w:rsidRPr="004F6220">
        <w:t xml:space="preserve">. W </w:t>
      </w:r>
      <w:r w:rsidRPr="004F6220">
        <w:rPr>
          <w:b/>
          <w:bCs/>
        </w:rPr>
        <w:t>ust. 2</w:t>
      </w:r>
      <w:r w:rsidRPr="004F6220">
        <w:t xml:space="preserve"> aktualizuje się natomiast odesłanie dotyczące sposobu rozdysponowania wolumenu uprawnień w przypadku unieważnienia aukcji. Zagadnienia regulowane dotychczas w art. 32 ust. 5 rozporządzenia 1031/2010 zostały uregulowane w art. 31 ust. 4 rozporządzenia 2023/2830. W związku z tym dotychczasowe odesłanie zastępuje się odesłaniem do art. 31 ust. 4 rozporządzenia 2023/2830.</w:t>
      </w:r>
    </w:p>
    <w:p w14:paraId="01E70469" w14:textId="77777777" w:rsidR="00F3000C" w:rsidRPr="004F6220" w:rsidRDefault="00F3000C" w:rsidP="005D621C">
      <w:pPr>
        <w:pStyle w:val="NormalnyWeb"/>
        <w:spacing w:before="120" w:beforeAutospacing="0" w:after="0" w:afterAutospacing="0" w:line="360" w:lineRule="auto"/>
        <w:jc w:val="both"/>
      </w:pPr>
      <w:r w:rsidRPr="004F6220">
        <w:lastRenderedPageBreak/>
        <w:t xml:space="preserve">Przewidywane projektem zmiany w art. 29a ustawy o obrocie instrumentami finansowymi mają na celu dostosowanie zawartych w nim regulacji do regulacji z rozporządzenia 2023/2830 oraz uwzględnienie kwalifikacji prawnej uprawnień do emisji. Uchylenie </w:t>
      </w:r>
      <w:r w:rsidRPr="004F6220">
        <w:rPr>
          <w:b/>
          <w:bCs/>
        </w:rPr>
        <w:t>art. 29a ust. 1</w:t>
      </w:r>
      <w:r w:rsidRPr="004F6220">
        <w:t xml:space="preserve"> jest związane z tym, że rozporządzenie 2023/2830 nie przewiduje już sprzedaży na aukcji pięciodniowych kontraktów terminowych typu future. W związku z tym utrzymywanie w ustawie o obrocie instrumentami finansowymi regulacji dotyczących prowadzenia platformy aukcyjnej służącej sprzedaży pięciodniowych kontraktów terminowych typu future stało się bezprzedmiotowe. </w:t>
      </w:r>
    </w:p>
    <w:p w14:paraId="16A0DF21" w14:textId="77777777" w:rsidR="00F3000C" w:rsidRPr="004F6220" w:rsidRDefault="00F3000C" w:rsidP="005D621C">
      <w:pPr>
        <w:pStyle w:val="NormalnyWeb"/>
        <w:spacing w:before="120" w:beforeAutospacing="0" w:after="0" w:afterAutospacing="0" w:line="360" w:lineRule="auto"/>
        <w:jc w:val="both"/>
      </w:pPr>
      <w:r w:rsidRPr="004F6220">
        <w:t xml:space="preserve">Jednocześnie zmianie ulega </w:t>
      </w:r>
      <w:r w:rsidRPr="004F6220">
        <w:rPr>
          <w:b/>
          <w:bCs/>
        </w:rPr>
        <w:t>art. 29a ust. 2</w:t>
      </w:r>
      <w:r w:rsidRPr="004F6220">
        <w:t xml:space="preserve">. W poprzednim stanie prawnym dwudniowe kontrakty na rynku kasowym były traktowane jak prawa majątkowe, natomiast pięciodniowe kontrakty terminowe typu future – jak instrumenty pochodne. Odmienne ujęcie obu rodzajów kontraktów znalazło odzwierciedlenie w konstrukcji art. 29a – w ust. 1 możliwość prowadzenia platformy aukcyjnej służącej sprzedaży pięciodniowych kontraktów terminowych typu future uzależniono od prowadzenia przez spółkę prowadzącą rynek regulowany obrotu w zakresie instrumentów pochodnych, których cena zależała bezpośrednio lub pośrednio od ceny lub wartości uprawnień do emisji, natomiast w ust. 2 możliwość prowadzenia platformy aukcyjnej służącej sprzedaży dwudniowych kontraktów na rynku kasowym powiązano z organizowaniem obrotu towarami giełdowymi. Podział ten nie znajduje jednak uzasadnienia w obecnym stanie prawnym. Zgodnie z dyrektywą 2014/65, uprawnienia do emisji są uznawane za instrumenty finansowe. W konsekwencji brak jest uzasadnienia dla dalszego utrzymywania w art. 29a ustawy o obrocie instrumentami finansowymi odrębnych warunków dotyczących rodzaju działalności prowadzonej przez spółkę prowadzącą rynek regulowany w zależności od formy sprzedaży uprawnień na aukcji. </w:t>
      </w:r>
    </w:p>
    <w:p w14:paraId="349CA432" w14:textId="77777777" w:rsidR="00F3000C" w:rsidRPr="004F6220" w:rsidRDefault="00F3000C" w:rsidP="005D621C">
      <w:pPr>
        <w:pStyle w:val="NormalnyWeb"/>
        <w:spacing w:before="120" w:beforeAutospacing="0" w:after="0" w:afterAutospacing="0" w:line="360" w:lineRule="auto"/>
        <w:jc w:val="both"/>
      </w:pPr>
      <w:r w:rsidRPr="004F6220">
        <w:t xml:space="preserve">Zmiany w </w:t>
      </w:r>
      <w:r w:rsidRPr="004F6220">
        <w:rPr>
          <w:b/>
          <w:bCs/>
        </w:rPr>
        <w:t>art. 29a ust. 3</w:t>
      </w:r>
      <w:r w:rsidRPr="004F6220">
        <w:t xml:space="preserve"> ustawy o obrocie instrumentami finansowymi stanowią konsekwencję zarówno uchylenia ust. 1, jak i zastąpienia rozporządzenia 1031/2010 przez rozporządzenie 2023/2830. W związku z uchyleniem art. 29a ust. 1 konieczne jest odpowiednie dostosowanie wprowadzenia do wyliczenia w art. 29a ust. 3 poprzez skreślenie wyrazów „1 lub”. W konsekwencji ust. 3 będzie odnosił się wyłącznie do wniosku o udzielenie zezwolenia na prowadzenie platformy aukcyjnej, o której mowa w art. 29a ust. 2. Zmiana w pkt 5 ma na celu dostosowanie odesłania do przepisów określających zasady ustalania kolejności ofert oraz określania ceny rozliczenia aukcji w rozporządzeniu 2023/2830. Zagadnienia objęte odesłaniem do art. 7 ust. 2 rozporządzenia 1031/2010 zostały w rozporządzeniu 2023/2830 uregulowane w art. 7 ust. 1 akapit drugi oraz ust. 2. Z kolei zmiana w pkt 6 ma charakter </w:t>
      </w:r>
      <w:r w:rsidRPr="004F6220">
        <w:lastRenderedPageBreak/>
        <w:t xml:space="preserve">dostosowawczy i polega na zastąpieniu sformułowania „rozporządzenie 1031/2010” sformułowaniem „rozporządzenie 2023/2830”. </w:t>
      </w:r>
    </w:p>
    <w:p w14:paraId="7853ED46" w14:textId="77777777" w:rsidR="00F3000C" w:rsidRPr="004F6220" w:rsidRDefault="00F3000C" w:rsidP="005D621C">
      <w:pPr>
        <w:pStyle w:val="NormalnyWeb"/>
        <w:spacing w:before="120" w:beforeAutospacing="0" w:after="0" w:afterAutospacing="0" w:line="360" w:lineRule="auto"/>
        <w:jc w:val="both"/>
      </w:pPr>
      <w:r w:rsidRPr="004F6220">
        <w:t xml:space="preserve">W </w:t>
      </w:r>
      <w:r w:rsidRPr="004F6220">
        <w:rPr>
          <w:b/>
          <w:bCs/>
        </w:rPr>
        <w:t>art. 29a w ust. 4 w pkt 3</w:t>
      </w:r>
      <w:r w:rsidRPr="004F6220">
        <w:t xml:space="preserve"> ustawy o obrocie instrumentami finansowymi zastępuje się odesłanie do art. 62 ust. 1 rozporządzenia 1031/2010 odesłaniem do art. 53 ust. 1 rozporządzenia 2023/2830. Zmiana ta zapewnia aktualność odesłania do przepisu określającego zakres informacji podlegających ochronie w związku z prowadzeniem aukcji. Art. 53 ust. 1 rozporządzenia 2023/2830 określa katalog informacji poufnych dotyczących w szczególności ofert składanych na aukcjach oraz informacji związanych z oferentami. Uchylenie </w:t>
      </w:r>
      <w:r w:rsidRPr="004F6220">
        <w:rPr>
          <w:b/>
          <w:bCs/>
        </w:rPr>
        <w:t>pkt 5</w:t>
      </w:r>
      <w:r w:rsidRPr="004F6220">
        <w:t xml:space="preserve"> wynika z odejścia w rozporządzeniu 2023/2830 od odrębnego uregulowania zasad dotyczących wykorzystywania informacji wewnętrznych przy sprzedaży uprawnień do emisji na aukcji. W poprzednim stanie prawnym kwestie te były uregulowane w art. 37 lit. a oraz art. 38 i nast. rozporządzenia 1031/2010, podczas gdy obecnie uprawnienia do emisji są uznawane za instrumenty finansowe, a dotyczące ich informacje poufne oraz zasady zapobiegania wykorzystywaniu takich informacji regulowane są bezpośrednio w rozporządzeniu 596/2014. W </w:t>
      </w:r>
      <w:r w:rsidRPr="004F6220">
        <w:rPr>
          <w:b/>
          <w:bCs/>
        </w:rPr>
        <w:t>pkt 6</w:t>
      </w:r>
      <w:r w:rsidRPr="004F6220">
        <w:t xml:space="preserve"> projekt zakłada usunięcie odesłania do procedury przeciwdziałania manipulacjom na rynku, o której mowa w art. 37 lit. b rozporządzenia 1031/2010. Podobnie jak w przypadku informacji wewnętrznych, rozporządzenie 2023/2830 nie ustanawia odrębnego reżimu w zakresie przeciwdziałania manipulacji na rynku, właściwego dla sprzedaży aukcyjnej uprawnień do emisji, a w odniesieniu do tych produktów zastosowanie znajdują przepisy rozporządzenia 596/2014. W konsekwencji utrzymywanie w art. 29a ust. 4 ustawy o obrocie instrumentami finansowymi odrębnego wymagania dotyczącego procedury przeciwdziałania manipulacji na rynku, wynikającego z uchylonego rozporządzenia 1031/2010, stało się bezprzedmiotowe. </w:t>
      </w:r>
    </w:p>
    <w:p w14:paraId="46C291D6" w14:textId="2FFBA166" w:rsidR="00F3000C" w:rsidRPr="004F6220" w:rsidRDefault="00F3000C" w:rsidP="005D621C">
      <w:pPr>
        <w:pStyle w:val="NormalnyWeb"/>
        <w:spacing w:before="120" w:beforeAutospacing="0" w:after="0" w:afterAutospacing="0" w:line="360" w:lineRule="auto"/>
        <w:jc w:val="both"/>
      </w:pPr>
      <w:r w:rsidRPr="004F6220">
        <w:t xml:space="preserve">Projektowana zmiana </w:t>
      </w:r>
      <w:r w:rsidRPr="004F6220">
        <w:rPr>
          <w:b/>
          <w:bCs/>
        </w:rPr>
        <w:t>art. 29a ust. 7</w:t>
      </w:r>
      <w:r w:rsidRPr="004F6220">
        <w:t xml:space="preserve"> ustawy o obrocie instrumentami finansowymi ma na celu dostosowanie odesłania zawartego w tym przepisie do aktualnego stanu prawnego. W związku z zastąpieniem rozporządzenia 1031/2010 przez rozporządzenie 2023/2830 </w:t>
      </w:r>
      <w:r w:rsidR="00B02F55" w:rsidRPr="004F6220">
        <w:t xml:space="preserve">zmiana przewiduje </w:t>
      </w:r>
      <w:r w:rsidRPr="004F6220">
        <w:t xml:space="preserve">zastąpienie odesłania do dotychczasowego rozporządzenia odesłaniem do rozporządzenia 2023/2830. </w:t>
      </w:r>
    </w:p>
    <w:p w14:paraId="31619EE0" w14:textId="77777777" w:rsidR="00F3000C" w:rsidRPr="004F6220" w:rsidRDefault="00F3000C" w:rsidP="005D621C">
      <w:pPr>
        <w:pStyle w:val="NormalnyWeb"/>
        <w:spacing w:before="120" w:beforeAutospacing="0" w:after="0" w:afterAutospacing="0" w:line="360" w:lineRule="auto"/>
        <w:jc w:val="both"/>
      </w:pPr>
      <w:r w:rsidRPr="004F6220">
        <w:t xml:space="preserve">Zmiany </w:t>
      </w:r>
      <w:r w:rsidRPr="004F6220">
        <w:rPr>
          <w:b/>
          <w:bCs/>
        </w:rPr>
        <w:t>art. 29b</w:t>
      </w:r>
      <w:r w:rsidRPr="004F6220">
        <w:t xml:space="preserve"> ustawy o obrocie instrumentami finansowymi mają na celu dostosowanie przepisów dotyczących szczegółowych zasad organizowania aukcji do regulacji rozporządzenia 2023/2830 oraz uaktualnienie zawartych w tym przepisie odesłań do przepisów tego rozporządzenia. Zmiana </w:t>
      </w:r>
      <w:r w:rsidRPr="004F6220">
        <w:rPr>
          <w:b/>
          <w:bCs/>
        </w:rPr>
        <w:t>ust. 1</w:t>
      </w:r>
      <w:r w:rsidRPr="004F6220">
        <w:t xml:space="preserve"> oraz zmiany </w:t>
      </w:r>
      <w:r w:rsidRPr="004F6220">
        <w:rPr>
          <w:b/>
          <w:bCs/>
        </w:rPr>
        <w:t>ust. 2 pkt 6 i 12</w:t>
      </w:r>
      <w:r w:rsidRPr="004F6220">
        <w:t xml:space="preserve"> mają charakter wyłącznie dostosowawczy i polegają na zastąpieniu odesłania do rozporządzenia 1031/2010 odesłaniem </w:t>
      </w:r>
      <w:r w:rsidRPr="004F6220">
        <w:lastRenderedPageBreak/>
        <w:t xml:space="preserve">do rozporządzenia 2023/2830. Zmiana </w:t>
      </w:r>
      <w:r w:rsidRPr="004F6220">
        <w:rPr>
          <w:b/>
          <w:bCs/>
        </w:rPr>
        <w:t>pkt 7 w ust. 2</w:t>
      </w:r>
      <w:r w:rsidRPr="004F6220">
        <w:t xml:space="preserve"> wynika ze zmiany systematyki przepisów dotyczących środków zaradczych. Zagadnienia regulowane dotychczas w art. 57 rozporządzenia 1031/2010 zostały uregulowane w art. 48 rozporządzenia 2023/2830, wobec czego konieczne jest odpowiednie dostosowanie odesłania. Zmiana </w:t>
      </w:r>
      <w:r w:rsidRPr="004F6220">
        <w:rPr>
          <w:b/>
          <w:bCs/>
        </w:rPr>
        <w:t>ust. 2 w pkt 8</w:t>
      </w:r>
      <w:r w:rsidRPr="004F6220">
        <w:t xml:space="preserve"> wynika z przeniesienia regulacji dotyczącej warunków, których spełnienie podlega ocenie w związku z dopuszczeniem do składania ofert na aukcji. W rozporządzeniu 2023/2830 problematyka objęta dotychczasowym odesłaniem do art. 19 ust. 3 rozporządzenia 1031/2010 została uregulowana w art. 18 ust. 3. Zmiana w </w:t>
      </w:r>
      <w:r w:rsidRPr="004F6220">
        <w:rPr>
          <w:b/>
          <w:bCs/>
        </w:rPr>
        <w:t>ust. 2 pkt 14</w:t>
      </w:r>
      <w:r w:rsidRPr="004F6220">
        <w:t xml:space="preserve"> ma na celu usunięcie odniesienia do procedury przeciwdziałania manipulacji na rynku, o której mowa w art. 37 lit. b rozporządzenia 1031/2010. W tym zakresie aktualność zachowuje argumentacja przedstawiona w odniesieniu do zmiany art. 29a ust. 4 pkt 6 ustawy o obrocie instrumentami finansowymi. W związku z objęciem uprawnień do emisji regulacjami rozporządzenia 596/2014 brak jest potrzeby utrzymywania w ustawie o obrocie instrumentami finansowymi odrębnego odesłania do procedury przewidzianej w uchylonym rozporządzeniu 1031/2010. </w:t>
      </w:r>
    </w:p>
    <w:p w14:paraId="0918D2F1" w14:textId="77777777" w:rsidR="00F3000C" w:rsidRPr="004F6220" w:rsidRDefault="00F3000C" w:rsidP="005D621C">
      <w:pPr>
        <w:pStyle w:val="NormalnyWeb"/>
        <w:spacing w:before="120" w:beforeAutospacing="0" w:after="0" w:afterAutospacing="0" w:line="360" w:lineRule="auto"/>
        <w:jc w:val="both"/>
      </w:pPr>
      <w:r w:rsidRPr="004F6220">
        <w:t xml:space="preserve">Zmiana </w:t>
      </w:r>
      <w:r w:rsidRPr="004F6220">
        <w:rPr>
          <w:b/>
          <w:bCs/>
        </w:rPr>
        <w:t>art. 30a</w:t>
      </w:r>
      <w:r w:rsidRPr="004F6220">
        <w:t xml:space="preserve"> ustawy o obrocie instrumentami finansowymi ma na celu dostosowanie odesłania zawartego w tym przepisie do aktualnego stanu prawnego. W związku z zastąpieniem rozporządzenia 1031/2010 przez rozporządzenie 2023/2830 odesłanie do dotychczasowego rozporządzenia zastępuje się odesłaniem do rozporządzenia 2023/2830. </w:t>
      </w:r>
    </w:p>
    <w:p w14:paraId="186119AE" w14:textId="6B7FEC62" w:rsidR="00F3000C" w:rsidRPr="004F6220" w:rsidRDefault="00F3000C" w:rsidP="005D621C">
      <w:pPr>
        <w:pStyle w:val="NormalnyWeb"/>
        <w:spacing w:before="120" w:beforeAutospacing="0" w:after="0" w:afterAutospacing="0" w:line="360" w:lineRule="auto"/>
        <w:jc w:val="both"/>
      </w:pPr>
      <w:r w:rsidRPr="004F6220">
        <w:t xml:space="preserve">Analogicznie, w związku z zastąpieniem rozporządzenia 1031/2010 przez rozporządzenie 2023/2830 dotychczasowe – zawarte w </w:t>
      </w:r>
      <w:r w:rsidRPr="004F6220">
        <w:rPr>
          <w:b/>
          <w:bCs/>
        </w:rPr>
        <w:t>art. 48 ust. 2 pkt 4</w:t>
      </w:r>
      <w:r w:rsidRPr="004F6220">
        <w:t xml:space="preserve"> ustawy o </w:t>
      </w:r>
      <w:r w:rsidR="00B02F55" w:rsidRPr="004F6220">
        <w:t>obrocie instrumentami finansowymi</w:t>
      </w:r>
      <w:r w:rsidRPr="004F6220">
        <w:t xml:space="preserve"> – odesłania do art. 3 pkt 31 oraz art. 3 pkt 36 rozporządzenia 1031/2010 zastępuje się odpowiednio odesłaniami do art. 3 pkt 32 oraz art. 3 pkt 37 rozporządzenia 2023/2830. Zmiana zapewnia aktualność podstawy prawnej wykonywania przez Krajowy Depozyt czynności przewidzianych dla systemu rozliczeniowego i systemu rozrachunkowego, na podstawie umowy z podmiotem prowadzącym platformę aukcyjną. </w:t>
      </w:r>
    </w:p>
    <w:p w14:paraId="6022EF8B" w14:textId="77777777" w:rsidR="00F3000C" w:rsidRPr="004F6220" w:rsidRDefault="00F3000C" w:rsidP="005D621C">
      <w:pPr>
        <w:pStyle w:val="NormalnyWeb"/>
        <w:spacing w:before="120" w:beforeAutospacing="0" w:after="0" w:afterAutospacing="0" w:line="360" w:lineRule="auto"/>
        <w:jc w:val="both"/>
      </w:pPr>
      <w:r w:rsidRPr="004F6220">
        <w:t xml:space="preserve">W projekcie ustawy przewidziano również zmianę w </w:t>
      </w:r>
      <w:r w:rsidRPr="004F6220">
        <w:rPr>
          <w:b/>
          <w:bCs/>
        </w:rPr>
        <w:t>art. 68a ust. 4a i 4b</w:t>
      </w:r>
      <w:r w:rsidRPr="004F6220">
        <w:t xml:space="preserve"> ustawy o obrocie instrumentami finansowymi, polegającą na aktualizacji odesłań do odpowiednich przepisów rozporządzenia 2023/2830. Modyfikacja ta ma charakter wyłącznie dostosowawczy i wynika z uchylenia rozporządzenia 1031/2010 oraz zastąpienia go nowym aktem unijnym, w którym przedmiotowe pojęcia zostały uregulowane odpowiednio w art. 3 pkt 32 oraz art. 3 pkt 37. </w:t>
      </w:r>
    </w:p>
    <w:p w14:paraId="374C7E57" w14:textId="77777777" w:rsidR="00F3000C" w:rsidRPr="004F6220" w:rsidRDefault="00F3000C" w:rsidP="005D621C">
      <w:pPr>
        <w:pStyle w:val="NormalnyWeb"/>
        <w:spacing w:before="120" w:beforeAutospacing="0" w:after="0" w:afterAutospacing="0" w:line="360" w:lineRule="auto"/>
        <w:jc w:val="both"/>
      </w:pPr>
      <w:r w:rsidRPr="004F6220">
        <w:t xml:space="preserve">Zmiany w </w:t>
      </w:r>
      <w:r w:rsidRPr="004F6220">
        <w:rPr>
          <w:b/>
          <w:bCs/>
        </w:rPr>
        <w:t>art. 82, art. 85 i art. 111</w:t>
      </w:r>
      <w:r w:rsidRPr="004F6220">
        <w:t xml:space="preserve"> ustawy o obrocie instrumentami finansowymi mają na celu dostosowanie przepisów regulujących warunki prowadzenia działalności maklerskiej </w:t>
      </w:r>
      <w:r w:rsidRPr="004F6220">
        <w:lastRenderedPageBreak/>
        <w:t xml:space="preserve">polegającej na nabywaniu lub zbywaniu na rachunek dającego zlecenie instrumentów finansowych na aukcjach organizowanych przez platformę aukcyjną do regulacji rozporządzenia 2023/2830. Zmiany w art. 82 ust. 1 pkt 5, ust. 1a pkt 4, art. 85 ust. 1 pkt 12 oraz art. 111 ust. 2 pkt 6 i ust. 2b pkt 4 polegają na zastąpieniu odesłań do art. 19 ust. 3 oraz art. 59 ust. 2 i 3 rozporządzenia 1031/2010 odesłaniami odpowiednio do art. 18 ust. 3 oraz art. 50 ust. 2 i 3 rozporządzenia 2023/2830. Zmiana odzwierciedla przeniesienie i uporządkowanie w nowym rozporządzeniu regulacji dotyczących warunków, jakie powinny zapewnić podmioty składające oferty w imieniu swoich klientów, oraz zasad postępowania tych podmiotów wobec klientów. Zmiana w </w:t>
      </w:r>
      <w:r w:rsidRPr="004F6220">
        <w:rPr>
          <w:b/>
          <w:bCs/>
        </w:rPr>
        <w:t>art. 82 ust. 6</w:t>
      </w:r>
      <w:r w:rsidRPr="004F6220">
        <w:t xml:space="preserve"> ma charakter dostosowawczy i polega na zastąpieniu odesłania do rozporządzenia 1031/2010 odesłaniem do rozporządzenia 2023/2830. </w:t>
      </w:r>
    </w:p>
    <w:p w14:paraId="0C979717" w14:textId="69734D33" w:rsidR="00F3000C" w:rsidRPr="004F6220" w:rsidRDefault="00F3000C" w:rsidP="005D621C">
      <w:pPr>
        <w:pStyle w:val="NormalnyWeb"/>
        <w:spacing w:before="120" w:beforeAutospacing="0" w:after="0" w:afterAutospacing="0" w:line="360" w:lineRule="auto"/>
        <w:jc w:val="both"/>
      </w:pPr>
      <w:r w:rsidRPr="004F6220">
        <w:t xml:space="preserve">W związku z zastąpieniem rozporządzenia 1031/2010 przez rozporządzenie 2023/2830 konieczne </w:t>
      </w:r>
      <w:r w:rsidR="00B02F55" w:rsidRPr="004F6220">
        <w:t xml:space="preserve">jest </w:t>
      </w:r>
      <w:r w:rsidRPr="004F6220">
        <w:t xml:space="preserve">również dostosowanie odesłania zawartego w </w:t>
      </w:r>
      <w:r w:rsidRPr="004F6220">
        <w:rPr>
          <w:b/>
          <w:bCs/>
        </w:rPr>
        <w:t>art. 149 ust. 1 pkt 11</w:t>
      </w:r>
      <w:r w:rsidRPr="004F6220">
        <w:t xml:space="preserve"> ustawy o obrocie instrumentami finansowymi. Dotychczasowe odesłanie do art. 53 ust. 1 rozporządzenia 1031/2010, dotyczącego monitorowania aukcji, zastępuje się odesłaniem do art. 44 ust. 1 rozporządzenia 2023/2830, regulującego te same zagadnienia w nowym rozporządzeniu. </w:t>
      </w:r>
    </w:p>
    <w:p w14:paraId="2E8C0BC6" w14:textId="77777777" w:rsidR="00F3000C" w:rsidRPr="004F6220" w:rsidRDefault="00F3000C" w:rsidP="005D621C">
      <w:pPr>
        <w:pStyle w:val="NormalnyWeb"/>
        <w:spacing w:before="120" w:beforeAutospacing="0" w:after="0" w:afterAutospacing="0" w:line="360" w:lineRule="auto"/>
        <w:jc w:val="both"/>
      </w:pPr>
      <w:r w:rsidRPr="004F6220">
        <w:t xml:space="preserve">Analogiczne dostosowanie jest konieczne w </w:t>
      </w:r>
      <w:r w:rsidRPr="004F6220">
        <w:rPr>
          <w:b/>
          <w:bCs/>
        </w:rPr>
        <w:t>art. 150 ust. 1 pkt 15 lit. c oraz pkt 18</w:t>
      </w:r>
      <w:r w:rsidRPr="004F6220">
        <w:t xml:space="preserve"> ustawy o obrocie instrumentami finansowymi. Projekt zakłada zastąpienie zawartych w tych przepisach odesłań do art. 53 ust. 3 i 4 rozporządzenia 1031/2010, dotyczących monitorowania wykonywania umów, odesłaniami do art. 44 ust. 3 i 4 rozporządzenia 2023/2830, w których uregulowano tę samą problematykę. </w:t>
      </w:r>
    </w:p>
    <w:p w14:paraId="4DAC6A2B" w14:textId="77777777" w:rsidR="00F3000C" w:rsidRPr="004F6220" w:rsidRDefault="00F3000C" w:rsidP="005D621C">
      <w:pPr>
        <w:pStyle w:val="NormalnyWeb"/>
        <w:spacing w:before="120" w:beforeAutospacing="0" w:after="0" w:afterAutospacing="0" w:line="360" w:lineRule="auto"/>
        <w:jc w:val="both"/>
      </w:pPr>
      <w:r w:rsidRPr="004F6220">
        <w:t xml:space="preserve">W </w:t>
      </w:r>
      <w:r w:rsidRPr="004F6220">
        <w:rPr>
          <w:b/>
          <w:bCs/>
        </w:rPr>
        <w:t>art. 165a ust. 1 pkt 1 i 6, art. 167 ust. 1 pkt 1, art. 167aa ust. 1</w:t>
      </w:r>
      <w:r w:rsidRPr="004F6220">
        <w:t xml:space="preserve"> oraz </w:t>
      </w:r>
      <w:r w:rsidRPr="004F6220">
        <w:rPr>
          <w:b/>
          <w:bCs/>
        </w:rPr>
        <w:t>art. 169a ust. 1aa</w:t>
      </w:r>
      <w:r w:rsidRPr="004F6220">
        <w:t xml:space="preserve"> ustawy o obrocie instrumentami finansowymi projekt dokonuje odpowiedniego dostosowania odesłań do regulacji dotyczących sprzedaży na aukcji uprawnień do emisji. W przepisach tych dotychczasowe odesłania do rozporządzenia 1031/2010 zastępuje się odesłaniami do rozporządzenia 2023/2830, zapewniając w ten sposób spójność przepisów ustawy o obrocie instrumentami finansowymi z aktualnym stanem prawnym Unii Europejskiej. Odmienny charakter ma zmiana </w:t>
      </w:r>
      <w:r w:rsidRPr="004F6220">
        <w:rPr>
          <w:b/>
          <w:bCs/>
        </w:rPr>
        <w:t>art. 165a ust. 1 pkt 4</w:t>
      </w:r>
      <w:r w:rsidRPr="004F6220">
        <w:t>, w którym skreśla się wyrazy „prowadzenia obrotu, o którym mowa w art. 29a ust. 1,”. Jest ona konsekwencją uchylenia art. 29a ust. 1, a tym samym rezygnacji z regulacji dotyczącej prowadzenia platformy aukcyjnej służącej sprzedaży pięciodniowych kontraktów terminowych typu future, co zostało szerzej przedstawione przy zmianach art. 29a ustawy o obrocie instrumentami finansowymi.</w:t>
      </w:r>
    </w:p>
    <w:p w14:paraId="112E438C" w14:textId="7914F528" w:rsidR="00A2387F" w:rsidRPr="004F6220" w:rsidRDefault="00A2387F" w:rsidP="005D621C">
      <w:pPr>
        <w:keepNext/>
        <w:spacing w:before="120" w:after="0" w:line="360" w:lineRule="auto"/>
        <w:jc w:val="both"/>
        <w:rPr>
          <w:rFonts w:ascii="Times New Roman" w:hAnsi="Times New Roman" w:cs="Times New Roman"/>
          <w:b/>
          <w:bCs/>
          <w:sz w:val="24"/>
          <w:szCs w:val="24"/>
        </w:rPr>
      </w:pPr>
      <w:r w:rsidRPr="004F6220">
        <w:rPr>
          <w:rFonts w:ascii="Times New Roman" w:hAnsi="Times New Roman" w:cs="Times New Roman"/>
          <w:b/>
          <w:bCs/>
          <w:sz w:val="24"/>
          <w:szCs w:val="24"/>
        </w:rPr>
        <w:lastRenderedPageBreak/>
        <w:t>Pozostałe zmiany</w:t>
      </w:r>
    </w:p>
    <w:p w14:paraId="2604AE56" w14:textId="2AC5560A" w:rsidR="00EC288A" w:rsidRPr="004F6220" w:rsidRDefault="00EC288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Zmiana proponowana w </w:t>
      </w:r>
      <w:r w:rsidRPr="004F6220">
        <w:rPr>
          <w:rFonts w:ascii="Times New Roman" w:hAnsi="Times New Roman" w:cs="Times New Roman"/>
          <w:b/>
          <w:bCs/>
          <w:sz w:val="24"/>
          <w:szCs w:val="24"/>
        </w:rPr>
        <w:t>art. 3 pkt 29</w:t>
      </w:r>
      <w:r w:rsidRPr="004F6220">
        <w:rPr>
          <w:rFonts w:ascii="Times New Roman" w:hAnsi="Times New Roman" w:cs="Times New Roman"/>
          <w:sz w:val="24"/>
          <w:szCs w:val="24"/>
        </w:rPr>
        <w:t xml:space="preserve"> ustawy o obrocie</w:t>
      </w:r>
      <w:r w:rsidR="00D70E8F" w:rsidRPr="004F6220">
        <w:rPr>
          <w:rFonts w:ascii="Times New Roman" w:hAnsi="Times New Roman" w:cs="Times New Roman"/>
          <w:sz w:val="24"/>
          <w:szCs w:val="24"/>
        </w:rPr>
        <w:t xml:space="preserve"> instrumentami finansowymi</w:t>
      </w:r>
      <w:r w:rsidRPr="004F6220">
        <w:rPr>
          <w:rFonts w:ascii="Times New Roman" w:hAnsi="Times New Roman" w:cs="Times New Roman"/>
          <w:sz w:val="24"/>
          <w:szCs w:val="24"/>
        </w:rPr>
        <w:t>, polegająca na usunięciu z definicji prawa do akcji sformułowania odnoszącego się do spółki publicznej wynika z konieczności dostosowania brzmienia przepisu do realiów rynku kapitałowego. Pojęcie spółki publicznej jest konstrukcją wyłącznie krajową i nie występuje w prawie unijnym, które posługuje się terminem emitent dopuszczony do obrotu na rynku regulowanym – bez różnicowania statusu emitenta z wykorzystaniem pojęcia „spółki publicznej”. Po nowelizacji przepisów w 2018 r. definicja spółki publicznej została istotnie zmieniona i obecnie obejmuje podmioty, których co najmniej jedna akcja została dopuszczona do obrotu na rynku regulowanym albo wprowadzona do alternatywnego systemu obrotu na terytorium Rzeczypospolitej Polskiej. Wcześniej status spółki publicznej był powiązany z dematerializacją akcji oraz art. 5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który określał przypadki dopuszczalności takiej dematerializacji. W efekcie obecnie status spółki publicznej powstaje dopiero z chwilą dopuszczenia akcji do obrotu zorganizowanego, a nie – jak miało to miejsce przed 2018 r. – już na etapie przeprowadzenia oferty publicznej, kiedy istniała możliwość zdematerializowania akcji jeszcze przed ich dopuszczeniem do obrotu zorganizowanego.</w:t>
      </w:r>
    </w:p>
    <w:p w14:paraId="1CA0D1D1" w14:textId="7D844AF3" w:rsidR="00EC288A" w:rsidRPr="004F6220" w:rsidRDefault="00EC288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Tymczasem, w praktyce prawo do akcji powstaje z chwilą dokonania przydziału akcji nowej emisji, a więc przed formalnym dopuszczeniem tych akcji do obrotu i przed uzyskaniem przez emitenta statusu spółki publicznej w obecnym rozumieniu. Prowadzi to do niespójności polegającej na tym, że konstrukcja prawa do akcji – instrumentu powszechnie funkcjonującego w praktyce rynkowej – nie mieści się w aktualnej ustawowej definicji, ponieważ powstaje w okresie, w którym emitent nie spełnia jeszcze kryteriów spółki publicznej. Obecne brzmienie art. 3 pkt 29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nie odzwierciedla zatem rzeczywistego przebiegu procesu pierwszej oferty publicznej ani chronologii zdarzeń korporacyjnych związanych z emisją akcji. O ile w przypadku wtórnych ofert publicznych problem ten nie występuje, ponieważ emitent ma już status spółki publicznej, o tyle w przypadku debiutantów niespójność definicji prowadzi do faktycznego impasu regulacyjnego.</w:t>
      </w:r>
    </w:p>
    <w:p w14:paraId="273541E9" w14:textId="3C85FC81" w:rsidR="00EC288A" w:rsidRPr="004F6220" w:rsidRDefault="00EC288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Usunięcie odniesienia do „spółki publicznej” w art. 3 pkt 29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przywróci spójność definicji prawa do akcji z procesem emisji, wyeliminuje lukę prawną dotyczącą okresu przed debiutem giełdowym oraz zapewni zgodność z logiką regulacji rynku kapitałowego. Zmiana ta stanowi również dostosowanie przepisu do rzeczywistych potrzeb rynku i zapewnia jego stosowalność w każdej sytuacji, w której powstaje prawo do </w:t>
      </w:r>
      <w:r w:rsidRPr="004F6220">
        <w:rPr>
          <w:rFonts w:ascii="Times New Roman" w:hAnsi="Times New Roman" w:cs="Times New Roman"/>
          <w:sz w:val="24"/>
          <w:szCs w:val="24"/>
        </w:rPr>
        <w:lastRenderedPageBreak/>
        <w:t>akcji – niezależnie od tego, czy emitent posiada już status spółki publicznej, czy dopiero ubiega się o jego uzyskanie.</w:t>
      </w:r>
    </w:p>
    <w:p w14:paraId="6EEA8F36" w14:textId="12403E3D" w:rsidR="002E446F" w:rsidRPr="004F6220" w:rsidRDefault="002E446F"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Przepis </w:t>
      </w:r>
      <w:r w:rsidRPr="004F6220">
        <w:rPr>
          <w:rFonts w:ascii="Times New Roman" w:hAnsi="Times New Roman" w:cs="Times New Roman"/>
          <w:b/>
          <w:bCs/>
          <w:sz w:val="24"/>
          <w:szCs w:val="24"/>
        </w:rPr>
        <w:t>art. 10 ust. 1a</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przewiduje, że świadectwo depozytowe dotyczące rejestrowanych w depozycie papierów wartościowych, w przypadku hipotecznych listów zastawnych – powinno spełniać wymogi określone w art. 6 ustawy z dnia 29 sierpnia 1997 r. o listach zastawnych i bankach hipotecznych, a w przypadku bankowych papierów wartościowych – powinno spełniać wymogi określone w art. 90 ust. 1 ustawy </w:t>
      </w:r>
      <w:r w:rsidR="00B754B7">
        <w:rPr>
          <w:rFonts w:ascii="Times New Roman" w:hAnsi="Times New Roman" w:cs="Times New Roman"/>
          <w:sz w:val="24"/>
          <w:szCs w:val="24"/>
        </w:rPr>
        <w:t>–</w:t>
      </w:r>
      <w:r w:rsidRPr="004F6220">
        <w:rPr>
          <w:rFonts w:ascii="Times New Roman" w:hAnsi="Times New Roman" w:cs="Times New Roman"/>
          <w:sz w:val="24"/>
          <w:szCs w:val="24"/>
        </w:rPr>
        <w:t xml:space="preserve"> Prawo bankowe. Przepisy, do których odsyła art. 10 ust.</w:t>
      </w:r>
      <w:r w:rsidR="005139B6">
        <w:rPr>
          <w:rFonts w:ascii="Times New Roman" w:hAnsi="Times New Roman" w:cs="Times New Roman"/>
          <w:sz w:val="24"/>
          <w:szCs w:val="24"/>
        </w:rPr>
        <w:t> </w:t>
      </w:r>
      <w:r w:rsidRPr="004F6220">
        <w:rPr>
          <w:rFonts w:ascii="Times New Roman" w:hAnsi="Times New Roman" w:cs="Times New Roman"/>
          <w:sz w:val="24"/>
          <w:szCs w:val="24"/>
        </w:rPr>
        <w:t>1a ustawy o obrocie</w:t>
      </w:r>
      <w:r w:rsidR="003A3C41" w:rsidRPr="004F6220">
        <w:rPr>
          <w:rFonts w:ascii="Times New Roman" w:eastAsia="Times New Roman" w:hAnsi="Times New Roman" w:cs="Times New Roman"/>
          <w:sz w:val="24"/>
          <w:szCs w:val="24"/>
          <w:lang w:eastAsia="pl-PL"/>
        </w:rPr>
        <w:t xml:space="preserve"> instrumentami finansowymi</w:t>
      </w:r>
      <w:r w:rsidRPr="004F6220">
        <w:rPr>
          <w:rFonts w:ascii="Times New Roman" w:hAnsi="Times New Roman" w:cs="Times New Roman"/>
          <w:sz w:val="24"/>
          <w:szCs w:val="24"/>
        </w:rPr>
        <w:t>, określają wymogi formalne odnoszące się do listów zastawnych oraz bankowych papierów wartościowych wydanych w formie dokumentu. Wymogi te są nieadekwatne do treści świadectwa depozytowego, którego celem jest potwierdzenie stanu posiadania danej osoby w zakresie określonych papierów wartościowych, w celu umożliwienia realizacji praw z nich wynikających. Należy też podkreślić, że podmioty prowadzące rachunki papierów wartościowych nie są w stanie wystawić świadectwa depozytowego dotyczącego hipotecznych listów zastawnych albo bankowych papierów wartościowych z zachowaniem ww</w:t>
      </w:r>
      <w:r w:rsidR="00B754B7">
        <w:rPr>
          <w:rFonts w:ascii="Times New Roman" w:hAnsi="Times New Roman" w:cs="Times New Roman"/>
          <w:sz w:val="24"/>
          <w:szCs w:val="24"/>
        </w:rPr>
        <w:t>.</w:t>
      </w:r>
      <w:r w:rsidRPr="004F6220">
        <w:rPr>
          <w:rFonts w:ascii="Times New Roman" w:hAnsi="Times New Roman" w:cs="Times New Roman"/>
          <w:sz w:val="24"/>
          <w:szCs w:val="24"/>
        </w:rPr>
        <w:t xml:space="preserve"> wymogów. W związku z powyższym art. 10 ust. 1a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został uchylony.</w:t>
      </w:r>
    </w:p>
    <w:p w14:paraId="115B2BEC" w14:textId="1E0FA693" w:rsidR="00BE0315" w:rsidRPr="004F6220" w:rsidRDefault="00BE031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W związku z uchyleniem art. 81c ust. 6 ustawy o obrocie instrumentami finansowymi zasadne jest wprowadzenie analogicznej zmiany w odniesieniu do spółek prowadzących rynek regulowany, poprzez uchylenie </w:t>
      </w:r>
      <w:r w:rsidRPr="004F6220">
        <w:rPr>
          <w:rFonts w:ascii="Times New Roman" w:hAnsi="Times New Roman" w:cs="Times New Roman"/>
          <w:b/>
          <w:bCs/>
          <w:sz w:val="24"/>
          <w:szCs w:val="24"/>
        </w:rPr>
        <w:t>art. 16e ust. 6</w:t>
      </w:r>
      <w:r w:rsidRPr="004F6220">
        <w:rPr>
          <w:rFonts w:ascii="Times New Roman" w:hAnsi="Times New Roman" w:cs="Times New Roman"/>
          <w:sz w:val="24"/>
          <w:szCs w:val="24"/>
        </w:rPr>
        <w:t xml:space="preserve"> tej ustawy. Przepis ten nakłada na spółki prowadzące rynek regulowany dodatkowe obowiązki o charakterze krajowym, które nie wynikają bezpośrednio z przepisów prawa Unii Europejskiej. Uchylenie art. 16e ust. 6 zapewni spójność regulacji dotyczących firm inwestycyjnych oraz spółek prowadzących rynek regulowany, a także jednolite traktowanie podmiotów podlegających nadzorowi w zakresie wymogów, które nie znajdują uzasadnienia w regulacjach unijnych.</w:t>
      </w:r>
    </w:p>
    <w:p w14:paraId="71B0C26A" w14:textId="78BA8EB7" w:rsidR="00BE0315" w:rsidRPr="004F6220" w:rsidRDefault="00BE031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Jednocześnie proponuje się wprowadzenie zmian w </w:t>
      </w:r>
      <w:r w:rsidRPr="004F6220">
        <w:rPr>
          <w:rFonts w:ascii="Times New Roman" w:hAnsi="Times New Roman" w:cs="Times New Roman"/>
          <w:b/>
          <w:bCs/>
          <w:sz w:val="24"/>
          <w:szCs w:val="24"/>
        </w:rPr>
        <w:t>art. 16f</w:t>
      </w:r>
      <w:r w:rsidRPr="004F6220">
        <w:rPr>
          <w:rFonts w:ascii="Times New Roman" w:hAnsi="Times New Roman" w:cs="Times New Roman"/>
          <w:sz w:val="24"/>
          <w:szCs w:val="24"/>
        </w:rPr>
        <w:t xml:space="preserve"> ustawy o obrocie instrumentami finansowymi, dotyczących zasad powierzania przez spółkę prowadzącą rynek regulowany wykonywania czynności podmiotowi trzeciemu. Zmiany te mają na celu ujednolicenie reżimu outsourcingowego mającego zastosowanie do spółek prowadzących rynek regulowany i firm inwestycyjnych, w szczególności przez ograniczenie krajowych wymogów wykraczających poza zakres regulacji wynikających z prawa Unii Europejskiej. Rozwiązanie to przyczyni się do zapewnienia bardziej spójnych i proporcjonalnych zasad dotyczących outsourcingu działalności przez podmioty prowadzące działalność na rynku kapitałowym.</w:t>
      </w:r>
    </w:p>
    <w:p w14:paraId="65EBAA3F" w14:textId="47BD883F" w:rsidR="00BE0315" w:rsidRPr="004F6220" w:rsidRDefault="00BE031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lastRenderedPageBreak/>
        <w:t xml:space="preserve">Potrzeba dokonania powyższych zmian wynika również z kierunku zmian regulacyjnych na poziomie Unii Europejskiej, w tym prac nad przeniesieniem regulacji dotyczących funkcjonowania operatorów rynku do rozporządzenia </w:t>
      </w:r>
      <w:r w:rsidR="00157305" w:rsidRPr="004F6220">
        <w:rPr>
          <w:rFonts w:ascii="Times New Roman" w:hAnsi="Times New Roman" w:cs="Times New Roman"/>
          <w:sz w:val="24"/>
          <w:szCs w:val="24"/>
        </w:rPr>
        <w:t>600/2014</w:t>
      </w:r>
      <w:r w:rsidRPr="004F6220">
        <w:rPr>
          <w:rFonts w:ascii="Times New Roman" w:hAnsi="Times New Roman" w:cs="Times New Roman"/>
          <w:sz w:val="24"/>
          <w:szCs w:val="24"/>
        </w:rPr>
        <w:t>. W konsekwencji zakres dopuszczalnych krajowych wymogów dotyczących funkcjonowania operatorów rynku zostanie ograniczony, co będzie wymagało dostosowania przepisów prawa krajowego do nowych ram regulacyjnych. Zasadne jest zatem dokonanie odpowiednich zmian już na obecnym etapie, co pozwoli ograniczyć zakres regulacji krajowych wykraczających poza wymogi prawa Unii Europejskiej oraz uprzedzić konieczność ich późniejszej modyfikacji w związku z wejściem w życie nowych regulacji unijnych.</w:t>
      </w:r>
    </w:p>
    <w:p w14:paraId="2E140CE9" w14:textId="45A05C10" w:rsidR="00F928A7" w:rsidRPr="004F6220" w:rsidRDefault="00E9605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t>Zmiana w art. 19 w ust. 1 w pkt 2 lit. a</w:t>
      </w:r>
      <w:r w:rsidRPr="004F6220">
        <w:rPr>
          <w:rFonts w:ascii="Times New Roman" w:hAnsi="Times New Roman" w:cs="Times New Roman"/>
          <w:sz w:val="24"/>
          <w:szCs w:val="24"/>
        </w:rPr>
        <w:t xml:space="preserve"> </w:t>
      </w:r>
      <w:r w:rsidR="001D758D" w:rsidRPr="004F6220">
        <w:rPr>
          <w:rFonts w:ascii="Times New Roman" w:hAnsi="Times New Roman" w:cs="Times New Roman"/>
          <w:sz w:val="24"/>
          <w:szCs w:val="24"/>
        </w:rPr>
        <w:t xml:space="preserve">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przewiduje rozszerzenie wyłączenia z obowiązku pośrednictwa firmy inwestycyjnej ofert publicznych z wyjątków prospektowych, określonych w art. 1 ust. 4 lit. c i d rozporządzenia 2017/1129. Dotychczasowe doświadczenia wskazują, że zwykle tego rodzaju oferty są łączone z wyjątkami z art. 1 ust. 4 lit. a i b rozporządzenia 2017/1129, które obecnie są zwolnione z obowiązku pośrednictwa firmy inwestycyjnej. Ponadto w przypadku ofert obligacji kierowanych do klientów detalicznych będących osobami fizycznymi obowiązek pośrednictwa będzie istniał bez względu na podstawę wyłączenia z obowiązku sporządzenia prospektu. </w:t>
      </w:r>
    </w:p>
    <w:p w14:paraId="117AD3D4" w14:textId="46AF8A07" w:rsidR="00E9605A" w:rsidRPr="004F6220" w:rsidRDefault="00E9605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t>Zmiana w art. 19 w ust. 1 w pkt 2 lit. aa</w:t>
      </w:r>
      <w:r w:rsidRPr="004F6220">
        <w:rPr>
          <w:rFonts w:ascii="Times New Roman" w:hAnsi="Times New Roman" w:cs="Times New Roman"/>
          <w:sz w:val="24"/>
          <w:szCs w:val="24"/>
        </w:rPr>
        <w:t xml:space="preserve"> </w:t>
      </w:r>
      <w:r w:rsidR="001D758D" w:rsidRPr="004F6220">
        <w:rPr>
          <w:rFonts w:ascii="Times New Roman" w:hAnsi="Times New Roman" w:cs="Times New Roman"/>
          <w:sz w:val="24"/>
          <w:szCs w:val="24"/>
        </w:rPr>
        <w:t>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001D758D"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ma na celu dostosowanie w tym przepisie sposobu liczenia wartości papierów wartościowych będących przedmiotem oferty publicznej podlegającej wyłączeniu z obowiązku pośrednictwa firmy inwestycyjnej do zasad przyjętych w rozporządzeniu 2017/1129. Rozporządzenie to </w:t>
      </w:r>
      <w:r w:rsidR="001D758D" w:rsidRPr="004F6220">
        <w:rPr>
          <w:rFonts w:ascii="Times New Roman" w:hAnsi="Times New Roman" w:cs="Times New Roman"/>
          <w:sz w:val="24"/>
          <w:szCs w:val="24"/>
        </w:rPr>
        <w:t>w art. 3 ust. 2 posługuje się pojęciem całkowitej zagregowanej wartoś</w:t>
      </w:r>
      <w:r w:rsidR="00DE056D" w:rsidRPr="004F6220">
        <w:rPr>
          <w:rFonts w:ascii="Times New Roman" w:hAnsi="Times New Roman" w:cs="Times New Roman"/>
          <w:sz w:val="24"/>
          <w:szCs w:val="24"/>
        </w:rPr>
        <w:t>ci</w:t>
      </w:r>
      <w:r w:rsidR="001D758D" w:rsidRPr="004F6220">
        <w:rPr>
          <w:rFonts w:ascii="Times New Roman" w:hAnsi="Times New Roman" w:cs="Times New Roman"/>
          <w:sz w:val="24"/>
          <w:szCs w:val="24"/>
        </w:rPr>
        <w:t xml:space="preserve"> oferowanych papierów wartościowych, za którą uznaje całkowitą zagregowaną wartość wszystkich trwających ofert publicznych papierów wartościowych oraz ofert publicznych papierów wartościowych przeprowadzonych w ciągu 12 miesięcy poprzedzających datę rozpoczęcia nowej oferty publicznej papierów wartościowych z wyjątkiem ofert publicznych papierów wartościowych, dla których opublikowany został prospekt lub które są objęte wyłączeniem z obowiązku publikacji prospektu zgodnie z art. 1 ust. 4 akapit pierwszy rozporządzenia 2017/1129.</w:t>
      </w:r>
    </w:p>
    <w:p w14:paraId="2B2ACC13" w14:textId="3BFBE458" w:rsidR="001D758D" w:rsidRPr="004F6220" w:rsidRDefault="001D758D"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t>Uchylenie w art. 19 ust. 1a</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wynika z opisanej powyżej zmiany zasad liczenia wartości papierów wartościowych będących przedmiotem oferty publicznej w art. 19 ust. 1 pkt 2 lit. aa. Przepis ten nie będzie bowiem posługiwał się pojęciem wpływów z oferty publicznej, które wymaga obecnie doprecyzowania.</w:t>
      </w:r>
    </w:p>
    <w:p w14:paraId="2EFF6F8E" w14:textId="65B5B926" w:rsidR="00F928A7" w:rsidRPr="004F6220" w:rsidRDefault="00767789" w:rsidP="005D621C">
      <w:pPr>
        <w:spacing w:before="120" w:after="0" w:line="360" w:lineRule="auto"/>
        <w:jc w:val="both"/>
        <w:rPr>
          <w:rFonts w:ascii="Times New Roman" w:hAnsi="Times New Roman" w:cs="Times New Roman"/>
          <w:sz w:val="24"/>
          <w:szCs w:val="24"/>
        </w:rPr>
      </w:pPr>
      <w:bookmarkStart w:id="3" w:name="_Hlk225171260"/>
      <w:r w:rsidRPr="004F6220">
        <w:rPr>
          <w:rFonts w:ascii="Times New Roman" w:hAnsi="Times New Roman" w:cs="Times New Roman"/>
          <w:b/>
          <w:bCs/>
          <w:sz w:val="24"/>
          <w:szCs w:val="24"/>
        </w:rPr>
        <w:lastRenderedPageBreak/>
        <w:t xml:space="preserve">Zmiana w art. 24 ust. 1 pkt 2 </w:t>
      </w:r>
      <w:r w:rsidRPr="004F6220">
        <w:rPr>
          <w:rFonts w:ascii="Times New Roman" w:hAnsi="Times New Roman" w:cs="Times New Roman"/>
          <w:sz w:val="24"/>
          <w:szCs w:val="24"/>
        </w:rPr>
        <w:t xml:space="preserve">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002C3E77" w:rsidRPr="004F6220">
        <w:rPr>
          <w:rFonts w:ascii="Times New Roman" w:hAnsi="Times New Roman" w:cs="Times New Roman"/>
          <w:sz w:val="24"/>
          <w:szCs w:val="24"/>
        </w:rPr>
        <w:t xml:space="preserve">zakłada zniesienie progów 5% i 15% w odniesieniu do konieczności zawiadomienia KNF przy nabywaniu znacznych pakietów akcji spółki prowadzącej rynek regulowany. W przypadku spółki prowadzącej rynek regulowany, wysokość progów wynika wyłącznie z regulacji krajowych. Progi 5% i 15% zawarte w art. 24 ust. 1 pkt 2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002C3E77" w:rsidRPr="004F6220">
        <w:rPr>
          <w:rFonts w:ascii="Times New Roman" w:hAnsi="Times New Roman" w:cs="Times New Roman"/>
          <w:sz w:val="24"/>
          <w:szCs w:val="24"/>
        </w:rPr>
        <w:t>nie mają obecnie uzasadnienia z punktu widzenia skuteczności nadzoru nad strukturą właścicielską spółki prowadzącej rynek regulowany. Nie dają one inwestorom faktycznego wpływu na spółkę, a ich utrzymywanie generuje zbędne obowiązki administracyjne</w:t>
      </w:r>
      <w:r w:rsidR="00F03479" w:rsidRPr="004F6220">
        <w:rPr>
          <w:rFonts w:ascii="Times New Roman" w:hAnsi="Times New Roman" w:cs="Times New Roman"/>
          <w:sz w:val="24"/>
          <w:szCs w:val="24"/>
        </w:rPr>
        <w:t xml:space="preserve">, </w:t>
      </w:r>
      <w:r w:rsidR="002C3E77" w:rsidRPr="004F6220">
        <w:rPr>
          <w:rFonts w:ascii="Times New Roman" w:hAnsi="Times New Roman" w:cs="Times New Roman"/>
          <w:sz w:val="24"/>
          <w:szCs w:val="24"/>
        </w:rPr>
        <w:t xml:space="preserve">w kontekście istnienia miarodajnych progów: 10% </w:t>
      </w:r>
      <w:r w:rsidR="00B754B7">
        <w:rPr>
          <w:rFonts w:ascii="Times New Roman" w:hAnsi="Times New Roman" w:cs="Times New Roman"/>
          <w:sz w:val="24"/>
          <w:szCs w:val="24"/>
        </w:rPr>
        <w:t>–</w:t>
      </w:r>
      <w:r w:rsidR="002C3E77" w:rsidRPr="004F6220">
        <w:rPr>
          <w:rFonts w:ascii="Times New Roman" w:hAnsi="Times New Roman" w:cs="Times New Roman"/>
          <w:sz w:val="24"/>
          <w:szCs w:val="24"/>
        </w:rPr>
        <w:t xml:space="preserve"> wskazującego na potrzebę rozpoczęcia monitorowania akcjonariusza i progu 20% </w:t>
      </w:r>
      <w:r w:rsidR="00B754B7">
        <w:rPr>
          <w:rFonts w:ascii="Times New Roman" w:hAnsi="Times New Roman" w:cs="Times New Roman"/>
          <w:sz w:val="24"/>
          <w:szCs w:val="24"/>
        </w:rPr>
        <w:t>–</w:t>
      </w:r>
      <w:r w:rsidR="002C3E77" w:rsidRPr="004F6220">
        <w:rPr>
          <w:rFonts w:ascii="Times New Roman" w:hAnsi="Times New Roman" w:cs="Times New Roman"/>
          <w:sz w:val="24"/>
          <w:szCs w:val="24"/>
        </w:rPr>
        <w:t xml:space="preserve"> wskazującego na możliwe intencje w kierunku dalszego zwiększania pakietu akcji lub dokonywania w tym celu porozumień z innymi akcjonariuszami.</w:t>
      </w:r>
    </w:p>
    <w:bookmarkEnd w:id="3"/>
    <w:p w14:paraId="767AFC77" w14:textId="0A9B4B9E" w:rsidR="00AA5324" w:rsidRPr="004F6220" w:rsidRDefault="00AA5324"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Zmiana </w:t>
      </w:r>
      <w:r w:rsidRPr="004F6220">
        <w:rPr>
          <w:rFonts w:ascii="Times New Roman" w:hAnsi="Times New Roman" w:cs="Times New Roman"/>
          <w:b/>
          <w:bCs/>
          <w:sz w:val="24"/>
          <w:szCs w:val="24"/>
        </w:rPr>
        <w:t xml:space="preserve">w art. 28 w ust. 2 ustawy o obrocie </w:t>
      </w:r>
      <w:r w:rsidR="003A3C41" w:rsidRPr="004F6220">
        <w:rPr>
          <w:rFonts w:ascii="Times New Roman" w:hAnsi="Times New Roman" w:cs="Times New Roman"/>
          <w:b/>
          <w:bCs/>
          <w:sz w:val="24"/>
          <w:szCs w:val="24"/>
        </w:rPr>
        <w:t xml:space="preserve">instrumentami finansowymi </w:t>
      </w:r>
      <w:r w:rsidRPr="004F6220">
        <w:rPr>
          <w:rFonts w:ascii="Times New Roman" w:hAnsi="Times New Roman" w:cs="Times New Roman"/>
          <w:b/>
          <w:bCs/>
          <w:sz w:val="24"/>
          <w:szCs w:val="24"/>
        </w:rPr>
        <w:t>polegająca na uchyleniu pkt 13</w:t>
      </w:r>
      <w:r w:rsidRPr="004F6220">
        <w:rPr>
          <w:rFonts w:ascii="Times New Roman" w:hAnsi="Times New Roman" w:cs="Times New Roman"/>
          <w:sz w:val="24"/>
          <w:szCs w:val="24"/>
        </w:rPr>
        <w:t>, wynika z rezygnacji z podziału rynku regulowanego na rynek oficjalnych notowań oraz rynek regulowany niebędący rynkiem oficjalnych notowań, a także opisanym w zmianach ustawy o ofercie publicznej objęciem obowiązkami informacyjnymi wynikającymi z dyrektywy 2004/109/WE wszystkich emitentów papierów wartościowych dopuszczonych do obrotu na rynku regulowanym. Wobec projektowanych zmian nie jest zasadnym aby regulamin rynku regulowanego określał obowiązki informacyjne emitentów papierów wartościowych dopuszczonych do obrotu wyłącznie na rynku regulowanym niebędącym rynkiem oficjalnych notowań, a także warunki uznania informacji za równoważne informacjom bieżącym i okresowym, w przypadku emitentów z siedzibą w państwie niebędącym państwem członkowskim, dla których Rzeczpospolita Polska jest państwem macierzystym w rozumieniu art. 55a ustawy o ofercie publicznej – w zakresie określonym w art. 61 tej ustawy.</w:t>
      </w:r>
    </w:p>
    <w:p w14:paraId="53B6348F" w14:textId="718DA765" w:rsidR="00BA4BB5" w:rsidRPr="004F6220" w:rsidRDefault="00BA4BB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Projektowane zmiany </w:t>
      </w:r>
      <w:r w:rsidRPr="004F6220">
        <w:rPr>
          <w:rFonts w:ascii="Times New Roman" w:hAnsi="Times New Roman" w:cs="Times New Roman"/>
          <w:b/>
          <w:bCs/>
          <w:sz w:val="24"/>
          <w:szCs w:val="24"/>
        </w:rPr>
        <w:t>art. 31 ust. 3b</w:t>
      </w:r>
      <w:r w:rsidRPr="004F6220">
        <w:rPr>
          <w:rFonts w:ascii="Times New Roman" w:hAnsi="Times New Roman" w:cs="Times New Roman"/>
          <w:sz w:val="24"/>
          <w:szCs w:val="24"/>
        </w:rPr>
        <w:t xml:space="preserve">, </w:t>
      </w:r>
      <w:r w:rsidRPr="004F6220">
        <w:rPr>
          <w:rFonts w:ascii="Times New Roman" w:hAnsi="Times New Roman" w:cs="Times New Roman"/>
          <w:b/>
          <w:bCs/>
          <w:sz w:val="24"/>
          <w:szCs w:val="24"/>
        </w:rPr>
        <w:t>art. 70 ust. 1 pkt 18</w:t>
      </w:r>
      <w:r w:rsidRPr="004F6220">
        <w:rPr>
          <w:rFonts w:ascii="Times New Roman" w:hAnsi="Times New Roman" w:cs="Times New Roman"/>
          <w:sz w:val="24"/>
          <w:szCs w:val="24"/>
        </w:rPr>
        <w:t xml:space="preserve"> oraz </w:t>
      </w:r>
      <w:r w:rsidRPr="004F6220">
        <w:rPr>
          <w:rFonts w:ascii="Times New Roman" w:hAnsi="Times New Roman" w:cs="Times New Roman"/>
          <w:b/>
          <w:bCs/>
          <w:sz w:val="24"/>
          <w:szCs w:val="24"/>
        </w:rPr>
        <w:t>art. 78 ust. 1bb</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mają na celu umożliwienie przedsiębiorstwom z państw trzecich pełnienie funkcji animatora rynku bez konieczności uzyskiwania krajowego zezwolenia maklerskiego. Należy przyjąć, że ryzyka związane z działalnością animatora rynku mogą być w pełni kontrolowane na poziomie systemu obrotu, natomiast wymóg uzyskania krajowej licencji stanowi barierę administracyjną nieproporcjonalną do rzeczywistych zagrożeń. Celem zmian jest zwiększenie płynności, atrakcyjności i konkurencyjności krajowego rynku kapitałowego, w szczególności w obszarze instrumentów pochodnych i handlu algorytmicznego.</w:t>
      </w:r>
    </w:p>
    <w:p w14:paraId="100B3CA6" w14:textId="75169175" w:rsidR="00BA4BB5" w:rsidRPr="004F6220" w:rsidRDefault="00BA4BB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lastRenderedPageBreak/>
        <w:t xml:space="preserve">Dodanie w art. 70 ust. 1 pkt 18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sformułowania „będąc klientem członka lub uczestnika systemu obrotu” ma na celu doprecyzowanie, że zagraniczne osoby prawne z państw trzecich mogą wykonywać czynności wskazane w art. 69 ust. 2 pkt 1–3 nie tylko w ramach bezpośredniego dostępu elektronicznego, lecz również w oparciu o inną dopuszczalną formę relacji z członkiem lub uczestnikiem systemu obrotu.</w:t>
      </w:r>
    </w:p>
    <w:p w14:paraId="6EFC7628" w14:textId="4FCB2D14" w:rsidR="00A2387F" w:rsidRPr="004F6220" w:rsidRDefault="00A2381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Zmiana </w:t>
      </w:r>
      <w:r w:rsidRPr="004F6220">
        <w:rPr>
          <w:rFonts w:ascii="Times New Roman" w:hAnsi="Times New Roman" w:cs="Times New Roman"/>
          <w:b/>
          <w:bCs/>
          <w:sz w:val="24"/>
          <w:szCs w:val="24"/>
        </w:rPr>
        <w:t>art. 45f ust. 1 oraz dodanie ust. 1a</w:t>
      </w:r>
      <w:r w:rsidRPr="004F6220">
        <w:rPr>
          <w:rFonts w:ascii="Times New Roman" w:hAnsi="Times New Roman" w:cs="Times New Roman"/>
          <w:sz w:val="24"/>
          <w:szCs w:val="24"/>
        </w:rPr>
        <w:t xml:space="preserve"> </w:t>
      </w:r>
      <w:r w:rsidR="00A2387F" w:rsidRPr="004F6220">
        <w:rPr>
          <w:rFonts w:ascii="Times New Roman" w:hAnsi="Times New Roman" w:cs="Times New Roman"/>
          <w:sz w:val="24"/>
          <w:szCs w:val="24"/>
        </w:rPr>
        <w:t xml:space="preserve">w ustawie </w:t>
      </w:r>
      <w:r w:rsidRPr="004F6220">
        <w:rPr>
          <w:rFonts w:ascii="Times New Roman" w:hAnsi="Times New Roman" w:cs="Times New Roman"/>
          <w:sz w:val="24"/>
          <w:szCs w:val="24"/>
        </w:rPr>
        <w:t xml:space="preserve">o obrocie instrumentami finansowymi ma na celu dostosowanie art. 45f do </w:t>
      </w:r>
      <w:r w:rsidR="00A2387F" w:rsidRPr="004F6220">
        <w:rPr>
          <w:rFonts w:ascii="Times New Roman" w:hAnsi="Times New Roman" w:cs="Times New Roman"/>
          <w:sz w:val="24"/>
          <w:szCs w:val="24"/>
        </w:rPr>
        <w:t xml:space="preserve">aktualnej </w:t>
      </w:r>
      <w:r w:rsidRPr="004F6220">
        <w:rPr>
          <w:rFonts w:ascii="Times New Roman" w:hAnsi="Times New Roman" w:cs="Times New Roman"/>
          <w:sz w:val="24"/>
          <w:szCs w:val="24"/>
        </w:rPr>
        <w:t>praktyki działania centralnych depozytów papierów wartościowych. Zgodnie z regulaminem KDPW</w:t>
      </w:r>
      <w:r w:rsidR="003A3C41" w:rsidRPr="004F6220">
        <w:rPr>
          <w:rFonts w:ascii="Times New Roman" w:hAnsi="Times New Roman" w:cs="Times New Roman"/>
          <w:sz w:val="24"/>
          <w:szCs w:val="24"/>
        </w:rPr>
        <w:t xml:space="preserve"> S.A.</w:t>
      </w:r>
      <w:r w:rsidRPr="004F6220">
        <w:rPr>
          <w:rFonts w:ascii="Times New Roman" w:hAnsi="Times New Roman" w:cs="Times New Roman"/>
          <w:sz w:val="24"/>
          <w:szCs w:val="24"/>
        </w:rPr>
        <w:t xml:space="preserve"> rozrachun</w:t>
      </w:r>
      <w:r w:rsidR="00A2387F" w:rsidRPr="004F6220">
        <w:rPr>
          <w:rFonts w:ascii="Times New Roman" w:hAnsi="Times New Roman" w:cs="Times New Roman"/>
          <w:sz w:val="24"/>
          <w:szCs w:val="24"/>
        </w:rPr>
        <w:t xml:space="preserve">ek </w:t>
      </w:r>
      <w:r w:rsidRPr="004F6220">
        <w:rPr>
          <w:rFonts w:ascii="Times New Roman" w:hAnsi="Times New Roman" w:cs="Times New Roman"/>
          <w:sz w:val="24"/>
          <w:szCs w:val="24"/>
        </w:rPr>
        <w:t>transakcji przeprowadzan</w:t>
      </w:r>
      <w:r w:rsidR="00A2387F" w:rsidRPr="004F6220">
        <w:rPr>
          <w:rFonts w:ascii="Times New Roman" w:hAnsi="Times New Roman" w:cs="Times New Roman"/>
          <w:sz w:val="24"/>
          <w:szCs w:val="24"/>
        </w:rPr>
        <w:t xml:space="preserve">y jest </w:t>
      </w:r>
      <w:r w:rsidRPr="004F6220">
        <w:rPr>
          <w:rFonts w:ascii="Times New Roman" w:hAnsi="Times New Roman" w:cs="Times New Roman"/>
          <w:sz w:val="24"/>
          <w:szCs w:val="24"/>
        </w:rPr>
        <w:t xml:space="preserve">na podstawie zleceń rozrachunku wprowadzonych do systemu depozytowego przez uczestników bezpośrednich będących stronami tych rozrachunków lub przez inne upoważnione podmioty, w szczególności przez CCP. </w:t>
      </w:r>
      <w:r w:rsidR="00A2387F" w:rsidRPr="004F6220">
        <w:rPr>
          <w:rFonts w:ascii="Times New Roman" w:hAnsi="Times New Roman" w:cs="Times New Roman"/>
          <w:sz w:val="24"/>
          <w:szCs w:val="24"/>
        </w:rPr>
        <w:t>R</w:t>
      </w:r>
      <w:r w:rsidRPr="004F6220">
        <w:rPr>
          <w:rFonts w:ascii="Times New Roman" w:hAnsi="Times New Roman" w:cs="Times New Roman"/>
          <w:sz w:val="24"/>
          <w:szCs w:val="24"/>
        </w:rPr>
        <w:t xml:space="preserve">ozrachunek przeprowadzany przez centralny depozyt papierów wartościowych ma na celu doprowadzenie do wykonania zobowiązań stron transakcji, </w:t>
      </w:r>
      <w:r w:rsidR="00A2387F" w:rsidRPr="004F6220">
        <w:rPr>
          <w:rFonts w:ascii="Times New Roman" w:hAnsi="Times New Roman" w:cs="Times New Roman"/>
          <w:sz w:val="24"/>
          <w:szCs w:val="24"/>
        </w:rPr>
        <w:t xml:space="preserve">co </w:t>
      </w:r>
      <w:r w:rsidRPr="004F6220">
        <w:rPr>
          <w:rFonts w:ascii="Times New Roman" w:hAnsi="Times New Roman" w:cs="Times New Roman"/>
          <w:sz w:val="24"/>
          <w:szCs w:val="24"/>
        </w:rPr>
        <w:t xml:space="preserve">nie oznacza jednak, że musi on być realizowany odrębnie w odniesieniu do świadczeń wynikających z poszczególnych, objętych nim transakcji. </w:t>
      </w:r>
    </w:p>
    <w:p w14:paraId="42BD7451" w14:textId="02FDA2E8" w:rsidR="00A2381A" w:rsidRPr="004F6220" w:rsidRDefault="00A2381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W</w:t>
      </w:r>
      <w:r w:rsidR="00A2387F" w:rsidRPr="004F6220">
        <w:rPr>
          <w:rFonts w:ascii="Times New Roman" w:hAnsi="Times New Roman" w:cs="Times New Roman"/>
          <w:sz w:val="24"/>
          <w:szCs w:val="24"/>
        </w:rPr>
        <w:t> </w:t>
      </w:r>
      <w:r w:rsidRPr="004F6220">
        <w:rPr>
          <w:rFonts w:ascii="Times New Roman" w:hAnsi="Times New Roman" w:cs="Times New Roman"/>
          <w:sz w:val="24"/>
          <w:szCs w:val="24"/>
        </w:rPr>
        <w:t>przypadku transakcji zawieranych w systemach obrotu, zlecenia rozrachunku są kierowane do KDPW S.A. po dokonaniu rozliczenia transakcji. Oznacza to, że w momencie skierowania do KDPW S.A. tych zleceń pierwotne transakcje już wygasły, a w ich miejsce powstały wynettowane zobowiązania i należności uczestników względem KDPW_CCP. Brak jest zatem dostatecznego uzasadnienia dla wymogu określania przez KDPW S.A.</w:t>
      </w:r>
      <w:r w:rsidR="00A2387F" w:rsidRPr="004F6220">
        <w:rPr>
          <w:rFonts w:ascii="Times New Roman" w:hAnsi="Times New Roman" w:cs="Times New Roman"/>
          <w:sz w:val="24"/>
          <w:szCs w:val="24"/>
        </w:rPr>
        <w:t xml:space="preserve"> – w razie </w:t>
      </w:r>
      <w:r w:rsidRPr="004F6220">
        <w:rPr>
          <w:rFonts w:ascii="Times New Roman" w:hAnsi="Times New Roman" w:cs="Times New Roman"/>
          <w:sz w:val="24"/>
          <w:szCs w:val="24"/>
        </w:rPr>
        <w:t>niemożności przeprowadzenia pełnego rozrachunku tych zobowiązań i należności z powodu braku środków na kontach lub rachunkach uczestników</w:t>
      </w:r>
      <w:r w:rsidR="00A2387F" w:rsidRPr="004F6220">
        <w:rPr>
          <w:rFonts w:ascii="Times New Roman" w:hAnsi="Times New Roman" w:cs="Times New Roman"/>
          <w:sz w:val="24"/>
          <w:szCs w:val="24"/>
        </w:rPr>
        <w:t xml:space="preserve"> – które </w:t>
      </w:r>
      <w:r w:rsidRPr="004F6220">
        <w:rPr>
          <w:rFonts w:ascii="Times New Roman" w:hAnsi="Times New Roman" w:cs="Times New Roman"/>
          <w:sz w:val="24"/>
          <w:szCs w:val="24"/>
        </w:rPr>
        <w:t>konkretnie pierwotne transakcje nie zostały rozrachowane</w:t>
      </w:r>
      <w:r w:rsidR="00A2387F" w:rsidRPr="004F6220">
        <w:rPr>
          <w:rFonts w:ascii="Times New Roman" w:hAnsi="Times New Roman" w:cs="Times New Roman"/>
          <w:sz w:val="24"/>
          <w:szCs w:val="24"/>
        </w:rPr>
        <w:t>. R</w:t>
      </w:r>
      <w:r w:rsidRPr="004F6220">
        <w:rPr>
          <w:rFonts w:ascii="Times New Roman" w:hAnsi="Times New Roman" w:cs="Times New Roman"/>
          <w:sz w:val="24"/>
          <w:szCs w:val="24"/>
        </w:rPr>
        <w:t xml:space="preserve">ozrachunek transakcji dokonywany jest </w:t>
      </w:r>
      <w:r w:rsidR="00A2387F" w:rsidRPr="004F6220">
        <w:rPr>
          <w:rFonts w:ascii="Times New Roman" w:hAnsi="Times New Roman" w:cs="Times New Roman"/>
          <w:sz w:val="24"/>
          <w:szCs w:val="24"/>
        </w:rPr>
        <w:t xml:space="preserve">bowiem </w:t>
      </w:r>
      <w:r w:rsidRPr="004F6220">
        <w:rPr>
          <w:rFonts w:ascii="Times New Roman" w:hAnsi="Times New Roman" w:cs="Times New Roman"/>
          <w:sz w:val="24"/>
          <w:szCs w:val="24"/>
        </w:rPr>
        <w:t xml:space="preserve">przez KDPW S.A. na podstawie zleceń rozrachunku przekazywanych przez </w:t>
      </w:r>
      <w:r w:rsidR="00A2387F" w:rsidRPr="004F6220">
        <w:rPr>
          <w:rFonts w:ascii="Times New Roman" w:hAnsi="Times New Roman" w:cs="Times New Roman"/>
          <w:sz w:val="24"/>
          <w:szCs w:val="24"/>
        </w:rPr>
        <w:t xml:space="preserve">KDPW_CCP, </w:t>
      </w:r>
      <w:r w:rsidRPr="004F6220">
        <w:rPr>
          <w:rFonts w:ascii="Times New Roman" w:hAnsi="Times New Roman" w:cs="Times New Roman"/>
          <w:sz w:val="24"/>
          <w:szCs w:val="24"/>
        </w:rPr>
        <w:t>których treść wynika z rozliczenia pierwotnych, wygasłych już transakcji i obejmuje wynettowane zobowiązania i należności poszczególnych uczestników względem KDPW_CCP.</w:t>
      </w:r>
    </w:p>
    <w:p w14:paraId="6DD9A79D" w14:textId="5AB0CE1A" w:rsidR="00BA7D67" w:rsidRPr="004F6220" w:rsidRDefault="00A2381A"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Ponadto w związku z planowanym wdrożeniem cyklu rozrachunkowego T+1 zachodzi konieczność modyfikacji przez </w:t>
      </w:r>
      <w:r w:rsidR="002D10BF" w:rsidRPr="004F6220">
        <w:rPr>
          <w:rFonts w:ascii="Times New Roman" w:hAnsi="Times New Roman" w:cs="Times New Roman"/>
          <w:sz w:val="24"/>
          <w:szCs w:val="24"/>
        </w:rPr>
        <w:t xml:space="preserve">KDPW S.A. </w:t>
      </w:r>
      <w:r w:rsidRPr="004F6220">
        <w:rPr>
          <w:rFonts w:ascii="Times New Roman" w:hAnsi="Times New Roman" w:cs="Times New Roman"/>
          <w:sz w:val="24"/>
          <w:szCs w:val="24"/>
        </w:rPr>
        <w:t>części funkcjonalności wspierających procesy rozrachunkowe, w tym w szczególności wprowadzenie zmian w usłudze hold/release. Planowana zmiana, tzw. partial release, ma umożliwić kierowanie do rozrachunku jedynie części zlecenia rozrachunku oraz wstrzymywanie rozrachunku pozostałej jego części. Należy podkreślić, że funkcjonalność ta może odnosić się jedynie do zleceń rozrachunku wprowadzonych do systemów rozrachunku, a nie do konkretnych transakcji będących podstawą tych zleceń. Uwzględniając powyższe</w:t>
      </w:r>
      <w:r w:rsidR="00B754B7">
        <w:rPr>
          <w:rFonts w:ascii="Times New Roman" w:hAnsi="Times New Roman" w:cs="Times New Roman"/>
          <w:sz w:val="24"/>
          <w:szCs w:val="24"/>
        </w:rPr>
        <w:t>,</w:t>
      </w:r>
      <w:r w:rsidRPr="004F6220">
        <w:rPr>
          <w:rFonts w:ascii="Times New Roman" w:hAnsi="Times New Roman" w:cs="Times New Roman"/>
          <w:sz w:val="24"/>
          <w:szCs w:val="24"/>
        </w:rPr>
        <w:t xml:space="preserve"> należy wskazać, że skierowanie do </w:t>
      </w:r>
      <w:r w:rsidRPr="004F6220">
        <w:rPr>
          <w:rFonts w:ascii="Times New Roman" w:hAnsi="Times New Roman" w:cs="Times New Roman"/>
          <w:sz w:val="24"/>
          <w:szCs w:val="24"/>
        </w:rPr>
        <w:lastRenderedPageBreak/>
        <w:t xml:space="preserve">rozrachunku części zlecenia, a tym samym wstrzymanie rozrachunku pozostałej jego części, powodować będzie z definicji częściowy rozrachunek zobowiązań i należności wynikających z danego zlecenia. Typowanie w takim przypadku przez KDPW S.A., które transakcje źródłowe i w jakiej części zostały nie zostały rozrachowane </w:t>
      </w:r>
      <w:r w:rsidR="00BA7D67" w:rsidRPr="004F6220">
        <w:rPr>
          <w:rFonts w:ascii="Times New Roman" w:hAnsi="Times New Roman" w:cs="Times New Roman"/>
          <w:sz w:val="24"/>
          <w:szCs w:val="24"/>
        </w:rPr>
        <w:t xml:space="preserve">byłoby </w:t>
      </w:r>
      <w:r w:rsidRPr="004F6220">
        <w:rPr>
          <w:rFonts w:ascii="Times New Roman" w:hAnsi="Times New Roman" w:cs="Times New Roman"/>
          <w:sz w:val="24"/>
          <w:szCs w:val="24"/>
        </w:rPr>
        <w:t>nieuzasadnione także dlatego, że właściwą podstawą rozrachunków przeprowadzanych przez centralne depozyty papierów wartościowych są zlecenia rozrachunku, a nie transakcje będące podstawą do wytworzenia takich zleceń.</w:t>
      </w:r>
    </w:p>
    <w:p w14:paraId="531874B6" w14:textId="2F019D20" w:rsidR="00F928A7" w:rsidRPr="004F6220" w:rsidRDefault="00F03479"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t>Uchylenie w art. 47a ust. 3</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ma na celu rezygnację z oceny zobowiązań dotyczących CCP lub ostrożnego i stabilnego nim zarządzania w postępowaniach dotyczących nabywania znacznych pakietów akcji CCP. Uch</w:t>
      </w:r>
      <w:r w:rsidR="000B0960" w:rsidRPr="004F6220">
        <w:rPr>
          <w:rFonts w:ascii="Times New Roman" w:hAnsi="Times New Roman" w:cs="Times New Roman"/>
          <w:sz w:val="24"/>
          <w:szCs w:val="24"/>
        </w:rPr>
        <w:t>y</w:t>
      </w:r>
      <w:r w:rsidRPr="004F6220">
        <w:rPr>
          <w:rFonts w:ascii="Times New Roman" w:hAnsi="Times New Roman" w:cs="Times New Roman"/>
          <w:sz w:val="24"/>
          <w:szCs w:val="24"/>
        </w:rPr>
        <w:t>lany przepis odnosi się do uwzględnienia przez KNF zobowiązania dotyczącego CCP lub ostrożnego i stabilnego nim zarządzania w postępowaniach dotyczących nabywania znacznych pakietów akcji CCP. Taki obowiązek</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nie wynika z art. 32 </w:t>
      </w:r>
      <w:r w:rsidR="000E4574" w:rsidRPr="004F6220">
        <w:rPr>
          <w:rFonts w:ascii="Times New Roman" w:hAnsi="Times New Roman" w:cs="Times New Roman"/>
          <w:sz w:val="24"/>
          <w:szCs w:val="24"/>
        </w:rPr>
        <w:t>rozporządzenia Parlamentu Europejskiego i Rady (UE) nr 648/2012 z dnia 4 lipca 2012 r. w sprawie instrumentów pochodnych będących przedmiotem obrotu poza rynkiem regulowanym, kontrahentów centralnych i repozytoriów transakcji (Dz.</w:t>
      </w:r>
      <w:r w:rsidR="000B0960" w:rsidRPr="004F6220">
        <w:rPr>
          <w:rFonts w:ascii="Times New Roman" w:hAnsi="Times New Roman" w:cs="Times New Roman"/>
          <w:sz w:val="24"/>
          <w:szCs w:val="24"/>
        </w:rPr>
        <w:t xml:space="preserve"> </w:t>
      </w:r>
      <w:r w:rsidR="000E4574" w:rsidRPr="004F6220">
        <w:rPr>
          <w:rFonts w:ascii="Times New Roman" w:hAnsi="Times New Roman" w:cs="Times New Roman"/>
          <w:sz w:val="24"/>
          <w:szCs w:val="24"/>
        </w:rPr>
        <w:t>U</w:t>
      </w:r>
      <w:r w:rsidR="00475E28" w:rsidRPr="004F6220">
        <w:rPr>
          <w:rFonts w:ascii="Times New Roman" w:hAnsi="Times New Roman" w:cs="Times New Roman"/>
          <w:sz w:val="24"/>
          <w:szCs w:val="24"/>
        </w:rPr>
        <w:t>rz</w:t>
      </w:r>
      <w:r w:rsidR="000E4574" w:rsidRPr="004F6220">
        <w:rPr>
          <w:rFonts w:ascii="Times New Roman" w:hAnsi="Times New Roman" w:cs="Times New Roman"/>
          <w:sz w:val="24"/>
          <w:szCs w:val="24"/>
        </w:rPr>
        <w:t xml:space="preserve">. </w:t>
      </w:r>
      <w:r w:rsidR="000B0960" w:rsidRPr="004F6220">
        <w:rPr>
          <w:rFonts w:ascii="Times New Roman" w:hAnsi="Times New Roman" w:cs="Times New Roman"/>
          <w:sz w:val="24"/>
          <w:szCs w:val="24"/>
        </w:rPr>
        <w:t xml:space="preserve">UE </w:t>
      </w:r>
      <w:r w:rsidR="000E4574" w:rsidRPr="004F6220">
        <w:rPr>
          <w:rFonts w:ascii="Times New Roman" w:hAnsi="Times New Roman" w:cs="Times New Roman"/>
          <w:sz w:val="24"/>
          <w:szCs w:val="24"/>
        </w:rPr>
        <w:t>L 201 z 27.</w:t>
      </w:r>
      <w:r w:rsidR="00B754B7">
        <w:rPr>
          <w:rFonts w:ascii="Times New Roman" w:hAnsi="Times New Roman" w:cs="Times New Roman"/>
          <w:sz w:val="24"/>
          <w:szCs w:val="24"/>
        </w:rPr>
        <w:t>0</w:t>
      </w:r>
      <w:r w:rsidR="000E4574" w:rsidRPr="004F6220">
        <w:rPr>
          <w:rFonts w:ascii="Times New Roman" w:hAnsi="Times New Roman" w:cs="Times New Roman"/>
          <w:sz w:val="24"/>
          <w:szCs w:val="24"/>
        </w:rPr>
        <w:t>7.2012, s. 1, z późn. zm.)</w:t>
      </w:r>
      <w:r w:rsidRPr="004F6220">
        <w:rPr>
          <w:rFonts w:ascii="Times New Roman" w:hAnsi="Times New Roman" w:cs="Times New Roman"/>
          <w:sz w:val="24"/>
          <w:szCs w:val="24"/>
        </w:rPr>
        <w:t xml:space="preserve">. </w:t>
      </w:r>
      <w:r w:rsidR="000E4574" w:rsidRPr="004F6220">
        <w:rPr>
          <w:rFonts w:ascii="Times New Roman" w:hAnsi="Times New Roman" w:cs="Times New Roman"/>
          <w:sz w:val="24"/>
          <w:szCs w:val="24"/>
        </w:rPr>
        <w:t xml:space="preserve">Wskazany przepis prawa unijnego </w:t>
      </w:r>
      <w:r w:rsidRPr="004F6220">
        <w:rPr>
          <w:rFonts w:ascii="Times New Roman" w:hAnsi="Times New Roman" w:cs="Times New Roman"/>
          <w:sz w:val="24"/>
          <w:szCs w:val="24"/>
        </w:rPr>
        <w:t>wskazuje, że „właściwe organy mogą wyrazić sprzeciw wobec</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planowanego nabycia jedynie wówczas, gdy na podstawie kryteriów określonych w ust. 1 istnieją ku temu uzasadnione</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powody lub jeżeli informacje dostarczone przez potencjalnego nabywcę są niekompletne”. </w:t>
      </w:r>
      <w:r w:rsidR="000E4574" w:rsidRPr="004F6220">
        <w:rPr>
          <w:rFonts w:ascii="Times New Roman" w:hAnsi="Times New Roman" w:cs="Times New Roman"/>
          <w:sz w:val="24"/>
          <w:szCs w:val="24"/>
        </w:rPr>
        <w:t xml:space="preserve">Należy zatem przyjąć, że państwom członkowskim </w:t>
      </w:r>
      <w:r w:rsidRPr="004F6220">
        <w:rPr>
          <w:rFonts w:ascii="Times New Roman" w:hAnsi="Times New Roman" w:cs="Times New Roman"/>
          <w:sz w:val="24"/>
          <w:szCs w:val="24"/>
        </w:rPr>
        <w:t>nie przyznano kompetencji do</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określania dodatkowych kryteriów oceny nabycia akcji CCP</w:t>
      </w:r>
      <w:r w:rsidR="000E4574" w:rsidRPr="004F6220">
        <w:rPr>
          <w:rFonts w:ascii="Times New Roman" w:hAnsi="Times New Roman" w:cs="Times New Roman"/>
          <w:sz w:val="24"/>
          <w:szCs w:val="24"/>
        </w:rPr>
        <w:t>. Rezygnacja w art. 47a z przepisów ust. 3 ustawy o obrocie</w:t>
      </w:r>
      <w:r w:rsidR="003A3C41" w:rsidRPr="004F6220">
        <w:rPr>
          <w:rFonts w:ascii="Times New Roman" w:eastAsia="Times New Roman" w:hAnsi="Times New Roman" w:cs="Times New Roman"/>
          <w:sz w:val="24"/>
          <w:szCs w:val="24"/>
          <w:lang w:eastAsia="pl-PL"/>
        </w:rPr>
        <w:t xml:space="preserve"> instrumentami finansowymi</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nie wpłynie negatywnie na jakość oceny dokonywanej przez organ właściwy. Ocena ta podlega bowiem</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opinii kolegium, o którym mowa w art. 18 </w:t>
      </w:r>
      <w:r w:rsidR="000E4574" w:rsidRPr="004F6220">
        <w:rPr>
          <w:rFonts w:ascii="Times New Roman" w:hAnsi="Times New Roman" w:cs="Times New Roman"/>
          <w:sz w:val="24"/>
          <w:szCs w:val="24"/>
        </w:rPr>
        <w:t xml:space="preserve">i </w:t>
      </w:r>
      <w:r w:rsidR="005139B6">
        <w:rPr>
          <w:rFonts w:ascii="Times New Roman" w:hAnsi="Times New Roman" w:cs="Times New Roman"/>
          <w:sz w:val="24"/>
          <w:szCs w:val="24"/>
        </w:rPr>
        <w:t xml:space="preserve">art. </w:t>
      </w:r>
      <w:r w:rsidR="000E4574" w:rsidRPr="004F6220">
        <w:rPr>
          <w:rFonts w:ascii="Times New Roman" w:hAnsi="Times New Roman" w:cs="Times New Roman"/>
          <w:sz w:val="24"/>
          <w:szCs w:val="24"/>
        </w:rPr>
        <w:t>19 rozporządzenia 648/2012</w:t>
      </w:r>
      <w:r w:rsidR="00B754B7">
        <w:rPr>
          <w:rFonts w:ascii="Times New Roman" w:hAnsi="Times New Roman" w:cs="Times New Roman"/>
          <w:sz w:val="24"/>
          <w:szCs w:val="24"/>
        </w:rPr>
        <w:t>,</w:t>
      </w:r>
      <w:r w:rsidR="000E4574" w:rsidRPr="004F6220">
        <w:rPr>
          <w:rFonts w:ascii="Times New Roman" w:hAnsi="Times New Roman" w:cs="Times New Roman"/>
          <w:sz w:val="24"/>
          <w:szCs w:val="24"/>
        </w:rPr>
        <w:t xml:space="preserve"> oraz </w:t>
      </w:r>
      <w:r w:rsidRPr="004F6220">
        <w:rPr>
          <w:rFonts w:ascii="Times New Roman" w:hAnsi="Times New Roman" w:cs="Times New Roman"/>
          <w:sz w:val="24"/>
          <w:szCs w:val="24"/>
        </w:rPr>
        <w:t xml:space="preserve">opinii ESMA </w:t>
      </w:r>
      <w:r w:rsidR="000E4574" w:rsidRPr="004F6220">
        <w:rPr>
          <w:rFonts w:ascii="Times New Roman" w:hAnsi="Times New Roman" w:cs="Times New Roman"/>
          <w:sz w:val="24"/>
          <w:szCs w:val="24"/>
        </w:rPr>
        <w:t xml:space="preserve">wydawanej </w:t>
      </w:r>
      <w:r w:rsidRPr="004F6220">
        <w:rPr>
          <w:rFonts w:ascii="Times New Roman" w:hAnsi="Times New Roman" w:cs="Times New Roman"/>
          <w:sz w:val="24"/>
          <w:szCs w:val="24"/>
        </w:rPr>
        <w:t>na podstawie art. 24a</w:t>
      </w:r>
      <w:r w:rsidR="000E4574" w:rsidRPr="004F6220">
        <w:rPr>
          <w:rFonts w:ascii="Times New Roman" w:hAnsi="Times New Roman" w:cs="Times New Roman"/>
          <w:sz w:val="24"/>
          <w:szCs w:val="24"/>
        </w:rPr>
        <w:t xml:space="preserve"> </w:t>
      </w:r>
      <w:r w:rsidRPr="004F6220">
        <w:rPr>
          <w:rFonts w:ascii="Times New Roman" w:hAnsi="Times New Roman" w:cs="Times New Roman"/>
          <w:sz w:val="24"/>
          <w:szCs w:val="24"/>
        </w:rPr>
        <w:t>ust</w:t>
      </w:r>
      <w:r w:rsidR="00986A69">
        <w:rPr>
          <w:rFonts w:ascii="Times New Roman" w:hAnsi="Times New Roman" w:cs="Times New Roman"/>
          <w:sz w:val="24"/>
          <w:szCs w:val="24"/>
        </w:rPr>
        <w:t>.</w:t>
      </w:r>
      <w:r w:rsidRPr="004F6220">
        <w:rPr>
          <w:rFonts w:ascii="Times New Roman" w:hAnsi="Times New Roman" w:cs="Times New Roman"/>
          <w:sz w:val="24"/>
          <w:szCs w:val="24"/>
        </w:rPr>
        <w:t xml:space="preserve"> 7 akapit pierwszy lit. bc</w:t>
      </w:r>
      <w:r w:rsidR="000E4574" w:rsidRPr="004F6220">
        <w:rPr>
          <w:rFonts w:ascii="Times New Roman" w:hAnsi="Times New Roman" w:cs="Times New Roman"/>
          <w:sz w:val="24"/>
          <w:szCs w:val="24"/>
        </w:rPr>
        <w:t xml:space="preserve"> tego rozporządzenia.</w:t>
      </w:r>
    </w:p>
    <w:p w14:paraId="39841AEF" w14:textId="5D1D24A8" w:rsidR="00E7331B" w:rsidRPr="004F6220" w:rsidRDefault="00E7331B"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Dodany </w:t>
      </w:r>
      <w:r w:rsidRPr="004F6220">
        <w:rPr>
          <w:rFonts w:ascii="Times New Roman" w:hAnsi="Times New Roman" w:cs="Times New Roman"/>
          <w:b/>
          <w:bCs/>
          <w:sz w:val="24"/>
          <w:szCs w:val="24"/>
        </w:rPr>
        <w:t>art. 64b</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zakłada, że w przypadku naruszenia wymienionych w nim przepisów przez </w:t>
      </w:r>
      <w:r w:rsidR="002D10BF" w:rsidRPr="004F6220">
        <w:rPr>
          <w:rFonts w:ascii="Times New Roman" w:hAnsi="Times New Roman" w:cs="Times New Roman"/>
          <w:sz w:val="24"/>
          <w:szCs w:val="24"/>
        </w:rPr>
        <w:t xml:space="preserve">KDPW S.A. </w:t>
      </w:r>
      <w:r w:rsidRPr="004F6220">
        <w:rPr>
          <w:rFonts w:ascii="Times New Roman" w:hAnsi="Times New Roman" w:cs="Times New Roman"/>
          <w:sz w:val="24"/>
          <w:szCs w:val="24"/>
        </w:rPr>
        <w:t>lub podmiot</w:t>
      </w:r>
      <w:r w:rsidR="00B754B7">
        <w:rPr>
          <w:rFonts w:ascii="Times New Roman" w:hAnsi="Times New Roman" w:cs="Times New Roman"/>
          <w:sz w:val="24"/>
          <w:szCs w:val="24"/>
        </w:rPr>
        <w:t>,</w:t>
      </w:r>
      <w:r w:rsidRPr="004F6220">
        <w:rPr>
          <w:rFonts w:ascii="Times New Roman" w:hAnsi="Times New Roman" w:cs="Times New Roman"/>
          <w:sz w:val="24"/>
          <w:szCs w:val="24"/>
        </w:rPr>
        <w:t xml:space="preserve"> o którym mowa w art. 48 ust. 7 lub CCP, Komisja może zalecić takiemu podmiotowi zaprzestanie w wyznaczonym terminie działania naruszającego te przepisy lub niepodejmowanie takiego działania w przyszłości. Zalecenia, jako miękki środek nadzorczy, umożliwią KNF szybkie podejmowanie działań wobec podmiotu w sytuacji, gdy sankcje administracyjne (np. kary finansowe) byłyby w danej sprawie nieadekwatne lub przedwczesne. Pozwoli to na </w:t>
      </w:r>
      <w:r w:rsidRPr="004F6220">
        <w:rPr>
          <w:rFonts w:ascii="Times New Roman" w:hAnsi="Times New Roman" w:cs="Times New Roman"/>
          <w:sz w:val="24"/>
          <w:szCs w:val="24"/>
        </w:rPr>
        <w:lastRenderedPageBreak/>
        <w:t>prewencyjne zapewnienie zgodności z prawem oraz stabilności rynkowej bez konieczności stosowania sankcji administracyjnych w pierwszej kolejności.</w:t>
      </w:r>
    </w:p>
    <w:p w14:paraId="6FAEA81F" w14:textId="06E95AE1" w:rsidR="005479C3" w:rsidRPr="004F6220" w:rsidRDefault="005479C3"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t xml:space="preserve">Zmiana w art. 65 ust. 1 ustawy o obrocie </w:t>
      </w:r>
      <w:r w:rsidR="003A3C41" w:rsidRPr="004F6220">
        <w:rPr>
          <w:rFonts w:ascii="Times New Roman" w:hAnsi="Times New Roman" w:cs="Times New Roman"/>
          <w:b/>
          <w:bCs/>
          <w:sz w:val="24"/>
          <w:szCs w:val="24"/>
        </w:rPr>
        <w:t xml:space="preserve">instrumentami finansowymi </w:t>
      </w:r>
      <w:r w:rsidRPr="004F6220">
        <w:rPr>
          <w:rFonts w:ascii="Times New Roman" w:hAnsi="Times New Roman" w:cs="Times New Roman"/>
          <w:sz w:val="24"/>
          <w:szCs w:val="24"/>
        </w:rPr>
        <w:t>zakłada rezygnację z obowiązku prowadzenia przez podmiot rozliczający, z wyłączeniem podmiotu rozliczającego posiadającego zezwolenie, o którym mowa w art. 68a ust. 5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xml:space="preserve">, odrębnych funduszy zabezpieczających dla danej klasy instrumentów rozliczanych w obrocie zorganizowanym i poza obrotem zorganizowanym. Obowiązek ten wynika wyłącznie z regulacji krajowych i nie znajduje swojego odzwierciedlenia w prawie unijnym. Proponowane rozwiązanie uelastyczni zasady organizacji funduszy zabezpieczających rozliczanie transakcji w obrocie zorganizowanym oraz poza tym obrotem przy zachowaniu obecnego poziomu bezpieczeństwa rozliczanych transakcji. Uchylenie </w:t>
      </w:r>
      <w:r w:rsidRPr="004F6220">
        <w:rPr>
          <w:rFonts w:ascii="Times New Roman" w:hAnsi="Times New Roman" w:cs="Times New Roman"/>
          <w:b/>
          <w:bCs/>
          <w:sz w:val="24"/>
          <w:szCs w:val="24"/>
        </w:rPr>
        <w:t>ust. 2 w art. 65</w:t>
      </w:r>
      <w:r w:rsidRPr="004F6220">
        <w:rPr>
          <w:rFonts w:ascii="Times New Roman" w:hAnsi="Times New Roman" w:cs="Times New Roman"/>
          <w:sz w:val="24"/>
          <w:szCs w:val="24"/>
        </w:rPr>
        <w:t xml:space="preserve"> jest zmianą wynikową, gdyż po zmianie możliwość ustanowienia przez podmiot rozliczający więcej niż jednego funduszu zabezpieczającego dla różnych klas instrumentów finansowych lub dla różnych systemów obrotu wynikać będzie wprost z ust. 1.</w:t>
      </w:r>
    </w:p>
    <w:p w14:paraId="604DAFD9" w14:textId="62966A36" w:rsidR="005479C3" w:rsidRPr="004F6220" w:rsidRDefault="005479C3"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Zmiany w </w:t>
      </w:r>
      <w:r w:rsidRPr="004F6220">
        <w:rPr>
          <w:rFonts w:ascii="Times New Roman" w:hAnsi="Times New Roman" w:cs="Times New Roman"/>
          <w:b/>
          <w:bCs/>
          <w:sz w:val="24"/>
          <w:szCs w:val="24"/>
        </w:rPr>
        <w:t>art. 66 ust. 1 i 2</w:t>
      </w:r>
      <w:r w:rsidRPr="004F6220">
        <w:rPr>
          <w:rFonts w:ascii="Times New Roman" w:hAnsi="Times New Roman" w:cs="Times New Roman"/>
          <w:sz w:val="24"/>
          <w:szCs w:val="24"/>
        </w:rPr>
        <w:t xml:space="preserve"> oraz uchylenie </w:t>
      </w:r>
      <w:r w:rsidRPr="004F6220">
        <w:rPr>
          <w:rFonts w:ascii="Times New Roman" w:hAnsi="Times New Roman" w:cs="Times New Roman"/>
          <w:b/>
          <w:bCs/>
          <w:sz w:val="24"/>
          <w:szCs w:val="24"/>
        </w:rPr>
        <w:t>ust. 5</w:t>
      </w:r>
      <w:r w:rsidR="003A3C41" w:rsidRPr="004F6220">
        <w:rPr>
          <w:rFonts w:ascii="Times New Roman" w:hAnsi="Times New Roman" w:cs="Times New Roman"/>
          <w:b/>
          <w:bCs/>
          <w:sz w:val="24"/>
          <w:szCs w:val="24"/>
        </w:rPr>
        <w:t>,</w:t>
      </w:r>
      <w:r w:rsidRPr="004F6220">
        <w:rPr>
          <w:rFonts w:ascii="Times New Roman" w:hAnsi="Times New Roman" w:cs="Times New Roman"/>
          <w:sz w:val="24"/>
          <w:szCs w:val="24"/>
        </w:rPr>
        <w:t xml:space="preserve"> a także </w:t>
      </w:r>
      <w:r w:rsidRPr="004F6220">
        <w:rPr>
          <w:rFonts w:ascii="Times New Roman" w:hAnsi="Times New Roman" w:cs="Times New Roman"/>
          <w:b/>
          <w:bCs/>
          <w:sz w:val="24"/>
          <w:szCs w:val="24"/>
        </w:rPr>
        <w:t>art. 67 ust. 1 i 3</w:t>
      </w:r>
      <w:r w:rsidRPr="004F6220">
        <w:rPr>
          <w:rFonts w:ascii="Times New Roman" w:hAnsi="Times New Roman" w:cs="Times New Roman"/>
          <w:sz w:val="24"/>
          <w:szCs w:val="24"/>
        </w:rPr>
        <w:t xml:space="preserve"> oraz uchylenie </w:t>
      </w:r>
      <w:r w:rsidRPr="004F6220">
        <w:rPr>
          <w:rFonts w:ascii="Times New Roman" w:hAnsi="Times New Roman" w:cs="Times New Roman"/>
          <w:b/>
          <w:bCs/>
          <w:sz w:val="24"/>
          <w:szCs w:val="24"/>
        </w:rPr>
        <w:t>ust. 4</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mają charakter wynikowy i związane są ze zmianami przewidzianymi w art. 65 ust. 1 tej ustawy. W związku ze zmianą redakcji art. 65 ust. 1 polegającą na rezygnacji z wydzielania w nim punktów odnoszących się do funduszy zabezpieczających rozliczenie transakcji zawieranych w obrocie zorganizowanym oraz poza obrotem zorganizowanym, zasadna jest również rezygnacja z przywoływania w tych przepisach funduszy, o których mowa w </w:t>
      </w:r>
      <w:r w:rsidR="008B0350">
        <w:rPr>
          <w:rFonts w:ascii="Times New Roman" w:hAnsi="Times New Roman" w:cs="Times New Roman"/>
          <w:sz w:val="24"/>
          <w:szCs w:val="24"/>
        </w:rPr>
        <w:t xml:space="preserve">art. </w:t>
      </w:r>
      <w:r w:rsidRPr="004F6220">
        <w:rPr>
          <w:rFonts w:ascii="Times New Roman" w:hAnsi="Times New Roman" w:cs="Times New Roman"/>
          <w:sz w:val="24"/>
          <w:szCs w:val="24"/>
        </w:rPr>
        <w:t xml:space="preserve">65 ust. 1 pkt 1 i 2. Zmiany w </w:t>
      </w:r>
      <w:r w:rsidRPr="004F6220">
        <w:rPr>
          <w:rFonts w:ascii="Times New Roman" w:hAnsi="Times New Roman" w:cs="Times New Roman"/>
          <w:b/>
          <w:bCs/>
          <w:sz w:val="24"/>
          <w:szCs w:val="24"/>
        </w:rPr>
        <w:t>art. 7 w ust. 5 pkt 1</w:t>
      </w:r>
      <w:r w:rsidRPr="004F6220">
        <w:rPr>
          <w:rFonts w:ascii="Times New Roman" w:hAnsi="Times New Roman" w:cs="Times New Roman"/>
          <w:sz w:val="24"/>
          <w:szCs w:val="24"/>
        </w:rPr>
        <w:t xml:space="preserve">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xml:space="preserve"> mają charakter porządkowy i związane są ze zmianami przewidzianymi w art. 65 ust. 1 tej ustawy. Mając na uwadze, że o funduszach zabezpieczających jest mowa wyłącznie w art. 65 ust. 1 oraz art. 68d ust. 1 i 5, a nie całej jednostce redakcyjnej art. 65 i art. 68d, w zmienianym przepisie doprecyzowano tą kwestię. Podobnie zmiany w </w:t>
      </w:r>
      <w:r w:rsidRPr="004F6220">
        <w:rPr>
          <w:rFonts w:ascii="Times New Roman" w:hAnsi="Times New Roman" w:cs="Times New Roman"/>
          <w:b/>
          <w:bCs/>
          <w:sz w:val="24"/>
          <w:szCs w:val="24"/>
        </w:rPr>
        <w:t>art. 48 w ust. 12 pkt 1 i ust. 14</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mają charakter wynikowy i związane są ze zmianami przewidzianymi w art. 65 ust. 1 tej ustawy. W związku ze zmianą redakcji art. 65 ust. 1 polegającą na rezygnacji z wydzielania w nim punktów odnoszących się do funduszy zabezpieczających rozliczenie transakcji zawieranych w obrocie zorganizowanym oraz poza obrotem zorganizowanym, zasadna jest również rezygnacja z przywoływania w tych przepisach funduszy, o których mowa w </w:t>
      </w:r>
      <w:r w:rsidR="008B0350">
        <w:rPr>
          <w:rFonts w:ascii="Times New Roman" w:hAnsi="Times New Roman" w:cs="Times New Roman"/>
          <w:sz w:val="24"/>
          <w:szCs w:val="24"/>
        </w:rPr>
        <w:t xml:space="preserve">art. </w:t>
      </w:r>
      <w:r w:rsidRPr="004F6220">
        <w:rPr>
          <w:rFonts w:ascii="Times New Roman" w:hAnsi="Times New Roman" w:cs="Times New Roman"/>
          <w:sz w:val="24"/>
          <w:szCs w:val="24"/>
        </w:rPr>
        <w:t>65 ust. 1 pkt 1 i 2.</w:t>
      </w:r>
    </w:p>
    <w:p w14:paraId="618380FB" w14:textId="3C6EA50C" w:rsidR="00273F87" w:rsidRPr="004F6220" w:rsidRDefault="00273F87"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lastRenderedPageBreak/>
        <w:t xml:space="preserve">Uchylenie w art. 81c ust. 6 </w:t>
      </w:r>
      <w:r w:rsidRPr="004F6220">
        <w:rPr>
          <w:rFonts w:ascii="Times New Roman" w:hAnsi="Times New Roman" w:cs="Times New Roman"/>
          <w:sz w:val="24"/>
          <w:szCs w:val="24"/>
        </w:rPr>
        <w:t>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xml:space="preserve"> zakłada rezygnację z obowiązku posiadania przez firmę inwestycyjną adekwatnych i skutecznych rozwiązań zabezpieczających pokrycie roszczeń klientów lub osób trzecich o naprawienie szkody wyrządzonej wskutek niewykonania lub nienależytego wykonania umowy outsourcingu. Obowiązki firm inwestycyjnych w przedmiotowym zakresie wynikają obecnie z innych przepisów, które regulują funkcjonowanie systemu zarządzania ryzykiem. W szczególności są to przepisy </w:t>
      </w:r>
      <w:r w:rsidR="00FE36B1">
        <w:rPr>
          <w:rFonts w:ascii="Times New Roman" w:hAnsi="Times New Roman" w:cs="Times New Roman"/>
          <w:sz w:val="24"/>
          <w:szCs w:val="24"/>
        </w:rPr>
        <w:t>d</w:t>
      </w:r>
      <w:r w:rsidRPr="004F6220">
        <w:rPr>
          <w:rFonts w:ascii="Times New Roman" w:hAnsi="Times New Roman" w:cs="Times New Roman"/>
          <w:sz w:val="24"/>
          <w:szCs w:val="24"/>
        </w:rPr>
        <w:t xml:space="preserve">ziału IV, </w:t>
      </w:r>
      <w:r w:rsidR="00FE36B1">
        <w:rPr>
          <w:rFonts w:ascii="Times New Roman" w:hAnsi="Times New Roman" w:cs="Times New Roman"/>
          <w:sz w:val="24"/>
          <w:szCs w:val="24"/>
        </w:rPr>
        <w:t>r</w:t>
      </w:r>
      <w:r w:rsidRPr="004F6220">
        <w:rPr>
          <w:rFonts w:ascii="Times New Roman" w:hAnsi="Times New Roman" w:cs="Times New Roman"/>
          <w:sz w:val="24"/>
          <w:szCs w:val="24"/>
        </w:rPr>
        <w:t xml:space="preserve">ozdziału 1, </w:t>
      </w:r>
      <w:r w:rsidR="00FE36B1">
        <w:rPr>
          <w:rFonts w:ascii="Times New Roman" w:hAnsi="Times New Roman" w:cs="Times New Roman"/>
          <w:sz w:val="24"/>
          <w:szCs w:val="24"/>
        </w:rPr>
        <w:t>o</w:t>
      </w:r>
      <w:r w:rsidRPr="004F6220">
        <w:rPr>
          <w:rFonts w:ascii="Times New Roman" w:hAnsi="Times New Roman" w:cs="Times New Roman"/>
          <w:sz w:val="24"/>
          <w:szCs w:val="24"/>
        </w:rPr>
        <w:t>ddziału</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2a </w:t>
      </w:r>
      <w:r w:rsidR="001378AD" w:rsidRPr="004F6220">
        <w:rPr>
          <w:rFonts w:ascii="Times New Roman" w:hAnsi="Times New Roman" w:cs="Times New Roman"/>
          <w:sz w:val="24"/>
          <w:szCs w:val="24"/>
        </w:rPr>
        <w:t>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xml:space="preserve">, przepisy rozporządzenia wydanego na podstawie art. 110x </w:t>
      </w:r>
      <w:r w:rsidR="001378AD" w:rsidRPr="004F6220">
        <w:rPr>
          <w:rFonts w:ascii="Times New Roman" w:hAnsi="Times New Roman" w:cs="Times New Roman"/>
          <w:sz w:val="24"/>
          <w:szCs w:val="24"/>
        </w:rPr>
        <w:t xml:space="preserve">tej ustawy </w:t>
      </w:r>
      <w:r w:rsidRPr="004F6220">
        <w:rPr>
          <w:rFonts w:ascii="Times New Roman" w:hAnsi="Times New Roman" w:cs="Times New Roman"/>
          <w:sz w:val="24"/>
          <w:szCs w:val="24"/>
        </w:rPr>
        <w:t xml:space="preserve">oraz </w:t>
      </w:r>
      <w:r w:rsidR="001378AD" w:rsidRPr="004F6220">
        <w:rPr>
          <w:rFonts w:ascii="Times New Roman" w:hAnsi="Times New Roman" w:cs="Times New Roman"/>
          <w:sz w:val="24"/>
          <w:szCs w:val="24"/>
        </w:rPr>
        <w:t>rozporządzenia Parlamentu Europejskiego i Rady (UE) 2019/2033 z dnia 27 listopada 2019 r. w sprawie wymogów ostrożnościowych dla firm inwestycyjnych oraz zmieniające</w:t>
      </w:r>
      <w:r w:rsidR="008F4C3C">
        <w:rPr>
          <w:rFonts w:ascii="Times New Roman" w:hAnsi="Times New Roman" w:cs="Times New Roman"/>
          <w:sz w:val="24"/>
          <w:szCs w:val="24"/>
        </w:rPr>
        <w:t>go</w:t>
      </w:r>
      <w:r w:rsidR="001378AD" w:rsidRPr="004F6220">
        <w:rPr>
          <w:rFonts w:ascii="Times New Roman" w:hAnsi="Times New Roman" w:cs="Times New Roman"/>
          <w:sz w:val="24"/>
          <w:szCs w:val="24"/>
        </w:rPr>
        <w:t xml:space="preserve"> rozporządzenia (UE) nr 1093/2010, (UE) nr 575/2013, (UE) nr 600/2014 i (UE) nr 806/2014 (Dz. U</w:t>
      </w:r>
      <w:r w:rsidR="00475E28" w:rsidRPr="004F6220">
        <w:rPr>
          <w:rFonts w:ascii="Times New Roman" w:hAnsi="Times New Roman" w:cs="Times New Roman"/>
          <w:sz w:val="24"/>
          <w:szCs w:val="24"/>
        </w:rPr>
        <w:t>rz</w:t>
      </w:r>
      <w:r w:rsidR="001378AD" w:rsidRPr="004F6220">
        <w:rPr>
          <w:rFonts w:ascii="Times New Roman" w:hAnsi="Times New Roman" w:cs="Times New Roman"/>
          <w:sz w:val="24"/>
          <w:szCs w:val="24"/>
        </w:rPr>
        <w:t>. UE L z 2019 r. 314, s. 1</w:t>
      </w:r>
      <w:r w:rsidR="00475E28" w:rsidRPr="004F6220">
        <w:rPr>
          <w:rFonts w:ascii="Times New Roman" w:hAnsi="Times New Roman" w:cs="Times New Roman"/>
          <w:sz w:val="24"/>
          <w:szCs w:val="24"/>
        </w:rPr>
        <w:t>,</w:t>
      </w:r>
      <w:r w:rsidR="001378AD" w:rsidRPr="004F6220">
        <w:rPr>
          <w:rFonts w:ascii="Times New Roman" w:hAnsi="Times New Roman" w:cs="Times New Roman"/>
          <w:sz w:val="24"/>
          <w:szCs w:val="24"/>
        </w:rPr>
        <w:t xml:space="preserve"> z późn. zm.)</w:t>
      </w:r>
      <w:r w:rsidRPr="004F6220">
        <w:rPr>
          <w:rFonts w:ascii="Times New Roman" w:hAnsi="Times New Roman" w:cs="Times New Roman"/>
          <w:sz w:val="24"/>
          <w:szCs w:val="24"/>
        </w:rPr>
        <w:t xml:space="preserve"> – w przypadku</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domów maklerskich, a także przepisy</w:t>
      </w:r>
      <w:r w:rsidR="00E242D1">
        <w:rPr>
          <w:rFonts w:ascii="Times New Roman" w:hAnsi="Times New Roman" w:cs="Times New Roman"/>
          <w:sz w:val="24"/>
          <w:szCs w:val="24"/>
        </w:rPr>
        <w:t xml:space="preserve"> ustawy –</w:t>
      </w:r>
      <w:r w:rsidRPr="004F6220">
        <w:rPr>
          <w:rFonts w:ascii="Times New Roman" w:hAnsi="Times New Roman" w:cs="Times New Roman"/>
          <w:sz w:val="24"/>
          <w:szCs w:val="24"/>
        </w:rPr>
        <w:t xml:space="preserve"> Praw</w:t>
      </w:r>
      <w:r w:rsidR="00E242D1">
        <w:rPr>
          <w:rFonts w:ascii="Times New Roman" w:hAnsi="Times New Roman" w:cs="Times New Roman"/>
          <w:sz w:val="24"/>
          <w:szCs w:val="24"/>
        </w:rPr>
        <w:t>o</w:t>
      </w:r>
      <w:r w:rsidRPr="004F6220">
        <w:rPr>
          <w:rFonts w:ascii="Times New Roman" w:hAnsi="Times New Roman" w:cs="Times New Roman"/>
          <w:sz w:val="24"/>
          <w:szCs w:val="24"/>
        </w:rPr>
        <w:t xml:space="preserve"> </w:t>
      </w:r>
      <w:r w:rsidR="00470C40">
        <w:rPr>
          <w:rFonts w:ascii="Times New Roman" w:hAnsi="Times New Roman" w:cs="Times New Roman"/>
          <w:sz w:val="24"/>
          <w:szCs w:val="24"/>
        </w:rPr>
        <w:t>b</w:t>
      </w:r>
      <w:r w:rsidRPr="004F6220">
        <w:rPr>
          <w:rFonts w:ascii="Times New Roman" w:hAnsi="Times New Roman" w:cs="Times New Roman"/>
          <w:sz w:val="24"/>
          <w:szCs w:val="24"/>
        </w:rPr>
        <w:t>ankowe, aktów wykonawczych oraz rozporządzeń unijnych,</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w przypadku firm inwestycyjnych będących bankami. </w:t>
      </w:r>
      <w:r w:rsidR="001378AD" w:rsidRPr="004F6220">
        <w:rPr>
          <w:rFonts w:ascii="Times New Roman" w:hAnsi="Times New Roman" w:cs="Times New Roman"/>
          <w:sz w:val="24"/>
          <w:szCs w:val="24"/>
        </w:rPr>
        <w:t>Uchylany p</w:t>
      </w:r>
      <w:r w:rsidRPr="004F6220">
        <w:rPr>
          <w:rFonts w:ascii="Times New Roman" w:hAnsi="Times New Roman" w:cs="Times New Roman"/>
          <w:sz w:val="24"/>
          <w:szCs w:val="24"/>
        </w:rPr>
        <w:t xml:space="preserve">rzepis </w:t>
      </w:r>
      <w:r w:rsidR="001378AD" w:rsidRPr="004F6220">
        <w:rPr>
          <w:rFonts w:ascii="Times New Roman" w:hAnsi="Times New Roman" w:cs="Times New Roman"/>
          <w:sz w:val="24"/>
          <w:szCs w:val="24"/>
        </w:rPr>
        <w:t>j</w:t>
      </w:r>
      <w:r w:rsidRPr="004F6220">
        <w:rPr>
          <w:rFonts w:ascii="Times New Roman" w:hAnsi="Times New Roman" w:cs="Times New Roman"/>
          <w:sz w:val="24"/>
          <w:szCs w:val="24"/>
        </w:rPr>
        <w:t xml:space="preserve">est nadmiarowy, tj. nie wynika z przepisów </w:t>
      </w:r>
      <w:r w:rsidR="001378AD" w:rsidRPr="004F6220">
        <w:rPr>
          <w:rFonts w:ascii="Times New Roman" w:hAnsi="Times New Roman" w:cs="Times New Roman"/>
          <w:sz w:val="24"/>
          <w:szCs w:val="24"/>
        </w:rPr>
        <w:t>unijnych</w:t>
      </w:r>
      <w:r w:rsidRPr="004F6220">
        <w:rPr>
          <w:rFonts w:ascii="Times New Roman" w:hAnsi="Times New Roman" w:cs="Times New Roman"/>
          <w:sz w:val="24"/>
          <w:szCs w:val="24"/>
        </w:rPr>
        <w:t xml:space="preserve"> </w:t>
      </w:r>
      <w:r w:rsidR="00986A69">
        <w:rPr>
          <w:rFonts w:ascii="Times New Roman" w:hAnsi="Times New Roman" w:cs="Times New Roman"/>
          <w:sz w:val="24"/>
          <w:szCs w:val="24"/>
        </w:rPr>
        <w:t>–</w:t>
      </w:r>
      <w:r w:rsidRPr="004F6220">
        <w:rPr>
          <w:rFonts w:ascii="Times New Roman" w:hAnsi="Times New Roman" w:cs="Times New Roman"/>
          <w:sz w:val="24"/>
          <w:szCs w:val="24"/>
        </w:rPr>
        <w:t xml:space="preserve"> żadne regulacje dotyczące przykładowo wyliczania wymogów kapitałowych,</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dodatkowych buforów kapitałowych, MREL, TLAC, postępowania w procedurze przymusowej restrukturyzacji,</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czy chociażby unijne wzory raportowania wymogów kapitałowych przez domy maklerskie i banki, nie</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przewidują takiego wymogu. Podczas gdy wymogi i ryzyka dotyczące outsourcingu</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są już zaadresowane w przepisach regulujących adekwatność kapitałową i zarz</w:t>
      </w:r>
      <w:r w:rsidR="00470C40">
        <w:rPr>
          <w:rFonts w:ascii="Times New Roman" w:hAnsi="Times New Roman" w:cs="Times New Roman"/>
          <w:sz w:val="24"/>
          <w:szCs w:val="24"/>
        </w:rPr>
        <w:t>ą</w:t>
      </w:r>
      <w:r w:rsidRPr="004F6220">
        <w:rPr>
          <w:rFonts w:ascii="Times New Roman" w:hAnsi="Times New Roman" w:cs="Times New Roman"/>
          <w:sz w:val="24"/>
          <w:szCs w:val="24"/>
        </w:rPr>
        <w:t xml:space="preserve">dzanie ryzykiem, </w:t>
      </w:r>
      <w:r w:rsidR="001378AD" w:rsidRPr="004F6220">
        <w:rPr>
          <w:rFonts w:ascii="Times New Roman" w:hAnsi="Times New Roman" w:cs="Times New Roman"/>
          <w:sz w:val="24"/>
          <w:szCs w:val="24"/>
        </w:rPr>
        <w:t xml:space="preserve">uchylany </w:t>
      </w:r>
      <w:r w:rsidRPr="004F6220">
        <w:rPr>
          <w:rFonts w:ascii="Times New Roman" w:hAnsi="Times New Roman" w:cs="Times New Roman"/>
          <w:sz w:val="24"/>
          <w:szCs w:val="24"/>
        </w:rPr>
        <w:t>przepis może sugerować, że zamiarem prawodawcy było nałożenie podwójnego obowiązku w zakresie</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odnoszącym się do ryzyk z tytułu outsourcingu i </w:t>
      </w:r>
      <w:r w:rsidR="001378AD" w:rsidRPr="004F6220">
        <w:rPr>
          <w:rFonts w:ascii="Times New Roman" w:hAnsi="Times New Roman" w:cs="Times New Roman"/>
          <w:sz w:val="24"/>
          <w:szCs w:val="24"/>
        </w:rPr>
        <w:t>dodanie</w:t>
      </w:r>
      <w:r w:rsidRPr="004F6220">
        <w:rPr>
          <w:rFonts w:ascii="Times New Roman" w:hAnsi="Times New Roman" w:cs="Times New Roman"/>
          <w:sz w:val="24"/>
          <w:szCs w:val="24"/>
        </w:rPr>
        <w:t xml:space="preserve"> dodatkowych wymogów kapitałowych przez firmy</w:t>
      </w:r>
      <w:r w:rsidR="001378AD" w:rsidRPr="004F6220">
        <w:rPr>
          <w:rFonts w:ascii="Times New Roman" w:hAnsi="Times New Roman" w:cs="Times New Roman"/>
          <w:sz w:val="24"/>
          <w:szCs w:val="24"/>
        </w:rPr>
        <w:t xml:space="preserve"> </w:t>
      </w:r>
      <w:r w:rsidRPr="004F6220">
        <w:rPr>
          <w:rFonts w:ascii="Times New Roman" w:hAnsi="Times New Roman" w:cs="Times New Roman"/>
          <w:sz w:val="24"/>
          <w:szCs w:val="24"/>
        </w:rPr>
        <w:t>inwestycyjne niezależnie od innych przepisów.</w:t>
      </w:r>
    </w:p>
    <w:p w14:paraId="443BCAED" w14:textId="57E9A626" w:rsidR="00F928A7" w:rsidRPr="004F6220" w:rsidRDefault="00F152E0"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t>Uchylenie w art. 94 w ust. 1 w pkt 1 lit. h</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zakłada rezygnację z określania przez ministra właściwego do spraw instytucji finansowych obowiązków przekazywania klientom sprawozdań związanych z usługami maklerskimi wskazanymi w art. 69 ust. 2 pkt 1 i 5 oraz ust. 4 pkt 6 i 8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(tj. w odniesieniu do przyjmowania i przekazywania zleceń, doradztwa inwestycyjnego, sporządzania analiz i rekomendacji ogólnych oraz działalności odpowiadającej działalności maklerskiej odnoszącej się do instrumentów bazowych dla instrumentów pochodnych). Wskazany przepis należy uznać za nadmiarowy z uwagi na fakt, iż materia sprawozdań z wykonania usług jest już uregulowana przepisami rozporządzenia 2017/565. Przepisy tego rozporządzenia wskazują w zakresie, których usług maklerskich </w:t>
      </w:r>
      <w:r w:rsidRPr="004F6220">
        <w:rPr>
          <w:rFonts w:ascii="Times New Roman" w:hAnsi="Times New Roman" w:cs="Times New Roman"/>
          <w:sz w:val="24"/>
          <w:szCs w:val="24"/>
        </w:rPr>
        <w:lastRenderedPageBreak/>
        <w:t>przekazanie sprawozdań jest obligatoryjne. Oznacza to, że klient nie może wskazać, że z tych sprawozdań nie korzysta i że nie chce ich otrzymywać. Takie oświadczenie klienta byłoby nieskuteczne, tj. nie zwalniałoby firmy inwestycyjnej z ich przekazywania. Ponadto przepisy rozporządzenia 2017/565 nie nakładają obowiązku przekazywania sprawozdań w odniesieniu do wyżej wymienionych usług. Odnoszą się one jedynie do usługi wykonywania zleceń dotyczących instrumentów finansowych oraz usługi zarządzania portfelem i w tym względzie wydają się być proporcjonalne. Wykonanie obowiązków sprawozdawczych stanowi koszt dla firmy inwestycyjnej, który ostatecznie obciąża jej klientów, w ramach opłat za korzystanie z usług. Dlatego w braku szczególnego uzasadnienia dla obligatoryjności sporządzenia sprawozdań, powinna obowiązywać swoboda kontraktowa. To klient powinien decydować</w:t>
      </w:r>
      <w:r w:rsidR="00475E28" w:rsidRPr="004F6220">
        <w:rPr>
          <w:rFonts w:ascii="Times New Roman" w:hAnsi="Times New Roman" w:cs="Times New Roman"/>
          <w:sz w:val="24"/>
          <w:szCs w:val="24"/>
        </w:rPr>
        <w:t>,</w:t>
      </w:r>
      <w:r w:rsidRPr="004F6220">
        <w:rPr>
          <w:rFonts w:ascii="Times New Roman" w:hAnsi="Times New Roman" w:cs="Times New Roman"/>
          <w:sz w:val="24"/>
          <w:szCs w:val="24"/>
        </w:rPr>
        <w:t xml:space="preserve"> czy chce korzystać z danego sprawozdania, a co za tym idzie ponosić koszty jego sporządzenia. Usunięcie przedmiotowego przepisu pozostawia swobodę kontraktową firmom inwestycyjnym i ich klientom, umożliwiając uwzględnienie obowiązków sprawozdawczych w odniesieniu do ww. usług, jeśli strony widzą wynikającą z nich wartość dodaną, polegającą w szczególności na faktycznym wykorzystywaniu przez klientów tychże sprawozdań.</w:t>
      </w:r>
    </w:p>
    <w:p w14:paraId="276ADAB1" w14:textId="3997E8A1" w:rsidR="00933F7B" w:rsidRPr="004F6220" w:rsidRDefault="008C33CF"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Z</w:t>
      </w:r>
      <w:r w:rsidR="00933F7B" w:rsidRPr="004F6220">
        <w:rPr>
          <w:rFonts w:ascii="Times New Roman" w:hAnsi="Times New Roman" w:cs="Times New Roman"/>
          <w:sz w:val="24"/>
          <w:szCs w:val="24"/>
        </w:rPr>
        <w:t xml:space="preserve">miana </w:t>
      </w:r>
      <w:r w:rsidR="00933F7B" w:rsidRPr="004F6220">
        <w:rPr>
          <w:rFonts w:ascii="Times New Roman" w:hAnsi="Times New Roman" w:cs="Times New Roman"/>
          <w:b/>
          <w:bCs/>
          <w:sz w:val="24"/>
          <w:szCs w:val="24"/>
        </w:rPr>
        <w:t>art. 95 ust. 5</w:t>
      </w:r>
      <w:r w:rsidR="00933F7B" w:rsidRPr="004F6220">
        <w:rPr>
          <w:rFonts w:ascii="Times New Roman" w:hAnsi="Times New Roman" w:cs="Times New Roman"/>
          <w:sz w:val="24"/>
          <w:szCs w:val="24"/>
        </w:rPr>
        <w:t xml:space="preserve">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xml:space="preserve"> modyfikuje </w:t>
      </w:r>
      <w:r w:rsidR="00933F7B" w:rsidRPr="004F6220">
        <w:rPr>
          <w:rFonts w:ascii="Times New Roman" w:hAnsi="Times New Roman" w:cs="Times New Roman"/>
          <w:sz w:val="24"/>
          <w:szCs w:val="24"/>
        </w:rPr>
        <w:t>zwolnienie z wykazywania, że zapłata za akcje domu maklerskiego nie pochodzi z nieudokumentowanych źródeł, pożyczek, kredytów albo nie jest w inny sposób obciążona</w:t>
      </w:r>
      <w:r w:rsidRPr="004F6220">
        <w:rPr>
          <w:rFonts w:ascii="Times New Roman" w:hAnsi="Times New Roman" w:cs="Times New Roman"/>
          <w:sz w:val="24"/>
          <w:szCs w:val="24"/>
        </w:rPr>
        <w:t xml:space="preserve"> w taki sposób, aby </w:t>
      </w:r>
      <w:r w:rsidR="00933F7B" w:rsidRPr="004F6220">
        <w:rPr>
          <w:rFonts w:ascii="Times New Roman" w:hAnsi="Times New Roman" w:cs="Times New Roman"/>
          <w:sz w:val="24"/>
          <w:szCs w:val="24"/>
        </w:rPr>
        <w:t xml:space="preserve">dotyczyło </w:t>
      </w:r>
      <w:r w:rsidRPr="004F6220">
        <w:rPr>
          <w:rFonts w:ascii="Times New Roman" w:hAnsi="Times New Roman" w:cs="Times New Roman"/>
          <w:sz w:val="24"/>
          <w:szCs w:val="24"/>
        </w:rPr>
        <w:t xml:space="preserve">ono </w:t>
      </w:r>
      <w:r w:rsidR="00933F7B" w:rsidRPr="004F6220">
        <w:rPr>
          <w:rFonts w:ascii="Times New Roman" w:hAnsi="Times New Roman" w:cs="Times New Roman"/>
          <w:sz w:val="24"/>
          <w:szCs w:val="24"/>
        </w:rPr>
        <w:t>nabycia akcji dopuszczonych do obrotu na rynku regulowanym, w ASO lub na OTF, a nie jak obecnie</w:t>
      </w:r>
      <w:r w:rsidRPr="004F6220">
        <w:rPr>
          <w:rFonts w:ascii="Times New Roman" w:hAnsi="Times New Roman" w:cs="Times New Roman"/>
          <w:sz w:val="24"/>
          <w:szCs w:val="24"/>
        </w:rPr>
        <w:t xml:space="preserve"> – wyłącznie </w:t>
      </w:r>
      <w:r w:rsidR="00933F7B" w:rsidRPr="004F6220">
        <w:rPr>
          <w:rFonts w:ascii="Times New Roman" w:hAnsi="Times New Roman" w:cs="Times New Roman"/>
          <w:sz w:val="24"/>
          <w:szCs w:val="24"/>
        </w:rPr>
        <w:t xml:space="preserve">zdematerializowanych. </w:t>
      </w:r>
      <w:r w:rsidRPr="004F6220">
        <w:rPr>
          <w:rFonts w:ascii="Times New Roman" w:hAnsi="Times New Roman" w:cs="Times New Roman"/>
          <w:sz w:val="24"/>
          <w:szCs w:val="24"/>
        </w:rPr>
        <w:t>Z</w:t>
      </w:r>
      <w:r w:rsidR="00933F7B" w:rsidRPr="004F6220">
        <w:rPr>
          <w:rFonts w:ascii="Times New Roman" w:hAnsi="Times New Roman" w:cs="Times New Roman"/>
          <w:sz w:val="24"/>
          <w:szCs w:val="24"/>
        </w:rPr>
        <w:t xml:space="preserve">miana uwzględnia zmiany przepisów </w:t>
      </w:r>
      <w:r w:rsidRPr="004F6220">
        <w:rPr>
          <w:rFonts w:ascii="Times New Roman" w:hAnsi="Times New Roman" w:cs="Times New Roman"/>
          <w:sz w:val="24"/>
          <w:szCs w:val="24"/>
        </w:rPr>
        <w:t>Kodeksu spółek handlowych</w:t>
      </w:r>
      <w:r w:rsidR="00933F7B" w:rsidRPr="004F6220">
        <w:rPr>
          <w:rFonts w:ascii="Times New Roman" w:hAnsi="Times New Roman" w:cs="Times New Roman"/>
          <w:sz w:val="24"/>
          <w:szCs w:val="24"/>
        </w:rPr>
        <w:t>, na podstawie których również akcje spółek nienotowanych w systemach obrotu mogą być zdematerializowane w rozumieniu przepisów 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00933F7B" w:rsidRPr="004F6220">
        <w:rPr>
          <w:rFonts w:ascii="Times New Roman" w:hAnsi="Times New Roman" w:cs="Times New Roman"/>
          <w:sz w:val="24"/>
          <w:szCs w:val="24"/>
        </w:rPr>
        <w:t xml:space="preserve"> (zamiast zapisu w rejestrze akcjonariuszy). Wyłączenie to powinno dotyczyć akcji domu maklerskiego dopuszczonych do obrotu w systemach obrotu, ponieważ wyłącznie w przypadku akcji zdematerializowanych i nienotowanych w systemach obrotu, zapłata za te akcje </w:t>
      </w:r>
      <w:r w:rsidRPr="004F6220">
        <w:rPr>
          <w:rFonts w:ascii="Times New Roman" w:hAnsi="Times New Roman" w:cs="Times New Roman"/>
          <w:sz w:val="24"/>
          <w:szCs w:val="24"/>
        </w:rPr>
        <w:t xml:space="preserve">powinna być </w:t>
      </w:r>
      <w:r w:rsidR="00933F7B" w:rsidRPr="004F6220">
        <w:rPr>
          <w:rFonts w:ascii="Times New Roman" w:hAnsi="Times New Roman" w:cs="Times New Roman"/>
          <w:sz w:val="24"/>
          <w:szCs w:val="24"/>
        </w:rPr>
        <w:t>weryfikowana pod względem źródła pochodzenia środków.</w:t>
      </w:r>
    </w:p>
    <w:p w14:paraId="00AFC4F5" w14:textId="524DCDCF" w:rsidR="008B4AB5" w:rsidRPr="004F6220" w:rsidRDefault="008B4AB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Zgodnie z art. 25 ust. 3 dyrektywy 2014/65 oraz przepisami rozporządzenia</w:t>
      </w:r>
      <w:r w:rsidR="00750A6C" w:rsidRPr="004F6220">
        <w:rPr>
          <w:rFonts w:ascii="Times New Roman" w:hAnsi="Times New Roman" w:cs="Times New Roman"/>
          <w:sz w:val="24"/>
          <w:szCs w:val="24"/>
        </w:rPr>
        <w:t xml:space="preserve"> </w:t>
      </w:r>
      <w:r w:rsidRPr="004F6220">
        <w:rPr>
          <w:rFonts w:ascii="Times New Roman" w:hAnsi="Times New Roman" w:cs="Times New Roman"/>
          <w:sz w:val="24"/>
          <w:szCs w:val="24"/>
        </w:rPr>
        <w:t>2017/565, w przypadku świadczenia usług, o których mowa w tych przepisach, firma inwestycyjna jest obowiązana pozyskać od klienta lub potencjalnego klienta informacje dotyczące jego wiedzy i doświadczenia w dziedzinie inwestycji, odpowiednie do rodzaju oferowanego lub wymaganego produktu lub usługi, w celu umożliwienia dokonania oceny ich adekwatności.</w:t>
      </w:r>
      <w:r w:rsidR="00750A6C"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Wyjątek od obowiązku przeprowadzenia oceny adekwatności przewidziano w przypadku świadczenia </w:t>
      </w:r>
      <w:r w:rsidRPr="004F6220">
        <w:rPr>
          <w:rFonts w:ascii="Times New Roman" w:hAnsi="Times New Roman" w:cs="Times New Roman"/>
          <w:sz w:val="24"/>
          <w:szCs w:val="24"/>
        </w:rPr>
        <w:lastRenderedPageBreak/>
        <w:t xml:space="preserve">usług dotyczących nieskomplikowanych instrumentów finansowych, jeżeli spełnione są warunki określone w art. 25 ust. 4 dyrektywy 2014/65, w tym warunek, aby zawarcie umowy </w:t>
      </w:r>
      <w:r w:rsidR="00750A6C" w:rsidRPr="004F6220">
        <w:rPr>
          <w:rFonts w:ascii="Times New Roman" w:hAnsi="Times New Roman" w:cs="Times New Roman"/>
          <w:sz w:val="24"/>
          <w:szCs w:val="24"/>
        </w:rPr>
        <w:t xml:space="preserve">miało miejsce </w:t>
      </w:r>
      <w:r w:rsidRPr="004F6220">
        <w:rPr>
          <w:rFonts w:ascii="Times New Roman" w:hAnsi="Times New Roman" w:cs="Times New Roman"/>
          <w:sz w:val="24"/>
          <w:szCs w:val="24"/>
        </w:rPr>
        <w:t>z inicjatywy klienta lub potencjalnego klienta. W przypadku niespełnienia tych warunków ocena adekwatności jest przeprowadzana również w odniesieniu do nieskomplikowanych instrumentów finansowych.</w:t>
      </w:r>
      <w:r w:rsidR="00750A6C" w:rsidRPr="004F6220">
        <w:rPr>
          <w:rFonts w:ascii="Times New Roman" w:hAnsi="Times New Roman" w:cs="Times New Roman"/>
          <w:sz w:val="24"/>
          <w:szCs w:val="24"/>
        </w:rPr>
        <w:t xml:space="preserve"> Jednocześnie art. 25 ust. 3 dyrektywy 2014/65 stanowi, że informacje dotyczące wiedzy i doświadczenia klienta lub potencjalnego klienta powinny być odpowiednie do rodzaju oferowanego lub wymaganego produktu lub usługi. Przepis ten nie przesądza o szczegółowym zakresie informacji, jakie powinny być pozyskiwane od klienta w odniesieniu do poszczególnych rodzajów instrumentów finansowych. W praktyce prowadzi to do różnic w sposobie przeprowadzania badania adekwatności przez firmy inwestycyjne, w szczególności w odniesieniu do nieskomplikowanych instrumentów finansowych. Sytuacja taka </w:t>
      </w:r>
      <w:r w:rsidRPr="004F6220">
        <w:rPr>
          <w:rFonts w:ascii="Times New Roman" w:hAnsi="Times New Roman" w:cs="Times New Roman"/>
          <w:sz w:val="24"/>
          <w:szCs w:val="24"/>
        </w:rPr>
        <w:t>może prowadzić do nakładania na klientów obowiązków informacyjnych wykraczających poza informacje niezbędne do dokonania oceny adekwatności nieskomplikowanego instrumentu finansowego</w:t>
      </w:r>
      <w:r w:rsidR="00750A6C" w:rsidRPr="004F6220">
        <w:rPr>
          <w:rFonts w:ascii="Times New Roman" w:hAnsi="Times New Roman" w:cs="Times New Roman"/>
          <w:sz w:val="24"/>
          <w:szCs w:val="24"/>
        </w:rPr>
        <w:t xml:space="preserve">, a także może </w:t>
      </w:r>
      <w:r w:rsidRPr="004F6220">
        <w:rPr>
          <w:rFonts w:ascii="Times New Roman" w:hAnsi="Times New Roman" w:cs="Times New Roman"/>
          <w:sz w:val="24"/>
          <w:szCs w:val="24"/>
        </w:rPr>
        <w:t>zwiększać bariery w korzystaniu z usług przyjmowania i przekazywania zleceń lub wykonywania zleceń.</w:t>
      </w:r>
    </w:p>
    <w:p w14:paraId="67E30B8A" w14:textId="50977276" w:rsidR="008B4AB5" w:rsidRPr="004F6220" w:rsidRDefault="008B4AB5"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Celem projektowanej zmiany </w:t>
      </w:r>
      <w:r w:rsidRPr="004F6220">
        <w:rPr>
          <w:rFonts w:ascii="Times New Roman" w:hAnsi="Times New Roman" w:cs="Times New Roman"/>
          <w:b/>
          <w:bCs/>
          <w:sz w:val="24"/>
          <w:szCs w:val="24"/>
        </w:rPr>
        <w:t>art.</w:t>
      </w:r>
      <w:r w:rsidR="00750A6C" w:rsidRPr="004F6220">
        <w:rPr>
          <w:rFonts w:ascii="Times New Roman" w:hAnsi="Times New Roman" w:cs="Times New Roman"/>
          <w:b/>
          <w:bCs/>
          <w:sz w:val="24"/>
          <w:szCs w:val="24"/>
        </w:rPr>
        <w:t> </w:t>
      </w:r>
      <w:r w:rsidRPr="004F6220">
        <w:rPr>
          <w:rFonts w:ascii="Times New Roman" w:hAnsi="Times New Roman" w:cs="Times New Roman"/>
          <w:b/>
          <w:bCs/>
          <w:sz w:val="24"/>
          <w:szCs w:val="24"/>
        </w:rPr>
        <w:t>83h</w:t>
      </w:r>
      <w:r w:rsidRPr="004F6220">
        <w:rPr>
          <w:rFonts w:ascii="Times New Roman" w:hAnsi="Times New Roman" w:cs="Times New Roman"/>
          <w:sz w:val="24"/>
          <w:szCs w:val="24"/>
        </w:rPr>
        <w:t xml:space="preserve"> ustawy o obrocie instrumentami finansowymi jest doprecyzowanie zakresu badania wiedzy klienta w przypadku, gdy umowa dotycząca nieskomplikowanych instrumentów finansowych nie jest zawierana z inicjatywy klienta lub potencjalnego klienta, a tym samym nie jest możliwe zastosowanie wyłączenia obowiązku przeprowadzenia oceny adekwatności, o którym mowa w art. 83h ust. 5 pkt 1 ustawy.</w:t>
      </w:r>
      <w:r w:rsidR="00750A6C"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Zgodnie z projektowanym art. 83h ust. 5a firma inwestycyjna będzie w takim przypadku przeprowadzała badanie wiedzy klienta w ograniczonym zakresie, obejmującym rozumienie podstawowych cech nieskomplikowanych instrumentów finansowych </w:t>
      </w:r>
      <w:r w:rsidR="00750A6C" w:rsidRPr="004F6220">
        <w:rPr>
          <w:rFonts w:ascii="Times New Roman" w:hAnsi="Times New Roman" w:cs="Times New Roman"/>
          <w:sz w:val="24"/>
          <w:szCs w:val="24"/>
        </w:rPr>
        <w:t xml:space="preserve">danego rodzaju </w:t>
      </w:r>
      <w:r w:rsidRPr="004F6220">
        <w:rPr>
          <w:rFonts w:ascii="Times New Roman" w:hAnsi="Times New Roman" w:cs="Times New Roman"/>
          <w:sz w:val="24"/>
          <w:szCs w:val="24"/>
        </w:rPr>
        <w:t>oraz zależności pomiędzy ryzykiem a potencjalnym zyskiem. Zakres ten odpowiada podstawowym informacjom niezbędnym do ustalenia, czy klient rozumie charakter instrumentu finansowego, którego dotyczy świadczona usługa, przy jednoczesnym uwzględnieniu zasady, zgodnie z którą informacje pozyskiwane od klienta powinny być odpowiednie do rodzaju oferowanego lub wymaganego produktu lub usługi.</w:t>
      </w:r>
      <w:r w:rsidR="0099452E" w:rsidRPr="004F6220">
        <w:rPr>
          <w:rFonts w:ascii="Times New Roman" w:hAnsi="Times New Roman" w:cs="Times New Roman"/>
          <w:sz w:val="24"/>
          <w:szCs w:val="24"/>
        </w:rPr>
        <w:t xml:space="preserve"> </w:t>
      </w:r>
      <w:r w:rsidRPr="004F6220">
        <w:rPr>
          <w:rFonts w:ascii="Times New Roman" w:hAnsi="Times New Roman" w:cs="Times New Roman"/>
          <w:sz w:val="24"/>
          <w:szCs w:val="24"/>
        </w:rPr>
        <w:t>Projektowana regulacja ma zatem na celu zapewnienie proporcjonalności obowiązków związanych z oceną adekwatności do charakteru oferowanych instrumentów finansowych, ograniczenie nadmiernych wymogów informacyjnych wobec klientów oraz ujednolicenie praktyki stosowanej przez firmy inwestycyjne w odniesieniu do nieskomplikowanych instrumentów finansowych.</w:t>
      </w:r>
    </w:p>
    <w:p w14:paraId="0F326A79" w14:textId="046A8692" w:rsidR="004D253B" w:rsidRPr="004F6220" w:rsidRDefault="004D253B"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hAnsi="Times New Roman" w:cs="Times New Roman"/>
          <w:sz w:val="24"/>
          <w:szCs w:val="24"/>
        </w:rPr>
        <w:lastRenderedPageBreak/>
        <w:t xml:space="preserve">Zmiana </w:t>
      </w:r>
      <w:r w:rsidRPr="004F6220">
        <w:rPr>
          <w:rFonts w:ascii="Times New Roman" w:hAnsi="Times New Roman" w:cs="Times New Roman"/>
          <w:b/>
          <w:bCs/>
          <w:sz w:val="24"/>
          <w:szCs w:val="24"/>
        </w:rPr>
        <w:t>art. 111 ust. 2 pkt 2</w:t>
      </w:r>
      <w:r w:rsidRPr="004F6220">
        <w:rPr>
          <w:rFonts w:ascii="Times New Roman" w:hAnsi="Times New Roman" w:cs="Times New Roman"/>
          <w:sz w:val="24"/>
          <w:szCs w:val="24"/>
        </w:rPr>
        <w:t xml:space="preserve"> ustawy o obrocie instrumentami finansowymi ma na celu uzupełnienie katalogu informacji i dokumentów, które bank jest obowiązany przedstawić w postępowaniu w sprawie udzielenia zezwolenia na prowadzenie działalności maklerskiej, o informacje, o których mowa w art. 6 lit. d rozporządzenia delegowanego Komisji (UE) 2017/1943 z dnia 14 lipca 2016 r. uzupełniającego dyrektywę Parlamentu Europejskiego i Rady 2014/65/UE w odniesieniu do regulacyjnych standardów technicznych dotyczących informacji i wymogów dla celów udzielania zezwoleń firmom inwestycyjnym, zwanego dalej „rozporządzeniem 2017/1943”. Brak odesłania w art. 111 ust. 2 pkt 2 ustawy o obrocie instrumentami finansowymi do art. 6 lit. d rozporządzenia 2017/1943 powodował, że w przypadku banku ubiegającego się o zezwolenie na prowadzenie działalności maklerskiej organ nadzoru nie otrzymywał na etapie postępowania w sprawie udzielenia zezwolenia informacji dotyczących statusu działań podejmowanych w celu uzyskania uczestnictwa w obowiązkowym systemie rekompensat. W konsekwencji bank mógł nie być obowiązany do podjęcia działań zapewniających zawarcie umowy o uczestnictwo w systemie rekompensat w terminie pozwalającym na rozpoczęcie uczestnictwa w tym systemie z chwilą uzyskania zezwolenia na prowadzenie działalności maklerskiej. Tymczasem zgodnie z art. 135 ust. 3 ustawy o obrocie instrumentami finansowymi bank wykonujący działalność maklerską powinien stać się uczestnikiem obowiązkowego systemu rekompensat z chwilą udzielenia zezwolenia uprawniającego do prowadzenia tej działalności. Z tego względu informacje dotyczące podjęcia przez wnioskodawcę działań w zakresie przystąpienia do systemu rekompensat mają znaczenie dla oceny, czy z chwilą uzyskania zezwolenia będzie on spełniał wszystkie wymogi związane z rozpoczęciem działalności maklerskiej. Dodatkowo, projektowane rozwiązanie zapewni spójność regulacji dotyczących postępowania w sprawie udzielenia zezwolenia na prowadzenie działalności maklerskiej przez banki z regulacjami dotyczącymi innych podmiotów wykonujących działalność na rynku kapitałowym. </w:t>
      </w:r>
    </w:p>
    <w:p w14:paraId="06433185" w14:textId="4ACB0C60" w:rsidR="00E86E91" w:rsidRPr="004F6220" w:rsidRDefault="00E86E91"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Dodanie </w:t>
      </w:r>
      <w:r w:rsidRPr="004F6220">
        <w:rPr>
          <w:rFonts w:ascii="Times New Roman" w:eastAsia="Times New Roman" w:hAnsi="Times New Roman" w:cs="Times New Roman"/>
          <w:b/>
          <w:bCs/>
          <w:sz w:val="24"/>
          <w:szCs w:val="24"/>
          <w:lang w:eastAsia="pl-PL"/>
        </w:rPr>
        <w:t>art. 146i</w:t>
      </w:r>
      <w:r w:rsidRPr="004F6220">
        <w:rPr>
          <w:rFonts w:ascii="Times New Roman" w:eastAsia="Times New Roman" w:hAnsi="Times New Roman" w:cs="Times New Roman"/>
          <w:sz w:val="24"/>
          <w:szCs w:val="24"/>
          <w:lang w:eastAsia="pl-PL"/>
        </w:rPr>
        <w:t xml:space="preserve"> w ustawie o obrocie</w:t>
      </w:r>
      <w:r w:rsidR="003A3C41" w:rsidRPr="004F6220">
        <w:rPr>
          <w:rFonts w:ascii="Times New Roman" w:eastAsia="Times New Roman" w:hAnsi="Times New Roman" w:cs="Times New Roman"/>
          <w:sz w:val="24"/>
          <w:szCs w:val="24"/>
          <w:lang w:eastAsia="pl-PL"/>
        </w:rPr>
        <w:t xml:space="preserve"> instrumentami finansowymi</w:t>
      </w:r>
      <w:r w:rsidRPr="004F6220">
        <w:rPr>
          <w:rFonts w:ascii="Times New Roman" w:eastAsia="Times New Roman" w:hAnsi="Times New Roman" w:cs="Times New Roman"/>
          <w:sz w:val="24"/>
          <w:szCs w:val="24"/>
          <w:lang w:eastAsia="pl-PL"/>
        </w:rPr>
        <w:t xml:space="preserve"> ma na celu wdrożenie do prawa krajowego art. 24 ust. 3d dyrektywy 2014/65 dodanego art. 1 pkt 2 dyrektywy 2024/2811. Przepis ten zobowiązuje państwa członkowskie do zapewnienia, aby emitent mógł przedstawić sponsorowane przez siebie badania odpowiedniemu organowi zbierającemu dane zdefiniowanemu w art. 2 pkt 2 rozporządzenia Parlamentu Europejskiego i Rady (UE) 2023/2859 z dnia 13 grudnia 2023 r. w sprawie ustanowienia europejskiego pojedynczego punktu dostępu zapewniającego scentralizowany dostęp do publicznie dostępnych informacji mających znaczenie dla usług finansowych, rynków kapitałowych i zrównoważonego rozwoju </w:t>
      </w:r>
      <w:r w:rsidRPr="004F6220">
        <w:rPr>
          <w:rFonts w:ascii="Times New Roman" w:eastAsia="Times New Roman" w:hAnsi="Times New Roman" w:cs="Times New Roman"/>
          <w:sz w:val="24"/>
          <w:szCs w:val="24"/>
          <w:lang w:eastAsia="pl-PL"/>
        </w:rPr>
        <w:lastRenderedPageBreak/>
        <w:t xml:space="preserve">(Dz. Urz. UE L 2023/2859, z 20.12.2023). Rozporządzenie 2023/2859 ustanawia na poziomie Unii Europejskiej europejski pojedynczy punkt dostępu, tzw. ESAP. Zgodnie z art. 1 ust. 1 rozporządzenia 2023/2859 w ESAP mają być zamieszczane dwojakiego rodzaju informacje, tj. podawane do wiadomości publicznej informacje wymagane przepisami prawa z zakresu rynku kapitałowego oraz informacje przekazywane dobrowolnie przez podmioty podlegające prawu państwa członkowskiego, wynikające z przepisów prawa z zakresu rynku kapitałowego. Zgodnie z wdrażanym art. 3d akapit pierwszy państwa członkowskie zapewniają, aby emitent mógł przedstawić sponsorowane przez siebie badania, co wskazuje na dobrowolny charakter przekazania takich badań. Sprawia to jednocześnie, że do przekazania takich badań znajdzie zastosowanie art. 3 rozporządzenia 2023/2859. Zgodnie z art. 3aa ustawy o nadzorze nad rynkiem finansowym </w:t>
      </w:r>
      <w:r w:rsidR="00190B89">
        <w:rPr>
          <w:rFonts w:ascii="Times New Roman" w:eastAsia="Times New Roman" w:hAnsi="Times New Roman" w:cs="Times New Roman"/>
          <w:sz w:val="24"/>
          <w:szCs w:val="24"/>
          <w:lang w:eastAsia="pl-PL"/>
        </w:rPr>
        <w:t>do</w:t>
      </w:r>
      <w:r w:rsidRPr="004F6220">
        <w:rPr>
          <w:rFonts w:ascii="Times New Roman" w:eastAsia="Times New Roman" w:hAnsi="Times New Roman" w:cs="Times New Roman"/>
          <w:sz w:val="24"/>
          <w:szCs w:val="24"/>
          <w:lang w:eastAsia="pl-PL"/>
        </w:rPr>
        <w:t xml:space="preserve">danym art. 12 ustawy z dnia 17 kwietnia 2026 r. o zmianie niektórych ustaw w związku z przekazywaniem informacji do europejskiego pojedynczego punktu dostępu (Dz. U. poz. 644) – przepis wejdzie w życie z dniem 10 stycznia 2030 r. – Komisja Nadzoru Finansowego jest organem zbierającym dane w rozumieniu art. 2 pkt 2 rozporządzenia 2023/2859 w zakresie informacji, o których mowa w art. 1 ust. 1 lit. b tego rozporządzenia, tj. informacji przekazywanych do ESAP dobrowolnie. Projektowany art. 146i ust. 2 ustawy o obrocie </w:t>
      </w:r>
      <w:r w:rsidR="003A3C41" w:rsidRPr="004F6220">
        <w:rPr>
          <w:rFonts w:ascii="Times New Roman" w:eastAsia="Times New Roman" w:hAnsi="Times New Roman" w:cs="Times New Roman"/>
          <w:sz w:val="24"/>
          <w:szCs w:val="24"/>
          <w:lang w:eastAsia="pl-PL"/>
        </w:rPr>
        <w:t xml:space="preserve">instrumentami finansowymi </w:t>
      </w:r>
      <w:r w:rsidRPr="004F6220">
        <w:rPr>
          <w:rFonts w:ascii="Times New Roman" w:eastAsia="Times New Roman" w:hAnsi="Times New Roman" w:cs="Times New Roman"/>
          <w:sz w:val="24"/>
          <w:szCs w:val="24"/>
          <w:lang w:eastAsia="pl-PL"/>
        </w:rPr>
        <w:t>przewiduje, że emitent</w:t>
      </w:r>
      <w:r w:rsidR="008B0350">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 xml:space="preserve"> przekazując Komisji Nadzoru Finansowego badania inwestycyjne sponsorowane przez emitenta </w:t>
      </w:r>
      <w:r w:rsidR="006D3075" w:rsidRPr="004F6220">
        <w:rPr>
          <w:rFonts w:ascii="Times New Roman" w:eastAsia="Times New Roman" w:hAnsi="Times New Roman" w:cs="Times New Roman"/>
          <w:sz w:val="24"/>
          <w:szCs w:val="24"/>
          <w:lang w:eastAsia="pl-PL"/>
        </w:rPr>
        <w:t xml:space="preserve">w celu </w:t>
      </w:r>
      <w:r w:rsidRPr="004F6220">
        <w:rPr>
          <w:rFonts w:ascii="Times New Roman" w:eastAsia="Times New Roman" w:hAnsi="Times New Roman" w:cs="Times New Roman"/>
          <w:sz w:val="24"/>
          <w:szCs w:val="24"/>
          <w:lang w:eastAsia="pl-PL"/>
        </w:rPr>
        <w:t xml:space="preserve">ich udostępnienia w ESAP, zgodnie z wdrażanym przepisem, będzie obowiązany do opatrzenia ich metadaną wskazującą, że są one zgodne z unijnym kodeksem postępowania dotyczącym badań sponsorowanych przez emitenta. Przepis ten stanowi uzupełnienie metadanych, które są wymagane przy dobrowolnym przekazywaniu informacji na podstawie art. 3 ust. 1 rozporządzenia 2023/2859. W art. 146i ust. 4, zgodnie z wdrażanym art. 24 ust. 3d akapitem drugim zdanie drugie dyrektywy 2014/65/UE doprecyzowano, że przekazane Komisji Nadzoru Finansowego badania inwestycyjne sponsorowane przez emitenta celem ich udostępnienia w ESAP nie są uznawane za informacje regulowane, o których mowa w art. 2 lit. l rozporządzenia 2017/1129 oraz za analizy inwestycyjne, o których </w:t>
      </w:r>
      <w:r w:rsidR="008B0350">
        <w:rPr>
          <w:rFonts w:ascii="Times New Roman" w:eastAsia="Times New Roman" w:hAnsi="Times New Roman" w:cs="Times New Roman"/>
          <w:sz w:val="24"/>
          <w:szCs w:val="24"/>
          <w:lang w:eastAsia="pl-PL"/>
        </w:rPr>
        <w:t>m</w:t>
      </w:r>
      <w:r w:rsidRPr="004F6220">
        <w:rPr>
          <w:rFonts w:ascii="Times New Roman" w:eastAsia="Times New Roman" w:hAnsi="Times New Roman" w:cs="Times New Roman"/>
          <w:sz w:val="24"/>
          <w:szCs w:val="24"/>
          <w:lang w:eastAsia="pl-PL"/>
        </w:rPr>
        <w:t xml:space="preserve">owa w art. 69 ust. 4 pkt 6, a co za tym idzie nie powinny podlegać kontroli Komisji Nadzoru Finansowego w zakresie odpowiadającym kontroli nad takimi informacjami oraz analizami. Zauważenia jednocześnie wymaga, że skoro zgodnie z art. 3 ust. 1 rozporządzenia 2023/2859 dobrowolne przekazywanie informacji do ESAP będzie możliwe dopiero od dnia 10 stycznia 2030 r., projektowany przepis art. 146i ustawy o obrocie </w:t>
      </w:r>
      <w:r w:rsidR="003A3C41" w:rsidRPr="004F6220">
        <w:rPr>
          <w:rFonts w:ascii="Times New Roman" w:eastAsia="Times New Roman" w:hAnsi="Times New Roman" w:cs="Times New Roman"/>
          <w:sz w:val="24"/>
          <w:szCs w:val="24"/>
          <w:lang w:eastAsia="pl-PL"/>
        </w:rPr>
        <w:t xml:space="preserve">instrumentami finansowymi </w:t>
      </w:r>
      <w:r w:rsidRPr="004F6220">
        <w:rPr>
          <w:rFonts w:ascii="Times New Roman" w:eastAsia="Times New Roman" w:hAnsi="Times New Roman" w:cs="Times New Roman"/>
          <w:sz w:val="24"/>
          <w:szCs w:val="24"/>
          <w:lang w:eastAsia="pl-PL"/>
        </w:rPr>
        <w:t>powinien wejść w życie z dniem 10 stycznia 2030</w:t>
      </w:r>
      <w:r w:rsidR="00BB779F"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r.</w:t>
      </w:r>
    </w:p>
    <w:p w14:paraId="543471AB" w14:textId="533A58A0" w:rsidR="00562672" w:rsidRPr="004F6220" w:rsidRDefault="00E948A1"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b/>
          <w:bCs/>
          <w:sz w:val="24"/>
          <w:szCs w:val="24"/>
        </w:rPr>
        <w:lastRenderedPageBreak/>
        <w:t>Dodanie w art. 167 ust. 13 i 14</w:t>
      </w:r>
      <w:r w:rsidRPr="004F6220">
        <w:rPr>
          <w:rFonts w:ascii="Times New Roman" w:hAnsi="Times New Roman" w:cs="Times New Roman"/>
          <w:sz w:val="24"/>
          <w:szCs w:val="24"/>
        </w:rPr>
        <w:t xml:space="preserve"> ustawy o obrocie</w:t>
      </w:r>
      <w:r w:rsidR="003A3C41" w:rsidRPr="004F6220">
        <w:rPr>
          <w:rFonts w:ascii="Times New Roman" w:eastAsia="Times New Roman" w:hAnsi="Times New Roman" w:cs="Times New Roman"/>
          <w:sz w:val="24"/>
          <w:szCs w:val="24"/>
          <w:lang w:eastAsia="pl-PL"/>
        </w:rPr>
        <w:t xml:space="preserve"> instrumentami finansowymi</w:t>
      </w:r>
      <w:r w:rsidR="003A3C41" w:rsidRPr="004F6220" w:rsidDel="003A3C41">
        <w:rPr>
          <w:rFonts w:ascii="Times New Roman" w:hAnsi="Times New Roman" w:cs="Times New Roman"/>
          <w:sz w:val="24"/>
          <w:szCs w:val="24"/>
        </w:rPr>
        <w:t xml:space="preserve"> </w:t>
      </w:r>
      <w:r w:rsidRPr="004F6220">
        <w:rPr>
          <w:rFonts w:ascii="Times New Roman" w:hAnsi="Times New Roman" w:cs="Times New Roman"/>
          <w:sz w:val="24"/>
          <w:szCs w:val="24"/>
        </w:rPr>
        <w:t xml:space="preserve">ma na celu uzupełnienie uprawnień nadzorczych KNF </w:t>
      </w:r>
      <w:r w:rsidR="00842B2C" w:rsidRPr="004F6220">
        <w:rPr>
          <w:rFonts w:ascii="Times New Roman" w:hAnsi="Times New Roman" w:cs="Times New Roman"/>
          <w:sz w:val="24"/>
          <w:szCs w:val="24"/>
        </w:rPr>
        <w:t xml:space="preserve">o uprawnienia wynikające z </w:t>
      </w:r>
      <w:r w:rsidRPr="004F6220">
        <w:rPr>
          <w:rFonts w:ascii="Times New Roman" w:hAnsi="Times New Roman" w:cs="Times New Roman"/>
          <w:sz w:val="24"/>
          <w:szCs w:val="24"/>
        </w:rPr>
        <w:t>art. 30 ust. 2 li</w:t>
      </w:r>
      <w:r w:rsidR="00AC7ECB" w:rsidRPr="004F6220">
        <w:rPr>
          <w:rFonts w:ascii="Times New Roman" w:hAnsi="Times New Roman" w:cs="Times New Roman"/>
          <w:sz w:val="24"/>
          <w:szCs w:val="24"/>
        </w:rPr>
        <w:t>t</w:t>
      </w:r>
      <w:r w:rsidRPr="004F6220">
        <w:rPr>
          <w:rFonts w:ascii="Times New Roman" w:hAnsi="Times New Roman" w:cs="Times New Roman"/>
          <w:sz w:val="24"/>
          <w:szCs w:val="24"/>
        </w:rPr>
        <w:t>. e i f rozporządzenia 596/2014</w:t>
      </w:r>
      <w:r w:rsidR="00997689" w:rsidRPr="004F6220">
        <w:rPr>
          <w:rFonts w:ascii="Times New Roman" w:hAnsi="Times New Roman" w:cs="Times New Roman"/>
          <w:sz w:val="24"/>
          <w:szCs w:val="24"/>
        </w:rPr>
        <w:t xml:space="preserve"> w brzmieniu nadanym rozporządzeniem 2024/2809</w:t>
      </w:r>
      <w:r w:rsidRPr="004F6220">
        <w:rPr>
          <w:rFonts w:ascii="Times New Roman" w:hAnsi="Times New Roman" w:cs="Times New Roman"/>
          <w:sz w:val="24"/>
          <w:szCs w:val="24"/>
        </w:rPr>
        <w:t xml:space="preserve">. </w:t>
      </w:r>
      <w:r w:rsidR="00842B2C" w:rsidRPr="004F6220">
        <w:rPr>
          <w:rFonts w:ascii="Times New Roman" w:hAnsi="Times New Roman" w:cs="Times New Roman"/>
          <w:sz w:val="24"/>
          <w:szCs w:val="24"/>
        </w:rPr>
        <w:t>Przepisy te zobowiązują państwa członkowskie do uprawnienia w prawie krajowym właściwych organów do tymczasowego zakazu sprawowania funkcji zarządczych w firmach inwestycyjnych wobec każdej osoby pełniącej obowiązki zarządcze w firmie inwestycyjnej lub każdej innej osoby fizycznej uznanej za odpowiedzialną za popełnienie naruszenia określonych przepisów tego rozporządz</w:t>
      </w:r>
      <w:r w:rsidR="0095195C" w:rsidRPr="004F6220">
        <w:rPr>
          <w:rFonts w:ascii="Times New Roman" w:hAnsi="Times New Roman" w:cs="Times New Roman"/>
          <w:sz w:val="24"/>
          <w:szCs w:val="24"/>
        </w:rPr>
        <w:t>e</w:t>
      </w:r>
      <w:r w:rsidR="00842B2C" w:rsidRPr="004F6220">
        <w:rPr>
          <w:rFonts w:ascii="Times New Roman" w:hAnsi="Times New Roman" w:cs="Times New Roman"/>
          <w:sz w:val="24"/>
          <w:szCs w:val="24"/>
        </w:rPr>
        <w:t>ni</w:t>
      </w:r>
      <w:r w:rsidR="0095195C" w:rsidRPr="004F6220">
        <w:rPr>
          <w:rFonts w:ascii="Times New Roman" w:hAnsi="Times New Roman" w:cs="Times New Roman"/>
          <w:sz w:val="24"/>
          <w:szCs w:val="24"/>
        </w:rPr>
        <w:t>a</w:t>
      </w:r>
      <w:r w:rsidR="00842B2C" w:rsidRPr="004F6220">
        <w:rPr>
          <w:rFonts w:ascii="Times New Roman" w:hAnsi="Times New Roman" w:cs="Times New Roman"/>
          <w:sz w:val="24"/>
          <w:szCs w:val="24"/>
        </w:rPr>
        <w:t xml:space="preserve">. </w:t>
      </w:r>
      <w:r w:rsidR="008827AF" w:rsidRPr="004F6220">
        <w:rPr>
          <w:rFonts w:ascii="Times New Roman" w:hAnsi="Times New Roman" w:cs="Times New Roman"/>
          <w:sz w:val="24"/>
          <w:szCs w:val="24"/>
        </w:rPr>
        <w:t xml:space="preserve">Zgodnie z dodawanym </w:t>
      </w:r>
      <w:r w:rsidR="00562672" w:rsidRPr="004F6220">
        <w:rPr>
          <w:rFonts w:ascii="Times New Roman" w:hAnsi="Times New Roman" w:cs="Times New Roman"/>
          <w:sz w:val="24"/>
          <w:szCs w:val="24"/>
        </w:rPr>
        <w:t>ust. 14</w:t>
      </w:r>
      <w:r w:rsidR="008827AF" w:rsidRPr="004F6220">
        <w:rPr>
          <w:rFonts w:ascii="Times New Roman" w:hAnsi="Times New Roman" w:cs="Times New Roman"/>
          <w:sz w:val="24"/>
          <w:szCs w:val="24"/>
        </w:rPr>
        <w:t xml:space="preserve"> </w:t>
      </w:r>
      <w:r w:rsidR="00562672" w:rsidRPr="004F6220">
        <w:rPr>
          <w:rFonts w:ascii="Times New Roman" w:hAnsi="Times New Roman" w:cs="Times New Roman"/>
          <w:sz w:val="24"/>
          <w:szCs w:val="24"/>
        </w:rPr>
        <w:t>w przypadku ponownego skazania przez sąd karny osoby fizycznej np. za manipulacje instrumentem finansowym lub za wykorzystanie/ujawnienie informacji poufnych, KNF zostanie wyposażona w uprawnienie do zastosowania sankcji administracyjnej polegającej na zakazie pełnienia funkcji członka zarządu firmy inwestycyjnej lub pełnienia funkcji kierowniczych</w:t>
      </w:r>
      <w:r w:rsidR="008827AF" w:rsidRPr="005D621C">
        <w:rPr>
          <w:rFonts w:ascii="Times New Roman" w:hAnsi="Times New Roman" w:cs="Times New Roman"/>
          <w:sz w:val="24"/>
          <w:szCs w:val="24"/>
        </w:rPr>
        <w:t xml:space="preserve"> </w:t>
      </w:r>
      <w:r w:rsidR="008827AF" w:rsidRPr="004F6220">
        <w:rPr>
          <w:rFonts w:ascii="Times New Roman" w:hAnsi="Times New Roman" w:cs="Times New Roman"/>
          <w:sz w:val="24"/>
          <w:szCs w:val="24"/>
        </w:rPr>
        <w:t>na okres co najmniej 1</w:t>
      </w:r>
      <w:r w:rsidR="00166CA2" w:rsidRPr="004F6220">
        <w:rPr>
          <w:rFonts w:ascii="Times New Roman" w:hAnsi="Times New Roman" w:cs="Times New Roman"/>
          <w:sz w:val="24"/>
          <w:szCs w:val="24"/>
        </w:rPr>
        <w:t xml:space="preserve"> roku</w:t>
      </w:r>
      <w:r w:rsidR="008827AF" w:rsidRPr="004F6220">
        <w:rPr>
          <w:rFonts w:ascii="Times New Roman" w:hAnsi="Times New Roman" w:cs="Times New Roman"/>
          <w:sz w:val="24"/>
          <w:szCs w:val="24"/>
        </w:rPr>
        <w:t xml:space="preserve">, niedłużej niż 15 lat. </w:t>
      </w:r>
      <w:r w:rsidR="001A5742" w:rsidRPr="004F6220">
        <w:rPr>
          <w:rFonts w:ascii="Times New Roman" w:hAnsi="Times New Roman" w:cs="Times New Roman"/>
          <w:sz w:val="24"/>
          <w:szCs w:val="24"/>
        </w:rPr>
        <w:t xml:space="preserve">Przepis ten transponuje </w:t>
      </w:r>
      <w:r w:rsidR="00562672" w:rsidRPr="004F6220">
        <w:rPr>
          <w:rFonts w:ascii="Times New Roman" w:hAnsi="Times New Roman" w:cs="Times New Roman"/>
          <w:sz w:val="24"/>
          <w:szCs w:val="24"/>
        </w:rPr>
        <w:t xml:space="preserve">art. 30 ust. 2f rozporządzenia 596/2014 </w:t>
      </w:r>
      <w:r w:rsidR="001A5742" w:rsidRPr="004F6220">
        <w:rPr>
          <w:rFonts w:ascii="Times New Roman" w:hAnsi="Times New Roman" w:cs="Times New Roman"/>
          <w:sz w:val="24"/>
          <w:szCs w:val="24"/>
        </w:rPr>
        <w:t xml:space="preserve">w brzmieniu nadanym rozporządzeniem 2024/2809. </w:t>
      </w:r>
      <w:r w:rsidR="00562672" w:rsidRPr="004F6220">
        <w:rPr>
          <w:rFonts w:ascii="Times New Roman" w:hAnsi="Times New Roman" w:cs="Times New Roman"/>
          <w:sz w:val="24"/>
          <w:szCs w:val="24"/>
        </w:rPr>
        <w:t xml:space="preserve">Przyznanie KNF tego uprawnienia </w:t>
      </w:r>
      <w:r w:rsidR="001A5742" w:rsidRPr="004F6220">
        <w:rPr>
          <w:rFonts w:ascii="Times New Roman" w:hAnsi="Times New Roman" w:cs="Times New Roman"/>
          <w:sz w:val="24"/>
          <w:szCs w:val="24"/>
        </w:rPr>
        <w:t xml:space="preserve">będzie </w:t>
      </w:r>
      <w:r w:rsidR="00562672" w:rsidRPr="004F6220">
        <w:rPr>
          <w:rFonts w:ascii="Times New Roman" w:hAnsi="Times New Roman" w:cs="Times New Roman"/>
          <w:sz w:val="24"/>
          <w:szCs w:val="24"/>
        </w:rPr>
        <w:t>miało nie tylko walor sankcyjny wobec osoby, która popełniła te przestępstwa, ale przede wszystkim walor ochronny dla firm inwestycyjnych</w:t>
      </w:r>
      <w:r w:rsidR="008C738E">
        <w:rPr>
          <w:rFonts w:ascii="Times New Roman" w:hAnsi="Times New Roman" w:cs="Times New Roman"/>
          <w:sz w:val="24"/>
          <w:szCs w:val="24"/>
        </w:rPr>
        <w:t>,</w:t>
      </w:r>
      <w:r w:rsidR="00562672" w:rsidRPr="004F6220">
        <w:rPr>
          <w:rFonts w:ascii="Times New Roman" w:hAnsi="Times New Roman" w:cs="Times New Roman"/>
          <w:sz w:val="24"/>
          <w:szCs w:val="24"/>
        </w:rPr>
        <w:t xml:space="preserve"> ponieważ KNF w ramach nadzoru mogłaby zdecydować, że osoba skazana w warunkach recydywy za wykorzystanie informacji poufnych, nie będzie pełniła funkcji kierowniczych w firmach inwestycyjnych. </w:t>
      </w:r>
      <w:r w:rsidR="001A5742" w:rsidRPr="004F6220">
        <w:rPr>
          <w:rFonts w:ascii="Times New Roman" w:hAnsi="Times New Roman" w:cs="Times New Roman"/>
          <w:sz w:val="24"/>
          <w:szCs w:val="24"/>
        </w:rPr>
        <w:t xml:space="preserve">W przedmiotowym zakresie </w:t>
      </w:r>
      <w:r w:rsidR="00562672" w:rsidRPr="004F6220">
        <w:rPr>
          <w:rFonts w:ascii="Times New Roman" w:hAnsi="Times New Roman" w:cs="Times New Roman"/>
          <w:sz w:val="24"/>
          <w:szCs w:val="24"/>
        </w:rPr>
        <w:t xml:space="preserve">można </w:t>
      </w:r>
      <w:r w:rsidR="001A5742" w:rsidRPr="004F6220">
        <w:rPr>
          <w:rFonts w:ascii="Times New Roman" w:hAnsi="Times New Roman" w:cs="Times New Roman"/>
          <w:sz w:val="24"/>
          <w:szCs w:val="24"/>
        </w:rPr>
        <w:t xml:space="preserve">również </w:t>
      </w:r>
      <w:r w:rsidR="00562672" w:rsidRPr="004F6220">
        <w:rPr>
          <w:rFonts w:ascii="Times New Roman" w:hAnsi="Times New Roman" w:cs="Times New Roman"/>
          <w:sz w:val="24"/>
          <w:szCs w:val="24"/>
        </w:rPr>
        <w:t>przyjąć, że implementacja art. 30 ust. 2 lit</w:t>
      </w:r>
      <w:r w:rsidR="000A47E9" w:rsidRPr="004F6220">
        <w:rPr>
          <w:rFonts w:ascii="Times New Roman" w:hAnsi="Times New Roman" w:cs="Times New Roman"/>
          <w:sz w:val="24"/>
          <w:szCs w:val="24"/>
        </w:rPr>
        <w:t>. </w:t>
      </w:r>
      <w:r w:rsidR="00562672" w:rsidRPr="004F6220">
        <w:rPr>
          <w:rFonts w:ascii="Times New Roman" w:hAnsi="Times New Roman" w:cs="Times New Roman"/>
          <w:sz w:val="24"/>
          <w:szCs w:val="24"/>
        </w:rPr>
        <w:t>f rozporządzenia 596/2014</w:t>
      </w:r>
      <w:r w:rsidR="001A5742" w:rsidRPr="004F6220">
        <w:rPr>
          <w:rFonts w:ascii="Times New Roman" w:hAnsi="Times New Roman" w:cs="Times New Roman"/>
          <w:sz w:val="24"/>
          <w:szCs w:val="24"/>
        </w:rPr>
        <w:t xml:space="preserve"> w brzmieniu nadanym rozporządzeniem 2024/2809</w:t>
      </w:r>
      <w:r w:rsidR="00562672" w:rsidRPr="004F6220">
        <w:rPr>
          <w:rFonts w:ascii="Times New Roman" w:hAnsi="Times New Roman" w:cs="Times New Roman"/>
          <w:sz w:val="24"/>
          <w:szCs w:val="24"/>
        </w:rPr>
        <w:t xml:space="preserve"> </w:t>
      </w:r>
      <w:r w:rsidR="001A5742" w:rsidRPr="004F6220">
        <w:rPr>
          <w:rFonts w:ascii="Times New Roman" w:hAnsi="Times New Roman" w:cs="Times New Roman"/>
          <w:sz w:val="24"/>
          <w:szCs w:val="24"/>
        </w:rPr>
        <w:t xml:space="preserve">jest już transponowana </w:t>
      </w:r>
      <w:r w:rsidR="00562672" w:rsidRPr="004F6220">
        <w:rPr>
          <w:rFonts w:ascii="Times New Roman" w:hAnsi="Times New Roman" w:cs="Times New Roman"/>
          <w:sz w:val="24"/>
          <w:szCs w:val="24"/>
        </w:rPr>
        <w:t>na gruncie przepisów Kodeksu karnego ponieważ sąd orzekając środek karny, o którym mowa w art. 39 pkt 2 Kodeksu karnego (zakaz zajmowania określonych stanowisk), zgodnie z art. 43 § 1 Kodeksu karnego orzeka taki środek na okres od roku do lat 15. Wskazać jednak należy, że orzekanie środków karnych w postaci zakazu pełnienia funkcji w przypadku przestępstw wykorzystania/ujawnienia informacji poufnych lub manipulacji instrumentem finansowym jest fakultatywne dla sądu</w:t>
      </w:r>
      <w:r w:rsidR="001A5742" w:rsidRPr="004F6220">
        <w:rPr>
          <w:rFonts w:ascii="Times New Roman" w:hAnsi="Times New Roman" w:cs="Times New Roman"/>
          <w:sz w:val="24"/>
          <w:szCs w:val="24"/>
        </w:rPr>
        <w:t>, a ponadto przewiduje możliwość orzeczenia krótszego okresu dla takiego zakazu.</w:t>
      </w:r>
    </w:p>
    <w:p w14:paraId="6865C5C0" w14:textId="6B03526E" w:rsidR="000747FC" w:rsidRPr="004F6220" w:rsidRDefault="002052B6" w:rsidP="005D621C">
      <w:pPr>
        <w:spacing w:before="120" w:after="0" w:line="360" w:lineRule="auto"/>
        <w:jc w:val="both"/>
        <w:rPr>
          <w:rFonts w:ascii="Times New Roman" w:hAnsi="Times New Roman" w:cs="Times New Roman"/>
          <w:sz w:val="24"/>
          <w:szCs w:val="24"/>
        </w:rPr>
      </w:pPr>
      <w:bookmarkStart w:id="4" w:name="_Hlk224215590"/>
      <w:r w:rsidRPr="004F6220">
        <w:rPr>
          <w:rFonts w:ascii="Times New Roman" w:hAnsi="Times New Roman" w:cs="Times New Roman"/>
          <w:b/>
          <w:bCs/>
          <w:sz w:val="24"/>
          <w:szCs w:val="24"/>
        </w:rPr>
        <w:t>Zmiany w art. 173 ust. 7 pkt 2 i ust. 7</w:t>
      </w:r>
      <w:r w:rsidR="00C874E6" w:rsidRPr="004F6220">
        <w:rPr>
          <w:rFonts w:ascii="Times New Roman" w:hAnsi="Times New Roman" w:cs="Times New Roman"/>
          <w:b/>
          <w:bCs/>
          <w:sz w:val="24"/>
          <w:szCs w:val="24"/>
        </w:rPr>
        <w:t>b</w:t>
      </w:r>
      <w:r w:rsidRPr="004F6220">
        <w:rPr>
          <w:rFonts w:ascii="Times New Roman" w:hAnsi="Times New Roman" w:cs="Times New Roman"/>
          <w:b/>
          <w:bCs/>
          <w:sz w:val="24"/>
          <w:szCs w:val="24"/>
        </w:rPr>
        <w:t>, art. 175 ust. 1 pkt 2 i ust. 1a, art. 175a oraz art. 176 ust. 1 i 1a</w:t>
      </w:r>
      <w:r w:rsidRPr="004F6220">
        <w:rPr>
          <w:rFonts w:ascii="Times New Roman" w:hAnsi="Times New Roman" w:cs="Times New Roman"/>
          <w:sz w:val="24"/>
          <w:szCs w:val="24"/>
        </w:rPr>
        <w:t xml:space="preserve"> ustawy o obrocie </w:t>
      </w:r>
      <w:r w:rsidR="003A3C41" w:rsidRPr="004F6220">
        <w:rPr>
          <w:rFonts w:ascii="Times New Roman" w:eastAsia="Times New Roman" w:hAnsi="Times New Roman" w:cs="Times New Roman"/>
          <w:sz w:val="24"/>
          <w:szCs w:val="24"/>
          <w:lang w:eastAsia="pl-PL"/>
        </w:rPr>
        <w:t>instrumentami finansowymi</w:t>
      </w:r>
      <w:r w:rsidR="003A3C41"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mają na celu dostosowanie zasad ustalania wysokości sankcji pieniężnych do przepisów </w:t>
      </w:r>
      <w:r w:rsidR="00AC7ECB" w:rsidRPr="004F6220">
        <w:rPr>
          <w:rFonts w:ascii="Times New Roman" w:hAnsi="Times New Roman" w:cs="Times New Roman"/>
          <w:sz w:val="24"/>
          <w:szCs w:val="24"/>
        </w:rPr>
        <w:t xml:space="preserve">z art. 30 ust. 2 lit. j rozporządzenia 596/2014 w brzmieniu nadanym rozporządzeniem </w:t>
      </w:r>
      <w:bookmarkStart w:id="5" w:name="_Hlk223450530"/>
      <w:r w:rsidR="00AC7ECB" w:rsidRPr="004F6220">
        <w:rPr>
          <w:rFonts w:ascii="Times New Roman" w:hAnsi="Times New Roman" w:cs="Times New Roman"/>
          <w:sz w:val="24"/>
          <w:szCs w:val="24"/>
        </w:rPr>
        <w:t>2024/2809</w:t>
      </w:r>
      <w:bookmarkEnd w:id="5"/>
      <w:r w:rsidR="00AC7ECB" w:rsidRPr="004F6220">
        <w:rPr>
          <w:rFonts w:ascii="Times New Roman" w:hAnsi="Times New Roman" w:cs="Times New Roman"/>
          <w:sz w:val="24"/>
          <w:szCs w:val="24"/>
        </w:rPr>
        <w:t>. Jak zauważono w recitalu 80 preambuły rozporządzenia 2024/2809</w:t>
      </w:r>
      <w:r w:rsidR="00475E28" w:rsidRPr="004F6220">
        <w:rPr>
          <w:rFonts w:ascii="Times New Roman" w:hAnsi="Times New Roman" w:cs="Times New Roman"/>
          <w:sz w:val="24"/>
          <w:szCs w:val="24"/>
        </w:rPr>
        <w:t>,</w:t>
      </w:r>
      <w:r w:rsidR="00AC7ECB" w:rsidRPr="004F6220">
        <w:rPr>
          <w:rFonts w:ascii="Times New Roman" w:hAnsi="Times New Roman" w:cs="Times New Roman"/>
          <w:sz w:val="24"/>
          <w:szCs w:val="24"/>
        </w:rPr>
        <w:t xml:space="preserve"> ryzyko nieumyślnego naruszenia wymogów dotyczących ujawniania informacji wynikających z rozporządzenia 596/2014 i związane z nim </w:t>
      </w:r>
      <w:r w:rsidR="00AC7ECB" w:rsidRPr="004F6220">
        <w:rPr>
          <w:rFonts w:ascii="Times New Roman" w:hAnsi="Times New Roman" w:cs="Times New Roman"/>
          <w:sz w:val="24"/>
          <w:szCs w:val="24"/>
        </w:rPr>
        <w:lastRenderedPageBreak/>
        <w:t>sankcje administracyjne są ważnym czynnikiem zniechęcającym spółki do ubiegania się o dopuszczenie do obrotu. Aby uniknąć nadmiernego obciążenia spółek, w szczególności MŚP, w tym mikroprzedsiębiorstw, ostateczna kwota sankcji za naruszenia popełnione przez osoby prawne w związku z wymogami dotyczącymi ujawniania informacji powinna być proporcjonalna do wielkości spółki. Aby zapewnić proporcjonalność, kwoty takich sankcji należy, co do zasady, ustalać na podstawie całkowitego rocznego obrotu spółki. Niemniej w przypadku gdy przy zastosowaniu maksymalnej kwoty opartej na całkowitym rocznym obrocie ostateczna kwota nałożonych sankcji byłaby nieproporcjonalnie niska w świetle okoliczności określonych w art. 31 rozporządzenia 596/2014, rozporządzenie to zobowiązało państwa członkowskie, aby właściwe organy krajowe mogły zwiększyć ostateczną kwotę sankcji. W takich przypadkach zezwolono również państwom członkowskim na stosowanie w jego prawie krajowym wobec MŚP niższego maksymalnego poziomu sankcji, wyrażonego w kwotach bezwzględnych, jako sposobu zapewnienia ich proporcjonalnego traktowania</w:t>
      </w:r>
      <w:r w:rsidR="00267DC5" w:rsidRPr="004F6220">
        <w:rPr>
          <w:rFonts w:ascii="Times New Roman" w:hAnsi="Times New Roman" w:cs="Times New Roman"/>
          <w:sz w:val="24"/>
          <w:szCs w:val="24"/>
        </w:rPr>
        <w:t>, przy czym zasada ta nie znalazła zastosowania w zmianie art. 173 ust. 7 pkt 2 i ust. 7b ustawy o obrocie instrumentami finansowymi, gdyż nie została zawarta w art. 30 ust. 2 lit. j ppkt v rozporządzenia 596/2014, który jest wdrażany tym przepisem.</w:t>
      </w:r>
      <w:r w:rsidR="00E368DE" w:rsidRPr="004F6220">
        <w:rPr>
          <w:rFonts w:ascii="Times New Roman" w:hAnsi="Times New Roman" w:cs="Times New Roman"/>
          <w:sz w:val="24"/>
          <w:szCs w:val="24"/>
        </w:rPr>
        <w:t xml:space="preserve"> W art. 30 ust. 2 lit. j ppkt v rozporządzenia 596/2014 zostały przewidziane sankcje na osoby prawne, które sporządzają lub rozpowszechniają rekomendacje inwestycyjne lub inne informacje rekomendujące lub sugerujące strategię inwestycyjną, w przypadku gdy naruszają one przepisy art. 20 tego rozporządzenia. Przepis ten nie dotyczy zatem spółek, w szczególności MŚP</w:t>
      </w:r>
      <w:r w:rsidR="006F1A14" w:rsidRPr="004F6220">
        <w:rPr>
          <w:rFonts w:ascii="Times New Roman" w:hAnsi="Times New Roman" w:cs="Times New Roman"/>
          <w:sz w:val="24"/>
          <w:szCs w:val="24"/>
        </w:rPr>
        <w:t>,</w:t>
      </w:r>
      <w:r w:rsidR="00E368DE" w:rsidRPr="004F6220">
        <w:rPr>
          <w:rFonts w:ascii="Times New Roman" w:hAnsi="Times New Roman" w:cs="Times New Roman"/>
          <w:sz w:val="24"/>
          <w:szCs w:val="24"/>
        </w:rPr>
        <w:t xml:space="preserve"> ubiegających się o dopuszczenie do obrotu, </w:t>
      </w:r>
      <w:r w:rsidR="006F1A14" w:rsidRPr="004F6220">
        <w:rPr>
          <w:rFonts w:ascii="Times New Roman" w:hAnsi="Times New Roman" w:cs="Times New Roman"/>
          <w:sz w:val="24"/>
          <w:szCs w:val="24"/>
        </w:rPr>
        <w:t xml:space="preserve">które są jednym z zasadniczych beneficjentów zmian </w:t>
      </w:r>
      <w:r w:rsidR="00E368DE" w:rsidRPr="004F6220">
        <w:rPr>
          <w:rFonts w:ascii="Times New Roman" w:hAnsi="Times New Roman" w:cs="Times New Roman"/>
          <w:sz w:val="24"/>
          <w:szCs w:val="24"/>
        </w:rPr>
        <w:t xml:space="preserve">w </w:t>
      </w:r>
      <w:r w:rsidR="006F1A14" w:rsidRPr="004F6220">
        <w:rPr>
          <w:rFonts w:ascii="Times New Roman" w:hAnsi="Times New Roman" w:cs="Times New Roman"/>
          <w:sz w:val="24"/>
          <w:szCs w:val="24"/>
        </w:rPr>
        <w:t>art. 30 ust. 2 lit. j ppkt iii oraz iv rozporządzenia 596/2014</w:t>
      </w:r>
      <w:bookmarkStart w:id="6" w:name="_Hlk243397626"/>
      <w:r w:rsidR="00E368DE" w:rsidRPr="004F6220">
        <w:rPr>
          <w:rFonts w:ascii="Times New Roman" w:hAnsi="Times New Roman" w:cs="Times New Roman"/>
          <w:sz w:val="24"/>
          <w:szCs w:val="24"/>
        </w:rPr>
        <w:t>.</w:t>
      </w:r>
      <w:r w:rsidR="00D900C8" w:rsidRPr="004F6220">
        <w:rPr>
          <w:rFonts w:ascii="Times New Roman" w:hAnsi="Times New Roman" w:cs="Times New Roman"/>
          <w:sz w:val="24"/>
          <w:szCs w:val="24"/>
        </w:rPr>
        <w:t xml:space="preserve"> Jednocześnie zauważenia wymaga, że w projekcie ustawy odstąpiono od dodawania przepisu przejściowego wskazującego na względniejsze stosowanie zmienionych przepisów przy nakładaniu przez </w:t>
      </w:r>
      <w:r w:rsidR="00782667" w:rsidRPr="004F6220">
        <w:rPr>
          <w:rFonts w:ascii="Times New Roman" w:hAnsi="Times New Roman" w:cs="Times New Roman"/>
          <w:sz w:val="24"/>
          <w:szCs w:val="24"/>
        </w:rPr>
        <w:t xml:space="preserve">Komisję Nadzoru Finansowego </w:t>
      </w:r>
      <w:r w:rsidR="00D900C8" w:rsidRPr="004F6220">
        <w:rPr>
          <w:rFonts w:ascii="Times New Roman" w:hAnsi="Times New Roman" w:cs="Times New Roman"/>
          <w:sz w:val="24"/>
          <w:szCs w:val="24"/>
        </w:rPr>
        <w:t>pieniężnych kar administracyjnych</w:t>
      </w:r>
      <w:r w:rsidR="00782667" w:rsidRPr="004F6220">
        <w:rPr>
          <w:rFonts w:ascii="Times New Roman" w:hAnsi="Times New Roman" w:cs="Times New Roman"/>
          <w:sz w:val="24"/>
          <w:szCs w:val="24"/>
        </w:rPr>
        <w:t xml:space="preserve">, gdyż w tym przypadku bezpośrednie zastosowanie znajdzie art. 189c </w:t>
      </w:r>
      <w:r w:rsidR="00D900C8" w:rsidRPr="004F6220">
        <w:rPr>
          <w:rFonts w:ascii="Times New Roman" w:hAnsi="Times New Roman" w:cs="Times New Roman"/>
          <w:sz w:val="24"/>
          <w:szCs w:val="24"/>
        </w:rPr>
        <w:t>Kodeksu postępowania administracyjnego</w:t>
      </w:r>
      <w:r w:rsidR="00782667" w:rsidRPr="004F6220">
        <w:rPr>
          <w:rFonts w:ascii="Times New Roman" w:hAnsi="Times New Roman" w:cs="Times New Roman"/>
          <w:sz w:val="24"/>
          <w:szCs w:val="24"/>
        </w:rPr>
        <w:t>. Zgodnie z tym przepisem organ co do zasady stosuje ustawę obowiązującą w czasie wydawania decyzji, jednak należy zastosować przepis obowiązujący poprzednio, jeśli jest on względniejszy dla strony.</w:t>
      </w:r>
      <w:bookmarkEnd w:id="6"/>
    </w:p>
    <w:p w14:paraId="53B7EDCB" w14:textId="4ABA1714" w:rsidR="00C874E6" w:rsidRPr="004F6220" w:rsidRDefault="00C874E6"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Na mocy art. 2 pkt 8 lit. b rozporządzenia 2024/2809 do rozporządzenia 596/2014 dodany został art. 19 ust. 12a. Zgodnie z tym przepisem, bez uszczerbku dla art. 14 i</w:t>
      </w:r>
      <w:r w:rsidR="00BE376D" w:rsidRPr="004F6220">
        <w:rPr>
          <w:rFonts w:ascii="Times New Roman" w:hAnsi="Times New Roman" w:cs="Times New Roman"/>
          <w:sz w:val="24"/>
          <w:szCs w:val="24"/>
        </w:rPr>
        <w:t xml:space="preserve"> art.</w:t>
      </w:r>
      <w:r w:rsidRPr="004F6220">
        <w:rPr>
          <w:rFonts w:ascii="Times New Roman" w:hAnsi="Times New Roman" w:cs="Times New Roman"/>
          <w:sz w:val="24"/>
          <w:szCs w:val="24"/>
        </w:rPr>
        <w:t xml:space="preserve"> 15 tego rozporządzenia, emitent umożliwia osobie pełniącej u niego obowiązki zarządcze zlecanie lub dokonywanie transakcji na jej rachunek lub na rachunek strony trzeciej w trakcie okresu </w:t>
      </w:r>
      <w:r w:rsidRPr="004F6220">
        <w:rPr>
          <w:rFonts w:ascii="Times New Roman" w:hAnsi="Times New Roman" w:cs="Times New Roman"/>
          <w:sz w:val="24"/>
          <w:szCs w:val="24"/>
        </w:rPr>
        <w:lastRenderedPageBreak/>
        <w:t xml:space="preserve">zamkniętego, o którym mowa w art. 19 ust. 11, w przypadku transakcji lub działalności transakcyjnej, które nie wiążą się z podejmowaniem aktywnych decyzji inwestycyjnych przez osobę pełniącą obowiązki zarządcze lub które wynikają wyłącznie z czynników zewnętrznych lub działań stron trzecich, lub które stanowią transakcje lub działalność transakcyjną, w tym realizację instrumentów pochodnych, na podstawie ustalonych z góry warunków. Przedmiotowy przepis wprowadza dodatkową opcję zwolnienia z zakazu dokonywania transakcji w okresie zamkniętym, a warunkiem skorzystania z tego zwolnienia jest uzyskanie zgody emitenta. Wejście w życie art. 19 ust. 12a rozporządzenia 596/2014 nie pociągnęło za sobą zmiany przepisów ustawy o obrocie instrumentami finansowymi w zakresie sankcji, jaka mogłaby być nałożona na emitenta, który nie wydaje zgody wbrew dyspozycji tego przepisu, albo wydaje ją z jego naruszeniem. Obowiązujący art. 174a ust. 1 ustawy o obrocie instrumentami finansowymi odwołuje się jedynie do art. 19 ust. 12 rozporządzenia 596/2014 i brak jest możliwości ukarania emitenta za naruszenie art. 19 ust. 12a rozporządzenia 596/2014. Konieczne jest zatem </w:t>
      </w:r>
      <w:r w:rsidRPr="004F6220">
        <w:rPr>
          <w:rFonts w:ascii="Times New Roman" w:hAnsi="Times New Roman" w:cs="Times New Roman"/>
          <w:b/>
          <w:bCs/>
          <w:sz w:val="24"/>
          <w:szCs w:val="24"/>
        </w:rPr>
        <w:t>dodanie ust. 1a w art. 174a</w:t>
      </w:r>
      <w:r w:rsidRPr="004F6220">
        <w:rPr>
          <w:rFonts w:ascii="Times New Roman" w:hAnsi="Times New Roman" w:cs="Times New Roman"/>
          <w:sz w:val="24"/>
          <w:szCs w:val="24"/>
        </w:rPr>
        <w:t xml:space="preserve"> ustawy o obrocie instrumentami finansowymi.</w:t>
      </w:r>
    </w:p>
    <w:p w14:paraId="205BAF10" w14:textId="15CFE40D" w:rsidR="000747FC" w:rsidRPr="004F6220" w:rsidRDefault="000747FC" w:rsidP="005D621C">
      <w:pPr>
        <w:spacing w:before="120" w:after="0" w:line="360" w:lineRule="auto"/>
        <w:jc w:val="both"/>
        <w:rPr>
          <w:rFonts w:ascii="Times New Roman" w:hAnsi="Times New Roman" w:cs="Times New Roman"/>
          <w:sz w:val="24"/>
          <w:szCs w:val="24"/>
        </w:rPr>
      </w:pPr>
      <w:r w:rsidRPr="004F6220">
        <w:rPr>
          <w:rFonts w:ascii="Times New Roman" w:hAnsi="Times New Roman" w:cs="Times New Roman"/>
          <w:sz w:val="24"/>
          <w:szCs w:val="24"/>
        </w:rPr>
        <w:t xml:space="preserve">Dodatkowo, w zakresie </w:t>
      </w:r>
      <w:r w:rsidRPr="004F6220">
        <w:rPr>
          <w:rFonts w:ascii="Times New Roman" w:hAnsi="Times New Roman" w:cs="Times New Roman"/>
          <w:b/>
          <w:bCs/>
          <w:sz w:val="24"/>
          <w:szCs w:val="24"/>
        </w:rPr>
        <w:t xml:space="preserve">art. 176 </w:t>
      </w:r>
      <w:r w:rsidRPr="004F6220">
        <w:rPr>
          <w:rFonts w:ascii="Times New Roman" w:hAnsi="Times New Roman" w:cs="Times New Roman"/>
          <w:sz w:val="24"/>
          <w:szCs w:val="24"/>
        </w:rPr>
        <w:t>ustawy o obrocie</w:t>
      </w:r>
      <w:r w:rsidR="003A3C41" w:rsidRPr="004F6220">
        <w:rPr>
          <w:rFonts w:ascii="Times New Roman" w:hAnsi="Times New Roman" w:cs="Times New Roman"/>
          <w:sz w:val="24"/>
          <w:szCs w:val="24"/>
        </w:rPr>
        <w:t xml:space="preserve"> </w:t>
      </w:r>
      <w:r w:rsidR="003A3C41" w:rsidRPr="004F6220">
        <w:rPr>
          <w:rFonts w:ascii="Times New Roman" w:eastAsia="Times New Roman" w:hAnsi="Times New Roman" w:cs="Times New Roman"/>
          <w:sz w:val="24"/>
          <w:szCs w:val="24"/>
          <w:lang w:eastAsia="pl-PL"/>
        </w:rPr>
        <w:t>instrumentami finansowymi</w:t>
      </w:r>
      <w:r w:rsidRPr="004F6220">
        <w:rPr>
          <w:rFonts w:ascii="Times New Roman" w:hAnsi="Times New Roman" w:cs="Times New Roman"/>
          <w:sz w:val="24"/>
          <w:szCs w:val="24"/>
        </w:rPr>
        <w:t>, zmiany związane są również z wejściem w życie ustawy z dnia 17 kwietnia 2026 r. o zmianie niektórych ustaw w związku z przekazywaniem informacji do europejskiego pojedynczego punktu dostępu (Dz.</w:t>
      </w:r>
      <w:r w:rsidR="00BE376D" w:rsidRPr="004F6220">
        <w:rPr>
          <w:rFonts w:ascii="Times New Roman" w:hAnsi="Times New Roman" w:cs="Times New Roman"/>
          <w:sz w:val="24"/>
          <w:szCs w:val="24"/>
        </w:rPr>
        <w:t xml:space="preserve"> </w:t>
      </w:r>
      <w:r w:rsidRPr="004F6220">
        <w:rPr>
          <w:rFonts w:ascii="Times New Roman" w:hAnsi="Times New Roman" w:cs="Times New Roman"/>
          <w:sz w:val="24"/>
          <w:szCs w:val="24"/>
        </w:rPr>
        <w:t xml:space="preserve">U. poz. 644). Zmiana wprowadzona tą ustawą polegać będzie na rozszerzeniu kręgu podmiotów, w stosunku do których Komisja Nadzoru Finansowego posiada uprawnienie do nałożenia kary pieniężnej za niewypełnianie lub niewłaściwe wypełnianie obowiązków związanych z prowadzeniem listy osób mających dostęp do informacji poufnej, o których mowa w art. 18 ust. 1–5 rozporządzenia 596/2014, o podmioty działające w imieniu lub na rzecz emitenta. Wprowadzenie nowej kategorii podmiotów, które mogą zostać objęte sankcją, wynika ze zmiany art. 18 ust. 1 rozporządzenia 596/2014 jednoznacznie przesądzającej o istnieniu obowiązku prowadzenia listy osób mających dostęp do informacji poufnej nie tylko przez emitentów, ale również przez podmioty działające w jego imieniu lub na jego rzecz. Mając na uwadze obecnie procedowane zmiany w przepisach ustawy o obrocie instrumentami finansowymi, związane z wejściem w życie kolejnych zmian rozporządzenia 596/2014 przewidzianych przez Listing Act, należy dostosować brzmienie art. 176 wskazanej ustawy do nowej kategorii podmiotów objętych potencjalnym sankcjonowaniem w sposób uwzględniający dyspozycje wynikające z Listing Act. Zmiany mają przede wszystkim charakter dostosowawczy, uwzględniając różnice w zakresie przedmiotowym art. 18 </w:t>
      </w:r>
      <w:r w:rsidRPr="004F6220">
        <w:rPr>
          <w:rFonts w:ascii="Times New Roman" w:hAnsi="Times New Roman" w:cs="Times New Roman"/>
          <w:sz w:val="24"/>
          <w:szCs w:val="24"/>
        </w:rPr>
        <w:lastRenderedPageBreak/>
        <w:t>rozporządzenia 596/2014 między emitentami, których dotyczą ust. 1</w:t>
      </w:r>
      <w:r w:rsidR="008C738E">
        <w:rPr>
          <w:rFonts w:ascii="Times New Roman" w:hAnsi="Times New Roman" w:cs="Times New Roman"/>
          <w:sz w:val="24"/>
          <w:szCs w:val="24"/>
        </w:rPr>
        <w:t>–</w:t>
      </w:r>
      <w:r w:rsidRPr="004F6220">
        <w:rPr>
          <w:rFonts w:ascii="Times New Roman" w:hAnsi="Times New Roman" w:cs="Times New Roman"/>
          <w:sz w:val="24"/>
          <w:szCs w:val="24"/>
        </w:rPr>
        <w:t>6 art. 18 rozporządzenia 596/2014, oraz podmiotami działającymi w imieniu lub na rzecz emitenta, których dotyczą ust. 1</w:t>
      </w:r>
      <w:r w:rsidR="008C738E">
        <w:t>–</w:t>
      </w:r>
      <w:r w:rsidRPr="004F6220">
        <w:rPr>
          <w:rFonts w:ascii="Times New Roman" w:hAnsi="Times New Roman" w:cs="Times New Roman"/>
          <w:sz w:val="24"/>
          <w:szCs w:val="24"/>
        </w:rPr>
        <w:t>5 art. 18 rozporządzenia 596/2014.</w:t>
      </w:r>
    </w:p>
    <w:p w14:paraId="3E8CA6FF" w14:textId="5F4AC69F" w:rsidR="00730F9F" w:rsidRPr="004F6220" w:rsidRDefault="00730F9F" w:rsidP="005D621C">
      <w:pPr>
        <w:spacing w:before="120" w:after="0" w:line="360" w:lineRule="auto"/>
        <w:jc w:val="both"/>
        <w:rPr>
          <w:rFonts w:ascii="Times New Roman" w:hAnsi="Times New Roman" w:cs="Times New Roman"/>
          <w:sz w:val="24"/>
          <w:szCs w:val="24"/>
        </w:rPr>
      </w:pPr>
      <w:r w:rsidRPr="004F6220">
        <w:rPr>
          <w:rFonts w:ascii="Times New Roman" w:eastAsia="Times New Roman" w:hAnsi="Times New Roman" w:cs="Times New Roman"/>
          <w:sz w:val="24"/>
          <w:szCs w:val="24"/>
          <w:lang w:eastAsia="pl-PL"/>
        </w:rPr>
        <w:t>W odniesieniu do przepisów sankcyjnych, ich konstrukcja uwzględnia podział sankcji administracyjnych na typ podstawowy oraz kwalifikowany – uzależniony od uznania kary oszacowanej w typie podstawowym za nieproporcjonalnie niską. Jednakże proponuje się, w typie podstawowym sankcji, możliwość alternatywnego określenia sankcji za naruszenia (jak przewiduje to np. art. 20 rozporządzenia 596/2014 oraz wprost art. 30 ust. 1 lit. j pkt (v) rozporządzenia 596/2014). W większości przypadków przybiera to postać opcjonalnych sankcji (jednej kwotowej i drugiej uzależnionej od % rocznego przychodu karanego podmiotu). Ponadto w proponowanej redakcji przepisów sankcyjnych, w wersji podstawowej sankcji, w ramach karanych podmiotów wyróżnione zostały MŚP, w przypadku których odpowiednio zmodyfikowano wartości wysokości kar pieniężnych, w celu sprostania oczekiwaniom Listing Act, by sankcje nakładane na MŚP zachowały proporcję do wielkości podmiotu.</w:t>
      </w:r>
    </w:p>
    <w:p w14:paraId="69604C4C" w14:textId="52B2BD2B" w:rsidR="00AB7986" w:rsidRPr="004F6220" w:rsidRDefault="007E2EF6"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7</w:t>
      </w:r>
      <w:r w:rsidR="00AB7986" w:rsidRPr="004F6220">
        <w:rPr>
          <w:rFonts w:ascii="Times New Roman" w:eastAsia="Times New Roman" w:hAnsi="Times New Roman" w:cs="Times New Roman"/>
          <w:b/>
          <w:bCs/>
          <w:smallCaps/>
          <w:sz w:val="24"/>
          <w:szCs w:val="24"/>
          <w:lang w:eastAsia="pl-PL"/>
        </w:rPr>
        <w:t>. Zmiany w ustawie o ofercie publicznej</w:t>
      </w:r>
    </w:p>
    <w:p w14:paraId="2E5C0150" w14:textId="77777777" w:rsidR="00AB7986" w:rsidRPr="004F6220" w:rsidRDefault="00AB7986" w:rsidP="005D621C">
      <w:pPr>
        <w:pStyle w:val="NormalnyWeb"/>
        <w:spacing w:before="120" w:beforeAutospacing="0" w:after="0" w:afterAutospacing="0" w:line="360" w:lineRule="auto"/>
        <w:jc w:val="both"/>
      </w:pPr>
      <w:r w:rsidRPr="004F6220">
        <w:rPr>
          <w:b/>
          <w:bCs/>
        </w:rPr>
        <w:t>Zmiana w art. 3 ust. 1a</w:t>
      </w:r>
      <w:r w:rsidRPr="004F6220">
        <w:t xml:space="preserve"> ustawy o ofercie publicznej ma charakter porządkowy i polega na zastąpieniu użytego w tym przepisie dwukrotnie wyrazu „opublikowania” wyrazem „udostępnienia”. Wynika to z faktu, że memorandum, o którym mowa w art. 38b ustawy o ofercie publicznej, nie podlega publikacji, lecz jest udostępniane określonym inwestorom.</w:t>
      </w:r>
    </w:p>
    <w:p w14:paraId="1AAB1DA7" w14:textId="7EDFE8BF" w:rsidR="00AB7986" w:rsidRPr="004F6220" w:rsidRDefault="00AB7986" w:rsidP="005D621C">
      <w:pPr>
        <w:pStyle w:val="NormalnyWeb"/>
        <w:spacing w:before="120" w:beforeAutospacing="0" w:after="0" w:afterAutospacing="0" w:line="360" w:lineRule="auto"/>
        <w:jc w:val="both"/>
      </w:pPr>
      <w:r w:rsidRPr="004F6220">
        <w:rPr>
          <w:b/>
          <w:bCs/>
        </w:rPr>
        <w:t>Uchylenie w art. 4a ust. 4</w:t>
      </w:r>
      <w:r w:rsidRPr="004F6220">
        <w:t xml:space="preserve"> ustawy o ofercie publicznej jest konsekwencją przewidzianej projektem rezygnacji z ustalania wartości oferty publicznej w oparciu o zakładane wpływy brutto</w:t>
      </w:r>
      <w:r w:rsidR="00D70D05" w:rsidRPr="004F6220">
        <w:t>. D</w:t>
      </w:r>
      <w:r w:rsidRPr="004F6220">
        <w:t>odatkowo przepis ten odwołuje się do nieaktualnego progu wartościowego 2,5 mln euro.</w:t>
      </w:r>
    </w:p>
    <w:p w14:paraId="204F1B63" w14:textId="66EE56C4" w:rsidR="00E73984" w:rsidRPr="004F6220" w:rsidRDefault="00D95947" w:rsidP="005D621C">
      <w:pPr>
        <w:pStyle w:val="NormalnyWeb"/>
        <w:spacing w:before="120" w:beforeAutospacing="0" w:after="0" w:afterAutospacing="0" w:line="360" w:lineRule="auto"/>
        <w:jc w:val="both"/>
      </w:pPr>
      <w:r w:rsidRPr="004F6220">
        <w:rPr>
          <w:b/>
          <w:bCs/>
        </w:rPr>
        <w:t>Dodanie art. 6b</w:t>
      </w:r>
      <w:r w:rsidRPr="004F6220">
        <w:t xml:space="preserve"> w ustawie o ofercie publicznej ma na celu umożliwienie wypełnienia obowiązku prawidłowego udostępnienia w ESAP</w:t>
      </w:r>
      <w:r w:rsidR="00104E0A" w:rsidRPr="004F6220">
        <w:t xml:space="preserve"> prospektów</w:t>
      </w:r>
      <w:r w:rsidR="00E73984" w:rsidRPr="004F6220">
        <w:t xml:space="preserve"> oraz dokumentów wyłączeniowych w przypadku transakcji łączenia, podziału lub przejęcia, a więc dokumentów informacyjnych, o który</w:t>
      </w:r>
      <w:r w:rsidR="00DB6B89" w:rsidRPr="004F6220">
        <w:t>ch</w:t>
      </w:r>
      <w:r w:rsidR="00E73984" w:rsidRPr="004F6220">
        <w:t xml:space="preserve"> mowa w art. 1 ust. 4 lit. f i g oraz art. 1 ust. 5 lit. e i f rozporządzenia 2017/1129. Na mocy art. 21a ust. 1 rozporządzenia 2017/1129 prospekt i inne dokumenty sporządzane zgodnie z ww. przepisami, jednocześnie z ich publikacją będą przekazywane odpowiedniemu organowi zbierającemu dane, o którym mowa w art. 21a ust. 3 ww. rozporządzenia, w celu ich udostępnienia w ESAP. Aby wywiązać się z tego obowiązku konieczne będzie wprowadzenie do ESAP, oprócz ww. dokumentów, szeregu odpowiednich </w:t>
      </w:r>
      <w:r w:rsidR="00E73984" w:rsidRPr="004F6220">
        <w:lastRenderedPageBreak/>
        <w:t xml:space="preserve">metadanych. Jedną z nich jest kod ISIN papieru wartościowego będącego przedmiotem oferty publicznej lub dopuszczenia do obrotu na rynku regulowanym na podstawie ww. dokumentów, który choć nie został wprost wymieniony w omawianym przepisie, to wynika bezpośrednio z art. 7 ust. 5 lit. a i ust. 7 lit. a pkt i rozporządzenia 2017/1129 w odniesieniu do prospektu (konkretnie treści podsumowania prospektu, które musi zawierać informacje wynikające z pozostałych części prospektu). Dodanie art. </w:t>
      </w:r>
      <w:r w:rsidR="00051819" w:rsidRPr="004F6220">
        <w:t>6b</w:t>
      </w:r>
      <w:r w:rsidR="00E73984" w:rsidRPr="004F6220">
        <w:t xml:space="preserve"> w ustawie o ofercie publicznej ma na celu umożliwienie wypełnienia obowiązku prawidłowego udostępnienia ww. dokumentów w ESAP.</w:t>
      </w:r>
      <w:r w:rsidR="00051819" w:rsidRPr="004F6220">
        <w:t xml:space="preserve"> </w:t>
      </w:r>
      <w:r w:rsidR="00E73984" w:rsidRPr="004F6220">
        <w:t>W dodawanym przepisie uregulowano również sytuacje</w:t>
      </w:r>
      <w:r w:rsidR="00E67EBD" w:rsidRPr="004F6220">
        <w:t>, gdy</w:t>
      </w:r>
      <w:r w:rsidR="00E73984" w:rsidRPr="004F6220">
        <w:t xml:space="preserve"> w momencie sporządzenia prospektu nie doszło jeszcze do emisji papierów wartościowych objętych tym prospektem. W takim przypadku papiery wartościowe powinny otrzymać oznaczenie, które stanie się po ich wyemitowaniu kodem.</w:t>
      </w:r>
    </w:p>
    <w:p w14:paraId="3E4B584F" w14:textId="534E0B90" w:rsidR="00D70D05" w:rsidRPr="004F6220" w:rsidRDefault="00D70D05" w:rsidP="005D621C">
      <w:pPr>
        <w:pStyle w:val="NormalnyWeb"/>
        <w:spacing w:before="120" w:beforeAutospacing="0" w:after="0" w:afterAutospacing="0" w:line="360" w:lineRule="auto"/>
        <w:jc w:val="both"/>
      </w:pPr>
      <w:r w:rsidRPr="004F6220">
        <w:t xml:space="preserve">Zmiana w </w:t>
      </w:r>
      <w:r w:rsidRPr="004F6220">
        <w:rPr>
          <w:b/>
          <w:bCs/>
        </w:rPr>
        <w:t>art. 16 ust. 2 i art. 17 ust. 2</w:t>
      </w:r>
      <w:r w:rsidRPr="004F6220">
        <w:t xml:space="preserve"> ustawy o ofercie </w:t>
      </w:r>
      <w:r w:rsidR="00E12B2D" w:rsidRPr="004F6220">
        <w:t xml:space="preserve">publicznej </w:t>
      </w:r>
      <w:r w:rsidRPr="004F6220">
        <w:t>ma na celu rozszerzeni</w:t>
      </w:r>
      <w:r w:rsidR="00DB6B89" w:rsidRPr="004F6220">
        <w:t>e</w:t>
      </w:r>
      <w:r w:rsidRPr="004F6220">
        <w:t xml:space="preserve"> możliwości korzystania przez KNF ze środka nadzorczego w postaci zalecenia, aby organ nadzoru mógł wydawać zalecenia bez względu na wagę naruszenia, w każdej sytuacji naruszenia przepisów prawa w związku z ofertą publiczną, subskrypcją lub sprzedażą, dokonywanymi na podstawie tej oferty na terytorium Rzeczypospolitej Polskiej, a także w przypadku podejrzenia naruszenia tych przepisów albo podejrzenia, że takie naruszenie może nastąpić. Zalecenie jest instrumentem elastycznym, niewymagającym wszczęcia postępowania administracyjnego i wydania decyzji. Jeżeli nie jest to niezbędne do usunięcia naruszenia nie skutkuje ono również koniecznością wstrzymania się przez emitenta lub oferującego z rozpoczęciem lub kontynuowaniem oferty. Zalecenie pozwala organowi nadzoru szybko reagować na zauważone – w trakcie oferty publicznej (art. 16) lub procesu dopuszczenia papierów wartościowych do obrotu na rynku regulowanym (art. 17) – nieprawidłowości, a tym samym zapobiegać prowadzeniu oferty publicznej albo procesu dopuszczenia do obrotu z naruszeniem prawa. Jednocześnie emitentowi lub oferującemu pozwala na możliwość szybkiego skorygowania nieprawidłowych zachowań i tym samym kontynuowania oferty publicznej albo procesu dopuszczenia do obrotu zgodnie z prawem, bez narażania się na zastosowanie dalej idących środków nadzoru. Tym samym zalecenie może okazać się środkiem równie skutecznym, pozwalającym na osiągnięcie takiego samego celu co środki władcze, jednocześnie będącym środkiem adekwatnym i proporcjonalnym w danej sprawie. Organ nadzoru powinien posiadać elastyczne narzędzie pozwalające w każdej sytuacji wynikającej z art. 32 rozporządzenia 2017/1129 na zastosowanie skutecznych narzędzi, które w określonych okolicznościach danej sprawy nie będą musiały oznaczać konieczności zastosowania środków </w:t>
      </w:r>
      <w:r w:rsidRPr="004F6220">
        <w:lastRenderedPageBreak/>
        <w:t xml:space="preserve">władczych. Rozszerzenie możliwości wydawania zaleceń bez ograniczenia do sytuacji, gdy waga naruszenia jest niewielka, nie obniża skuteczności wdrożenia do stosowania art. 32 rozporządzenia 2017/1129. W przypadku niewykonania zalecenia, czy też utrudnionego kontaktu z emitentem, KNF będzie miała możliwość zastosowania środka władczego. O praktyce działania organu będą przesądzać względy proporcjonalności oraz dodatkowo efektywności nadzorczej, przejawiającej się w przypadku zaleceń możliwością szybkiego zareagowania przez organ nadzoru na nieprawidłowości związane przede wszystkim z prowadzoną ofertą publiczną papierów wartościowych. Analogiczne rozwiązanie zostało przyjęte m.in. w art. 68 ust. 5 i 8 ustawy o ofercie </w:t>
      </w:r>
      <w:r w:rsidR="00E12B2D" w:rsidRPr="004F6220">
        <w:t xml:space="preserve">publicznej </w:t>
      </w:r>
      <w:r w:rsidRPr="004F6220">
        <w:t>przyznającemu KNF możliwość wydawania zaleceń wobec emitentów, bez względu na wagę naruszenia, w sytuacji naruszenia przez nich obowiązków ciążących na nich jako uczestników rynku kapitałowego (m.in. obowiązków informacyjnych).</w:t>
      </w:r>
    </w:p>
    <w:p w14:paraId="69075E70" w14:textId="4E6827E1" w:rsidR="00F65477" w:rsidRPr="004F6220" w:rsidRDefault="00523CBB"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Zmiana brzmienia </w:t>
      </w:r>
      <w:r w:rsidR="00AB7986" w:rsidRPr="004F6220">
        <w:rPr>
          <w:rFonts w:ascii="Times New Roman" w:eastAsia="Times New Roman" w:hAnsi="Times New Roman" w:cs="Times New Roman"/>
          <w:b/>
          <w:bCs/>
          <w:sz w:val="24"/>
          <w:szCs w:val="24"/>
          <w:lang w:eastAsia="pl-PL"/>
        </w:rPr>
        <w:t>art. 27 ust. 1a</w:t>
      </w:r>
      <w:r w:rsidR="00AB7986" w:rsidRPr="004F6220">
        <w:rPr>
          <w:rFonts w:ascii="Times New Roman" w:eastAsia="Times New Roman" w:hAnsi="Times New Roman" w:cs="Times New Roman"/>
          <w:sz w:val="24"/>
          <w:szCs w:val="24"/>
          <w:lang w:eastAsia="pl-PL"/>
        </w:rPr>
        <w:t xml:space="preserve"> ustawy o ofercie publicznej zakłada bardziej elastyczne procedowanie i uzupełnianie prospektu w stosunku do części informacji, w szczególności informacji finansowej, w tym sprawozdań finansowych, sprawozdań biegłego rewidenta z ich badania lub raportów biegłego rewidenta z ich przeglądu, bez konieczności dokonywania interpretacji tego przepisu, która mogłaby zostać uznana za sprzeczną z intencją </w:t>
      </w:r>
      <w:r w:rsidR="00F65477" w:rsidRPr="004F6220">
        <w:rPr>
          <w:rFonts w:ascii="Times New Roman" w:eastAsia="Times New Roman" w:hAnsi="Times New Roman" w:cs="Times New Roman"/>
          <w:sz w:val="24"/>
          <w:szCs w:val="24"/>
          <w:lang w:eastAsia="pl-PL"/>
        </w:rPr>
        <w:t xml:space="preserve">jego </w:t>
      </w:r>
      <w:r w:rsidR="00AB7986" w:rsidRPr="004F6220">
        <w:rPr>
          <w:rFonts w:ascii="Times New Roman" w:eastAsia="Times New Roman" w:hAnsi="Times New Roman" w:cs="Times New Roman"/>
          <w:sz w:val="24"/>
          <w:szCs w:val="24"/>
          <w:lang w:eastAsia="pl-PL"/>
        </w:rPr>
        <w:t>wprowadzenia</w:t>
      </w:r>
      <w:r w:rsidR="00F65477" w:rsidRPr="004F6220">
        <w:rPr>
          <w:rFonts w:ascii="Times New Roman" w:eastAsia="Times New Roman" w:hAnsi="Times New Roman" w:cs="Times New Roman"/>
          <w:sz w:val="24"/>
          <w:szCs w:val="24"/>
          <w:lang w:eastAsia="pl-PL"/>
        </w:rPr>
        <w:t>,</w:t>
      </w:r>
      <w:r w:rsidR="00AB7986" w:rsidRPr="004F6220">
        <w:rPr>
          <w:rFonts w:ascii="Times New Roman" w:eastAsia="Times New Roman" w:hAnsi="Times New Roman" w:cs="Times New Roman"/>
          <w:sz w:val="24"/>
          <w:szCs w:val="24"/>
          <w:lang w:eastAsia="pl-PL"/>
        </w:rPr>
        <w:t xml:space="preserve"> wynikającą z uzasadnienia projektu ustawy wprowadzającej </w:t>
      </w:r>
      <w:r w:rsidRPr="004F6220">
        <w:rPr>
          <w:rFonts w:ascii="Times New Roman" w:eastAsia="Times New Roman" w:hAnsi="Times New Roman" w:cs="Times New Roman"/>
          <w:sz w:val="24"/>
          <w:szCs w:val="24"/>
          <w:lang w:eastAsia="pl-PL"/>
        </w:rPr>
        <w:t xml:space="preserve">ten </w:t>
      </w:r>
      <w:r w:rsidR="00AB7986" w:rsidRPr="004F6220">
        <w:rPr>
          <w:rFonts w:ascii="Times New Roman" w:eastAsia="Times New Roman" w:hAnsi="Times New Roman" w:cs="Times New Roman"/>
          <w:sz w:val="24"/>
          <w:szCs w:val="24"/>
          <w:lang w:eastAsia="pl-PL"/>
        </w:rPr>
        <w:t xml:space="preserve">przepis w ustawie o ofercie publicznej. Przepis art. 27 ust. 1a ustawy o ofercie publicznej wymaga złożenia prospektu kompletnego, gotowego do zatwierdzenia, zawierającego wszystkie informacje przewidziane przepisami, w tym historyczne i śródroczne informacje finansowe za docelowe okresy, a także odpowiednio sprawozdanie biegłego rewidenta z ich badania lub raport z przeglądu. Dotyczy to również sytuacji, gdy emitent komunikuje KNF z wyprzedzeniem zamiar przeprowadzenia oferty publicznej w oparciu o inny niż na moment złożenia wniosku, zaktualizowany zestaw danych finansowych (np. sprawozdanie finansowe za ostatni rok obrotowy lub dane śródroczne za kolejne okresy śródroczne). </w:t>
      </w:r>
      <w:r w:rsidRPr="004F6220">
        <w:rPr>
          <w:rFonts w:ascii="Times New Roman" w:eastAsia="Times New Roman" w:hAnsi="Times New Roman" w:cs="Times New Roman"/>
          <w:sz w:val="24"/>
          <w:szCs w:val="24"/>
          <w:lang w:eastAsia="pl-PL"/>
        </w:rPr>
        <w:t xml:space="preserve">Zmiana tego </w:t>
      </w:r>
      <w:r w:rsidR="00AB7986" w:rsidRPr="004F6220">
        <w:rPr>
          <w:rFonts w:ascii="Times New Roman" w:eastAsia="Times New Roman" w:hAnsi="Times New Roman" w:cs="Times New Roman"/>
          <w:sz w:val="24"/>
          <w:szCs w:val="24"/>
          <w:lang w:eastAsia="pl-PL"/>
        </w:rPr>
        <w:t>przepisu powinn</w:t>
      </w:r>
      <w:r w:rsidRPr="004F6220">
        <w:rPr>
          <w:rFonts w:ascii="Times New Roman" w:eastAsia="Times New Roman" w:hAnsi="Times New Roman" w:cs="Times New Roman"/>
          <w:sz w:val="24"/>
          <w:szCs w:val="24"/>
          <w:lang w:eastAsia="pl-PL"/>
        </w:rPr>
        <w:t xml:space="preserve">a </w:t>
      </w:r>
      <w:r w:rsidR="00AB7986" w:rsidRPr="004F6220">
        <w:rPr>
          <w:rFonts w:ascii="Times New Roman" w:eastAsia="Times New Roman" w:hAnsi="Times New Roman" w:cs="Times New Roman"/>
          <w:sz w:val="24"/>
          <w:szCs w:val="24"/>
          <w:lang w:eastAsia="pl-PL"/>
        </w:rPr>
        <w:t xml:space="preserve">przyczynić się do skrócenia trwania postępowania administracyjnego z wniosku o zatwierdzenie prospektu, gdyż uprzednio zasygnalizowane braki w prospekcie nie będą traktowane jako błąd formalny. Jednocześnie, do czasu usunięcia zidentyfikowanych braków w prospekcie, czynności weryfikacyjne będą prowadzone w oparciu o złożony wraz z wnioskiem materiał i następnie rozszerzone o informacje uzupełnione zgodnie z deklaracją strony. </w:t>
      </w:r>
    </w:p>
    <w:p w14:paraId="03FC179D" w14:textId="741E64C2" w:rsidR="00B9482F" w:rsidRPr="004F6220" w:rsidRDefault="00B9482F" w:rsidP="005D621C">
      <w:pPr>
        <w:pStyle w:val="NormalnyWeb"/>
        <w:spacing w:before="120" w:beforeAutospacing="0" w:after="0" w:afterAutospacing="0" w:line="360" w:lineRule="auto"/>
        <w:jc w:val="both"/>
      </w:pPr>
      <w:r w:rsidRPr="004F6220">
        <w:lastRenderedPageBreak/>
        <w:t>Proponowana zmiana wiąże się z wypracowaną, i w dalszym ciągu rozwijaną, praktyką roboczych ustaleń KNF z emitentami planującymi złożenie prospektu, w trakcie których: (i) uzgadniany jest oczekiwany przez nich harmonogram procesu weryfikacji i zatwierdzenia prospektu, (ii) wyjaśniane są najistotniejsze zagadnienia budzące wątpliwości co do ujawnień w prospekcie, a po wejściu w życie przedmiotowej nowelizacji ustalany byłby także (iii) zakres informacji, o które emitent zamierzałby uzupełnić prospekt w trakcie trwania post</w:t>
      </w:r>
      <w:r w:rsidR="002F11F3">
        <w:t>ę</w:t>
      </w:r>
      <w:r w:rsidRPr="004F6220">
        <w:t>powania administracyjnego. Konsultacje KNF z emitentem w ramach ostatniego z powyższych zakresów umożliwiłoby KNF ustalenie jeszcze przed wszczęciem postępowania administracyjnego, czy zakres informacji w prospekcie daje podstawę do rozpoczęcia efektywnej weryfikacji prospektu, a po jego uzupełnieniu – zatwierdzenia go. Niedotrzymanie przez emitenta tych nieformalnych ustaleń, zmiana okoliczności prawnych lub faktycznych po rozpoczęciu postępowania administracyjnego lub zmiana przez KNF oceny, co do wpływu brakujących informacji na możliwość weryfikacji prospektu będzie mogła być zaadresowana w ramach dostępnych dla KNF narzędzi określonych rozporządzeniem 2017/1129 i rozporządzeniem 2019/980</w:t>
      </w:r>
      <w:r w:rsidR="00743D72">
        <w:t>,</w:t>
      </w:r>
      <w:r w:rsidRPr="004F6220">
        <w:t xml:space="preserve"> tj. poprzez zgłoszenia zastrzeżeń do dokumentacji prospektowej, wskazując, jakie informacje nie odpowiadają wymogom prawa lub których brakuje w prospekcie, a w dalszej kolejności poprzez odmowę zatwierdzenia prospektu.</w:t>
      </w:r>
    </w:p>
    <w:p w14:paraId="5CC45F02" w14:textId="4D0C5153" w:rsidR="00523CBB" w:rsidRPr="004F6220" w:rsidRDefault="00523CBB" w:rsidP="005D621C">
      <w:pPr>
        <w:pStyle w:val="NormalnyWeb"/>
        <w:spacing w:before="120" w:beforeAutospacing="0" w:after="0" w:afterAutospacing="0" w:line="360" w:lineRule="auto"/>
        <w:jc w:val="both"/>
      </w:pPr>
      <w:r w:rsidRPr="004F6220">
        <w:t xml:space="preserve">Zmieniony przepis art. 27 ust. 1a ustawy o ofercie publicznej doprecyzowuje moment uzupełnienia prospektu o oświadczenie o odpowiedzialności za jego treść z uwagi na szczególny charakter takiego oświadczenia oraz fakt, że w wieloletniej praktyce traktowano brak takiego oświadczenia jako brak formalny uzupełniany w trybie art. 64 § 2 KPA. </w:t>
      </w:r>
      <w:bookmarkStart w:id="7" w:name="_Hlk223091795"/>
      <w:r w:rsidRPr="004F6220">
        <w:t>Intencją zmiany jest, aby informacje i oświadczenie, o których mowa w art. 22 ust. 5 ustawy o ofercie publicznej nie musiały być podawane/załączane do prospektu już w wersji pierwotnej przedkładanej wraz z wnioskiem o jego zatwierdzenie</w:t>
      </w:r>
      <w:bookmarkEnd w:id="7"/>
      <w:r w:rsidRPr="004F6220">
        <w:t xml:space="preserve">. Ich brak, poczytywany jako brak formalny wniosku o zatwierdzenie prospektu, blokował dalszy bieg postępowania dopóki strona nie uzupełniła braku na wezwanie Komisji Nadzoru Finansowego (KNF) w trybie art. 64 § 2 KPA. Szczególny charakter informacji i oświadczenia, o których mowa w art. 22 ust. 5 ustawy o ofercie publicznej wiąże się z tym, że oświadczenie nie zawiera informacji, które KNF jest zobligowana weryfikować przed zatwierdzeniem prospektu, gdyż stanowi ono tylko oświadczenie wiedzy określonych osób reprezentujących wnioskodawcę emitenta dotyczące informacji zawartych w prospekcie a ingerencja KNF w jego treść może sprowadzać się tylko do oceny zgodności treści oświadczenia z zestandaryzowanym brzmieniem (zakresem) wymaganym przez rozporządzenie 2017/1129 i art. 22 ust. 5 ustawy o ofercie publicznej. </w:t>
      </w:r>
      <w:bookmarkStart w:id="8" w:name="_Hlk223091869"/>
      <w:r w:rsidRPr="004F6220">
        <w:t xml:space="preserve">Ten </w:t>
      </w:r>
      <w:r w:rsidRPr="004F6220">
        <w:lastRenderedPageBreak/>
        <w:t>szczególny charakter uzasadniałby z kolei umożliwienie, zgodnie z postulatem przedstawicieli rynku, dołączania informacji i oświadczenia dotyczącego osób odpowiedzialnych za sporządzenie prospektu w końcowej fazie postępowania – przed zatwierdzeniem prospektu przez KNF</w:t>
      </w:r>
      <w:bookmarkEnd w:id="8"/>
      <w:r w:rsidRPr="004F6220">
        <w:t>. Tym samym prospekt przedstawiony do weryfikacji wraz z wnioskiem o jego zatwierdzenie oraz kolejne wersje prospektu w toku postępowania mogłyby nie zawierać informacji i oświadczenia, o których mowa w art. 22 ust. 5 ustawy o ofercie publicznej, z wyjątkiem wersji bezpośrednio poprzedzającej zatwierdzenie. Przepis umożliwi z jednej strony odstąpieni</w:t>
      </w:r>
      <w:r w:rsidR="002F11F3">
        <w:t>e</w:t>
      </w:r>
      <w:r w:rsidRPr="004F6220">
        <w:t xml:space="preserve"> od załączania do poprzednich wersji prospektu ww. informacji i oświadczeń, a z drugiej strony jednoznacznie przesądzi, że powinny one zostać włączone najpóźniej do ostatecznej wersji prospektu przed zatwierdzeniem (prospektu zatwierdzanego), który nie będzie podlegał już żadnym zmianom. Proponowana zmiana koresponduje także z art. 21 ust. 10 rozporządzenia 2017/1129. Zgodnie z tym przepisem treść i format prospektu udostępnianego do publicznej wiadomości musi zawsze odpowiadać treści i formatowi pierwotnej wersji zatwierdzonej przez właściwy organ macierzystego państwa członkowskiego. Za pierwotną wersję zatwierdzonego prospektu należy w tym kontekście rozumieć wersję ostateczną przedstawioną KNF do zatwierdzenia po zakończeniu procesu weryfikacji treści i formatu prospektu w ramach postępowania w sprawie zatwierdzenia prospektu. Proponowane brzmienie przepisu ustawy o ofercie publicznej w związku z art. 21 ust. 10 rozporządzenia 2017/1129 będzie w pełni korelować z kolei z wymogami ogólnymi dotyczącymi treści prospektu wskazanymi w załączniku 1 do rozporządzenia 2017/1129 zatytułowanym: „Prospekt” oraz w sekcji II zatytułowanej „Cel, osoby odpowiedzialne, informacje osób trzecich, raporty ekspertów oraz zatwierdzanie przez właściwy organ”, w której dalej wskazano: „Celem niniejszej sekcji jest przedstawienie informacji na temat osób odpowiedzialnych za treść prospektu oraz danie inwestorom pewności, że informacje zawarte w prospekcie są ścisłe. (…)”. Wymogi te natomiast w pełni korespondują ze szczegółowymi wymogami informacyjnymi dla prospektów wynikającymi z rozporządzenia delegowanego 2019/980. W omawianym zakresie określone zostały w poszczególnych załącznikach do tego rozporządzenia. Tytułem przykładu wskazać można załączniki nr 1 i 11 określające dokładnie wymogi dotyczące informacji o podmiotach/osobach odpowiedzialnych za treść dokumentu rejestracyjnego i odpowiednio dokumentu ofertowego oraz brzmienie składanego w imieniu tych podmiotów oświadczenia dotyczącego odpowiedzialności za treść prospektu dotyczącego udziałowych papierów wartościowych. Proponowane brzmienie przepisu w związku z art. 21 ust. 10 rozporządzenia 2017/1129 przesądzi więc jednoznacznie, że wersja prospektu podlegająca zatwierdzeniu ma obowiązkowo już zawierać informacje wynikające z art. 22 ust. </w:t>
      </w:r>
      <w:r w:rsidRPr="004F6220">
        <w:lastRenderedPageBreak/>
        <w:t>5 ustawy o ofercie publicznej w związku z wymogami wynikającymi z załączników do rozporządzenia delegowanego 2019/980. Art. 22 ustawy o ofercie publicznej służy zapewnieniu właściwego stosowania ww. regulacji prawa UE i jego brzmienie po zmianie będzie nadal w pełni zgodne z ww. wymogami prawa UE, ale jednocześnie będzie dostosowane do oczekiwań uczestników rynku i GPW.</w:t>
      </w:r>
    </w:p>
    <w:p w14:paraId="7839FEB7" w14:textId="7D941837" w:rsidR="00AB7986" w:rsidRPr="004F6220" w:rsidRDefault="00F65477"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Jednocześnie p</w:t>
      </w:r>
      <w:r w:rsidR="00AB7986" w:rsidRPr="004F6220">
        <w:rPr>
          <w:rFonts w:ascii="Times New Roman" w:eastAsia="Times New Roman" w:hAnsi="Times New Roman" w:cs="Times New Roman"/>
          <w:sz w:val="24"/>
          <w:szCs w:val="24"/>
          <w:lang w:eastAsia="pl-PL"/>
        </w:rPr>
        <w:t xml:space="preserve">roponowana zmiana </w:t>
      </w:r>
      <w:r w:rsidRPr="004F6220">
        <w:rPr>
          <w:rFonts w:ascii="Times New Roman" w:eastAsia="Times New Roman" w:hAnsi="Times New Roman" w:cs="Times New Roman"/>
          <w:sz w:val="24"/>
          <w:szCs w:val="24"/>
          <w:lang w:eastAsia="pl-PL"/>
        </w:rPr>
        <w:t>stanowi</w:t>
      </w:r>
      <w:r w:rsidR="00AB7986" w:rsidRPr="004F6220">
        <w:rPr>
          <w:rFonts w:ascii="Times New Roman" w:eastAsia="Times New Roman" w:hAnsi="Times New Roman" w:cs="Times New Roman"/>
          <w:sz w:val="24"/>
          <w:szCs w:val="24"/>
          <w:lang w:eastAsia="pl-PL"/>
        </w:rPr>
        <w:t xml:space="preserve"> odpowied</w:t>
      </w:r>
      <w:r w:rsidRPr="004F6220">
        <w:rPr>
          <w:rFonts w:ascii="Times New Roman" w:eastAsia="Times New Roman" w:hAnsi="Times New Roman" w:cs="Times New Roman"/>
          <w:sz w:val="24"/>
          <w:szCs w:val="24"/>
          <w:lang w:eastAsia="pl-PL"/>
        </w:rPr>
        <w:t>ź</w:t>
      </w:r>
      <w:r w:rsidR="00AB7986" w:rsidRPr="004F6220">
        <w:rPr>
          <w:rFonts w:ascii="Times New Roman" w:eastAsia="Times New Roman" w:hAnsi="Times New Roman" w:cs="Times New Roman"/>
          <w:sz w:val="24"/>
          <w:szCs w:val="24"/>
          <w:lang w:eastAsia="pl-PL"/>
        </w:rPr>
        <w:t xml:space="preserve"> na postulaty przedstawicieli podmiotów działających na rynku kapitałowym (doradców prawnych i transakcyjnych aktywnych na rynku ofert publicznych papierów wartościowych) wraz z GPW w zakresie praktyk nadzorczych, interpretacji i zasad postępowania z wnioskami o zatwierdzenie prospektu.</w:t>
      </w:r>
    </w:p>
    <w:p w14:paraId="3A63B122" w14:textId="06856898" w:rsidR="00C63BE4"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bookmarkStart w:id="9" w:name="_Hlk223093413"/>
      <w:r w:rsidRPr="004F6220">
        <w:rPr>
          <w:rFonts w:ascii="Times New Roman" w:eastAsia="Times New Roman" w:hAnsi="Times New Roman" w:cs="Times New Roman"/>
          <w:b/>
          <w:bCs/>
          <w:sz w:val="24"/>
          <w:szCs w:val="24"/>
          <w:lang w:eastAsia="pl-PL"/>
        </w:rPr>
        <w:t xml:space="preserve">Zmiana w art. 27 </w:t>
      </w:r>
      <w:r w:rsidR="00C63BE4" w:rsidRPr="004F6220">
        <w:rPr>
          <w:rFonts w:ascii="Times New Roman" w:eastAsia="Times New Roman" w:hAnsi="Times New Roman" w:cs="Times New Roman"/>
          <w:b/>
          <w:bCs/>
          <w:sz w:val="24"/>
          <w:szCs w:val="24"/>
          <w:lang w:eastAsia="pl-PL"/>
        </w:rPr>
        <w:t xml:space="preserve">ust. </w:t>
      </w:r>
      <w:r w:rsidRPr="004F6220">
        <w:rPr>
          <w:rFonts w:ascii="Times New Roman" w:eastAsia="Times New Roman" w:hAnsi="Times New Roman" w:cs="Times New Roman"/>
          <w:b/>
          <w:bCs/>
          <w:sz w:val="24"/>
          <w:szCs w:val="24"/>
          <w:lang w:eastAsia="pl-PL"/>
        </w:rPr>
        <w:t>2 pkt 1</w:t>
      </w:r>
      <w:r w:rsidRPr="004F6220">
        <w:rPr>
          <w:rFonts w:ascii="Times New Roman" w:eastAsia="Times New Roman" w:hAnsi="Times New Roman" w:cs="Times New Roman"/>
          <w:sz w:val="24"/>
          <w:szCs w:val="24"/>
          <w:lang w:eastAsia="pl-PL"/>
        </w:rPr>
        <w:t xml:space="preserve"> </w:t>
      </w:r>
      <w:bookmarkEnd w:id="9"/>
      <w:r w:rsidRPr="004F6220">
        <w:rPr>
          <w:rFonts w:ascii="Times New Roman" w:eastAsia="Times New Roman" w:hAnsi="Times New Roman" w:cs="Times New Roman"/>
          <w:sz w:val="24"/>
          <w:szCs w:val="24"/>
          <w:lang w:eastAsia="pl-PL"/>
        </w:rPr>
        <w:t>ustawy o ofercie publicznej ma na celu umożliwienie sporządzenia prospektu w języku angielskim, według uznania emitenta lub oferującego, w związku z zamiarem przeprowadzenia oferty publicznej papierów wartościowych na terytorium Polski. W</w:t>
      </w:r>
      <w:r w:rsidR="00C63BE4" w:rsidRPr="004F6220">
        <w:rPr>
          <w:rFonts w:ascii="Times New Roman" w:eastAsia="Times New Roman" w:hAnsi="Times New Roman" w:cs="Times New Roman"/>
          <w:sz w:val="24"/>
          <w:szCs w:val="24"/>
          <w:lang w:eastAsia="pl-PL"/>
        </w:rPr>
        <w:t> </w:t>
      </w:r>
      <w:r w:rsidRPr="004F6220">
        <w:rPr>
          <w:rFonts w:ascii="Times New Roman" w:eastAsia="Times New Roman" w:hAnsi="Times New Roman" w:cs="Times New Roman"/>
          <w:sz w:val="24"/>
          <w:szCs w:val="24"/>
          <w:lang w:eastAsia="pl-PL"/>
        </w:rPr>
        <w:t xml:space="preserve">obecnym porządku prawnym emitent, który zamierza przeprowadzić ofertę publiczną na terytorium Polski lub wprowadzić papiery wartościowe do obrotu na rynku regulowanym w Polsce, ma możliwość sporządzenia prospektu tylko w języku polskim. Propozycja zmiany wynika ściśle ze zmian rozporządzenia 2017/1129 wprowadzonego przez Listing Act, konkretnie z art. 1 pkt 21 lit. a rozporządzenia </w:t>
      </w:r>
      <w:bookmarkStart w:id="10" w:name="_Hlk223608847"/>
      <w:r w:rsidRPr="004F6220">
        <w:rPr>
          <w:rFonts w:ascii="Times New Roman" w:eastAsia="Times New Roman" w:hAnsi="Times New Roman" w:cs="Times New Roman"/>
          <w:sz w:val="24"/>
          <w:szCs w:val="24"/>
          <w:lang w:eastAsia="pl-PL"/>
        </w:rPr>
        <w:t>2024/2809</w:t>
      </w:r>
      <w:bookmarkEnd w:id="10"/>
      <w:r w:rsidRPr="004F6220">
        <w:rPr>
          <w:rFonts w:ascii="Times New Roman" w:eastAsia="Times New Roman" w:hAnsi="Times New Roman" w:cs="Times New Roman"/>
          <w:sz w:val="24"/>
          <w:szCs w:val="24"/>
          <w:lang w:eastAsia="pl-PL"/>
        </w:rPr>
        <w:t xml:space="preserve"> dokonującego zmiany w art. 27 ust. 1 rozporządzenia 2017/1129. Zmiana ta znajdzie zastosowanie od 5 czerwca 2026 r. w wyniku bezpośredniego stosowania ww. rozporządzeń. </w:t>
      </w:r>
      <w:r w:rsidR="00C63BE4" w:rsidRPr="004F6220">
        <w:rPr>
          <w:rFonts w:ascii="Times New Roman" w:eastAsia="Times New Roman" w:hAnsi="Times New Roman" w:cs="Times New Roman"/>
          <w:sz w:val="24"/>
          <w:szCs w:val="24"/>
          <w:lang w:eastAsia="pl-PL"/>
        </w:rPr>
        <w:t>Należy zaz</w:t>
      </w:r>
      <w:r w:rsidR="00BB779F" w:rsidRPr="004F6220">
        <w:rPr>
          <w:rFonts w:ascii="Times New Roman" w:eastAsia="Times New Roman" w:hAnsi="Times New Roman" w:cs="Times New Roman"/>
          <w:sz w:val="24"/>
          <w:szCs w:val="24"/>
          <w:lang w:eastAsia="pl-PL"/>
        </w:rPr>
        <w:t>n</w:t>
      </w:r>
      <w:r w:rsidR="00C63BE4" w:rsidRPr="004F6220">
        <w:rPr>
          <w:rFonts w:ascii="Times New Roman" w:eastAsia="Times New Roman" w:hAnsi="Times New Roman" w:cs="Times New Roman"/>
          <w:sz w:val="24"/>
          <w:szCs w:val="24"/>
          <w:lang w:eastAsia="pl-PL"/>
        </w:rPr>
        <w:t>aczyć, że oba wzmiankowane przepisy prawa unijnego mają pierwszeństwo przed przepisami prawa krajowego. Proponowana zmiana ustawy stanowić będzie lex specialis względem art. 7 ustawy z dnia 7 października 1999 r. o języku polskim.</w:t>
      </w:r>
    </w:p>
    <w:p w14:paraId="6405BC25" w14:textId="4CA2593F" w:rsidR="00C63BE4" w:rsidRPr="004F6220" w:rsidRDefault="00C63BE4"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Proponowana zmiana odnosi się jedynie do możliwości sporządzenia prospektu w języku angielskim. Akta postępowania administracyjnego będą zasadniczo prowadzone w języku polskim. Aktualnie obowiązujące regulacje nie dają podstaw prawnych do prowadzenia w języku angielskim postępowania administracyjnego w przedmiocie zatwierdzenia prospektu. Przedmiotowa teza materializuje się w treści art. 5 ust. 1 ustawy o języku polskim, która konstytuuje obowiązek dokonywania wszelkich czynności urzędowych przez podmioty wykonujące zadania publiczne w języku polskim, chyba że przepisy szczególne stanowią inaczej. Doktryna definiuje pojęcie czynności urzędowych jako: „każdą czynność wskazanych organów, która stanowi wyraz realizacji przyznanej ustawowo kompetencji”. Zgodnie zaś z art. 27 ust. 2b ustawy o ofercie publicznej, w sprawach nieuregulowanych w przepisach tej </w:t>
      </w:r>
      <w:r w:rsidRPr="004F6220">
        <w:rPr>
          <w:rFonts w:ascii="Times New Roman" w:eastAsia="Times New Roman" w:hAnsi="Times New Roman" w:cs="Times New Roman"/>
          <w:sz w:val="24"/>
          <w:szCs w:val="24"/>
          <w:lang w:eastAsia="pl-PL"/>
        </w:rPr>
        <w:lastRenderedPageBreak/>
        <w:t xml:space="preserve">ustawy, (…) do postępowania w sprawie zatwierdzenia prospektu przepisy Kodeksu postępowania administracyjnego stosuje się odpowiednio (…). Tym samym skoro zatwierdzenie prospektu następuje w toku postępowania administracyjnego, w ramach którego Komisja podejmuje odpowiednie czynności urzędowe, zaś ustawa o języku polskim nakłada obowiązek ich dokonywania w języku polskim, to przedmiotowe postępowanie należy prowadzić w tym właśnie języku. Analogicznie należy przyjąć, że uwagi zgłaszane do prospektu w toku postępowania administracyjnego o jego zatwierdzenie, powinny być sporządzane w języku polskim, w szczególności kiedy jedną z podstaw prawnych uprawniających Komisję do ich złożenia jest art. 50 § 1 </w:t>
      </w:r>
      <w:r w:rsidR="00893381" w:rsidRPr="004F6220">
        <w:rPr>
          <w:rFonts w:ascii="Times New Roman" w:eastAsia="Times New Roman" w:hAnsi="Times New Roman" w:cs="Times New Roman"/>
          <w:sz w:val="24"/>
          <w:szCs w:val="24"/>
          <w:lang w:eastAsia="pl-PL"/>
        </w:rPr>
        <w:t>KPA</w:t>
      </w:r>
      <w:r w:rsidRPr="004F6220">
        <w:rPr>
          <w:rFonts w:ascii="Times New Roman" w:eastAsia="Times New Roman" w:hAnsi="Times New Roman" w:cs="Times New Roman"/>
          <w:sz w:val="24"/>
          <w:szCs w:val="24"/>
          <w:lang w:eastAsia="pl-PL"/>
        </w:rPr>
        <w:t>. Stąd zgłoszenie uwag należy utożsamiać z dokonaniem przez Komisję czynności urzędowej w toku postępowania administracyjnego o zatwierdzenie prospektu.</w:t>
      </w:r>
    </w:p>
    <w:p w14:paraId="63EDAAE3" w14:textId="3D9AD7CB"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Propozycja </w:t>
      </w:r>
      <w:r w:rsidR="00C63BE4" w:rsidRPr="004F6220">
        <w:rPr>
          <w:rFonts w:ascii="Times New Roman" w:eastAsia="Times New Roman" w:hAnsi="Times New Roman" w:cs="Times New Roman"/>
          <w:sz w:val="24"/>
          <w:szCs w:val="24"/>
          <w:lang w:eastAsia="pl-PL"/>
        </w:rPr>
        <w:t xml:space="preserve">zmiany art. 27 ust. 2 pkt 1 </w:t>
      </w:r>
      <w:r w:rsidRPr="004F6220">
        <w:rPr>
          <w:rFonts w:ascii="Times New Roman" w:eastAsia="Times New Roman" w:hAnsi="Times New Roman" w:cs="Times New Roman"/>
          <w:sz w:val="24"/>
          <w:szCs w:val="24"/>
          <w:lang w:eastAsia="pl-PL"/>
        </w:rPr>
        <w:t>jest również odpowiedzią na postulaty przedstawicieli podmiotów działających na rynku kapitałowym (w tym doradców prawnych i transakcyjnych, aktywnych na rynku ofert publicznych papierów wartościowych) oraz GPW w zakresie praktyk nadzorczych, interpretacji i zasad postępowania z wnioskami o zatwierdzenie prospektu.</w:t>
      </w:r>
    </w:p>
    <w:p w14:paraId="5596491F" w14:textId="3AF9868A" w:rsidR="00D3377F"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Zmiana w art. 27 w</w:t>
      </w:r>
      <w:r w:rsidR="00364702">
        <w:rPr>
          <w:rFonts w:ascii="Times New Roman" w:eastAsia="Times New Roman" w:hAnsi="Times New Roman" w:cs="Times New Roman"/>
          <w:b/>
          <w:bCs/>
          <w:sz w:val="24"/>
          <w:szCs w:val="24"/>
          <w:lang w:eastAsia="pl-PL"/>
        </w:rPr>
        <w:t xml:space="preserve"> ust.</w:t>
      </w:r>
      <w:r w:rsidRPr="004F6220">
        <w:rPr>
          <w:rFonts w:ascii="Times New Roman" w:eastAsia="Times New Roman" w:hAnsi="Times New Roman" w:cs="Times New Roman"/>
          <w:b/>
          <w:bCs/>
          <w:sz w:val="24"/>
          <w:szCs w:val="24"/>
          <w:lang w:eastAsia="pl-PL"/>
        </w:rPr>
        <w:t xml:space="preserve"> 2 pkt 2a</w:t>
      </w:r>
      <w:r w:rsidRPr="004F6220">
        <w:rPr>
          <w:rFonts w:ascii="Times New Roman" w:eastAsia="Times New Roman" w:hAnsi="Times New Roman" w:cs="Times New Roman"/>
          <w:sz w:val="24"/>
          <w:szCs w:val="24"/>
          <w:lang w:eastAsia="pl-PL"/>
        </w:rPr>
        <w:t xml:space="preserve"> ustawy o ofercie publicznej zakłada zniesienie obowiązku załączania odpisu z KRS do wniosku o zatwierdzenie prospektu lub dokumentu rejestracyjnego. Zgodnie z obowiązującym przepisem art. 27 ust</w:t>
      </w:r>
      <w:r w:rsidR="00364702">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 xml:space="preserve"> 2 pkt 2a ustawy o ofercie publicznej do wniosku o zatwierdzenie prospektu lub dokumentu rejestracyjnego należy załączyć odpis z KRS. KRS jest powszechnie dostępny online i nie ma potrzeby składania do UKNF odpisu z KRS w przypadku spółek z siedzibą w Polsce. W przepisie zaproponowano zatem rezygnację z obowiązku składania odpisu z KRS wraz z wnioskiem o zatwierdzenie prospektu lub dokumentu rejestracyjnego. W przypadku spółek z siedzibą poza granicami Polski obowiązek złożenia odpisu z rejestru spółek powinien pozostać wraz z tłumaczeniem przysięgłym odpisu na język polski, ze względu na ograniczony dostęp krajowego organu nadzoru do niektórych rejestrów.</w:t>
      </w:r>
    </w:p>
    <w:p w14:paraId="3723370D" w14:textId="04C4B5B5" w:rsidR="00D3377F" w:rsidRPr="004F6220" w:rsidRDefault="00D3377F"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Obowiązujący przepis art. 27 ust. 2 pkt 3 ustawy o ofercie publicznej nakłada na emitentów składających wniosek o zatwierdzenie prospektu wymóg złożenia wszystkich uchwał w sprawie emisji papierów wartościowych objętych prospektem. Powoduje to po stronie emitentów obowiązek przygotowania dodatkowej dokumentacji korporacyjnej i stanowi obciążenie regulacyjne, zwłaszcza w sytuacji, gdy historia zmian kapitału zakładowego sięga wielu lat wstecz. W ramach procesu weryfikacji prospektu rolą organu nadzoru nie jest weryfikacja prawidłowości podjęcia tych uchwał, w szczególności dotyczących akcji, </w:t>
      </w:r>
      <w:r w:rsidRPr="004F6220">
        <w:rPr>
          <w:rFonts w:ascii="Times New Roman" w:eastAsia="Times New Roman" w:hAnsi="Times New Roman" w:cs="Times New Roman"/>
          <w:sz w:val="24"/>
          <w:szCs w:val="24"/>
          <w:lang w:eastAsia="pl-PL"/>
        </w:rPr>
        <w:lastRenderedPageBreak/>
        <w:t xml:space="preserve">w przypadku których w Krajowym Rejestrze Sądowym zostało już zarejestrowane podwyższenie kapitału zakładowego, w związku z czym uchwały te funkcjonują w obrocie prawnym. Zatwierdzając prospekt, stosownie do art. 2 lit. r rozporządzenia 2017/1129, KNF weryfikuje, czy zawarte w nim informacje o emitencie oraz papierach wartościowych są kompletne, zrozumiałe i spójne. W postępowaniu w sprawie zatwierdzenia prospektu ocenie nie podlega prawdziwość zawartych w nim informacji, nie ma zatem konieczności składania do weryfikacji przez KNF uchwał emisyjnych. W związku z powyższym proponuje się </w:t>
      </w:r>
      <w:r w:rsidRPr="004F6220">
        <w:rPr>
          <w:rFonts w:ascii="Times New Roman" w:eastAsia="Times New Roman" w:hAnsi="Times New Roman" w:cs="Times New Roman"/>
          <w:b/>
          <w:bCs/>
          <w:sz w:val="24"/>
          <w:szCs w:val="24"/>
          <w:lang w:eastAsia="pl-PL"/>
        </w:rPr>
        <w:t>modyfikację przepisu art. 27 ust. 2 pkt 3</w:t>
      </w:r>
      <w:r w:rsidRPr="004F6220">
        <w:rPr>
          <w:rFonts w:ascii="Times New Roman" w:eastAsia="Times New Roman" w:hAnsi="Times New Roman" w:cs="Times New Roman"/>
          <w:sz w:val="24"/>
          <w:szCs w:val="24"/>
          <w:lang w:eastAsia="pl-PL"/>
        </w:rPr>
        <w:t xml:space="preserve"> ustawy o ofercie publicznej w taki sposób, aby pozostawić obowiązek złożenia wraz z wnioskiem o zatwierdzenie prospektu wyłącznie uchwały o emisji papierów wartościowych będących przedmiotem oferty publicznej przeprowadzanej przez emitenta na podstawie prospektu, a więc uchwały będącej podstawą złożenia prospektu i prowadzenia postępowania administracyjnego. </w:t>
      </w:r>
    </w:p>
    <w:p w14:paraId="165830E9" w14:textId="3AA8A552" w:rsidR="00E26C87" w:rsidRPr="004F6220" w:rsidRDefault="00E26C87" w:rsidP="005D621C">
      <w:pPr>
        <w:pStyle w:val="NormalnyWeb"/>
        <w:spacing w:before="120" w:beforeAutospacing="0" w:after="0" w:afterAutospacing="0" w:line="360" w:lineRule="auto"/>
        <w:jc w:val="both"/>
      </w:pPr>
      <w:r w:rsidRPr="004F6220">
        <w:t xml:space="preserve">Projektowane zmiany </w:t>
      </w:r>
      <w:r w:rsidRPr="004F6220">
        <w:rPr>
          <w:b/>
          <w:bCs/>
        </w:rPr>
        <w:t>art. 29 ust. 2 oraz art. 30 ust. 3</w:t>
      </w:r>
      <w:r w:rsidRPr="004F6220">
        <w:t xml:space="preserve"> ustawy o ofercie publicznej służą zapewnieniu spójności regulacji dotyczących odpowiedzialności za informacje zawarte w dokumentach stanowiących poszczególne części prospektu. Prospekt może być sporządzony jako jednolity dokument albo jako zestaw dokumentów obejmujący dokument rejestracyjny, dokument ofertowy i dokument podsumowujący. Jednocześnie art. 22 ustawy o ofercie publicznej określa podmioty odpowiedzialne za zgodność ze stanem faktycznym informacji zawartych w prospekcie lub suplemencie do prospektu oraz przewiduje obowiązek wskazania tych osób i złożenia przez nie stosownych oświadczeń. W obecnym stanie prawnym art. 29 ust. 2 i art. 30 ust. 3, określając przepisy stosowane odpowiednio do postępowań dotyczących zatwierdzenia dokumentu rejestracyjnego, uniwersalnego dokumentu rejestracyjnego oraz dokumentu ofertowego i podsumowania, nie zawierają odesłania do art. 22. W konsekwencji regulacja dotycząca odpowiedzialności za informacje zawarte w prospekcie nie jest wprost wskazana jako mająca odpowiednie zastosowanie do poszczególnych dokumentów stanowiących elementy prospektu. Uzupełnienie odesłań w art. 29 ust. 2 i art. 30 ust. 3 o art. 22 ma na celu jednoznaczne przesądzenie, że regulacja dotycząca odpowiedzialności za informacje zawarte w prospekcie oraz obowiązku wskazania osób odpowiedzialnych i złożenia przez nie wymaganych oświadczeń znajduje odpowiednie zastosowanie również w przypadku, gdy prospekt jest sporządzany w formie zestawu odrębnych dokumentów. Zmiana ta zapewni spójność regulacji dotyczących odpowiedzialności za informacje zawarte w dokumencie rejestracyjnym, uniwersalnym dokumencie rejestracyjnym, dokumencie ofertowym oraz podsumowaniu z regulacją dotyczącą prospektu jako całości.</w:t>
      </w:r>
    </w:p>
    <w:p w14:paraId="6AB87EF7" w14:textId="64A80AE4" w:rsidR="00E26C87" w:rsidRPr="004F6220" w:rsidRDefault="00E26C87" w:rsidP="005D621C">
      <w:pPr>
        <w:pStyle w:val="NormalnyWeb"/>
        <w:spacing w:before="120" w:beforeAutospacing="0" w:after="0" w:afterAutospacing="0" w:line="360" w:lineRule="auto"/>
        <w:jc w:val="both"/>
      </w:pPr>
      <w:r w:rsidRPr="004F6220">
        <w:lastRenderedPageBreak/>
        <w:t xml:space="preserve">Zmiana </w:t>
      </w:r>
      <w:r w:rsidRPr="004F6220">
        <w:rPr>
          <w:b/>
          <w:bCs/>
        </w:rPr>
        <w:t>art.</w:t>
      </w:r>
      <w:r w:rsidR="00997C32" w:rsidRPr="004F6220">
        <w:rPr>
          <w:b/>
          <w:bCs/>
        </w:rPr>
        <w:t> </w:t>
      </w:r>
      <w:r w:rsidRPr="004F6220">
        <w:rPr>
          <w:b/>
          <w:bCs/>
        </w:rPr>
        <w:t>35a</w:t>
      </w:r>
      <w:r w:rsidRPr="004F6220">
        <w:t xml:space="preserve"> ustawy o ofercie publicznej ma na celu jednoznaczne określenie języka, na który powinno zostać przetłumaczone podsumowanie prospektu sporządzonego w języku angielskim, niezależnie od tego, czy Rzeczpospolita Polska jest państwem macierzystym, czy państwem przyjmującym w rozumieniu rozporządzenia 2017/1129.</w:t>
      </w:r>
      <w:r w:rsidR="00997C32" w:rsidRPr="004F6220">
        <w:t xml:space="preserve"> </w:t>
      </w:r>
      <w:r w:rsidRPr="004F6220">
        <w:t>Projektowana regulacja określa tym samym język tłumaczenia podsumowania prospektu na potrzeby stosowania art. 27 ust. 1 akapit czwarty oraz ust. 2 akapit drugi rozporządzenia 2017/1129. Obowiązek udostępnienia tłumaczenia podsumowania prospektu w przypadku prowadzenia oferty publicznej lub ubiegania się o dopuszczenie papierów wartościowych do obrotu na rynku regulowanym w państwie innym niż państwo zatwierdzenia prospektu wynika bezpośrednio z przepisów tego rozporządzenia. Projektowana zmiana ma zatem charakter doprecyzowujący i służy zapewnieniu jednoznacznego stosowania tych przepisów w przypadku prospektów sporządzonych w języku angielskim.</w:t>
      </w:r>
    </w:p>
    <w:p w14:paraId="3759E685" w14:textId="3C4B6EEB" w:rsidR="00AB7986" w:rsidRPr="004F6220" w:rsidRDefault="00AB7986" w:rsidP="005D621C">
      <w:pPr>
        <w:pStyle w:val="NormalnyWeb"/>
        <w:spacing w:before="120" w:beforeAutospacing="0" w:after="0" w:afterAutospacing="0" w:line="360" w:lineRule="auto"/>
        <w:jc w:val="both"/>
        <w:rPr>
          <w:b/>
          <w:bCs/>
        </w:rPr>
      </w:pPr>
      <w:r w:rsidRPr="004F6220">
        <w:rPr>
          <w:b/>
          <w:bCs/>
        </w:rPr>
        <w:t>Uchylenie art. 37a oraz zmiany w art. 37b ust. 1, 1a, 3a, i 5 – dostosowanie do rozporządzenia 2024/2809.</w:t>
      </w:r>
    </w:p>
    <w:p w14:paraId="0EED45D3" w14:textId="0897BC5F" w:rsidR="00AB7986" w:rsidRPr="004F6220" w:rsidRDefault="00AB7986" w:rsidP="005D621C">
      <w:pPr>
        <w:pStyle w:val="NormalnyWeb"/>
        <w:spacing w:before="120" w:beforeAutospacing="0" w:after="0" w:afterAutospacing="0" w:line="360" w:lineRule="auto"/>
        <w:jc w:val="both"/>
      </w:pPr>
      <w:r w:rsidRPr="004F6220">
        <w:t>Z uwagi na fakt, że w przypadku niewielkich ofert publicznych papierów wartościowych koszt sporządzenia prospektu może pozostawać nieproporcjonalny do łącznej wartości oferty, rozporządzenie 2017/1129 wprowadziło próg 1 mln EUR, poniżej którego jego wymogi nie mają zastosowania. Jednocześnie umożliwiono państwom członkowskim wyłączenie ofert publicznych z obowiązku publikacji prospektu, pozostawiając im kompetencję do ustalenia odpowiedniego progu w przedziale od 1 mln EUR do 8 mln EUR. Rozwiązanie to doprowadziło jednak do znacznego zróżnicowania progów wyłączeń w poszczególnych państwach członkowskich, co w konsekwencji zwiększyło fragmentację rynku oraz spowodowało brak przejrzystości regulacyjnej zarówno po stronie emitentów, jak i inwestorów. W celu ograniczenia tych niekorzystnych zjawisk, przy jednoczesnym uwzględnieniu zróżnicowania wielkości krajowych rynków kapitałowych w Unii Europejskiej, rozporządzenie 2024/2809 zastąpiło dotychczasowy model systemem dwóch progów. Próg główny został ustalony na poziomie 12 mln EUR całkowitej zagregowanej wartości ofert w Unii, obliczanej w okresie 12 miesięcy, przy jednoczesnym pozostawieniu państwom członkowskim możliwości wyboru progu alternatywnego w wysokości 5 mln EUR. Poniżej wybranego progu oferty publiczne są wyłączone z obowiązku publikacji prospektu, pod warunkiem że nie podlegają obowiązkowi „paszportowania”.</w:t>
      </w:r>
    </w:p>
    <w:p w14:paraId="4AF3E6AF" w14:textId="7E565BB8" w:rsidR="008C1DD2" w:rsidRPr="004F6220" w:rsidRDefault="00AB7986" w:rsidP="005D621C">
      <w:pPr>
        <w:pStyle w:val="NormalnyWeb"/>
        <w:spacing w:before="120" w:beforeAutospacing="0" w:after="0" w:afterAutospacing="0" w:line="360" w:lineRule="auto"/>
        <w:jc w:val="both"/>
      </w:pPr>
      <w:r w:rsidRPr="004F6220">
        <w:t xml:space="preserve">Wdrożenie tych zmian na gruncie prawa krajowego wymaga uchylenia </w:t>
      </w:r>
      <w:r w:rsidRPr="004F6220">
        <w:rPr>
          <w:b/>
          <w:bCs/>
        </w:rPr>
        <w:t>art. 37a</w:t>
      </w:r>
      <w:r w:rsidRPr="004F6220">
        <w:t xml:space="preserve"> oraz modyfikacji </w:t>
      </w:r>
      <w:r w:rsidRPr="004F6220">
        <w:rPr>
          <w:b/>
          <w:bCs/>
        </w:rPr>
        <w:t>art. 37b</w:t>
      </w:r>
      <w:r w:rsidRPr="004F6220">
        <w:t xml:space="preserve"> ustawy o ofercie publicznej. W zakresie wyboru progu krajowego </w:t>
      </w:r>
      <w:r w:rsidRPr="004F6220">
        <w:lastRenderedPageBreak/>
        <w:t>zdecydowano o po</w:t>
      </w:r>
      <w:r w:rsidR="008C1DD2" w:rsidRPr="004F6220">
        <w:t>dwyższeniu</w:t>
      </w:r>
      <w:r w:rsidRPr="004F6220">
        <w:t xml:space="preserve"> progu </w:t>
      </w:r>
      <w:r w:rsidR="008C1DD2" w:rsidRPr="004F6220">
        <w:t>do</w:t>
      </w:r>
      <w:r w:rsidRPr="004F6220">
        <w:t xml:space="preserve"> wysokości równowartości </w:t>
      </w:r>
      <w:r w:rsidR="008C1DD2" w:rsidRPr="004F6220">
        <w:t>12</w:t>
      </w:r>
      <w:r w:rsidRPr="004F6220">
        <w:t xml:space="preserve"> mln EUR. </w:t>
      </w:r>
      <w:r w:rsidR="008C1DD2" w:rsidRPr="004F6220">
        <w:t xml:space="preserve">Projektowane rozwiązanie wpisywać się będzie w cele Listing Act, jakimi są uatrakcyjnienie unijnych rynków kapitałowych oraz zmniejszenie barier w dostępie do kapitału dla małych i średnich przedsiębiorstw. </w:t>
      </w:r>
    </w:p>
    <w:p w14:paraId="3F9C6A65" w14:textId="6423EF9F" w:rsidR="00AB7986" w:rsidRPr="004F6220" w:rsidRDefault="008C1DD2" w:rsidP="005D621C">
      <w:pPr>
        <w:pStyle w:val="NormalnyWeb"/>
        <w:spacing w:before="120" w:beforeAutospacing="0" w:after="0" w:afterAutospacing="0" w:line="360" w:lineRule="auto"/>
        <w:jc w:val="both"/>
      </w:pPr>
      <w:r w:rsidRPr="004F6220">
        <w:t xml:space="preserve">Z </w:t>
      </w:r>
      <w:r w:rsidR="008C4D1A" w:rsidRPr="004F6220">
        <w:t xml:space="preserve">dostępnych </w:t>
      </w:r>
      <w:r w:rsidRPr="004F6220">
        <w:t xml:space="preserve">danych wynika, że w okresie od </w:t>
      </w:r>
      <w:r w:rsidR="008C4D1A" w:rsidRPr="004F6220">
        <w:t xml:space="preserve">początku roku 2023 do połowy roku 2025 </w:t>
      </w:r>
      <w:r w:rsidRPr="004F6220">
        <w:t xml:space="preserve">przeprowadzona </w:t>
      </w:r>
      <w:r w:rsidR="008C4D1A" w:rsidRPr="004F6220">
        <w:t xml:space="preserve">została </w:t>
      </w:r>
      <w:r w:rsidRPr="004F6220">
        <w:t>tylko jedna prospektowa oferta publiczna akcji, której wartość pozyskanych wpływów mieściła się w przedziale pomiędzy 5 a 12 mln EUR. Z kolei prospekty dotyczące ofert obligacji</w:t>
      </w:r>
      <w:r w:rsidR="008C4D1A" w:rsidRPr="004F6220">
        <w:t xml:space="preserve">, w odniesieniu do tego samego okresu, znacznie </w:t>
      </w:r>
      <w:r w:rsidRPr="004F6220">
        <w:t>przekraczały próg 12</w:t>
      </w:r>
      <w:r w:rsidR="008C4D1A" w:rsidRPr="004F6220">
        <w:t> </w:t>
      </w:r>
      <w:r w:rsidRPr="004F6220">
        <w:t xml:space="preserve">mln EUR. Dodatkowo należy zwrócić uwagę, iż od </w:t>
      </w:r>
      <w:r w:rsidR="008C4D1A" w:rsidRPr="004F6220">
        <w:t xml:space="preserve">5 czerwca 2026 r. </w:t>
      </w:r>
      <w:r w:rsidRPr="004F6220">
        <w:t xml:space="preserve">zmianie </w:t>
      </w:r>
      <w:bookmarkStart w:id="11" w:name="_Hlk218763884"/>
      <w:r w:rsidRPr="004F6220">
        <w:t>ulegnie sposób obliczania łącznej wartości ofert publicznych papierów wartościowych za okres 12 miesięcy na potrzeby ustalania progu warunkującego obowiązek sporządzenia prospektu</w:t>
      </w:r>
      <w:bookmarkEnd w:id="11"/>
      <w:r w:rsidRPr="004F6220">
        <w:t>. Obowiązujące przepisy ustawy o ofercie</w:t>
      </w:r>
      <w:r w:rsidR="008C4D1A" w:rsidRPr="004F6220">
        <w:t xml:space="preserve"> publicznej </w:t>
      </w:r>
      <w:r w:rsidRPr="004F6220">
        <w:t>nakazują liczyć tę wartość odrębnie dla każdego rodzaju papierów wartościowych. Natomiast od 5</w:t>
      </w:r>
      <w:r w:rsidR="008C4D1A" w:rsidRPr="004F6220">
        <w:t xml:space="preserve"> czerwca 2</w:t>
      </w:r>
      <w:r w:rsidRPr="004F6220">
        <w:t>026 r. wartość ta będzie liczona wspólnie dla wszystkich klas i rodzajów papierów wartościowych.</w:t>
      </w:r>
      <w:r w:rsidR="008C4D1A" w:rsidRPr="004F6220">
        <w:t xml:space="preserve"> </w:t>
      </w:r>
      <w:r w:rsidRPr="004F6220">
        <w:t xml:space="preserve">W konsekwencji </w:t>
      </w:r>
      <w:r w:rsidR="008C4D1A" w:rsidRPr="004F6220">
        <w:t xml:space="preserve">pozostawienie </w:t>
      </w:r>
      <w:r w:rsidRPr="004F6220">
        <w:t xml:space="preserve">progu na dotychczasowym poziomie 5 mln EUR </w:t>
      </w:r>
      <w:r w:rsidR="008C4D1A" w:rsidRPr="004F6220">
        <w:t xml:space="preserve">prowadziłoby </w:t>
      </w:r>
      <w:r w:rsidRPr="004F6220">
        <w:t xml:space="preserve">do realnego obniżenia limitu warunkującego sporządzenie prospektu w porównaniu do aktualnego stanu prawnego. </w:t>
      </w:r>
      <w:r w:rsidR="008C4D1A" w:rsidRPr="004F6220">
        <w:t>N</w:t>
      </w:r>
      <w:r w:rsidRPr="004F6220">
        <w:t>ie bez znaczenia pozostaje także, że zgodnie z informacjami opublikowanymi przez ESMA, próg 8 mln EUR przyjęło w aktualnie obowiązującym stanie prawnym większość państw członkowskich</w:t>
      </w:r>
      <w:r w:rsidR="008C4D1A" w:rsidRPr="004F6220">
        <w:t xml:space="preserve"> (Bułgaria, Chorwacja, Dania, Finlandia, Francja, Niemcy, Irlandia, Włochy, Litwa, Łotwa, Luksemburg, Portugalia i Hiszpania), </w:t>
      </w:r>
      <w:r w:rsidRPr="004F6220">
        <w:t xml:space="preserve">przy czym uzasadnione jest domniemanie, że co najmniej te państwa członkowskie, które przyjęły próg 8 mln EUR, </w:t>
      </w:r>
      <w:r w:rsidR="008C4D1A" w:rsidRPr="004F6220">
        <w:t xml:space="preserve">w celu zapewnienia stosowania rozporządzenia 2024/2809 </w:t>
      </w:r>
      <w:r w:rsidRPr="004F6220">
        <w:t>podwyższą go do 12 mln EUR</w:t>
      </w:r>
      <w:r w:rsidR="00AB7986" w:rsidRPr="004F6220">
        <w:t xml:space="preserve">. </w:t>
      </w:r>
    </w:p>
    <w:p w14:paraId="17599C83" w14:textId="6C98B7E3" w:rsidR="00295C38" w:rsidRPr="004F6220" w:rsidRDefault="00295C38"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W aktualnym stanie prawnym obowiązującym progiem zwolnienia z obowiązku sporządzenia jakiegokolwiek dokumentu ofertowego jest wartość 100 tys. EUR. Ze względu na strukturę ofert publicznych, jaka ukształtowała się na polskim rynku pod rządami rozporządzenia 2017/1129, proponuje się podwyższenie progu zwolnienia do 1 mln EUR, przy jednoczesnym rozszerzeniu obowiązku sporządzenia propozycji nabycia na wszystkie oferty obligacji, w których nie jest wymagane sporządzenie prospektu. Aktualnie kwota 1 mln EUR, z uwagi m.in na poziom inflacji w ostatnich latach, stanowi stosunkowo niską wartość. Odzwierciedla to spadająca z roku na rok liczba ofert o wartości &lt;1 mln EUR (w 2023 r. przeprowadzono 38 ofert na podstawie art. 37a ustawy o ofercie</w:t>
      </w:r>
      <w:r w:rsidR="00E12B2D" w:rsidRPr="004F6220">
        <w:rPr>
          <w:rFonts w:ascii="Times New Roman" w:eastAsia="Times New Roman" w:hAnsi="Times New Roman" w:cs="Times New Roman"/>
          <w:sz w:val="24"/>
          <w:szCs w:val="24"/>
          <w:lang w:eastAsia="pl-PL"/>
        </w:rPr>
        <w:t xml:space="preserve"> publicznej</w:t>
      </w:r>
      <w:r w:rsidRPr="004F6220">
        <w:rPr>
          <w:rFonts w:ascii="Times New Roman" w:eastAsia="Times New Roman" w:hAnsi="Times New Roman" w:cs="Times New Roman"/>
          <w:sz w:val="24"/>
          <w:szCs w:val="24"/>
          <w:lang w:eastAsia="pl-PL"/>
        </w:rPr>
        <w:t>, podczas gdy w 2024 takich ofert było 16, a w okresie 01.01</w:t>
      </w:r>
      <w:r w:rsidR="0021386F">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 xml:space="preserve">31.08.2025 zaledwie 6). W konsekwencji rola ofert publicznych, o wartości do 1 mln EUR w ostatnim okresie znacząco spadła, co wiąże się także ze </w:t>
      </w:r>
      <w:r w:rsidRPr="004F6220">
        <w:rPr>
          <w:rFonts w:ascii="Times New Roman" w:eastAsia="Times New Roman" w:hAnsi="Times New Roman" w:cs="Times New Roman"/>
          <w:sz w:val="24"/>
          <w:szCs w:val="24"/>
          <w:lang w:eastAsia="pl-PL"/>
        </w:rPr>
        <w:lastRenderedPageBreak/>
        <w:t>zmniejszeniem ryzyka dla inwestorów. Jednocześnie przedmiotowy próg 1 mln EUR koresponduje z progiem zwolnienia ofert o wartości &lt; 1 mln EUR z obowiązku pośrednictwa firmy inwestycyjnej (z zastrzeżeniem, że zwolnienie z obowiązku pośrednictwa nie ma zastosowania do ofert obligacji kierowanych do klienta detalicznego będącego osobą fizyczną).</w:t>
      </w:r>
    </w:p>
    <w:p w14:paraId="6EAA8E1D" w14:textId="51AC93EE" w:rsidR="00AB7986" w:rsidRPr="004F6220" w:rsidRDefault="00AB7986" w:rsidP="005D621C">
      <w:pPr>
        <w:pStyle w:val="NormalnyWeb"/>
        <w:spacing w:before="120" w:beforeAutospacing="0" w:after="0" w:afterAutospacing="0" w:line="360" w:lineRule="auto"/>
        <w:jc w:val="both"/>
      </w:pPr>
      <w:r w:rsidRPr="004F6220">
        <w:rPr>
          <w:b/>
          <w:bCs/>
        </w:rPr>
        <w:t>Dodanie w art. 37b ust. 1a</w:t>
      </w:r>
      <w:r w:rsidRPr="004F6220">
        <w:t xml:space="preserve"> ustawy o ofercie publicznej zakłada przekazywanie KNF memorandum informacyjnego sporządzanego dla ofert poniżej </w:t>
      </w:r>
      <w:r w:rsidR="00FE2220" w:rsidRPr="004F6220">
        <w:t>12</w:t>
      </w:r>
      <w:r w:rsidRPr="004F6220">
        <w:t xml:space="preserve"> mln euro, najpóźniej wraz z jego udostępnieniem do publicznej wiadomości. Przepisy art. 3 ust. 2d rozporządzenia 2017/1129 wskazują, że państwa członkowskie mogą nałożyć na emitenta obowiązek przedłożenia (do organu właściwego) i udostępnienia do wiadomości publicznej zgodnie z art. 21 ust. 2 rozporządzenia 2017/1129 dokumentu ofertowego. Wobec użycia spójnika koniunkcji, w przypadku nałożenia obowiązku udostępnienia dokumentu ofertowego przy tego rodzaju ofertach, powinno dojść również do nałożenia obowiązku przedłożenia ww. dokumentu KNF (analogicznie jak w przypadku dokumentu z art. 1 ust. 4 lit. da i db rozporządzenia 2017/1129).</w:t>
      </w:r>
    </w:p>
    <w:p w14:paraId="41CA5710" w14:textId="77777777" w:rsidR="00AB7986" w:rsidRPr="004F6220" w:rsidRDefault="00AB7986" w:rsidP="005D621C">
      <w:pPr>
        <w:pStyle w:val="NormalnyWeb"/>
        <w:spacing w:before="120" w:beforeAutospacing="0" w:after="0" w:afterAutospacing="0" w:line="360" w:lineRule="auto"/>
        <w:jc w:val="both"/>
      </w:pPr>
      <w:r w:rsidRPr="004F6220">
        <w:rPr>
          <w:b/>
          <w:bCs/>
        </w:rPr>
        <w:t>Uchylenie w art. 37b ust. 3a</w:t>
      </w:r>
      <w:r w:rsidRPr="004F6220">
        <w:t xml:space="preserve"> ustawy o ofercie publicznej jest zmianą wynikową. Wobec wprowadzanego w art. 37b ust. 1a obowiązku przedłożenia KNF memorandum informacyjnego nie ma potrzeby pozostawiania obowiązku zawiadomienia tego organu o zamiarze przeprowadzenia oferty uregulowany w uchylanym art. 37b ust. 3a ustawy o ofercie publicznej.</w:t>
      </w:r>
    </w:p>
    <w:p w14:paraId="0A7ADE2D" w14:textId="77777777" w:rsidR="00AB7986" w:rsidRPr="004F6220" w:rsidRDefault="00AB7986" w:rsidP="005D621C">
      <w:pPr>
        <w:pStyle w:val="NormalnyWeb"/>
        <w:spacing w:before="120" w:beforeAutospacing="0" w:after="0" w:afterAutospacing="0" w:line="360" w:lineRule="auto"/>
        <w:jc w:val="both"/>
      </w:pPr>
      <w:r w:rsidRPr="004F6220">
        <w:rPr>
          <w:b/>
          <w:bCs/>
        </w:rPr>
        <w:t>Zmiana w art. 37b ust. 5</w:t>
      </w:r>
      <w:r w:rsidRPr="004F6220">
        <w:t xml:space="preserve"> ustawy o ofercie publicznej zakłada dostosowanie zasad udostępniania memorandum informacyjnego do zasad przewidzianych dla prospektu poprzez odesłanie do art. 21 ust. 2 rozporządzenia 2017/1129. Mając na uwadze, że oba dokumenty sporządzane są w związku z ofertą publiczną, nie ma potrzeby rozróżniania zasad ich udostępniania inwestorom.</w:t>
      </w:r>
    </w:p>
    <w:p w14:paraId="26AA2443" w14:textId="77777777" w:rsidR="00AB7986" w:rsidRPr="004F6220" w:rsidRDefault="00AB7986" w:rsidP="005D621C">
      <w:pPr>
        <w:pStyle w:val="NormalnyWeb"/>
        <w:spacing w:before="120" w:beforeAutospacing="0" w:after="0" w:afterAutospacing="0" w:line="360" w:lineRule="auto"/>
        <w:jc w:val="both"/>
      </w:pPr>
      <w:r w:rsidRPr="004F6220">
        <w:rPr>
          <w:b/>
          <w:bCs/>
        </w:rPr>
        <w:t xml:space="preserve">Zmiana w art. 37b ust. 6 </w:t>
      </w:r>
      <w:r w:rsidRPr="004F6220">
        <w:t>ustawy o ofercie publicznej przewiduje wprowadzenie przekazywania KNF suplementu do memorandum informacyjnego. Wobec przewidzianego w projekcie obowiązku przekazywania KNF memorandum informacyjnego (zmiana w art. 37b ust. 1a) zasadne jest, aby również suplement do tego memorandum był przekazywany do tego organu.</w:t>
      </w:r>
    </w:p>
    <w:p w14:paraId="683DF5DB" w14:textId="39D37E65" w:rsidR="00AB7986" w:rsidRPr="004F6220" w:rsidRDefault="00AB7986" w:rsidP="005D621C">
      <w:pPr>
        <w:pStyle w:val="NormalnyWeb"/>
        <w:spacing w:before="120" w:beforeAutospacing="0" w:after="0" w:afterAutospacing="0" w:line="360" w:lineRule="auto"/>
        <w:jc w:val="both"/>
      </w:pPr>
      <w:r w:rsidRPr="004F6220">
        <w:rPr>
          <w:b/>
          <w:bCs/>
        </w:rPr>
        <w:t xml:space="preserve">Zmiana w art. 37c ust. 4 </w:t>
      </w:r>
      <w:r w:rsidRPr="004F6220">
        <w:t>ustawy o ofercie publicznej jest zmian</w:t>
      </w:r>
      <w:r w:rsidR="0021386F">
        <w:t>ą</w:t>
      </w:r>
      <w:r w:rsidRPr="004F6220">
        <w:t xml:space="preserve"> porządkową wynikającą z przewidzianego projektem uchylenia art. 37a.</w:t>
      </w:r>
    </w:p>
    <w:p w14:paraId="2C0DB265" w14:textId="148D6EEF" w:rsidR="00AB7986" w:rsidRPr="004F6220" w:rsidRDefault="00AB7986" w:rsidP="005D621C">
      <w:pPr>
        <w:pStyle w:val="NormalnyWeb"/>
        <w:spacing w:before="120" w:beforeAutospacing="0" w:after="0" w:afterAutospacing="0" w:line="360" w:lineRule="auto"/>
        <w:jc w:val="both"/>
      </w:pPr>
      <w:r w:rsidRPr="004F6220">
        <w:rPr>
          <w:b/>
          <w:bCs/>
        </w:rPr>
        <w:lastRenderedPageBreak/>
        <w:t>Uchylenie art. 37d</w:t>
      </w:r>
      <w:r w:rsidRPr="004F6220">
        <w:t xml:space="preserve"> ustawy o ofercie publicznej jest konsekwencją uchylenia art. 37a oraz przewidzianą w art. 37b ust. 1 zmianą zasad ustalania wartości oferty, tj. odejścia od wartości opartej na zakładanych wpływach brutto z oferty.</w:t>
      </w:r>
    </w:p>
    <w:p w14:paraId="7079079A" w14:textId="7BDC474A" w:rsidR="00A9343C" w:rsidRPr="004F6220" w:rsidRDefault="00A9343C" w:rsidP="005D621C">
      <w:pPr>
        <w:pStyle w:val="NormalnyWeb"/>
        <w:spacing w:before="120" w:beforeAutospacing="0" w:after="0" w:afterAutospacing="0" w:line="360" w:lineRule="auto"/>
        <w:jc w:val="both"/>
      </w:pPr>
      <w:r w:rsidRPr="004F6220">
        <w:t xml:space="preserve">Zmiany proponowane w </w:t>
      </w:r>
      <w:r w:rsidRPr="004F6220">
        <w:rPr>
          <w:b/>
          <w:bCs/>
        </w:rPr>
        <w:t>art. 38 ust. 1 i 2</w:t>
      </w:r>
      <w:r w:rsidRPr="004F6220">
        <w:t xml:space="preserve"> ustawy o ofercie publicznej mają charakter wynikowy i pozostają w związku z projektowanymi zmianami art. 37b tej ustawy. Ich celem jest dostosowanie zakresu odesłań zawartych w art. 38 ust. 1 i 2 do zmienionego zakresu regulacji art. 37b oraz zapewnienie prawidłowego stosowania przepisów dotyczących obowiązków związanych z udostępnianiem dokumentów sporządzanych na potrzeby ofert publicznych i dopuszczenia papierów wartościowych do obrotu na rynku regulowanym, o których mowa w art. 1 ust. 4 lit. f i g oraz ust. 5 lit. e i f rozporządzenia 2017/1129. Dokumenty, o których mowa w art. 1 ust. 4 lit. f oraz ust. 5 lit. e rozporządzenia 2017/1129, nie podlegają przedłożeniu Komisji do zatwierdzenia. W konsekwencji niezasadne byłoby stosowanie do tych dokumentów przepisów nakładających obowiązek przekazywania Komisji ich suplementów oraz komunikatów aktualizacyjnych. Z tego względu w projektowanym art. 38 ust. 1 i 2 wyłączono odpowiednie stosowanie przepisów art. 37b w tym zakresie. Jednocześnie, z uwagi na charakter tych dokumentów, nie jest zasadne stosowanie do nich przepisu art. 37b ust. 5. Obowiązek ich udostępnienia osobom, do których skierowana jest oferta publiczna, wynika bowiem bezpośrednio z przepisów rozporządzenia 2017/1129. </w:t>
      </w:r>
    </w:p>
    <w:p w14:paraId="24818C62" w14:textId="77777777" w:rsidR="00AB7986" w:rsidRPr="004F6220" w:rsidRDefault="00AB7986" w:rsidP="005D621C">
      <w:pPr>
        <w:pStyle w:val="NormalnyWeb"/>
        <w:spacing w:before="120" w:beforeAutospacing="0" w:after="0" w:afterAutospacing="0" w:line="360" w:lineRule="auto"/>
        <w:jc w:val="both"/>
      </w:pPr>
      <w:r w:rsidRPr="004F6220">
        <w:rPr>
          <w:b/>
          <w:bCs/>
        </w:rPr>
        <w:t>Uchylenie art. 38a</w:t>
      </w:r>
      <w:r w:rsidRPr="004F6220">
        <w:t xml:space="preserve"> ustawy o ofercie publicznej wynika z faktu, iż przepis ten wskazywał język sporządzenia dokumentu, o którym mowa w art. 1 ust. 5 lit. j pkt (v) rozporządzenia 2017/1129, który to przepis został uchylony rozporządzeniem 2024/2809.</w:t>
      </w:r>
    </w:p>
    <w:p w14:paraId="18F34E37" w14:textId="1F6D4D4D" w:rsidR="00AB7986" w:rsidRPr="004F6220" w:rsidRDefault="00AB7986" w:rsidP="005D621C">
      <w:pPr>
        <w:pStyle w:val="NormalnyWeb"/>
        <w:spacing w:before="120" w:beforeAutospacing="0" w:after="0" w:afterAutospacing="0" w:line="360" w:lineRule="auto"/>
        <w:jc w:val="both"/>
      </w:pPr>
      <w:r w:rsidRPr="004F6220">
        <w:rPr>
          <w:b/>
          <w:bCs/>
        </w:rPr>
        <w:t>Zmiana w art. 38b ust. 3</w:t>
      </w:r>
      <w:r w:rsidRPr="004F6220">
        <w:t xml:space="preserve"> ustawy o ofercie publicznej ma na celu dostosowanie zakresu przepisów dotyczących memorandum informacyjne</w:t>
      </w:r>
      <w:r w:rsidR="000A48EF" w:rsidRPr="004F6220">
        <w:t>go</w:t>
      </w:r>
      <w:r w:rsidRPr="004F6220">
        <w:t xml:space="preserve"> sporządzanego poniżej progu prospektowego, które znajdą zastosowanie do memorandum informacyjnego sporządzanego w przypadku tzw. ofert kroczących. Część z przepisów art. 37b, do których odwołuje się art. 38b ust. 3, jest zmieniana bądź uchylana, a także są dodane nowe przepisy, które powinny znaleźć zastosowanie do memorandum sporządzanego w przypadku ofert kroczących.</w:t>
      </w:r>
    </w:p>
    <w:p w14:paraId="2833AD18" w14:textId="295533CB" w:rsidR="00CF03B8" w:rsidRPr="004F6220" w:rsidRDefault="00CF03B8" w:rsidP="005D621C">
      <w:pPr>
        <w:pStyle w:val="NormalnyWeb"/>
        <w:spacing w:before="120" w:beforeAutospacing="0" w:after="0" w:afterAutospacing="0" w:line="360" w:lineRule="auto"/>
        <w:jc w:val="both"/>
      </w:pPr>
      <w:r w:rsidRPr="004F6220">
        <w:rPr>
          <w:b/>
          <w:bCs/>
        </w:rPr>
        <w:t>Dodanie w art. 39 ust. 4</w:t>
      </w:r>
      <w:r w:rsidRPr="004F6220">
        <w:t xml:space="preserve"> ustawy o ofercie publicznej ma na celu ustalenie na poziomie krajowym regulacji dotyczących nowych wyjątków prospektowych, o których mowa w art. 1 ust. 4 lit. da pkt iii oraz lit. db pkt iii oraz ust. 5 lit. ba pkt iii rozporządzenia 2017/1129, z którymi wiąże się obowiązek przekazania dokumentu, o którym mowa w załączniku IX rozporządzenia 2017/1129. Ww. przepis ma na celu uregulowanie wyłącznie tych aspektów, </w:t>
      </w:r>
      <w:r w:rsidRPr="004F6220">
        <w:lastRenderedPageBreak/>
        <w:t>których nie regulują przepisy unijne. Ww. przepis jest spójny z regulacjami z art. 38 ust.</w:t>
      </w:r>
      <w:r w:rsidR="0021386F">
        <w:t xml:space="preserve"> </w:t>
      </w:r>
      <w:r w:rsidRPr="004F6220">
        <w:t xml:space="preserve">1 i 2 oraz art. 39 ust. 1 ustawy ofercie odnoszącymi się do wyjątków od sporządzenia prospektu, o których mowa odpowiednio </w:t>
      </w:r>
      <w:bookmarkStart w:id="12" w:name="_Hlk231913462"/>
      <w:r w:rsidRPr="004F6220">
        <w:t>w art. 1 ust. 4 lit. f</w:t>
      </w:r>
      <w:r w:rsidR="0021386F">
        <w:t>–</w:t>
      </w:r>
      <w:r w:rsidRPr="004F6220">
        <w:t>g i ust. 5 lit. e–f rozporządzenia 2017/1129 oraz w art. 1 ust. 4 lit. h</w:t>
      </w:r>
      <w:r w:rsidR="0021386F">
        <w:t>–</w:t>
      </w:r>
      <w:r w:rsidRPr="004F6220">
        <w:t xml:space="preserve">i </w:t>
      </w:r>
      <w:r w:rsidR="007E67B3" w:rsidRPr="004F6220">
        <w:t xml:space="preserve">oraz </w:t>
      </w:r>
      <w:r w:rsidRPr="004F6220">
        <w:t>ust. 5 lit. g</w:t>
      </w:r>
      <w:r w:rsidR="0021386F">
        <w:t>–</w:t>
      </w:r>
      <w:r w:rsidRPr="004F6220">
        <w:t xml:space="preserve">h rozporządzenia 2017/1129. </w:t>
      </w:r>
      <w:bookmarkEnd w:id="12"/>
      <w:r w:rsidRPr="004F6220">
        <w:t>Celem ww. regulacji jest m.in. zapewnienie przejrzystej ścieżki postępowania w sytuacji, gdy po udostępnieniu dokumentu pojawia się potrzeba jego aktualizacji lub uzupełnienia.</w:t>
      </w:r>
    </w:p>
    <w:p w14:paraId="79DE657D" w14:textId="4991F71C" w:rsidR="00AB7986" w:rsidRPr="004F6220" w:rsidRDefault="00AB7986" w:rsidP="005D621C">
      <w:pPr>
        <w:pStyle w:val="NormalnyWeb"/>
        <w:spacing w:before="120" w:beforeAutospacing="0" w:after="0" w:afterAutospacing="0" w:line="360" w:lineRule="auto"/>
        <w:jc w:val="both"/>
      </w:pPr>
      <w:r w:rsidRPr="004F6220">
        <w:rPr>
          <w:b/>
          <w:bCs/>
        </w:rPr>
        <w:t>Zmiana w art. 40 ust. 4</w:t>
      </w:r>
      <w:r w:rsidRPr="004F6220">
        <w:t xml:space="preserve"> ustawy o ofercie publicznej ma na celu określenie treści memorandum informacyjnego sporządzanego przez podmioty prowadzące działalność pożytku publicznego, o których mowa w art. 3 ust. 2 i 3 ustawy z dnia 24 kwietnia 2003 r. o działalności pożytku publicznego i o wolontariacie (Dz. U. z 2025 r. poz. </w:t>
      </w:r>
      <w:r w:rsidR="003B5920">
        <w:t>1338</w:t>
      </w:r>
      <w:r w:rsidRPr="004F6220">
        <w:t>, z późn. zm.), w związku z przewidzianym projektem uchyleniem podstawy prawnej do wydania przez ministra właściwego do spraw instytucji finansowych rozporządzenia na podstawie art. 55 pkt 1 ustawy o ofercie publicznej. W projekcie przyjęto, że również w tym przypadku memorandum informacyjne powinno zawierać informacje przyjęte dla memorandum sporządzanego poniżej progu prospektowego.</w:t>
      </w:r>
    </w:p>
    <w:p w14:paraId="66AAF6BE" w14:textId="7FB136BD" w:rsidR="00CF03B8" w:rsidRPr="004F6220" w:rsidRDefault="00CF03B8" w:rsidP="005D621C">
      <w:pPr>
        <w:pStyle w:val="NormalnyWeb"/>
        <w:spacing w:before="120" w:beforeAutospacing="0" w:after="0" w:afterAutospacing="0" w:line="360" w:lineRule="auto"/>
        <w:jc w:val="both"/>
      </w:pPr>
      <w:r w:rsidRPr="004F6220">
        <w:rPr>
          <w:b/>
          <w:bCs/>
        </w:rPr>
        <w:t>Zmiana w art. 40b ust. 1</w:t>
      </w:r>
      <w:r w:rsidRPr="004F6220">
        <w:t xml:space="preserve"> ustawy o ofercie publicznej wynika z potrzeby dostosowania zawartego w tym przepisie odwołania do zmian przewidzianych projektem ustawy, np. uchyleniem art. 37a i art. 38a. Ma ona również na celu uregulowanie kwestii odpowiedzialności za treść informacji zawartych w dokumentach, o których mowa w art. 1 ust. 4 lit. da pkt iii oraz lit. db pkt iii oraz ust. 5 lit. ba pkt iii rozporządzenia 2017/1129, co jest istotne m.in. dla ustalenia osób odpowiedzialnych z art. 98 i art. 100 ustaw</w:t>
      </w:r>
      <w:r w:rsidR="00C15497">
        <w:t>y</w:t>
      </w:r>
      <w:r w:rsidRPr="004F6220">
        <w:t xml:space="preserve"> o ofercie. Regulacja ta jest spójna z regulacją odnoszącą się do kwestii odpowiedzialności za treść dokumentów, o których mowa w art. 38 i art. 39 ust. 1 ustawy o ofercie</w:t>
      </w:r>
      <w:r w:rsidR="00E12B2D" w:rsidRPr="004F6220">
        <w:t xml:space="preserve"> publicznej</w:t>
      </w:r>
      <w:r w:rsidRPr="004F6220">
        <w:t>.</w:t>
      </w:r>
    </w:p>
    <w:p w14:paraId="567BDEC6" w14:textId="179AFB6A" w:rsidR="00EE0A58" w:rsidRPr="004F6220" w:rsidRDefault="00B406F6" w:rsidP="005D621C">
      <w:pPr>
        <w:pStyle w:val="NormalnyWeb"/>
        <w:spacing w:before="120" w:beforeAutospacing="0" w:after="0" w:afterAutospacing="0" w:line="360" w:lineRule="auto"/>
        <w:jc w:val="both"/>
      </w:pPr>
      <w:r w:rsidRPr="004F6220">
        <w:t xml:space="preserve">Zmiana </w:t>
      </w:r>
      <w:r w:rsidR="00AB7986" w:rsidRPr="004F6220">
        <w:rPr>
          <w:b/>
          <w:bCs/>
        </w:rPr>
        <w:t>art. 55 pkt 1</w:t>
      </w:r>
      <w:r w:rsidR="00AB7986" w:rsidRPr="004F6220">
        <w:t xml:space="preserve"> ustawy o ofercie publicznej </w:t>
      </w:r>
      <w:r w:rsidRPr="004F6220">
        <w:t xml:space="preserve">ma na celu wskazanie, że rozporządzenie w sprawie szczegółowych warunków, jakim powinno odpowiadać memorandum informacyjne, powinno zostać wydane z uwzględnieniem brzmienia art. 3 ust. 2d rozporządzenia 2017/1129. </w:t>
      </w:r>
      <w:r w:rsidR="00EE0A58" w:rsidRPr="004F6220">
        <w:t xml:space="preserve">Rozporządzenie 2024/2809 przewiduje, że poniżej głównego progu ofertowego (w projekcie przyjęto 12 000 000 euro) państwa członkowskie są uprawnione do nałożenia na emitenta wymogu, by publikował dokument zawierający informacje, o których mowa w art. 7 rozporządzenia 2017/1129 (podsumowanie prospektu), lub dokument zawierający wymogi informacyjne określone na szczeblu krajowym, pod warunkiem że zakres i poziom takich informacji są równoważne lub niższe od określonych w art. 7 rozporządzenia 2017/1129. Z uwagi na pojawiające się w ostatnim czasie wątpliwości interpretacyjne, jakie mają miejsce w </w:t>
      </w:r>
      <w:r w:rsidR="00EE0A58" w:rsidRPr="004F6220">
        <w:lastRenderedPageBreak/>
        <w:t xml:space="preserve">razie oparcia treści nowego dokumentu ofertowego dla ofert publicznych papierów wartościowych poniżej progu prospektowego bezpośrednio na treści podsumowania prospektu proponuje się, aby dokument, który ma być sporządzony dla takich ofert był dokumentem krajowym, którego treść zostanie uregulowana w rozporządzeniu Ministra Finansów wydanym na podstawie upoważnienia ustawowego zawartego w ustawie o ofercie. </w:t>
      </w:r>
    </w:p>
    <w:p w14:paraId="691E471E" w14:textId="47E2B0ED" w:rsidR="00EE0A58" w:rsidRPr="004F6220" w:rsidRDefault="00EE0A58" w:rsidP="005D621C">
      <w:pPr>
        <w:pStyle w:val="NormalnyWeb"/>
        <w:spacing w:before="120" w:beforeAutospacing="0" w:after="0" w:afterAutospacing="0" w:line="360" w:lineRule="auto"/>
        <w:jc w:val="both"/>
      </w:pPr>
      <w:r w:rsidRPr="004F6220">
        <w:t>Należy wskazać, iż podsumowanie prospektu, o którym mowa w art. 7 rozporządzenia 2017/1129</w:t>
      </w:r>
      <w:r w:rsidR="00C15497">
        <w:t>,</w:t>
      </w:r>
      <w:r w:rsidRPr="004F6220">
        <w:t xml:space="preserve"> nie jest samodzielnym dokumentem ofertowym, lecz integralną częścią prospektu. Dane zawarte w podsumowaniu opierają się na danych zawartych w prospekcie. Z kolei zakres danych wymaganych w prospekcie i podsumowaniu prospektu wynika nie tylko z przepisów samego rozporządzenia 2017/1129, lecz także z przepisów rozporządzeń wykonawczych, do których nie ma odesłania przy nowym dokumencie ofertowym. W szczególności dotyczy to kwestii kluczowych informacji finansowych dotyczących emitenta, które powinny się znaleźć w sekcji, o której mowa w art. 7 ust. 4 lit. b rozporządzenia 2017/1129. Ponadto, ze względu na specyfikę podsumowania prospektu, również art. 7 ust. 4–10 rozporządzenia 2017/1129 wielokrotnie odwołuje się do samego prospektu, w tym chociażby w zakresie treści wymaganych oświadczeń, czy ostrzeżeń, wskazania organu, który zatwierdzał prospekt, czy daty jego zatwierdzenia. W związku z powyższym oparcie treści nowego dokumentu ofertowego wprost na art. 7 ust. 3–10 i 12 rozporządzenia 2017/1129 może doprowadzić do powstania istotnych wątpliwości interpretacyjnych co do tego, jakie informacje, w tym przede wszystkim, jakie informacje finansowe, powinny być zamieszczone w nowym dokumencie ofertowym, a także, czy i w jakim zakresie dla ustalenia zakresu ww. informacji będzie należało sięgać do innych przepisów rozporządzenia 2017/1129 i jego aktów wykonawczych. Jednocześnie zakłada się, że określone na poziomie krajowym wymogi zarówno co do formy, jak i zakresu informacji będą co do zasady </w:t>
      </w:r>
      <w:r w:rsidR="005B40B4" w:rsidRPr="004F6220">
        <w:t xml:space="preserve">odpowiadać </w:t>
      </w:r>
      <w:r w:rsidRPr="004F6220">
        <w:t xml:space="preserve">art. 7 ust. 3–10 i 12 rozporządzenia 2017/1129 i odpowiednich regulacji rozporządzeń wykonawczych, z odpowiednią ich modyfikacją tak, aby uwzględniały one samodzielny charakter ww. dokumentu ofertowego. </w:t>
      </w:r>
    </w:p>
    <w:p w14:paraId="2D2E955D" w14:textId="7CA34225" w:rsidR="00AB7986" w:rsidRPr="004F6220" w:rsidRDefault="00AB7986" w:rsidP="005D621C">
      <w:pPr>
        <w:pStyle w:val="NormalnyWeb"/>
        <w:spacing w:before="120" w:beforeAutospacing="0" w:after="0" w:afterAutospacing="0" w:line="360" w:lineRule="auto"/>
        <w:jc w:val="both"/>
      </w:pPr>
      <w:bookmarkStart w:id="13" w:name="_Hlk223695381"/>
      <w:r w:rsidRPr="004F6220">
        <w:rPr>
          <w:b/>
          <w:bCs/>
        </w:rPr>
        <w:t>Zmiany w art. 56 w ust. 1 w pkt 2</w:t>
      </w:r>
      <w:r w:rsidRPr="004F6220">
        <w:t xml:space="preserve"> ustawy o ofercie publicznej wynikają z przewidzianej projektem rezygnacji z wyodrębniania w ramach rynku regulowanego rynku oficjalnych notowań, co zostało szerzej opisane w zmianach w art. 16 ust. 1, 1a i 2, art. 17 ust. 1 pkt 1 i 2 ustawy o obrocie</w:t>
      </w:r>
      <w:r w:rsidR="003A3C41" w:rsidRPr="004F6220">
        <w:t xml:space="preserve"> instrumentami finansowymi</w:t>
      </w:r>
      <w:r w:rsidRPr="004F6220">
        <w:t>.</w:t>
      </w:r>
      <w:bookmarkEnd w:id="13"/>
    </w:p>
    <w:p w14:paraId="1155C4E3" w14:textId="5EAA4C49" w:rsidR="00B406F6" w:rsidRPr="004F6220" w:rsidRDefault="00B406F6" w:rsidP="005D621C">
      <w:pPr>
        <w:pStyle w:val="NormalnyWeb"/>
        <w:spacing w:before="120" w:beforeAutospacing="0" w:after="0" w:afterAutospacing="0" w:line="360" w:lineRule="auto"/>
        <w:jc w:val="both"/>
      </w:pPr>
      <w:r w:rsidRPr="004F6220">
        <w:rPr>
          <w:b/>
          <w:bCs/>
        </w:rPr>
        <w:t>Zmiany w art. 56a, art. 56b ust. 1, art. 56c</w:t>
      </w:r>
      <w:r w:rsidRPr="004F6220">
        <w:t xml:space="preserve"> ustawy o ofercie</w:t>
      </w:r>
      <w:r w:rsidR="00E12B2D" w:rsidRPr="004F6220">
        <w:t xml:space="preserve"> publicznej</w:t>
      </w:r>
      <w:r w:rsidRPr="004F6220">
        <w:t xml:space="preserve">, polegające na zastąpieniu spójnika „albo” spójnikiem „lub”, mają na celu dostosowanie ww. przepisów do art. 20 ust. 2 i 3 dyrektywy Transparency. Uwzględniają one również zasadę, iż sposób ustalenia </w:t>
      </w:r>
      <w:r w:rsidRPr="004F6220">
        <w:lastRenderedPageBreak/>
        <w:t>języka właściwego dla sporządzania informacji, o których mowa w rozporządz</w:t>
      </w:r>
      <w:r w:rsidR="00C15497">
        <w:t>e</w:t>
      </w:r>
      <w:r w:rsidRPr="004F6220">
        <w:t>niu 596/2014 powinien być analogiczny do sposobu ustalania języka właściwego dla sporządzania informacji, o których mowa w art. 56 ust. 1 ustawy o ofercie</w:t>
      </w:r>
      <w:r w:rsidR="00E12B2D" w:rsidRPr="004F6220">
        <w:t xml:space="preserve"> publicznej</w:t>
      </w:r>
      <w:r w:rsidRPr="004F6220">
        <w:t>. Zmiana ta jest zbieżna z intencją prawodawcy unijnego wyrażoną w motywie 24 dyrektywy Transparency, w którym wskazano, że emitent powinien posiadać w pewnych przypadkach prawo przekazywania informacji w języku przyjętym zwyczajowo w sferze finansów międzynarodowych, tj. w języku angielskim, obok języka właściwego dla państw przyjmujących (w tym języka polskiego). Zmiana ww. przepisów będzie oznaczać formalne umożliwienie emitentom publikacji informacji regulowanych jednocześnie w więcej niż jednej wersji językowej.</w:t>
      </w:r>
    </w:p>
    <w:p w14:paraId="6F24E42E" w14:textId="77777777" w:rsidR="00AB7986" w:rsidRPr="004F6220" w:rsidRDefault="00AB7986" w:rsidP="005D621C">
      <w:pPr>
        <w:pStyle w:val="NormalnyWeb"/>
        <w:spacing w:before="120" w:beforeAutospacing="0" w:after="0" w:afterAutospacing="0" w:line="360" w:lineRule="auto"/>
        <w:jc w:val="both"/>
      </w:pPr>
      <w:r w:rsidRPr="004F6220">
        <w:rPr>
          <w:b/>
          <w:bCs/>
        </w:rPr>
        <w:t>Zmiany w art. 58 ust. 1, 1c i 2</w:t>
      </w:r>
      <w:r w:rsidRPr="004F6220">
        <w:t xml:space="preserve"> ustawy o ofercie publicznej zakładają rezygnację z odwołania w tych przepisach do uchylanego projektem w art. 70 ust. 3.</w:t>
      </w:r>
    </w:p>
    <w:p w14:paraId="755298EA" w14:textId="6DF8A73C" w:rsidR="00AB7986" w:rsidRPr="004F6220" w:rsidRDefault="00AB7986" w:rsidP="005D621C">
      <w:pPr>
        <w:pStyle w:val="NormalnyWeb"/>
        <w:spacing w:before="120" w:beforeAutospacing="0" w:after="0" w:afterAutospacing="0" w:line="360" w:lineRule="auto"/>
        <w:jc w:val="both"/>
      </w:pPr>
      <w:r w:rsidRPr="004F6220">
        <w:rPr>
          <w:b/>
          <w:bCs/>
        </w:rPr>
        <w:t xml:space="preserve">Zmiany w art. 60 ust. 2 </w:t>
      </w:r>
      <w:r w:rsidRPr="004F6220">
        <w:t>ustawy o ofercie publicznej wynikają z przewidzianej projektem rezygnacji z wyodrębniania w ramach rynku regulowanego rynku oficjalnych notowań, co zostało szerzej opisane w zmianach w art. 16 ust. 1, 1a i 2, art. 17 ust. 1 pkt 1 i 2 ustawy o obrocie</w:t>
      </w:r>
      <w:r w:rsidR="003A3C41" w:rsidRPr="004F6220">
        <w:t xml:space="preserve"> instrumentami finansowymi</w:t>
      </w:r>
      <w:r w:rsidRPr="004F6220">
        <w:t xml:space="preserve">. Zauważenia przy tym wymaga, że przepisy wydanego na podstawie art. 60 ust. 2 pkt 1 rozporządzenia określające rodzaj, zakres i formę informacji bieżących i okresowych przekazywanych przez emitentów papierów wartościowych stanowią implementację do prawa krajowego przepisów dyrektywy 2004/109/WE Parlamentu Europejskiego i Rady z dnia 15 grudnia 2004 r. w sprawie harmonizacji wymogów dotyczących przejrzystości informacji o emitentach, których papiery wartościowe dopuszczane są do obrotu na rynku regulowanym oraz zmieniająca dyrektywę 2001/34/WE (Dz. Urz. UE L 390 z 31.12.2004, s. 38, z późn. zm.), dalej dyrektywa „Transparency”. Zgodnie z tym co wskazuje sam tytuł tej dyrektywy, ma ona zastosowanie do emitentów, których papiery wartościowe są dopuszczone do obrotu na rynku regulowanym, a nie jak zostało to wdrożone w prawie krajowym wyłącznie do emitentów, których papiery wartościowe zostały dopuszczone do obrotu na rynku oficjalnych notowań giełdowych. Mając to na uwadze, zmiana </w:t>
      </w:r>
      <w:r w:rsidR="003114EF" w:rsidRPr="004F6220">
        <w:t>art. 60 ust. 2</w:t>
      </w:r>
      <w:r w:rsidRPr="004F6220">
        <w:t xml:space="preserve"> polega na </w:t>
      </w:r>
      <w:r w:rsidR="003114EF" w:rsidRPr="004F6220">
        <w:t>roz</w:t>
      </w:r>
      <w:r w:rsidRPr="004F6220">
        <w:t xml:space="preserve">szerzeniu </w:t>
      </w:r>
      <w:r w:rsidR="003114EF" w:rsidRPr="004F6220">
        <w:t xml:space="preserve">zakresu jego zastosowania </w:t>
      </w:r>
      <w:r w:rsidRPr="004F6220">
        <w:t>na cały rynek regulowany.</w:t>
      </w:r>
    </w:p>
    <w:p w14:paraId="7CC151E6" w14:textId="77777777" w:rsidR="00AB7986" w:rsidRPr="004F6220" w:rsidRDefault="00AB7986" w:rsidP="005D621C">
      <w:pPr>
        <w:pStyle w:val="NormalnyWeb"/>
        <w:spacing w:before="120" w:beforeAutospacing="0" w:after="0" w:afterAutospacing="0" w:line="360" w:lineRule="auto"/>
        <w:jc w:val="both"/>
      </w:pPr>
      <w:r w:rsidRPr="004F6220">
        <w:rPr>
          <w:b/>
          <w:bCs/>
        </w:rPr>
        <w:t>Uchylenie art. 61</w:t>
      </w:r>
      <w:r w:rsidRPr="004F6220">
        <w:t xml:space="preserve"> ustawy o ofercie publicznej jest konsekwencją zmian w art. 60 ust. 2. W związku z objęciem obowiązków informacyjnych wszystkich emitentów papierów wartościowych dopuszczonych do obrotu na rynku regulowanym obowiązkami informacyjnymi wynikającymi z rozporządzenia wydanego na podstawie art. 60 ust. 2 ustawy o ofercie publicznej nie ma potrzeby aby regulamin rynku regulowanego określał rodzaj, zakres i formę informacji bieżących i okresowych przekazywanych przez emitentów papierów </w:t>
      </w:r>
      <w:r w:rsidRPr="004F6220">
        <w:lastRenderedPageBreak/>
        <w:t>wartościowych dopuszczonych do obrotu wyłącznie na rynku regulowanym niebędącym rynkiem oficjalnych notowań.</w:t>
      </w:r>
    </w:p>
    <w:p w14:paraId="1F6FDF5D" w14:textId="77777777" w:rsidR="00AB7986" w:rsidRPr="004F6220" w:rsidRDefault="00AB7986" w:rsidP="005D621C">
      <w:pPr>
        <w:pStyle w:val="NormalnyWeb"/>
        <w:spacing w:before="120" w:beforeAutospacing="0" w:after="0" w:afterAutospacing="0" w:line="360" w:lineRule="auto"/>
        <w:jc w:val="both"/>
      </w:pPr>
      <w:r w:rsidRPr="004F6220">
        <w:rPr>
          <w:b/>
          <w:bCs/>
        </w:rPr>
        <w:t>Zmiana w art. 62 ust. 4</w:t>
      </w:r>
      <w:r w:rsidRPr="004F6220">
        <w:t xml:space="preserve"> ustawy o ofercie publicznej jest konsekwencją uchylenia art. 61. Skoro regulamin rynku regulowanego nie będzie już określał, w przypadku emitentów z siedzibą w państwie niebędącym państwem członkowskim, dla których Polska jest państwem macierzystym, warunków uznawania za równoważne informacji wymaganych przepisami prawa państwa siedziby do informacji bieżących i okresowych nie ma potrzeby aby art. 62 ust. 4 zwierał odwołanie do tego regulaminu.</w:t>
      </w:r>
    </w:p>
    <w:p w14:paraId="21D8C189" w14:textId="77777777" w:rsidR="00AB7986" w:rsidRPr="004F6220" w:rsidRDefault="00AB7986" w:rsidP="005D621C">
      <w:pPr>
        <w:pStyle w:val="NormalnyWeb"/>
        <w:spacing w:before="120" w:beforeAutospacing="0" w:after="0" w:afterAutospacing="0" w:line="360" w:lineRule="auto"/>
        <w:jc w:val="both"/>
      </w:pPr>
      <w:r w:rsidRPr="004F6220">
        <w:rPr>
          <w:b/>
          <w:bCs/>
        </w:rPr>
        <w:t>Zmiany w art. 62a ust. 1 i 2</w:t>
      </w:r>
      <w:r w:rsidRPr="004F6220">
        <w:t xml:space="preserve"> ustawy o ofercie publicznej mają dwojaki charakter. W ust. 1 i 2 tego przepisu zakładają korektę odwołania do akapitu drugiego w celu dostosowania tych przepisów do nowego brzmienia art. 17 ust. 4 rozporządzenia 596/2014. Treść akapitu 3, do której odwołuje się art. 62a ust. 1 i 2 ustawy o ofercie publicznej, stanowi w nowym brzmieniu rozporządzenia 596/2014 akapit drugi. Ponadto, w ust. 1 przewidziano skorzystanie z opcji narodowej przewidzianej w art. 17 ust. 4 rozporządzenia 596/2014. Zgodnie z tym przepisem państwa członkowskie mogą przewidzieć, że zapis wyjaśnienia, o którym mowa w art. 17 ust. 4 rozporządzenia 596/2014, przekazuje się dopiero na żądanie właściwego organu. Zaproponowana zmiana ma na celu zwolnienie emitentów z rynku regulowanego z obowiązku każdorazowego przekazywania do KNF wyjaśnień w sprawie opóźnienia informacji poufnych (zwolnienie dla emitentów ASO jest przewidziane w art. 17 ust. 4, akapit 4 rozporządzenia 596/2014). Od 5 czerwca 2026 r. liczba zawiadomień przekazywanych do KNF na podstawie art. 17 ust. 4 rozporządzenia 596/2014 zmniejszy się, gdyż zniesiony zostanie obowiązek niezwłocznego publikowania przez emitentów informacji poufnych dotyczących etapów pośrednich procesów rozciągniętych w czasie i tego rodzaju informacje poufne zostaną wyłączone z wymogów dot. opóźniania ujawnienia informacji poufnej. W związku z tym wystarczające będzie, jeżeli emitenci będą przekazywali wyjaśnienia w zakresie opóźniania tylko na żądanie KNF.</w:t>
      </w:r>
    </w:p>
    <w:p w14:paraId="13857AF1" w14:textId="77777777" w:rsidR="00AB7986" w:rsidRPr="004F6220" w:rsidRDefault="00AB7986" w:rsidP="005D621C">
      <w:pPr>
        <w:pStyle w:val="NormalnyWeb"/>
        <w:spacing w:before="120" w:beforeAutospacing="0" w:after="0" w:afterAutospacing="0" w:line="360" w:lineRule="auto"/>
        <w:jc w:val="both"/>
      </w:pPr>
      <w:r w:rsidRPr="004F6220">
        <w:rPr>
          <w:b/>
          <w:bCs/>
        </w:rPr>
        <w:t>Zmiana art. 68a</w:t>
      </w:r>
      <w:r w:rsidRPr="004F6220">
        <w:t xml:space="preserve"> ustawy o ofercie publicznej jest zmianą wynikającą z przewidzianego projektem uchylenia art. 61. Istotnym również jest, że art. 61 już obecnie nie stanowił podstawy do określania przepisów wykonawczych, do których odwołuje się art. 68a.</w:t>
      </w:r>
    </w:p>
    <w:p w14:paraId="02CA1EAF" w14:textId="0F869153" w:rsidR="00AB7986" w:rsidRPr="004F6220" w:rsidRDefault="00AB7986" w:rsidP="005D621C">
      <w:pPr>
        <w:pStyle w:val="NormalnyWeb"/>
        <w:spacing w:before="120" w:beforeAutospacing="0" w:after="0" w:afterAutospacing="0" w:line="360" w:lineRule="auto"/>
        <w:jc w:val="both"/>
      </w:pPr>
      <w:r w:rsidRPr="004F6220">
        <w:rPr>
          <w:b/>
          <w:bCs/>
        </w:rPr>
        <w:t>Zmiana w art. 68b w ust. 1</w:t>
      </w:r>
      <w:r w:rsidRPr="004F6220">
        <w:t xml:space="preserve"> </w:t>
      </w:r>
      <w:r w:rsidRPr="004F6220">
        <w:rPr>
          <w:b/>
          <w:bCs/>
        </w:rPr>
        <w:t>zdania pierwszego</w:t>
      </w:r>
      <w:r w:rsidRPr="004F6220">
        <w:t xml:space="preserve"> ustawy o ofercie publicznej wynika z potrzeby uwzględ</w:t>
      </w:r>
      <w:r w:rsidR="00C15497">
        <w:t>nie</w:t>
      </w:r>
      <w:r w:rsidRPr="004F6220">
        <w:t>nia w zmienianym przepisie również odwołania do dodanego ust. 1a w art. 17 rozporządzenia 596/2014, który zobowiązuje emitenta do zapewnienia poufnoś</w:t>
      </w:r>
      <w:r w:rsidR="000D35BD" w:rsidRPr="004F6220">
        <w:t>ci</w:t>
      </w:r>
      <w:r w:rsidRPr="004F6220">
        <w:t xml:space="preserve"> informacji </w:t>
      </w:r>
      <w:r w:rsidRPr="004F6220">
        <w:lastRenderedPageBreak/>
        <w:t>spełniających kryteria informacji poufnej do czasu ujawnienia tych informacji w trybie przekazania ich do wiadomości publicznej. Obowiązek ten powinien również podlegać nadzorowi spółki prowadzącej rynek regulowany, która organizuje alternatywny system obrotu.</w:t>
      </w:r>
    </w:p>
    <w:p w14:paraId="1F07DCB8" w14:textId="463D84B4"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Zmiana w art. 69 ust. 2</w:t>
      </w:r>
      <w:r w:rsidRPr="004F6220">
        <w:rPr>
          <w:rFonts w:ascii="Times New Roman" w:eastAsia="Times New Roman" w:hAnsi="Times New Roman" w:cs="Times New Roman"/>
          <w:sz w:val="24"/>
          <w:szCs w:val="24"/>
          <w:lang w:eastAsia="pl-PL"/>
        </w:rPr>
        <w:t xml:space="preserve"> ustawy o ofercie publicznej wynika z rezygnacji z wydzielania w ramach rynku regulowanego rynku oficjalnych notowań oraz zakłada usunięcie tzw. małych progów na rzecz jednego dla wszystkich rynków, tj. konieczności zawiadamiania o zmianie dotychczas posiadanego udziału ponad 30% ogólnej liczby głosów w spółce publicznej o co najmniej 5% ogólnej liczby głosów. Tzw. „małe progi” nie wynikają z przepisów unijnych. Analiza aktualnie funkcjonującego rozwiązania prowadzi do wniosku, że obowiązki określone w art. 69 ust. 2 ustawy o ofercie publicznej są dla znacznych akcjonariuszy spółek publicznych nadmiarowe. Ponadto nie ma powodu, dla którego obowiązek dokonania notyfikacji o tzw. „małych progach” powinien różnić się w zależności od rynku, na którym notowane są poszczególne akcje spółek publicznych. Proponowane rozwiązanie zachowa przejrzystość informacji o emitencie i stanie posiadania znacznych akcjonariuszy, umożliwiając inwestorom nabywanie lub zbywanie akcji z pełną świadomością zmian w strukturze głosów oraz zapewniając skuteczność kontroli emitentów akcji oraz ogólną przejrzystość istotnych przepływów kapitału (zgodnie z motywem 18 dyrektywy Transparency). Z drugiej strony rozwiązanie to zdejmie ze znacznych akcjonariuszy nadmierne obciążenie w postaci obowiązku powiadamiania w określonych okolicznościach o nawet niewielkich zmianach swojego zaangażowania w spółkę. Projektowane rozwiązanie powinno wpłynąć na uproszczenie zasad przekazywania notyfikacji o transakcjach na znacznych pakietach akcji.</w:t>
      </w:r>
    </w:p>
    <w:p w14:paraId="0BAB3AB8" w14:textId="42822A25"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Uchylenie w art. 70 </w:t>
      </w:r>
      <w:r w:rsidR="008E2016" w:rsidRPr="004F6220">
        <w:rPr>
          <w:rFonts w:ascii="Times New Roman" w:eastAsia="Times New Roman" w:hAnsi="Times New Roman" w:cs="Times New Roman"/>
          <w:b/>
          <w:bCs/>
          <w:sz w:val="24"/>
          <w:szCs w:val="24"/>
          <w:lang w:eastAsia="pl-PL"/>
        </w:rPr>
        <w:t>pkt</w:t>
      </w:r>
      <w:r w:rsidRPr="004F6220">
        <w:rPr>
          <w:rFonts w:ascii="Times New Roman" w:eastAsia="Times New Roman" w:hAnsi="Times New Roman" w:cs="Times New Roman"/>
          <w:b/>
          <w:bCs/>
          <w:sz w:val="24"/>
          <w:szCs w:val="24"/>
          <w:lang w:eastAsia="pl-PL"/>
        </w:rPr>
        <w:t xml:space="preserve"> 3</w:t>
      </w:r>
      <w:r w:rsidRPr="004F6220">
        <w:rPr>
          <w:rFonts w:ascii="Times New Roman" w:eastAsia="Times New Roman" w:hAnsi="Times New Roman" w:cs="Times New Roman"/>
          <w:sz w:val="24"/>
          <w:szCs w:val="24"/>
          <w:lang w:eastAsia="pl-PL"/>
        </w:rPr>
        <w:t xml:space="preserve"> w ustawie o ofercie publicznej służy zniesieniu obowiązku publikacji wykazu akcjonariuszy posiadających co najmniej 5% liczby głosów na walnym zgromadzeniu akcjonariuszy. Zgodnie z art. 70 </w:t>
      </w:r>
      <w:r w:rsidR="008E2016" w:rsidRPr="004F6220">
        <w:rPr>
          <w:rFonts w:ascii="Times New Roman" w:eastAsia="Times New Roman" w:hAnsi="Times New Roman" w:cs="Times New Roman"/>
          <w:sz w:val="24"/>
          <w:szCs w:val="24"/>
          <w:lang w:eastAsia="pl-PL"/>
        </w:rPr>
        <w:t>pkt</w:t>
      </w:r>
      <w:r w:rsidRPr="004F6220">
        <w:rPr>
          <w:rFonts w:ascii="Times New Roman" w:eastAsia="Times New Roman" w:hAnsi="Times New Roman" w:cs="Times New Roman"/>
          <w:sz w:val="24"/>
          <w:szCs w:val="24"/>
          <w:lang w:eastAsia="pl-PL"/>
        </w:rPr>
        <w:t xml:space="preserve"> 3 ustawy o ofercie publicznej spółka jest zobowiązana do przekazania do wiadomości publicznej wykazu akcjonariuszy posiadających co najmniej 5% liczby głosów na walnym zgromadzeniu akcjonariuszy. Realizacja postulatu nie wpłynie znacząco na zmniejszenie transparentności rynku, gdyż walory wykazu akcjonariuszy posiadających co najmniej 5% liczby głosów na tym zgromadzeniu, jako źródła informacji, są dla uczestników rynku (w tym przede wszystkim inwestorów) ograniczone. Informacje o znaczących akcjonariuszach ujawniane są bowiem przez emitentów w raportach okresowych oraz w ramach obowiązku publikacji zawiadomień o przekroczeniu przez akcjonariuszy określonych progów (art. 70 </w:t>
      </w:r>
      <w:r w:rsidR="008E2016" w:rsidRPr="004F6220">
        <w:rPr>
          <w:rFonts w:ascii="Times New Roman" w:eastAsia="Times New Roman" w:hAnsi="Times New Roman" w:cs="Times New Roman"/>
          <w:sz w:val="24"/>
          <w:szCs w:val="24"/>
          <w:lang w:eastAsia="pl-PL"/>
        </w:rPr>
        <w:t>pkt</w:t>
      </w:r>
      <w:r w:rsidRPr="004F6220">
        <w:rPr>
          <w:rFonts w:ascii="Times New Roman" w:eastAsia="Times New Roman" w:hAnsi="Times New Roman" w:cs="Times New Roman"/>
          <w:sz w:val="24"/>
          <w:szCs w:val="24"/>
          <w:lang w:eastAsia="pl-PL"/>
        </w:rPr>
        <w:t xml:space="preserve"> 1 ustawy o ofercie publicznej). Uchylany przepis należy uznać za nadmiarowy z uwagi na to, że stanowi on krajowe rozwiązanie </w:t>
      </w:r>
      <w:r w:rsidRPr="004F6220">
        <w:rPr>
          <w:rFonts w:ascii="Times New Roman" w:eastAsia="Times New Roman" w:hAnsi="Times New Roman" w:cs="Times New Roman"/>
          <w:sz w:val="24"/>
          <w:szCs w:val="24"/>
          <w:lang w:eastAsia="pl-PL"/>
        </w:rPr>
        <w:lastRenderedPageBreak/>
        <w:t>legislacyjne, które ze względu na rozwój rynku kapitałowego stał</w:t>
      </w:r>
      <w:r w:rsidR="005B40B4" w:rsidRPr="004F6220">
        <w:rPr>
          <w:rFonts w:ascii="Times New Roman" w:eastAsia="Times New Roman" w:hAnsi="Times New Roman" w:cs="Times New Roman"/>
          <w:sz w:val="24"/>
          <w:szCs w:val="24"/>
          <w:lang w:eastAsia="pl-PL"/>
        </w:rPr>
        <w:t>o</w:t>
      </w:r>
      <w:r w:rsidRPr="004F6220">
        <w:rPr>
          <w:rFonts w:ascii="Times New Roman" w:eastAsia="Times New Roman" w:hAnsi="Times New Roman" w:cs="Times New Roman"/>
          <w:sz w:val="24"/>
          <w:szCs w:val="24"/>
          <w:lang w:eastAsia="pl-PL"/>
        </w:rPr>
        <w:t xml:space="preserve"> się zbędn</w:t>
      </w:r>
      <w:r w:rsidR="005B40B4" w:rsidRPr="004F6220">
        <w:rPr>
          <w:rFonts w:ascii="Times New Roman" w:eastAsia="Times New Roman" w:hAnsi="Times New Roman" w:cs="Times New Roman"/>
          <w:sz w:val="24"/>
          <w:szCs w:val="24"/>
          <w:lang w:eastAsia="pl-PL"/>
        </w:rPr>
        <w:t>e</w:t>
      </w:r>
      <w:r w:rsidRPr="004F6220">
        <w:rPr>
          <w:rFonts w:ascii="Times New Roman" w:eastAsia="Times New Roman" w:hAnsi="Times New Roman" w:cs="Times New Roman"/>
          <w:sz w:val="24"/>
          <w:szCs w:val="24"/>
          <w:lang w:eastAsia="pl-PL"/>
        </w:rPr>
        <w:t xml:space="preserve"> dla zapewnienia sprawnego funkcjonowania</w:t>
      </w:r>
      <w:r w:rsidR="006A3EEC" w:rsidRPr="004F6220">
        <w:rPr>
          <w:rFonts w:ascii="Times New Roman" w:eastAsia="Times New Roman" w:hAnsi="Times New Roman" w:cs="Times New Roman"/>
          <w:sz w:val="24"/>
          <w:szCs w:val="24"/>
          <w:lang w:eastAsia="pl-PL"/>
        </w:rPr>
        <w:t xml:space="preserve"> tego rynku</w:t>
      </w:r>
      <w:r w:rsidRPr="004F6220">
        <w:rPr>
          <w:rFonts w:ascii="Times New Roman" w:eastAsia="Times New Roman" w:hAnsi="Times New Roman" w:cs="Times New Roman"/>
          <w:sz w:val="24"/>
          <w:szCs w:val="24"/>
          <w:lang w:eastAsia="pl-PL"/>
        </w:rPr>
        <w:t>.</w:t>
      </w:r>
    </w:p>
    <w:p w14:paraId="4F0D945D" w14:textId="4A47120F" w:rsidR="00427B6F" w:rsidRPr="004F6220" w:rsidRDefault="00427B6F"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Zmiana art. 77e</w:t>
      </w:r>
      <w:r w:rsidRPr="004F6220">
        <w:rPr>
          <w:rFonts w:ascii="Times New Roman" w:eastAsia="Times New Roman" w:hAnsi="Times New Roman" w:cs="Times New Roman"/>
          <w:sz w:val="24"/>
          <w:szCs w:val="24"/>
          <w:lang w:eastAsia="pl-PL"/>
        </w:rPr>
        <w:t xml:space="preserve"> ma charakter porządkujący i polega na aktualizacji odesłania do art. 87, w związku z przeniesieniem treści dotychczasowego art. 87 ust. 1 pkt 5 do art. 87 ust. 1b, bez zmiany zakresu normatywnego przepisu. Analogiczne zmiany zostały wprowadzone w art. 79 ust. 2 pkt 1, art. 79c ust. 2, art. 82 ust. 1, art. 83 ust. 3, art. 83a ust. 1, art. 89 ust. 2a, art. 9</w:t>
      </w:r>
      <w:r w:rsidR="005B40B4" w:rsidRPr="004F6220">
        <w:rPr>
          <w:rFonts w:ascii="Times New Roman" w:eastAsia="Times New Roman" w:hAnsi="Times New Roman" w:cs="Times New Roman"/>
          <w:sz w:val="24"/>
          <w:szCs w:val="24"/>
          <w:lang w:eastAsia="pl-PL"/>
        </w:rPr>
        <w:t>0</w:t>
      </w:r>
      <w:r w:rsidRPr="004F6220">
        <w:rPr>
          <w:rFonts w:ascii="Times New Roman" w:eastAsia="Times New Roman" w:hAnsi="Times New Roman" w:cs="Times New Roman"/>
          <w:sz w:val="24"/>
          <w:szCs w:val="24"/>
          <w:lang w:eastAsia="pl-PL"/>
        </w:rPr>
        <w:t xml:space="preserve"> ust. 2 oraz art. 97 ust. 3. </w:t>
      </w:r>
    </w:p>
    <w:p w14:paraId="065A8492" w14:textId="43145532" w:rsidR="00E50D9D" w:rsidRPr="004F6220" w:rsidRDefault="00E50D9D"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Zmiany proponowane w </w:t>
      </w:r>
      <w:r w:rsidRPr="004F6220">
        <w:rPr>
          <w:rFonts w:ascii="Times New Roman" w:eastAsia="Times New Roman" w:hAnsi="Times New Roman" w:cs="Times New Roman"/>
          <w:b/>
          <w:bCs/>
          <w:sz w:val="24"/>
          <w:szCs w:val="24"/>
          <w:lang w:eastAsia="pl-PL"/>
        </w:rPr>
        <w:t>art. 79 ust. 2 pkt 1, art. 79c ust. 2, art. 82 ust. 1, art. 83 ust. 3, art. 83a ust. 1, art. 89 ust. 2a oraz art. 90 ust. 2</w:t>
      </w:r>
      <w:r w:rsidRPr="004F6220">
        <w:rPr>
          <w:rFonts w:ascii="Times New Roman" w:eastAsia="Times New Roman" w:hAnsi="Times New Roman" w:cs="Times New Roman"/>
          <w:sz w:val="24"/>
          <w:szCs w:val="24"/>
          <w:lang w:eastAsia="pl-PL"/>
        </w:rPr>
        <w:t xml:space="preserve"> ustawy o ofercie publicznej mają charakter wynikowy i pozostają w związku z projektowanym dodaniem ust. 1b w art. 87 tej ustawy, który zawiera definicję porozumienia, o którym mowa w art. 87 ust. 1. W związku z wyodrębnieniem regulacji dotyczącej porozumienia do art. 87 ust. 1b konieczne jest odpowiednie dostosowanie odesłań zawartych w przepisach regulujących obowiązki związane z wezwaniami, przymusowym wykupem, żądaniem wykupu oraz odkupu akcji. Projektowane zmiany zastępują dotychczasowe odesłania do art. 87 ust. 1 pkt 5 odesłaniem do art. 87 ust. 1b, bez zmiany zakresu podmiotowego i przedmiotowego regulacji, do których odnoszą się te przepisy. Zmiana ma na celu zachowanie spójności i jednoznaczności przepisów ustawy o ofercie publicznej w związku ze zmianą systematyki art. 87 oraz zapewnienie prawidłowego stosowania przepisów odwołujących się do pojęcia porozumienia.</w:t>
      </w:r>
    </w:p>
    <w:p w14:paraId="3F3D2A70" w14:textId="64029741" w:rsidR="00F801B0" w:rsidRPr="004F6220" w:rsidRDefault="00B66D8B" w:rsidP="005D621C">
      <w:pPr>
        <w:pStyle w:val="NormalnyWeb"/>
        <w:spacing w:before="120" w:beforeAutospacing="0" w:after="0" w:afterAutospacing="0" w:line="360" w:lineRule="auto"/>
        <w:jc w:val="both"/>
      </w:pPr>
      <w:r w:rsidRPr="004F6220">
        <w:t xml:space="preserve">Zasadniczym celem </w:t>
      </w:r>
      <w:r w:rsidR="00F801B0" w:rsidRPr="004F6220">
        <w:t xml:space="preserve">zmiany </w:t>
      </w:r>
      <w:r w:rsidR="00F801B0" w:rsidRPr="004F6220">
        <w:rPr>
          <w:b/>
          <w:bCs/>
        </w:rPr>
        <w:t>art. 87</w:t>
      </w:r>
      <w:r w:rsidR="00F801B0" w:rsidRPr="004F6220">
        <w:t xml:space="preserve"> </w:t>
      </w:r>
      <w:r w:rsidRPr="004F6220">
        <w:t xml:space="preserve">jest zwiększenie </w:t>
      </w:r>
      <w:r w:rsidR="00103D91" w:rsidRPr="004F6220">
        <w:t xml:space="preserve">jego </w:t>
      </w:r>
      <w:r w:rsidRPr="004F6220">
        <w:t xml:space="preserve">czytelności. Projektowane przepisy mają na celu eliminację zwiększonego ryzyka błędnej identyfikacji momentu aktualizującego obowiązki przewidziane w </w:t>
      </w:r>
      <w:r w:rsidR="00F801B0" w:rsidRPr="004F6220">
        <w:t>r</w:t>
      </w:r>
      <w:r w:rsidRPr="004F6220">
        <w:t xml:space="preserve">ozdziale 4 </w:t>
      </w:r>
      <w:r w:rsidR="00F801B0" w:rsidRPr="004F6220">
        <w:t>ustawy</w:t>
      </w:r>
      <w:r w:rsidRPr="004F6220">
        <w:t>. Jednym ze środków służących do osiągnięcia zasadniczego celu nowelizacji w postaci uproszczenia przepisów i ułatwienia ich wykładni jest wprowadzenie definicji legalnej porozumienia.</w:t>
      </w:r>
      <w:r w:rsidR="00F801B0" w:rsidRPr="004F6220">
        <w:t xml:space="preserve"> </w:t>
      </w:r>
      <w:r w:rsidRPr="004F6220">
        <w:t xml:space="preserve">Jednocześnie zmiany </w:t>
      </w:r>
      <w:r w:rsidR="00F801B0" w:rsidRPr="004F6220">
        <w:t xml:space="preserve">zostały opracowane w taki sposób, aby </w:t>
      </w:r>
      <w:r w:rsidRPr="004F6220">
        <w:t>harmonijn</w:t>
      </w:r>
      <w:r w:rsidR="00F801B0" w:rsidRPr="004F6220">
        <w:t xml:space="preserve">ie </w:t>
      </w:r>
      <w:r w:rsidRPr="004F6220">
        <w:t>pozwolić utrzymać dotychczasowy porządek wypracowany na gruncie tych przepisów, jednocześnie oferując istotne uproszczenia dla uczestników rynku oraz wzmocnienie transparentności struktur własnościowych spółek publicznych.</w:t>
      </w:r>
      <w:r w:rsidR="00F801B0" w:rsidRPr="004F6220">
        <w:t xml:space="preserve"> </w:t>
      </w:r>
      <w:r w:rsidRPr="004F6220">
        <w:t xml:space="preserve">Projektowane rozwiązania przysłużą się eliminacji zidentyfikowanych dysfunkcji obowiązujących przepisów oraz wątpliwości dotyczących ich prawidłowej wykładni. Przepisy zwiększają przewidywalność prawa poprzez usunięcie nieostrych przesłanek, wprowadzenie przejrzystej struktury przepisów oraz definicji legalnej porozumienia. </w:t>
      </w:r>
    </w:p>
    <w:p w14:paraId="43EDCE93" w14:textId="58F99E07" w:rsidR="00B66D8B" w:rsidRPr="004F6220" w:rsidRDefault="00B66D8B" w:rsidP="005D621C">
      <w:pPr>
        <w:pStyle w:val="NormalnyWeb"/>
        <w:spacing w:before="120" w:beforeAutospacing="0" w:after="0" w:afterAutospacing="0" w:line="360" w:lineRule="auto"/>
        <w:jc w:val="both"/>
      </w:pPr>
      <w:r w:rsidRPr="004F6220">
        <w:lastRenderedPageBreak/>
        <w:t xml:space="preserve">Zidentyfikowany problem regulacyjny wynika z obecnej konstrukcji </w:t>
      </w:r>
      <w:r w:rsidRPr="004F6220">
        <w:rPr>
          <w:b/>
          <w:bCs/>
        </w:rPr>
        <w:t>art. 87 ust. 1 pkt 5</w:t>
      </w:r>
      <w:r w:rsidRPr="004F6220">
        <w:t xml:space="preserve"> </w:t>
      </w:r>
      <w:r w:rsidR="00F801B0" w:rsidRPr="004F6220">
        <w:t>ustawy</w:t>
      </w:r>
      <w:r w:rsidRPr="004F6220">
        <w:t xml:space="preserve">. </w:t>
      </w:r>
      <w:r w:rsidR="00F801B0" w:rsidRPr="004F6220">
        <w:t>W</w:t>
      </w:r>
      <w:r w:rsidRPr="004F6220">
        <w:t xml:space="preserve">ątpliwości uczestników rynku budził moment uruchomienia obowiązków z </w:t>
      </w:r>
      <w:r w:rsidR="00F801B0" w:rsidRPr="004F6220">
        <w:t>r</w:t>
      </w:r>
      <w:r w:rsidRPr="004F6220">
        <w:t>ozdziału</w:t>
      </w:r>
      <w:r w:rsidR="00F801B0" w:rsidRPr="004F6220">
        <w:t> </w:t>
      </w:r>
      <w:r w:rsidRPr="004F6220">
        <w:t xml:space="preserve">4. </w:t>
      </w:r>
      <w:r w:rsidR="00F801B0" w:rsidRPr="004F6220">
        <w:t>W związku z czym wprowadzono strukturę, zgodnie z którą p</w:t>
      </w:r>
      <w:r w:rsidRPr="004F6220">
        <w:t>rzepis art. 87 ust. 1 pkt 5 odsyła do nowo wprowadzonego ust. 1b, który zawiera definicję legalną porozumienia. Zmiany syntaktyczne ułatwiają wykładnię przepisów ponieważ art. 87 ust.</w:t>
      </w:r>
      <w:r w:rsidR="005626EC" w:rsidRPr="004F6220">
        <w:t xml:space="preserve"> </w:t>
      </w:r>
      <w:r w:rsidRPr="004F6220">
        <w:t xml:space="preserve">1b definiuje, czym jest porozumienie, a art. 87 ust. 1 pkt 5 określa skutki prawne istnienia takiego porozumienia w kontekście obowiązków z </w:t>
      </w:r>
      <w:r w:rsidR="00F801B0" w:rsidRPr="004F6220">
        <w:t>r</w:t>
      </w:r>
      <w:r w:rsidRPr="004F6220">
        <w:t>ozdziału 4.</w:t>
      </w:r>
      <w:r w:rsidR="00F801B0" w:rsidRPr="004F6220">
        <w:t xml:space="preserve"> W efekcie z</w:t>
      </w:r>
      <w:r w:rsidRPr="004F6220">
        <w:t xml:space="preserve">miana ma charakter obiektywizujący i precyzujący przesłanki aktualizacji obowiązków wynikających z </w:t>
      </w:r>
      <w:r w:rsidR="00F801B0" w:rsidRPr="004F6220">
        <w:t>r</w:t>
      </w:r>
      <w:r w:rsidRPr="004F6220">
        <w:t xml:space="preserve">ozdziału 4 </w:t>
      </w:r>
      <w:r w:rsidR="00F801B0" w:rsidRPr="004F6220">
        <w:t>u</w:t>
      </w:r>
      <w:r w:rsidRPr="004F6220">
        <w:t xml:space="preserve">stawy, ograniczając tym samym sytuacje skrajne w postaci nieumyślnych naruszeń (błędna identyfikacja momentu powstania obowiązku) oraz nadmiernej ostrożności (realizacja obowiązku pomimo braku istnienia porozumienia). </w:t>
      </w:r>
    </w:p>
    <w:p w14:paraId="1E3F886A" w14:textId="6B2F52E1" w:rsidR="00B66D8B" w:rsidRPr="004F6220" w:rsidRDefault="00B66D8B" w:rsidP="005D621C">
      <w:pPr>
        <w:pStyle w:val="NormalnyWeb"/>
        <w:spacing w:before="120" w:beforeAutospacing="0" w:after="0" w:afterAutospacing="0" w:line="360" w:lineRule="auto"/>
        <w:jc w:val="both"/>
      </w:pPr>
      <w:r w:rsidRPr="004F6220">
        <w:t xml:space="preserve">Wyodrębnienie definicji porozumienia wymusza także dokonania zmiany </w:t>
      </w:r>
      <w:r w:rsidRPr="004F6220">
        <w:rPr>
          <w:b/>
          <w:bCs/>
        </w:rPr>
        <w:t>art. 87 ust. 1 pkt 6</w:t>
      </w:r>
      <w:r w:rsidRPr="004F6220">
        <w:t xml:space="preserve"> </w:t>
      </w:r>
      <w:r w:rsidR="001862CE" w:rsidRPr="004F6220">
        <w:t>ustawy</w:t>
      </w:r>
      <w:r w:rsidRPr="004F6220">
        <w:t>. Zmiana ma charakter techniczny i dostosowawczy, zapewniający realizację zasad prawidłowej legislacji.</w:t>
      </w:r>
    </w:p>
    <w:p w14:paraId="753A4EF6" w14:textId="6B1DE2D0" w:rsidR="00B66D8B" w:rsidRPr="004F6220" w:rsidRDefault="00B66D8B" w:rsidP="005D621C">
      <w:pPr>
        <w:pStyle w:val="NormalnyWeb"/>
        <w:spacing w:before="120" w:beforeAutospacing="0" w:after="0" w:afterAutospacing="0" w:line="360" w:lineRule="auto"/>
        <w:jc w:val="both"/>
      </w:pPr>
      <w:r w:rsidRPr="004F6220">
        <w:t xml:space="preserve">Projektowany przepis </w:t>
      </w:r>
      <w:r w:rsidRPr="004F6220">
        <w:rPr>
          <w:b/>
          <w:bCs/>
        </w:rPr>
        <w:t>art. 87 ust. 1b</w:t>
      </w:r>
      <w:r w:rsidRPr="004F6220">
        <w:t xml:space="preserve"> </w:t>
      </w:r>
      <w:r w:rsidR="001862CE" w:rsidRPr="004F6220">
        <w:t>w</w:t>
      </w:r>
      <w:r w:rsidRPr="004F6220">
        <w:t xml:space="preserve">prowadza definicję porozumienia. </w:t>
      </w:r>
      <w:r w:rsidR="001862CE" w:rsidRPr="004F6220">
        <w:t xml:space="preserve">Ustawa </w:t>
      </w:r>
      <w:r w:rsidRPr="004F6220">
        <w:t>do tej pory nie definiowała porozumienia, a przesłanki działania w porozumieniu wywodzone były z art. 87 ust. 1 pkt 5 i 6</w:t>
      </w:r>
      <w:r w:rsidR="001862CE" w:rsidRPr="004F6220">
        <w:t xml:space="preserve">. </w:t>
      </w:r>
      <w:r w:rsidRPr="004F6220">
        <w:t xml:space="preserve">Definicja legalna porozumienia nawiązuje do definicji porozumienia z </w:t>
      </w:r>
      <w:r w:rsidR="001862CE" w:rsidRPr="004F6220">
        <w:t>d</w:t>
      </w:r>
      <w:r w:rsidRPr="004F6220">
        <w:t>yrektywy 2004/25/WE Parlamentu Europejskiego i Rady z dnia 21 kwietnia 2004 r.</w:t>
      </w:r>
      <w:r w:rsidR="001862CE" w:rsidRPr="004F6220">
        <w:t>,</w:t>
      </w:r>
      <w:r w:rsidRPr="004F6220">
        <w:t xml:space="preserve"> uwzględniając równocześnie specyfikę polskiego rynku kapitałowego oraz zapewniając realizację celu dyrektywy.</w:t>
      </w:r>
      <w:r w:rsidR="001862CE" w:rsidRPr="004F6220">
        <w:t xml:space="preserve"> </w:t>
      </w:r>
      <w:r w:rsidRPr="004F6220">
        <w:t xml:space="preserve">Celem projektowanego przepisu jest uproszczenie struktury przepisów </w:t>
      </w:r>
      <w:r w:rsidR="001862CE" w:rsidRPr="004F6220">
        <w:t>o</w:t>
      </w:r>
      <w:r w:rsidRPr="004F6220">
        <w:t>ddziału 4 oraz zapewnienie jednoznaczności pojęcia porozumienia. Wyodrębnienie definicji porozumienia do innej jednostki redakcyjnej tekstu prawnego upraszcza syntaktykę art. 87, ułatwiając uczestnikom rynku rekonstrukcję jednoznacznych norm prawnych.</w:t>
      </w:r>
    </w:p>
    <w:p w14:paraId="1FE52A12" w14:textId="4B916FA0" w:rsidR="00B66D8B" w:rsidRPr="004F6220" w:rsidRDefault="00B66D8B" w:rsidP="005D621C">
      <w:pPr>
        <w:pStyle w:val="NormalnyWeb"/>
        <w:spacing w:before="120" w:beforeAutospacing="0" w:after="0" w:afterAutospacing="0" w:line="360" w:lineRule="auto"/>
        <w:jc w:val="both"/>
      </w:pPr>
      <w:r w:rsidRPr="004F6220">
        <w:t xml:space="preserve">Zmiany dotyczące </w:t>
      </w:r>
      <w:r w:rsidRPr="004F6220">
        <w:rPr>
          <w:b/>
          <w:bCs/>
        </w:rPr>
        <w:t>ust</w:t>
      </w:r>
      <w:r w:rsidR="001862CE" w:rsidRPr="004F6220">
        <w:rPr>
          <w:b/>
          <w:bCs/>
        </w:rPr>
        <w:t>.</w:t>
      </w:r>
      <w:r w:rsidRPr="004F6220">
        <w:rPr>
          <w:b/>
          <w:bCs/>
        </w:rPr>
        <w:t xml:space="preserve"> 1a i 4 </w:t>
      </w:r>
      <w:r w:rsidR="001862CE" w:rsidRPr="004F6220">
        <w:rPr>
          <w:b/>
          <w:bCs/>
        </w:rPr>
        <w:t xml:space="preserve">w </w:t>
      </w:r>
      <w:r w:rsidRPr="004F6220">
        <w:rPr>
          <w:b/>
          <w:bCs/>
        </w:rPr>
        <w:t>art. 87</w:t>
      </w:r>
      <w:r w:rsidRPr="004F6220">
        <w:t xml:space="preserve"> mają charakter dostosowawczy do wyodrębnienia definicji porozumienia do nowego ustępu.</w:t>
      </w:r>
    </w:p>
    <w:p w14:paraId="501D82BE" w14:textId="77777777"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Uchylenie art. 93b</w:t>
      </w:r>
      <w:r w:rsidRPr="004F6220">
        <w:rPr>
          <w:rFonts w:ascii="Times New Roman" w:eastAsia="Times New Roman" w:hAnsi="Times New Roman" w:cs="Times New Roman"/>
          <w:sz w:val="24"/>
          <w:szCs w:val="24"/>
          <w:lang w:eastAsia="pl-PL"/>
        </w:rPr>
        <w:t xml:space="preserve"> ustawy o ofercie publicznej ma charakter porządkowy. Zgodnie z obowiązującymi przepisami KNF nie zatwierdza memorandum informacyjnego. Proponowane zmiany również nie przewidują takiego obowiązku. Zatem uchylany przepis, który określa wysokość opłaty za zatwierdzenie memorandum informacyjnego, nie znajduje oraz nie znajdzie zastosowania w praktyce.</w:t>
      </w:r>
    </w:p>
    <w:p w14:paraId="172D9FE6" w14:textId="77777777"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Zmiany w art. 96</w:t>
      </w:r>
      <w:r w:rsidRPr="004F6220">
        <w:rPr>
          <w:rFonts w:ascii="Times New Roman" w:eastAsia="Times New Roman" w:hAnsi="Times New Roman" w:cs="Times New Roman"/>
          <w:sz w:val="24"/>
          <w:szCs w:val="24"/>
          <w:lang w:eastAsia="pl-PL"/>
        </w:rPr>
        <w:t xml:space="preserve"> ustawy o ofercie publicznej są, co do zasady, zmianami wynikającymi z przewidzianego projektem uchylenia art. 70 pkt 3 (zmiana ust. 1 pkt 1), art. 37a ust. 4 i art. 37b </w:t>
      </w:r>
      <w:r w:rsidRPr="004F6220">
        <w:rPr>
          <w:rFonts w:ascii="Times New Roman" w:eastAsia="Times New Roman" w:hAnsi="Times New Roman" w:cs="Times New Roman"/>
          <w:sz w:val="24"/>
          <w:szCs w:val="24"/>
          <w:lang w:eastAsia="pl-PL"/>
        </w:rPr>
        <w:lastRenderedPageBreak/>
        <w:t xml:space="preserve">ust. 3a (uchylenie ust. 1 pkt 1a), uchylenia art. 37a i art. 38a (zmiana ust. 1 pkt 2) oraz dodanie w art. 39 ust. 1 pkt 4 (zmiana ust. 1 pkt 3). </w:t>
      </w:r>
    </w:p>
    <w:p w14:paraId="4C5BEB1C" w14:textId="4118D4B8"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Zmiana w art. 96 ust. 1h</w:t>
      </w:r>
      <w:r w:rsidRPr="004F6220">
        <w:rPr>
          <w:rFonts w:ascii="Times New Roman" w:eastAsia="Times New Roman" w:hAnsi="Times New Roman" w:cs="Times New Roman"/>
          <w:sz w:val="24"/>
          <w:szCs w:val="24"/>
          <w:lang w:eastAsia="pl-PL"/>
        </w:rPr>
        <w:t xml:space="preserve"> ustawy o ofercie publicznej zakłada usunięcie z przepisów określających sposób miarkowania kary naruszeń przewidzianych rozporządzeniem 596/2014 (art. 96 ust. 1i</w:t>
      </w:r>
      <w:r w:rsidR="004C15CF">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 xml:space="preserve">1l) z uwagi na fakt, że rozporządzenie 596/2014 zawiera w art. 31 ust. 1 własny katalog przesłanek markowania kar nakładanych przez organ nadzoru. W konsekwencji tego w art. </w:t>
      </w:r>
      <w:r w:rsidRPr="004F6220">
        <w:rPr>
          <w:rFonts w:ascii="Times New Roman" w:eastAsia="Times New Roman" w:hAnsi="Times New Roman" w:cs="Times New Roman"/>
          <w:b/>
          <w:bCs/>
          <w:sz w:val="24"/>
          <w:szCs w:val="24"/>
          <w:lang w:eastAsia="pl-PL"/>
        </w:rPr>
        <w:t>96 dodaje się ust. 1la</w:t>
      </w:r>
      <w:r w:rsidRPr="004F6220">
        <w:rPr>
          <w:rFonts w:ascii="Times New Roman" w:eastAsia="Times New Roman" w:hAnsi="Times New Roman" w:cs="Times New Roman"/>
          <w:sz w:val="24"/>
          <w:szCs w:val="24"/>
          <w:lang w:eastAsia="pl-PL"/>
        </w:rPr>
        <w:t>, który stanowi, że przy wymierzaniu kary za naruszenia, o których mowa w ust. 1i–1l, KNF bierze w szczególności pod uwagę okoliczności określone w art. 31 ust. 1 rozporządzenia 596/2014. Zmiany te pozwolą na uproszczenie stosowania rozporządzenia 596/2014.</w:t>
      </w:r>
    </w:p>
    <w:p w14:paraId="7D575F9E" w14:textId="414799D1"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Zmiany w art. 96 ust. 1i, 1ia, 1j i 1ja</w:t>
      </w:r>
      <w:r w:rsidRPr="004F6220">
        <w:rPr>
          <w:rFonts w:ascii="Times New Roman" w:eastAsia="Times New Roman" w:hAnsi="Times New Roman" w:cs="Times New Roman"/>
          <w:sz w:val="24"/>
          <w:szCs w:val="24"/>
          <w:lang w:eastAsia="pl-PL"/>
        </w:rPr>
        <w:t xml:space="preserve"> ustawy o ofercie publicznej mają na celu dostosowanie zasad ustalania wysokości sankcji pieniężnych do przepisów z art. 30 ust. 2 lit. j pkt iii rozporządzenia 596/2014 w brzmieniu nadanym rozporządzeniem 2024/2809. Jak zauważono w recitalu 80 preambuły rozporządzenia 2024/2809 ryzyko nieumyślnego naruszenia wymogów dotyczących ujawniania informacji wynikających z rozporządzenia 596/2014 i związane z nim sankcje administracyjne są ważnym czynnikiem zniechęcającym spółki do ubiegania się o dopuszczenie do obrotu. Aby uniknąć nadmiernego obciążenia spółek, w szczególności MŚP, w tym mikroprzedsiębiorstw, ostateczna kwota sankcji za naruszenia popełnione przez osoby prawne w związku z wymogami dotyczącymi ujawniania informacji powinna być proporcjonalna do wielkości spółki. Aby zapewnić proporcjonalność, kwoty takich sankcji należy, co do zasady, ustalać na podstawie całkowitego rocznego obrotu spółki. Niemniej w przypadku gdy przy zastosowaniu maksymalnej kwoty opartej na całkowitym rocznym obrocie ostateczna kwota nałożonych sankcji byłaby nieproporcjonalnie niska w świetle okoliczności określonych w art. 31 rozporządzenia 596/2014, rozporządzenie to zobowiązało państwa członkowskie, aby właściwe organy krajowe mogły zwiększyć ostateczną kwotę sankcji. W takich przypadkach zezwolono również państwom członkowskim na stosowanie w jego prawie krajowym wobec MŚP niższego maksymalnego poziomu sankcji, wyrażonego w kwotach bezwzględnych, jako sposobu zapewnienia ich proporcjonalnego traktowania.</w:t>
      </w:r>
      <w:r w:rsidR="00E04606" w:rsidRPr="004F6220">
        <w:rPr>
          <w:rFonts w:ascii="Times New Roman" w:eastAsia="Times New Roman" w:hAnsi="Times New Roman" w:cs="Times New Roman"/>
          <w:sz w:val="24"/>
          <w:szCs w:val="24"/>
          <w:lang w:eastAsia="pl-PL"/>
        </w:rPr>
        <w:t xml:space="preserve"> Mając na uwadze, że również w tym przypadku do nakładania przez Komisję Nadzoru Finansowego administracyjnych kar pieniężnych zastosowanie znajdzie art. 189c Kodeksu postępowania administracyjnego, w projekcie ustawy odstąpiono od dodawania przepisu przejściowego wskazującego na względniejsze stosowanie zmienionych przepisów przy nakładaniu pieniężnych kar administracyjnych.</w:t>
      </w:r>
    </w:p>
    <w:p w14:paraId="7118FCBF" w14:textId="63821426" w:rsidR="00867A76" w:rsidRPr="004F6220" w:rsidRDefault="00867A7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lastRenderedPageBreak/>
        <w:t xml:space="preserve">Zaproponowana zmiana </w:t>
      </w:r>
      <w:r w:rsidRPr="004F6220">
        <w:rPr>
          <w:rFonts w:ascii="Times New Roman" w:eastAsia="Times New Roman" w:hAnsi="Times New Roman" w:cs="Times New Roman"/>
          <w:b/>
          <w:bCs/>
          <w:sz w:val="24"/>
          <w:szCs w:val="24"/>
          <w:lang w:eastAsia="pl-PL"/>
        </w:rPr>
        <w:t>art. 97 ust. 1h</w:t>
      </w:r>
      <w:r w:rsidRPr="004F6220">
        <w:rPr>
          <w:rFonts w:ascii="Times New Roman" w:eastAsia="Times New Roman" w:hAnsi="Times New Roman" w:cs="Times New Roman"/>
          <w:sz w:val="24"/>
          <w:szCs w:val="24"/>
          <w:lang w:eastAsia="pl-PL"/>
        </w:rPr>
        <w:t xml:space="preserve"> ma na celu sprostowanie oczywistej omyłki pisarskiej.</w:t>
      </w:r>
    </w:p>
    <w:p w14:paraId="1BFC376C" w14:textId="77777777"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Zmiana w art. 98 ust. 2</w:t>
      </w:r>
      <w:r w:rsidRPr="004F6220">
        <w:rPr>
          <w:rFonts w:ascii="Times New Roman" w:eastAsia="Times New Roman" w:hAnsi="Times New Roman" w:cs="Times New Roman"/>
          <w:sz w:val="24"/>
          <w:szCs w:val="24"/>
          <w:lang w:eastAsia="pl-PL"/>
        </w:rPr>
        <w:t xml:space="preserve"> ustawy o ofercie publicznej jest zmianą porządkową i wynika z uchylenia rozporządzeniem 2024/2809 art. 15 w rozporządzeniu 2017/1129. Uchylany przepis regulował kwestie związane ze sporządzeniem prospektu na rzecz rozwoju, który był dedykowanym prospektem dla MŚP i kilku innych kategorii podmiotów, w tym spółek o kapitalizacji rynkowej do 500 mln EUR, których papiery wartościowe już dopuszczono do obrotu na rynku rozwoju MŚP. Z uwagi na fakt, że prospekt UE na rzecz rozwoju zawierał relatywnie mniej informacji niż tradycyjny prospekt, miał on na celu zmniejszenie kosztów przygotowania prospektu dla mniejszych emitentów, przy jednoczesnym dostarczeniu inwestorom informacji istotnych dla oceny oferty i podjęcia przemyślanej decyzji inwestycyjnej. Niemniej mając na uwadze, że prospekt ten wciąż zawierał obszerny katalog informacji rozporządzenie 2024/2809 zastąpiło ten prospekt prospektem UE na rzecz emisji dla rozwoju, o którym mowa w dodanym art. 15a rozporządzenia 2017/1129. Prospekt ten zawiera jeszcze mniej informacji, dzięki czemu dokumentacja MŚP związana z dopuszczaniem do obrotu giełdowego będzie jeszcze mniej skomplikowana i uciążliwa. Zauważenia przy tym wymaga, że w dodanym art. 15a rozporządzenia 2017/1129 nie ma odrębnych uregulowań na temat podsumowania. Dla dwóch nowych prospektów uproszczonych wprowadzono nowy ust. 12a w art. 7 rozporządzenia 2017/1129, przy czym przepis ten wciąż posługuje się pojęciem podsumowania. Stąd nie ma potrzeby wskazywania w zmienianym art. 98 ust. 2 odrębności w tym zakresie.</w:t>
      </w:r>
    </w:p>
    <w:p w14:paraId="35E6EA00" w14:textId="70A55CD3"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Zmiany w art. 99 ust. 1</w:t>
      </w:r>
      <w:r w:rsidRPr="004F6220">
        <w:rPr>
          <w:rFonts w:ascii="Times New Roman" w:eastAsia="Times New Roman" w:hAnsi="Times New Roman" w:cs="Times New Roman"/>
          <w:sz w:val="24"/>
          <w:szCs w:val="24"/>
          <w:lang w:eastAsia="pl-PL"/>
        </w:rPr>
        <w:t xml:space="preserve"> ustawy o ofercie publicznej mają charakter dostosowujący. </w:t>
      </w:r>
      <w:r w:rsidRPr="004F6220">
        <w:rPr>
          <w:rFonts w:ascii="Times New Roman" w:eastAsia="Times New Roman" w:hAnsi="Times New Roman" w:cs="Times New Roman"/>
          <w:b/>
          <w:bCs/>
          <w:sz w:val="24"/>
          <w:szCs w:val="24"/>
          <w:lang w:eastAsia="pl-PL"/>
        </w:rPr>
        <w:t>W pkt 1</w:t>
      </w:r>
      <w:r w:rsidRPr="004F6220">
        <w:rPr>
          <w:rFonts w:ascii="Times New Roman" w:eastAsia="Times New Roman" w:hAnsi="Times New Roman" w:cs="Times New Roman"/>
          <w:sz w:val="24"/>
          <w:szCs w:val="24"/>
          <w:lang w:eastAsia="pl-PL"/>
        </w:rPr>
        <w:t xml:space="preserve"> uzupełniono sankcje karne o brak sporządzenia dokumentu w przypadku skorzystania z nowych wyjątków prospektowych, o których mowa w art. 1 ust. 4 lit. da pkt iii oraz lit. db pkt iii, a także art. 1 ust. 5 lit. ba pkt iii rozporządzenia 2017/1129. Ponadto zrezygnowano w pkt 1 z odwołania do art. 1 ust. 5 lit. j rozporządzenia 2017/1129 w związku z uchyleniem tego przepisu. </w:t>
      </w:r>
      <w:r w:rsidRPr="004F6220">
        <w:rPr>
          <w:rFonts w:ascii="Times New Roman" w:eastAsia="Times New Roman" w:hAnsi="Times New Roman" w:cs="Times New Roman"/>
          <w:b/>
          <w:bCs/>
          <w:sz w:val="24"/>
          <w:szCs w:val="24"/>
          <w:lang w:eastAsia="pl-PL"/>
        </w:rPr>
        <w:t>Uchylenie pkt 3</w:t>
      </w:r>
      <w:r w:rsidRPr="004F6220">
        <w:rPr>
          <w:rFonts w:ascii="Times New Roman" w:eastAsia="Times New Roman" w:hAnsi="Times New Roman" w:cs="Times New Roman"/>
          <w:sz w:val="24"/>
          <w:szCs w:val="24"/>
          <w:lang w:eastAsia="pl-PL"/>
        </w:rPr>
        <w:t xml:space="preserve"> wynika z przewidzianego projektem ustawy uchylenia art. 37a, do którego odwoływał się ten przepis.</w:t>
      </w:r>
    </w:p>
    <w:p w14:paraId="76ABCB94" w14:textId="12E6FD85"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Zmiany w art. 100 ust. 1</w:t>
      </w:r>
      <w:r w:rsidRPr="004F6220">
        <w:rPr>
          <w:rFonts w:ascii="Times New Roman" w:eastAsia="Times New Roman" w:hAnsi="Times New Roman" w:cs="Times New Roman"/>
          <w:sz w:val="24"/>
          <w:szCs w:val="24"/>
          <w:lang w:eastAsia="pl-PL"/>
        </w:rPr>
        <w:t xml:space="preserve"> wynikają z uchylenia projektem przepisów art. 37a i art. 38a, do których odwoływał się zmieniany przepis. Ponadto przepis ten uzupełniono o odwołanie do art. 39 ust. 4, który uwzględnia nowe dokumenty dodane w art. 1 ust. 4 lit. da pkt (iii), db pkt (iii) i ust. 5 lit. ba pkt (iii) rozporządzenia 2017/1129. Podobnie jeśli chodzi o zmianę w ust. 1a polegająca na uzupełnieniu odwołania do art. 39 ust. 4</w:t>
      </w:r>
      <w:r w:rsidR="00E50D9D" w:rsidRPr="004F6220">
        <w:rPr>
          <w:rFonts w:ascii="Times New Roman" w:eastAsia="Times New Roman" w:hAnsi="Times New Roman" w:cs="Times New Roman"/>
          <w:sz w:val="24"/>
          <w:szCs w:val="24"/>
          <w:lang w:eastAsia="pl-PL"/>
        </w:rPr>
        <w:t xml:space="preserve">. </w:t>
      </w:r>
    </w:p>
    <w:p w14:paraId="25A16922" w14:textId="673AA2EA" w:rsidR="00E50D9D" w:rsidRPr="004F6220" w:rsidRDefault="00E50D9D"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lastRenderedPageBreak/>
        <w:t xml:space="preserve">Zmiana </w:t>
      </w:r>
      <w:r w:rsidRPr="004F6220">
        <w:rPr>
          <w:rFonts w:ascii="Times New Roman" w:eastAsia="Times New Roman" w:hAnsi="Times New Roman" w:cs="Times New Roman"/>
          <w:b/>
          <w:bCs/>
          <w:sz w:val="24"/>
          <w:szCs w:val="24"/>
          <w:lang w:eastAsia="pl-PL"/>
        </w:rPr>
        <w:t>art.</w:t>
      </w:r>
      <w:r w:rsidR="00713F5A" w:rsidRPr="004F6220">
        <w:rPr>
          <w:rFonts w:ascii="Times New Roman" w:eastAsia="Times New Roman" w:hAnsi="Times New Roman" w:cs="Times New Roman"/>
          <w:b/>
          <w:bCs/>
          <w:sz w:val="24"/>
          <w:szCs w:val="24"/>
          <w:lang w:eastAsia="pl-PL"/>
        </w:rPr>
        <w:t> </w:t>
      </w:r>
      <w:r w:rsidRPr="004F6220">
        <w:rPr>
          <w:rFonts w:ascii="Times New Roman" w:eastAsia="Times New Roman" w:hAnsi="Times New Roman" w:cs="Times New Roman"/>
          <w:b/>
          <w:bCs/>
          <w:sz w:val="24"/>
          <w:szCs w:val="24"/>
          <w:lang w:eastAsia="pl-PL"/>
        </w:rPr>
        <w:t>103</w:t>
      </w:r>
      <w:r w:rsidRPr="004F6220">
        <w:rPr>
          <w:rFonts w:ascii="Times New Roman" w:eastAsia="Times New Roman" w:hAnsi="Times New Roman" w:cs="Times New Roman"/>
          <w:sz w:val="24"/>
          <w:szCs w:val="24"/>
          <w:lang w:eastAsia="pl-PL"/>
        </w:rPr>
        <w:t xml:space="preserve"> ustawy o ofercie publicznej ma charakter wynikowy i jest związana z projektowanym dodaniem art. 39 ust. 4 tej ustawy oraz wynikającym z tego obowiązkiem przekazywania Komisji suplementu do dokumentów, o których mowa w tym przepisie.</w:t>
      </w:r>
      <w:r w:rsidR="00713F5A"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W</w:t>
      </w:r>
      <w:r w:rsidR="00713F5A" w:rsidRPr="004F6220">
        <w:rPr>
          <w:rFonts w:ascii="Times New Roman" w:eastAsia="Times New Roman" w:hAnsi="Times New Roman" w:cs="Times New Roman"/>
          <w:sz w:val="24"/>
          <w:szCs w:val="24"/>
          <w:lang w:eastAsia="pl-PL"/>
        </w:rPr>
        <w:t> </w:t>
      </w:r>
      <w:r w:rsidRPr="004F6220">
        <w:rPr>
          <w:rFonts w:ascii="Times New Roman" w:eastAsia="Times New Roman" w:hAnsi="Times New Roman" w:cs="Times New Roman"/>
          <w:sz w:val="24"/>
          <w:szCs w:val="24"/>
          <w:lang w:eastAsia="pl-PL"/>
        </w:rPr>
        <w:t>związku z objęciem wskazanych dokumentów obowiązkiem przekazania do Komisji suplementu konieczne jest odpowiednie uzupełnienie katalogu naruszeń podlegających sankcji określonej w art. 103 ustawy o ofercie publicznej. Projektowana zmiana ma na celu zapewnienie spójności przepisów określających obowiązek przekazania Komisji suplementu oraz przepisów ustanawiających sankcję za niewykonanie tego obowiązku. Brak odpowiedniego uzupełnienia art. 103 prowadziłby do nieuzasadnionego zróżnicowania sytuacji podmiotów obowiązanych do przekazania Komisji suplementu do prospektu, memorandum informacyjnego oraz dokumentów, o których mowa w art. 39 ust. 4 ustawy o ofercie publicznej.</w:t>
      </w:r>
      <w:r w:rsidR="00713F5A"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Projektowana zmiana pozostaje również w związku z odpowiednią zmianą art. 104 ustawy o ofercie publicznej, w którym uwzględniono art. 39 ust. 4, i zapewnia spójność regulacji sankcyjnych odnoszących się do obowiązków określonych w tych przepisach.</w:t>
      </w:r>
    </w:p>
    <w:p w14:paraId="37ADD4D8" w14:textId="77777777" w:rsidR="00AB7986" w:rsidRPr="004F6220" w:rsidRDefault="00AB7986"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Zmiana w art. 104</w:t>
      </w:r>
      <w:r w:rsidRPr="004F6220">
        <w:rPr>
          <w:rFonts w:ascii="Times New Roman" w:eastAsia="Times New Roman" w:hAnsi="Times New Roman" w:cs="Times New Roman"/>
          <w:sz w:val="24"/>
          <w:szCs w:val="24"/>
          <w:lang w:eastAsia="pl-PL"/>
        </w:rPr>
        <w:t xml:space="preserve"> przewiduje uzupełnienie odwołania do art. 39 o ust. 4, co wynika z dodania rozporządzeniem 2024/2809 nowych dokumentów ofertowych, o których mowa w art. 1 ust. 4 lit. da pkt (iii), db pkt (iii) i ust. 5 lit. ba pkt (iii) rozporządzenia 2017/1129.</w:t>
      </w:r>
    </w:p>
    <w:bookmarkEnd w:id="4"/>
    <w:p w14:paraId="5A93F33A" w14:textId="641FE8F2" w:rsidR="005903EE" w:rsidRPr="004F6220" w:rsidRDefault="00FB4F62"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8</w:t>
      </w:r>
      <w:r w:rsidR="005903EE" w:rsidRPr="004F6220">
        <w:rPr>
          <w:rFonts w:ascii="Times New Roman" w:eastAsia="Times New Roman" w:hAnsi="Times New Roman" w:cs="Times New Roman"/>
          <w:b/>
          <w:bCs/>
          <w:smallCaps/>
          <w:sz w:val="24"/>
          <w:szCs w:val="24"/>
          <w:lang w:eastAsia="pl-PL"/>
        </w:rPr>
        <w:t>. Zmiana w ustawie o nadzorze nad rynkiem finansowym</w:t>
      </w:r>
    </w:p>
    <w:p w14:paraId="2786383D" w14:textId="6B1C385A" w:rsidR="00A16682" w:rsidRPr="004F6220" w:rsidRDefault="00A16682" w:rsidP="005D621C">
      <w:pPr>
        <w:pStyle w:val="NormalnyWeb"/>
        <w:spacing w:before="120" w:beforeAutospacing="0" w:after="0" w:afterAutospacing="0" w:line="360" w:lineRule="auto"/>
        <w:jc w:val="both"/>
      </w:pPr>
      <w:r w:rsidRPr="004F6220">
        <w:t xml:space="preserve">W </w:t>
      </w:r>
      <w:r w:rsidRPr="004F6220">
        <w:rPr>
          <w:b/>
          <w:bCs/>
        </w:rPr>
        <w:t>art. 1 ust. 2 pkt 4</w:t>
      </w:r>
      <w:r w:rsidRPr="004F6220">
        <w:t xml:space="preserve"> ustawy o nadzorze nad rynkiem finansowym aktualizuje się odesłanie do przepisów Unii Europejskiej regulujących zasady sprzedaży na aukcji uprawnień do emisji. Dotychczasowe odesłanie do rozporządzenia 1031/2010 zastępuje się odesłaniem do rozporządzenia 2023/2830, które obecnie reguluje te zagadnienia. Zmiana ma charakter dostosowawczy i ma na celu zapewnienie zgodności zakresu stosowania ustawy z aktualnym stanem prawnym Unii Europejskiej.</w:t>
      </w:r>
    </w:p>
    <w:p w14:paraId="3FDD3E79" w14:textId="49F500BF" w:rsidR="005903EE" w:rsidRPr="004F6220" w:rsidRDefault="005903EE" w:rsidP="005D621C">
      <w:pPr>
        <w:pStyle w:val="NormalnyWeb"/>
        <w:spacing w:before="120" w:beforeAutospacing="0" w:after="0" w:afterAutospacing="0" w:line="360" w:lineRule="auto"/>
        <w:jc w:val="both"/>
      </w:pPr>
      <w:r w:rsidRPr="004F6220">
        <w:rPr>
          <w:b/>
          <w:bCs/>
        </w:rPr>
        <w:t>Zmiana w art. 1 w ust. 2 w pkt 5a</w:t>
      </w:r>
      <w:r w:rsidRPr="004F6220">
        <w:t xml:space="preserve"> ustawy o nadzorze nad rynkiem finansowym ma na celu zapewnienie stosowania rozporządzeni</w:t>
      </w:r>
      <w:r w:rsidR="00E8671B" w:rsidRPr="004F6220">
        <w:t>a</w:t>
      </w:r>
      <w:r w:rsidRPr="004F6220">
        <w:t xml:space="preserve"> 2024/3005, co zostało szerzej opisane w zmianie art. 2 pkt 5</w:t>
      </w:r>
      <w:r w:rsidR="00643578" w:rsidRPr="004F6220">
        <w:t>c</w:t>
      </w:r>
      <w:r w:rsidRPr="004F6220">
        <w:t xml:space="preserve"> oraz art. 3 ust. 2 ustawy o nadzorze nad rynkiem kapitałowym. Mając na uwadze, że wymagania przewidziane w art. 22 rozporządzenia 1060/2009 zostały wdrożone poprzez </w:t>
      </w:r>
      <w:r w:rsidR="002D45B2" w:rsidRPr="004F6220">
        <w:t>uzupełnienie przepisu art. 1 w ust. 2 o pkt 5a ustawy o nadzorze nad rynkiem finansowym w projekcie, na zasadzie analogii, uzupełniono ten przepis o wskazanie, że nadzór nad rynkiem finansowym obejmuje także nadzór nad dostawcami ratingów ESG w zakresie przewidzianym przepisami rozporządzenia 2024/3005.</w:t>
      </w:r>
    </w:p>
    <w:p w14:paraId="33CF8B11" w14:textId="31A16446" w:rsidR="00713F5A" w:rsidRPr="004F6220" w:rsidRDefault="00713F5A" w:rsidP="005D621C">
      <w:pPr>
        <w:pStyle w:val="NormalnyWeb"/>
        <w:spacing w:before="120" w:beforeAutospacing="0" w:after="0" w:afterAutospacing="0" w:line="360" w:lineRule="auto"/>
        <w:jc w:val="both"/>
      </w:pPr>
      <w:r w:rsidRPr="004F6220">
        <w:lastRenderedPageBreak/>
        <w:t xml:space="preserve">Projektowane przepisy wprowadzające </w:t>
      </w:r>
      <w:r w:rsidRPr="004F6220">
        <w:rPr>
          <w:b/>
          <w:bCs/>
        </w:rPr>
        <w:t>rozdziały 2e i 2f</w:t>
      </w:r>
      <w:r w:rsidRPr="004F6220">
        <w:t xml:space="preserve"> do ustawy o nadzorze nad rynkiem finansowym mają na celu określenie krajowych ram wykonywania przez Komisję Nadzoru Finansowego zadań związanych ze stosowaniem przepisów Unii Europejskiej dotyczących agencji ratingowych oraz dostawców ratingów z zakresu ochrony środowiska, polityki społecznej i ładu korporacyjnego (ESG).</w:t>
      </w:r>
    </w:p>
    <w:p w14:paraId="41B95060" w14:textId="263311AA" w:rsidR="00713F5A" w:rsidRPr="004F6220" w:rsidRDefault="00713F5A" w:rsidP="005D621C">
      <w:pPr>
        <w:pStyle w:val="NormalnyWeb"/>
        <w:spacing w:before="120" w:beforeAutospacing="0" w:after="0" w:afterAutospacing="0" w:line="360" w:lineRule="auto"/>
        <w:jc w:val="both"/>
      </w:pPr>
      <w:r w:rsidRPr="004F6220">
        <w:t>Potrzeba wprowadzenia tych przepisów w ustawie wynika z charakteru nadzoru sprawowanego na podstawie rozporządzenia 1060/2009, które przewiduje wykonywanie określonych zadań przez właściwe organy krajowe oraz możliwość ich delegowania przez ESMA. Projektowane przepisy zapewniają Komisji odpowiednie instrumenty umożliwiające skuteczne wykonywanie powierzonych jej zadań, w tym przeprowadzanie kontroli działalności podmiotów obowiązanych do przestrzegania rozporządzenia, pozyskiwanie informacji i dokumentów oraz współpracę z ESMA. Projektowane przepisy służą tym samym zapewnieniu skutecznego wykonywania nadzoru nad działalnością agencji ratingowych oraz dostawców ratingów ESG na terytorium Rzeczypospolitej Polskiej, a także zapewnieniu efektywnej współpracy pomiędzy Komisją a ESMA w zakresie przewidzianym w przepisach prawa Unii Europejskiej.</w:t>
      </w:r>
    </w:p>
    <w:p w14:paraId="31F6DF7C" w14:textId="19B679BB" w:rsidR="00115347" w:rsidRPr="004F6220" w:rsidRDefault="00115347"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 xml:space="preserve">9. Zmiana w ustawie o systemie zarządzania emisjami gazów cieplarnianych i innych substancji </w:t>
      </w:r>
    </w:p>
    <w:p w14:paraId="31FD7791" w14:textId="00D6158A" w:rsidR="00115347" w:rsidRPr="004F6220" w:rsidRDefault="00115347" w:rsidP="005D621C">
      <w:pPr>
        <w:pStyle w:val="NormalnyWeb"/>
        <w:spacing w:before="120" w:beforeAutospacing="0" w:after="0" w:afterAutospacing="0" w:line="360" w:lineRule="auto"/>
        <w:jc w:val="both"/>
      </w:pPr>
      <w:r w:rsidRPr="004F6220">
        <w:t xml:space="preserve">W </w:t>
      </w:r>
      <w:r w:rsidRPr="004F6220">
        <w:rPr>
          <w:b/>
          <w:bCs/>
        </w:rPr>
        <w:t>art. 3 ust. 2 pkt 10 lit. b</w:t>
      </w:r>
      <w:r w:rsidRPr="004F6220">
        <w:t xml:space="preserve"> ustawy o systemie zarządzania emisjami gazów cieplarnianych i innych substancji aktualizuje się odesłanie do przepisów Unii Europejskiej regulujących sprzedaż na aukcji uprawnień do emisji gazów cieplarnianych. Odesłanie do rozporządzenia 1031/2010 zastępuje się odesłaniem do rozporządzenia 2023/2830, które zastąpiło dotychczasowy akt i obecnie reguluje te zagadnienia. </w:t>
      </w:r>
    </w:p>
    <w:p w14:paraId="41D48224" w14:textId="37386DD9" w:rsidR="00342F9A" w:rsidRPr="004F6220" w:rsidRDefault="00115347"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10</w:t>
      </w:r>
      <w:r w:rsidR="00342F9A" w:rsidRPr="004F6220">
        <w:rPr>
          <w:rFonts w:ascii="Times New Roman" w:eastAsia="Times New Roman" w:hAnsi="Times New Roman" w:cs="Times New Roman"/>
          <w:b/>
          <w:bCs/>
          <w:smallCaps/>
          <w:sz w:val="24"/>
          <w:szCs w:val="24"/>
          <w:lang w:eastAsia="pl-PL"/>
        </w:rPr>
        <w:t>. Zmiana w ustawie o obligacjach</w:t>
      </w:r>
    </w:p>
    <w:p w14:paraId="5121AA18" w14:textId="52033B67" w:rsidR="004B6976" w:rsidRPr="004F6220" w:rsidRDefault="004B6976" w:rsidP="005D621C">
      <w:pPr>
        <w:pStyle w:val="NormalnyWeb"/>
        <w:spacing w:before="120" w:beforeAutospacing="0" w:after="0" w:afterAutospacing="0" w:line="360" w:lineRule="auto"/>
        <w:jc w:val="both"/>
      </w:pPr>
      <w:r w:rsidRPr="004F6220">
        <w:rPr>
          <w:b/>
          <w:bCs/>
        </w:rPr>
        <w:t>Zmiana brzmienia art. 31 ust. 6 pkt 3</w:t>
      </w:r>
      <w:r w:rsidRPr="004F6220">
        <w:t xml:space="preserve"> ustawy o obligacjach dotycząc</w:t>
      </w:r>
      <w:r w:rsidR="00D616F3" w:rsidRPr="004F6220">
        <w:t>a</w:t>
      </w:r>
      <w:r w:rsidRPr="004F6220">
        <w:t xml:space="preserve"> tytułu do wykreślenia hipoteki ustanowionej w celu zabezpieczenia obligacji ma na celu wypełnienie istniejąc</w:t>
      </w:r>
      <w:r w:rsidR="00CD4950" w:rsidRPr="004F6220">
        <w:t>ej</w:t>
      </w:r>
      <w:r w:rsidRPr="004F6220">
        <w:t xml:space="preserve"> luk</w:t>
      </w:r>
      <w:r w:rsidR="00CD4950" w:rsidRPr="004F6220">
        <w:t>i</w:t>
      </w:r>
      <w:r w:rsidRPr="004F6220">
        <w:t xml:space="preserve"> prawn</w:t>
      </w:r>
      <w:r w:rsidR="00CD4950" w:rsidRPr="004F6220">
        <w:t>ej</w:t>
      </w:r>
      <w:r w:rsidRPr="004F6220">
        <w:t>, a jednocześnie usun</w:t>
      </w:r>
      <w:r w:rsidR="00CD4950" w:rsidRPr="004F6220">
        <w:t xml:space="preserve">ięcie </w:t>
      </w:r>
      <w:r w:rsidRPr="004F6220">
        <w:t>ryzyk</w:t>
      </w:r>
      <w:r w:rsidR="00CD4950" w:rsidRPr="004F6220">
        <w:t>a</w:t>
      </w:r>
      <w:r w:rsidRPr="004F6220">
        <w:t xml:space="preserve"> prawne</w:t>
      </w:r>
      <w:r w:rsidR="00CD4950" w:rsidRPr="004F6220">
        <w:t>go</w:t>
      </w:r>
      <w:r w:rsidRPr="004F6220">
        <w:t xml:space="preserve">, na które obecnie narażeni są emitenci obligacji zabezpieczonych hipoteką w przypadku, gdy doprowadzają do umorzenia obligacji w sposób inny, niż poprzez wypłatę świadczenia z tytułu ich wykupu za pośrednictwem Krajowego Depozytu. Obecnie z ww. przepisu wynika, że w przypadku obligacji zarejestrowanych w depozycie papierów wartościowych tytułem do wykreślenia hipoteki jest wyłącznie oświadczenie Krajowego Depozytu stwierdzające, że za pośrednictwem Krajowego Depozytu emitent dokonał wykupu obligacji. Niemniej Krajowy Depozyt nie zawsze jest w </w:t>
      </w:r>
      <w:r w:rsidRPr="004F6220">
        <w:lastRenderedPageBreak/>
        <w:t xml:space="preserve">stanie wydać oświadczenie tej treści, gdyż zdarzają się wykupy obligacji zarejestrowanych w depozycie, które są realizowane przez emitentów bez pośrednictwa depozytu, a także przypadki wcześniejszego umorzenia obligacji. </w:t>
      </w:r>
    </w:p>
    <w:p w14:paraId="2B90A3F8" w14:textId="6B81C19B" w:rsidR="005903EE" w:rsidRPr="004F6220" w:rsidRDefault="00342F9A" w:rsidP="005D621C">
      <w:pPr>
        <w:pStyle w:val="NormalnyWeb"/>
        <w:spacing w:before="120" w:beforeAutospacing="0" w:after="0" w:afterAutospacing="0" w:line="360" w:lineRule="auto"/>
        <w:jc w:val="both"/>
      </w:pPr>
      <w:r w:rsidRPr="004F6220">
        <w:rPr>
          <w:b/>
          <w:bCs/>
        </w:rPr>
        <w:t xml:space="preserve">Zmiana w art. 34 ust. 2 </w:t>
      </w:r>
      <w:r w:rsidRPr="004F6220">
        <w:t xml:space="preserve">ustawy o obligacjach </w:t>
      </w:r>
      <w:r w:rsidR="006568FF" w:rsidRPr="004F6220">
        <w:t xml:space="preserve">przewiduje </w:t>
      </w:r>
      <w:r w:rsidR="00D74162" w:rsidRPr="004F6220">
        <w:t>nałożenie obowiązku sporządzenia propozycji nabycia przy każdej ofercie publicznej obligacji, w której nie jest wymagany prospekt. Pozwoli to na ujednolicenie wymogów odnoszących się do ofert bezprospektowych obligacji, a także zrekompensuje zmniejszenie wymagań treściowych nowego dokumentu ofertowego, w porównaniu do wymogów aktualnego memorandum informacyjnego. Aktualnie nie sporządza się propozycji nabycia przy ofertach prospektowych oraz ofertach bezprospektowych prowadzonych na podstawie memorandum informacyjnego. Obowiązek sporządzenia propozycji nabycia aktualizuje się natomiast w przypadku ofert bezprospektowych, w związku z którymi nie ma obowiązku sporządzenia dokumentu ofertowego, a także w przypadku ofert bezprospektowych prowadzonych na podstawie</w:t>
      </w:r>
      <w:r w:rsidR="008B0C6D" w:rsidRPr="004F6220">
        <w:t xml:space="preserve"> </w:t>
      </w:r>
      <w:r w:rsidR="00D74162" w:rsidRPr="004F6220">
        <w:t xml:space="preserve">dokumentu informacyjnego z art. 37a ustawy o ofercie </w:t>
      </w:r>
      <w:r w:rsidR="00EA3DC3" w:rsidRPr="004F6220">
        <w:t xml:space="preserve">publicznej </w:t>
      </w:r>
      <w:r w:rsidR="00D74162" w:rsidRPr="004F6220">
        <w:t xml:space="preserve">oraz arkusza kluczowych informacji inwestycyjnych, o którym mowa w art. 23 </w:t>
      </w:r>
      <w:r w:rsidR="008B0C6D" w:rsidRPr="004F6220">
        <w:t>rozporządzeni</w:t>
      </w:r>
      <w:r w:rsidR="00610EC9" w:rsidRPr="004F6220">
        <w:t>a</w:t>
      </w:r>
      <w:r w:rsidR="008B0C6D" w:rsidRPr="004F6220">
        <w:t xml:space="preserve"> Parlamentu Europejskiego i Rady (UE) 2020/1503 z dnia 7 października 2020 r. w sprawie europejskich dostawców usług finansowania społecznościowego dla przedsięwzięć gospodarczych oraz zmieniające</w:t>
      </w:r>
      <w:r w:rsidR="007A5967">
        <w:t>go</w:t>
      </w:r>
      <w:r w:rsidR="008B0C6D" w:rsidRPr="004F6220">
        <w:t xml:space="preserve"> rozporządzenie (UE) 2017/1129 i dyrektywę (UE) 2019/1937 (Dz. Urz. UE L 347 z 20.10.2020</w:t>
      </w:r>
      <w:r w:rsidR="00475E28" w:rsidRPr="004F6220">
        <w:t>,</w:t>
      </w:r>
      <w:r w:rsidR="008B0C6D" w:rsidRPr="004F6220">
        <w:t xml:space="preserve"> str. 1</w:t>
      </w:r>
      <w:r w:rsidR="00D74162" w:rsidRPr="004F6220">
        <w:t xml:space="preserve">). Co istotne, </w:t>
      </w:r>
      <w:r w:rsidR="007B778F" w:rsidRPr="004F6220">
        <w:t>„</w:t>
      </w:r>
      <w:r w:rsidR="00D74162" w:rsidRPr="004F6220">
        <w:t>nowe</w:t>
      </w:r>
      <w:r w:rsidR="007B778F" w:rsidRPr="004F6220">
        <w:t>”</w:t>
      </w:r>
      <w:r w:rsidR="00D74162" w:rsidRPr="004F6220">
        <w:t xml:space="preserve"> memorandum informacyjne będzie zawierało znacznie mniej informacji niż ma to miejsce aktualnie. Zakres ten będzie podobny lub mniejszy niż </w:t>
      </w:r>
      <w:r w:rsidR="007B778F" w:rsidRPr="004F6220">
        <w:t>wynikający z arkusza kluczowych informacji dla inwestora sporządzanego na podstawie art. 23 rozporządzenia 2020/1503</w:t>
      </w:r>
      <w:r w:rsidR="00D74162" w:rsidRPr="004F6220">
        <w:t xml:space="preserve">, które nie zwalnia z obowiązku sporządzenia propozycji nabycia. Tym samym racjonalnym jest, aby również przy ofertach publicznych prowadzonych na podstawie memorandum informacyjnego </w:t>
      </w:r>
      <w:r w:rsidR="007B778F" w:rsidRPr="004F6220">
        <w:t xml:space="preserve">istniał </w:t>
      </w:r>
      <w:r w:rsidR="00D74162" w:rsidRPr="004F6220">
        <w:t>obowiązek sporządzenia propozycji nabycia. Propozycja nabycia, z uwagi na zakres informacji, jakie należy w niej udostępnić, w szerszym zakresie będzie pozwalała na ocenę sytuacji finansowej emitenta.</w:t>
      </w:r>
    </w:p>
    <w:p w14:paraId="5D2B0BD5" w14:textId="2FD71985" w:rsidR="00BA37E8" w:rsidRPr="004F6220" w:rsidRDefault="00BA37E8" w:rsidP="005D621C">
      <w:pPr>
        <w:pStyle w:val="NormalnyWeb"/>
        <w:spacing w:before="120" w:beforeAutospacing="0" w:after="0" w:afterAutospacing="0" w:line="360" w:lineRule="auto"/>
        <w:jc w:val="both"/>
      </w:pPr>
      <w:r w:rsidRPr="004F6220">
        <w:rPr>
          <w:b/>
          <w:bCs/>
        </w:rPr>
        <w:t>Zmiana art. 35 ust. 3</w:t>
      </w:r>
      <w:r w:rsidRPr="004F6220">
        <w:t xml:space="preserve"> ustawy o obligacjach zmierza ku temu, aby 15 miesięczny okres ważności sprawozdania finansowego dla potrzeb oferty obligacji dokonywanej na podstawie propozycji nabycia był ustalany w odniesieniu do daty rozpoczęcia oferty, a nie jak jest obecnie – daty udostępnienia propozycji nabycia. Wprowadzenie tej zasady przybliży standardy ofert prywatnych i publicznych o mniejszej skali do standardów prospektowych, co pozwoli na lepsze planowanie harmonogramów emisji przez domy maklerskie i </w:t>
      </w:r>
      <w:r w:rsidR="00CD4950" w:rsidRPr="004F6220">
        <w:t>emitentów</w:t>
      </w:r>
      <w:r w:rsidRPr="004F6220">
        <w:t xml:space="preserve">. </w:t>
      </w:r>
    </w:p>
    <w:p w14:paraId="1E6AC399" w14:textId="69FAD818" w:rsidR="00BA37E8" w:rsidRPr="004F6220" w:rsidRDefault="00BA37E8" w:rsidP="005D621C">
      <w:pPr>
        <w:pStyle w:val="NormalnyWeb"/>
        <w:spacing w:before="120" w:beforeAutospacing="0" w:after="0" w:afterAutospacing="0" w:line="360" w:lineRule="auto"/>
        <w:jc w:val="both"/>
      </w:pPr>
      <w:r w:rsidRPr="004F6220">
        <w:lastRenderedPageBreak/>
        <w:t xml:space="preserve">W świetle art. 35 ust. 3 ustawy o obligacjach, emitent prowadzący działalność dłużej niż rok jest obowiązany udostępnić w propozycji nabycia sprawozdanie finansowe sporządzone na dzień bilansowy przypadający niewcześniej niż 15 miesięcy przed datą udostępnienia propozycji nabycia wraz z opinią biegłego rewidenta. Emitent korzystający z możliwości połączenia sprawozdania finansowego za okres od rozpoczęcia działalności do końca przyjętego roku obrotowego ze sprawozdaniem finansowym za rok następny, zgodnie z art. 3 ust. 1 pkt 9 ustawy o rachunkowości, udostępnia pierwsze sprawozdanie finansowe wraz ze sprawozdaniem z badania. W związku z powyższą regulacją, w obecnym stanie prawnym, w przypadku ofert trwających na przełomie kwartałów może dojść do sytuacji, w której inwestorzy w ramach tej samej oferty otrzymują propozycje nabycia oparte na różnych dokumentach finansowych. Zasada 15 miesięcy w połączeniu z cyklem badania sprawozdań finansowych w Polsce – gdzie szczyt prac biegłych rewidentów przypada na marzec i kwiecień – tworzy tzw. martwe okresy. Postulowana zmiana ma na celu wyeliminowanie takiego ryzyka i związanej z nim luki emisyjnej. </w:t>
      </w:r>
    </w:p>
    <w:p w14:paraId="4205CF94" w14:textId="6D52D964" w:rsidR="00BA37E8" w:rsidRPr="004F6220" w:rsidRDefault="00BA37E8" w:rsidP="005D621C">
      <w:pPr>
        <w:pStyle w:val="NormalnyWeb"/>
        <w:spacing w:before="120" w:beforeAutospacing="0" w:after="0" w:afterAutospacing="0" w:line="360" w:lineRule="auto"/>
        <w:jc w:val="both"/>
      </w:pPr>
      <w:r w:rsidRPr="004F6220">
        <w:t xml:space="preserve">W przypadku ofert obligacji dokonywanych na podstawie propozycji nabycia istotna w świetle powyższego przepisu jest data udostępnienia propozycji nabycia. Ta zaś w okresie trwania subskrypcji jest z reguły różna dla poszczególnych inwestorów. W konsekwencji inwestorzy w ramach tej samej oferty mogą otrzymywać propozycje nabycia obligacji oparte na różnych dokumentach finansowych. Obowiązek aktualizacji propozycji nabycia w trakcie trwania oferty generuje dodatkowe koszty prawne, operacyjne i dystrybucyjne. Zmiana cezury na „dzień rozpoczęcia oferty” zamiast „udostępnienia propozycji nabycia” zagwarantuje, że wszyscy inwestorzy biorący udział w danym procesie emisyjnym będą podejmować decyzje inwestycyjne w oparciu o ten sam zestaw danych finansowych. Proponowana zmiana pozwoli na płynne dokończenie procesów rozpoczętych w I kwartale roku, bez konieczności ich sztucznego wstrzymywania. Zapobiegnie to paraliżowi emisyjnemu w okresie, gdy nowe dane finansowe są jeszcze w procesie weryfikacji przez audytorów. Postulowana zmiana nie wpłynie negatywnie na bezpieczeństwo obrotu, ponieważ inwestor nadal będzie otrzymywać najświeższe zatwierdzone i zbadane dane finansowe dostępne w momencie startu oferty. Eliminuje natomiast zbędny formalizm polegający na konieczności przerywania ofert w toku. </w:t>
      </w:r>
    </w:p>
    <w:p w14:paraId="7CCD37BB" w14:textId="0ADAE0D2" w:rsidR="00DF53F0" w:rsidRPr="004F6220" w:rsidRDefault="00115347" w:rsidP="005D621C">
      <w:pPr>
        <w:keepNext/>
        <w:spacing w:before="120" w:after="0" w:line="360" w:lineRule="auto"/>
        <w:jc w:val="both"/>
        <w:rPr>
          <w:rFonts w:ascii="Times New Roman" w:eastAsia="Times New Roman" w:hAnsi="Times New Roman" w:cs="Times New Roman"/>
          <w:b/>
          <w:bCs/>
          <w:smallCaps/>
          <w:sz w:val="24"/>
          <w:szCs w:val="24"/>
          <w:lang w:eastAsia="pl-PL"/>
        </w:rPr>
      </w:pPr>
      <w:r w:rsidRPr="004F6220">
        <w:rPr>
          <w:rFonts w:ascii="Times New Roman" w:eastAsia="Times New Roman" w:hAnsi="Times New Roman" w:cs="Times New Roman"/>
          <w:b/>
          <w:bCs/>
          <w:smallCaps/>
          <w:sz w:val="24"/>
          <w:szCs w:val="24"/>
          <w:lang w:eastAsia="pl-PL"/>
        </w:rPr>
        <w:t>11</w:t>
      </w:r>
      <w:r w:rsidR="000A47E9" w:rsidRPr="004F6220">
        <w:rPr>
          <w:rFonts w:ascii="Times New Roman" w:eastAsia="Times New Roman" w:hAnsi="Times New Roman" w:cs="Times New Roman"/>
          <w:b/>
          <w:bCs/>
          <w:smallCaps/>
          <w:sz w:val="24"/>
          <w:szCs w:val="24"/>
          <w:lang w:eastAsia="pl-PL"/>
        </w:rPr>
        <w:t>. Przepisy przejściowe i końcowe</w:t>
      </w:r>
    </w:p>
    <w:p w14:paraId="34E25D9E" w14:textId="77777777" w:rsidR="00051819" w:rsidRPr="004F6220" w:rsidRDefault="00494A00"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C842AE" w:rsidRPr="004F6220">
        <w:rPr>
          <w:rFonts w:ascii="Times New Roman" w:eastAsia="Times New Roman" w:hAnsi="Times New Roman" w:cs="Times New Roman"/>
          <w:b/>
          <w:bCs/>
          <w:sz w:val="24"/>
          <w:szCs w:val="24"/>
          <w:lang w:eastAsia="pl-PL"/>
        </w:rPr>
        <w:t>11</w:t>
      </w:r>
      <w:r w:rsidRPr="004F6220">
        <w:rPr>
          <w:rFonts w:ascii="Times New Roman" w:eastAsia="Times New Roman" w:hAnsi="Times New Roman" w:cs="Times New Roman"/>
          <w:sz w:val="24"/>
          <w:szCs w:val="24"/>
          <w:lang w:eastAsia="pl-PL"/>
        </w:rPr>
        <w:t xml:space="preserve"> projektu ustawy reguluje kwestie związane z przysługującym KNF na mocy art. 24 ust. 3 prawem zgłoszenia sprzeciwu wobec planowanego bezpośredniego lub pośredniego nabycia akcji spółki prowadzącej rynek regulowany. Zmiana art. 24 ust. 1 pkt 2 ustawy o obrocie </w:t>
      </w:r>
      <w:r w:rsidRPr="004F6220">
        <w:rPr>
          <w:rFonts w:ascii="Times New Roman" w:eastAsia="Times New Roman" w:hAnsi="Times New Roman" w:cs="Times New Roman"/>
          <w:sz w:val="24"/>
          <w:szCs w:val="24"/>
          <w:lang w:eastAsia="pl-PL"/>
        </w:rPr>
        <w:lastRenderedPageBreak/>
        <w:t>instrumentami finansowymi zakłada zniesienie progów 5% i 15% w odniesieniu do konieczności zawiadomienia KNF przy nabywaniu znacznych pakietów akcji spółki prowadzącej rynek regulowany. W przepisie przejściowym przyjęto, że skoro zawiadomienie o przekroczeniu progu 5% albo 15% trafiło do KNF i przed dniem wejścia w życie ustawy nie upłynął 3 miesięczny termin na zgłoszenie przez KNF sprzeciwu to zawiadomienie powinno zostać rozpatrzone na dotychczasowych zasadach, tj. organ nadzoru powinien mieć prawo do zgłoszenia sprzeciwu wobec planowanego bezpośredniego lub pośredniego nabycia akcji spółki prowadzącej rynek regulowany.</w:t>
      </w:r>
      <w:r w:rsidR="00F904F4" w:rsidRPr="004F6220">
        <w:rPr>
          <w:rFonts w:ascii="Times New Roman" w:eastAsia="Times New Roman" w:hAnsi="Times New Roman" w:cs="Times New Roman"/>
          <w:sz w:val="24"/>
          <w:szCs w:val="24"/>
          <w:lang w:eastAsia="pl-PL"/>
        </w:rPr>
        <w:t xml:space="preserve"> </w:t>
      </w:r>
    </w:p>
    <w:p w14:paraId="5190FC0E" w14:textId="04FE8FE1" w:rsidR="00CC57E2" w:rsidRPr="004F6220" w:rsidRDefault="00CC57E2"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Art. 1</w:t>
      </w:r>
      <w:r w:rsidR="00C842AE" w:rsidRPr="004F6220">
        <w:rPr>
          <w:rFonts w:ascii="Times New Roman" w:eastAsia="Times New Roman" w:hAnsi="Times New Roman" w:cs="Times New Roman"/>
          <w:b/>
          <w:bCs/>
          <w:sz w:val="24"/>
          <w:szCs w:val="24"/>
          <w:lang w:eastAsia="pl-PL"/>
        </w:rPr>
        <w:t>2</w:t>
      </w:r>
      <w:r w:rsidRPr="004F6220">
        <w:rPr>
          <w:rFonts w:ascii="Times New Roman" w:eastAsia="Times New Roman" w:hAnsi="Times New Roman" w:cs="Times New Roman"/>
          <w:sz w:val="24"/>
          <w:szCs w:val="24"/>
          <w:lang w:eastAsia="pl-PL"/>
        </w:rPr>
        <w:t xml:space="preserve"> projektu ustawy reguluje kwestie związane z oceną przez KNF powiadomienia o nabyciu znacznych pakietów akcji CCP, w związku z przewidzianym projektem uchyleniem w art. 47a ust. 3 ustawy o obrocie instrumentami finansowymi. W przepisie przejściowym przyjęto, że skoro zawiadomienie takie trafiło do organu nadzoru i przed dniem wejścia w życie ustawy nie zostało ocenione to ocena ta powinna zostać dokonana zgodnie z dotychczasowymi zasadami, tj. powinna uwzględniać złożone w związku z postępowaniem zobowiązania dotyczące CCP lub ostrożnego i stabilnego nim zarządzania.</w:t>
      </w:r>
    </w:p>
    <w:p w14:paraId="0E9D9DEF" w14:textId="42989C53" w:rsidR="00CC57E2" w:rsidRPr="004F6220" w:rsidRDefault="00CC57E2"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Art. 1</w:t>
      </w:r>
      <w:r w:rsidR="00C842AE" w:rsidRPr="004F6220">
        <w:rPr>
          <w:rFonts w:ascii="Times New Roman" w:eastAsia="Times New Roman" w:hAnsi="Times New Roman" w:cs="Times New Roman"/>
          <w:b/>
          <w:bCs/>
          <w:sz w:val="24"/>
          <w:szCs w:val="24"/>
          <w:lang w:eastAsia="pl-PL"/>
        </w:rPr>
        <w:t>3</w:t>
      </w:r>
      <w:r w:rsidRPr="004F6220">
        <w:rPr>
          <w:rFonts w:ascii="Times New Roman" w:eastAsia="Times New Roman" w:hAnsi="Times New Roman" w:cs="Times New Roman"/>
          <w:sz w:val="24"/>
          <w:szCs w:val="24"/>
          <w:lang w:eastAsia="pl-PL"/>
        </w:rPr>
        <w:t xml:space="preserve"> projektu ustawy odnosi się do materiałów analitycznych wytworzonych w ramach usług badawczych w związku z dodawanymi projektem w art. 83c ust. 4a</w:t>
      </w:r>
      <w:r w:rsidR="00334EA6">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4e ustawy o obrocie instrumentami finansowymi dodatkowymi wymogami w zakresie ich wytwarzania. Mając na uwadze potrzebę bieżącego dostępu do tych materiałów w projekcie ustawy przyjęto, że wskazane przepisy znajdą zastosowanie do materiałów analitycznych wytworzonych od dnia wejścia w życie ustawy. Natomiast materiały analityczne wytworzone przed dniem wejścia w życie ustawy będą mogły być dystrybułowane na dotychczasowych zasadach.</w:t>
      </w:r>
    </w:p>
    <w:p w14:paraId="72753937" w14:textId="6C72079B" w:rsidR="00A80C45" w:rsidRPr="004F6220" w:rsidRDefault="000A47E9"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F03666" w:rsidRPr="004F6220">
        <w:rPr>
          <w:rFonts w:ascii="Times New Roman" w:eastAsia="Times New Roman" w:hAnsi="Times New Roman" w:cs="Times New Roman"/>
          <w:b/>
          <w:bCs/>
          <w:sz w:val="24"/>
          <w:szCs w:val="24"/>
          <w:lang w:eastAsia="pl-PL"/>
        </w:rPr>
        <w:t>1</w:t>
      </w:r>
      <w:r w:rsidR="00C842AE" w:rsidRPr="004F6220">
        <w:rPr>
          <w:rFonts w:ascii="Times New Roman" w:eastAsia="Times New Roman" w:hAnsi="Times New Roman" w:cs="Times New Roman"/>
          <w:b/>
          <w:bCs/>
          <w:sz w:val="24"/>
          <w:szCs w:val="24"/>
          <w:lang w:eastAsia="pl-PL"/>
        </w:rPr>
        <w:t>4</w:t>
      </w:r>
      <w:r w:rsidRPr="004F6220">
        <w:rPr>
          <w:rFonts w:ascii="Times New Roman" w:eastAsia="Times New Roman" w:hAnsi="Times New Roman" w:cs="Times New Roman"/>
          <w:b/>
          <w:bCs/>
          <w:sz w:val="24"/>
          <w:szCs w:val="24"/>
          <w:lang w:eastAsia="pl-PL"/>
        </w:rPr>
        <w:t xml:space="preserve"> ust. 1</w:t>
      </w:r>
      <w:r w:rsidRPr="004F6220">
        <w:rPr>
          <w:rFonts w:ascii="Times New Roman" w:eastAsia="Times New Roman" w:hAnsi="Times New Roman" w:cs="Times New Roman"/>
          <w:sz w:val="24"/>
          <w:szCs w:val="24"/>
          <w:lang w:eastAsia="pl-PL"/>
        </w:rPr>
        <w:t xml:space="preserve"> projektu ustawy </w:t>
      </w:r>
      <w:r w:rsidR="00187D6D" w:rsidRPr="004F6220">
        <w:rPr>
          <w:rFonts w:ascii="Times New Roman" w:eastAsia="Times New Roman" w:hAnsi="Times New Roman" w:cs="Times New Roman"/>
          <w:sz w:val="24"/>
          <w:szCs w:val="24"/>
          <w:lang w:eastAsia="pl-PL"/>
        </w:rPr>
        <w:t>przewiduje</w:t>
      </w:r>
      <w:r w:rsidRPr="004F6220">
        <w:rPr>
          <w:rFonts w:ascii="Times New Roman" w:eastAsia="Times New Roman" w:hAnsi="Times New Roman" w:cs="Times New Roman"/>
          <w:sz w:val="24"/>
          <w:szCs w:val="24"/>
          <w:lang w:eastAsia="pl-PL"/>
        </w:rPr>
        <w:t>, że do ofert publicznych papierów wartościowych rozpoczętych i niezakończonych przed dniem wejścia w życie niniejszej ustawy stosuje się przepisy dotychczasowe. Projekt ustawy wprowadza liczne zmiany w zasadach przeprowadzania ofert publicznych</w:t>
      </w:r>
      <w:r w:rsidR="00A80C45" w:rsidRPr="004F6220">
        <w:rPr>
          <w:rFonts w:ascii="Times New Roman" w:eastAsia="Times New Roman" w:hAnsi="Times New Roman" w:cs="Times New Roman"/>
          <w:sz w:val="24"/>
          <w:szCs w:val="24"/>
          <w:lang w:eastAsia="pl-PL"/>
        </w:rPr>
        <w:t xml:space="preserve">, w tym dokumentów ofertowych udostępnianych w związku z tą ofertą. Przykładowo z dniem wejścia w życie ustawy zostanie uchylony art. 37a ustawy o ofercie publicznej, który nakłada obowiązek udostępniania </w:t>
      </w:r>
      <w:r w:rsidR="00A82363" w:rsidRPr="004F6220">
        <w:rPr>
          <w:rFonts w:ascii="Times New Roman" w:eastAsia="Times New Roman" w:hAnsi="Times New Roman" w:cs="Times New Roman"/>
          <w:sz w:val="24"/>
          <w:szCs w:val="24"/>
          <w:lang w:eastAsia="pl-PL"/>
        </w:rPr>
        <w:t xml:space="preserve">do publicznej wiadomości </w:t>
      </w:r>
      <w:r w:rsidR="00A80C45" w:rsidRPr="004F6220">
        <w:rPr>
          <w:rFonts w:ascii="Times New Roman" w:eastAsia="Times New Roman" w:hAnsi="Times New Roman" w:cs="Times New Roman"/>
          <w:sz w:val="24"/>
          <w:szCs w:val="24"/>
          <w:lang w:eastAsia="pl-PL"/>
        </w:rPr>
        <w:t xml:space="preserve">dla ofert </w:t>
      </w:r>
      <w:r w:rsidR="00A82363" w:rsidRPr="004F6220">
        <w:rPr>
          <w:rFonts w:ascii="Times New Roman" w:eastAsia="Times New Roman" w:hAnsi="Times New Roman" w:cs="Times New Roman"/>
          <w:sz w:val="24"/>
          <w:szCs w:val="24"/>
          <w:lang w:eastAsia="pl-PL"/>
        </w:rPr>
        <w:t xml:space="preserve">publicznych, w wyniku których zakładane wpływy brutto emitenta lub oferującego stanowią niemniej niż 100 000 euro i mniej niż 1 000 000 euro, dokumentu zawierającego informacje o tej ofercie. W zamian tacy emitenci lub oferujący, zgodnie ze zmienionym art. 37b ust. 1 ustawy o ofercie publicznej zobowiązani zostaną do udostępniania memorandum informacyjnego. W celu niezaburzania trwających ofert publicznych w projekcie przyjęto, że </w:t>
      </w:r>
      <w:r w:rsidR="00187D6D" w:rsidRPr="004F6220">
        <w:rPr>
          <w:rFonts w:ascii="Times New Roman" w:eastAsia="Times New Roman" w:hAnsi="Times New Roman" w:cs="Times New Roman"/>
          <w:sz w:val="24"/>
          <w:szCs w:val="24"/>
          <w:lang w:eastAsia="pl-PL"/>
        </w:rPr>
        <w:lastRenderedPageBreak/>
        <w:t>taka oferta będzie mogła zostać przeprowadzona na dotychczasowych zasadach. W przedstawionym przykładzie emitent lub oferujący będzie mógł kontynuować przeprowadzaną ofertę w oparciu o dokument zawierający informacje o tej ofercie, bez koni</w:t>
      </w:r>
      <w:r w:rsidR="00557513" w:rsidRPr="004F6220">
        <w:rPr>
          <w:rFonts w:ascii="Times New Roman" w:eastAsia="Times New Roman" w:hAnsi="Times New Roman" w:cs="Times New Roman"/>
          <w:sz w:val="24"/>
          <w:szCs w:val="24"/>
          <w:lang w:eastAsia="pl-PL"/>
        </w:rPr>
        <w:t>e</w:t>
      </w:r>
      <w:r w:rsidR="00187D6D" w:rsidRPr="004F6220">
        <w:rPr>
          <w:rFonts w:ascii="Times New Roman" w:eastAsia="Times New Roman" w:hAnsi="Times New Roman" w:cs="Times New Roman"/>
          <w:sz w:val="24"/>
          <w:szCs w:val="24"/>
          <w:lang w:eastAsia="pl-PL"/>
        </w:rPr>
        <w:t>czności sporządzania memorandum informacyjnego.</w:t>
      </w:r>
    </w:p>
    <w:p w14:paraId="4D416D42" w14:textId="47EF8EEE" w:rsidR="00816830" w:rsidRPr="004F6220" w:rsidRDefault="00187D6D"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F03666" w:rsidRPr="004F6220">
        <w:rPr>
          <w:rFonts w:ascii="Times New Roman" w:eastAsia="Times New Roman" w:hAnsi="Times New Roman" w:cs="Times New Roman"/>
          <w:b/>
          <w:bCs/>
          <w:sz w:val="24"/>
          <w:szCs w:val="24"/>
          <w:lang w:eastAsia="pl-PL"/>
        </w:rPr>
        <w:t>1</w:t>
      </w:r>
      <w:r w:rsidR="00C842AE" w:rsidRPr="004F6220">
        <w:rPr>
          <w:rFonts w:ascii="Times New Roman" w:eastAsia="Times New Roman" w:hAnsi="Times New Roman" w:cs="Times New Roman"/>
          <w:b/>
          <w:bCs/>
          <w:sz w:val="24"/>
          <w:szCs w:val="24"/>
          <w:lang w:eastAsia="pl-PL"/>
        </w:rPr>
        <w:t>4</w:t>
      </w:r>
      <w:r w:rsidRPr="004F6220">
        <w:rPr>
          <w:rFonts w:ascii="Times New Roman" w:eastAsia="Times New Roman" w:hAnsi="Times New Roman" w:cs="Times New Roman"/>
          <w:b/>
          <w:bCs/>
          <w:sz w:val="24"/>
          <w:szCs w:val="24"/>
          <w:lang w:eastAsia="pl-PL"/>
        </w:rPr>
        <w:t xml:space="preserve"> ust. 2</w:t>
      </w:r>
      <w:r w:rsidRPr="004F6220">
        <w:rPr>
          <w:rFonts w:ascii="Times New Roman" w:eastAsia="Times New Roman" w:hAnsi="Times New Roman" w:cs="Times New Roman"/>
          <w:sz w:val="24"/>
          <w:szCs w:val="24"/>
          <w:lang w:eastAsia="pl-PL"/>
        </w:rPr>
        <w:t xml:space="preserve"> projektu </w:t>
      </w:r>
      <w:r w:rsidR="001A5CB9" w:rsidRPr="004F6220">
        <w:rPr>
          <w:rFonts w:ascii="Times New Roman" w:eastAsia="Times New Roman" w:hAnsi="Times New Roman" w:cs="Times New Roman"/>
          <w:sz w:val="24"/>
          <w:szCs w:val="24"/>
          <w:lang w:eastAsia="pl-PL"/>
        </w:rPr>
        <w:t xml:space="preserve">ustawy </w:t>
      </w:r>
      <w:r w:rsidRPr="004F6220">
        <w:rPr>
          <w:rFonts w:ascii="Times New Roman" w:eastAsia="Times New Roman" w:hAnsi="Times New Roman" w:cs="Times New Roman"/>
          <w:sz w:val="24"/>
          <w:szCs w:val="24"/>
          <w:lang w:eastAsia="pl-PL"/>
        </w:rPr>
        <w:t xml:space="preserve">przewiduje, że do postępowań w sprawie zatwierdzenia prospektu wszczętych i niezakończonych przed dniem wejścia w życie niniejszej ustawy stosuje się przepisy art. 27 ust. 1a, ust. 2 pkt 1 i 2a ustawy o ofercie publicznej w brzmieniu dotychczasowym. </w:t>
      </w:r>
      <w:r w:rsidR="00374102" w:rsidRPr="004F6220">
        <w:rPr>
          <w:rFonts w:ascii="Times New Roman" w:eastAsia="Times New Roman" w:hAnsi="Times New Roman" w:cs="Times New Roman"/>
          <w:sz w:val="24"/>
          <w:szCs w:val="24"/>
          <w:lang w:eastAsia="pl-PL"/>
        </w:rPr>
        <w:t xml:space="preserve">Zmiany przewidziane we wskazanych przepisach, co prawda łagodzą wymagania związane z procesem zatwierdzania prospektu, np. pierwsza wersja przełożonego do zatwierdzenia prospektu nie będzie musiała zawierać </w:t>
      </w:r>
      <w:r w:rsidR="00816830" w:rsidRPr="004F6220">
        <w:rPr>
          <w:rFonts w:ascii="Times New Roman" w:eastAsia="Times New Roman" w:hAnsi="Times New Roman" w:cs="Times New Roman"/>
          <w:sz w:val="24"/>
          <w:szCs w:val="24"/>
          <w:lang w:eastAsia="pl-PL"/>
        </w:rPr>
        <w:t>oświadczeń osób odpowiedzialnych za informacje zawarte w prospekcie, niemniej dla zachowania ciągłości tego procesu zasadne jest aby był on procedowany na dotychczasowych zasadach.</w:t>
      </w:r>
    </w:p>
    <w:p w14:paraId="75841E37" w14:textId="340706C2" w:rsidR="00816830" w:rsidRPr="004F6220" w:rsidRDefault="00816830"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CC57E2" w:rsidRPr="004F6220">
        <w:rPr>
          <w:rFonts w:ascii="Times New Roman" w:eastAsia="Times New Roman" w:hAnsi="Times New Roman" w:cs="Times New Roman"/>
          <w:b/>
          <w:bCs/>
          <w:sz w:val="24"/>
          <w:szCs w:val="24"/>
          <w:lang w:eastAsia="pl-PL"/>
        </w:rPr>
        <w:t>1</w:t>
      </w:r>
      <w:r w:rsidR="00C842AE" w:rsidRPr="004F6220">
        <w:rPr>
          <w:rFonts w:ascii="Times New Roman" w:eastAsia="Times New Roman" w:hAnsi="Times New Roman" w:cs="Times New Roman"/>
          <w:b/>
          <w:bCs/>
          <w:sz w:val="24"/>
          <w:szCs w:val="24"/>
          <w:lang w:eastAsia="pl-PL"/>
        </w:rPr>
        <w:t>5</w:t>
      </w:r>
      <w:r w:rsidRPr="004F6220">
        <w:rPr>
          <w:rFonts w:ascii="Times New Roman" w:eastAsia="Times New Roman" w:hAnsi="Times New Roman" w:cs="Times New Roman"/>
          <w:sz w:val="24"/>
          <w:szCs w:val="24"/>
          <w:lang w:eastAsia="pl-PL"/>
        </w:rPr>
        <w:t xml:space="preserve"> projektu </w:t>
      </w:r>
      <w:r w:rsidR="001A5CB9" w:rsidRPr="004F6220">
        <w:rPr>
          <w:rFonts w:ascii="Times New Roman" w:eastAsia="Times New Roman" w:hAnsi="Times New Roman" w:cs="Times New Roman"/>
          <w:sz w:val="24"/>
          <w:szCs w:val="24"/>
          <w:lang w:eastAsia="pl-PL"/>
        </w:rPr>
        <w:t xml:space="preserve">ustawy </w:t>
      </w:r>
      <w:r w:rsidR="00820312" w:rsidRPr="004F6220">
        <w:rPr>
          <w:rFonts w:ascii="Times New Roman" w:eastAsia="Times New Roman" w:hAnsi="Times New Roman" w:cs="Times New Roman"/>
          <w:sz w:val="24"/>
          <w:szCs w:val="24"/>
          <w:lang w:eastAsia="pl-PL"/>
        </w:rPr>
        <w:t>reguluje kwestie przejściowe związane z usunięcie</w:t>
      </w:r>
      <w:r w:rsidR="0024289F" w:rsidRPr="004F6220">
        <w:rPr>
          <w:rFonts w:ascii="Times New Roman" w:eastAsia="Times New Roman" w:hAnsi="Times New Roman" w:cs="Times New Roman"/>
          <w:sz w:val="24"/>
          <w:szCs w:val="24"/>
          <w:lang w:eastAsia="pl-PL"/>
        </w:rPr>
        <w:t>m</w:t>
      </w:r>
      <w:r w:rsidR="00820312" w:rsidRPr="004F6220">
        <w:rPr>
          <w:rFonts w:ascii="Times New Roman" w:eastAsia="Times New Roman" w:hAnsi="Times New Roman" w:cs="Times New Roman"/>
          <w:sz w:val="24"/>
          <w:szCs w:val="24"/>
          <w:lang w:eastAsia="pl-PL"/>
        </w:rPr>
        <w:t xml:space="preserve"> tzw. małych progów na rzecz jednego dla wszystkich rynków, co zostało opisane w zmianie art. 69 ust. 2 ustawy o ofercie publicznej. Zawiadomienia </w:t>
      </w:r>
      <w:r w:rsidR="001A5CB9" w:rsidRPr="004F6220">
        <w:rPr>
          <w:rFonts w:ascii="Times New Roman" w:eastAsia="Times New Roman" w:hAnsi="Times New Roman" w:cs="Times New Roman"/>
          <w:sz w:val="24"/>
          <w:szCs w:val="24"/>
          <w:lang w:eastAsia="pl-PL"/>
        </w:rPr>
        <w:t xml:space="preserve">Komisji oraz spółki </w:t>
      </w:r>
      <w:r w:rsidR="0089419B" w:rsidRPr="004F6220">
        <w:rPr>
          <w:rFonts w:ascii="Times New Roman" w:eastAsia="Times New Roman" w:hAnsi="Times New Roman" w:cs="Times New Roman"/>
          <w:sz w:val="24"/>
          <w:szCs w:val="24"/>
          <w:lang w:eastAsia="pl-PL"/>
        </w:rPr>
        <w:t xml:space="preserve">publicznej </w:t>
      </w:r>
      <w:r w:rsidR="00820312" w:rsidRPr="004F6220">
        <w:rPr>
          <w:rFonts w:ascii="Times New Roman" w:eastAsia="Times New Roman" w:hAnsi="Times New Roman" w:cs="Times New Roman"/>
          <w:sz w:val="24"/>
          <w:szCs w:val="24"/>
          <w:lang w:eastAsia="pl-PL"/>
        </w:rPr>
        <w:t xml:space="preserve">o przekroczeniu takich progów dokonuje się, </w:t>
      </w:r>
      <w:r w:rsidR="0018574E" w:rsidRPr="004F6220">
        <w:rPr>
          <w:rFonts w:ascii="Times New Roman" w:eastAsia="Times New Roman" w:hAnsi="Times New Roman" w:cs="Times New Roman"/>
          <w:sz w:val="24"/>
          <w:szCs w:val="24"/>
          <w:lang w:eastAsia="pl-PL"/>
        </w:rPr>
        <w:t>niepóźniej</w:t>
      </w:r>
      <w:r w:rsidR="00820312" w:rsidRPr="004F6220">
        <w:rPr>
          <w:rFonts w:ascii="Times New Roman" w:eastAsia="Times New Roman" w:hAnsi="Times New Roman" w:cs="Times New Roman"/>
          <w:sz w:val="24"/>
          <w:szCs w:val="24"/>
          <w:lang w:eastAsia="pl-PL"/>
        </w:rPr>
        <w:t xml:space="preserve"> niż w terminie 4 dni roboczych od dnia, w którym </w:t>
      </w:r>
      <w:r w:rsidR="001A5CB9" w:rsidRPr="004F6220">
        <w:rPr>
          <w:rFonts w:ascii="Times New Roman" w:eastAsia="Times New Roman" w:hAnsi="Times New Roman" w:cs="Times New Roman"/>
          <w:sz w:val="24"/>
          <w:szCs w:val="24"/>
          <w:lang w:eastAsia="pl-PL"/>
        </w:rPr>
        <w:t xml:space="preserve">podmiot przekraczający próg </w:t>
      </w:r>
      <w:r w:rsidR="00820312" w:rsidRPr="004F6220">
        <w:rPr>
          <w:rFonts w:ascii="Times New Roman" w:eastAsia="Times New Roman" w:hAnsi="Times New Roman" w:cs="Times New Roman"/>
          <w:sz w:val="24"/>
          <w:szCs w:val="24"/>
          <w:lang w:eastAsia="pl-PL"/>
        </w:rPr>
        <w:t>dowiedział się o zmianie udziału w ogólnej liczbie głosów lub przy zachowaniu należytej staranności mógł się o niej dowiedzieć, a w przypadku zmiany wynikającej z nabycia lub zbycia akcji spółki publicznej w transakcji zawartej na rynku regulowanym lub</w:t>
      </w:r>
      <w:r w:rsidR="001A5CB9" w:rsidRPr="004F6220">
        <w:rPr>
          <w:rFonts w:ascii="Times New Roman" w:eastAsia="Times New Roman" w:hAnsi="Times New Roman" w:cs="Times New Roman"/>
          <w:sz w:val="24"/>
          <w:szCs w:val="24"/>
          <w:lang w:eastAsia="pl-PL"/>
        </w:rPr>
        <w:t xml:space="preserve"> </w:t>
      </w:r>
      <w:r w:rsidR="00820312" w:rsidRPr="004F6220">
        <w:rPr>
          <w:rFonts w:ascii="Times New Roman" w:eastAsia="Times New Roman" w:hAnsi="Times New Roman" w:cs="Times New Roman"/>
          <w:sz w:val="24"/>
          <w:szCs w:val="24"/>
          <w:lang w:eastAsia="pl-PL"/>
        </w:rPr>
        <w:t xml:space="preserve">w alternatywnym systemie obrotu – </w:t>
      </w:r>
      <w:r w:rsidR="0018574E" w:rsidRPr="004F6220">
        <w:rPr>
          <w:rFonts w:ascii="Times New Roman" w:eastAsia="Times New Roman" w:hAnsi="Times New Roman" w:cs="Times New Roman"/>
          <w:sz w:val="24"/>
          <w:szCs w:val="24"/>
          <w:lang w:eastAsia="pl-PL"/>
        </w:rPr>
        <w:t>niepóźniej</w:t>
      </w:r>
      <w:r w:rsidR="00820312" w:rsidRPr="004F6220">
        <w:rPr>
          <w:rFonts w:ascii="Times New Roman" w:eastAsia="Times New Roman" w:hAnsi="Times New Roman" w:cs="Times New Roman"/>
          <w:sz w:val="24"/>
          <w:szCs w:val="24"/>
          <w:lang w:eastAsia="pl-PL"/>
        </w:rPr>
        <w:t xml:space="preserve"> niż w terminie 6 dni sesyjnych od dnia zawarcia transakcji.</w:t>
      </w:r>
      <w:r w:rsidR="001A5CB9" w:rsidRPr="004F6220">
        <w:rPr>
          <w:rFonts w:ascii="Times New Roman" w:eastAsia="Times New Roman" w:hAnsi="Times New Roman" w:cs="Times New Roman"/>
          <w:sz w:val="24"/>
          <w:szCs w:val="24"/>
          <w:lang w:eastAsia="pl-PL"/>
        </w:rPr>
        <w:t xml:space="preserve"> Przyjmując, że podmiot osiągnął lub przekroczył próg wymagający zawiadomienia przed dniem wejścia w życie projektowanej ustawy zasadnym jest</w:t>
      </w:r>
      <w:r w:rsidR="00334EA6">
        <w:rPr>
          <w:rFonts w:ascii="Times New Roman" w:eastAsia="Times New Roman" w:hAnsi="Times New Roman" w:cs="Times New Roman"/>
          <w:sz w:val="24"/>
          <w:szCs w:val="24"/>
          <w:lang w:eastAsia="pl-PL"/>
        </w:rPr>
        <w:t>,</w:t>
      </w:r>
      <w:r w:rsidR="001A5CB9" w:rsidRPr="004F6220">
        <w:rPr>
          <w:rFonts w:ascii="Times New Roman" w:eastAsia="Times New Roman" w:hAnsi="Times New Roman" w:cs="Times New Roman"/>
          <w:sz w:val="24"/>
          <w:szCs w:val="24"/>
          <w:lang w:eastAsia="pl-PL"/>
        </w:rPr>
        <w:t xml:space="preserve"> aby dokonał powiadomienia na dotychczasowych zasadach, tak aby informacje o przekroczeniach małego progu przed dniem wejścia w życie projektowanej ustawy były kompletne.</w:t>
      </w:r>
      <w:r w:rsidR="00371A44" w:rsidRPr="004F6220">
        <w:rPr>
          <w:rFonts w:ascii="Times New Roman" w:eastAsia="Times New Roman" w:hAnsi="Times New Roman" w:cs="Times New Roman"/>
          <w:sz w:val="24"/>
          <w:szCs w:val="24"/>
          <w:lang w:eastAsia="pl-PL"/>
        </w:rPr>
        <w:t xml:space="preserve"> Zauważenia jednocześnie wymaga, że co prawda art. 69 ust. 1 w części wspólnej odnosi się do spółki, niemniej jak wynika chociażby z pkt 1 tego przepisu, dotyczy on wyłącznie spółki publicznej. Mając na uwadze, że art. 15 jest oddzielną jednostką redakcyjną, w przepisie tym, zgodnie z zakresem podmiotowym art. 69 ust. 1 posłużono się pojęciem spółki publicznej. </w:t>
      </w:r>
    </w:p>
    <w:p w14:paraId="2F2736F9" w14:textId="3BA86164" w:rsidR="00132FCC" w:rsidRPr="004F6220" w:rsidRDefault="00132FCC"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1862CE" w:rsidRPr="004F6220">
        <w:rPr>
          <w:rFonts w:ascii="Times New Roman" w:eastAsia="Times New Roman" w:hAnsi="Times New Roman" w:cs="Times New Roman"/>
          <w:b/>
          <w:bCs/>
          <w:sz w:val="24"/>
          <w:szCs w:val="24"/>
          <w:lang w:eastAsia="pl-PL"/>
        </w:rPr>
        <w:t>1</w:t>
      </w:r>
      <w:r w:rsidR="00C842AE" w:rsidRPr="004F6220">
        <w:rPr>
          <w:rFonts w:ascii="Times New Roman" w:eastAsia="Times New Roman" w:hAnsi="Times New Roman" w:cs="Times New Roman"/>
          <w:b/>
          <w:bCs/>
          <w:sz w:val="24"/>
          <w:szCs w:val="24"/>
          <w:lang w:eastAsia="pl-PL"/>
        </w:rPr>
        <w:t>6</w:t>
      </w:r>
      <w:r w:rsidRPr="004F6220">
        <w:rPr>
          <w:rFonts w:ascii="Times New Roman" w:eastAsia="Times New Roman" w:hAnsi="Times New Roman" w:cs="Times New Roman"/>
          <w:sz w:val="24"/>
          <w:szCs w:val="24"/>
          <w:lang w:eastAsia="pl-PL"/>
        </w:rPr>
        <w:t xml:space="preserve"> </w:t>
      </w:r>
      <w:r w:rsidR="001E44EA" w:rsidRPr="004F6220">
        <w:rPr>
          <w:rFonts w:ascii="Times New Roman" w:eastAsia="Times New Roman" w:hAnsi="Times New Roman" w:cs="Times New Roman"/>
          <w:sz w:val="24"/>
          <w:szCs w:val="24"/>
          <w:lang w:eastAsia="pl-PL"/>
        </w:rPr>
        <w:t xml:space="preserve">i </w:t>
      </w:r>
      <w:r w:rsidR="001E44EA" w:rsidRPr="004F6220">
        <w:rPr>
          <w:rFonts w:ascii="Times New Roman" w:eastAsia="Times New Roman" w:hAnsi="Times New Roman" w:cs="Times New Roman"/>
          <w:b/>
          <w:bCs/>
          <w:sz w:val="24"/>
          <w:szCs w:val="24"/>
          <w:lang w:eastAsia="pl-PL"/>
        </w:rPr>
        <w:t>art. 1</w:t>
      </w:r>
      <w:r w:rsidR="00C842AE" w:rsidRPr="004F6220">
        <w:rPr>
          <w:rFonts w:ascii="Times New Roman" w:eastAsia="Times New Roman" w:hAnsi="Times New Roman" w:cs="Times New Roman"/>
          <w:b/>
          <w:bCs/>
          <w:sz w:val="24"/>
          <w:szCs w:val="24"/>
          <w:lang w:eastAsia="pl-PL"/>
        </w:rPr>
        <w:t>7</w:t>
      </w:r>
      <w:r w:rsidR="001E44EA"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projektu ustawy reguluj</w:t>
      </w:r>
      <w:r w:rsidR="001E44EA" w:rsidRPr="004F6220">
        <w:rPr>
          <w:rFonts w:ascii="Times New Roman" w:eastAsia="Times New Roman" w:hAnsi="Times New Roman" w:cs="Times New Roman"/>
          <w:sz w:val="24"/>
          <w:szCs w:val="24"/>
          <w:lang w:eastAsia="pl-PL"/>
        </w:rPr>
        <w:t>ą</w:t>
      </w:r>
      <w:r w:rsidRPr="004F6220">
        <w:rPr>
          <w:rFonts w:ascii="Times New Roman" w:eastAsia="Times New Roman" w:hAnsi="Times New Roman" w:cs="Times New Roman"/>
          <w:sz w:val="24"/>
          <w:szCs w:val="24"/>
          <w:lang w:eastAsia="pl-PL"/>
        </w:rPr>
        <w:t xml:space="preserve"> kwestie przejściowe związane z emisją obligacji w trybie oferty publicznej. Zmiana w art. 34 ust. 2 ustawy o obligacjach przewiduje nałożenie obowiązku sporządzenia propozycji nabycia przy każdej ofercie publicznej obligacji, w której nie jest wymagan</w:t>
      </w:r>
      <w:r w:rsidR="001E44EA" w:rsidRPr="004F6220">
        <w:rPr>
          <w:rFonts w:ascii="Times New Roman" w:eastAsia="Times New Roman" w:hAnsi="Times New Roman" w:cs="Times New Roman"/>
          <w:sz w:val="24"/>
          <w:szCs w:val="24"/>
          <w:lang w:eastAsia="pl-PL"/>
        </w:rPr>
        <w:t>e</w:t>
      </w:r>
      <w:r w:rsidRPr="004F6220">
        <w:rPr>
          <w:rFonts w:ascii="Times New Roman" w:eastAsia="Times New Roman" w:hAnsi="Times New Roman" w:cs="Times New Roman"/>
          <w:sz w:val="24"/>
          <w:szCs w:val="24"/>
          <w:lang w:eastAsia="pl-PL"/>
        </w:rPr>
        <w:t xml:space="preserve"> </w:t>
      </w:r>
      <w:r w:rsidR="001E44EA" w:rsidRPr="004F6220">
        <w:rPr>
          <w:rFonts w:ascii="Times New Roman" w:eastAsia="Times New Roman" w:hAnsi="Times New Roman" w:cs="Times New Roman"/>
          <w:sz w:val="24"/>
          <w:szCs w:val="24"/>
          <w:lang w:eastAsia="pl-PL"/>
        </w:rPr>
        <w:t xml:space="preserve">sporządzenie </w:t>
      </w:r>
      <w:r w:rsidRPr="004F6220">
        <w:rPr>
          <w:rFonts w:ascii="Times New Roman" w:eastAsia="Times New Roman" w:hAnsi="Times New Roman" w:cs="Times New Roman"/>
          <w:sz w:val="24"/>
          <w:szCs w:val="24"/>
          <w:lang w:eastAsia="pl-PL"/>
        </w:rPr>
        <w:t>prospekt</w:t>
      </w:r>
      <w:r w:rsidR="001E44EA" w:rsidRPr="004F6220">
        <w:rPr>
          <w:rFonts w:ascii="Times New Roman" w:eastAsia="Times New Roman" w:hAnsi="Times New Roman" w:cs="Times New Roman"/>
          <w:sz w:val="24"/>
          <w:szCs w:val="24"/>
          <w:lang w:eastAsia="pl-PL"/>
        </w:rPr>
        <w:t>u</w:t>
      </w:r>
      <w:r w:rsidRPr="004F6220">
        <w:rPr>
          <w:rFonts w:ascii="Times New Roman" w:eastAsia="Times New Roman" w:hAnsi="Times New Roman" w:cs="Times New Roman"/>
          <w:sz w:val="24"/>
          <w:szCs w:val="24"/>
          <w:lang w:eastAsia="pl-PL"/>
        </w:rPr>
        <w:t xml:space="preserve">, podczas gdy obecnie wyjątek </w:t>
      </w:r>
      <w:r w:rsidR="001E44EA" w:rsidRPr="004F6220">
        <w:rPr>
          <w:rFonts w:ascii="Times New Roman" w:eastAsia="Times New Roman" w:hAnsi="Times New Roman" w:cs="Times New Roman"/>
          <w:sz w:val="24"/>
          <w:szCs w:val="24"/>
          <w:lang w:eastAsia="pl-PL"/>
        </w:rPr>
        <w:t>od tego obowiązku</w:t>
      </w:r>
      <w:r w:rsidRPr="004F6220">
        <w:rPr>
          <w:rFonts w:ascii="Times New Roman" w:eastAsia="Times New Roman" w:hAnsi="Times New Roman" w:cs="Times New Roman"/>
          <w:sz w:val="24"/>
          <w:szCs w:val="24"/>
          <w:lang w:eastAsia="pl-PL"/>
        </w:rPr>
        <w:t xml:space="preserve"> obejmuje również sytuację, w której nie jest wymagane memorandum informacyjne. W celu </w:t>
      </w:r>
      <w:r w:rsidRPr="004F6220">
        <w:rPr>
          <w:rFonts w:ascii="Times New Roman" w:eastAsia="Times New Roman" w:hAnsi="Times New Roman" w:cs="Times New Roman"/>
          <w:sz w:val="24"/>
          <w:szCs w:val="24"/>
          <w:lang w:eastAsia="pl-PL"/>
        </w:rPr>
        <w:lastRenderedPageBreak/>
        <w:t xml:space="preserve">nieprzerywania trwających emisji obligacji w przepisie </w:t>
      </w:r>
      <w:r w:rsidR="001E44EA" w:rsidRPr="004F6220">
        <w:rPr>
          <w:rFonts w:ascii="Times New Roman" w:eastAsia="Times New Roman" w:hAnsi="Times New Roman" w:cs="Times New Roman"/>
          <w:b/>
          <w:bCs/>
          <w:sz w:val="24"/>
          <w:szCs w:val="24"/>
          <w:lang w:eastAsia="pl-PL"/>
        </w:rPr>
        <w:t>art. 1</w:t>
      </w:r>
      <w:r w:rsidR="00C842AE" w:rsidRPr="004F6220">
        <w:rPr>
          <w:rFonts w:ascii="Times New Roman" w:eastAsia="Times New Roman" w:hAnsi="Times New Roman" w:cs="Times New Roman"/>
          <w:b/>
          <w:bCs/>
          <w:sz w:val="24"/>
          <w:szCs w:val="24"/>
          <w:lang w:eastAsia="pl-PL"/>
        </w:rPr>
        <w:t>6</w:t>
      </w:r>
      <w:r w:rsidR="001E44EA"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przyjęto, że do emisji obligacji zgodnie z art. 33 pkt 1 ustawy o obligacjach rozpoczętych i niezakończonych przed dniem wejścia w życie projektowanej ustawy stosuje się przepis art. 34 ust. 2 ustawy o obligacjach w brzmieniu dotychczasowym, tj. w przypadku publicznej emisji obligacji, która w dniu wejścia w życie projektowanej ustawy jest w toku, w związku z którą udostępnia się memorandum informacyjne, emitent nie będzie zobowiązany do sporządzenia dodatkowo propozycji nabycia oraz jej udostępniania.</w:t>
      </w:r>
    </w:p>
    <w:p w14:paraId="0638D4A6" w14:textId="0B6F26B8" w:rsidR="001E44EA" w:rsidRPr="004F6220" w:rsidRDefault="001E44EA"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sz w:val="24"/>
          <w:szCs w:val="24"/>
          <w:lang w:eastAsia="pl-PL"/>
        </w:rPr>
        <w:t xml:space="preserve">Z kolei </w:t>
      </w:r>
      <w:r w:rsidRPr="004F6220">
        <w:rPr>
          <w:rFonts w:ascii="Times New Roman" w:eastAsia="Times New Roman" w:hAnsi="Times New Roman" w:cs="Times New Roman"/>
          <w:b/>
          <w:bCs/>
          <w:sz w:val="24"/>
          <w:szCs w:val="24"/>
          <w:lang w:eastAsia="pl-PL"/>
        </w:rPr>
        <w:t>art. 1</w:t>
      </w:r>
      <w:r w:rsidR="00C842AE" w:rsidRPr="004F6220">
        <w:rPr>
          <w:rFonts w:ascii="Times New Roman" w:eastAsia="Times New Roman" w:hAnsi="Times New Roman" w:cs="Times New Roman"/>
          <w:b/>
          <w:bCs/>
          <w:sz w:val="24"/>
          <w:szCs w:val="24"/>
          <w:lang w:eastAsia="pl-PL"/>
        </w:rPr>
        <w:t>7</w:t>
      </w:r>
      <w:r w:rsidRPr="004F6220">
        <w:rPr>
          <w:rFonts w:ascii="Times New Roman" w:eastAsia="Times New Roman" w:hAnsi="Times New Roman" w:cs="Times New Roman"/>
          <w:sz w:val="24"/>
          <w:szCs w:val="24"/>
          <w:lang w:eastAsia="pl-PL"/>
        </w:rPr>
        <w:t xml:space="preserve"> dotyczy sposobu zawiadomienia o niedojściu do skutku emisji obligacji rozpoczętej przed dniem wejścia w życie ustawy, w przypadku której memorandum informacyjne zostało udostępnione zgodnie z dotychczasowym brzmieniem art. 37b ust. 1 ustawy o obligacjach. W celu zapewnienia możliwości zakończenia takiej emisji na zasadach właściwych dla regulacji, na podstawie których została rozpoczęta, przyjęto</w:t>
      </w:r>
      <w:r w:rsidR="00751917">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 xml:space="preserve"> że o niedojściu emisji do skutku emitent zawiadamia w sposób określony w art. 45 ust. 3 ustawy o obligacjach. </w:t>
      </w:r>
    </w:p>
    <w:p w14:paraId="16927C0C" w14:textId="3CA8D916" w:rsidR="00132FCC" w:rsidRPr="004F6220" w:rsidRDefault="00132FCC"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D900C8" w:rsidRPr="004F6220">
        <w:rPr>
          <w:rFonts w:ascii="Times New Roman" w:eastAsia="Times New Roman" w:hAnsi="Times New Roman" w:cs="Times New Roman"/>
          <w:b/>
          <w:bCs/>
          <w:sz w:val="24"/>
          <w:szCs w:val="24"/>
          <w:lang w:eastAsia="pl-PL"/>
        </w:rPr>
        <w:t>18</w:t>
      </w:r>
      <w:r w:rsidRPr="004F6220">
        <w:rPr>
          <w:rFonts w:ascii="Times New Roman" w:eastAsia="Times New Roman" w:hAnsi="Times New Roman" w:cs="Times New Roman"/>
          <w:sz w:val="24"/>
          <w:szCs w:val="24"/>
          <w:lang w:eastAsia="pl-PL"/>
        </w:rPr>
        <w:t xml:space="preserve"> projektu ustawy przewiduje utrzymanie w mocy przepisów wykonawczych wydanych na podstawie</w:t>
      </w:r>
      <w:r w:rsidR="00051819" w:rsidRPr="004F6220">
        <w:rPr>
          <w:rFonts w:ascii="Times New Roman" w:eastAsia="Times New Roman" w:hAnsi="Times New Roman" w:cs="Times New Roman"/>
          <w:sz w:val="24"/>
          <w:szCs w:val="24"/>
          <w:lang w:eastAsia="pl-PL"/>
        </w:rPr>
        <w:t xml:space="preserve"> art. 17 ust. 1 pkt 1 </w:t>
      </w:r>
      <w:r w:rsidR="00E1566C" w:rsidRPr="004F6220">
        <w:rPr>
          <w:rFonts w:ascii="Times New Roman" w:eastAsia="Times New Roman" w:hAnsi="Times New Roman" w:cs="Times New Roman"/>
          <w:sz w:val="24"/>
          <w:szCs w:val="24"/>
          <w:lang w:eastAsia="pl-PL"/>
        </w:rPr>
        <w:t xml:space="preserve">i 3 </w:t>
      </w:r>
      <w:r w:rsidR="00051819" w:rsidRPr="004F6220">
        <w:rPr>
          <w:rFonts w:ascii="Times New Roman" w:eastAsia="Times New Roman" w:hAnsi="Times New Roman" w:cs="Times New Roman"/>
          <w:sz w:val="24"/>
          <w:szCs w:val="24"/>
          <w:lang w:eastAsia="pl-PL"/>
        </w:rPr>
        <w:t xml:space="preserve">oraz </w:t>
      </w:r>
      <w:bookmarkStart w:id="14" w:name="_Hlk225180822"/>
      <w:r w:rsidRPr="004F6220">
        <w:rPr>
          <w:rFonts w:ascii="Times New Roman" w:eastAsia="Times New Roman" w:hAnsi="Times New Roman" w:cs="Times New Roman"/>
          <w:sz w:val="24"/>
          <w:szCs w:val="24"/>
          <w:lang w:eastAsia="pl-PL"/>
        </w:rPr>
        <w:t>art. 94 ust. 1 pkt 1 ustawy o obrocie</w:t>
      </w:r>
      <w:r w:rsidRPr="005D621C">
        <w:rPr>
          <w:rFonts w:ascii="Times New Roman" w:hAnsi="Times New Roman" w:cs="Times New Roman"/>
          <w:sz w:val="24"/>
          <w:szCs w:val="24"/>
        </w:rPr>
        <w:t xml:space="preserve"> </w:t>
      </w:r>
      <w:bookmarkEnd w:id="14"/>
      <w:r w:rsidR="003A3C41" w:rsidRPr="004F6220">
        <w:rPr>
          <w:rFonts w:ascii="Times New Roman" w:eastAsia="Times New Roman" w:hAnsi="Times New Roman" w:cs="Times New Roman"/>
          <w:sz w:val="24"/>
          <w:szCs w:val="24"/>
          <w:lang w:eastAsia="pl-PL"/>
        </w:rPr>
        <w:t xml:space="preserve">instrumentami finansowymi </w:t>
      </w:r>
      <w:r w:rsidRPr="004F6220">
        <w:rPr>
          <w:rFonts w:ascii="Times New Roman" w:eastAsia="Times New Roman" w:hAnsi="Times New Roman" w:cs="Times New Roman"/>
          <w:sz w:val="24"/>
          <w:szCs w:val="24"/>
          <w:lang w:eastAsia="pl-PL"/>
        </w:rPr>
        <w:t xml:space="preserve">do dnia wejścia w życie nowych przepisów wykonawczych wydanych na podstawie zmienianego projektem ustawy </w:t>
      </w:r>
      <w:r w:rsidR="00051819" w:rsidRPr="004F6220">
        <w:rPr>
          <w:rFonts w:ascii="Times New Roman" w:eastAsia="Times New Roman" w:hAnsi="Times New Roman" w:cs="Times New Roman"/>
          <w:sz w:val="24"/>
          <w:szCs w:val="24"/>
          <w:lang w:eastAsia="pl-PL"/>
        </w:rPr>
        <w:t>odpowiedni</w:t>
      </w:r>
      <w:r w:rsidR="0018574E" w:rsidRPr="004F6220">
        <w:rPr>
          <w:rFonts w:ascii="Times New Roman" w:eastAsia="Times New Roman" w:hAnsi="Times New Roman" w:cs="Times New Roman"/>
          <w:sz w:val="24"/>
          <w:szCs w:val="24"/>
          <w:lang w:eastAsia="pl-PL"/>
        </w:rPr>
        <w:t>o</w:t>
      </w:r>
      <w:r w:rsidR="00051819" w:rsidRPr="004F6220">
        <w:rPr>
          <w:rFonts w:ascii="Times New Roman" w:eastAsia="Times New Roman" w:hAnsi="Times New Roman" w:cs="Times New Roman"/>
          <w:sz w:val="24"/>
          <w:szCs w:val="24"/>
          <w:lang w:eastAsia="pl-PL"/>
        </w:rPr>
        <w:t xml:space="preserve"> art. 17 ust. 1 pkt 1 </w:t>
      </w:r>
      <w:r w:rsidR="00E1566C" w:rsidRPr="004F6220">
        <w:rPr>
          <w:rFonts w:ascii="Times New Roman" w:eastAsia="Times New Roman" w:hAnsi="Times New Roman" w:cs="Times New Roman"/>
          <w:sz w:val="24"/>
          <w:szCs w:val="24"/>
          <w:lang w:eastAsia="pl-PL"/>
        </w:rPr>
        <w:t xml:space="preserve">i 3 </w:t>
      </w:r>
      <w:r w:rsidR="00051819" w:rsidRPr="004F6220">
        <w:rPr>
          <w:rFonts w:ascii="Times New Roman" w:eastAsia="Times New Roman" w:hAnsi="Times New Roman" w:cs="Times New Roman"/>
          <w:sz w:val="24"/>
          <w:szCs w:val="24"/>
          <w:lang w:eastAsia="pl-PL"/>
        </w:rPr>
        <w:t xml:space="preserve">oraz </w:t>
      </w:r>
      <w:r w:rsidRPr="004F6220">
        <w:rPr>
          <w:rFonts w:ascii="Times New Roman" w:eastAsia="Times New Roman" w:hAnsi="Times New Roman" w:cs="Times New Roman"/>
          <w:sz w:val="24"/>
          <w:szCs w:val="24"/>
          <w:lang w:eastAsia="pl-PL"/>
        </w:rPr>
        <w:t xml:space="preserve">art. 94 ust. 1 pkt 1 ustawy o obrocie </w:t>
      </w:r>
      <w:r w:rsidR="003A3C41" w:rsidRPr="004F6220">
        <w:rPr>
          <w:rFonts w:ascii="Times New Roman" w:eastAsia="Times New Roman" w:hAnsi="Times New Roman" w:cs="Times New Roman"/>
          <w:sz w:val="24"/>
          <w:szCs w:val="24"/>
          <w:lang w:eastAsia="pl-PL"/>
        </w:rPr>
        <w:t xml:space="preserve">instrumentami finansowymi </w:t>
      </w:r>
      <w:r w:rsidRPr="004F6220">
        <w:rPr>
          <w:rFonts w:ascii="Times New Roman" w:eastAsia="Times New Roman" w:hAnsi="Times New Roman" w:cs="Times New Roman"/>
          <w:sz w:val="24"/>
          <w:szCs w:val="24"/>
          <w:lang w:eastAsia="pl-PL"/>
        </w:rPr>
        <w:t xml:space="preserve">jednak niedłużej niż przez okres 12 miesięcy od dnia wejścia w życie projektowanej ustawy. </w:t>
      </w:r>
      <w:r w:rsidR="00051819" w:rsidRPr="004F6220">
        <w:rPr>
          <w:rFonts w:ascii="Times New Roman" w:eastAsia="Times New Roman" w:hAnsi="Times New Roman" w:cs="Times New Roman"/>
          <w:sz w:val="24"/>
          <w:szCs w:val="24"/>
          <w:lang w:eastAsia="pl-PL"/>
        </w:rPr>
        <w:t xml:space="preserve">Zmiana upoważnienia zawartego w art. 17 ust. 1 pkt 1 ustawy o obrocie instrumentami finansowymi </w:t>
      </w:r>
      <w:r w:rsidR="0011431B" w:rsidRPr="004F6220">
        <w:rPr>
          <w:rFonts w:ascii="Times New Roman" w:eastAsia="Times New Roman" w:hAnsi="Times New Roman" w:cs="Times New Roman"/>
          <w:sz w:val="24"/>
          <w:szCs w:val="24"/>
          <w:lang w:eastAsia="pl-PL"/>
        </w:rPr>
        <w:t>polega na rezygnacji z bezpośredniego zobowiązania ministra właściwego do spraw instytucji do określenia w drodze rozporządzenia szczegółowych warunków</w:t>
      </w:r>
      <w:r w:rsidR="0018574E" w:rsidRPr="004F6220">
        <w:rPr>
          <w:rFonts w:ascii="Times New Roman" w:eastAsia="Times New Roman" w:hAnsi="Times New Roman" w:cs="Times New Roman"/>
          <w:sz w:val="24"/>
          <w:szCs w:val="24"/>
          <w:lang w:eastAsia="pl-PL"/>
        </w:rPr>
        <w:t>,</w:t>
      </w:r>
      <w:r w:rsidR="0011431B" w:rsidRPr="004F6220">
        <w:rPr>
          <w:rFonts w:ascii="Times New Roman" w:eastAsia="Times New Roman" w:hAnsi="Times New Roman" w:cs="Times New Roman"/>
          <w:sz w:val="24"/>
          <w:szCs w:val="24"/>
          <w:lang w:eastAsia="pl-PL"/>
        </w:rPr>
        <w:t xml:space="preserve"> jaki</w:t>
      </w:r>
      <w:r w:rsidR="0018574E" w:rsidRPr="004F6220">
        <w:rPr>
          <w:rFonts w:ascii="Times New Roman" w:eastAsia="Times New Roman" w:hAnsi="Times New Roman" w:cs="Times New Roman"/>
          <w:sz w:val="24"/>
          <w:szCs w:val="24"/>
          <w:lang w:eastAsia="pl-PL"/>
        </w:rPr>
        <w:t>e</w:t>
      </w:r>
      <w:r w:rsidR="0011431B" w:rsidRPr="004F6220">
        <w:rPr>
          <w:rFonts w:ascii="Times New Roman" w:eastAsia="Times New Roman" w:hAnsi="Times New Roman" w:cs="Times New Roman"/>
          <w:sz w:val="24"/>
          <w:szCs w:val="24"/>
          <w:lang w:eastAsia="pl-PL"/>
        </w:rPr>
        <w:t xml:space="preserve"> musi spełniać platforma aukcyjna. Należy przyjąć, że skoro platforma aukcyjna jest prowadzona w ramach rynku regulowanego, nie ma potrzeby</w:t>
      </w:r>
      <w:r w:rsidR="0018574E" w:rsidRPr="004F6220">
        <w:rPr>
          <w:rFonts w:ascii="Times New Roman" w:eastAsia="Times New Roman" w:hAnsi="Times New Roman" w:cs="Times New Roman"/>
          <w:sz w:val="24"/>
          <w:szCs w:val="24"/>
          <w:lang w:eastAsia="pl-PL"/>
        </w:rPr>
        <w:t>,</w:t>
      </w:r>
      <w:r w:rsidR="0011431B" w:rsidRPr="004F6220">
        <w:rPr>
          <w:rFonts w:ascii="Times New Roman" w:eastAsia="Times New Roman" w:hAnsi="Times New Roman" w:cs="Times New Roman"/>
          <w:sz w:val="24"/>
          <w:szCs w:val="24"/>
          <w:lang w:eastAsia="pl-PL"/>
        </w:rPr>
        <w:t xml:space="preserve"> aby upoważnienie wyodrębniało t</w:t>
      </w:r>
      <w:r w:rsidR="007A5967">
        <w:rPr>
          <w:rFonts w:ascii="Times New Roman" w:eastAsia="Times New Roman" w:hAnsi="Times New Roman" w:cs="Times New Roman"/>
          <w:sz w:val="24"/>
          <w:szCs w:val="24"/>
          <w:lang w:eastAsia="pl-PL"/>
        </w:rPr>
        <w:t>ę</w:t>
      </w:r>
      <w:r w:rsidR="0011431B" w:rsidRPr="004F6220">
        <w:rPr>
          <w:rFonts w:ascii="Times New Roman" w:eastAsia="Times New Roman" w:hAnsi="Times New Roman" w:cs="Times New Roman"/>
          <w:sz w:val="24"/>
          <w:szCs w:val="24"/>
          <w:lang w:eastAsia="pl-PL"/>
        </w:rPr>
        <w:t xml:space="preserve"> cz</w:t>
      </w:r>
      <w:r w:rsidR="007A5967">
        <w:rPr>
          <w:rFonts w:ascii="Times New Roman" w:eastAsia="Times New Roman" w:hAnsi="Times New Roman" w:cs="Times New Roman"/>
          <w:sz w:val="24"/>
          <w:szCs w:val="24"/>
          <w:lang w:eastAsia="pl-PL"/>
        </w:rPr>
        <w:t>ę</w:t>
      </w:r>
      <w:r w:rsidR="0011431B" w:rsidRPr="004F6220">
        <w:rPr>
          <w:rFonts w:ascii="Times New Roman" w:eastAsia="Times New Roman" w:hAnsi="Times New Roman" w:cs="Times New Roman"/>
          <w:sz w:val="24"/>
          <w:szCs w:val="24"/>
          <w:lang w:eastAsia="pl-PL"/>
        </w:rPr>
        <w:t>ść rynku regulowanego. Niezależnie od tego przepisy nowego rozporządzenia będą wymagały dostosowania warunków</w:t>
      </w:r>
      <w:r w:rsidR="0018574E" w:rsidRPr="004F6220">
        <w:rPr>
          <w:rFonts w:ascii="Times New Roman" w:eastAsia="Times New Roman" w:hAnsi="Times New Roman" w:cs="Times New Roman"/>
          <w:sz w:val="24"/>
          <w:szCs w:val="24"/>
          <w:lang w:eastAsia="pl-PL"/>
        </w:rPr>
        <w:t>,</w:t>
      </w:r>
      <w:r w:rsidR="0011431B" w:rsidRPr="004F6220">
        <w:rPr>
          <w:rFonts w:ascii="Times New Roman" w:eastAsia="Times New Roman" w:hAnsi="Times New Roman" w:cs="Times New Roman"/>
          <w:sz w:val="24"/>
          <w:szCs w:val="24"/>
          <w:lang w:eastAsia="pl-PL"/>
        </w:rPr>
        <w:t xml:space="preserve"> jakie musi spełniać rynek regulowany w związku ze zmianami przewidzianymi projektem ustawy, z tego względu w projekcie przewidziano maksymalnie 12</w:t>
      </w:r>
      <w:r w:rsidR="0018574E" w:rsidRPr="004F6220">
        <w:rPr>
          <w:rFonts w:ascii="Times New Roman" w:eastAsia="Times New Roman" w:hAnsi="Times New Roman" w:cs="Times New Roman"/>
          <w:sz w:val="24"/>
          <w:szCs w:val="24"/>
          <w:lang w:eastAsia="pl-PL"/>
        </w:rPr>
        <w:t>-</w:t>
      </w:r>
      <w:r w:rsidR="0011431B" w:rsidRPr="004F6220">
        <w:rPr>
          <w:rFonts w:ascii="Times New Roman" w:eastAsia="Times New Roman" w:hAnsi="Times New Roman" w:cs="Times New Roman"/>
          <w:sz w:val="24"/>
          <w:szCs w:val="24"/>
          <w:lang w:eastAsia="pl-PL"/>
        </w:rPr>
        <w:t xml:space="preserve">miesięczny okres przejściowy na wydanie nowego rozporządzenia. </w:t>
      </w:r>
      <w:r w:rsidR="00CA4250" w:rsidRPr="004F6220">
        <w:rPr>
          <w:rFonts w:ascii="Times New Roman" w:eastAsia="Times New Roman" w:hAnsi="Times New Roman" w:cs="Times New Roman"/>
          <w:sz w:val="24"/>
          <w:szCs w:val="24"/>
          <w:lang w:eastAsia="pl-PL"/>
        </w:rPr>
        <w:t xml:space="preserve">Upoważnienie zawarte w art. 17 ust. 1 pkt 3 pozostaje bez zmian, zmianie ulegają natomiast wytyczne określone w części wspólnej art. 17 ust. 1, co wynika z potrzeby wyeliminowania zbędnych odesłań do przepisów prawa Unii Europejskiej. </w:t>
      </w:r>
      <w:r w:rsidR="0011431B" w:rsidRPr="004F6220">
        <w:rPr>
          <w:rFonts w:ascii="Times New Roman" w:eastAsia="Times New Roman" w:hAnsi="Times New Roman" w:cs="Times New Roman"/>
          <w:sz w:val="24"/>
          <w:szCs w:val="24"/>
          <w:lang w:eastAsia="pl-PL"/>
        </w:rPr>
        <w:t>Z kolei z</w:t>
      </w:r>
      <w:r w:rsidRPr="004F6220">
        <w:rPr>
          <w:rFonts w:ascii="Times New Roman" w:eastAsia="Times New Roman" w:hAnsi="Times New Roman" w:cs="Times New Roman"/>
          <w:sz w:val="24"/>
          <w:szCs w:val="24"/>
          <w:lang w:eastAsia="pl-PL"/>
        </w:rPr>
        <w:t xml:space="preserve">miana upoważnienia zawartego w art. 94 ust. 1 pkt 1 ustawy o obrocie </w:t>
      </w:r>
      <w:r w:rsidR="003A3C41" w:rsidRPr="004F6220">
        <w:rPr>
          <w:rFonts w:ascii="Times New Roman" w:eastAsia="Times New Roman" w:hAnsi="Times New Roman" w:cs="Times New Roman"/>
          <w:sz w:val="24"/>
          <w:szCs w:val="24"/>
          <w:lang w:eastAsia="pl-PL"/>
        </w:rPr>
        <w:t xml:space="preserve">instrumentami finansowymi </w:t>
      </w:r>
      <w:r w:rsidRPr="004F6220">
        <w:rPr>
          <w:rFonts w:ascii="Times New Roman" w:eastAsia="Times New Roman" w:hAnsi="Times New Roman" w:cs="Times New Roman"/>
          <w:sz w:val="24"/>
          <w:szCs w:val="24"/>
          <w:lang w:eastAsia="pl-PL"/>
        </w:rPr>
        <w:t xml:space="preserve">polega na rezygnacji z określania w tym rozporządzeniu trybu i warunków postępowania firm inwestycyjnych, banków państwowych prowadzących działalność maklerską, banków, o </w:t>
      </w:r>
      <w:r w:rsidRPr="004F6220">
        <w:rPr>
          <w:rFonts w:ascii="Times New Roman" w:eastAsia="Times New Roman" w:hAnsi="Times New Roman" w:cs="Times New Roman"/>
          <w:sz w:val="24"/>
          <w:szCs w:val="24"/>
          <w:lang w:eastAsia="pl-PL"/>
        </w:rPr>
        <w:lastRenderedPageBreak/>
        <w:t>których mowa w art. 70 ust. 2 ustawy o obrocie</w:t>
      </w:r>
      <w:r w:rsidR="003A3C41" w:rsidRPr="004F6220">
        <w:rPr>
          <w:rFonts w:ascii="Times New Roman" w:eastAsia="Times New Roman" w:hAnsi="Times New Roman" w:cs="Times New Roman"/>
          <w:sz w:val="24"/>
          <w:szCs w:val="24"/>
          <w:lang w:eastAsia="pl-PL"/>
        </w:rPr>
        <w:t xml:space="preserve"> instrumentami finansowymi</w:t>
      </w:r>
      <w:r w:rsidRPr="004F6220">
        <w:rPr>
          <w:rFonts w:ascii="Times New Roman" w:eastAsia="Times New Roman" w:hAnsi="Times New Roman" w:cs="Times New Roman"/>
          <w:sz w:val="24"/>
          <w:szCs w:val="24"/>
          <w:lang w:eastAsia="pl-PL"/>
        </w:rPr>
        <w:t>, oraz banków powierniczych w zakresie przekazywania klientom sprawozdań</w:t>
      </w:r>
      <w:r w:rsidRPr="005D621C">
        <w:rPr>
          <w:rFonts w:ascii="Times New Roman" w:hAnsi="Times New Roman" w:cs="Times New Roman"/>
          <w:sz w:val="24"/>
          <w:szCs w:val="24"/>
        </w:rPr>
        <w:t xml:space="preserve"> </w:t>
      </w:r>
      <w:r w:rsidRPr="004F6220">
        <w:rPr>
          <w:rFonts w:ascii="Times New Roman" w:eastAsia="Times New Roman" w:hAnsi="Times New Roman" w:cs="Times New Roman"/>
          <w:sz w:val="24"/>
          <w:szCs w:val="24"/>
          <w:lang w:eastAsia="pl-PL"/>
        </w:rPr>
        <w:t>związanych z wykonywaniem określonych usług maklerskich, niemniej pozostały zakres spraw wymagających uregulowania w tym rozporządzeniu wymaga także maksymalnie 12</w:t>
      </w:r>
      <w:r w:rsidR="00334EA6">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miesięcznego okresu przejściowego na wydanie nowego rozporządzenia.</w:t>
      </w:r>
    </w:p>
    <w:p w14:paraId="0B6B1092" w14:textId="349D07A5" w:rsidR="00132FCC" w:rsidRPr="004F6220" w:rsidRDefault="00132FCC"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D900C8" w:rsidRPr="004F6220">
        <w:rPr>
          <w:rFonts w:ascii="Times New Roman" w:eastAsia="Times New Roman" w:hAnsi="Times New Roman" w:cs="Times New Roman"/>
          <w:b/>
          <w:bCs/>
          <w:sz w:val="24"/>
          <w:szCs w:val="24"/>
          <w:lang w:eastAsia="pl-PL"/>
        </w:rPr>
        <w:t>19</w:t>
      </w:r>
      <w:r w:rsidRPr="004F6220">
        <w:rPr>
          <w:rFonts w:ascii="Times New Roman" w:eastAsia="Times New Roman" w:hAnsi="Times New Roman" w:cs="Times New Roman"/>
          <w:b/>
          <w:bCs/>
          <w:sz w:val="24"/>
          <w:szCs w:val="24"/>
          <w:lang w:eastAsia="pl-PL"/>
        </w:rPr>
        <w:t xml:space="preserve"> </w:t>
      </w:r>
      <w:r w:rsidRPr="004F6220">
        <w:rPr>
          <w:rFonts w:ascii="Times New Roman" w:eastAsia="Times New Roman" w:hAnsi="Times New Roman" w:cs="Times New Roman"/>
          <w:sz w:val="24"/>
          <w:szCs w:val="24"/>
          <w:lang w:eastAsia="pl-PL"/>
        </w:rPr>
        <w:t xml:space="preserve">projektu ustawy przewiduje utrzymanie w mocy przepisów wykonawczych wydanych na podstawie art. </w:t>
      </w:r>
      <w:r w:rsidR="00642E37" w:rsidRPr="004F6220">
        <w:rPr>
          <w:rFonts w:ascii="Times New Roman" w:eastAsia="Times New Roman" w:hAnsi="Times New Roman" w:cs="Times New Roman"/>
          <w:sz w:val="24"/>
          <w:szCs w:val="24"/>
          <w:lang w:eastAsia="pl-PL"/>
        </w:rPr>
        <w:t xml:space="preserve">55 pkt 1 oraz </w:t>
      </w:r>
      <w:r w:rsidR="00120C29">
        <w:rPr>
          <w:rFonts w:ascii="Times New Roman" w:eastAsia="Times New Roman" w:hAnsi="Times New Roman" w:cs="Times New Roman"/>
          <w:sz w:val="24"/>
          <w:szCs w:val="24"/>
          <w:lang w:eastAsia="pl-PL"/>
        </w:rPr>
        <w:t xml:space="preserve">art. </w:t>
      </w:r>
      <w:r w:rsidRPr="004F6220">
        <w:rPr>
          <w:rFonts w:ascii="Times New Roman" w:eastAsia="Times New Roman" w:hAnsi="Times New Roman" w:cs="Times New Roman"/>
          <w:sz w:val="24"/>
          <w:szCs w:val="24"/>
          <w:lang w:eastAsia="pl-PL"/>
        </w:rPr>
        <w:t xml:space="preserve">60 ust. 2 ustawy o ofercie publicznej </w:t>
      </w:r>
      <w:bookmarkStart w:id="15" w:name="_Hlk225180751"/>
      <w:r w:rsidRPr="004F6220">
        <w:rPr>
          <w:rFonts w:ascii="Times New Roman" w:eastAsia="Times New Roman" w:hAnsi="Times New Roman" w:cs="Times New Roman"/>
          <w:sz w:val="24"/>
          <w:szCs w:val="24"/>
          <w:lang w:eastAsia="pl-PL"/>
        </w:rPr>
        <w:t>do dnia wejścia w życie nowych przepisów wykonawczych wydanych na podstawie zmienian</w:t>
      </w:r>
      <w:r w:rsidR="00642E37" w:rsidRPr="004F6220">
        <w:rPr>
          <w:rFonts w:ascii="Times New Roman" w:eastAsia="Times New Roman" w:hAnsi="Times New Roman" w:cs="Times New Roman"/>
          <w:sz w:val="24"/>
          <w:szCs w:val="24"/>
          <w:lang w:eastAsia="pl-PL"/>
        </w:rPr>
        <w:t xml:space="preserve">ych </w:t>
      </w:r>
      <w:r w:rsidRPr="004F6220">
        <w:rPr>
          <w:rFonts w:ascii="Times New Roman" w:eastAsia="Times New Roman" w:hAnsi="Times New Roman" w:cs="Times New Roman"/>
          <w:sz w:val="24"/>
          <w:szCs w:val="24"/>
          <w:lang w:eastAsia="pl-PL"/>
        </w:rPr>
        <w:t xml:space="preserve">projektem ustawy </w:t>
      </w:r>
      <w:r w:rsidR="00642E37" w:rsidRPr="004F6220">
        <w:rPr>
          <w:rFonts w:ascii="Times New Roman" w:eastAsia="Times New Roman" w:hAnsi="Times New Roman" w:cs="Times New Roman"/>
          <w:sz w:val="24"/>
          <w:szCs w:val="24"/>
          <w:lang w:eastAsia="pl-PL"/>
        </w:rPr>
        <w:t xml:space="preserve">art. 55 pkt 1 i </w:t>
      </w:r>
      <w:r w:rsidRPr="004F6220">
        <w:rPr>
          <w:rFonts w:ascii="Times New Roman" w:eastAsia="Times New Roman" w:hAnsi="Times New Roman" w:cs="Times New Roman"/>
          <w:sz w:val="24"/>
          <w:szCs w:val="24"/>
          <w:lang w:eastAsia="pl-PL"/>
        </w:rPr>
        <w:t xml:space="preserve">art. 60 ust. 2 ustawy o ofercie publicznej jednak niedłużej niż przez okres 12 miesięcy od dnia wejścia w życie projektowanej ustawy. </w:t>
      </w:r>
      <w:bookmarkEnd w:id="15"/>
      <w:r w:rsidRPr="004F6220">
        <w:rPr>
          <w:rFonts w:ascii="Times New Roman" w:eastAsia="Times New Roman" w:hAnsi="Times New Roman" w:cs="Times New Roman"/>
          <w:sz w:val="24"/>
          <w:szCs w:val="24"/>
          <w:lang w:eastAsia="pl-PL"/>
        </w:rPr>
        <w:t>Przyjęty w projekcie 12</w:t>
      </w:r>
      <w:r w:rsidR="00334EA6">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miesięczny okres przejściowy pozwoli ministrowi właściwemu do spraw instytucji finansowych na wydanie now</w:t>
      </w:r>
      <w:r w:rsidR="00642E37" w:rsidRPr="004F6220">
        <w:rPr>
          <w:rFonts w:ascii="Times New Roman" w:eastAsia="Times New Roman" w:hAnsi="Times New Roman" w:cs="Times New Roman"/>
          <w:sz w:val="24"/>
          <w:szCs w:val="24"/>
          <w:lang w:eastAsia="pl-PL"/>
        </w:rPr>
        <w:t xml:space="preserve">ych </w:t>
      </w:r>
      <w:r w:rsidRPr="004F6220">
        <w:rPr>
          <w:rFonts w:ascii="Times New Roman" w:eastAsia="Times New Roman" w:hAnsi="Times New Roman" w:cs="Times New Roman"/>
          <w:sz w:val="24"/>
          <w:szCs w:val="24"/>
          <w:lang w:eastAsia="pl-PL"/>
        </w:rPr>
        <w:t>rozporządze</w:t>
      </w:r>
      <w:r w:rsidR="00642E37" w:rsidRPr="004F6220">
        <w:rPr>
          <w:rFonts w:ascii="Times New Roman" w:eastAsia="Times New Roman" w:hAnsi="Times New Roman" w:cs="Times New Roman"/>
          <w:sz w:val="24"/>
          <w:szCs w:val="24"/>
          <w:lang w:eastAsia="pl-PL"/>
        </w:rPr>
        <w:t xml:space="preserve">ń, </w:t>
      </w:r>
      <w:r w:rsidRPr="004F6220">
        <w:rPr>
          <w:rFonts w:ascii="Times New Roman" w:eastAsia="Times New Roman" w:hAnsi="Times New Roman" w:cs="Times New Roman"/>
          <w:sz w:val="24"/>
          <w:szCs w:val="24"/>
          <w:lang w:eastAsia="pl-PL"/>
        </w:rPr>
        <w:t>któr</w:t>
      </w:r>
      <w:r w:rsidR="00642E37" w:rsidRPr="004F6220">
        <w:rPr>
          <w:rFonts w:ascii="Times New Roman" w:eastAsia="Times New Roman" w:hAnsi="Times New Roman" w:cs="Times New Roman"/>
          <w:sz w:val="24"/>
          <w:szCs w:val="24"/>
          <w:lang w:eastAsia="pl-PL"/>
        </w:rPr>
        <w:t xml:space="preserve">ych </w:t>
      </w:r>
      <w:r w:rsidRPr="004F6220">
        <w:rPr>
          <w:rFonts w:ascii="Times New Roman" w:eastAsia="Times New Roman" w:hAnsi="Times New Roman" w:cs="Times New Roman"/>
          <w:sz w:val="24"/>
          <w:szCs w:val="24"/>
          <w:lang w:eastAsia="pl-PL"/>
        </w:rPr>
        <w:t>zakres podmiotowy zostaje rozszerzony na wszystkie spółki notowane na rynku regulowanym. Ponadto z uwagi na fakt, że obecnie obowiązki informacyjne dla spółek notowanych na rynku regulowanym niebędącym rynkiem oficjalnych notowań wynikają z regulaminu rynku regulowanego, wskazany okres przejściowy pozwoli na synchronizację procesu zmiany regulaminu rynku regulowanego z procesem legislacyjnym związanym z wydaniem przedmiotowego rozporządzenia.</w:t>
      </w:r>
    </w:p>
    <w:p w14:paraId="59CAF538" w14:textId="073B18F1" w:rsidR="00A80A67" w:rsidRPr="004F6220" w:rsidRDefault="00A80A67"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Art. 2</w:t>
      </w:r>
      <w:r w:rsidR="00D900C8" w:rsidRPr="004F6220">
        <w:rPr>
          <w:rFonts w:ascii="Times New Roman" w:eastAsia="Times New Roman" w:hAnsi="Times New Roman" w:cs="Times New Roman"/>
          <w:b/>
          <w:bCs/>
          <w:sz w:val="24"/>
          <w:szCs w:val="24"/>
          <w:lang w:eastAsia="pl-PL"/>
        </w:rPr>
        <w:t>0</w:t>
      </w:r>
      <w:r w:rsidRPr="004F6220">
        <w:rPr>
          <w:rFonts w:ascii="Times New Roman" w:eastAsia="Times New Roman" w:hAnsi="Times New Roman" w:cs="Times New Roman"/>
          <w:sz w:val="24"/>
          <w:szCs w:val="24"/>
          <w:lang w:eastAsia="pl-PL"/>
        </w:rPr>
        <w:t xml:space="preserve"> projektu ustawy przewiduje 12</w:t>
      </w:r>
      <w:r w:rsidR="0018574E" w:rsidRPr="004F6220">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 xml:space="preserve">miesięczny termin na dostosowanie przez spółkę prowadzącą rynek regulowany regulaminu tego rynku. W związku z rezygnacją z wyodrębniania w ramach rynku regulowanego rynku oficjalnych notowań oraz wobec przyjęcia w projekcie, że zakres informacji bieżących i okresowych przekazywanych przez wszystkie spółki, których akcje notowane są na rynku regulowanym będzie wynikał z przepisów wykonawczych wydanych na podstawie art. 60 ust. 2 ustawy o ofercie publicznej w projekcie ustawy przewidziano uchylenie w art. 28 w ust. 2 pkt 13 ustawy o obrocie instrumentami finansowymi, który nakłada na spółkę prowadzącą rynek regulowany obowiązek zawarcia w regulaminie rynku regulowanego obowiązków informacyjnych emitentów papierów wartościowych dopuszczonych do obrotu wyłącznie na rynku regulowanym niebędącym rynkiem oficjalnych notowań, a także warunków uznania informacji za równoważne informacjom bieżącym i okresowym, w przypadku emitentów z siedzibą w państwie niebędącym państwem członkowskim, dla których Rzeczpospolita Polska jest państwem macierzystym w rozumieniu art. 55a ustawy o ofercie publicznej – w zakresie określonym w art. 61 tej ustawy. Dostosowanie to wymaga skorelowania z wydaniem przez ministra właściwego do spraw instytucji finansowych na podstawie art. 60 ust. 2 ustawy o ofercie </w:t>
      </w:r>
      <w:r w:rsidRPr="004F6220">
        <w:rPr>
          <w:rFonts w:ascii="Times New Roman" w:eastAsia="Times New Roman" w:hAnsi="Times New Roman" w:cs="Times New Roman"/>
          <w:sz w:val="24"/>
          <w:szCs w:val="24"/>
          <w:lang w:eastAsia="pl-PL"/>
        </w:rPr>
        <w:lastRenderedPageBreak/>
        <w:t>publicznej odpowiedniego rozporządzenia z tego względu podobnie jak w art. 20 ust. 1 projektu ustawy przyjęto 12</w:t>
      </w:r>
      <w:r w:rsidR="00334EA6">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miesięczny termin na dostosowanie.</w:t>
      </w:r>
    </w:p>
    <w:p w14:paraId="06777B4A" w14:textId="0FAE5BBD" w:rsidR="004E561C" w:rsidRPr="004F6220" w:rsidRDefault="004E561C"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A80A67" w:rsidRPr="004F6220">
        <w:rPr>
          <w:rFonts w:ascii="Times New Roman" w:eastAsia="Times New Roman" w:hAnsi="Times New Roman" w:cs="Times New Roman"/>
          <w:b/>
          <w:bCs/>
          <w:sz w:val="24"/>
          <w:szCs w:val="24"/>
          <w:lang w:eastAsia="pl-PL"/>
        </w:rPr>
        <w:t>2</w:t>
      </w:r>
      <w:r w:rsidR="00D900C8" w:rsidRPr="004F6220">
        <w:rPr>
          <w:rFonts w:ascii="Times New Roman" w:eastAsia="Times New Roman" w:hAnsi="Times New Roman" w:cs="Times New Roman"/>
          <w:b/>
          <w:bCs/>
          <w:sz w:val="24"/>
          <w:szCs w:val="24"/>
          <w:lang w:eastAsia="pl-PL"/>
        </w:rPr>
        <w:t>1</w:t>
      </w:r>
      <w:r w:rsidRPr="004F6220">
        <w:rPr>
          <w:rFonts w:ascii="Times New Roman" w:eastAsia="Times New Roman" w:hAnsi="Times New Roman" w:cs="Times New Roman"/>
          <w:b/>
          <w:bCs/>
          <w:sz w:val="24"/>
          <w:szCs w:val="24"/>
          <w:lang w:eastAsia="pl-PL"/>
        </w:rPr>
        <w:t xml:space="preserve"> </w:t>
      </w:r>
      <w:r w:rsidRPr="004F6220">
        <w:rPr>
          <w:rFonts w:ascii="Times New Roman" w:eastAsia="Times New Roman" w:hAnsi="Times New Roman" w:cs="Times New Roman"/>
          <w:sz w:val="24"/>
          <w:szCs w:val="24"/>
          <w:lang w:eastAsia="pl-PL"/>
        </w:rPr>
        <w:t>projektu rozstrzyga o tym, że do dnia wejścia w życie rozporządzenia regulującego obowiązki informacyjne emitentów papierów wartościowych dopuszczonych do obrotu na rynku regulowanym, emitenci ci zobowiązani są do przekazywania informacji bieżących i okresowych zgodnie z postanowieniami odpowiednich regulaminów. W związku ze zniesieniem, z dniem wejścia w życie projektu, podziału rynku regulowanego na rynek oficjalnych notowań oraz rynek niebędący rynkiem oficjalnych notowań, a także fakt, że obowiązujące obecnie rozporządzenie w sprawie obowiązków informacyjnych skierowane jest wyłącznie do emitentów papierów wartościowych dopuszczonych do obrotu na rynku oficjalnych notowań, pojawiła się wątpliwość co do reżimu obowiązków informacyjnych emitentów dopuszczonych wyłącznie do obrotu na rynku regulowanym niebędącym rynkiem oficjalnych notowań. Sytuację emitentów notowanych na rynku oficjalnych notowań do momentu przyjęcia nowego rozporządzenia w sprawie obowiązków informacyjnych reguluje art. 2</w:t>
      </w:r>
      <w:r w:rsidR="00C842AE" w:rsidRPr="004F6220">
        <w:rPr>
          <w:rFonts w:ascii="Times New Roman" w:eastAsia="Times New Roman" w:hAnsi="Times New Roman" w:cs="Times New Roman"/>
          <w:sz w:val="24"/>
          <w:szCs w:val="24"/>
          <w:lang w:eastAsia="pl-PL"/>
        </w:rPr>
        <w:t>3</w:t>
      </w:r>
      <w:r w:rsidRPr="004F6220">
        <w:rPr>
          <w:rFonts w:ascii="Times New Roman" w:eastAsia="Times New Roman" w:hAnsi="Times New Roman" w:cs="Times New Roman"/>
          <w:sz w:val="24"/>
          <w:szCs w:val="24"/>
          <w:lang w:eastAsia="pl-PL"/>
        </w:rPr>
        <w:t xml:space="preserve"> projektu, który wprowadza w tym zakresie odpowiedni okres przejściowy. Przepis ten nie znajdzie jednak zastosowania wobec emitentów notowanych na rynku niebędącym rynkiem oficjalnych notowań, gdyż emitenci z tego rynku wykonują obowiązki informacyjne nie na podstawie rozporządzenia, ale w oparciu o regulamin giełdy zgodnie z art. 61 ustawy o ofercie publicznej. Projekt uchyla art. 61 ww. ustawy, a to oznacza że z dniem wejścia w życie projektu uchylona zostanie podstawa do regulowania przez </w:t>
      </w:r>
      <w:r w:rsidR="00D616F3" w:rsidRPr="004F6220">
        <w:rPr>
          <w:rFonts w:ascii="Times New Roman" w:eastAsia="Times New Roman" w:hAnsi="Times New Roman" w:cs="Times New Roman"/>
          <w:sz w:val="24"/>
          <w:szCs w:val="24"/>
          <w:lang w:eastAsia="pl-PL"/>
        </w:rPr>
        <w:t>g</w:t>
      </w:r>
      <w:r w:rsidRPr="004F6220">
        <w:rPr>
          <w:rFonts w:ascii="Times New Roman" w:eastAsia="Times New Roman" w:hAnsi="Times New Roman" w:cs="Times New Roman"/>
          <w:sz w:val="24"/>
          <w:szCs w:val="24"/>
          <w:lang w:eastAsia="pl-PL"/>
        </w:rPr>
        <w:t xml:space="preserve">iełdę zakresu obowiązków emitentów z rynku równoległego. W świetle powyższego, w celu zapewnienia ciągłości obowiązków informacyjnych emitentów z rynku niebędącego rynkiem oficjalnych notowań, zachodzi konieczność wprowadzenia regulacji art. </w:t>
      </w:r>
      <w:r w:rsidR="00C842AE" w:rsidRPr="004F6220">
        <w:rPr>
          <w:rFonts w:ascii="Times New Roman" w:eastAsia="Times New Roman" w:hAnsi="Times New Roman" w:cs="Times New Roman"/>
          <w:sz w:val="24"/>
          <w:szCs w:val="24"/>
          <w:lang w:eastAsia="pl-PL"/>
        </w:rPr>
        <w:t>23</w:t>
      </w:r>
      <w:r w:rsidRPr="004F6220">
        <w:rPr>
          <w:rFonts w:ascii="Times New Roman" w:eastAsia="Times New Roman" w:hAnsi="Times New Roman" w:cs="Times New Roman"/>
          <w:sz w:val="24"/>
          <w:szCs w:val="24"/>
          <w:lang w:eastAsia="pl-PL"/>
        </w:rPr>
        <w:t>, która jednoznacznie przesądza, że do czasu wejścia w życie nowych przepisów wykonawczych emitenci papierów wartościowych dopuszczeni wyłącznie do obrotu na rynku regulowanym niebędącym rynkiem oficjalnych notowań, realizują obowiązki informacyjne zgodnie z dotychczasowymi regulaminami rynku.</w:t>
      </w:r>
    </w:p>
    <w:p w14:paraId="56484618" w14:textId="01387A6B" w:rsidR="00783233" w:rsidRPr="004F6220" w:rsidRDefault="00B52390" w:rsidP="005D621C">
      <w:pPr>
        <w:spacing w:before="120" w:after="0" w:line="360" w:lineRule="auto"/>
        <w:jc w:val="both"/>
        <w:rPr>
          <w:rFonts w:ascii="Times New Roman" w:eastAsia="Times New Roman" w:hAnsi="Times New Roman" w:cs="Times New Roman"/>
          <w:sz w:val="24"/>
          <w:szCs w:val="24"/>
          <w:lang w:eastAsia="pl-PL"/>
        </w:rPr>
      </w:pPr>
      <w:r w:rsidRPr="004F6220">
        <w:rPr>
          <w:rFonts w:ascii="Times New Roman" w:eastAsia="Times New Roman" w:hAnsi="Times New Roman" w:cs="Times New Roman"/>
          <w:b/>
          <w:bCs/>
          <w:sz w:val="24"/>
          <w:szCs w:val="24"/>
          <w:lang w:eastAsia="pl-PL"/>
        </w:rPr>
        <w:t xml:space="preserve">Art. </w:t>
      </w:r>
      <w:r w:rsidR="00A80A67" w:rsidRPr="004F6220">
        <w:rPr>
          <w:rFonts w:ascii="Times New Roman" w:eastAsia="Times New Roman" w:hAnsi="Times New Roman" w:cs="Times New Roman"/>
          <w:b/>
          <w:bCs/>
          <w:sz w:val="24"/>
          <w:szCs w:val="24"/>
          <w:lang w:eastAsia="pl-PL"/>
        </w:rPr>
        <w:t>2</w:t>
      </w:r>
      <w:r w:rsidR="00D900C8" w:rsidRPr="004F6220">
        <w:rPr>
          <w:rFonts w:ascii="Times New Roman" w:eastAsia="Times New Roman" w:hAnsi="Times New Roman" w:cs="Times New Roman"/>
          <w:b/>
          <w:bCs/>
          <w:sz w:val="24"/>
          <w:szCs w:val="24"/>
          <w:lang w:eastAsia="pl-PL"/>
        </w:rPr>
        <w:t>2</w:t>
      </w:r>
      <w:r w:rsidR="009D4167" w:rsidRPr="004F6220">
        <w:rPr>
          <w:rFonts w:ascii="Times New Roman" w:eastAsia="Times New Roman" w:hAnsi="Times New Roman" w:cs="Times New Roman"/>
          <w:sz w:val="24"/>
          <w:szCs w:val="24"/>
          <w:lang w:eastAsia="pl-PL"/>
        </w:rPr>
        <w:t xml:space="preserve"> </w:t>
      </w:r>
      <w:r w:rsidRPr="004F6220">
        <w:rPr>
          <w:rFonts w:ascii="Times New Roman" w:eastAsia="Times New Roman" w:hAnsi="Times New Roman" w:cs="Times New Roman"/>
          <w:sz w:val="24"/>
          <w:szCs w:val="24"/>
          <w:lang w:eastAsia="pl-PL"/>
        </w:rPr>
        <w:t>projektu ustawy przewiduje 14</w:t>
      </w:r>
      <w:r w:rsidR="00334EA6">
        <w:rPr>
          <w:rFonts w:ascii="Times New Roman" w:eastAsia="Times New Roman" w:hAnsi="Times New Roman" w:cs="Times New Roman"/>
          <w:sz w:val="24"/>
          <w:szCs w:val="24"/>
          <w:lang w:eastAsia="pl-PL"/>
        </w:rPr>
        <w:t>-</w:t>
      </w:r>
      <w:r w:rsidRPr="004F6220">
        <w:rPr>
          <w:rFonts w:ascii="Times New Roman" w:eastAsia="Times New Roman" w:hAnsi="Times New Roman" w:cs="Times New Roman"/>
          <w:sz w:val="24"/>
          <w:szCs w:val="24"/>
          <w:lang w:eastAsia="pl-PL"/>
        </w:rPr>
        <w:t>dniowy termin wejścia w życie przepisów projektowanej ustawy</w:t>
      </w:r>
      <w:r w:rsidR="00642E37" w:rsidRPr="004F6220">
        <w:rPr>
          <w:rFonts w:ascii="Times New Roman" w:eastAsia="Times New Roman" w:hAnsi="Times New Roman" w:cs="Times New Roman"/>
          <w:sz w:val="24"/>
          <w:szCs w:val="24"/>
          <w:lang w:eastAsia="pl-PL"/>
        </w:rPr>
        <w:t xml:space="preserve">, z wyjątkiem przepisu art. </w:t>
      </w:r>
      <w:r w:rsidR="00C842AE" w:rsidRPr="004F6220">
        <w:rPr>
          <w:rFonts w:ascii="Times New Roman" w:eastAsia="Times New Roman" w:hAnsi="Times New Roman" w:cs="Times New Roman"/>
          <w:sz w:val="24"/>
          <w:szCs w:val="24"/>
          <w:lang w:eastAsia="pl-PL"/>
        </w:rPr>
        <w:t>6</w:t>
      </w:r>
      <w:r w:rsidR="00642E37" w:rsidRPr="004F6220">
        <w:rPr>
          <w:rFonts w:ascii="Times New Roman" w:eastAsia="Times New Roman" w:hAnsi="Times New Roman" w:cs="Times New Roman"/>
          <w:sz w:val="24"/>
          <w:szCs w:val="24"/>
          <w:lang w:eastAsia="pl-PL"/>
        </w:rPr>
        <w:t xml:space="preserve"> pkt </w:t>
      </w:r>
      <w:r w:rsidR="00CA4250" w:rsidRPr="004F6220">
        <w:rPr>
          <w:rFonts w:ascii="Times New Roman" w:eastAsia="Times New Roman" w:hAnsi="Times New Roman" w:cs="Times New Roman"/>
          <w:sz w:val="24"/>
          <w:szCs w:val="24"/>
          <w:lang w:eastAsia="pl-PL"/>
        </w:rPr>
        <w:t>40</w:t>
      </w:r>
      <w:r w:rsidR="00642E37" w:rsidRPr="004F6220">
        <w:rPr>
          <w:rFonts w:ascii="Times New Roman" w:eastAsia="Times New Roman" w:hAnsi="Times New Roman" w:cs="Times New Roman"/>
          <w:sz w:val="24"/>
          <w:szCs w:val="24"/>
          <w:lang w:eastAsia="pl-PL"/>
        </w:rPr>
        <w:t>, który wchodzi w życie z dniem 10</w:t>
      </w:r>
      <w:r w:rsidR="00367136" w:rsidRPr="004F6220">
        <w:rPr>
          <w:rFonts w:ascii="Times New Roman" w:eastAsia="Times New Roman" w:hAnsi="Times New Roman" w:cs="Times New Roman"/>
          <w:sz w:val="24"/>
          <w:szCs w:val="24"/>
          <w:lang w:eastAsia="pl-PL"/>
        </w:rPr>
        <w:t> </w:t>
      </w:r>
      <w:r w:rsidR="00642E37" w:rsidRPr="004F6220">
        <w:rPr>
          <w:rFonts w:ascii="Times New Roman" w:eastAsia="Times New Roman" w:hAnsi="Times New Roman" w:cs="Times New Roman"/>
          <w:sz w:val="24"/>
          <w:szCs w:val="24"/>
          <w:lang w:eastAsia="pl-PL"/>
        </w:rPr>
        <w:t xml:space="preserve">stycznia 2030 r. </w:t>
      </w:r>
      <w:r w:rsidRPr="004F6220">
        <w:rPr>
          <w:rFonts w:ascii="Times New Roman" w:eastAsia="Times New Roman" w:hAnsi="Times New Roman" w:cs="Times New Roman"/>
          <w:sz w:val="24"/>
          <w:szCs w:val="24"/>
          <w:lang w:eastAsia="pl-PL"/>
        </w:rPr>
        <w:t>Termin</w:t>
      </w:r>
      <w:r w:rsidR="00642E37" w:rsidRPr="004F6220">
        <w:rPr>
          <w:rFonts w:ascii="Times New Roman" w:eastAsia="Times New Roman" w:hAnsi="Times New Roman" w:cs="Times New Roman"/>
          <w:sz w:val="24"/>
          <w:szCs w:val="24"/>
          <w:lang w:eastAsia="pl-PL"/>
        </w:rPr>
        <w:t>y</w:t>
      </w:r>
      <w:r w:rsidRPr="004F6220">
        <w:rPr>
          <w:rFonts w:ascii="Times New Roman" w:eastAsia="Times New Roman" w:hAnsi="Times New Roman" w:cs="Times New Roman"/>
          <w:sz w:val="24"/>
          <w:szCs w:val="24"/>
          <w:lang w:eastAsia="pl-PL"/>
        </w:rPr>
        <w:t xml:space="preserve"> te zapewnia</w:t>
      </w:r>
      <w:r w:rsidR="00642E37" w:rsidRPr="004F6220">
        <w:rPr>
          <w:rFonts w:ascii="Times New Roman" w:eastAsia="Times New Roman" w:hAnsi="Times New Roman" w:cs="Times New Roman"/>
          <w:sz w:val="24"/>
          <w:szCs w:val="24"/>
          <w:lang w:eastAsia="pl-PL"/>
        </w:rPr>
        <w:t>ją</w:t>
      </w:r>
      <w:r w:rsidRPr="004F6220">
        <w:rPr>
          <w:rFonts w:ascii="Times New Roman" w:eastAsia="Times New Roman" w:hAnsi="Times New Roman" w:cs="Times New Roman"/>
          <w:sz w:val="24"/>
          <w:szCs w:val="24"/>
          <w:lang w:eastAsia="pl-PL"/>
        </w:rPr>
        <w:t xml:space="preserve"> zarówno odpowiedni okres dostosowawczy oraz konieczność niezwłocznego wdrożenia przepisów implementujących dyrektywę 2024/2811 oraz zapewniających stosowanie rozporządzenia 2024/2809 i rozporządzenia 2024/3005.</w:t>
      </w:r>
    </w:p>
    <w:p w14:paraId="0BF0167C" w14:textId="5DBCA4AE" w:rsidR="008B5834" w:rsidRPr="004F6220" w:rsidRDefault="008B5834" w:rsidP="005D621C">
      <w:pPr>
        <w:keepNext/>
        <w:spacing w:before="120" w:after="0" w:line="360" w:lineRule="auto"/>
        <w:rPr>
          <w:rFonts w:ascii="Times New Roman" w:hAnsi="Times New Roman" w:cs="Times New Roman"/>
          <w:b/>
          <w:bCs/>
          <w:sz w:val="24"/>
          <w:szCs w:val="24"/>
          <w:u w:val="single"/>
        </w:rPr>
      </w:pPr>
      <w:r w:rsidRPr="004F6220">
        <w:rPr>
          <w:rFonts w:ascii="Times New Roman" w:hAnsi="Times New Roman" w:cs="Times New Roman"/>
          <w:b/>
          <w:bCs/>
          <w:sz w:val="24"/>
          <w:szCs w:val="24"/>
          <w:u w:val="single"/>
        </w:rPr>
        <w:lastRenderedPageBreak/>
        <w:t xml:space="preserve">Informacje dodatkowe </w:t>
      </w:r>
    </w:p>
    <w:p w14:paraId="6802EDB2" w14:textId="423A61EF" w:rsidR="00317BDF" w:rsidRPr="004F6220" w:rsidRDefault="00E63844" w:rsidP="005D621C">
      <w:pPr>
        <w:pStyle w:val="NormalnyWeb"/>
        <w:keepNext/>
        <w:spacing w:before="120" w:beforeAutospacing="0" w:after="0" w:afterAutospacing="0" w:line="360" w:lineRule="auto"/>
        <w:jc w:val="both"/>
      </w:pPr>
      <w:r w:rsidRPr="004F6220">
        <w:t xml:space="preserve">Zgodnie z art. 4 ustawy z dnia 7 lipca 2005 r. o działalności lobbingowej w procesie stanowienia prawa projekt </w:t>
      </w:r>
      <w:r w:rsidR="00B36CC2" w:rsidRPr="004F6220">
        <w:t>ustawy zosta</w:t>
      </w:r>
      <w:r w:rsidR="0013651B" w:rsidRPr="004F6220">
        <w:t>ł</w:t>
      </w:r>
      <w:r w:rsidRPr="004F6220">
        <w:t xml:space="preserve"> zamieszczony w wykazie prac legislacyjnych i programowych Rady Ministrów</w:t>
      </w:r>
      <w:r w:rsidR="00B36CC2" w:rsidRPr="004F6220">
        <w:t xml:space="preserve"> pod numerem UC</w:t>
      </w:r>
      <w:r w:rsidR="001649AB" w:rsidRPr="004F6220">
        <w:t>137</w:t>
      </w:r>
      <w:r w:rsidRPr="004F6220">
        <w:t>.</w:t>
      </w:r>
      <w:r w:rsidR="001649AB" w:rsidRPr="004F6220">
        <w:t xml:space="preserve"> </w:t>
      </w:r>
      <w:r w:rsidR="00317BDF" w:rsidRPr="004F6220">
        <w:t>W trybie przepisów tej ustawy uwagi do projektu zgłosił</w:t>
      </w:r>
      <w:r w:rsidR="003540D3" w:rsidRPr="004F6220">
        <w:t>a</w:t>
      </w:r>
      <w:r w:rsidR="00317BDF" w:rsidRPr="004F6220">
        <w:t xml:space="preserve"> </w:t>
      </w:r>
      <w:r w:rsidR="00317BDF" w:rsidRPr="004F6220">
        <w:rPr>
          <w:bCs/>
        </w:rPr>
        <w:t>kancelari</w:t>
      </w:r>
      <w:r w:rsidR="003540D3" w:rsidRPr="004F6220">
        <w:rPr>
          <w:bCs/>
        </w:rPr>
        <w:t>a</w:t>
      </w:r>
      <w:r w:rsidR="00317BDF" w:rsidRPr="004F6220">
        <w:rPr>
          <w:bCs/>
        </w:rPr>
        <w:t xml:space="preserve"> prawn</w:t>
      </w:r>
      <w:r w:rsidR="003540D3" w:rsidRPr="004F6220">
        <w:rPr>
          <w:bCs/>
        </w:rPr>
        <w:t>a</w:t>
      </w:r>
      <w:r w:rsidR="00317BDF" w:rsidRPr="004F6220">
        <w:rPr>
          <w:bCs/>
        </w:rPr>
        <w:t xml:space="preserve"> Sharelaw Orczykowski Rudnicki sp. k. Zgłoszone przez te</w:t>
      </w:r>
      <w:r w:rsidR="003540D3" w:rsidRPr="004F6220">
        <w:rPr>
          <w:bCs/>
        </w:rPr>
        <w:t>n</w:t>
      </w:r>
      <w:r w:rsidR="00317BDF" w:rsidRPr="004F6220">
        <w:rPr>
          <w:bCs/>
        </w:rPr>
        <w:t xml:space="preserve"> podmioty uwagi nie wpłynęły w istotny sposób na kształt projektowanej ustawy, gdyż co do zasady pokrywały się one z uwagami zgłaszanymi przez inne podmioty uczestniczące w</w:t>
      </w:r>
      <w:r w:rsidR="00367136" w:rsidRPr="004F6220">
        <w:rPr>
          <w:bCs/>
        </w:rPr>
        <w:t> </w:t>
      </w:r>
      <w:r w:rsidR="00317BDF" w:rsidRPr="004F6220">
        <w:rPr>
          <w:bCs/>
        </w:rPr>
        <w:t>procesie uzgodnień i konsultacji publicznych.</w:t>
      </w:r>
    </w:p>
    <w:p w14:paraId="5365B6BB" w14:textId="566F13D7" w:rsidR="00317BDF" w:rsidRPr="004F6220" w:rsidRDefault="00317BDF" w:rsidP="005D621C">
      <w:pPr>
        <w:pStyle w:val="NormalnyWeb"/>
        <w:spacing w:before="120" w:beforeAutospacing="0" w:after="0" w:afterAutospacing="0" w:line="360" w:lineRule="auto"/>
        <w:jc w:val="both"/>
      </w:pPr>
      <w:r w:rsidRPr="004F6220">
        <w:t xml:space="preserve">Zgodnie z art. 5 ustawy z dnia 7 lipca 2005 r. o działalności lobbingowej w procesie stanowienia prawa oraz § 52 uchwały nr 190 Rady Ministrów z dnia 29 października 2013 r. </w:t>
      </w:r>
      <w:r w:rsidR="00334EA6">
        <w:t xml:space="preserve">– </w:t>
      </w:r>
      <w:r w:rsidRPr="004F6220">
        <w:t>Regulamin pracy Rady Ministrów, z chwilą przekazania do uzgodnień z członkami Rady Ministrów projekt ustawy został udostępniony w Biuletynie Informacji Publicznej na stronie podmiotowej Rządowego Centrum Legislacji, w serwisie Rządowy Proces Legislacyjny.</w:t>
      </w:r>
    </w:p>
    <w:p w14:paraId="68E22AD4" w14:textId="29F0DA05" w:rsidR="00E63844" w:rsidRPr="004F6220" w:rsidRDefault="00E63844" w:rsidP="005D621C">
      <w:pPr>
        <w:pStyle w:val="NormalnyWeb"/>
        <w:spacing w:before="120" w:beforeAutospacing="0" w:after="0" w:afterAutospacing="0" w:line="360" w:lineRule="auto"/>
        <w:jc w:val="both"/>
      </w:pPr>
      <w:r w:rsidRPr="004F6220">
        <w:t>Projekt ustawy nie wymaga przedstawienia właściwym organom i instytucjom Unii Europejskiej, w tym Europejskiemu Bankowi Centralnemu, w celu uzyskania opinii, dokonania powiadomienia, konsultacji albo uzgodnienia, o którym mowa w § 27 ust. 4 uchwały nr 190 Rady Ministrów z dnia 29 października 2013 r. – Regulamin pracy Rady Ministrów.</w:t>
      </w:r>
      <w:r w:rsidR="001649AB" w:rsidRPr="004F6220">
        <w:t xml:space="preserve"> </w:t>
      </w:r>
    </w:p>
    <w:p w14:paraId="632AFF85" w14:textId="37224ECF" w:rsidR="001317ED" w:rsidRPr="004F6220" w:rsidRDefault="001317ED" w:rsidP="005D621C">
      <w:pPr>
        <w:pStyle w:val="NormalnyWeb"/>
        <w:spacing w:before="120" w:beforeAutospacing="0" w:after="0" w:afterAutospacing="0" w:line="360" w:lineRule="auto"/>
        <w:jc w:val="both"/>
      </w:pPr>
      <w:r w:rsidRPr="004F6220">
        <w:t>Zawarte w projekcie regulacje nie stanowią przepisów technicznych w rozumieniu rozporządzenia Rady Ministrów z dnia 23 grudnia 2002 r. w sprawie sposobu funkcjonowania krajowego systemu notyfikacji norm i aktów prawnych, dlatego też projekt ustawy nie podlega procedurze notyfikacji.</w:t>
      </w:r>
      <w:r w:rsidR="001649AB" w:rsidRPr="004F6220">
        <w:t xml:space="preserve"> </w:t>
      </w:r>
    </w:p>
    <w:p w14:paraId="39B829FE" w14:textId="0BC54C53" w:rsidR="001317ED" w:rsidRPr="004F6220" w:rsidRDefault="001317ED" w:rsidP="005D621C">
      <w:pPr>
        <w:pStyle w:val="NormalnyWeb"/>
        <w:spacing w:before="120" w:beforeAutospacing="0" w:after="0" w:afterAutospacing="0" w:line="360" w:lineRule="auto"/>
        <w:jc w:val="both"/>
      </w:pPr>
      <w:r w:rsidRPr="004F6220">
        <w:t xml:space="preserve">Zawarte w projekcie regulacje </w:t>
      </w:r>
      <w:r w:rsidR="00B36CC2" w:rsidRPr="004F6220">
        <w:t xml:space="preserve">pozytywnie wpłyną </w:t>
      </w:r>
      <w:r w:rsidRPr="004F6220">
        <w:t>na działalność mikro</w:t>
      </w:r>
      <w:r w:rsidR="00334EA6">
        <w:t>-</w:t>
      </w:r>
      <w:r w:rsidRPr="004F6220">
        <w:t>, małych i średnich przedsiębiorców, zgodnie z ustawą z dnia 6 marca 2018 r. – Prawo przedsiębiorców.</w:t>
      </w:r>
      <w:r w:rsidR="00B36CC2" w:rsidRPr="004F6220">
        <w:t xml:space="preserve"> Wpływ ten został przedstawiony w </w:t>
      </w:r>
      <w:r w:rsidR="003E5BB0" w:rsidRPr="004F6220">
        <w:t>ocenie skutków regulacji</w:t>
      </w:r>
      <w:r w:rsidR="00B36CC2" w:rsidRPr="004F6220">
        <w:t>.</w:t>
      </w:r>
      <w:r w:rsidR="001649AB" w:rsidRPr="004F6220">
        <w:t xml:space="preserve"> </w:t>
      </w:r>
    </w:p>
    <w:p w14:paraId="4286DE31" w14:textId="3C1AA623" w:rsidR="009D0902" w:rsidRPr="004F6220" w:rsidRDefault="00E63844" w:rsidP="005D621C">
      <w:pPr>
        <w:pStyle w:val="NormalnyWeb"/>
        <w:spacing w:before="120" w:beforeAutospacing="0" w:after="0" w:afterAutospacing="0" w:line="360" w:lineRule="auto"/>
        <w:jc w:val="both"/>
      </w:pPr>
      <w:r w:rsidRPr="004F6220">
        <w:t>Projekt ustawy jest zgodny z prawem Unii Europejskiej.</w:t>
      </w:r>
    </w:p>
    <w:sectPr w:rsidR="009D0902" w:rsidRPr="004F6220" w:rsidSect="005D621C">
      <w:footerReference w:type="defaul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9A9C4" w14:textId="77777777" w:rsidR="00CF4FC0" w:rsidRDefault="00CF4FC0" w:rsidP="00717A63">
      <w:pPr>
        <w:spacing w:after="0" w:line="240" w:lineRule="auto"/>
      </w:pPr>
      <w:r>
        <w:separator/>
      </w:r>
    </w:p>
  </w:endnote>
  <w:endnote w:type="continuationSeparator" w:id="0">
    <w:p w14:paraId="01512B7E" w14:textId="77777777" w:rsidR="00CF4FC0" w:rsidRDefault="00CF4FC0" w:rsidP="00717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59045"/>
      <w:docPartObj>
        <w:docPartGallery w:val="Page Numbers (Bottom of Page)"/>
        <w:docPartUnique/>
      </w:docPartObj>
    </w:sdtPr>
    <w:sdtEndPr>
      <w:rPr>
        <w:rFonts w:ascii="Times New Roman" w:hAnsi="Times New Roman" w:cs="Times New Roman"/>
        <w:sz w:val="24"/>
        <w:szCs w:val="24"/>
      </w:rPr>
    </w:sdtEndPr>
    <w:sdtContent>
      <w:p w14:paraId="3A46B25E" w14:textId="09E9E93C" w:rsidR="004F6220" w:rsidRPr="004F6220" w:rsidRDefault="004F6220" w:rsidP="004F6220">
        <w:pPr>
          <w:pStyle w:val="Stopka"/>
          <w:jc w:val="center"/>
          <w:rPr>
            <w:rFonts w:ascii="Times New Roman" w:hAnsi="Times New Roman" w:cs="Times New Roman"/>
            <w:sz w:val="24"/>
            <w:szCs w:val="24"/>
          </w:rPr>
        </w:pPr>
        <w:r w:rsidRPr="004F6220">
          <w:rPr>
            <w:rFonts w:ascii="Times New Roman" w:hAnsi="Times New Roman" w:cs="Times New Roman"/>
            <w:sz w:val="24"/>
            <w:szCs w:val="24"/>
          </w:rPr>
          <w:fldChar w:fldCharType="begin"/>
        </w:r>
        <w:r w:rsidRPr="004F6220">
          <w:rPr>
            <w:rFonts w:ascii="Times New Roman" w:hAnsi="Times New Roman" w:cs="Times New Roman"/>
            <w:sz w:val="24"/>
            <w:szCs w:val="24"/>
          </w:rPr>
          <w:instrText>PAGE   \* MERGEFORMAT</w:instrText>
        </w:r>
        <w:r w:rsidRPr="004F6220">
          <w:rPr>
            <w:rFonts w:ascii="Times New Roman" w:hAnsi="Times New Roman" w:cs="Times New Roman"/>
            <w:sz w:val="24"/>
            <w:szCs w:val="24"/>
          </w:rPr>
          <w:fldChar w:fldCharType="separate"/>
        </w:r>
        <w:r w:rsidRPr="004F6220">
          <w:rPr>
            <w:rFonts w:ascii="Times New Roman" w:hAnsi="Times New Roman" w:cs="Times New Roman"/>
            <w:sz w:val="24"/>
            <w:szCs w:val="24"/>
          </w:rPr>
          <w:t>2</w:t>
        </w:r>
        <w:r w:rsidRPr="004F622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A5E4F" w14:textId="77777777" w:rsidR="00CF4FC0" w:rsidRDefault="00CF4FC0" w:rsidP="00717A63">
      <w:pPr>
        <w:spacing w:after="0" w:line="240" w:lineRule="auto"/>
      </w:pPr>
      <w:r>
        <w:separator/>
      </w:r>
    </w:p>
  </w:footnote>
  <w:footnote w:type="continuationSeparator" w:id="0">
    <w:p w14:paraId="4EBCE6BA" w14:textId="77777777" w:rsidR="00CF4FC0" w:rsidRDefault="00CF4FC0" w:rsidP="00717A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C3B0F"/>
    <w:multiLevelType w:val="hybridMultilevel"/>
    <w:tmpl w:val="BDDACD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7E5A73"/>
    <w:multiLevelType w:val="hybridMultilevel"/>
    <w:tmpl w:val="EB387BC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AEB6102"/>
    <w:multiLevelType w:val="hybridMultilevel"/>
    <w:tmpl w:val="9D24DF88"/>
    <w:lvl w:ilvl="0" w:tplc="7D8E2FC2">
      <w:start w:val="1"/>
      <w:numFmt w:val="bullet"/>
      <w:lvlText w:val="−"/>
      <w:lvlJc w:val="left"/>
      <w:pPr>
        <w:ind w:left="720" w:hanging="360"/>
      </w:pPr>
      <w:rPr>
        <w:rFonts w:ascii="Lato" w:hAnsi="Lato"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0AB6FB2"/>
    <w:multiLevelType w:val="hybridMultilevel"/>
    <w:tmpl w:val="C32AD780"/>
    <w:lvl w:ilvl="0" w:tplc="E8964F78">
      <w:start w:val="1"/>
      <w:numFmt w:val="decimal"/>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4" w15:restartNumberingAfterBreak="0">
    <w:nsid w:val="3EC0198A"/>
    <w:multiLevelType w:val="hybridMultilevel"/>
    <w:tmpl w:val="05BAFA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56925EA3"/>
    <w:multiLevelType w:val="hybridMultilevel"/>
    <w:tmpl w:val="1EBA275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612F0261"/>
    <w:multiLevelType w:val="hybridMultilevel"/>
    <w:tmpl w:val="FD067F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2CA2CDC"/>
    <w:multiLevelType w:val="hybridMultilevel"/>
    <w:tmpl w:val="1C1CB832"/>
    <w:lvl w:ilvl="0" w:tplc="03A657A8">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6D301D2E"/>
    <w:multiLevelType w:val="hybridMultilevel"/>
    <w:tmpl w:val="3AA07F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BE72CFE"/>
    <w:multiLevelType w:val="hybridMultilevel"/>
    <w:tmpl w:val="743E1258"/>
    <w:lvl w:ilvl="0" w:tplc="7D8E2FC2">
      <w:start w:val="1"/>
      <w:numFmt w:val="bullet"/>
      <w:lvlText w:val="−"/>
      <w:lvlJc w:val="left"/>
      <w:pPr>
        <w:ind w:left="360" w:hanging="360"/>
      </w:pPr>
      <w:rPr>
        <w:rFonts w:ascii="Lato" w:hAnsi="Lato"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962034986">
    <w:abstractNumId w:val="0"/>
  </w:num>
  <w:num w:numId="2" w16cid:durableId="1651210754">
    <w:abstractNumId w:val="4"/>
  </w:num>
  <w:num w:numId="3" w16cid:durableId="713653711">
    <w:abstractNumId w:val="9"/>
  </w:num>
  <w:num w:numId="4" w16cid:durableId="2048337645">
    <w:abstractNumId w:val="6"/>
  </w:num>
  <w:num w:numId="5" w16cid:durableId="1837989011">
    <w:abstractNumId w:val="1"/>
  </w:num>
  <w:num w:numId="6" w16cid:durableId="1225138852">
    <w:abstractNumId w:val="8"/>
  </w:num>
  <w:num w:numId="7" w16cid:durableId="940454540">
    <w:abstractNumId w:val="2"/>
  </w:num>
  <w:num w:numId="8" w16cid:durableId="442502623">
    <w:abstractNumId w:val="5"/>
  </w:num>
  <w:num w:numId="9" w16cid:durableId="1862891900">
    <w:abstractNumId w:val="7"/>
  </w:num>
  <w:num w:numId="10" w16cid:durableId="1841919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985"/>
    <w:rsid w:val="00002A81"/>
    <w:rsid w:val="00003689"/>
    <w:rsid w:val="0000378F"/>
    <w:rsid w:val="00004EFD"/>
    <w:rsid w:val="00004FB8"/>
    <w:rsid w:val="00005EB6"/>
    <w:rsid w:val="00006E42"/>
    <w:rsid w:val="000077BF"/>
    <w:rsid w:val="00013415"/>
    <w:rsid w:val="0001386D"/>
    <w:rsid w:val="00013F4C"/>
    <w:rsid w:val="00014C0A"/>
    <w:rsid w:val="00014D98"/>
    <w:rsid w:val="00016640"/>
    <w:rsid w:val="00017207"/>
    <w:rsid w:val="000176F6"/>
    <w:rsid w:val="000178FA"/>
    <w:rsid w:val="00017903"/>
    <w:rsid w:val="00017F3A"/>
    <w:rsid w:val="000227F5"/>
    <w:rsid w:val="00023502"/>
    <w:rsid w:val="00024454"/>
    <w:rsid w:val="00025487"/>
    <w:rsid w:val="0003026E"/>
    <w:rsid w:val="00031F46"/>
    <w:rsid w:val="000321AA"/>
    <w:rsid w:val="000322DD"/>
    <w:rsid w:val="000329B2"/>
    <w:rsid w:val="00034A89"/>
    <w:rsid w:val="00035669"/>
    <w:rsid w:val="00036EFB"/>
    <w:rsid w:val="00037C6F"/>
    <w:rsid w:val="000405BD"/>
    <w:rsid w:val="00042BE8"/>
    <w:rsid w:val="00043114"/>
    <w:rsid w:val="000431E2"/>
    <w:rsid w:val="00045CF5"/>
    <w:rsid w:val="000466A5"/>
    <w:rsid w:val="00050607"/>
    <w:rsid w:val="0005135B"/>
    <w:rsid w:val="00051819"/>
    <w:rsid w:val="0005402A"/>
    <w:rsid w:val="00054E5F"/>
    <w:rsid w:val="00055348"/>
    <w:rsid w:val="000559BB"/>
    <w:rsid w:val="0005600A"/>
    <w:rsid w:val="00056BEE"/>
    <w:rsid w:val="000578F0"/>
    <w:rsid w:val="00060776"/>
    <w:rsid w:val="00060A7C"/>
    <w:rsid w:val="00061ADC"/>
    <w:rsid w:val="00063F58"/>
    <w:rsid w:val="0006402E"/>
    <w:rsid w:val="00065FC2"/>
    <w:rsid w:val="00067A06"/>
    <w:rsid w:val="00070207"/>
    <w:rsid w:val="00072C69"/>
    <w:rsid w:val="000747FC"/>
    <w:rsid w:val="000749ED"/>
    <w:rsid w:val="00075E60"/>
    <w:rsid w:val="000774B3"/>
    <w:rsid w:val="00080286"/>
    <w:rsid w:val="000852AD"/>
    <w:rsid w:val="00086A4F"/>
    <w:rsid w:val="0008792C"/>
    <w:rsid w:val="000903C1"/>
    <w:rsid w:val="00090617"/>
    <w:rsid w:val="00090655"/>
    <w:rsid w:val="0009336C"/>
    <w:rsid w:val="000933C4"/>
    <w:rsid w:val="00093CBF"/>
    <w:rsid w:val="000940DA"/>
    <w:rsid w:val="00094505"/>
    <w:rsid w:val="00094D59"/>
    <w:rsid w:val="000960E4"/>
    <w:rsid w:val="000A0DFF"/>
    <w:rsid w:val="000A13C6"/>
    <w:rsid w:val="000A18DE"/>
    <w:rsid w:val="000A23E1"/>
    <w:rsid w:val="000A29F8"/>
    <w:rsid w:val="000A2FAC"/>
    <w:rsid w:val="000A404A"/>
    <w:rsid w:val="000A47E9"/>
    <w:rsid w:val="000A4887"/>
    <w:rsid w:val="000A48EF"/>
    <w:rsid w:val="000A563C"/>
    <w:rsid w:val="000B0950"/>
    <w:rsid w:val="000B0960"/>
    <w:rsid w:val="000B0E64"/>
    <w:rsid w:val="000B1F6E"/>
    <w:rsid w:val="000B21A0"/>
    <w:rsid w:val="000B3F0F"/>
    <w:rsid w:val="000B58F4"/>
    <w:rsid w:val="000B6373"/>
    <w:rsid w:val="000B7389"/>
    <w:rsid w:val="000B73A9"/>
    <w:rsid w:val="000C02F3"/>
    <w:rsid w:val="000C0515"/>
    <w:rsid w:val="000C2685"/>
    <w:rsid w:val="000C2CD7"/>
    <w:rsid w:val="000C4B18"/>
    <w:rsid w:val="000C558A"/>
    <w:rsid w:val="000C6289"/>
    <w:rsid w:val="000C68A2"/>
    <w:rsid w:val="000C764B"/>
    <w:rsid w:val="000D20C5"/>
    <w:rsid w:val="000D2A78"/>
    <w:rsid w:val="000D333E"/>
    <w:rsid w:val="000D35BD"/>
    <w:rsid w:val="000D58BB"/>
    <w:rsid w:val="000D5D5B"/>
    <w:rsid w:val="000D620A"/>
    <w:rsid w:val="000D74F6"/>
    <w:rsid w:val="000E04FA"/>
    <w:rsid w:val="000E2FFB"/>
    <w:rsid w:val="000E4574"/>
    <w:rsid w:val="000E4D67"/>
    <w:rsid w:val="000E4DFB"/>
    <w:rsid w:val="000E6725"/>
    <w:rsid w:val="000F05C5"/>
    <w:rsid w:val="000F06AA"/>
    <w:rsid w:val="000F121B"/>
    <w:rsid w:val="000F41BF"/>
    <w:rsid w:val="000F498B"/>
    <w:rsid w:val="000F6033"/>
    <w:rsid w:val="00101598"/>
    <w:rsid w:val="00103D91"/>
    <w:rsid w:val="00104E0A"/>
    <w:rsid w:val="001055EA"/>
    <w:rsid w:val="00105651"/>
    <w:rsid w:val="00106BE7"/>
    <w:rsid w:val="00107333"/>
    <w:rsid w:val="001078EB"/>
    <w:rsid w:val="00107B18"/>
    <w:rsid w:val="00107DB5"/>
    <w:rsid w:val="001100F2"/>
    <w:rsid w:val="00110D2A"/>
    <w:rsid w:val="00110EA8"/>
    <w:rsid w:val="0011258D"/>
    <w:rsid w:val="00112CEE"/>
    <w:rsid w:val="00113D05"/>
    <w:rsid w:val="0011431B"/>
    <w:rsid w:val="00114ABE"/>
    <w:rsid w:val="00115347"/>
    <w:rsid w:val="001202A5"/>
    <w:rsid w:val="00120C29"/>
    <w:rsid w:val="0012253D"/>
    <w:rsid w:val="00123637"/>
    <w:rsid w:val="00124045"/>
    <w:rsid w:val="001241B3"/>
    <w:rsid w:val="001252E1"/>
    <w:rsid w:val="00125F6B"/>
    <w:rsid w:val="0012614C"/>
    <w:rsid w:val="001269BB"/>
    <w:rsid w:val="001317ED"/>
    <w:rsid w:val="00131FE5"/>
    <w:rsid w:val="001328BD"/>
    <w:rsid w:val="00132AA3"/>
    <w:rsid w:val="00132FCC"/>
    <w:rsid w:val="001345FB"/>
    <w:rsid w:val="00134840"/>
    <w:rsid w:val="0013651B"/>
    <w:rsid w:val="001378AD"/>
    <w:rsid w:val="00137927"/>
    <w:rsid w:val="001402A5"/>
    <w:rsid w:val="00141BDA"/>
    <w:rsid w:val="00142506"/>
    <w:rsid w:val="0014310C"/>
    <w:rsid w:val="001454EB"/>
    <w:rsid w:val="0014554C"/>
    <w:rsid w:val="00145FE1"/>
    <w:rsid w:val="00146682"/>
    <w:rsid w:val="00147047"/>
    <w:rsid w:val="001500CB"/>
    <w:rsid w:val="00150271"/>
    <w:rsid w:val="00150496"/>
    <w:rsid w:val="00151538"/>
    <w:rsid w:val="001542F2"/>
    <w:rsid w:val="00156277"/>
    <w:rsid w:val="00157305"/>
    <w:rsid w:val="0015736B"/>
    <w:rsid w:val="00162A67"/>
    <w:rsid w:val="00163053"/>
    <w:rsid w:val="001646EB"/>
    <w:rsid w:val="001649AB"/>
    <w:rsid w:val="0016550F"/>
    <w:rsid w:val="00166C28"/>
    <w:rsid w:val="00166CA2"/>
    <w:rsid w:val="00167AD6"/>
    <w:rsid w:val="00167DDA"/>
    <w:rsid w:val="00170FE2"/>
    <w:rsid w:val="00171FBB"/>
    <w:rsid w:val="00172634"/>
    <w:rsid w:val="00180C42"/>
    <w:rsid w:val="00180FF2"/>
    <w:rsid w:val="00181BC0"/>
    <w:rsid w:val="00183ADA"/>
    <w:rsid w:val="00184345"/>
    <w:rsid w:val="001856E7"/>
    <w:rsid w:val="0018574E"/>
    <w:rsid w:val="0018595A"/>
    <w:rsid w:val="001862CE"/>
    <w:rsid w:val="00187D6D"/>
    <w:rsid w:val="00190B89"/>
    <w:rsid w:val="00192A0C"/>
    <w:rsid w:val="00192AB8"/>
    <w:rsid w:val="001931AA"/>
    <w:rsid w:val="00194ACB"/>
    <w:rsid w:val="00195BFB"/>
    <w:rsid w:val="00196344"/>
    <w:rsid w:val="00197526"/>
    <w:rsid w:val="001A0243"/>
    <w:rsid w:val="001A4024"/>
    <w:rsid w:val="001A40C3"/>
    <w:rsid w:val="001A5742"/>
    <w:rsid w:val="001A5CB9"/>
    <w:rsid w:val="001B1105"/>
    <w:rsid w:val="001B186F"/>
    <w:rsid w:val="001B2B1D"/>
    <w:rsid w:val="001B33AE"/>
    <w:rsid w:val="001B507C"/>
    <w:rsid w:val="001B5799"/>
    <w:rsid w:val="001B65B3"/>
    <w:rsid w:val="001C220B"/>
    <w:rsid w:val="001C4118"/>
    <w:rsid w:val="001C42CA"/>
    <w:rsid w:val="001C6416"/>
    <w:rsid w:val="001D02F1"/>
    <w:rsid w:val="001D0B75"/>
    <w:rsid w:val="001D4428"/>
    <w:rsid w:val="001D4E76"/>
    <w:rsid w:val="001D758D"/>
    <w:rsid w:val="001E0E75"/>
    <w:rsid w:val="001E21A3"/>
    <w:rsid w:val="001E44EA"/>
    <w:rsid w:val="001E4B4D"/>
    <w:rsid w:val="001E71D6"/>
    <w:rsid w:val="001F091C"/>
    <w:rsid w:val="001F20D5"/>
    <w:rsid w:val="001F2118"/>
    <w:rsid w:val="001F23AB"/>
    <w:rsid w:val="001F3088"/>
    <w:rsid w:val="001F3306"/>
    <w:rsid w:val="001F3A72"/>
    <w:rsid w:val="001F3FEB"/>
    <w:rsid w:val="001F7000"/>
    <w:rsid w:val="001F7A19"/>
    <w:rsid w:val="001F7F64"/>
    <w:rsid w:val="002004BB"/>
    <w:rsid w:val="002021D9"/>
    <w:rsid w:val="002022E6"/>
    <w:rsid w:val="00203D0D"/>
    <w:rsid w:val="00203FED"/>
    <w:rsid w:val="002052B6"/>
    <w:rsid w:val="0020560B"/>
    <w:rsid w:val="0020622E"/>
    <w:rsid w:val="002070C9"/>
    <w:rsid w:val="00212A0E"/>
    <w:rsid w:val="0021386F"/>
    <w:rsid w:val="00215520"/>
    <w:rsid w:val="0021598F"/>
    <w:rsid w:val="00216CA2"/>
    <w:rsid w:val="00217C48"/>
    <w:rsid w:val="00220348"/>
    <w:rsid w:val="002203E8"/>
    <w:rsid w:val="002214A8"/>
    <w:rsid w:val="00223F77"/>
    <w:rsid w:val="00225AC5"/>
    <w:rsid w:val="0022752B"/>
    <w:rsid w:val="00230134"/>
    <w:rsid w:val="00230C02"/>
    <w:rsid w:val="002318F5"/>
    <w:rsid w:val="00232A36"/>
    <w:rsid w:val="00233154"/>
    <w:rsid w:val="0023472A"/>
    <w:rsid w:val="00234A60"/>
    <w:rsid w:val="00235810"/>
    <w:rsid w:val="0023628B"/>
    <w:rsid w:val="0023780D"/>
    <w:rsid w:val="0024289F"/>
    <w:rsid w:val="00244516"/>
    <w:rsid w:val="002446DB"/>
    <w:rsid w:val="002464D4"/>
    <w:rsid w:val="00246908"/>
    <w:rsid w:val="00247047"/>
    <w:rsid w:val="002508DE"/>
    <w:rsid w:val="002519CC"/>
    <w:rsid w:val="0025255D"/>
    <w:rsid w:val="002543A7"/>
    <w:rsid w:val="00254CF2"/>
    <w:rsid w:val="00255973"/>
    <w:rsid w:val="00257E18"/>
    <w:rsid w:val="002616B4"/>
    <w:rsid w:val="002639D5"/>
    <w:rsid w:val="0026618C"/>
    <w:rsid w:val="0026781E"/>
    <w:rsid w:val="00267B4D"/>
    <w:rsid w:val="00267D72"/>
    <w:rsid w:val="00267DC5"/>
    <w:rsid w:val="00270290"/>
    <w:rsid w:val="00270999"/>
    <w:rsid w:val="002712E4"/>
    <w:rsid w:val="00273AFA"/>
    <w:rsid w:val="00273F87"/>
    <w:rsid w:val="0027588A"/>
    <w:rsid w:val="00275D3F"/>
    <w:rsid w:val="00275E17"/>
    <w:rsid w:val="00276F33"/>
    <w:rsid w:val="00280CAB"/>
    <w:rsid w:val="00285F19"/>
    <w:rsid w:val="0028626A"/>
    <w:rsid w:val="0028784A"/>
    <w:rsid w:val="00287C40"/>
    <w:rsid w:val="0029302C"/>
    <w:rsid w:val="00294FE3"/>
    <w:rsid w:val="00295C38"/>
    <w:rsid w:val="00296638"/>
    <w:rsid w:val="0029799A"/>
    <w:rsid w:val="00297DAE"/>
    <w:rsid w:val="002A02B7"/>
    <w:rsid w:val="002A0A33"/>
    <w:rsid w:val="002A133D"/>
    <w:rsid w:val="002A25B1"/>
    <w:rsid w:val="002A5487"/>
    <w:rsid w:val="002B2426"/>
    <w:rsid w:val="002B30EE"/>
    <w:rsid w:val="002B373C"/>
    <w:rsid w:val="002B4AF2"/>
    <w:rsid w:val="002B70F9"/>
    <w:rsid w:val="002C04F1"/>
    <w:rsid w:val="002C06DF"/>
    <w:rsid w:val="002C1B83"/>
    <w:rsid w:val="002C1FCC"/>
    <w:rsid w:val="002C24D2"/>
    <w:rsid w:val="002C263C"/>
    <w:rsid w:val="002C3C64"/>
    <w:rsid w:val="002C3E77"/>
    <w:rsid w:val="002D02B6"/>
    <w:rsid w:val="002D074D"/>
    <w:rsid w:val="002D081C"/>
    <w:rsid w:val="002D0FA7"/>
    <w:rsid w:val="002D10BF"/>
    <w:rsid w:val="002D1437"/>
    <w:rsid w:val="002D15C0"/>
    <w:rsid w:val="002D20EA"/>
    <w:rsid w:val="002D32C4"/>
    <w:rsid w:val="002D45B2"/>
    <w:rsid w:val="002D4F50"/>
    <w:rsid w:val="002D5226"/>
    <w:rsid w:val="002D53CE"/>
    <w:rsid w:val="002D53DE"/>
    <w:rsid w:val="002D638E"/>
    <w:rsid w:val="002E07FE"/>
    <w:rsid w:val="002E0A24"/>
    <w:rsid w:val="002E2D81"/>
    <w:rsid w:val="002E446F"/>
    <w:rsid w:val="002E4CEB"/>
    <w:rsid w:val="002E5897"/>
    <w:rsid w:val="002E5E50"/>
    <w:rsid w:val="002E7094"/>
    <w:rsid w:val="002F1124"/>
    <w:rsid w:val="002F11F3"/>
    <w:rsid w:val="002F173F"/>
    <w:rsid w:val="002F2492"/>
    <w:rsid w:val="002F4331"/>
    <w:rsid w:val="002F7022"/>
    <w:rsid w:val="002F71AA"/>
    <w:rsid w:val="002F76A7"/>
    <w:rsid w:val="00300696"/>
    <w:rsid w:val="00300823"/>
    <w:rsid w:val="0030161F"/>
    <w:rsid w:val="00301DB0"/>
    <w:rsid w:val="003034C4"/>
    <w:rsid w:val="0030713E"/>
    <w:rsid w:val="0030717B"/>
    <w:rsid w:val="003077CD"/>
    <w:rsid w:val="00310C35"/>
    <w:rsid w:val="003114EF"/>
    <w:rsid w:val="0031239D"/>
    <w:rsid w:val="00312680"/>
    <w:rsid w:val="00314765"/>
    <w:rsid w:val="00314D86"/>
    <w:rsid w:val="0031520B"/>
    <w:rsid w:val="003153CC"/>
    <w:rsid w:val="0031665E"/>
    <w:rsid w:val="00317A6C"/>
    <w:rsid w:val="00317BDF"/>
    <w:rsid w:val="003203CB"/>
    <w:rsid w:val="00321320"/>
    <w:rsid w:val="003221B8"/>
    <w:rsid w:val="003232EE"/>
    <w:rsid w:val="00323365"/>
    <w:rsid w:val="00323D1B"/>
    <w:rsid w:val="003240AF"/>
    <w:rsid w:val="00324BB0"/>
    <w:rsid w:val="0032625C"/>
    <w:rsid w:val="003268AC"/>
    <w:rsid w:val="00326E9C"/>
    <w:rsid w:val="00327E31"/>
    <w:rsid w:val="0033134A"/>
    <w:rsid w:val="00331A48"/>
    <w:rsid w:val="00332D56"/>
    <w:rsid w:val="00333FDC"/>
    <w:rsid w:val="003347D0"/>
    <w:rsid w:val="00334EA6"/>
    <w:rsid w:val="003359F0"/>
    <w:rsid w:val="00337057"/>
    <w:rsid w:val="003379DD"/>
    <w:rsid w:val="003419D4"/>
    <w:rsid w:val="00341B2B"/>
    <w:rsid w:val="00341E96"/>
    <w:rsid w:val="00342B87"/>
    <w:rsid w:val="00342F9A"/>
    <w:rsid w:val="00343386"/>
    <w:rsid w:val="00343C2A"/>
    <w:rsid w:val="0034730C"/>
    <w:rsid w:val="00350147"/>
    <w:rsid w:val="003506FE"/>
    <w:rsid w:val="0035081C"/>
    <w:rsid w:val="003522BF"/>
    <w:rsid w:val="00352C2A"/>
    <w:rsid w:val="003540D3"/>
    <w:rsid w:val="00357CC4"/>
    <w:rsid w:val="00360D61"/>
    <w:rsid w:val="0036182E"/>
    <w:rsid w:val="00362B2E"/>
    <w:rsid w:val="00364702"/>
    <w:rsid w:val="00366559"/>
    <w:rsid w:val="00366E83"/>
    <w:rsid w:val="00366ED5"/>
    <w:rsid w:val="00367136"/>
    <w:rsid w:val="003716B1"/>
    <w:rsid w:val="00371A44"/>
    <w:rsid w:val="00371FE8"/>
    <w:rsid w:val="00373395"/>
    <w:rsid w:val="00373E9C"/>
    <w:rsid w:val="00374102"/>
    <w:rsid w:val="00375198"/>
    <w:rsid w:val="00376A44"/>
    <w:rsid w:val="003773D5"/>
    <w:rsid w:val="00377614"/>
    <w:rsid w:val="00380BF7"/>
    <w:rsid w:val="003842C4"/>
    <w:rsid w:val="00391BDF"/>
    <w:rsid w:val="0039219E"/>
    <w:rsid w:val="00392714"/>
    <w:rsid w:val="0039308E"/>
    <w:rsid w:val="00395B23"/>
    <w:rsid w:val="00397076"/>
    <w:rsid w:val="003A06CA"/>
    <w:rsid w:val="003A08AF"/>
    <w:rsid w:val="003A14F9"/>
    <w:rsid w:val="003A2E8C"/>
    <w:rsid w:val="003A2F60"/>
    <w:rsid w:val="003A374F"/>
    <w:rsid w:val="003A37B0"/>
    <w:rsid w:val="003A3C41"/>
    <w:rsid w:val="003A642A"/>
    <w:rsid w:val="003B045A"/>
    <w:rsid w:val="003B16D3"/>
    <w:rsid w:val="003B1754"/>
    <w:rsid w:val="003B22CA"/>
    <w:rsid w:val="003B3E39"/>
    <w:rsid w:val="003B3E5F"/>
    <w:rsid w:val="003B5920"/>
    <w:rsid w:val="003B722A"/>
    <w:rsid w:val="003B7494"/>
    <w:rsid w:val="003C1420"/>
    <w:rsid w:val="003C3E64"/>
    <w:rsid w:val="003C4214"/>
    <w:rsid w:val="003C4604"/>
    <w:rsid w:val="003C4B4D"/>
    <w:rsid w:val="003C5507"/>
    <w:rsid w:val="003C5E01"/>
    <w:rsid w:val="003C703D"/>
    <w:rsid w:val="003D30E9"/>
    <w:rsid w:val="003D34F6"/>
    <w:rsid w:val="003D4010"/>
    <w:rsid w:val="003D4217"/>
    <w:rsid w:val="003D5EB3"/>
    <w:rsid w:val="003D6FA4"/>
    <w:rsid w:val="003D7B82"/>
    <w:rsid w:val="003E1945"/>
    <w:rsid w:val="003E1D27"/>
    <w:rsid w:val="003E234F"/>
    <w:rsid w:val="003E2995"/>
    <w:rsid w:val="003E2BA0"/>
    <w:rsid w:val="003E4135"/>
    <w:rsid w:val="003E52B8"/>
    <w:rsid w:val="003E5BB0"/>
    <w:rsid w:val="003F023C"/>
    <w:rsid w:val="003F2985"/>
    <w:rsid w:val="003F2F1B"/>
    <w:rsid w:val="003F3180"/>
    <w:rsid w:val="003F3B54"/>
    <w:rsid w:val="003F3D48"/>
    <w:rsid w:val="003F592D"/>
    <w:rsid w:val="003F78F7"/>
    <w:rsid w:val="00400A38"/>
    <w:rsid w:val="00402178"/>
    <w:rsid w:val="004031B6"/>
    <w:rsid w:val="00404CAD"/>
    <w:rsid w:val="0040563C"/>
    <w:rsid w:val="004062D3"/>
    <w:rsid w:val="004067D1"/>
    <w:rsid w:val="00406C45"/>
    <w:rsid w:val="0040703F"/>
    <w:rsid w:val="00407A3D"/>
    <w:rsid w:val="00410455"/>
    <w:rsid w:val="004112FF"/>
    <w:rsid w:val="00412119"/>
    <w:rsid w:val="0041285E"/>
    <w:rsid w:val="00412DEB"/>
    <w:rsid w:val="00412FC0"/>
    <w:rsid w:val="00413727"/>
    <w:rsid w:val="00414091"/>
    <w:rsid w:val="004155A1"/>
    <w:rsid w:val="00415673"/>
    <w:rsid w:val="00416F3C"/>
    <w:rsid w:val="0041733E"/>
    <w:rsid w:val="004236E9"/>
    <w:rsid w:val="004237AF"/>
    <w:rsid w:val="00423F6E"/>
    <w:rsid w:val="00424335"/>
    <w:rsid w:val="00424F7E"/>
    <w:rsid w:val="0042588D"/>
    <w:rsid w:val="00425CC9"/>
    <w:rsid w:val="00427B6F"/>
    <w:rsid w:val="00432495"/>
    <w:rsid w:val="00432C10"/>
    <w:rsid w:val="0043381A"/>
    <w:rsid w:val="004339F7"/>
    <w:rsid w:val="00434A3A"/>
    <w:rsid w:val="0043705E"/>
    <w:rsid w:val="004408D4"/>
    <w:rsid w:val="00441331"/>
    <w:rsid w:val="0044188E"/>
    <w:rsid w:val="0044203D"/>
    <w:rsid w:val="00443EB9"/>
    <w:rsid w:val="00444433"/>
    <w:rsid w:val="00444DC6"/>
    <w:rsid w:val="0044687A"/>
    <w:rsid w:val="004473F1"/>
    <w:rsid w:val="004478EC"/>
    <w:rsid w:val="00447D56"/>
    <w:rsid w:val="00450EF7"/>
    <w:rsid w:val="00451B03"/>
    <w:rsid w:val="00452068"/>
    <w:rsid w:val="0045659D"/>
    <w:rsid w:val="004571C6"/>
    <w:rsid w:val="00457A00"/>
    <w:rsid w:val="00462109"/>
    <w:rsid w:val="00464F81"/>
    <w:rsid w:val="00465110"/>
    <w:rsid w:val="0046513B"/>
    <w:rsid w:val="00467D91"/>
    <w:rsid w:val="00467DA9"/>
    <w:rsid w:val="00470C40"/>
    <w:rsid w:val="00473EA6"/>
    <w:rsid w:val="00474B85"/>
    <w:rsid w:val="00474E98"/>
    <w:rsid w:val="00475E28"/>
    <w:rsid w:val="00475F06"/>
    <w:rsid w:val="00476B26"/>
    <w:rsid w:val="00477E43"/>
    <w:rsid w:val="00480B4E"/>
    <w:rsid w:val="00480B88"/>
    <w:rsid w:val="00481691"/>
    <w:rsid w:val="00482626"/>
    <w:rsid w:val="00483DD7"/>
    <w:rsid w:val="004859B3"/>
    <w:rsid w:val="00487BC2"/>
    <w:rsid w:val="00487EAF"/>
    <w:rsid w:val="004915DA"/>
    <w:rsid w:val="004916B2"/>
    <w:rsid w:val="00491881"/>
    <w:rsid w:val="00493CF4"/>
    <w:rsid w:val="00493EA2"/>
    <w:rsid w:val="004945AD"/>
    <w:rsid w:val="00494A00"/>
    <w:rsid w:val="00494BC2"/>
    <w:rsid w:val="0049613E"/>
    <w:rsid w:val="004978C4"/>
    <w:rsid w:val="004A18A3"/>
    <w:rsid w:val="004A1BFA"/>
    <w:rsid w:val="004A1EF0"/>
    <w:rsid w:val="004A2BDB"/>
    <w:rsid w:val="004A3E95"/>
    <w:rsid w:val="004A446C"/>
    <w:rsid w:val="004A4626"/>
    <w:rsid w:val="004A47D5"/>
    <w:rsid w:val="004A4E98"/>
    <w:rsid w:val="004A5244"/>
    <w:rsid w:val="004A5CDD"/>
    <w:rsid w:val="004A65D3"/>
    <w:rsid w:val="004B096A"/>
    <w:rsid w:val="004B115E"/>
    <w:rsid w:val="004B1B3B"/>
    <w:rsid w:val="004B3190"/>
    <w:rsid w:val="004B3BA4"/>
    <w:rsid w:val="004B5B7F"/>
    <w:rsid w:val="004B6353"/>
    <w:rsid w:val="004B6976"/>
    <w:rsid w:val="004B6B65"/>
    <w:rsid w:val="004B6E79"/>
    <w:rsid w:val="004B73B2"/>
    <w:rsid w:val="004C15CF"/>
    <w:rsid w:val="004C3624"/>
    <w:rsid w:val="004C4905"/>
    <w:rsid w:val="004C4B97"/>
    <w:rsid w:val="004C523B"/>
    <w:rsid w:val="004C67DD"/>
    <w:rsid w:val="004C7E60"/>
    <w:rsid w:val="004D043D"/>
    <w:rsid w:val="004D0654"/>
    <w:rsid w:val="004D206E"/>
    <w:rsid w:val="004D253B"/>
    <w:rsid w:val="004D35F0"/>
    <w:rsid w:val="004D4512"/>
    <w:rsid w:val="004D6164"/>
    <w:rsid w:val="004D7DD7"/>
    <w:rsid w:val="004E0433"/>
    <w:rsid w:val="004E0EF0"/>
    <w:rsid w:val="004E253D"/>
    <w:rsid w:val="004E561C"/>
    <w:rsid w:val="004E6335"/>
    <w:rsid w:val="004F0E3F"/>
    <w:rsid w:val="004F0FC5"/>
    <w:rsid w:val="004F29C4"/>
    <w:rsid w:val="004F32C5"/>
    <w:rsid w:val="004F3EA3"/>
    <w:rsid w:val="004F4BCA"/>
    <w:rsid w:val="004F58BA"/>
    <w:rsid w:val="004F6220"/>
    <w:rsid w:val="004F6AD0"/>
    <w:rsid w:val="00500160"/>
    <w:rsid w:val="00500740"/>
    <w:rsid w:val="005030E0"/>
    <w:rsid w:val="00503A0C"/>
    <w:rsid w:val="00503D3B"/>
    <w:rsid w:val="005043D2"/>
    <w:rsid w:val="00506F78"/>
    <w:rsid w:val="00507BA3"/>
    <w:rsid w:val="00507F66"/>
    <w:rsid w:val="00511A14"/>
    <w:rsid w:val="005125A0"/>
    <w:rsid w:val="005139B6"/>
    <w:rsid w:val="00513D28"/>
    <w:rsid w:val="00514669"/>
    <w:rsid w:val="00514AB5"/>
    <w:rsid w:val="005156D6"/>
    <w:rsid w:val="00516991"/>
    <w:rsid w:val="0051751A"/>
    <w:rsid w:val="0051793E"/>
    <w:rsid w:val="0052100F"/>
    <w:rsid w:val="0052215A"/>
    <w:rsid w:val="00522586"/>
    <w:rsid w:val="00523CBB"/>
    <w:rsid w:val="005245CD"/>
    <w:rsid w:val="00524DED"/>
    <w:rsid w:val="005251DF"/>
    <w:rsid w:val="00525215"/>
    <w:rsid w:val="00525780"/>
    <w:rsid w:val="0052597E"/>
    <w:rsid w:val="00530BDC"/>
    <w:rsid w:val="00533B40"/>
    <w:rsid w:val="00533B4F"/>
    <w:rsid w:val="0054090B"/>
    <w:rsid w:val="00541946"/>
    <w:rsid w:val="00541B0C"/>
    <w:rsid w:val="0054231D"/>
    <w:rsid w:val="00542D56"/>
    <w:rsid w:val="00543938"/>
    <w:rsid w:val="00544682"/>
    <w:rsid w:val="005448C0"/>
    <w:rsid w:val="005453E2"/>
    <w:rsid w:val="00545D1E"/>
    <w:rsid w:val="00546557"/>
    <w:rsid w:val="005479C3"/>
    <w:rsid w:val="00547E3A"/>
    <w:rsid w:val="00550215"/>
    <w:rsid w:val="00551FED"/>
    <w:rsid w:val="00553328"/>
    <w:rsid w:val="0055351A"/>
    <w:rsid w:val="00555CA0"/>
    <w:rsid w:val="00557513"/>
    <w:rsid w:val="005609A7"/>
    <w:rsid w:val="00561DCB"/>
    <w:rsid w:val="005620EE"/>
    <w:rsid w:val="00562672"/>
    <w:rsid w:val="005626EC"/>
    <w:rsid w:val="005635C4"/>
    <w:rsid w:val="00564735"/>
    <w:rsid w:val="00564CC6"/>
    <w:rsid w:val="00564F2C"/>
    <w:rsid w:val="00565F61"/>
    <w:rsid w:val="005673E2"/>
    <w:rsid w:val="00567981"/>
    <w:rsid w:val="005703BB"/>
    <w:rsid w:val="00570C23"/>
    <w:rsid w:val="00570FC8"/>
    <w:rsid w:val="00574081"/>
    <w:rsid w:val="0057445D"/>
    <w:rsid w:val="00575EE9"/>
    <w:rsid w:val="005777EE"/>
    <w:rsid w:val="00582E31"/>
    <w:rsid w:val="00584A79"/>
    <w:rsid w:val="00584CD6"/>
    <w:rsid w:val="005859E4"/>
    <w:rsid w:val="00585ED1"/>
    <w:rsid w:val="0058698D"/>
    <w:rsid w:val="005903EE"/>
    <w:rsid w:val="00590F6B"/>
    <w:rsid w:val="0059163A"/>
    <w:rsid w:val="0059242C"/>
    <w:rsid w:val="00593550"/>
    <w:rsid w:val="0059394E"/>
    <w:rsid w:val="00593FFF"/>
    <w:rsid w:val="0059519B"/>
    <w:rsid w:val="005975CD"/>
    <w:rsid w:val="005A2DFC"/>
    <w:rsid w:val="005A4F90"/>
    <w:rsid w:val="005A575A"/>
    <w:rsid w:val="005A5EBA"/>
    <w:rsid w:val="005A67D9"/>
    <w:rsid w:val="005A7932"/>
    <w:rsid w:val="005B04BF"/>
    <w:rsid w:val="005B0C60"/>
    <w:rsid w:val="005B40B4"/>
    <w:rsid w:val="005B4FDE"/>
    <w:rsid w:val="005B5113"/>
    <w:rsid w:val="005C1D57"/>
    <w:rsid w:val="005C2DF5"/>
    <w:rsid w:val="005C3AA7"/>
    <w:rsid w:val="005C50DC"/>
    <w:rsid w:val="005C537A"/>
    <w:rsid w:val="005C615D"/>
    <w:rsid w:val="005C64CB"/>
    <w:rsid w:val="005C775E"/>
    <w:rsid w:val="005C79FD"/>
    <w:rsid w:val="005D12BF"/>
    <w:rsid w:val="005D21F9"/>
    <w:rsid w:val="005D4051"/>
    <w:rsid w:val="005D51BD"/>
    <w:rsid w:val="005D621C"/>
    <w:rsid w:val="005D66E6"/>
    <w:rsid w:val="005D673C"/>
    <w:rsid w:val="005D78DF"/>
    <w:rsid w:val="005D7C05"/>
    <w:rsid w:val="005E0AAF"/>
    <w:rsid w:val="005E1CCD"/>
    <w:rsid w:val="005E3F54"/>
    <w:rsid w:val="005E3FF8"/>
    <w:rsid w:val="005E43CE"/>
    <w:rsid w:val="005E4D56"/>
    <w:rsid w:val="005E5344"/>
    <w:rsid w:val="005E7454"/>
    <w:rsid w:val="005F0839"/>
    <w:rsid w:val="005F1A78"/>
    <w:rsid w:val="005F41BC"/>
    <w:rsid w:val="005F4403"/>
    <w:rsid w:val="005F6368"/>
    <w:rsid w:val="005F63DD"/>
    <w:rsid w:val="00600CB7"/>
    <w:rsid w:val="00602F11"/>
    <w:rsid w:val="006051F3"/>
    <w:rsid w:val="00610885"/>
    <w:rsid w:val="00610925"/>
    <w:rsid w:val="0061093F"/>
    <w:rsid w:val="00610EC9"/>
    <w:rsid w:val="00610F95"/>
    <w:rsid w:val="0061315F"/>
    <w:rsid w:val="00615099"/>
    <w:rsid w:val="006178E5"/>
    <w:rsid w:val="00622A0D"/>
    <w:rsid w:val="0062579C"/>
    <w:rsid w:val="00625915"/>
    <w:rsid w:val="006272D4"/>
    <w:rsid w:val="0062755C"/>
    <w:rsid w:val="00627DC2"/>
    <w:rsid w:val="006307E4"/>
    <w:rsid w:val="0063124F"/>
    <w:rsid w:val="00632AB7"/>
    <w:rsid w:val="00632D8B"/>
    <w:rsid w:val="00634492"/>
    <w:rsid w:val="006356B3"/>
    <w:rsid w:val="00635B8D"/>
    <w:rsid w:val="0063743A"/>
    <w:rsid w:val="006416A3"/>
    <w:rsid w:val="0064185F"/>
    <w:rsid w:val="006422A2"/>
    <w:rsid w:val="00642DFD"/>
    <w:rsid w:val="00642E37"/>
    <w:rsid w:val="00643578"/>
    <w:rsid w:val="00643811"/>
    <w:rsid w:val="0064511A"/>
    <w:rsid w:val="00646885"/>
    <w:rsid w:val="00646C98"/>
    <w:rsid w:val="00650960"/>
    <w:rsid w:val="006515E9"/>
    <w:rsid w:val="00653A05"/>
    <w:rsid w:val="006551A3"/>
    <w:rsid w:val="00655757"/>
    <w:rsid w:val="006568FF"/>
    <w:rsid w:val="00660924"/>
    <w:rsid w:val="006611F9"/>
    <w:rsid w:val="00661E9D"/>
    <w:rsid w:val="00662939"/>
    <w:rsid w:val="00662D0F"/>
    <w:rsid w:val="00663350"/>
    <w:rsid w:val="006640A7"/>
    <w:rsid w:val="00664586"/>
    <w:rsid w:val="0066569C"/>
    <w:rsid w:val="006668E7"/>
    <w:rsid w:val="0066768C"/>
    <w:rsid w:val="00671EF7"/>
    <w:rsid w:val="00672379"/>
    <w:rsid w:val="0067377E"/>
    <w:rsid w:val="00673866"/>
    <w:rsid w:val="00673E18"/>
    <w:rsid w:val="00674747"/>
    <w:rsid w:val="00676162"/>
    <w:rsid w:val="00681696"/>
    <w:rsid w:val="006827F6"/>
    <w:rsid w:val="00683979"/>
    <w:rsid w:val="006849F9"/>
    <w:rsid w:val="00685A66"/>
    <w:rsid w:val="00685F99"/>
    <w:rsid w:val="00690D76"/>
    <w:rsid w:val="006917CD"/>
    <w:rsid w:val="00692860"/>
    <w:rsid w:val="00692902"/>
    <w:rsid w:val="00693B54"/>
    <w:rsid w:val="006953B7"/>
    <w:rsid w:val="00695E9A"/>
    <w:rsid w:val="00696F09"/>
    <w:rsid w:val="006A0F4D"/>
    <w:rsid w:val="006A2275"/>
    <w:rsid w:val="006A256A"/>
    <w:rsid w:val="006A29A1"/>
    <w:rsid w:val="006A2F3A"/>
    <w:rsid w:val="006A3EEC"/>
    <w:rsid w:val="006A401F"/>
    <w:rsid w:val="006A6C01"/>
    <w:rsid w:val="006A7497"/>
    <w:rsid w:val="006A7DE6"/>
    <w:rsid w:val="006B2EC5"/>
    <w:rsid w:val="006B32FB"/>
    <w:rsid w:val="006B6EA0"/>
    <w:rsid w:val="006B70A9"/>
    <w:rsid w:val="006C0076"/>
    <w:rsid w:val="006C07A4"/>
    <w:rsid w:val="006C0BC1"/>
    <w:rsid w:val="006C10BA"/>
    <w:rsid w:val="006C1ADF"/>
    <w:rsid w:val="006C235D"/>
    <w:rsid w:val="006C289E"/>
    <w:rsid w:val="006C3FCA"/>
    <w:rsid w:val="006C4A24"/>
    <w:rsid w:val="006C6DBF"/>
    <w:rsid w:val="006D0857"/>
    <w:rsid w:val="006D15EE"/>
    <w:rsid w:val="006D2C22"/>
    <w:rsid w:val="006D3075"/>
    <w:rsid w:val="006D5068"/>
    <w:rsid w:val="006D58CC"/>
    <w:rsid w:val="006E1A1F"/>
    <w:rsid w:val="006E31FC"/>
    <w:rsid w:val="006E3B52"/>
    <w:rsid w:val="006F0993"/>
    <w:rsid w:val="006F12A1"/>
    <w:rsid w:val="006F1A14"/>
    <w:rsid w:val="006F372B"/>
    <w:rsid w:val="006F3E7C"/>
    <w:rsid w:val="006F59E3"/>
    <w:rsid w:val="006F6340"/>
    <w:rsid w:val="006F647A"/>
    <w:rsid w:val="006F6909"/>
    <w:rsid w:val="006F786D"/>
    <w:rsid w:val="007007F1"/>
    <w:rsid w:val="00700F13"/>
    <w:rsid w:val="00701119"/>
    <w:rsid w:val="00701843"/>
    <w:rsid w:val="007019F5"/>
    <w:rsid w:val="00701E64"/>
    <w:rsid w:val="007031E7"/>
    <w:rsid w:val="00704510"/>
    <w:rsid w:val="007074F6"/>
    <w:rsid w:val="00707CE7"/>
    <w:rsid w:val="007105FC"/>
    <w:rsid w:val="00710697"/>
    <w:rsid w:val="0071168F"/>
    <w:rsid w:val="00712D27"/>
    <w:rsid w:val="00713F5A"/>
    <w:rsid w:val="00714CAB"/>
    <w:rsid w:val="0071537A"/>
    <w:rsid w:val="0071543E"/>
    <w:rsid w:val="00715529"/>
    <w:rsid w:val="00717A63"/>
    <w:rsid w:val="00720199"/>
    <w:rsid w:val="00720EEA"/>
    <w:rsid w:val="00721889"/>
    <w:rsid w:val="00722DB9"/>
    <w:rsid w:val="007240E3"/>
    <w:rsid w:val="007241E9"/>
    <w:rsid w:val="00724A38"/>
    <w:rsid w:val="007256BB"/>
    <w:rsid w:val="007260A6"/>
    <w:rsid w:val="00726E26"/>
    <w:rsid w:val="00727A20"/>
    <w:rsid w:val="00730F9F"/>
    <w:rsid w:val="00733023"/>
    <w:rsid w:val="00733749"/>
    <w:rsid w:val="00733A13"/>
    <w:rsid w:val="00736912"/>
    <w:rsid w:val="0073712A"/>
    <w:rsid w:val="00740ACE"/>
    <w:rsid w:val="00741239"/>
    <w:rsid w:val="007435C6"/>
    <w:rsid w:val="00743D72"/>
    <w:rsid w:val="00743EF6"/>
    <w:rsid w:val="007454C1"/>
    <w:rsid w:val="007465CB"/>
    <w:rsid w:val="00746DB7"/>
    <w:rsid w:val="00750A6C"/>
    <w:rsid w:val="007515A7"/>
    <w:rsid w:val="00751917"/>
    <w:rsid w:val="00752B70"/>
    <w:rsid w:val="007532DF"/>
    <w:rsid w:val="00754663"/>
    <w:rsid w:val="007554E1"/>
    <w:rsid w:val="00755DA6"/>
    <w:rsid w:val="0075761B"/>
    <w:rsid w:val="007608EC"/>
    <w:rsid w:val="0076141A"/>
    <w:rsid w:val="00761567"/>
    <w:rsid w:val="00762164"/>
    <w:rsid w:val="007622A5"/>
    <w:rsid w:val="007641D8"/>
    <w:rsid w:val="007642EC"/>
    <w:rsid w:val="00766AD9"/>
    <w:rsid w:val="00767789"/>
    <w:rsid w:val="00770A7F"/>
    <w:rsid w:val="00770CCD"/>
    <w:rsid w:val="00772DDA"/>
    <w:rsid w:val="00773E00"/>
    <w:rsid w:val="0077404A"/>
    <w:rsid w:val="0077422B"/>
    <w:rsid w:val="00774C44"/>
    <w:rsid w:val="00775E8D"/>
    <w:rsid w:val="0078069D"/>
    <w:rsid w:val="00782667"/>
    <w:rsid w:val="007831AA"/>
    <w:rsid w:val="00783233"/>
    <w:rsid w:val="00783E06"/>
    <w:rsid w:val="00783FCF"/>
    <w:rsid w:val="0078426C"/>
    <w:rsid w:val="00786052"/>
    <w:rsid w:val="0078644F"/>
    <w:rsid w:val="007909B7"/>
    <w:rsid w:val="00790A4C"/>
    <w:rsid w:val="00790A7E"/>
    <w:rsid w:val="00791201"/>
    <w:rsid w:val="0079310F"/>
    <w:rsid w:val="00794480"/>
    <w:rsid w:val="007A109E"/>
    <w:rsid w:val="007A1A9C"/>
    <w:rsid w:val="007A31B4"/>
    <w:rsid w:val="007A5308"/>
    <w:rsid w:val="007A5967"/>
    <w:rsid w:val="007A6CB3"/>
    <w:rsid w:val="007A6CED"/>
    <w:rsid w:val="007A737A"/>
    <w:rsid w:val="007A7B5B"/>
    <w:rsid w:val="007A7C60"/>
    <w:rsid w:val="007B2BCD"/>
    <w:rsid w:val="007B2F50"/>
    <w:rsid w:val="007B493B"/>
    <w:rsid w:val="007B4A89"/>
    <w:rsid w:val="007B778F"/>
    <w:rsid w:val="007C0A25"/>
    <w:rsid w:val="007C3775"/>
    <w:rsid w:val="007C4676"/>
    <w:rsid w:val="007C575B"/>
    <w:rsid w:val="007C737D"/>
    <w:rsid w:val="007C7DA7"/>
    <w:rsid w:val="007D03C9"/>
    <w:rsid w:val="007D06E3"/>
    <w:rsid w:val="007D126B"/>
    <w:rsid w:val="007D1854"/>
    <w:rsid w:val="007D18B5"/>
    <w:rsid w:val="007D23CB"/>
    <w:rsid w:val="007D23E2"/>
    <w:rsid w:val="007D2854"/>
    <w:rsid w:val="007D38C9"/>
    <w:rsid w:val="007D4391"/>
    <w:rsid w:val="007D43D6"/>
    <w:rsid w:val="007D7647"/>
    <w:rsid w:val="007E1C0F"/>
    <w:rsid w:val="007E2EF6"/>
    <w:rsid w:val="007E3413"/>
    <w:rsid w:val="007E4503"/>
    <w:rsid w:val="007E45C0"/>
    <w:rsid w:val="007E5793"/>
    <w:rsid w:val="007E67B3"/>
    <w:rsid w:val="007E7174"/>
    <w:rsid w:val="007E74AE"/>
    <w:rsid w:val="007F1DC4"/>
    <w:rsid w:val="007F41B2"/>
    <w:rsid w:val="007F49D1"/>
    <w:rsid w:val="007F4FC0"/>
    <w:rsid w:val="007F7C5D"/>
    <w:rsid w:val="00802475"/>
    <w:rsid w:val="008024C6"/>
    <w:rsid w:val="00803B42"/>
    <w:rsid w:val="0080468A"/>
    <w:rsid w:val="0080473B"/>
    <w:rsid w:val="00805241"/>
    <w:rsid w:val="00805999"/>
    <w:rsid w:val="00806CD5"/>
    <w:rsid w:val="00807AE4"/>
    <w:rsid w:val="00811492"/>
    <w:rsid w:val="0081400F"/>
    <w:rsid w:val="00816830"/>
    <w:rsid w:val="00816B68"/>
    <w:rsid w:val="008202ED"/>
    <w:rsid w:val="00820312"/>
    <w:rsid w:val="0082080D"/>
    <w:rsid w:val="0082136C"/>
    <w:rsid w:val="008215E9"/>
    <w:rsid w:val="00824DEE"/>
    <w:rsid w:val="00826212"/>
    <w:rsid w:val="0082718C"/>
    <w:rsid w:val="0082743B"/>
    <w:rsid w:val="008308EF"/>
    <w:rsid w:val="00830BCE"/>
    <w:rsid w:val="00830D49"/>
    <w:rsid w:val="0083197E"/>
    <w:rsid w:val="00832279"/>
    <w:rsid w:val="008342B2"/>
    <w:rsid w:val="0083564F"/>
    <w:rsid w:val="008360FF"/>
    <w:rsid w:val="00836107"/>
    <w:rsid w:val="00836FF8"/>
    <w:rsid w:val="00837F11"/>
    <w:rsid w:val="008421E1"/>
    <w:rsid w:val="00842B2C"/>
    <w:rsid w:val="0084329B"/>
    <w:rsid w:val="00845C09"/>
    <w:rsid w:val="00846632"/>
    <w:rsid w:val="008475BE"/>
    <w:rsid w:val="00847720"/>
    <w:rsid w:val="0085150B"/>
    <w:rsid w:val="00851624"/>
    <w:rsid w:val="00851C9A"/>
    <w:rsid w:val="0085248A"/>
    <w:rsid w:val="00852552"/>
    <w:rsid w:val="008526D1"/>
    <w:rsid w:val="00852C2A"/>
    <w:rsid w:val="008530EF"/>
    <w:rsid w:val="00853DD1"/>
    <w:rsid w:val="00854AA1"/>
    <w:rsid w:val="00854B16"/>
    <w:rsid w:val="00855AF8"/>
    <w:rsid w:val="00860307"/>
    <w:rsid w:val="00860831"/>
    <w:rsid w:val="00863078"/>
    <w:rsid w:val="008639E8"/>
    <w:rsid w:val="00863D4B"/>
    <w:rsid w:val="008664F2"/>
    <w:rsid w:val="00866BE4"/>
    <w:rsid w:val="008670B4"/>
    <w:rsid w:val="00867A76"/>
    <w:rsid w:val="00867B45"/>
    <w:rsid w:val="008716DA"/>
    <w:rsid w:val="00872109"/>
    <w:rsid w:val="00872FD8"/>
    <w:rsid w:val="00873687"/>
    <w:rsid w:val="00873993"/>
    <w:rsid w:val="00873D86"/>
    <w:rsid w:val="00874E4D"/>
    <w:rsid w:val="00877E4B"/>
    <w:rsid w:val="008827AF"/>
    <w:rsid w:val="00883BC5"/>
    <w:rsid w:val="008863B2"/>
    <w:rsid w:val="00893381"/>
    <w:rsid w:val="0089419B"/>
    <w:rsid w:val="008942A4"/>
    <w:rsid w:val="008946E9"/>
    <w:rsid w:val="00894A3A"/>
    <w:rsid w:val="00896EFE"/>
    <w:rsid w:val="00897A4B"/>
    <w:rsid w:val="008A3DE0"/>
    <w:rsid w:val="008A4321"/>
    <w:rsid w:val="008A63E1"/>
    <w:rsid w:val="008B0350"/>
    <w:rsid w:val="008B0B57"/>
    <w:rsid w:val="008B0C6D"/>
    <w:rsid w:val="008B4AB5"/>
    <w:rsid w:val="008B4B8A"/>
    <w:rsid w:val="008B4F40"/>
    <w:rsid w:val="008B4FC7"/>
    <w:rsid w:val="008B5834"/>
    <w:rsid w:val="008B681C"/>
    <w:rsid w:val="008B6B08"/>
    <w:rsid w:val="008C1993"/>
    <w:rsid w:val="008C1DD2"/>
    <w:rsid w:val="008C247B"/>
    <w:rsid w:val="008C33CF"/>
    <w:rsid w:val="008C43D0"/>
    <w:rsid w:val="008C47EB"/>
    <w:rsid w:val="008C4D1A"/>
    <w:rsid w:val="008C553B"/>
    <w:rsid w:val="008C738E"/>
    <w:rsid w:val="008C7BAE"/>
    <w:rsid w:val="008D1B64"/>
    <w:rsid w:val="008D1F24"/>
    <w:rsid w:val="008D304D"/>
    <w:rsid w:val="008D3CAB"/>
    <w:rsid w:val="008D4DFC"/>
    <w:rsid w:val="008D5462"/>
    <w:rsid w:val="008D7B15"/>
    <w:rsid w:val="008D7F6C"/>
    <w:rsid w:val="008E0578"/>
    <w:rsid w:val="008E2016"/>
    <w:rsid w:val="008E2350"/>
    <w:rsid w:val="008E375F"/>
    <w:rsid w:val="008E5243"/>
    <w:rsid w:val="008E629A"/>
    <w:rsid w:val="008E62EA"/>
    <w:rsid w:val="008E7B5A"/>
    <w:rsid w:val="008F1B11"/>
    <w:rsid w:val="008F21B4"/>
    <w:rsid w:val="008F26BE"/>
    <w:rsid w:val="008F2A95"/>
    <w:rsid w:val="008F3F1B"/>
    <w:rsid w:val="008F4C3C"/>
    <w:rsid w:val="008F5ABD"/>
    <w:rsid w:val="008F785F"/>
    <w:rsid w:val="009001F4"/>
    <w:rsid w:val="00900365"/>
    <w:rsid w:val="00900E0A"/>
    <w:rsid w:val="009033D7"/>
    <w:rsid w:val="00905329"/>
    <w:rsid w:val="0091142E"/>
    <w:rsid w:val="009127C4"/>
    <w:rsid w:val="00912DEF"/>
    <w:rsid w:val="00913CB3"/>
    <w:rsid w:val="00915291"/>
    <w:rsid w:val="00924942"/>
    <w:rsid w:val="00925035"/>
    <w:rsid w:val="009307BA"/>
    <w:rsid w:val="009320ED"/>
    <w:rsid w:val="0093249D"/>
    <w:rsid w:val="00932DF3"/>
    <w:rsid w:val="00932E16"/>
    <w:rsid w:val="00932EE2"/>
    <w:rsid w:val="00933276"/>
    <w:rsid w:val="00933F7B"/>
    <w:rsid w:val="00934F66"/>
    <w:rsid w:val="009355E2"/>
    <w:rsid w:val="009361F6"/>
    <w:rsid w:val="00942A32"/>
    <w:rsid w:val="00944C5D"/>
    <w:rsid w:val="00947CD3"/>
    <w:rsid w:val="0095028C"/>
    <w:rsid w:val="00950D6F"/>
    <w:rsid w:val="009515EA"/>
    <w:rsid w:val="0095195C"/>
    <w:rsid w:val="00954051"/>
    <w:rsid w:val="00954BD3"/>
    <w:rsid w:val="00955816"/>
    <w:rsid w:val="00957921"/>
    <w:rsid w:val="00965701"/>
    <w:rsid w:val="009679BA"/>
    <w:rsid w:val="00970069"/>
    <w:rsid w:val="00971CD2"/>
    <w:rsid w:val="00975A28"/>
    <w:rsid w:val="00980C20"/>
    <w:rsid w:val="0098249B"/>
    <w:rsid w:val="00982A41"/>
    <w:rsid w:val="009844A9"/>
    <w:rsid w:val="00984A15"/>
    <w:rsid w:val="00984AE2"/>
    <w:rsid w:val="00985A50"/>
    <w:rsid w:val="0098608C"/>
    <w:rsid w:val="00986A69"/>
    <w:rsid w:val="00987D0D"/>
    <w:rsid w:val="00990C77"/>
    <w:rsid w:val="00991093"/>
    <w:rsid w:val="00991EBA"/>
    <w:rsid w:val="0099275A"/>
    <w:rsid w:val="00992A93"/>
    <w:rsid w:val="00993306"/>
    <w:rsid w:val="0099404F"/>
    <w:rsid w:val="0099452E"/>
    <w:rsid w:val="009958D3"/>
    <w:rsid w:val="00996DDA"/>
    <w:rsid w:val="00997689"/>
    <w:rsid w:val="00997C32"/>
    <w:rsid w:val="009A171A"/>
    <w:rsid w:val="009A29D1"/>
    <w:rsid w:val="009A4A05"/>
    <w:rsid w:val="009A4E8D"/>
    <w:rsid w:val="009A5127"/>
    <w:rsid w:val="009A52B4"/>
    <w:rsid w:val="009A535D"/>
    <w:rsid w:val="009A5460"/>
    <w:rsid w:val="009A5A41"/>
    <w:rsid w:val="009A6543"/>
    <w:rsid w:val="009A65A3"/>
    <w:rsid w:val="009A7085"/>
    <w:rsid w:val="009A765A"/>
    <w:rsid w:val="009B0096"/>
    <w:rsid w:val="009B106C"/>
    <w:rsid w:val="009B17D1"/>
    <w:rsid w:val="009B3282"/>
    <w:rsid w:val="009B403A"/>
    <w:rsid w:val="009B5DCB"/>
    <w:rsid w:val="009C2027"/>
    <w:rsid w:val="009C246F"/>
    <w:rsid w:val="009C31C0"/>
    <w:rsid w:val="009C3252"/>
    <w:rsid w:val="009C61D7"/>
    <w:rsid w:val="009C7CE9"/>
    <w:rsid w:val="009D0902"/>
    <w:rsid w:val="009D4167"/>
    <w:rsid w:val="009D4871"/>
    <w:rsid w:val="009D7C37"/>
    <w:rsid w:val="009D7CAB"/>
    <w:rsid w:val="009E0837"/>
    <w:rsid w:val="009E1533"/>
    <w:rsid w:val="009E4723"/>
    <w:rsid w:val="009E615C"/>
    <w:rsid w:val="009E6B2A"/>
    <w:rsid w:val="009E6BEE"/>
    <w:rsid w:val="009F0212"/>
    <w:rsid w:val="009F108A"/>
    <w:rsid w:val="009F2DA9"/>
    <w:rsid w:val="009F5C07"/>
    <w:rsid w:val="009F5ED4"/>
    <w:rsid w:val="00A00C31"/>
    <w:rsid w:val="00A01AE6"/>
    <w:rsid w:val="00A06ABE"/>
    <w:rsid w:val="00A07280"/>
    <w:rsid w:val="00A10339"/>
    <w:rsid w:val="00A11E3E"/>
    <w:rsid w:val="00A1307F"/>
    <w:rsid w:val="00A13B7C"/>
    <w:rsid w:val="00A14550"/>
    <w:rsid w:val="00A15962"/>
    <w:rsid w:val="00A16682"/>
    <w:rsid w:val="00A16A01"/>
    <w:rsid w:val="00A204D9"/>
    <w:rsid w:val="00A210D2"/>
    <w:rsid w:val="00A2381A"/>
    <w:rsid w:val="00A2387F"/>
    <w:rsid w:val="00A25846"/>
    <w:rsid w:val="00A26231"/>
    <w:rsid w:val="00A26EAE"/>
    <w:rsid w:val="00A278DE"/>
    <w:rsid w:val="00A27A31"/>
    <w:rsid w:val="00A27F8D"/>
    <w:rsid w:val="00A30540"/>
    <w:rsid w:val="00A307E8"/>
    <w:rsid w:val="00A316D6"/>
    <w:rsid w:val="00A35669"/>
    <w:rsid w:val="00A37178"/>
    <w:rsid w:val="00A40096"/>
    <w:rsid w:val="00A41703"/>
    <w:rsid w:val="00A41CB3"/>
    <w:rsid w:val="00A41CD9"/>
    <w:rsid w:val="00A42151"/>
    <w:rsid w:val="00A4279F"/>
    <w:rsid w:val="00A42BE7"/>
    <w:rsid w:val="00A42E3D"/>
    <w:rsid w:val="00A42ED0"/>
    <w:rsid w:val="00A435BC"/>
    <w:rsid w:val="00A44A08"/>
    <w:rsid w:val="00A44CAD"/>
    <w:rsid w:val="00A453F4"/>
    <w:rsid w:val="00A4771D"/>
    <w:rsid w:val="00A47A53"/>
    <w:rsid w:val="00A47DE9"/>
    <w:rsid w:val="00A525ED"/>
    <w:rsid w:val="00A53229"/>
    <w:rsid w:val="00A54C64"/>
    <w:rsid w:val="00A56F88"/>
    <w:rsid w:val="00A57FAA"/>
    <w:rsid w:val="00A60020"/>
    <w:rsid w:val="00A6057F"/>
    <w:rsid w:val="00A61896"/>
    <w:rsid w:val="00A62E2A"/>
    <w:rsid w:val="00A63232"/>
    <w:rsid w:val="00A63276"/>
    <w:rsid w:val="00A65589"/>
    <w:rsid w:val="00A65ABB"/>
    <w:rsid w:val="00A65D20"/>
    <w:rsid w:val="00A665E1"/>
    <w:rsid w:val="00A67ED3"/>
    <w:rsid w:val="00A70D77"/>
    <w:rsid w:val="00A70E21"/>
    <w:rsid w:val="00A7138E"/>
    <w:rsid w:val="00A7175D"/>
    <w:rsid w:val="00A7248C"/>
    <w:rsid w:val="00A731E9"/>
    <w:rsid w:val="00A73F68"/>
    <w:rsid w:val="00A742D7"/>
    <w:rsid w:val="00A7616F"/>
    <w:rsid w:val="00A7715A"/>
    <w:rsid w:val="00A80A67"/>
    <w:rsid w:val="00A80C45"/>
    <w:rsid w:val="00A82363"/>
    <w:rsid w:val="00A835F3"/>
    <w:rsid w:val="00A8646B"/>
    <w:rsid w:val="00A868BC"/>
    <w:rsid w:val="00A87ADA"/>
    <w:rsid w:val="00A90592"/>
    <w:rsid w:val="00A91D66"/>
    <w:rsid w:val="00A92CDD"/>
    <w:rsid w:val="00A9343C"/>
    <w:rsid w:val="00A93D88"/>
    <w:rsid w:val="00A95DD9"/>
    <w:rsid w:val="00A97597"/>
    <w:rsid w:val="00AA0BFC"/>
    <w:rsid w:val="00AA22C8"/>
    <w:rsid w:val="00AA26F2"/>
    <w:rsid w:val="00AA3E41"/>
    <w:rsid w:val="00AA5324"/>
    <w:rsid w:val="00AA64F1"/>
    <w:rsid w:val="00AA6A32"/>
    <w:rsid w:val="00AA7505"/>
    <w:rsid w:val="00AB0443"/>
    <w:rsid w:val="00AB0A28"/>
    <w:rsid w:val="00AB0B77"/>
    <w:rsid w:val="00AB1595"/>
    <w:rsid w:val="00AB3E3C"/>
    <w:rsid w:val="00AB6643"/>
    <w:rsid w:val="00AB7107"/>
    <w:rsid w:val="00AB7986"/>
    <w:rsid w:val="00AC17EE"/>
    <w:rsid w:val="00AC39CE"/>
    <w:rsid w:val="00AC5C8F"/>
    <w:rsid w:val="00AC64E1"/>
    <w:rsid w:val="00AC6E6A"/>
    <w:rsid w:val="00AC7ECB"/>
    <w:rsid w:val="00AD2008"/>
    <w:rsid w:val="00AD4353"/>
    <w:rsid w:val="00AD44B3"/>
    <w:rsid w:val="00AD6A49"/>
    <w:rsid w:val="00AD70D6"/>
    <w:rsid w:val="00AE0255"/>
    <w:rsid w:val="00AE15EE"/>
    <w:rsid w:val="00AE1D50"/>
    <w:rsid w:val="00AE2044"/>
    <w:rsid w:val="00AE2CF1"/>
    <w:rsid w:val="00AE2D11"/>
    <w:rsid w:val="00AE5DA5"/>
    <w:rsid w:val="00AE6446"/>
    <w:rsid w:val="00AE6F0F"/>
    <w:rsid w:val="00AE7CF7"/>
    <w:rsid w:val="00AF0598"/>
    <w:rsid w:val="00AF3573"/>
    <w:rsid w:val="00AF46E3"/>
    <w:rsid w:val="00B02F55"/>
    <w:rsid w:val="00B03E90"/>
    <w:rsid w:val="00B056F2"/>
    <w:rsid w:val="00B0575C"/>
    <w:rsid w:val="00B05ADA"/>
    <w:rsid w:val="00B05B17"/>
    <w:rsid w:val="00B068F4"/>
    <w:rsid w:val="00B07C1B"/>
    <w:rsid w:val="00B07D98"/>
    <w:rsid w:val="00B10E77"/>
    <w:rsid w:val="00B12128"/>
    <w:rsid w:val="00B1262E"/>
    <w:rsid w:val="00B12659"/>
    <w:rsid w:val="00B13B97"/>
    <w:rsid w:val="00B13C90"/>
    <w:rsid w:val="00B16787"/>
    <w:rsid w:val="00B2156A"/>
    <w:rsid w:val="00B2262A"/>
    <w:rsid w:val="00B22C36"/>
    <w:rsid w:val="00B22F1A"/>
    <w:rsid w:val="00B240EE"/>
    <w:rsid w:val="00B30989"/>
    <w:rsid w:val="00B31385"/>
    <w:rsid w:val="00B32FD4"/>
    <w:rsid w:val="00B33860"/>
    <w:rsid w:val="00B35B1D"/>
    <w:rsid w:val="00B35D61"/>
    <w:rsid w:val="00B35DAB"/>
    <w:rsid w:val="00B36614"/>
    <w:rsid w:val="00B36CC2"/>
    <w:rsid w:val="00B37B0A"/>
    <w:rsid w:val="00B4051C"/>
    <w:rsid w:val="00B406F6"/>
    <w:rsid w:val="00B427CE"/>
    <w:rsid w:val="00B42BD6"/>
    <w:rsid w:val="00B438CF"/>
    <w:rsid w:val="00B44406"/>
    <w:rsid w:val="00B4600B"/>
    <w:rsid w:val="00B47AC5"/>
    <w:rsid w:val="00B51DF6"/>
    <w:rsid w:val="00B52390"/>
    <w:rsid w:val="00B53DBB"/>
    <w:rsid w:val="00B53E4B"/>
    <w:rsid w:val="00B5647F"/>
    <w:rsid w:val="00B565E6"/>
    <w:rsid w:val="00B5685B"/>
    <w:rsid w:val="00B571AC"/>
    <w:rsid w:val="00B57C6B"/>
    <w:rsid w:val="00B60376"/>
    <w:rsid w:val="00B61AF8"/>
    <w:rsid w:val="00B6480B"/>
    <w:rsid w:val="00B65D51"/>
    <w:rsid w:val="00B663AA"/>
    <w:rsid w:val="00B66D8B"/>
    <w:rsid w:val="00B701F3"/>
    <w:rsid w:val="00B71078"/>
    <w:rsid w:val="00B72CC4"/>
    <w:rsid w:val="00B74112"/>
    <w:rsid w:val="00B754B7"/>
    <w:rsid w:val="00B76671"/>
    <w:rsid w:val="00B8116C"/>
    <w:rsid w:val="00B8168F"/>
    <w:rsid w:val="00B82A4C"/>
    <w:rsid w:val="00B83379"/>
    <w:rsid w:val="00B843BE"/>
    <w:rsid w:val="00B84D48"/>
    <w:rsid w:val="00B85D4A"/>
    <w:rsid w:val="00B868A7"/>
    <w:rsid w:val="00B9039E"/>
    <w:rsid w:val="00B9238E"/>
    <w:rsid w:val="00B92E44"/>
    <w:rsid w:val="00B93BDA"/>
    <w:rsid w:val="00B9482F"/>
    <w:rsid w:val="00B94FE9"/>
    <w:rsid w:val="00B953FE"/>
    <w:rsid w:val="00B9542B"/>
    <w:rsid w:val="00BA1004"/>
    <w:rsid w:val="00BA37E8"/>
    <w:rsid w:val="00BA47DF"/>
    <w:rsid w:val="00BA4BB5"/>
    <w:rsid w:val="00BA5C40"/>
    <w:rsid w:val="00BA68C7"/>
    <w:rsid w:val="00BA7D67"/>
    <w:rsid w:val="00BB0F02"/>
    <w:rsid w:val="00BB1509"/>
    <w:rsid w:val="00BB1889"/>
    <w:rsid w:val="00BB35F8"/>
    <w:rsid w:val="00BB4399"/>
    <w:rsid w:val="00BB4546"/>
    <w:rsid w:val="00BB48A9"/>
    <w:rsid w:val="00BB6FC0"/>
    <w:rsid w:val="00BB779F"/>
    <w:rsid w:val="00BC2348"/>
    <w:rsid w:val="00BC3FC9"/>
    <w:rsid w:val="00BC5FEF"/>
    <w:rsid w:val="00BC66E3"/>
    <w:rsid w:val="00BC7A37"/>
    <w:rsid w:val="00BD00AC"/>
    <w:rsid w:val="00BD0333"/>
    <w:rsid w:val="00BD3DEB"/>
    <w:rsid w:val="00BD3F75"/>
    <w:rsid w:val="00BD4249"/>
    <w:rsid w:val="00BD6DBE"/>
    <w:rsid w:val="00BE0315"/>
    <w:rsid w:val="00BE1F51"/>
    <w:rsid w:val="00BE376D"/>
    <w:rsid w:val="00BE42D5"/>
    <w:rsid w:val="00BE644B"/>
    <w:rsid w:val="00BE6BC0"/>
    <w:rsid w:val="00BE7B44"/>
    <w:rsid w:val="00BE7DEB"/>
    <w:rsid w:val="00BF2EF0"/>
    <w:rsid w:val="00BF301A"/>
    <w:rsid w:val="00BF340C"/>
    <w:rsid w:val="00BF3C49"/>
    <w:rsid w:val="00BF6DF4"/>
    <w:rsid w:val="00BF72C5"/>
    <w:rsid w:val="00BF7E23"/>
    <w:rsid w:val="00C01345"/>
    <w:rsid w:val="00C01D46"/>
    <w:rsid w:val="00C0298B"/>
    <w:rsid w:val="00C04098"/>
    <w:rsid w:val="00C0594C"/>
    <w:rsid w:val="00C06972"/>
    <w:rsid w:val="00C07C4A"/>
    <w:rsid w:val="00C104CC"/>
    <w:rsid w:val="00C11A13"/>
    <w:rsid w:val="00C12FA9"/>
    <w:rsid w:val="00C13D17"/>
    <w:rsid w:val="00C15497"/>
    <w:rsid w:val="00C15578"/>
    <w:rsid w:val="00C15D21"/>
    <w:rsid w:val="00C164C1"/>
    <w:rsid w:val="00C168D5"/>
    <w:rsid w:val="00C16CC5"/>
    <w:rsid w:val="00C20772"/>
    <w:rsid w:val="00C20952"/>
    <w:rsid w:val="00C2098C"/>
    <w:rsid w:val="00C21B59"/>
    <w:rsid w:val="00C22315"/>
    <w:rsid w:val="00C235A2"/>
    <w:rsid w:val="00C2670F"/>
    <w:rsid w:val="00C27892"/>
    <w:rsid w:val="00C30472"/>
    <w:rsid w:val="00C331C6"/>
    <w:rsid w:val="00C3327D"/>
    <w:rsid w:val="00C3342A"/>
    <w:rsid w:val="00C34914"/>
    <w:rsid w:val="00C36E88"/>
    <w:rsid w:val="00C36E92"/>
    <w:rsid w:val="00C37484"/>
    <w:rsid w:val="00C37BF2"/>
    <w:rsid w:val="00C41D74"/>
    <w:rsid w:val="00C42836"/>
    <w:rsid w:val="00C45C97"/>
    <w:rsid w:val="00C46FA9"/>
    <w:rsid w:val="00C5031D"/>
    <w:rsid w:val="00C50F4D"/>
    <w:rsid w:val="00C510B4"/>
    <w:rsid w:val="00C526FC"/>
    <w:rsid w:val="00C54A38"/>
    <w:rsid w:val="00C60560"/>
    <w:rsid w:val="00C60F47"/>
    <w:rsid w:val="00C61209"/>
    <w:rsid w:val="00C63BE4"/>
    <w:rsid w:val="00C641AE"/>
    <w:rsid w:val="00C64E3C"/>
    <w:rsid w:val="00C655CA"/>
    <w:rsid w:val="00C6562E"/>
    <w:rsid w:val="00C67A5C"/>
    <w:rsid w:val="00C67F64"/>
    <w:rsid w:val="00C73AD4"/>
    <w:rsid w:val="00C73CE1"/>
    <w:rsid w:val="00C74F01"/>
    <w:rsid w:val="00C82C6D"/>
    <w:rsid w:val="00C835FB"/>
    <w:rsid w:val="00C83895"/>
    <w:rsid w:val="00C83C22"/>
    <w:rsid w:val="00C83DD1"/>
    <w:rsid w:val="00C842AE"/>
    <w:rsid w:val="00C8466D"/>
    <w:rsid w:val="00C84D5F"/>
    <w:rsid w:val="00C85B08"/>
    <w:rsid w:val="00C85E9D"/>
    <w:rsid w:val="00C8621D"/>
    <w:rsid w:val="00C8684F"/>
    <w:rsid w:val="00C86D58"/>
    <w:rsid w:val="00C874E6"/>
    <w:rsid w:val="00C87AC1"/>
    <w:rsid w:val="00C87AC4"/>
    <w:rsid w:val="00C921E2"/>
    <w:rsid w:val="00C922D5"/>
    <w:rsid w:val="00C93069"/>
    <w:rsid w:val="00C943B9"/>
    <w:rsid w:val="00C954C3"/>
    <w:rsid w:val="00C9550B"/>
    <w:rsid w:val="00C95E38"/>
    <w:rsid w:val="00C976BF"/>
    <w:rsid w:val="00CA00E7"/>
    <w:rsid w:val="00CA143D"/>
    <w:rsid w:val="00CA1533"/>
    <w:rsid w:val="00CA4250"/>
    <w:rsid w:val="00CB204E"/>
    <w:rsid w:val="00CB3605"/>
    <w:rsid w:val="00CB523E"/>
    <w:rsid w:val="00CB754C"/>
    <w:rsid w:val="00CC0A98"/>
    <w:rsid w:val="00CC0CAA"/>
    <w:rsid w:val="00CC0CF8"/>
    <w:rsid w:val="00CC14FC"/>
    <w:rsid w:val="00CC3402"/>
    <w:rsid w:val="00CC4C47"/>
    <w:rsid w:val="00CC57E2"/>
    <w:rsid w:val="00CD0B54"/>
    <w:rsid w:val="00CD2816"/>
    <w:rsid w:val="00CD4687"/>
    <w:rsid w:val="00CD4950"/>
    <w:rsid w:val="00CD549E"/>
    <w:rsid w:val="00CD65E1"/>
    <w:rsid w:val="00CD6FC7"/>
    <w:rsid w:val="00CD7DD4"/>
    <w:rsid w:val="00CD7F33"/>
    <w:rsid w:val="00CE15D9"/>
    <w:rsid w:val="00CE214F"/>
    <w:rsid w:val="00CE2663"/>
    <w:rsid w:val="00CE2BE7"/>
    <w:rsid w:val="00CE4EC6"/>
    <w:rsid w:val="00CE6FC0"/>
    <w:rsid w:val="00CE7C9A"/>
    <w:rsid w:val="00CF03B8"/>
    <w:rsid w:val="00CF2CC2"/>
    <w:rsid w:val="00CF426D"/>
    <w:rsid w:val="00CF4FC0"/>
    <w:rsid w:val="00CF540F"/>
    <w:rsid w:val="00CF5EAC"/>
    <w:rsid w:val="00D00536"/>
    <w:rsid w:val="00D0215E"/>
    <w:rsid w:val="00D0291F"/>
    <w:rsid w:val="00D0562C"/>
    <w:rsid w:val="00D06D7D"/>
    <w:rsid w:val="00D10B1B"/>
    <w:rsid w:val="00D10F92"/>
    <w:rsid w:val="00D12AF3"/>
    <w:rsid w:val="00D137BD"/>
    <w:rsid w:val="00D141FE"/>
    <w:rsid w:val="00D16FFB"/>
    <w:rsid w:val="00D170F8"/>
    <w:rsid w:val="00D23EC4"/>
    <w:rsid w:val="00D256B1"/>
    <w:rsid w:val="00D3158A"/>
    <w:rsid w:val="00D32338"/>
    <w:rsid w:val="00D32FFB"/>
    <w:rsid w:val="00D335E7"/>
    <w:rsid w:val="00D3377F"/>
    <w:rsid w:val="00D34759"/>
    <w:rsid w:val="00D349F1"/>
    <w:rsid w:val="00D37ABB"/>
    <w:rsid w:val="00D37E7E"/>
    <w:rsid w:val="00D444E1"/>
    <w:rsid w:val="00D45828"/>
    <w:rsid w:val="00D46459"/>
    <w:rsid w:val="00D46767"/>
    <w:rsid w:val="00D46DC5"/>
    <w:rsid w:val="00D46FF7"/>
    <w:rsid w:val="00D473EE"/>
    <w:rsid w:val="00D5032E"/>
    <w:rsid w:val="00D53C77"/>
    <w:rsid w:val="00D54393"/>
    <w:rsid w:val="00D56715"/>
    <w:rsid w:val="00D569E8"/>
    <w:rsid w:val="00D56DFC"/>
    <w:rsid w:val="00D57508"/>
    <w:rsid w:val="00D5774B"/>
    <w:rsid w:val="00D6009A"/>
    <w:rsid w:val="00D616F3"/>
    <w:rsid w:val="00D61F9F"/>
    <w:rsid w:val="00D63DD3"/>
    <w:rsid w:val="00D65170"/>
    <w:rsid w:val="00D67FC8"/>
    <w:rsid w:val="00D70D05"/>
    <w:rsid w:val="00D70E8F"/>
    <w:rsid w:val="00D7147D"/>
    <w:rsid w:val="00D72085"/>
    <w:rsid w:val="00D7405E"/>
    <w:rsid w:val="00D74162"/>
    <w:rsid w:val="00D75945"/>
    <w:rsid w:val="00D764B8"/>
    <w:rsid w:val="00D7710D"/>
    <w:rsid w:val="00D777D8"/>
    <w:rsid w:val="00D77C93"/>
    <w:rsid w:val="00D803DF"/>
    <w:rsid w:val="00D811ED"/>
    <w:rsid w:val="00D811EE"/>
    <w:rsid w:val="00D85193"/>
    <w:rsid w:val="00D85738"/>
    <w:rsid w:val="00D900C8"/>
    <w:rsid w:val="00D900FF"/>
    <w:rsid w:val="00D9023F"/>
    <w:rsid w:val="00D92328"/>
    <w:rsid w:val="00D92767"/>
    <w:rsid w:val="00D928F1"/>
    <w:rsid w:val="00D939D3"/>
    <w:rsid w:val="00D94102"/>
    <w:rsid w:val="00D94D01"/>
    <w:rsid w:val="00D94FD3"/>
    <w:rsid w:val="00D95947"/>
    <w:rsid w:val="00D959D8"/>
    <w:rsid w:val="00D95F4A"/>
    <w:rsid w:val="00D96936"/>
    <w:rsid w:val="00D96AB3"/>
    <w:rsid w:val="00D96DB1"/>
    <w:rsid w:val="00D9777C"/>
    <w:rsid w:val="00DA12B2"/>
    <w:rsid w:val="00DA2703"/>
    <w:rsid w:val="00DA3E98"/>
    <w:rsid w:val="00DA5965"/>
    <w:rsid w:val="00DA7D69"/>
    <w:rsid w:val="00DB19F5"/>
    <w:rsid w:val="00DB1D2F"/>
    <w:rsid w:val="00DB2B57"/>
    <w:rsid w:val="00DB32A8"/>
    <w:rsid w:val="00DB4CE9"/>
    <w:rsid w:val="00DB50BE"/>
    <w:rsid w:val="00DB5236"/>
    <w:rsid w:val="00DB54A6"/>
    <w:rsid w:val="00DB68F0"/>
    <w:rsid w:val="00DB6B89"/>
    <w:rsid w:val="00DB793C"/>
    <w:rsid w:val="00DC0547"/>
    <w:rsid w:val="00DC188E"/>
    <w:rsid w:val="00DC3703"/>
    <w:rsid w:val="00DC370D"/>
    <w:rsid w:val="00DC436D"/>
    <w:rsid w:val="00DC52BE"/>
    <w:rsid w:val="00DC6031"/>
    <w:rsid w:val="00DC6647"/>
    <w:rsid w:val="00DC7143"/>
    <w:rsid w:val="00DC7B17"/>
    <w:rsid w:val="00DD01AF"/>
    <w:rsid w:val="00DD02D4"/>
    <w:rsid w:val="00DD35FD"/>
    <w:rsid w:val="00DD3895"/>
    <w:rsid w:val="00DD40A6"/>
    <w:rsid w:val="00DE056D"/>
    <w:rsid w:val="00DE0BBA"/>
    <w:rsid w:val="00DE1B1E"/>
    <w:rsid w:val="00DE1EE9"/>
    <w:rsid w:val="00DE237D"/>
    <w:rsid w:val="00DE70D2"/>
    <w:rsid w:val="00DF0416"/>
    <w:rsid w:val="00DF062B"/>
    <w:rsid w:val="00DF297E"/>
    <w:rsid w:val="00DF3879"/>
    <w:rsid w:val="00DF38F9"/>
    <w:rsid w:val="00DF4500"/>
    <w:rsid w:val="00DF53F0"/>
    <w:rsid w:val="00E003EC"/>
    <w:rsid w:val="00E03A13"/>
    <w:rsid w:val="00E03CAE"/>
    <w:rsid w:val="00E04606"/>
    <w:rsid w:val="00E05410"/>
    <w:rsid w:val="00E060F2"/>
    <w:rsid w:val="00E06CE4"/>
    <w:rsid w:val="00E06EF6"/>
    <w:rsid w:val="00E07ADF"/>
    <w:rsid w:val="00E119B9"/>
    <w:rsid w:val="00E11ADF"/>
    <w:rsid w:val="00E12232"/>
    <w:rsid w:val="00E12B2D"/>
    <w:rsid w:val="00E132ED"/>
    <w:rsid w:val="00E1459A"/>
    <w:rsid w:val="00E14905"/>
    <w:rsid w:val="00E14C9C"/>
    <w:rsid w:val="00E1566C"/>
    <w:rsid w:val="00E164BE"/>
    <w:rsid w:val="00E208EC"/>
    <w:rsid w:val="00E20FFD"/>
    <w:rsid w:val="00E214D0"/>
    <w:rsid w:val="00E21562"/>
    <w:rsid w:val="00E23A34"/>
    <w:rsid w:val="00E23C15"/>
    <w:rsid w:val="00E242D1"/>
    <w:rsid w:val="00E25CD5"/>
    <w:rsid w:val="00E26334"/>
    <w:rsid w:val="00E26798"/>
    <w:rsid w:val="00E26C87"/>
    <w:rsid w:val="00E26D55"/>
    <w:rsid w:val="00E274DE"/>
    <w:rsid w:val="00E27545"/>
    <w:rsid w:val="00E3079E"/>
    <w:rsid w:val="00E3595B"/>
    <w:rsid w:val="00E35D7F"/>
    <w:rsid w:val="00E368DE"/>
    <w:rsid w:val="00E36FAE"/>
    <w:rsid w:val="00E407A4"/>
    <w:rsid w:val="00E408F7"/>
    <w:rsid w:val="00E40C8A"/>
    <w:rsid w:val="00E42505"/>
    <w:rsid w:val="00E443FA"/>
    <w:rsid w:val="00E446CB"/>
    <w:rsid w:val="00E446EF"/>
    <w:rsid w:val="00E45CF9"/>
    <w:rsid w:val="00E47BB6"/>
    <w:rsid w:val="00E50D9D"/>
    <w:rsid w:val="00E51440"/>
    <w:rsid w:val="00E5239B"/>
    <w:rsid w:val="00E54029"/>
    <w:rsid w:val="00E56A26"/>
    <w:rsid w:val="00E56ED5"/>
    <w:rsid w:val="00E60364"/>
    <w:rsid w:val="00E6072A"/>
    <w:rsid w:val="00E60EBD"/>
    <w:rsid w:val="00E617AD"/>
    <w:rsid w:val="00E6270F"/>
    <w:rsid w:val="00E627D5"/>
    <w:rsid w:val="00E62B74"/>
    <w:rsid w:val="00E63844"/>
    <w:rsid w:val="00E6528D"/>
    <w:rsid w:val="00E654F1"/>
    <w:rsid w:val="00E67954"/>
    <w:rsid w:val="00E67EBD"/>
    <w:rsid w:val="00E7331B"/>
    <w:rsid w:val="00E73984"/>
    <w:rsid w:val="00E7645C"/>
    <w:rsid w:val="00E76732"/>
    <w:rsid w:val="00E807BE"/>
    <w:rsid w:val="00E83207"/>
    <w:rsid w:val="00E83D9B"/>
    <w:rsid w:val="00E848A0"/>
    <w:rsid w:val="00E849D0"/>
    <w:rsid w:val="00E85081"/>
    <w:rsid w:val="00E850C1"/>
    <w:rsid w:val="00E851A2"/>
    <w:rsid w:val="00E8556B"/>
    <w:rsid w:val="00E85770"/>
    <w:rsid w:val="00E860C0"/>
    <w:rsid w:val="00E8671B"/>
    <w:rsid w:val="00E86E91"/>
    <w:rsid w:val="00E87946"/>
    <w:rsid w:val="00E931B0"/>
    <w:rsid w:val="00E936EE"/>
    <w:rsid w:val="00E948A1"/>
    <w:rsid w:val="00E94B43"/>
    <w:rsid w:val="00E9605A"/>
    <w:rsid w:val="00EA1AA5"/>
    <w:rsid w:val="00EA1D06"/>
    <w:rsid w:val="00EA32A8"/>
    <w:rsid w:val="00EA3351"/>
    <w:rsid w:val="00EA3DC3"/>
    <w:rsid w:val="00EA3F4C"/>
    <w:rsid w:val="00EA6302"/>
    <w:rsid w:val="00EA6493"/>
    <w:rsid w:val="00EA67D4"/>
    <w:rsid w:val="00EB0343"/>
    <w:rsid w:val="00EB2CE2"/>
    <w:rsid w:val="00EB2D0E"/>
    <w:rsid w:val="00EB2E5D"/>
    <w:rsid w:val="00EB3789"/>
    <w:rsid w:val="00EB643E"/>
    <w:rsid w:val="00EB7207"/>
    <w:rsid w:val="00EB729F"/>
    <w:rsid w:val="00EB7F8E"/>
    <w:rsid w:val="00EC288A"/>
    <w:rsid w:val="00EC38F5"/>
    <w:rsid w:val="00EC641D"/>
    <w:rsid w:val="00EC71C7"/>
    <w:rsid w:val="00ED2CE9"/>
    <w:rsid w:val="00ED2D54"/>
    <w:rsid w:val="00ED2EFC"/>
    <w:rsid w:val="00ED3168"/>
    <w:rsid w:val="00ED391C"/>
    <w:rsid w:val="00ED4511"/>
    <w:rsid w:val="00ED6A69"/>
    <w:rsid w:val="00ED6AAE"/>
    <w:rsid w:val="00ED7D1B"/>
    <w:rsid w:val="00EE0085"/>
    <w:rsid w:val="00EE0A58"/>
    <w:rsid w:val="00EE2433"/>
    <w:rsid w:val="00EE2925"/>
    <w:rsid w:val="00EE39C4"/>
    <w:rsid w:val="00EE4592"/>
    <w:rsid w:val="00EE487D"/>
    <w:rsid w:val="00EE56CE"/>
    <w:rsid w:val="00EE5BD4"/>
    <w:rsid w:val="00EE625D"/>
    <w:rsid w:val="00EE7F30"/>
    <w:rsid w:val="00EF06C0"/>
    <w:rsid w:val="00EF0CD6"/>
    <w:rsid w:val="00EF0E23"/>
    <w:rsid w:val="00EF7AFF"/>
    <w:rsid w:val="00EF7FB1"/>
    <w:rsid w:val="00F0025C"/>
    <w:rsid w:val="00F0100D"/>
    <w:rsid w:val="00F0199B"/>
    <w:rsid w:val="00F03479"/>
    <w:rsid w:val="00F03666"/>
    <w:rsid w:val="00F04D90"/>
    <w:rsid w:val="00F06DE5"/>
    <w:rsid w:val="00F10453"/>
    <w:rsid w:val="00F10A55"/>
    <w:rsid w:val="00F116EF"/>
    <w:rsid w:val="00F14441"/>
    <w:rsid w:val="00F152E0"/>
    <w:rsid w:val="00F172B7"/>
    <w:rsid w:val="00F228C5"/>
    <w:rsid w:val="00F268CA"/>
    <w:rsid w:val="00F268F4"/>
    <w:rsid w:val="00F3000C"/>
    <w:rsid w:val="00F32D3A"/>
    <w:rsid w:val="00F3323D"/>
    <w:rsid w:val="00F33A0E"/>
    <w:rsid w:val="00F36F82"/>
    <w:rsid w:val="00F373B6"/>
    <w:rsid w:val="00F376D2"/>
    <w:rsid w:val="00F40344"/>
    <w:rsid w:val="00F423B7"/>
    <w:rsid w:val="00F43653"/>
    <w:rsid w:val="00F46C75"/>
    <w:rsid w:val="00F47268"/>
    <w:rsid w:val="00F47A4F"/>
    <w:rsid w:val="00F47E46"/>
    <w:rsid w:val="00F51801"/>
    <w:rsid w:val="00F51943"/>
    <w:rsid w:val="00F51C40"/>
    <w:rsid w:val="00F5239E"/>
    <w:rsid w:val="00F52B51"/>
    <w:rsid w:val="00F539DD"/>
    <w:rsid w:val="00F548D3"/>
    <w:rsid w:val="00F561D9"/>
    <w:rsid w:val="00F5642D"/>
    <w:rsid w:val="00F569CF"/>
    <w:rsid w:val="00F60394"/>
    <w:rsid w:val="00F6048D"/>
    <w:rsid w:val="00F60DA9"/>
    <w:rsid w:val="00F6147A"/>
    <w:rsid w:val="00F61B55"/>
    <w:rsid w:val="00F621B1"/>
    <w:rsid w:val="00F64A5F"/>
    <w:rsid w:val="00F64AF7"/>
    <w:rsid w:val="00F65477"/>
    <w:rsid w:val="00F65FA0"/>
    <w:rsid w:val="00F66263"/>
    <w:rsid w:val="00F663E3"/>
    <w:rsid w:val="00F705BA"/>
    <w:rsid w:val="00F70B88"/>
    <w:rsid w:val="00F73C31"/>
    <w:rsid w:val="00F74E71"/>
    <w:rsid w:val="00F774EC"/>
    <w:rsid w:val="00F77A19"/>
    <w:rsid w:val="00F77AD9"/>
    <w:rsid w:val="00F801B0"/>
    <w:rsid w:val="00F8203A"/>
    <w:rsid w:val="00F82277"/>
    <w:rsid w:val="00F82AD9"/>
    <w:rsid w:val="00F82EE0"/>
    <w:rsid w:val="00F83D0D"/>
    <w:rsid w:val="00F84F98"/>
    <w:rsid w:val="00F87478"/>
    <w:rsid w:val="00F9034E"/>
    <w:rsid w:val="00F904F4"/>
    <w:rsid w:val="00F928A7"/>
    <w:rsid w:val="00F92EFB"/>
    <w:rsid w:val="00F93188"/>
    <w:rsid w:val="00F94C57"/>
    <w:rsid w:val="00F95E1A"/>
    <w:rsid w:val="00F97D81"/>
    <w:rsid w:val="00FA0930"/>
    <w:rsid w:val="00FA0F67"/>
    <w:rsid w:val="00FA188E"/>
    <w:rsid w:val="00FA23D8"/>
    <w:rsid w:val="00FA2736"/>
    <w:rsid w:val="00FA2D66"/>
    <w:rsid w:val="00FA2E99"/>
    <w:rsid w:val="00FA4EC5"/>
    <w:rsid w:val="00FA58A7"/>
    <w:rsid w:val="00FB2A7B"/>
    <w:rsid w:val="00FB4F62"/>
    <w:rsid w:val="00FB4FD2"/>
    <w:rsid w:val="00FB6C2E"/>
    <w:rsid w:val="00FB795F"/>
    <w:rsid w:val="00FC1130"/>
    <w:rsid w:val="00FC120B"/>
    <w:rsid w:val="00FC19AB"/>
    <w:rsid w:val="00FC6374"/>
    <w:rsid w:val="00FC7DA4"/>
    <w:rsid w:val="00FC7F06"/>
    <w:rsid w:val="00FD215F"/>
    <w:rsid w:val="00FD43D4"/>
    <w:rsid w:val="00FD4B8B"/>
    <w:rsid w:val="00FD5A1A"/>
    <w:rsid w:val="00FD6917"/>
    <w:rsid w:val="00FD7879"/>
    <w:rsid w:val="00FE0821"/>
    <w:rsid w:val="00FE09AC"/>
    <w:rsid w:val="00FE1E28"/>
    <w:rsid w:val="00FE2220"/>
    <w:rsid w:val="00FE2D94"/>
    <w:rsid w:val="00FE36B1"/>
    <w:rsid w:val="00FE3BB6"/>
    <w:rsid w:val="00FE427B"/>
    <w:rsid w:val="00FE52DC"/>
    <w:rsid w:val="00FE5AF6"/>
    <w:rsid w:val="00FE7AFF"/>
    <w:rsid w:val="00FE7D9E"/>
    <w:rsid w:val="00FF1BFC"/>
    <w:rsid w:val="00FF2042"/>
    <w:rsid w:val="00FF2A0B"/>
    <w:rsid w:val="00FF5682"/>
    <w:rsid w:val="00FF5BB4"/>
    <w:rsid w:val="00FF61E7"/>
    <w:rsid w:val="00FF6ED0"/>
    <w:rsid w:val="00FF7419"/>
    <w:rsid w:val="00FF74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24F9A"/>
  <w15:chartTrackingRefBased/>
  <w15:docId w15:val="{8524C6BF-666B-45DE-AB0F-263386C2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2008"/>
  </w:style>
  <w:style w:type="paragraph" w:styleId="Nagwek1">
    <w:name w:val="heading 1"/>
    <w:basedOn w:val="Normalny"/>
    <w:next w:val="Normalny"/>
    <w:link w:val="Nagwek1Znak"/>
    <w:uiPriority w:val="9"/>
    <w:qFormat/>
    <w:rsid w:val="009D0902"/>
    <w:pPr>
      <w:spacing w:before="480" w:after="0" w:line="240" w:lineRule="auto"/>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semiHidden/>
    <w:unhideWhenUsed/>
    <w:qFormat/>
    <w:rsid w:val="009D0902"/>
    <w:pPr>
      <w:spacing w:before="200" w:after="0" w:line="240" w:lineRule="auto"/>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semiHidden/>
    <w:unhideWhenUsed/>
    <w:qFormat/>
    <w:rsid w:val="009D0902"/>
    <w:pPr>
      <w:spacing w:before="200" w:after="0" w:line="271" w:lineRule="auto"/>
      <w:outlineLvl w:val="2"/>
    </w:pPr>
    <w:rPr>
      <w:rFonts w:asciiTheme="majorHAnsi" w:eastAsiaTheme="majorEastAsia" w:hAnsiTheme="majorHAnsi" w:cstheme="majorBidi"/>
      <w:b/>
      <w:bCs/>
      <w:sz w:val="24"/>
    </w:rPr>
  </w:style>
  <w:style w:type="paragraph" w:styleId="Nagwek4">
    <w:name w:val="heading 4"/>
    <w:basedOn w:val="Normalny"/>
    <w:next w:val="Normalny"/>
    <w:link w:val="Nagwek4Znak"/>
    <w:uiPriority w:val="9"/>
    <w:semiHidden/>
    <w:unhideWhenUsed/>
    <w:qFormat/>
    <w:rsid w:val="009D0902"/>
    <w:pPr>
      <w:spacing w:before="200" w:after="0" w:line="240" w:lineRule="auto"/>
      <w:outlineLvl w:val="3"/>
    </w:pPr>
    <w:rPr>
      <w:rFonts w:asciiTheme="majorHAnsi" w:eastAsiaTheme="majorEastAsia" w:hAnsiTheme="majorHAnsi" w:cstheme="majorBidi"/>
      <w:b/>
      <w:bCs/>
      <w:i/>
      <w:iCs/>
      <w:sz w:val="24"/>
    </w:rPr>
  </w:style>
  <w:style w:type="paragraph" w:styleId="Nagwek5">
    <w:name w:val="heading 5"/>
    <w:basedOn w:val="Normalny"/>
    <w:next w:val="Normalny"/>
    <w:link w:val="Nagwek5Znak"/>
    <w:uiPriority w:val="9"/>
    <w:semiHidden/>
    <w:unhideWhenUsed/>
    <w:qFormat/>
    <w:rsid w:val="009D0902"/>
    <w:pPr>
      <w:spacing w:before="200" w:after="0" w:line="240" w:lineRule="auto"/>
      <w:outlineLvl w:val="4"/>
    </w:pPr>
    <w:rPr>
      <w:rFonts w:asciiTheme="majorHAnsi" w:eastAsiaTheme="majorEastAsia" w:hAnsiTheme="majorHAnsi" w:cstheme="majorBidi"/>
      <w:b/>
      <w:bCs/>
      <w:color w:val="7F7F7F" w:themeColor="text1" w:themeTint="80"/>
      <w:sz w:val="24"/>
    </w:rPr>
  </w:style>
  <w:style w:type="paragraph" w:styleId="Nagwek6">
    <w:name w:val="heading 6"/>
    <w:basedOn w:val="Normalny"/>
    <w:next w:val="Normalny"/>
    <w:link w:val="Nagwek6Znak"/>
    <w:uiPriority w:val="9"/>
    <w:semiHidden/>
    <w:unhideWhenUsed/>
    <w:qFormat/>
    <w:rsid w:val="009D0902"/>
    <w:pPr>
      <w:spacing w:after="0" w:line="271" w:lineRule="auto"/>
      <w:outlineLvl w:val="5"/>
    </w:pPr>
    <w:rPr>
      <w:rFonts w:asciiTheme="majorHAnsi" w:eastAsiaTheme="majorEastAsia" w:hAnsiTheme="majorHAnsi" w:cstheme="majorBidi"/>
      <w:b/>
      <w:bCs/>
      <w:i/>
      <w:iCs/>
      <w:color w:val="7F7F7F" w:themeColor="text1" w:themeTint="80"/>
      <w:sz w:val="24"/>
    </w:rPr>
  </w:style>
  <w:style w:type="paragraph" w:styleId="Nagwek7">
    <w:name w:val="heading 7"/>
    <w:basedOn w:val="Normalny"/>
    <w:next w:val="Normalny"/>
    <w:link w:val="Nagwek7Znak"/>
    <w:uiPriority w:val="9"/>
    <w:semiHidden/>
    <w:unhideWhenUsed/>
    <w:qFormat/>
    <w:rsid w:val="009D0902"/>
    <w:pPr>
      <w:spacing w:after="0" w:line="240" w:lineRule="auto"/>
      <w:outlineLvl w:val="6"/>
    </w:pPr>
    <w:rPr>
      <w:rFonts w:asciiTheme="majorHAnsi" w:eastAsiaTheme="majorEastAsia" w:hAnsiTheme="majorHAnsi" w:cstheme="majorBidi"/>
      <w:i/>
      <w:iCs/>
      <w:sz w:val="24"/>
    </w:rPr>
  </w:style>
  <w:style w:type="paragraph" w:styleId="Nagwek8">
    <w:name w:val="heading 8"/>
    <w:basedOn w:val="Normalny"/>
    <w:next w:val="Normalny"/>
    <w:link w:val="Nagwek8Znak"/>
    <w:uiPriority w:val="9"/>
    <w:semiHidden/>
    <w:unhideWhenUsed/>
    <w:qFormat/>
    <w:rsid w:val="009D0902"/>
    <w:pPr>
      <w:spacing w:after="0" w:line="240" w:lineRule="auto"/>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9D0902"/>
    <w:pPr>
      <w:spacing w:after="0" w:line="240" w:lineRule="auto"/>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p1,Preambuła,AAA,Petitum,Uzasadnienie,UZASADNIENIE,Uzasadnienie pisma,Uzasadnienie Dudziński,HŁ_Bullet1,Nag 1,Bullet Number,Body MS Bullet,List Paragraph2,ISCG Numerowanie,Lista PR,Tekst główny,zał,K2 lista alfabetyczna,Uzasadnienie1"/>
    <w:basedOn w:val="Normalny"/>
    <w:link w:val="AkapitzlistZnak"/>
    <w:uiPriority w:val="34"/>
    <w:qFormat/>
    <w:rsid w:val="00483DD7"/>
    <w:pPr>
      <w:ind w:left="720"/>
      <w:contextualSpacing/>
    </w:pPr>
  </w:style>
  <w:style w:type="paragraph" w:customStyle="1" w:styleId="Default">
    <w:name w:val="Default"/>
    <w:rsid w:val="007C3775"/>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715529"/>
    <w:rPr>
      <w:sz w:val="16"/>
      <w:szCs w:val="16"/>
    </w:rPr>
  </w:style>
  <w:style w:type="paragraph" w:styleId="Tekstkomentarza">
    <w:name w:val="annotation text"/>
    <w:basedOn w:val="Normalny"/>
    <w:link w:val="TekstkomentarzaZnak"/>
    <w:uiPriority w:val="99"/>
    <w:unhideWhenUsed/>
    <w:rsid w:val="00715529"/>
    <w:pPr>
      <w:spacing w:line="240" w:lineRule="auto"/>
    </w:pPr>
    <w:rPr>
      <w:sz w:val="20"/>
      <w:szCs w:val="20"/>
    </w:rPr>
  </w:style>
  <w:style w:type="character" w:customStyle="1" w:styleId="TekstkomentarzaZnak">
    <w:name w:val="Tekst komentarza Znak"/>
    <w:basedOn w:val="Domylnaczcionkaakapitu"/>
    <w:link w:val="Tekstkomentarza"/>
    <w:uiPriority w:val="99"/>
    <w:rsid w:val="00715529"/>
    <w:rPr>
      <w:sz w:val="20"/>
      <w:szCs w:val="20"/>
    </w:rPr>
  </w:style>
  <w:style w:type="paragraph" w:styleId="Tematkomentarza">
    <w:name w:val="annotation subject"/>
    <w:basedOn w:val="Tekstkomentarza"/>
    <w:next w:val="Tekstkomentarza"/>
    <w:link w:val="TematkomentarzaZnak"/>
    <w:uiPriority w:val="99"/>
    <w:semiHidden/>
    <w:unhideWhenUsed/>
    <w:rsid w:val="00715529"/>
    <w:rPr>
      <w:b/>
      <w:bCs/>
    </w:rPr>
  </w:style>
  <w:style w:type="character" w:customStyle="1" w:styleId="TematkomentarzaZnak">
    <w:name w:val="Temat komentarza Znak"/>
    <w:basedOn w:val="TekstkomentarzaZnak"/>
    <w:link w:val="Tematkomentarza"/>
    <w:uiPriority w:val="99"/>
    <w:semiHidden/>
    <w:rsid w:val="00715529"/>
    <w:rPr>
      <w:b/>
      <w:bCs/>
      <w:sz w:val="20"/>
      <w:szCs w:val="20"/>
    </w:rPr>
  </w:style>
  <w:style w:type="paragraph" w:styleId="Tekstdymka">
    <w:name w:val="Balloon Text"/>
    <w:basedOn w:val="Normalny"/>
    <w:link w:val="TekstdymkaZnak"/>
    <w:uiPriority w:val="99"/>
    <w:semiHidden/>
    <w:unhideWhenUsed/>
    <w:rsid w:val="007155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5529"/>
    <w:rPr>
      <w:rFonts w:ascii="Segoe UI" w:hAnsi="Segoe UI" w:cs="Segoe UI"/>
      <w:sz w:val="18"/>
      <w:szCs w:val="18"/>
    </w:rPr>
  </w:style>
  <w:style w:type="paragraph" w:styleId="Tekstprzypisudolnego">
    <w:name w:val="footnote text"/>
    <w:basedOn w:val="Normalny"/>
    <w:link w:val="TekstprzypisudolnegoZnak"/>
    <w:uiPriority w:val="99"/>
    <w:unhideWhenUsed/>
    <w:rsid w:val="00717A6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717A63"/>
    <w:rPr>
      <w:sz w:val="20"/>
      <w:szCs w:val="20"/>
    </w:rPr>
  </w:style>
  <w:style w:type="character" w:styleId="Odwoanieprzypisudolnego">
    <w:name w:val="footnote reference"/>
    <w:basedOn w:val="Domylnaczcionkaakapitu"/>
    <w:uiPriority w:val="99"/>
    <w:semiHidden/>
    <w:unhideWhenUsed/>
    <w:rsid w:val="00717A63"/>
    <w:rPr>
      <w:vertAlign w:val="superscript"/>
    </w:rPr>
  </w:style>
  <w:style w:type="character" w:styleId="Hipercze">
    <w:name w:val="Hyperlink"/>
    <w:basedOn w:val="Domylnaczcionkaakapitu"/>
    <w:uiPriority w:val="99"/>
    <w:unhideWhenUsed/>
    <w:rsid w:val="00717A63"/>
    <w:rPr>
      <w:color w:val="0563C1" w:themeColor="hyperlink"/>
      <w:u w:val="single"/>
    </w:rPr>
  </w:style>
  <w:style w:type="paragraph" w:styleId="Nagwek">
    <w:name w:val="header"/>
    <w:basedOn w:val="Normalny"/>
    <w:link w:val="NagwekZnak"/>
    <w:uiPriority w:val="99"/>
    <w:unhideWhenUsed/>
    <w:rsid w:val="00E03A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3A13"/>
  </w:style>
  <w:style w:type="paragraph" w:styleId="Stopka">
    <w:name w:val="footer"/>
    <w:basedOn w:val="Normalny"/>
    <w:link w:val="StopkaZnak"/>
    <w:uiPriority w:val="99"/>
    <w:unhideWhenUsed/>
    <w:rsid w:val="00E03A1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3A13"/>
  </w:style>
  <w:style w:type="paragraph" w:customStyle="1" w:styleId="ZPKTzmpktartykuempunktem">
    <w:name w:val="Z/PKT – zm. pkt artykułem (punktem)"/>
    <w:basedOn w:val="Normalny"/>
    <w:uiPriority w:val="31"/>
    <w:qFormat/>
    <w:rsid w:val="005A5EBA"/>
    <w:pPr>
      <w:spacing w:after="0" w:line="360" w:lineRule="auto"/>
      <w:ind w:left="102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5A5EB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Nagwek1Znak">
    <w:name w:val="Nagłówek 1 Znak"/>
    <w:basedOn w:val="Domylnaczcionkaakapitu"/>
    <w:link w:val="Nagwek1"/>
    <w:uiPriority w:val="9"/>
    <w:rsid w:val="009D0902"/>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uiPriority w:val="9"/>
    <w:semiHidden/>
    <w:rsid w:val="009D0902"/>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semiHidden/>
    <w:rsid w:val="009D0902"/>
    <w:rPr>
      <w:rFonts w:asciiTheme="majorHAnsi" w:eastAsiaTheme="majorEastAsia" w:hAnsiTheme="majorHAnsi" w:cstheme="majorBidi"/>
      <w:b/>
      <w:bCs/>
      <w:sz w:val="24"/>
    </w:rPr>
  </w:style>
  <w:style w:type="character" w:customStyle="1" w:styleId="Nagwek4Znak">
    <w:name w:val="Nagłówek 4 Znak"/>
    <w:basedOn w:val="Domylnaczcionkaakapitu"/>
    <w:link w:val="Nagwek4"/>
    <w:uiPriority w:val="9"/>
    <w:semiHidden/>
    <w:rsid w:val="009D0902"/>
    <w:rPr>
      <w:rFonts w:asciiTheme="majorHAnsi" w:eastAsiaTheme="majorEastAsia" w:hAnsiTheme="majorHAnsi" w:cstheme="majorBidi"/>
      <w:b/>
      <w:bCs/>
      <w:i/>
      <w:iCs/>
      <w:sz w:val="24"/>
    </w:rPr>
  </w:style>
  <w:style w:type="character" w:customStyle="1" w:styleId="Nagwek5Znak">
    <w:name w:val="Nagłówek 5 Znak"/>
    <w:basedOn w:val="Domylnaczcionkaakapitu"/>
    <w:link w:val="Nagwek5"/>
    <w:uiPriority w:val="9"/>
    <w:semiHidden/>
    <w:rsid w:val="009D0902"/>
    <w:rPr>
      <w:rFonts w:asciiTheme="majorHAnsi" w:eastAsiaTheme="majorEastAsia" w:hAnsiTheme="majorHAnsi" w:cstheme="majorBidi"/>
      <w:b/>
      <w:bCs/>
      <w:color w:val="7F7F7F" w:themeColor="text1" w:themeTint="80"/>
      <w:sz w:val="24"/>
    </w:rPr>
  </w:style>
  <w:style w:type="character" w:customStyle="1" w:styleId="Nagwek6Znak">
    <w:name w:val="Nagłówek 6 Znak"/>
    <w:basedOn w:val="Domylnaczcionkaakapitu"/>
    <w:link w:val="Nagwek6"/>
    <w:uiPriority w:val="9"/>
    <w:semiHidden/>
    <w:rsid w:val="009D0902"/>
    <w:rPr>
      <w:rFonts w:asciiTheme="majorHAnsi" w:eastAsiaTheme="majorEastAsia" w:hAnsiTheme="majorHAnsi" w:cstheme="majorBidi"/>
      <w:b/>
      <w:bCs/>
      <w:i/>
      <w:iCs/>
      <w:color w:val="7F7F7F" w:themeColor="text1" w:themeTint="80"/>
      <w:sz w:val="24"/>
    </w:rPr>
  </w:style>
  <w:style w:type="character" w:customStyle="1" w:styleId="Nagwek7Znak">
    <w:name w:val="Nagłówek 7 Znak"/>
    <w:basedOn w:val="Domylnaczcionkaakapitu"/>
    <w:link w:val="Nagwek7"/>
    <w:uiPriority w:val="9"/>
    <w:semiHidden/>
    <w:rsid w:val="009D0902"/>
    <w:rPr>
      <w:rFonts w:asciiTheme="majorHAnsi" w:eastAsiaTheme="majorEastAsia" w:hAnsiTheme="majorHAnsi" w:cstheme="majorBidi"/>
      <w:i/>
      <w:iCs/>
      <w:sz w:val="24"/>
    </w:rPr>
  </w:style>
  <w:style w:type="character" w:customStyle="1" w:styleId="Nagwek8Znak">
    <w:name w:val="Nagłówek 8 Znak"/>
    <w:basedOn w:val="Domylnaczcionkaakapitu"/>
    <w:link w:val="Nagwek8"/>
    <w:uiPriority w:val="9"/>
    <w:semiHidden/>
    <w:rsid w:val="009D0902"/>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9D0902"/>
    <w:rPr>
      <w:rFonts w:asciiTheme="majorHAnsi" w:eastAsiaTheme="majorEastAsia" w:hAnsiTheme="majorHAnsi" w:cstheme="majorBidi"/>
      <w:i/>
      <w:iCs/>
      <w:spacing w:val="5"/>
      <w:sz w:val="20"/>
      <w:szCs w:val="20"/>
    </w:rPr>
  </w:style>
  <w:style w:type="paragraph" w:styleId="Bezodstpw">
    <w:name w:val="No Spacing"/>
    <w:basedOn w:val="Normalny"/>
    <w:uiPriority w:val="1"/>
    <w:qFormat/>
    <w:rsid w:val="009D0902"/>
    <w:pPr>
      <w:spacing w:after="0" w:line="240" w:lineRule="auto"/>
    </w:pPr>
    <w:rPr>
      <w:rFonts w:ascii="Times New Roman" w:hAnsi="Times New Roman"/>
      <w:sz w:val="24"/>
    </w:rPr>
  </w:style>
  <w:style w:type="paragraph" w:styleId="Tytu">
    <w:name w:val="Title"/>
    <w:basedOn w:val="Normalny"/>
    <w:next w:val="Normalny"/>
    <w:link w:val="TytuZnak"/>
    <w:uiPriority w:val="10"/>
    <w:qFormat/>
    <w:rsid w:val="009D0902"/>
    <w:pPr>
      <w:pBdr>
        <w:bottom w:val="single" w:sz="4" w:space="1" w:color="auto"/>
      </w:pBdr>
      <w:spacing w:after="0" w:line="240" w:lineRule="auto"/>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9D0902"/>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9D0902"/>
    <w:pPr>
      <w:spacing w:after="600" w:line="240" w:lineRule="auto"/>
    </w:pPr>
    <w:rPr>
      <w:rFonts w:asciiTheme="majorHAnsi" w:eastAsiaTheme="majorEastAsia" w:hAnsiTheme="majorHAnsi" w:cstheme="majorBidi"/>
      <w:i/>
      <w:iCs/>
      <w:spacing w:val="13"/>
      <w:sz w:val="24"/>
      <w:szCs w:val="24"/>
    </w:rPr>
  </w:style>
  <w:style w:type="character" w:customStyle="1" w:styleId="PodtytuZnak">
    <w:name w:val="Podtytuł Znak"/>
    <w:basedOn w:val="Domylnaczcionkaakapitu"/>
    <w:link w:val="Podtytu"/>
    <w:uiPriority w:val="11"/>
    <w:rsid w:val="009D0902"/>
    <w:rPr>
      <w:rFonts w:asciiTheme="majorHAnsi" w:eastAsiaTheme="majorEastAsia" w:hAnsiTheme="majorHAnsi" w:cstheme="majorBidi"/>
      <w:i/>
      <w:iCs/>
      <w:spacing w:val="13"/>
      <w:sz w:val="24"/>
      <w:szCs w:val="24"/>
    </w:rPr>
  </w:style>
  <w:style w:type="character" w:styleId="Pogrubienie">
    <w:name w:val="Strong"/>
    <w:uiPriority w:val="22"/>
    <w:qFormat/>
    <w:rsid w:val="009D0902"/>
    <w:rPr>
      <w:b/>
      <w:bCs/>
    </w:rPr>
  </w:style>
  <w:style w:type="character" w:styleId="Uwydatnienie">
    <w:name w:val="Emphasis"/>
    <w:uiPriority w:val="20"/>
    <w:qFormat/>
    <w:rsid w:val="009D0902"/>
    <w:rPr>
      <w:b/>
      <w:bCs/>
      <w:i/>
      <w:iCs/>
      <w:spacing w:val="10"/>
      <w:bdr w:val="none" w:sz="0" w:space="0" w:color="auto"/>
      <w:shd w:val="clear" w:color="auto" w:fill="auto"/>
    </w:rPr>
  </w:style>
  <w:style w:type="paragraph" w:styleId="Cytat">
    <w:name w:val="Quote"/>
    <w:basedOn w:val="Normalny"/>
    <w:next w:val="Normalny"/>
    <w:link w:val="CytatZnak"/>
    <w:uiPriority w:val="29"/>
    <w:qFormat/>
    <w:rsid w:val="009D0902"/>
    <w:pPr>
      <w:spacing w:before="200" w:after="0" w:line="240" w:lineRule="auto"/>
      <w:ind w:left="360" w:right="360"/>
    </w:pPr>
    <w:rPr>
      <w:rFonts w:ascii="Times New Roman" w:hAnsi="Times New Roman"/>
      <w:i/>
      <w:iCs/>
      <w:sz w:val="24"/>
    </w:rPr>
  </w:style>
  <w:style w:type="character" w:customStyle="1" w:styleId="CytatZnak">
    <w:name w:val="Cytat Znak"/>
    <w:basedOn w:val="Domylnaczcionkaakapitu"/>
    <w:link w:val="Cytat"/>
    <w:uiPriority w:val="29"/>
    <w:rsid w:val="009D0902"/>
    <w:rPr>
      <w:rFonts w:ascii="Times New Roman" w:hAnsi="Times New Roman"/>
      <w:i/>
      <w:iCs/>
      <w:sz w:val="24"/>
    </w:rPr>
  </w:style>
  <w:style w:type="paragraph" w:styleId="Cytatintensywny">
    <w:name w:val="Intense Quote"/>
    <w:basedOn w:val="Normalny"/>
    <w:next w:val="Normalny"/>
    <w:link w:val="CytatintensywnyZnak"/>
    <w:uiPriority w:val="30"/>
    <w:qFormat/>
    <w:rsid w:val="009D0902"/>
    <w:pPr>
      <w:pBdr>
        <w:bottom w:val="single" w:sz="4" w:space="1" w:color="auto"/>
      </w:pBdr>
      <w:spacing w:before="200" w:after="280" w:line="240" w:lineRule="auto"/>
      <w:ind w:left="1008" w:right="1152"/>
      <w:jc w:val="both"/>
    </w:pPr>
    <w:rPr>
      <w:rFonts w:ascii="Times New Roman" w:hAnsi="Times New Roman"/>
      <w:b/>
      <w:bCs/>
      <w:i/>
      <w:iCs/>
      <w:sz w:val="24"/>
    </w:rPr>
  </w:style>
  <w:style w:type="character" w:customStyle="1" w:styleId="CytatintensywnyZnak">
    <w:name w:val="Cytat intensywny Znak"/>
    <w:basedOn w:val="Domylnaczcionkaakapitu"/>
    <w:link w:val="Cytatintensywny"/>
    <w:uiPriority w:val="30"/>
    <w:rsid w:val="009D0902"/>
    <w:rPr>
      <w:rFonts w:ascii="Times New Roman" w:hAnsi="Times New Roman"/>
      <w:b/>
      <w:bCs/>
      <w:i/>
      <w:iCs/>
      <w:sz w:val="24"/>
    </w:rPr>
  </w:style>
  <w:style w:type="character" w:styleId="Wyrnieniedelikatne">
    <w:name w:val="Subtle Emphasis"/>
    <w:uiPriority w:val="19"/>
    <w:qFormat/>
    <w:rsid w:val="009D0902"/>
    <w:rPr>
      <w:i/>
      <w:iCs/>
    </w:rPr>
  </w:style>
  <w:style w:type="character" w:styleId="Wyrnienieintensywne">
    <w:name w:val="Intense Emphasis"/>
    <w:uiPriority w:val="21"/>
    <w:qFormat/>
    <w:rsid w:val="009D0902"/>
    <w:rPr>
      <w:b/>
      <w:bCs/>
    </w:rPr>
  </w:style>
  <w:style w:type="character" w:styleId="Odwoaniedelikatne">
    <w:name w:val="Subtle Reference"/>
    <w:uiPriority w:val="31"/>
    <w:qFormat/>
    <w:rsid w:val="009D0902"/>
    <w:rPr>
      <w:smallCaps/>
    </w:rPr>
  </w:style>
  <w:style w:type="character" w:styleId="Odwoanieintensywne">
    <w:name w:val="Intense Reference"/>
    <w:uiPriority w:val="32"/>
    <w:qFormat/>
    <w:rsid w:val="009D0902"/>
    <w:rPr>
      <w:smallCaps/>
      <w:spacing w:val="5"/>
      <w:u w:val="single"/>
    </w:rPr>
  </w:style>
  <w:style w:type="character" w:styleId="Tytuksiki">
    <w:name w:val="Book Title"/>
    <w:uiPriority w:val="33"/>
    <w:qFormat/>
    <w:rsid w:val="009D0902"/>
    <w:rPr>
      <w:i/>
      <w:iCs/>
      <w:smallCaps/>
      <w:spacing w:val="5"/>
    </w:rPr>
  </w:style>
  <w:style w:type="paragraph" w:styleId="Nagwekspisutreci">
    <w:name w:val="TOC Heading"/>
    <w:basedOn w:val="Nagwek1"/>
    <w:next w:val="Normalny"/>
    <w:uiPriority w:val="39"/>
    <w:semiHidden/>
    <w:unhideWhenUsed/>
    <w:qFormat/>
    <w:rsid w:val="009D0902"/>
    <w:pPr>
      <w:outlineLvl w:val="9"/>
    </w:pPr>
    <w:rPr>
      <w:lang w:bidi="en-US"/>
    </w:rPr>
  </w:style>
  <w:style w:type="paragraph" w:customStyle="1" w:styleId="USTustnpkodeksu">
    <w:name w:val="UST(§) – ust. (§ np. kodeksu)"/>
    <w:basedOn w:val="Normalny"/>
    <w:uiPriority w:val="12"/>
    <w:qFormat/>
    <w:rsid w:val="009D090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customStyle="1" w:styleId="IGindeksgrny">
    <w:name w:val="_IG_ – indeks górny"/>
    <w:basedOn w:val="Domylnaczcionkaakapitu"/>
    <w:uiPriority w:val="2"/>
    <w:qFormat/>
    <w:rsid w:val="009D0902"/>
    <w:rPr>
      <w:b w:val="0"/>
      <w:i w:val="0"/>
      <w:vanish w:val="0"/>
      <w:spacing w:val="0"/>
      <w:vertAlign w:val="superscript"/>
    </w:rPr>
  </w:style>
  <w:style w:type="character" w:customStyle="1" w:styleId="Ppogrubienie">
    <w:name w:val="_P_ – pogrubienie"/>
    <w:basedOn w:val="Domylnaczcionkaakapitu"/>
    <w:uiPriority w:val="1"/>
    <w:qFormat/>
    <w:rsid w:val="009D0902"/>
    <w:rPr>
      <w:b/>
    </w:rPr>
  </w:style>
  <w:style w:type="paragraph" w:styleId="Tekstprzypisukocowego">
    <w:name w:val="endnote text"/>
    <w:basedOn w:val="Normalny"/>
    <w:link w:val="TekstprzypisukocowegoZnak"/>
    <w:uiPriority w:val="99"/>
    <w:semiHidden/>
    <w:unhideWhenUsed/>
    <w:rsid w:val="009D0902"/>
    <w:pPr>
      <w:spacing w:after="0" w:line="240" w:lineRule="auto"/>
    </w:pPr>
    <w:rPr>
      <w:rFonts w:ascii="Times New Roman" w:hAnsi="Times New Roman"/>
      <w:sz w:val="20"/>
      <w:szCs w:val="20"/>
    </w:rPr>
  </w:style>
  <w:style w:type="character" w:customStyle="1" w:styleId="TekstprzypisukocowegoZnak">
    <w:name w:val="Tekst przypisu końcowego Znak"/>
    <w:basedOn w:val="Domylnaczcionkaakapitu"/>
    <w:link w:val="Tekstprzypisukocowego"/>
    <w:uiPriority w:val="99"/>
    <w:semiHidden/>
    <w:rsid w:val="009D0902"/>
    <w:rPr>
      <w:rFonts w:ascii="Times New Roman" w:hAnsi="Times New Roman"/>
      <w:sz w:val="20"/>
      <w:szCs w:val="20"/>
    </w:rPr>
  </w:style>
  <w:style w:type="character" w:styleId="Odwoanieprzypisukocowego">
    <w:name w:val="endnote reference"/>
    <w:basedOn w:val="Domylnaczcionkaakapitu"/>
    <w:uiPriority w:val="99"/>
    <w:semiHidden/>
    <w:unhideWhenUsed/>
    <w:rsid w:val="009D0902"/>
    <w:rPr>
      <w:vertAlign w:val="superscript"/>
    </w:rPr>
  </w:style>
  <w:style w:type="paragraph" w:styleId="Poprawka">
    <w:name w:val="Revision"/>
    <w:hidden/>
    <w:uiPriority w:val="99"/>
    <w:semiHidden/>
    <w:rsid w:val="009D0902"/>
    <w:pPr>
      <w:spacing w:after="0" w:line="240" w:lineRule="auto"/>
    </w:pPr>
    <w:rPr>
      <w:rFonts w:ascii="Times New Roman" w:hAnsi="Times New Roman"/>
      <w:sz w:val="24"/>
    </w:rPr>
  </w:style>
  <w:style w:type="paragraph" w:customStyle="1" w:styleId="ODNONIKtreodnonika">
    <w:name w:val="ODNOŚNIK – treść odnośnika"/>
    <w:uiPriority w:val="24"/>
    <w:qFormat/>
    <w:rsid w:val="001D4428"/>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24"/>
    <w:qFormat/>
    <w:rsid w:val="001D4428"/>
    <w:pPr>
      <w:ind w:left="568"/>
    </w:pPr>
  </w:style>
  <w:style w:type="character" w:customStyle="1" w:styleId="copy-block">
    <w:name w:val="copy-block"/>
    <w:basedOn w:val="Domylnaczcionkaakapitu"/>
    <w:rsid w:val="000749ED"/>
  </w:style>
  <w:style w:type="paragraph" w:styleId="NormalnyWeb">
    <w:name w:val="Normal (Web)"/>
    <w:basedOn w:val="Normalny"/>
    <w:uiPriority w:val="99"/>
    <w:unhideWhenUsed/>
    <w:rsid w:val="000749E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itle-bold">
    <w:name w:val="title-bold"/>
    <w:basedOn w:val="Normalny"/>
    <w:rsid w:val="006051F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671EF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235810"/>
    <w:pPr>
      <w:spacing w:after="0" w:line="360" w:lineRule="auto"/>
      <w:ind w:left="510" w:hanging="510"/>
      <w:jc w:val="both"/>
    </w:pPr>
    <w:rPr>
      <w:rFonts w:ascii="Times" w:eastAsiaTheme="minorEastAsia" w:hAnsi="Times" w:cs="Arial"/>
      <w:bCs/>
      <w:sz w:val="24"/>
      <w:szCs w:val="20"/>
      <w:lang w:eastAsia="pl-PL"/>
    </w:rPr>
  </w:style>
  <w:style w:type="paragraph" w:customStyle="1" w:styleId="isselectedend">
    <w:name w:val="isselectedend"/>
    <w:basedOn w:val="Normalny"/>
    <w:rsid w:val="00F65477"/>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EC288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rot">
    <w:name w:val="Zwrot"/>
    <w:basedOn w:val="Normalny"/>
    <w:qFormat/>
    <w:rsid w:val="002E446F"/>
    <w:pPr>
      <w:spacing w:after="440" w:line="240" w:lineRule="auto"/>
      <w:contextualSpacing/>
    </w:pPr>
    <w:rPr>
      <w:rFonts w:ascii="Calibri" w:hAnsi="Calibri"/>
    </w:rPr>
  </w:style>
  <w:style w:type="paragraph" w:customStyle="1" w:styleId="ZLITCZWSPTIRwPKTzmczciwsptirwpktliter">
    <w:name w:val="Z_LIT/CZ_WSP_TIR_w_PKT – zm. części wsp. tir. w pkt literą"/>
    <w:basedOn w:val="Normalny"/>
    <w:next w:val="Normalny"/>
    <w:uiPriority w:val="51"/>
    <w:qFormat/>
    <w:rsid w:val="00341E96"/>
    <w:pPr>
      <w:spacing w:after="0" w:line="360" w:lineRule="auto"/>
      <w:ind w:left="1973"/>
      <w:jc w:val="both"/>
    </w:pPr>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A67ED3"/>
    <w:pPr>
      <w:spacing w:before="0"/>
      <w:ind w:left="510"/>
    </w:pPr>
  </w:style>
  <w:style w:type="character" w:customStyle="1" w:styleId="AkapitzlistZnak">
    <w:name w:val="Akapit z listą Znak"/>
    <w:aliases w:val="lp1 Znak,Preambuła Znak,AAA Znak,Petitum Znak,Uzasadnienie Znak,UZASADNIENIE Znak,Uzasadnienie pisma Znak,Uzasadnienie Dudziński Znak,HŁ_Bullet1 Znak,Nag 1 Znak,Bullet Number Znak,Body MS Bullet Znak,List Paragraph2 Znak,zał Znak"/>
    <w:basedOn w:val="Domylnaczcionkaakapitu"/>
    <w:link w:val="Akapitzlist"/>
    <w:uiPriority w:val="34"/>
    <w:qFormat/>
    <w:rsid w:val="00B406F6"/>
  </w:style>
  <w:style w:type="paragraph" w:customStyle="1" w:styleId="pdq2pgselectionanchorcontainer">
    <w:name w:val="pdq2pg_selectionanchorcontainer"/>
    <w:basedOn w:val="Normalny"/>
    <w:rsid w:val="00750A6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865">
      <w:bodyDiv w:val="1"/>
      <w:marLeft w:val="0"/>
      <w:marRight w:val="0"/>
      <w:marTop w:val="0"/>
      <w:marBottom w:val="0"/>
      <w:divBdr>
        <w:top w:val="none" w:sz="0" w:space="0" w:color="auto"/>
        <w:left w:val="none" w:sz="0" w:space="0" w:color="auto"/>
        <w:bottom w:val="none" w:sz="0" w:space="0" w:color="auto"/>
        <w:right w:val="none" w:sz="0" w:space="0" w:color="auto"/>
      </w:divBdr>
    </w:div>
    <w:div w:id="12272168">
      <w:bodyDiv w:val="1"/>
      <w:marLeft w:val="0"/>
      <w:marRight w:val="0"/>
      <w:marTop w:val="0"/>
      <w:marBottom w:val="0"/>
      <w:divBdr>
        <w:top w:val="none" w:sz="0" w:space="0" w:color="auto"/>
        <w:left w:val="none" w:sz="0" w:space="0" w:color="auto"/>
        <w:bottom w:val="none" w:sz="0" w:space="0" w:color="auto"/>
        <w:right w:val="none" w:sz="0" w:space="0" w:color="auto"/>
      </w:divBdr>
    </w:div>
    <w:div w:id="29575207">
      <w:bodyDiv w:val="1"/>
      <w:marLeft w:val="0"/>
      <w:marRight w:val="0"/>
      <w:marTop w:val="0"/>
      <w:marBottom w:val="0"/>
      <w:divBdr>
        <w:top w:val="none" w:sz="0" w:space="0" w:color="auto"/>
        <w:left w:val="none" w:sz="0" w:space="0" w:color="auto"/>
        <w:bottom w:val="none" w:sz="0" w:space="0" w:color="auto"/>
        <w:right w:val="none" w:sz="0" w:space="0" w:color="auto"/>
      </w:divBdr>
    </w:div>
    <w:div w:id="103502762">
      <w:bodyDiv w:val="1"/>
      <w:marLeft w:val="0"/>
      <w:marRight w:val="0"/>
      <w:marTop w:val="0"/>
      <w:marBottom w:val="0"/>
      <w:divBdr>
        <w:top w:val="none" w:sz="0" w:space="0" w:color="auto"/>
        <w:left w:val="none" w:sz="0" w:space="0" w:color="auto"/>
        <w:bottom w:val="none" w:sz="0" w:space="0" w:color="auto"/>
        <w:right w:val="none" w:sz="0" w:space="0" w:color="auto"/>
      </w:divBdr>
    </w:div>
    <w:div w:id="149562472">
      <w:bodyDiv w:val="1"/>
      <w:marLeft w:val="0"/>
      <w:marRight w:val="0"/>
      <w:marTop w:val="0"/>
      <w:marBottom w:val="0"/>
      <w:divBdr>
        <w:top w:val="none" w:sz="0" w:space="0" w:color="auto"/>
        <w:left w:val="none" w:sz="0" w:space="0" w:color="auto"/>
        <w:bottom w:val="none" w:sz="0" w:space="0" w:color="auto"/>
        <w:right w:val="none" w:sz="0" w:space="0" w:color="auto"/>
      </w:divBdr>
    </w:div>
    <w:div w:id="354314118">
      <w:bodyDiv w:val="1"/>
      <w:marLeft w:val="0"/>
      <w:marRight w:val="0"/>
      <w:marTop w:val="0"/>
      <w:marBottom w:val="0"/>
      <w:divBdr>
        <w:top w:val="none" w:sz="0" w:space="0" w:color="auto"/>
        <w:left w:val="none" w:sz="0" w:space="0" w:color="auto"/>
        <w:bottom w:val="none" w:sz="0" w:space="0" w:color="auto"/>
        <w:right w:val="none" w:sz="0" w:space="0" w:color="auto"/>
      </w:divBdr>
    </w:div>
    <w:div w:id="357048533">
      <w:bodyDiv w:val="1"/>
      <w:marLeft w:val="0"/>
      <w:marRight w:val="0"/>
      <w:marTop w:val="0"/>
      <w:marBottom w:val="0"/>
      <w:divBdr>
        <w:top w:val="none" w:sz="0" w:space="0" w:color="auto"/>
        <w:left w:val="none" w:sz="0" w:space="0" w:color="auto"/>
        <w:bottom w:val="none" w:sz="0" w:space="0" w:color="auto"/>
        <w:right w:val="none" w:sz="0" w:space="0" w:color="auto"/>
      </w:divBdr>
    </w:div>
    <w:div w:id="358698508">
      <w:bodyDiv w:val="1"/>
      <w:marLeft w:val="0"/>
      <w:marRight w:val="0"/>
      <w:marTop w:val="0"/>
      <w:marBottom w:val="0"/>
      <w:divBdr>
        <w:top w:val="none" w:sz="0" w:space="0" w:color="auto"/>
        <w:left w:val="none" w:sz="0" w:space="0" w:color="auto"/>
        <w:bottom w:val="none" w:sz="0" w:space="0" w:color="auto"/>
        <w:right w:val="none" w:sz="0" w:space="0" w:color="auto"/>
      </w:divBdr>
      <w:divsChild>
        <w:div w:id="1640381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0319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59911">
      <w:bodyDiv w:val="1"/>
      <w:marLeft w:val="0"/>
      <w:marRight w:val="0"/>
      <w:marTop w:val="0"/>
      <w:marBottom w:val="0"/>
      <w:divBdr>
        <w:top w:val="none" w:sz="0" w:space="0" w:color="auto"/>
        <w:left w:val="none" w:sz="0" w:space="0" w:color="auto"/>
        <w:bottom w:val="none" w:sz="0" w:space="0" w:color="auto"/>
        <w:right w:val="none" w:sz="0" w:space="0" w:color="auto"/>
      </w:divBdr>
    </w:div>
    <w:div w:id="552817907">
      <w:bodyDiv w:val="1"/>
      <w:marLeft w:val="0"/>
      <w:marRight w:val="0"/>
      <w:marTop w:val="0"/>
      <w:marBottom w:val="0"/>
      <w:divBdr>
        <w:top w:val="none" w:sz="0" w:space="0" w:color="auto"/>
        <w:left w:val="none" w:sz="0" w:space="0" w:color="auto"/>
        <w:bottom w:val="none" w:sz="0" w:space="0" w:color="auto"/>
        <w:right w:val="none" w:sz="0" w:space="0" w:color="auto"/>
      </w:divBdr>
    </w:div>
    <w:div w:id="556821318">
      <w:bodyDiv w:val="1"/>
      <w:marLeft w:val="0"/>
      <w:marRight w:val="0"/>
      <w:marTop w:val="0"/>
      <w:marBottom w:val="0"/>
      <w:divBdr>
        <w:top w:val="none" w:sz="0" w:space="0" w:color="auto"/>
        <w:left w:val="none" w:sz="0" w:space="0" w:color="auto"/>
        <w:bottom w:val="none" w:sz="0" w:space="0" w:color="auto"/>
        <w:right w:val="none" w:sz="0" w:space="0" w:color="auto"/>
      </w:divBdr>
    </w:div>
    <w:div w:id="622349789">
      <w:bodyDiv w:val="1"/>
      <w:marLeft w:val="0"/>
      <w:marRight w:val="0"/>
      <w:marTop w:val="0"/>
      <w:marBottom w:val="0"/>
      <w:divBdr>
        <w:top w:val="none" w:sz="0" w:space="0" w:color="auto"/>
        <w:left w:val="none" w:sz="0" w:space="0" w:color="auto"/>
        <w:bottom w:val="none" w:sz="0" w:space="0" w:color="auto"/>
        <w:right w:val="none" w:sz="0" w:space="0" w:color="auto"/>
      </w:divBdr>
    </w:div>
    <w:div w:id="638997198">
      <w:bodyDiv w:val="1"/>
      <w:marLeft w:val="0"/>
      <w:marRight w:val="0"/>
      <w:marTop w:val="0"/>
      <w:marBottom w:val="0"/>
      <w:divBdr>
        <w:top w:val="none" w:sz="0" w:space="0" w:color="auto"/>
        <w:left w:val="none" w:sz="0" w:space="0" w:color="auto"/>
        <w:bottom w:val="none" w:sz="0" w:space="0" w:color="auto"/>
        <w:right w:val="none" w:sz="0" w:space="0" w:color="auto"/>
      </w:divBdr>
    </w:div>
    <w:div w:id="786120109">
      <w:bodyDiv w:val="1"/>
      <w:marLeft w:val="0"/>
      <w:marRight w:val="0"/>
      <w:marTop w:val="0"/>
      <w:marBottom w:val="0"/>
      <w:divBdr>
        <w:top w:val="none" w:sz="0" w:space="0" w:color="auto"/>
        <w:left w:val="none" w:sz="0" w:space="0" w:color="auto"/>
        <w:bottom w:val="none" w:sz="0" w:space="0" w:color="auto"/>
        <w:right w:val="none" w:sz="0" w:space="0" w:color="auto"/>
      </w:divBdr>
    </w:div>
    <w:div w:id="814294622">
      <w:bodyDiv w:val="1"/>
      <w:marLeft w:val="0"/>
      <w:marRight w:val="0"/>
      <w:marTop w:val="0"/>
      <w:marBottom w:val="0"/>
      <w:divBdr>
        <w:top w:val="none" w:sz="0" w:space="0" w:color="auto"/>
        <w:left w:val="none" w:sz="0" w:space="0" w:color="auto"/>
        <w:bottom w:val="none" w:sz="0" w:space="0" w:color="auto"/>
        <w:right w:val="none" w:sz="0" w:space="0" w:color="auto"/>
      </w:divBdr>
    </w:div>
    <w:div w:id="846483221">
      <w:bodyDiv w:val="1"/>
      <w:marLeft w:val="0"/>
      <w:marRight w:val="0"/>
      <w:marTop w:val="0"/>
      <w:marBottom w:val="0"/>
      <w:divBdr>
        <w:top w:val="none" w:sz="0" w:space="0" w:color="auto"/>
        <w:left w:val="none" w:sz="0" w:space="0" w:color="auto"/>
        <w:bottom w:val="none" w:sz="0" w:space="0" w:color="auto"/>
        <w:right w:val="none" w:sz="0" w:space="0" w:color="auto"/>
      </w:divBdr>
    </w:div>
    <w:div w:id="932322360">
      <w:bodyDiv w:val="1"/>
      <w:marLeft w:val="0"/>
      <w:marRight w:val="0"/>
      <w:marTop w:val="0"/>
      <w:marBottom w:val="0"/>
      <w:divBdr>
        <w:top w:val="none" w:sz="0" w:space="0" w:color="auto"/>
        <w:left w:val="none" w:sz="0" w:space="0" w:color="auto"/>
        <w:bottom w:val="none" w:sz="0" w:space="0" w:color="auto"/>
        <w:right w:val="none" w:sz="0" w:space="0" w:color="auto"/>
      </w:divBdr>
    </w:div>
    <w:div w:id="951592714">
      <w:bodyDiv w:val="1"/>
      <w:marLeft w:val="0"/>
      <w:marRight w:val="0"/>
      <w:marTop w:val="0"/>
      <w:marBottom w:val="0"/>
      <w:divBdr>
        <w:top w:val="none" w:sz="0" w:space="0" w:color="auto"/>
        <w:left w:val="none" w:sz="0" w:space="0" w:color="auto"/>
        <w:bottom w:val="none" w:sz="0" w:space="0" w:color="auto"/>
        <w:right w:val="none" w:sz="0" w:space="0" w:color="auto"/>
      </w:divBdr>
    </w:div>
    <w:div w:id="986202322">
      <w:bodyDiv w:val="1"/>
      <w:marLeft w:val="0"/>
      <w:marRight w:val="0"/>
      <w:marTop w:val="0"/>
      <w:marBottom w:val="0"/>
      <w:divBdr>
        <w:top w:val="none" w:sz="0" w:space="0" w:color="auto"/>
        <w:left w:val="none" w:sz="0" w:space="0" w:color="auto"/>
        <w:bottom w:val="none" w:sz="0" w:space="0" w:color="auto"/>
        <w:right w:val="none" w:sz="0" w:space="0" w:color="auto"/>
      </w:divBdr>
    </w:div>
    <w:div w:id="1001733184">
      <w:bodyDiv w:val="1"/>
      <w:marLeft w:val="0"/>
      <w:marRight w:val="0"/>
      <w:marTop w:val="0"/>
      <w:marBottom w:val="0"/>
      <w:divBdr>
        <w:top w:val="none" w:sz="0" w:space="0" w:color="auto"/>
        <w:left w:val="none" w:sz="0" w:space="0" w:color="auto"/>
        <w:bottom w:val="none" w:sz="0" w:space="0" w:color="auto"/>
        <w:right w:val="none" w:sz="0" w:space="0" w:color="auto"/>
      </w:divBdr>
    </w:div>
    <w:div w:id="1021198620">
      <w:bodyDiv w:val="1"/>
      <w:marLeft w:val="0"/>
      <w:marRight w:val="0"/>
      <w:marTop w:val="0"/>
      <w:marBottom w:val="0"/>
      <w:divBdr>
        <w:top w:val="none" w:sz="0" w:space="0" w:color="auto"/>
        <w:left w:val="none" w:sz="0" w:space="0" w:color="auto"/>
        <w:bottom w:val="none" w:sz="0" w:space="0" w:color="auto"/>
        <w:right w:val="none" w:sz="0" w:space="0" w:color="auto"/>
      </w:divBdr>
    </w:div>
    <w:div w:id="1092512300">
      <w:bodyDiv w:val="1"/>
      <w:marLeft w:val="0"/>
      <w:marRight w:val="0"/>
      <w:marTop w:val="0"/>
      <w:marBottom w:val="0"/>
      <w:divBdr>
        <w:top w:val="none" w:sz="0" w:space="0" w:color="auto"/>
        <w:left w:val="none" w:sz="0" w:space="0" w:color="auto"/>
        <w:bottom w:val="none" w:sz="0" w:space="0" w:color="auto"/>
        <w:right w:val="none" w:sz="0" w:space="0" w:color="auto"/>
      </w:divBdr>
    </w:div>
    <w:div w:id="1211646718">
      <w:bodyDiv w:val="1"/>
      <w:marLeft w:val="0"/>
      <w:marRight w:val="0"/>
      <w:marTop w:val="0"/>
      <w:marBottom w:val="0"/>
      <w:divBdr>
        <w:top w:val="none" w:sz="0" w:space="0" w:color="auto"/>
        <w:left w:val="none" w:sz="0" w:space="0" w:color="auto"/>
        <w:bottom w:val="none" w:sz="0" w:space="0" w:color="auto"/>
        <w:right w:val="none" w:sz="0" w:space="0" w:color="auto"/>
      </w:divBdr>
    </w:div>
    <w:div w:id="1230506855">
      <w:bodyDiv w:val="1"/>
      <w:marLeft w:val="0"/>
      <w:marRight w:val="0"/>
      <w:marTop w:val="0"/>
      <w:marBottom w:val="0"/>
      <w:divBdr>
        <w:top w:val="none" w:sz="0" w:space="0" w:color="auto"/>
        <w:left w:val="none" w:sz="0" w:space="0" w:color="auto"/>
        <w:bottom w:val="none" w:sz="0" w:space="0" w:color="auto"/>
        <w:right w:val="none" w:sz="0" w:space="0" w:color="auto"/>
      </w:divBdr>
    </w:div>
    <w:div w:id="1246383162">
      <w:bodyDiv w:val="1"/>
      <w:marLeft w:val="0"/>
      <w:marRight w:val="0"/>
      <w:marTop w:val="0"/>
      <w:marBottom w:val="0"/>
      <w:divBdr>
        <w:top w:val="none" w:sz="0" w:space="0" w:color="auto"/>
        <w:left w:val="none" w:sz="0" w:space="0" w:color="auto"/>
        <w:bottom w:val="none" w:sz="0" w:space="0" w:color="auto"/>
        <w:right w:val="none" w:sz="0" w:space="0" w:color="auto"/>
      </w:divBdr>
    </w:div>
    <w:div w:id="1257444306">
      <w:bodyDiv w:val="1"/>
      <w:marLeft w:val="0"/>
      <w:marRight w:val="0"/>
      <w:marTop w:val="0"/>
      <w:marBottom w:val="0"/>
      <w:divBdr>
        <w:top w:val="none" w:sz="0" w:space="0" w:color="auto"/>
        <w:left w:val="none" w:sz="0" w:space="0" w:color="auto"/>
        <w:bottom w:val="none" w:sz="0" w:space="0" w:color="auto"/>
        <w:right w:val="none" w:sz="0" w:space="0" w:color="auto"/>
      </w:divBdr>
    </w:div>
    <w:div w:id="1329360493">
      <w:bodyDiv w:val="1"/>
      <w:marLeft w:val="0"/>
      <w:marRight w:val="0"/>
      <w:marTop w:val="0"/>
      <w:marBottom w:val="0"/>
      <w:divBdr>
        <w:top w:val="none" w:sz="0" w:space="0" w:color="auto"/>
        <w:left w:val="none" w:sz="0" w:space="0" w:color="auto"/>
        <w:bottom w:val="none" w:sz="0" w:space="0" w:color="auto"/>
        <w:right w:val="none" w:sz="0" w:space="0" w:color="auto"/>
      </w:divBdr>
      <w:divsChild>
        <w:div w:id="1370032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865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4499712">
      <w:bodyDiv w:val="1"/>
      <w:marLeft w:val="0"/>
      <w:marRight w:val="0"/>
      <w:marTop w:val="0"/>
      <w:marBottom w:val="0"/>
      <w:divBdr>
        <w:top w:val="none" w:sz="0" w:space="0" w:color="auto"/>
        <w:left w:val="none" w:sz="0" w:space="0" w:color="auto"/>
        <w:bottom w:val="none" w:sz="0" w:space="0" w:color="auto"/>
        <w:right w:val="none" w:sz="0" w:space="0" w:color="auto"/>
      </w:divBdr>
    </w:div>
    <w:div w:id="1416395620">
      <w:bodyDiv w:val="1"/>
      <w:marLeft w:val="0"/>
      <w:marRight w:val="0"/>
      <w:marTop w:val="0"/>
      <w:marBottom w:val="0"/>
      <w:divBdr>
        <w:top w:val="none" w:sz="0" w:space="0" w:color="auto"/>
        <w:left w:val="none" w:sz="0" w:space="0" w:color="auto"/>
        <w:bottom w:val="none" w:sz="0" w:space="0" w:color="auto"/>
        <w:right w:val="none" w:sz="0" w:space="0" w:color="auto"/>
      </w:divBdr>
    </w:div>
    <w:div w:id="1457334968">
      <w:bodyDiv w:val="1"/>
      <w:marLeft w:val="0"/>
      <w:marRight w:val="0"/>
      <w:marTop w:val="0"/>
      <w:marBottom w:val="0"/>
      <w:divBdr>
        <w:top w:val="none" w:sz="0" w:space="0" w:color="auto"/>
        <w:left w:val="none" w:sz="0" w:space="0" w:color="auto"/>
        <w:bottom w:val="none" w:sz="0" w:space="0" w:color="auto"/>
        <w:right w:val="none" w:sz="0" w:space="0" w:color="auto"/>
      </w:divBdr>
    </w:div>
    <w:div w:id="1502770556">
      <w:bodyDiv w:val="1"/>
      <w:marLeft w:val="0"/>
      <w:marRight w:val="0"/>
      <w:marTop w:val="0"/>
      <w:marBottom w:val="0"/>
      <w:divBdr>
        <w:top w:val="none" w:sz="0" w:space="0" w:color="auto"/>
        <w:left w:val="none" w:sz="0" w:space="0" w:color="auto"/>
        <w:bottom w:val="none" w:sz="0" w:space="0" w:color="auto"/>
        <w:right w:val="none" w:sz="0" w:space="0" w:color="auto"/>
      </w:divBdr>
    </w:div>
    <w:div w:id="1514032866">
      <w:bodyDiv w:val="1"/>
      <w:marLeft w:val="0"/>
      <w:marRight w:val="0"/>
      <w:marTop w:val="0"/>
      <w:marBottom w:val="0"/>
      <w:divBdr>
        <w:top w:val="none" w:sz="0" w:space="0" w:color="auto"/>
        <w:left w:val="none" w:sz="0" w:space="0" w:color="auto"/>
        <w:bottom w:val="none" w:sz="0" w:space="0" w:color="auto"/>
        <w:right w:val="none" w:sz="0" w:space="0" w:color="auto"/>
      </w:divBdr>
    </w:div>
    <w:div w:id="1627194576">
      <w:bodyDiv w:val="1"/>
      <w:marLeft w:val="0"/>
      <w:marRight w:val="0"/>
      <w:marTop w:val="0"/>
      <w:marBottom w:val="0"/>
      <w:divBdr>
        <w:top w:val="none" w:sz="0" w:space="0" w:color="auto"/>
        <w:left w:val="none" w:sz="0" w:space="0" w:color="auto"/>
        <w:bottom w:val="none" w:sz="0" w:space="0" w:color="auto"/>
        <w:right w:val="none" w:sz="0" w:space="0" w:color="auto"/>
      </w:divBdr>
    </w:div>
    <w:div w:id="1655256730">
      <w:bodyDiv w:val="1"/>
      <w:marLeft w:val="0"/>
      <w:marRight w:val="0"/>
      <w:marTop w:val="0"/>
      <w:marBottom w:val="0"/>
      <w:divBdr>
        <w:top w:val="none" w:sz="0" w:space="0" w:color="auto"/>
        <w:left w:val="none" w:sz="0" w:space="0" w:color="auto"/>
        <w:bottom w:val="none" w:sz="0" w:space="0" w:color="auto"/>
        <w:right w:val="none" w:sz="0" w:space="0" w:color="auto"/>
      </w:divBdr>
    </w:div>
    <w:div w:id="1678386947">
      <w:bodyDiv w:val="1"/>
      <w:marLeft w:val="0"/>
      <w:marRight w:val="0"/>
      <w:marTop w:val="0"/>
      <w:marBottom w:val="0"/>
      <w:divBdr>
        <w:top w:val="none" w:sz="0" w:space="0" w:color="auto"/>
        <w:left w:val="none" w:sz="0" w:space="0" w:color="auto"/>
        <w:bottom w:val="none" w:sz="0" w:space="0" w:color="auto"/>
        <w:right w:val="none" w:sz="0" w:space="0" w:color="auto"/>
      </w:divBdr>
    </w:div>
    <w:div w:id="1722049065">
      <w:bodyDiv w:val="1"/>
      <w:marLeft w:val="0"/>
      <w:marRight w:val="0"/>
      <w:marTop w:val="0"/>
      <w:marBottom w:val="0"/>
      <w:divBdr>
        <w:top w:val="none" w:sz="0" w:space="0" w:color="auto"/>
        <w:left w:val="none" w:sz="0" w:space="0" w:color="auto"/>
        <w:bottom w:val="none" w:sz="0" w:space="0" w:color="auto"/>
        <w:right w:val="none" w:sz="0" w:space="0" w:color="auto"/>
      </w:divBdr>
    </w:div>
    <w:div w:id="1748068217">
      <w:bodyDiv w:val="1"/>
      <w:marLeft w:val="0"/>
      <w:marRight w:val="0"/>
      <w:marTop w:val="0"/>
      <w:marBottom w:val="0"/>
      <w:divBdr>
        <w:top w:val="none" w:sz="0" w:space="0" w:color="auto"/>
        <w:left w:val="none" w:sz="0" w:space="0" w:color="auto"/>
        <w:bottom w:val="none" w:sz="0" w:space="0" w:color="auto"/>
        <w:right w:val="none" w:sz="0" w:space="0" w:color="auto"/>
      </w:divBdr>
    </w:div>
    <w:div w:id="1815098628">
      <w:bodyDiv w:val="1"/>
      <w:marLeft w:val="0"/>
      <w:marRight w:val="0"/>
      <w:marTop w:val="0"/>
      <w:marBottom w:val="0"/>
      <w:divBdr>
        <w:top w:val="none" w:sz="0" w:space="0" w:color="auto"/>
        <w:left w:val="none" w:sz="0" w:space="0" w:color="auto"/>
        <w:bottom w:val="none" w:sz="0" w:space="0" w:color="auto"/>
        <w:right w:val="none" w:sz="0" w:space="0" w:color="auto"/>
      </w:divBdr>
    </w:div>
    <w:div w:id="1847597141">
      <w:bodyDiv w:val="1"/>
      <w:marLeft w:val="0"/>
      <w:marRight w:val="0"/>
      <w:marTop w:val="0"/>
      <w:marBottom w:val="0"/>
      <w:divBdr>
        <w:top w:val="none" w:sz="0" w:space="0" w:color="auto"/>
        <w:left w:val="none" w:sz="0" w:space="0" w:color="auto"/>
        <w:bottom w:val="none" w:sz="0" w:space="0" w:color="auto"/>
        <w:right w:val="none" w:sz="0" w:space="0" w:color="auto"/>
      </w:divBdr>
    </w:div>
    <w:div w:id="1914200186">
      <w:bodyDiv w:val="1"/>
      <w:marLeft w:val="0"/>
      <w:marRight w:val="0"/>
      <w:marTop w:val="0"/>
      <w:marBottom w:val="0"/>
      <w:divBdr>
        <w:top w:val="none" w:sz="0" w:space="0" w:color="auto"/>
        <w:left w:val="none" w:sz="0" w:space="0" w:color="auto"/>
        <w:bottom w:val="none" w:sz="0" w:space="0" w:color="auto"/>
        <w:right w:val="none" w:sz="0" w:space="0" w:color="auto"/>
      </w:divBdr>
    </w:div>
    <w:div w:id="1979067394">
      <w:bodyDiv w:val="1"/>
      <w:marLeft w:val="0"/>
      <w:marRight w:val="0"/>
      <w:marTop w:val="0"/>
      <w:marBottom w:val="0"/>
      <w:divBdr>
        <w:top w:val="none" w:sz="0" w:space="0" w:color="auto"/>
        <w:left w:val="none" w:sz="0" w:space="0" w:color="auto"/>
        <w:bottom w:val="none" w:sz="0" w:space="0" w:color="auto"/>
        <w:right w:val="none" w:sz="0" w:space="0" w:color="auto"/>
      </w:divBdr>
    </w:div>
    <w:div w:id="1998605977">
      <w:bodyDiv w:val="1"/>
      <w:marLeft w:val="0"/>
      <w:marRight w:val="0"/>
      <w:marTop w:val="0"/>
      <w:marBottom w:val="0"/>
      <w:divBdr>
        <w:top w:val="none" w:sz="0" w:space="0" w:color="auto"/>
        <w:left w:val="none" w:sz="0" w:space="0" w:color="auto"/>
        <w:bottom w:val="none" w:sz="0" w:space="0" w:color="auto"/>
        <w:right w:val="none" w:sz="0" w:space="0" w:color="auto"/>
      </w:divBdr>
    </w:div>
    <w:div w:id="2007511227">
      <w:bodyDiv w:val="1"/>
      <w:marLeft w:val="0"/>
      <w:marRight w:val="0"/>
      <w:marTop w:val="0"/>
      <w:marBottom w:val="0"/>
      <w:divBdr>
        <w:top w:val="none" w:sz="0" w:space="0" w:color="auto"/>
        <w:left w:val="none" w:sz="0" w:space="0" w:color="auto"/>
        <w:bottom w:val="none" w:sz="0" w:space="0" w:color="auto"/>
        <w:right w:val="none" w:sz="0" w:space="0" w:color="auto"/>
      </w:divBdr>
    </w:div>
    <w:div w:id="2019496877">
      <w:bodyDiv w:val="1"/>
      <w:marLeft w:val="0"/>
      <w:marRight w:val="0"/>
      <w:marTop w:val="0"/>
      <w:marBottom w:val="0"/>
      <w:divBdr>
        <w:top w:val="none" w:sz="0" w:space="0" w:color="auto"/>
        <w:left w:val="none" w:sz="0" w:space="0" w:color="auto"/>
        <w:bottom w:val="none" w:sz="0" w:space="0" w:color="auto"/>
        <w:right w:val="none" w:sz="0" w:space="0" w:color="auto"/>
      </w:divBdr>
    </w:div>
    <w:div w:id="2067681628">
      <w:bodyDiv w:val="1"/>
      <w:marLeft w:val="0"/>
      <w:marRight w:val="0"/>
      <w:marTop w:val="0"/>
      <w:marBottom w:val="0"/>
      <w:divBdr>
        <w:top w:val="none" w:sz="0" w:space="0" w:color="auto"/>
        <w:left w:val="none" w:sz="0" w:space="0" w:color="auto"/>
        <w:bottom w:val="none" w:sz="0" w:space="0" w:color="auto"/>
        <w:right w:val="none" w:sz="0" w:space="0" w:color="auto"/>
      </w:divBdr>
    </w:div>
    <w:div w:id="2095010087">
      <w:bodyDiv w:val="1"/>
      <w:marLeft w:val="0"/>
      <w:marRight w:val="0"/>
      <w:marTop w:val="0"/>
      <w:marBottom w:val="0"/>
      <w:divBdr>
        <w:top w:val="none" w:sz="0" w:space="0" w:color="auto"/>
        <w:left w:val="none" w:sz="0" w:space="0" w:color="auto"/>
        <w:bottom w:val="none" w:sz="0" w:space="0" w:color="auto"/>
        <w:right w:val="none" w:sz="0" w:space="0" w:color="auto"/>
      </w:divBdr>
    </w:div>
    <w:div w:id="2100254394">
      <w:bodyDiv w:val="1"/>
      <w:marLeft w:val="0"/>
      <w:marRight w:val="0"/>
      <w:marTop w:val="0"/>
      <w:marBottom w:val="0"/>
      <w:divBdr>
        <w:top w:val="none" w:sz="0" w:space="0" w:color="auto"/>
        <w:left w:val="none" w:sz="0" w:space="0" w:color="auto"/>
        <w:bottom w:val="none" w:sz="0" w:space="0" w:color="auto"/>
        <w:right w:val="none" w:sz="0" w:space="0" w:color="auto"/>
      </w:divBdr>
    </w:div>
    <w:div w:id="213641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33E26DFF950204099B8879EE04C14FB" ma:contentTypeVersion="0" ma:contentTypeDescription="Utwórz nowy dokument." ma:contentTypeScope="" ma:versionID="a1b96913e2fd922a495fb0e1ccb40406">
  <xsd:schema xmlns:xsd="http://www.w3.org/2001/XMLSchema" xmlns:xs="http://www.w3.org/2001/XMLSchema" xmlns:p="http://schemas.microsoft.com/office/2006/metadata/properties" targetNamespace="http://schemas.microsoft.com/office/2006/metadata/properties" ma:root="true" ma:fieldsID="8ee384dce7a52089c1fa718a27ddf0f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04C3DA-9DA6-4C7E-9764-F0CB1768F4AB}">
  <ds:schemaRefs>
    <ds:schemaRef ds:uri="http://schemas.openxmlformats.org/officeDocument/2006/bibliography"/>
  </ds:schemaRefs>
</ds:datastoreItem>
</file>

<file path=customXml/itemProps2.xml><?xml version="1.0" encoding="utf-8"?>
<ds:datastoreItem xmlns:ds="http://schemas.openxmlformats.org/officeDocument/2006/customXml" ds:itemID="{76B2B4FC-9D1F-4D42-8414-A30B114DC3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53EB08-4AC8-47D4-9436-B3C5B5305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9194027-6A51-47C6-8DAD-9DD5C47C16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26031</Words>
  <Characters>156189</Characters>
  <Application>Microsoft Office Word</Application>
  <DocSecurity>0</DocSecurity>
  <Lines>1301</Lines>
  <Paragraphs>363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Kowalski Arkadiusz</dc:creator>
  <cp:keywords/>
  <dc:description/>
  <cp:lastModifiedBy>Bodych Dominika</cp:lastModifiedBy>
  <cp:revision>2</cp:revision>
  <dcterms:created xsi:type="dcterms:W3CDTF">2026-11-02T10:06:00Z</dcterms:created>
  <dcterms:modified xsi:type="dcterms:W3CDTF">2026-11-02T10:06:00Z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0x010100C33E26DFF950204099B8879EE04C14FB</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UxC4dwLulzfINJ8nQH+xvX5LNGipWa4BRSZhPgxsCvlw+iMwHp30c7j4Tmh9BS8vkvgLmUtEBOua5lE/jtwWVg==</vt:lpwstr>
  </property>
  <property fmtid="{D5CDD505-2E9C-101B-9397-08002B2CF9AE}" pid="5" name="MFClassificationDate">
    <vt:lpwstr>2025-01-14T10:45:57.7099810+01:00</vt:lpwstr>
  </property>
  <property fmtid="{D5CDD505-2E9C-101B-9397-08002B2CF9AE}" pid="6" name="MFClassifiedBySID">
    <vt:lpwstr>UxC4dwLulzfINJ8nQH+xvX5LNGipWa4BRSZhPgxsCvm42mrIC/DSDv0ggS+FjUN/2v1BBotkLlY5aAiEhoi6uZidQqjqC2ZaLyl+C8V9ZJYtvWuqmDVj7wrwhyyA/dgi</vt:lpwstr>
  </property>
  <property fmtid="{D5CDD505-2E9C-101B-9397-08002B2CF9AE}" pid="7" name="MFGRNItemId">
    <vt:lpwstr>GRN-b9db2c0c-1853-4490-9d60-81593d37a288</vt:lpwstr>
  </property>
  <property fmtid="{D5CDD505-2E9C-101B-9397-08002B2CF9AE}" pid="8" name="MFHash">
    <vt:lpwstr>4QLIkZHGUYQOyR/FCb8so/oE0TmuGHw4+cuIaV4RgKQ=</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