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1652B" w14:textId="77777777" w:rsidR="006B1455" w:rsidRPr="0020510F" w:rsidRDefault="006B1455" w:rsidP="0020510F">
      <w:pPr>
        <w:pStyle w:val="OZNRODZAKTUtznustawalubrozporzdzenieiorganwydajcy"/>
        <w:spacing w:after="240"/>
        <w:rPr>
          <w:rStyle w:val="Ppogrubienie"/>
          <w:spacing w:val="0"/>
        </w:rPr>
      </w:pPr>
      <w:r w:rsidRPr="0020510F">
        <w:rPr>
          <w:rStyle w:val="Ppogrubienie"/>
          <w:spacing w:val="0"/>
        </w:rPr>
        <w:t>UZASADNIENIE</w:t>
      </w:r>
    </w:p>
    <w:p w14:paraId="52132119" w14:textId="250A1771"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Od połowy 2024 r. w sądach powszechnych zlokalizowanych w dużych aglomeracjach</w:t>
      </w:r>
      <w:r w:rsidR="000876D0">
        <w:rPr>
          <w:rFonts w:ascii="Times New Roman" w:hAnsi="Times New Roman" w:cs="Times New Roman"/>
          <w:szCs w:val="24"/>
        </w:rPr>
        <w:t>,</w:t>
      </w:r>
      <w:r w:rsidRPr="0020510F">
        <w:rPr>
          <w:rFonts w:ascii="Times New Roman" w:hAnsi="Times New Roman" w:cs="Times New Roman"/>
          <w:szCs w:val="24"/>
        </w:rPr>
        <w:t xml:space="preserve"> w których swoje siedziby mają największe banki i inne jednostki organizacyjne uprawnione do wykonywania czynności bankowych</w:t>
      </w:r>
      <w:r w:rsidR="000876D0">
        <w:rPr>
          <w:rFonts w:ascii="Times New Roman" w:hAnsi="Times New Roman" w:cs="Times New Roman"/>
          <w:szCs w:val="24"/>
        </w:rPr>
        <w:t>,</w:t>
      </w:r>
      <w:r w:rsidRPr="0020510F" w:rsidDel="005054BA">
        <w:rPr>
          <w:rFonts w:ascii="Times New Roman" w:hAnsi="Times New Roman" w:cs="Times New Roman"/>
          <w:szCs w:val="24"/>
        </w:rPr>
        <w:t xml:space="preserve"> </w:t>
      </w:r>
      <w:r w:rsidRPr="0020510F">
        <w:rPr>
          <w:rFonts w:ascii="Times New Roman" w:hAnsi="Times New Roman" w:cs="Times New Roman"/>
          <w:szCs w:val="24"/>
        </w:rPr>
        <w:t xml:space="preserve">ma miejsce lawinowy wpływ spraw związanych z realizacją tzw. sankcji kredytu darmowego w ramach umowy kredytu konsumenckiego, jak również spraw profesjonalnych podmiotów skupujących tego rodzaju wierzytelności z terenu całego kraju, które swoje roszczenia kierują do sądów właściwości ogólnej pozwanego. </w:t>
      </w:r>
    </w:p>
    <w:p w14:paraId="42E9AD4C" w14:textId="28EB69D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 zakresie tej kategorii spraw należy się w przyszłości spodziewać jeszcze większego ich wzrostu, biorąc przede wszystkim pod uwagę fakt, że ilość kredytów konsumpcyjnych jest wielokrotnie większa niż kredytów waloryzowanych, denominowanych lub indeksowanych do waluty obcej, których lawinowy wpływ do sądów okręgowych w latach 2017–2022</w:t>
      </w:r>
      <w:r w:rsidRPr="0020510F">
        <w:rPr>
          <w:rStyle w:val="IGindeksgrny"/>
          <w:rFonts w:ascii="Times New Roman" w:hAnsi="Times New Roman" w:cs="Times New Roman"/>
          <w:szCs w:val="24"/>
        </w:rPr>
        <w:footnoteReference w:id="1"/>
      </w:r>
      <w:r w:rsidR="00882F6F">
        <w:rPr>
          <w:rFonts w:ascii="Times New Roman" w:hAnsi="Times New Roman" w:cs="Times New Roman"/>
          <w:szCs w:val="24"/>
          <w:vertAlign w:val="superscript"/>
        </w:rPr>
        <w:t>)</w:t>
      </w:r>
      <w:r w:rsidRPr="0020510F">
        <w:rPr>
          <w:rFonts w:ascii="Times New Roman" w:hAnsi="Times New Roman" w:cs="Times New Roman"/>
          <w:szCs w:val="24"/>
        </w:rPr>
        <w:t xml:space="preserve"> doprowadził do ingerencji ustawodawcy w postaci art. 18 </w:t>
      </w:r>
      <w:bookmarkStart w:id="0" w:name="_Hlk219380118"/>
      <w:r w:rsidRPr="0020510F">
        <w:rPr>
          <w:rStyle w:val="Kkursywa"/>
          <w:rFonts w:ascii="Times New Roman" w:hAnsi="Times New Roman" w:cs="Times New Roman"/>
          <w:szCs w:val="24"/>
        </w:rPr>
        <w:t>ustawy z dnia 9 marca 2023 r.</w:t>
      </w:r>
      <w:r w:rsidRPr="0020510F">
        <w:rPr>
          <w:rFonts w:ascii="Times New Roman" w:hAnsi="Times New Roman" w:cs="Times New Roman"/>
          <w:szCs w:val="24"/>
        </w:rPr>
        <w:t xml:space="preserve"> </w:t>
      </w:r>
      <w:r w:rsidRPr="0020510F">
        <w:rPr>
          <w:rStyle w:val="Kkursywa"/>
          <w:rFonts w:ascii="Times New Roman" w:hAnsi="Times New Roman" w:cs="Times New Roman"/>
          <w:szCs w:val="24"/>
        </w:rPr>
        <w:t xml:space="preserve">o zmianie ustawy </w:t>
      </w:r>
      <w:r w:rsidR="00254526">
        <w:rPr>
          <w:rStyle w:val="Kkursywa"/>
          <w:rFonts w:ascii="Times New Roman" w:hAnsi="Times New Roman" w:cs="Times New Roman"/>
          <w:szCs w:val="24"/>
        </w:rPr>
        <w:t>–</w:t>
      </w:r>
      <w:r w:rsidRPr="0020510F">
        <w:rPr>
          <w:rStyle w:val="Kkursywa"/>
          <w:rFonts w:ascii="Times New Roman" w:hAnsi="Times New Roman" w:cs="Times New Roman"/>
          <w:szCs w:val="24"/>
        </w:rPr>
        <w:t xml:space="preserve"> Kodeks postępowania cywilnego oraz niektórych innych ustaw</w:t>
      </w:r>
      <w:r w:rsidRPr="0020510F">
        <w:rPr>
          <w:rFonts w:ascii="Times New Roman" w:hAnsi="Times New Roman" w:cs="Times New Roman"/>
          <w:szCs w:val="24"/>
        </w:rPr>
        <w:t xml:space="preserve"> (Dz. U. poz. 614), </w:t>
      </w:r>
      <w:bookmarkEnd w:id="0"/>
      <w:r w:rsidRPr="0020510F">
        <w:rPr>
          <w:rFonts w:ascii="Times New Roman" w:hAnsi="Times New Roman" w:cs="Times New Roman"/>
          <w:szCs w:val="24"/>
        </w:rPr>
        <w:t>jak również ustawy z dnia 29 maja 2026 r.</w:t>
      </w:r>
      <w:r w:rsidRPr="0020510F">
        <w:rPr>
          <w:rStyle w:val="Kkursywa"/>
          <w:rFonts w:ascii="Times New Roman" w:hAnsi="Times New Roman" w:cs="Times New Roman"/>
          <w:szCs w:val="24"/>
        </w:rPr>
        <w:t xml:space="preserve"> o szczególnych rozwiązaniach w zakresie rozpoznawania spraw dotyczących zawartych z konsumentami umów kredytu denominowanego lub indeksowanego do franka szwajcarskiego</w:t>
      </w:r>
      <w:r w:rsidRPr="0020510F">
        <w:rPr>
          <w:rFonts w:ascii="Times New Roman" w:hAnsi="Times New Roman" w:cs="Times New Roman"/>
          <w:szCs w:val="24"/>
        </w:rPr>
        <w:t xml:space="preserve"> (Dz. U</w:t>
      </w:r>
      <w:r w:rsidR="00AF3C83">
        <w:rPr>
          <w:rFonts w:ascii="Times New Roman" w:hAnsi="Times New Roman" w:cs="Times New Roman"/>
          <w:szCs w:val="24"/>
        </w:rPr>
        <w:t>.</w:t>
      </w:r>
      <w:r w:rsidRPr="0020510F">
        <w:rPr>
          <w:rFonts w:ascii="Times New Roman" w:hAnsi="Times New Roman" w:cs="Times New Roman"/>
          <w:szCs w:val="24"/>
        </w:rPr>
        <w:t xml:space="preserve"> poz. 985), których celem było usprawnienie i przyspieszenie rozpoznawania spraw frankowych, a także ograniczenie wpływu nowych spraw tego rodzaju.</w:t>
      </w:r>
    </w:p>
    <w:p w14:paraId="19AA280F" w14:textId="6A481F91"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Proponowane poniżej rozwiązania zmierzają do </w:t>
      </w:r>
      <w:bookmarkStart w:id="1" w:name="_Hlk219372672"/>
      <w:r w:rsidRPr="0020510F">
        <w:rPr>
          <w:rFonts w:ascii="Times New Roman" w:hAnsi="Times New Roman" w:cs="Times New Roman"/>
          <w:szCs w:val="24"/>
        </w:rPr>
        <w:t>dekoncentracji wpływu spraw w sądach wielkomiejskich o roszczenia wynikające ze złożenia przez konsumenta oświadczenia o skorzystaniu z tzw. sankcji kredytu darmowego</w:t>
      </w:r>
      <w:bookmarkStart w:id="2" w:name="_Hlk219374467"/>
      <w:r w:rsidRPr="0020510F">
        <w:rPr>
          <w:rFonts w:ascii="Times New Roman" w:hAnsi="Times New Roman" w:cs="Times New Roman"/>
          <w:szCs w:val="24"/>
        </w:rPr>
        <w:t>. Celem zmian jest zatem rozproszenie spraw do różnych sądów w Polsce i równomierne ich obciążenie, co mogłoby w sposób znaczący przełożyć się na przyspieszenie postępowań sądowych</w:t>
      </w:r>
      <w:bookmarkEnd w:id="2"/>
      <w:r w:rsidRPr="0020510F">
        <w:rPr>
          <w:rFonts w:ascii="Times New Roman" w:hAnsi="Times New Roman" w:cs="Times New Roman"/>
          <w:szCs w:val="24"/>
        </w:rPr>
        <w:t>. Ponadto propozycje te wpisują się w program Ministra Sprawiedliwości „Sprawny Sąd”.</w:t>
      </w:r>
      <w:bookmarkEnd w:id="1"/>
    </w:p>
    <w:p w14:paraId="2FCF8D0F" w14:textId="04A35E45"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Powyższy cel wychodzi naprzeciw wnioskom z kontroli NIK „Zapewnienie Sprawnego Funkcjonowania Wymiaru Sprawiedliwości” znak: KPB.430.2.2024. Kontrola ta wyraźnie wskazała na wpływ właściwości miejscowej na czas trwania postępowań w sądach położonych w dużych aglomeracjach miejskich: „(…) </w:t>
      </w:r>
      <w:r w:rsidRPr="0020510F">
        <w:rPr>
          <w:rStyle w:val="Kkursywa"/>
          <w:rFonts w:ascii="Times New Roman" w:hAnsi="Times New Roman" w:cs="Times New Roman"/>
          <w:szCs w:val="24"/>
        </w:rPr>
        <w:t xml:space="preserve">istotne różnice w wartości wskaźnika średniego czasu trwania postępowań zależne od przyjętego kryterium, np. właściwości miejscowej – średni czas </w:t>
      </w:r>
      <w:r w:rsidRPr="0020510F">
        <w:rPr>
          <w:rStyle w:val="Kkursywa"/>
          <w:rFonts w:ascii="Times New Roman" w:hAnsi="Times New Roman" w:cs="Times New Roman"/>
          <w:szCs w:val="24"/>
        </w:rPr>
        <w:lastRenderedPageBreak/>
        <w:t>wydłużał się w większych sądach, zlokalizowanych w dużych aglomeracjach (wśród kontrolowanych sądów najwyższą wartość wskaźnika odnotowano w SO dla Warszawy-Pragi w Warszawie, która w 2020 r. wyniosła 13,8 miesiąca, co było wynikiem ponad dwukrotnie wyższym, niż dla SO w Sieradzu w tym samym roku). Również analiza przeprowadzona dla wybranych kategorii spraw za lata 2018–2023 wskazała na dysproporcje pomiędzy sądami. Przykładowo dla spraw cywilnych procesowych (C) średni czas trwania w sądach okręgowych w 2023 r. wyniósł 11,3 miesiąca, tymczasem wśród kontrolowanych sądów rozpiętość wyników sięgała od 6,9 miesięcy (SO w Świdnicy) do 16,6 miesiąca (SO Warszawa-Praga w Warszawie)</w:t>
      </w:r>
      <w:r w:rsidRPr="0020510F">
        <w:rPr>
          <w:rFonts w:ascii="Times New Roman" w:hAnsi="Times New Roman" w:cs="Times New Roman"/>
          <w:szCs w:val="24"/>
        </w:rPr>
        <w:t xml:space="preserve">.” (s. 20). Ponadto NIK stwierdził, że „(…) </w:t>
      </w:r>
      <w:r w:rsidRPr="0020510F">
        <w:rPr>
          <w:rStyle w:val="Kkursywa"/>
          <w:rFonts w:ascii="Times New Roman" w:hAnsi="Times New Roman" w:cs="Times New Roman"/>
          <w:szCs w:val="24"/>
        </w:rPr>
        <w:t>dysproporcje w obciążeniu sędziów wskazują na potrzebę podjęcia działań w celu optymalizacji struktur organizacyjnych sądownictwa, której celem byłoby rzeczywiste wyrównywanie obciążenia sądów zadaniami, a sędziów sprawami. Zmiana winna odbywać się w oparciu o modelowe, oparte na danych, rozwiązania. Utrzymywanie stanu permanentnego przeciążenia liczbą spraw w referatach sędziów w jednych sądach/wydziałach, przy względnie niskich obciążeniach w innych, według NIK rodzi nie tylko ryzyko nieuzasadnionego zróżnicowania w ramach tej samej grupy zawodowej, ale – co istotniejsze – zwłaszcza w grupie przeciążonych orzeczników ryzyko sprawowania wymiaru sprawiedliwości bez wymaganej staranności</w:t>
      </w:r>
      <w:r w:rsidRPr="0020510F">
        <w:rPr>
          <w:rFonts w:ascii="Times New Roman" w:hAnsi="Times New Roman" w:cs="Times New Roman"/>
          <w:szCs w:val="24"/>
        </w:rPr>
        <w:t>.” (s. 67).</w:t>
      </w:r>
    </w:p>
    <w:p w14:paraId="23E02380" w14:textId="0A6440F4"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bCs w:val="0"/>
          <w:szCs w:val="24"/>
        </w:rPr>
        <w:t xml:space="preserve">Nadmienić ponadto trzeba, że proponowana nowelizacja przepisów o właściwości miejscowej praktycznie w całości jest wzorowana na już istniejących rozwiązaniach, które </w:t>
      </w:r>
      <w:r w:rsidRPr="0020510F">
        <w:rPr>
          <w:rFonts w:ascii="Times New Roman" w:hAnsi="Times New Roman" w:cs="Times New Roman"/>
          <w:szCs w:val="24"/>
        </w:rPr>
        <w:t>nie budzą wątpliwości w praktyce stosowania prawa i pozwolą na równomierne skierowanie powyższych spraw do sądów w całej Polsce.</w:t>
      </w:r>
    </w:p>
    <w:p w14:paraId="68BE9B4C" w14:textId="77777777" w:rsidR="006B1455" w:rsidRPr="0020510F" w:rsidRDefault="006B1455" w:rsidP="0020510F">
      <w:pPr>
        <w:pStyle w:val="NIEARTTEKSTtekstnieartykuowanynppodstprawnarozplubpreambua"/>
        <w:ind w:firstLine="0"/>
        <w:rPr>
          <w:rStyle w:val="Ppogrubienie"/>
          <w:rFonts w:ascii="Times New Roman" w:hAnsi="Times New Roman" w:cs="Times New Roman"/>
          <w:szCs w:val="24"/>
        </w:rPr>
      </w:pPr>
      <w:r w:rsidRPr="0020510F">
        <w:rPr>
          <w:rStyle w:val="Ppogrubienie"/>
          <w:rFonts w:ascii="Times New Roman" w:hAnsi="Times New Roman" w:cs="Times New Roman"/>
          <w:szCs w:val="24"/>
        </w:rPr>
        <w:t>I.</w:t>
      </w:r>
      <w:r w:rsidRPr="0020510F">
        <w:rPr>
          <w:rStyle w:val="Ppogrubienie"/>
          <w:rFonts w:ascii="Times New Roman" w:hAnsi="Times New Roman" w:cs="Times New Roman"/>
          <w:szCs w:val="24"/>
        </w:rPr>
        <w:tab/>
      </w:r>
    </w:p>
    <w:p w14:paraId="73589C7B" w14:textId="0FA0B21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Zgodnie z art. </w:t>
      </w:r>
      <w:bookmarkStart w:id="3" w:name="_Hlk212195498"/>
      <w:r w:rsidRPr="0020510F">
        <w:rPr>
          <w:rFonts w:ascii="Times New Roman" w:hAnsi="Times New Roman" w:cs="Times New Roman"/>
          <w:szCs w:val="24"/>
        </w:rPr>
        <w:t>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w:t>
      </w:r>
      <w:r w:rsidRPr="0020510F">
        <w:rPr>
          <w:rStyle w:val="Kkursywa"/>
          <w:rFonts w:ascii="Times New Roman" w:hAnsi="Times New Roman" w:cs="Times New Roman"/>
          <w:szCs w:val="24"/>
        </w:rPr>
        <w:t>ustawy z dnia 17 listopada 1964 r. – Kodeks postępowania cywilnego</w:t>
      </w:r>
      <w:r w:rsidRPr="0020510F">
        <w:rPr>
          <w:rFonts w:ascii="Times New Roman" w:hAnsi="Times New Roman" w:cs="Times New Roman"/>
          <w:szCs w:val="24"/>
        </w:rPr>
        <w:t xml:space="preserve"> (Dz. U. z 2026 r. poz. 468, 473</w:t>
      </w:r>
      <w:r w:rsidR="00397E56" w:rsidRPr="0020510F">
        <w:rPr>
          <w:rFonts w:ascii="Times New Roman" w:hAnsi="Times New Roman" w:cs="Times New Roman"/>
          <w:szCs w:val="24"/>
        </w:rPr>
        <w:t>,</w:t>
      </w:r>
      <w:r w:rsidRPr="0020510F">
        <w:rPr>
          <w:rFonts w:ascii="Times New Roman" w:hAnsi="Times New Roman" w:cs="Times New Roman"/>
          <w:szCs w:val="24"/>
        </w:rPr>
        <w:t xml:space="preserve"> 830, </w:t>
      </w:r>
      <w:r w:rsidR="00397E56" w:rsidRPr="0020510F">
        <w:rPr>
          <w:rFonts w:ascii="Times New Roman" w:hAnsi="Times New Roman" w:cs="Times New Roman"/>
          <w:szCs w:val="24"/>
        </w:rPr>
        <w:t>1003</w:t>
      </w:r>
      <w:r w:rsidR="00E81976" w:rsidRPr="0020510F">
        <w:rPr>
          <w:rFonts w:ascii="Times New Roman" w:hAnsi="Times New Roman" w:cs="Times New Roman"/>
          <w:szCs w:val="24"/>
        </w:rPr>
        <w:t>,</w:t>
      </w:r>
      <w:r w:rsidR="00397E56" w:rsidRPr="0020510F">
        <w:rPr>
          <w:rFonts w:ascii="Times New Roman" w:hAnsi="Times New Roman" w:cs="Times New Roman"/>
          <w:szCs w:val="24"/>
        </w:rPr>
        <w:t xml:space="preserve"> 1046</w:t>
      </w:r>
      <w:r w:rsidR="00E81976" w:rsidRPr="0020510F">
        <w:rPr>
          <w:rFonts w:ascii="Times New Roman" w:hAnsi="Times New Roman" w:cs="Times New Roman"/>
          <w:szCs w:val="24"/>
        </w:rPr>
        <w:t xml:space="preserve"> i 1296</w:t>
      </w:r>
      <w:r w:rsidR="00397E56" w:rsidRPr="0020510F">
        <w:rPr>
          <w:rFonts w:ascii="Times New Roman" w:hAnsi="Times New Roman" w:cs="Times New Roman"/>
          <w:szCs w:val="24"/>
        </w:rPr>
        <w:t xml:space="preserve">, </w:t>
      </w:r>
      <w:r w:rsidRPr="0020510F">
        <w:rPr>
          <w:rFonts w:ascii="Times New Roman" w:hAnsi="Times New Roman" w:cs="Times New Roman"/>
          <w:szCs w:val="24"/>
        </w:rPr>
        <w:t xml:space="preserve">dalej: „k.p.c.”) </w:t>
      </w:r>
      <w:bookmarkEnd w:id="3"/>
      <w:r w:rsidRPr="0020510F">
        <w:rPr>
          <w:rFonts w:ascii="Times New Roman" w:hAnsi="Times New Roman" w:cs="Times New Roman"/>
          <w:szCs w:val="24"/>
        </w:rPr>
        <w:t xml:space="preserve">powództwo o roszczenie wynikające z czynności bankowej przeciwko bankowi, innej jednostce organizacyjnej uprawnionej do wykonywania czynności bankowych lub ich następcom prawnym można wytoczyć przed sąd właściwy dla miejsca zamieszkania albo siedziby powoda. Wskazany przepis </w:t>
      </w:r>
      <w:r w:rsidRPr="0020510F">
        <w:rPr>
          <w:rStyle w:val="Kkursywa"/>
          <w:rFonts w:ascii="Times New Roman" w:hAnsi="Times New Roman" w:cs="Times New Roman"/>
          <w:szCs w:val="24"/>
        </w:rPr>
        <w:t>de lege lata</w:t>
      </w:r>
      <w:r w:rsidRPr="0020510F">
        <w:rPr>
          <w:rFonts w:ascii="Times New Roman" w:hAnsi="Times New Roman" w:cs="Times New Roman"/>
          <w:szCs w:val="24"/>
        </w:rPr>
        <w:t xml:space="preserve"> umożliwia zatem powodowi – wszystkim kontrahentom banków, zarówno osobom fizycznym, w tym konsumentom, jak i osobom prawnym, nie wyłączając jednostek organizacyjnych niebędących osobami prawnymi, którym ustawa przyznaje zdolność prawną</w:t>
      </w:r>
      <w:r w:rsidR="00196463">
        <w:rPr>
          <w:rStyle w:val="Odwoanieprzypisudolnego"/>
          <w:rFonts w:ascii="Times New Roman" w:hAnsi="Times New Roman"/>
          <w:szCs w:val="24"/>
        </w:rPr>
        <w:footnoteReference w:id="2"/>
      </w:r>
      <w:r w:rsidR="00882F6F">
        <w:rPr>
          <w:rFonts w:ascii="Times New Roman" w:hAnsi="Times New Roman" w:cs="Times New Roman"/>
          <w:szCs w:val="24"/>
          <w:vertAlign w:val="superscript"/>
        </w:rPr>
        <w:t>)</w:t>
      </w:r>
      <w:r w:rsidRPr="0020510F">
        <w:rPr>
          <w:rFonts w:ascii="Times New Roman" w:hAnsi="Times New Roman" w:cs="Times New Roman"/>
          <w:szCs w:val="24"/>
        </w:rPr>
        <w:t xml:space="preserve"> </w:t>
      </w:r>
      <w:r w:rsidRPr="0020510F">
        <w:rPr>
          <w:rFonts w:ascii="Times New Roman" w:hAnsi="Times New Roman" w:cs="Times New Roman"/>
          <w:szCs w:val="24"/>
        </w:rPr>
        <w:lastRenderedPageBreak/>
        <w:t xml:space="preserve">– wytoczenie powództwa o roszczenie wynikające z czynności bankowej przed sąd miejsca zamieszkania albo siedziby powoda i ustanawia właściwość przemienną sądu. </w:t>
      </w:r>
    </w:p>
    <w:p w14:paraId="29780DC6" w14:textId="490F6CAF" w:rsidR="006B1455" w:rsidRPr="0020510F" w:rsidRDefault="006B1455" w:rsidP="0020510F">
      <w:pPr>
        <w:pStyle w:val="NIEARTTEKSTtekstnieartykuowanynppodstprawnarozplubpreambua"/>
        <w:ind w:firstLine="0"/>
        <w:rPr>
          <w:rFonts w:ascii="Times New Roman" w:hAnsi="Times New Roman" w:cs="Times New Roman"/>
          <w:szCs w:val="24"/>
          <w:vertAlign w:val="superscript"/>
        </w:rPr>
      </w:pPr>
      <w:r w:rsidRPr="0020510F">
        <w:rPr>
          <w:rFonts w:ascii="Times New Roman" w:hAnsi="Times New Roman" w:cs="Times New Roman"/>
          <w:szCs w:val="24"/>
        </w:rPr>
        <w:t xml:space="preserve">Przepis ten został dodany do k.p.c. </w:t>
      </w:r>
      <w:r w:rsidRPr="0020510F">
        <w:rPr>
          <w:rStyle w:val="Kkursywa"/>
          <w:rFonts w:ascii="Times New Roman" w:hAnsi="Times New Roman" w:cs="Times New Roman"/>
          <w:szCs w:val="24"/>
        </w:rPr>
        <w:t>ustawą z dnia 4 lipca 2019 r. o zmianie ustawy</w:t>
      </w:r>
      <w:r w:rsidR="009451CE">
        <w:rPr>
          <w:rStyle w:val="Kkursywa"/>
          <w:rFonts w:ascii="Times New Roman" w:hAnsi="Times New Roman" w:cs="Times New Roman"/>
          <w:szCs w:val="24"/>
        </w:rPr>
        <w:t xml:space="preserve"> –</w:t>
      </w:r>
      <w:r w:rsidRPr="0020510F">
        <w:rPr>
          <w:rStyle w:val="Kkursywa"/>
          <w:rFonts w:ascii="Times New Roman" w:hAnsi="Times New Roman" w:cs="Times New Roman"/>
          <w:szCs w:val="24"/>
        </w:rPr>
        <w:t xml:space="preserve"> Kodeks postępowania cywilnego oraz niektórych innych ustaw</w:t>
      </w:r>
      <w:r w:rsidRPr="0020510F">
        <w:rPr>
          <w:rFonts w:ascii="Times New Roman" w:hAnsi="Times New Roman" w:cs="Times New Roman"/>
          <w:szCs w:val="24"/>
        </w:rPr>
        <w:t xml:space="preserve"> (Dz. U. z 2019 r. poz. 1469</w:t>
      </w:r>
      <w:r w:rsidR="00196463">
        <w:rPr>
          <w:rFonts w:ascii="Times New Roman" w:hAnsi="Times New Roman" w:cs="Times New Roman"/>
          <w:szCs w:val="24"/>
        </w:rPr>
        <w:t xml:space="preserve"> i</w:t>
      </w:r>
      <w:r w:rsidRPr="0020510F">
        <w:rPr>
          <w:rFonts w:ascii="Times New Roman" w:hAnsi="Times New Roman" w:cs="Times New Roman"/>
          <w:szCs w:val="24"/>
        </w:rPr>
        <w:t xml:space="preserve"> 2089</w:t>
      </w:r>
      <w:r w:rsidR="00A04EF5">
        <w:rPr>
          <w:rFonts w:ascii="Times New Roman" w:hAnsi="Times New Roman" w:cs="Times New Roman"/>
          <w:szCs w:val="24"/>
        </w:rPr>
        <w:t>, z 2020 r. poz. 1086 oraz z 2023 r. poz. 614</w:t>
      </w:r>
      <w:r w:rsidRPr="0020510F">
        <w:rPr>
          <w:rFonts w:ascii="Times New Roman" w:hAnsi="Times New Roman" w:cs="Times New Roman"/>
          <w:szCs w:val="24"/>
        </w:rPr>
        <w:t>). W uzasadnieniu projektu ustawy</w:t>
      </w:r>
      <w:r w:rsidRPr="0020510F">
        <w:rPr>
          <w:rStyle w:val="IGindeksgrny"/>
          <w:rFonts w:ascii="Times New Roman" w:hAnsi="Times New Roman" w:cs="Times New Roman"/>
          <w:szCs w:val="24"/>
        </w:rPr>
        <w:footnoteReference w:id="3"/>
      </w:r>
      <w:r w:rsidR="00882F6F">
        <w:rPr>
          <w:rFonts w:ascii="Times New Roman" w:hAnsi="Times New Roman" w:cs="Times New Roman"/>
          <w:szCs w:val="24"/>
          <w:vertAlign w:val="superscript"/>
        </w:rPr>
        <w:t>)</w:t>
      </w:r>
      <w:r w:rsidRPr="0020510F">
        <w:rPr>
          <w:rFonts w:ascii="Times New Roman" w:hAnsi="Times New Roman" w:cs="Times New Roman"/>
          <w:szCs w:val="24"/>
        </w:rPr>
        <w:t xml:space="preserve"> wskazano, że wynikiem centralizacji usług bankowych jest skupienie banków w kilku największych miastach, przede wszystkim w Warszawie, co przy uwzględnieniu reguły właściwości ustanowionej w art. 27 k.p.c. spowodowało nadmierne obciążenie sądów w tych miastach oraz wydłużenie okresu rozpoznawania spraw.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k.p.c. ustawodawca wprowadził w celu poszerzenia właściwości przemiennej, z której mogą skorzystać osoby dochodzące roszczeń z czynności bankowych przeciwko bankowi, innej jednostce organizacyjnej uprawnionej do wykonywania czynności bankowych lub ich następcom prawnym. Przedmiotowa nowelizacja k.p.c. miała zatem służyć zapewnieniu konsumentom równego dostępu do sądu bez względu na miejsce zamieszkania strony. Usytuowanie siedzib osób prawnych w kilku największych miastach (zwłaszcza w Warszawie) powoduje nadmierne obciążenie umiejscowionych tam sądów w stosunku do sądów w mniejszych miejscowościach, co przekłada się na czas oczekiwania na rozstrzygnięcie sprawy. Miejsce zamieszkania strony nie powinno zaś wpływać na czas rozpoznania jej sprawy. Zasady procedury powinny zrównoważyć obciążenie sądów „wielkomiejskich” i „prowincjonalnych”.</w:t>
      </w:r>
      <w:r w:rsidRPr="0020510F">
        <w:rPr>
          <w:rStyle w:val="IGindeksgrny"/>
          <w:rFonts w:ascii="Times New Roman" w:hAnsi="Times New Roman" w:cs="Times New Roman"/>
          <w:szCs w:val="24"/>
        </w:rPr>
        <w:footnoteReference w:id="4"/>
      </w:r>
      <w:r w:rsidR="00882F6F">
        <w:rPr>
          <w:rFonts w:ascii="Times New Roman" w:hAnsi="Times New Roman" w:cs="Times New Roman"/>
          <w:szCs w:val="24"/>
          <w:vertAlign w:val="superscript"/>
        </w:rPr>
        <w:t>)</w:t>
      </w:r>
    </w:p>
    <w:p w14:paraId="7DB53EC4" w14:textId="6FC94B11"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Lawinowy wzrost spraw o roszczenia wynikające ze złożenia przez konsumenta oświadczenia o skorzystaniu z tzw. sankcji kredytu darmowego (np. w Sądzie Rejonowym Poznań-Nowe Miasto i Wilda w Poznaniu), które to sprawy są dochodzone na masową skalę przez wyspecjalizowane podmioty gospodarcze w wyniku nabycia roszczeń od konsumentów w drodze cesji wierzytelności, wskazuje, że obecna treść art. 37</w:t>
      </w:r>
      <w:r w:rsidRPr="0020510F">
        <w:rPr>
          <w:rStyle w:val="IGindeksgrny"/>
          <w:rFonts w:ascii="Times New Roman" w:hAnsi="Times New Roman" w:cs="Times New Roman"/>
          <w:szCs w:val="24"/>
        </w:rPr>
        <w:t xml:space="preserve">[2] </w:t>
      </w:r>
      <w:r w:rsidRPr="0020510F">
        <w:rPr>
          <w:rFonts w:ascii="Times New Roman" w:hAnsi="Times New Roman" w:cs="Times New Roman"/>
          <w:szCs w:val="24"/>
        </w:rPr>
        <w:t>k.p.c. wywołuje także skutek odwrotny niż zamierzony, który stał u podstaw wprowadzenia tego przepisu (tj. redukcja nadmiernego obciążeni</w:t>
      </w:r>
      <w:r w:rsidR="003A3088">
        <w:rPr>
          <w:rFonts w:ascii="Times New Roman" w:hAnsi="Times New Roman" w:cs="Times New Roman"/>
          <w:szCs w:val="24"/>
        </w:rPr>
        <w:t>a</w:t>
      </w:r>
      <w:r w:rsidRPr="0020510F">
        <w:rPr>
          <w:rFonts w:ascii="Times New Roman" w:hAnsi="Times New Roman" w:cs="Times New Roman"/>
          <w:szCs w:val="24"/>
        </w:rPr>
        <w:t xml:space="preserve"> sądów w miastach będących siedzibą banków poprzez rozłożenie </w:t>
      </w:r>
      <w:r w:rsidRPr="0020510F">
        <w:rPr>
          <w:rFonts w:ascii="Times New Roman" w:hAnsi="Times New Roman" w:cs="Times New Roman"/>
          <w:szCs w:val="24"/>
        </w:rPr>
        <w:lastRenderedPageBreak/>
        <w:t xml:space="preserve">spraw z czynności bankowej na sądy właściwe ze względu na miejsce zamieszkania/siedzibę powoda), doprowadzając do koncentracji spraw w ośrodkach wielkomiejskich, tym jednak razem z uwagi na siedzibę powoda – cesjonariusza, korzystającego z właściwości przemiennej. </w:t>
      </w:r>
    </w:p>
    <w:p w14:paraId="2D35DD3D"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 związku z tym zachodzi konieczność nowelizacji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w:t>
      </w:r>
    </w:p>
    <w:p w14:paraId="067546B4"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Obecnie § 1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stanowi, że: </w:t>
      </w:r>
      <w:r w:rsidRPr="0020510F">
        <w:rPr>
          <w:rStyle w:val="IDKindeksdolnyikursywa"/>
          <w:rFonts w:ascii="Times New Roman" w:hAnsi="Times New Roman" w:cs="Times New Roman"/>
          <w:szCs w:val="24"/>
        </w:rPr>
        <w:t>„</w:t>
      </w:r>
      <w:r w:rsidRPr="0020510F">
        <w:rPr>
          <w:rStyle w:val="Kkursywa"/>
          <w:rFonts w:ascii="Times New Roman" w:hAnsi="Times New Roman" w:cs="Times New Roman"/>
          <w:szCs w:val="24"/>
        </w:rPr>
        <w:t>Powództwo o roszczenie wynikające z czynności bankowej przeciwko bankowi, innej jednostce organizacyjnej uprawnionej do wykonywania czynności bankowych lub ich następcom prawnym można wytoczyć przed sąd właściwy dla miejsca zamieszkania albo siedziby powoda.</w:t>
      </w:r>
      <w:r w:rsidRPr="0020510F">
        <w:rPr>
          <w:rStyle w:val="IDKindeksdolnyikursywa"/>
          <w:rFonts w:ascii="Times New Roman" w:hAnsi="Times New Roman" w:cs="Times New Roman"/>
          <w:szCs w:val="24"/>
        </w:rPr>
        <w:t>”</w:t>
      </w:r>
      <w:r w:rsidRPr="0020510F">
        <w:rPr>
          <w:rStyle w:val="Kkursywa"/>
          <w:rFonts w:ascii="Times New Roman" w:hAnsi="Times New Roman" w:cs="Times New Roman"/>
          <w:szCs w:val="24"/>
        </w:rPr>
        <w:t>.</w:t>
      </w:r>
      <w:r w:rsidRPr="0020510F">
        <w:rPr>
          <w:rFonts w:ascii="Times New Roman" w:hAnsi="Times New Roman" w:cs="Times New Roman"/>
          <w:szCs w:val="24"/>
        </w:rPr>
        <w:t xml:space="preserve"> Zauważyć trzeba, że przepis ten nie określa właściwości sądu ze względu na miejsce zamieszkania albo siedzibę konsumenta (cedenta), a ze względu na miejsce zamieszkania albo siedzibę powoda w takim postępowaniu, nie zawierając jednocześnie żadnych ograniczeń ani doprecyzowań dotyczących strony powodowej.</w:t>
      </w:r>
    </w:p>
    <w:p w14:paraId="5C261D30"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Stan taki oznacza, że nowelizacja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nie powinna ograniczyć się jedynie do poszerzenia jego treści o regulację wskazującą, jak będzie kształtowała się właściwość miejscowa sądu w przypadku przelewu wierzytelności, lecz powinna również zawierać doprecyzowanie strony powodowej, którą są również nabywcy wierzytelności (cesjonariusze). Bez stosownej zmiany § 1 przedmiotowego przepisu prawdopodobnie kancelarie skupujące wierzytelności będą w dalszym ciągu kierować sprawy do sądów w miejscowościach, w których mają siedziby. W ten sposób wprowadzenie do art. 37</w:t>
      </w:r>
      <w:r w:rsidRPr="0020510F">
        <w:rPr>
          <w:rStyle w:val="IGindeksgrny"/>
          <w:rFonts w:ascii="Times New Roman" w:hAnsi="Times New Roman" w:cs="Times New Roman"/>
          <w:szCs w:val="24"/>
        </w:rPr>
        <w:t xml:space="preserve">[2] </w:t>
      </w:r>
      <w:r w:rsidRPr="0020510F">
        <w:rPr>
          <w:rFonts w:ascii="Times New Roman" w:hAnsi="Times New Roman" w:cs="Times New Roman"/>
          <w:szCs w:val="24"/>
        </w:rPr>
        <w:t>k.p.c. jedynie zapisu wskazującego na to, że przelew wierzytelności nie wpływa na właściwość sądu nie pozwoli na osiągnięcie ww. celu nowelizacji w sytuacji, gdy właściwość sądu byłaby determinowana każdoczesnym miejscem zamieszkania albo siedzibą tego podmiotu, który jest w sprawie powodem.</w:t>
      </w:r>
    </w:p>
    <w:p w14:paraId="3D3AA450" w14:textId="1851AEAF"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Prawidłowe wykorzystanie normy wskazującej, że przelew wierzytelności nie wpływa na właściwość sądu, może mieć zatem miejsce wówczas, gdy przepis określający właściwość sądu zrelatywizowany będzie do konkretnej strony określonego stosunku prawnego, w miejsce posłużenia się procesowym pojęciem powoda. Jako przykład podać można art. 34a </w:t>
      </w:r>
      <w:r w:rsidRPr="0020510F">
        <w:rPr>
          <w:rStyle w:val="Kkursywa"/>
          <w:rFonts w:ascii="Times New Roman" w:hAnsi="Times New Roman" w:cs="Times New Roman"/>
          <w:szCs w:val="24"/>
        </w:rPr>
        <w:t>ustawy z dnia 22 maja 2003 r. o ubezpieczeniach obowiązkowych, Ubezpieczeniowym Funduszu Gwarancyjnym i Polskim Biurze Ubezpieczycieli Komunikacyjnych</w:t>
      </w:r>
      <w:r w:rsidRPr="0020510F">
        <w:rPr>
          <w:rFonts w:ascii="Times New Roman" w:hAnsi="Times New Roman" w:cs="Times New Roman"/>
          <w:szCs w:val="24"/>
        </w:rPr>
        <w:t xml:space="preserve"> (Dz. U. z 2026 r. poz. 783), w którym norma wskazująca, że przelew wierzytelności nie wpływa na właściwość sądu, jest poprzedzona normą relatywizującą właściwość sądu do miejsca zamieszkania albo siedziby </w:t>
      </w:r>
      <w:r w:rsidRPr="0020510F">
        <w:rPr>
          <w:rFonts w:ascii="Times New Roman" w:hAnsi="Times New Roman" w:cs="Times New Roman"/>
          <w:szCs w:val="24"/>
        </w:rPr>
        <w:lastRenderedPageBreak/>
        <w:t xml:space="preserve">poszkodowanego zdarzeniem powodującym szkodę (nie zaś powoda w takiej sprawie) albo miejsca zaistnienia tego zdarzenia. </w:t>
      </w:r>
    </w:p>
    <w:p w14:paraId="0DBE5DCB" w14:textId="79771B7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 związku z powyższym proponuje się zastąpienie w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k.p.c. określenia „powód” wyrazami wskazującymi na</w:t>
      </w:r>
      <w:r w:rsidR="00817FD4" w:rsidRPr="0020510F">
        <w:rPr>
          <w:rFonts w:ascii="Times New Roman" w:hAnsi="Times New Roman" w:cs="Times New Roman"/>
          <w:szCs w:val="24"/>
        </w:rPr>
        <w:t xml:space="preserve"> </w:t>
      </w:r>
      <w:r w:rsidR="00817FD4" w:rsidRPr="0020510F">
        <w:rPr>
          <w:rFonts w:ascii="Times New Roman" w:hAnsi="Times New Roman" w:cs="Times New Roman"/>
          <w:szCs w:val="24"/>
          <w:lang w:eastAsia="en-US"/>
        </w:rPr>
        <w:t>osobę fizyczną, osobę prawną lub inny podmiot niebędący osobą fizyczną, któr</w:t>
      </w:r>
      <w:r w:rsidR="00817FD4" w:rsidRPr="0020510F">
        <w:rPr>
          <w:rFonts w:ascii="Times New Roman" w:hAnsi="Times New Roman" w:cs="Times New Roman"/>
          <w:szCs w:val="24"/>
        </w:rPr>
        <w:t>e</w:t>
      </w:r>
      <w:r w:rsidR="00817FD4" w:rsidRPr="0020510F">
        <w:rPr>
          <w:rFonts w:ascii="Times New Roman" w:hAnsi="Times New Roman" w:cs="Times New Roman"/>
          <w:szCs w:val="24"/>
          <w:lang w:eastAsia="en-US"/>
        </w:rPr>
        <w:t xml:space="preserve"> z bankiem lub inną jednostką organizacyjną uprawnioną do wykonywania czynności bankowych dokon</w:t>
      </w:r>
      <w:r w:rsidR="008E256D" w:rsidRPr="0020510F">
        <w:rPr>
          <w:rFonts w:ascii="Times New Roman" w:hAnsi="Times New Roman" w:cs="Times New Roman"/>
          <w:szCs w:val="24"/>
        </w:rPr>
        <w:t>ywały</w:t>
      </w:r>
      <w:r w:rsidR="00817FD4" w:rsidRPr="0020510F">
        <w:rPr>
          <w:rFonts w:ascii="Times New Roman" w:hAnsi="Times New Roman" w:cs="Times New Roman"/>
          <w:szCs w:val="24"/>
          <w:lang w:eastAsia="en-US"/>
        </w:rPr>
        <w:t xml:space="preserve"> czynności bankowej. </w:t>
      </w:r>
      <w:r w:rsidR="009A100D" w:rsidRPr="0020510F">
        <w:rPr>
          <w:rFonts w:ascii="Times New Roman" w:hAnsi="Times New Roman" w:cs="Times New Roman"/>
          <w:szCs w:val="24"/>
        </w:rPr>
        <w:t>W rozumieniu projektowanego przepisu stroną czynności, o której mowa w § 1, jest również jej następca prawny pod tytułem ogólnym. Dotyczy to w szczególności sytuacji, w której strona czynności zawartej z bankiem</w:t>
      </w:r>
      <w:r w:rsidR="00A85195" w:rsidRPr="0020510F">
        <w:rPr>
          <w:rFonts w:ascii="Times New Roman" w:hAnsi="Times New Roman" w:cs="Times New Roman"/>
          <w:szCs w:val="24"/>
        </w:rPr>
        <w:t xml:space="preserve"> lub</w:t>
      </w:r>
      <w:r w:rsidR="009A100D" w:rsidRPr="0020510F">
        <w:rPr>
          <w:rFonts w:ascii="Times New Roman" w:hAnsi="Times New Roman" w:cs="Times New Roman"/>
          <w:szCs w:val="24"/>
        </w:rPr>
        <w:t xml:space="preserve"> inną jednostką organizacyjną uprawnioną do wykonywania czynności bankowych zmarła, a jej prawa i obowiązki przeszły na spadkobiercę w drodze dziedziczenia. Następca taki wstępuje bowiem w ogół praw i obowiązków poprzednika prawnego, a tym samym należy go traktować jako stronę tej czynności na potrzeby określenia właściwości sądu. W konsekwencji powództwo o roszczenie wynikające z tej czynności może zostać wytoczone przed sąd właściwy dla miejsca zamieszkania albo siedziby takiego następcy prawnego.</w:t>
      </w:r>
    </w:p>
    <w:p w14:paraId="5B20E838" w14:textId="77777777" w:rsidR="006B1455" w:rsidRPr="0020510F" w:rsidRDefault="006B1455" w:rsidP="0020510F">
      <w:pPr>
        <w:pStyle w:val="ARTartustawynprozporzdzenia"/>
        <w:ind w:firstLine="0"/>
        <w:rPr>
          <w:rFonts w:ascii="Times New Roman" w:hAnsi="Times New Roman" w:cs="Times New Roman"/>
          <w:szCs w:val="24"/>
        </w:rPr>
      </w:pPr>
      <w:r w:rsidRPr="0020510F">
        <w:rPr>
          <w:rFonts w:ascii="Times New Roman" w:hAnsi="Times New Roman" w:cs="Times New Roman"/>
          <w:szCs w:val="24"/>
        </w:rPr>
        <w:t>Projektowana zmiana § 1 będzie miała również wpływ na obowiązujący § 2 tego przepisu, zgodnie z którym, przepis § 1 stosuje się także do powództwa przeciwko bankowi hipotecznemu lub jego następcy prawnemu o roszczenie wynikające z czynności banku hipotecznego.</w:t>
      </w:r>
    </w:p>
    <w:p w14:paraId="1879A462" w14:textId="77FC0274" w:rsidR="006B1455" w:rsidRPr="0020510F" w:rsidRDefault="006B1455" w:rsidP="0020510F">
      <w:pPr>
        <w:pStyle w:val="NIEARTTEKSTtekstnieartykuowanynppodstprawnarozplubpreambua"/>
        <w:ind w:firstLine="0"/>
        <w:rPr>
          <w:rStyle w:val="IDKindeksdolnyikursywa"/>
          <w:rFonts w:ascii="Times New Roman" w:hAnsi="Times New Roman" w:cs="Times New Roman"/>
          <w:szCs w:val="24"/>
        </w:rPr>
      </w:pPr>
      <w:r w:rsidRPr="0020510F">
        <w:rPr>
          <w:rFonts w:ascii="Times New Roman" w:hAnsi="Times New Roman" w:cs="Times New Roman"/>
          <w:szCs w:val="24"/>
        </w:rPr>
        <w:t>Ponadto projektodawca przewiduje dodanie do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przepisu § 3 w brzmieniu wskazującym, że przelew wierzytelności nie wpływa na właściwość sądu. W ten sposób</w:t>
      </w:r>
      <w:r w:rsidR="003B3BF2">
        <w:rPr>
          <w:rFonts w:ascii="Times New Roman" w:hAnsi="Times New Roman" w:cs="Times New Roman"/>
          <w:szCs w:val="24"/>
        </w:rPr>
        <w:t>,</w:t>
      </w:r>
      <w:r w:rsidRPr="0020510F">
        <w:rPr>
          <w:rFonts w:ascii="Times New Roman" w:hAnsi="Times New Roman" w:cs="Times New Roman"/>
          <w:szCs w:val="24"/>
        </w:rPr>
        <w:t xml:space="preserve"> jeśli powództwo będzie obejmować roszczenie nabyte w drodze cesji wierzytelności, cesja nie wpłynie na właściwość sądu. W rezultacie, w przypadku dochodzenia przez wyspecjalizowane podmioty gospodarcze na masową skalę roszczeń nabytych w drodze cesji wierzytelności, właściwość sądu na podstawie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i projektowanego § 3 k.p.c. będzie ustalana według miejsca zamieszkania konsumenta (cedenta), a nie według siedziby wyspecjalizowanego podmiotu gospodarczego (cesjonariusza). Dokonanie tej zmiany spowoduje, że sądem właściwym, mimo przelewu wierzytelności, będzie sąd konsumenta-kredytobiorcy. </w:t>
      </w:r>
    </w:p>
    <w:p w14:paraId="0DA3F6A2" w14:textId="45DDF6E2" w:rsidR="006B1455" w:rsidRPr="0020510F" w:rsidRDefault="006B1455" w:rsidP="0020510F">
      <w:pPr>
        <w:pStyle w:val="NIEARTTEKSTtekstnieartykuowanynppodstprawnarozplubpreambua"/>
        <w:ind w:firstLine="0"/>
        <w:rPr>
          <w:rStyle w:val="Kkursywa"/>
          <w:rFonts w:ascii="Times New Roman" w:hAnsi="Times New Roman" w:cs="Times New Roman"/>
          <w:szCs w:val="24"/>
        </w:rPr>
      </w:pPr>
      <w:r w:rsidRPr="0020510F">
        <w:rPr>
          <w:rFonts w:ascii="Times New Roman" w:hAnsi="Times New Roman" w:cs="Times New Roman"/>
          <w:szCs w:val="24"/>
        </w:rPr>
        <w:t>Wprowadzenie proponowanych zmian w art. 37</w:t>
      </w:r>
      <w:r w:rsidRPr="0020510F">
        <w:rPr>
          <w:rStyle w:val="IGindeksgrny"/>
          <w:rFonts w:ascii="Times New Roman" w:hAnsi="Times New Roman" w:cs="Times New Roman"/>
          <w:szCs w:val="24"/>
        </w:rPr>
        <w:t xml:space="preserve">[2] </w:t>
      </w:r>
      <w:r w:rsidRPr="0020510F">
        <w:rPr>
          <w:rFonts w:ascii="Times New Roman" w:hAnsi="Times New Roman" w:cs="Times New Roman"/>
          <w:szCs w:val="24"/>
        </w:rPr>
        <w:t xml:space="preserve">k.p.c. pozwoli na ograniczenie wpływu do sądów, zlokalizowanych w dużych aglomeracjach, w których swoje siedziby mają największe banki, spraw związanych m.in. z skorzystaniem przez konsumenta z sankcji kredytu darmowego, szczególnie w sytuacji gdy dochodzi do cesji wierzytelności na rzecz osoby prawnej. Kwestia właściwości sądu jest obecnie w tym wypadku sporna między sądami </w:t>
      </w:r>
      <w:r w:rsidRPr="0020510F">
        <w:rPr>
          <w:rFonts w:ascii="Times New Roman" w:hAnsi="Times New Roman" w:cs="Times New Roman"/>
          <w:szCs w:val="24"/>
        </w:rPr>
        <w:lastRenderedPageBreak/>
        <w:t>i prowadzi do masowego stwierdzania swojej niewłaściwości przez różne sądy w Polsce z powołaniem się na brak możliwości rozpoznania sprawy przez sąd właściwy ze względu na miejsce zamieszkania konsumenta (powoda), a w rezultacie przekazywania spraw według właściwości miejscowej ogólnej, tj. właściwości siedziby pozwanego, co z oczywistych względów najbardziej obciąża sądy wielkomiejskie.</w:t>
      </w:r>
      <w:r w:rsidRPr="0020510F">
        <w:rPr>
          <w:rStyle w:val="IGindeksgrny"/>
          <w:rFonts w:ascii="Times New Roman" w:hAnsi="Times New Roman" w:cs="Times New Roman"/>
          <w:szCs w:val="24"/>
        </w:rPr>
        <w:footnoteReference w:id="5"/>
      </w:r>
      <w:r w:rsidR="00882F6F">
        <w:rPr>
          <w:rFonts w:ascii="Times New Roman" w:hAnsi="Times New Roman" w:cs="Times New Roman"/>
          <w:szCs w:val="24"/>
          <w:vertAlign w:val="superscript"/>
        </w:rPr>
        <w:t>)</w:t>
      </w:r>
      <w:r w:rsidRPr="0020510F">
        <w:rPr>
          <w:rFonts w:ascii="Times New Roman" w:hAnsi="Times New Roman" w:cs="Times New Roman"/>
          <w:szCs w:val="24"/>
        </w:rPr>
        <w:t xml:space="preserve"> Wprowadzenie przedmiotowej nowelizacji pozwoli na rozproszenie spraw do różnych sądów w Polsce i równomierne ich obciążenie, co miałoby również znaczenie dla przyśpieszenia postępowań sądowych. Kwestia ta jest istotna również w kontekście orzeczenia Trybunał</w:t>
      </w:r>
      <w:r w:rsidR="003B3BF2">
        <w:rPr>
          <w:rFonts w:ascii="Times New Roman" w:hAnsi="Times New Roman" w:cs="Times New Roman"/>
          <w:szCs w:val="24"/>
        </w:rPr>
        <w:t>u</w:t>
      </w:r>
      <w:r w:rsidRPr="0020510F">
        <w:rPr>
          <w:rFonts w:ascii="Times New Roman" w:hAnsi="Times New Roman" w:cs="Times New Roman"/>
          <w:szCs w:val="24"/>
        </w:rPr>
        <w:t xml:space="preserve"> Sprawiedliwości Unii Europejskiej w sprawie C-80/24, który potwierdził możliwość zbywania wierzytelności przez konsumentów na rzecz wyspecjalizowanych firm zajmujących się taką działalnością. Z oczywistych względów, orzeczenie to miało wpływ na zwiększenie liczby spraw w sądach zwłaszcza położonych w dużych aglomeracjach</w:t>
      </w:r>
      <w:r w:rsidR="003B3BF2">
        <w:rPr>
          <w:rFonts w:ascii="Times New Roman" w:hAnsi="Times New Roman" w:cs="Times New Roman"/>
          <w:szCs w:val="24"/>
        </w:rPr>
        <w:t>,</w:t>
      </w:r>
      <w:r w:rsidRPr="0020510F">
        <w:rPr>
          <w:rFonts w:ascii="Times New Roman" w:hAnsi="Times New Roman" w:cs="Times New Roman"/>
          <w:szCs w:val="24"/>
        </w:rPr>
        <w:t xml:space="preserve"> w których swoje siedziby mają największe banki, oraz podmioty zajmujące się masowym skupywaniem roszczeń. Ponadto zauważyć trzeba, że zwykle w sprawach opierających się na treści art. 45 ust. 1 </w:t>
      </w:r>
      <w:r w:rsidRPr="0020510F">
        <w:rPr>
          <w:rStyle w:val="Kkursywa"/>
          <w:rFonts w:ascii="Times New Roman" w:hAnsi="Times New Roman" w:cs="Times New Roman"/>
          <w:szCs w:val="24"/>
        </w:rPr>
        <w:t xml:space="preserve">ustawy z dnia 12 maja 2011 r. o kredycie konsumenckim </w:t>
      </w:r>
      <w:r w:rsidRPr="0020510F">
        <w:rPr>
          <w:rFonts w:ascii="Times New Roman" w:hAnsi="Times New Roman" w:cs="Times New Roman"/>
          <w:szCs w:val="24"/>
        </w:rPr>
        <w:t>(Dz.</w:t>
      </w:r>
      <w:r w:rsidR="003B3BF2">
        <w:rPr>
          <w:rFonts w:ascii="Times New Roman" w:hAnsi="Times New Roman" w:cs="Times New Roman"/>
          <w:szCs w:val="24"/>
        </w:rPr>
        <w:t xml:space="preserve"> </w:t>
      </w:r>
      <w:r w:rsidRPr="0020510F">
        <w:rPr>
          <w:rFonts w:ascii="Times New Roman" w:hAnsi="Times New Roman" w:cs="Times New Roman"/>
          <w:szCs w:val="24"/>
        </w:rPr>
        <w:t>U. z 2025 r. poz. 1362</w:t>
      </w:r>
      <w:r w:rsidR="00397E56" w:rsidRPr="0020510F">
        <w:rPr>
          <w:rFonts w:ascii="Times New Roman" w:hAnsi="Times New Roman" w:cs="Times New Roman"/>
          <w:szCs w:val="24"/>
        </w:rPr>
        <w:t xml:space="preserve"> oraz z 2026 r. poz. 1026</w:t>
      </w:r>
      <w:r w:rsidRPr="0020510F">
        <w:rPr>
          <w:rFonts w:ascii="Times New Roman" w:hAnsi="Times New Roman" w:cs="Times New Roman"/>
          <w:szCs w:val="24"/>
        </w:rPr>
        <w:t xml:space="preserve">, dalej: „ustawa o kredycie konsumenckim”) składana jest apelacja co obciąża sądy okręgowe w dużych aglomeracjach (szczególnie Sąd Okręgowy w Warszawie) i negatywnie wpływa na terminowość rozpoznania środków odwoławczych od orzeczeń wszystkich sądów rejonowych z obszaru danego okręgu. </w:t>
      </w:r>
    </w:p>
    <w:p w14:paraId="66394CB6" w14:textId="77777777" w:rsidR="006B1455" w:rsidRPr="0020510F" w:rsidRDefault="006B1455" w:rsidP="0020510F">
      <w:pPr>
        <w:pStyle w:val="NIEARTTEKSTtekstnieartykuowanynppodstprawnarozplubpreambua"/>
        <w:ind w:firstLine="0"/>
        <w:rPr>
          <w:rStyle w:val="Ppogrubienie"/>
          <w:rFonts w:ascii="Times New Roman" w:hAnsi="Times New Roman" w:cs="Times New Roman"/>
          <w:szCs w:val="24"/>
        </w:rPr>
      </w:pPr>
      <w:r w:rsidRPr="0020510F">
        <w:rPr>
          <w:rStyle w:val="Ppogrubienie"/>
          <w:rFonts w:ascii="Times New Roman" w:hAnsi="Times New Roman" w:cs="Times New Roman"/>
          <w:szCs w:val="24"/>
        </w:rPr>
        <w:t>II.</w:t>
      </w:r>
      <w:r w:rsidRPr="0020510F">
        <w:rPr>
          <w:rStyle w:val="Ppogrubienie"/>
          <w:rFonts w:ascii="Times New Roman" w:hAnsi="Times New Roman" w:cs="Times New Roman"/>
          <w:szCs w:val="24"/>
        </w:rPr>
        <w:tab/>
      </w:r>
    </w:p>
    <w:p w14:paraId="3F40D43C" w14:textId="783A6CE8"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Z</w:t>
      </w:r>
      <w:r w:rsidR="003B3BF2">
        <w:rPr>
          <w:rFonts w:ascii="Times New Roman" w:hAnsi="Times New Roman" w:cs="Times New Roman"/>
          <w:szCs w:val="24"/>
        </w:rPr>
        <w:t>e</w:t>
      </w:r>
      <w:r w:rsidRPr="0020510F">
        <w:rPr>
          <w:rFonts w:ascii="Times New Roman" w:hAnsi="Times New Roman" w:cs="Times New Roman"/>
          <w:szCs w:val="24"/>
        </w:rPr>
        <w:t xml:space="preserve"> nowelizowanym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jest ściśle związany przepis epizodyczny zawarty w art. 2 ustawy nowelizującej. Przepis ten również dotyczy czynności bankowych, a jego celem jest doprecyzowanie, że do czynności bankowych zalicza się roszczenie powoda opierające się na treści art. 45 ust. 1 ustawy o kredycie konsumenckim, które </w:t>
      </w:r>
      <w:r w:rsidR="00254526">
        <w:rPr>
          <w:rFonts w:ascii="Times New Roman" w:hAnsi="Times New Roman" w:cs="Times New Roman"/>
          <w:szCs w:val="24"/>
        </w:rPr>
        <w:t>–</w:t>
      </w:r>
      <w:r w:rsidRPr="0020510F">
        <w:rPr>
          <w:rFonts w:ascii="Times New Roman" w:hAnsi="Times New Roman" w:cs="Times New Roman"/>
          <w:szCs w:val="24"/>
        </w:rPr>
        <w:t xml:space="preserve"> pomimo możliwości przywołania w jego podstawie również art. 410 § 1 </w:t>
      </w:r>
      <w:r w:rsidRPr="0020510F">
        <w:rPr>
          <w:rStyle w:val="Kkursywa"/>
          <w:rFonts w:ascii="Times New Roman" w:hAnsi="Times New Roman" w:cs="Times New Roman"/>
          <w:szCs w:val="24"/>
        </w:rPr>
        <w:t xml:space="preserve">ustawy z dnia 23 kwietnia 1964 r. – Kodeks cywilny </w:t>
      </w:r>
      <w:r w:rsidRPr="0020510F">
        <w:rPr>
          <w:rFonts w:ascii="Times New Roman" w:hAnsi="Times New Roman" w:cs="Times New Roman"/>
          <w:szCs w:val="24"/>
        </w:rPr>
        <w:t xml:space="preserve">(Dz. U. z 2026 r. poz. 795) </w:t>
      </w:r>
      <w:r w:rsidR="00254526">
        <w:rPr>
          <w:rFonts w:ascii="Times New Roman" w:hAnsi="Times New Roman" w:cs="Times New Roman"/>
          <w:szCs w:val="24"/>
        </w:rPr>
        <w:t>–</w:t>
      </w:r>
      <w:r w:rsidRPr="0020510F">
        <w:rPr>
          <w:rFonts w:ascii="Times New Roman" w:hAnsi="Times New Roman" w:cs="Times New Roman"/>
          <w:szCs w:val="24"/>
        </w:rPr>
        <w:t xml:space="preserve"> wynika bezpośrednio z czynności bankowej, o której mowa w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k.p.c. </w:t>
      </w:r>
    </w:p>
    <w:p w14:paraId="351ACDC6" w14:textId="7470FED5"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 opinii projektodawcy wprowadzenie w art. 1 ustawy nowelizującej zmiany w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 nie będzie całościowo eliminowało problemu zwiększonego wpływu spraw z tytułu tzw. </w:t>
      </w:r>
      <w:r w:rsidRPr="0020510F">
        <w:rPr>
          <w:rFonts w:ascii="Times New Roman" w:hAnsi="Times New Roman" w:cs="Times New Roman"/>
          <w:szCs w:val="24"/>
        </w:rPr>
        <w:lastRenderedPageBreak/>
        <w:t>sankcji kredytu darmowego w sądach w obszarze właściwości których mają siedziby podmioty zajmujące się skupem wierzytelności. Nadal bowiem powód (np. cesjonariusz), korzystając z właściwości przemiennej, będzie mógł wnieść pozew do sądu właściwego według siedziby pozwanego, tj. banku, a zatem – w przypadku banków mających siedzibę w dużych ośrodkach miejskich, szczególnie w Warszawie, ponownie te właśnie sądy będą mogły odnotowywać zwiększony wpływ spraw na tle roszczeń z czynności bankowych.</w:t>
      </w:r>
    </w:p>
    <w:p w14:paraId="605505CF" w14:textId="26EB6B6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Zważyć przy tym należy, że liczba spraw związanych z realizacją tzw. sankcji kredytu darmowego w ramach umowy kredytu konsumenckiego nie jest możliwa do precyzyjnego oszacowania z uwagi na brak wyodrębnienia tego rodzaju spraw w biurowości sądów powszechnych. Sprawy te obecnie występują z reguły pod ogólnym symbolem 049 oznaczającym wszystkie sprawy cywilne o roszczenia z umów bankowych bez względu na status prawny powoda. Dodatkowym utrudnieniem w zgromadzeniu rzetelnych informacji jest też fakt, że sankcja kredytu darmowego nie stanowi jedynie podstawy żądania pozwu, lecz bywa zgłaszana jako zarzut w sprawach o zapłatę inicjowanych przez banki lub nabywców wierzytelności na etapie odpowiedzi na pozew. Ponadto nie jest obecnie możliwe dokładne wyodrębnienie spraw wnoszonych przez przedsiębiorców skupujących roszczenia od konsumentów. Wymagałoby to bowiem indywidualnej analizy każdej ze spraw pod kątem tego, który z kredytów został odkupiony od konsumenta, co wiązałoby się z koniecznością szczegółowego przeglądu treści pozwów oraz załączonych dokumentów. Ponadto z informacji pozyskanych z Komisji Nadzoru Finansowego wynika, że dane przekazywane przez instytucje pożyczkowe nie obejmują kredytów, które zostały już zbyte w drodze cesji wierzytelności. Pomimo braku precyzyjnych danych bezsprzecznie zauważa się wyraźną tendencję wzrostową w liczbie tego rodzaju spraw, co przyczynia się do znacznego zwiększenia obciążenia pionów cywilnych w sądach powszechnych. Wzrost tego rodzaju spraw jest szczególnie wysoki w Sądzie Rejonowym Poznań</w:t>
      </w:r>
      <w:r w:rsidR="002F2B76">
        <w:rPr>
          <w:rFonts w:ascii="Times New Roman" w:hAnsi="Times New Roman" w:cs="Times New Roman"/>
          <w:szCs w:val="24"/>
        </w:rPr>
        <w:t>-</w:t>
      </w:r>
      <w:r w:rsidRPr="0020510F">
        <w:rPr>
          <w:rFonts w:ascii="Times New Roman" w:hAnsi="Times New Roman" w:cs="Times New Roman"/>
          <w:szCs w:val="24"/>
        </w:rPr>
        <w:t>Nowe Miasto i Wilda w Poznaniu oraz w Sądzie Rejonowym dla Warszawy</w:t>
      </w:r>
      <w:r w:rsidR="009451CE">
        <w:rPr>
          <w:rFonts w:ascii="Times New Roman" w:hAnsi="Times New Roman" w:cs="Times New Roman"/>
          <w:szCs w:val="24"/>
        </w:rPr>
        <w:t>-</w:t>
      </w:r>
      <w:r w:rsidRPr="0020510F">
        <w:rPr>
          <w:rFonts w:ascii="Times New Roman" w:hAnsi="Times New Roman" w:cs="Times New Roman"/>
          <w:szCs w:val="24"/>
        </w:rPr>
        <w:t>Woli w Warszawie. W pierwszym z wymienionych sądów od listopada 2024 r. do września 2025 r. wpłynęło 6605 spraw dotyczących sankcji kredytu darmowego zarejestrowanych pod symbolami 049 i 049zl. Do drugiego z ww. sądów od początku 2025 r. do 16 września 2025 r. wpłynęło aż ok. 2200 spraw dotyczących roszczeń z sankcji kredytu darmowego i wartości te stale rosną. Dostrzec przy tym trzeba, że zdecydowana większość tych spraw została przekazana przez Sąd Rejonowy Poznań-Nowe Miasto i Wilda w Poznaniu, a według informacji Kierownictwa Sądu Rejonowego dla Warszawy</w:t>
      </w:r>
      <w:r w:rsidR="009451CE">
        <w:rPr>
          <w:rFonts w:ascii="Times New Roman" w:hAnsi="Times New Roman" w:cs="Times New Roman"/>
          <w:szCs w:val="24"/>
        </w:rPr>
        <w:t>-</w:t>
      </w:r>
      <w:r w:rsidRPr="0020510F">
        <w:rPr>
          <w:rFonts w:ascii="Times New Roman" w:hAnsi="Times New Roman" w:cs="Times New Roman"/>
          <w:szCs w:val="24"/>
        </w:rPr>
        <w:t xml:space="preserve">Woli w Warszawie liczba </w:t>
      </w:r>
      <w:r w:rsidRPr="0020510F">
        <w:rPr>
          <w:rFonts w:ascii="Times New Roman" w:hAnsi="Times New Roman" w:cs="Times New Roman"/>
          <w:szCs w:val="24"/>
        </w:rPr>
        <w:lastRenderedPageBreak/>
        <w:t>spraw tej kategorii będzie stale wzrastać, do tego stopnia, iż samych spraw przekazanych może być finalnie nawet ok. 10 000.</w:t>
      </w:r>
    </w:p>
    <w:p w14:paraId="38CCD115" w14:textId="30836213"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Podkreślenia wymaga, że chociaż według stanu na koniec września 2025 r. wyjątkowo duży wpływ spraw dotyczących sankcji kredytu darmowego obserwowany jest przede wszystkim w dwóch wyżej wymienionych sądach, to nie można wykluczyć, że wkrótce z problemem koncentracji tego rodzaju spraw będą mierzyć się sądy w innych miastach. Stąd też wskazanym jest podjęcie próby rozproszenia tej kategorii spraw na pozostałe sądy, a przez to odciążenie w szczególności sądów wielkomiejskich.</w:t>
      </w:r>
    </w:p>
    <w:p w14:paraId="247DE846" w14:textId="3B5633B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 obecnej chwili zauważalny wzrost wpływu spraw opierających się na treści art. 45 ust. 1 ustawy o kredycie konsumenckim obserwuje się również w innych sądach apelacji warszawskiej (szczególnie w Sądzie Rejonowym dla Warszawy</w:t>
      </w:r>
      <w:r w:rsidR="009451CE">
        <w:rPr>
          <w:rFonts w:ascii="Times New Roman" w:hAnsi="Times New Roman" w:cs="Times New Roman"/>
          <w:szCs w:val="24"/>
        </w:rPr>
        <w:t>-</w:t>
      </w:r>
      <w:r w:rsidRPr="0020510F">
        <w:rPr>
          <w:rFonts w:ascii="Times New Roman" w:hAnsi="Times New Roman" w:cs="Times New Roman"/>
          <w:szCs w:val="24"/>
        </w:rPr>
        <w:t>Mokotowa w Warszawie), sądach apelacji krakowskiej (sądy rejonowe w: Jędrzejowie, Starachowicach i Wadowicach) oraz wrocławskiej (sądy rejonowe w: dla Wrocławia-Fabrycznej we Wrocławiu, Nysie, Kamiennej Górze, Opolu oraz Sądzie Okręgowym w Opolu) i szczecińskiej (Sąd Rejonowy w Gryficach oraz sądy okręgowe w: Gorzowie Wielkopolskim i Koszalinie).</w:t>
      </w:r>
    </w:p>
    <w:p w14:paraId="0D449083"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Jak zgodnie zgłaszają prezesi większości ww. sądów powszechnych, sprawy, w których zgłoszono zarzut sankcji kredytu darmowego są czasochłonne i absorbujące orzeczników, ponieważ: </w:t>
      </w:r>
    </w:p>
    <w:p w14:paraId="1A68A538" w14:textId="7777777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1)</w:t>
      </w:r>
      <w:r w:rsidRPr="0020510F">
        <w:rPr>
          <w:rFonts w:ascii="Times New Roman" w:hAnsi="Times New Roman" w:cs="Times New Roman"/>
          <w:szCs w:val="24"/>
        </w:rPr>
        <w:tab/>
        <w:t xml:space="preserve">generują większą ilość sporządzanych przez sędziów uzasadnień, bowiem nawet w przypadku, gdy nie są one podstawą wytoczenia powództwa, wielokrotnie stanowią zarzut podnoszony przez pozwanego; </w:t>
      </w:r>
    </w:p>
    <w:p w14:paraId="3B970E97" w14:textId="7777777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2)</w:t>
      </w:r>
      <w:r w:rsidRPr="0020510F">
        <w:rPr>
          <w:rFonts w:ascii="Times New Roman" w:hAnsi="Times New Roman" w:cs="Times New Roman"/>
          <w:szCs w:val="24"/>
        </w:rPr>
        <w:tab/>
        <w:t xml:space="preserve">badanie zaistnienia okoliczności wskazanych w enumeratywnym katalogu zawartym w art. 45 ust. 1 ustawy o kredycie konsumenckim zwiększa obciążenie i czas związany z rozpoznaniem, gdyż każdorazowo należy zbadać całość umowy będącej podstawą roszczenia pod kątem wszystkich okoliczności i przesłanek warunkujących sankcję kredytu darmowego; </w:t>
      </w:r>
    </w:p>
    <w:p w14:paraId="2D178801" w14:textId="7777777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3)</w:t>
      </w:r>
      <w:r w:rsidRPr="0020510F">
        <w:rPr>
          <w:rFonts w:ascii="Times New Roman" w:hAnsi="Times New Roman" w:cs="Times New Roman"/>
          <w:szCs w:val="24"/>
        </w:rPr>
        <w:tab/>
        <w:t>sprawy te niejednokrotnie dla merytorycznego rozstrzygnięcia wymagają dokładnej analizy treści postanowień umownych i obliczeń rachunkowych, dlatego im jest ich więcej (a ich tendencja wzrostowa jest wyraźna), tym bardziej oddziałują negatywnie na szybkość postępowania we wszystkich sprawach w danym sądzie;</w:t>
      </w:r>
    </w:p>
    <w:p w14:paraId="7AC95D56" w14:textId="7777777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4)</w:t>
      </w:r>
      <w:r w:rsidRPr="0020510F">
        <w:rPr>
          <w:rFonts w:ascii="Times New Roman" w:hAnsi="Times New Roman" w:cs="Times New Roman"/>
          <w:szCs w:val="24"/>
        </w:rPr>
        <w:tab/>
        <w:t xml:space="preserve">spraw tych nie można uznawać za jednorodne zarówno pod względem faktycznym, jak i prawnym – z uwagi na możliwą wielość zarzutów formułowanych w oświadczeniach kredytobiorców. </w:t>
      </w:r>
    </w:p>
    <w:p w14:paraId="1A0E9751" w14:textId="09CF82CF"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lastRenderedPageBreak/>
        <w:t>Mając na uwadze powyższe</w:t>
      </w:r>
      <w:r w:rsidR="00E9496E">
        <w:rPr>
          <w:rFonts w:ascii="Times New Roman" w:hAnsi="Times New Roman" w:cs="Times New Roman"/>
          <w:szCs w:val="24"/>
        </w:rPr>
        <w:t>,</w:t>
      </w:r>
      <w:r w:rsidRPr="0020510F">
        <w:rPr>
          <w:rFonts w:ascii="Times New Roman" w:hAnsi="Times New Roman" w:cs="Times New Roman"/>
          <w:szCs w:val="24"/>
        </w:rPr>
        <w:t xml:space="preserve"> proponuje się wprowadzenie przepisu epizodycznego o treści, jak poniżej: </w:t>
      </w:r>
    </w:p>
    <w:p w14:paraId="3CCFC7A2" w14:textId="750AD1E3" w:rsidR="006B1455" w:rsidRPr="0020510F" w:rsidRDefault="006B1455" w:rsidP="0020510F">
      <w:pPr>
        <w:pStyle w:val="NIEARTTEKSTtekstnieartykuowanynppodstprawnarozplubpreambua"/>
        <w:ind w:firstLine="0"/>
        <w:rPr>
          <w:rStyle w:val="Kkursywa"/>
          <w:rFonts w:ascii="Times New Roman" w:hAnsi="Times New Roman" w:cs="Times New Roman"/>
          <w:szCs w:val="24"/>
        </w:rPr>
      </w:pPr>
      <w:r w:rsidRPr="0020510F">
        <w:rPr>
          <w:rStyle w:val="Kkursywa"/>
          <w:rFonts w:ascii="Times New Roman" w:hAnsi="Times New Roman" w:cs="Times New Roman"/>
          <w:szCs w:val="24"/>
        </w:rPr>
        <w:t>„Art. 2. 1. W okresie 5 lat od dnia wejścia w życie niniejsze</w:t>
      </w:r>
      <w:r w:rsidR="00397E56" w:rsidRPr="0020510F">
        <w:rPr>
          <w:rStyle w:val="Kkursywa"/>
          <w:rFonts w:ascii="Times New Roman" w:hAnsi="Times New Roman" w:cs="Times New Roman"/>
          <w:szCs w:val="24"/>
        </w:rPr>
        <w:t>j</w:t>
      </w:r>
      <w:r w:rsidRPr="0020510F">
        <w:rPr>
          <w:rStyle w:val="Kkursywa"/>
          <w:rFonts w:ascii="Times New Roman" w:hAnsi="Times New Roman" w:cs="Times New Roman"/>
          <w:szCs w:val="24"/>
        </w:rPr>
        <w:t xml:space="preserve"> </w:t>
      </w:r>
      <w:r w:rsidR="00397E56" w:rsidRPr="0020510F">
        <w:rPr>
          <w:rStyle w:val="Kkursywa"/>
          <w:rFonts w:ascii="Times New Roman" w:hAnsi="Times New Roman" w:cs="Times New Roman"/>
          <w:szCs w:val="24"/>
        </w:rPr>
        <w:t xml:space="preserve">ustawy </w:t>
      </w:r>
      <w:r w:rsidRPr="0020510F">
        <w:rPr>
          <w:rStyle w:val="Kkursywa"/>
          <w:rFonts w:ascii="Times New Roman" w:hAnsi="Times New Roman" w:cs="Times New Roman"/>
          <w:szCs w:val="24"/>
        </w:rPr>
        <w:t>powództwo konsumenta o roszczenie związane ze złożeniem oświadczenia, o którym mowa w art. 45 ust. 1 ustawy z dnia 12 maja 2011 r. o kredycie konsumenckim (Dz. U. z 2025 r. poz. 1362</w:t>
      </w:r>
      <w:r w:rsidR="00397E56" w:rsidRPr="0020510F">
        <w:rPr>
          <w:rStyle w:val="Kkursywa"/>
          <w:rFonts w:ascii="Times New Roman" w:hAnsi="Times New Roman" w:cs="Times New Roman"/>
          <w:szCs w:val="24"/>
        </w:rPr>
        <w:t xml:space="preserve"> oraz z 2026 r. poz. 1206</w:t>
      </w:r>
      <w:r w:rsidRPr="0020510F">
        <w:rPr>
          <w:rStyle w:val="Kkursywa"/>
          <w:rFonts w:ascii="Times New Roman" w:hAnsi="Times New Roman" w:cs="Times New Roman"/>
          <w:szCs w:val="24"/>
        </w:rPr>
        <w:t>), przeciwko kredytodawcy w rozumieniu tej ustawy lub jego następcom prawnym wytacza się przed sąd, w którego okręgu konsument ma miejsce zamieszkania. Jeżeli konsument nie ma miejsca zamieszkania w Polsce, powództwo wytacza się według ostatniego miejsca jego zamieszkania w Polsce.</w:t>
      </w:r>
    </w:p>
    <w:p w14:paraId="0A2A5717" w14:textId="79B808B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Style w:val="Kkursywa"/>
          <w:rFonts w:ascii="Times New Roman" w:hAnsi="Times New Roman" w:cs="Times New Roman"/>
          <w:szCs w:val="24"/>
        </w:rPr>
        <w:t>2. Przelew wierzytelności związanej z roszczeniem, o którym mowa w ust. 1, nie wpływa na właściwość sądu. Pozew powinien zawierać oznaczenie miejsca zamieszkania konsumenta.”.</w:t>
      </w:r>
    </w:p>
    <w:p w14:paraId="155BBA8A" w14:textId="3B22EC93"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Projektowany przepis ma na celu tymczasowe uregulowanie właściwości sądu wyłącznie w sprawach roszczeń konsumentów związanych z realizacją tzw. sankcji kredytu darmowego w ramach umowy kredytu konsumenckiego. Przepis ten nie będzie miał zatem zastosowania do powództw o roszczenia banków (ewentualnie cesjonariuszy) przeciwko konsumentom. Tego rodzaju powództwo będzie wytaczane przed sąd właściwości ogólnej pozwanego </w:t>
      </w:r>
      <w:r w:rsidR="00254526">
        <w:rPr>
          <w:rFonts w:ascii="Times New Roman" w:hAnsi="Times New Roman" w:cs="Times New Roman"/>
          <w:szCs w:val="24"/>
        </w:rPr>
        <w:t>–</w:t>
      </w:r>
      <w:r w:rsidRPr="0020510F">
        <w:rPr>
          <w:rFonts w:ascii="Times New Roman" w:hAnsi="Times New Roman" w:cs="Times New Roman"/>
          <w:szCs w:val="24"/>
        </w:rPr>
        <w:t xml:space="preserve"> konsumenta, tj. przed sąd</w:t>
      </w:r>
      <w:r w:rsidR="00537FA9">
        <w:rPr>
          <w:rFonts w:ascii="Times New Roman" w:hAnsi="Times New Roman" w:cs="Times New Roman"/>
          <w:szCs w:val="24"/>
        </w:rPr>
        <w:t>,</w:t>
      </w:r>
      <w:r w:rsidRPr="0020510F">
        <w:rPr>
          <w:rFonts w:ascii="Times New Roman" w:hAnsi="Times New Roman" w:cs="Times New Roman"/>
          <w:szCs w:val="24"/>
        </w:rPr>
        <w:t xml:space="preserve"> w okręgu którego ma on miejsce zamieszkania.</w:t>
      </w:r>
    </w:p>
    <w:p w14:paraId="7B1007E9"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Zauważyć przy tym trzeba, że projektowany przepis epizodyczny świadomie posługuje się wąskim pojęciem konsumenta, a nie procesowym pojęciem powoda, mającym zdecydowanie szersze znaczenie.</w:t>
      </w:r>
    </w:p>
    <w:p w14:paraId="310C764C"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Proponowana regulacja epizodyczna zmierza do rozwiązania bieżącego i pilnego problemu z lawinowym wpływem właśnie tego rodzaju spraw konsumenckich (szczególnie w sądach wielkomiejskich), stąd też przedmiotowo ogranicza się do roszczeń dotyczących tzw. sankcji kredytu darmowego, a nie czynności bankowej w ogólności. Czynności bankowych w ogólności dotyczy bowiem nowelizowany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k.p.c.</w:t>
      </w:r>
    </w:p>
    <w:p w14:paraId="462316CE" w14:textId="6B934A70" w:rsidR="006B1455" w:rsidRPr="0020510F" w:rsidRDefault="006B1455" w:rsidP="0020510F">
      <w:pPr>
        <w:pStyle w:val="ARTartustawynprozporzdzenia"/>
        <w:ind w:firstLine="0"/>
        <w:rPr>
          <w:rFonts w:ascii="Times New Roman" w:hAnsi="Times New Roman" w:cs="Times New Roman"/>
          <w:szCs w:val="24"/>
        </w:rPr>
      </w:pPr>
      <w:r w:rsidRPr="0020510F">
        <w:rPr>
          <w:rFonts w:ascii="Times New Roman" w:hAnsi="Times New Roman" w:cs="Times New Roman"/>
          <w:szCs w:val="24"/>
        </w:rPr>
        <w:t xml:space="preserve">Proponowany przepis epizodyczny stanowiłby </w:t>
      </w:r>
      <w:r w:rsidRPr="0020510F">
        <w:rPr>
          <w:rStyle w:val="Kkursywa"/>
          <w:rFonts w:ascii="Times New Roman" w:hAnsi="Times New Roman" w:cs="Times New Roman"/>
          <w:szCs w:val="24"/>
        </w:rPr>
        <w:t>lex specialis</w:t>
      </w:r>
      <w:r w:rsidRPr="0020510F">
        <w:rPr>
          <w:rFonts w:ascii="Times New Roman" w:hAnsi="Times New Roman" w:cs="Times New Roman"/>
          <w:szCs w:val="24"/>
        </w:rPr>
        <w:t xml:space="preserve"> wobec wskazanego art. 37</w:t>
      </w:r>
      <w:r w:rsidRPr="0020510F">
        <w:rPr>
          <w:rStyle w:val="IGindeksgrny"/>
          <w:rFonts w:ascii="Times New Roman" w:hAnsi="Times New Roman" w:cs="Times New Roman"/>
          <w:szCs w:val="24"/>
        </w:rPr>
        <w:t>[2]</w:t>
      </w:r>
      <w:r w:rsidRPr="0020510F">
        <w:rPr>
          <w:rFonts w:ascii="Times New Roman" w:hAnsi="Times New Roman" w:cs="Times New Roman"/>
          <w:szCs w:val="24"/>
        </w:rPr>
        <w:t xml:space="preserve"> § 1 k.p.c., niemniej jedynie, czasowo i w wąskim zakresie. Przepis ten jest wzorowany na art. 18 </w:t>
      </w:r>
      <w:r w:rsidRPr="0020510F">
        <w:rPr>
          <w:rStyle w:val="Kkursywa"/>
          <w:rFonts w:ascii="Times New Roman" w:hAnsi="Times New Roman" w:cs="Times New Roman"/>
          <w:szCs w:val="24"/>
        </w:rPr>
        <w:t xml:space="preserve">ustawy z dnia 9 marca 2023 r. o zmianie ustawy </w:t>
      </w:r>
      <w:r w:rsidR="00254526">
        <w:rPr>
          <w:rStyle w:val="Kkursywa"/>
          <w:rFonts w:ascii="Times New Roman" w:hAnsi="Times New Roman" w:cs="Times New Roman"/>
          <w:szCs w:val="24"/>
        </w:rPr>
        <w:t>–</w:t>
      </w:r>
      <w:r w:rsidRPr="0020510F">
        <w:rPr>
          <w:rStyle w:val="Kkursywa"/>
          <w:rFonts w:ascii="Times New Roman" w:hAnsi="Times New Roman" w:cs="Times New Roman"/>
          <w:szCs w:val="24"/>
        </w:rPr>
        <w:t xml:space="preserve"> Kodeks postępowania cywilnego oraz niektórych innych ustaw</w:t>
      </w:r>
      <w:r w:rsidR="001E0AF4">
        <w:rPr>
          <w:rStyle w:val="Kkursywa"/>
          <w:rFonts w:ascii="Times New Roman" w:hAnsi="Times New Roman" w:cs="Times New Roman"/>
          <w:szCs w:val="24"/>
        </w:rPr>
        <w:t xml:space="preserve"> </w:t>
      </w:r>
      <w:r w:rsidR="001E0AF4" w:rsidRPr="0020510F">
        <w:t>(Dz. U. poz. 614)</w:t>
      </w:r>
      <w:r w:rsidRPr="0020510F">
        <w:t>,</w:t>
      </w:r>
      <w:r w:rsidRPr="0020510F">
        <w:rPr>
          <w:rFonts w:ascii="Times New Roman" w:hAnsi="Times New Roman" w:cs="Times New Roman"/>
          <w:szCs w:val="24"/>
        </w:rPr>
        <w:t xml:space="preserve"> gdzie jest mowa o roszczeniach związanych z zawarciem umowy kredytu waloryzowanego, denominowanego lub indeksowanego do waluty innej niż waluta polska. Zbliżone określenie służy uzupełnieniu zaproponowanej treść przepisu art. 2 ust. 1 projektu, tak aby wynikało z niego, że chodzi w nim o powództwa konsumenta o </w:t>
      </w:r>
      <w:r w:rsidRPr="0020510F">
        <w:rPr>
          <w:rFonts w:ascii="Times New Roman" w:hAnsi="Times New Roman" w:cs="Times New Roman"/>
          <w:szCs w:val="24"/>
        </w:rPr>
        <w:lastRenderedPageBreak/>
        <w:t xml:space="preserve">roszczenia związane ze złożeniem oświadczenia, o którym mowa w art. 45 ust. 1 ustawy o kredycie konsumenckim. </w:t>
      </w:r>
      <w:r w:rsidRPr="0020510F">
        <w:rPr>
          <w:rFonts w:ascii="Times New Roman" w:hAnsi="Times New Roman" w:cs="Times New Roman"/>
          <w:szCs w:val="24"/>
          <w:lang w:eastAsia="en-US"/>
        </w:rPr>
        <w:t>Oświadczenie</w:t>
      </w:r>
      <w:r w:rsidRPr="0020510F">
        <w:rPr>
          <w:rFonts w:ascii="Times New Roman" w:hAnsi="Times New Roman" w:cs="Times New Roman"/>
          <w:szCs w:val="24"/>
        </w:rPr>
        <w:t xml:space="preserve"> to </w:t>
      </w:r>
      <w:r w:rsidRPr="0020510F">
        <w:rPr>
          <w:rFonts w:ascii="Times New Roman" w:hAnsi="Times New Roman" w:cs="Times New Roman"/>
          <w:szCs w:val="24"/>
          <w:lang w:eastAsia="en-US"/>
        </w:rPr>
        <w:t>składa się „kredytodawcy”. Pojęcie kredytodawcy zostało</w:t>
      </w:r>
      <w:r w:rsidRPr="0020510F">
        <w:rPr>
          <w:rFonts w:ascii="Times New Roman" w:hAnsi="Times New Roman" w:cs="Times New Roman"/>
          <w:szCs w:val="24"/>
        </w:rPr>
        <w:t xml:space="preserve"> zaś zdefiniowane w art. 5 pkt 2 tejże ustawy. Zgodnie z tym przepisem kredytodawcą jest </w:t>
      </w:r>
      <w:r w:rsidRPr="0020510F">
        <w:rPr>
          <w:rStyle w:val="Kkursywa"/>
          <w:rFonts w:ascii="Times New Roman" w:hAnsi="Times New Roman" w:cs="Times New Roman"/>
          <w:szCs w:val="24"/>
        </w:rPr>
        <w:t xml:space="preserve">„przedsiębiorca w rozumieniu przepisów ustawy z dnia 23 kwietnia 1964 r. </w:t>
      </w:r>
      <w:r w:rsidR="00254526">
        <w:rPr>
          <w:rStyle w:val="Kkursywa"/>
          <w:rFonts w:ascii="Times New Roman" w:hAnsi="Times New Roman" w:cs="Times New Roman"/>
          <w:szCs w:val="24"/>
        </w:rPr>
        <w:t>–</w:t>
      </w:r>
      <w:r w:rsidRPr="0020510F">
        <w:rPr>
          <w:rStyle w:val="Kkursywa"/>
          <w:rFonts w:ascii="Times New Roman" w:hAnsi="Times New Roman" w:cs="Times New Roman"/>
          <w:szCs w:val="24"/>
        </w:rPr>
        <w:t xml:space="preserve"> Kodeks cywilny, który w zakresie swojej działalności gospodarczej lub zawodowej, udziela lub daje przyrzeczenie udzielenia konsumentowi kredytu.”</w:t>
      </w:r>
      <w:r w:rsidRPr="0020510F">
        <w:rPr>
          <w:rFonts w:ascii="Times New Roman" w:hAnsi="Times New Roman" w:cs="Times New Roman"/>
          <w:szCs w:val="24"/>
        </w:rPr>
        <w:t xml:space="preserve"> Tym samym spory odnoszące się do roszczeń związanych ze złożeniem oświadczenia o skorzystaniu z sankcji kredytu darmowego prowadzone są między konsumentem (będącym stroną umowy kredytu konsumenckiego) a kredytodawcą w rozumieniu art. 5 pkt 2 ustawy o kredycie konsumenckim. Nadmienić przy tym należy, że potencjalnymi kredytodawcami w rozumieniu powyższego przepisu mogą być w szczególności:</w:t>
      </w:r>
    </w:p>
    <w:p w14:paraId="4B2EA478" w14:textId="6A0BFC9C"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1)</w:t>
      </w:r>
      <w:r w:rsidRPr="0020510F">
        <w:rPr>
          <w:rFonts w:ascii="Times New Roman" w:hAnsi="Times New Roman" w:cs="Times New Roman"/>
          <w:szCs w:val="24"/>
        </w:rPr>
        <w:tab/>
        <w:t>podmioty</w:t>
      </w:r>
      <w:r w:rsidR="00537FA9">
        <w:rPr>
          <w:rFonts w:ascii="Times New Roman" w:hAnsi="Times New Roman" w:cs="Times New Roman"/>
          <w:szCs w:val="24"/>
        </w:rPr>
        <w:t>,</w:t>
      </w:r>
      <w:r w:rsidRPr="0020510F">
        <w:rPr>
          <w:rFonts w:ascii="Times New Roman" w:hAnsi="Times New Roman" w:cs="Times New Roman"/>
          <w:szCs w:val="24"/>
        </w:rPr>
        <w:t xml:space="preserve"> o których mowa w art. 6a </w:t>
      </w:r>
      <w:r w:rsidRPr="0020510F">
        <w:rPr>
          <w:rStyle w:val="Kkursywa"/>
          <w:rFonts w:ascii="Times New Roman" w:hAnsi="Times New Roman" w:cs="Times New Roman"/>
          <w:szCs w:val="24"/>
        </w:rPr>
        <w:t xml:space="preserve">ustawy z dnia 29 sierpnia 1997 r. </w:t>
      </w:r>
      <w:r w:rsidR="00537FA9">
        <w:rPr>
          <w:rStyle w:val="Kkursywa"/>
          <w:rFonts w:ascii="Times New Roman" w:hAnsi="Times New Roman" w:cs="Times New Roman"/>
          <w:szCs w:val="24"/>
        </w:rPr>
        <w:t xml:space="preserve">– </w:t>
      </w:r>
      <w:r w:rsidRPr="0020510F">
        <w:rPr>
          <w:rStyle w:val="Kkursywa"/>
          <w:rFonts w:ascii="Times New Roman" w:hAnsi="Times New Roman" w:cs="Times New Roman"/>
          <w:szCs w:val="24"/>
        </w:rPr>
        <w:t xml:space="preserve">Prawo bankowe </w:t>
      </w:r>
      <w:r w:rsidRPr="0020510F">
        <w:rPr>
          <w:rFonts w:ascii="Times New Roman" w:hAnsi="Times New Roman" w:cs="Times New Roman"/>
          <w:szCs w:val="24"/>
        </w:rPr>
        <w:t>(Dz. U. z 2026 r. poz. 38</w:t>
      </w:r>
      <w:r w:rsidR="00537FA9">
        <w:rPr>
          <w:rFonts w:ascii="Times New Roman" w:hAnsi="Times New Roman" w:cs="Times New Roman"/>
          <w:szCs w:val="24"/>
        </w:rPr>
        <w:t>,</w:t>
      </w:r>
      <w:r w:rsidR="003B5640" w:rsidRPr="0020510F">
        <w:rPr>
          <w:rFonts w:ascii="Times New Roman" w:hAnsi="Times New Roman" w:cs="Times New Roman"/>
          <w:szCs w:val="24"/>
        </w:rPr>
        <w:t xml:space="preserve"> z późn. zm.</w:t>
      </w:r>
      <w:r w:rsidRPr="0020510F">
        <w:rPr>
          <w:rFonts w:ascii="Times New Roman" w:hAnsi="Times New Roman" w:cs="Times New Roman"/>
          <w:szCs w:val="24"/>
        </w:rPr>
        <w:t>, dalej: „Prawo bankowe”),</w:t>
      </w:r>
    </w:p>
    <w:p w14:paraId="57685BF2" w14:textId="3EE335EA"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2)</w:t>
      </w:r>
      <w:r w:rsidRPr="0020510F">
        <w:rPr>
          <w:rFonts w:ascii="Times New Roman" w:hAnsi="Times New Roman" w:cs="Times New Roman"/>
          <w:szCs w:val="24"/>
        </w:rPr>
        <w:tab/>
        <w:t>podmioty, które podejmują czynności bankowe z art. 5 ust. 2  Prawa bankowego ale nie są bankami (możliwość takiej interpretacji jest jednak ograniczona z uwagi na treść art. 5 ust. 2, z którego wynika, że dotyczy on czynności wykonywanych przez banki),</w:t>
      </w:r>
    </w:p>
    <w:p w14:paraId="599C3046" w14:textId="635A75A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r w:rsidRPr="0020510F">
        <w:rPr>
          <w:rFonts w:ascii="Times New Roman" w:hAnsi="Times New Roman" w:cs="Times New Roman"/>
          <w:szCs w:val="24"/>
        </w:rPr>
        <w:t>3)</w:t>
      </w:r>
      <w:r w:rsidRPr="0020510F">
        <w:rPr>
          <w:rFonts w:ascii="Times New Roman" w:hAnsi="Times New Roman" w:cs="Times New Roman"/>
          <w:szCs w:val="24"/>
        </w:rPr>
        <w:tab/>
        <w:t xml:space="preserve">jednostki organizacyjne inne niż banki, które mogą wykonywać czynności bankowe wymienione w art. 5 ust. 1 Prawa bankowego, o ile przepisy odrębnych ustaw uprawniają je do tego (art. 5 ust. 5 Prawa bankowego), czyli </w:t>
      </w:r>
      <w:r w:rsidRPr="0020510F">
        <w:rPr>
          <w:rStyle w:val="Kkursywa"/>
          <w:rFonts w:ascii="Times New Roman" w:hAnsi="Times New Roman" w:cs="Times New Roman"/>
          <w:szCs w:val="24"/>
        </w:rPr>
        <w:t xml:space="preserve">de facto </w:t>
      </w:r>
      <w:r w:rsidRPr="0020510F">
        <w:rPr>
          <w:rFonts w:ascii="Times New Roman" w:hAnsi="Times New Roman" w:cs="Times New Roman"/>
          <w:szCs w:val="24"/>
        </w:rPr>
        <w:t>spółdzielcze kasy oszczędnościowo-kredytowe</w:t>
      </w:r>
      <w:r w:rsidRPr="0020510F">
        <w:rPr>
          <w:rStyle w:val="IGindeksgrny"/>
          <w:rFonts w:ascii="Times New Roman" w:hAnsi="Times New Roman" w:cs="Times New Roman"/>
          <w:szCs w:val="24"/>
        </w:rPr>
        <w:footnoteReference w:id="6"/>
      </w:r>
      <w:r w:rsidR="00882F6F">
        <w:rPr>
          <w:rFonts w:ascii="Times New Roman" w:hAnsi="Times New Roman" w:cs="Times New Roman"/>
          <w:szCs w:val="24"/>
          <w:vertAlign w:val="superscript"/>
        </w:rPr>
        <w:t>)</w:t>
      </w:r>
      <w:r w:rsidRPr="0020510F">
        <w:rPr>
          <w:rFonts w:ascii="Times New Roman" w:hAnsi="Times New Roman" w:cs="Times New Roman"/>
          <w:szCs w:val="24"/>
        </w:rPr>
        <w:t>,</w:t>
      </w:r>
    </w:p>
    <w:p w14:paraId="57F4D3B5" w14:textId="77777777" w:rsidR="006B1455" w:rsidRPr="0020510F" w:rsidRDefault="006B1455" w:rsidP="0020510F">
      <w:pPr>
        <w:pStyle w:val="NIEARTTEKSTtekstnieartykuowanynppodstprawnarozplubpreambua"/>
        <w:spacing w:before="0"/>
        <w:ind w:left="284" w:hanging="284"/>
        <w:rPr>
          <w:rFonts w:ascii="Times New Roman" w:hAnsi="Times New Roman" w:cs="Times New Roman"/>
          <w:szCs w:val="24"/>
        </w:rPr>
      </w:pPr>
      <w:bookmarkStart w:id="5" w:name="_Hlk219385191"/>
      <w:r w:rsidRPr="0020510F">
        <w:rPr>
          <w:rFonts w:ascii="Times New Roman" w:hAnsi="Times New Roman" w:cs="Times New Roman"/>
          <w:szCs w:val="24"/>
        </w:rPr>
        <w:t>4)</w:t>
      </w:r>
      <w:r w:rsidRPr="0020510F">
        <w:rPr>
          <w:rFonts w:ascii="Times New Roman" w:hAnsi="Times New Roman" w:cs="Times New Roman"/>
          <w:szCs w:val="24"/>
        </w:rPr>
        <w:tab/>
        <w:t>instytucje kredytowe w rozumieniu art. 48j i art. 48k Prawa bankowego, które mogą wykonywać czynności bankowe zastrzeżone dla banków z art. 5 ust. 1 Prawa bankowego poprzez swoje oddziały lub transgranicznie oraz czynności bankowe niezastrzeżone wyłącznie dla banków z art. 5 ust. 2 Prawa bankowego.</w:t>
      </w:r>
    </w:p>
    <w:bookmarkEnd w:id="5"/>
    <w:p w14:paraId="666A9E45" w14:textId="376F69C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Projektowany przepis epizodyczny poprzez odwołanie do kredytodawcy w rozumieniu ustawy o kredycie konsumenckim ma zatem szeroki zakres zastosowania i nieograniczenia się jedynie do banków i podmiotów, o których mowa w art. 6a Prawa bankowego. Celem projektodawcy jest bowiem, aby przepis ten miał możliwie szerokie zastosowanie i dotyczył także wszystkich kredytodawców udzielających kredytów konsumenckich (w tym instytucji parabankowych). </w:t>
      </w:r>
      <w:r w:rsidRPr="0020510F">
        <w:rPr>
          <w:rFonts w:ascii="Times New Roman" w:hAnsi="Times New Roman" w:cs="Times New Roman"/>
          <w:szCs w:val="24"/>
        </w:rPr>
        <w:lastRenderedPageBreak/>
        <w:t>Zasadne jest zatem szerokie określenie zastosowania projektowanej normy do wszystkich kredytodawców udzielających kredytów konsumenckich w rozumieniu art. 5 pkt 2 ustawy o kredycie konsumenckim.</w:t>
      </w:r>
    </w:p>
    <w:p w14:paraId="23469CE7" w14:textId="4FCD486F" w:rsidR="006B1455" w:rsidRPr="0020510F" w:rsidRDefault="006B1455" w:rsidP="0020510F">
      <w:pPr>
        <w:pStyle w:val="NIEARTTEKSTtekstnieartykuowanynppodstprawnarozplubpreambua"/>
        <w:ind w:firstLine="0"/>
        <w:rPr>
          <w:rFonts w:ascii="Times New Roman" w:hAnsi="Times New Roman" w:cs="Times New Roman"/>
          <w:szCs w:val="24"/>
        </w:rPr>
      </w:pPr>
      <w:bookmarkStart w:id="6" w:name="_Hlk219274917"/>
      <w:r w:rsidRPr="0020510F">
        <w:rPr>
          <w:rFonts w:ascii="Times New Roman" w:hAnsi="Times New Roman" w:cs="Times New Roman"/>
          <w:szCs w:val="24"/>
        </w:rPr>
        <w:t>Uzasadniając z kolei brzmienie art. 2 ust. 1. zd. 2 przedmiotowego przepisu epizodycznego</w:t>
      </w:r>
      <w:r w:rsidR="00F852C6">
        <w:rPr>
          <w:rFonts w:ascii="Times New Roman" w:hAnsi="Times New Roman" w:cs="Times New Roman"/>
          <w:szCs w:val="24"/>
        </w:rPr>
        <w:t>,</w:t>
      </w:r>
      <w:r w:rsidRPr="0020510F">
        <w:rPr>
          <w:rFonts w:ascii="Times New Roman" w:hAnsi="Times New Roman" w:cs="Times New Roman"/>
          <w:szCs w:val="24"/>
        </w:rPr>
        <w:t xml:space="preserve"> wskazać należy, że zgodnie </w:t>
      </w:r>
      <w:r w:rsidRPr="0020510F">
        <w:rPr>
          <w:rStyle w:val="Kkursywa"/>
          <w:rFonts w:ascii="Times New Roman" w:hAnsi="Times New Roman" w:cs="Times New Roman"/>
          <w:szCs w:val="24"/>
        </w:rPr>
        <w:t>z art. 15 ustawy z dnia 29 maja 2026 r. o szczególnych rozwiązaniach w zakresie rozpoznawania spraw dotyczących zawartych z konsumentami umów kredytu denominowanego lub indeksowanego do franka szwajcarskiego</w:t>
      </w:r>
      <w:r w:rsidRPr="0020510F">
        <w:rPr>
          <w:rFonts w:ascii="Times New Roman" w:hAnsi="Times New Roman" w:cs="Times New Roman"/>
          <w:szCs w:val="24"/>
        </w:rPr>
        <w:t xml:space="preserve"> </w:t>
      </w:r>
      <w:r w:rsidR="007258D8">
        <w:rPr>
          <w:rFonts w:ascii="Times New Roman" w:hAnsi="Times New Roman" w:cs="Times New Roman"/>
          <w:szCs w:val="24"/>
        </w:rPr>
        <w:t xml:space="preserve">(Dz. U. poz. 985) </w:t>
      </w:r>
      <w:r w:rsidRPr="0020510F">
        <w:rPr>
          <w:rFonts w:ascii="Times New Roman" w:hAnsi="Times New Roman" w:cs="Times New Roman"/>
          <w:szCs w:val="24"/>
        </w:rPr>
        <w:t xml:space="preserve">w art. 18 w ust. 1 </w:t>
      </w:r>
      <w:r w:rsidRPr="0020510F">
        <w:rPr>
          <w:rStyle w:val="Kkursywa"/>
          <w:rFonts w:ascii="Times New Roman" w:hAnsi="Times New Roman" w:cs="Times New Roman"/>
          <w:szCs w:val="24"/>
        </w:rPr>
        <w:t xml:space="preserve">ustawy z dnia 9 marca 2023 r. o zmianie ustawy </w:t>
      </w:r>
      <w:r w:rsidRPr="0020510F">
        <w:rPr>
          <w:rStyle w:val="Kkursywa"/>
          <w:rFonts w:ascii="Times New Roman" w:hAnsi="Times New Roman" w:cs="Times New Roman"/>
          <w:szCs w:val="24"/>
        </w:rPr>
        <w:sym w:font="Symbol" w:char="F02D"/>
      </w:r>
      <w:r w:rsidRPr="0020510F">
        <w:rPr>
          <w:rStyle w:val="Kkursywa"/>
          <w:rFonts w:ascii="Times New Roman" w:hAnsi="Times New Roman" w:cs="Times New Roman"/>
          <w:szCs w:val="24"/>
        </w:rPr>
        <w:t xml:space="preserve"> Kodeks postępowania cywilnego oraz niektórych innych ustaw </w:t>
      </w:r>
      <w:r w:rsidR="007258D8" w:rsidRPr="0020510F">
        <w:t>(Dz. U. poz. 614)</w:t>
      </w:r>
      <w:r w:rsidR="007258D8">
        <w:rPr>
          <w:rStyle w:val="Kkursywa"/>
          <w:rFonts w:ascii="Times New Roman" w:hAnsi="Times New Roman" w:cs="Times New Roman"/>
          <w:szCs w:val="24"/>
        </w:rPr>
        <w:t xml:space="preserve"> </w:t>
      </w:r>
      <w:r w:rsidRPr="0020510F">
        <w:rPr>
          <w:rFonts w:ascii="Times New Roman" w:hAnsi="Times New Roman" w:cs="Times New Roman"/>
          <w:szCs w:val="24"/>
        </w:rPr>
        <w:t>dodaje się zdanie drugie w brzmieniu: „</w:t>
      </w:r>
      <w:r w:rsidRPr="0020510F">
        <w:rPr>
          <w:rStyle w:val="Kkursywa"/>
          <w:rFonts w:ascii="Times New Roman" w:hAnsi="Times New Roman" w:cs="Times New Roman"/>
          <w:szCs w:val="24"/>
        </w:rPr>
        <w:t xml:space="preserve">Jeżeli powód nie ma miejsca zamieszkania w Polsce, powództwo wytacza się według ostatniego miejsca </w:t>
      </w:r>
      <w:r w:rsidR="00BC6C13">
        <w:rPr>
          <w:rStyle w:val="Kkursywa"/>
          <w:rFonts w:ascii="Times New Roman" w:hAnsi="Times New Roman" w:cs="Times New Roman"/>
          <w:szCs w:val="24"/>
        </w:rPr>
        <w:t xml:space="preserve">jego </w:t>
      </w:r>
      <w:r w:rsidRPr="0020510F">
        <w:rPr>
          <w:rStyle w:val="Kkursywa"/>
          <w:rFonts w:ascii="Times New Roman" w:hAnsi="Times New Roman" w:cs="Times New Roman"/>
          <w:szCs w:val="24"/>
        </w:rPr>
        <w:t>zamieszkania w Polsce.</w:t>
      </w:r>
      <w:r w:rsidRPr="0020510F">
        <w:rPr>
          <w:rFonts w:ascii="Times New Roman" w:hAnsi="Times New Roman" w:cs="Times New Roman"/>
          <w:szCs w:val="24"/>
        </w:rPr>
        <w:t xml:space="preserve">”. Wzorując się na przytoczonym przepisie, uznać należy za zasadne wprowadzenie podobnego rozwiązania w projektowanym przepisie epizodycznym. Przepis ten, jak to już wskazano powyżej, jest zaś ostatecznie wzorowany na ww. nowelizowanym art. 18 </w:t>
      </w:r>
      <w:r w:rsidRPr="0020510F">
        <w:rPr>
          <w:rStyle w:val="Kkursywa"/>
          <w:rFonts w:ascii="Times New Roman" w:hAnsi="Times New Roman" w:cs="Times New Roman"/>
          <w:szCs w:val="24"/>
        </w:rPr>
        <w:t xml:space="preserve">ustawy z dnia 9 marca 2023 r. o zmianie ustawy </w:t>
      </w:r>
      <w:r w:rsidRPr="0020510F">
        <w:rPr>
          <w:rStyle w:val="Kkursywa"/>
          <w:rFonts w:ascii="Times New Roman" w:hAnsi="Times New Roman" w:cs="Times New Roman"/>
          <w:szCs w:val="24"/>
        </w:rPr>
        <w:sym w:font="Symbol" w:char="F02D"/>
      </w:r>
      <w:r w:rsidRPr="0020510F">
        <w:rPr>
          <w:rStyle w:val="Kkursywa"/>
          <w:rFonts w:ascii="Times New Roman" w:hAnsi="Times New Roman" w:cs="Times New Roman"/>
          <w:szCs w:val="24"/>
        </w:rPr>
        <w:t xml:space="preserve"> Kodeks postępowania cywilnego oraz niektórych innych ustaw</w:t>
      </w:r>
      <w:r w:rsidR="00681959">
        <w:rPr>
          <w:rStyle w:val="Kkursywa"/>
          <w:rFonts w:ascii="Times New Roman" w:hAnsi="Times New Roman" w:cs="Times New Roman"/>
          <w:szCs w:val="24"/>
        </w:rPr>
        <w:t xml:space="preserve"> </w:t>
      </w:r>
      <w:r w:rsidR="00681959" w:rsidRPr="0020510F">
        <w:t>(Dz. U. poz. 614)</w:t>
      </w:r>
      <w:r w:rsidRPr="0020510F">
        <w:rPr>
          <w:rFonts w:ascii="Times New Roman" w:hAnsi="Times New Roman" w:cs="Times New Roman"/>
          <w:szCs w:val="24"/>
        </w:rPr>
        <w:t xml:space="preserve">, zatem wydaje się, iż powinien zawierać podobną regulację w zakresie skutków braku miejsca zamieszkania w Polsce przez konsumenta </w:t>
      </w:r>
      <w:r w:rsidR="00254526">
        <w:rPr>
          <w:rFonts w:ascii="Times New Roman" w:hAnsi="Times New Roman" w:cs="Times New Roman"/>
          <w:szCs w:val="24"/>
        </w:rPr>
        <w:t>–</w:t>
      </w:r>
      <w:r w:rsidRPr="0020510F">
        <w:rPr>
          <w:rFonts w:ascii="Times New Roman" w:hAnsi="Times New Roman" w:cs="Times New Roman"/>
          <w:szCs w:val="24"/>
        </w:rPr>
        <w:t xml:space="preserve"> powoda w sprawach opierających się na treści art. 45 ust. 1 ustawy o kredycie konsumenckim.</w:t>
      </w:r>
      <w:bookmarkEnd w:id="6"/>
    </w:p>
    <w:p w14:paraId="66FE099B" w14:textId="156A4762"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Ponadto dostrzec należy, że z dotychczasowej praktyki wynika, że w zdecydowanej większości spraw, kredytobiorcy mają miejsce zamieszkania poza właściwością sądów właściwych dla siedziby pozwanego, a pozwy kierowane są do sądu właściwości ogólnej pozwanego wyłącznie ze względu</w:t>
      </w:r>
      <w:r w:rsidR="00BA1EBB">
        <w:rPr>
          <w:rFonts w:ascii="Times New Roman" w:hAnsi="Times New Roman" w:cs="Times New Roman"/>
          <w:szCs w:val="24"/>
        </w:rPr>
        <w:t xml:space="preserve"> na</w:t>
      </w:r>
      <w:r w:rsidRPr="0020510F">
        <w:rPr>
          <w:rFonts w:ascii="Times New Roman" w:hAnsi="Times New Roman" w:cs="Times New Roman"/>
          <w:szCs w:val="24"/>
        </w:rPr>
        <w:t xml:space="preserve"> wygodę kancelarii, której łatwiej jest prowadzić masowo sprawy w jednym sądzie, i z uciążliwościami dla kredytobiorców, którzy są wzywani zwykle do osobistego stawiennictwa w sądzie często znajdującym się w znacznej odległości od ich miejsc zamieszkania. Oczywistym jest też, że ogromne nagromadzenie spraw w jednym czy nawet kilku sądach wielkomiejskich prowadzi do przewlekłości postępowań, które mogłyby być prowadzone sprawniej w skali całego kraju.</w:t>
      </w:r>
    </w:p>
    <w:p w14:paraId="3AC36849" w14:textId="6EDCBCA3"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W tym względzie szczególnie istotny jest ust. 2 proponowanego rozwiązania wskazujący, że </w:t>
      </w:r>
      <w:r w:rsidRPr="0020510F">
        <w:rPr>
          <w:rStyle w:val="Kkursywa"/>
          <w:rFonts w:ascii="Times New Roman" w:hAnsi="Times New Roman" w:cs="Times New Roman"/>
          <w:szCs w:val="24"/>
        </w:rPr>
        <w:t>„Przelew wierzytelności związanej z roszczeniem, o którym mowa w ust. 1, nie wpływa na właściwość sądu</w:t>
      </w:r>
      <w:r w:rsidR="00F32303">
        <w:rPr>
          <w:rStyle w:val="Kkursywa"/>
          <w:rFonts w:ascii="Times New Roman" w:hAnsi="Times New Roman" w:cs="Times New Roman"/>
          <w:szCs w:val="24"/>
        </w:rPr>
        <w:t>.</w:t>
      </w:r>
      <w:r w:rsidRPr="0020510F">
        <w:rPr>
          <w:rStyle w:val="Kkursywa"/>
          <w:rFonts w:ascii="Times New Roman" w:hAnsi="Times New Roman" w:cs="Times New Roman"/>
          <w:szCs w:val="24"/>
        </w:rPr>
        <w:t xml:space="preserve"> Pozew powinien zawierać oznaczenie miejsca</w:t>
      </w:r>
      <w:r w:rsidRPr="0020510F">
        <w:rPr>
          <w:rFonts w:ascii="Times New Roman" w:hAnsi="Times New Roman" w:cs="Times New Roman"/>
          <w:szCs w:val="24"/>
        </w:rPr>
        <w:t xml:space="preserve"> </w:t>
      </w:r>
      <w:r w:rsidRPr="0020510F">
        <w:rPr>
          <w:rStyle w:val="Kkursywa"/>
          <w:rFonts w:ascii="Times New Roman" w:hAnsi="Times New Roman" w:cs="Times New Roman"/>
          <w:szCs w:val="24"/>
        </w:rPr>
        <w:t xml:space="preserve">zamieszkania konsumenta.” </w:t>
      </w:r>
      <w:r w:rsidRPr="0020510F">
        <w:rPr>
          <w:rFonts w:ascii="Times New Roman" w:hAnsi="Times New Roman" w:cs="Times New Roman"/>
          <w:szCs w:val="24"/>
        </w:rPr>
        <w:t xml:space="preserve">Przepis ten pozwoli uniknąć sytuacji, w której podmiot (przedsiębiorca) masowo skupujący roszczenia konsumentów będzie kierował sprawy do jednego sądu właściwego dla swojej siedziby (obecnie często specjalnie założonej na potrzeby kierowania spraw do jednego sądu), </w:t>
      </w:r>
      <w:r w:rsidRPr="0020510F">
        <w:rPr>
          <w:rFonts w:ascii="Times New Roman" w:hAnsi="Times New Roman" w:cs="Times New Roman"/>
          <w:szCs w:val="24"/>
        </w:rPr>
        <w:lastRenderedPageBreak/>
        <w:t>i doprowadzi do kierowania spraw do sądów właściwych dla miejsca zamieszkania konsumentów, którzy zbyli wierzytelność. Dzięki takiemu rozwiązaniu nastąpi równomierne rozłożenie spraw przedmiotowej kategorii między sądy powszechne w skali całego kraju.</w:t>
      </w:r>
    </w:p>
    <w:p w14:paraId="09660F2C" w14:textId="77777777" w:rsidR="00026721"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Wprowadzenie przepisu epizodycznego w proponowanym brzmieniu wydaje się, że będzie miało również pozytywny wpływ na świadomość prawną kredytobiorców, którzy będą mogli się w praktyce dowiedzieć, iż mają prawo skierować pozew do sądu właściwego dla ich miejsca zamieszkania, a nie tam, gdzie wygodniej jest dla prowadzącej sprawę kancelarii. W tym kontekście należy zauważyć, że o ile charakter zeznań kredytobiorców w praktyce wyłącza ich przesłuchanie na rozprawie zdalnej, skutkując koniecznością ich osobistego stawiennictwa, o tyle taka okoliczność nie zachodzi w sytuacji pełnomocnika, który może połączyć się zdalnie nawet w odległym sądzie właściwym dla miejsca zamieszkania kredytobiorcy, gdyż jego osobista obecność w sądzie nie jest wymagana.</w:t>
      </w:r>
      <w:r w:rsidR="00026721" w:rsidRPr="0020510F">
        <w:rPr>
          <w:rFonts w:ascii="Times New Roman" w:hAnsi="Times New Roman" w:cs="Times New Roman"/>
          <w:szCs w:val="24"/>
        </w:rPr>
        <w:t xml:space="preserve"> </w:t>
      </w:r>
    </w:p>
    <w:p w14:paraId="75847E5A" w14:textId="4BDC912B" w:rsidR="006B1455" w:rsidRPr="0020510F" w:rsidRDefault="00026721"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Okres obowiązywania projektowanej regulacji określono na 5 lat. Przyjęcie takiego okresu wynika z potrzeby przeciwdziałania obserwowanemu obecnie zjawisku koncentracji spraw dotyczących sankcji kredytu darmowego w określonych sądach. Sprawy dotyczące sankcji kredytu darmowego są z reguły czasochłonne i wymagają szczegółowej analizy treści umów oraz podnoszonych przez strony zarzutów. Przyjęcie takiego okresu obowiązywania przepisu uzasadnia również obecny etap kształtowania się orzecznictwa dotyczącego sankcji kredytu darmowego. Liczba spraw kierowanych do sądów zależy w istotnym stopniu od</w:t>
      </w:r>
      <w:r w:rsidR="00103D54" w:rsidRPr="0020510F">
        <w:rPr>
          <w:rFonts w:ascii="Times New Roman" w:hAnsi="Times New Roman" w:cs="Times New Roman"/>
          <w:szCs w:val="24"/>
        </w:rPr>
        <w:t xml:space="preserve"> kierunku linii</w:t>
      </w:r>
      <w:r w:rsidRPr="0020510F">
        <w:rPr>
          <w:rFonts w:ascii="Times New Roman" w:hAnsi="Times New Roman" w:cs="Times New Roman"/>
          <w:szCs w:val="24"/>
        </w:rPr>
        <w:t xml:space="preserve"> orzeczniczej dotyczącej sankcji kredytu darmowego, na co przede wszystkim wpływ mają rozstrzygnięcia Trybunału Sprawiedliwości Unii Europejskiej. Obecnie</w:t>
      </w:r>
      <w:r w:rsidR="00103D54" w:rsidRPr="0020510F">
        <w:rPr>
          <w:rFonts w:ascii="Times New Roman" w:hAnsi="Times New Roman" w:cs="Times New Roman"/>
          <w:szCs w:val="24"/>
        </w:rPr>
        <w:t xml:space="preserve"> kształtuje się kierunek wykładni przepisów regulujących sankcję kredytu darmowego i zakres ochrony przysługującej konsumentom. Okres obowiązywania regulacji powinien być na tyle długi, aby umożliwić zarówno stabilizację linii orzeczniczej, jak i przeciwdziałać koncentracji spraw tego typu w wybranych sądach w związku z ewentualnym napływem znacznej ilości spraw</w:t>
      </w:r>
      <w:r w:rsidR="008673BB" w:rsidRPr="0020510F">
        <w:rPr>
          <w:rFonts w:ascii="Times New Roman" w:hAnsi="Times New Roman" w:cs="Times New Roman"/>
          <w:szCs w:val="24"/>
        </w:rPr>
        <w:t xml:space="preserve"> związanych z sankcją kredytu darmowego. Również w przypadku tzw. spraw frankowych ustawodawca uznał zatem, że szczególna regulacja właściwości miejscowej, służąca rozproszeniu wpływu spraw i odciążeniu sądów szczególnie obciążonych tego rodzaju sprawami, powinna obowiązywać przez okres 5 lat (art. 18 ustawy z dnia 9 marca 2023 r. o zmianie ustawy </w:t>
      </w:r>
      <w:r w:rsidR="00254526">
        <w:rPr>
          <w:rFonts w:ascii="Times New Roman" w:hAnsi="Times New Roman" w:cs="Times New Roman"/>
          <w:szCs w:val="24"/>
        </w:rPr>
        <w:t>–</w:t>
      </w:r>
      <w:r w:rsidR="008673BB" w:rsidRPr="0020510F">
        <w:rPr>
          <w:rFonts w:ascii="Times New Roman" w:hAnsi="Times New Roman" w:cs="Times New Roman"/>
          <w:szCs w:val="24"/>
        </w:rPr>
        <w:t xml:space="preserve"> Kodeks postępowania cywilnego oraz niektórych innych ustaw </w:t>
      </w:r>
      <w:r w:rsidR="00254526">
        <w:rPr>
          <w:rFonts w:ascii="Times New Roman" w:hAnsi="Times New Roman" w:cs="Times New Roman"/>
          <w:szCs w:val="24"/>
        </w:rPr>
        <w:t>–</w:t>
      </w:r>
      <w:r w:rsidR="008673BB" w:rsidRPr="0020510F">
        <w:rPr>
          <w:rFonts w:ascii="Times New Roman" w:hAnsi="Times New Roman" w:cs="Times New Roman"/>
          <w:szCs w:val="24"/>
        </w:rPr>
        <w:t xml:space="preserve"> Dz. U. poz. 614).</w:t>
      </w:r>
    </w:p>
    <w:p w14:paraId="2C0DAB90" w14:textId="7BF4F3D3" w:rsidR="007109C3" w:rsidRPr="0020510F" w:rsidRDefault="007109C3" w:rsidP="0020510F">
      <w:pPr>
        <w:pStyle w:val="ARTartustawynprozporzdzenia"/>
        <w:ind w:firstLine="0"/>
        <w:rPr>
          <w:rFonts w:ascii="Times New Roman" w:hAnsi="Times New Roman" w:cs="Times New Roman"/>
          <w:szCs w:val="24"/>
        </w:rPr>
      </w:pPr>
      <w:r w:rsidRPr="0020510F">
        <w:rPr>
          <w:rFonts w:ascii="Times New Roman" w:hAnsi="Times New Roman" w:cs="Times New Roman"/>
          <w:szCs w:val="24"/>
        </w:rPr>
        <w:t xml:space="preserve">Mając na uwadze art. 15 § 1 k.p.c., który statuuje zasadę ciągłości właściwości sądu, w myśl której sąd właściwy w chwili wniesienia pozwu pozostaje właściwy aż do ukończenia postępowania, choćby podstawy właściwości zmieniły się w toku sprawy, </w:t>
      </w:r>
      <w:r w:rsidR="001B4290" w:rsidRPr="0020510F">
        <w:rPr>
          <w:rFonts w:ascii="Times New Roman" w:hAnsi="Times New Roman" w:cs="Times New Roman"/>
          <w:szCs w:val="24"/>
        </w:rPr>
        <w:t xml:space="preserve">należy stwierdzić, </w:t>
      </w:r>
      <w:r w:rsidR="001B4290" w:rsidRPr="0020510F">
        <w:rPr>
          <w:rFonts w:ascii="Times New Roman" w:hAnsi="Times New Roman" w:cs="Times New Roman"/>
          <w:szCs w:val="24"/>
        </w:rPr>
        <w:lastRenderedPageBreak/>
        <w:t xml:space="preserve">że sprawy </w:t>
      </w:r>
      <w:r w:rsidRPr="0020510F">
        <w:rPr>
          <w:rFonts w:ascii="Times New Roman" w:hAnsi="Times New Roman" w:cs="Times New Roman"/>
          <w:szCs w:val="24"/>
        </w:rPr>
        <w:t xml:space="preserve">wniesione przed wejściem w życie </w:t>
      </w:r>
      <w:r w:rsidR="001B4290" w:rsidRPr="0020510F">
        <w:rPr>
          <w:rFonts w:ascii="Times New Roman" w:hAnsi="Times New Roman" w:cs="Times New Roman"/>
          <w:szCs w:val="24"/>
        </w:rPr>
        <w:t>niniejszej ustawy</w:t>
      </w:r>
      <w:r w:rsidRPr="0020510F">
        <w:rPr>
          <w:rFonts w:ascii="Times New Roman" w:hAnsi="Times New Roman" w:cs="Times New Roman"/>
          <w:szCs w:val="24"/>
        </w:rPr>
        <w:t xml:space="preserve"> do </w:t>
      </w:r>
      <w:r w:rsidR="001B4290" w:rsidRPr="0020510F">
        <w:rPr>
          <w:rFonts w:ascii="Times New Roman" w:hAnsi="Times New Roman" w:cs="Times New Roman"/>
          <w:szCs w:val="24"/>
        </w:rPr>
        <w:t>miejscowo</w:t>
      </w:r>
      <w:r w:rsidRPr="0020510F">
        <w:rPr>
          <w:rFonts w:ascii="Times New Roman" w:hAnsi="Times New Roman" w:cs="Times New Roman"/>
          <w:szCs w:val="24"/>
        </w:rPr>
        <w:t xml:space="preserve"> właściwych sądów, pozosta</w:t>
      </w:r>
      <w:r w:rsidR="001B4290" w:rsidRPr="0020510F">
        <w:rPr>
          <w:rFonts w:ascii="Times New Roman" w:hAnsi="Times New Roman" w:cs="Times New Roman"/>
          <w:szCs w:val="24"/>
        </w:rPr>
        <w:t xml:space="preserve">ną </w:t>
      </w:r>
      <w:r w:rsidRPr="0020510F">
        <w:rPr>
          <w:rFonts w:ascii="Times New Roman" w:hAnsi="Times New Roman" w:cs="Times New Roman"/>
          <w:szCs w:val="24"/>
        </w:rPr>
        <w:t xml:space="preserve">nadal </w:t>
      </w:r>
      <w:r w:rsidR="00254526">
        <w:rPr>
          <w:rFonts w:ascii="Times New Roman" w:hAnsi="Times New Roman" w:cs="Times New Roman"/>
          <w:szCs w:val="24"/>
        </w:rPr>
        <w:t>–</w:t>
      </w:r>
      <w:r w:rsidRPr="0020510F">
        <w:rPr>
          <w:rFonts w:ascii="Times New Roman" w:hAnsi="Times New Roman" w:cs="Times New Roman"/>
          <w:szCs w:val="24"/>
        </w:rPr>
        <w:t xml:space="preserve"> także po wejściu jej w życie </w:t>
      </w:r>
      <w:r w:rsidR="00254526">
        <w:rPr>
          <w:rFonts w:ascii="Times New Roman" w:hAnsi="Times New Roman" w:cs="Times New Roman"/>
          <w:szCs w:val="24"/>
        </w:rPr>
        <w:t>–</w:t>
      </w:r>
      <w:r w:rsidRPr="0020510F">
        <w:rPr>
          <w:rFonts w:ascii="Times New Roman" w:hAnsi="Times New Roman" w:cs="Times New Roman"/>
          <w:szCs w:val="24"/>
        </w:rPr>
        <w:t xml:space="preserve"> w rozpoznaniu tych sądów aż do </w:t>
      </w:r>
      <w:r w:rsidR="001B4290" w:rsidRPr="0020510F">
        <w:rPr>
          <w:rFonts w:ascii="Times New Roman" w:hAnsi="Times New Roman" w:cs="Times New Roman"/>
          <w:szCs w:val="24"/>
        </w:rPr>
        <w:t xml:space="preserve">ich </w:t>
      </w:r>
      <w:r w:rsidRPr="0020510F">
        <w:rPr>
          <w:rFonts w:ascii="Times New Roman" w:hAnsi="Times New Roman" w:cs="Times New Roman"/>
          <w:szCs w:val="24"/>
        </w:rPr>
        <w:t>prawomocnego rozstrzygnięcia</w:t>
      </w:r>
      <w:r w:rsidR="0015647A" w:rsidRPr="0020510F">
        <w:rPr>
          <w:rStyle w:val="Odwoanieprzypisudolnego"/>
          <w:rFonts w:ascii="Times New Roman" w:hAnsi="Times New Roman"/>
          <w:szCs w:val="24"/>
        </w:rPr>
        <w:footnoteReference w:id="7"/>
      </w:r>
      <w:r w:rsidR="00C50A1F">
        <w:rPr>
          <w:rFonts w:ascii="Times New Roman" w:hAnsi="Times New Roman" w:cs="Times New Roman"/>
          <w:szCs w:val="24"/>
          <w:vertAlign w:val="superscript"/>
        </w:rPr>
        <w:t>)</w:t>
      </w:r>
      <w:r w:rsidRPr="0020510F">
        <w:rPr>
          <w:rFonts w:ascii="Times New Roman" w:hAnsi="Times New Roman" w:cs="Times New Roman"/>
          <w:szCs w:val="24"/>
        </w:rPr>
        <w:t>. </w:t>
      </w:r>
      <w:r w:rsidR="001B4290" w:rsidRPr="0020510F">
        <w:rPr>
          <w:rFonts w:ascii="Times New Roman" w:hAnsi="Times New Roman" w:cs="Times New Roman"/>
          <w:szCs w:val="24"/>
        </w:rPr>
        <w:t>Przedmiotowa ustawa nie ma zatem wpływu na sprawy w toku, a będzie dotyczyć jedynie spraw wszczętych po dniu jej wejścia w życie. Za takim rozwiązaniem</w:t>
      </w:r>
      <w:r w:rsidR="00E72880" w:rsidRPr="0020510F">
        <w:rPr>
          <w:rFonts w:ascii="Times New Roman" w:hAnsi="Times New Roman" w:cs="Times New Roman"/>
          <w:szCs w:val="24"/>
        </w:rPr>
        <w:t xml:space="preserve"> p</w:t>
      </w:r>
      <w:r w:rsidR="001B4290" w:rsidRPr="0020510F">
        <w:rPr>
          <w:rFonts w:ascii="Times New Roman" w:hAnsi="Times New Roman" w:cs="Times New Roman"/>
          <w:szCs w:val="24"/>
        </w:rPr>
        <w:t xml:space="preserve">rzemawiają względy celowości, </w:t>
      </w:r>
      <w:r w:rsidR="00E72880" w:rsidRPr="0020510F">
        <w:rPr>
          <w:rFonts w:ascii="Times New Roman" w:hAnsi="Times New Roman" w:cs="Times New Roman"/>
          <w:szCs w:val="24"/>
        </w:rPr>
        <w:t xml:space="preserve">ponieważ nie jest zasadnym, aby sprawy w toku, niezależnie od stanu ich rozpoznania, podlegały przekazaniu sądom właściwym według nowych przepisów. </w:t>
      </w:r>
      <w:r w:rsidR="00704EDB" w:rsidRPr="0020510F">
        <w:rPr>
          <w:rFonts w:ascii="Times New Roman" w:hAnsi="Times New Roman" w:cs="Times New Roman"/>
          <w:szCs w:val="24"/>
        </w:rPr>
        <w:t xml:space="preserve">Takie działania skutkowałyby niejednokrotnie </w:t>
      </w:r>
      <w:r w:rsidR="00E72880" w:rsidRPr="0020510F">
        <w:rPr>
          <w:rFonts w:ascii="Times New Roman" w:hAnsi="Times New Roman" w:cs="Times New Roman"/>
          <w:szCs w:val="24"/>
        </w:rPr>
        <w:t>uszczerbkiem dla prawidłowości rozpoznania sprawy</w:t>
      </w:r>
      <w:r w:rsidR="00704EDB" w:rsidRPr="0020510F">
        <w:rPr>
          <w:rFonts w:ascii="Times New Roman" w:hAnsi="Times New Roman" w:cs="Times New Roman"/>
          <w:szCs w:val="24"/>
        </w:rPr>
        <w:t xml:space="preserve">, </w:t>
      </w:r>
      <w:r w:rsidR="001B4290" w:rsidRPr="0020510F">
        <w:rPr>
          <w:rFonts w:ascii="Times New Roman" w:hAnsi="Times New Roman" w:cs="Times New Roman"/>
          <w:szCs w:val="24"/>
        </w:rPr>
        <w:t xml:space="preserve">np. </w:t>
      </w:r>
      <w:r w:rsidR="00704EDB" w:rsidRPr="0020510F">
        <w:rPr>
          <w:rFonts w:ascii="Times New Roman" w:hAnsi="Times New Roman" w:cs="Times New Roman"/>
          <w:szCs w:val="24"/>
        </w:rPr>
        <w:t xml:space="preserve">w sytuacji gdy przekazaniu </w:t>
      </w:r>
      <w:r w:rsidR="001B4290" w:rsidRPr="0020510F">
        <w:rPr>
          <w:rFonts w:ascii="Times New Roman" w:hAnsi="Times New Roman" w:cs="Times New Roman"/>
          <w:szCs w:val="24"/>
        </w:rPr>
        <w:t xml:space="preserve">podlegałaby sprawa, w której nastąpiło odroczenie ogłoszenia orzeczenia (art. 326 </w:t>
      </w:r>
      <w:r w:rsidR="00704EDB" w:rsidRPr="0020510F">
        <w:rPr>
          <w:rFonts w:ascii="Times New Roman" w:hAnsi="Times New Roman" w:cs="Times New Roman"/>
          <w:szCs w:val="24"/>
        </w:rPr>
        <w:t>k.p.c.</w:t>
      </w:r>
      <w:r w:rsidR="001B4290" w:rsidRPr="0020510F">
        <w:rPr>
          <w:rFonts w:ascii="Times New Roman" w:hAnsi="Times New Roman" w:cs="Times New Roman"/>
          <w:szCs w:val="24"/>
        </w:rPr>
        <w:t>),</w:t>
      </w:r>
      <w:r w:rsidR="00704EDB" w:rsidRPr="0020510F">
        <w:rPr>
          <w:rFonts w:ascii="Times New Roman" w:hAnsi="Times New Roman" w:cs="Times New Roman"/>
          <w:szCs w:val="24"/>
        </w:rPr>
        <w:t xml:space="preserve"> a</w:t>
      </w:r>
      <w:r w:rsidR="001B4290" w:rsidRPr="0020510F">
        <w:rPr>
          <w:rFonts w:ascii="Times New Roman" w:hAnsi="Times New Roman" w:cs="Times New Roman"/>
          <w:szCs w:val="24"/>
        </w:rPr>
        <w:t xml:space="preserve"> w tym zaś terminie nastąpiła</w:t>
      </w:r>
      <w:r w:rsidR="00704EDB" w:rsidRPr="0020510F">
        <w:rPr>
          <w:rFonts w:ascii="Times New Roman" w:hAnsi="Times New Roman" w:cs="Times New Roman"/>
          <w:szCs w:val="24"/>
        </w:rPr>
        <w:t>by</w:t>
      </w:r>
      <w:r w:rsidR="001B4290" w:rsidRPr="0020510F">
        <w:rPr>
          <w:rFonts w:ascii="Times New Roman" w:hAnsi="Times New Roman" w:cs="Times New Roman"/>
          <w:szCs w:val="24"/>
        </w:rPr>
        <w:t xml:space="preserve"> zmiana właściwości </w:t>
      </w:r>
      <w:r w:rsidR="00704EDB" w:rsidRPr="0020510F">
        <w:rPr>
          <w:rFonts w:ascii="Times New Roman" w:hAnsi="Times New Roman" w:cs="Times New Roman"/>
          <w:szCs w:val="24"/>
        </w:rPr>
        <w:t>miejscowej</w:t>
      </w:r>
      <w:r w:rsidR="001B4290" w:rsidRPr="0020510F">
        <w:rPr>
          <w:rFonts w:ascii="Times New Roman" w:hAnsi="Times New Roman" w:cs="Times New Roman"/>
          <w:szCs w:val="24"/>
        </w:rPr>
        <w:t xml:space="preserve"> sądu.</w:t>
      </w:r>
    </w:p>
    <w:p w14:paraId="76F0279F" w14:textId="7F3AE58D"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Proponuje się, aby projektowana ustawa weszła w życie po upływie </w:t>
      </w:r>
      <w:r w:rsidR="000C29C8" w:rsidRPr="0020510F">
        <w:rPr>
          <w:rFonts w:ascii="Times New Roman" w:hAnsi="Times New Roman" w:cs="Times New Roman"/>
          <w:szCs w:val="24"/>
        </w:rPr>
        <w:t>miesiąca</w:t>
      </w:r>
      <w:r w:rsidRPr="0020510F">
        <w:rPr>
          <w:rFonts w:ascii="Times New Roman" w:hAnsi="Times New Roman" w:cs="Times New Roman"/>
          <w:szCs w:val="24"/>
        </w:rPr>
        <w:t xml:space="preserve"> od dnia </w:t>
      </w:r>
      <w:r w:rsidR="0010275C" w:rsidRPr="0020510F">
        <w:rPr>
          <w:rFonts w:ascii="Times New Roman" w:hAnsi="Times New Roman" w:cs="Times New Roman"/>
          <w:szCs w:val="24"/>
        </w:rPr>
        <w:t xml:space="preserve">jej </w:t>
      </w:r>
      <w:r w:rsidRPr="0020510F">
        <w:rPr>
          <w:rFonts w:ascii="Times New Roman" w:hAnsi="Times New Roman" w:cs="Times New Roman"/>
          <w:szCs w:val="24"/>
        </w:rPr>
        <w:t>ogłoszenia.</w:t>
      </w:r>
      <w:r w:rsidR="0010275C" w:rsidRPr="0020510F">
        <w:rPr>
          <w:rFonts w:ascii="Times New Roman" w:hAnsi="Times New Roman" w:cs="Times New Roman"/>
          <w:szCs w:val="24"/>
        </w:rPr>
        <w:t xml:space="preserve"> Termin ten jest korzystny w szczególności dla konsumentów, mających roszczenia z tytułu czynności bankowych przeciwko bankom lub innym jednostk</w:t>
      </w:r>
      <w:r w:rsidR="00C50A1F">
        <w:rPr>
          <w:rFonts w:ascii="Times New Roman" w:hAnsi="Times New Roman" w:cs="Times New Roman"/>
          <w:szCs w:val="24"/>
        </w:rPr>
        <w:t>om</w:t>
      </w:r>
      <w:r w:rsidR="0010275C" w:rsidRPr="0020510F">
        <w:rPr>
          <w:rFonts w:ascii="Times New Roman" w:hAnsi="Times New Roman" w:cs="Times New Roman"/>
          <w:szCs w:val="24"/>
        </w:rPr>
        <w:t xml:space="preserve"> organizacyjnym uprawnionym do wykonywania czynności bankowych, w tym dla konsumentów składających oświadczenia o skorzystaniu z tzw. sankcji kredytu darmowego. Jednocześnie zaś pozostaje on </w:t>
      </w:r>
      <w:r w:rsidR="007F73A3" w:rsidRPr="0020510F">
        <w:rPr>
          <w:rFonts w:ascii="Times New Roman" w:hAnsi="Times New Roman" w:cs="Times New Roman"/>
          <w:szCs w:val="24"/>
        </w:rPr>
        <w:t xml:space="preserve">zasadniczo </w:t>
      </w:r>
      <w:r w:rsidR="0010275C" w:rsidRPr="0020510F">
        <w:rPr>
          <w:rFonts w:ascii="Times New Roman" w:hAnsi="Times New Roman" w:cs="Times New Roman"/>
          <w:szCs w:val="24"/>
        </w:rPr>
        <w:t>bez wpływu na proces dostosowywania się sądów do</w:t>
      </w:r>
      <w:r w:rsidR="007F73A3" w:rsidRPr="0020510F">
        <w:rPr>
          <w:rFonts w:ascii="Times New Roman" w:hAnsi="Times New Roman" w:cs="Times New Roman"/>
          <w:szCs w:val="24"/>
        </w:rPr>
        <w:t xml:space="preserve"> </w:t>
      </w:r>
      <w:r w:rsidR="0010275C" w:rsidRPr="0020510F">
        <w:rPr>
          <w:rFonts w:ascii="Times New Roman" w:hAnsi="Times New Roman" w:cs="Times New Roman"/>
          <w:szCs w:val="24"/>
        </w:rPr>
        <w:t>zwiększone</w:t>
      </w:r>
      <w:r w:rsidR="007F73A3" w:rsidRPr="0020510F">
        <w:rPr>
          <w:rFonts w:ascii="Times New Roman" w:hAnsi="Times New Roman" w:cs="Times New Roman"/>
          <w:szCs w:val="24"/>
        </w:rPr>
        <w:t xml:space="preserve">j liczby </w:t>
      </w:r>
      <w:r w:rsidR="0010275C" w:rsidRPr="0020510F">
        <w:rPr>
          <w:rFonts w:ascii="Times New Roman" w:hAnsi="Times New Roman" w:cs="Times New Roman"/>
          <w:szCs w:val="24"/>
        </w:rPr>
        <w:t>nowych spraw w związku ze zmianą właściwości na wyłączną w sprawach</w:t>
      </w:r>
      <w:r w:rsidR="00C50A1F">
        <w:rPr>
          <w:rFonts w:ascii="Times New Roman" w:hAnsi="Times New Roman" w:cs="Times New Roman"/>
          <w:szCs w:val="24"/>
        </w:rPr>
        <w:t>,</w:t>
      </w:r>
      <w:r w:rsidR="0010275C" w:rsidRPr="0020510F">
        <w:rPr>
          <w:rFonts w:ascii="Times New Roman" w:hAnsi="Times New Roman" w:cs="Times New Roman"/>
          <w:szCs w:val="24"/>
        </w:rPr>
        <w:t xml:space="preserve"> o których mowa w przepisie epizodycznym, tj. w art. 2 projektu (sprawy tzw. sankcji kredytu darmowego).</w:t>
      </w:r>
    </w:p>
    <w:p w14:paraId="762CF260"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bookmarkStart w:id="7" w:name="_Hlk215739453"/>
      <w:r w:rsidRPr="0020510F">
        <w:rPr>
          <w:rFonts w:ascii="Times New Roman" w:hAnsi="Times New Roman" w:cs="Times New Roman"/>
          <w:szCs w:val="24"/>
        </w:rPr>
        <w:t>Brak jest możliwości rozwiązania problemu przeciążenia sądów wielkomiejskich poprzez rozproszenie spraw, o których mowa w art. 1 i 2 ustawy nowelizującej do różnych sądów w Polsce przy pomocy środków natury administracyjno-organizacyjnej. Nie ma zatem możliwości zastosowania alternatywnych w stosunku do projektowanych rozwiązań środków, które umożliwiałyby osiągnięcie zamierzonego celu.</w:t>
      </w:r>
      <w:bookmarkEnd w:id="7"/>
      <w:r w:rsidRPr="0020510F">
        <w:rPr>
          <w:rFonts w:ascii="Times New Roman" w:hAnsi="Times New Roman" w:cs="Times New Roman"/>
          <w:szCs w:val="24"/>
        </w:rPr>
        <w:t xml:space="preserve"> </w:t>
      </w:r>
    </w:p>
    <w:p w14:paraId="355B3134"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Projekt jest zgodny z prawem Unii Europejskiej.</w:t>
      </w:r>
    </w:p>
    <w:p w14:paraId="067B7A20"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Projekt nie zawiera przepisów technicznych, zatem nie podlega notyfikacji zgodnie z </w:t>
      </w:r>
      <w:r w:rsidRPr="0020510F">
        <w:rPr>
          <w:rStyle w:val="Kkursywa"/>
          <w:rFonts w:ascii="Times New Roman" w:hAnsi="Times New Roman" w:cs="Times New Roman"/>
          <w:szCs w:val="24"/>
        </w:rPr>
        <w:t>rozporządzeniem Rady Ministrów z dnia 23 grudnia 2002 r. w sprawie sposobu funkcjonowania krajowego systemu notyfikacji norm i aktów prawnych</w:t>
      </w:r>
      <w:r w:rsidRPr="0020510F">
        <w:rPr>
          <w:rFonts w:ascii="Times New Roman" w:hAnsi="Times New Roman" w:cs="Times New Roman"/>
          <w:szCs w:val="24"/>
        </w:rPr>
        <w:t xml:space="preserve"> (Dz. U. poz. 2039 oraz z 2004 r. poz. 597). Projekt nie wymaga przedstawienia właściwym organom i instytucjom Unii Europejskiej, w tym Europejskiemu Bankowi Centralnemu, w celu uzyskania opinii, dokonania powiadomienia, konsultacji albo uzgodnienia.</w:t>
      </w:r>
    </w:p>
    <w:p w14:paraId="4A08D61F" w14:textId="77777777" w:rsidR="006B1455" w:rsidRPr="0020510F" w:rsidRDefault="006B1455" w:rsidP="0020510F">
      <w:pPr>
        <w:pStyle w:val="NIEARTTEKSTtekstnieartykuowanynppodstprawnarozplubpreambua"/>
        <w:ind w:firstLine="0"/>
        <w:rPr>
          <w:rFonts w:ascii="Times New Roman" w:hAnsi="Times New Roman" w:cs="Times New Roman"/>
          <w:szCs w:val="24"/>
        </w:rPr>
      </w:pPr>
      <w:bookmarkStart w:id="8" w:name="_Hlk215739566"/>
      <w:r w:rsidRPr="0020510F">
        <w:rPr>
          <w:rFonts w:ascii="Times New Roman" w:hAnsi="Times New Roman" w:cs="Times New Roman"/>
          <w:szCs w:val="24"/>
        </w:rPr>
        <w:lastRenderedPageBreak/>
        <w:t xml:space="preserve">Projekt nie określa zasad podejmowania, wykonywania lub zakończenia działalności gospodarczej. </w:t>
      </w:r>
    </w:p>
    <w:p w14:paraId="500B3B74" w14:textId="1F735AEA" w:rsidR="006B1455" w:rsidRPr="0020510F" w:rsidRDefault="006B1455" w:rsidP="0020510F">
      <w:pPr>
        <w:pStyle w:val="NIEARTTEKSTtekstnieartykuowanynppodstprawnarozplubpreambua"/>
        <w:ind w:firstLine="0"/>
        <w:rPr>
          <w:rFonts w:ascii="Times New Roman" w:hAnsi="Times New Roman" w:cs="Times New Roman"/>
          <w:szCs w:val="24"/>
        </w:rPr>
      </w:pPr>
      <w:bookmarkStart w:id="9" w:name="_Hlk215739592"/>
      <w:bookmarkEnd w:id="8"/>
      <w:r w:rsidRPr="0020510F">
        <w:rPr>
          <w:rFonts w:ascii="Times New Roman" w:hAnsi="Times New Roman" w:cs="Times New Roman"/>
          <w:szCs w:val="24"/>
        </w:rPr>
        <w:t xml:space="preserve">Projekt nie podlegał dokonaniu oceny OSR przez koordynatora OSR w trybie § 32 </w:t>
      </w:r>
      <w:r w:rsidRPr="0020510F">
        <w:rPr>
          <w:rStyle w:val="Kkursywa"/>
          <w:rFonts w:ascii="Times New Roman" w:hAnsi="Times New Roman" w:cs="Times New Roman"/>
          <w:szCs w:val="24"/>
        </w:rPr>
        <w:t>uchwały nr 190 Rady Ministrów z dnia 29 października 2013 r. – Regulamin pracy Rady Ministrów</w:t>
      </w:r>
      <w:r w:rsidRPr="0020510F">
        <w:rPr>
          <w:rFonts w:ascii="Times New Roman" w:hAnsi="Times New Roman" w:cs="Times New Roman"/>
          <w:szCs w:val="24"/>
        </w:rPr>
        <w:t xml:space="preserve"> (M.P. z 2026 r. poz. 404).</w:t>
      </w:r>
      <w:bookmarkEnd w:id="9"/>
    </w:p>
    <w:p w14:paraId="59F4A2F6" w14:textId="30495A54" w:rsidR="006B1455"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Zgodnie z § 52 uchwały nr 190 Rady Ministrów z dnia 29 października 2013 r. – Regulamin pracy Rady Ministrów oraz stosownie do wymogów art. 5 </w:t>
      </w:r>
      <w:r w:rsidRPr="0020510F">
        <w:rPr>
          <w:rStyle w:val="Kkursywa"/>
          <w:rFonts w:ascii="Times New Roman" w:hAnsi="Times New Roman" w:cs="Times New Roman"/>
          <w:szCs w:val="24"/>
        </w:rPr>
        <w:t>ustawy z dnia 7 lipca 2005 r. o działalności lobbingowej w procesie stanowienia prawa</w:t>
      </w:r>
      <w:r w:rsidRPr="0020510F">
        <w:rPr>
          <w:rFonts w:ascii="Times New Roman" w:hAnsi="Times New Roman" w:cs="Times New Roman"/>
          <w:szCs w:val="24"/>
        </w:rPr>
        <w:t xml:space="preserve"> (Dz. U. z 2026 r. poz. 936) projekt </w:t>
      </w:r>
      <w:r w:rsidR="003F7A9A" w:rsidRPr="0020510F">
        <w:rPr>
          <w:rFonts w:ascii="Times New Roman" w:hAnsi="Times New Roman" w:cs="Times New Roman"/>
          <w:szCs w:val="24"/>
        </w:rPr>
        <w:t xml:space="preserve">został </w:t>
      </w:r>
      <w:r w:rsidRPr="0020510F">
        <w:rPr>
          <w:rFonts w:ascii="Times New Roman" w:hAnsi="Times New Roman" w:cs="Times New Roman"/>
          <w:szCs w:val="24"/>
        </w:rPr>
        <w:t>udostępniony w Biuletynie Informacji Publicznej na stronie podmiotowej Rządowego Centrum Legislacji, w serwisie Rządowy Proces Legislacyjny.</w:t>
      </w:r>
      <w:r w:rsidR="00153C5C" w:rsidRPr="0020510F">
        <w:rPr>
          <w:rFonts w:ascii="Times New Roman" w:hAnsi="Times New Roman" w:cs="Times New Roman"/>
          <w:szCs w:val="24"/>
        </w:rPr>
        <w:t xml:space="preserve"> Żaden podmiot nie zgłosił zainteresowania pracami nad projektem ustawy w trybie przepisów wskazanej powyżej ustawy o działalności lobbingowej w procesie stanowienia prawa.</w:t>
      </w:r>
    </w:p>
    <w:p w14:paraId="1827B5EB" w14:textId="38C184AC" w:rsidR="00261A16" w:rsidRPr="0020510F" w:rsidRDefault="006B1455" w:rsidP="0020510F">
      <w:pPr>
        <w:pStyle w:val="NIEARTTEKSTtekstnieartykuowanynppodstprawnarozplubpreambua"/>
        <w:ind w:firstLine="0"/>
        <w:rPr>
          <w:rFonts w:ascii="Times New Roman" w:hAnsi="Times New Roman" w:cs="Times New Roman"/>
          <w:szCs w:val="24"/>
        </w:rPr>
      </w:pPr>
      <w:r w:rsidRPr="0020510F">
        <w:rPr>
          <w:rFonts w:ascii="Times New Roman" w:hAnsi="Times New Roman" w:cs="Times New Roman"/>
          <w:szCs w:val="24"/>
        </w:rPr>
        <w:t xml:space="preserve">W celu spełnienia wymogów, o których mowa w § 42 ust. 1 uchwały nr 190 Rady Ministrów z dnia 29 października 2013 r. – Regulamin pracy Rady Ministrów, projekt </w:t>
      </w:r>
      <w:r w:rsidR="003F7A9A" w:rsidRPr="0020510F">
        <w:rPr>
          <w:rFonts w:ascii="Times New Roman" w:hAnsi="Times New Roman" w:cs="Times New Roman"/>
          <w:szCs w:val="24"/>
        </w:rPr>
        <w:t xml:space="preserve">został </w:t>
      </w:r>
      <w:r w:rsidRPr="0020510F">
        <w:rPr>
          <w:rFonts w:ascii="Times New Roman" w:hAnsi="Times New Roman" w:cs="Times New Roman"/>
          <w:szCs w:val="24"/>
        </w:rPr>
        <w:t>skierowany do koordynatora OSR.</w:t>
      </w:r>
    </w:p>
    <w:sectPr w:rsidR="00261A16" w:rsidRPr="0020510F" w:rsidSect="0020510F">
      <w:headerReference w:type="default" r:id="rId9"/>
      <w:footerReference w:type="default" r:id="rId10"/>
      <w:footnotePr>
        <w:numRestart w:val="eachSect"/>
      </w:footnotePr>
      <w:pgSz w:w="11906" w:h="16838"/>
      <w:pgMar w:top="1418" w:right="1418" w:bottom="1418"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06B55" w14:textId="77777777" w:rsidR="00FA6381" w:rsidRDefault="00FA6381">
      <w:r>
        <w:separator/>
      </w:r>
    </w:p>
  </w:endnote>
  <w:endnote w:type="continuationSeparator" w:id="0">
    <w:p w14:paraId="7422CCAF" w14:textId="77777777" w:rsidR="00FA6381" w:rsidRDefault="00FA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314408"/>
      <w:docPartObj>
        <w:docPartGallery w:val="Page Numbers (Bottom of Page)"/>
        <w:docPartUnique/>
      </w:docPartObj>
    </w:sdtPr>
    <w:sdtEndPr>
      <w:rPr>
        <w:rFonts w:ascii="Times New Roman" w:hAnsi="Times New Roman"/>
      </w:rPr>
    </w:sdtEndPr>
    <w:sdtContent>
      <w:p w14:paraId="1EF4F921" w14:textId="21CA76C0" w:rsidR="00254526" w:rsidRPr="00254526" w:rsidRDefault="00254526" w:rsidP="00254526">
        <w:pPr>
          <w:pStyle w:val="Stopka"/>
          <w:jc w:val="center"/>
          <w:rPr>
            <w:rFonts w:ascii="Times New Roman" w:hAnsi="Times New Roman"/>
          </w:rPr>
        </w:pPr>
        <w:r w:rsidRPr="00254526">
          <w:rPr>
            <w:rFonts w:ascii="Times New Roman" w:hAnsi="Times New Roman"/>
          </w:rPr>
          <w:fldChar w:fldCharType="begin"/>
        </w:r>
        <w:r w:rsidRPr="00254526">
          <w:rPr>
            <w:rFonts w:ascii="Times New Roman" w:hAnsi="Times New Roman"/>
          </w:rPr>
          <w:instrText>PAGE   \* MERGEFORMAT</w:instrText>
        </w:r>
        <w:r w:rsidRPr="00254526">
          <w:rPr>
            <w:rFonts w:ascii="Times New Roman" w:hAnsi="Times New Roman"/>
          </w:rPr>
          <w:fldChar w:fldCharType="separate"/>
        </w:r>
        <w:r w:rsidRPr="00254526">
          <w:rPr>
            <w:rFonts w:ascii="Times New Roman" w:hAnsi="Times New Roman"/>
          </w:rPr>
          <w:t>2</w:t>
        </w:r>
        <w:r w:rsidRPr="00254526">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83088" w14:textId="77777777" w:rsidR="00FA6381" w:rsidRDefault="00FA6381">
      <w:r>
        <w:separator/>
      </w:r>
    </w:p>
  </w:footnote>
  <w:footnote w:type="continuationSeparator" w:id="0">
    <w:p w14:paraId="011334E8" w14:textId="77777777" w:rsidR="00FA6381" w:rsidRDefault="00FA6381">
      <w:r>
        <w:continuationSeparator/>
      </w:r>
    </w:p>
  </w:footnote>
  <w:footnote w:id="1">
    <w:p w14:paraId="14A4C420" w14:textId="46628456" w:rsidR="006B1455" w:rsidRPr="004802E7" w:rsidRDefault="006B1455" w:rsidP="0020510F">
      <w:pPr>
        <w:pStyle w:val="CZWSPPKTODNONIKAczwsppunkwodnonika"/>
        <w:ind w:left="142" w:hanging="142"/>
      </w:pPr>
      <w:r w:rsidRPr="004802E7">
        <w:rPr>
          <w:rStyle w:val="Odwoanieprzypisudolnego"/>
        </w:rPr>
        <w:footnoteRef/>
      </w:r>
      <w:r w:rsidR="00882F6F">
        <w:rPr>
          <w:vertAlign w:val="superscript"/>
        </w:rPr>
        <w:t>)</w:t>
      </w:r>
      <w:r w:rsidR="00882F6F">
        <w:rPr>
          <w:vertAlign w:val="superscript"/>
        </w:rPr>
        <w:tab/>
      </w:r>
      <w:r w:rsidRPr="004802E7">
        <w:t xml:space="preserve">Wpływ tzw. spraw frankowych do </w:t>
      </w:r>
      <w:r>
        <w:t>sądów okręgowych</w:t>
      </w:r>
      <w:r w:rsidRPr="004802E7">
        <w:t xml:space="preserve"> w latach 2017–2022 (I półrocze) obliczano na 131,2 tys. spraw (przy lawinowym wzroście w 2020 r.), a liczba spraw pozostałych na koniec tego okresu wynosiła 93,3 tys. (zob. Informacja o wynikach kontroli NIK „Zapewnienie Sprawnego Funkcjonowania Wymiaru Sprawiedliwości” znak: KPB.430.2.2024, s. 120</w:t>
      </w:r>
      <w:r w:rsidR="00882F6F">
        <w:t>–</w:t>
      </w:r>
      <w:r w:rsidRPr="004802E7">
        <w:t xml:space="preserve">121). </w:t>
      </w:r>
    </w:p>
  </w:footnote>
  <w:footnote w:id="2">
    <w:p w14:paraId="32B23966" w14:textId="4C7BA40B" w:rsidR="00196463" w:rsidRDefault="00196463" w:rsidP="00196463">
      <w:pPr>
        <w:pStyle w:val="CZWSPPKTODNONIKAczwsppunkwodnonika"/>
        <w:ind w:hanging="284"/>
      </w:pPr>
      <w:r>
        <w:rPr>
          <w:rStyle w:val="Odwoanieprzypisudolnego"/>
        </w:rPr>
        <w:footnoteRef/>
      </w:r>
      <w:r w:rsidR="00882F6F">
        <w:rPr>
          <w:vertAlign w:val="superscript"/>
        </w:rPr>
        <w:t>)</w:t>
      </w:r>
      <w:r w:rsidR="00882F6F">
        <w:tab/>
      </w:r>
      <w:r w:rsidRPr="004802E7">
        <w:t>J. Gudowski [w:] T. Ereciński (red.), Kodeks postepowania cywilnego. Komentarz. Tom I. Postępowanie rozpoznawcze. Artykuły 1</w:t>
      </w:r>
      <w:r w:rsidR="00882F6F">
        <w:t>–</w:t>
      </w:r>
      <w:r w:rsidRPr="004802E7">
        <w:t>124, wyd. VI, komentarz do art. 37</w:t>
      </w:r>
      <w:r w:rsidRPr="006E18AD">
        <w:rPr>
          <w:vertAlign w:val="superscript"/>
        </w:rPr>
        <w:t>[2]</w:t>
      </w:r>
      <w:r w:rsidRPr="004802E7">
        <w:t xml:space="preserve"> k.p.c., 2023, nb 7.</w:t>
      </w:r>
    </w:p>
  </w:footnote>
  <w:footnote w:id="3">
    <w:p w14:paraId="1F3DEAC9" w14:textId="3E511ACE" w:rsidR="006B1455" w:rsidRPr="004802E7" w:rsidRDefault="006B1455" w:rsidP="00F852C6">
      <w:pPr>
        <w:pStyle w:val="CZWSPPKTODNONIKAczwsppunkwodnonika"/>
        <w:ind w:hanging="284"/>
      </w:pPr>
      <w:r w:rsidRPr="004802E7">
        <w:rPr>
          <w:rStyle w:val="Odwoanieprzypisudolnego"/>
        </w:rPr>
        <w:footnoteRef/>
      </w:r>
      <w:r w:rsidR="00882F6F">
        <w:rPr>
          <w:vertAlign w:val="superscript"/>
        </w:rPr>
        <w:t>)</w:t>
      </w:r>
      <w:bookmarkStart w:id="4" w:name="_Hlk213071241"/>
      <w:r w:rsidR="00882F6F">
        <w:tab/>
      </w:r>
      <w:r w:rsidRPr="004802E7">
        <w:t xml:space="preserve">Rządowy projekt ustawy o zmianie ustawy </w:t>
      </w:r>
      <w:r w:rsidR="00A04EF5">
        <w:t>–</w:t>
      </w:r>
      <w:r w:rsidRPr="004802E7">
        <w:t xml:space="preserve"> Kodeks postępowania cywilnego oraz niektórych innych ustaw, VIII, druk nr 3137</w:t>
      </w:r>
      <w:bookmarkEnd w:id="4"/>
      <w:r w:rsidRPr="004802E7">
        <w:t>.</w:t>
      </w:r>
    </w:p>
  </w:footnote>
  <w:footnote w:id="4">
    <w:p w14:paraId="2564E16C" w14:textId="2EDC1D0D" w:rsidR="006B1455" w:rsidRPr="004802E7" w:rsidRDefault="006B1455" w:rsidP="0020510F">
      <w:pPr>
        <w:pStyle w:val="CZWSPPKTODNONIKAczwsppunkwodnonika"/>
        <w:ind w:hanging="284"/>
      </w:pPr>
      <w:r w:rsidRPr="004802E7">
        <w:rPr>
          <w:rStyle w:val="Odwoanieprzypisudolnego"/>
        </w:rPr>
        <w:footnoteRef/>
      </w:r>
      <w:r w:rsidR="00882F6F">
        <w:rPr>
          <w:vertAlign w:val="superscript"/>
        </w:rPr>
        <w:t>)</w:t>
      </w:r>
      <w:r w:rsidR="00882F6F">
        <w:rPr>
          <w:vertAlign w:val="superscript"/>
        </w:rPr>
        <w:tab/>
      </w:r>
      <w:r w:rsidRPr="004802E7">
        <w:t>W uzasadnieniu do projektu powyżej wymienionej ustawy wskazano ponadto, że zasady ustalania właściwości miejscowej powodują uprzywilejowanie przedsiębiorców w stosunku do ich kontrahentów będących konsumentami. „(…) masowi przedsiębiorcy, korzystając z właściwości przemiennej (art. 34 k.p.c.), pozywają konsumentów przed sąd miejsca wykonania umowy – a za miejsce wykonania umowy poczytuje się również miejsce spełnienia świadczenia przez konsumenta, którym jest z reguły siedziba przedsiębiorcy (art. 454 k.c.).” Wydaje się zatem, że wprowadzenie art. 37</w:t>
      </w:r>
      <w:r w:rsidRPr="006E18AD">
        <w:rPr>
          <w:vertAlign w:val="superscript"/>
        </w:rPr>
        <w:t>[2]</w:t>
      </w:r>
      <w:r w:rsidRPr="004802E7">
        <w:t xml:space="preserve"> k.p.c. miało stanowić ułatwienie dla jednej szczególnej grupy powodów, tj. dla konsumentów. Z drugiej jednak strony, w uzasadnieniu do projektu ustawy wskazano: „</w:t>
      </w:r>
      <w:r w:rsidRPr="004802E7">
        <w:rPr>
          <w:u w:val="single"/>
        </w:rPr>
        <w:t>Dla wszelkiej jasności należy dodać, że regulacje z proj. art. 34 § 2, art. 35</w:t>
      </w:r>
      <w:r w:rsidRPr="008A5F99">
        <w:rPr>
          <w:u w:val="single"/>
          <w:vertAlign w:val="superscript"/>
        </w:rPr>
        <w:t>[</w:t>
      </w:r>
      <w:r>
        <w:rPr>
          <w:u w:val="single"/>
          <w:vertAlign w:val="superscript"/>
        </w:rPr>
        <w:t>1</w:t>
      </w:r>
      <w:r w:rsidRPr="008A5F99">
        <w:rPr>
          <w:u w:val="single"/>
          <w:vertAlign w:val="superscript"/>
        </w:rPr>
        <w:t xml:space="preserve">] </w:t>
      </w:r>
      <w:r w:rsidRPr="004802E7">
        <w:rPr>
          <w:u w:val="single"/>
        </w:rPr>
        <w:t>i art. 37</w:t>
      </w:r>
      <w:r w:rsidRPr="006E18AD">
        <w:rPr>
          <w:u w:val="single"/>
          <w:vertAlign w:val="superscript"/>
        </w:rPr>
        <w:t>[2]</w:t>
      </w:r>
      <w:r w:rsidRPr="004802E7">
        <w:rPr>
          <w:u w:val="single"/>
        </w:rPr>
        <w:t xml:space="preserve"> będą mieć zastosowanie do spraw wszelkiego rodzaju, nie tylko z udziałem konsumentów.</w:t>
      </w:r>
      <w:r w:rsidRPr="004802E7">
        <w:t xml:space="preserve">” </w:t>
      </w:r>
    </w:p>
  </w:footnote>
  <w:footnote w:id="5">
    <w:p w14:paraId="47C1557A" w14:textId="24E2E561" w:rsidR="006B1455" w:rsidRPr="004802E7" w:rsidRDefault="006B1455" w:rsidP="0020510F">
      <w:pPr>
        <w:pStyle w:val="CZWSPPKTODNONIKAczwsppunkwodnonika"/>
        <w:ind w:hanging="284"/>
      </w:pPr>
      <w:r w:rsidRPr="004802E7">
        <w:rPr>
          <w:rStyle w:val="Odwoanieprzypisudolnego"/>
        </w:rPr>
        <w:footnoteRef/>
      </w:r>
      <w:r w:rsidR="00882F6F">
        <w:rPr>
          <w:rFonts w:eastAsia="Times New Roman"/>
          <w:vertAlign w:val="superscript"/>
        </w:rPr>
        <w:t>)</w:t>
      </w:r>
      <w:r w:rsidR="00882F6F">
        <w:rPr>
          <w:rFonts w:eastAsia="Times New Roman"/>
        </w:rPr>
        <w:tab/>
      </w:r>
      <w:r w:rsidRPr="004802E7">
        <w:rPr>
          <w:rFonts w:eastAsia="Times New Roman"/>
        </w:rPr>
        <w:t>Z powszechnie dostępnych informacji wynika, że spośród 10 największych banków w Polsce, aż 5 ma siedzibę we właściwości Sądu Rejonowego dla Warszawy-Woli w Warszawie tj. Pekao S.A,</w:t>
      </w:r>
      <w:r w:rsidRPr="004802E7">
        <w:rPr>
          <w:rFonts w:eastAsia="Times New Roman"/>
          <w:lang w:val="es-ES_tradnl"/>
        </w:rPr>
        <w:t xml:space="preserve"> Santander</w:t>
      </w:r>
      <w:r w:rsidRPr="004802E7">
        <w:rPr>
          <w:rFonts w:eastAsia="Times New Roman"/>
        </w:rPr>
        <w:t xml:space="preserve"> Bank Polska S.A., mBank S.A., BNP Paribas Bank Polska S.A. i Alior Bank S.A. Powyższe najlepiej obrazuje nierównomierność obciążenia sądów, w tym w szczególności na niekorzyść Sądu Rejonowego dla Warszawy-Woli w Warszawie. </w:t>
      </w:r>
    </w:p>
  </w:footnote>
  <w:footnote w:id="6">
    <w:p w14:paraId="771481BA" w14:textId="296095BB" w:rsidR="006B1455" w:rsidRPr="004802E7" w:rsidRDefault="006B1455" w:rsidP="0020510F">
      <w:pPr>
        <w:spacing w:line="240" w:lineRule="auto"/>
        <w:ind w:left="142" w:hanging="142"/>
        <w:jc w:val="both"/>
        <w:rPr>
          <w:rFonts w:cs="Times New Roman"/>
          <w:sz w:val="20"/>
        </w:rPr>
      </w:pPr>
      <w:r w:rsidRPr="004802E7">
        <w:rPr>
          <w:rStyle w:val="Odwoanieprzypisudolnego"/>
          <w:sz w:val="20"/>
        </w:rPr>
        <w:footnoteRef/>
      </w:r>
      <w:r w:rsidR="00C50A1F">
        <w:rPr>
          <w:rFonts w:cs="Times New Roman"/>
          <w:sz w:val="20"/>
          <w:vertAlign w:val="superscript"/>
        </w:rPr>
        <w:t>)</w:t>
      </w:r>
      <w:r w:rsidR="00882F6F">
        <w:rPr>
          <w:rFonts w:cs="Times New Roman"/>
          <w:sz w:val="20"/>
        </w:rPr>
        <w:tab/>
      </w:r>
      <w:r w:rsidRPr="004802E7">
        <w:rPr>
          <w:rFonts w:cs="Times New Roman"/>
          <w:sz w:val="20"/>
        </w:rPr>
        <w:t xml:space="preserve">Art. 3 ust. 1 </w:t>
      </w:r>
      <w:r w:rsidRPr="004802E7">
        <w:rPr>
          <w:rFonts w:cs="Times New Roman"/>
          <w:i/>
          <w:iCs/>
          <w:sz w:val="20"/>
        </w:rPr>
        <w:t xml:space="preserve">ustawy z dnia 5 listopada 2009 r. o spółdzielczych kasach oszczędnościowo-kredytowych </w:t>
      </w:r>
      <w:r w:rsidRPr="004802E7">
        <w:rPr>
          <w:rFonts w:cs="Times New Roman"/>
          <w:sz w:val="20"/>
        </w:rPr>
        <w:t>(Dz.U. z</w:t>
      </w:r>
      <w:r>
        <w:rPr>
          <w:rFonts w:cs="Times New Roman"/>
          <w:sz w:val="20"/>
        </w:rPr>
        <w:t> </w:t>
      </w:r>
      <w:r w:rsidRPr="004802E7">
        <w:rPr>
          <w:rFonts w:cs="Times New Roman"/>
          <w:sz w:val="20"/>
        </w:rPr>
        <w:t>202</w:t>
      </w:r>
      <w:r w:rsidR="00B17ECA">
        <w:rPr>
          <w:rFonts w:cs="Times New Roman"/>
          <w:sz w:val="20"/>
        </w:rPr>
        <w:t>6</w:t>
      </w:r>
      <w:r w:rsidRPr="004802E7">
        <w:rPr>
          <w:rFonts w:cs="Times New Roman"/>
          <w:sz w:val="20"/>
        </w:rPr>
        <w:t xml:space="preserve"> r. poz. </w:t>
      </w:r>
      <w:r w:rsidR="00B17ECA">
        <w:rPr>
          <w:rFonts w:cs="Times New Roman"/>
          <w:sz w:val="20"/>
        </w:rPr>
        <w:t>595 i 846</w:t>
      </w:r>
      <w:r w:rsidRPr="004802E7">
        <w:rPr>
          <w:rFonts w:cs="Times New Roman"/>
          <w:sz w:val="20"/>
        </w:rPr>
        <w:t>) umocowuje spółdzielczą kasę oszczędnościowo-kredytową do: „</w:t>
      </w:r>
      <w:r w:rsidRPr="004802E7">
        <w:rPr>
          <w:rFonts w:cs="Times New Roman"/>
          <w:i/>
          <w:iCs/>
          <w:sz w:val="20"/>
        </w:rPr>
        <w:t>gromadzenia</w:t>
      </w:r>
      <w:r w:rsidRPr="004802E7">
        <w:rPr>
          <w:rFonts w:cs="Times New Roman"/>
          <w:sz w:val="20"/>
        </w:rPr>
        <w:t xml:space="preserve"> </w:t>
      </w:r>
      <w:r w:rsidRPr="004802E7">
        <w:rPr>
          <w:rFonts w:cs="Times New Roman"/>
          <w:i/>
          <w:iCs/>
          <w:sz w:val="20"/>
        </w:rPr>
        <w:t>środków pieniężnych wyłącznie swoich członków</w:t>
      </w:r>
      <w:r w:rsidRPr="004802E7">
        <w:rPr>
          <w:rFonts w:cs="Times New Roman"/>
          <w:sz w:val="20"/>
        </w:rPr>
        <w:t>” (czynność bankowa z art. 5 ust. 1 pkt 1 Prawa bankowego), udzielania członkom kredytów (czynność bankowa z art. 5 ust. 1 pkt 3 Prawa bankowego) oraz do przeprowadzania na zlecenie członków „</w:t>
      </w:r>
      <w:r w:rsidRPr="004802E7">
        <w:rPr>
          <w:rFonts w:cs="Times New Roman"/>
          <w:i/>
          <w:iCs/>
          <w:sz w:val="20"/>
        </w:rPr>
        <w:t>rozliczeń finansowych</w:t>
      </w:r>
      <w:r w:rsidRPr="004802E7">
        <w:rPr>
          <w:rFonts w:cs="Times New Roman"/>
          <w:sz w:val="20"/>
        </w:rPr>
        <w:t>” (czynność bankowa z art. 5 ust. 1 pkt 6 Prawa bankowego, co wynika z brzmienia art. 3 ust. 2 tejże ustawy).</w:t>
      </w:r>
    </w:p>
  </w:footnote>
  <w:footnote w:id="7">
    <w:p w14:paraId="6153B8C7" w14:textId="7DAED7B9" w:rsidR="0015647A" w:rsidRDefault="0015647A" w:rsidP="003C7B32">
      <w:pPr>
        <w:pStyle w:val="ODNONIKtreodnonika"/>
      </w:pPr>
      <w:r>
        <w:rPr>
          <w:rStyle w:val="Odwoanieprzypisudolnego"/>
        </w:rPr>
        <w:footnoteRef/>
      </w:r>
      <w:r w:rsidR="00C50A1F">
        <w:rPr>
          <w:vertAlign w:val="superscript"/>
        </w:rPr>
        <w:t>)</w:t>
      </w:r>
      <w:r w:rsidR="00882F6F">
        <w:tab/>
      </w:r>
      <w:r w:rsidRPr="0015647A">
        <w:t>Uchwała</w:t>
      </w:r>
      <w:r>
        <w:t xml:space="preserve"> </w:t>
      </w:r>
      <w:r w:rsidRPr="0015647A">
        <w:t xml:space="preserve">Składu Siedmiu Sędziów Sądu Najwyższego </w:t>
      </w:r>
      <w:r w:rsidR="00C50A1F">
        <w:t>–</w:t>
      </w:r>
      <w:r w:rsidRPr="0015647A">
        <w:t xml:space="preserve"> Izba Cywilna </w:t>
      </w:r>
      <w:r w:rsidR="00882F6F">
        <w:t>–</w:t>
      </w:r>
      <w:r w:rsidRPr="0015647A">
        <w:t xml:space="preserve"> zasada prawna</w:t>
      </w:r>
      <w:r>
        <w:t xml:space="preserve"> </w:t>
      </w:r>
      <w:r w:rsidRPr="0015647A">
        <w:t>z dnia 13 kwietnia 1982 r.</w:t>
      </w:r>
      <w:r>
        <w:t xml:space="preserve"> </w:t>
      </w:r>
      <w:r w:rsidRPr="0015647A">
        <w:t>III CZP 20/82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3E74" w14:textId="5D4C2D82" w:rsidR="00CC3E3D" w:rsidRPr="00B371CC" w:rsidRDefault="00CC3E3D" w:rsidP="00B371C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81931832">
    <w:abstractNumId w:val="23"/>
  </w:num>
  <w:num w:numId="2" w16cid:durableId="622465263">
    <w:abstractNumId w:val="23"/>
  </w:num>
  <w:num w:numId="3" w16cid:durableId="1667442627">
    <w:abstractNumId w:val="18"/>
  </w:num>
  <w:num w:numId="4" w16cid:durableId="851647341">
    <w:abstractNumId w:val="18"/>
  </w:num>
  <w:num w:numId="5" w16cid:durableId="1155947357">
    <w:abstractNumId w:val="35"/>
  </w:num>
  <w:num w:numId="6" w16cid:durableId="324553141">
    <w:abstractNumId w:val="31"/>
  </w:num>
  <w:num w:numId="7" w16cid:durableId="1802992418">
    <w:abstractNumId w:val="35"/>
  </w:num>
  <w:num w:numId="8" w16cid:durableId="226964222">
    <w:abstractNumId w:val="31"/>
  </w:num>
  <w:num w:numId="9" w16cid:durableId="1323464644">
    <w:abstractNumId w:val="35"/>
  </w:num>
  <w:num w:numId="10" w16cid:durableId="335812705">
    <w:abstractNumId w:val="31"/>
  </w:num>
  <w:num w:numId="11" w16cid:durableId="1580599665">
    <w:abstractNumId w:val="14"/>
  </w:num>
  <w:num w:numId="12" w16cid:durableId="1160929954">
    <w:abstractNumId w:val="10"/>
  </w:num>
  <w:num w:numId="13" w16cid:durableId="1649363110">
    <w:abstractNumId w:val="15"/>
  </w:num>
  <w:num w:numId="14" w16cid:durableId="82190587">
    <w:abstractNumId w:val="26"/>
  </w:num>
  <w:num w:numId="15" w16cid:durableId="1221476438">
    <w:abstractNumId w:val="14"/>
  </w:num>
  <w:num w:numId="16" w16cid:durableId="248386979">
    <w:abstractNumId w:val="16"/>
  </w:num>
  <w:num w:numId="17" w16cid:durableId="1800107220">
    <w:abstractNumId w:val="8"/>
  </w:num>
  <w:num w:numId="18" w16cid:durableId="418452296">
    <w:abstractNumId w:val="3"/>
  </w:num>
  <w:num w:numId="19" w16cid:durableId="706028868">
    <w:abstractNumId w:val="2"/>
  </w:num>
  <w:num w:numId="20" w16cid:durableId="1547402200">
    <w:abstractNumId w:val="1"/>
  </w:num>
  <w:num w:numId="21" w16cid:durableId="1655179411">
    <w:abstractNumId w:val="0"/>
  </w:num>
  <w:num w:numId="22" w16cid:durableId="1137720902">
    <w:abstractNumId w:val="9"/>
  </w:num>
  <w:num w:numId="23" w16cid:durableId="1572154468">
    <w:abstractNumId w:val="7"/>
  </w:num>
  <w:num w:numId="24" w16cid:durableId="352531928">
    <w:abstractNumId w:val="6"/>
  </w:num>
  <w:num w:numId="25" w16cid:durableId="1889607392">
    <w:abstractNumId w:val="5"/>
  </w:num>
  <w:num w:numId="26" w16cid:durableId="564143283">
    <w:abstractNumId w:val="4"/>
  </w:num>
  <w:num w:numId="27" w16cid:durableId="1544291172">
    <w:abstractNumId w:val="33"/>
  </w:num>
  <w:num w:numId="28" w16cid:durableId="336427339">
    <w:abstractNumId w:val="25"/>
  </w:num>
  <w:num w:numId="29" w16cid:durableId="31812115">
    <w:abstractNumId w:val="36"/>
  </w:num>
  <w:num w:numId="30" w16cid:durableId="187568126">
    <w:abstractNumId w:val="32"/>
  </w:num>
  <w:num w:numId="31" w16cid:durableId="1065109858">
    <w:abstractNumId w:val="19"/>
  </w:num>
  <w:num w:numId="32" w16cid:durableId="475686562">
    <w:abstractNumId w:val="11"/>
  </w:num>
  <w:num w:numId="33" w16cid:durableId="167334608">
    <w:abstractNumId w:val="30"/>
  </w:num>
  <w:num w:numId="34" w16cid:durableId="107940612">
    <w:abstractNumId w:val="20"/>
  </w:num>
  <w:num w:numId="35" w16cid:durableId="1690989589">
    <w:abstractNumId w:val="17"/>
  </w:num>
  <w:num w:numId="36" w16cid:durableId="317619066">
    <w:abstractNumId w:val="22"/>
  </w:num>
  <w:num w:numId="37" w16cid:durableId="1963996244">
    <w:abstractNumId w:val="27"/>
  </w:num>
  <w:num w:numId="38" w16cid:durableId="541401045">
    <w:abstractNumId w:val="24"/>
  </w:num>
  <w:num w:numId="39" w16cid:durableId="1812627284">
    <w:abstractNumId w:val="13"/>
  </w:num>
  <w:num w:numId="40" w16cid:durableId="1953048257">
    <w:abstractNumId w:val="29"/>
  </w:num>
  <w:num w:numId="41" w16cid:durableId="1061752939">
    <w:abstractNumId w:val="28"/>
  </w:num>
  <w:num w:numId="42" w16cid:durableId="1640186770">
    <w:abstractNumId w:val="21"/>
  </w:num>
  <w:num w:numId="43" w16cid:durableId="1178349707">
    <w:abstractNumId w:val="34"/>
  </w:num>
  <w:num w:numId="44" w16cid:durableId="19983365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455"/>
    <w:rsid w:val="000012DA"/>
    <w:rsid w:val="0000246E"/>
    <w:rsid w:val="00003862"/>
    <w:rsid w:val="00012A35"/>
    <w:rsid w:val="00016099"/>
    <w:rsid w:val="00017DC2"/>
    <w:rsid w:val="00021522"/>
    <w:rsid w:val="00023471"/>
    <w:rsid w:val="00023F13"/>
    <w:rsid w:val="00026721"/>
    <w:rsid w:val="000268C6"/>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45A8"/>
    <w:rsid w:val="0007533B"/>
    <w:rsid w:val="0007545D"/>
    <w:rsid w:val="000760BF"/>
    <w:rsid w:val="0007613E"/>
    <w:rsid w:val="00076BFC"/>
    <w:rsid w:val="000814A7"/>
    <w:rsid w:val="0008557B"/>
    <w:rsid w:val="00085CE7"/>
    <w:rsid w:val="000876D0"/>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29C8"/>
    <w:rsid w:val="000C4BC4"/>
    <w:rsid w:val="000D0110"/>
    <w:rsid w:val="000D2468"/>
    <w:rsid w:val="000D318A"/>
    <w:rsid w:val="000D6173"/>
    <w:rsid w:val="000D6F83"/>
    <w:rsid w:val="000D75B6"/>
    <w:rsid w:val="000E25CC"/>
    <w:rsid w:val="000E3694"/>
    <w:rsid w:val="000E490F"/>
    <w:rsid w:val="000E6241"/>
    <w:rsid w:val="000F2BE3"/>
    <w:rsid w:val="000F3D0D"/>
    <w:rsid w:val="000F6ED4"/>
    <w:rsid w:val="000F7A6E"/>
    <w:rsid w:val="0010275C"/>
    <w:rsid w:val="00103D54"/>
    <w:rsid w:val="001042BA"/>
    <w:rsid w:val="00106D03"/>
    <w:rsid w:val="00110465"/>
    <w:rsid w:val="00110628"/>
    <w:rsid w:val="0011245A"/>
    <w:rsid w:val="0011493E"/>
    <w:rsid w:val="00115B72"/>
    <w:rsid w:val="0012070B"/>
    <w:rsid w:val="001209EC"/>
    <w:rsid w:val="00120A9E"/>
    <w:rsid w:val="00125A9C"/>
    <w:rsid w:val="001270A2"/>
    <w:rsid w:val="00131237"/>
    <w:rsid w:val="001321BD"/>
    <w:rsid w:val="001329AC"/>
    <w:rsid w:val="00134CA0"/>
    <w:rsid w:val="0014026F"/>
    <w:rsid w:val="001460D9"/>
    <w:rsid w:val="00147A47"/>
    <w:rsid w:val="00147AA1"/>
    <w:rsid w:val="001520CF"/>
    <w:rsid w:val="00153C5C"/>
    <w:rsid w:val="0015647A"/>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463"/>
    <w:rsid w:val="00196E39"/>
    <w:rsid w:val="00197649"/>
    <w:rsid w:val="001A01FB"/>
    <w:rsid w:val="001A04A7"/>
    <w:rsid w:val="001A10E9"/>
    <w:rsid w:val="001A183D"/>
    <w:rsid w:val="001A2B65"/>
    <w:rsid w:val="001A3CD3"/>
    <w:rsid w:val="001A5BEF"/>
    <w:rsid w:val="001A7F15"/>
    <w:rsid w:val="001B342E"/>
    <w:rsid w:val="001B4290"/>
    <w:rsid w:val="001C1832"/>
    <w:rsid w:val="001C188C"/>
    <w:rsid w:val="001D1783"/>
    <w:rsid w:val="001D53CD"/>
    <w:rsid w:val="001D55A3"/>
    <w:rsid w:val="001D5AF5"/>
    <w:rsid w:val="001D7656"/>
    <w:rsid w:val="001E0AF4"/>
    <w:rsid w:val="001E1E73"/>
    <w:rsid w:val="001E3977"/>
    <w:rsid w:val="001E4E0C"/>
    <w:rsid w:val="001E526D"/>
    <w:rsid w:val="001E5655"/>
    <w:rsid w:val="001F1832"/>
    <w:rsid w:val="001F220F"/>
    <w:rsid w:val="001F25B3"/>
    <w:rsid w:val="001F6616"/>
    <w:rsid w:val="00202BD4"/>
    <w:rsid w:val="00204A97"/>
    <w:rsid w:val="0020510F"/>
    <w:rsid w:val="002114EF"/>
    <w:rsid w:val="002166AD"/>
    <w:rsid w:val="00217871"/>
    <w:rsid w:val="00221ED8"/>
    <w:rsid w:val="002231EA"/>
    <w:rsid w:val="00223FDF"/>
    <w:rsid w:val="002279C0"/>
    <w:rsid w:val="0023727E"/>
    <w:rsid w:val="00242081"/>
    <w:rsid w:val="00243777"/>
    <w:rsid w:val="002441CD"/>
    <w:rsid w:val="002501A3"/>
    <w:rsid w:val="0025166C"/>
    <w:rsid w:val="00254526"/>
    <w:rsid w:val="002555D4"/>
    <w:rsid w:val="00261A16"/>
    <w:rsid w:val="00263522"/>
    <w:rsid w:val="00264EC6"/>
    <w:rsid w:val="00271013"/>
    <w:rsid w:val="00273FE4"/>
    <w:rsid w:val="002765B4"/>
    <w:rsid w:val="00276A94"/>
    <w:rsid w:val="0029405D"/>
    <w:rsid w:val="00294FA6"/>
    <w:rsid w:val="00295A6F"/>
    <w:rsid w:val="00297710"/>
    <w:rsid w:val="002A20C4"/>
    <w:rsid w:val="002A570F"/>
    <w:rsid w:val="002A7292"/>
    <w:rsid w:val="002A7358"/>
    <w:rsid w:val="002A7902"/>
    <w:rsid w:val="002B0F6B"/>
    <w:rsid w:val="002B23B8"/>
    <w:rsid w:val="002B4429"/>
    <w:rsid w:val="002B68A6"/>
    <w:rsid w:val="002B7FAF"/>
    <w:rsid w:val="002C2D08"/>
    <w:rsid w:val="002C385F"/>
    <w:rsid w:val="002D0C4F"/>
    <w:rsid w:val="002D1364"/>
    <w:rsid w:val="002D4D30"/>
    <w:rsid w:val="002D5000"/>
    <w:rsid w:val="002D598D"/>
    <w:rsid w:val="002D7188"/>
    <w:rsid w:val="002E1DE3"/>
    <w:rsid w:val="002E2AB6"/>
    <w:rsid w:val="002E3F34"/>
    <w:rsid w:val="002E5F79"/>
    <w:rsid w:val="002E64FA"/>
    <w:rsid w:val="002F0A00"/>
    <w:rsid w:val="002F0CFA"/>
    <w:rsid w:val="002F2B76"/>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3EC0"/>
    <w:rsid w:val="00354EB9"/>
    <w:rsid w:val="003602AE"/>
    <w:rsid w:val="00360929"/>
    <w:rsid w:val="003647D5"/>
    <w:rsid w:val="00364B84"/>
    <w:rsid w:val="00366AFE"/>
    <w:rsid w:val="003674B0"/>
    <w:rsid w:val="0037727C"/>
    <w:rsid w:val="00377E70"/>
    <w:rsid w:val="00380904"/>
    <w:rsid w:val="003823EE"/>
    <w:rsid w:val="00382960"/>
    <w:rsid w:val="003846F7"/>
    <w:rsid w:val="003851ED"/>
    <w:rsid w:val="00385B39"/>
    <w:rsid w:val="00386785"/>
    <w:rsid w:val="00390E89"/>
    <w:rsid w:val="00391B1A"/>
    <w:rsid w:val="003942BB"/>
    <w:rsid w:val="00394423"/>
    <w:rsid w:val="00396942"/>
    <w:rsid w:val="00396B49"/>
    <w:rsid w:val="00396E3E"/>
    <w:rsid w:val="00397E56"/>
    <w:rsid w:val="003A306E"/>
    <w:rsid w:val="003A3088"/>
    <w:rsid w:val="003A60DC"/>
    <w:rsid w:val="003A6A46"/>
    <w:rsid w:val="003A7A63"/>
    <w:rsid w:val="003B000C"/>
    <w:rsid w:val="003B0F1D"/>
    <w:rsid w:val="003B3BF2"/>
    <w:rsid w:val="003B4A57"/>
    <w:rsid w:val="003B5640"/>
    <w:rsid w:val="003C0AD9"/>
    <w:rsid w:val="003C0ED0"/>
    <w:rsid w:val="003C1D49"/>
    <w:rsid w:val="003C35C4"/>
    <w:rsid w:val="003C7B32"/>
    <w:rsid w:val="003D12C2"/>
    <w:rsid w:val="003D31B9"/>
    <w:rsid w:val="003D3867"/>
    <w:rsid w:val="003E0D1A"/>
    <w:rsid w:val="003E2DA3"/>
    <w:rsid w:val="003F020D"/>
    <w:rsid w:val="003F03D9"/>
    <w:rsid w:val="003F2FBE"/>
    <w:rsid w:val="003F318D"/>
    <w:rsid w:val="003F5BAE"/>
    <w:rsid w:val="003F6ED7"/>
    <w:rsid w:val="003F7A9A"/>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470"/>
    <w:rsid w:val="004A3590"/>
    <w:rsid w:val="004B00A7"/>
    <w:rsid w:val="004B25E2"/>
    <w:rsid w:val="004B33C6"/>
    <w:rsid w:val="004B34D7"/>
    <w:rsid w:val="004B5037"/>
    <w:rsid w:val="004B5B2F"/>
    <w:rsid w:val="004B626A"/>
    <w:rsid w:val="004B660E"/>
    <w:rsid w:val="004C05BD"/>
    <w:rsid w:val="004C16C2"/>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2784"/>
    <w:rsid w:val="005363AB"/>
    <w:rsid w:val="00537FA9"/>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C7BC5"/>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5B2F"/>
    <w:rsid w:val="00607A93"/>
    <w:rsid w:val="00610C08"/>
    <w:rsid w:val="00611F74"/>
    <w:rsid w:val="00615772"/>
    <w:rsid w:val="00621256"/>
    <w:rsid w:val="00621FCC"/>
    <w:rsid w:val="00622E4B"/>
    <w:rsid w:val="006245A1"/>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89B"/>
    <w:rsid w:val="00681959"/>
    <w:rsid w:val="00681F9F"/>
    <w:rsid w:val="006840EA"/>
    <w:rsid w:val="006844E2"/>
    <w:rsid w:val="00685267"/>
    <w:rsid w:val="006872AE"/>
    <w:rsid w:val="00690082"/>
    <w:rsid w:val="00690252"/>
    <w:rsid w:val="006946BB"/>
    <w:rsid w:val="006969FA"/>
    <w:rsid w:val="006A35D5"/>
    <w:rsid w:val="006A748A"/>
    <w:rsid w:val="006B1455"/>
    <w:rsid w:val="006B1C1F"/>
    <w:rsid w:val="006C419E"/>
    <w:rsid w:val="006C4A31"/>
    <w:rsid w:val="006C5AC2"/>
    <w:rsid w:val="006C6AFB"/>
    <w:rsid w:val="006D2735"/>
    <w:rsid w:val="006D45B2"/>
    <w:rsid w:val="006E0FCC"/>
    <w:rsid w:val="006E1E96"/>
    <w:rsid w:val="006E5E21"/>
    <w:rsid w:val="006F0FFA"/>
    <w:rsid w:val="006F2648"/>
    <w:rsid w:val="006F2F10"/>
    <w:rsid w:val="006F482B"/>
    <w:rsid w:val="006F6311"/>
    <w:rsid w:val="006F6A98"/>
    <w:rsid w:val="00701952"/>
    <w:rsid w:val="00702556"/>
    <w:rsid w:val="0070277E"/>
    <w:rsid w:val="00704156"/>
    <w:rsid w:val="00704EDB"/>
    <w:rsid w:val="0070563F"/>
    <w:rsid w:val="007069FC"/>
    <w:rsid w:val="007109C3"/>
    <w:rsid w:val="00711221"/>
    <w:rsid w:val="00712675"/>
    <w:rsid w:val="00713808"/>
    <w:rsid w:val="007151B6"/>
    <w:rsid w:val="0071520D"/>
    <w:rsid w:val="00715EDB"/>
    <w:rsid w:val="007160D5"/>
    <w:rsid w:val="007163FB"/>
    <w:rsid w:val="00717C2E"/>
    <w:rsid w:val="007204FA"/>
    <w:rsid w:val="007213B3"/>
    <w:rsid w:val="007227EB"/>
    <w:rsid w:val="0072457F"/>
    <w:rsid w:val="00725406"/>
    <w:rsid w:val="007258D8"/>
    <w:rsid w:val="0072621B"/>
    <w:rsid w:val="00730555"/>
    <w:rsid w:val="007312CC"/>
    <w:rsid w:val="00736A64"/>
    <w:rsid w:val="00737F6A"/>
    <w:rsid w:val="007410B6"/>
    <w:rsid w:val="00744C6F"/>
    <w:rsid w:val="007457F6"/>
    <w:rsid w:val="00745ABB"/>
    <w:rsid w:val="00746E38"/>
    <w:rsid w:val="00747CD5"/>
    <w:rsid w:val="00747FD0"/>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3997"/>
    <w:rsid w:val="00794953"/>
    <w:rsid w:val="007A1F2F"/>
    <w:rsid w:val="007A2A5C"/>
    <w:rsid w:val="007A5150"/>
    <w:rsid w:val="007A5373"/>
    <w:rsid w:val="007A789F"/>
    <w:rsid w:val="007B75BC"/>
    <w:rsid w:val="007C0BD6"/>
    <w:rsid w:val="007C3806"/>
    <w:rsid w:val="007C5BB7"/>
    <w:rsid w:val="007D07D5"/>
    <w:rsid w:val="007D1C64"/>
    <w:rsid w:val="007D32DD"/>
    <w:rsid w:val="007D5544"/>
    <w:rsid w:val="007D6DCE"/>
    <w:rsid w:val="007D72C4"/>
    <w:rsid w:val="007E2CFE"/>
    <w:rsid w:val="007E59C9"/>
    <w:rsid w:val="007F0072"/>
    <w:rsid w:val="007F2EB6"/>
    <w:rsid w:val="007F54C3"/>
    <w:rsid w:val="007F73A3"/>
    <w:rsid w:val="00802949"/>
    <w:rsid w:val="0080301E"/>
    <w:rsid w:val="0080365F"/>
    <w:rsid w:val="00807177"/>
    <w:rsid w:val="00812BE5"/>
    <w:rsid w:val="00817429"/>
    <w:rsid w:val="00817FD4"/>
    <w:rsid w:val="0082096F"/>
    <w:rsid w:val="00821514"/>
    <w:rsid w:val="00821E35"/>
    <w:rsid w:val="00824591"/>
    <w:rsid w:val="00824AED"/>
    <w:rsid w:val="00827820"/>
    <w:rsid w:val="00827B01"/>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673BB"/>
    <w:rsid w:val="00872257"/>
    <w:rsid w:val="008753E6"/>
    <w:rsid w:val="0087738C"/>
    <w:rsid w:val="008802AF"/>
    <w:rsid w:val="00881926"/>
    <w:rsid w:val="00882F6F"/>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DF8"/>
    <w:rsid w:val="008B4E49"/>
    <w:rsid w:val="008B5D9D"/>
    <w:rsid w:val="008B7712"/>
    <w:rsid w:val="008B7B26"/>
    <w:rsid w:val="008C3524"/>
    <w:rsid w:val="008C4061"/>
    <w:rsid w:val="008C4229"/>
    <w:rsid w:val="008C5BE0"/>
    <w:rsid w:val="008C5F38"/>
    <w:rsid w:val="008C7233"/>
    <w:rsid w:val="008D2434"/>
    <w:rsid w:val="008E171D"/>
    <w:rsid w:val="008E256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4163"/>
    <w:rsid w:val="00937598"/>
    <w:rsid w:val="0093790B"/>
    <w:rsid w:val="00943751"/>
    <w:rsid w:val="009451CE"/>
    <w:rsid w:val="00946DD0"/>
    <w:rsid w:val="009509E6"/>
    <w:rsid w:val="00952018"/>
    <w:rsid w:val="00952800"/>
    <w:rsid w:val="0095300D"/>
    <w:rsid w:val="00956812"/>
    <w:rsid w:val="0095719A"/>
    <w:rsid w:val="009623E9"/>
    <w:rsid w:val="00963EEB"/>
    <w:rsid w:val="009648BC"/>
    <w:rsid w:val="00964C2F"/>
    <w:rsid w:val="00965F88"/>
    <w:rsid w:val="00982382"/>
    <w:rsid w:val="00984E03"/>
    <w:rsid w:val="00987E85"/>
    <w:rsid w:val="009A0D12"/>
    <w:rsid w:val="009A100D"/>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12B"/>
    <w:rsid w:val="009E5B3F"/>
    <w:rsid w:val="009E7D90"/>
    <w:rsid w:val="009F1AB0"/>
    <w:rsid w:val="009F501D"/>
    <w:rsid w:val="00A039D5"/>
    <w:rsid w:val="00A046AD"/>
    <w:rsid w:val="00A04EF5"/>
    <w:rsid w:val="00A079C1"/>
    <w:rsid w:val="00A12520"/>
    <w:rsid w:val="00A130FD"/>
    <w:rsid w:val="00A13D6D"/>
    <w:rsid w:val="00A14769"/>
    <w:rsid w:val="00A15A35"/>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4922"/>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5195"/>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B04"/>
    <w:rsid w:val="00AE7D16"/>
    <w:rsid w:val="00AF3C83"/>
    <w:rsid w:val="00AF4CAA"/>
    <w:rsid w:val="00AF571A"/>
    <w:rsid w:val="00AF60A0"/>
    <w:rsid w:val="00AF67FC"/>
    <w:rsid w:val="00AF7DF5"/>
    <w:rsid w:val="00B006E5"/>
    <w:rsid w:val="00B024C2"/>
    <w:rsid w:val="00B05EAF"/>
    <w:rsid w:val="00B07700"/>
    <w:rsid w:val="00B13921"/>
    <w:rsid w:val="00B1528C"/>
    <w:rsid w:val="00B16ACD"/>
    <w:rsid w:val="00B17ECA"/>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0772"/>
    <w:rsid w:val="00B9176C"/>
    <w:rsid w:val="00B935A4"/>
    <w:rsid w:val="00BA1EBB"/>
    <w:rsid w:val="00BA561A"/>
    <w:rsid w:val="00BB0DC6"/>
    <w:rsid w:val="00BB15E4"/>
    <w:rsid w:val="00BB1C58"/>
    <w:rsid w:val="00BB1E19"/>
    <w:rsid w:val="00BB21D1"/>
    <w:rsid w:val="00BB32F2"/>
    <w:rsid w:val="00BB4338"/>
    <w:rsid w:val="00BB6C0E"/>
    <w:rsid w:val="00BB7B38"/>
    <w:rsid w:val="00BC11E5"/>
    <w:rsid w:val="00BC4BC6"/>
    <w:rsid w:val="00BC52FD"/>
    <w:rsid w:val="00BC6C13"/>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0A1F"/>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244F"/>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EBA"/>
    <w:rsid w:val="00D32721"/>
    <w:rsid w:val="00D328DC"/>
    <w:rsid w:val="00D33387"/>
    <w:rsid w:val="00D402FB"/>
    <w:rsid w:val="00D40857"/>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74FB"/>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227"/>
    <w:rsid w:val="00DC4AF0"/>
    <w:rsid w:val="00DC7886"/>
    <w:rsid w:val="00DD0CF2"/>
    <w:rsid w:val="00DE1554"/>
    <w:rsid w:val="00DE2901"/>
    <w:rsid w:val="00DE590F"/>
    <w:rsid w:val="00DE7DC1"/>
    <w:rsid w:val="00DF3F7E"/>
    <w:rsid w:val="00DF7648"/>
    <w:rsid w:val="00E00E29"/>
    <w:rsid w:val="00E0229D"/>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788E"/>
    <w:rsid w:val="00E60606"/>
    <w:rsid w:val="00E60C66"/>
    <w:rsid w:val="00E6164D"/>
    <w:rsid w:val="00E618C9"/>
    <w:rsid w:val="00E62774"/>
    <w:rsid w:val="00E6307C"/>
    <w:rsid w:val="00E636FA"/>
    <w:rsid w:val="00E66C50"/>
    <w:rsid w:val="00E679D3"/>
    <w:rsid w:val="00E71208"/>
    <w:rsid w:val="00E71444"/>
    <w:rsid w:val="00E71C91"/>
    <w:rsid w:val="00E720A1"/>
    <w:rsid w:val="00E72880"/>
    <w:rsid w:val="00E75DDA"/>
    <w:rsid w:val="00E773E8"/>
    <w:rsid w:val="00E81976"/>
    <w:rsid w:val="00E83ADD"/>
    <w:rsid w:val="00E84F38"/>
    <w:rsid w:val="00E85623"/>
    <w:rsid w:val="00E87441"/>
    <w:rsid w:val="00E91FAE"/>
    <w:rsid w:val="00E9496E"/>
    <w:rsid w:val="00E96E3F"/>
    <w:rsid w:val="00EA0CAE"/>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4603"/>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2303"/>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2C6"/>
    <w:rsid w:val="00F85742"/>
    <w:rsid w:val="00F85BF8"/>
    <w:rsid w:val="00F871CE"/>
    <w:rsid w:val="00F87802"/>
    <w:rsid w:val="00F92C0A"/>
    <w:rsid w:val="00F9415B"/>
    <w:rsid w:val="00FA13C2"/>
    <w:rsid w:val="00FA6381"/>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BD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iPriority="0"/>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82096F"/>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1B42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7632B5-8047-4283-87D9-C193B42AB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4765</Words>
  <Characters>28595</Characters>
  <Application>Microsoft Office Word</Application>
  <DocSecurity>0</DocSecurity>
  <Lines>238</Lines>
  <Paragraphs>66</Paragraphs>
  <ScaleCrop>false</ScaleCrop>
  <Manager/>
  <Company/>
  <LinksUpToDate>false</LinksUpToDate>
  <CharactersWithSpaces>33294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2026-11-04T17:24:00Z</dcterms:created>
  <dcterms:modified xsi:type="dcterms:W3CDTF">2026-11-04T17:24:00Z</dcterms:modified>
  <cp:category/>
</cp:coreProperties>
</file>