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F775" w14:textId="0FA72A87" w:rsidR="0089041A" w:rsidRDefault="00406C7D" w:rsidP="00406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63EF4D03" w14:textId="77777777" w:rsidR="00406C7D" w:rsidRDefault="00406C7D" w:rsidP="00406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034ADE" w14:textId="13C9F876" w:rsidR="00406C7D" w:rsidRDefault="00406C7D" w:rsidP="00406C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C7D">
        <w:rPr>
          <w:rFonts w:ascii="Times New Roman" w:hAnsi="Times New Roman" w:cs="Times New Roman"/>
          <w:b/>
          <w:bCs/>
          <w:sz w:val="24"/>
          <w:szCs w:val="24"/>
        </w:rPr>
        <w:t>USTAWA</w:t>
      </w:r>
    </w:p>
    <w:p w14:paraId="279A39C7" w14:textId="7A8EAB2A" w:rsidR="00406C7D" w:rsidRDefault="00406C7D" w:rsidP="00406C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C7D">
        <w:rPr>
          <w:rFonts w:ascii="Times New Roman" w:hAnsi="Times New Roman" w:cs="Times New Roman"/>
          <w:sz w:val="24"/>
          <w:szCs w:val="24"/>
        </w:rPr>
        <w:t>z dnia ………………..</w:t>
      </w:r>
    </w:p>
    <w:p w14:paraId="6FA31857" w14:textId="6021ADC0" w:rsidR="00406C7D" w:rsidRPr="001774D3" w:rsidRDefault="00406C7D" w:rsidP="00406C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4D3">
        <w:rPr>
          <w:rFonts w:ascii="Times New Roman" w:hAnsi="Times New Roman" w:cs="Times New Roman"/>
          <w:b/>
          <w:bCs/>
          <w:sz w:val="24"/>
          <w:szCs w:val="24"/>
        </w:rPr>
        <w:t xml:space="preserve">o zmianie ustawy </w:t>
      </w:r>
      <w:r w:rsidR="001774D3" w:rsidRPr="001774D3">
        <w:rPr>
          <w:rFonts w:ascii="Times New Roman" w:hAnsi="Times New Roman" w:cs="Times New Roman"/>
          <w:b/>
          <w:bCs/>
          <w:sz w:val="24"/>
          <w:szCs w:val="24"/>
        </w:rPr>
        <w:t>o ochronie zwierząt</w:t>
      </w:r>
    </w:p>
    <w:p w14:paraId="1B5B6FF1" w14:textId="77777777" w:rsidR="00406C7D" w:rsidRDefault="00406C7D" w:rsidP="00406C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A1C62" w14:textId="77777777" w:rsidR="002B6EAC" w:rsidRDefault="002B6EAC" w:rsidP="00406C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0BA4B" w14:textId="2BD8D6E7" w:rsidR="00406C7D" w:rsidRDefault="00406C7D" w:rsidP="00406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>
        <w:rPr>
          <w:rFonts w:ascii="Times New Roman" w:hAnsi="Times New Roman" w:cs="Times New Roman"/>
          <w:sz w:val="24"/>
          <w:szCs w:val="24"/>
        </w:rPr>
        <w:t xml:space="preserve">W ustawie </w:t>
      </w:r>
      <w:r w:rsidR="001774D3" w:rsidRPr="001774D3">
        <w:rPr>
          <w:rFonts w:ascii="Times New Roman" w:hAnsi="Times New Roman" w:cs="Times New Roman"/>
          <w:sz w:val="24"/>
          <w:szCs w:val="24"/>
        </w:rPr>
        <w:t>z dnia 21 sierpnia 1997 r.</w:t>
      </w:r>
      <w:r w:rsidR="001774D3">
        <w:rPr>
          <w:rFonts w:ascii="Times New Roman" w:hAnsi="Times New Roman" w:cs="Times New Roman"/>
          <w:sz w:val="24"/>
          <w:szCs w:val="24"/>
        </w:rPr>
        <w:t xml:space="preserve"> </w:t>
      </w:r>
      <w:r w:rsidR="001774D3" w:rsidRPr="001774D3">
        <w:rPr>
          <w:rFonts w:ascii="Times New Roman" w:hAnsi="Times New Roman" w:cs="Times New Roman"/>
          <w:sz w:val="24"/>
          <w:szCs w:val="24"/>
        </w:rPr>
        <w:t>o ochronie zwierząt</w:t>
      </w:r>
      <w:r w:rsidR="001774D3">
        <w:rPr>
          <w:rFonts w:ascii="Times New Roman" w:hAnsi="Times New Roman" w:cs="Times New Roman"/>
          <w:sz w:val="24"/>
          <w:szCs w:val="24"/>
        </w:rPr>
        <w:t xml:space="preserve"> (Dz. U. z 2023 r. poz. 1580) wprowadza się następujące zmiany:</w:t>
      </w:r>
    </w:p>
    <w:p w14:paraId="4A0FB383" w14:textId="77777777" w:rsidR="009D5A1D" w:rsidRDefault="009D5A1D" w:rsidP="00406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57F38" w14:textId="5E268A6E" w:rsidR="001774D3" w:rsidRDefault="001774D3" w:rsidP="00406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830115"/>
      <w:r>
        <w:rPr>
          <w:rFonts w:ascii="Times New Roman" w:hAnsi="Times New Roman" w:cs="Times New Roman"/>
          <w:sz w:val="24"/>
          <w:szCs w:val="24"/>
        </w:rPr>
        <w:t>1) po art. 6 dodaje się art. 6a w brzmieniu:</w:t>
      </w:r>
    </w:p>
    <w:p w14:paraId="296FB8CA" w14:textId="7B2A03D1" w:rsidR="001774D3" w:rsidRDefault="001774D3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D0681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6a. </w:t>
      </w:r>
      <w:r w:rsidR="000D0681">
        <w:rPr>
          <w:rFonts w:ascii="Times New Roman" w:hAnsi="Times New Roman" w:cs="Times New Roman"/>
          <w:sz w:val="24"/>
          <w:szCs w:val="24"/>
        </w:rPr>
        <w:t xml:space="preserve">1. Rada gminy może, w drodze uchwały, w celu </w:t>
      </w:r>
      <w:r w:rsidR="0066772E">
        <w:rPr>
          <w:rFonts w:ascii="Times New Roman" w:hAnsi="Times New Roman" w:cs="Times New Roman"/>
          <w:sz w:val="24"/>
          <w:szCs w:val="24"/>
        </w:rPr>
        <w:t xml:space="preserve">zapewnienia poszanowania zwierząt, </w:t>
      </w:r>
      <w:r w:rsidR="000D0681">
        <w:rPr>
          <w:rFonts w:ascii="Times New Roman" w:hAnsi="Times New Roman" w:cs="Times New Roman"/>
          <w:sz w:val="24"/>
          <w:szCs w:val="24"/>
        </w:rPr>
        <w:t>przeciwdziałani</w:t>
      </w:r>
      <w:r w:rsidR="0066772E">
        <w:rPr>
          <w:rFonts w:ascii="Times New Roman" w:hAnsi="Times New Roman" w:cs="Times New Roman"/>
          <w:sz w:val="24"/>
          <w:szCs w:val="24"/>
        </w:rPr>
        <w:t>a</w:t>
      </w:r>
      <w:r w:rsidR="000D0681">
        <w:rPr>
          <w:rFonts w:ascii="Times New Roman" w:hAnsi="Times New Roman" w:cs="Times New Roman"/>
          <w:sz w:val="24"/>
          <w:szCs w:val="24"/>
        </w:rPr>
        <w:t xml:space="preserve"> </w:t>
      </w:r>
      <w:r w:rsidR="0066772E">
        <w:rPr>
          <w:rFonts w:ascii="Times New Roman" w:hAnsi="Times New Roman" w:cs="Times New Roman"/>
          <w:sz w:val="24"/>
          <w:szCs w:val="24"/>
        </w:rPr>
        <w:t xml:space="preserve">i zapobiegania </w:t>
      </w:r>
      <w:r w:rsidR="000D0681" w:rsidRPr="000D0681">
        <w:rPr>
          <w:rFonts w:ascii="Times New Roman" w:hAnsi="Times New Roman" w:cs="Times New Roman"/>
          <w:sz w:val="24"/>
          <w:szCs w:val="24"/>
        </w:rPr>
        <w:t>narażani</w:t>
      </w:r>
      <w:r w:rsidR="0066772E">
        <w:rPr>
          <w:rFonts w:ascii="Times New Roman" w:hAnsi="Times New Roman" w:cs="Times New Roman"/>
          <w:sz w:val="24"/>
          <w:szCs w:val="24"/>
        </w:rPr>
        <w:t>u</w:t>
      </w:r>
      <w:r w:rsidR="000D0681" w:rsidRPr="000D0681">
        <w:rPr>
          <w:rFonts w:ascii="Times New Roman" w:hAnsi="Times New Roman" w:cs="Times New Roman"/>
          <w:sz w:val="24"/>
          <w:szCs w:val="24"/>
        </w:rPr>
        <w:t xml:space="preserve"> zwierząt na cierpienie</w:t>
      </w:r>
      <w:r w:rsidR="0066772E">
        <w:rPr>
          <w:rFonts w:ascii="Times New Roman" w:hAnsi="Times New Roman" w:cs="Times New Roman"/>
          <w:sz w:val="24"/>
          <w:szCs w:val="24"/>
        </w:rPr>
        <w:t xml:space="preserve"> i stres</w:t>
      </w:r>
      <w:r w:rsidR="000D0681" w:rsidRPr="000D0681">
        <w:rPr>
          <w:rFonts w:ascii="Times New Roman" w:hAnsi="Times New Roman" w:cs="Times New Roman"/>
          <w:sz w:val="24"/>
          <w:szCs w:val="24"/>
        </w:rPr>
        <w:t>, utratę zdrowia</w:t>
      </w:r>
      <w:r w:rsidR="000D0681">
        <w:rPr>
          <w:rFonts w:ascii="Times New Roman" w:hAnsi="Times New Roman" w:cs="Times New Roman"/>
          <w:sz w:val="24"/>
          <w:szCs w:val="24"/>
        </w:rPr>
        <w:t xml:space="preserve"> </w:t>
      </w:r>
      <w:r w:rsidR="000D0681" w:rsidRPr="000D0681">
        <w:rPr>
          <w:rFonts w:ascii="Times New Roman" w:hAnsi="Times New Roman" w:cs="Times New Roman"/>
          <w:sz w:val="24"/>
          <w:szCs w:val="24"/>
        </w:rPr>
        <w:t>lub życia</w:t>
      </w:r>
      <w:r w:rsidR="0066772E">
        <w:rPr>
          <w:rFonts w:ascii="Times New Roman" w:hAnsi="Times New Roman" w:cs="Times New Roman"/>
          <w:sz w:val="24"/>
          <w:szCs w:val="24"/>
        </w:rPr>
        <w:t xml:space="preserve">, ustanowić ograniczenia i zakazy </w:t>
      </w:r>
      <w:r w:rsidR="005E5A35">
        <w:rPr>
          <w:rFonts w:ascii="Times New Roman" w:hAnsi="Times New Roman" w:cs="Times New Roman"/>
          <w:sz w:val="24"/>
          <w:szCs w:val="24"/>
        </w:rPr>
        <w:t xml:space="preserve">wykorzystywania </w:t>
      </w:r>
      <w:r w:rsidR="005E5A35" w:rsidRPr="005E5A35">
        <w:rPr>
          <w:rFonts w:ascii="Times New Roman" w:hAnsi="Times New Roman" w:cs="Times New Roman"/>
          <w:sz w:val="24"/>
          <w:szCs w:val="24"/>
        </w:rPr>
        <w:t>wyrob</w:t>
      </w:r>
      <w:r w:rsidR="005E5A35">
        <w:rPr>
          <w:rFonts w:ascii="Times New Roman" w:hAnsi="Times New Roman" w:cs="Times New Roman"/>
          <w:sz w:val="24"/>
          <w:szCs w:val="24"/>
        </w:rPr>
        <w:t>ów</w:t>
      </w:r>
      <w:r w:rsidR="005E5A35" w:rsidRPr="005E5A35">
        <w:rPr>
          <w:rFonts w:ascii="Times New Roman" w:hAnsi="Times New Roman" w:cs="Times New Roman"/>
          <w:sz w:val="24"/>
          <w:szCs w:val="24"/>
        </w:rPr>
        <w:t xml:space="preserve"> pirotechniczn</w:t>
      </w:r>
      <w:r w:rsidR="005E5A35">
        <w:rPr>
          <w:rFonts w:ascii="Times New Roman" w:hAnsi="Times New Roman" w:cs="Times New Roman"/>
          <w:sz w:val="24"/>
          <w:szCs w:val="24"/>
        </w:rPr>
        <w:t>ych</w:t>
      </w:r>
      <w:r w:rsidR="005E5A35" w:rsidRPr="005E5A35">
        <w:rPr>
          <w:rFonts w:ascii="Times New Roman" w:hAnsi="Times New Roman" w:cs="Times New Roman"/>
          <w:sz w:val="24"/>
          <w:szCs w:val="24"/>
        </w:rPr>
        <w:t xml:space="preserve"> </w:t>
      </w:r>
      <w:r w:rsidR="00AC5CED">
        <w:rPr>
          <w:rFonts w:ascii="Times New Roman" w:hAnsi="Times New Roman" w:cs="Times New Roman"/>
          <w:sz w:val="24"/>
          <w:szCs w:val="24"/>
        </w:rPr>
        <w:t xml:space="preserve">widowiskowych </w:t>
      </w:r>
      <w:r w:rsidR="005E5A35" w:rsidRPr="005E5A35">
        <w:rPr>
          <w:rFonts w:ascii="Times New Roman" w:hAnsi="Times New Roman" w:cs="Times New Roman"/>
          <w:sz w:val="24"/>
          <w:szCs w:val="24"/>
        </w:rPr>
        <w:t>zalicza</w:t>
      </w:r>
      <w:r w:rsidR="005E5A35">
        <w:rPr>
          <w:rFonts w:ascii="Times New Roman" w:hAnsi="Times New Roman" w:cs="Times New Roman"/>
          <w:sz w:val="24"/>
          <w:szCs w:val="24"/>
        </w:rPr>
        <w:t>nych</w:t>
      </w:r>
      <w:r w:rsidR="005E5A35" w:rsidRPr="005E5A35">
        <w:rPr>
          <w:rFonts w:ascii="Times New Roman" w:hAnsi="Times New Roman" w:cs="Times New Roman"/>
          <w:sz w:val="24"/>
          <w:szCs w:val="24"/>
        </w:rPr>
        <w:t xml:space="preserve"> do grupy materiałów wybuchowych przeznaczonych do użytku cywilnego</w:t>
      </w:r>
      <w:r w:rsidR="00973B9D">
        <w:rPr>
          <w:rFonts w:ascii="Times New Roman" w:hAnsi="Times New Roman" w:cs="Times New Roman"/>
          <w:sz w:val="24"/>
          <w:szCs w:val="24"/>
        </w:rPr>
        <w:t>, zwanych potocznie petardami lub fajerwerkami.</w:t>
      </w:r>
    </w:p>
    <w:p w14:paraId="371307C1" w14:textId="01AC6BD7" w:rsidR="00973B9D" w:rsidRDefault="00973B9D" w:rsidP="000D06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Rada gminy, ustanawiając </w:t>
      </w:r>
      <w:r w:rsidRPr="00973B9D">
        <w:rPr>
          <w:rFonts w:ascii="Times New Roman" w:hAnsi="Times New Roman" w:cs="Times New Roman"/>
          <w:sz w:val="24"/>
          <w:szCs w:val="24"/>
        </w:rPr>
        <w:t>ograniczenia i zakazy</w:t>
      </w:r>
      <w:r>
        <w:rPr>
          <w:rFonts w:ascii="Times New Roman" w:hAnsi="Times New Roman" w:cs="Times New Roman"/>
          <w:sz w:val="24"/>
          <w:szCs w:val="24"/>
        </w:rPr>
        <w:t xml:space="preserve">, o których mowa w ust. 1, </w:t>
      </w:r>
      <w:r w:rsidR="00AC5CED">
        <w:rPr>
          <w:rFonts w:ascii="Times New Roman" w:hAnsi="Times New Roman" w:cs="Times New Roman"/>
          <w:sz w:val="24"/>
          <w:szCs w:val="24"/>
        </w:rPr>
        <w:t xml:space="preserve">wskazuje rodzaje i klasy niedozwolonych wyrobów pirotechnicznych, zgodnie z przepisami </w:t>
      </w:r>
      <w:r w:rsidR="00C750D2">
        <w:rPr>
          <w:rFonts w:ascii="Times New Roman" w:hAnsi="Times New Roman" w:cs="Times New Roman"/>
          <w:sz w:val="24"/>
          <w:szCs w:val="24"/>
        </w:rPr>
        <w:t xml:space="preserve">ustawy </w:t>
      </w:r>
      <w:r w:rsidR="00C750D2" w:rsidRPr="00C750D2">
        <w:rPr>
          <w:rFonts w:ascii="Times New Roman" w:hAnsi="Times New Roman" w:cs="Times New Roman"/>
          <w:sz w:val="24"/>
          <w:szCs w:val="24"/>
        </w:rPr>
        <w:t xml:space="preserve">z dnia 21 czerwca 2002 r. </w:t>
      </w:r>
      <w:r w:rsidR="00AC5CED" w:rsidRPr="00AC5CED">
        <w:rPr>
          <w:rFonts w:ascii="Times New Roman" w:hAnsi="Times New Roman" w:cs="Times New Roman"/>
          <w:sz w:val="24"/>
          <w:szCs w:val="24"/>
        </w:rPr>
        <w:t>o materiałach wybuchowych przeznaczonych do użytku cywilnego</w:t>
      </w:r>
      <w:r w:rsidR="00C750D2">
        <w:rPr>
          <w:rFonts w:ascii="Times New Roman" w:hAnsi="Times New Roman" w:cs="Times New Roman"/>
          <w:sz w:val="24"/>
          <w:szCs w:val="24"/>
        </w:rPr>
        <w:t xml:space="preserve"> (Dz. U. z 2022 r. poz. 2378)</w:t>
      </w:r>
      <w:r w:rsidR="00AC5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C14CC" w14:textId="5BA49AB2" w:rsidR="00C750D2" w:rsidRDefault="00C750D2" w:rsidP="000D06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4829284"/>
      <w:r>
        <w:rPr>
          <w:rFonts w:ascii="Times New Roman" w:hAnsi="Times New Roman" w:cs="Times New Roman"/>
          <w:sz w:val="24"/>
          <w:szCs w:val="24"/>
        </w:rPr>
        <w:t>3. W uchwale, o której mowa w ust. 1, rada gminy może ustanowić</w:t>
      </w:r>
      <w:r w:rsidR="00505C1C">
        <w:rPr>
          <w:rFonts w:ascii="Times New Roman" w:hAnsi="Times New Roman" w:cs="Times New Roman"/>
          <w:sz w:val="24"/>
          <w:szCs w:val="24"/>
        </w:rPr>
        <w:t xml:space="preserve">, z powołaniem na ważny cel, wyjątki i </w:t>
      </w:r>
      <w:r>
        <w:rPr>
          <w:rFonts w:ascii="Times New Roman" w:hAnsi="Times New Roman" w:cs="Times New Roman"/>
          <w:sz w:val="24"/>
          <w:szCs w:val="24"/>
        </w:rPr>
        <w:t>wyłączenia, w szczególności</w:t>
      </w:r>
      <w:r w:rsidR="00505C1C">
        <w:rPr>
          <w:rFonts w:ascii="Times New Roman" w:hAnsi="Times New Roman" w:cs="Times New Roman"/>
          <w:sz w:val="24"/>
          <w:szCs w:val="24"/>
        </w:rPr>
        <w:t>, z uwagi na tradycyjny sposób celebrowania Nowego Roku,</w:t>
      </w:r>
      <w:r>
        <w:rPr>
          <w:rFonts w:ascii="Times New Roman" w:hAnsi="Times New Roman" w:cs="Times New Roman"/>
          <w:sz w:val="24"/>
          <w:szCs w:val="24"/>
        </w:rPr>
        <w:t xml:space="preserve"> dotyczące wykorzystywania </w:t>
      </w:r>
      <w:r w:rsidRPr="00C750D2">
        <w:rPr>
          <w:rFonts w:ascii="Times New Roman" w:hAnsi="Times New Roman" w:cs="Times New Roman"/>
          <w:sz w:val="24"/>
          <w:szCs w:val="24"/>
        </w:rPr>
        <w:t>niedozwolonych wyrobów pirotechnicznych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C1AED" w:rsidRPr="003C1AED">
        <w:rPr>
          <w:rFonts w:ascii="Times New Roman" w:hAnsi="Times New Roman" w:cs="Times New Roman"/>
          <w:sz w:val="24"/>
          <w:szCs w:val="24"/>
        </w:rPr>
        <w:t>dniach 31 grudnia i 1 stycznia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0796E46" w14:textId="4061C32C" w:rsidR="00F63ADF" w:rsidRDefault="00F63ADF" w:rsidP="000D06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D6005">
        <w:rPr>
          <w:rFonts w:ascii="Times New Roman" w:hAnsi="Times New Roman" w:cs="Times New Roman"/>
          <w:sz w:val="24"/>
          <w:szCs w:val="24"/>
        </w:rPr>
        <w:t xml:space="preserve">Z uwagi na </w:t>
      </w:r>
      <w:r w:rsidR="002B6EAC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AD6005">
        <w:rPr>
          <w:rFonts w:ascii="Times New Roman" w:hAnsi="Times New Roman" w:cs="Times New Roman"/>
          <w:sz w:val="24"/>
          <w:szCs w:val="24"/>
        </w:rPr>
        <w:t>cel</w:t>
      </w:r>
      <w:r w:rsidR="002B6EAC">
        <w:rPr>
          <w:rFonts w:ascii="Times New Roman" w:hAnsi="Times New Roman" w:cs="Times New Roman"/>
          <w:sz w:val="24"/>
          <w:szCs w:val="24"/>
        </w:rPr>
        <w:t>u</w:t>
      </w:r>
      <w:r w:rsidR="00AD6005">
        <w:rPr>
          <w:rFonts w:ascii="Times New Roman" w:hAnsi="Times New Roman" w:cs="Times New Roman"/>
          <w:sz w:val="24"/>
          <w:szCs w:val="24"/>
        </w:rPr>
        <w:t xml:space="preserve"> uchwały, o której mowa w ust. 1, rada gminy może w jej treści </w:t>
      </w:r>
      <w:r w:rsidR="00E52527">
        <w:rPr>
          <w:rFonts w:ascii="Times New Roman" w:hAnsi="Times New Roman" w:cs="Times New Roman"/>
          <w:sz w:val="24"/>
          <w:szCs w:val="24"/>
        </w:rPr>
        <w:t>określić</w:t>
      </w:r>
      <w:r w:rsidR="00AD6005">
        <w:rPr>
          <w:rFonts w:ascii="Times New Roman" w:hAnsi="Times New Roman" w:cs="Times New Roman"/>
          <w:sz w:val="24"/>
          <w:szCs w:val="24"/>
        </w:rPr>
        <w:t xml:space="preserve"> zakaz </w:t>
      </w:r>
      <w:bookmarkStart w:id="2" w:name="_Hlk154778515"/>
      <w:r w:rsidR="00AD6005">
        <w:rPr>
          <w:rFonts w:ascii="Times New Roman" w:hAnsi="Times New Roman" w:cs="Times New Roman"/>
          <w:sz w:val="24"/>
          <w:szCs w:val="24"/>
        </w:rPr>
        <w:t>prowadzenia handlu okrężnego</w:t>
      </w:r>
      <w:r w:rsidR="00E5252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E52527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E52527" w:rsidRPr="00E52527">
        <w:rPr>
          <w:rFonts w:ascii="Times New Roman" w:hAnsi="Times New Roman" w:cs="Times New Roman"/>
          <w:sz w:val="24"/>
          <w:szCs w:val="24"/>
        </w:rPr>
        <w:t>niedozwolonych wyrobów pirotechnicznych</w:t>
      </w:r>
      <w:r w:rsidR="00E52527">
        <w:rPr>
          <w:rFonts w:ascii="Times New Roman" w:hAnsi="Times New Roman" w:cs="Times New Roman"/>
          <w:sz w:val="24"/>
          <w:szCs w:val="24"/>
        </w:rPr>
        <w:t xml:space="preserve">. Przepisu ust. 3 nie stosuje się. </w:t>
      </w:r>
    </w:p>
    <w:p w14:paraId="2056FF31" w14:textId="0C22E829" w:rsidR="00DB62AD" w:rsidRDefault="00F63ADF" w:rsidP="00427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62AD">
        <w:rPr>
          <w:rFonts w:ascii="Times New Roman" w:hAnsi="Times New Roman" w:cs="Times New Roman"/>
          <w:sz w:val="24"/>
          <w:szCs w:val="24"/>
        </w:rPr>
        <w:t xml:space="preserve">. </w:t>
      </w:r>
      <w:r w:rsidR="00DB62AD" w:rsidRPr="00DB62AD">
        <w:rPr>
          <w:rFonts w:ascii="Times New Roman" w:hAnsi="Times New Roman" w:cs="Times New Roman"/>
          <w:sz w:val="24"/>
          <w:szCs w:val="24"/>
        </w:rPr>
        <w:t xml:space="preserve">Uchwała, o której mowa w ust. </w:t>
      </w:r>
      <w:r w:rsidR="00DB62AD">
        <w:rPr>
          <w:rFonts w:ascii="Times New Roman" w:hAnsi="Times New Roman" w:cs="Times New Roman"/>
          <w:sz w:val="24"/>
          <w:szCs w:val="24"/>
        </w:rPr>
        <w:t>1</w:t>
      </w:r>
      <w:r w:rsidR="00DB62AD" w:rsidRPr="00DB62AD">
        <w:rPr>
          <w:rFonts w:ascii="Times New Roman" w:hAnsi="Times New Roman" w:cs="Times New Roman"/>
          <w:sz w:val="24"/>
          <w:szCs w:val="24"/>
        </w:rPr>
        <w:t>, jest aktem prawa miejscowego</w:t>
      </w:r>
      <w:r w:rsidR="009D5A1D">
        <w:rPr>
          <w:rFonts w:ascii="Times New Roman" w:hAnsi="Times New Roman" w:cs="Times New Roman"/>
          <w:sz w:val="24"/>
          <w:szCs w:val="24"/>
        </w:rPr>
        <w:t>.</w:t>
      </w:r>
      <w:r w:rsidR="00427006">
        <w:rPr>
          <w:rFonts w:ascii="Times New Roman" w:hAnsi="Times New Roman" w:cs="Times New Roman"/>
          <w:sz w:val="24"/>
          <w:szCs w:val="24"/>
        </w:rPr>
        <w:t>”;</w:t>
      </w:r>
    </w:p>
    <w:p w14:paraId="634BCF9F" w14:textId="77777777" w:rsidR="009D5A1D" w:rsidRDefault="009D5A1D" w:rsidP="00427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28188" w14:textId="77777777" w:rsidR="006870B7" w:rsidRDefault="00427006" w:rsidP="00427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C5463">
        <w:rPr>
          <w:rFonts w:ascii="Times New Roman" w:hAnsi="Times New Roman" w:cs="Times New Roman"/>
          <w:sz w:val="24"/>
          <w:szCs w:val="24"/>
        </w:rPr>
        <w:t>w art. 37</w:t>
      </w:r>
      <w:r w:rsidR="006870B7">
        <w:rPr>
          <w:rFonts w:ascii="Times New Roman" w:hAnsi="Times New Roman" w:cs="Times New Roman"/>
          <w:sz w:val="24"/>
          <w:szCs w:val="24"/>
        </w:rPr>
        <w:t>:</w:t>
      </w:r>
    </w:p>
    <w:p w14:paraId="7FE09B94" w14:textId="0F62DDAB" w:rsidR="00427006" w:rsidRDefault="006870B7" w:rsidP="006870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5463">
        <w:rPr>
          <w:rFonts w:ascii="Times New Roman" w:hAnsi="Times New Roman" w:cs="Times New Roman"/>
          <w:sz w:val="24"/>
          <w:szCs w:val="24"/>
        </w:rPr>
        <w:t xml:space="preserve"> po ust. 1 dodaje się ust. 1a w brzmieniu:</w:t>
      </w:r>
    </w:p>
    <w:p w14:paraId="5D322B6A" w14:textId="308235FE" w:rsidR="00DC5463" w:rsidRDefault="00DC5463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„1a. </w:t>
      </w:r>
      <w:r w:rsidRPr="00DC5463">
        <w:rPr>
          <w:rFonts w:ascii="Times New Roman" w:hAnsi="Times New Roman" w:cs="Times New Roman"/>
          <w:sz w:val="24"/>
          <w:szCs w:val="24"/>
        </w:rPr>
        <w:t>Tej samej karze podlega, kto</w:t>
      </w:r>
      <w:r>
        <w:rPr>
          <w:rFonts w:ascii="Times New Roman" w:hAnsi="Times New Roman" w:cs="Times New Roman"/>
          <w:sz w:val="24"/>
          <w:szCs w:val="24"/>
        </w:rPr>
        <w:t xml:space="preserve"> narusza zakazy i ograniczenia ustanowione w uchwale rady gminy, o której mowa w art. 6a ust. 1.”</w:t>
      </w:r>
      <w:r w:rsidR="006870B7">
        <w:rPr>
          <w:rFonts w:ascii="Times New Roman" w:hAnsi="Times New Roman" w:cs="Times New Roman"/>
          <w:sz w:val="24"/>
          <w:szCs w:val="24"/>
        </w:rPr>
        <w:t>;</w:t>
      </w:r>
    </w:p>
    <w:p w14:paraId="58A1D0D2" w14:textId="3DEB368B" w:rsidR="00923F9E" w:rsidRDefault="006870B7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23F9E">
        <w:rPr>
          <w:rFonts w:ascii="Times New Roman" w:hAnsi="Times New Roman" w:cs="Times New Roman"/>
          <w:sz w:val="24"/>
          <w:szCs w:val="24"/>
        </w:rPr>
        <w:t>w ust. 2 dodaje się zdanie drugie w brzmieniu:</w:t>
      </w:r>
    </w:p>
    <w:p w14:paraId="05CC2460" w14:textId="14EBEE6C" w:rsidR="00923F9E" w:rsidRDefault="00923F9E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923F9E">
        <w:rPr>
          <w:rFonts w:ascii="Times New Roman" w:hAnsi="Times New Roman" w:cs="Times New Roman"/>
          <w:sz w:val="24"/>
          <w:szCs w:val="24"/>
        </w:rPr>
        <w:t>Usiłowanie i pomocnictwo do czynu określonego w ust. 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23F9E">
        <w:rPr>
          <w:rFonts w:ascii="Times New Roman" w:hAnsi="Times New Roman" w:cs="Times New Roman"/>
          <w:sz w:val="24"/>
          <w:szCs w:val="24"/>
        </w:rPr>
        <w:t xml:space="preserve"> jest karalne.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4941FBE7" w14:textId="6141393A" w:rsidR="006870B7" w:rsidRDefault="00923F9E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870B7">
        <w:rPr>
          <w:rFonts w:ascii="Times New Roman" w:hAnsi="Times New Roman" w:cs="Times New Roman"/>
          <w:sz w:val="24"/>
          <w:szCs w:val="24"/>
        </w:rPr>
        <w:t>w ust. 3 dodaje się zdanie drugie w brzmieniu:</w:t>
      </w:r>
    </w:p>
    <w:p w14:paraId="2E4C2879" w14:textId="2B1439FB" w:rsidR="006870B7" w:rsidRDefault="006870B7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870B7">
        <w:rPr>
          <w:rFonts w:ascii="Times New Roman" w:hAnsi="Times New Roman" w:cs="Times New Roman"/>
          <w:sz w:val="24"/>
          <w:szCs w:val="24"/>
        </w:rPr>
        <w:t>W razie ukarania za wykroczenie, o którym mowa w ust. 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870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można orzec </w:t>
      </w:r>
      <w:r w:rsidRPr="006870B7">
        <w:rPr>
          <w:rFonts w:ascii="Times New Roman" w:hAnsi="Times New Roman" w:cs="Times New Roman"/>
          <w:sz w:val="24"/>
          <w:szCs w:val="24"/>
        </w:rPr>
        <w:t>przepadek narzędzi i przedmiotów, które służyły lub były przeznaczone do popełnienia wykroczenia, chociażby nie stanowiły własności sprawcy</w:t>
      </w:r>
      <w:r>
        <w:rPr>
          <w:rFonts w:ascii="Times New Roman" w:hAnsi="Times New Roman" w:cs="Times New Roman"/>
          <w:sz w:val="24"/>
          <w:szCs w:val="24"/>
        </w:rPr>
        <w:t>.”;</w:t>
      </w:r>
    </w:p>
    <w:p w14:paraId="4105BF3C" w14:textId="31DA5C03" w:rsidR="006870B7" w:rsidRDefault="00923F9E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70B7">
        <w:rPr>
          <w:rFonts w:ascii="Times New Roman" w:hAnsi="Times New Roman" w:cs="Times New Roman"/>
          <w:sz w:val="24"/>
          <w:szCs w:val="24"/>
        </w:rPr>
        <w:t>) ust. 4 otrzymuje brzmienie:</w:t>
      </w:r>
    </w:p>
    <w:p w14:paraId="7C5BB697" w14:textId="26B51D55" w:rsidR="006870B7" w:rsidRDefault="006870B7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„4. </w:t>
      </w:r>
      <w:r w:rsidRPr="006870B7">
        <w:rPr>
          <w:rFonts w:ascii="Times New Roman" w:hAnsi="Times New Roman" w:cs="Times New Roman"/>
          <w:sz w:val="24"/>
          <w:szCs w:val="24"/>
        </w:rPr>
        <w:t>W razie popełnienia wykroczenia, o którym mowa w ust. 1</w:t>
      </w:r>
      <w:r>
        <w:rPr>
          <w:rFonts w:ascii="Times New Roman" w:hAnsi="Times New Roman" w:cs="Times New Roman"/>
          <w:sz w:val="24"/>
          <w:szCs w:val="24"/>
        </w:rPr>
        <w:t xml:space="preserve"> lub 1a</w:t>
      </w:r>
      <w:r w:rsidRPr="006870B7">
        <w:rPr>
          <w:rFonts w:ascii="Times New Roman" w:hAnsi="Times New Roman" w:cs="Times New Roman"/>
          <w:sz w:val="24"/>
          <w:szCs w:val="24"/>
        </w:rPr>
        <w:t>, można orzec nawiązkę w wysokości do 1000 zł na cel związany z ochroną zwierząt.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E16FE07" w14:textId="77777777" w:rsidR="00E4322D" w:rsidRDefault="00E4322D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80E73" w14:textId="040BB205" w:rsidR="00E52527" w:rsidRPr="00153322" w:rsidRDefault="00E52527" w:rsidP="00153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527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Pr="00E52527">
        <w:rPr>
          <w:rFonts w:ascii="Times New Roman" w:hAnsi="Times New Roman" w:cs="Times New Roman"/>
          <w:sz w:val="24"/>
          <w:szCs w:val="24"/>
        </w:rPr>
        <w:t xml:space="preserve">Tracą moc </w:t>
      </w:r>
      <w:r>
        <w:rPr>
          <w:rFonts w:ascii="Times New Roman" w:hAnsi="Times New Roman" w:cs="Times New Roman"/>
          <w:sz w:val="24"/>
          <w:szCs w:val="24"/>
        </w:rPr>
        <w:t xml:space="preserve">uchwały, wydane na podstawie </w:t>
      </w:r>
      <w:r w:rsidR="00153322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153322" w:rsidRPr="00153322">
        <w:rPr>
          <w:rFonts w:ascii="Times New Roman" w:hAnsi="Times New Roman" w:cs="Times New Roman"/>
          <w:sz w:val="24"/>
          <w:szCs w:val="24"/>
        </w:rPr>
        <w:t>8 marca 1990 r.</w:t>
      </w:r>
      <w:r w:rsidR="00153322">
        <w:rPr>
          <w:rFonts w:ascii="Times New Roman" w:hAnsi="Times New Roman" w:cs="Times New Roman"/>
          <w:sz w:val="24"/>
          <w:szCs w:val="24"/>
        </w:rPr>
        <w:t xml:space="preserve"> </w:t>
      </w:r>
      <w:r w:rsidR="00153322" w:rsidRPr="00153322">
        <w:rPr>
          <w:rFonts w:ascii="Times New Roman" w:hAnsi="Times New Roman" w:cs="Times New Roman"/>
          <w:sz w:val="24"/>
          <w:szCs w:val="24"/>
        </w:rPr>
        <w:t>o samorządzie gminnym</w:t>
      </w:r>
      <w:r w:rsidR="00153322">
        <w:rPr>
          <w:rFonts w:ascii="Times New Roman" w:hAnsi="Times New Roman" w:cs="Times New Roman"/>
          <w:sz w:val="24"/>
          <w:szCs w:val="24"/>
        </w:rPr>
        <w:t xml:space="preserve"> (Dz. U. z 2023 r. poz. 40, 572, 1463 i 1688), ustanawiające przepisy porządkowe w przedmiocie </w:t>
      </w:r>
      <w:r w:rsidR="00153322" w:rsidRPr="00153322">
        <w:rPr>
          <w:rFonts w:ascii="Times New Roman" w:hAnsi="Times New Roman" w:cs="Times New Roman"/>
          <w:sz w:val="24"/>
          <w:szCs w:val="24"/>
        </w:rPr>
        <w:t xml:space="preserve">używania fajerwerków, petard i innych </w:t>
      </w:r>
      <w:r w:rsidR="00955CDF">
        <w:rPr>
          <w:rFonts w:ascii="Times New Roman" w:hAnsi="Times New Roman" w:cs="Times New Roman"/>
          <w:sz w:val="24"/>
          <w:szCs w:val="24"/>
        </w:rPr>
        <w:t xml:space="preserve">wyrobów, </w:t>
      </w:r>
      <w:r w:rsidR="00153322" w:rsidRPr="00153322">
        <w:rPr>
          <w:rFonts w:ascii="Times New Roman" w:hAnsi="Times New Roman" w:cs="Times New Roman"/>
          <w:sz w:val="24"/>
          <w:szCs w:val="24"/>
        </w:rPr>
        <w:t xml:space="preserve">materiałów </w:t>
      </w:r>
      <w:r w:rsidR="00153322">
        <w:rPr>
          <w:rFonts w:ascii="Times New Roman" w:hAnsi="Times New Roman" w:cs="Times New Roman"/>
          <w:sz w:val="24"/>
          <w:szCs w:val="24"/>
        </w:rPr>
        <w:t xml:space="preserve">lub środków </w:t>
      </w:r>
      <w:r w:rsidR="00153322" w:rsidRPr="00153322">
        <w:rPr>
          <w:rFonts w:ascii="Times New Roman" w:hAnsi="Times New Roman" w:cs="Times New Roman"/>
          <w:sz w:val="24"/>
          <w:szCs w:val="24"/>
        </w:rPr>
        <w:t>pirotechnicznych</w:t>
      </w:r>
      <w:r w:rsidR="00153322">
        <w:rPr>
          <w:rFonts w:ascii="Times New Roman" w:hAnsi="Times New Roman" w:cs="Times New Roman"/>
          <w:sz w:val="24"/>
          <w:szCs w:val="24"/>
        </w:rPr>
        <w:t xml:space="preserve">, </w:t>
      </w:r>
      <w:r w:rsidR="00153322" w:rsidRPr="00153322">
        <w:rPr>
          <w:rFonts w:ascii="Times New Roman" w:hAnsi="Times New Roman" w:cs="Times New Roman"/>
          <w:sz w:val="24"/>
          <w:szCs w:val="24"/>
        </w:rPr>
        <w:t xml:space="preserve">ogłuszających </w:t>
      </w:r>
      <w:r w:rsidR="00153322">
        <w:rPr>
          <w:rFonts w:ascii="Times New Roman" w:hAnsi="Times New Roman" w:cs="Times New Roman"/>
          <w:sz w:val="24"/>
          <w:szCs w:val="24"/>
        </w:rPr>
        <w:t>lub</w:t>
      </w:r>
      <w:r w:rsidR="00153322" w:rsidRPr="00153322">
        <w:rPr>
          <w:rFonts w:ascii="Times New Roman" w:hAnsi="Times New Roman" w:cs="Times New Roman"/>
          <w:sz w:val="24"/>
          <w:szCs w:val="24"/>
        </w:rPr>
        <w:t xml:space="preserve"> działających na</w:t>
      </w:r>
      <w:r w:rsidR="00153322">
        <w:rPr>
          <w:rFonts w:ascii="Times New Roman" w:hAnsi="Times New Roman" w:cs="Times New Roman"/>
          <w:sz w:val="24"/>
          <w:szCs w:val="24"/>
        </w:rPr>
        <w:t xml:space="preserve"> </w:t>
      </w:r>
      <w:r w:rsidR="00153322" w:rsidRPr="00153322">
        <w:rPr>
          <w:rFonts w:ascii="Times New Roman" w:hAnsi="Times New Roman" w:cs="Times New Roman"/>
          <w:sz w:val="24"/>
          <w:szCs w:val="24"/>
        </w:rPr>
        <w:t>podobnych zasadach</w:t>
      </w:r>
      <w:r w:rsidR="00153322">
        <w:rPr>
          <w:rFonts w:ascii="Times New Roman" w:hAnsi="Times New Roman" w:cs="Times New Roman"/>
          <w:sz w:val="24"/>
          <w:szCs w:val="24"/>
        </w:rPr>
        <w:t>.</w:t>
      </w:r>
    </w:p>
    <w:p w14:paraId="04A4EE6D" w14:textId="77777777" w:rsidR="00E52527" w:rsidRDefault="00E52527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FFF567" w14:textId="75545504" w:rsidR="00E4322D" w:rsidRDefault="00E4322D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22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525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322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2D">
        <w:rPr>
          <w:rFonts w:ascii="Times New Roman" w:hAnsi="Times New Roman" w:cs="Times New Roman"/>
          <w:sz w:val="24"/>
          <w:szCs w:val="24"/>
        </w:rPr>
        <w:t>Ustawa wchodzi w życie po upływie 14 dni od dnia ogłoszenia.</w:t>
      </w:r>
    </w:p>
    <w:bookmarkEnd w:id="0"/>
    <w:p w14:paraId="761A6BC1" w14:textId="77777777" w:rsidR="00F84652" w:rsidRDefault="00F84652" w:rsidP="009D5A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02633F" w14:textId="70CF08DB" w:rsidR="00F84652" w:rsidRDefault="00F84652" w:rsidP="00072A93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28E31B44" w14:textId="77777777" w:rsidR="00F84652" w:rsidRDefault="00F84652" w:rsidP="00072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E05FA" w14:textId="77777777" w:rsidR="00777DE1" w:rsidRDefault="00777DE1" w:rsidP="00072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492E8" w14:textId="4C0733B9" w:rsidR="00F84652" w:rsidRDefault="00F84652" w:rsidP="00072A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652">
        <w:rPr>
          <w:rFonts w:ascii="Times New Roman" w:hAnsi="Times New Roman" w:cs="Times New Roman"/>
          <w:b/>
          <w:bCs/>
          <w:sz w:val="24"/>
          <w:szCs w:val="24"/>
        </w:rPr>
        <w:t>Zagadnienia ogólne</w:t>
      </w:r>
    </w:p>
    <w:p w14:paraId="2A9C6B05" w14:textId="77777777" w:rsidR="004B4730" w:rsidRPr="00F84652" w:rsidRDefault="004B4730" w:rsidP="004B4730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CEDD6" w14:textId="40DEE9EE" w:rsidR="00F84652" w:rsidRDefault="00F84652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4827392"/>
      <w:r>
        <w:rPr>
          <w:rFonts w:ascii="Times New Roman" w:hAnsi="Times New Roman" w:cs="Times New Roman"/>
          <w:sz w:val="24"/>
          <w:szCs w:val="24"/>
        </w:rPr>
        <w:t xml:space="preserve">Kwestię możliwości używania i wykorzystywania fajerwerków i petard można rozpatrywać w różnych kontekstach, co powoduje, że zagadnienie to może być przedmiotem regulacji różnych aktów prawnych </w:t>
      </w:r>
      <w:r w:rsidR="008F3A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ustaw</w:t>
      </w:r>
      <w:r w:rsidR="008F3A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Jest to istotne przede wszystkim z perspektywy ochrony życia i zdrowia ludzkiego, </w:t>
      </w:r>
      <w:r w:rsidR="008F3A35">
        <w:rPr>
          <w:rFonts w:ascii="Times New Roman" w:hAnsi="Times New Roman" w:cs="Times New Roman"/>
          <w:sz w:val="24"/>
          <w:szCs w:val="24"/>
        </w:rPr>
        <w:t xml:space="preserve">bezpieczeństwa i porządku, </w:t>
      </w:r>
      <w:r>
        <w:rPr>
          <w:rFonts w:ascii="Times New Roman" w:hAnsi="Times New Roman" w:cs="Times New Roman"/>
          <w:sz w:val="24"/>
          <w:szCs w:val="24"/>
        </w:rPr>
        <w:t>powodowania nadmiernego hałasu</w:t>
      </w:r>
      <w:r w:rsidR="00777D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ale również – na co zwracają uwagę liczne środowiska – ochrony zwierząt. </w:t>
      </w:r>
      <w:r w:rsidR="00A143EF">
        <w:rPr>
          <w:rFonts w:ascii="Times New Roman" w:hAnsi="Times New Roman" w:cs="Times New Roman"/>
          <w:sz w:val="24"/>
          <w:szCs w:val="24"/>
        </w:rPr>
        <w:t xml:space="preserve">Nie ulega wątpliwości, że władza publiczna w modelu demokratycznego państwa prawnego musi ostrożnie i proporcjonalnie wyznaczać granice dla ludzkiej wolności. Stąd też całkowity i generalny zakaz np. sprzedaży fajerwerków i petard zdaje się być nadmierną ingerencją w prawa i wolności – także w kontekście swobody prowadzenia działalności gospodarczej. Jednakże w państwie demokratycznym wymagane jest spoglądanie na pewne kwestie również z perspektywy tych, którzy nie mają możliwości zadbania o swoją ochronę i wydaje się, że należy taki postulat „rozciągnąć” przede wszystkim na naszych braci mniejszych, czyli zwierzęta. W świetle różnych ustaleń (zwłaszcza naukowych) okazuje się, że stosowanie petard i fajerwerków staje się dla zwierząt niezwykle </w:t>
      </w:r>
      <w:r w:rsidR="00434A27">
        <w:rPr>
          <w:rFonts w:ascii="Times New Roman" w:hAnsi="Times New Roman" w:cs="Times New Roman"/>
          <w:sz w:val="24"/>
          <w:szCs w:val="24"/>
        </w:rPr>
        <w:t xml:space="preserve">i nadmiernie </w:t>
      </w:r>
      <w:r w:rsidR="00A143EF">
        <w:rPr>
          <w:rFonts w:ascii="Times New Roman" w:hAnsi="Times New Roman" w:cs="Times New Roman"/>
          <w:sz w:val="24"/>
          <w:szCs w:val="24"/>
        </w:rPr>
        <w:t>uciążliwe, wywołujące cierpienie i stres, co zagraża i</w:t>
      </w:r>
      <w:r w:rsidR="0024021D">
        <w:rPr>
          <w:rFonts w:ascii="Times New Roman" w:hAnsi="Times New Roman" w:cs="Times New Roman"/>
          <w:sz w:val="24"/>
          <w:szCs w:val="24"/>
        </w:rPr>
        <w:t>ch</w:t>
      </w:r>
      <w:r w:rsidR="00A143EF">
        <w:rPr>
          <w:rFonts w:ascii="Times New Roman" w:hAnsi="Times New Roman" w:cs="Times New Roman"/>
          <w:sz w:val="24"/>
          <w:szCs w:val="24"/>
        </w:rPr>
        <w:t xml:space="preserve"> życiu i zdrowiu. </w:t>
      </w:r>
      <w:r w:rsidR="00434A27">
        <w:rPr>
          <w:rFonts w:ascii="Times New Roman" w:hAnsi="Times New Roman" w:cs="Times New Roman"/>
          <w:sz w:val="24"/>
          <w:szCs w:val="24"/>
        </w:rPr>
        <w:t xml:space="preserve">Chodzi tu zarazem o zwierzęta domowe, </w:t>
      </w:r>
      <w:r w:rsidR="0024021D">
        <w:rPr>
          <w:rFonts w:ascii="Times New Roman" w:hAnsi="Times New Roman" w:cs="Times New Roman"/>
          <w:sz w:val="24"/>
          <w:szCs w:val="24"/>
        </w:rPr>
        <w:t>jak i te</w:t>
      </w:r>
      <w:r w:rsidR="00434A27">
        <w:rPr>
          <w:rFonts w:ascii="Times New Roman" w:hAnsi="Times New Roman" w:cs="Times New Roman"/>
          <w:sz w:val="24"/>
          <w:szCs w:val="24"/>
        </w:rPr>
        <w:t xml:space="preserve"> dziko żyjące. </w:t>
      </w:r>
    </w:p>
    <w:bookmarkEnd w:id="3"/>
    <w:p w14:paraId="422D4D70" w14:textId="6F413626" w:rsidR="00A143EF" w:rsidRDefault="00A143EF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Zdaje się zatem w pełni uzasadnione wprowadzenie do porządku prawnego przynajmniej możliwości ograniczenia stosowania petard i fajerwerków dla ochrony wartości leżących u podstaw ustawy z </w:t>
      </w:r>
      <w:r w:rsidRPr="00A143EF">
        <w:rPr>
          <w:rFonts w:ascii="Times New Roman" w:hAnsi="Times New Roman" w:cs="Times New Roman"/>
          <w:sz w:val="24"/>
          <w:szCs w:val="24"/>
        </w:rPr>
        <w:t>dnia 21 sierpnia 1997 r. o ochronie zwierząt (Dz. U. z 2023 r. poz. 1580)</w:t>
      </w:r>
      <w:r>
        <w:rPr>
          <w:rFonts w:ascii="Times New Roman" w:hAnsi="Times New Roman" w:cs="Times New Roman"/>
          <w:sz w:val="24"/>
          <w:szCs w:val="24"/>
        </w:rPr>
        <w:t>, która statuuje, że „</w:t>
      </w:r>
      <w:r w:rsidRPr="00A143EF">
        <w:rPr>
          <w:rFonts w:ascii="Times New Roman" w:hAnsi="Times New Roman" w:cs="Times New Roman"/>
          <w:sz w:val="24"/>
          <w:szCs w:val="24"/>
        </w:rPr>
        <w:t>Zwierzę, jako istota żyjąca, zdolna do odczuwania cierpienia, nie jest rzeczą. Człowiek jest mu winien poszanowanie, ochronę i opiekę</w:t>
      </w:r>
      <w:r>
        <w:rPr>
          <w:rFonts w:ascii="Times New Roman" w:hAnsi="Times New Roman" w:cs="Times New Roman"/>
          <w:sz w:val="24"/>
          <w:szCs w:val="24"/>
        </w:rPr>
        <w:t>” (art. 1 ust. 1 ww. ustawy) oraz „</w:t>
      </w:r>
      <w:r w:rsidRPr="00A143EF">
        <w:rPr>
          <w:rFonts w:ascii="Times New Roman" w:hAnsi="Times New Roman" w:cs="Times New Roman"/>
          <w:sz w:val="24"/>
          <w:szCs w:val="24"/>
        </w:rPr>
        <w:t>Każde zwierzę wymaga humanitarnego traktowania</w:t>
      </w:r>
      <w:r>
        <w:rPr>
          <w:rFonts w:ascii="Times New Roman" w:hAnsi="Times New Roman" w:cs="Times New Roman"/>
          <w:sz w:val="24"/>
          <w:szCs w:val="24"/>
        </w:rPr>
        <w:t>” (art. 5 ww</w:t>
      </w:r>
      <w:r w:rsidRPr="00A143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ustawy). </w:t>
      </w:r>
    </w:p>
    <w:p w14:paraId="7E444644" w14:textId="6E13F738" w:rsidR="00A143EF" w:rsidRDefault="00A143EF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Drugim argumentem za prezentowaną zmianą jest fakt, że w praktyce przepisy tego rodzaju już funkcjonują, co budzi </w:t>
      </w:r>
      <w:r w:rsidR="004129A8">
        <w:rPr>
          <w:rFonts w:ascii="Times New Roman" w:hAnsi="Times New Roman" w:cs="Times New Roman"/>
          <w:sz w:val="24"/>
          <w:szCs w:val="24"/>
        </w:rPr>
        <w:t xml:space="preserve">jednak istotne </w:t>
      </w:r>
      <w:r>
        <w:rPr>
          <w:rFonts w:ascii="Times New Roman" w:hAnsi="Times New Roman" w:cs="Times New Roman"/>
          <w:sz w:val="24"/>
          <w:szCs w:val="24"/>
        </w:rPr>
        <w:t xml:space="preserve">wątpliwości w perspektywie ich podstawy prawnej – wydawane są jako przepisy porządkowe na podstawie art. 40 ust. 3 i 4 </w:t>
      </w:r>
      <w:r w:rsidR="004129A8" w:rsidRPr="004129A8">
        <w:rPr>
          <w:rFonts w:ascii="Times New Roman" w:hAnsi="Times New Roman" w:cs="Times New Roman"/>
          <w:sz w:val="24"/>
          <w:szCs w:val="24"/>
        </w:rPr>
        <w:t>ustawy z dnia 8 marca 1990 r. o samorządzie gminnym (Dz. U. z 2023 r. poz. 40, 572, 1463 i 1688)</w:t>
      </w:r>
      <w:r w:rsidR="00EA545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434A27">
        <w:rPr>
          <w:rFonts w:ascii="Times New Roman" w:hAnsi="Times New Roman" w:cs="Times New Roman"/>
          <w:sz w:val="24"/>
          <w:szCs w:val="24"/>
        </w:rPr>
        <w:t xml:space="preserve"> – w kontekście „</w:t>
      </w:r>
      <w:r w:rsidR="00434A27" w:rsidRPr="00434A27">
        <w:rPr>
          <w:rFonts w:ascii="Times New Roman" w:hAnsi="Times New Roman" w:cs="Times New Roman"/>
          <w:sz w:val="24"/>
          <w:szCs w:val="24"/>
        </w:rPr>
        <w:t>ochrony życia lub zdrowia obywateli oraz dla zapewnienia porządku, spokoju i bezpieczeństwa publicznego</w:t>
      </w:r>
      <w:r w:rsidR="00434A27">
        <w:rPr>
          <w:rFonts w:ascii="Times New Roman" w:hAnsi="Times New Roman" w:cs="Times New Roman"/>
          <w:sz w:val="24"/>
          <w:szCs w:val="24"/>
        </w:rPr>
        <w:t>”</w:t>
      </w:r>
      <w:r w:rsidR="004129A8">
        <w:rPr>
          <w:rFonts w:ascii="Times New Roman" w:hAnsi="Times New Roman" w:cs="Times New Roman"/>
          <w:sz w:val="24"/>
          <w:szCs w:val="24"/>
        </w:rPr>
        <w:t>. Nie dziwi, że określone wysiłki podejmowane są tu na poziomie gmin, ale w</w:t>
      </w:r>
      <w:r w:rsidR="004129A8" w:rsidRPr="004129A8">
        <w:rPr>
          <w:rFonts w:ascii="Times New Roman" w:hAnsi="Times New Roman" w:cs="Times New Roman"/>
          <w:sz w:val="24"/>
          <w:szCs w:val="24"/>
        </w:rPr>
        <w:t xml:space="preserve"> chwili obecnej możliwość stanowienia tego typu przepisów jest uregulowana niejednoznacznie, co powoduje, że w niektórych gminach obowiązują akty prawa miejscowego o charakterze porządkowym, zakazujące sprzedaży i używania „fajerwerków”, a w innych nie. </w:t>
      </w:r>
      <w:r w:rsidR="004129A8">
        <w:rPr>
          <w:rFonts w:ascii="Times New Roman" w:hAnsi="Times New Roman" w:cs="Times New Roman"/>
          <w:sz w:val="24"/>
          <w:szCs w:val="24"/>
        </w:rPr>
        <w:t xml:space="preserve">Warto przywołać </w:t>
      </w:r>
      <w:r w:rsidR="00434A27">
        <w:rPr>
          <w:rFonts w:ascii="Times New Roman" w:hAnsi="Times New Roman" w:cs="Times New Roman"/>
          <w:sz w:val="24"/>
          <w:szCs w:val="24"/>
        </w:rPr>
        <w:t xml:space="preserve">w tym miejscu </w:t>
      </w:r>
      <w:r w:rsidR="004129A8">
        <w:rPr>
          <w:rFonts w:ascii="Times New Roman" w:hAnsi="Times New Roman" w:cs="Times New Roman"/>
          <w:sz w:val="24"/>
          <w:szCs w:val="24"/>
        </w:rPr>
        <w:t>np. p</w:t>
      </w:r>
      <w:r w:rsidR="004129A8" w:rsidRPr="004129A8">
        <w:rPr>
          <w:rFonts w:ascii="Times New Roman" w:hAnsi="Times New Roman" w:cs="Times New Roman"/>
          <w:sz w:val="24"/>
          <w:szCs w:val="24"/>
        </w:rPr>
        <w:t>rób</w:t>
      </w:r>
      <w:r w:rsidR="004129A8">
        <w:rPr>
          <w:rFonts w:ascii="Times New Roman" w:hAnsi="Times New Roman" w:cs="Times New Roman"/>
          <w:sz w:val="24"/>
          <w:szCs w:val="24"/>
        </w:rPr>
        <w:t>ę</w:t>
      </w:r>
      <w:r w:rsidR="004129A8" w:rsidRPr="004129A8">
        <w:rPr>
          <w:rFonts w:ascii="Times New Roman" w:hAnsi="Times New Roman" w:cs="Times New Roman"/>
          <w:sz w:val="24"/>
          <w:szCs w:val="24"/>
        </w:rPr>
        <w:t xml:space="preserve"> wprowadzenia </w:t>
      </w:r>
      <w:r w:rsidR="004129A8">
        <w:rPr>
          <w:rFonts w:ascii="Times New Roman" w:hAnsi="Times New Roman" w:cs="Times New Roman"/>
          <w:sz w:val="24"/>
          <w:szCs w:val="24"/>
        </w:rPr>
        <w:t xml:space="preserve">takiego zakazu </w:t>
      </w:r>
      <w:r w:rsidR="004129A8" w:rsidRPr="004129A8">
        <w:rPr>
          <w:rFonts w:ascii="Times New Roman" w:hAnsi="Times New Roman" w:cs="Times New Roman"/>
          <w:sz w:val="24"/>
          <w:szCs w:val="24"/>
        </w:rPr>
        <w:t>w Gminie Miejskiej Kraków</w:t>
      </w:r>
      <w:r w:rsidR="004129A8">
        <w:rPr>
          <w:rFonts w:ascii="Times New Roman" w:hAnsi="Times New Roman" w:cs="Times New Roman"/>
          <w:sz w:val="24"/>
          <w:szCs w:val="24"/>
        </w:rPr>
        <w:t xml:space="preserve"> </w:t>
      </w:r>
      <w:r w:rsidR="004129A8" w:rsidRPr="004129A8">
        <w:rPr>
          <w:rFonts w:ascii="Times New Roman" w:hAnsi="Times New Roman" w:cs="Times New Roman"/>
          <w:sz w:val="24"/>
          <w:szCs w:val="24"/>
        </w:rPr>
        <w:t>(Uchwała NR LXIV/814/09</w:t>
      </w:r>
      <w:r w:rsidR="004129A8">
        <w:rPr>
          <w:rFonts w:ascii="Times New Roman" w:hAnsi="Times New Roman" w:cs="Times New Roman"/>
          <w:sz w:val="24"/>
          <w:szCs w:val="24"/>
        </w:rPr>
        <w:t xml:space="preserve"> </w:t>
      </w:r>
      <w:r w:rsidR="004129A8" w:rsidRPr="004129A8">
        <w:rPr>
          <w:rFonts w:ascii="Times New Roman" w:hAnsi="Times New Roman" w:cs="Times New Roman"/>
          <w:sz w:val="24"/>
          <w:szCs w:val="24"/>
        </w:rPr>
        <w:t>Rady Miasta Krakowa z dnia 4 lutego 2009 r. w sprawie zakazu sprzedaży oraz zakazu używania w miejscach publicznych na terenie Gminy Miejskiej Kraków petard oraz środków pirotechnicznych i ogłuszających, działających na podobnych zasadach)</w:t>
      </w:r>
      <w:r w:rsidR="004129A8">
        <w:rPr>
          <w:rFonts w:ascii="Times New Roman" w:hAnsi="Times New Roman" w:cs="Times New Roman"/>
          <w:sz w:val="24"/>
          <w:szCs w:val="24"/>
        </w:rPr>
        <w:t>, która</w:t>
      </w:r>
      <w:r w:rsidR="004129A8" w:rsidRPr="004129A8">
        <w:rPr>
          <w:rFonts w:ascii="Times New Roman" w:hAnsi="Times New Roman" w:cs="Times New Roman"/>
          <w:sz w:val="24"/>
          <w:szCs w:val="24"/>
        </w:rPr>
        <w:t xml:space="preserve"> spotkała się z reakcją organu nadzoru (rozstrzygnięcie nadzorcze Wojewody Małopolskiego stwierdzające nieważność uchwały w całości). Praktyka pokazuje, że są jednak gminy, gdzie na tej samej podstawie wprowadzono skutecznie odpowiednie przepisy</w:t>
      </w:r>
      <w:r w:rsidR="004129A8">
        <w:rPr>
          <w:rFonts w:ascii="Times New Roman" w:hAnsi="Times New Roman" w:cs="Times New Roman"/>
          <w:sz w:val="24"/>
          <w:szCs w:val="24"/>
        </w:rPr>
        <w:t xml:space="preserve"> i nie są to wcale odosobnione przypadki. Wymieńmy chociażby: Białe Błota (Dz. Urz. </w:t>
      </w:r>
      <w:r w:rsidR="004129A8" w:rsidRPr="004129A8">
        <w:rPr>
          <w:rFonts w:ascii="Times New Roman" w:hAnsi="Times New Roman" w:cs="Times New Roman"/>
          <w:sz w:val="24"/>
          <w:szCs w:val="24"/>
        </w:rPr>
        <w:t>Kujaw.2019.874</w:t>
      </w:r>
      <w:r w:rsidR="004129A8">
        <w:rPr>
          <w:rFonts w:ascii="Times New Roman" w:hAnsi="Times New Roman" w:cs="Times New Roman"/>
          <w:sz w:val="24"/>
          <w:szCs w:val="24"/>
        </w:rPr>
        <w:t xml:space="preserve">), </w:t>
      </w:r>
      <w:r w:rsidR="004129A8">
        <w:rPr>
          <w:rFonts w:ascii="Times New Roman" w:hAnsi="Times New Roman" w:cs="Times New Roman"/>
          <w:sz w:val="24"/>
          <w:szCs w:val="24"/>
        </w:rPr>
        <w:lastRenderedPageBreak/>
        <w:t>Bukowinę Tatrzańską (</w:t>
      </w:r>
      <w:r w:rsidR="004129A8" w:rsidRPr="004129A8">
        <w:rPr>
          <w:rFonts w:ascii="Times New Roman" w:hAnsi="Times New Roman" w:cs="Times New Roman"/>
          <w:sz w:val="24"/>
          <w:szCs w:val="24"/>
        </w:rPr>
        <w:t>Dz. Urz. Małop.2019.8205</w:t>
      </w:r>
      <w:r w:rsidR="004129A8">
        <w:rPr>
          <w:rFonts w:ascii="Times New Roman" w:hAnsi="Times New Roman" w:cs="Times New Roman"/>
          <w:sz w:val="24"/>
          <w:szCs w:val="24"/>
        </w:rPr>
        <w:t>), Środę Wielkopolską (</w:t>
      </w:r>
      <w:r w:rsidR="004129A8" w:rsidRPr="004129A8">
        <w:rPr>
          <w:rFonts w:ascii="Times New Roman" w:hAnsi="Times New Roman" w:cs="Times New Roman"/>
          <w:sz w:val="24"/>
          <w:szCs w:val="24"/>
        </w:rPr>
        <w:t>Dz. Urz. Wielk.2017.7691</w:t>
      </w:r>
      <w:r w:rsidR="004129A8">
        <w:rPr>
          <w:rFonts w:ascii="Times New Roman" w:hAnsi="Times New Roman" w:cs="Times New Roman"/>
          <w:sz w:val="24"/>
          <w:szCs w:val="24"/>
        </w:rPr>
        <w:t>), Suchy Las (</w:t>
      </w:r>
      <w:r w:rsidR="004129A8" w:rsidRPr="004129A8">
        <w:rPr>
          <w:rFonts w:ascii="Times New Roman" w:hAnsi="Times New Roman" w:cs="Times New Roman"/>
          <w:sz w:val="24"/>
          <w:szCs w:val="24"/>
        </w:rPr>
        <w:t>Dz. Urz. Wielk.2008.111.2050</w:t>
      </w:r>
      <w:r w:rsidR="004129A8">
        <w:rPr>
          <w:rFonts w:ascii="Times New Roman" w:hAnsi="Times New Roman" w:cs="Times New Roman"/>
          <w:sz w:val="24"/>
          <w:szCs w:val="24"/>
        </w:rPr>
        <w:t>), Zakopane (</w:t>
      </w:r>
      <w:r w:rsidR="004129A8" w:rsidRPr="004129A8">
        <w:rPr>
          <w:rFonts w:ascii="Times New Roman" w:hAnsi="Times New Roman" w:cs="Times New Roman"/>
          <w:sz w:val="24"/>
          <w:szCs w:val="24"/>
        </w:rPr>
        <w:t>Dz. Urz. Małop.2019.9981</w:t>
      </w:r>
      <w:r w:rsidR="004129A8">
        <w:rPr>
          <w:rFonts w:ascii="Times New Roman" w:hAnsi="Times New Roman" w:cs="Times New Roman"/>
          <w:sz w:val="24"/>
          <w:szCs w:val="24"/>
        </w:rPr>
        <w:t>) czy Bydgoszcz (</w:t>
      </w:r>
      <w:r w:rsidR="004129A8" w:rsidRPr="004129A8">
        <w:rPr>
          <w:rFonts w:ascii="Times New Roman" w:hAnsi="Times New Roman" w:cs="Times New Roman"/>
          <w:sz w:val="24"/>
          <w:szCs w:val="24"/>
        </w:rPr>
        <w:t>Dz. Urz. Kujaw.2002.127.2515</w:t>
      </w:r>
      <w:r w:rsidR="004129A8">
        <w:rPr>
          <w:rFonts w:ascii="Times New Roman" w:hAnsi="Times New Roman" w:cs="Times New Roman"/>
          <w:sz w:val="24"/>
          <w:szCs w:val="24"/>
        </w:rPr>
        <w:t>). Mamy też wiele przykładów ingerencji organów nadzorczych</w:t>
      </w:r>
      <w:r w:rsidR="00434A27">
        <w:rPr>
          <w:rFonts w:ascii="Times New Roman" w:hAnsi="Times New Roman" w:cs="Times New Roman"/>
          <w:sz w:val="24"/>
          <w:szCs w:val="24"/>
        </w:rPr>
        <w:t xml:space="preserve"> (wojewodów) w takie uchwały </w:t>
      </w:r>
      <w:r w:rsidR="004129A8">
        <w:rPr>
          <w:rFonts w:ascii="Times New Roman" w:hAnsi="Times New Roman" w:cs="Times New Roman"/>
          <w:sz w:val="24"/>
          <w:szCs w:val="24"/>
        </w:rPr>
        <w:t xml:space="preserve">– poza wskazanym już Krakowem np. </w:t>
      </w:r>
      <w:r w:rsidR="004129A8" w:rsidRPr="004129A8">
        <w:rPr>
          <w:rFonts w:ascii="Times New Roman" w:hAnsi="Times New Roman" w:cs="Times New Roman"/>
          <w:sz w:val="24"/>
          <w:szCs w:val="24"/>
        </w:rPr>
        <w:t>ROZSTRZYGNIĘCIE NADZORCZE Nr NK-N.4131.138.2.2020.MF</w:t>
      </w:r>
      <w:r w:rsidR="004129A8">
        <w:rPr>
          <w:rFonts w:ascii="Times New Roman" w:hAnsi="Times New Roman" w:cs="Times New Roman"/>
          <w:sz w:val="24"/>
          <w:szCs w:val="24"/>
        </w:rPr>
        <w:t xml:space="preserve"> </w:t>
      </w:r>
      <w:r w:rsidR="004129A8" w:rsidRPr="004129A8">
        <w:rPr>
          <w:rFonts w:ascii="Times New Roman" w:hAnsi="Times New Roman" w:cs="Times New Roman"/>
          <w:sz w:val="24"/>
          <w:szCs w:val="24"/>
        </w:rPr>
        <w:t>WOJEWODY DOLNOŚLĄSKIEGO</w:t>
      </w:r>
      <w:r w:rsidR="004129A8">
        <w:rPr>
          <w:rFonts w:ascii="Times New Roman" w:hAnsi="Times New Roman" w:cs="Times New Roman"/>
          <w:sz w:val="24"/>
          <w:szCs w:val="24"/>
        </w:rPr>
        <w:t xml:space="preserve"> </w:t>
      </w:r>
      <w:r w:rsidR="00434A27">
        <w:rPr>
          <w:rFonts w:ascii="Times New Roman" w:hAnsi="Times New Roman" w:cs="Times New Roman"/>
          <w:sz w:val="24"/>
          <w:szCs w:val="24"/>
        </w:rPr>
        <w:t xml:space="preserve">(Dz. Urz. </w:t>
      </w:r>
      <w:r w:rsidR="00434A27" w:rsidRPr="00434A27">
        <w:rPr>
          <w:rFonts w:ascii="Times New Roman" w:hAnsi="Times New Roman" w:cs="Times New Roman"/>
          <w:sz w:val="24"/>
          <w:szCs w:val="24"/>
        </w:rPr>
        <w:t>Dolno.2020.3219</w:t>
      </w:r>
      <w:r w:rsidR="00434A27">
        <w:rPr>
          <w:rFonts w:ascii="Times New Roman" w:hAnsi="Times New Roman" w:cs="Times New Roman"/>
          <w:sz w:val="24"/>
          <w:szCs w:val="24"/>
        </w:rPr>
        <w:t xml:space="preserve">) </w:t>
      </w:r>
      <w:r w:rsidR="004129A8">
        <w:rPr>
          <w:rFonts w:ascii="Times New Roman" w:hAnsi="Times New Roman" w:cs="Times New Roman"/>
          <w:sz w:val="24"/>
          <w:szCs w:val="24"/>
        </w:rPr>
        <w:t xml:space="preserve">stwierdzające nieważność </w:t>
      </w:r>
      <w:r w:rsidR="004129A8" w:rsidRPr="004129A8">
        <w:rPr>
          <w:rFonts w:ascii="Times New Roman" w:hAnsi="Times New Roman" w:cs="Times New Roman"/>
          <w:sz w:val="24"/>
          <w:szCs w:val="24"/>
        </w:rPr>
        <w:t>uchwały nr XXVI/121/2020 Rady Miasta Świeradów-Zdrój z dnia 24 kwietna 2020 r. w sprawie zakazu odpalania fajerwerków, petard, ogni sztucznych i innych materiałów pirotechnicznych w okresie całorocznym na terenie Miasta Świeradów-Zdrój.</w:t>
      </w:r>
      <w:r w:rsidR="00434A27">
        <w:rPr>
          <w:rFonts w:ascii="Times New Roman" w:hAnsi="Times New Roman" w:cs="Times New Roman"/>
          <w:sz w:val="24"/>
          <w:szCs w:val="24"/>
        </w:rPr>
        <w:t xml:space="preserve"> </w:t>
      </w:r>
      <w:r w:rsidR="00434A27" w:rsidRPr="00434A27">
        <w:rPr>
          <w:rFonts w:ascii="Times New Roman" w:hAnsi="Times New Roman" w:cs="Times New Roman"/>
          <w:sz w:val="24"/>
          <w:szCs w:val="24"/>
        </w:rPr>
        <w:t xml:space="preserve">Wypowiedzi sądów </w:t>
      </w:r>
      <w:r w:rsidR="00434A27">
        <w:rPr>
          <w:rFonts w:ascii="Times New Roman" w:hAnsi="Times New Roman" w:cs="Times New Roman"/>
          <w:sz w:val="24"/>
          <w:szCs w:val="24"/>
        </w:rPr>
        <w:t xml:space="preserve">administracyjnych sprawujących kontrolę nad działalnością administracji publicznej są tu również i niejednokrotnie niejednolite. </w:t>
      </w:r>
    </w:p>
    <w:p w14:paraId="4E839F64" w14:textId="5FFF67F0" w:rsidR="00434A27" w:rsidRDefault="00434A27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już wskazano, obowiązujące przypadki łączą się zwłaszcza z ochroną życia i zdrowia ludzkiego, co jest jednak już przedmiotem rozbudowanej regulacji prawnej i</w:t>
      </w:r>
      <w:r w:rsidR="00EA545E">
        <w:rPr>
          <w:rFonts w:ascii="Times New Roman" w:hAnsi="Times New Roman" w:cs="Times New Roman"/>
          <w:sz w:val="24"/>
          <w:szCs w:val="24"/>
        </w:rPr>
        <w:t xml:space="preserve"> należy się zgodzić z argumentacją organów nadzoru, która pojawia się przy ocenie tego typu aktów, że trudno mówić tu o bezpośrednim związku pomiędzy takimi przepisami a jakimś bezpośrednim i realnym zagrożeniem dla ludzi (wymogiem dla zastosowania podstawy z art. 40 ust. 3 u.s.g. jest wykazanie bezpośredniej implikacji pomiędzy namacalnym niebezpieczeństwem a potrzebą wprowadzenia regulacji, co również podnosi się w literaturze</w:t>
      </w:r>
      <w:r w:rsidR="00072A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EA545E">
        <w:rPr>
          <w:rFonts w:ascii="Times New Roman" w:hAnsi="Times New Roman" w:cs="Times New Roman"/>
          <w:sz w:val="24"/>
          <w:szCs w:val="24"/>
        </w:rPr>
        <w:t>). W odniesieniu do przywołanych przypadków da się wskazać tylko potencjalny związek przyczyno-skutkowy. Sprawa wymaga zatem szybkiego uregulowania ustawowego i „przecięcia” szkodliwej z perspektywy pewności prawa praktyki</w:t>
      </w:r>
      <w:r w:rsidR="00EA545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EA545E">
        <w:rPr>
          <w:rFonts w:ascii="Times New Roman" w:hAnsi="Times New Roman" w:cs="Times New Roman"/>
          <w:sz w:val="24"/>
          <w:szCs w:val="24"/>
        </w:rPr>
        <w:t xml:space="preserve">. W tym kontekście trudno też uzasadnić wyłączenie czasowe w postaci </w:t>
      </w:r>
      <w:r w:rsidR="00072A93">
        <w:rPr>
          <w:rFonts w:ascii="Times New Roman" w:hAnsi="Times New Roman" w:cs="Times New Roman"/>
          <w:sz w:val="24"/>
          <w:szCs w:val="24"/>
        </w:rPr>
        <w:t xml:space="preserve">dni „wyjątkowych”, tzn. </w:t>
      </w:r>
      <w:r w:rsidR="00072A93" w:rsidRPr="00072A93">
        <w:rPr>
          <w:rFonts w:ascii="Times New Roman" w:hAnsi="Times New Roman" w:cs="Times New Roman"/>
          <w:sz w:val="24"/>
          <w:szCs w:val="24"/>
        </w:rPr>
        <w:t>31 grudnia oraz 1 stycznia</w:t>
      </w:r>
      <w:r w:rsidR="00072A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A01B9" w14:textId="00677F65" w:rsidR="00072A93" w:rsidRDefault="00072A93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kontekście całości uzasadnienia uwidacznia się zatem potrzeba połączenia zakazu stosowania petard i fajerwerków nie tyle z ochroną życia i zdrowia ludzkiego (tu bowiem istnieją już stosowne przepisy dotyczące bezpieczeństwa np. ustawa z </w:t>
      </w:r>
      <w:r w:rsidRPr="00072A93">
        <w:rPr>
          <w:rFonts w:ascii="Times New Roman" w:hAnsi="Times New Roman" w:cs="Times New Roman"/>
          <w:sz w:val="24"/>
          <w:szCs w:val="24"/>
        </w:rPr>
        <w:t>dnia 21 czerwca 2002 r. o materiałach wybuchowych przeznaczonych do użytku cywilnego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72A93">
        <w:rPr>
          <w:rFonts w:ascii="Times New Roman" w:hAnsi="Times New Roman" w:cs="Times New Roman"/>
          <w:sz w:val="24"/>
          <w:szCs w:val="24"/>
        </w:rPr>
        <w:t>Dz. U. z 2022 r. poz. 2378)</w:t>
      </w:r>
      <w:r>
        <w:rPr>
          <w:rFonts w:ascii="Times New Roman" w:hAnsi="Times New Roman" w:cs="Times New Roman"/>
          <w:sz w:val="24"/>
          <w:szCs w:val="24"/>
        </w:rPr>
        <w:t xml:space="preserve">, ale z wartościami i celami ustawy </w:t>
      </w:r>
      <w:r w:rsidRPr="00072A93">
        <w:rPr>
          <w:rFonts w:ascii="Times New Roman" w:hAnsi="Times New Roman" w:cs="Times New Roman"/>
          <w:sz w:val="24"/>
          <w:szCs w:val="24"/>
        </w:rPr>
        <w:t>z dnia 21 sierpnia 1997 r. o ochronie zwierząt</w:t>
      </w:r>
      <w:r>
        <w:rPr>
          <w:rFonts w:ascii="Times New Roman" w:hAnsi="Times New Roman" w:cs="Times New Roman"/>
          <w:sz w:val="24"/>
          <w:szCs w:val="24"/>
        </w:rPr>
        <w:t xml:space="preserve">, co wskazano już powyżej. W tej perspektywie proponuje się zatem wprowadzenia do treści tej ustawy postawy prawnej dla ustanawiania stosownych przepisów rangi aktu prawa miejscowego na poziomie gmin, jako jednostek </w:t>
      </w:r>
      <w:r w:rsidR="007F4859">
        <w:rPr>
          <w:rFonts w:ascii="Times New Roman" w:hAnsi="Times New Roman" w:cs="Times New Roman"/>
          <w:sz w:val="24"/>
          <w:szCs w:val="24"/>
        </w:rPr>
        <w:t>podstawowych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DFD976" w14:textId="4271B8CE" w:rsidR="007F4859" w:rsidRDefault="007F4859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859">
        <w:rPr>
          <w:rFonts w:ascii="Times New Roman" w:hAnsi="Times New Roman" w:cs="Times New Roman"/>
          <w:sz w:val="24"/>
          <w:szCs w:val="24"/>
        </w:rPr>
        <w:t xml:space="preserve">Zgodnie z Konstytucją RP „Podstawową jednostką samorządu terytorialnego jest gmina” a „Samorząd terytorialny wykonuje zadania publiczne nie zastrzeżone przez Konstytucję lub ustawy dla organów innych władz publicznych” (art. 164 ust. 1 i art. 163 Konstytucji RP). Z tego względu </w:t>
      </w:r>
      <w:r>
        <w:rPr>
          <w:rFonts w:ascii="Times New Roman" w:hAnsi="Times New Roman" w:cs="Times New Roman"/>
          <w:sz w:val="24"/>
          <w:szCs w:val="24"/>
        </w:rPr>
        <w:t>proponuje się</w:t>
      </w:r>
      <w:r w:rsidRPr="007F48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aby</w:t>
      </w:r>
      <w:r w:rsidRPr="007F4859">
        <w:rPr>
          <w:rFonts w:ascii="Times New Roman" w:hAnsi="Times New Roman" w:cs="Times New Roman"/>
          <w:sz w:val="24"/>
          <w:szCs w:val="24"/>
        </w:rPr>
        <w:t xml:space="preserve"> to na tym poziomie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Pr="007F4859">
        <w:rPr>
          <w:rFonts w:ascii="Times New Roman" w:hAnsi="Times New Roman" w:cs="Times New Roman"/>
          <w:sz w:val="24"/>
          <w:szCs w:val="24"/>
        </w:rPr>
        <w:t xml:space="preserve"> ustanowiona odpowiednia podstawa pozwalająca wprowadzać ograniczenia</w:t>
      </w:r>
      <w:r>
        <w:rPr>
          <w:rFonts w:ascii="Times New Roman" w:hAnsi="Times New Roman" w:cs="Times New Roman"/>
          <w:sz w:val="24"/>
          <w:szCs w:val="24"/>
        </w:rPr>
        <w:t xml:space="preserve"> i zakazy</w:t>
      </w:r>
      <w:r w:rsidRPr="007F4859">
        <w:rPr>
          <w:rFonts w:ascii="Times New Roman" w:hAnsi="Times New Roman" w:cs="Times New Roman"/>
          <w:sz w:val="24"/>
          <w:szCs w:val="24"/>
        </w:rPr>
        <w:t xml:space="preserve">. Nie wydaje się celowe oraz potrzebne bezwzględne i ustawowe zakazywanie używania „fajerwerków”, gdyż uwidacznia się tu także potrzeba uwzględniania potrzeb i specyfiki lokalnej czy terenowej. Organ stanowiący samorządu gminnego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7F4859">
        <w:rPr>
          <w:rFonts w:ascii="Times New Roman" w:hAnsi="Times New Roman" w:cs="Times New Roman"/>
          <w:sz w:val="24"/>
          <w:szCs w:val="24"/>
        </w:rPr>
        <w:t xml:space="preserve"> tu podmiotem bez wątpienia właściwym, aby decydować na przykład o używaniu „fajerwerków” w dniu 31 grudnia </w:t>
      </w:r>
      <w:r>
        <w:rPr>
          <w:rFonts w:ascii="Times New Roman" w:hAnsi="Times New Roman" w:cs="Times New Roman"/>
          <w:sz w:val="24"/>
          <w:szCs w:val="24"/>
        </w:rPr>
        <w:t>lub</w:t>
      </w:r>
      <w:r w:rsidRPr="007F4859">
        <w:rPr>
          <w:rFonts w:ascii="Times New Roman" w:hAnsi="Times New Roman" w:cs="Times New Roman"/>
          <w:sz w:val="24"/>
          <w:szCs w:val="24"/>
        </w:rPr>
        <w:t xml:space="preserve"> 1 stycznia.</w:t>
      </w:r>
    </w:p>
    <w:p w14:paraId="5E27B600" w14:textId="785F0791" w:rsidR="00D6431B" w:rsidRDefault="00D6431B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Powyższe </w:t>
      </w:r>
      <w:r w:rsidR="007552AF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również istotne w perspektywie zasady decentralizacji władzy publicznej – art. 15 ust. 1 Konstytucji RP. </w:t>
      </w:r>
    </w:p>
    <w:p w14:paraId="0E81B850" w14:textId="73512170" w:rsidR="00777DE1" w:rsidRDefault="00777DE1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nie wydaje się celowe – również w kontekście innych reguł prawa – umożliwienie wprowadzania zakazu sprzedaży (handlu) petardami i fajerwerkami. Biorąc pod uwagę możliwości różnego (terytorialnie) regulowania tego zagadnienia, dla realizacji wskazanego założenia wystarcza wprowadzenie „</w:t>
      </w:r>
      <w:r w:rsidRPr="00777DE1">
        <w:rPr>
          <w:rFonts w:ascii="Times New Roman" w:hAnsi="Times New Roman" w:cs="Times New Roman"/>
          <w:sz w:val="24"/>
          <w:szCs w:val="24"/>
        </w:rPr>
        <w:t>ograniczenia i zakaz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77DE1">
        <w:rPr>
          <w:rFonts w:ascii="Times New Roman" w:hAnsi="Times New Roman" w:cs="Times New Roman"/>
          <w:sz w:val="24"/>
          <w:szCs w:val="24"/>
        </w:rPr>
        <w:t xml:space="preserve"> wykorzystywania wyrobów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15F093B" w14:textId="4EB86FCF" w:rsidR="008F3A35" w:rsidRDefault="008F3A35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kwestii samej systematyki ustawy o ochronie zwierząt – proponowana zmiana powinna pojawić się po przepisie określającym „zakaz znęcania się na</w:t>
      </w:r>
      <w:r w:rsidR="007552A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zwierzętami”, czyli po art. 6 tejże ustawy. </w:t>
      </w:r>
    </w:p>
    <w:p w14:paraId="6F928FA4" w14:textId="77777777" w:rsidR="00777DE1" w:rsidRDefault="00777DE1" w:rsidP="00072A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A49FDA" w14:textId="304DB71C" w:rsidR="00777DE1" w:rsidRDefault="00777DE1" w:rsidP="00777D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DE1">
        <w:rPr>
          <w:rFonts w:ascii="Times New Roman" w:hAnsi="Times New Roman" w:cs="Times New Roman"/>
          <w:b/>
          <w:bCs/>
          <w:sz w:val="24"/>
          <w:szCs w:val="24"/>
        </w:rPr>
        <w:t>Zagadnienia szczegółowe</w:t>
      </w:r>
    </w:p>
    <w:p w14:paraId="36C9EBA8" w14:textId="77777777" w:rsidR="004B4730" w:rsidRPr="00777DE1" w:rsidRDefault="004B4730" w:rsidP="004B4730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29FA9" w14:textId="16864136" w:rsidR="00777DE1" w:rsidRDefault="007856DD" w:rsidP="00777DE1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Proponuje się zatem wprowadzenie </w:t>
      </w:r>
      <w:r w:rsidR="00CB1708">
        <w:rPr>
          <w:rFonts w:ascii="Times New Roman" w:hAnsi="Times New Roman" w:cs="Times New Roman"/>
          <w:sz w:val="24"/>
          <w:szCs w:val="24"/>
        </w:rPr>
        <w:t xml:space="preserve">fakultatywnej (rada „może”) </w:t>
      </w:r>
      <w:r w:rsidR="00D6431B">
        <w:rPr>
          <w:rFonts w:ascii="Times New Roman" w:hAnsi="Times New Roman" w:cs="Times New Roman"/>
          <w:sz w:val="24"/>
          <w:szCs w:val="24"/>
        </w:rPr>
        <w:t>możliwości ustanowienia przez radę gminy odpowiednich „ograniczeń i zakazów” w celu „</w:t>
      </w:r>
      <w:r w:rsidR="00D6431B" w:rsidRPr="00D6431B">
        <w:rPr>
          <w:rFonts w:ascii="Times New Roman" w:hAnsi="Times New Roman" w:cs="Times New Roman"/>
          <w:sz w:val="24"/>
          <w:szCs w:val="24"/>
        </w:rPr>
        <w:t>zapewnienia poszanowania zwierząt, przeciwdziałania i zapobiegania narażaniu zwierząt na cierpienie i stres, utratę zdrowia lub życia</w:t>
      </w:r>
      <w:r w:rsidR="00D6431B">
        <w:rPr>
          <w:rFonts w:ascii="Times New Roman" w:hAnsi="Times New Roman" w:cs="Times New Roman"/>
          <w:sz w:val="24"/>
          <w:szCs w:val="24"/>
        </w:rPr>
        <w:t xml:space="preserve">” </w:t>
      </w:r>
      <w:r w:rsidR="00D6431B" w:rsidRPr="003F69D2">
        <w:rPr>
          <w:rFonts w:ascii="Times New Roman" w:hAnsi="Times New Roman" w:cs="Times New Roman"/>
          <w:b/>
          <w:bCs/>
          <w:sz w:val="24"/>
          <w:szCs w:val="24"/>
        </w:rPr>
        <w:t>(projektowany art. 6a ust. 1)</w:t>
      </w:r>
      <w:r w:rsidR="00D6431B" w:rsidRPr="003F69D2">
        <w:rPr>
          <w:rFonts w:ascii="Times New Roman" w:hAnsi="Times New Roman" w:cs="Times New Roman"/>
          <w:sz w:val="24"/>
          <w:szCs w:val="24"/>
        </w:rPr>
        <w:t>.</w:t>
      </w:r>
      <w:r w:rsidR="00D6431B">
        <w:rPr>
          <w:rFonts w:ascii="Times New Roman" w:hAnsi="Times New Roman" w:cs="Times New Roman"/>
          <w:sz w:val="24"/>
          <w:szCs w:val="24"/>
        </w:rPr>
        <w:t xml:space="preserve"> Przede wszystkim wydaje się uzasadnione – w kontekście specyfiki terenowej – umożliwienie określania nie tylko „prostych” zakazów, ale również „ograniczeń” dotyczących stosowania fajerwerków i petard. </w:t>
      </w:r>
    </w:p>
    <w:p w14:paraId="42AEEFAE" w14:textId="725DA7A6" w:rsidR="00D6431B" w:rsidRDefault="00D6431B" w:rsidP="00777DE1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obowiązujących uchwałach „</w:t>
      </w:r>
      <w:r w:rsidRPr="00D6431B">
        <w:rPr>
          <w:rFonts w:ascii="Times New Roman" w:hAnsi="Times New Roman" w:cs="Times New Roman"/>
          <w:sz w:val="24"/>
          <w:szCs w:val="24"/>
        </w:rPr>
        <w:t>w sprawie fajerwerków, petard i innych środków pirotechnicznych</w:t>
      </w:r>
      <w:r>
        <w:rPr>
          <w:rFonts w:ascii="Times New Roman" w:hAnsi="Times New Roman" w:cs="Times New Roman"/>
          <w:sz w:val="24"/>
          <w:szCs w:val="24"/>
        </w:rPr>
        <w:t xml:space="preserve">” organy stanowiące posługują się pojęciem „używania”. W tym kontekście trzeba zwrócić uwagę, że taka kategoria pojawia się w ustawie </w:t>
      </w:r>
      <w:r w:rsidRPr="00D6431B">
        <w:rPr>
          <w:rFonts w:ascii="Times New Roman" w:hAnsi="Times New Roman" w:cs="Times New Roman"/>
          <w:sz w:val="24"/>
          <w:szCs w:val="24"/>
        </w:rPr>
        <w:t>z dnia 21 czerwca 2002 r. o materiałach wybuchowych przeznaczonych do użytku cywilnego (Dz. U. z 2022 r. poz. 2378)</w:t>
      </w:r>
      <w:r>
        <w:rPr>
          <w:rFonts w:ascii="Times New Roman" w:hAnsi="Times New Roman" w:cs="Times New Roman"/>
          <w:sz w:val="24"/>
          <w:szCs w:val="24"/>
        </w:rPr>
        <w:t>, gdzie jest zdefiniowana jako „</w:t>
      </w:r>
      <w:r w:rsidRPr="00D6431B">
        <w:rPr>
          <w:rFonts w:ascii="Times New Roman" w:hAnsi="Times New Roman" w:cs="Times New Roman"/>
          <w:sz w:val="24"/>
          <w:szCs w:val="24"/>
        </w:rPr>
        <w:t>prowadzenie przez przedsiębiorców i jednostki naukowe wszelkich prac związanych ze stosowaniem materiałów wybuchowych przeznaczonych do użytku cywilnego, w tym wyrobów pirotechnicznych</w:t>
      </w:r>
      <w:r>
        <w:rPr>
          <w:rFonts w:ascii="Times New Roman" w:hAnsi="Times New Roman" w:cs="Times New Roman"/>
          <w:sz w:val="24"/>
          <w:szCs w:val="24"/>
        </w:rPr>
        <w:t>” (art. 3 pkt 31 ww. ustawy). Pamiętać należy, że „</w:t>
      </w:r>
      <w:r w:rsidRPr="00D6431B">
        <w:rPr>
          <w:rFonts w:ascii="Times New Roman" w:hAnsi="Times New Roman" w:cs="Times New Roman"/>
          <w:sz w:val="24"/>
          <w:szCs w:val="24"/>
        </w:rPr>
        <w:t>Przepisy ustawy stosuje się do przedsiębiorców i jednostek naukowych</w:t>
      </w:r>
      <w:r>
        <w:rPr>
          <w:rFonts w:ascii="Times New Roman" w:hAnsi="Times New Roman" w:cs="Times New Roman"/>
          <w:sz w:val="24"/>
          <w:szCs w:val="24"/>
        </w:rPr>
        <w:t xml:space="preserve">” (art. 2 ust. 1), jednakże posłużenie się tożsamym pojęciem może budzić pewne wątpliwości interpretacyjne co do jego zakresu. </w:t>
      </w:r>
      <w:r w:rsidR="003F69D2">
        <w:rPr>
          <w:rFonts w:ascii="Times New Roman" w:hAnsi="Times New Roman" w:cs="Times New Roman"/>
          <w:sz w:val="24"/>
          <w:szCs w:val="24"/>
        </w:rPr>
        <w:t>Z tego powodu i w kontekście umożliwienia wprowadzenia zakazu „używania” wyrobów pirotechnicznych przez konsumentów proponuje się posłużenie innym pojęciem, szerszym zakresowo, tzn. pojęciem „</w:t>
      </w:r>
      <w:r w:rsidR="003F69D2" w:rsidRPr="003F69D2">
        <w:rPr>
          <w:rFonts w:ascii="Times New Roman" w:hAnsi="Times New Roman" w:cs="Times New Roman"/>
          <w:sz w:val="24"/>
          <w:szCs w:val="24"/>
        </w:rPr>
        <w:t>wykorzystywania</w:t>
      </w:r>
      <w:r w:rsidR="003F69D2">
        <w:rPr>
          <w:rFonts w:ascii="Times New Roman" w:hAnsi="Times New Roman" w:cs="Times New Roman"/>
          <w:sz w:val="24"/>
          <w:szCs w:val="24"/>
        </w:rPr>
        <w:t xml:space="preserve">” </w:t>
      </w:r>
      <w:r w:rsidR="003F69D2" w:rsidRPr="003F69D2">
        <w:rPr>
          <w:rFonts w:ascii="Times New Roman" w:hAnsi="Times New Roman" w:cs="Times New Roman"/>
          <w:b/>
          <w:bCs/>
          <w:sz w:val="24"/>
          <w:szCs w:val="24"/>
        </w:rPr>
        <w:t>(projektowany art. 6a ust. 1)</w:t>
      </w:r>
      <w:r w:rsidR="003F69D2" w:rsidRPr="003F69D2">
        <w:rPr>
          <w:rFonts w:ascii="Times New Roman" w:hAnsi="Times New Roman" w:cs="Times New Roman"/>
          <w:sz w:val="24"/>
          <w:szCs w:val="24"/>
        </w:rPr>
        <w:t>.</w:t>
      </w:r>
      <w:r w:rsidR="003F6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08ED7" w14:textId="71FCFDFE" w:rsidR="003F69D2" w:rsidRDefault="003F69D2" w:rsidP="00777DE1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</w:t>
      </w:r>
      <w:r w:rsidRPr="003F69D2">
        <w:rPr>
          <w:rFonts w:ascii="Times New Roman" w:hAnsi="Times New Roman" w:cs="Times New Roman"/>
          <w:b/>
          <w:bCs/>
          <w:sz w:val="24"/>
          <w:szCs w:val="24"/>
        </w:rPr>
        <w:t>projektowanym art. 6a ust. 1</w:t>
      </w:r>
      <w:r>
        <w:rPr>
          <w:rFonts w:ascii="Times New Roman" w:hAnsi="Times New Roman" w:cs="Times New Roman"/>
          <w:sz w:val="24"/>
          <w:szCs w:val="24"/>
        </w:rPr>
        <w:t xml:space="preserve"> potoczne nazewnictwo w postaci „petard” i „fajerwerków” odniesiono do terminologii </w:t>
      </w:r>
      <w:r w:rsidRPr="003F69D2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F69D2">
        <w:rPr>
          <w:rFonts w:ascii="Times New Roman" w:hAnsi="Times New Roman" w:cs="Times New Roman"/>
          <w:sz w:val="24"/>
          <w:szCs w:val="24"/>
        </w:rPr>
        <w:t xml:space="preserve"> z dnia 21 czerwca 2002 r. o materiałach wybuchowych przeznaczonych do użytku cywilnego (Dz. U. z 2022 r. poz. 2378)</w:t>
      </w:r>
      <w:r>
        <w:rPr>
          <w:rFonts w:ascii="Times New Roman" w:hAnsi="Times New Roman" w:cs="Times New Roman"/>
          <w:sz w:val="24"/>
          <w:szCs w:val="24"/>
        </w:rPr>
        <w:t>, tzn. poprzez wskazanie „</w:t>
      </w:r>
      <w:r w:rsidRPr="003F69D2">
        <w:rPr>
          <w:rFonts w:ascii="Times New Roman" w:hAnsi="Times New Roman" w:cs="Times New Roman"/>
          <w:sz w:val="24"/>
          <w:szCs w:val="24"/>
        </w:rPr>
        <w:t>wyrobów pirotechnicznych widowiskowych zaliczanych do grupy materiałów wybuchowych przeznaczonych do użytku cywilnego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8300940" w14:textId="42C12541" w:rsidR="003F69D2" w:rsidRDefault="003F69D2" w:rsidP="00777DE1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celowe okazuje się na tym poziomie nieprzesądzanie o rodzajach i klasach wyrobów objętych ograniczaniem i zakazami </w:t>
      </w:r>
      <w:r w:rsidRPr="003F69D2">
        <w:rPr>
          <w:rFonts w:ascii="Times New Roman" w:hAnsi="Times New Roman" w:cs="Times New Roman"/>
          <w:b/>
          <w:bCs/>
          <w:sz w:val="24"/>
          <w:szCs w:val="24"/>
        </w:rPr>
        <w:t>(projektowany art. 6a ust. 2)</w:t>
      </w:r>
      <w:r>
        <w:rPr>
          <w:rFonts w:ascii="Times New Roman" w:hAnsi="Times New Roman" w:cs="Times New Roman"/>
          <w:sz w:val="24"/>
          <w:szCs w:val="24"/>
        </w:rPr>
        <w:t xml:space="preserve">. Projektodawca w tym zakresie ustanawia możliwość podjęcia określonych decyzji na poziomie organów stanowiących z wymogiem, aby przyjęte kategorie korespondowały z treścią </w:t>
      </w:r>
      <w:r w:rsidRPr="003F69D2">
        <w:rPr>
          <w:rFonts w:ascii="Times New Roman" w:hAnsi="Times New Roman" w:cs="Times New Roman"/>
          <w:sz w:val="24"/>
          <w:szCs w:val="24"/>
        </w:rPr>
        <w:t>ustawy z dnia 21 czerwca 2002 r. o materiałach wybuchowych przeznaczonych do użytku cywilnego (Dz. U. z 2022 r. poz. 2378)</w:t>
      </w:r>
      <w:r>
        <w:rPr>
          <w:rFonts w:ascii="Times New Roman" w:hAnsi="Times New Roman" w:cs="Times New Roman"/>
          <w:sz w:val="24"/>
          <w:szCs w:val="24"/>
        </w:rPr>
        <w:t xml:space="preserve"> – zwłaszcza je</w:t>
      </w:r>
      <w:r w:rsidR="007552A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art. 62c. </w:t>
      </w:r>
    </w:p>
    <w:p w14:paraId="7B289A40" w14:textId="240799F7" w:rsidR="00777DE1" w:rsidRDefault="003F69D2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Uzasadnione staje się także umożliwienie wprowadzania różnego rodzaju wyjątków i wyłączeń na poziomie gmin – </w:t>
      </w:r>
      <w:r w:rsidRPr="003F69D2">
        <w:rPr>
          <w:rFonts w:ascii="Times New Roman" w:hAnsi="Times New Roman" w:cs="Times New Roman"/>
          <w:b/>
          <w:bCs/>
          <w:sz w:val="24"/>
          <w:szCs w:val="24"/>
        </w:rPr>
        <w:t>projektowany art. 6a ust. 3</w:t>
      </w:r>
      <w:r>
        <w:rPr>
          <w:rFonts w:ascii="Times New Roman" w:hAnsi="Times New Roman" w:cs="Times New Roman"/>
          <w:sz w:val="24"/>
          <w:szCs w:val="24"/>
        </w:rPr>
        <w:t xml:space="preserve">. Za wątpliwe należy uznać w tym miejscu ewentualne „przerzucanie” takiej możliwości na organy wykonawcze (wójtów, burmistrzów, prezydentów), co </w:t>
      </w:r>
      <w:r w:rsidR="00595140">
        <w:rPr>
          <w:rFonts w:ascii="Times New Roman" w:hAnsi="Times New Roman" w:cs="Times New Roman"/>
          <w:sz w:val="24"/>
          <w:szCs w:val="24"/>
        </w:rPr>
        <w:t xml:space="preserve">jest nagminne w obowiązujących przepisach porządkowych </w:t>
      </w:r>
      <w:r w:rsidR="00595140" w:rsidRPr="00595140">
        <w:rPr>
          <w:rFonts w:ascii="Times New Roman" w:hAnsi="Times New Roman" w:cs="Times New Roman"/>
          <w:sz w:val="24"/>
          <w:szCs w:val="24"/>
        </w:rPr>
        <w:t>„w sprawie fajerwerków, petard i innych środków pirotechnicznych”</w:t>
      </w:r>
      <w:r w:rsidR="00595140">
        <w:rPr>
          <w:rFonts w:ascii="Times New Roman" w:hAnsi="Times New Roman" w:cs="Times New Roman"/>
          <w:sz w:val="24"/>
          <w:szCs w:val="24"/>
        </w:rPr>
        <w:t xml:space="preserve">. Potencjalne „zgody” w tym zakresie nie mogą mieć swej podstawy prawnej jedynie w akcie prawa miejscowego – wymagana jest wyraźna i szczegółowa podstawa ustawowa. Z punktu widzenia pewności prawa </w:t>
      </w:r>
      <w:r w:rsidR="00595140">
        <w:rPr>
          <w:rFonts w:ascii="Times New Roman" w:hAnsi="Times New Roman" w:cs="Times New Roman"/>
          <w:sz w:val="24"/>
          <w:szCs w:val="24"/>
        </w:rPr>
        <w:lastRenderedPageBreak/>
        <w:t>i pewności sytuacji prawnej podmiotów zewnętrznych uwidacznia się potrzeba stanowienia o takich wyjątkach i wyłączeniach w samej treści uchwały. Proponowan</w:t>
      </w:r>
      <w:r w:rsidR="00CB1708">
        <w:rPr>
          <w:rFonts w:ascii="Times New Roman" w:hAnsi="Times New Roman" w:cs="Times New Roman"/>
          <w:sz w:val="24"/>
          <w:szCs w:val="24"/>
        </w:rPr>
        <w:t>a</w:t>
      </w:r>
      <w:r w:rsidR="00595140">
        <w:rPr>
          <w:rFonts w:ascii="Times New Roman" w:hAnsi="Times New Roman" w:cs="Times New Roman"/>
          <w:sz w:val="24"/>
          <w:szCs w:val="24"/>
        </w:rPr>
        <w:t xml:space="preserve"> kategoria „</w:t>
      </w:r>
      <w:r w:rsidR="00595140" w:rsidRPr="00595140">
        <w:rPr>
          <w:rFonts w:ascii="Times New Roman" w:hAnsi="Times New Roman" w:cs="Times New Roman"/>
          <w:sz w:val="24"/>
          <w:szCs w:val="24"/>
        </w:rPr>
        <w:t>wyjątk</w:t>
      </w:r>
      <w:r w:rsidR="00595140">
        <w:rPr>
          <w:rFonts w:ascii="Times New Roman" w:hAnsi="Times New Roman" w:cs="Times New Roman"/>
          <w:sz w:val="24"/>
          <w:szCs w:val="24"/>
        </w:rPr>
        <w:t>ów</w:t>
      </w:r>
      <w:r w:rsidR="00595140" w:rsidRPr="00595140">
        <w:rPr>
          <w:rFonts w:ascii="Times New Roman" w:hAnsi="Times New Roman" w:cs="Times New Roman"/>
          <w:sz w:val="24"/>
          <w:szCs w:val="24"/>
        </w:rPr>
        <w:t xml:space="preserve"> i wyłącze</w:t>
      </w:r>
      <w:r w:rsidR="00595140">
        <w:rPr>
          <w:rFonts w:ascii="Times New Roman" w:hAnsi="Times New Roman" w:cs="Times New Roman"/>
          <w:sz w:val="24"/>
          <w:szCs w:val="24"/>
        </w:rPr>
        <w:t xml:space="preserve">ń” ma szeroki charakter i umożliwi wprowadzanie np. wyłączeń podmiotowych (załóżmy, że mamy do czynienia z przedsięwzięciem, którego </w:t>
      </w:r>
      <w:r w:rsidR="00595140" w:rsidRPr="00595140">
        <w:rPr>
          <w:rFonts w:ascii="Times New Roman" w:hAnsi="Times New Roman" w:cs="Times New Roman"/>
          <w:sz w:val="24"/>
          <w:szCs w:val="24"/>
        </w:rPr>
        <w:t>organizatorem są organy państwa lub samorządu</w:t>
      </w:r>
      <w:r w:rsidR="00595140">
        <w:rPr>
          <w:rFonts w:ascii="Times New Roman" w:hAnsi="Times New Roman" w:cs="Times New Roman"/>
          <w:sz w:val="24"/>
          <w:szCs w:val="24"/>
        </w:rPr>
        <w:t xml:space="preserve"> </w:t>
      </w:r>
      <w:r w:rsidR="00595140" w:rsidRPr="00595140">
        <w:rPr>
          <w:rFonts w:ascii="Times New Roman" w:hAnsi="Times New Roman" w:cs="Times New Roman"/>
          <w:sz w:val="24"/>
          <w:szCs w:val="24"/>
        </w:rPr>
        <w:t>terytorialnego</w:t>
      </w:r>
      <w:r w:rsidR="00595140">
        <w:rPr>
          <w:rFonts w:ascii="Times New Roman" w:hAnsi="Times New Roman" w:cs="Times New Roman"/>
          <w:sz w:val="24"/>
          <w:szCs w:val="24"/>
        </w:rPr>
        <w:t>) lub przedmiotowych (określone kategorie imprez, pokazów, wydarzeń, itd.). Jednocześnie projektodawca nakłada na rady gmin obowiązek „powołania się</w:t>
      </w:r>
      <w:r w:rsidR="00595140" w:rsidRPr="00595140">
        <w:rPr>
          <w:rFonts w:ascii="Times New Roman" w:hAnsi="Times New Roman" w:cs="Times New Roman"/>
          <w:sz w:val="24"/>
          <w:szCs w:val="24"/>
        </w:rPr>
        <w:t xml:space="preserve"> na ważny cel</w:t>
      </w:r>
      <w:r w:rsidR="00595140">
        <w:rPr>
          <w:rFonts w:ascii="Times New Roman" w:hAnsi="Times New Roman" w:cs="Times New Roman"/>
          <w:sz w:val="24"/>
          <w:szCs w:val="24"/>
        </w:rPr>
        <w:t xml:space="preserve">” przy rozstrzygnięciach tego rodzaju, co będzie wychodziło naprzeciw ewentualnej arbitralności podejmowanych decyzji. W treści </w:t>
      </w:r>
      <w:r w:rsidR="00595140" w:rsidRPr="00595140">
        <w:rPr>
          <w:rFonts w:ascii="Times New Roman" w:hAnsi="Times New Roman" w:cs="Times New Roman"/>
          <w:b/>
          <w:bCs/>
          <w:sz w:val="24"/>
          <w:szCs w:val="24"/>
        </w:rPr>
        <w:t>projektowanego art. 6a ust. 3</w:t>
      </w:r>
      <w:r w:rsidR="00595140">
        <w:rPr>
          <w:rFonts w:ascii="Times New Roman" w:hAnsi="Times New Roman" w:cs="Times New Roman"/>
          <w:sz w:val="24"/>
          <w:szCs w:val="24"/>
        </w:rPr>
        <w:t xml:space="preserve"> proponuje się przykładowe wyjątki czasowe w postaci „</w:t>
      </w:r>
      <w:r w:rsidR="00595140" w:rsidRPr="00595140">
        <w:rPr>
          <w:rFonts w:ascii="Times New Roman" w:hAnsi="Times New Roman" w:cs="Times New Roman"/>
          <w:sz w:val="24"/>
          <w:szCs w:val="24"/>
        </w:rPr>
        <w:t>31 grudnia i 1 stycznia</w:t>
      </w:r>
      <w:r w:rsidR="00595140">
        <w:rPr>
          <w:rFonts w:ascii="Times New Roman" w:hAnsi="Times New Roman" w:cs="Times New Roman"/>
          <w:sz w:val="24"/>
          <w:szCs w:val="24"/>
        </w:rPr>
        <w:t>” z powołaniem „</w:t>
      </w:r>
      <w:r w:rsidR="00595140" w:rsidRPr="00595140">
        <w:rPr>
          <w:rFonts w:ascii="Times New Roman" w:hAnsi="Times New Roman" w:cs="Times New Roman"/>
          <w:sz w:val="24"/>
          <w:szCs w:val="24"/>
        </w:rPr>
        <w:t>na tradycyjny sposób celebrowania Nowego Roku</w:t>
      </w:r>
      <w:r w:rsidR="00595140">
        <w:rPr>
          <w:rFonts w:ascii="Times New Roman" w:hAnsi="Times New Roman" w:cs="Times New Roman"/>
          <w:sz w:val="24"/>
          <w:szCs w:val="24"/>
        </w:rPr>
        <w:t xml:space="preserve">”. Mając jednak na uwadze cel proponowanej zmiany, jest to jedynie możliwość i nie ma przeszkód, aby ograniczenia i zakazy dotyczyły także i tych dni. </w:t>
      </w:r>
    </w:p>
    <w:p w14:paraId="06EDD0C7" w14:textId="10FA76BC" w:rsidR="0012600F" w:rsidRDefault="0012600F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Wprowadzana zmiana dotyczy zakazu i ograniczeń wykorzystywania – „używania” wyrobów pirotechnicznych i generalnie nie ustanawia możliwości wprowadzania zakazu handlu tymi wyrobami. Jednakże nie sposób nie zauważyć, że szczególnie w okresie noworocznym podstawowym źródłem dostępności tego typu produktów staje się handel okrężny – prowadzony </w:t>
      </w:r>
      <w:r w:rsidRPr="0012600F">
        <w:rPr>
          <w:rFonts w:ascii="Times New Roman" w:hAnsi="Times New Roman" w:cs="Times New Roman"/>
          <w:sz w:val="24"/>
          <w:szCs w:val="24"/>
        </w:rPr>
        <w:t>z ręki, koszów, stoisk, wozów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600F">
        <w:rPr>
          <w:rFonts w:ascii="Times New Roman" w:hAnsi="Times New Roman" w:cs="Times New Roman"/>
          <w:sz w:val="24"/>
          <w:szCs w:val="24"/>
        </w:rPr>
        <w:t>przyczep, pojazdów samochodowych</w:t>
      </w:r>
      <w:r>
        <w:rPr>
          <w:rFonts w:ascii="Times New Roman" w:hAnsi="Times New Roman" w:cs="Times New Roman"/>
          <w:sz w:val="24"/>
          <w:szCs w:val="24"/>
        </w:rPr>
        <w:t xml:space="preserve">, itd. Dla realizacji celu projektowanej zmiany uwidacznia się potrzeba ograniczania dostępności wyrobów pirotechnicznych przynajmniej w odniesieniu do tak wskazanego zakresu. Stąd też </w:t>
      </w:r>
      <w:r w:rsidRPr="0012600F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projektowanego</w:t>
      </w:r>
      <w:r w:rsidRPr="0012600F">
        <w:rPr>
          <w:rFonts w:ascii="Times New Roman" w:hAnsi="Times New Roman" w:cs="Times New Roman"/>
          <w:b/>
          <w:bCs/>
          <w:sz w:val="24"/>
          <w:szCs w:val="24"/>
        </w:rPr>
        <w:t xml:space="preserve"> art. 6a ust. 4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12600F">
        <w:rPr>
          <w:rFonts w:ascii="Times New Roman" w:hAnsi="Times New Roman" w:cs="Times New Roman"/>
          <w:sz w:val="24"/>
          <w:szCs w:val="24"/>
        </w:rPr>
        <w:t xml:space="preserve">rada gminy może </w:t>
      </w:r>
      <w:r>
        <w:rPr>
          <w:rFonts w:ascii="Times New Roman" w:hAnsi="Times New Roman" w:cs="Times New Roman"/>
          <w:sz w:val="24"/>
          <w:szCs w:val="24"/>
        </w:rPr>
        <w:t xml:space="preserve">(…) </w:t>
      </w:r>
      <w:r w:rsidRPr="0012600F">
        <w:rPr>
          <w:rFonts w:ascii="Times New Roman" w:hAnsi="Times New Roman" w:cs="Times New Roman"/>
          <w:sz w:val="24"/>
          <w:szCs w:val="24"/>
        </w:rPr>
        <w:t>określić zakaz prowadzenia handlu okrężnego w zakresie niedozwolonych wyrobów pirotechnicznych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260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Jednocześnie nie znajduje tu zastosowania projektowany przepis ust. 3 – nie wydaje się uzasadnione wprowadzanie w tym zakresie jakichś wyjątków i np. wyłączeń czasowych. </w:t>
      </w:r>
      <w:r w:rsidR="00B95C0C">
        <w:rPr>
          <w:rFonts w:ascii="Times New Roman" w:hAnsi="Times New Roman" w:cs="Times New Roman"/>
          <w:sz w:val="24"/>
          <w:szCs w:val="24"/>
        </w:rPr>
        <w:t>Odnosząc się jeszcze do tej kwestii z perspektywy art. 22 Konstytucji RP, uznać należy, że cel regulacji staje się tu „ważnym interesem publicznym” a projektowane upoważnienie uznać należy za wypełnienie wymogu określenia ograniczenia „w drodze ustawy”. Sama uchwała będzie już jedynie aktualizować w pewnym wymiarze terytorialnym ustanowiony tu zakaz, co jest dopuszczalne</w:t>
      </w:r>
      <w:r w:rsidR="00B95C0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B95C0C">
        <w:rPr>
          <w:rFonts w:ascii="Times New Roman" w:hAnsi="Times New Roman" w:cs="Times New Roman"/>
          <w:sz w:val="24"/>
          <w:szCs w:val="24"/>
        </w:rPr>
        <w:t>.</w:t>
      </w:r>
    </w:p>
    <w:p w14:paraId="2D909BAD" w14:textId="0470CB95" w:rsidR="00821F84" w:rsidRDefault="00821F84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C0C">
        <w:rPr>
          <w:rFonts w:ascii="Times New Roman" w:hAnsi="Times New Roman" w:cs="Times New Roman"/>
          <w:sz w:val="24"/>
          <w:szCs w:val="24"/>
        </w:rPr>
        <w:t>Wychodząc naprzeciw potencjalnym i ewentualnym wątpliwościom dotyczącym charakteru prawnego projektowanego i nowego rodzaju uchwały rady gminy, proponuje się wyraźne wskazanie, że mamy tu do czynienia z aktem prawa miejscowego, co przekłada się również na sposób jej ogłoszenia i publikacji (</w:t>
      </w:r>
      <w:r w:rsidR="00B95C0C" w:rsidRPr="00B95C0C">
        <w:rPr>
          <w:rFonts w:ascii="Times New Roman" w:hAnsi="Times New Roman" w:cs="Times New Roman"/>
          <w:b/>
          <w:bCs/>
          <w:sz w:val="24"/>
          <w:szCs w:val="24"/>
        </w:rPr>
        <w:t>projektowany art. 6a ust. 5</w:t>
      </w:r>
      <w:r w:rsidR="00B95C0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90899E" w14:textId="77777777" w:rsidR="00B95C0C" w:rsidRDefault="00B95C0C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2B59" w14:textId="5C0C0393" w:rsidR="00B95C0C" w:rsidRDefault="00B95C0C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311A">
        <w:rPr>
          <w:rFonts w:ascii="Times New Roman" w:hAnsi="Times New Roman" w:cs="Times New Roman"/>
          <w:sz w:val="24"/>
          <w:szCs w:val="24"/>
        </w:rPr>
        <w:t xml:space="preserve">Niezbędne staje się również rozstrzygniecie kwestii sankcji za ewentualne naruszenie ustanowionych ograniczeń i zakazów. </w:t>
      </w:r>
      <w:r w:rsidR="00945DA0">
        <w:rPr>
          <w:rFonts w:ascii="Times New Roman" w:hAnsi="Times New Roman" w:cs="Times New Roman"/>
          <w:sz w:val="24"/>
          <w:szCs w:val="24"/>
        </w:rPr>
        <w:t xml:space="preserve">Naturalny kierunek stanowi </w:t>
      </w:r>
      <w:r w:rsidR="00945DA0" w:rsidRPr="00945DA0">
        <w:rPr>
          <w:rFonts w:ascii="Times New Roman" w:hAnsi="Times New Roman" w:cs="Times New Roman"/>
          <w:sz w:val="24"/>
          <w:szCs w:val="24"/>
        </w:rPr>
        <w:t>tryb i zasad</w:t>
      </w:r>
      <w:r w:rsidR="00945DA0">
        <w:rPr>
          <w:rFonts w:ascii="Times New Roman" w:hAnsi="Times New Roman" w:cs="Times New Roman"/>
          <w:sz w:val="24"/>
          <w:szCs w:val="24"/>
        </w:rPr>
        <w:t xml:space="preserve">y </w:t>
      </w:r>
      <w:r w:rsidR="00945DA0" w:rsidRPr="00945DA0">
        <w:rPr>
          <w:rFonts w:ascii="Times New Roman" w:hAnsi="Times New Roman" w:cs="Times New Roman"/>
          <w:sz w:val="24"/>
          <w:szCs w:val="24"/>
        </w:rPr>
        <w:t>określon</w:t>
      </w:r>
      <w:r w:rsidR="00945DA0">
        <w:rPr>
          <w:rFonts w:ascii="Times New Roman" w:hAnsi="Times New Roman" w:cs="Times New Roman"/>
          <w:sz w:val="24"/>
          <w:szCs w:val="24"/>
        </w:rPr>
        <w:t>e</w:t>
      </w:r>
      <w:r w:rsidR="00945DA0" w:rsidRPr="00945DA0">
        <w:rPr>
          <w:rFonts w:ascii="Times New Roman" w:hAnsi="Times New Roman" w:cs="Times New Roman"/>
          <w:sz w:val="24"/>
          <w:szCs w:val="24"/>
        </w:rPr>
        <w:t xml:space="preserve"> w prawie o wykroczeniach</w:t>
      </w:r>
      <w:r w:rsidR="00945DA0">
        <w:rPr>
          <w:rFonts w:ascii="Times New Roman" w:hAnsi="Times New Roman" w:cs="Times New Roman"/>
          <w:sz w:val="24"/>
          <w:szCs w:val="24"/>
        </w:rPr>
        <w:t xml:space="preserve"> oraz ustanowione już w ustawie zmienianej kary</w:t>
      </w:r>
      <w:r w:rsidR="00CB1708">
        <w:rPr>
          <w:rFonts w:ascii="Times New Roman" w:hAnsi="Times New Roman" w:cs="Times New Roman"/>
          <w:sz w:val="24"/>
          <w:szCs w:val="24"/>
        </w:rPr>
        <w:t xml:space="preserve"> („areszt lub grzywna”)</w:t>
      </w:r>
      <w:r w:rsidR="00945DA0">
        <w:rPr>
          <w:rFonts w:ascii="Times New Roman" w:hAnsi="Times New Roman" w:cs="Times New Roman"/>
          <w:sz w:val="24"/>
          <w:szCs w:val="24"/>
        </w:rPr>
        <w:t xml:space="preserve">. Z wielu względów nie jest celowe „przerzucanie” ustanowienia tych materii na rady gmin, gdyż winno się </w:t>
      </w:r>
      <w:r w:rsidR="00CB1708">
        <w:rPr>
          <w:rFonts w:ascii="Times New Roman" w:hAnsi="Times New Roman" w:cs="Times New Roman"/>
          <w:sz w:val="24"/>
          <w:szCs w:val="24"/>
        </w:rPr>
        <w:t xml:space="preserve">to </w:t>
      </w:r>
      <w:r w:rsidR="00945DA0">
        <w:rPr>
          <w:rFonts w:ascii="Times New Roman" w:hAnsi="Times New Roman" w:cs="Times New Roman"/>
          <w:sz w:val="24"/>
          <w:szCs w:val="24"/>
        </w:rPr>
        <w:t xml:space="preserve">odbyć na poziomie ustawy a przepis (wykorzystywany dotychczas) art. 40 ust. 4 u.s.g. ma charakter absolutnego wyjątku. Stąd też proponuje się nowelizację dotychczasowe </w:t>
      </w:r>
      <w:r w:rsidR="00945DA0" w:rsidRPr="00195FFB">
        <w:rPr>
          <w:rFonts w:ascii="Times New Roman" w:hAnsi="Times New Roman" w:cs="Times New Roman"/>
          <w:b/>
          <w:bCs/>
          <w:sz w:val="24"/>
          <w:szCs w:val="24"/>
        </w:rPr>
        <w:t>art. 37</w:t>
      </w:r>
      <w:r w:rsidR="00945DA0">
        <w:rPr>
          <w:rFonts w:ascii="Times New Roman" w:hAnsi="Times New Roman" w:cs="Times New Roman"/>
          <w:sz w:val="24"/>
          <w:szCs w:val="24"/>
        </w:rPr>
        <w:t xml:space="preserve"> ustawy </w:t>
      </w:r>
      <w:r w:rsidR="00945DA0" w:rsidRPr="00945DA0">
        <w:rPr>
          <w:rFonts w:ascii="Times New Roman" w:hAnsi="Times New Roman" w:cs="Times New Roman"/>
          <w:sz w:val="24"/>
          <w:szCs w:val="24"/>
        </w:rPr>
        <w:t>z dnia 21 sierpnia 1997 r. o ochronie zwierząt</w:t>
      </w:r>
      <w:r w:rsidR="00945DA0">
        <w:rPr>
          <w:rFonts w:ascii="Times New Roman" w:hAnsi="Times New Roman" w:cs="Times New Roman"/>
          <w:sz w:val="24"/>
          <w:szCs w:val="24"/>
        </w:rPr>
        <w:t xml:space="preserve"> poprzez dodanie do niego </w:t>
      </w:r>
      <w:r w:rsidR="00945DA0" w:rsidRPr="00945DA0">
        <w:rPr>
          <w:rFonts w:ascii="Times New Roman" w:hAnsi="Times New Roman" w:cs="Times New Roman"/>
          <w:b/>
          <w:bCs/>
          <w:sz w:val="24"/>
          <w:szCs w:val="24"/>
        </w:rPr>
        <w:t>ust. 1a</w:t>
      </w:r>
      <w:r w:rsidR="00945DA0">
        <w:rPr>
          <w:rFonts w:ascii="Times New Roman" w:hAnsi="Times New Roman" w:cs="Times New Roman"/>
          <w:sz w:val="24"/>
          <w:szCs w:val="24"/>
        </w:rPr>
        <w:t xml:space="preserve"> o treści: „</w:t>
      </w:r>
      <w:r w:rsidR="00945DA0" w:rsidRPr="00945DA0">
        <w:rPr>
          <w:rFonts w:ascii="Times New Roman" w:hAnsi="Times New Roman" w:cs="Times New Roman"/>
          <w:sz w:val="24"/>
          <w:szCs w:val="24"/>
        </w:rPr>
        <w:t>Tej samej karze podlega, kto narusza zakazy i ograniczenia ustanowione w uchwale rady gminy, o której mowa w art. 6a ust. 1</w:t>
      </w:r>
      <w:r w:rsidR="00945DA0">
        <w:rPr>
          <w:rFonts w:ascii="Times New Roman" w:hAnsi="Times New Roman" w:cs="Times New Roman"/>
          <w:sz w:val="24"/>
          <w:szCs w:val="24"/>
        </w:rPr>
        <w:t>”</w:t>
      </w:r>
      <w:r w:rsidR="00945D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945DA0" w:rsidRPr="00945DA0">
        <w:rPr>
          <w:rFonts w:ascii="Times New Roman" w:hAnsi="Times New Roman" w:cs="Times New Roman"/>
          <w:sz w:val="24"/>
          <w:szCs w:val="24"/>
        </w:rPr>
        <w:t>.</w:t>
      </w:r>
      <w:r w:rsidR="00195FFB">
        <w:rPr>
          <w:rFonts w:ascii="Times New Roman" w:hAnsi="Times New Roman" w:cs="Times New Roman"/>
          <w:sz w:val="24"/>
          <w:szCs w:val="24"/>
        </w:rPr>
        <w:t xml:space="preserve"> Jednocześnie wymagało rozstrzygnięcia, że:</w:t>
      </w:r>
    </w:p>
    <w:p w14:paraId="739227C3" w14:textId="361E6D4A" w:rsidR="00195FFB" w:rsidRDefault="00195FFB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karalne będzie tu „usiłowanie i pomocnictwo” (</w:t>
      </w:r>
      <w:r w:rsidRPr="00195FFB">
        <w:rPr>
          <w:rFonts w:ascii="Times New Roman" w:hAnsi="Times New Roman" w:cs="Times New Roman"/>
          <w:b/>
          <w:bCs/>
          <w:sz w:val="24"/>
          <w:szCs w:val="24"/>
        </w:rPr>
        <w:t>projektowane zdanie drugie w ust. 2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5FA2559" w14:textId="119FE132" w:rsidR="00195FFB" w:rsidRDefault="00195FFB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można orzec przepadek </w:t>
      </w:r>
      <w:r w:rsidRPr="00195FFB">
        <w:rPr>
          <w:rFonts w:ascii="Times New Roman" w:hAnsi="Times New Roman" w:cs="Times New Roman"/>
          <w:sz w:val="24"/>
          <w:szCs w:val="24"/>
        </w:rPr>
        <w:t>narzędzi i przedmiotów</w:t>
      </w:r>
      <w:r>
        <w:rPr>
          <w:rFonts w:ascii="Times New Roman" w:hAnsi="Times New Roman" w:cs="Times New Roman"/>
          <w:sz w:val="24"/>
          <w:szCs w:val="24"/>
        </w:rPr>
        <w:t xml:space="preserve"> wykroczenia </w:t>
      </w:r>
      <w:r w:rsidRPr="00195FFB">
        <w:rPr>
          <w:rFonts w:ascii="Times New Roman" w:hAnsi="Times New Roman" w:cs="Times New Roman"/>
          <w:sz w:val="24"/>
          <w:szCs w:val="24"/>
        </w:rPr>
        <w:t>(</w:t>
      </w:r>
      <w:r w:rsidRPr="00195FFB">
        <w:rPr>
          <w:rFonts w:ascii="Times New Roman" w:hAnsi="Times New Roman" w:cs="Times New Roman"/>
          <w:b/>
          <w:bCs/>
          <w:sz w:val="24"/>
          <w:szCs w:val="24"/>
        </w:rPr>
        <w:t>projektowane zdanie drugie w ust. 3</w:t>
      </w:r>
      <w:r w:rsidRPr="00195FFB">
        <w:rPr>
          <w:rFonts w:ascii="Times New Roman" w:hAnsi="Times New Roman" w:cs="Times New Roman"/>
          <w:sz w:val="24"/>
          <w:szCs w:val="24"/>
        </w:rPr>
        <w:t>),</w:t>
      </w:r>
    </w:p>
    <w:p w14:paraId="30B90BFE" w14:textId="14744CE6" w:rsidR="00195FFB" w:rsidRDefault="00195FFB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może się tu pojawić nawiązka </w:t>
      </w:r>
      <w:r w:rsidRPr="00195FFB">
        <w:rPr>
          <w:rFonts w:ascii="Times New Roman" w:hAnsi="Times New Roman" w:cs="Times New Roman"/>
          <w:sz w:val="24"/>
          <w:szCs w:val="24"/>
        </w:rPr>
        <w:t>na cel związany z ochroną zwierząt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95FFB">
        <w:rPr>
          <w:rFonts w:ascii="Times New Roman" w:hAnsi="Times New Roman" w:cs="Times New Roman"/>
          <w:b/>
          <w:bCs/>
          <w:sz w:val="24"/>
          <w:szCs w:val="24"/>
        </w:rPr>
        <w:t>nowe brzmienie ust. 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F923928" w14:textId="77777777" w:rsidR="00195FFB" w:rsidRDefault="00195FFB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91FA4" w14:textId="6C220B99" w:rsidR="00195FFB" w:rsidRDefault="00195FFB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Projektowana zmiana w pewnym sensie ma wychodzić naprzeciw nie do końca właściwej praktyce ustanawiania zakazów używania fajerwerków i petard. Niezależnie od dokonanego wyboru i połączenia tej materii </w:t>
      </w:r>
      <w:r w:rsidR="00666827">
        <w:rPr>
          <w:rFonts w:ascii="Times New Roman" w:hAnsi="Times New Roman" w:cs="Times New Roman"/>
          <w:sz w:val="24"/>
          <w:szCs w:val="24"/>
        </w:rPr>
        <w:t xml:space="preserve">z wartościami ustawy o ochronie zwierząt należy zarazem „przeciąć” sytuacje niweczące urzeczywistnianie zasady pewności prawa w tym zakresie i naprawić niejednolitą praktykę działania organów nadzoru w tym obszarze. Proponuje się zatem – </w:t>
      </w:r>
      <w:r w:rsidR="00666827" w:rsidRPr="00666827">
        <w:rPr>
          <w:rFonts w:ascii="Times New Roman" w:hAnsi="Times New Roman" w:cs="Times New Roman"/>
          <w:b/>
          <w:bCs/>
          <w:sz w:val="24"/>
          <w:szCs w:val="24"/>
        </w:rPr>
        <w:t>art. 2 ustawy</w:t>
      </w:r>
      <w:r w:rsidR="00666827">
        <w:rPr>
          <w:rFonts w:ascii="Times New Roman" w:hAnsi="Times New Roman" w:cs="Times New Roman"/>
          <w:sz w:val="24"/>
          <w:szCs w:val="24"/>
        </w:rPr>
        <w:t xml:space="preserve"> – doprowadzić do sytuacji odebrania mocy obowiązującej wszystkim aktom (uchwałom) „</w:t>
      </w:r>
      <w:r w:rsidR="00666827" w:rsidRPr="00666827">
        <w:rPr>
          <w:rFonts w:ascii="Times New Roman" w:hAnsi="Times New Roman" w:cs="Times New Roman"/>
          <w:sz w:val="24"/>
          <w:szCs w:val="24"/>
        </w:rPr>
        <w:t>ustanawiając</w:t>
      </w:r>
      <w:r w:rsidR="00666827">
        <w:rPr>
          <w:rFonts w:ascii="Times New Roman" w:hAnsi="Times New Roman" w:cs="Times New Roman"/>
          <w:sz w:val="24"/>
          <w:szCs w:val="24"/>
        </w:rPr>
        <w:t>ym</w:t>
      </w:r>
      <w:r w:rsidR="00666827" w:rsidRPr="00666827">
        <w:rPr>
          <w:rFonts w:ascii="Times New Roman" w:hAnsi="Times New Roman" w:cs="Times New Roman"/>
          <w:sz w:val="24"/>
          <w:szCs w:val="24"/>
        </w:rPr>
        <w:t xml:space="preserve"> przepisy porządkowe w przedmiocie używania fajerwerków, petard i innych wyrobów, materiałów lub środków pirotechnicznych, ogłuszających lub działających na podobnych zasadach</w:t>
      </w:r>
      <w:r w:rsidR="00666827">
        <w:rPr>
          <w:rFonts w:ascii="Times New Roman" w:hAnsi="Times New Roman" w:cs="Times New Roman"/>
          <w:sz w:val="24"/>
          <w:szCs w:val="24"/>
        </w:rPr>
        <w:t xml:space="preserve">”. Dość szerokie określenie przedmiotu tych regulacji i wskazanie, że są one wydawane jako przepisy porządkowe z u.s.g. winno jasno określać, o które uchwały tu chodzi. Pozornie może to budzić pewne wątpliwości z punktu widzenia możliwości takiego decydowania o losach określonych aktów prawa miejscowego na poziomie – zdawałoby się – innej ustawy. Jednakże projektowaną wypowiedź można też traktować z perspektywy pewnego „dookreślenia” art. 40 ust. 3 u.s.g. i „doprecyzowania” znajdującej się tam podstawy. Jeżeli przyjmiemy, że tylko ustawa może być źródłem mocy obowiązującej dla aktu prawa miejscowego (również źródłem jej odebrania), to proponowana wypowiedź – </w:t>
      </w:r>
      <w:r w:rsidR="00666827" w:rsidRPr="00666827">
        <w:rPr>
          <w:rFonts w:ascii="Times New Roman" w:hAnsi="Times New Roman" w:cs="Times New Roman"/>
          <w:b/>
          <w:bCs/>
          <w:sz w:val="24"/>
          <w:szCs w:val="24"/>
        </w:rPr>
        <w:t>w art. 2</w:t>
      </w:r>
      <w:r w:rsidR="00666827">
        <w:rPr>
          <w:rFonts w:ascii="Times New Roman" w:hAnsi="Times New Roman" w:cs="Times New Roman"/>
          <w:sz w:val="24"/>
          <w:szCs w:val="24"/>
        </w:rPr>
        <w:t xml:space="preserve"> – jest w pełni uzasadniona. </w:t>
      </w:r>
    </w:p>
    <w:p w14:paraId="06519A09" w14:textId="77777777" w:rsidR="00666827" w:rsidRDefault="00666827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C8652" w14:textId="020F2993" w:rsidR="00666827" w:rsidRPr="003F69D2" w:rsidRDefault="00666827" w:rsidP="0059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projektowanym </w:t>
      </w:r>
      <w:r w:rsidRPr="00A92C9F">
        <w:rPr>
          <w:rFonts w:ascii="Times New Roman" w:hAnsi="Times New Roman" w:cs="Times New Roman"/>
          <w:b/>
          <w:bCs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 xml:space="preserve"> przyjęto ogólną zasadę (</w:t>
      </w:r>
      <w:r w:rsidR="00A92C9F">
        <w:rPr>
          <w:rFonts w:ascii="Times New Roman" w:hAnsi="Times New Roman" w:cs="Times New Roman"/>
          <w:sz w:val="24"/>
          <w:szCs w:val="24"/>
        </w:rPr>
        <w:t xml:space="preserve">art. 4 ust. 1 ustawy z </w:t>
      </w:r>
      <w:r w:rsidR="00A92C9F" w:rsidRPr="00A92C9F">
        <w:rPr>
          <w:rFonts w:ascii="Times New Roman" w:hAnsi="Times New Roman" w:cs="Times New Roman"/>
          <w:sz w:val="24"/>
          <w:szCs w:val="24"/>
        </w:rPr>
        <w:t>dnia 20 lipca 2000 r.</w:t>
      </w:r>
      <w:r w:rsidR="00A92C9F">
        <w:rPr>
          <w:rFonts w:ascii="Times New Roman" w:hAnsi="Times New Roman" w:cs="Times New Roman"/>
          <w:sz w:val="24"/>
          <w:szCs w:val="24"/>
        </w:rPr>
        <w:t xml:space="preserve"> </w:t>
      </w:r>
      <w:r w:rsidR="00A92C9F" w:rsidRPr="00A92C9F">
        <w:rPr>
          <w:rFonts w:ascii="Times New Roman" w:hAnsi="Times New Roman" w:cs="Times New Roman"/>
          <w:sz w:val="24"/>
          <w:szCs w:val="24"/>
        </w:rPr>
        <w:t>o ogłaszaniu aktów normatywnych i niektórych innych aktów prawnych</w:t>
      </w:r>
      <w:r w:rsidR="00A92C9F">
        <w:rPr>
          <w:rFonts w:ascii="Times New Roman" w:hAnsi="Times New Roman" w:cs="Times New Roman"/>
          <w:sz w:val="24"/>
          <w:szCs w:val="24"/>
        </w:rPr>
        <w:t>; Dz. U. z 2019 r. poz. 1461</w:t>
      </w:r>
      <w:r>
        <w:rPr>
          <w:rFonts w:ascii="Times New Roman" w:hAnsi="Times New Roman" w:cs="Times New Roman"/>
          <w:sz w:val="24"/>
          <w:szCs w:val="24"/>
        </w:rPr>
        <w:t xml:space="preserve">), że zmiana wejdzie w życie po </w:t>
      </w:r>
      <w:r w:rsidRPr="00666827">
        <w:rPr>
          <w:rFonts w:ascii="Times New Roman" w:hAnsi="Times New Roman" w:cs="Times New Roman"/>
          <w:sz w:val="24"/>
          <w:szCs w:val="24"/>
        </w:rPr>
        <w:t>upływie 14 dni od dnia ogłoszenia.</w:t>
      </w:r>
      <w:r>
        <w:rPr>
          <w:rFonts w:ascii="Times New Roman" w:hAnsi="Times New Roman" w:cs="Times New Roman"/>
          <w:sz w:val="24"/>
          <w:szCs w:val="24"/>
        </w:rPr>
        <w:t xml:space="preserve"> Nie wydaje się potrzebne określanie terminu dłuższego a </w:t>
      </w:r>
      <w:r w:rsidR="00A92C9F">
        <w:rPr>
          <w:rFonts w:ascii="Times New Roman" w:hAnsi="Times New Roman" w:cs="Times New Roman"/>
          <w:sz w:val="24"/>
          <w:szCs w:val="24"/>
        </w:rPr>
        <w:t xml:space="preserve">projektowana treść zostanie w pełni </w:t>
      </w:r>
      <w:r w:rsidR="001C5B02">
        <w:rPr>
          <w:rFonts w:ascii="Times New Roman" w:hAnsi="Times New Roman" w:cs="Times New Roman"/>
          <w:sz w:val="24"/>
          <w:szCs w:val="24"/>
        </w:rPr>
        <w:t xml:space="preserve">urzeczywistniona </w:t>
      </w:r>
      <w:r w:rsidR="00A92C9F">
        <w:rPr>
          <w:rFonts w:ascii="Times New Roman" w:hAnsi="Times New Roman" w:cs="Times New Roman"/>
          <w:sz w:val="24"/>
          <w:szCs w:val="24"/>
        </w:rPr>
        <w:t xml:space="preserve">dopiero po zrealizowaniu wprowadzanych reguł na poziomie rad gmin. </w:t>
      </w:r>
    </w:p>
    <w:sectPr w:rsidR="00666827" w:rsidRPr="003F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842E" w14:textId="77777777" w:rsidR="003D248D" w:rsidRDefault="003D248D" w:rsidP="00EA545E">
      <w:pPr>
        <w:spacing w:after="0" w:line="240" w:lineRule="auto"/>
      </w:pPr>
      <w:r>
        <w:separator/>
      </w:r>
    </w:p>
  </w:endnote>
  <w:endnote w:type="continuationSeparator" w:id="0">
    <w:p w14:paraId="144FDD36" w14:textId="77777777" w:rsidR="003D248D" w:rsidRDefault="003D248D" w:rsidP="00EA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F0BA" w14:textId="77777777" w:rsidR="003D248D" w:rsidRDefault="003D248D" w:rsidP="00EA545E">
      <w:pPr>
        <w:spacing w:after="0" w:line="240" w:lineRule="auto"/>
      </w:pPr>
      <w:r>
        <w:separator/>
      </w:r>
    </w:p>
  </w:footnote>
  <w:footnote w:type="continuationSeparator" w:id="0">
    <w:p w14:paraId="41CED49C" w14:textId="77777777" w:rsidR="003D248D" w:rsidRDefault="003D248D" w:rsidP="00EA545E">
      <w:pPr>
        <w:spacing w:after="0" w:line="240" w:lineRule="auto"/>
      </w:pPr>
      <w:r>
        <w:continuationSeparator/>
      </w:r>
    </w:p>
  </w:footnote>
  <w:footnote w:id="1">
    <w:p w14:paraId="49C46B85" w14:textId="45503C72" w:rsidR="00777DE1" w:rsidRDefault="00777DE1">
      <w:pPr>
        <w:pStyle w:val="Tekstprzypisudolnego"/>
      </w:pPr>
      <w:r>
        <w:rPr>
          <w:rStyle w:val="Odwoanieprzypisudolnego"/>
        </w:rPr>
        <w:footnoteRef/>
      </w:r>
      <w:r>
        <w:t xml:space="preserve"> W tym zakresie </w:t>
      </w:r>
      <w:r w:rsidR="008F3A35">
        <w:t>można by się odwołać do regulacji</w:t>
      </w:r>
      <w:r>
        <w:t xml:space="preserve"> ustawy </w:t>
      </w:r>
      <w:r w:rsidRPr="00777DE1">
        <w:t>z dnia 27 kwietnia 2001 r.</w:t>
      </w:r>
      <w:r>
        <w:t xml:space="preserve"> – Prawo ochrony środowiska </w:t>
      </w:r>
      <w:r w:rsidR="007856DD">
        <w:t>(</w:t>
      </w:r>
      <w:r>
        <w:t xml:space="preserve">Dz. U. z 2022 r. poz. </w:t>
      </w:r>
      <w:r w:rsidR="007856DD">
        <w:t>2556 ze zm.), która zawiera np. możliwość „ustanawiania</w:t>
      </w:r>
      <w:r w:rsidR="007856DD" w:rsidRPr="007856DD">
        <w:t xml:space="preserve"> ogranicze</w:t>
      </w:r>
      <w:r w:rsidR="007856DD">
        <w:t>ń</w:t>
      </w:r>
      <w:r w:rsidR="007856DD" w:rsidRPr="007856DD">
        <w:t xml:space="preserve"> co do czasu funkcjonowania instalacji lub korzystania z urządzeń, z których emitowany hałas może negatywnie oddziaływać na środowisko</w:t>
      </w:r>
      <w:r w:rsidR="007856DD">
        <w:t xml:space="preserve">” (art. 157 ust. 1 ww. ustawy). Jednakże </w:t>
      </w:r>
      <w:r w:rsidR="008F3A35">
        <w:t xml:space="preserve">z pewnością </w:t>
      </w:r>
      <w:r w:rsidR="007856DD">
        <w:t xml:space="preserve">projektowany zamysł wykracza poza cele i wartości tej ustawy. </w:t>
      </w:r>
    </w:p>
  </w:footnote>
  <w:footnote w:id="2">
    <w:p w14:paraId="0F0002A1" w14:textId="55D3D15E" w:rsidR="00EA545E" w:rsidRDefault="00EA545E">
      <w:pPr>
        <w:pStyle w:val="Tekstprzypisudolnego"/>
      </w:pPr>
      <w:r>
        <w:rPr>
          <w:rStyle w:val="Odwoanieprzypisudolnego"/>
        </w:rPr>
        <w:footnoteRef/>
      </w:r>
      <w:r>
        <w:t xml:space="preserve"> Dalej jako: „u.s.g.”. </w:t>
      </w:r>
    </w:p>
  </w:footnote>
  <w:footnote w:id="3">
    <w:p w14:paraId="64435E1E" w14:textId="4FC735BC" w:rsidR="00072A93" w:rsidRPr="00072A93" w:rsidRDefault="00072A93">
      <w:pPr>
        <w:pStyle w:val="Tekstprzypisudolnego"/>
      </w:pPr>
      <w:r>
        <w:rPr>
          <w:rStyle w:val="Odwoanieprzypisudolnego"/>
        </w:rPr>
        <w:footnoteRef/>
      </w:r>
      <w:r>
        <w:t xml:space="preserve"> „</w:t>
      </w:r>
      <w:r w:rsidRPr="00072A93">
        <w:t xml:space="preserve">Do pełnego zrealizowania przewidzianej przez ustawodawcę przesłanki faktycznej konieczna jest nie tylko właściwa ocena, czy mamy do czynienia z danym dobrem prawnie chronionym, lecz także uznanie </w:t>
      </w:r>
      <w:r>
        <w:rPr>
          <w:rFonts w:cs="Times New Roman"/>
        </w:rPr>
        <w:t>«</w:t>
      </w:r>
      <w:r w:rsidRPr="00072A93">
        <w:t>niezbędności</w:t>
      </w:r>
      <w:r>
        <w:rPr>
          <w:rFonts w:cs="Times New Roman"/>
        </w:rPr>
        <w:t>»</w:t>
      </w:r>
      <w:r w:rsidRPr="00072A93">
        <w:t xml:space="preserve"> jego ochrony, a więc stwierdzenie zaistnienia takiego stanu faktycznego, w którym te dobra są zagrożone w takim stopniu, że dla ich ochrony </w:t>
      </w:r>
      <w:r>
        <w:rPr>
          <w:rFonts w:cs="Times New Roman"/>
        </w:rPr>
        <w:t>«</w:t>
      </w:r>
      <w:r w:rsidRPr="00072A93">
        <w:t>niezbędne</w:t>
      </w:r>
      <w:r>
        <w:rPr>
          <w:rFonts w:cs="Times New Roman"/>
        </w:rPr>
        <w:t>»</w:t>
      </w:r>
      <w:r w:rsidRPr="00072A93">
        <w:t xml:space="preserve"> jest wydanie aktu porządkowego</w:t>
      </w:r>
      <w:r>
        <w:t xml:space="preserve">”, D. Dąbek, komentarz do art. 40 u.s.g. [w:] </w:t>
      </w:r>
      <w:r w:rsidRPr="00072A93">
        <w:rPr>
          <w:i/>
          <w:iCs/>
        </w:rPr>
        <w:t>Ustawa o samorządzie gminnym</w:t>
      </w:r>
      <w:r>
        <w:t xml:space="preserve">, red. P. Chmielnicki, LEX/el. 2022. </w:t>
      </w:r>
    </w:p>
  </w:footnote>
  <w:footnote w:id="4">
    <w:p w14:paraId="24EBE7B7" w14:textId="56793EA0" w:rsidR="00EA545E" w:rsidRDefault="00EA545E">
      <w:pPr>
        <w:pStyle w:val="Tekstprzypisudolnego"/>
      </w:pPr>
      <w:r>
        <w:rPr>
          <w:rStyle w:val="Odwoanieprzypisudolnego"/>
        </w:rPr>
        <w:footnoteRef/>
      </w:r>
      <w:r>
        <w:t xml:space="preserve"> Dodatkowo większość wywołanych uchwał stanowi jednocześnie możliwość wydawania </w:t>
      </w:r>
      <w:r w:rsidR="007856DD">
        <w:t xml:space="preserve">przez organy wykonawcze (wójtów, burmistrzów, prezydentów) </w:t>
      </w:r>
      <w:r>
        <w:t xml:space="preserve">określonych zgód – uchylających generalny zakaz, co również wywołuje uzasadnione wątpliwości w zakresie charakteru prawnego takich wypowiedzi i ich podstawy prawnej. Tak np. upoważnia się „(…) </w:t>
      </w:r>
      <w:r w:rsidRPr="00EA545E">
        <w:t>Wójta Gminy Białe Błota do wyrażenia zgody na używanie fajerwerków, petard i innych środków pirotechnicznych, w szczególnie uzasadnionych przypadkach, w okresie obowiązywania zakazu</w:t>
      </w:r>
      <w:r>
        <w:t xml:space="preserve">” </w:t>
      </w:r>
      <w:r w:rsidR="00777DE1">
        <w:t>–</w:t>
      </w:r>
      <w:r>
        <w:t xml:space="preserve"> </w:t>
      </w:r>
      <w:r w:rsidR="00777DE1">
        <w:t xml:space="preserve">przepis </w:t>
      </w:r>
      <w:r w:rsidRPr="00EA545E">
        <w:t>§</w:t>
      </w:r>
      <w:r>
        <w:t xml:space="preserve"> </w:t>
      </w:r>
      <w:r w:rsidRPr="00EA545E">
        <w:t>2</w:t>
      </w:r>
      <w:r>
        <w:t xml:space="preserve"> </w:t>
      </w:r>
      <w:r w:rsidRPr="00EA545E">
        <w:t>UCHWAŁ</w:t>
      </w:r>
      <w:r>
        <w:t>Y</w:t>
      </w:r>
      <w:r w:rsidRPr="00EA545E">
        <w:t xml:space="preserve"> Nr RGK.0007.8.2019</w:t>
      </w:r>
      <w:r>
        <w:t xml:space="preserve"> </w:t>
      </w:r>
      <w:r w:rsidRPr="00EA545E">
        <w:t>RADY GMINY BIAŁE BŁOTA</w:t>
      </w:r>
      <w:r>
        <w:t xml:space="preserve"> </w:t>
      </w:r>
      <w:r w:rsidRPr="00EA545E">
        <w:t>z dnia 29 stycznia 2019 r.</w:t>
      </w:r>
      <w:r>
        <w:t xml:space="preserve"> </w:t>
      </w:r>
      <w:r w:rsidRPr="00EA545E">
        <w:t>w sprawie zakazu używania fajerwerków, petard i innych środków pirotechnicznych</w:t>
      </w:r>
      <w:r>
        <w:t xml:space="preserve">; Dz. Urz. </w:t>
      </w:r>
      <w:r w:rsidRPr="00EA545E">
        <w:t>Kujaw.2019.874</w:t>
      </w:r>
      <w:r>
        <w:t xml:space="preserve">. </w:t>
      </w:r>
    </w:p>
  </w:footnote>
  <w:footnote w:id="5">
    <w:p w14:paraId="5C838777" w14:textId="5B5978B3" w:rsidR="00B95C0C" w:rsidRDefault="00B95C0C">
      <w:pPr>
        <w:pStyle w:val="Tekstprzypisudolnego"/>
      </w:pPr>
      <w:r>
        <w:rPr>
          <w:rStyle w:val="Odwoanieprzypisudolnego"/>
        </w:rPr>
        <w:footnoteRef/>
      </w:r>
      <w:r>
        <w:t xml:space="preserve"> Por. rozważania dotyczące rozporządzeń wykonawczych z wyroku TK z </w:t>
      </w:r>
      <w:r w:rsidRPr="00B95C0C">
        <w:t>dnia 13 października 2010 r.</w:t>
      </w:r>
      <w:r>
        <w:t xml:space="preserve">, </w:t>
      </w:r>
      <w:r w:rsidRPr="00B95C0C">
        <w:t>Kp 1/09</w:t>
      </w:r>
      <w:r>
        <w:t xml:space="preserve">, </w:t>
      </w:r>
      <w:r w:rsidRPr="00B95C0C">
        <w:t>OTK-A 2010/8/74</w:t>
      </w:r>
      <w:r>
        <w:t xml:space="preserve">. </w:t>
      </w:r>
    </w:p>
  </w:footnote>
  <w:footnote w:id="6">
    <w:p w14:paraId="4BA6BCCC" w14:textId="064A61C9" w:rsidR="00945DA0" w:rsidRDefault="00945DA0">
      <w:pPr>
        <w:pStyle w:val="Tekstprzypisudolnego"/>
      </w:pPr>
      <w:r>
        <w:rPr>
          <w:rStyle w:val="Odwoanieprzypisudolnego"/>
        </w:rPr>
        <w:footnoteRef/>
      </w:r>
      <w:r>
        <w:t xml:space="preserve"> Od strony mechanizmu zabezpieczenia ograniczeń i zakazów </w:t>
      </w:r>
      <w:r w:rsidR="00195FFB">
        <w:t xml:space="preserve">ustanowionych w uchwale rady gminy analogiczne rozwiązanie zawiera ustawa z </w:t>
      </w:r>
      <w:r w:rsidR="00195FFB" w:rsidRPr="00195FFB">
        <w:t>dnia 23 lipca 2003 r.</w:t>
      </w:r>
      <w:r w:rsidR="00195FFB">
        <w:t xml:space="preserve"> </w:t>
      </w:r>
      <w:r w:rsidR="00195FFB" w:rsidRPr="00195FFB">
        <w:t>o ochronie zabytków i opiece nad zabytkami</w:t>
      </w:r>
      <w:r w:rsidR="00195FFB">
        <w:t xml:space="preserve"> (Dz. U. z 2022 r. poz. 840 ze zm.), która w art. 112 ust. 1 stwierdza, że „</w:t>
      </w:r>
      <w:r w:rsidR="00195FFB" w:rsidRPr="00195FFB">
        <w:t>Kto narusza zakazy lub ograniczenia obowiązujące na terenie parku kulturowego lub jego części, podlega karze aresztu, ograniczenia wolności albo grzywny</w:t>
      </w:r>
      <w:r w:rsidR="00195FFB">
        <w:t>”. Przepis ten należy odczytywać w ścisłym związku z art. 16 ust. 1 ww. ustawy, który statuuje możliwość utworzenia parku kulturowego (dokonuje tego rada gminy „na podstawie uchwały”) i art. 16 ust. 2 oraz art. 17 (</w:t>
      </w:r>
      <w:r w:rsidR="00195FFB" w:rsidRPr="00195FFB">
        <w:t>Zakazy i ograniczenia na terenie parku kulturowego</w:t>
      </w:r>
      <w:r w:rsidR="00195FFB"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010CF"/>
    <w:multiLevelType w:val="hybridMultilevel"/>
    <w:tmpl w:val="132A9A56"/>
    <w:lvl w:ilvl="0" w:tplc="FB00E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7D"/>
    <w:rsid w:val="00072A93"/>
    <w:rsid w:val="00091206"/>
    <w:rsid w:val="0009381A"/>
    <w:rsid w:val="000D0681"/>
    <w:rsid w:val="000D5F42"/>
    <w:rsid w:val="000F52A1"/>
    <w:rsid w:val="0012600F"/>
    <w:rsid w:val="00153322"/>
    <w:rsid w:val="001774D3"/>
    <w:rsid w:val="00181556"/>
    <w:rsid w:val="00195FFB"/>
    <w:rsid w:val="001C5B02"/>
    <w:rsid w:val="0024021D"/>
    <w:rsid w:val="002B6EAC"/>
    <w:rsid w:val="003C1AED"/>
    <w:rsid w:val="003D248D"/>
    <w:rsid w:val="003F69D2"/>
    <w:rsid w:val="00406C7D"/>
    <w:rsid w:val="004129A8"/>
    <w:rsid w:val="00427006"/>
    <w:rsid w:val="00434A27"/>
    <w:rsid w:val="00480B35"/>
    <w:rsid w:val="004B4730"/>
    <w:rsid w:val="00505C1C"/>
    <w:rsid w:val="00595140"/>
    <w:rsid w:val="005E5A35"/>
    <w:rsid w:val="00666827"/>
    <w:rsid w:val="0066772E"/>
    <w:rsid w:val="006832AB"/>
    <w:rsid w:val="006870B7"/>
    <w:rsid w:val="006C176F"/>
    <w:rsid w:val="006E2C4F"/>
    <w:rsid w:val="007345E6"/>
    <w:rsid w:val="007552AF"/>
    <w:rsid w:val="00777DE1"/>
    <w:rsid w:val="007856DD"/>
    <w:rsid w:val="007D1DF7"/>
    <w:rsid w:val="007F4859"/>
    <w:rsid w:val="00811658"/>
    <w:rsid w:val="00821F84"/>
    <w:rsid w:val="0089041A"/>
    <w:rsid w:val="008F3A35"/>
    <w:rsid w:val="00923F9E"/>
    <w:rsid w:val="00945DA0"/>
    <w:rsid w:val="00955CDF"/>
    <w:rsid w:val="00973B9D"/>
    <w:rsid w:val="009D5A1D"/>
    <w:rsid w:val="00A143EF"/>
    <w:rsid w:val="00A92C9F"/>
    <w:rsid w:val="00AA5128"/>
    <w:rsid w:val="00AC5CED"/>
    <w:rsid w:val="00AD6005"/>
    <w:rsid w:val="00B95C0C"/>
    <w:rsid w:val="00B96848"/>
    <w:rsid w:val="00C750D2"/>
    <w:rsid w:val="00CA7F67"/>
    <w:rsid w:val="00CB1708"/>
    <w:rsid w:val="00D6431B"/>
    <w:rsid w:val="00D67911"/>
    <w:rsid w:val="00D7525D"/>
    <w:rsid w:val="00DB62AD"/>
    <w:rsid w:val="00DC5463"/>
    <w:rsid w:val="00DE311A"/>
    <w:rsid w:val="00E4322D"/>
    <w:rsid w:val="00E52527"/>
    <w:rsid w:val="00E96370"/>
    <w:rsid w:val="00EA545E"/>
    <w:rsid w:val="00F4604E"/>
    <w:rsid w:val="00F63ADF"/>
    <w:rsid w:val="00F84652"/>
    <w:rsid w:val="00FF092D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6076"/>
  <w15:chartTrackingRefBased/>
  <w15:docId w15:val="{A5C2E524-E041-48F0-AB4E-F45C2810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CA7F67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7F67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774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2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2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2AD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45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0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00F"/>
    <w:rPr>
      <w:vertAlign w:val="superscript"/>
    </w:rPr>
  </w:style>
  <w:style w:type="paragraph" w:styleId="Poprawka">
    <w:name w:val="Revision"/>
    <w:hidden/>
    <w:uiPriority w:val="99"/>
    <w:semiHidden/>
    <w:rsid w:val="00240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1C37-E8DD-4FA7-92FB-7FDBEBF8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2651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Krawczyk</dc:creator>
  <cp:keywords/>
  <dc:description/>
  <cp:lastModifiedBy>Magdalena M. Korbińska</cp:lastModifiedBy>
  <cp:revision>2</cp:revision>
  <dcterms:created xsi:type="dcterms:W3CDTF">2024-01-26T10:03:00Z</dcterms:created>
  <dcterms:modified xsi:type="dcterms:W3CDTF">2024-01-26T10:03:00Z</dcterms:modified>
</cp:coreProperties>
</file>