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8710" w14:textId="77777777" w:rsidR="007E3E31" w:rsidRPr="00483092" w:rsidRDefault="007E3E31" w:rsidP="00483092">
      <w:pPr>
        <w:spacing w:after="240" w:line="360" w:lineRule="auto"/>
        <w:jc w:val="center"/>
        <w:rPr>
          <w:rFonts w:ascii="Times New Roman" w:hAnsi="Times New Roman" w:cs="Times New Roman"/>
          <w:bCs/>
          <w:sz w:val="24"/>
          <w:szCs w:val="24"/>
        </w:rPr>
      </w:pPr>
      <w:r w:rsidRPr="00483092">
        <w:rPr>
          <w:rFonts w:ascii="Times New Roman" w:hAnsi="Times New Roman" w:cs="Times New Roman"/>
          <w:bCs/>
          <w:sz w:val="24"/>
          <w:szCs w:val="24"/>
        </w:rPr>
        <w:t>UZASADNIENIE</w:t>
      </w:r>
    </w:p>
    <w:p w14:paraId="713FFFB6" w14:textId="77777777" w:rsidR="007E3E31" w:rsidRPr="009935E0" w:rsidRDefault="007E3E31" w:rsidP="00483092">
      <w:pPr>
        <w:pStyle w:val="Akapitzlist"/>
        <w:numPr>
          <w:ilvl w:val="0"/>
          <w:numId w:val="1"/>
        </w:numPr>
        <w:tabs>
          <w:tab w:val="left" w:pos="567"/>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Część ogólna – wyjaśnienie potrzeby i celu wydania ustawy</w:t>
      </w:r>
    </w:p>
    <w:p w14:paraId="5ED19E43" w14:textId="77777777" w:rsidR="006E3BE5" w:rsidRPr="009935E0" w:rsidRDefault="007246DB"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Celem projektowanej </w:t>
      </w:r>
      <w:r w:rsidR="0035326D" w:rsidRPr="009935E0">
        <w:rPr>
          <w:rFonts w:ascii="Times New Roman" w:hAnsi="Times New Roman" w:cs="Times New Roman"/>
          <w:sz w:val="24"/>
          <w:szCs w:val="24"/>
        </w:rPr>
        <w:t>ustawy</w:t>
      </w:r>
      <w:r w:rsidRPr="009935E0">
        <w:rPr>
          <w:rFonts w:ascii="Times New Roman" w:hAnsi="Times New Roman" w:cs="Times New Roman"/>
          <w:sz w:val="24"/>
          <w:szCs w:val="24"/>
        </w:rPr>
        <w:t xml:space="preserve"> jest wdrożenie do polskiego porządku prawnego </w:t>
      </w:r>
      <w:r w:rsidR="00DE5692" w:rsidRPr="009935E0">
        <w:rPr>
          <w:rFonts w:ascii="Times New Roman" w:hAnsi="Times New Roman" w:cs="Times New Roman"/>
          <w:sz w:val="24"/>
          <w:szCs w:val="24"/>
        </w:rPr>
        <w:t>dwóch dyrektyw</w:t>
      </w:r>
      <w:r w:rsidRPr="009935E0">
        <w:rPr>
          <w:rFonts w:ascii="Times New Roman" w:hAnsi="Times New Roman" w:cs="Times New Roman"/>
          <w:sz w:val="24"/>
          <w:szCs w:val="24"/>
        </w:rPr>
        <w:t xml:space="preserve"> Parlamentu Europejskiego i Rady (UE) z dnia 17 kwietnia 2019 r.</w:t>
      </w:r>
      <w:r w:rsidR="006E3BE5" w:rsidRPr="009935E0">
        <w:rPr>
          <w:rFonts w:ascii="Times New Roman" w:hAnsi="Times New Roman" w:cs="Times New Roman"/>
          <w:sz w:val="24"/>
          <w:szCs w:val="24"/>
        </w:rPr>
        <w:t>:</w:t>
      </w:r>
    </w:p>
    <w:p w14:paraId="2AB15066" w14:textId="0B5D9C8E" w:rsidR="006E3BE5" w:rsidRPr="009935E0" w:rsidRDefault="00DE5692" w:rsidP="00483092">
      <w:pPr>
        <w:pStyle w:val="Akapitzlist"/>
        <w:numPr>
          <w:ilvl w:val="0"/>
          <w:numId w:val="14"/>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dyrektywy 2019/789 </w:t>
      </w:r>
      <w:r w:rsidRPr="00564B4B">
        <w:rPr>
          <w:rFonts w:ascii="Times New Roman" w:hAnsi="Times New Roman" w:cs="Times New Roman"/>
          <w:iCs/>
          <w:sz w:val="24"/>
          <w:szCs w:val="24"/>
        </w:rPr>
        <w:t>ustanawiającej przepisy dotyczące wykonywania praw autorskich i</w:t>
      </w:r>
      <w:r w:rsidR="00564B4B">
        <w:rPr>
          <w:rFonts w:ascii="Times New Roman" w:hAnsi="Times New Roman" w:cs="Times New Roman"/>
          <w:iCs/>
          <w:sz w:val="24"/>
          <w:szCs w:val="24"/>
        </w:rPr>
        <w:t> </w:t>
      </w:r>
      <w:r w:rsidRPr="00564B4B">
        <w:rPr>
          <w:rFonts w:ascii="Times New Roman" w:hAnsi="Times New Roman" w:cs="Times New Roman"/>
          <w:iCs/>
          <w:sz w:val="24"/>
          <w:szCs w:val="24"/>
        </w:rPr>
        <w:t>praw pokrewnych mające zastosowanie do niektórych transmisji online prowadzonych przez organizacje radiowe i telewizyjne oraz do reemisji programów telewizyjnych i</w:t>
      </w:r>
      <w:r w:rsidR="00564B4B">
        <w:rPr>
          <w:rFonts w:ascii="Times New Roman" w:hAnsi="Times New Roman" w:cs="Times New Roman"/>
          <w:iCs/>
          <w:sz w:val="24"/>
          <w:szCs w:val="24"/>
        </w:rPr>
        <w:t> </w:t>
      </w:r>
      <w:r w:rsidRPr="00564B4B">
        <w:rPr>
          <w:rFonts w:ascii="Times New Roman" w:hAnsi="Times New Roman" w:cs="Times New Roman"/>
          <w:iCs/>
          <w:sz w:val="24"/>
          <w:szCs w:val="24"/>
        </w:rPr>
        <w:t xml:space="preserve">radiowych oraz zmieniającej dyrektywę Rady 93/83/EWG </w:t>
      </w:r>
      <w:r w:rsidR="00487B38" w:rsidRPr="009935E0">
        <w:rPr>
          <w:rFonts w:ascii="Times New Roman" w:hAnsi="Times New Roman" w:cs="Times New Roman"/>
          <w:sz w:val="24"/>
          <w:szCs w:val="24"/>
        </w:rPr>
        <w:t>(</w:t>
      </w:r>
      <w:r w:rsidR="00184042" w:rsidRPr="009935E0">
        <w:rPr>
          <w:rFonts w:ascii="Times New Roman" w:hAnsi="Times New Roman" w:cs="Times New Roman"/>
          <w:sz w:val="24"/>
          <w:szCs w:val="24"/>
        </w:rPr>
        <w:t>Dz. Urz. UE L 130 z 17.05.2019, str. 82</w:t>
      </w:r>
      <w:r w:rsidR="00487B38" w:rsidRPr="009935E0">
        <w:rPr>
          <w:rFonts w:ascii="Times New Roman" w:hAnsi="Times New Roman" w:cs="Times New Roman"/>
          <w:sz w:val="24"/>
          <w:szCs w:val="24"/>
        </w:rPr>
        <w:t>)</w:t>
      </w:r>
      <w:r w:rsidR="00BA767D" w:rsidRPr="009935E0">
        <w:rPr>
          <w:rFonts w:ascii="Times New Roman" w:hAnsi="Times New Roman" w:cs="Times New Roman"/>
          <w:sz w:val="24"/>
          <w:szCs w:val="24"/>
        </w:rPr>
        <w:t>,</w:t>
      </w:r>
      <w:r w:rsidR="00184042"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tzw. </w:t>
      </w:r>
      <w:r w:rsidR="001D1EA8" w:rsidRPr="009935E0">
        <w:rPr>
          <w:rFonts w:ascii="Times New Roman" w:hAnsi="Times New Roman" w:cs="Times New Roman"/>
          <w:sz w:val="24"/>
          <w:szCs w:val="24"/>
        </w:rPr>
        <w:t>„</w:t>
      </w:r>
      <w:r w:rsidRPr="009935E0">
        <w:rPr>
          <w:rFonts w:ascii="Times New Roman" w:hAnsi="Times New Roman" w:cs="Times New Roman"/>
          <w:sz w:val="24"/>
          <w:szCs w:val="24"/>
        </w:rPr>
        <w:t>dyrektywy satelitarno-kablowej</w:t>
      </w:r>
      <w:r w:rsidR="009E1AC4" w:rsidRPr="009935E0">
        <w:rPr>
          <w:rFonts w:ascii="Times New Roman" w:hAnsi="Times New Roman" w:cs="Times New Roman"/>
          <w:sz w:val="24"/>
          <w:szCs w:val="24"/>
        </w:rPr>
        <w:t xml:space="preserve"> II</w:t>
      </w:r>
      <w:r w:rsidRPr="009935E0">
        <w:rPr>
          <w:rFonts w:ascii="Times New Roman" w:hAnsi="Times New Roman" w:cs="Times New Roman"/>
          <w:sz w:val="24"/>
          <w:szCs w:val="24"/>
        </w:rPr>
        <w:t xml:space="preserve">” </w:t>
      </w:r>
      <w:r w:rsidR="00BA767D" w:rsidRPr="009935E0">
        <w:rPr>
          <w:rFonts w:ascii="Times New Roman" w:hAnsi="Times New Roman" w:cs="Times New Roman"/>
          <w:sz w:val="24"/>
          <w:szCs w:val="24"/>
        </w:rPr>
        <w:t>(</w:t>
      </w:r>
      <w:r w:rsidRPr="009935E0">
        <w:rPr>
          <w:rFonts w:ascii="Times New Roman" w:hAnsi="Times New Roman" w:cs="Times New Roman"/>
          <w:sz w:val="24"/>
          <w:szCs w:val="24"/>
        </w:rPr>
        <w:t>zwanej dalej „</w:t>
      </w:r>
      <w:r w:rsidR="00196137" w:rsidRPr="009935E0">
        <w:rPr>
          <w:rFonts w:ascii="Times New Roman" w:hAnsi="Times New Roman" w:cs="Times New Roman"/>
          <w:sz w:val="24"/>
          <w:szCs w:val="24"/>
        </w:rPr>
        <w:t xml:space="preserve">dyrektywą </w:t>
      </w:r>
      <w:r w:rsidRPr="009935E0">
        <w:rPr>
          <w:rFonts w:ascii="Times New Roman" w:hAnsi="Times New Roman" w:cs="Times New Roman"/>
          <w:sz w:val="24"/>
          <w:szCs w:val="24"/>
        </w:rPr>
        <w:t>SATCAB</w:t>
      </w:r>
      <w:r w:rsidR="009F6544" w:rsidRPr="009935E0">
        <w:rPr>
          <w:rFonts w:ascii="Times New Roman" w:hAnsi="Times New Roman" w:cs="Times New Roman"/>
          <w:sz w:val="24"/>
          <w:szCs w:val="24"/>
        </w:rPr>
        <w:t xml:space="preserve"> II</w:t>
      </w:r>
      <w:r w:rsidR="009E1AC4" w:rsidRPr="009935E0">
        <w:rPr>
          <w:rStyle w:val="Odwoanieprzypisudolnego"/>
          <w:rFonts w:ascii="Times New Roman" w:hAnsi="Times New Roman" w:cs="Times New Roman"/>
          <w:sz w:val="24"/>
          <w:szCs w:val="24"/>
        </w:rPr>
        <w:footnoteReference w:id="1"/>
      </w:r>
      <w:r w:rsidR="0052536D" w:rsidRPr="00483092">
        <w:rPr>
          <w:rFonts w:ascii="Times New Roman" w:hAnsi="Times New Roman" w:cs="Times New Roman"/>
          <w:sz w:val="24"/>
          <w:szCs w:val="24"/>
          <w:vertAlign w:val="superscript"/>
        </w:rPr>
        <w:t>)</w:t>
      </w:r>
      <w:r w:rsidR="006E3BE5" w:rsidRPr="009935E0">
        <w:rPr>
          <w:rFonts w:ascii="Times New Roman" w:hAnsi="Times New Roman" w:cs="Times New Roman"/>
          <w:sz w:val="24"/>
          <w:szCs w:val="24"/>
        </w:rPr>
        <w:t>”) oraz</w:t>
      </w:r>
      <w:r w:rsidRPr="009935E0">
        <w:rPr>
          <w:rFonts w:ascii="Times New Roman" w:hAnsi="Times New Roman" w:cs="Times New Roman"/>
          <w:sz w:val="24"/>
          <w:szCs w:val="24"/>
        </w:rPr>
        <w:t xml:space="preserve"> </w:t>
      </w:r>
    </w:p>
    <w:p w14:paraId="6F662DA5" w14:textId="3B298344" w:rsidR="00040A74" w:rsidRPr="009935E0" w:rsidRDefault="00DE5692" w:rsidP="00483092">
      <w:pPr>
        <w:pStyle w:val="Akapitzlist"/>
        <w:numPr>
          <w:ilvl w:val="0"/>
          <w:numId w:val="14"/>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dyrektywy 2019/790 </w:t>
      </w:r>
      <w:r w:rsidR="007246DB" w:rsidRPr="00564B4B">
        <w:rPr>
          <w:rFonts w:ascii="Times New Roman" w:hAnsi="Times New Roman" w:cs="Times New Roman"/>
          <w:iCs/>
          <w:sz w:val="24"/>
          <w:szCs w:val="24"/>
        </w:rPr>
        <w:t>w sprawie prawa autorskiego i praw pokrewnych na jednolitym rynku cyfrowym oraz zmiany dyrektyw 96/9/WE i 2001/29/WE</w:t>
      </w:r>
      <w:r w:rsidRPr="009935E0">
        <w:rPr>
          <w:rFonts w:ascii="Times New Roman" w:hAnsi="Times New Roman" w:cs="Times New Roman"/>
          <w:sz w:val="24"/>
          <w:szCs w:val="24"/>
        </w:rPr>
        <w:t xml:space="preserve"> </w:t>
      </w:r>
      <w:r w:rsidR="00184042" w:rsidRPr="009935E0">
        <w:rPr>
          <w:rFonts w:ascii="Times New Roman" w:hAnsi="Times New Roman" w:cs="Times New Roman"/>
          <w:sz w:val="24"/>
          <w:szCs w:val="24"/>
        </w:rPr>
        <w:t>(Dz. Urz. UE L 130 z</w:t>
      </w:r>
      <w:r w:rsidR="00564B4B">
        <w:rPr>
          <w:rFonts w:ascii="Times New Roman" w:hAnsi="Times New Roman" w:cs="Times New Roman"/>
          <w:sz w:val="24"/>
          <w:szCs w:val="24"/>
        </w:rPr>
        <w:t> </w:t>
      </w:r>
      <w:r w:rsidR="00184042" w:rsidRPr="009935E0">
        <w:rPr>
          <w:rFonts w:ascii="Times New Roman" w:hAnsi="Times New Roman" w:cs="Times New Roman"/>
          <w:sz w:val="24"/>
          <w:szCs w:val="24"/>
        </w:rPr>
        <w:t>17.05.2019, str. 92)</w:t>
      </w:r>
      <w:r w:rsidR="00BA767D" w:rsidRPr="009935E0">
        <w:rPr>
          <w:rFonts w:ascii="Times New Roman" w:hAnsi="Times New Roman" w:cs="Times New Roman"/>
          <w:sz w:val="24"/>
          <w:szCs w:val="24"/>
        </w:rPr>
        <w:t>,</w:t>
      </w:r>
      <w:r w:rsidR="00184042"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tzw. </w:t>
      </w:r>
      <w:r w:rsidR="001D1EA8" w:rsidRPr="009935E0">
        <w:rPr>
          <w:rFonts w:ascii="Times New Roman" w:hAnsi="Times New Roman" w:cs="Times New Roman"/>
          <w:sz w:val="24"/>
          <w:szCs w:val="24"/>
        </w:rPr>
        <w:t>„</w:t>
      </w:r>
      <w:r w:rsidRPr="009935E0">
        <w:rPr>
          <w:rFonts w:ascii="Times New Roman" w:hAnsi="Times New Roman" w:cs="Times New Roman"/>
          <w:sz w:val="24"/>
          <w:szCs w:val="24"/>
        </w:rPr>
        <w:t xml:space="preserve">dyrektywy Digital Single Market” </w:t>
      </w:r>
      <w:r w:rsidR="00BA767D" w:rsidRPr="009935E0">
        <w:rPr>
          <w:rFonts w:ascii="Times New Roman" w:hAnsi="Times New Roman" w:cs="Times New Roman"/>
          <w:sz w:val="24"/>
          <w:szCs w:val="24"/>
        </w:rPr>
        <w:t>(</w:t>
      </w:r>
      <w:r w:rsidRPr="009935E0">
        <w:rPr>
          <w:rFonts w:ascii="Times New Roman" w:hAnsi="Times New Roman" w:cs="Times New Roman"/>
          <w:sz w:val="24"/>
          <w:szCs w:val="24"/>
        </w:rPr>
        <w:t>zwanej dalej</w:t>
      </w:r>
      <w:r w:rsidR="007246DB" w:rsidRPr="009935E0">
        <w:rPr>
          <w:rFonts w:ascii="Times New Roman" w:hAnsi="Times New Roman" w:cs="Times New Roman"/>
          <w:sz w:val="24"/>
          <w:szCs w:val="24"/>
        </w:rPr>
        <w:t xml:space="preserve"> „</w:t>
      </w:r>
      <w:r w:rsidR="00196137" w:rsidRPr="009935E0">
        <w:rPr>
          <w:rFonts w:ascii="Times New Roman" w:hAnsi="Times New Roman" w:cs="Times New Roman"/>
          <w:sz w:val="24"/>
          <w:szCs w:val="24"/>
        </w:rPr>
        <w:t xml:space="preserve">dyrektywą </w:t>
      </w:r>
      <w:r w:rsidR="00F54CCA" w:rsidRPr="009935E0">
        <w:rPr>
          <w:rFonts w:ascii="Times New Roman" w:hAnsi="Times New Roman" w:cs="Times New Roman"/>
          <w:sz w:val="24"/>
          <w:szCs w:val="24"/>
        </w:rPr>
        <w:t>DSM”).</w:t>
      </w:r>
    </w:p>
    <w:p w14:paraId="3DF215EB" w14:textId="19E9BF9D" w:rsidR="006A5BC9" w:rsidRPr="009935E0" w:rsidRDefault="00F54CC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T</w:t>
      </w:r>
      <w:r w:rsidR="000F5F83" w:rsidRPr="009935E0">
        <w:rPr>
          <w:rFonts w:ascii="Times New Roman" w:hAnsi="Times New Roman" w:cs="Times New Roman"/>
          <w:sz w:val="24"/>
          <w:szCs w:val="24"/>
        </w:rPr>
        <w:t xml:space="preserve">ermin implementacji </w:t>
      </w:r>
      <w:r w:rsidRPr="009935E0">
        <w:rPr>
          <w:rFonts w:ascii="Times New Roman" w:hAnsi="Times New Roman" w:cs="Times New Roman"/>
          <w:sz w:val="24"/>
          <w:szCs w:val="24"/>
        </w:rPr>
        <w:t xml:space="preserve">obydwu dyrektyw </w:t>
      </w:r>
      <w:r w:rsidR="000F5F83" w:rsidRPr="009935E0">
        <w:rPr>
          <w:rFonts w:ascii="Times New Roman" w:hAnsi="Times New Roman" w:cs="Times New Roman"/>
          <w:sz w:val="24"/>
          <w:szCs w:val="24"/>
        </w:rPr>
        <w:t>upły</w:t>
      </w:r>
      <w:r w:rsidR="005A1696" w:rsidRPr="009935E0">
        <w:rPr>
          <w:rFonts w:ascii="Times New Roman" w:hAnsi="Times New Roman" w:cs="Times New Roman"/>
          <w:sz w:val="24"/>
          <w:szCs w:val="24"/>
        </w:rPr>
        <w:t>nął</w:t>
      </w:r>
      <w:r w:rsidR="000F5F83" w:rsidRPr="009935E0">
        <w:rPr>
          <w:rFonts w:ascii="Times New Roman" w:hAnsi="Times New Roman" w:cs="Times New Roman"/>
          <w:sz w:val="24"/>
          <w:szCs w:val="24"/>
        </w:rPr>
        <w:t xml:space="preserve"> 7</w:t>
      </w:r>
      <w:r w:rsidR="007246DB" w:rsidRPr="009935E0">
        <w:rPr>
          <w:rFonts w:ascii="Times New Roman" w:hAnsi="Times New Roman" w:cs="Times New Roman"/>
          <w:sz w:val="24"/>
          <w:szCs w:val="24"/>
        </w:rPr>
        <w:t xml:space="preserve"> czerwca 2021 r.</w:t>
      </w:r>
      <w:r w:rsidRPr="009935E0">
        <w:rPr>
          <w:rFonts w:ascii="Times New Roman" w:hAnsi="Times New Roman" w:cs="Times New Roman"/>
          <w:sz w:val="24"/>
          <w:szCs w:val="24"/>
        </w:rPr>
        <w:t>, jednakże Komisja Europejska dopiero 4 czerwca 2021 r. wydała wytyczne dotyczące prawidłowego stosowania art. 17 dyrektywy DSM</w:t>
      </w:r>
      <w:r w:rsidR="00A133D5" w:rsidRPr="009935E0">
        <w:rPr>
          <w:rFonts w:ascii="Times New Roman" w:hAnsi="Times New Roman" w:cs="Times New Roman"/>
          <w:sz w:val="24"/>
          <w:szCs w:val="24"/>
        </w:rPr>
        <w:t xml:space="preserve"> m.</w:t>
      </w:r>
      <w:r w:rsidR="006A5BC9" w:rsidRPr="009935E0">
        <w:rPr>
          <w:rFonts w:ascii="Times New Roman" w:hAnsi="Times New Roman" w:cs="Times New Roman"/>
          <w:sz w:val="24"/>
          <w:szCs w:val="24"/>
        </w:rPr>
        <w:t>in. przez ustawodawców krajowych</w:t>
      </w:r>
      <w:r w:rsidRPr="009935E0">
        <w:rPr>
          <w:rFonts w:ascii="Times New Roman" w:hAnsi="Times New Roman" w:cs="Times New Roman"/>
          <w:sz w:val="24"/>
          <w:szCs w:val="24"/>
        </w:rPr>
        <w:t>, do czego zobowiązuje Komisję ust. 10 tego artykułu</w:t>
      </w:r>
      <w:r w:rsidRPr="009935E0">
        <w:rPr>
          <w:rStyle w:val="Odwoanieprzypisudolnego"/>
          <w:rFonts w:ascii="Times New Roman" w:hAnsi="Times New Roman" w:cs="Times New Roman"/>
          <w:sz w:val="24"/>
          <w:szCs w:val="24"/>
        </w:rPr>
        <w:footnoteReference w:id="2"/>
      </w:r>
      <w:r w:rsidR="0052536D" w:rsidRPr="00483092">
        <w:rPr>
          <w:rFonts w:ascii="Times New Roman" w:hAnsi="Times New Roman" w:cs="Times New Roman"/>
          <w:sz w:val="24"/>
          <w:szCs w:val="24"/>
          <w:vertAlign w:val="superscript"/>
        </w:rPr>
        <w:t>)</w:t>
      </w:r>
      <w:r w:rsidR="006A5BC9" w:rsidRPr="009935E0">
        <w:rPr>
          <w:rFonts w:ascii="Times New Roman" w:hAnsi="Times New Roman" w:cs="Times New Roman"/>
          <w:sz w:val="24"/>
          <w:szCs w:val="24"/>
        </w:rPr>
        <w:t xml:space="preserve">. </w:t>
      </w:r>
    </w:p>
    <w:p w14:paraId="0B3F9F55" w14:textId="6D181467" w:rsidR="006A5BC9" w:rsidRPr="009935E0" w:rsidRDefault="006A5BC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Wdrożenie tych dyrektyw do prawa krajowego nastąpi przez odpowiednie zmiany w trzech ustawach:</w:t>
      </w:r>
    </w:p>
    <w:p w14:paraId="22D033E2" w14:textId="1DC175BE" w:rsidR="006A5BC9" w:rsidRPr="009935E0" w:rsidRDefault="006A5BC9" w:rsidP="00483092">
      <w:pPr>
        <w:pStyle w:val="Akapitzlist"/>
        <w:numPr>
          <w:ilvl w:val="0"/>
          <w:numId w:val="15"/>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 ustawie z dnia 4 lutego 1994 r. o prawie autorskim i p</w:t>
      </w:r>
      <w:r w:rsidR="00607AE6" w:rsidRPr="009935E0">
        <w:rPr>
          <w:rFonts w:ascii="Times New Roman" w:hAnsi="Times New Roman" w:cs="Times New Roman"/>
          <w:sz w:val="24"/>
          <w:szCs w:val="24"/>
        </w:rPr>
        <w:t>rawach pokrewnych (Dz. U. z</w:t>
      </w:r>
      <w:r w:rsidR="00564B4B">
        <w:rPr>
          <w:rFonts w:ascii="Times New Roman" w:hAnsi="Times New Roman" w:cs="Times New Roman"/>
          <w:sz w:val="24"/>
          <w:szCs w:val="24"/>
        </w:rPr>
        <w:t> </w:t>
      </w:r>
      <w:r w:rsidR="00607AE6" w:rsidRPr="009935E0">
        <w:rPr>
          <w:rFonts w:ascii="Times New Roman" w:hAnsi="Times New Roman" w:cs="Times New Roman"/>
          <w:sz w:val="24"/>
          <w:szCs w:val="24"/>
        </w:rPr>
        <w:t>2022</w:t>
      </w:r>
      <w:r w:rsidR="00564B4B">
        <w:rPr>
          <w:rFonts w:ascii="Times New Roman" w:hAnsi="Times New Roman" w:cs="Times New Roman"/>
          <w:sz w:val="24"/>
          <w:szCs w:val="24"/>
        </w:rPr>
        <w:t> </w:t>
      </w:r>
      <w:r w:rsidR="00607AE6" w:rsidRPr="009935E0">
        <w:rPr>
          <w:rFonts w:ascii="Times New Roman" w:hAnsi="Times New Roman" w:cs="Times New Roman"/>
          <w:sz w:val="24"/>
          <w:szCs w:val="24"/>
        </w:rPr>
        <w:t xml:space="preserve">r. poz. </w:t>
      </w:r>
      <w:r w:rsidR="000D7266" w:rsidRPr="009935E0">
        <w:rPr>
          <w:rFonts w:ascii="Times New Roman" w:hAnsi="Times New Roman" w:cs="Times New Roman"/>
          <w:sz w:val="24"/>
          <w:szCs w:val="24"/>
        </w:rPr>
        <w:t>2509</w:t>
      </w:r>
      <w:r w:rsidRPr="009935E0">
        <w:rPr>
          <w:rFonts w:ascii="Times New Roman" w:hAnsi="Times New Roman" w:cs="Times New Roman"/>
          <w:sz w:val="24"/>
          <w:szCs w:val="24"/>
        </w:rPr>
        <w:t>)</w:t>
      </w:r>
      <w:r w:rsidR="00607AE6" w:rsidRPr="009935E0">
        <w:rPr>
          <w:rFonts w:ascii="Times New Roman" w:hAnsi="Times New Roman" w:cs="Times New Roman"/>
          <w:sz w:val="24"/>
          <w:szCs w:val="24"/>
        </w:rPr>
        <w:t>, zwanej dalej „ustawą o prawie autorskim”;</w:t>
      </w:r>
    </w:p>
    <w:p w14:paraId="28631AD4" w14:textId="6D5ACDBC" w:rsidR="00607AE6" w:rsidRPr="009935E0" w:rsidRDefault="00607AE6" w:rsidP="00483092">
      <w:pPr>
        <w:pStyle w:val="Akapitzlist"/>
        <w:numPr>
          <w:ilvl w:val="0"/>
          <w:numId w:val="15"/>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 ustawie z dnia 15 czerwca 2018 r. o zbiorowym zarządzaniu prawami autorskimi i</w:t>
      </w:r>
      <w:r w:rsidR="00564B4B">
        <w:rPr>
          <w:rFonts w:ascii="Times New Roman" w:hAnsi="Times New Roman" w:cs="Times New Roman"/>
          <w:sz w:val="24"/>
          <w:szCs w:val="24"/>
        </w:rPr>
        <w:t> </w:t>
      </w:r>
      <w:r w:rsidRPr="009935E0">
        <w:rPr>
          <w:rFonts w:ascii="Times New Roman" w:hAnsi="Times New Roman" w:cs="Times New Roman"/>
          <w:sz w:val="24"/>
          <w:szCs w:val="24"/>
        </w:rPr>
        <w:t>prawami pokrewnymi (Dz. U. z 202</w:t>
      </w:r>
      <w:r w:rsidR="00A820FF" w:rsidRPr="009935E0">
        <w:rPr>
          <w:rFonts w:ascii="Times New Roman" w:hAnsi="Times New Roman" w:cs="Times New Roman"/>
          <w:sz w:val="24"/>
          <w:szCs w:val="24"/>
        </w:rPr>
        <w:t>3</w:t>
      </w:r>
      <w:r w:rsidRPr="009935E0">
        <w:rPr>
          <w:rFonts w:ascii="Times New Roman" w:hAnsi="Times New Roman" w:cs="Times New Roman"/>
          <w:sz w:val="24"/>
          <w:szCs w:val="24"/>
        </w:rPr>
        <w:t xml:space="preserve"> r. poz. 2</w:t>
      </w:r>
      <w:r w:rsidR="00A820FF" w:rsidRPr="009935E0">
        <w:rPr>
          <w:rFonts w:ascii="Times New Roman" w:hAnsi="Times New Roman" w:cs="Times New Roman"/>
          <w:sz w:val="24"/>
          <w:szCs w:val="24"/>
        </w:rPr>
        <w:t>207</w:t>
      </w:r>
      <w:r w:rsidRPr="009935E0">
        <w:rPr>
          <w:rFonts w:ascii="Times New Roman" w:hAnsi="Times New Roman" w:cs="Times New Roman"/>
          <w:sz w:val="24"/>
          <w:szCs w:val="24"/>
        </w:rPr>
        <w:t>), zwanej dalej „ustawą o zbiorowym zarządzaniu”;</w:t>
      </w:r>
    </w:p>
    <w:p w14:paraId="7D08F38E" w14:textId="77777777" w:rsidR="006A5BC9" w:rsidRPr="009935E0" w:rsidRDefault="006A5BC9" w:rsidP="00483092">
      <w:pPr>
        <w:pStyle w:val="Akapitzlist"/>
        <w:numPr>
          <w:ilvl w:val="0"/>
          <w:numId w:val="15"/>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 ustawie z dnia 27 lipca 2001 r. o ochronie baz danych (Dz. U. z 2021 r. poz. 386</w:t>
      </w:r>
      <w:r w:rsidR="00607AE6" w:rsidRPr="009935E0">
        <w:rPr>
          <w:rFonts w:ascii="Times New Roman" w:hAnsi="Times New Roman" w:cs="Times New Roman"/>
          <w:sz w:val="24"/>
          <w:szCs w:val="24"/>
        </w:rPr>
        <w:t>).</w:t>
      </w:r>
    </w:p>
    <w:p w14:paraId="5B7485CC" w14:textId="4A725D07" w:rsidR="00D677A7" w:rsidRPr="009935E0" w:rsidRDefault="0084012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 xml:space="preserve">Ponadto przewiduje się </w:t>
      </w:r>
      <w:r w:rsidR="00D677A7" w:rsidRPr="009935E0">
        <w:rPr>
          <w:rFonts w:ascii="Times New Roman" w:hAnsi="Times New Roman" w:cs="Times New Roman"/>
          <w:sz w:val="24"/>
          <w:szCs w:val="24"/>
        </w:rPr>
        <w:t xml:space="preserve">dokonanie </w:t>
      </w:r>
      <w:r w:rsidRPr="009935E0">
        <w:rPr>
          <w:rFonts w:ascii="Times New Roman" w:hAnsi="Times New Roman" w:cs="Times New Roman"/>
          <w:sz w:val="24"/>
          <w:szCs w:val="24"/>
        </w:rPr>
        <w:t xml:space="preserve">w ustawie o prawie autorskim </w:t>
      </w:r>
      <w:r w:rsidR="00594D8F" w:rsidRPr="009935E0">
        <w:rPr>
          <w:rFonts w:ascii="Times New Roman" w:hAnsi="Times New Roman" w:cs="Times New Roman"/>
          <w:sz w:val="24"/>
          <w:szCs w:val="24"/>
        </w:rPr>
        <w:t>jednej</w:t>
      </w:r>
      <w:r w:rsidRPr="009935E0">
        <w:rPr>
          <w:rFonts w:ascii="Times New Roman" w:hAnsi="Times New Roman" w:cs="Times New Roman"/>
          <w:sz w:val="24"/>
          <w:szCs w:val="24"/>
        </w:rPr>
        <w:t xml:space="preserve"> zmian</w:t>
      </w:r>
      <w:r w:rsidR="00594D8F" w:rsidRPr="009935E0">
        <w:rPr>
          <w:rFonts w:ascii="Times New Roman" w:hAnsi="Times New Roman" w:cs="Times New Roman"/>
          <w:sz w:val="24"/>
          <w:szCs w:val="24"/>
        </w:rPr>
        <w:t>y</w:t>
      </w:r>
      <w:r w:rsidRPr="009935E0">
        <w:rPr>
          <w:rFonts w:ascii="Times New Roman" w:hAnsi="Times New Roman" w:cs="Times New Roman"/>
          <w:sz w:val="24"/>
          <w:szCs w:val="24"/>
        </w:rPr>
        <w:t xml:space="preserve"> o mniej istotnym znaczeniu</w:t>
      </w:r>
      <w:r w:rsidR="00D677A7" w:rsidRPr="009935E0">
        <w:rPr>
          <w:rFonts w:ascii="Times New Roman" w:hAnsi="Times New Roman" w:cs="Times New Roman"/>
          <w:sz w:val="24"/>
          <w:szCs w:val="24"/>
        </w:rPr>
        <w:t>, n</w:t>
      </w:r>
      <w:r w:rsidRPr="009935E0">
        <w:rPr>
          <w:rFonts w:ascii="Times New Roman" w:hAnsi="Times New Roman" w:cs="Times New Roman"/>
          <w:sz w:val="24"/>
          <w:szCs w:val="24"/>
        </w:rPr>
        <w:t>iezwiązan</w:t>
      </w:r>
      <w:r w:rsidR="00594D8F" w:rsidRPr="009935E0">
        <w:rPr>
          <w:rFonts w:ascii="Times New Roman" w:hAnsi="Times New Roman" w:cs="Times New Roman"/>
          <w:sz w:val="24"/>
          <w:szCs w:val="24"/>
        </w:rPr>
        <w:t>ej</w:t>
      </w:r>
      <w:r w:rsidRPr="009935E0">
        <w:rPr>
          <w:rFonts w:ascii="Times New Roman" w:hAnsi="Times New Roman" w:cs="Times New Roman"/>
          <w:sz w:val="24"/>
          <w:szCs w:val="24"/>
        </w:rPr>
        <w:t xml:space="preserve"> z ww. dyrektywami.</w:t>
      </w:r>
    </w:p>
    <w:p w14:paraId="7B7B0877" w14:textId="58B07FFE" w:rsidR="00C14A36" w:rsidRPr="009935E0" w:rsidRDefault="00C14A3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Prace nad dyrektywą SATCAB</w:t>
      </w:r>
      <w:r w:rsidR="008F6F9A" w:rsidRPr="009935E0">
        <w:rPr>
          <w:rFonts w:ascii="Times New Roman" w:hAnsi="Times New Roman" w:cs="Times New Roman"/>
          <w:sz w:val="24"/>
          <w:szCs w:val="24"/>
        </w:rPr>
        <w:t xml:space="preserve"> II</w:t>
      </w:r>
      <w:r w:rsidRPr="009935E0">
        <w:rPr>
          <w:rFonts w:ascii="Times New Roman" w:hAnsi="Times New Roman" w:cs="Times New Roman"/>
          <w:sz w:val="24"/>
          <w:szCs w:val="24"/>
        </w:rPr>
        <w:t xml:space="preserve"> rozpoczęły się we wrześniu 2016 r. i stanowiły element szerszej strategii związanej z modernizacją przepisów unijnych dotyczących prawa autorskiego na jednolitym rynku cyfrowym. Pierwotnie </w:t>
      </w:r>
      <w:r w:rsidR="006E3BE5" w:rsidRPr="009935E0">
        <w:rPr>
          <w:rFonts w:ascii="Times New Roman" w:hAnsi="Times New Roman" w:cs="Times New Roman"/>
          <w:sz w:val="24"/>
          <w:szCs w:val="24"/>
        </w:rPr>
        <w:t xml:space="preserve">przepisy te miały być ujęte w </w:t>
      </w:r>
      <w:r w:rsidR="00D679A2" w:rsidRPr="009935E0">
        <w:rPr>
          <w:rFonts w:ascii="Times New Roman" w:hAnsi="Times New Roman" w:cs="Times New Roman"/>
          <w:sz w:val="24"/>
          <w:szCs w:val="24"/>
        </w:rPr>
        <w:t xml:space="preserve">formie </w:t>
      </w:r>
      <w:r w:rsidR="006E3BE5" w:rsidRPr="009935E0">
        <w:rPr>
          <w:rFonts w:ascii="Times New Roman" w:hAnsi="Times New Roman" w:cs="Times New Roman"/>
          <w:sz w:val="24"/>
          <w:szCs w:val="24"/>
        </w:rPr>
        <w:t>rozporządzeni</w:t>
      </w:r>
      <w:r w:rsidR="00D679A2" w:rsidRPr="009935E0">
        <w:rPr>
          <w:rFonts w:ascii="Times New Roman" w:hAnsi="Times New Roman" w:cs="Times New Roman"/>
          <w:sz w:val="24"/>
          <w:szCs w:val="24"/>
        </w:rPr>
        <w:t>a</w:t>
      </w:r>
      <w:r w:rsidR="00835704" w:rsidRPr="009935E0">
        <w:rPr>
          <w:rFonts w:ascii="Times New Roman" w:hAnsi="Times New Roman" w:cs="Times New Roman"/>
          <w:sz w:val="24"/>
          <w:szCs w:val="24"/>
        </w:rPr>
        <w:t xml:space="preserve">. W ten sposób zostałoby zapewnione jednolite stosowanie nowych rozwiązań </w:t>
      </w:r>
      <w:r w:rsidRPr="009935E0">
        <w:rPr>
          <w:rFonts w:ascii="Times New Roman" w:hAnsi="Times New Roman" w:cs="Times New Roman"/>
          <w:sz w:val="24"/>
          <w:szCs w:val="24"/>
        </w:rPr>
        <w:t>w całej U</w:t>
      </w:r>
      <w:r w:rsidR="00184042" w:rsidRPr="009935E0">
        <w:rPr>
          <w:rFonts w:ascii="Times New Roman" w:hAnsi="Times New Roman" w:cs="Times New Roman"/>
          <w:sz w:val="24"/>
          <w:szCs w:val="24"/>
        </w:rPr>
        <w:t xml:space="preserve">nii </w:t>
      </w:r>
      <w:r w:rsidRPr="009935E0">
        <w:rPr>
          <w:rFonts w:ascii="Times New Roman" w:hAnsi="Times New Roman" w:cs="Times New Roman"/>
          <w:sz w:val="24"/>
          <w:szCs w:val="24"/>
        </w:rPr>
        <w:t>E</w:t>
      </w:r>
      <w:r w:rsidR="00184042" w:rsidRPr="009935E0">
        <w:rPr>
          <w:rFonts w:ascii="Times New Roman" w:hAnsi="Times New Roman" w:cs="Times New Roman"/>
          <w:sz w:val="24"/>
          <w:szCs w:val="24"/>
        </w:rPr>
        <w:t>uropejskiej</w:t>
      </w:r>
      <w:r w:rsidRPr="009935E0">
        <w:rPr>
          <w:rFonts w:ascii="Times New Roman" w:hAnsi="Times New Roman" w:cs="Times New Roman"/>
          <w:sz w:val="24"/>
          <w:szCs w:val="24"/>
        </w:rPr>
        <w:t xml:space="preserve"> i </w:t>
      </w:r>
      <w:r w:rsidR="00835704" w:rsidRPr="009935E0">
        <w:rPr>
          <w:rFonts w:ascii="Times New Roman" w:hAnsi="Times New Roman" w:cs="Times New Roman"/>
          <w:sz w:val="24"/>
          <w:szCs w:val="24"/>
        </w:rPr>
        <w:t>udałoby się zapobiec różnicom w porządkach krajowych poszczególnych państw członkowskich</w:t>
      </w:r>
      <w:r w:rsidR="00AB3269" w:rsidRPr="009935E0">
        <w:rPr>
          <w:rFonts w:ascii="Times New Roman" w:hAnsi="Times New Roman" w:cs="Times New Roman"/>
          <w:sz w:val="24"/>
          <w:szCs w:val="24"/>
        </w:rPr>
        <w:t xml:space="preserve"> wynikających z różnego sposobu </w:t>
      </w:r>
      <w:r w:rsidRPr="009935E0">
        <w:rPr>
          <w:rFonts w:ascii="Times New Roman" w:hAnsi="Times New Roman" w:cs="Times New Roman"/>
          <w:sz w:val="24"/>
          <w:szCs w:val="24"/>
        </w:rPr>
        <w:t>implementacji dyrektywy</w:t>
      </w:r>
      <w:r w:rsidR="00AB3269"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Ostatecznie zdecydowano się na </w:t>
      </w:r>
      <w:r w:rsidR="00414C7E" w:rsidRPr="009935E0">
        <w:rPr>
          <w:rFonts w:ascii="Times New Roman" w:hAnsi="Times New Roman" w:cs="Times New Roman"/>
          <w:sz w:val="24"/>
          <w:szCs w:val="24"/>
        </w:rPr>
        <w:t>formę dyrektywy</w:t>
      </w:r>
      <w:r w:rsidR="0058026E" w:rsidRPr="009935E0">
        <w:rPr>
          <w:rFonts w:ascii="Times New Roman" w:hAnsi="Times New Roman" w:cs="Times New Roman"/>
          <w:sz w:val="24"/>
          <w:szCs w:val="24"/>
        </w:rPr>
        <w:t>, istotnie przy tym modyfikując pierwotną propozycję przygotowa</w:t>
      </w:r>
      <w:r w:rsidR="00A133D5" w:rsidRPr="009935E0">
        <w:rPr>
          <w:rFonts w:ascii="Times New Roman" w:hAnsi="Times New Roman" w:cs="Times New Roman"/>
          <w:sz w:val="24"/>
          <w:szCs w:val="24"/>
        </w:rPr>
        <w:t>ną przez Komisję Europejską (m.</w:t>
      </w:r>
      <w:r w:rsidR="0058026E" w:rsidRPr="009935E0">
        <w:rPr>
          <w:rFonts w:ascii="Times New Roman" w:hAnsi="Times New Roman" w:cs="Times New Roman"/>
          <w:sz w:val="24"/>
          <w:szCs w:val="24"/>
        </w:rPr>
        <w:t>in. ogranicz</w:t>
      </w:r>
      <w:r w:rsidR="006E3BE5" w:rsidRPr="009935E0">
        <w:rPr>
          <w:rFonts w:ascii="Times New Roman" w:hAnsi="Times New Roman" w:cs="Times New Roman"/>
          <w:sz w:val="24"/>
          <w:szCs w:val="24"/>
        </w:rPr>
        <w:t>ony został</w:t>
      </w:r>
      <w:r w:rsidR="0058026E" w:rsidRPr="009935E0">
        <w:rPr>
          <w:rFonts w:ascii="Times New Roman" w:hAnsi="Times New Roman" w:cs="Times New Roman"/>
          <w:sz w:val="24"/>
          <w:szCs w:val="24"/>
        </w:rPr>
        <w:t xml:space="preserve"> </w:t>
      </w:r>
      <w:r w:rsidR="00414C7E" w:rsidRPr="009935E0">
        <w:rPr>
          <w:rFonts w:ascii="Times New Roman" w:hAnsi="Times New Roman" w:cs="Times New Roman"/>
          <w:sz w:val="24"/>
          <w:szCs w:val="24"/>
        </w:rPr>
        <w:t>przedmiotow</w:t>
      </w:r>
      <w:r w:rsidR="006E3BE5" w:rsidRPr="009935E0">
        <w:rPr>
          <w:rFonts w:ascii="Times New Roman" w:hAnsi="Times New Roman" w:cs="Times New Roman"/>
          <w:sz w:val="24"/>
          <w:szCs w:val="24"/>
        </w:rPr>
        <w:t>y</w:t>
      </w:r>
      <w:r w:rsidR="00414C7E" w:rsidRPr="009935E0">
        <w:rPr>
          <w:rFonts w:ascii="Times New Roman" w:hAnsi="Times New Roman" w:cs="Times New Roman"/>
          <w:sz w:val="24"/>
          <w:szCs w:val="24"/>
        </w:rPr>
        <w:t xml:space="preserve"> </w:t>
      </w:r>
      <w:r w:rsidR="0058026E" w:rsidRPr="009935E0">
        <w:rPr>
          <w:rFonts w:ascii="Times New Roman" w:hAnsi="Times New Roman" w:cs="Times New Roman"/>
          <w:sz w:val="24"/>
          <w:szCs w:val="24"/>
        </w:rPr>
        <w:t xml:space="preserve">zakres stosowania zasady państwa pochodzenia oraz </w:t>
      </w:r>
      <w:r w:rsidR="006E3BE5" w:rsidRPr="009935E0">
        <w:rPr>
          <w:rFonts w:ascii="Times New Roman" w:hAnsi="Times New Roman" w:cs="Times New Roman"/>
          <w:sz w:val="24"/>
          <w:szCs w:val="24"/>
        </w:rPr>
        <w:t>wdrożone zostały</w:t>
      </w:r>
      <w:r w:rsidR="0058026E" w:rsidRPr="009935E0">
        <w:rPr>
          <w:rFonts w:ascii="Times New Roman" w:hAnsi="Times New Roman" w:cs="Times New Roman"/>
          <w:sz w:val="24"/>
          <w:szCs w:val="24"/>
        </w:rPr>
        <w:t xml:space="preserve"> przepis</w:t>
      </w:r>
      <w:r w:rsidR="006E3BE5" w:rsidRPr="009935E0">
        <w:rPr>
          <w:rFonts w:ascii="Times New Roman" w:hAnsi="Times New Roman" w:cs="Times New Roman"/>
          <w:sz w:val="24"/>
          <w:szCs w:val="24"/>
        </w:rPr>
        <w:t>y</w:t>
      </w:r>
      <w:r w:rsidR="0058026E" w:rsidRPr="009935E0">
        <w:rPr>
          <w:rFonts w:ascii="Times New Roman" w:hAnsi="Times New Roman" w:cs="Times New Roman"/>
          <w:sz w:val="24"/>
          <w:szCs w:val="24"/>
        </w:rPr>
        <w:t xml:space="preserve"> dotycząc</w:t>
      </w:r>
      <w:r w:rsidR="006E3BE5" w:rsidRPr="009935E0">
        <w:rPr>
          <w:rFonts w:ascii="Times New Roman" w:hAnsi="Times New Roman" w:cs="Times New Roman"/>
          <w:sz w:val="24"/>
          <w:szCs w:val="24"/>
        </w:rPr>
        <w:t>e</w:t>
      </w:r>
      <w:r w:rsidR="0058026E" w:rsidRPr="009935E0">
        <w:rPr>
          <w:rFonts w:ascii="Times New Roman" w:hAnsi="Times New Roman" w:cs="Times New Roman"/>
          <w:sz w:val="24"/>
          <w:szCs w:val="24"/>
        </w:rPr>
        <w:t xml:space="preserve"> „wprowadzenia bezpośredniego”)</w:t>
      </w:r>
      <w:r w:rsidRPr="009935E0">
        <w:rPr>
          <w:rFonts w:ascii="Times New Roman" w:hAnsi="Times New Roman" w:cs="Times New Roman"/>
          <w:sz w:val="24"/>
          <w:szCs w:val="24"/>
        </w:rPr>
        <w:t>.</w:t>
      </w:r>
      <w:r w:rsidR="0058026E" w:rsidRPr="009935E0">
        <w:rPr>
          <w:rFonts w:ascii="Times New Roman" w:hAnsi="Times New Roman" w:cs="Times New Roman"/>
          <w:sz w:val="24"/>
          <w:szCs w:val="24"/>
        </w:rPr>
        <w:t xml:space="preserve"> </w:t>
      </w:r>
      <w:r w:rsidR="00414C7E" w:rsidRPr="009935E0">
        <w:rPr>
          <w:rFonts w:ascii="Times New Roman" w:hAnsi="Times New Roman" w:cs="Times New Roman"/>
          <w:sz w:val="24"/>
          <w:szCs w:val="24"/>
        </w:rPr>
        <w:t>Negocjacje między</w:t>
      </w:r>
      <w:r w:rsidR="0058026E" w:rsidRPr="009935E0">
        <w:rPr>
          <w:rFonts w:ascii="Times New Roman" w:hAnsi="Times New Roman" w:cs="Times New Roman"/>
          <w:sz w:val="24"/>
          <w:szCs w:val="24"/>
        </w:rPr>
        <w:t xml:space="preserve"> Komisją, Radą i Parlamentem (</w:t>
      </w:r>
      <w:proofErr w:type="spellStart"/>
      <w:r w:rsidR="0058026E" w:rsidRPr="009935E0">
        <w:rPr>
          <w:rFonts w:ascii="Times New Roman" w:hAnsi="Times New Roman" w:cs="Times New Roman"/>
          <w:sz w:val="24"/>
          <w:szCs w:val="24"/>
        </w:rPr>
        <w:t>trilog</w:t>
      </w:r>
      <w:proofErr w:type="spellEnd"/>
      <w:r w:rsidR="0058026E" w:rsidRPr="009935E0">
        <w:rPr>
          <w:rFonts w:ascii="Times New Roman" w:hAnsi="Times New Roman" w:cs="Times New Roman"/>
          <w:sz w:val="24"/>
          <w:szCs w:val="24"/>
        </w:rPr>
        <w:t>) zakończyły się 13 grudnia 2018 r.</w:t>
      </w:r>
      <w:r w:rsidR="0058026E" w:rsidRPr="009935E0">
        <w:rPr>
          <w:rStyle w:val="Odwoanieprzypisudolnego"/>
          <w:rFonts w:ascii="Times New Roman" w:hAnsi="Times New Roman" w:cs="Times New Roman"/>
          <w:sz w:val="24"/>
          <w:szCs w:val="24"/>
        </w:rPr>
        <w:footnoteReference w:id="3"/>
      </w:r>
      <w:r w:rsidR="000816F5" w:rsidRPr="00483092">
        <w:rPr>
          <w:rFonts w:ascii="Times New Roman" w:hAnsi="Times New Roman" w:cs="Times New Roman"/>
          <w:sz w:val="24"/>
          <w:szCs w:val="24"/>
          <w:vertAlign w:val="superscript"/>
        </w:rPr>
        <w:t>)</w:t>
      </w:r>
      <w:r w:rsidR="00DA558A" w:rsidRPr="009935E0">
        <w:rPr>
          <w:rFonts w:ascii="Times New Roman" w:hAnsi="Times New Roman" w:cs="Times New Roman"/>
          <w:sz w:val="24"/>
          <w:szCs w:val="24"/>
        </w:rPr>
        <w:t>.</w:t>
      </w:r>
    </w:p>
    <w:p w14:paraId="3A00A71B" w14:textId="77777777" w:rsidR="00DB25DF" w:rsidRPr="009935E0" w:rsidRDefault="008C6BB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Celem dyrektywy SATCAB</w:t>
      </w:r>
      <w:r w:rsidR="005E1036" w:rsidRPr="009935E0">
        <w:rPr>
          <w:rFonts w:ascii="Times New Roman" w:hAnsi="Times New Roman" w:cs="Times New Roman"/>
          <w:sz w:val="24"/>
          <w:szCs w:val="24"/>
        </w:rPr>
        <w:t xml:space="preserve"> II</w:t>
      </w:r>
      <w:r w:rsidRPr="009935E0">
        <w:rPr>
          <w:rFonts w:ascii="Times New Roman" w:hAnsi="Times New Roman" w:cs="Times New Roman"/>
          <w:sz w:val="24"/>
          <w:szCs w:val="24"/>
        </w:rPr>
        <w:t xml:space="preserve"> jest stworzenie na gruncie prawa autorskiego warunków umożliwiających szersze rozpowszechnianie w </w:t>
      </w:r>
      <w:r w:rsidR="008F6F9A" w:rsidRPr="009935E0">
        <w:rPr>
          <w:rFonts w:ascii="Times New Roman" w:hAnsi="Times New Roman" w:cs="Times New Roman"/>
          <w:sz w:val="24"/>
          <w:szCs w:val="24"/>
        </w:rPr>
        <w:t>p</w:t>
      </w:r>
      <w:r w:rsidRPr="009935E0">
        <w:rPr>
          <w:rFonts w:ascii="Times New Roman" w:hAnsi="Times New Roman" w:cs="Times New Roman"/>
          <w:sz w:val="24"/>
          <w:szCs w:val="24"/>
        </w:rPr>
        <w:t xml:space="preserve">aństwach </w:t>
      </w:r>
      <w:r w:rsidR="008F6F9A" w:rsidRPr="009935E0">
        <w:rPr>
          <w:rFonts w:ascii="Times New Roman" w:hAnsi="Times New Roman" w:cs="Times New Roman"/>
          <w:sz w:val="24"/>
          <w:szCs w:val="24"/>
        </w:rPr>
        <w:t>c</w:t>
      </w:r>
      <w:r w:rsidRPr="009935E0">
        <w:rPr>
          <w:rFonts w:ascii="Times New Roman" w:hAnsi="Times New Roman" w:cs="Times New Roman"/>
          <w:sz w:val="24"/>
          <w:szCs w:val="24"/>
        </w:rPr>
        <w:t xml:space="preserve">złonkowskich programów telewizyjnych i radiowych pochodzących z innych </w:t>
      </w:r>
      <w:r w:rsidR="008F6F9A" w:rsidRPr="009935E0">
        <w:rPr>
          <w:rFonts w:ascii="Times New Roman" w:hAnsi="Times New Roman" w:cs="Times New Roman"/>
          <w:sz w:val="24"/>
          <w:szCs w:val="24"/>
        </w:rPr>
        <w:t>p</w:t>
      </w:r>
      <w:r w:rsidRPr="009935E0">
        <w:rPr>
          <w:rFonts w:ascii="Times New Roman" w:hAnsi="Times New Roman" w:cs="Times New Roman"/>
          <w:sz w:val="24"/>
          <w:szCs w:val="24"/>
        </w:rPr>
        <w:t xml:space="preserve">aństw </w:t>
      </w:r>
      <w:r w:rsidR="008F6F9A" w:rsidRPr="009935E0">
        <w:rPr>
          <w:rFonts w:ascii="Times New Roman" w:hAnsi="Times New Roman" w:cs="Times New Roman"/>
          <w:sz w:val="24"/>
          <w:szCs w:val="24"/>
        </w:rPr>
        <w:t>c</w:t>
      </w:r>
      <w:r w:rsidRPr="009935E0">
        <w:rPr>
          <w:rFonts w:ascii="Times New Roman" w:hAnsi="Times New Roman" w:cs="Times New Roman"/>
          <w:sz w:val="24"/>
          <w:szCs w:val="24"/>
        </w:rPr>
        <w:t>złonkowskich</w:t>
      </w:r>
      <w:r w:rsidR="00DE4A18" w:rsidRPr="009935E0">
        <w:rPr>
          <w:rFonts w:ascii="Times New Roman" w:hAnsi="Times New Roman" w:cs="Times New Roman"/>
          <w:sz w:val="24"/>
          <w:szCs w:val="24"/>
        </w:rPr>
        <w:t>, z korzyścią dla użytkowników w całej U</w:t>
      </w:r>
      <w:r w:rsidR="00A13078" w:rsidRPr="009935E0">
        <w:rPr>
          <w:rFonts w:ascii="Times New Roman" w:hAnsi="Times New Roman" w:cs="Times New Roman"/>
          <w:sz w:val="24"/>
          <w:szCs w:val="24"/>
        </w:rPr>
        <w:t xml:space="preserve">nii </w:t>
      </w:r>
      <w:r w:rsidR="00DE4A18" w:rsidRPr="009935E0">
        <w:rPr>
          <w:rFonts w:ascii="Times New Roman" w:hAnsi="Times New Roman" w:cs="Times New Roman"/>
          <w:sz w:val="24"/>
          <w:szCs w:val="24"/>
        </w:rPr>
        <w:t>E</w:t>
      </w:r>
      <w:r w:rsidR="00A13078" w:rsidRPr="009935E0">
        <w:rPr>
          <w:rFonts w:ascii="Times New Roman" w:hAnsi="Times New Roman" w:cs="Times New Roman"/>
          <w:sz w:val="24"/>
          <w:szCs w:val="24"/>
        </w:rPr>
        <w:t>uropejskiej</w:t>
      </w:r>
      <w:r w:rsidR="005E1036"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Dyrektywa ma ułatwić udzielanie licencji na korzystanie z utworów i przedmiotów praw pokrewnych </w:t>
      </w:r>
      <w:r w:rsidR="005E1036" w:rsidRPr="009935E0">
        <w:rPr>
          <w:rFonts w:ascii="Times New Roman" w:hAnsi="Times New Roman" w:cs="Times New Roman"/>
          <w:sz w:val="24"/>
          <w:szCs w:val="24"/>
        </w:rPr>
        <w:t>w</w:t>
      </w:r>
      <w:r w:rsidR="005A1696" w:rsidRPr="009935E0">
        <w:rPr>
          <w:rFonts w:ascii="Times New Roman" w:hAnsi="Times New Roman" w:cs="Times New Roman"/>
          <w:sz w:val="24"/>
          <w:szCs w:val="24"/>
        </w:rPr>
        <w:t xml:space="preserve"> </w:t>
      </w:r>
      <w:r w:rsidRPr="009935E0">
        <w:rPr>
          <w:rFonts w:ascii="Times New Roman" w:hAnsi="Times New Roman" w:cs="Times New Roman"/>
          <w:sz w:val="24"/>
          <w:szCs w:val="24"/>
        </w:rPr>
        <w:t>nadawanych program</w:t>
      </w:r>
      <w:r w:rsidR="005E1036" w:rsidRPr="009935E0">
        <w:rPr>
          <w:rFonts w:ascii="Times New Roman" w:hAnsi="Times New Roman" w:cs="Times New Roman"/>
          <w:sz w:val="24"/>
          <w:szCs w:val="24"/>
        </w:rPr>
        <w:t>ach</w:t>
      </w:r>
      <w:r w:rsidRPr="009935E0">
        <w:rPr>
          <w:rFonts w:ascii="Times New Roman" w:hAnsi="Times New Roman" w:cs="Times New Roman"/>
          <w:sz w:val="24"/>
          <w:szCs w:val="24"/>
        </w:rPr>
        <w:t xml:space="preserve"> telewizyjnych i radiowych, które są „ważnym narzędziem promowania różnorodności kulturowej i językowej, spójności społecznej oraz coraz większego dostępu do informacji” (motyw 1</w:t>
      </w:r>
      <w:r w:rsidR="00320C0D" w:rsidRPr="009935E0">
        <w:rPr>
          <w:rFonts w:ascii="Times New Roman" w:hAnsi="Times New Roman" w:cs="Times New Roman"/>
          <w:sz w:val="24"/>
          <w:szCs w:val="24"/>
        </w:rPr>
        <w:t xml:space="preserve"> dyrektywy</w:t>
      </w:r>
      <w:r w:rsidRPr="009935E0">
        <w:rPr>
          <w:rFonts w:ascii="Times New Roman" w:hAnsi="Times New Roman" w:cs="Times New Roman"/>
          <w:sz w:val="24"/>
          <w:szCs w:val="24"/>
        </w:rPr>
        <w:t xml:space="preserve">). </w:t>
      </w:r>
    </w:p>
    <w:p w14:paraId="4617839C" w14:textId="5CEC9D28" w:rsidR="00DB25DF" w:rsidRPr="009935E0" w:rsidRDefault="00472BBB"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ramach implementacji dyrektywy SATCAB II zostaną wprowadzone następujące zmiany w</w:t>
      </w:r>
      <w:r w:rsidR="005E2B67">
        <w:rPr>
          <w:rFonts w:ascii="Times New Roman" w:hAnsi="Times New Roman" w:cs="Times New Roman"/>
          <w:sz w:val="24"/>
          <w:szCs w:val="24"/>
        </w:rPr>
        <w:t> </w:t>
      </w:r>
      <w:r w:rsidRPr="009935E0">
        <w:rPr>
          <w:rFonts w:ascii="Times New Roman" w:hAnsi="Times New Roman" w:cs="Times New Roman"/>
          <w:sz w:val="24"/>
          <w:szCs w:val="24"/>
        </w:rPr>
        <w:t xml:space="preserve">polskim prawie autorskim: </w:t>
      </w:r>
    </w:p>
    <w:p w14:paraId="0F20D87C" w14:textId="08404DD5" w:rsidR="00472BBB" w:rsidRPr="009935E0" w:rsidRDefault="00472BBB" w:rsidP="00483092">
      <w:pPr>
        <w:pStyle w:val="Akapitzlist"/>
        <w:numPr>
          <w:ilvl w:val="1"/>
          <w:numId w:val="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nastąpi wskazanie </w:t>
      </w:r>
      <w:r w:rsidR="00F238D3" w:rsidRPr="009935E0">
        <w:rPr>
          <w:rFonts w:ascii="Times New Roman" w:hAnsi="Times New Roman" w:cs="Times New Roman"/>
          <w:sz w:val="24"/>
          <w:szCs w:val="24"/>
        </w:rPr>
        <w:t xml:space="preserve">jednego </w:t>
      </w:r>
      <w:r w:rsidRPr="009935E0">
        <w:rPr>
          <w:rFonts w:ascii="Times New Roman" w:hAnsi="Times New Roman" w:cs="Times New Roman"/>
          <w:sz w:val="24"/>
          <w:szCs w:val="24"/>
        </w:rPr>
        <w:t>prawa krajowego właściwego w zakresie wykonywania praw autorskich i praw pokrewnych na potrzeby świadczenia przez organizacje radiowe i</w:t>
      </w:r>
      <w:r w:rsidR="005E2B67">
        <w:rPr>
          <w:rFonts w:ascii="Times New Roman" w:hAnsi="Times New Roman" w:cs="Times New Roman"/>
          <w:sz w:val="24"/>
          <w:szCs w:val="24"/>
        </w:rPr>
        <w:t> </w:t>
      </w:r>
      <w:r w:rsidRPr="009935E0">
        <w:rPr>
          <w:rFonts w:ascii="Times New Roman" w:hAnsi="Times New Roman" w:cs="Times New Roman"/>
          <w:sz w:val="24"/>
          <w:szCs w:val="24"/>
        </w:rPr>
        <w:t>telewizyjne tzw. „dodatkowych usług online”</w:t>
      </w:r>
      <w:r w:rsidR="00F238D3" w:rsidRPr="009935E0">
        <w:rPr>
          <w:rFonts w:ascii="Times New Roman" w:hAnsi="Times New Roman" w:cs="Times New Roman"/>
          <w:sz w:val="24"/>
          <w:szCs w:val="24"/>
        </w:rPr>
        <w:t xml:space="preserve"> (w</w:t>
      </w:r>
      <w:r w:rsidR="001017C9" w:rsidRPr="009935E0">
        <w:rPr>
          <w:rFonts w:ascii="Times New Roman" w:hAnsi="Times New Roman" w:cs="Times New Roman"/>
          <w:sz w:val="24"/>
          <w:szCs w:val="24"/>
        </w:rPr>
        <w:t>edłu</w:t>
      </w:r>
      <w:r w:rsidR="00F238D3" w:rsidRPr="009935E0">
        <w:rPr>
          <w:rFonts w:ascii="Times New Roman" w:hAnsi="Times New Roman" w:cs="Times New Roman"/>
          <w:sz w:val="24"/>
          <w:szCs w:val="24"/>
        </w:rPr>
        <w:t>g zasady państwa pochodzenia)</w:t>
      </w:r>
      <w:r w:rsidRPr="009935E0">
        <w:rPr>
          <w:rFonts w:ascii="Times New Roman" w:hAnsi="Times New Roman" w:cs="Times New Roman"/>
          <w:sz w:val="24"/>
          <w:szCs w:val="24"/>
        </w:rPr>
        <w:t>;</w:t>
      </w:r>
    </w:p>
    <w:p w14:paraId="7A1DB43B" w14:textId="7DE7D85A" w:rsidR="00472BBB" w:rsidRPr="009935E0" w:rsidRDefault="00472BBB" w:rsidP="00483092">
      <w:pPr>
        <w:pStyle w:val="Akapitzlist"/>
        <w:numPr>
          <w:ilvl w:val="1"/>
          <w:numId w:val="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nastąpi ujednolicenie zasad licencjonowania </w:t>
      </w:r>
      <w:r w:rsidR="00AA680C" w:rsidRPr="009935E0">
        <w:rPr>
          <w:rFonts w:ascii="Times New Roman" w:hAnsi="Times New Roman" w:cs="Times New Roman"/>
          <w:sz w:val="24"/>
          <w:szCs w:val="24"/>
        </w:rPr>
        <w:t>reemitowania</w:t>
      </w:r>
      <w:r w:rsidRPr="009935E0">
        <w:rPr>
          <w:rFonts w:ascii="Times New Roman" w:hAnsi="Times New Roman" w:cs="Times New Roman"/>
          <w:sz w:val="24"/>
          <w:szCs w:val="24"/>
        </w:rPr>
        <w:t xml:space="preserve"> programów radiowych i</w:t>
      </w:r>
      <w:r w:rsidR="005E2B67">
        <w:rPr>
          <w:rFonts w:ascii="Times New Roman" w:hAnsi="Times New Roman" w:cs="Times New Roman"/>
          <w:sz w:val="24"/>
          <w:szCs w:val="24"/>
        </w:rPr>
        <w:t> </w:t>
      </w:r>
      <w:r w:rsidRPr="009935E0">
        <w:rPr>
          <w:rFonts w:ascii="Times New Roman" w:hAnsi="Times New Roman" w:cs="Times New Roman"/>
          <w:sz w:val="24"/>
          <w:szCs w:val="24"/>
        </w:rPr>
        <w:t xml:space="preserve">telewizyjnych bez </w:t>
      </w:r>
      <w:r w:rsidR="00AA680C" w:rsidRPr="009935E0">
        <w:rPr>
          <w:rFonts w:ascii="Times New Roman" w:hAnsi="Times New Roman" w:cs="Times New Roman"/>
          <w:sz w:val="24"/>
          <w:szCs w:val="24"/>
        </w:rPr>
        <w:t xml:space="preserve">względu na zastosowaną technikę </w:t>
      </w:r>
      <w:r w:rsidR="00F238D3" w:rsidRPr="009935E0">
        <w:rPr>
          <w:rFonts w:ascii="Times New Roman" w:hAnsi="Times New Roman" w:cs="Times New Roman"/>
          <w:sz w:val="24"/>
          <w:szCs w:val="24"/>
        </w:rPr>
        <w:t>(przymusowe pośrednictwo organizacji zbiorowego zarządzania prawami autorskimi i prawami pokrewnymi)</w:t>
      </w:r>
      <w:r w:rsidRPr="009935E0">
        <w:rPr>
          <w:rFonts w:ascii="Times New Roman" w:hAnsi="Times New Roman" w:cs="Times New Roman"/>
          <w:sz w:val="24"/>
          <w:szCs w:val="24"/>
        </w:rPr>
        <w:t>;</w:t>
      </w:r>
    </w:p>
    <w:p w14:paraId="60983B8F" w14:textId="0DEB01FF" w:rsidR="00D31226" w:rsidRPr="009935E0" w:rsidRDefault="00472BBB" w:rsidP="00483092">
      <w:pPr>
        <w:pStyle w:val="Akapitzlist"/>
        <w:numPr>
          <w:ilvl w:val="1"/>
          <w:numId w:val="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lastRenderedPageBreak/>
        <w:t>nastąpi prawne uregulowanie rozpowszechniania programów radi</w:t>
      </w:r>
      <w:r w:rsidR="00E15A03" w:rsidRPr="009935E0">
        <w:rPr>
          <w:rFonts w:ascii="Times New Roman" w:hAnsi="Times New Roman" w:cs="Times New Roman"/>
          <w:sz w:val="24"/>
          <w:szCs w:val="24"/>
        </w:rPr>
        <w:t>owych i telewizyjnych udostępnia</w:t>
      </w:r>
      <w:r w:rsidRPr="009935E0">
        <w:rPr>
          <w:rFonts w:ascii="Times New Roman" w:hAnsi="Times New Roman" w:cs="Times New Roman"/>
          <w:sz w:val="24"/>
          <w:szCs w:val="24"/>
        </w:rPr>
        <w:t>nych rozpowszechniającemu drogą „wprowadzenia bezpośredniego” (ang.</w:t>
      </w:r>
      <w:r w:rsidR="005E2B67">
        <w:rPr>
          <w:rFonts w:ascii="Times New Roman" w:hAnsi="Times New Roman" w:cs="Times New Roman"/>
          <w:sz w:val="24"/>
          <w:szCs w:val="24"/>
        </w:rPr>
        <w:t> </w:t>
      </w:r>
      <w:r w:rsidRPr="009935E0">
        <w:rPr>
          <w:rFonts w:ascii="Times New Roman" w:hAnsi="Times New Roman" w:cs="Times New Roman"/>
          <w:sz w:val="24"/>
          <w:szCs w:val="24"/>
        </w:rPr>
        <w:t>„</w:t>
      </w:r>
      <w:proofErr w:type="spellStart"/>
      <w:r w:rsidRPr="009935E0">
        <w:rPr>
          <w:rFonts w:ascii="Times New Roman" w:hAnsi="Times New Roman" w:cs="Times New Roman"/>
          <w:i/>
          <w:sz w:val="24"/>
          <w:szCs w:val="24"/>
        </w:rPr>
        <w:t>direct</w:t>
      </w:r>
      <w:proofErr w:type="spellEnd"/>
      <w:r w:rsidRPr="009935E0">
        <w:rPr>
          <w:rFonts w:ascii="Times New Roman" w:hAnsi="Times New Roman" w:cs="Times New Roman"/>
          <w:i/>
          <w:sz w:val="24"/>
          <w:szCs w:val="24"/>
        </w:rPr>
        <w:t xml:space="preserve"> </w:t>
      </w:r>
      <w:proofErr w:type="spellStart"/>
      <w:r w:rsidRPr="009935E0">
        <w:rPr>
          <w:rFonts w:ascii="Times New Roman" w:hAnsi="Times New Roman" w:cs="Times New Roman"/>
          <w:i/>
          <w:sz w:val="24"/>
          <w:szCs w:val="24"/>
        </w:rPr>
        <w:t>injection</w:t>
      </w:r>
      <w:proofErr w:type="spellEnd"/>
      <w:r w:rsidRPr="009935E0">
        <w:rPr>
          <w:rFonts w:ascii="Times New Roman" w:hAnsi="Times New Roman" w:cs="Times New Roman"/>
          <w:sz w:val="24"/>
          <w:szCs w:val="24"/>
        </w:rPr>
        <w:t>”</w:t>
      </w:r>
      <w:r w:rsidR="00F238D3" w:rsidRPr="009935E0">
        <w:rPr>
          <w:rFonts w:ascii="Times New Roman" w:hAnsi="Times New Roman" w:cs="Times New Roman"/>
          <w:sz w:val="24"/>
          <w:szCs w:val="24"/>
        </w:rPr>
        <w:t xml:space="preserve">, normatywne uznanie za </w:t>
      </w:r>
      <w:r w:rsidR="00214DB6" w:rsidRPr="009935E0">
        <w:rPr>
          <w:rFonts w:ascii="Times New Roman" w:hAnsi="Times New Roman" w:cs="Times New Roman"/>
          <w:sz w:val="24"/>
          <w:szCs w:val="24"/>
        </w:rPr>
        <w:t xml:space="preserve">postać </w:t>
      </w:r>
      <w:r w:rsidR="002C14F1" w:rsidRPr="009935E0">
        <w:rPr>
          <w:rFonts w:ascii="Times New Roman" w:hAnsi="Times New Roman" w:cs="Times New Roman"/>
          <w:sz w:val="24"/>
          <w:szCs w:val="24"/>
        </w:rPr>
        <w:t>nadawani</w:t>
      </w:r>
      <w:r w:rsidR="00214DB6" w:rsidRPr="009935E0">
        <w:rPr>
          <w:rFonts w:ascii="Times New Roman" w:hAnsi="Times New Roman" w:cs="Times New Roman"/>
          <w:sz w:val="24"/>
          <w:szCs w:val="24"/>
        </w:rPr>
        <w:t>a</w:t>
      </w:r>
      <w:r w:rsidR="00E15A03" w:rsidRPr="009935E0">
        <w:rPr>
          <w:rFonts w:ascii="Times New Roman" w:hAnsi="Times New Roman" w:cs="Times New Roman"/>
          <w:sz w:val="24"/>
          <w:szCs w:val="24"/>
        </w:rPr>
        <w:t xml:space="preserve"> i reemitowania</w:t>
      </w:r>
      <w:r w:rsidR="00F238D3" w:rsidRPr="009935E0">
        <w:rPr>
          <w:rFonts w:ascii="Times New Roman" w:hAnsi="Times New Roman" w:cs="Times New Roman"/>
          <w:sz w:val="24"/>
          <w:szCs w:val="24"/>
        </w:rPr>
        <w:t>).</w:t>
      </w:r>
    </w:p>
    <w:p w14:paraId="50BF0CB4" w14:textId="273779F7" w:rsidR="00114B3A" w:rsidRPr="009935E0" w:rsidRDefault="007246DB"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Dyrektywa </w:t>
      </w:r>
      <w:r w:rsidR="00A12F33" w:rsidRPr="009935E0">
        <w:rPr>
          <w:rFonts w:ascii="Times New Roman" w:hAnsi="Times New Roman" w:cs="Times New Roman"/>
          <w:sz w:val="24"/>
          <w:szCs w:val="24"/>
        </w:rPr>
        <w:t>DSM</w:t>
      </w:r>
      <w:r w:rsidRPr="009935E0">
        <w:rPr>
          <w:rFonts w:ascii="Times New Roman" w:hAnsi="Times New Roman" w:cs="Times New Roman"/>
          <w:sz w:val="24"/>
          <w:szCs w:val="24"/>
        </w:rPr>
        <w:t xml:space="preserve"> </w:t>
      </w:r>
      <w:r w:rsidR="002747DF" w:rsidRPr="009935E0">
        <w:rPr>
          <w:rFonts w:ascii="Times New Roman" w:hAnsi="Times New Roman" w:cs="Times New Roman"/>
          <w:sz w:val="24"/>
          <w:szCs w:val="24"/>
        </w:rPr>
        <w:t xml:space="preserve">jest </w:t>
      </w:r>
      <w:r w:rsidR="00F27850" w:rsidRPr="009935E0">
        <w:rPr>
          <w:rFonts w:ascii="Times New Roman" w:hAnsi="Times New Roman" w:cs="Times New Roman"/>
          <w:sz w:val="24"/>
          <w:szCs w:val="24"/>
        </w:rPr>
        <w:t xml:space="preserve">natomiast </w:t>
      </w:r>
      <w:r w:rsidR="002747DF" w:rsidRPr="009935E0">
        <w:rPr>
          <w:rFonts w:ascii="Times New Roman" w:hAnsi="Times New Roman" w:cs="Times New Roman"/>
          <w:sz w:val="24"/>
          <w:szCs w:val="24"/>
        </w:rPr>
        <w:t>odpowiedzią Unii Europejskiej na aktualne wyzwania związane z rozwojem technologii cyfrowych w obszarze prawa autorskiego. Jak wskazuje się w dyrektywie</w:t>
      </w:r>
      <w:r w:rsidR="00C42D0C" w:rsidRPr="009935E0">
        <w:rPr>
          <w:rFonts w:ascii="Times New Roman" w:hAnsi="Times New Roman" w:cs="Times New Roman"/>
          <w:sz w:val="24"/>
          <w:szCs w:val="24"/>
        </w:rPr>
        <w:t>,</w:t>
      </w:r>
      <w:r w:rsidR="002747DF" w:rsidRPr="009935E0">
        <w:rPr>
          <w:rFonts w:ascii="Times New Roman" w:hAnsi="Times New Roman" w:cs="Times New Roman"/>
          <w:sz w:val="24"/>
          <w:szCs w:val="24"/>
        </w:rPr>
        <w:t xml:space="preserve"> „</w:t>
      </w:r>
      <w:r w:rsidR="00155BC2" w:rsidRPr="009935E0">
        <w:rPr>
          <w:rFonts w:ascii="Times New Roman" w:hAnsi="Times New Roman" w:cs="Times New Roman"/>
          <w:sz w:val="24"/>
          <w:szCs w:val="24"/>
        </w:rPr>
        <w:t>s</w:t>
      </w:r>
      <w:r w:rsidR="002747DF" w:rsidRPr="009935E0">
        <w:rPr>
          <w:rFonts w:ascii="Times New Roman" w:hAnsi="Times New Roman" w:cs="Times New Roman"/>
          <w:sz w:val="24"/>
          <w:szCs w:val="24"/>
        </w:rPr>
        <w:t>zybki rozwój technologii cyfrowych zmienia sposób, w jaki tworzy się, produkuje, rozpowszechnia i eksploatuje utwory i inne przedmioty objęte ochroną</w:t>
      </w:r>
      <w:r w:rsidR="00155BC2" w:rsidRPr="009935E0">
        <w:rPr>
          <w:rFonts w:ascii="Times New Roman" w:hAnsi="Times New Roman" w:cs="Times New Roman"/>
          <w:sz w:val="24"/>
          <w:szCs w:val="24"/>
        </w:rPr>
        <w:t>”</w:t>
      </w:r>
      <w:r w:rsidR="002747DF" w:rsidRPr="009935E0">
        <w:rPr>
          <w:rFonts w:ascii="Times New Roman" w:hAnsi="Times New Roman" w:cs="Times New Roman"/>
          <w:sz w:val="24"/>
          <w:szCs w:val="24"/>
        </w:rPr>
        <w:t xml:space="preserve">. Wciąż pojawiają się </w:t>
      </w:r>
      <w:r w:rsidR="00155BC2" w:rsidRPr="009935E0">
        <w:rPr>
          <w:rFonts w:ascii="Times New Roman" w:hAnsi="Times New Roman" w:cs="Times New Roman"/>
          <w:sz w:val="24"/>
          <w:szCs w:val="24"/>
        </w:rPr>
        <w:t>„</w:t>
      </w:r>
      <w:r w:rsidR="002747DF" w:rsidRPr="009935E0">
        <w:rPr>
          <w:rFonts w:ascii="Times New Roman" w:hAnsi="Times New Roman" w:cs="Times New Roman"/>
          <w:sz w:val="24"/>
          <w:szCs w:val="24"/>
        </w:rPr>
        <w:t>nowe modele biznesowe i nowe podmioty</w:t>
      </w:r>
      <w:r w:rsidR="00155BC2" w:rsidRPr="009935E0">
        <w:rPr>
          <w:rFonts w:ascii="Times New Roman" w:hAnsi="Times New Roman" w:cs="Times New Roman"/>
          <w:sz w:val="24"/>
          <w:szCs w:val="24"/>
        </w:rPr>
        <w:t>”, w związku z czym „o</w:t>
      </w:r>
      <w:r w:rsidR="002747DF" w:rsidRPr="009935E0">
        <w:rPr>
          <w:rFonts w:ascii="Times New Roman" w:hAnsi="Times New Roman" w:cs="Times New Roman"/>
          <w:sz w:val="24"/>
          <w:szCs w:val="24"/>
        </w:rPr>
        <w:t>dpowiednie przepisy ustawodawcze powinny uwzględniać przyszłe przemiany, aby nie ograniczać rozwoju technologicznego</w:t>
      </w:r>
      <w:r w:rsidR="00155BC2" w:rsidRPr="009935E0">
        <w:rPr>
          <w:rFonts w:ascii="Times New Roman" w:hAnsi="Times New Roman" w:cs="Times New Roman"/>
          <w:sz w:val="24"/>
          <w:szCs w:val="24"/>
        </w:rPr>
        <w:t>”</w:t>
      </w:r>
      <w:r w:rsidR="002747DF" w:rsidRPr="009935E0">
        <w:rPr>
          <w:rFonts w:ascii="Times New Roman" w:hAnsi="Times New Roman" w:cs="Times New Roman"/>
          <w:sz w:val="24"/>
          <w:szCs w:val="24"/>
        </w:rPr>
        <w:t>.</w:t>
      </w:r>
      <w:r w:rsidR="00155BC2" w:rsidRPr="009935E0">
        <w:rPr>
          <w:rFonts w:ascii="Times New Roman" w:hAnsi="Times New Roman" w:cs="Times New Roman"/>
          <w:sz w:val="24"/>
          <w:szCs w:val="24"/>
        </w:rPr>
        <w:t xml:space="preserve"> Podkreśla się, że „c</w:t>
      </w:r>
      <w:r w:rsidR="002747DF" w:rsidRPr="009935E0">
        <w:rPr>
          <w:rFonts w:ascii="Times New Roman" w:hAnsi="Times New Roman" w:cs="Times New Roman"/>
          <w:sz w:val="24"/>
          <w:szCs w:val="24"/>
        </w:rPr>
        <w:t>ele i zasady określone w unijnych ramach prawa autorskiego są nadal solidne</w:t>
      </w:r>
      <w:r w:rsidR="00155BC2" w:rsidRPr="009935E0">
        <w:rPr>
          <w:rFonts w:ascii="Times New Roman" w:hAnsi="Times New Roman" w:cs="Times New Roman"/>
          <w:sz w:val="24"/>
          <w:szCs w:val="24"/>
        </w:rPr>
        <w:t>”, w</w:t>
      </w:r>
      <w:r w:rsidR="002747DF" w:rsidRPr="009935E0">
        <w:rPr>
          <w:rFonts w:ascii="Times New Roman" w:hAnsi="Times New Roman" w:cs="Times New Roman"/>
          <w:sz w:val="24"/>
          <w:szCs w:val="24"/>
        </w:rPr>
        <w:t xml:space="preserve">ciąż jednak </w:t>
      </w:r>
      <w:r w:rsidR="00155BC2" w:rsidRPr="009935E0">
        <w:rPr>
          <w:rFonts w:ascii="Times New Roman" w:hAnsi="Times New Roman" w:cs="Times New Roman"/>
          <w:sz w:val="24"/>
          <w:szCs w:val="24"/>
        </w:rPr>
        <w:t>„</w:t>
      </w:r>
      <w:r w:rsidR="002747DF" w:rsidRPr="009935E0">
        <w:rPr>
          <w:rFonts w:ascii="Times New Roman" w:hAnsi="Times New Roman" w:cs="Times New Roman"/>
          <w:sz w:val="24"/>
          <w:szCs w:val="24"/>
        </w:rPr>
        <w:t>istnieje problem braku pewności prawa, zarówno dla podmiotów uprawnionych, jak i użytkowników, w odniesieniu do niektórych sposobów korzystania, w tym transgranicznych sposobów korzystania, z utworów i innych przedmiotów objętych ochroną w środowisku cyfrowym”</w:t>
      </w:r>
      <w:r w:rsidR="00223B39" w:rsidRPr="009935E0">
        <w:rPr>
          <w:rFonts w:ascii="Times New Roman" w:hAnsi="Times New Roman" w:cs="Times New Roman"/>
          <w:sz w:val="24"/>
          <w:szCs w:val="24"/>
        </w:rPr>
        <w:t xml:space="preserve"> (motyw 3 dyrektywy). Na problemy te Komisja Europejska</w:t>
      </w:r>
      <w:r w:rsidR="005B6A2E" w:rsidRPr="009935E0">
        <w:rPr>
          <w:rFonts w:ascii="Times New Roman" w:hAnsi="Times New Roman" w:cs="Times New Roman"/>
          <w:sz w:val="24"/>
          <w:szCs w:val="24"/>
        </w:rPr>
        <w:t xml:space="preserve"> wskazała m.in. w swoim </w:t>
      </w:r>
      <w:r w:rsidR="002747DF" w:rsidRPr="009935E0">
        <w:rPr>
          <w:rFonts w:ascii="Times New Roman" w:hAnsi="Times New Roman" w:cs="Times New Roman"/>
          <w:sz w:val="24"/>
          <w:szCs w:val="24"/>
        </w:rPr>
        <w:t>komunikacie</w:t>
      </w:r>
      <w:r w:rsidR="005B6A2E" w:rsidRPr="009935E0">
        <w:rPr>
          <w:rFonts w:ascii="Times New Roman" w:hAnsi="Times New Roman" w:cs="Times New Roman"/>
          <w:sz w:val="24"/>
          <w:szCs w:val="24"/>
        </w:rPr>
        <w:t xml:space="preserve"> do Parlamentu Europejskiego, Rady, Europejskiego Komitetu Ekonomiczno-Społecznego i Komitetu Regionów </w:t>
      </w:r>
      <w:r w:rsidR="002747DF" w:rsidRPr="009935E0">
        <w:rPr>
          <w:rFonts w:ascii="Times New Roman" w:hAnsi="Times New Roman" w:cs="Times New Roman"/>
          <w:sz w:val="24"/>
          <w:szCs w:val="24"/>
        </w:rPr>
        <w:t>z dnia 9</w:t>
      </w:r>
      <w:r w:rsidR="00C42D0C" w:rsidRPr="009935E0">
        <w:rPr>
          <w:rFonts w:ascii="Times New Roman" w:hAnsi="Times New Roman" w:cs="Times New Roman"/>
          <w:sz w:val="24"/>
          <w:szCs w:val="24"/>
        </w:rPr>
        <w:t xml:space="preserve"> </w:t>
      </w:r>
      <w:r w:rsidR="002747DF" w:rsidRPr="009935E0">
        <w:rPr>
          <w:rFonts w:ascii="Times New Roman" w:hAnsi="Times New Roman" w:cs="Times New Roman"/>
          <w:sz w:val="24"/>
          <w:szCs w:val="24"/>
        </w:rPr>
        <w:t>grudnia 2015</w:t>
      </w:r>
      <w:r w:rsidR="00C42D0C" w:rsidRPr="009935E0">
        <w:rPr>
          <w:rFonts w:ascii="Times New Roman" w:hAnsi="Times New Roman" w:cs="Times New Roman"/>
          <w:sz w:val="24"/>
          <w:szCs w:val="24"/>
        </w:rPr>
        <w:t xml:space="preserve"> </w:t>
      </w:r>
      <w:r w:rsidR="002747DF" w:rsidRPr="009935E0">
        <w:rPr>
          <w:rFonts w:ascii="Times New Roman" w:hAnsi="Times New Roman" w:cs="Times New Roman"/>
          <w:sz w:val="24"/>
          <w:szCs w:val="24"/>
        </w:rPr>
        <w:t>r. pt. „W kierunku nowoczesnych, bardziej europ</w:t>
      </w:r>
      <w:r w:rsidR="005B6A2E" w:rsidRPr="009935E0">
        <w:rPr>
          <w:rFonts w:ascii="Times New Roman" w:hAnsi="Times New Roman" w:cs="Times New Roman"/>
          <w:sz w:val="24"/>
          <w:szCs w:val="24"/>
        </w:rPr>
        <w:t>ejskich ram prawa autorskiego”</w:t>
      </w:r>
      <w:r w:rsidR="005B6A2E" w:rsidRPr="009935E0">
        <w:rPr>
          <w:rStyle w:val="Odwoanieprzypisudolnego"/>
          <w:rFonts w:ascii="Times New Roman" w:hAnsi="Times New Roman" w:cs="Times New Roman"/>
          <w:sz w:val="24"/>
          <w:szCs w:val="24"/>
        </w:rPr>
        <w:footnoteReference w:id="4"/>
      </w:r>
      <w:r w:rsidR="005C4262" w:rsidRPr="00483092">
        <w:rPr>
          <w:rFonts w:ascii="Times New Roman" w:hAnsi="Times New Roman" w:cs="Times New Roman"/>
          <w:sz w:val="24"/>
          <w:szCs w:val="24"/>
          <w:vertAlign w:val="superscript"/>
        </w:rPr>
        <w:t>)</w:t>
      </w:r>
      <w:r w:rsidR="005B6A2E" w:rsidRPr="009935E0">
        <w:rPr>
          <w:rFonts w:ascii="Times New Roman" w:hAnsi="Times New Roman" w:cs="Times New Roman"/>
          <w:sz w:val="24"/>
          <w:szCs w:val="24"/>
        </w:rPr>
        <w:t xml:space="preserve">. Dyrektywa </w:t>
      </w:r>
      <w:r w:rsidR="003C35DB" w:rsidRPr="009935E0">
        <w:rPr>
          <w:rFonts w:ascii="Times New Roman" w:hAnsi="Times New Roman" w:cs="Times New Roman"/>
          <w:sz w:val="24"/>
          <w:szCs w:val="24"/>
        </w:rPr>
        <w:t xml:space="preserve">DSM </w:t>
      </w:r>
      <w:r w:rsidR="005B6A2E" w:rsidRPr="009935E0">
        <w:rPr>
          <w:rFonts w:ascii="Times New Roman" w:hAnsi="Times New Roman" w:cs="Times New Roman"/>
          <w:sz w:val="24"/>
          <w:szCs w:val="24"/>
        </w:rPr>
        <w:t>w</w:t>
      </w:r>
      <w:r w:rsidRPr="009935E0">
        <w:rPr>
          <w:rFonts w:ascii="Times New Roman" w:hAnsi="Times New Roman" w:cs="Times New Roman"/>
          <w:sz w:val="24"/>
          <w:szCs w:val="24"/>
        </w:rPr>
        <w:t xml:space="preserve">prowadza </w:t>
      </w:r>
      <w:r w:rsidR="005B6A2E" w:rsidRPr="009935E0">
        <w:rPr>
          <w:rFonts w:ascii="Times New Roman" w:hAnsi="Times New Roman" w:cs="Times New Roman"/>
          <w:sz w:val="24"/>
          <w:szCs w:val="24"/>
        </w:rPr>
        <w:t>zatem</w:t>
      </w:r>
      <w:r w:rsidR="004C0431" w:rsidRPr="009935E0">
        <w:rPr>
          <w:rFonts w:ascii="Times New Roman" w:hAnsi="Times New Roman" w:cs="Times New Roman"/>
          <w:sz w:val="24"/>
          <w:szCs w:val="24"/>
        </w:rPr>
        <w:t xml:space="preserve"> pewne</w:t>
      </w:r>
      <w:r w:rsidRPr="009935E0">
        <w:rPr>
          <w:rFonts w:ascii="Times New Roman" w:hAnsi="Times New Roman" w:cs="Times New Roman"/>
          <w:sz w:val="24"/>
          <w:szCs w:val="24"/>
        </w:rPr>
        <w:t xml:space="preserve"> nowe fo</w:t>
      </w:r>
      <w:r w:rsidR="004C0431" w:rsidRPr="009935E0">
        <w:rPr>
          <w:rFonts w:ascii="Times New Roman" w:hAnsi="Times New Roman" w:cs="Times New Roman"/>
          <w:sz w:val="24"/>
          <w:szCs w:val="24"/>
        </w:rPr>
        <w:t>rmy dozwolonego użytku utworów</w:t>
      </w:r>
      <w:r w:rsidR="000D63B0" w:rsidRPr="009935E0">
        <w:rPr>
          <w:rFonts w:ascii="Times New Roman" w:hAnsi="Times New Roman" w:cs="Times New Roman"/>
          <w:sz w:val="24"/>
          <w:szCs w:val="24"/>
        </w:rPr>
        <w:t xml:space="preserve"> i baz danych</w:t>
      </w:r>
      <w:r w:rsidR="004C0431" w:rsidRPr="009935E0">
        <w:rPr>
          <w:rFonts w:ascii="Times New Roman" w:hAnsi="Times New Roman" w:cs="Times New Roman"/>
          <w:sz w:val="24"/>
          <w:szCs w:val="24"/>
        </w:rPr>
        <w:t xml:space="preserve"> (eksploracja tekstów i danych, zwielokrotnianie dla zachowania zbiorów dziedzictwa kulturowego) oraz istotnie modyfikuje formy już istniejące w prawie U</w:t>
      </w:r>
      <w:r w:rsidR="00A94C99" w:rsidRPr="009935E0">
        <w:rPr>
          <w:rFonts w:ascii="Times New Roman" w:hAnsi="Times New Roman" w:cs="Times New Roman"/>
          <w:sz w:val="24"/>
          <w:szCs w:val="24"/>
        </w:rPr>
        <w:t xml:space="preserve">nii </w:t>
      </w:r>
      <w:r w:rsidR="004C0431"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4C0431" w:rsidRPr="009935E0">
        <w:rPr>
          <w:rFonts w:ascii="Times New Roman" w:hAnsi="Times New Roman" w:cs="Times New Roman"/>
          <w:sz w:val="24"/>
          <w:szCs w:val="24"/>
        </w:rPr>
        <w:t xml:space="preserve"> (korzystanie z utworów na potrzeby edukacji zdalnej). W</w:t>
      </w:r>
      <w:r w:rsidRPr="009935E0">
        <w:rPr>
          <w:rFonts w:ascii="Times New Roman" w:hAnsi="Times New Roman" w:cs="Times New Roman"/>
          <w:sz w:val="24"/>
          <w:szCs w:val="24"/>
        </w:rPr>
        <w:t xml:space="preserve">prowadza </w:t>
      </w:r>
      <w:r w:rsidR="004C0431" w:rsidRPr="009935E0">
        <w:rPr>
          <w:rFonts w:ascii="Times New Roman" w:hAnsi="Times New Roman" w:cs="Times New Roman"/>
          <w:sz w:val="24"/>
          <w:szCs w:val="24"/>
        </w:rPr>
        <w:t>też</w:t>
      </w:r>
      <w:r w:rsidRPr="009935E0">
        <w:rPr>
          <w:rFonts w:ascii="Times New Roman" w:hAnsi="Times New Roman" w:cs="Times New Roman"/>
          <w:sz w:val="24"/>
          <w:szCs w:val="24"/>
        </w:rPr>
        <w:t xml:space="preserve"> środki ułatwiające </w:t>
      </w:r>
      <w:r w:rsidR="004C0431" w:rsidRPr="009935E0">
        <w:rPr>
          <w:rFonts w:ascii="Times New Roman" w:hAnsi="Times New Roman" w:cs="Times New Roman"/>
          <w:sz w:val="24"/>
          <w:szCs w:val="24"/>
        </w:rPr>
        <w:t>korzystanie z</w:t>
      </w:r>
      <w:r w:rsidRPr="009935E0">
        <w:rPr>
          <w:rFonts w:ascii="Times New Roman" w:hAnsi="Times New Roman" w:cs="Times New Roman"/>
          <w:sz w:val="24"/>
          <w:szCs w:val="24"/>
        </w:rPr>
        <w:t xml:space="preserve"> utworów niedostępnych w </w:t>
      </w:r>
      <w:r w:rsidR="00B96595" w:rsidRPr="009935E0">
        <w:rPr>
          <w:rFonts w:ascii="Times New Roman" w:hAnsi="Times New Roman" w:cs="Times New Roman"/>
          <w:sz w:val="24"/>
          <w:szCs w:val="24"/>
        </w:rPr>
        <w:t>handl</w:t>
      </w:r>
      <w:r w:rsidR="00AB4CCF" w:rsidRPr="009935E0">
        <w:rPr>
          <w:rFonts w:ascii="Times New Roman" w:hAnsi="Times New Roman" w:cs="Times New Roman"/>
          <w:sz w:val="24"/>
          <w:szCs w:val="24"/>
        </w:rPr>
        <w:t>u</w:t>
      </w:r>
      <w:r w:rsidR="00A54CB5" w:rsidRPr="009935E0">
        <w:rPr>
          <w:rFonts w:ascii="Times New Roman" w:hAnsi="Times New Roman" w:cs="Times New Roman"/>
          <w:sz w:val="24"/>
          <w:szCs w:val="24"/>
        </w:rPr>
        <w:t xml:space="preserve"> </w:t>
      </w:r>
      <w:r w:rsidR="004C0431" w:rsidRPr="009935E0">
        <w:rPr>
          <w:rFonts w:ascii="Times New Roman" w:hAnsi="Times New Roman" w:cs="Times New Roman"/>
          <w:sz w:val="24"/>
          <w:szCs w:val="24"/>
        </w:rPr>
        <w:t>(„</w:t>
      </w:r>
      <w:r w:rsidR="004C0431" w:rsidRPr="009935E0">
        <w:rPr>
          <w:rFonts w:ascii="Times New Roman" w:hAnsi="Times New Roman" w:cs="Times New Roman"/>
          <w:i/>
          <w:sz w:val="24"/>
          <w:szCs w:val="24"/>
        </w:rPr>
        <w:t>out-of-</w:t>
      </w:r>
      <w:proofErr w:type="spellStart"/>
      <w:r w:rsidR="004C0431" w:rsidRPr="009935E0">
        <w:rPr>
          <w:rFonts w:ascii="Times New Roman" w:hAnsi="Times New Roman" w:cs="Times New Roman"/>
          <w:i/>
          <w:sz w:val="24"/>
          <w:szCs w:val="24"/>
        </w:rPr>
        <w:t>commerce</w:t>
      </w:r>
      <w:proofErr w:type="spellEnd"/>
      <w:r w:rsidR="004C0431" w:rsidRPr="009935E0">
        <w:rPr>
          <w:rFonts w:ascii="Times New Roman" w:hAnsi="Times New Roman" w:cs="Times New Roman"/>
          <w:i/>
          <w:sz w:val="24"/>
          <w:szCs w:val="24"/>
        </w:rPr>
        <w:t xml:space="preserve"> </w:t>
      </w:r>
      <w:proofErr w:type="spellStart"/>
      <w:r w:rsidR="004C0431" w:rsidRPr="009935E0">
        <w:rPr>
          <w:rFonts w:ascii="Times New Roman" w:hAnsi="Times New Roman" w:cs="Times New Roman"/>
          <w:i/>
          <w:sz w:val="24"/>
          <w:szCs w:val="24"/>
        </w:rPr>
        <w:t>works</w:t>
      </w:r>
      <w:proofErr w:type="spellEnd"/>
      <w:r w:rsidR="004C0431" w:rsidRPr="009935E0">
        <w:rPr>
          <w:rFonts w:ascii="Times New Roman" w:hAnsi="Times New Roman" w:cs="Times New Roman"/>
          <w:sz w:val="24"/>
          <w:szCs w:val="24"/>
        </w:rPr>
        <w:t xml:space="preserve">”) </w:t>
      </w:r>
      <w:r w:rsidR="00A54CB5" w:rsidRPr="009935E0">
        <w:rPr>
          <w:rFonts w:ascii="Times New Roman" w:hAnsi="Times New Roman" w:cs="Times New Roman"/>
          <w:sz w:val="24"/>
          <w:szCs w:val="24"/>
        </w:rPr>
        <w:t>oraz</w:t>
      </w:r>
      <w:r w:rsidRPr="009935E0">
        <w:rPr>
          <w:rFonts w:ascii="Times New Roman" w:hAnsi="Times New Roman" w:cs="Times New Roman"/>
          <w:sz w:val="24"/>
          <w:szCs w:val="24"/>
        </w:rPr>
        <w:t xml:space="preserve"> </w:t>
      </w:r>
      <w:r w:rsidR="004C0431" w:rsidRPr="009935E0">
        <w:rPr>
          <w:rFonts w:ascii="Times New Roman" w:hAnsi="Times New Roman" w:cs="Times New Roman"/>
          <w:sz w:val="24"/>
          <w:szCs w:val="24"/>
        </w:rPr>
        <w:t>umożliwiające, w ograniczonym za</w:t>
      </w:r>
      <w:r w:rsidR="00C11EB9" w:rsidRPr="009935E0">
        <w:rPr>
          <w:rFonts w:ascii="Times New Roman" w:hAnsi="Times New Roman" w:cs="Times New Roman"/>
          <w:sz w:val="24"/>
          <w:szCs w:val="24"/>
        </w:rPr>
        <w:t>kresie, licencjonowanie utworów</w:t>
      </w:r>
      <w:r w:rsidR="00C42D0C" w:rsidRPr="009935E0">
        <w:rPr>
          <w:rFonts w:ascii="Times New Roman" w:hAnsi="Times New Roman" w:cs="Times New Roman"/>
          <w:sz w:val="24"/>
          <w:szCs w:val="24"/>
        </w:rPr>
        <w:t>,</w:t>
      </w:r>
      <w:r w:rsidR="00D10918" w:rsidRPr="009935E0">
        <w:rPr>
          <w:rFonts w:ascii="Times New Roman" w:hAnsi="Times New Roman" w:cs="Times New Roman"/>
          <w:sz w:val="24"/>
          <w:szCs w:val="24"/>
        </w:rPr>
        <w:t xml:space="preserve"> co do których </w:t>
      </w:r>
      <w:r w:rsidR="004C0431" w:rsidRPr="009935E0">
        <w:rPr>
          <w:rFonts w:ascii="Times New Roman" w:hAnsi="Times New Roman" w:cs="Times New Roman"/>
          <w:sz w:val="24"/>
          <w:szCs w:val="24"/>
        </w:rPr>
        <w:t>uprawnieni nie udzielili stosownego upoważnienia (</w:t>
      </w:r>
      <w:r w:rsidR="00241DDD" w:rsidRPr="009935E0">
        <w:rPr>
          <w:rFonts w:ascii="Times New Roman" w:hAnsi="Times New Roman" w:cs="Times New Roman"/>
          <w:sz w:val="24"/>
          <w:szCs w:val="24"/>
        </w:rPr>
        <w:t>tzw. r</w:t>
      </w:r>
      <w:r w:rsidR="004B01D4" w:rsidRPr="009935E0">
        <w:rPr>
          <w:rFonts w:ascii="Times New Roman" w:hAnsi="Times New Roman" w:cs="Times New Roman"/>
          <w:sz w:val="24"/>
          <w:szCs w:val="24"/>
        </w:rPr>
        <w:t>ozszerzony zbiorowy zarząd).</w:t>
      </w:r>
      <w:r w:rsidRPr="009935E0">
        <w:rPr>
          <w:rFonts w:ascii="Times New Roman" w:hAnsi="Times New Roman" w:cs="Times New Roman"/>
          <w:sz w:val="24"/>
          <w:szCs w:val="24"/>
        </w:rPr>
        <w:t xml:space="preserve"> </w:t>
      </w:r>
      <w:r w:rsidR="00F27850" w:rsidRPr="009935E0">
        <w:rPr>
          <w:rFonts w:ascii="Times New Roman" w:hAnsi="Times New Roman" w:cs="Times New Roman"/>
          <w:sz w:val="24"/>
          <w:szCs w:val="24"/>
        </w:rPr>
        <w:t>Istotną nowością jest wprowadzenie</w:t>
      </w:r>
      <w:r w:rsidRPr="009935E0">
        <w:rPr>
          <w:rFonts w:ascii="Times New Roman" w:hAnsi="Times New Roman" w:cs="Times New Roman"/>
          <w:sz w:val="24"/>
          <w:szCs w:val="24"/>
        </w:rPr>
        <w:t xml:space="preserve"> </w:t>
      </w:r>
      <w:r w:rsidR="00F27850" w:rsidRPr="009935E0">
        <w:rPr>
          <w:rFonts w:ascii="Times New Roman" w:hAnsi="Times New Roman" w:cs="Times New Roman"/>
          <w:sz w:val="24"/>
          <w:szCs w:val="24"/>
        </w:rPr>
        <w:t xml:space="preserve">nowego prawa pokrewnego dla </w:t>
      </w:r>
      <w:r w:rsidRPr="009935E0">
        <w:rPr>
          <w:rFonts w:ascii="Times New Roman" w:hAnsi="Times New Roman" w:cs="Times New Roman"/>
          <w:sz w:val="24"/>
          <w:szCs w:val="24"/>
        </w:rPr>
        <w:t>wydawców</w:t>
      </w:r>
      <w:r w:rsidR="00F27850" w:rsidRPr="009935E0">
        <w:rPr>
          <w:rFonts w:ascii="Times New Roman" w:hAnsi="Times New Roman" w:cs="Times New Roman"/>
          <w:sz w:val="24"/>
          <w:szCs w:val="24"/>
        </w:rPr>
        <w:t xml:space="preserve"> prasy do korzystania online z ich publikacji prasowych</w:t>
      </w:r>
      <w:r w:rsidRPr="009935E0">
        <w:rPr>
          <w:rFonts w:ascii="Times New Roman" w:hAnsi="Times New Roman" w:cs="Times New Roman"/>
          <w:sz w:val="24"/>
          <w:szCs w:val="24"/>
        </w:rPr>
        <w:t xml:space="preserve">, jak również </w:t>
      </w:r>
      <w:r w:rsidR="00FB51FF" w:rsidRPr="009935E0">
        <w:rPr>
          <w:rFonts w:ascii="Times New Roman" w:hAnsi="Times New Roman" w:cs="Times New Roman"/>
          <w:sz w:val="24"/>
          <w:szCs w:val="24"/>
        </w:rPr>
        <w:t xml:space="preserve">ujednolicenie i jednoznaczne przesądzenie </w:t>
      </w:r>
      <w:r w:rsidR="00F27850" w:rsidRPr="009935E0">
        <w:rPr>
          <w:rFonts w:ascii="Times New Roman" w:hAnsi="Times New Roman" w:cs="Times New Roman"/>
          <w:sz w:val="24"/>
          <w:szCs w:val="24"/>
        </w:rPr>
        <w:t>zasad</w:t>
      </w:r>
      <w:r w:rsidRPr="009935E0">
        <w:rPr>
          <w:rFonts w:ascii="Times New Roman" w:hAnsi="Times New Roman" w:cs="Times New Roman"/>
          <w:sz w:val="24"/>
          <w:szCs w:val="24"/>
        </w:rPr>
        <w:t xml:space="preserve"> </w:t>
      </w:r>
      <w:r w:rsidR="00C11EB9" w:rsidRPr="009935E0">
        <w:rPr>
          <w:rFonts w:ascii="Times New Roman" w:hAnsi="Times New Roman" w:cs="Times New Roman"/>
          <w:sz w:val="24"/>
          <w:szCs w:val="24"/>
        </w:rPr>
        <w:t xml:space="preserve">korzystania przez </w:t>
      </w:r>
      <w:r w:rsidR="00FB51FF" w:rsidRPr="009935E0">
        <w:rPr>
          <w:rFonts w:ascii="Times New Roman" w:hAnsi="Times New Roman" w:cs="Times New Roman"/>
          <w:sz w:val="24"/>
          <w:szCs w:val="24"/>
        </w:rPr>
        <w:t xml:space="preserve">dostawców usług udostępniania treści online z </w:t>
      </w:r>
      <w:r w:rsidR="00C11EB9" w:rsidRPr="009935E0">
        <w:rPr>
          <w:rFonts w:ascii="Times New Roman" w:hAnsi="Times New Roman" w:cs="Times New Roman"/>
          <w:sz w:val="24"/>
          <w:szCs w:val="24"/>
        </w:rPr>
        <w:t xml:space="preserve">utworów i przedmiotów praw pokrewnych zamieszczanych </w:t>
      </w:r>
      <w:r w:rsidR="008E0B35" w:rsidRPr="009935E0">
        <w:rPr>
          <w:rFonts w:ascii="Times New Roman" w:hAnsi="Times New Roman" w:cs="Times New Roman"/>
          <w:sz w:val="24"/>
          <w:szCs w:val="24"/>
        </w:rPr>
        <w:t>przez użytkowników tych usług,</w:t>
      </w:r>
      <w:r w:rsidR="00A820FF" w:rsidRPr="009935E0">
        <w:rPr>
          <w:rFonts w:ascii="Times New Roman" w:hAnsi="Times New Roman" w:cs="Times New Roman"/>
          <w:sz w:val="24"/>
          <w:szCs w:val="24"/>
        </w:rPr>
        <w:t xml:space="preserve"> </w:t>
      </w:r>
      <w:r w:rsidR="00C11EB9" w:rsidRPr="009935E0">
        <w:rPr>
          <w:rFonts w:ascii="Times New Roman" w:hAnsi="Times New Roman" w:cs="Times New Roman"/>
          <w:sz w:val="24"/>
          <w:szCs w:val="24"/>
        </w:rPr>
        <w:t>w szczególności zasad odpowiedzialności tych usługodawców z</w:t>
      </w:r>
      <w:r w:rsidR="00C55041" w:rsidRPr="009935E0">
        <w:rPr>
          <w:rFonts w:ascii="Times New Roman" w:hAnsi="Times New Roman" w:cs="Times New Roman"/>
          <w:sz w:val="24"/>
          <w:szCs w:val="24"/>
        </w:rPr>
        <w:t>a</w:t>
      </w:r>
      <w:r w:rsidR="00C11EB9" w:rsidRPr="009935E0">
        <w:rPr>
          <w:rFonts w:ascii="Times New Roman" w:hAnsi="Times New Roman" w:cs="Times New Roman"/>
          <w:sz w:val="24"/>
          <w:szCs w:val="24"/>
        </w:rPr>
        <w:t xml:space="preserve"> </w:t>
      </w:r>
      <w:r w:rsidR="00C55041" w:rsidRPr="009935E0">
        <w:rPr>
          <w:rFonts w:ascii="Times New Roman" w:hAnsi="Times New Roman" w:cs="Times New Roman"/>
          <w:sz w:val="24"/>
          <w:szCs w:val="24"/>
        </w:rPr>
        <w:t>naruszenia</w:t>
      </w:r>
      <w:r w:rsidRPr="009935E0">
        <w:rPr>
          <w:rFonts w:ascii="Times New Roman" w:hAnsi="Times New Roman" w:cs="Times New Roman"/>
          <w:sz w:val="24"/>
          <w:szCs w:val="24"/>
        </w:rPr>
        <w:t xml:space="preserve"> praw autorskich. Dyrektywa </w:t>
      </w:r>
      <w:r w:rsidR="00FB51FF" w:rsidRPr="009935E0">
        <w:rPr>
          <w:rFonts w:ascii="Times New Roman" w:hAnsi="Times New Roman" w:cs="Times New Roman"/>
          <w:sz w:val="24"/>
          <w:szCs w:val="24"/>
        </w:rPr>
        <w:t>wymaga też wprowadzenia rozwiązań zapewniających godziwe wynagrodzenie twórcom i wykonawcom, którzy przenoszą swoje prawa lub udzielają licencji (ochrona pr</w:t>
      </w:r>
      <w:r w:rsidR="000D63B0" w:rsidRPr="009935E0">
        <w:rPr>
          <w:rFonts w:ascii="Times New Roman" w:hAnsi="Times New Roman" w:cs="Times New Roman"/>
          <w:sz w:val="24"/>
          <w:szCs w:val="24"/>
        </w:rPr>
        <w:t xml:space="preserve">zed wyzyskiem), w tym środków umożliwiających lub ułatwiających praktyczne egzekwowanie tych uprawnień </w:t>
      </w:r>
      <w:r w:rsidR="000D63B0" w:rsidRPr="009935E0">
        <w:rPr>
          <w:rFonts w:ascii="Times New Roman" w:hAnsi="Times New Roman" w:cs="Times New Roman"/>
          <w:sz w:val="24"/>
          <w:szCs w:val="24"/>
        </w:rPr>
        <w:lastRenderedPageBreak/>
        <w:t xml:space="preserve">(wymóg przejrzystości umów i wpływów z nich, prawo żądania </w:t>
      </w:r>
      <w:r w:rsidR="00C55041" w:rsidRPr="009935E0">
        <w:rPr>
          <w:rFonts w:ascii="Times New Roman" w:hAnsi="Times New Roman" w:cs="Times New Roman"/>
          <w:sz w:val="24"/>
          <w:szCs w:val="24"/>
        </w:rPr>
        <w:t>dodatkowego wynagrodzenia itp.).</w:t>
      </w:r>
    </w:p>
    <w:p w14:paraId="4C57415D" w14:textId="399AFD8B" w:rsidR="00CD5EC8" w:rsidRPr="009935E0" w:rsidRDefault="004F1B73" w:rsidP="00483092">
      <w:pPr>
        <w:spacing w:before="120" w:after="0" w:line="360" w:lineRule="auto"/>
        <w:jc w:val="both"/>
        <w:rPr>
          <w:rFonts w:ascii="Times New Roman" w:hAnsi="Times New Roman" w:cs="Times New Roman"/>
          <w:color w:val="000000"/>
          <w:sz w:val="24"/>
          <w:szCs w:val="24"/>
        </w:rPr>
      </w:pPr>
      <w:r w:rsidRPr="009935E0">
        <w:rPr>
          <w:rFonts w:ascii="Times New Roman" w:hAnsi="Times New Roman" w:cs="Times New Roman"/>
          <w:sz w:val="24"/>
          <w:szCs w:val="24"/>
        </w:rPr>
        <w:t xml:space="preserve">Komisja Europejska przedstawiła projekt dyrektywy w </w:t>
      </w:r>
      <w:r w:rsidR="00564A3E" w:rsidRPr="009935E0">
        <w:rPr>
          <w:rFonts w:ascii="Times New Roman" w:hAnsi="Times New Roman" w:cs="Times New Roman"/>
          <w:sz w:val="24"/>
          <w:szCs w:val="24"/>
        </w:rPr>
        <w:t>dniu 14 września 2016 r.</w:t>
      </w:r>
      <w:r w:rsidR="00564A3E" w:rsidRPr="009935E0">
        <w:rPr>
          <w:rStyle w:val="Odwoanieprzypisudolnego"/>
          <w:rFonts w:ascii="Times New Roman" w:hAnsi="Times New Roman" w:cs="Times New Roman"/>
          <w:sz w:val="24"/>
          <w:szCs w:val="24"/>
        </w:rPr>
        <w:footnoteReference w:id="5"/>
      </w:r>
      <w:r w:rsidR="00CD207D" w:rsidRPr="00483092">
        <w:rPr>
          <w:rFonts w:ascii="Times New Roman" w:hAnsi="Times New Roman" w:cs="Times New Roman"/>
          <w:sz w:val="24"/>
          <w:szCs w:val="24"/>
          <w:vertAlign w:val="superscript"/>
        </w:rPr>
        <w:t>)</w:t>
      </w:r>
      <w:r w:rsidR="00E74943" w:rsidRPr="009935E0">
        <w:rPr>
          <w:rFonts w:ascii="Times New Roman" w:hAnsi="Times New Roman" w:cs="Times New Roman"/>
          <w:sz w:val="24"/>
          <w:szCs w:val="24"/>
        </w:rPr>
        <w:t>.</w:t>
      </w:r>
      <w:r w:rsidR="00564A3E" w:rsidRPr="009935E0">
        <w:rPr>
          <w:rFonts w:ascii="Times New Roman" w:hAnsi="Times New Roman" w:cs="Times New Roman"/>
          <w:sz w:val="24"/>
          <w:szCs w:val="24"/>
        </w:rPr>
        <w:t xml:space="preserve"> </w:t>
      </w:r>
      <w:r w:rsidR="00BA66B0" w:rsidRPr="009935E0">
        <w:rPr>
          <w:rFonts w:ascii="Times New Roman" w:hAnsi="Times New Roman" w:cs="Times New Roman"/>
          <w:sz w:val="24"/>
          <w:szCs w:val="24"/>
        </w:rPr>
        <w:t xml:space="preserve">Wzbudził on </w:t>
      </w:r>
      <w:r w:rsidR="00BB7C31" w:rsidRPr="009935E0">
        <w:rPr>
          <w:rFonts w:ascii="Times New Roman" w:hAnsi="Times New Roman" w:cs="Times New Roman"/>
          <w:sz w:val="24"/>
          <w:szCs w:val="24"/>
        </w:rPr>
        <w:t xml:space="preserve">znaczne </w:t>
      </w:r>
      <w:r w:rsidR="00BA66B0" w:rsidRPr="009935E0">
        <w:rPr>
          <w:rFonts w:ascii="Times New Roman" w:hAnsi="Times New Roman" w:cs="Times New Roman"/>
          <w:sz w:val="24"/>
          <w:szCs w:val="24"/>
        </w:rPr>
        <w:t xml:space="preserve">zainteresowanie opinii publicznej. </w:t>
      </w:r>
      <w:r w:rsidR="00BB7C31" w:rsidRPr="009935E0">
        <w:rPr>
          <w:rFonts w:ascii="Times New Roman" w:hAnsi="Times New Roman" w:cs="Times New Roman"/>
          <w:sz w:val="24"/>
          <w:szCs w:val="24"/>
        </w:rPr>
        <w:t>Obok nadziei środowisk kreatywnych na poprawę ich sytuacji w relacjach kontraktowych z największymi użytkownikami w</w:t>
      </w:r>
      <w:r w:rsidR="002F694A" w:rsidRPr="009935E0">
        <w:rPr>
          <w:rFonts w:ascii="Times New Roman" w:hAnsi="Times New Roman" w:cs="Times New Roman"/>
          <w:sz w:val="24"/>
          <w:szCs w:val="24"/>
        </w:rPr>
        <w:t>yrażano</w:t>
      </w:r>
      <w:r w:rsidR="00BB7C31" w:rsidRPr="009935E0">
        <w:rPr>
          <w:rFonts w:ascii="Times New Roman" w:hAnsi="Times New Roman" w:cs="Times New Roman"/>
          <w:sz w:val="24"/>
          <w:szCs w:val="24"/>
        </w:rPr>
        <w:t xml:space="preserve"> z drugiej strony także </w:t>
      </w:r>
      <w:r w:rsidR="002F694A" w:rsidRPr="009935E0">
        <w:rPr>
          <w:rFonts w:ascii="Times New Roman" w:hAnsi="Times New Roman" w:cs="Times New Roman"/>
          <w:sz w:val="24"/>
          <w:szCs w:val="24"/>
        </w:rPr>
        <w:t>obawy, że oczywista potrzeba ochrony praw autor</w:t>
      </w:r>
      <w:r w:rsidR="00E74943" w:rsidRPr="009935E0">
        <w:rPr>
          <w:rFonts w:ascii="Times New Roman" w:hAnsi="Times New Roman" w:cs="Times New Roman"/>
          <w:sz w:val="24"/>
          <w:szCs w:val="24"/>
        </w:rPr>
        <w:t>skich w środowisku cyfrowym, głównie</w:t>
      </w:r>
      <w:r w:rsidR="002F694A" w:rsidRPr="009935E0">
        <w:rPr>
          <w:rFonts w:ascii="Times New Roman" w:hAnsi="Times New Roman" w:cs="Times New Roman"/>
          <w:sz w:val="24"/>
          <w:szCs w:val="24"/>
        </w:rPr>
        <w:t xml:space="preserve"> w Internecie, zaczyna przesłaniać potrzebę ochrony także innych, równie ważnych </w:t>
      </w:r>
      <w:r w:rsidR="00BB7C31" w:rsidRPr="009935E0">
        <w:rPr>
          <w:rFonts w:ascii="Times New Roman" w:hAnsi="Times New Roman" w:cs="Times New Roman"/>
          <w:sz w:val="24"/>
          <w:szCs w:val="24"/>
        </w:rPr>
        <w:t>(</w:t>
      </w:r>
      <w:r w:rsidR="002F694A" w:rsidRPr="009935E0">
        <w:rPr>
          <w:rFonts w:ascii="Times New Roman" w:hAnsi="Times New Roman" w:cs="Times New Roman"/>
          <w:sz w:val="24"/>
          <w:szCs w:val="24"/>
        </w:rPr>
        <w:t>lub nawet ważniejszych</w:t>
      </w:r>
      <w:r w:rsidR="00BB7C31" w:rsidRPr="009935E0">
        <w:rPr>
          <w:rFonts w:ascii="Times New Roman" w:hAnsi="Times New Roman" w:cs="Times New Roman"/>
          <w:sz w:val="24"/>
          <w:szCs w:val="24"/>
        </w:rPr>
        <w:t>)</w:t>
      </w:r>
      <w:r w:rsidR="002F694A" w:rsidRPr="009935E0">
        <w:rPr>
          <w:rFonts w:ascii="Times New Roman" w:hAnsi="Times New Roman" w:cs="Times New Roman"/>
          <w:sz w:val="24"/>
          <w:szCs w:val="24"/>
        </w:rPr>
        <w:t xml:space="preserve"> wartości, jak prawo do swobodnej wypowiedzi </w:t>
      </w:r>
      <w:r w:rsidR="00E74943" w:rsidRPr="009935E0">
        <w:rPr>
          <w:rFonts w:ascii="Times New Roman" w:hAnsi="Times New Roman" w:cs="Times New Roman"/>
          <w:sz w:val="24"/>
          <w:szCs w:val="24"/>
        </w:rPr>
        <w:t>oraz</w:t>
      </w:r>
      <w:r w:rsidR="002F694A" w:rsidRPr="009935E0">
        <w:rPr>
          <w:rFonts w:ascii="Times New Roman" w:hAnsi="Times New Roman" w:cs="Times New Roman"/>
          <w:sz w:val="24"/>
          <w:szCs w:val="24"/>
        </w:rPr>
        <w:t xml:space="preserve"> dostępu do informacji</w:t>
      </w:r>
      <w:r w:rsidR="00BB7C31" w:rsidRPr="009935E0">
        <w:rPr>
          <w:rFonts w:ascii="Times New Roman" w:hAnsi="Times New Roman" w:cs="Times New Roman"/>
          <w:sz w:val="24"/>
          <w:szCs w:val="24"/>
        </w:rPr>
        <w:t>,</w:t>
      </w:r>
      <w:r w:rsidR="002F694A" w:rsidRPr="009935E0">
        <w:rPr>
          <w:rFonts w:ascii="Times New Roman" w:hAnsi="Times New Roman" w:cs="Times New Roman"/>
          <w:sz w:val="24"/>
          <w:szCs w:val="24"/>
        </w:rPr>
        <w:t xml:space="preserve"> czy wręcz nawet zagrażać tym wartościom.</w:t>
      </w:r>
      <w:r w:rsidR="001742F5" w:rsidRPr="009935E0">
        <w:rPr>
          <w:rFonts w:ascii="Times New Roman" w:hAnsi="Times New Roman" w:cs="Times New Roman"/>
          <w:sz w:val="24"/>
          <w:szCs w:val="24"/>
        </w:rPr>
        <w:t xml:space="preserve"> Ostatecznie </w:t>
      </w:r>
      <w:r w:rsidR="003C35DB" w:rsidRPr="009935E0">
        <w:rPr>
          <w:rFonts w:ascii="Times New Roman" w:hAnsi="Times New Roman" w:cs="Times New Roman"/>
          <w:sz w:val="24"/>
          <w:szCs w:val="24"/>
        </w:rPr>
        <w:t>dyrektywa SAT</w:t>
      </w:r>
      <w:r w:rsidR="00184042" w:rsidRPr="009935E0">
        <w:rPr>
          <w:rFonts w:ascii="Times New Roman" w:hAnsi="Times New Roman" w:cs="Times New Roman"/>
          <w:sz w:val="24"/>
          <w:szCs w:val="24"/>
        </w:rPr>
        <w:t xml:space="preserve">CAB </w:t>
      </w:r>
      <w:r w:rsidR="003C35DB" w:rsidRPr="009935E0">
        <w:rPr>
          <w:rFonts w:ascii="Times New Roman" w:hAnsi="Times New Roman" w:cs="Times New Roman"/>
          <w:sz w:val="24"/>
          <w:szCs w:val="24"/>
        </w:rPr>
        <w:t xml:space="preserve">II </w:t>
      </w:r>
      <w:r w:rsidR="001742F5" w:rsidRPr="009935E0">
        <w:rPr>
          <w:rFonts w:ascii="Times New Roman" w:hAnsi="Times New Roman" w:cs="Times New Roman"/>
          <w:sz w:val="24"/>
          <w:szCs w:val="24"/>
        </w:rPr>
        <w:t>został</w:t>
      </w:r>
      <w:r w:rsidR="003C35DB" w:rsidRPr="009935E0">
        <w:rPr>
          <w:rFonts w:ascii="Times New Roman" w:hAnsi="Times New Roman" w:cs="Times New Roman"/>
          <w:sz w:val="24"/>
          <w:szCs w:val="24"/>
        </w:rPr>
        <w:t>a</w:t>
      </w:r>
      <w:r w:rsidR="001742F5" w:rsidRPr="009935E0">
        <w:rPr>
          <w:rFonts w:ascii="Times New Roman" w:hAnsi="Times New Roman" w:cs="Times New Roman"/>
          <w:sz w:val="24"/>
          <w:szCs w:val="24"/>
        </w:rPr>
        <w:t xml:space="preserve"> </w:t>
      </w:r>
      <w:r w:rsidR="001742F5" w:rsidRPr="009935E0">
        <w:rPr>
          <w:rFonts w:ascii="Times New Roman" w:hAnsi="Times New Roman" w:cs="Times New Roman"/>
          <w:color w:val="000000"/>
          <w:sz w:val="24"/>
          <w:szCs w:val="24"/>
        </w:rPr>
        <w:t>przyjęt</w:t>
      </w:r>
      <w:r w:rsidR="003C35DB" w:rsidRPr="009935E0">
        <w:rPr>
          <w:rFonts w:ascii="Times New Roman" w:hAnsi="Times New Roman" w:cs="Times New Roman"/>
          <w:color w:val="000000"/>
          <w:sz w:val="24"/>
          <w:szCs w:val="24"/>
        </w:rPr>
        <w:t>a</w:t>
      </w:r>
      <w:r w:rsidR="001742F5" w:rsidRPr="009935E0">
        <w:rPr>
          <w:rFonts w:ascii="Times New Roman" w:hAnsi="Times New Roman" w:cs="Times New Roman"/>
          <w:color w:val="000000"/>
          <w:sz w:val="24"/>
          <w:szCs w:val="24"/>
        </w:rPr>
        <w:t xml:space="preserve"> w dniu 17 kwietnia 2019 r. Została ona ogłoszona w Dzienniku Urzędowym Unii Europejskiej w dniu 17 maja 2019 r. Weszła w życie dwudziestego dnia po </w:t>
      </w:r>
      <w:r w:rsidR="00CD5EC8" w:rsidRPr="009935E0">
        <w:rPr>
          <w:rFonts w:ascii="Times New Roman" w:hAnsi="Times New Roman" w:cs="Times New Roman"/>
          <w:color w:val="000000"/>
          <w:sz w:val="24"/>
          <w:szCs w:val="24"/>
        </w:rPr>
        <w:t xml:space="preserve">ogłoszeniu, </w:t>
      </w:r>
      <w:r w:rsidR="00A55739" w:rsidRPr="009935E0">
        <w:rPr>
          <w:rFonts w:ascii="Times New Roman" w:hAnsi="Times New Roman" w:cs="Times New Roman"/>
          <w:color w:val="000000"/>
          <w:sz w:val="24"/>
          <w:szCs w:val="24"/>
        </w:rPr>
        <w:t>natomiast</w:t>
      </w:r>
      <w:r w:rsidR="00CD5EC8" w:rsidRPr="009935E0">
        <w:rPr>
          <w:rFonts w:ascii="Times New Roman" w:hAnsi="Times New Roman" w:cs="Times New Roman"/>
          <w:color w:val="000000"/>
          <w:sz w:val="24"/>
          <w:szCs w:val="24"/>
        </w:rPr>
        <w:t xml:space="preserve"> </w:t>
      </w:r>
      <w:r w:rsidR="00184042" w:rsidRPr="009935E0">
        <w:rPr>
          <w:rFonts w:ascii="Times New Roman" w:hAnsi="Times New Roman" w:cs="Times New Roman"/>
          <w:color w:val="000000"/>
          <w:sz w:val="24"/>
          <w:szCs w:val="24"/>
        </w:rPr>
        <w:t xml:space="preserve">państwa członkowskie </w:t>
      </w:r>
      <w:r w:rsidR="001742F5" w:rsidRPr="009935E0">
        <w:rPr>
          <w:rFonts w:ascii="Times New Roman" w:hAnsi="Times New Roman" w:cs="Times New Roman"/>
          <w:color w:val="000000"/>
          <w:sz w:val="24"/>
          <w:szCs w:val="24"/>
        </w:rPr>
        <w:t xml:space="preserve">zostały zobowiązane do </w:t>
      </w:r>
      <w:r w:rsidR="00CD5EC8" w:rsidRPr="009935E0">
        <w:rPr>
          <w:rFonts w:ascii="Times New Roman" w:hAnsi="Times New Roman" w:cs="Times New Roman"/>
          <w:color w:val="000000"/>
          <w:sz w:val="24"/>
          <w:szCs w:val="24"/>
        </w:rPr>
        <w:t xml:space="preserve">jej wdrożenia </w:t>
      </w:r>
      <w:r w:rsidR="001742F5" w:rsidRPr="009935E0">
        <w:rPr>
          <w:rFonts w:ascii="Times New Roman" w:hAnsi="Times New Roman" w:cs="Times New Roman"/>
          <w:color w:val="000000"/>
          <w:sz w:val="24"/>
          <w:szCs w:val="24"/>
        </w:rPr>
        <w:t>w terminie do dnia 7</w:t>
      </w:r>
      <w:r w:rsidR="005E2B67">
        <w:rPr>
          <w:rFonts w:ascii="Times New Roman" w:hAnsi="Times New Roman" w:cs="Times New Roman"/>
          <w:color w:val="000000"/>
          <w:sz w:val="24"/>
          <w:szCs w:val="24"/>
        </w:rPr>
        <w:t> </w:t>
      </w:r>
      <w:r w:rsidR="001742F5" w:rsidRPr="009935E0">
        <w:rPr>
          <w:rFonts w:ascii="Times New Roman" w:hAnsi="Times New Roman" w:cs="Times New Roman"/>
          <w:color w:val="000000"/>
          <w:sz w:val="24"/>
          <w:szCs w:val="24"/>
        </w:rPr>
        <w:t xml:space="preserve">czerwca 2021 r. </w:t>
      </w:r>
    </w:p>
    <w:p w14:paraId="4A735CCF" w14:textId="5A02D9C9" w:rsidR="007D2F25" w:rsidRPr="009935E0" w:rsidRDefault="00CD5EC8" w:rsidP="00483092">
      <w:pPr>
        <w:spacing w:before="120" w:after="0" w:line="360" w:lineRule="auto"/>
        <w:jc w:val="both"/>
        <w:rPr>
          <w:rFonts w:ascii="Times New Roman" w:hAnsi="Times New Roman" w:cs="Times New Roman"/>
          <w:color w:val="000000"/>
          <w:sz w:val="24"/>
          <w:szCs w:val="24"/>
        </w:rPr>
      </w:pPr>
      <w:r w:rsidRPr="009935E0">
        <w:rPr>
          <w:rFonts w:ascii="Times New Roman" w:hAnsi="Times New Roman" w:cs="Times New Roman"/>
          <w:color w:val="000000"/>
          <w:sz w:val="24"/>
          <w:szCs w:val="24"/>
        </w:rPr>
        <w:t>W głosowaniu w Radzie nad ostatecznym przyjęciem dyrektywy Polska i pięć innych Państw Członkowskich (Włochy, Luksemburg, Holandia, Finlandia, Szwecja) był</w:t>
      </w:r>
      <w:r w:rsidR="00E74943" w:rsidRPr="009935E0">
        <w:rPr>
          <w:rFonts w:ascii="Times New Roman" w:hAnsi="Times New Roman" w:cs="Times New Roman"/>
          <w:color w:val="000000"/>
          <w:sz w:val="24"/>
          <w:szCs w:val="24"/>
        </w:rPr>
        <w:t>y</w:t>
      </w:r>
      <w:r w:rsidRPr="009935E0">
        <w:rPr>
          <w:rFonts w:ascii="Times New Roman" w:hAnsi="Times New Roman" w:cs="Times New Roman"/>
          <w:color w:val="000000"/>
          <w:sz w:val="24"/>
          <w:szCs w:val="24"/>
        </w:rPr>
        <w:t xml:space="preserve"> </w:t>
      </w:r>
      <w:r w:rsidR="007B2B22" w:rsidRPr="009935E0">
        <w:rPr>
          <w:rFonts w:ascii="Times New Roman" w:hAnsi="Times New Roman" w:cs="Times New Roman"/>
          <w:color w:val="000000"/>
          <w:sz w:val="24"/>
          <w:szCs w:val="24"/>
        </w:rPr>
        <w:t xml:space="preserve">temu </w:t>
      </w:r>
      <w:r w:rsidRPr="009935E0">
        <w:rPr>
          <w:rFonts w:ascii="Times New Roman" w:hAnsi="Times New Roman" w:cs="Times New Roman"/>
          <w:color w:val="000000"/>
          <w:sz w:val="24"/>
          <w:szCs w:val="24"/>
        </w:rPr>
        <w:t>przeciwn</w:t>
      </w:r>
      <w:r w:rsidR="00E74943" w:rsidRPr="009935E0">
        <w:rPr>
          <w:rFonts w:ascii="Times New Roman" w:hAnsi="Times New Roman" w:cs="Times New Roman"/>
          <w:color w:val="000000"/>
          <w:sz w:val="24"/>
          <w:szCs w:val="24"/>
        </w:rPr>
        <w:t>e</w:t>
      </w:r>
      <w:r w:rsidRPr="009935E0">
        <w:rPr>
          <w:rFonts w:ascii="Times New Roman" w:hAnsi="Times New Roman" w:cs="Times New Roman"/>
          <w:color w:val="000000"/>
          <w:sz w:val="24"/>
          <w:szCs w:val="24"/>
        </w:rPr>
        <w:t>, a trzy inne wstrzymały się od głosu (Belgia, Estonia, Słowenia)</w:t>
      </w:r>
      <w:r w:rsidRPr="00CD207D">
        <w:rPr>
          <w:rStyle w:val="Odwoanieprzypisudolnego"/>
          <w:rFonts w:ascii="Times New Roman" w:hAnsi="Times New Roman" w:cs="Times New Roman"/>
          <w:color w:val="000000"/>
          <w:sz w:val="24"/>
          <w:szCs w:val="24"/>
        </w:rPr>
        <w:footnoteReference w:id="6"/>
      </w:r>
      <w:r w:rsidR="00CD207D" w:rsidRPr="00483092">
        <w:rPr>
          <w:rFonts w:ascii="Times New Roman" w:hAnsi="Times New Roman" w:cs="Times New Roman"/>
          <w:color w:val="000000"/>
          <w:sz w:val="24"/>
          <w:szCs w:val="24"/>
          <w:vertAlign w:val="superscript"/>
        </w:rPr>
        <w:t>)</w:t>
      </w:r>
      <w:r w:rsidRPr="009935E0">
        <w:rPr>
          <w:rFonts w:ascii="Times New Roman" w:hAnsi="Times New Roman" w:cs="Times New Roman"/>
          <w:color w:val="000000"/>
          <w:sz w:val="24"/>
          <w:szCs w:val="24"/>
        </w:rPr>
        <w:t xml:space="preserve">. Finlandia, Holandia, Luksemburg, Polska i Włochy wydały wspólne oświadczenie, w którym stwierdzono: </w:t>
      </w:r>
    </w:p>
    <w:p w14:paraId="46BC4ABD" w14:textId="2B9B42EB" w:rsidR="00CC6729" w:rsidRPr="00483092" w:rsidRDefault="007D2F25" w:rsidP="00483092">
      <w:pPr>
        <w:spacing w:before="120" w:after="0" w:line="360" w:lineRule="auto"/>
        <w:jc w:val="both"/>
        <w:rPr>
          <w:rFonts w:ascii="Times New Roman" w:hAnsi="Times New Roman" w:cs="Times New Roman"/>
          <w:color w:val="000000"/>
          <w:sz w:val="24"/>
          <w:szCs w:val="24"/>
        </w:rPr>
      </w:pPr>
      <w:r w:rsidRPr="009935E0">
        <w:rPr>
          <w:rFonts w:ascii="Times New Roman" w:hAnsi="Times New Roman" w:cs="Times New Roman"/>
          <w:sz w:val="24"/>
          <w:szCs w:val="24"/>
        </w:rPr>
        <w:t>„</w:t>
      </w:r>
      <w:r w:rsidRPr="009935E0">
        <w:rPr>
          <w:rFonts w:ascii="Times New Roman" w:hAnsi="Times New Roman" w:cs="Times New Roman"/>
          <w:i/>
          <w:color w:val="000000"/>
          <w:sz w:val="24"/>
          <w:szCs w:val="24"/>
        </w:rPr>
        <w:t xml:space="preserve">Celem przedmiotowej dyrektywy miała być poprawa dobrego funkcjonowania rynku wewnętrznego oraz stymulowanie innowacji, kreatywności, inwestycji i produkcji nowych treści, również w środowisku cyfrowym. Sygnatariusze popierają te cele. Technologie cyfrowe radykalnie zmieniły sposoby produkcji i dystrybucji treści oraz dostępu do nich. Ramy prawne muszą odzwierciedlać te zmiany i je ukierunkowywać. Jednak naszym zdaniem ostateczny tekst dyrektywy nie realizuje tych celów w odpowiedni sposób. Jesteśmy przekonani, że w swojej obecnej formie dyrektywa ta jest dla jednolitego rynku cyfrowego krokiem wstecz, a nie krokiem naprzód. Ubolewamy szczególnie nad faktem, że dyrektywa nie zapewnia równowagi między ochroną posiadaczy praw a interesami obywateli UE i unijnych przedsiębiorstw. Istnieje więc ryzyko, że utrudni ona innowacje zamiast je promować oraz że będzie miała negatywny wpływ na konkurencyjność europejskiego jednolitego rynku cyfrowego. Mamy ponadto poczucie, że dyrektywa ta nie zapewnia jasności prawa, w przypadku wielu zainteresowanych podmiotów </w:t>
      </w:r>
      <w:r w:rsidRPr="009935E0">
        <w:rPr>
          <w:rFonts w:ascii="Times New Roman" w:hAnsi="Times New Roman" w:cs="Times New Roman"/>
          <w:i/>
          <w:color w:val="000000"/>
          <w:sz w:val="24"/>
          <w:szCs w:val="24"/>
        </w:rPr>
        <w:lastRenderedPageBreak/>
        <w:t>doprowadzi do braku pewności prawa i może zagrozić prawom obywateli UE. Nie możemy zatem wyrazić zgody na proponowany tekst dyrektywy</w:t>
      </w:r>
      <w:r w:rsidRPr="00483092">
        <w:rPr>
          <w:rFonts w:ascii="Times New Roman" w:hAnsi="Times New Roman" w:cs="Times New Roman"/>
          <w:color w:val="000000"/>
          <w:sz w:val="24"/>
          <w:szCs w:val="24"/>
        </w:rPr>
        <w:t>.”</w:t>
      </w:r>
      <w:r w:rsidR="00CC6729" w:rsidRPr="00483092">
        <w:rPr>
          <w:rStyle w:val="Odwoanieprzypisudolnego"/>
          <w:rFonts w:ascii="Times New Roman" w:hAnsi="Times New Roman" w:cs="Times New Roman"/>
          <w:color w:val="000000"/>
          <w:sz w:val="24"/>
          <w:szCs w:val="24"/>
        </w:rPr>
        <w:footnoteReference w:id="7"/>
      </w:r>
      <w:r w:rsidR="00CD207D" w:rsidRPr="00483092">
        <w:rPr>
          <w:rFonts w:ascii="Times New Roman" w:hAnsi="Times New Roman" w:cs="Times New Roman"/>
          <w:color w:val="000000"/>
          <w:sz w:val="24"/>
          <w:szCs w:val="24"/>
          <w:vertAlign w:val="superscript"/>
        </w:rPr>
        <w:t>)</w:t>
      </w:r>
      <w:r w:rsidR="00E74943" w:rsidRPr="00483092">
        <w:rPr>
          <w:rFonts w:ascii="Times New Roman" w:hAnsi="Times New Roman" w:cs="Times New Roman"/>
          <w:color w:val="000000"/>
          <w:sz w:val="24"/>
          <w:szCs w:val="24"/>
        </w:rPr>
        <w:t>.</w:t>
      </w:r>
    </w:p>
    <w:p w14:paraId="408C10D2" w14:textId="022E3982" w:rsidR="00CC6729" w:rsidRPr="009935E0" w:rsidRDefault="00CC672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Również Estonia wydała oświadczenie, w którym wskazała, że </w:t>
      </w:r>
      <w:r w:rsidR="008E165B" w:rsidRPr="009935E0">
        <w:rPr>
          <w:rFonts w:ascii="Times New Roman" w:hAnsi="Times New Roman" w:cs="Times New Roman"/>
          <w:sz w:val="24"/>
          <w:szCs w:val="24"/>
        </w:rPr>
        <w:t>„</w:t>
      </w:r>
      <w:r w:rsidR="008E165B" w:rsidRPr="009935E0">
        <w:rPr>
          <w:rFonts w:ascii="Times New Roman" w:hAnsi="Times New Roman" w:cs="Times New Roman"/>
          <w:i/>
          <w:sz w:val="24"/>
          <w:szCs w:val="24"/>
        </w:rPr>
        <w:t>ostateczny tekst dyrektywy nie zapewnia wystarczającej równowagi we wszystkich aspektach między poszczególnymi interesami</w:t>
      </w:r>
      <w:r w:rsidR="008E165B" w:rsidRPr="009935E0">
        <w:rPr>
          <w:rFonts w:ascii="Times New Roman" w:hAnsi="Times New Roman" w:cs="Times New Roman"/>
          <w:sz w:val="24"/>
          <w:szCs w:val="24"/>
        </w:rPr>
        <w:t xml:space="preserve">”. Niemcy </w:t>
      </w:r>
      <w:r w:rsidRPr="009935E0">
        <w:rPr>
          <w:rFonts w:ascii="Times New Roman" w:hAnsi="Times New Roman" w:cs="Times New Roman"/>
          <w:sz w:val="24"/>
          <w:szCs w:val="24"/>
        </w:rPr>
        <w:t xml:space="preserve">ostatecznie poparły projekt, </w:t>
      </w:r>
      <w:r w:rsidR="008E165B" w:rsidRPr="009935E0">
        <w:rPr>
          <w:rFonts w:ascii="Times New Roman" w:hAnsi="Times New Roman" w:cs="Times New Roman"/>
          <w:sz w:val="24"/>
          <w:szCs w:val="24"/>
        </w:rPr>
        <w:t>jednak również wydały oświadczenie, iż „</w:t>
      </w:r>
      <w:r w:rsidR="008E165B" w:rsidRPr="009935E0">
        <w:rPr>
          <w:rFonts w:ascii="Times New Roman" w:hAnsi="Times New Roman" w:cs="Times New Roman"/>
          <w:i/>
          <w:sz w:val="24"/>
          <w:szCs w:val="24"/>
        </w:rPr>
        <w:t>jednocześnie rząd federalny wyraża ubolewanie w związku z tym, że nie udało się osiągnąć porozumienia w sprawie szeroko popieranej przez wszystkie strony koncepcji odpowiedzialności platform służących udostępnianiu treści za treści chronione prawem autorskim</w:t>
      </w:r>
      <w:r w:rsidR="008E165B" w:rsidRPr="009935E0">
        <w:rPr>
          <w:rFonts w:ascii="Times New Roman" w:hAnsi="Times New Roman" w:cs="Times New Roman"/>
          <w:sz w:val="24"/>
          <w:szCs w:val="24"/>
        </w:rPr>
        <w:t>”.</w:t>
      </w:r>
      <w:r w:rsidR="00F03230" w:rsidRPr="009935E0">
        <w:rPr>
          <w:rFonts w:ascii="Times New Roman" w:hAnsi="Times New Roman" w:cs="Times New Roman"/>
          <w:sz w:val="24"/>
          <w:szCs w:val="24"/>
        </w:rPr>
        <w:t xml:space="preserve"> W odniesie</w:t>
      </w:r>
      <w:r w:rsidR="00E74943" w:rsidRPr="009935E0">
        <w:rPr>
          <w:rFonts w:ascii="Times New Roman" w:hAnsi="Times New Roman" w:cs="Times New Roman"/>
          <w:sz w:val="24"/>
          <w:szCs w:val="24"/>
        </w:rPr>
        <w:t>niu do art. 17 dyrektywy wskazano</w:t>
      </w:r>
      <w:r w:rsidR="00F03230" w:rsidRPr="009935E0">
        <w:rPr>
          <w:rFonts w:ascii="Times New Roman" w:hAnsi="Times New Roman" w:cs="Times New Roman"/>
          <w:sz w:val="24"/>
          <w:szCs w:val="24"/>
        </w:rPr>
        <w:t>, że przepis ten „</w:t>
      </w:r>
      <w:r w:rsidR="00F03230" w:rsidRPr="009935E0">
        <w:rPr>
          <w:rFonts w:ascii="Times New Roman" w:hAnsi="Times New Roman" w:cs="Times New Roman"/>
          <w:i/>
          <w:sz w:val="24"/>
          <w:szCs w:val="24"/>
        </w:rPr>
        <w:t>spotyka się z poważnymi obiekcjami i powszechną krytyką niemieckiego społeczeństwa</w:t>
      </w:r>
      <w:r w:rsidR="00F03230" w:rsidRPr="009935E0">
        <w:rPr>
          <w:rFonts w:ascii="Times New Roman" w:hAnsi="Times New Roman" w:cs="Times New Roman"/>
          <w:sz w:val="24"/>
          <w:szCs w:val="24"/>
        </w:rPr>
        <w:t>”, a „</w:t>
      </w:r>
      <w:r w:rsidR="00F03230" w:rsidRPr="009935E0">
        <w:rPr>
          <w:rFonts w:ascii="Times New Roman" w:hAnsi="Times New Roman" w:cs="Times New Roman"/>
          <w:i/>
          <w:sz w:val="24"/>
          <w:szCs w:val="24"/>
        </w:rPr>
        <w:t>głosowanie, które odbyło się w Parlamencie Europejskim 26 marca 2019 r., również uwidoczniło głęboki rozdźwięk między zwolennikami tego aktu a jego krytykami</w:t>
      </w:r>
      <w:r w:rsidR="00F03230" w:rsidRPr="009935E0">
        <w:rPr>
          <w:rFonts w:ascii="Times New Roman" w:hAnsi="Times New Roman" w:cs="Times New Roman"/>
          <w:sz w:val="24"/>
          <w:szCs w:val="24"/>
        </w:rPr>
        <w:t>”</w:t>
      </w:r>
      <w:r w:rsidR="00F03230" w:rsidRPr="009935E0">
        <w:rPr>
          <w:rStyle w:val="Odwoanieprzypisudolnego"/>
          <w:rFonts w:ascii="Times New Roman" w:hAnsi="Times New Roman" w:cs="Times New Roman"/>
          <w:sz w:val="24"/>
          <w:szCs w:val="24"/>
        </w:rPr>
        <w:footnoteReference w:id="8"/>
      </w:r>
      <w:r w:rsidR="00CD207D" w:rsidRPr="00483092">
        <w:rPr>
          <w:rFonts w:ascii="Times New Roman" w:hAnsi="Times New Roman" w:cs="Times New Roman"/>
          <w:sz w:val="24"/>
          <w:szCs w:val="24"/>
          <w:vertAlign w:val="superscript"/>
        </w:rPr>
        <w:t>)</w:t>
      </w:r>
      <w:r w:rsidR="00F03230" w:rsidRPr="009935E0">
        <w:rPr>
          <w:rFonts w:ascii="Times New Roman" w:hAnsi="Times New Roman" w:cs="Times New Roman"/>
          <w:sz w:val="24"/>
          <w:szCs w:val="24"/>
        </w:rPr>
        <w:t xml:space="preserve">. </w:t>
      </w:r>
    </w:p>
    <w:p w14:paraId="586E3229" w14:textId="6C2C84F0" w:rsidR="00F13EC4" w:rsidRPr="009935E0" w:rsidRDefault="00F13EC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Ostatecznie Polska zde</w:t>
      </w:r>
      <w:r w:rsidR="00AD6A42" w:rsidRPr="009935E0">
        <w:rPr>
          <w:rFonts w:ascii="Times New Roman" w:hAnsi="Times New Roman" w:cs="Times New Roman"/>
          <w:sz w:val="24"/>
          <w:szCs w:val="24"/>
        </w:rPr>
        <w:t>cydowała się na złożenie skargi</w:t>
      </w:r>
      <w:r w:rsidR="00952D36" w:rsidRPr="009935E0">
        <w:rPr>
          <w:rFonts w:ascii="Times New Roman" w:hAnsi="Times New Roman" w:cs="Times New Roman"/>
          <w:sz w:val="24"/>
          <w:szCs w:val="24"/>
        </w:rPr>
        <w:t xml:space="preserve"> do Trybunału Sprawiedliwości</w:t>
      </w:r>
      <w:r w:rsidR="00CA0060" w:rsidRPr="009935E0">
        <w:rPr>
          <w:rFonts w:ascii="Times New Roman" w:hAnsi="Times New Roman" w:cs="Times New Roman"/>
          <w:sz w:val="24"/>
          <w:szCs w:val="24"/>
        </w:rPr>
        <w:t xml:space="preserve"> U</w:t>
      </w:r>
      <w:r w:rsidR="00A94C99" w:rsidRPr="009935E0">
        <w:rPr>
          <w:rFonts w:ascii="Times New Roman" w:hAnsi="Times New Roman" w:cs="Times New Roman"/>
          <w:sz w:val="24"/>
          <w:szCs w:val="24"/>
        </w:rPr>
        <w:t xml:space="preserve">nii </w:t>
      </w:r>
      <w:r w:rsidR="00CA0060"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AD6A42" w:rsidRPr="009935E0">
        <w:rPr>
          <w:rFonts w:ascii="Times New Roman" w:hAnsi="Times New Roman" w:cs="Times New Roman"/>
          <w:sz w:val="24"/>
          <w:szCs w:val="24"/>
        </w:rPr>
        <w:t xml:space="preserve">, wnosząc o stwierdzenie nieważności art. 17 </w:t>
      </w:r>
      <w:r w:rsidR="00CA0060" w:rsidRPr="009935E0">
        <w:rPr>
          <w:rFonts w:ascii="Times New Roman" w:hAnsi="Times New Roman" w:cs="Times New Roman"/>
          <w:sz w:val="24"/>
          <w:szCs w:val="24"/>
        </w:rPr>
        <w:t xml:space="preserve">ust. 4 </w:t>
      </w:r>
      <w:r w:rsidR="00E74943" w:rsidRPr="009935E0">
        <w:rPr>
          <w:rFonts w:ascii="Times New Roman" w:hAnsi="Times New Roman" w:cs="Times New Roman"/>
          <w:sz w:val="24"/>
          <w:szCs w:val="24"/>
        </w:rPr>
        <w:t>lit.</w:t>
      </w:r>
      <w:r w:rsidR="00CA0060" w:rsidRPr="009935E0">
        <w:rPr>
          <w:rFonts w:ascii="Times New Roman" w:hAnsi="Times New Roman" w:cs="Times New Roman"/>
          <w:sz w:val="24"/>
          <w:szCs w:val="24"/>
        </w:rPr>
        <w:t xml:space="preserve"> b i c </w:t>
      </w:r>
      <w:r w:rsidR="00CA0060" w:rsidRPr="009935E0">
        <w:rPr>
          <w:rFonts w:ascii="Times New Roman" w:hAnsi="Times New Roman" w:cs="Times New Roman"/>
          <w:i/>
          <w:sz w:val="24"/>
          <w:szCs w:val="24"/>
        </w:rPr>
        <w:t>in fine</w:t>
      </w:r>
      <w:r w:rsidR="005838BA" w:rsidRPr="009935E0">
        <w:rPr>
          <w:rFonts w:ascii="Times New Roman" w:hAnsi="Times New Roman" w:cs="Times New Roman"/>
          <w:sz w:val="24"/>
          <w:szCs w:val="24"/>
        </w:rPr>
        <w:t xml:space="preserve"> (przesłanki zwolnienia dostawców usług udostępniania treści online z odpowiedzialności za naruszenie praw autorskich)</w:t>
      </w:r>
      <w:r w:rsidR="00CA0060" w:rsidRPr="009935E0">
        <w:rPr>
          <w:rFonts w:ascii="Times New Roman" w:hAnsi="Times New Roman" w:cs="Times New Roman"/>
          <w:sz w:val="24"/>
          <w:szCs w:val="24"/>
        </w:rPr>
        <w:t xml:space="preserve">, względnie całego art. 17 </w:t>
      </w:r>
      <w:r w:rsidR="00AD6A42" w:rsidRPr="009935E0">
        <w:rPr>
          <w:rFonts w:ascii="Times New Roman" w:hAnsi="Times New Roman" w:cs="Times New Roman"/>
          <w:sz w:val="24"/>
          <w:szCs w:val="24"/>
        </w:rPr>
        <w:t xml:space="preserve">dyrektywy DSM. Przede wszystkim </w:t>
      </w:r>
      <w:r w:rsidR="00C11EB9" w:rsidRPr="009935E0">
        <w:rPr>
          <w:rFonts w:ascii="Times New Roman" w:hAnsi="Times New Roman" w:cs="Times New Roman"/>
          <w:sz w:val="24"/>
          <w:szCs w:val="24"/>
        </w:rPr>
        <w:t xml:space="preserve">podniosła </w:t>
      </w:r>
      <w:r w:rsidR="00AD6A42" w:rsidRPr="009935E0">
        <w:rPr>
          <w:rFonts w:ascii="Times New Roman" w:hAnsi="Times New Roman" w:cs="Times New Roman"/>
          <w:sz w:val="24"/>
          <w:szCs w:val="24"/>
        </w:rPr>
        <w:t xml:space="preserve">zarzut naruszenia prawa do wolności wypowiedzi i informacji gwarantowanego przez art. 11 Karty </w:t>
      </w:r>
      <w:r w:rsidR="00952D36" w:rsidRPr="009935E0">
        <w:rPr>
          <w:rFonts w:ascii="Times New Roman" w:hAnsi="Times New Roman" w:cs="Times New Roman"/>
          <w:sz w:val="24"/>
          <w:szCs w:val="24"/>
        </w:rPr>
        <w:t>praw podstawowych Unii E</w:t>
      </w:r>
      <w:r w:rsidR="00AD6A42" w:rsidRPr="009935E0">
        <w:rPr>
          <w:rFonts w:ascii="Times New Roman" w:hAnsi="Times New Roman" w:cs="Times New Roman"/>
          <w:sz w:val="24"/>
          <w:szCs w:val="24"/>
        </w:rPr>
        <w:t xml:space="preserve">uropejskiej. </w:t>
      </w:r>
      <w:r w:rsidR="00C11EB9" w:rsidRPr="009935E0">
        <w:rPr>
          <w:rFonts w:ascii="Times New Roman" w:hAnsi="Times New Roman" w:cs="Times New Roman"/>
          <w:sz w:val="24"/>
          <w:szCs w:val="24"/>
        </w:rPr>
        <w:t xml:space="preserve">Określone w dyrektywie </w:t>
      </w:r>
      <w:r w:rsidR="007B2B22" w:rsidRPr="009935E0">
        <w:rPr>
          <w:rFonts w:ascii="Times New Roman" w:hAnsi="Times New Roman" w:cs="Times New Roman"/>
          <w:sz w:val="24"/>
          <w:szCs w:val="24"/>
        </w:rPr>
        <w:t xml:space="preserve">przesłanki zwolnienia dostawców usług udostępniania treści online z odpowiedzialności za naruszenie praw autorskich mogą bowiem </w:t>
      </w:r>
      <w:r w:rsidR="0030557B" w:rsidRPr="009935E0">
        <w:rPr>
          <w:rFonts w:ascii="Times New Roman" w:hAnsi="Times New Roman" w:cs="Times New Roman"/>
          <w:sz w:val="24"/>
          <w:szCs w:val="24"/>
        </w:rPr>
        <w:t xml:space="preserve">skutkować </w:t>
      </w:r>
      <w:r w:rsidR="005838BA" w:rsidRPr="009935E0">
        <w:rPr>
          <w:rFonts w:ascii="Times New Roman" w:hAnsi="Times New Roman" w:cs="Times New Roman"/>
          <w:i/>
          <w:sz w:val="24"/>
          <w:szCs w:val="24"/>
        </w:rPr>
        <w:t>de facto</w:t>
      </w:r>
      <w:r w:rsidR="005838BA" w:rsidRPr="009935E0">
        <w:rPr>
          <w:rFonts w:ascii="Times New Roman" w:hAnsi="Times New Roman" w:cs="Times New Roman"/>
          <w:sz w:val="24"/>
          <w:szCs w:val="24"/>
        </w:rPr>
        <w:t xml:space="preserve"> </w:t>
      </w:r>
      <w:r w:rsidR="0030557B" w:rsidRPr="009935E0">
        <w:rPr>
          <w:rFonts w:ascii="Times New Roman" w:hAnsi="Times New Roman" w:cs="Times New Roman"/>
          <w:sz w:val="24"/>
          <w:szCs w:val="24"/>
        </w:rPr>
        <w:t xml:space="preserve">koniecznością uprzedniego automatycznego weryfikowania (filtrowania) </w:t>
      </w:r>
      <w:r w:rsidR="005838BA" w:rsidRPr="009935E0">
        <w:rPr>
          <w:rFonts w:ascii="Times New Roman" w:hAnsi="Times New Roman" w:cs="Times New Roman"/>
          <w:sz w:val="24"/>
          <w:szCs w:val="24"/>
        </w:rPr>
        <w:t>treści udostępnianych</w:t>
      </w:r>
      <w:r w:rsidR="0030557B" w:rsidRPr="009935E0">
        <w:rPr>
          <w:rFonts w:ascii="Times New Roman" w:hAnsi="Times New Roman" w:cs="Times New Roman"/>
          <w:sz w:val="24"/>
          <w:szCs w:val="24"/>
        </w:rPr>
        <w:t xml:space="preserve"> przez użytkowników</w:t>
      </w:r>
      <w:r w:rsidR="005838BA" w:rsidRPr="009935E0">
        <w:rPr>
          <w:rFonts w:ascii="Times New Roman" w:hAnsi="Times New Roman" w:cs="Times New Roman"/>
          <w:sz w:val="24"/>
          <w:szCs w:val="24"/>
        </w:rPr>
        <w:t xml:space="preserve"> tych usług. </w:t>
      </w:r>
      <w:r w:rsidR="007B2B22" w:rsidRPr="009935E0">
        <w:rPr>
          <w:rFonts w:ascii="Times New Roman" w:hAnsi="Times New Roman" w:cs="Times New Roman"/>
          <w:sz w:val="24"/>
          <w:szCs w:val="24"/>
        </w:rPr>
        <w:t>D</w:t>
      </w:r>
      <w:r w:rsidR="005838BA" w:rsidRPr="009935E0">
        <w:rPr>
          <w:rFonts w:ascii="Times New Roman" w:hAnsi="Times New Roman" w:cs="Times New Roman"/>
          <w:sz w:val="24"/>
          <w:szCs w:val="24"/>
        </w:rPr>
        <w:t xml:space="preserve">oprowadzi to do prewencyjnej </w:t>
      </w:r>
      <w:r w:rsidR="0030557B" w:rsidRPr="009935E0">
        <w:rPr>
          <w:rFonts w:ascii="Times New Roman" w:hAnsi="Times New Roman" w:cs="Times New Roman"/>
          <w:sz w:val="24"/>
          <w:szCs w:val="24"/>
        </w:rPr>
        <w:t>kontroli</w:t>
      </w:r>
      <w:r w:rsidR="005838BA" w:rsidRPr="009935E0">
        <w:rPr>
          <w:rFonts w:ascii="Times New Roman" w:hAnsi="Times New Roman" w:cs="Times New Roman"/>
          <w:sz w:val="24"/>
          <w:szCs w:val="24"/>
        </w:rPr>
        <w:t xml:space="preserve"> udostępnianych treści</w:t>
      </w:r>
      <w:r w:rsidR="0030557B" w:rsidRPr="009935E0">
        <w:rPr>
          <w:rFonts w:ascii="Times New Roman" w:hAnsi="Times New Roman" w:cs="Times New Roman"/>
          <w:sz w:val="24"/>
          <w:szCs w:val="24"/>
        </w:rPr>
        <w:t xml:space="preserve">, </w:t>
      </w:r>
      <w:r w:rsidR="005838BA" w:rsidRPr="009935E0">
        <w:rPr>
          <w:rFonts w:ascii="Times New Roman" w:hAnsi="Times New Roman" w:cs="Times New Roman"/>
          <w:sz w:val="24"/>
          <w:szCs w:val="24"/>
        </w:rPr>
        <w:t>a tym samym do podważenia istoty</w:t>
      </w:r>
      <w:r w:rsidR="0030557B" w:rsidRPr="009935E0">
        <w:rPr>
          <w:rFonts w:ascii="Times New Roman" w:hAnsi="Times New Roman" w:cs="Times New Roman"/>
          <w:sz w:val="24"/>
          <w:szCs w:val="24"/>
        </w:rPr>
        <w:t xml:space="preserve"> prawa do wolności wypowiedzi </w:t>
      </w:r>
      <w:r w:rsidR="00574D61" w:rsidRPr="009935E0">
        <w:rPr>
          <w:rFonts w:ascii="Times New Roman" w:hAnsi="Times New Roman" w:cs="Times New Roman"/>
          <w:sz w:val="24"/>
          <w:szCs w:val="24"/>
        </w:rPr>
        <w:t xml:space="preserve">i informacji </w:t>
      </w:r>
      <w:r w:rsidR="005838BA" w:rsidRPr="009935E0">
        <w:rPr>
          <w:rFonts w:ascii="Times New Roman" w:hAnsi="Times New Roman" w:cs="Times New Roman"/>
          <w:sz w:val="24"/>
          <w:szCs w:val="24"/>
        </w:rPr>
        <w:t xml:space="preserve">w zakresie wykraczającym poza wymogi </w:t>
      </w:r>
      <w:r w:rsidR="00574D61" w:rsidRPr="009935E0">
        <w:rPr>
          <w:rFonts w:ascii="Times New Roman" w:hAnsi="Times New Roman" w:cs="Times New Roman"/>
          <w:sz w:val="24"/>
          <w:szCs w:val="24"/>
        </w:rPr>
        <w:t>proporcjonalności i niezbędności</w:t>
      </w:r>
      <w:r w:rsidR="005838BA" w:rsidRPr="009935E0">
        <w:rPr>
          <w:rFonts w:ascii="Times New Roman" w:hAnsi="Times New Roman" w:cs="Times New Roman"/>
          <w:sz w:val="24"/>
          <w:szCs w:val="24"/>
        </w:rPr>
        <w:t xml:space="preserve">. </w:t>
      </w:r>
      <w:r w:rsidR="00FE6C05" w:rsidRPr="009935E0">
        <w:rPr>
          <w:rFonts w:ascii="Times New Roman" w:hAnsi="Times New Roman" w:cs="Times New Roman"/>
          <w:sz w:val="24"/>
          <w:szCs w:val="24"/>
        </w:rPr>
        <w:t xml:space="preserve">W dniu 26 kwietnia 2022 r. TSUE oddalił skargę. Potwierdził jednak </w:t>
      </w:r>
      <w:r w:rsidR="00D52534" w:rsidRPr="009935E0">
        <w:rPr>
          <w:rFonts w:ascii="Times New Roman" w:hAnsi="Times New Roman" w:cs="Times New Roman"/>
          <w:sz w:val="24"/>
          <w:szCs w:val="24"/>
        </w:rPr>
        <w:t xml:space="preserve">słuszność stanowiska Polski, </w:t>
      </w:r>
      <w:r w:rsidR="00FE6C05" w:rsidRPr="009935E0">
        <w:rPr>
          <w:rFonts w:ascii="Times New Roman" w:hAnsi="Times New Roman" w:cs="Times New Roman"/>
          <w:sz w:val="24"/>
          <w:szCs w:val="24"/>
        </w:rPr>
        <w:t>że zaskarżone przepisy stanowią ograniczenie wykonywania prawa do wolności wypowiedzi i informacji</w:t>
      </w:r>
      <w:r w:rsidR="00D52534" w:rsidRPr="009935E0">
        <w:rPr>
          <w:rFonts w:ascii="Times New Roman" w:hAnsi="Times New Roman" w:cs="Times New Roman"/>
          <w:sz w:val="24"/>
          <w:szCs w:val="24"/>
        </w:rPr>
        <w:t xml:space="preserve"> (szczegóły w części uzasadnienia do art. 17 dyrektywy)</w:t>
      </w:r>
      <w:r w:rsidR="000E26B5">
        <w:rPr>
          <w:rStyle w:val="Odwoanieprzypisudolnego"/>
          <w:rFonts w:ascii="Times New Roman" w:hAnsi="Times New Roman" w:cs="Times New Roman"/>
          <w:sz w:val="24"/>
          <w:szCs w:val="24"/>
        </w:rPr>
        <w:footnoteReference w:id="9"/>
      </w:r>
      <w:r w:rsidR="00CD207D" w:rsidRPr="00483092">
        <w:rPr>
          <w:rFonts w:ascii="Times New Roman" w:hAnsi="Times New Roman" w:cs="Times New Roman"/>
          <w:sz w:val="24"/>
          <w:szCs w:val="24"/>
          <w:vertAlign w:val="superscript"/>
        </w:rPr>
        <w:t>)</w:t>
      </w:r>
      <w:r w:rsidR="00D52534" w:rsidRPr="009935E0">
        <w:rPr>
          <w:rFonts w:ascii="Times New Roman" w:hAnsi="Times New Roman" w:cs="Times New Roman"/>
          <w:sz w:val="24"/>
          <w:szCs w:val="24"/>
        </w:rPr>
        <w:t>.</w:t>
      </w:r>
    </w:p>
    <w:p w14:paraId="168741FD" w14:textId="57B8538A" w:rsidR="00785B28" w:rsidRPr="009935E0" w:rsidRDefault="00785B28"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Termin implementacji dyrektywy </w:t>
      </w:r>
      <w:r w:rsidR="00B2646C" w:rsidRPr="009935E0">
        <w:rPr>
          <w:rFonts w:ascii="Times New Roman" w:hAnsi="Times New Roman" w:cs="Times New Roman"/>
          <w:sz w:val="24"/>
          <w:szCs w:val="24"/>
        </w:rPr>
        <w:t xml:space="preserve">DSM </w:t>
      </w:r>
      <w:r w:rsidRPr="009935E0">
        <w:rPr>
          <w:rFonts w:ascii="Times New Roman" w:hAnsi="Times New Roman" w:cs="Times New Roman"/>
          <w:sz w:val="24"/>
          <w:szCs w:val="24"/>
        </w:rPr>
        <w:t>upłynął 7 czerwca 2021 r. Należy jednak wskazać, że art. 17 ust. 10 dyrektywy zobowiązuje Komisję Europejską do wydania wytycznych (</w:t>
      </w:r>
      <w:proofErr w:type="spellStart"/>
      <w:r w:rsidRPr="009935E0">
        <w:rPr>
          <w:rFonts w:ascii="Times New Roman" w:hAnsi="Times New Roman" w:cs="Times New Roman"/>
          <w:i/>
          <w:sz w:val="24"/>
          <w:szCs w:val="24"/>
        </w:rPr>
        <w:t>guidance</w:t>
      </w:r>
      <w:proofErr w:type="spellEnd"/>
      <w:r w:rsidRPr="009935E0">
        <w:rPr>
          <w:rFonts w:ascii="Times New Roman" w:hAnsi="Times New Roman" w:cs="Times New Roman"/>
          <w:sz w:val="24"/>
          <w:szCs w:val="24"/>
        </w:rPr>
        <w:t>) dotyczących prawidłowego stosowania tego artykułu</w:t>
      </w:r>
      <w:r w:rsidR="00576D94" w:rsidRPr="009935E0">
        <w:rPr>
          <w:rFonts w:ascii="Times New Roman" w:hAnsi="Times New Roman" w:cs="Times New Roman"/>
          <w:sz w:val="24"/>
          <w:szCs w:val="24"/>
        </w:rPr>
        <w:t>, zwanych dalej „Wytycznymi”</w:t>
      </w:r>
      <w:r w:rsidRPr="009935E0">
        <w:rPr>
          <w:rFonts w:ascii="Times New Roman" w:hAnsi="Times New Roman" w:cs="Times New Roman"/>
          <w:sz w:val="24"/>
          <w:szCs w:val="24"/>
        </w:rPr>
        <w:t xml:space="preserve">. Komisja </w:t>
      </w:r>
      <w:r w:rsidRPr="009935E0">
        <w:rPr>
          <w:rFonts w:ascii="Times New Roman" w:hAnsi="Times New Roman" w:cs="Times New Roman"/>
          <w:sz w:val="24"/>
          <w:szCs w:val="24"/>
        </w:rPr>
        <w:lastRenderedPageBreak/>
        <w:t>uczyniła to dopiero 4 czerwca 2021</w:t>
      </w:r>
      <w:r w:rsidR="00C8590E" w:rsidRPr="009935E0">
        <w:rPr>
          <w:rFonts w:ascii="Times New Roman" w:hAnsi="Times New Roman" w:cs="Times New Roman"/>
          <w:sz w:val="24"/>
          <w:szCs w:val="24"/>
        </w:rPr>
        <w:t xml:space="preserve"> r.</w:t>
      </w:r>
      <w:r w:rsidR="00C8590E" w:rsidRPr="009935E0">
        <w:rPr>
          <w:rStyle w:val="Odwoanieprzypisudolnego"/>
          <w:rFonts w:ascii="Times New Roman" w:hAnsi="Times New Roman" w:cs="Times New Roman"/>
          <w:sz w:val="24"/>
          <w:szCs w:val="24"/>
        </w:rPr>
        <w:footnoteReference w:id="10"/>
      </w:r>
      <w:r w:rsidR="00CD207D" w:rsidRPr="00483092">
        <w:rPr>
          <w:rFonts w:ascii="Times New Roman" w:hAnsi="Times New Roman" w:cs="Times New Roman"/>
          <w:sz w:val="24"/>
          <w:szCs w:val="24"/>
          <w:vertAlign w:val="superscript"/>
        </w:rPr>
        <w:t>)</w:t>
      </w:r>
      <w:r w:rsidR="00E74943" w:rsidRPr="009935E0">
        <w:rPr>
          <w:rFonts w:ascii="Times New Roman" w:hAnsi="Times New Roman" w:cs="Times New Roman"/>
          <w:sz w:val="24"/>
          <w:szCs w:val="24"/>
        </w:rPr>
        <w:t>,</w:t>
      </w:r>
      <w:r w:rsidRPr="009935E0">
        <w:rPr>
          <w:rFonts w:ascii="Times New Roman" w:hAnsi="Times New Roman" w:cs="Times New Roman"/>
          <w:sz w:val="24"/>
          <w:szCs w:val="24"/>
        </w:rPr>
        <w:t xml:space="preserve"> potwierdza</w:t>
      </w:r>
      <w:r w:rsidR="00E74943" w:rsidRPr="009935E0">
        <w:rPr>
          <w:rFonts w:ascii="Times New Roman" w:hAnsi="Times New Roman" w:cs="Times New Roman"/>
          <w:sz w:val="24"/>
          <w:szCs w:val="24"/>
        </w:rPr>
        <w:t>jąc</w:t>
      </w:r>
      <w:r w:rsidRPr="009935E0">
        <w:rPr>
          <w:rFonts w:ascii="Times New Roman" w:hAnsi="Times New Roman" w:cs="Times New Roman"/>
          <w:sz w:val="24"/>
          <w:szCs w:val="24"/>
        </w:rPr>
        <w:t xml:space="preserve">, że </w:t>
      </w:r>
      <w:r w:rsidR="00B2646C" w:rsidRPr="009935E0">
        <w:rPr>
          <w:rFonts w:ascii="Times New Roman" w:hAnsi="Times New Roman" w:cs="Times New Roman"/>
          <w:sz w:val="24"/>
          <w:szCs w:val="24"/>
        </w:rPr>
        <w:t>W</w:t>
      </w:r>
      <w:r w:rsidRPr="009935E0">
        <w:rPr>
          <w:rFonts w:ascii="Times New Roman" w:hAnsi="Times New Roman" w:cs="Times New Roman"/>
          <w:sz w:val="24"/>
          <w:szCs w:val="24"/>
        </w:rPr>
        <w:t>ytyczne „</w:t>
      </w:r>
      <w:r w:rsidRPr="009935E0">
        <w:rPr>
          <w:rFonts w:ascii="Times New Roman" w:hAnsi="Times New Roman" w:cs="Times New Roman"/>
          <w:i/>
          <w:sz w:val="24"/>
          <w:szCs w:val="24"/>
        </w:rPr>
        <w:t xml:space="preserve">mają pomóc w prawidłowej </w:t>
      </w:r>
      <w:r w:rsidR="00C8590E" w:rsidRPr="009935E0">
        <w:rPr>
          <w:rFonts w:ascii="Times New Roman" w:hAnsi="Times New Roman" w:cs="Times New Roman"/>
          <w:i/>
          <w:sz w:val="24"/>
          <w:szCs w:val="24"/>
        </w:rPr>
        <w:t xml:space="preserve">i spójnej transpozycji art. 17 </w:t>
      </w:r>
      <w:r w:rsidRPr="009935E0">
        <w:rPr>
          <w:rFonts w:ascii="Times New Roman" w:hAnsi="Times New Roman" w:cs="Times New Roman"/>
          <w:i/>
          <w:sz w:val="24"/>
          <w:szCs w:val="24"/>
        </w:rPr>
        <w:t>w państwach członkowskich, ze szczególnym uwzględnieniem potrzeby wyważenia praw podstawowych oraz stosowania wyjątków i ograniczeń</w:t>
      </w:r>
      <w:r w:rsidRPr="009935E0">
        <w:rPr>
          <w:rFonts w:ascii="Times New Roman" w:hAnsi="Times New Roman" w:cs="Times New Roman"/>
          <w:sz w:val="24"/>
          <w:szCs w:val="24"/>
        </w:rPr>
        <w:t>”</w:t>
      </w:r>
      <w:r w:rsidR="00C8590E" w:rsidRPr="009935E0">
        <w:rPr>
          <w:rFonts w:ascii="Times New Roman" w:hAnsi="Times New Roman" w:cs="Times New Roman"/>
          <w:sz w:val="24"/>
          <w:szCs w:val="24"/>
        </w:rPr>
        <w:t xml:space="preserve">. </w:t>
      </w:r>
      <w:r w:rsidR="006A034C" w:rsidRPr="009935E0">
        <w:rPr>
          <w:rFonts w:ascii="Times New Roman" w:hAnsi="Times New Roman" w:cs="Times New Roman"/>
          <w:sz w:val="24"/>
          <w:szCs w:val="24"/>
        </w:rPr>
        <w:t>Wytyczne spotkały się z krytyką środowi</w:t>
      </w:r>
      <w:r w:rsidR="009716C7" w:rsidRPr="009935E0">
        <w:rPr>
          <w:rFonts w:ascii="Times New Roman" w:hAnsi="Times New Roman" w:cs="Times New Roman"/>
          <w:sz w:val="24"/>
          <w:szCs w:val="24"/>
        </w:rPr>
        <w:t>sk kreatywnych oraz niektórych państw c</w:t>
      </w:r>
      <w:r w:rsidR="006A034C" w:rsidRPr="009935E0">
        <w:rPr>
          <w:rFonts w:ascii="Times New Roman" w:hAnsi="Times New Roman" w:cs="Times New Roman"/>
          <w:sz w:val="24"/>
          <w:szCs w:val="24"/>
        </w:rPr>
        <w:t xml:space="preserve">złonkowskich. Zarzuca się Komisji, że osłabia </w:t>
      </w:r>
      <w:r w:rsidR="00C050A9" w:rsidRPr="009935E0">
        <w:rPr>
          <w:rFonts w:ascii="Times New Roman" w:hAnsi="Times New Roman" w:cs="Times New Roman"/>
          <w:sz w:val="24"/>
          <w:szCs w:val="24"/>
        </w:rPr>
        <w:t>kluczowe przepisy dyrektywy lub wręcz „pisze ją na nowo”</w:t>
      </w:r>
      <w:r w:rsidR="00D52534" w:rsidRPr="009935E0">
        <w:rPr>
          <w:rStyle w:val="Odwoanieprzypisudolnego"/>
          <w:rFonts w:ascii="Times New Roman" w:hAnsi="Times New Roman" w:cs="Times New Roman"/>
          <w:sz w:val="24"/>
          <w:szCs w:val="24"/>
        </w:rPr>
        <w:footnoteReference w:id="11"/>
      </w:r>
      <w:r w:rsidR="00CD207D" w:rsidRPr="00483092">
        <w:rPr>
          <w:rFonts w:ascii="Times New Roman" w:hAnsi="Times New Roman" w:cs="Times New Roman"/>
          <w:sz w:val="24"/>
          <w:szCs w:val="24"/>
          <w:vertAlign w:val="superscript"/>
        </w:rPr>
        <w:t>)</w:t>
      </w:r>
      <w:r w:rsidR="00C050A9" w:rsidRPr="009935E0">
        <w:rPr>
          <w:rFonts w:ascii="Times New Roman" w:hAnsi="Times New Roman" w:cs="Times New Roman"/>
          <w:sz w:val="24"/>
          <w:szCs w:val="24"/>
        </w:rPr>
        <w:t>.</w:t>
      </w:r>
      <w:r w:rsidR="006A034C" w:rsidRPr="009935E0">
        <w:rPr>
          <w:rFonts w:ascii="Times New Roman" w:hAnsi="Times New Roman" w:cs="Times New Roman"/>
          <w:sz w:val="24"/>
          <w:szCs w:val="24"/>
        </w:rPr>
        <w:t xml:space="preserve"> </w:t>
      </w:r>
      <w:r w:rsidR="00C050A9" w:rsidRPr="009935E0">
        <w:rPr>
          <w:rFonts w:ascii="Times New Roman" w:hAnsi="Times New Roman" w:cs="Times New Roman"/>
          <w:sz w:val="24"/>
          <w:szCs w:val="24"/>
        </w:rPr>
        <w:t xml:space="preserve">Wytyczne </w:t>
      </w:r>
      <w:r w:rsidR="006A034C" w:rsidRPr="009935E0">
        <w:rPr>
          <w:rFonts w:ascii="Times New Roman" w:hAnsi="Times New Roman" w:cs="Times New Roman"/>
          <w:sz w:val="24"/>
          <w:szCs w:val="24"/>
        </w:rPr>
        <w:t xml:space="preserve">nie mają jednak mocy wiążącej. </w:t>
      </w:r>
      <w:r w:rsidR="00C8590E" w:rsidRPr="009935E0">
        <w:rPr>
          <w:rFonts w:ascii="Times New Roman" w:hAnsi="Times New Roman" w:cs="Times New Roman"/>
          <w:sz w:val="24"/>
          <w:szCs w:val="24"/>
        </w:rPr>
        <w:t>P</w:t>
      </w:r>
      <w:r w:rsidRPr="009935E0">
        <w:rPr>
          <w:rFonts w:ascii="Times New Roman" w:hAnsi="Times New Roman" w:cs="Times New Roman"/>
          <w:sz w:val="24"/>
          <w:szCs w:val="24"/>
        </w:rPr>
        <w:t>rojekt</w:t>
      </w:r>
      <w:r w:rsidR="00C8590E" w:rsidRPr="009935E0">
        <w:rPr>
          <w:rFonts w:ascii="Times New Roman" w:hAnsi="Times New Roman" w:cs="Times New Roman"/>
          <w:sz w:val="24"/>
          <w:szCs w:val="24"/>
        </w:rPr>
        <w:t>owana ustawa</w:t>
      </w:r>
      <w:r w:rsidRPr="009935E0">
        <w:rPr>
          <w:rFonts w:ascii="Times New Roman" w:hAnsi="Times New Roman" w:cs="Times New Roman"/>
          <w:sz w:val="24"/>
          <w:szCs w:val="24"/>
        </w:rPr>
        <w:t xml:space="preserve"> uwzględnia </w:t>
      </w:r>
      <w:r w:rsidR="00C050A9" w:rsidRPr="009935E0">
        <w:rPr>
          <w:rFonts w:ascii="Times New Roman" w:hAnsi="Times New Roman" w:cs="Times New Roman"/>
          <w:sz w:val="24"/>
          <w:szCs w:val="24"/>
        </w:rPr>
        <w:t xml:space="preserve">je </w:t>
      </w:r>
      <w:r w:rsidR="00C704B7" w:rsidRPr="009935E0">
        <w:rPr>
          <w:rFonts w:ascii="Times New Roman" w:hAnsi="Times New Roman" w:cs="Times New Roman"/>
          <w:sz w:val="24"/>
          <w:szCs w:val="24"/>
        </w:rPr>
        <w:t xml:space="preserve">w zakresie, </w:t>
      </w:r>
      <w:r w:rsidR="006A034C" w:rsidRPr="009935E0">
        <w:rPr>
          <w:rFonts w:ascii="Times New Roman" w:hAnsi="Times New Roman" w:cs="Times New Roman"/>
          <w:sz w:val="24"/>
          <w:szCs w:val="24"/>
        </w:rPr>
        <w:t xml:space="preserve">w jakim </w:t>
      </w:r>
      <w:r w:rsidR="00C050A9" w:rsidRPr="009935E0">
        <w:rPr>
          <w:rFonts w:ascii="Times New Roman" w:hAnsi="Times New Roman" w:cs="Times New Roman"/>
          <w:sz w:val="24"/>
          <w:szCs w:val="24"/>
        </w:rPr>
        <w:t xml:space="preserve">nie budzą wątpliwości co do zgodności z </w:t>
      </w:r>
      <w:r w:rsidR="00882ABE" w:rsidRPr="009935E0">
        <w:rPr>
          <w:rFonts w:ascii="Times New Roman" w:hAnsi="Times New Roman" w:cs="Times New Roman"/>
          <w:sz w:val="24"/>
          <w:szCs w:val="24"/>
        </w:rPr>
        <w:t>literalnym brzmieniem dyrektywy.</w:t>
      </w:r>
    </w:p>
    <w:p w14:paraId="5DFB3A62" w14:textId="66413B30" w:rsidR="007C6B64" w:rsidRPr="009935E0" w:rsidRDefault="0043760B"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Po opublikowaniu dyrektyw w Dzienniku Urzędowym U</w:t>
      </w:r>
      <w:r w:rsidR="00A94C99" w:rsidRPr="009935E0">
        <w:rPr>
          <w:rFonts w:ascii="Times New Roman" w:hAnsi="Times New Roman" w:cs="Times New Roman"/>
          <w:sz w:val="24"/>
          <w:szCs w:val="24"/>
        </w:rPr>
        <w:t xml:space="preserve">nii </w:t>
      </w:r>
      <w:r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Pr="009935E0">
        <w:rPr>
          <w:rFonts w:ascii="Times New Roman" w:hAnsi="Times New Roman" w:cs="Times New Roman"/>
          <w:sz w:val="24"/>
          <w:szCs w:val="24"/>
        </w:rPr>
        <w:t xml:space="preserve"> Ministerstwo Kultury, Dziedzictwa Narodowego i Sportu, z uwagi na wysokie zainteresowanie społeczne materią dyrektywy </w:t>
      </w:r>
      <w:r w:rsidR="00A94C99" w:rsidRPr="009935E0">
        <w:rPr>
          <w:rFonts w:ascii="Times New Roman" w:hAnsi="Times New Roman" w:cs="Times New Roman"/>
          <w:sz w:val="24"/>
          <w:szCs w:val="24"/>
        </w:rPr>
        <w:t>DSM</w:t>
      </w:r>
      <w:r w:rsidRPr="009935E0">
        <w:rPr>
          <w:rFonts w:ascii="Times New Roman" w:hAnsi="Times New Roman" w:cs="Times New Roman"/>
          <w:sz w:val="24"/>
          <w:szCs w:val="24"/>
        </w:rPr>
        <w:t xml:space="preserve">, w sierpniu i wrześniu 2020 r. przeprowadziło </w:t>
      </w:r>
      <w:proofErr w:type="spellStart"/>
      <w:r w:rsidRPr="009935E0">
        <w:rPr>
          <w:rFonts w:ascii="Times New Roman" w:hAnsi="Times New Roman" w:cs="Times New Roman"/>
          <w:sz w:val="24"/>
          <w:szCs w:val="24"/>
        </w:rPr>
        <w:t>prekonsultacje</w:t>
      </w:r>
      <w:proofErr w:type="spellEnd"/>
      <w:r w:rsidRPr="009935E0">
        <w:rPr>
          <w:rFonts w:ascii="Times New Roman" w:hAnsi="Times New Roman" w:cs="Times New Roman"/>
          <w:sz w:val="24"/>
          <w:szCs w:val="24"/>
        </w:rPr>
        <w:t xml:space="preserve"> publiczne, których celem było rozpoznanie potrzeb i oczekiwań zainteresowanych środowisk, jak też specyfiki poszczególnych obszarów tematycznych objętych po</w:t>
      </w:r>
      <w:r w:rsidR="00D92D36" w:rsidRPr="009935E0">
        <w:rPr>
          <w:rFonts w:ascii="Times New Roman" w:hAnsi="Times New Roman" w:cs="Times New Roman"/>
          <w:sz w:val="24"/>
          <w:szCs w:val="24"/>
        </w:rPr>
        <w:t xml:space="preserve">stanowieniami obydwu dyrektyw. </w:t>
      </w:r>
      <w:r w:rsidRPr="009935E0">
        <w:rPr>
          <w:rFonts w:ascii="Times New Roman" w:hAnsi="Times New Roman" w:cs="Times New Roman"/>
          <w:sz w:val="24"/>
          <w:szCs w:val="24"/>
        </w:rPr>
        <w:t>Z uwagi na ograniczenia związane z epidemią COVID-19 konsultacje odbyły się w formie</w:t>
      </w:r>
      <w:r w:rsidR="00D92D36" w:rsidRPr="009935E0">
        <w:rPr>
          <w:rFonts w:ascii="Times New Roman" w:hAnsi="Times New Roman" w:cs="Times New Roman"/>
          <w:sz w:val="24"/>
          <w:szCs w:val="24"/>
        </w:rPr>
        <w:t xml:space="preserve"> korespondencyjnej. </w:t>
      </w:r>
      <w:r w:rsidRPr="009935E0">
        <w:rPr>
          <w:rFonts w:ascii="Times New Roman" w:hAnsi="Times New Roman" w:cs="Times New Roman"/>
          <w:sz w:val="24"/>
          <w:szCs w:val="24"/>
        </w:rPr>
        <w:t xml:space="preserve">Uczestnicy mieli swobodę co do zakresu prezentowanych stanowisk, jednakże w celu odpowiedniego ukierunkowania wypowiedzi zadanych zostało 17 szczegółowych pytań dotyczących dyrektywy </w:t>
      </w:r>
      <w:r w:rsidR="00A94C99" w:rsidRPr="009935E0">
        <w:rPr>
          <w:rFonts w:ascii="Times New Roman" w:hAnsi="Times New Roman" w:cs="Times New Roman"/>
          <w:sz w:val="24"/>
          <w:szCs w:val="24"/>
        </w:rPr>
        <w:t>DSM</w:t>
      </w:r>
      <w:r w:rsidRPr="009935E0">
        <w:rPr>
          <w:rFonts w:ascii="Times New Roman" w:hAnsi="Times New Roman" w:cs="Times New Roman"/>
          <w:sz w:val="24"/>
          <w:szCs w:val="24"/>
        </w:rPr>
        <w:t xml:space="preserve"> oraz dwa dotyczące dyrektywy </w:t>
      </w:r>
      <w:r w:rsidR="00A94C99" w:rsidRPr="009935E0">
        <w:rPr>
          <w:rFonts w:ascii="Times New Roman" w:hAnsi="Times New Roman" w:cs="Times New Roman"/>
          <w:sz w:val="24"/>
          <w:szCs w:val="24"/>
        </w:rPr>
        <w:t>SATCAB II</w:t>
      </w:r>
      <w:r w:rsidRPr="009935E0">
        <w:rPr>
          <w:rFonts w:ascii="Times New Roman" w:hAnsi="Times New Roman" w:cs="Times New Roman"/>
          <w:sz w:val="24"/>
          <w:szCs w:val="24"/>
        </w:rPr>
        <w:t xml:space="preserve">. W konsultacjach wzięło udział 40 podmiotów, w tym organizacje zbiorowego zarządzania, stowarzyszenia twórcze oraz organizacje reprezentujące przedsiębiorców. Uzyskano obszerny materiał liczący ponad 450 stron, udostępniony w Biuletynie Informacji </w:t>
      </w:r>
      <w:r w:rsidR="00E74943" w:rsidRPr="009935E0">
        <w:rPr>
          <w:rFonts w:ascii="Times New Roman" w:hAnsi="Times New Roman" w:cs="Times New Roman"/>
          <w:sz w:val="24"/>
          <w:szCs w:val="24"/>
        </w:rPr>
        <w:t>Publicznej</w:t>
      </w:r>
      <w:r w:rsidR="000E26B5">
        <w:rPr>
          <w:rStyle w:val="Odwoanieprzypisudolnego"/>
          <w:rFonts w:ascii="Times New Roman" w:hAnsi="Times New Roman" w:cs="Times New Roman"/>
          <w:sz w:val="24"/>
          <w:szCs w:val="24"/>
        </w:rPr>
        <w:footnoteReference w:id="12"/>
      </w:r>
      <w:r w:rsidR="00CD207D" w:rsidRPr="00483092">
        <w:rPr>
          <w:rFonts w:ascii="Times New Roman" w:hAnsi="Times New Roman" w:cs="Times New Roman"/>
          <w:sz w:val="24"/>
          <w:szCs w:val="24"/>
          <w:vertAlign w:val="superscript"/>
        </w:rPr>
        <w:t>)</w:t>
      </w:r>
      <w:r w:rsidR="00E74943" w:rsidRPr="009935E0">
        <w:rPr>
          <w:rFonts w:ascii="Times New Roman" w:hAnsi="Times New Roman" w:cs="Times New Roman"/>
          <w:sz w:val="24"/>
          <w:szCs w:val="24"/>
        </w:rPr>
        <w:t>.</w:t>
      </w:r>
      <w:r w:rsidR="00796B5E" w:rsidRPr="009935E0">
        <w:rPr>
          <w:rFonts w:ascii="Times New Roman" w:hAnsi="Times New Roman" w:cs="Times New Roman"/>
          <w:sz w:val="24"/>
          <w:szCs w:val="24"/>
        </w:rPr>
        <w:t xml:space="preserve"> Na podstawie uzyskanego materiału przygotowany został projekt ustawy </w:t>
      </w:r>
      <w:r w:rsidR="009C6808" w:rsidRPr="009935E0">
        <w:rPr>
          <w:rFonts w:ascii="Times New Roman" w:hAnsi="Times New Roman" w:cs="Times New Roman"/>
          <w:sz w:val="24"/>
          <w:szCs w:val="24"/>
        </w:rPr>
        <w:t>(włączony do Wykazu prac legislacyjnych i programowych Rady Ministrów pod nr</w:t>
      </w:r>
      <w:r w:rsidR="00796B5E" w:rsidRPr="009935E0">
        <w:rPr>
          <w:rFonts w:ascii="Times New Roman" w:hAnsi="Times New Roman" w:cs="Times New Roman"/>
          <w:sz w:val="24"/>
          <w:szCs w:val="24"/>
        </w:rPr>
        <w:t xml:space="preserve"> UC103</w:t>
      </w:r>
      <w:r w:rsidR="009C6808" w:rsidRPr="009935E0">
        <w:rPr>
          <w:rFonts w:ascii="Times New Roman" w:hAnsi="Times New Roman" w:cs="Times New Roman"/>
          <w:sz w:val="24"/>
          <w:szCs w:val="24"/>
        </w:rPr>
        <w:t>)</w:t>
      </w:r>
      <w:r w:rsidR="00796B5E" w:rsidRPr="009935E0">
        <w:rPr>
          <w:rFonts w:ascii="Times New Roman" w:hAnsi="Times New Roman" w:cs="Times New Roman"/>
          <w:sz w:val="24"/>
          <w:szCs w:val="24"/>
        </w:rPr>
        <w:t>,</w:t>
      </w:r>
      <w:r w:rsidR="00641C2D" w:rsidRPr="009935E0">
        <w:rPr>
          <w:rFonts w:ascii="Times New Roman" w:hAnsi="Times New Roman" w:cs="Times New Roman"/>
          <w:sz w:val="24"/>
          <w:szCs w:val="24"/>
        </w:rPr>
        <w:t xml:space="preserve"> </w:t>
      </w:r>
      <w:r w:rsidR="00796B5E" w:rsidRPr="009935E0">
        <w:rPr>
          <w:rFonts w:ascii="Times New Roman" w:hAnsi="Times New Roman" w:cs="Times New Roman"/>
          <w:sz w:val="24"/>
          <w:szCs w:val="24"/>
        </w:rPr>
        <w:t xml:space="preserve">przekazany do konsultacji publicznych w czerwcu 2022 r. Prace rządowe nad tym projektem zostały jednak wstrzymane na etapie Stałego Komitetu Rady Ministrów (od marca 2023 r.) mimo </w:t>
      </w:r>
      <w:r w:rsidR="00E15A03" w:rsidRPr="009935E0">
        <w:rPr>
          <w:rFonts w:ascii="Times New Roman" w:hAnsi="Times New Roman" w:cs="Times New Roman"/>
          <w:sz w:val="24"/>
          <w:szCs w:val="24"/>
        </w:rPr>
        <w:t>wniesienia</w:t>
      </w:r>
      <w:r w:rsidR="00796B5E" w:rsidRPr="009935E0">
        <w:rPr>
          <w:rFonts w:ascii="Times New Roman" w:hAnsi="Times New Roman" w:cs="Times New Roman"/>
          <w:sz w:val="24"/>
          <w:szCs w:val="24"/>
        </w:rPr>
        <w:t xml:space="preserve"> przez Komisję E</w:t>
      </w:r>
      <w:r w:rsidR="007C6B64" w:rsidRPr="009935E0">
        <w:rPr>
          <w:rFonts w:ascii="Times New Roman" w:hAnsi="Times New Roman" w:cs="Times New Roman"/>
          <w:sz w:val="24"/>
          <w:szCs w:val="24"/>
        </w:rPr>
        <w:t>uropejską już w kwietniu 2023 r. dwóch skarg do Trybunału Sprawiedliwości U</w:t>
      </w:r>
      <w:r w:rsidR="00A94C99" w:rsidRPr="009935E0">
        <w:rPr>
          <w:rFonts w:ascii="Times New Roman" w:hAnsi="Times New Roman" w:cs="Times New Roman"/>
          <w:sz w:val="24"/>
          <w:szCs w:val="24"/>
        </w:rPr>
        <w:t xml:space="preserve">nii </w:t>
      </w:r>
      <w:r w:rsidR="007C6B64"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7C6B64" w:rsidRPr="009935E0">
        <w:rPr>
          <w:rFonts w:ascii="Times New Roman" w:hAnsi="Times New Roman" w:cs="Times New Roman"/>
          <w:sz w:val="24"/>
          <w:szCs w:val="24"/>
        </w:rPr>
        <w:t xml:space="preserve"> na brak wdrożenia obydwu dyrektyw, </w:t>
      </w:r>
      <w:r w:rsidR="00E15A03" w:rsidRPr="009935E0">
        <w:rPr>
          <w:rFonts w:ascii="Times New Roman" w:hAnsi="Times New Roman" w:cs="Times New Roman"/>
          <w:sz w:val="24"/>
          <w:szCs w:val="24"/>
        </w:rPr>
        <w:t>z żądaniem</w:t>
      </w:r>
      <w:r w:rsidR="007C6B64" w:rsidRPr="009935E0">
        <w:rPr>
          <w:rFonts w:ascii="Times New Roman" w:hAnsi="Times New Roman" w:cs="Times New Roman"/>
          <w:sz w:val="24"/>
          <w:szCs w:val="24"/>
        </w:rPr>
        <w:t xml:space="preserve"> kar finansowych.</w:t>
      </w:r>
    </w:p>
    <w:p w14:paraId="09FBB9A4" w14:textId="77777777" w:rsidR="007C6B64" w:rsidRPr="009935E0" w:rsidRDefault="007C6B6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Decyzją obecnego rządu procedura legislacyjna zostaje powtórzona. Ponieważ przedstawiony projekt w znacznym stopniu opiera się na projekcie UC103, terminy konsultacji i</w:t>
      </w:r>
      <w:r w:rsidR="00E15A03" w:rsidRPr="009935E0">
        <w:rPr>
          <w:rFonts w:ascii="Times New Roman" w:hAnsi="Times New Roman" w:cs="Times New Roman"/>
          <w:sz w:val="24"/>
          <w:szCs w:val="24"/>
        </w:rPr>
        <w:t xml:space="preserve"> uzgodnień zostały</w:t>
      </w:r>
      <w:r w:rsidRPr="009935E0">
        <w:rPr>
          <w:rFonts w:ascii="Times New Roman" w:hAnsi="Times New Roman" w:cs="Times New Roman"/>
          <w:sz w:val="24"/>
          <w:szCs w:val="24"/>
        </w:rPr>
        <w:t xml:space="preserve"> odpowiednio skrócone.</w:t>
      </w:r>
    </w:p>
    <w:p w14:paraId="190D7B9B" w14:textId="57380166" w:rsidR="00785B28" w:rsidRPr="009935E0" w:rsidRDefault="002B18C5"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 xml:space="preserve">W dniu </w:t>
      </w:r>
      <w:r w:rsidR="009C6808" w:rsidRPr="009935E0">
        <w:rPr>
          <w:rFonts w:ascii="Times New Roman" w:hAnsi="Times New Roman" w:cs="Times New Roman"/>
          <w:sz w:val="24"/>
          <w:szCs w:val="24"/>
        </w:rPr>
        <w:t xml:space="preserve">29 </w:t>
      </w:r>
      <w:r w:rsidRPr="009935E0">
        <w:rPr>
          <w:rFonts w:ascii="Times New Roman" w:hAnsi="Times New Roman" w:cs="Times New Roman"/>
          <w:sz w:val="24"/>
          <w:szCs w:val="24"/>
        </w:rPr>
        <w:t>stycznia</w:t>
      </w:r>
      <w:r w:rsidR="00796B5E" w:rsidRPr="009935E0">
        <w:rPr>
          <w:rFonts w:ascii="Times New Roman" w:hAnsi="Times New Roman" w:cs="Times New Roman"/>
          <w:sz w:val="24"/>
          <w:szCs w:val="24"/>
        </w:rPr>
        <w:t xml:space="preserve"> 2024</w:t>
      </w:r>
      <w:r w:rsidR="00D92D36" w:rsidRPr="009935E0">
        <w:rPr>
          <w:rFonts w:ascii="Times New Roman" w:hAnsi="Times New Roman" w:cs="Times New Roman"/>
          <w:sz w:val="24"/>
          <w:szCs w:val="24"/>
        </w:rPr>
        <w:t xml:space="preserve"> r. projekt ustawy został wpisany do Wykazu prac legislacyjnych</w:t>
      </w:r>
      <w:r w:rsidR="007C6B64" w:rsidRPr="009935E0">
        <w:rPr>
          <w:rFonts w:ascii="Times New Roman" w:hAnsi="Times New Roman" w:cs="Times New Roman"/>
          <w:sz w:val="24"/>
          <w:szCs w:val="24"/>
        </w:rPr>
        <w:t xml:space="preserve"> i programowych Rady Ministrów pod </w:t>
      </w:r>
      <w:r w:rsidR="009C6808" w:rsidRPr="009935E0">
        <w:rPr>
          <w:rFonts w:ascii="Times New Roman" w:hAnsi="Times New Roman" w:cs="Times New Roman"/>
          <w:sz w:val="24"/>
          <w:szCs w:val="24"/>
        </w:rPr>
        <w:t>nr</w:t>
      </w:r>
      <w:r w:rsidR="007C6B64" w:rsidRPr="009935E0">
        <w:rPr>
          <w:rFonts w:ascii="Times New Roman" w:hAnsi="Times New Roman" w:cs="Times New Roman"/>
          <w:sz w:val="24"/>
          <w:szCs w:val="24"/>
        </w:rPr>
        <w:t xml:space="preserve"> UC6.</w:t>
      </w:r>
      <w:r w:rsidR="00D92D36" w:rsidRPr="009935E0">
        <w:rPr>
          <w:rFonts w:ascii="Times New Roman" w:hAnsi="Times New Roman" w:cs="Times New Roman"/>
          <w:sz w:val="24"/>
          <w:szCs w:val="24"/>
        </w:rPr>
        <w:t xml:space="preserve"> Jednocześnie zostały ogłoszone założenia </w:t>
      </w:r>
      <w:r w:rsidRPr="009935E0">
        <w:rPr>
          <w:rFonts w:ascii="Times New Roman" w:hAnsi="Times New Roman" w:cs="Times New Roman"/>
          <w:sz w:val="24"/>
          <w:szCs w:val="24"/>
        </w:rPr>
        <w:t>tego projektu</w:t>
      </w:r>
      <w:r w:rsidR="00D92D36" w:rsidRPr="009935E0">
        <w:rPr>
          <w:rStyle w:val="Odwoanieprzypisudolnego"/>
          <w:rFonts w:ascii="Times New Roman" w:hAnsi="Times New Roman" w:cs="Times New Roman"/>
          <w:sz w:val="24"/>
          <w:szCs w:val="24"/>
        </w:rPr>
        <w:footnoteReference w:id="13"/>
      </w:r>
      <w:r w:rsidR="000E26B5" w:rsidRPr="00483092">
        <w:rPr>
          <w:rFonts w:ascii="Times New Roman" w:hAnsi="Times New Roman" w:cs="Times New Roman"/>
          <w:sz w:val="24"/>
          <w:szCs w:val="24"/>
          <w:vertAlign w:val="superscript"/>
        </w:rPr>
        <w:t>)</w:t>
      </w:r>
      <w:r w:rsidR="00E74943" w:rsidRPr="009935E0">
        <w:rPr>
          <w:rFonts w:ascii="Times New Roman" w:hAnsi="Times New Roman" w:cs="Times New Roman"/>
          <w:sz w:val="24"/>
          <w:szCs w:val="24"/>
        </w:rPr>
        <w:t>.</w:t>
      </w:r>
    </w:p>
    <w:p w14:paraId="354BB789" w14:textId="77777777" w:rsidR="00DB25DF" w:rsidRPr="009935E0" w:rsidRDefault="00DB25D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ramach implementacji dyrektywy DSM zostaną wprowadzone następujące zmiany w polskim prawie autorskim: </w:t>
      </w:r>
    </w:p>
    <w:p w14:paraId="34CCCE86" w14:textId="77777777" w:rsidR="00DB25DF"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wprowadzenie nowych postaci dozwolonego użytku (eksploracja tekstów i danych) oraz modyfikacja niektórych już istniejących (korzystanie z utworów w działalności dydaktycznej oraz zwielokrotnianie utworów w celu zac</w:t>
      </w:r>
      <w:r w:rsidR="00D13802" w:rsidRPr="009935E0">
        <w:rPr>
          <w:rFonts w:ascii="Times New Roman" w:hAnsi="Times New Roman" w:cs="Times New Roman"/>
          <w:sz w:val="24"/>
          <w:szCs w:val="24"/>
        </w:rPr>
        <w:t xml:space="preserve">howania dziedzictwa kulturowego, </w:t>
      </w:r>
      <w:r w:rsidRPr="009935E0">
        <w:rPr>
          <w:rFonts w:ascii="Times New Roman" w:hAnsi="Times New Roman" w:cs="Times New Roman"/>
          <w:sz w:val="24"/>
          <w:szCs w:val="24"/>
        </w:rPr>
        <w:t>art. 3–7 dyrektywy);</w:t>
      </w:r>
    </w:p>
    <w:p w14:paraId="301BB6A9" w14:textId="77777777" w:rsidR="00DB25DF"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modyfikacja zasad korzystania z utworów niedostępnych w handlu (art. 8–11 dyrektywy);</w:t>
      </w:r>
    </w:p>
    <w:p w14:paraId="323B2BEA" w14:textId="77777777" w:rsidR="00DB25DF"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wprowadzenie licencji zbiorowych z rozszerzonym skutkiem (art. 12 dyrektywy);</w:t>
      </w:r>
    </w:p>
    <w:p w14:paraId="23108487" w14:textId="77777777" w:rsidR="00DB25DF"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wprowadzenie środków ułatwiających licencjonowanie utworów udostępnianych w ramach usług wideo na żądanie (art. 13 dyrektywy);</w:t>
      </w:r>
    </w:p>
    <w:p w14:paraId="4BB904B0" w14:textId="77777777" w:rsidR="00DB25DF"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wprowadzenie nowego praw</w:t>
      </w:r>
      <w:r w:rsidR="002B40C2" w:rsidRPr="009935E0">
        <w:rPr>
          <w:rFonts w:ascii="Times New Roman" w:hAnsi="Times New Roman" w:cs="Times New Roman"/>
          <w:sz w:val="24"/>
          <w:szCs w:val="24"/>
        </w:rPr>
        <w:t xml:space="preserve">a pokrewnego dla wydawców prasy </w:t>
      </w:r>
      <w:r w:rsidRPr="009935E0">
        <w:rPr>
          <w:rFonts w:ascii="Times New Roman" w:hAnsi="Times New Roman" w:cs="Times New Roman"/>
          <w:sz w:val="24"/>
          <w:szCs w:val="24"/>
        </w:rPr>
        <w:t>(art. 15–16 dyrektywy);</w:t>
      </w:r>
    </w:p>
    <w:p w14:paraId="13F59F05" w14:textId="77777777" w:rsidR="00DB25DF"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wprowadzenie przepisów szczególnych dotyczących dostawców usług udostępniania treści online (art. 17 dyrektywy);</w:t>
      </w:r>
    </w:p>
    <w:p w14:paraId="50E23671" w14:textId="77777777" w:rsidR="00DB25DF"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zapewnienie godziwego wynagrodzenia</w:t>
      </w:r>
      <w:r w:rsidR="00D13802" w:rsidRPr="009935E0">
        <w:rPr>
          <w:rFonts w:ascii="Times New Roman" w:hAnsi="Times New Roman" w:cs="Times New Roman"/>
          <w:sz w:val="24"/>
          <w:szCs w:val="24"/>
        </w:rPr>
        <w:t xml:space="preserve"> twórcom i wykonawcom (</w:t>
      </w:r>
      <w:r w:rsidR="00E15A03" w:rsidRPr="009935E0">
        <w:rPr>
          <w:rFonts w:ascii="Times New Roman" w:hAnsi="Times New Roman" w:cs="Times New Roman"/>
          <w:sz w:val="24"/>
          <w:szCs w:val="24"/>
        </w:rPr>
        <w:t xml:space="preserve">przyznanie twórcom i wykonawcom niezbywalnego prawa do wynagrodzenia za eksploatację w Internecie utworów audiowizualnych, muzycznych i słowno-muzycznych, </w:t>
      </w:r>
      <w:r w:rsidRPr="009935E0">
        <w:rPr>
          <w:rFonts w:ascii="Times New Roman" w:hAnsi="Times New Roman" w:cs="Times New Roman"/>
          <w:sz w:val="24"/>
          <w:szCs w:val="24"/>
        </w:rPr>
        <w:t xml:space="preserve">wprowadzenie obowiązku przejrzystości </w:t>
      </w:r>
      <w:r w:rsidR="00D13802" w:rsidRPr="009935E0">
        <w:rPr>
          <w:rFonts w:ascii="Times New Roman" w:hAnsi="Times New Roman" w:cs="Times New Roman"/>
          <w:sz w:val="24"/>
          <w:szCs w:val="24"/>
        </w:rPr>
        <w:t xml:space="preserve">i modyfikacja mechanizmu dostosowywania umów </w:t>
      </w:r>
      <w:r w:rsidRPr="009935E0">
        <w:rPr>
          <w:rFonts w:ascii="Times New Roman" w:hAnsi="Times New Roman" w:cs="Times New Roman"/>
          <w:sz w:val="24"/>
          <w:szCs w:val="24"/>
        </w:rPr>
        <w:t xml:space="preserve">w relacjach </w:t>
      </w:r>
      <w:r w:rsidR="00D13802" w:rsidRPr="009935E0">
        <w:rPr>
          <w:rFonts w:ascii="Times New Roman" w:hAnsi="Times New Roman" w:cs="Times New Roman"/>
          <w:sz w:val="24"/>
          <w:szCs w:val="24"/>
        </w:rPr>
        <w:t>kontraktowych</w:t>
      </w:r>
      <w:r w:rsidRPr="009935E0">
        <w:rPr>
          <w:rFonts w:ascii="Times New Roman" w:hAnsi="Times New Roman" w:cs="Times New Roman"/>
          <w:sz w:val="24"/>
          <w:szCs w:val="24"/>
        </w:rPr>
        <w:t xml:space="preserve"> między uprawnionymi i użytkownikami</w:t>
      </w:r>
      <w:r w:rsidR="00D13802" w:rsidRPr="009935E0">
        <w:rPr>
          <w:rFonts w:ascii="Times New Roman" w:hAnsi="Times New Roman" w:cs="Times New Roman"/>
          <w:sz w:val="24"/>
          <w:szCs w:val="24"/>
        </w:rPr>
        <w:t>,</w:t>
      </w:r>
      <w:r w:rsidR="00E15A03" w:rsidRPr="009935E0">
        <w:rPr>
          <w:rFonts w:ascii="Times New Roman" w:hAnsi="Times New Roman" w:cs="Times New Roman"/>
          <w:sz w:val="24"/>
          <w:szCs w:val="24"/>
        </w:rPr>
        <w:t xml:space="preserve"> wprowadzenie </w:t>
      </w:r>
      <w:r w:rsidRPr="009935E0">
        <w:rPr>
          <w:rFonts w:ascii="Times New Roman" w:hAnsi="Times New Roman" w:cs="Times New Roman"/>
          <w:sz w:val="24"/>
          <w:szCs w:val="24"/>
        </w:rPr>
        <w:t xml:space="preserve">zmian w zakresie prawa twórców i wykonawców do wypowiedzenia zawartych umów lub odstąpienia od nich (art. </w:t>
      </w:r>
      <w:r w:rsidR="00D13802" w:rsidRPr="009935E0">
        <w:rPr>
          <w:rFonts w:ascii="Times New Roman" w:hAnsi="Times New Roman" w:cs="Times New Roman"/>
          <w:sz w:val="24"/>
          <w:szCs w:val="24"/>
        </w:rPr>
        <w:t>18</w:t>
      </w:r>
      <w:r w:rsidR="00955E7A" w:rsidRPr="009935E0">
        <w:rPr>
          <w:rFonts w:ascii="Times New Roman" w:hAnsi="Times New Roman" w:cs="Times New Roman"/>
          <w:sz w:val="24"/>
          <w:szCs w:val="24"/>
        </w:rPr>
        <w:t>–</w:t>
      </w:r>
      <w:r w:rsidRPr="009935E0">
        <w:rPr>
          <w:rFonts w:ascii="Times New Roman" w:hAnsi="Times New Roman" w:cs="Times New Roman"/>
          <w:sz w:val="24"/>
          <w:szCs w:val="24"/>
        </w:rPr>
        <w:t>22 dyrektywy);</w:t>
      </w:r>
    </w:p>
    <w:p w14:paraId="114F6CAA" w14:textId="77777777" w:rsidR="003325F8" w:rsidRPr="009935E0" w:rsidRDefault="00DB25DF" w:rsidP="00483092">
      <w:pPr>
        <w:pStyle w:val="Akapitzlist"/>
        <w:numPr>
          <w:ilvl w:val="0"/>
          <w:numId w:val="9"/>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wprowadzenie nowych postaci dozwolonego użytku baz danych </w:t>
      </w:r>
      <w:proofErr w:type="spellStart"/>
      <w:r w:rsidRPr="009935E0">
        <w:rPr>
          <w:rFonts w:ascii="Times New Roman" w:hAnsi="Times New Roman" w:cs="Times New Roman"/>
          <w:i/>
          <w:sz w:val="24"/>
          <w:szCs w:val="24"/>
        </w:rPr>
        <w:t>sui</w:t>
      </w:r>
      <w:proofErr w:type="spellEnd"/>
      <w:r w:rsidRPr="009935E0">
        <w:rPr>
          <w:rFonts w:ascii="Times New Roman" w:hAnsi="Times New Roman" w:cs="Times New Roman"/>
          <w:i/>
          <w:sz w:val="24"/>
          <w:szCs w:val="24"/>
        </w:rPr>
        <w:t xml:space="preserve"> </w:t>
      </w:r>
      <w:proofErr w:type="spellStart"/>
      <w:r w:rsidRPr="009935E0">
        <w:rPr>
          <w:rFonts w:ascii="Times New Roman" w:hAnsi="Times New Roman" w:cs="Times New Roman"/>
          <w:i/>
          <w:sz w:val="24"/>
          <w:szCs w:val="24"/>
        </w:rPr>
        <w:t>generis</w:t>
      </w:r>
      <w:proofErr w:type="spellEnd"/>
      <w:r w:rsidRPr="009935E0">
        <w:rPr>
          <w:rFonts w:ascii="Times New Roman" w:hAnsi="Times New Roman" w:cs="Times New Roman"/>
          <w:sz w:val="24"/>
          <w:szCs w:val="24"/>
        </w:rPr>
        <w:t xml:space="preserve">, tj. objętych ustawą </w:t>
      </w:r>
      <w:r w:rsidR="0095007F" w:rsidRPr="009935E0">
        <w:rPr>
          <w:rFonts w:ascii="Times New Roman" w:hAnsi="Times New Roman" w:cs="Times New Roman"/>
          <w:sz w:val="24"/>
          <w:szCs w:val="24"/>
        </w:rPr>
        <w:t xml:space="preserve">z dnia 27 lipca 2001 r. </w:t>
      </w:r>
      <w:r w:rsidRPr="009935E0">
        <w:rPr>
          <w:rFonts w:ascii="Times New Roman" w:hAnsi="Times New Roman" w:cs="Times New Roman"/>
          <w:sz w:val="24"/>
          <w:szCs w:val="24"/>
        </w:rPr>
        <w:t>o ochronie baz danych (art. 3, art. 4 i art. 6 dyrektywy).</w:t>
      </w:r>
    </w:p>
    <w:p w14:paraId="2F08608B" w14:textId="7F27221C" w:rsidR="00046805" w:rsidRPr="009935E0" w:rsidRDefault="003325F8"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Projektowana ustawa przewiduje również, poza implementacją ww. dyrektyw, uzupełnienie treści art. 66 ust. 1 ustawy o prawie autorskim przez doprecyzowanie, że licencjobiorca może mieć, obok siedziby (osoba prawna), także miejsce zamieszkania (osoba fizyczna). Jest to zmiana o charakterze porządkującym i doprecyzowującym, postulowana przez sejmową Komisję do Spraw Petycji (obecnie przepis ten wskazuje, że umowa licencyjna uprawnia do </w:t>
      </w:r>
      <w:r w:rsidRPr="009935E0">
        <w:rPr>
          <w:rFonts w:ascii="Times New Roman" w:hAnsi="Times New Roman" w:cs="Times New Roman"/>
          <w:sz w:val="24"/>
          <w:szCs w:val="24"/>
        </w:rPr>
        <w:lastRenderedPageBreak/>
        <w:t>korzystania z utworu w okresie pięciu lat na terytorium państwa, w którym licencjobiorca ma swoją siedzibę, chyba że w umowie postanowio</w:t>
      </w:r>
      <w:r w:rsidR="00046805" w:rsidRPr="009935E0">
        <w:rPr>
          <w:rFonts w:ascii="Times New Roman" w:hAnsi="Times New Roman" w:cs="Times New Roman"/>
          <w:sz w:val="24"/>
          <w:szCs w:val="24"/>
        </w:rPr>
        <w:t xml:space="preserve">no inaczej). </w:t>
      </w:r>
    </w:p>
    <w:p w14:paraId="6F6C8378" w14:textId="77777777" w:rsidR="007F069B" w:rsidRPr="009935E0" w:rsidRDefault="003325F8"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Projektowana ustawa </w:t>
      </w:r>
      <w:r w:rsidR="007F069B" w:rsidRPr="009935E0">
        <w:rPr>
          <w:rFonts w:ascii="Times New Roman" w:hAnsi="Times New Roman" w:cs="Times New Roman"/>
          <w:sz w:val="24"/>
          <w:szCs w:val="24"/>
        </w:rPr>
        <w:t>opiera</w:t>
      </w:r>
      <w:r w:rsidRPr="009935E0">
        <w:rPr>
          <w:rFonts w:ascii="Times New Roman" w:hAnsi="Times New Roman" w:cs="Times New Roman"/>
          <w:sz w:val="24"/>
          <w:szCs w:val="24"/>
        </w:rPr>
        <w:t xml:space="preserve"> się na następujących ogólnych wytycznych:</w:t>
      </w:r>
    </w:p>
    <w:p w14:paraId="30FC7DAB" w14:textId="77777777" w:rsidR="007F069B" w:rsidRPr="009935E0" w:rsidRDefault="00510140" w:rsidP="00483092">
      <w:pPr>
        <w:pStyle w:val="Akapitzlist"/>
        <w:numPr>
          <w:ilvl w:val="0"/>
          <w:numId w:val="10"/>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przepisy wdrażające ob</w:t>
      </w:r>
      <w:r w:rsidR="002332AA" w:rsidRPr="009935E0">
        <w:rPr>
          <w:rFonts w:ascii="Times New Roman" w:hAnsi="Times New Roman" w:cs="Times New Roman"/>
          <w:sz w:val="24"/>
          <w:szCs w:val="24"/>
        </w:rPr>
        <w:t>i</w:t>
      </w:r>
      <w:r w:rsidRPr="009935E0">
        <w:rPr>
          <w:rFonts w:ascii="Times New Roman" w:hAnsi="Times New Roman" w:cs="Times New Roman"/>
          <w:sz w:val="24"/>
          <w:szCs w:val="24"/>
        </w:rPr>
        <w:t>e</w:t>
      </w:r>
      <w:r w:rsidR="003325F8" w:rsidRPr="009935E0">
        <w:rPr>
          <w:rFonts w:ascii="Times New Roman" w:hAnsi="Times New Roman" w:cs="Times New Roman"/>
          <w:sz w:val="24"/>
          <w:szCs w:val="24"/>
        </w:rPr>
        <w:t xml:space="preserve"> dyrektywy powinny możliwie ściśle odpowiadać brzmieniu imple</w:t>
      </w:r>
      <w:r w:rsidR="007F069B" w:rsidRPr="009935E0">
        <w:rPr>
          <w:rFonts w:ascii="Times New Roman" w:hAnsi="Times New Roman" w:cs="Times New Roman"/>
          <w:sz w:val="24"/>
          <w:szCs w:val="24"/>
        </w:rPr>
        <w:t xml:space="preserve">mentowanych przepisów tych </w:t>
      </w:r>
      <w:r w:rsidR="00EF69F5" w:rsidRPr="009935E0">
        <w:rPr>
          <w:rFonts w:ascii="Times New Roman" w:hAnsi="Times New Roman" w:cs="Times New Roman"/>
          <w:sz w:val="24"/>
          <w:szCs w:val="24"/>
        </w:rPr>
        <w:t xml:space="preserve">dyrektyw, z </w:t>
      </w:r>
      <w:r w:rsidR="00046805" w:rsidRPr="009935E0">
        <w:rPr>
          <w:rFonts w:ascii="Times New Roman" w:hAnsi="Times New Roman" w:cs="Times New Roman"/>
          <w:sz w:val="24"/>
          <w:szCs w:val="24"/>
        </w:rPr>
        <w:t>uwzględnieniem</w:t>
      </w:r>
      <w:r w:rsidR="00EF69F5" w:rsidRPr="009935E0">
        <w:rPr>
          <w:rFonts w:ascii="Times New Roman" w:hAnsi="Times New Roman" w:cs="Times New Roman"/>
          <w:sz w:val="24"/>
          <w:szCs w:val="24"/>
        </w:rPr>
        <w:t xml:space="preserve"> wytycznych zawartych w wyroku TSUE C-401/19;</w:t>
      </w:r>
    </w:p>
    <w:p w14:paraId="616DD253" w14:textId="29D16873" w:rsidR="007F069B" w:rsidRPr="009935E0" w:rsidRDefault="003325F8" w:rsidP="00483092">
      <w:pPr>
        <w:pStyle w:val="Akapitzlist"/>
        <w:numPr>
          <w:ilvl w:val="0"/>
          <w:numId w:val="10"/>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nie będzie </w:t>
      </w:r>
      <w:r w:rsidR="007F069B" w:rsidRPr="009935E0">
        <w:rPr>
          <w:rFonts w:ascii="Times New Roman" w:hAnsi="Times New Roman" w:cs="Times New Roman"/>
          <w:sz w:val="24"/>
          <w:szCs w:val="24"/>
        </w:rPr>
        <w:t xml:space="preserve">się </w:t>
      </w:r>
      <w:r w:rsidRPr="009935E0">
        <w:rPr>
          <w:rFonts w:ascii="Times New Roman" w:hAnsi="Times New Roman" w:cs="Times New Roman"/>
          <w:sz w:val="24"/>
          <w:szCs w:val="24"/>
        </w:rPr>
        <w:t xml:space="preserve">wykraczać poza materię objętą dyrektywami, z zastrzeżeniem </w:t>
      </w:r>
      <w:r w:rsidR="00510140" w:rsidRPr="009935E0">
        <w:rPr>
          <w:rFonts w:ascii="Times New Roman" w:hAnsi="Times New Roman" w:cs="Times New Roman"/>
          <w:sz w:val="24"/>
          <w:szCs w:val="24"/>
        </w:rPr>
        <w:t xml:space="preserve">zmiany </w:t>
      </w:r>
      <w:r w:rsidR="0061268B" w:rsidRPr="009935E0">
        <w:rPr>
          <w:rFonts w:ascii="Times New Roman" w:hAnsi="Times New Roman" w:cs="Times New Roman"/>
          <w:sz w:val="24"/>
          <w:szCs w:val="24"/>
        </w:rPr>
        <w:t>jednego</w:t>
      </w:r>
      <w:r w:rsidRPr="009935E0">
        <w:rPr>
          <w:rFonts w:ascii="Times New Roman" w:hAnsi="Times New Roman" w:cs="Times New Roman"/>
          <w:sz w:val="24"/>
          <w:szCs w:val="24"/>
        </w:rPr>
        <w:t xml:space="preserve"> przepis</w:t>
      </w:r>
      <w:r w:rsidR="0061268B" w:rsidRPr="009935E0">
        <w:rPr>
          <w:rFonts w:ascii="Times New Roman" w:hAnsi="Times New Roman" w:cs="Times New Roman"/>
          <w:sz w:val="24"/>
          <w:szCs w:val="24"/>
        </w:rPr>
        <w:t>u</w:t>
      </w:r>
      <w:r w:rsidR="00510140" w:rsidRPr="009935E0">
        <w:rPr>
          <w:rFonts w:ascii="Times New Roman" w:hAnsi="Times New Roman" w:cs="Times New Roman"/>
          <w:sz w:val="24"/>
          <w:szCs w:val="24"/>
        </w:rPr>
        <w:t xml:space="preserve"> ustawy o prawie autorskim</w:t>
      </w:r>
      <w:r w:rsidRPr="009935E0">
        <w:rPr>
          <w:rFonts w:ascii="Times New Roman" w:hAnsi="Times New Roman" w:cs="Times New Roman"/>
          <w:sz w:val="24"/>
          <w:szCs w:val="24"/>
        </w:rPr>
        <w:t xml:space="preserve">; </w:t>
      </w:r>
    </w:p>
    <w:p w14:paraId="4D2AA5C0" w14:textId="72BDEA49" w:rsidR="0013466B" w:rsidRPr="009935E0" w:rsidRDefault="003325F8" w:rsidP="00483092">
      <w:pPr>
        <w:pStyle w:val="Akapitzlist"/>
        <w:numPr>
          <w:ilvl w:val="0"/>
          <w:numId w:val="10"/>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 możliwie największym stopniu zostaną wykorzystane</w:t>
      </w:r>
      <w:r w:rsidR="0013466B" w:rsidRPr="009935E0">
        <w:rPr>
          <w:rFonts w:ascii="Times New Roman" w:hAnsi="Times New Roman" w:cs="Times New Roman"/>
          <w:sz w:val="24"/>
          <w:szCs w:val="24"/>
        </w:rPr>
        <w:t xml:space="preserve"> już istniejące instytucje (</w:t>
      </w:r>
      <w:r w:rsidRPr="009935E0">
        <w:rPr>
          <w:rFonts w:ascii="Times New Roman" w:hAnsi="Times New Roman" w:cs="Times New Roman"/>
          <w:sz w:val="24"/>
          <w:szCs w:val="24"/>
        </w:rPr>
        <w:t>Komisja Prawa Autorskiego, mediacja uregulowana w przepisach</w:t>
      </w:r>
      <w:r w:rsidR="001C17BE" w:rsidRPr="009935E0">
        <w:rPr>
          <w:rFonts w:ascii="Times New Roman" w:hAnsi="Times New Roman" w:cs="Times New Roman"/>
          <w:sz w:val="24"/>
          <w:szCs w:val="24"/>
        </w:rPr>
        <w:t xml:space="preserve"> </w:t>
      </w:r>
      <w:r w:rsidR="00960A4F" w:rsidRPr="009935E0">
        <w:rPr>
          <w:rFonts w:ascii="Times New Roman" w:hAnsi="Times New Roman" w:cs="Times New Roman"/>
          <w:sz w:val="24"/>
          <w:szCs w:val="24"/>
        </w:rPr>
        <w:t xml:space="preserve">ustawy z dnia 17 listopada 1964 r. </w:t>
      </w:r>
      <w:r w:rsidR="0061268B" w:rsidRPr="009935E0">
        <w:rPr>
          <w:rFonts w:ascii="Times New Roman" w:hAnsi="Times New Roman" w:cs="Times New Roman"/>
          <w:sz w:val="24"/>
          <w:szCs w:val="24"/>
        </w:rPr>
        <w:t>–</w:t>
      </w:r>
      <w:r w:rsidR="00960A4F" w:rsidRPr="009935E0">
        <w:rPr>
          <w:rFonts w:ascii="Times New Roman" w:hAnsi="Times New Roman" w:cs="Times New Roman"/>
          <w:sz w:val="24"/>
          <w:szCs w:val="24"/>
        </w:rPr>
        <w:t xml:space="preserve"> </w:t>
      </w:r>
      <w:r w:rsidR="001C17BE" w:rsidRPr="009935E0">
        <w:rPr>
          <w:rFonts w:ascii="Times New Roman" w:hAnsi="Times New Roman" w:cs="Times New Roman"/>
          <w:sz w:val="24"/>
          <w:szCs w:val="24"/>
        </w:rPr>
        <w:t>Kodeks postępowania cywilnego</w:t>
      </w:r>
      <w:r w:rsidR="0013466B" w:rsidRPr="009935E0">
        <w:rPr>
          <w:rFonts w:ascii="Times New Roman" w:hAnsi="Times New Roman" w:cs="Times New Roman"/>
          <w:sz w:val="24"/>
          <w:szCs w:val="24"/>
        </w:rPr>
        <w:t xml:space="preserve"> </w:t>
      </w:r>
      <w:r w:rsidR="00960A4F" w:rsidRPr="009935E0">
        <w:rPr>
          <w:rFonts w:ascii="Times New Roman" w:hAnsi="Times New Roman" w:cs="Times New Roman"/>
          <w:sz w:val="24"/>
          <w:szCs w:val="24"/>
        </w:rPr>
        <w:t xml:space="preserve">(Dz. U. z 2023 r. poz. 1550, z </w:t>
      </w:r>
      <w:proofErr w:type="spellStart"/>
      <w:r w:rsidR="00960A4F" w:rsidRPr="009935E0">
        <w:rPr>
          <w:rFonts w:ascii="Times New Roman" w:hAnsi="Times New Roman" w:cs="Times New Roman"/>
          <w:sz w:val="24"/>
          <w:szCs w:val="24"/>
        </w:rPr>
        <w:t>późn</w:t>
      </w:r>
      <w:proofErr w:type="spellEnd"/>
      <w:r w:rsidR="00960A4F" w:rsidRPr="009935E0">
        <w:rPr>
          <w:rFonts w:ascii="Times New Roman" w:hAnsi="Times New Roman" w:cs="Times New Roman"/>
          <w:sz w:val="24"/>
          <w:szCs w:val="24"/>
        </w:rPr>
        <w:t>. zm.)</w:t>
      </w:r>
      <w:r w:rsidR="0003129C" w:rsidRPr="009935E0">
        <w:rPr>
          <w:rFonts w:ascii="Times New Roman" w:hAnsi="Times New Roman" w:cs="Times New Roman"/>
          <w:sz w:val="24"/>
          <w:szCs w:val="24"/>
        </w:rPr>
        <w:t>, zwanej dalej „Kodeksem postępowania cywilnego”,</w:t>
      </w:r>
      <w:r w:rsidR="00960A4F" w:rsidRPr="009935E0">
        <w:rPr>
          <w:rFonts w:ascii="Times New Roman" w:hAnsi="Times New Roman" w:cs="Times New Roman"/>
          <w:sz w:val="24"/>
          <w:szCs w:val="24"/>
        </w:rPr>
        <w:t xml:space="preserve"> </w:t>
      </w:r>
      <w:r w:rsidR="0013466B" w:rsidRPr="009935E0">
        <w:rPr>
          <w:rFonts w:ascii="Times New Roman" w:hAnsi="Times New Roman" w:cs="Times New Roman"/>
          <w:sz w:val="24"/>
          <w:szCs w:val="24"/>
        </w:rPr>
        <w:t>itd.);</w:t>
      </w:r>
    </w:p>
    <w:p w14:paraId="78258A4B" w14:textId="77777777" w:rsidR="0013466B" w:rsidRPr="009935E0" w:rsidRDefault="0013466B" w:rsidP="00483092">
      <w:pPr>
        <w:pStyle w:val="Akapitzlist"/>
        <w:numPr>
          <w:ilvl w:val="0"/>
          <w:numId w:val="10"/>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nie nastąpi obciążenie</w:t>
      </w:r>
      <w:r w:rsidR="003325F8" w:rsidRPr="009935E0">
        <w:rPr>
          <w:rFonts w:ascii="Times New Roman" w:hAnsi="Times New Roman" w:cs="Times New Roman"/>
          <w:sz w:val="24"/>
          <w:szCs w:val="24"/>
        </w:rPr>
        <w:t xml:space="preserve"> finansów publicznych wskutek </w:t>
      </w:r>
      <w:r w:rsidR="008E0B35" w:rsidRPr="009935E0">
        <w:rPr>
          <w:rFonts w:ascii="Times New Roman" w:hAnsi="Times New Roman" w:cs="Times New Roman"/>
          <w:sz w:val="24"/>
          <w:szCs w:val="24"/>
        </w:rPr>
        <w:t xml:space="preserve">wprowadzenia </w:t>
      </w:r>
      <w:r w:rsidR="00E26575" w:rsidRPr="009935E0">
        <w:rPr>
          <w:rFonts w:ascii="Times New Roman" w:hAnsi="Times New Roman" w:cs="Times New Roman"/>
          <w:sz w:val="24"/>
          <w:szCs w:val="24"/>
        </w:rPr>
        <w:t>projektowanych zmian.</w:t>
      </w:r>
    </w:p>
    <w:p w14:paraId="334F7542" w14:textId="77777777" w:rsidR="001D068B" w:rsidRPr="009935E0" w:rsidRDefault="001D068B" w:rsidP="00483092">
      <w:pPr>
        <w:pStyle w:val="Akapitzlist"/>
        <w:numPr>
          <w:ilvl w:val="0"/>
          <w:numId w:val="1"/>
        </w:numPr>
        <w:tabs>
          <w:tab w:val="left" w:pos="567"/>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Część szczegółowa – przedstawienie istniejącego stanu rzeczy w dziedzinie, która ma być unormowana, oraz wykazanie różnic między dotychczasowym a</w:t>
      </w:r>
      <w:r w:rsidR="00CD2085" w:rsidRPr="009935E0">
        <w:rPr>
          <w:rFonts w:ascii="Times New Roman" w:hAnsi="Times New Roman" w:cs="Times New Roman"/>
          <w:b/>
          <w:sz w:val="24"/>
          <w:szCs w:val="24"/>
        </w:rPr>
        <w:t xml:space="preserve"> </w:t>
      </w:r>
      <w:r w:rsidRPr="009935E0">
        <w:rPr>
          <w:rFonts w:ascii="Times New Roman" w:hAnsi="Times New Roman" w:cs="Times New Roman"/>
          <w:b/>
          <w:sz w:val="24"/>
          <w:szCs w:val="24"/>
        </w:rPr>
        <w:t>projektowanym stanem prawnym</w:t>
      </w:r>
    </w:p>
    <w:p w14:paraId="10FE6111" w14:textId="77777777" w:rsidR="00904B3E" w:rsidRPr="009935E0" w:rsidRDefault="00904B3E" w:rsidP="009935E0">
      <w:pPr>
        <w:pStyle w:val="Akapitzlist"/>
        <w:spacing w:before="120" w:after="0" w:line="360" w:lineRule="auto"/>
        <w:ind w:left="0"/>
        <w:jc w:val="center"/>
        <w:rPr>
          <w:rFonts w:ascii="Times New Roman" w:hAnsi="Times New Roman" w:cs="Times New Roman"/>
          <w:b/>
          <w:sz w:val="24"/>
          <w:szCs w:val="24"/>
        </w:rPr>
      </w:pPr>
      <w:r w:rsidRPr="009935E0">
        <w:rPr>
          <w:rFonts w:ascii="Times New Roman" w:hAnsi="Times New Roman" w:cs="Times New Roman"/>
          <w:b/>
          <w:sz w:val="24"/>
          <w:szCs w:val="24"/>
        </w:rPr>
        <w:t>I</w:t>
      </w:r>
      <w:r w:rsidR="000360FE" w:rsidRPr="009935E0">
        <w:rPr>
          <w:rFonts w:ascii="Times New Roman" w:hAnsi="Times New Roman" w:cs="Times New Roman"/>
          <w:b/>
          <w:sz w:val="24"/>
          <w:szCs w:val="24"/>
        </w:rPr>
        <w:t>mplementacja dyrektywy SATCAB II</w:t>
      </w:r>
    </w:p>
    <w:p w14:paraId="36CB6B11" w14:textId="77777777" w:rsidR="00AB021D" w:rsidRPr="009935E0" w:rsidRDefault="00904B3E" w:rsidP="00483092">
      <w:pPr>
        <w:pStyle w:val="Akapitzlist"/>
        <w:numPr>
          <w:ilvl w:val="0"/>
          <w:numId w:val="3"/>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Dodatkowe usługi online</w:t>
      </w:r>
      <w:r w:rsidR="00315F85" w:rsidRPr="009935E0">
        <w:rPr>
          <w:rFonts w:ascii="Times New Roman" w:hAnsi="Times New Roman" w:cs="Times New Roman"/>
          <w:b/>
          <w:sz w:val="24"/>
          <w:szCs w:val="24"/>
        </w:rPr>
        <w:t xml:space="preserve"> (art. 2 pkt 1, art. 3 i </w:t>
      </w:r>
      <w:r w:rsidR="00AE1161" w:rsidRPr="009935E0">
        <w:rPr>
          <w:rFonts w:ascii="Times New Roman" w:hAnsi="Times New Roman" w:cs="Times New Roman"/>
          <w:b/>
          <w:sz w:val="24"/>
          <w:szCs w:val="24"/>
        </w:rPr>
        <w:t xml:space="preserve">art. </w:t>
      </w:r>
      <w:r w:rsidR="00315F85" w:rsidRPr="009935E0">
        <w:rPr>
          <w:rFonts w:ascii="Times New Roman" w:hAnsi="Times New Roman" w:cs="Times New Roman"/>
          <w:b/>
          <w:sz w:val="24"/>
          <w:szCs w:val="24"/>
        </w:rPr>
        <w:t>11 zdanie pierwsze dyrektywy</w:t>
      </w:r>
      <w:r w:rsidR="00B76BEB" w:rsidRPr="009935E0">
        <w:rPr>
          <w:rFonts w:ascii="Times New Roman" w:hAnsi="Times New Roman" w:cs="Times New Roman"/>
          <w:b/>
          <w:sz w:val="24"/>
          <w:szCs w:val="24"/>
        </w:rPr>
        <w:t>)</w:t>
      </w:r>
    </w:p>
    <w:p w14:paraId="34D734AE" w14:textId="77777777"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Rozwój technologii cyfrowych i Internetu zmienił sposób rozpowszechniania programów telewizyjnych i radiowych oraz sposób dostępu do takich programów. Coraz więcej użytkowników chciałoby posiadać dostęp do programów telewizyjnych i radiowych zarówno w czasie rzeczywistego nadawania, jak i na żądanie, za pośrednictwem tradycyjnych kanałów</w:t>
      </w:r>
      <w:r w:rsidR="00AE1161" w:rsidRPr="009935E0">
        <w:rPr>
          <w:rFonts w:ascii="Times New Roman" w:hAnsi="Times New Roman" w:cs="Times New Roman"/>
          <w:sz w:val="24"/>
          <w:szCs w:val="24"/>
        </w:rPr>
        <w:t>,</w:t>
      </w:r>
      <w:r w:rsidRPr="009935E0">
        <w:rPr>
          <w:rFonts w:ascii="Times New Roman" w:hAnsi="Times New Roman" w:cs="Times New Roman"/>
          <w:sz w:val="24"/>
          <w:szCs w:val="24"/>
        </w:rPr>
        <w:t xml:space="preserve"> takich jak przekaz satelitarny czy sieć kablowa, jak również w ramach usług online (motyw 2 dyrektywy). W związku z tym organizacje radiowe i telewizyjne oprócz nadawania własnych programów coraz częściej oferują „dodatkowe usługi online” związane z tymi programami, które je odpowiednio wzbogacają (zapowiedzi, uzupełnienia, zwiastuny, komentarze, recenzje, zdjęcia z planu itp.). Ponieważ te „dodatkowe usługi online” są świadczone w Internecie, a więc d</w:t>
      </w:r>
      <w:r w:rsidR="002047F9" w:rsidRPr="009935E0">
        <w:rPr>
          <w:rFonts w:ascii="Times New Roman" w:hAnsi="Times New Roman" w:cs="Times New Roman"/>
          <w:sz w:val="24"/>
          <w:szCs w:val="24"/>
        </w:rPr>
        <w:t>la</w:t>
      </w:r>
      <w:r w:rsidRPr="009935E0">
        <w:rPr>
          <w:rFonts w:ascii="Times New Roman" w:hAnsi="Times New Roman" w:cs="Times New Roman"/>
          <w:sz w:val="24"/>
          <w:szCs w:val="24"/>
        </w:rPr>
        <w:t xml:space="preserve"> nieograniczonego kręgu odbiorców w różnych państwach, aby ułatwić organizacjom radiowym i telewizyjnym nabywanie stosownych licencji lub ustalanie zakresu już nabytych praw dyrektywa nakazuje stosować fikcję prawną</w:t>
      </w:r>
      <w:r w:rsidR="00642EEC" w:rsidRPr="009935E0">
        <w:rPr>
          <w:rFonts w:ascii="Times New Roman" w:hAnsi="Times New Roman" w:cs="Times New Roman"/>
          <w:sz w:val="24"/>
          <w:szCs w:val="24"/>
        </w:rPr>
        <w:t>,</w:t>
      </w:r>
      <w:r w:rsidRPr="009935E0">
        <w:rPr>
          <w:rFonts w:ascii="Times New Roman" w:hAnsi="Times New Roman" w:cs="Times New Roman"/>
          <w:sz w:val="24"/>
          <w:szCs w:val="24"/>
        </w:rPr>
        <w:t xml:space="preserve"> przesądz</w:t>
      </w:r>
      <w:r w:rsidR="00642EEC" w:rsidRPr="009935E0">
        <w:rPr>
          <w:rFonts w:ascii="Times New Roman" w:hAnsi="Times New Roman" w:cs="Times New Roman"/>
          <w:sz w:val="24"/>
          <w:szCs w:val="24"/>
        </w:rPr>
        <w:t>ając</w:t>
      </w:r>
      <w:r w:rsidR="00BB3780" w:rsidRPr="009935E0">
        <w:rPr>
          <w:rFonts w:ascii="Times New Roman" w:hAnsi="Times New Roman" w:cs="Times New Roman"/>
          <w:sz w:val="24"/>
          <w:szCs w:val="24"/>
        </w:rPr>
        <w:t xml:space="preserve"> w art. 3 ust. 1</w:t>
      </w:r>
      <w:r w:rsidRPr="009935E0">
        <w:rPr>
          <w:rFonts w:ascii="Times New Roman" w:hAnsi="Times New Roman" w:cs="Times New Roman"/>
          <w:sz w:val="24"/>
          <w:szCs w:val="24"/>
        </w:rPr>
        <w:t xml:space="preserve">, że wykonywanie tych praw ma miejsce wyłącznie w państwie, w którym dana organizacja ma swoje główne przedsiębiorstwo. Jest to przykład stosowania tzw. zasady państwa pochodzenia, która w </w:t>
      </w:r>
      <w:r w:rsidRPr="009935E0">
        <w:rPr>
          <w:rFonts w:ascii="Times New Roman" w:hAnsi="Times New Roman" w:cs="Times New Roman"/>
          <w:sz w:val="24"/>
          <w:szCs w:val="24"/>
        </w:rPr>
        <w:lastRenderedPageBreak/>
        <w:t>aktualnym stanie prawnym została zastosowana do nadań satelitarnych</w:t>
      </w:r>
      <w:r w:rsidR="00BB3780" w:rsidRPr="009935E0">
        <w:rPr>
          <w:rFonts w:ascii="Times New Roman" w:hAnsi="Times New Roman" w:cs="Times New Roman"/>
          <w:sz w:val="24"/>
          <w:szCs w:val="24"/>
        </w:rPr>
        <w:t xml:space="preserve"> uregulowanych</w:t>
      </w:r>
      <w:r w:rsidRPr="009935E0">
        <w:rPr>
          <w:rFonts w:ascii="Times New Roman" w:hAnsi="Times New Roman" w:cs="Times New Roman"/>
          <w:sz w:val="24"/>
          <w:szCs w:val="24"/>
        </w:rPr>
        <w:t xml:space="preserve"> w art. 6</w:t>
      </w:r>
      <w:r w:rsidRPr="009935E0">
        <w:rPr>
          <w:rFonts w:ascii="Times New Roman" w:hAnsi="Times New Roman" w:cs="Times New Roman"/>
          <w:sz w:val="24"/>
          <w:szCs w:val="24"/>
          <w:vertAlign w:val="superscript"/>
        </w:rPr>
        <w:t>1</w:t>
      </w:r>
      <w:r w:rsidRPr="009935E0">
        <w:rPr>
          <w:rFonts w:ascii="Times New Roman" w:hAnsi="Times New Roman" w:cs="Times New Roman"/>
          <w:sz w:val="24"/>
          <w:szCs w:val="24"/>
        </w:rPr>
        <w:t xml:space="preserve"> ust. </w:t>
      </w:r>
      <w:r w:rsidR="00226759" w:rsidRPr="009935E0">
        <w:rPr>
          <w:rFonts w:ascii="Times New Roman" w:hAnsi="Times New Roman" w:cs="Times New Roman"/>
          <w:sz w:val="24"/>
          <w:szCs w:val="24"/>
        </w:rPr>
        <w:t xml:space="preserve">1 i </w:t>
      </w:r>
      <w:r w:rsidRPr="009935E0">
        <w:rPr>
          <w:rFonts w:ascii="Times New Roman" w:hAnsi="Times New Roman" w:cs="Times New Roman"/>
          <w:sz w:val="24"/>
          <w:szCs w:val="24"/>
        </w:rPr>
        <w:t>2 ustawy o prawie autorskim</w:t>
      </w:r>
      <w:r w:rsidR="008450B0" w:rsidRPr="009935E0">
        <w:rPr>
          <w:rFonts w:ascii="Times New Roman" w:hAnsi="Times New Roman" w:cs="Times New Roman"/>
          <w:sz w:val="24"/>
          <w:szCs w:val="24"/>
        </w:rPr>
        <w:t>,</w:t>
      </w:r>
      <w:r w:rsidRPr="009935E0">
        <w:rPr>
          <w:rFonts w:ascii="Times New Roman" w:hAnsi="Times New Roman" w:cs="Times New Roman"/>
          <w:sz w:val="24"/>
          <w:szCs w:val="24"/>
        </w:rPr>
        <w:t xml:space="preserve"> w ślad za dyrektywą 93/83/EWG, jest także uwzględniona w dyrektywie DSM (art. 5 ust. 3 i art. 9 ust. 2). W aktualnym stanie prawnym, w braku powyższej regulacji, organizacje radiowe i telewizyjne zmuszone są posiadać wymagane prawa dla wszystkich terytoriów, których dotyczy świadc</w:t>
      </w:r>
      <w:r w:rsidR="00510140" w:rsidRPr="009935E0">
        <w:rPr>
          <w:rFonts w:ascii="Times New Roman" w:hAnsi="Times New Roman" w:cs="Times New Roman"/>
          <w:sz w:val="24"/>
          <w:szCs w:val="24"/>
        </w:rPr>
        <w:t>zona usługa (motyw 3 dyrektywy</w:t>
      </w:r>
      <w:r w:rsidR="000B0483" w:rsidRPr="009935E0">
        <w:rPr>
          <w:rFonts w:ascii="Times New Roman" w:hAnsi="Times New Roman" w:cs="Times New Roman"/>
          <w:sz w:val="24"/>
          <w:szCs w:val="24"/>
        </w:rPr>
        <w:t xml:space="preserve"> SATCAB II</w:t>
      </w:r>
      <w:r w:rsidR="00510140" w:rsidRPr="009935E0">
        <w:rPr>
          <w:rFonts w:ascii="Times New Roman" w:hAnsi="Times New Roman" w:cs="Times New Roman"/>
          <w:sz w:val="24"/>
          <w:szCs w:val="24"/>
        </w:rPr>
        <w:t>).</w:t>
      </w:r>
    </w:p>
    <w:p w14:paraId="3F0CD852" w14:textId="77777777" w:rsidR="006F44FE"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Dyrektywa SATCAB II w art. 2 pkt 1 definiuje „dodatkową usługę online” jako „usługę online polegającą na przekazywaniu do powszechnego odbioru, przez organizację radiową lub telewizyjną lub pod jej kontrolą i na jej odpowiedzialność, programów telewizyjnych lub radiowych równocześnie z ich nadawaniem lub w określonym czasie po ich nadaniu przez tę organizację oraz na przekazywaniu do powszechnego odbioru wszelkich materiałów dodatkowych w stosunku do takiego nadania”. Chodzi zatem o usługi świadczone przez nadawców radiowych i telewizyjnych „online”, a więc drogą elektroniczną. Jak wskazuje się w motywach dyrektywy (motyw 8)</w:t>
      </w:r>
      <w:r w:rsidR="00181F8A" w:rsidRPr="009935E0">
        <w:rPr>
          <w:rFonts w:ascii="Times New Roman" w:hAnsi="Times New Roman" w:cs="Times New Roman"/>
          <w:sz w:val="24"/>
          <w:szCs w:val="24"/>
        </w:rPr>
        <w:t>,</w:t>
      </w:r>
      <w:r w:rsidRPr="009935E0">
        <w:rPr>
          <w:rFonts w:ascii="Times New Roman" w:hAnsi="Times New Roman" w:cs="Times New Roman"/>
          <w:sz w:val="24"/>
          <w:szCs w:val="24"/>
        </w:rPr>
        <w:t xml:space="preserve"> usługi te mają „wyraźny i zależny”</w:t>
      </w:r>
      <w:r w:rsidR="00F664BF" w:rsidRPr="009935E0">
        <w:rPr>
          <w:rFonts w:ascii="Times New Roman" w:hAnsi="Times New Roman" w:cs="Times New Roman"/>
          <w:sz w:val="24"/>
          <w:szCs w:val="24"/>
        </w:rPr>
        <w:t xml:space="preserve"> związek z nadawanymi </w:t>
      </w:r>
      <w:r w:rsidR="00C9418E" w:rsidRPr="009935E0">
        <w:rPr>
          <w:rFonts w:ascii="Times New Roman" w:hAnsi="Times New Roman" w:cs="Times New Roman"/>
          <w:sz w:val="24"/>
          <w:szCs w:val="24"/>
        </w:rPr>
        <w:t>programami</w:t>
      </w:r>
      <w:r w:rsidRPr="009935E0">
        <w:rPr>
          <w:rFonts w:ascii="Times New Roman" w:hAnsi="Times New Roman" w:cs="Times New Roman"/>
          <w:sz w:val="24"/>
          <w:szCs w:val="24"/>
        </w:rPr>
        <w:t xml:space="preserve"> i obejmują zar</w:t>
      </w:r>
      <w:r w:rsidR="00C9418E" w:rsidRPr="009935E0">
        <w:rPr>
          <w:rFonts w:ascii="Times New Roman" w:hAnsi="Times New Roman" w:cs="Times New Roman"/>
          <w:sz w:val="24"/>
          <w:szCs w:val="24"/>
        </w:rPr>
        <w:t>ówno usługi dostępu do programów</w:t>
      </w:r>
      <w:r w:rsidRPr="009935E0">
        <w:rPr>
          <w:rFonts w:ascii="Times New Roman" w:hAnsi="Times New Roman" w:cs="Times New Roman"/>
          <w:sz w:val="24"/>
          <w:szCs w:val="24"/>
        </w:rPr>
        <w:t xml:space="preserve"> w sposób ściśle linearny, tj. równocześnie z ich nadaniem, jak też u</w:t>
      </w:r>
      <w:r w:rsidR="00F664BF" w:rsidRPr="009935E0">
        <w:rPr>
          <w:rFonts w:ascii="Times New Roman" w:hAnsi="Times New Roman" w:cs="Times New Roman"/>
          <w:sz w:val="24"/>
          <w:szCs w:val="24"/>
        </w:rPr>
        <w:t>sługi dające dostęp d</w:t>
      </w:r>
      <w:r w:rsidR="00C9418E" w:rsidRPr="009935E0">
        <w:rPr>
          <w:rFonts w:ascii="Times New Roman" w:hAnsi="Times New Roman" w:cs="Times New Roman"/>
          <w:sz w:val="24"/>
          <w:szCs w:val="24"/>
        </w:rPr>
        <w:t>o programów</w:t>
      </w:r>
      <w:r w:rsidRPr="009935E0">
        <w:rPr>
          <w:rFonts w:ascii="Times New Roman" w:hAnsi="Times New Roman" w:cs="Times New Roman"/>
          <w:sz w:val="24"/>
          <w:szCs w:val="24"/>
        </w:rPr>
        <w:t xml:space="preserve"> nadanych wcześniej (tzw. „usługi </w:t>
      </w:r>
      <w:proofErr w:type="spellStart"/>
      <w:r w:rsidRPr="009935E0">
        <w:rPr>
          <w:rFonts w:ascii="Times New Roman" w:hAnsi="Times New Roman" w:cs="Times New Roman"/>
          <w:sz w:val="24"/>
          <w:szCs w:val="24"/>
        </w:rPr>
        <w:t>catch-up</w:t>
      </w:r>
      <w:proofErr w:type="spellEnd"/>
      <w:r w:rsidRPr="009935E0">
        <w:rPr>
          <w:rFonts w:ascii="Times New Roman" w:hAnsi="Times New Roman" w:cs="Times New Roman"/>
          <w:sz w:val="24"/>
          <w:szCs w:val="24"/>
        </w:rPr>
        <w:t>”). Dodatkowe usługi online obejmują także usługi dostępu do materiałów, które</w:t>
      </w:r>
      <w:r w:rsidR="0011390C"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0011390C" w:rsidRPr="009935E0">
        <w:rPr>
          <w:rFonts w:ascii="Times New Roman" w:hAnsi="Times New Roman" w:cs="Times New Roman"/>
          <w:sz w:val="24"/>
          <w:szCs w:val="24"/>
        </w:rPr>
        <w:t xml:space="preserve">stosownie do postanowień motywu 8 dyrektywy SATCAB II, </w:t>
      </w:r>
      <w:r w:rsidRPr="009935E0">
        <w:rPr>
          <w:rFonts w:ascii="Times New Roman" w:hAnsi="Times New Roman" w:cs="Times New Roman"/>
          <w:sz w:val="24"/>
          <w:szCs w:val="24"/>
        </w:rPr>
        <w:t xml:space="preserve">„wzbogacają lub w inny sposób poszerzają programy telewizyjne i radiowe”, m.in. przez zapowiedzi, poszerzanie, uzupełnianie </w:t>
      </w:r>
      <w:r w:rsidR="00C9418E" w:rsidRPr="009935E0">
        <w:rPr>
          <w:rFonts w:ascii="Times New Roman" w:hAnsi="Times New Roman" w:cs="Times New Roman"/>
          <w:sz w:val="24"/>
          <w:szCs w:val="24"/>
        </w:rPr>
        <w:t>lub ocenę treści danego programu</w:t>
      </w:r>
      <w:r w:rsidRPr="009935E0">
        <w:rPr>
          <w:rFonts w:ascii="Times New Roman" w:hAnsi="Times New Roman" w:cs="Times New Roman"/>
          <w:sz w:val="24"/>
          <w:szCs w:val="24"/>
        </w:rPr>
        <w:t xml:space="preserve">. Dyrektywa </w:t>
      </w:r>
      <w:r w:rsidR="007A621F"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nie wymaga przy tym, aby użytkownicy dodatkowej usługi online musieli mieć jednoczesny d</w:t>
      </w:r>
      <w:r w:rsidR="00C9418E" w:rsidRPr="009935E0">
        <w:rPr>
          <w:rFonts w:ascii="Times New Roman" w:hAnsi="Times New Roman" w:cs="Times New Roman"/>
          <w:sz w:val="24"/>
          <w:szCs w:val="24"/>
        </w:rPr>
        <w:t>ostęp do nadawanego programu</w:t>
      </w:r>
      <w:r w:rsidRPr="009935E0">
        <w:rPr>
          <w:rFonts w:ascii="Times New Roman" w:hAnsi="Times New Roman" w:cs="Times New Roman"/>
          <w:sz w:val="24"/>
          <w:szCs w:val="24"/>
        </w:rPr>
        <w:t xml:space="preserve">, np. </w:t>
      </w:r>
      <w:r w:rsidR="00040B56" w:rsidRPr="009935E0">
        <w:rPr>
          <w:rFonts w:ascii="Times New Roman" w:hAnsi="Times New Roman" w:cs="Times New Roman"/>
          <w:sz w:val="24"/>
          <w:szCs w:val="24"/>
        </w:rPr>
        <w:t>dzięki</w:t>
      </w:r>
      <w:r w:rsidRPr="009935E0">
        <w:rPr>
          <w:rFonts w:ascii="Times New Roman" w:hAnsi="Times New Roman" w:cs="Times New Roman"/>
          <w:sz w:val="24"/>
          <w:szCs w:val="24"/>
        </w:rPr>
        <w:t xml:space="preserve"> abonament</w:t>
      </w:r>
      <w:r w:rsidR="00040B56" w:rsidRPr="009935E0">
        <w:rPr>
          <w:rFonts w:ascii="Times New Roman" w:hAnsi="Times New Roman" w:cs="Times New Roman"/>
          <w:sz w:val="24"/>
          <w:szCs w:val="24"/>
        </w:rPr>
        <w:t>owi</w:t>
      </w:r>
      <w:r w:rsidRPr="009935E0">
        <w:rPr>
          <w:rFonts w:ascii="Times New Roman" w:hAnsi="Times New Roman" w:cs="Times New Roman"/>
          <w:sz w:val="24"/>
          <w:szCs w:val="24"/>
        </w:rPr>
        <w:t>. Pozostaje decyzją organizacji radiowej lub telewizyjnej, czy dostęp do obu kategorii usług będzie jednoczesny</w:t>
      </w:r>
      <w:r w:rsidR="005A59F8" w:rsidRPr="009935E0">
        <w:rPr>
          <w:rFonts w:ascii="Times New Roman" w:hAnsi="Times New Roman" w:cs="Times New Roman"/>
          <w:sz w:val="24"/>
          <w:szCs w:val="24"/>
        </w:rPr>
        <w:t>,</w:t>
      </w:r>
      <w:r w:rsidR="00891D7B" w:rsidRPr="009935E0">
        <w:rPr>
          <w:rFonts w:ascii="Times New Roman" w:hAnsi="Times New Roman" w:cs="Times New Roman"/>
          <w:sz w:val="24"/>
          <w:szCs w:val="24"/>
        </w:rPr>
        <w:t xml:space="preserve"> czy też niezależny.</w:t>
      </w:r>
    </w:p>
    <w:p w14:paraId="6AD384D9" w14:textId="77777777"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Omawiana regulacja nie dotyczy natomiast usług online świadczonych przez nadawców bez „wyraźnego i zależnego” związku z nadawanymi </w:t>
      </w:r>
      <w:r w:rsidR="00C9418E" w:rsidRPr="009935E0">
        <w:rPr>
          <w:rFonts w:ascii="Times New Roman" w:hAnsi="Times New Roman" w:cs="Times New Roman"/>
          <w:sz w:val="24"/>
          <w:szCs w:val="24"/>
        </w:rPr>
        <w:t>programami</w:t>
      </w:r>
      <w:r w:rsidRPr="009935E0">
        <w:rPr>
          <w:rFonts w:ascii="Times New Roman" w:hAnsi="Times New Roman" w:cs="Times New Roman"/>
          <w:sz w:val="24"/>
          <w:szCs w:val="24"/>
        </w:rPr>
        <w:t>, a więc jako działalność dodatkowa lub uzupełniająca działalność nadawczą, np. po</w:t>
      </w:r>
      <w:r w:rsidR="00F877F6" w:rsidRPr="009935E0">
        <w:rPr>
          <w:rFonts w:ascii="Times New Roman" w:hAnsi="Times New Roman" w:cs="Times New Roman"/>
          <w:sz w:val="24"/>
          <w:szCs w:val="24"/>
        </w:rPr>
        <w:t>legająca na</w:t>
      </w:r>
      <w:r w:rsidRPr="009935E0">
        <w:rPr>
          <w:rFonts w:ascii="Times New Roman" w:hAnsi="Times New Roman" w:cs="Times New Roman"/>
          <w:sz w:val="24"/>
          <w:szCs w:val="24"/>
        </w:rPr>
        <w:t xml:space="preserve"> udzielani</w:t>
      </w:r>
      <w:r w:rsidR="00F877F6" w:rsidRPr="009935E0">
        <w:rPr>
          <w:rFonts w:ascii="Times New Roman" w:hAnsi="Times New Roman" w:cs="Times New Roman"/>
          <w:sz w:val="24"/>
          <w:szCs w:val="24"/>
        </w:rPr>
        <w:t>u</w:t>
      </w:r>
      <w:r w:rsidRPr="009935E0">
        <w:rPr>
          <w:rFonts w:ascii="Times New Roman" w:hAnsi="Times New Roman" w:cs="Times New Roman"/>
          <w:sz w:val="24"/>
          <w:szCs w:val="24"/>
        </w:rPr>
        <w:t xml:space="preserve"> dostępu do określonych utworów (lub albumów) muzycznych lub audiowizualnych</w:t>
      </w:r>
      <w:r w:rsidR="007C0E83" w:rsidRPr="009935E0">
        <w:rPr>
          <w:rFonts w:ascii="Times New Roman" w:hAnsi="Times New Roman" w:cs="Times New Roman"/>
          <w:sz w:val="24"/>
          <w:szCs w:val="24"/>
        </w:rPr>
        <w:t xml:space="preserve">, </w:t>
      </w:r>
      <w:r w:rsidR="008E0B35" w:rsidRPr="009935E0">
        <w:rPr>
          <w:rFonts w:ascii="Times New Roman" w:hAnsi="Times New Roman" w:cs="Times New Roman"/>
          <w:sz w:val="24"/>
          <w:szCs w:val="24"/>
        </w:rPr>
        <w:t xml:space="preserve">w tym </w:t>
      </w:r>
      <w:r w:rsidR="006F44FE" w:rsidRPr="009935E0">
        <w:rPr>
          <w:rFonts w:ascii="Times New Roman" w:hAnsi="Times New Roman" w:cs="Times New Roman"/>
          <w:sz w:val="24"/>
          <w:szCs w:val="24"/>
        </w:rPr>
        <w:t xml:space="preserve">audiowizualnych usług medialnych na żądanie </w:t>
      </w:r>
      <w:r w:rsidR="007C0E83" w:rsidRPr="009935E0">
        <w:rPr>
          <w:rFonts w:ascii="Times New Roman" w:hAnsi="Times New Roman" w:cs="Times New Roman"/>
          <w:sz w:val="24"/>
          <w:szCs w:val="24"/>
        </w:rPr>
        <w:t>(</w:t>
      </w:r>
      <w:r w:rsidR="006F44FE" w:rsidRPr="009935E0">
        <w:rPr>
          <w:rFonts w:ascii="Times New Roman" w:hAnsi="Times New Roman" w:cs="Times New Roman"/>
          <w:i/>
          <w:sz w:val="24"/>
          <w:szCs w:val="24"/>
        </w:rPr>
        <w:t>ang. video-on-</w:t>
      </w:r>
      <w:proofErr w:type="spellStart"/>
      <w:r w:rsidR="006F44FE" w:rsidRPr="009935E0">
        <w:rPr>
          <w:rFonts w:ascii="Times New Roman" w:hAnsi="Times New Roman" w:cs="Times New Roman"/>
          <w:i/>
          <w:sz w:val="24"/>
          <w:szCs w:val="24"/>
        </w:rPr>
        <w:t>demand</w:t>
      </w:r>
      <w:proofErr w:type="spellEnd"/>
      <w:r w:rsidR="006F44FE" w:rsidRPr="009935E0">
        <w:rPr>
          <w:rFonts w:ascii="Times New Roman" w:hAnsi="Times New Roman" w:cs="Times New Roman"/>
          <w:i/>
          <w:sz w:val="24"/>
          <w:szCs w:val="24"/>
        </w:rPr>
        <w:t xml:space="preserve">, </w:t>
      </w:r>
      <w:r w:rsidRPr="009935E0">
        <w:rPr>
          <w:rFonts w:ascii="Times New Roman" w:hAnsi="Times New Roman" w:cs="Times New Roman"/>
          <w:sz w:val="24"/>
          <w:szCs w:val="24"/>
        </w:rPr>
        <w:t>VOD).</w:t>
      </w:r>
    </w:p>
    <w:p w14:paraId="4F9C6879" w14:textId="77777777"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motywach dyrektywy </w:t>
      </w:r>
      <w:r w:rsidR="007A621F"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 xml:space="preserve">wskazuje się, że aby ułatwić na gruncie prawa autorskiego świadczenie dodatkowych usług online, tj. ułatwić weryfikację lub pozyskiwanie niezbędnych na potrzeby tych usług praw autorskich i pokrewnych, należy ustanowić zasadę państwa pochodzenia w odniesieniu do wykonywania tych praw. Dotyczy to jednak wyłącznie </w:t>
      </w:r>
      <w:r w:rsidRPr="009935E0">
        <w:rPr>
          <w:rFonts w:ascii="Times New Roman" w:hAnsi="Times New Roman" w:cs="Times New Roman"/>
          <w:sz w:val="24"/>
          <w:szCs w:val="24"/>
        </w:rPr>
        <w:lastRenderedPageBreak/>
        <w:t xml:space="preserve">relacji między uprawnionymi a organizacjami radiowymi i telewizyjnymi, a nie dalszego rozpowszechniania lub zwielokrotniania tych treści przez inne podmioty (motyw 9). </w:t>
      </w:r>
    </w:p>
    <w:p w14:paraId="3E60DCAC" w14:textId="0CC5531E"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motyw</w:t>
      </w:r>
      <w:r w:rsidR="00D131B2" w:rsidRPr="009935E0">
        <w:rPr>
          <w:rFonts w:ascii="Times New Roman" w:hAnsi="Times New Roman" w:cs="Times New Roman"/>
          <w:sz w:val="24"/>
          <w:szCs w:val="24"/>
        </w:rPr>
        <w:t xml:space="preserve">ie 10 dyrektywy </w:t>
      </w:r>
      <w:r w:rsidR="007A621F"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 xml:space="preserve">wskazuje się, że z uwagi na specyfikę mechanizmów finansowania i licencjonowania niektórych utworów audiowizualnych, które często </w:t>
      </w:r>
      <w:r w:rsidR="00FD147F" w:rsidRPr="009935E0">
        <w:rPr>
          <w:rFonts w:ascii="Times New Roman" w:hAnsi="Times New Roman" w:cs="Times New Roman"/>
          <w:sz w:val="24"/>
          <w:szCs w:val="24"/>
        </w:rPr>
        <w:t xml:space="preserve">są </w:t>
      </w:r>
      <w:r w:rsidRPr="009935E0">
        <w:rPr>
          <w:rFonts w:ascii="Times New Roman" w:hAnsi="Times New Roman" w:cs="Times New Roman"/>
          <w:sz w:val="24"/>
          <w:szCs w:val="24"/>
        </w:rPr>
        <w:t>oparte na wyłącznej licencji terytorialnej, właściwe jest, aby w odniesieniu do programów telewizyjnych ograniczyć zakres stosowania zasady państwa pochodzenia</w:t>
      </w:r>
      <w:r w:rsidR="00F877F6" w:rsidRPr="009935E0">
        <w:rPr>
          <w:rFonts w:ascii="Times New Roman" w:hAnsi="Times New Roman" w:cs="Times New Roman"/>
          <w:sz w:val="24"/>
          <w:szCs w:val="24"/>
        </w:rPr>
        <w:t xml:space="preserve"> tylko</w:t>
      </w:r>
      <w:r w:rsidRPr="009935E0">
        <w:rPr>
          <w:rFonts w:ascii="Times New Roman" w:hAnsi="Times New Roman" w:cs="Times New Roman"/>
          <w:sz w:val="24"/>
          <w:szCs w:val="24"/>
        </w:rPr>
        <w:t xml:space="preserve"> do niektórych rodzajów </w:t>
      </w:r>
      <w:r w:rsidR="0013255E" w:rsidRPr="009935E0">
        <w:rPr>
          <w:rFonts w:ascii="Times New Roman" w:hAnsi="Times New Roman" w:cs="Times New Roman"/>
          <w:sz w:val="24"/>
          <w:szCs w:val="24"/>
        </w:rPr>
        <w:t>programów</w:t>
      </w:r>
      <w:r w:rsidR="0083053D" w:rsidRPr="009935E0">
        <w:rPr>
          <w:rFonts w:ascii="Times New Roman" w:hAnsi="Times New Roman" w:cs="Times New Roman"/>
          <w:sz w:val="24"/>
          <w:szCs w:val="24"/>
        </w:rPr>
        <w:t xml:space="preserve">. Do takich należą </w:t>
      </w:r>
      <w:r w:rsidR="0013255E" w:rsidRPr="009935E0">
        <w:rPr>
          <w:rFonts w:ascii="Times New Roman" w:hAnsi="Times New Roman" w:cs="Times New Roman"/>
          <w:sz w:val="24"/>
          <w:szCs w:val="24"/>
        </w:rPr>
        <w:t>programy</w:t>
      </w:r>
      <w:r w:rsidRPr="009935E0">
        <w:rPr>
          <w:rFonts w:ascii="Times New Roman" w:hAnsi="Times New Roman" w:cs="Times New Roman"/>
          <w:sz w:val="24"/>
          <w:szCs w:val="24"/>
        </w:rPr>
        <w:t xml:space="preserve"> informacyjne i publicystyczne oraz własne produkcje organizacji radiowej lub telewizyjnej, finansowane wyłącznie przez nią, ale także z funduszy pochodzących ze środków publicznych. Przez produkcje własne dyrektywa </w:t>
      </w:r>
      <w:r w:rsidR="007A621F"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 xml:space="preserve">rozumie produkcje realizowane przez organizację radiową lub telewizyjną z wykorzystaniem zasobów własnych, ale nie produkcje zlecone przez taką organizację producentom od niej niezależnym ani koprodukcje. Z tych samych powodów zasada państwa pochodzenia nie będzie mieć zastosowania do </w:t>
      </w:r>
      <w:r w:rsidR="00181F8A" w:rsidRPr="009935E0">
        <w:rPr>
          <w:rFonts w:ascii="Times New Roman" w:hAnsi="Times New Roman" w:cs="Times New Roman"/>
          <w:sz w:val="24"/>
          <w:szCs w:val="24"/>
        </w:rPr>
        <w:t>nadawania</w:t>
      </w:r>
      <w:r w:rsidRPr="009935E0">
        <w:rPr>
          <w:rFonts w:ascii="Times New Roman" w:hAnsi="Times New Roman" w:cs="Times New Roman"/>
          <w:sz w:val="24"/>
          <w:szCs w:val="24"/>
        </w:rPr>
        <w:t xml:space="preserve"> </w:t>
      </w:r>
      <w:r w:rsidR="00181F8A" w:rsidRPr="009935E0">
        <w:rPr>
          <w:rFonts w:ascii="Times New Roman" w:hAnsi="Times New Roman" w:cs="Times New Roman"/>
          <w:sz w:val="24"/>
          <w:szCs w:val="24"/>
        </w:rPr>
        <w:t xml:space="preserve">audycji telewizyjnych z </w:t>
      </w:r>
      <w:r w:rsidRPr="009935E0">
        <w:rPr>
          <w:rFonts w:ascii="Times New Roman" w:hAnsi="Times New Roman" w:cs="Times New Roman"/>
          <w:sz w:val="24"/>
          <w:szCs w:val="24"/>
        </w:rPr>
        <w:t>wydarzeń sportowych. Nie będzie mieć też zastosowania do udzielania licencji na produkcję własną organizacji radiowej lub telewizyjnej osobom trzecim, w tym innym organizacjom radiowym i telewizyjnym. Zasada państwa pochodzenia nie stanowi natomiast przeszkody dla uprawnionych oraz organizacji radiowych i telewizyjnych, aby stosować</w:t>
      </w:r>
      <w:r w:rsidR="002706D6" w:rsidRPr="009935E0">
        <w:rPr>
          <w:rFonts w:ascii="Times New Roman" w:hAnsi="Times New Roman" w:cs="Times New Roman"/>
          <w:sz w:val="24"/>
          <w:szCs w:val="24"/>
        </w:rPr>
        <w:t>, zgodnie z prawem Unii</w:t>
      </w:r>
      <w:r w:rsidR="00687FA3" w:rsidRPr="009935E0">
        <w:rPr>
          <w:rFonts w:ascii="Times New Roman" w:hAnsi="Times New Roman" w:cs="Times New Roman"/>
          <w:sz w:val="24"/>
          <w:szCs w:val="24"/>
        </w:rPr>
        <w:t xml:space="preserve"> Europejskiej</w:t>
      </w:r>
      <w:r w:rsidR="002706D6" w:rsidRPr="009935E0">
        <w:rPr>
          <w:rFonts w:ascii="Times New Roman" w:hAnsi="Times New Roman" w:cs="Times New Roman"/>
          <w:sz w:val="24"/>
          <w:szCs w:val="24"/>
        </w:rPr>
        <w:t>,</w:t>
      </w:r>
      <w:r w:rsidRPr="009935E0">
        <w:rPr>
          <w:rFonts w:ascii="Times New Roman" w:hAnsi="Times New Roman" w:cs="Times New Roman"/>
          <w:sz w:val="24"/>
          <w:szCs w:val="24"/>
        </w:rPr>
        <w:t xml:space="preserve"> określone ograniczenia korzystania z ich praw, </w:t>
      </w:r>
      <w:r w:rsidR="002706D6" w:rsidRPr="009935E0">
        <w:rPr>
          <w:rFonts w:ascii="Times New Roman" w:hAnsi="Times New Roman" w:cs="Times New Roman"/>
          <w:sz w:val="24"/>
          <w:szCs w:val="24"/>
        </w:rPr>
        <w:t>w tym</w:t>
      </w:r>
      <w:r w:rsidRPr="009935E0">
        <w:rPr>
          <w:rFonts w:ascii="Times New Roman" w:hAnsi="Times New Roman" w:cs="Times New Roman"/>
          <w:sz w:val="24"/>
          <w:szCs w:val="24"/>
        </w:rPr>
        <w:t xml:space="preserve"> ograniczenia terytorialne.</w:t>
      </w:r>
    </w:p>
    <w:p w14:paraId="24FE8FD9" w14:textId="09CC3C23"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Ponieważ na mocy dyrektywy uznaje się, że świadczenie dodatkowej usługi online, dostęp do niej lub korzystanie z niej następuje wyłącznie w państwie członkowskim, w którym organizacja radiowa lub telewizyjna posiada główne przedsiębiorstwo, podczas gdy faktycznie usługę tę można świadczyć transgranicznie w innych państwach członkowskich</w:t>
      </w:r>
      <w:r w:rsidR="00956A76" w:rsidRPr="009935E0">
        <w:rPr>
          <w:rFonts w:ascii="Times New Roman" w:hAnsi="Times New Roman" w:cs="Times New Roman"/>
          <w:sz w:val="24"/>
          <w:szCs w:val="24"/>
        </w:rPr>
        <w:t xml:space="preserve"> Unii Europejskiej</w:t>
      </w:r>
      <w:r w:rsidR="00E6459D" w:rsidRPr="009935E0">
        <w:rPr>
          <w:rFonts w:ascii="Times New Roman" w:hAnsi="Times New Roman" w:cs="Times New Roman"/>
          <w:sz w:val="24"/>
          <w:szCs w:val="24"/>
        </w:rPr>
        <w:t xml:space="preserve"> lub Europejskiego Obszaru Gospodarczego</w:t>
      </w:r>
      <w:r w:rsidRPr="009935E0">
        <w:rPr>
          <w:rFonts w:ascii="Times New Roman" w:hAnsi="Times New Roman" w:cs="Times New Roman"/>
          <w:sz w:val="24"/>
          <w:szCs w:val="24"/>
        </w:rPr>
        <w:t xml:space="preserve">, dyrektywa wskazuje, aby przy ustalaniu wynagrodzenia za dane prawa strony uwzględniały wszystkie aspekty dodatkowej usługi </w:t>
      </w:r>
      <w:r w:rsidR="00A133D5" w:rsidRPr="009935E0">
        <w:rPr>
          <w:rFonts w:ascii="Times New Roman" w:hAnsi="Times New Roman" w:cs="Times New Roman"/>
          <w:sz w:val="24"/>
          <w:szCs w:val="24"/>
        </w:rPr>
        <w:t>online, takie jak jej cechy (m.</w:t>
      </w:r>
      <w:r w:rsidRPr="009935E0">
        <w:rPr>
          <w:rFonts w:ascii="Times New Roman" w:hAnsi="Times New Roman" w:cs="Times New Roman"/>
          <w:sz w:val="24"/>
          <w:szCs w:val="24"/>
        </w:rPr>
        <w:t>in. czas dostępności w Internecie), odbiorców zarówno w państwie członkowskim, w którym organizacja radiowa lub telewizyjna posiada główne przedsiębiorstwo, jak i w innych państwach członkowskich, w których</w:t>
      </w:r>
      <w:r w:rsidR="00413AB1" w:rsidRPr="009935E0">
        <w:rPr>
          <w:rFonts w:ascii="Times New Roman" w:hAnsi="Times New Roman" w:cs="Times New Roman"/>
          <w:sz w:val="24"/>
          <w:szCs w:val="24"/>
        </w:rPr>
        <w:t xml:space="preserve"> jest</w:t>
      </w:r>
      <w:r w:rsidRPr="009935E0">
        <w:rPr>
          <w:rFonts w:ascii="Times New Roman" w:hAnsi="Times New Roman" w:cs="Times New Roman"/>
          <w:sz w:val="24"/>
          <w:szCs w:val="24"/>
        </w:rPr>
        <w:t xml:space="preserve"> uzyskiwany dostęp do dodatkowej usługi online</w:t>
      </w:r>
      <w:r w:rsidR="00B10399" w:rsidRPr="009935E0">
        <w:rPr>
          <w:rFonts w:ascii="Times New Roman" w:hAnsi="Times New Roman" w:cs="Times New Roman"/>
          <w:sz w:val="24"/>
          <w:szCs w:val="24"/>
        </w:rPr>
        <w:t>,</w:t>
      </w:r>
      <w:r w:rsidRPr="009935E0">
        <w:rPr>
          <w:rFonts w:ascii="Times New Roman" w:hAnsi="Times New Roman" w:cs="Times New Roman"/>
          <w:sz w:val="24"/>
          <w:szCs w:val="24"/>
        </w:rPr>
        <w:t xml:space="preserve"> oraz </w:t>
      </w:r>
      <w:r w:rsidR="007A621F" w:rsidRPr="009935E0">
        <w:rPr>
          <w:rFonts w:ascii="Times New Roman" w:hAnsi="Times New Roman" w:cs="Times New Roman"/>
          <w:sz w:val="24"/>
          <w:szCs w:val="24"/>
        </w:rPr>
        <w:t xml:space="preserve">w których są </w:t>
      </w:r>
      <w:r w:rsidRPr="009935E0">
        <w:rPr>
          <w:rFonts w:ascii="Times New Roman" w:hAnsi="Times New Roman" w:cs="Times New Roman"/>
          <w:sz w:val="24"/>
          <w:szCs w:val="24"/>
        </w:rPr>
        <w:t xml:space="preserve">udostępniane wersje językowe. Dyrektywa </w:t>
      </w:r>
      <w:r w:rsidR="007A621F"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dopuszcza jednak stosowanie określonych metod ustalania wysokości wynagrodzenia</w:t>
      </w:r>
      <w:r w:rsidR="00380434" w:rsidRPr="009935E0">
        <w:rPr>
          <w:rFonts w:ascii="Times New Roman" w:hAnsi="Times New Roman" w:cs="Times New Roman"/>
          <w:sz w:val="24"/>
          <w:szCs w:val="24"/>
        </w:rPr>
        <w:t xml:space="preserve"> należnego z tytułu praw podlegających zasadzie państwa pochodzenia</w:t>
      </w:r>
      <w:r w:rsidRPr="009935E0">
        <w:rPr>
          <w:rFonts w:ascii="Times New Roman" w:hAnsi="Times New Roman" w:cs="Times New Roman"/>
          <w:sz w:val="24"/>
          <w:szCs w:val="24"/>
        </w:rPr>
        <w:t>, np. w oparciu</w:t>
      </w:r>
      <w:r w:rsidR="00D50416" w:rsidRPr="009935E0">
        <w:rPr>
          <w:rFonts w:ascii="Times New Roman" w:hAnsi="Times New Roman" w:cs="Times New Roman"/>
          <w:sz w:val="24"/>
          <w:szCs w:val="24"/>
        </w:rPr>
        <w:t xml:space="preserve"> o</w:t>
      </w:r>
      <w:r w:rsidRPr="009935E0">
        <w:rPr>
          <w:rFonts w:ascii="Times New Roman" w:hAnsi="Times New Roman" w:cs="Times New Roman"/>
          <w:sz w:val="24"/>
          <w:szCs w:val="24"/>
        </w:rPr>
        <w:t xml:space="preserve"> </w:t>
      </w:r>
      <w:r w:rsidR="00380434" w:rsidRPr="009935E0">
        <w:rPr>
          <w:rFonts w:ascii="Times New Roman" w:hAnsi="Times New Roman" w:cs="Times New Roman"/>
          <w:sz w:val="24"/>
          <w:szCs w:val="24"/>
        </w:rPr>
        <w:t>metody bazujące na</w:t>
      </w:r>
      <w:r w:rsidRPr="009935E0">
        <w:rPr>
          <w:rFonts w:ascii="Times New Roman" w:hAnsi="Times New Roman" w:cs="Times New Roman"/>
          <w:sz w:val="24"/>
          <w:szCs w:val="24"/>
        </w:rPr>
        <w:t xml:space="preserve"> przychod</w:t>
      </w:r>
      <w:r w:rsidR="00380434" w:rsidRPr="009935E0">
        <w:rPr>
          <w:rFonts w:ascii="Times New Roman" w:hAnsi="Times New Roman" w:cs="Times New Roman"/>
          <w:sz w:val="24"/>
          <w:szCs w:val="24"/>
        </w:rPr>
        <w:t>ach</w:t>
      </w:r>
      <w:r w:rsidRPr="009935E0">
        <w:rPr>
          <w:rFonts w:ascii="Times New Roman" w:hAnsi="Times New Roman" w:cs="Times New Roman"/>
          <w:sz w:val="24"/>
          <w:szCs w:val="24"/>
        </w:rPr>
        <w:t xml:space="preserve"> organizacji radiowej lub telewizyjnej</w:t>
      </w:r>
      <w:r w:rsidR="00380434" w:rsidRPr="009935E0">
        <w:rPr>
          <w:rFonts w:ascii="Times New Roman" w:hAnsi="Times New Roman" w:cs="Times New Roman"/>
          <w:sz w:val="24"/>
          <w:szCs w:val="24"/>
        </w:rPr>
        <w:t xml:space="preserve"> uzyskanych</w:t>
      </w:r>
      <w:r w:rsidR="00E6459D" w:rsidRPr="009935E0">
        <w:rPr>
          <w:rFonts w:ascii="Times New Roman" w:hAnsi="Times New Roman" w:cs="Times New Roman"/>
          <w:sz w:val="24"/>
          <w:szCs w:val="24"/>
        </w:rPr>
        <w:t xml:space="preserve"> z usługi online (motyw 12)</w:t>
      </w:r>
      <w:r w:rsidRPr="009935E0">
        <w:rPr>
          <w:rFonts w:ascii="Times New Roman" w:hAnsi="Times New Roman" w:cs="Times New Roman"/>
          <w:sz w:val="24"/>
          <w:szCs w:val="24"/>
        </w:rPr>
        <w:t>.</w:t>
      </w:r>
    </w:p>
    <w:p w14:paraId="54E137BF" w14:textId="12FC4ED5"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 xml:space="preserve">W dyrektywie </w:t>
      </w:r>
      <w:r w:rsidR="007A621F"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omawiana problematyka została uregulow</w:t>
      </w:r>
      <w:r w:rsidR="00810979" w:rsidRPr="009935E0">
        <w:rPr>
          <w:rFonts w:ascii="Times New Roman" w:hAnsi="Times New Roman" w:cs="Times New Roman"/>
          <w:sz w:val="24"/>
          <w:szCs w:val="24"/>
        </w:rPr>
        <w:t>ana w art. 3</w:t>
      </w:r>
      <w:r w:rsidRPr="009935E0">
        <w:rPr>
          <w:rFonts w:ascii="Times New Roman" w:hAnsi="Times New Roman" w:cs="Times New Roman"/>
          <w:sz w:val="24"/>
          <w:szCs w:val="24"/>
        </w:rPr>
        <w:t xml:space="preserve">. Definicja „dodatkowych usług online” </w:t>
      </w:r>
      <w:r w:rsidR="00C84549" w:rsidRPr="009935E0">
        <w:rPr>
          <w:rFonts w:ascii="Times New Roman" w:hAnsi="Times New Roman" w:cs="Times New Roman"/>
          <w:sz w:val="24"/>
          <w:szCs w:val="24"/>
        </w:rPr>
        <w:t xml:space="preserve">jest </w:t>
      </w:r>
      <w:r w:rsidRPr="009935E0">
        <w:rPr>
          <w:rFonts w:ascii="Times New Roman" w:hAnsi="Times New Roman" w:cs="Times New Roman"/>
          <w:sz w:val="24"/>
          <w:szCs w:val="24"/>
        </w:rPr>
        <w:t xml:space="preserve">zawarta w art. 2 pkt 1, </w:t>
      </w:r>
      <w:r w:rsidR="00D131B2" w:rsidRPr="009935E0">
        <w:rPr>
          <w:rFonts w:ascii="Times New Roman" w:hAnsi="Times New Roman" w:cs="Times New Roman"/>
          <w:sz w:val="24"/>
          <w:szCs w:val="24"/>
        </w:rPr>
        <w:t>natomiast</w:t>
      </w:r>
      <w:r w:rsidRPr="009935E0">
        <w:rPr>
          <w:rFonts w:ascii="Times New Roman" w:hAnsi="Times New Roman" w:cs="Times New Roman"/>
          <w:sz w:val="24"/>
          <w:szCs w:val="24"/>
        </w:rPr>
        <w:t xml:space="preserve"> odpowiedni przepis przejściowy </w:t>
      </w:r>
      <w:r w:rsidR="00B10399"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w art. 11. </w:t>
      </w:r>
    </w:p>
    <w:p w14:paraId="5F2471E7" w14:textId="444E570C"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polskim systemie prawa autorskiego nie istnieje obecnie regulacja, która w sposób szczególny określałaby status prawny dodatkowych usług online, definiowała je</w:t>
      </w:r>
      <w:r w:rsidR="00C9418E" w:rsidRPr="009935E0">
        <w:rPr>
          <w:rFonts w:ascii="Times New Roman" w:hAnsi="Times New Roman" w:cs="Times New Roman"/>
          <w:sz w:val="24"/>
          <w:szCs w:val="24"/>
        </w:rPr>
        <w:t>,</w:t>
      </w:r>
      <w:r w:rsidRPr="009935E0">
        <w:rPr>
          <w:rFonts w:ascii="Times New Roman" w:hAnsi="Times New Roman" w:cs="Times New Roman"/>
          <w:sz w:val="24"/>
          <w:szCs w:val="24"/>
        </w:rPr>
        <w:t xml:space="preserve"> ani tym bardziej wskazywała prawo państwa pochodzenia jako właściwe dla wykonywania praw autorskich i praw pokrewnych w tym zakresie. Projektowana ustawa przewiduje zatem wprowadzenie w art. 6 ust. 1 ustawy o prawie autorskim (słowniczek terminów ustawowych) definicji </w:t>
      </w:r>
      <w:r w:rsidR="00B62019" w:rsidRPr="009935E0">
        <w:rPr>
          <w:rFonts w:ascii="Times New Roman" w:hAnsi="Times New Roman" w:cs="Times New Roman"/>
          <w:sz w:val="24"/>
          <w:szCs w:val="24"/>
        </w:rPr>
        <w:t>„</w:t>
      </w:r>
      <w:r w:rsidRPr="009935E0">
        <w:rPr>
          <w:rFonts w:ascii="Times New Roman" w:hAnsi="Times New Roman" w:cs="Times New Roman"/>
          <w:sz w:val="24"/>
          <w:szCs w:val="24"/>
        </w:rPr>
        <w:t>dodatkowej usługi online</w:t>
      </w:r>
      <w:r w:rsidR="00B62019" w:rsidRPr="009935E0">
        <w:rPr>
          <w:rFonts w:ascii="Times New Roman" w:hAnsi="Times New Roman" w:cs="Times New Roman"/>
          <w:sz w:val="24"/>
          <w:szCs w:val="24"/>
        </w:rPr>
        <w:t>”</w:t>
      </w:r>
      <w:r w:rsidRPr="009935E0">
        <w:rPr>
          <w:rFonts w:ascii="Times New Roman" w:hAnsi="Times New Roman" w:cs="Times New Roman"/>
          <w:sz w:val="24"/>
          <w:szCs w:val="24"/>
        </w:rPr>
        <w:t xml:space="preserve"> (nowo dodawany pkt 2</w:t>
      </w:r>
      <w:r w:rsidR="001D051F" w:rsidRPr="009935E0">
        <w:rPr>
          <w:rFonts w:ascii="Times New Roman" w:hAnsi="Times New Roman" w:cs="Times New Roman"/>
          <w:sz w:val="24"/>
          <w:szCs w:val="24"/>
        </w:rPr>
        <w:t>6</w:t>
      </w:r>
      <w:r w:rsidRPr="009935E0">
        <w:rPr>
          <w:rFonts w:ascii="Times New Roman" w:hAnsi="Times New Roman" w:cs="Times New Roman"/>
          <w:sz w:val="24"/>
          <w:szCs w:val="24"/>
        </w:rPr>
        <w:t>) oraz stosown</w:t>
      </w:r>
      <w:r w:rsidR="004F4647" w:rsidRPr="009935E0">
        <w:rPr>
          <w:rFonts w:ascii="Times New Roman" w:hAnsi="Times New Roman" w:cs="Times New Roman"/>
          <w:sz w:val="24"/>
          <w:szCs w:val="24"/>
        </w:rPr>
        <w:t>ych</w:t>
      </w:r>
      <w:r w:rsidRPr="009935E0">
        <w:rPr>
          <w:rFonts w:ascii="Times New Roman" w:hAnsi="Times New Roman" w:cs="Times New Roman"/>
          <w:sz w:val="24"/>
          <w:szCs w:val="24"/>
        </w:rPr>
        <w:t xml:space="preserve"> regulacji w</w:t>
      </w:r>
      <w:r w:rsidR="00D76A77">
        <w:rPr>
          <w:rFonts w:ascii="Times New Roman" w:hAnsi="Times New Roman" w:cs="Times New Roman"/>
          <w:sz w:val="24"/>
          <w:szCs w:val="24"/>
        </w:rPr>
        <w:t> </w:t>
      </w:r>
      <w:r w:rsidRPr="009935E0">
        <w:rPr>
          <w:rFonts w:ascii="Times New Roman" w:hAnsi="Times New Roman" w:cs="Times New Roman"/>
          <w:sz w:val="24"/>
          <w:szCs w:val="24"/>
        </w:rPr>
        <w:t>art.</w:t>
      </w:r>
      <w:r w:rsidR="00D76A77">
        <w:rPr>
          <w:rFonts w:ascii="Times New Roman" w:hAnsi="Times New Roman" w:cs="Times New Roman"/>
          <w:sz w:val="24"/>
          <w:szCs w:val="24"/>
        </w:rPr>
        <w:t> </w:t>
      </w:r>
      <w:r w:rsidRPr="009935E0">
        <w:rPr>
          <w:rFonts w:ascii="Times New Roman" w:hAnsi="Times New Roman" w:cs="Times New Roman"/>
          <w:sz w:val="24"/>
          <w:szCs w:val="24"/>
        </w:rPr>
        <w:t>6</w:t>
      </w:r>
      <w:r w:rsidRPr="009935E0">
        <w:rPr>
          <w:rFonts w:ascii="Times New Roman" w:hAnsi="Times New Roman" w:cs="Times New Roman"/>
          <w:sz w:val="24"/>
          <w:szCs w:val="24"/>
          <w:vertAlign w:val="superscript"/>
        </w:rPr>
        <w:t>2</w:t>
      </w:r>
      <w:r w:rsidR="004F4647" w:rsidRPr="009935E0">
        <w:rPr>
          <w:rFonts w:ascii="Times New Roman" w:hAnsi="Times New Roman" w:cs="Times New Roman"/>
          <w:sz w:val="24"/>
          <w:szCs w:val="24"/>
        </w:rPr>
        <w:t xml:space="preserve"> oraz </w:t>
      </w:r>
      <w:r w:rsidR="007A621F" w:rsidRPr="009935E0">
        <w:rPr>
          <w:rFonts w:ascii="Times New Roman" w:hAnsi="Times New Roman" w:cs="Times New Roman"/>
          <w:sz w:val="24"/>
          <w:szCs w:val="24"/>
        </w:rPr>
        <w:t xml:space="preserve">art. </w:t>
      </w:r>
      <w:r w:rsidR="004F4647" w:rsidRPr="009935E0">
        <w:rPr>
          <w:rFonts w:ascii="Times New Roman" w:hAnsi="Times New Roman" w:cs="Times New Roman"/>
          <w:sz w:val="24"/>
          <w:szCs w:val="24"/>
        </w:rPr>
        <w:t>6</w:t>
      </w:r>
      <w:r w:rsidR="004F4647" w:rsidRPr="009935E0">
        <w:rPr>
          <w:rFonts w:ascii="Times New Roman" w:hAnsi="Times New Roman" w:cs="Times New Roman"/>
          <w:sz w:val="24"/>
          <w:szCs w:val="24"/>
          <w:vertAlign w:val="superscript"/>
        </w:rPr>
        <w:t>3</w:t>
      </w:r>
      <w:r w:rsidRPr="009935E0">
        <w:rPr>
          <w:rFonts w:ascii="Times New Roman" w:hAnsi="Times New Roman" w:cs="Times New Roman"/>
          <w:sz w:val="24"/>
          <w:szCs w:val="24"/>
        </w:rPr>
        <w:t xml:space="preserve">. Definicja </w:t>
      </w:r>
      <w:r w:rsidR="00C84549" w:rsidRPr="009935E0">
        <w:rPr>
          <w:rFonts w:ascii="Times New Roman" w:hAnsi="Times New Roman" w:cs="Times New Roman"/>
          <w:sz w:val="24"/>
          <w:szCs w:val="24"/>
        </w:rPr>
        <w:t xml:space="preserve">jest </w:t>
      </w:r>
      <w:r w:rsidRPr="009935E0">
        <w:rPr>
          <w:rFonts w:ascii="Times New Roman" w:hAnsi="Times New Roman" w:cs="Times New Roman"/>
          <w:sz w:val="24"/>
          <w:szCs w:val="24"/>
        </w:rPr>
        <w:t>oparta na definicji</w:t>
      </w:r>
      <w:r w:rsidR="009F6735" w:rsidRPr="009935E0">
        <w:rPr>
          <w:rFonts w:ascii="Times New Roman" w:hAnsi="Times New Roman" w:cs="Times New Roman"/>
          <w:sz w:val="24"/>
          <w:szCs w:val="24"/>
        </w:rPr>
        <w:t xml:space="preserve"> zawartej w dyrektywie</w:t>
      </w:r>
      <w:r w:rsidRPr="009935E0">
        <w:rPr>
          <w:rFonts w:ascii="Times New Roman" w:hAnsi="Times New Roman" w:cs="Times New Roman"/>
          <w:sz w:val="24"/>
          <w:szCs w:val="24"/>
        </w:rPr>
        <w:t xml:space="preserve">, przy czym w celu określenia znaczenia samego terminu „usługa online” odwołuje się do </w:t>
      </w:r>
      <w:r w:rsidR="00A13078" w:rsidRPr="009935E0">
        <w:rPr>
          <w:rFonts w:ascii="Times New Roman" w:hAnsi="Times New Roman" w:cs="Times New Roman"/>
          <w:sz w:val="24"/>
          <w:szCs w:val="24"/>
        </w:rPr>
        <w:t>usługi dostarczanej w</w:t>
      </w:r>
      <w:r w:rsidR="00D66F47" w:rsidRPr="009935E0">
        <w:rPr>
          <w:rFonts w:ascii="Times New Roman" w:hAnsi="Times New Roman" w:cs="Times New Roman"/>
          <w:sz w:val="24"/>
          <w:szCs w:val="24"/>
        </w:rPr>
        <w:t xml:space="preserve"> „systemie teleinformatycznym” zdefiniowanym w art. 2 pkt 3 ustawy</w:t>
      </w:r>
      <w:r w:rsidRPr="009935E0">
        <w:rPr>
          <w:rFonts w:ascii="Times New Roman" w:hAnsi="Times New Roman" w:cs="Times New Roman"/>
          <w:sz w:val="24"/>
          <w:szCs w:val="24"/>
        </w:rPr>
        <w:t xml:space="preserve"> z dnia 18 lipca 2002 r. o świadczeniu usług drogą elektroniczną</w:t>
      </w:r>
      <w:r w:rsidR="00D131B2" w:rsidRPr="009935E0">
        <w:rPr>
          <w:rFonts w:ascii="Times New Roman" w:hAnsi="Times New Roman" w:cs="Times New Roman"/>
          <w:sz w:val="24"/>
          <w:szCs w:val="24"/>
        </w:rPr>
        <w:t xml:space="preserve"> (Dz. U. z 2020 r. poz. 344)</w:t>
      </w:r>
      <w:r w:rsidR="00D66F47"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Należy zwrócić uwagę, że dodatkowa usługa online może być świadczona wyłącznie przez organizację radiową lub telewizyjną, ewentualnie „pod jej kontrolą i na jej odpowiedzialność”. Może ona obejmować wyłącznie </w:t>
      </w:r>
      <w:r w:rsidR="004F4647" w:rsidRPr="009935E0">
        <w:rPr>
          <w:rFonts w:ascii="Times New Roman" w:hAnsi="Times New Roman" w:cs="Times New Roman"/>
          <w:sz w:val="24"/>
          <w:szCs w:val="24"/>
        </w:rPr>
        <w:t xml:space="preserve">audycje </w:t>
      </w:r>
      <w:r w:rsidRPr="009935E0">
        <w:rPr>
          <w:rFonts w:ascii="Times New Roman" w:hAnsi="Times New Roman" w:cs="Times New Roman"/>
          <w:sz w:val="24"/>
          <w:szCs w:val="24"/>
        </w:rPr>
        <w:t xml:space="preserve">radiowe lub telewizyjne </w:t>
      </w:r>
      <w:r w:rsidR="000D1A03" w:rsidRPr="009935E0">
        <w:rPr>
          <w:rFonts w:ascii="Times New Roman" w:hAnsi="Times New Roman" w:cs="Times New Roman"/>
          <w:sz w:val="24"/>
          <w:szCs w:val="24"/>
        </w:rPr>
        <w:t xml:space="preserve">(dyrektywa </w:t>
      </w:r>
      <w:r w:rsidR="007A621F" w:rsidRPr="009935E0">
        <w:rPr>
          <w:rFonts w:ascii="Times New Roman" w:hAnsi="Times New Roman" w:cs="Times New Roman"/>
          <w:sz w:val="24"/>
          <w:szCs w:val="24"/>
        </w:rPr>
        <w:t xml:space="preserve">SATCAB II </w:t>
      </w:r>
      <w:r w:rsidR="000D1A03" w:rsidRPr="009935E0">
        <w:rPr>
          <w:rFonts w:ascii="Times New Roman" w:hAnsi="Times New Roman" w:cs="Times New Roman"/>
          <w:sz w:val="24"/>
          <w:szCs w:val="24"/>
        </w:rPr>
        <w:t>posługuje się terminem „program”, ale właściwą transpozycją jest termin „audycja”</w:t>
      </w:r>
      <w:r w:rsidR="00D66F47" w:rsidRPr="009935E0">
        <w:rPr>
          <w:rFonts w:ascii="Times New Roman" w:hAnsi="Times New Roman" w:cs="Times New Roman"/>
          <w:sz w:val="24"/>
          <w:szCs w:val="24"/>
        </w:rPr>
        <w:t xml:space="preserve">; </w:t>
      </w:r>
      <w:r w:rsidR="006443BA" w:rsidRPr="009935E0">
        <w:rPr>
          <w:rFonts w:ascii="Times New Roman" w:hAnsi="Times New Roman" w:cs="Times New Roman"/>
          <w:sz w:val="24"/>
          <w:szCs w:val="24"/>
        </w:rPr>
        <w:t xml:space="preserve">w polskim prawie </w:t>
      </w:r>
      <w:r w:rsidR="00D66F47" w:rsidRPr="009935E0">
        <w:rPr>
          <w:rFonts w:ascii="Times New Roman" w:hAnsi="Times New Roman" w:cs="Times New Roman"/>
          <w:sz w:val="24"/>
          <w:szCs w:val="24"/>
        </w:rPr>
        <w:t>„</w:t>
      </w:r>
      <w:r w:rsidR="006443BA" w:rsidRPr="009935E0">
        <w:rPr>
          <w:rFonts w:ascii="Times New Roman" w:hAnsi="Times New Roman" w:cs="Times New Roman"/>
          <w:sz w:val="24"/>
          <w:szCs w:val="24"/>
        </w:rPr>
        <w:t>program</w:t>
      </w:r>
      <w:r w:rsidR="00D66F47" w:rsidRPr="009935E0">
        <w:rPr>
          <w:rFonts w:ascii="Times New Roman" w:hAnsi="Times New Roman" w:cs="Times New Roman"/>
          <w:sz w:val="24"/>
          <w:szCs w:val="24"/>
        </w:rPr>
        <w:t>”</w:t>
      </w:r>
      <w:r w:rsidR="006443BA" w:rsidRPr="009935E0">
        <w:rPr>
          <w:rFonts w:ascii="Times New Roman" w:hAnsi="Times New Roman" w:cs="Times New Roman"/>
          <w:sz w:val="24"/>
          <w:szCs w:val="24"/>
        </w:rPr>
        <w:t xml:space="preserve"> to „uporządkowany zestaw audycji” – zob. art. 4 pkt 2 i 6 ustawy z dnia 29 grudnia 1992 r. o radiofonii i telewizji </w:t>
      </w:r>
      <w:r w:rsidR="001C17BE" w:rsidRPr="009935E0">
        <w:rPr>
          <w:rFonts w:ascii="Times New Roman" w:hAnsi="Times New Roman" w:cs="Times New Roman"/>
          <w:sz w:val="24"/>
          <w:szCs w:val="24"/>
        </w:rPr>
        <w:t>(</w:t>
      </w:r>
      <w:r w:rsidR="006443BA" w:rsidRPr="009935E0">
        <w:rPr>
          <w:rFonts w:ascii="Times New Roman" w:hAnsi="Times New Roman" w:cs="Times New Roman"/>
          <w:sz w:val="24"/>
          <w:szCs w:val="24"/>
        </w:rPr>
        <w:t>Dz. U. z 2022 r. poz. 1722</w:t>
      </w:r>
      <w:r w:rsidR="007A621F" w:rsidRPr="009935E0">
        <w:rPr>
          <w:rFonts w:ascii="Times New Roman" w:hAnsi="Times New Roman" w:cs="Times New Roman"/>
          <w:sz w:val="24"/>
          <w:szCs w:val="24"/>
        </w:rPr>
        <w:t xml:space="preserve">, z </w:t>
      </w:r>
      <w:proofErr w:type="spellStart"/>
      <w:r w:rsidR="007A621F" w:rsidRPr="009935E0">
        <w:rPr>
          <w:rFonts w:ascii="Times New Roman" w:hAnsi="Times New Roman" w:cs="Times New Roman"/>
          <w:sz w:val="24"/>
          <w:szCs w:val="24"/>
        </w:rPr>
        <w:t>późn</w:t>
      </w:r>
      <w:proofErr w:type="spellEnd"/>
      <w:r w:rsidR="007A621F" w:rsidRPr="009935E0">
        <w:rPr>
          <w:rFonts w:ascii="Times New Roman" w:hAnsi="Times New Roman" w:cs="Times New Roman"/>
          <w:sz w:val="24"/>
          <w:szCs w:val="24"/>
        </w:rPr>
        <w:t>. zm.</w:t>
      </w:r>
      <w:r w:rsidR="001C17BE" w:rsidRPr="009935E0">
        <w:rPr>
          <w:rFonts w:ascii="Times New Roman" w:hAnsi="Times New Roman" w:cs="Times New Roman"/>
          <w:sz w:val="24"/>
          <w:szCs w:val="24"/>
        </w:rPr>
        <w:t>)</w:t>
      </w:r>
      <w:r w:rsidR="006443BA"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nadawane równocześnie lub nadane uprzednio oraz „materiały dodatkowe” zdefiniowane zgodnie z motywem 8 dyrektywy jako „poszerzające” nadawane </w:t>
      </w:r>
      <w:r w:rsidR="004F4647" w:rsidRPr="009935E0">
        <w:rPr>
          <w:rFonts w:ascii="Times New Roman" w:hAnsi="Times New Roman" w:cs="Times New Roman"/>
          <w:sz w:val="24"/>
          <w:szCs w:val="24"/>
        </w:rPr>
        <w:t xml:space="preserve">audycje </w:t>
      </w:r>
      <w:r w:rsidRPr="009935E0">
        <w:rPr>
          <w:rFonts w:ascii="Times New Roman" w:hAnsi="Times New Roman" w:cs="Times New Roman"/>
          <w:sz w:val="24"/>
          <w:szCs w:val="24"/>
        </w:rPr>
        <w:t>(zapowiedzi, uz</w:t>
      </w:r>
      <w:r w:rsidR="000D1A03" w:rsidRPr="009935E0">
        <w:rPr>
          <w:rFonts w:ascii="Times New Roman" w:hAnsi="Times New Roman" w:cs="Times New Roman"/>
          <w:sz w:val="24"/>
          <w:szCs w:val="24"/>
        </w:rPr>
        <w:t xml:space="preserve">upełnianie, ocena treści itd.). </w:t>
      </w:r>
    </w:p>
    <w:p w14:paraId="14328AC1" w14:textId="5E2CD0C5" w:rsidR="00AB021D"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 kolei w dodawanym art. 6</w:t>
      </w:r>
      <w:r w:rsidRPr="009935E0">
        <w:rPr>
          <w:rFonts w:ascii="Times New Roman" w:hAnsi="Times New Roman" w:cs="Times New Roman"/>
          <w:sz w:val="24"/>
          <w:szCs w:val="24"/>
          <w:vertAlign w:val="superscript"/>
        </w:rPr>
        <w:t>2</w:t>
      </w:r>
      <w:r w:rsidRPr="009935E0">
        <w:rPr>
          <w:rFonts w:ascii="Times New Roman" w:hAnsi="Times New Roman" w:cs="Times New Roman"/>
          <w:sz w:val="24"/>
          <w:szCs w:val="24"/>
        </w:rPr>
        <w:t xml:space="preserve"> ust. 1 przesądza się, że rozpowszechnianie </w:t>
      </w:r>
      <w:r w:rsidR="00565488" w:rsidRPr="009935E0">
        <w:rPr>
          <w:rFonts w:ascii="Times New Roman" w:hAnsi="Times New Roman" w:cs="Times New Roman"/>
          <w:sz w:val="24"/>
          <w:szCs w:val="24"/>
        </w:rPr>
        <w:t xml:space="preserve">przez organizację radiową lub telewizyjną drogą przewodową lub bezprzewodową </w:t>
      </w:r>
      <w:r w:rsidRPr="009935E0" w:rsidDel="00D61F60">
        <w:rPr>
          <w:rFonts w:ascii="Times New Roman" w:hAnsi="Times New Roman" w:cs="Times New Roman"/>
          <w:sz w:val="24"/>
          <w:szCs w:val="24"/>
        </w:rPr>
        <w:t>utworów (i</w:t>
      </w:r>
      <w:r w:rsidR="00BD5E0E" w:rsidRPr="009935E0">
        <w:rPr>
          <w:rFonts w:ascii="Times New Roman" w:hAnsi="Times New Roman" w:cs="Times New Roman"/>
          <w:sz w:val="24"/>
          <w:szCs w:val="24"/>
        </w:rPr>
        <w:t xml:space="preserve"> </w:t>
      </w:r>
      <w:r w:rsidRPr="009935E0" w:rsidDel="00D61F60">
        <w:rPr>
          <w:rFonts w:ascii="Times New Roman" w:hAnsi="Times New Roman" w:cs="Times New Roman"/>
          <w:sz w:val="24"/>
          <w:szCs w:val="24"/>
        </w:rPr>
        <w:t xml:space="preserve">odpowiednio przedmiotów praw pokrewnych </w:t>
      </w:r>
      <w:r w:rsidR="00D131B2" w:rsidRPr="009935E0" w:rsidDel="00D61F60">
        <w:rPr>
          <w:rFonts w:ascii="Times New Roman" w:hAnsi="Times New Roman" w:cs="Times New Roman"/>
          <w:sz w:val="24"/>
          <w:szCs w:val="24"/>
        </w:rPr>
        <w:t>–</w:t>
      </w:r>
      <w:r w:rsidRPr="009935E0" w:rsidDel="00D61F60">
        <w:rPr>
          <w:rFonts w:ascii="Times New Roman" w:hAnsi="Times New Roman" w:cs="Times New Roman"/>
          <w:sz w:val="24"/>
          <w:szCs w:val="24"/>
        </w:rPr>
        <w:t xml:space="preserve"> zob. projektowana zmiana art. 101</w:t>
      </w:r>
      <w:r w:rsidR="00D131B2" w:rsidRPr="009935E0" w:rsidDel="00D61F60">
        <w:rPr>
          <w:rFonts w:ascii="Times New Roman" w:hAnsi="Times New Roman" w:cs="Times New Roman"/>
          <w:sz w:val="24"/>
          <w:szCs w:val="24"/>
        </w:rPr>
        <w:t xml:space="preserve"> ustawy</w:t>
      </w:r>
      <w:r w:rsidRPr="009935E0" w:rsidDel="00D61F60">
        <w:rPr>
          <w:rFonts w:ascii="Times New Roman" w:hAnsi="Times New Roman" w:cs="Times New Roman"/>
          <w:sz w:val="24"/>
          <w:szCs w:val="24"/>
        </w:rPr>
        <w:t xml:space="preserve">) </w:t>
      </w:r>
      <w:r w:rsidRPr="009935E0">
        <w:rPr>
          <w:rFonts w:ascii="Times New Roman" w:hAnsi="Times New Roman" w:cs="Times New Roman"/>
          <w:sz w:val="24"/>
          <w:szCs w:val="24"/>
        </w:rPr>
        <w:t xml:space="preserve">w ramach świadczenia dodatkowej usługi online, a także ich zwielokrotnianie niezbędne w celu świadczenia takiej usługi, umożliwienia dostępu do niej lub korzystania z niej, </w:t>
      </w:r>
      <w:r w:rsidR="00565488" w:rsidRPr="009935E0">
        <w:rPr>
          <w:rFonts w:ascii="Times New Roman" w:hAnsi="Times New Roman" w:cs="Times New Roman"/>
          <w:sz w:val="24"/>
          <w:szCs w:val="24"/>
        </w:rPr>
        <w:t>uznaje się</w:t>
      </w:r>
      <w:r w:rsidRPr="009935E0">
        <w:rPr>
          <w:rFonts w:ascii="Times New Roman" w:hAnsi="Times New Roman" w:cs="Times New Roman"/>
          <w:sz w:val="24"/>
          <w:szCs w:val="24"/>
        </w:rPr>
        <w:t xml:space="preserve"> „do celów wykonywania praw autorskich dotyczących tych czynności” (i odpowiednio wykonywania praw pokrewnych) </w:t>
      </w:r>
      <w:r w:rsidR="00565488" w:rsidRPr="009935E0">
        <w:rPr>
          <w:rFonts w:ascii="Times New Roman" w:hAnsi="Times New Roman" w:cs="Times New Roman"/>
          <w:sz w:val="24"/>
          <w:szCs w:val="24"/>
        </w:rPr>
        <w:t xml:space="preserve">za mające </w:t>
      </w:r>
      <w:r w:rsidRPr="009935E0">
        <w:rPr>
          <w:rFonts w:ascii="Times New Roman" w:hAnsi="Times New Roman" w:cs="Times New Roman"/>
          <w:sz w:val="24"/>
          <w:szCs w:val="24"/>
        </w:rPr>
        <w:t>miejsce wyłącznie w państwie</w:t>
      </w:r>
      <w:r w:rsidR="00956A76" w:rsidRPr="009935E0">
        <w:rPr>
          <w:rFonts w:ascii="Times New Roman" w:hAnsi="Times New Roman" w:cs="Times New Roman"/>
          <w:sz w:val="24"/>
          <w:szCs w:val="24"/>
        </w:rPr>
        <w:t xml:space="preserve"> członkowskim Unii Europejskiej lub Europejskiego Obszaru Gospodarczego</w:t>
      </w:r>
      <w:r w:rsidRPr="009935E0">
        <w:rPr>
          <w:rFonts w:ascii="Times New Roman" w:hAnsi="Times New Roman" w:cs="Times New Roman"/>
          <w:sz w:val="24"/>
          <w:szCs w:val="24"/>
        </w:rPr>
        <w:t xml:space="preserve">, w którym organizacja radiowa lub telewizyjna posiada swoje główne przedsiębiorstwo. Zgodnie z dyrektywą przepis ten będzie miał jednak zastosowanie do utworów odnoszących się do wszystkich </w:t>
      </w:r>
      <w:r w:rsidR="00CF5D4E" w:rsidRPr="009935E0">
        <w:rPr>
          <w:rFonts w:ascii="Times New Roman" w:hAnsi="Times New Roman" w:cs="Times New Roman"/>
          <w:sz w:val="24"/>
          <w:szCs w:val="24"/>
        </w:rPr>
        <w:t xml:space="preserve">audycji </w:t>
      </w:r>
      <w:r w:rsidRPr="009935E0">
        <w:rPr>
          <w:rFonts w:ascii="Times New Roman" w:hAnsi="Times New Roman" w:cs="Times New Roman"/>
          <w:sz w:val="24"/>
          <w:szCs w:val="24"/>
        </w:rPr>
        <w:t xml:space="preserve">radiowych i tylko niektórych kategorii </w:t>
      </w:r>
      <w:r w:rsidR="00CF5D4E" w:rsidRPr="009935E0">
        <w:rPr>
          <w:rFonts w:ascii="Times New Roman" w:hAnsi="Times New Roman" w:cs="Times New Roman"/>
          <w:sz w:val="24"/>
          <w:szCs w:val="24"/>
        </w:rPr>
        <w:t xml:space="preserve">audycji </w:t>
      </w:r>
      <w:r w:rsidRPr="009935E0">
        <w:rPr>
          <w:rFonts w:ascii="Times New Roman" w:hAnsi="Times New Roman" w:cs="Times New Roman"/>
          <w:sz w:val="24"/>
          <w:szCs w:val="24"/>
        </w:rPr>
        <w:t xml:space="preserve">telewizyjnych, tj. </w:t>
      </w:r>
      <w:r w:rsidR="00CF5D4E" w:rsidRPr="009935E0">
        <w:rPr>
          <w:rFonts w:ascii="Times New Roman" w:hAnsi="Times New Roman" w:cs="Times New Roman"/>
          <w:sz w:val="24"/>
          <w:szCs w:val="24"/>
        </w:rPr>
        <w:t>audycji telewizyjnych</w:t>
      </w:r>
      <w:r w:rsidRPr="009935E0">
        <w:rPr>
          <w:rFonts w:ascii="Times New Roman" w:hAnsi="Times New Roman" w:cs="Times New Roman"/>
          <w:sz w:val="24"/>
          <w:szCs w:val="24"/>
        </w:rPr>
        <w:t xml:space="preserve"> </w:t>
      </w:r>
      <w:r w:rsidR="00FE5BE0" w:rsidRPr="009935E0">
        <w:rPr>
          <w:rFonts w:ascii="Times New Roman" w:hAnsi="Times New Roman" w:cs="Times New Roman"/>
          <w:sz w:val="24"/>
          <w:szCs w:val="24"/>
        </w:rPr>
        <w:t xml:space="preserve">o charakterze informacyjnym, </w:t>
      </w:r>
      <w:r w:rsidRPr="009935E0">
        <w:rPr>
          <w:rFonts w:ascii="Times New Roman" w:hAnsi="Times New Roman" w:cs="Times New Roman"/>
          <w:sz w:val="24"/>
          <w:szCs w:val="24"/>
        </w:rPr>
        <w:t xml:space="preserve">publicystycznym lub będących własnymi produkcjami organizacji radiowej </w:t>
      </w:r>
      <w:r w:rsidRPr="009935E0">
        <w:rPr>
          <w:rFonts w:ascii="Times New Roman" w:hAnsi="Times New Roman" w:cs="Times New Roman"/>
          <w:sz w:val="24"/>
          <w:szCs w:val="24"/>
        </w:rPr>
        <w:lastRenderedPageBreak/>
        <w:t>lub telewizyjnej w całości przez nią finansowanymi. Jak wcześniej wspomniano, termin „główne przedsiębiorstwo” występuje już w art. 6</w:t>
      </w:r>
      <w:r w:rsidRPr="009935E0">
        <w:rPr>
          <w:rFonts w:ascii="Times New Roman" w:hAnsi="Times New Roman" w:cs="Times New Roman"/>
          <w:sz w:val="24"/>
          <w:szCs w:val="24"/>
          <w:vertAlign w:val="superscript"/>
        </w:rPr>
        <w:t>1</w:t>
      </w:r>
      <w:r w:rsidRPr="009935E0">
        <w:rPr>
          <w:rFonts w:ascii="Times New Roman" w:hAnsi="Times New Roman" w:cs="Times New Roman"/>
          <w:sz w:val="24"/>
          <w:szCs w:val="24"/>
        </w:rPr>
        <w:t xml:space="preserve"> ust. 2 pkt 2 ustawy o prawie autorskim, który równolegle posługuje się terminem „siedziby” i tym samym nakazuje rozróżniać obydwa terminy.</w:t>
      </w:r>
    </w:p>
    <w:p w14:paraId="7201CDCD" w14:textId="77777777" w:rsidR="002519BB" w:rsidRPr="009935E0" w:rsidRDefault="00AB021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projektowanym art. 6</w:t>
      </w:r>
      <w:r w:rsidRPr="009935E0">
        <w:rPr>
          <w:rFonts w:ascii="Times New Roman" w:hAnsi="Times New Roman" w:cs="Times New Roman"/>
          <w:sz w:val="24"/>
          <w:szCs w:val="24"/>
          <w:vertAlign w:val="superscript"/>
        </w:rPr>
        <w:t>2</w:t>
      </w:r>
      <w:r w:rsidRPr="009935E0">
        <w:rPr>
          <w:rFonts w:ascii="Times New Roman" w:hAnsi="Times New Roman" w:cs="Times New Roman"/>
          <w:sz w:val="24"/>
          <w:szCs w:val="24"/>
        </w:rPr>
        <w:t xml:space="preserve"> ust. 2</w:t>
      </w:r>
      <w:r w:rsidR="007A621F" w:rsidRPr="009935E0">
        <w:rPr>
          <w:rFonts w:ascii="Times New Roman" w:hAnsi="Times New Roman" w:cs="Times New Roman"/>
          <w:sz w:val="24"/>
          <w:szCs w:val="24"/>
        </w:rPr>
        <w:t xml:space="preserve"> ustawy o prawie autorskim</w:t>
      </w:r>
      <w:r w:rsidRPr="009935E0">
        <w:rPr>
          <w:rFonts w:ascii="Times New Roman" w:hAnsi="Times New Roman" w:cs="Times New Roman"/>
          <w:sz w:val="24"/>
          <w:szCs w:val="24"/>
        </w:rPr>
        <w:t xml:space="preserve">, zgodnie z dyrektywą </w:t>
      </w:r>
      <w:r w:rsidR="00D131B2"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 xml:space="preserve">(art. 3 ust. 1 ostatnie zdanie), przesądza się, że ww. regulacja nie będzie miała zastosowania do </w:t>
      </w:r>
      <w:r w:rsidR="00E00DAA" w:rsidRPr="009935E0">
        <w:rPr>
          <w:rFonts w:ascii="Times New Roman" w:hAnsi="Times New Roman" w:cs="Times New Roman"/>
          <w:sz w:val="24"/>
          <w:szCs w:val="24"/>
        </w:rPr>
        <w:t xml:space="preserve">nadawania audycji telewizyjnych z wydarzeń sportowych oraz zawartych w tych nadaniach utworów </w:t>
      </w:r>
      <w:r w:rsidR="002519BB" w:rsidRPr="009935E0">
        <w:rPr>
          <w:rFonts w:ascii="Times New Roman" w:hAnsi="Times New Roman" w:cs="Times New Roman"/>
          <w:sz w:val="24"/>
          <w:szCs w:val="24"/>
        </w:rPr>
        <w:t>i przedmiotów praw pokrewnych</w:t>
      </w:r>
      <w:r w:rsidRPr="009935E0">
        <w:rPr>
          <w:rFonts w:ascii="Times New Roman" w:hAnsi="Times New Roman" w:cs="Times New Roman"/>
          <w:sz w:val="24"/>
          <w:szCs w:val="24"/>
        </w:rPr>
        <w:t xml:space="preserve">. </w:t>
      </w:r>
    </w:p>
    <w:p w14:paraId="4A411A72" w14:textId="1EBD1F20" w:rsidR="00AB021D" w:rsidRPr="009935E0" w:rsidRDefault="001C0CE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D</w:t>
      </w:r>
      <w:r w:rsidR="00687FA3" w:rsidRPr="009935E0">
        <w:rPr>
          <w:rFonts w:ascii="Times New Roman" w:hAnsi="Times New Roman" w:cs="Times New Roman"/>
          <w:sz w:val="24"/>
          <w:szCs w:val="24"/>
        </w:rPr>
        <w:t>odane</w:t>
      </w:r>
      <w:r w:rsidR="002519BB" w:rsidRPr="009935E0">
        <w:rPr>
          <w:rFonts w:ascii="Times New Roman" w:hAnsi="Times New Roman" w:cs="Times New Roman"/>
          <w:sz w:val="24"/>
          <w:szCs w:val="24"/>
        </w:rPr>
        <w:t xml:space="preserve"> p</w:t>
      </w:r>
      <w:r w:rsidR="00D131B2" w:rsidRPr="009935E0">
        <w:rPr>
          <w:rFonts w:ascii="Times New Roman" w:hAnsi="Times New Roman" w:cs="Times New Roman"/>
          <w:sz w:val="24"/>
          <w:szCs w:val="24"/>
        </w:rPr>
        <w:t>rzepis</w:t>
      </w:r>
      <w:r w:rsidR="00AF6C6D" w:rsidRPr="009935E0">
        <w:rPr>
          <w:rFonts w:ascii="Times New Roman" w:hAnsi="Times New Roman" w:cs="Times New Roman"/>
          <w:sz w:val="24"/>
          <w:szCs w:val="24"/>
        </w:rPr>
        <w:t>y</w:t>
      </w:r>
      <w:r w:rsidR="00D131B2" w:rsidRPr="009935E0">
        <w:rPr>
          <w:rFonts w:ascii="Times New Roman" w:hAnsi="Times New Roman" w:cs="Times New Roman"/>
          <w:sz w:val="24"/>
          <w:szCs w:val="24"/>
        </w:rPr>
        <w:t xml:space="preserve"> </w:t>
      </w:r>
      <w:r w:rsidR="002519BB" w:rsidRPr="009935E0">
        <w:rPr>
          <w:rFonts w:ascii="Times New Roman" w:hAnsi="Times New Roman" w:cs="Times New Roman"/>
          <w:sz w:val="24"/>
          <w:szCs w:val="24"/>
        </w:rPr>
        <w:t>art. 6</w:t>
      </w:r>
      <w:r w:rsidR="002519BB" w:rsidRPr="009935E0">
        <w:rPr>
          <w:rFonts w:ascii="Times New Roman" w:hAnsi="Times New Roman" w:cs="Times New Roman"/>
          <w:sz w:val="24"/>
          <w:szCs w:val="24"/>
          <w:vertAlign w:val="superscript"/>
        </w:rPr>
        <w:t xml:space="preserve">3 </w:t>
      </w:r>
      <w:r w:rsidR="00AF6C6D" w:rsidRPr="009935E0">
        <w:rPr>
          <w:rFonts w:ascii="Times New Roman" w:hAnsi="Times New Roman" w:cs="Times New Roman"/>
          <w:sz w:val="24"/>
          <w:szCs w:val="24"/>
        </w:rPr>
        <w:t xml:space="preserve">ust. 1 i 2 </w:t>
      </w:r>
      <w:r w:rsidR="007A621F" w:rsidRPr="009935E0">
        <w:rPr>
          <w:rFonts w:ascii="Times New Roman" w:hAnsi="Times New Roman" w:cs="Times New Roman"/>
          <w:sz w:val="24"/>
          <w:szCs w:val="24"/>
        </w:rPr>
        <w:t xml:space="preserve">ustawy o prawie autorskim </w:t>
      </w:r>
      <w:r w:rsidR="00AF6C6D" w:rsidRPr="009935E0">
        <w:rPr>
          <w:rFonts w:ascii="Times New Roman" w:hAnsi="Times New Roman" w:cs="Times New Roman"/>
          <w:sz w:val="24"/>
          <w:szCs w:val="24"/>
        </w:rPr>
        <w:t>implementują, odpowiednio,</w:t>
      </w:r>
      <w:r w:rsidR="004E7601" w:rsidRPr="009935E0">
        <w:rPr>
          <w:rFonts w:ascii="Times New Roman" w:hAnsi="Times New Roman" w:cs="Times New Roman"/>
          <w:sz w:val="24"/>
          <w:szCs w:val="24"/>
        </w:rPr>
        <w:t xml:space="preserve"> art. 3 ust. 2 i 3 dyrektywy</w:t>
      </w:r>
      <w:r w:rsidR="008525FC" w:rsidRPr="009935E0">
        <w:rPr>
          <w:rFonts w:ascii="Times New Roman" w:hAnsi="Times New Roman" w:cs="Times New Roman"/>
          <w:sz w:val="24"/>
          <w:szCs w:val="24"/>
        </w:rPr>
        <w:t xml:space="preserve"> SATCAB II</w:t>
      </w:r>
      <w:r w:rsidR="003F03FF" w:rsidRPr="009935E0">
        <w:rPr>
          <w:rFonts w:ascii="Times New Roman" w:hAnsi="Times New Roman" w:cs="Times New Roman"/>
          <w:sz w:val="24"/>
          <w:szCs w:val="24"/>
        </w:rPr>
        <w:t>.</w:t>
      </w:r>
      <w:r w:rsidR="00E8341A" w:rsidRPr="009935E0">
        <w:rPr>
          <w:rFonts w:ascii="Times New Roman" w:hAnsi="Times New Roman" w:cs="Times New Roman"/>
          <w:sz w:val="24"/>
          <w:szCs w:val="24"/>
        </w:rPr>
        <w:t xml:space="preserve"> </w:t>
      </w:r>
      <w:r w:rsidR="003F03FF" w:rsidRPr="009935E0">
        <w:rPr>
          <w:rFonts w:ascii="Times New Roman" w:hAnsi="Times New Roman" w:cs="Times New Roman"/>
          <w:sz w:val="24"/>
          <w:szCs w:val="24"/>
        </w:rPr>
        <w:t>Z uwagi na fakt, że z</w:t>
      </w:r>
      <w:r w:rsidR="00FE5BE0" w:rsidRPr="009935E0">
        <w:rPr>
          <w:rFonts w:ascii="Times New Roman" w:hAnsi="Times New Roman" w:cs="Times New Roman"/>
          <w:sz w:val="24"/>
          <w:szCs w:val="24"/>
        </w:rPr>
        <w:t>asadę państwa</w:t>
      </w:r>
      <w:r w:rsidR="003F03FF" w:rsidRPr="009935E0">
        <w:rPr>
          <w:rFonts w:ascii="Times New Roman" w:hAnsi="Times New Roman" w:cs="Times New Roman"/>
          <w:sz w:val="24"/>
          <w:szCs w:val="24"/>
        </w:rPr>
        <w:t xml:space="preserve"> pochodzenia stosuje się już na gruncie obowiązujących przepisów również do nadań satelitarnych (art. 6</w:t>
      </w:r>
      <w:r w:rsidR="003F03FF" w:rsidRPr="009935E0">
        <w:rPr>
          <w:rFonts w:ascii="Times New Roman" w:hAnsi="Times New Roman" w:cs="Times New Roman"/>
          <w:sz w:val="24"/>
          <w:szCs w:val="24"/>
          <w:vertAlign w:val="superscript"/>
        </w:rPr>
        <w:t>1</w:t>
      </w:r>
      <w:r w:rsidR="003F03FF" w:rsidRPr="009935E0">
        <w:rPr>
          <w:rFonts w:ascii="Times New Roman" w:hAnsi="Times New Roman" w:cs="Times New Roman"/>
          <w:sz w:val="24"/>
          <w:szCs w:val="24"/>
        </w:rPr>
        <w:t xml:space="preserve"> ust. 1 i 2 ustawy o prawie autorskim) przepisy art. 6</w:t>
      </w:r>
      <w:r w:rsidR="003F03FF" w:rsidRPr="009935E0">
        <w:rPr>
          <w:rFonts w:ascii="Times New Roman" w:hAnsi="Times New Roman" w:cs="Times New Roman"/>
          <w:sz w:val="24"/>
          <w:szCs w:val="24"/>
          <w:vertAlign w:val="superscript"/>
        </w:rPr>
        <w:t>3</w:t>
      </w:r>
      <w:r w:rsidR="003F03FF" w:rsidRPr="009935E0">
        <w:rPr>
          <w:rFonts w:ascii="Times New Roman" w:hAnsi="Times New Roman" w:cs="Times New Roman"/>
          <w:sz w:val="24"/>
          <w:szCs w:val="24"/>
        </w:rPr>
        <w:t xml:space="preserve"> </w:t>
      </w:r>
      <w:r w:rsidR="007A621F" w:rsidRPr="009935E0">
        <w:rPr>
          <w:rFonts w:ascii="Times New Roman" w:hAnsi="Times New Roman" w:cs="Times New Roman"/>
          <w:sz w:val="24"/>
          <w:szCs w:val="24"/>
        </w:rPr>
        <w:t xml:space="preserve">ustawy o prawie autorskim </w:t>
      </w:r>
      <w:r w:rsidR="003F03FF" w:rsidRPr="009935E0">
        <w:rPr>
          <w:rFonts w:ascii="Times New Roman" w:hAnsi="Times New Roman" w:cs="Times New Roman"/>
          <w:sz w:val="24"/>
          <w:szCs w:val="24"/>
        </w:rPr>
        <w:t>wprowadzają</w:t>
      </w:r>
      <w:r w:rsidR="00E8341A" w:rsidRPr="009935E0">
        <w:rPr>
          <w:rFonts w:ascii="Times New Roman" w:hAnsi="Times New Roman" w:cs="Times New Roman"/>
          <w:sz w:val="24"/>
          <w:szCs w:val="24"/>
        </w:rPr>
        <w:t xml:space="preserve"> jednocześnie </w:t>
      </w:r>
      <w:r w:rsidR="00433D55" w:rsidRPr="009935E0">
        <w:rPr>
          <w:rFonts w:ascii="Times New Roman" w:hAnsi="Times New Roman" w:cs="Times New Roman"/>
          <w:sz w:val="24"/>
          <w:szCs w:val="24"/>
        </w:rPr>
        <w:t>regulacje</w:t>
      </w:r>
      <w:r w:rsidR="004E7601" w:rsidRPr="009935E0">
        <w:rPr>
          <w:rFonts w:ascii="Times New Roman" w:hAnsi="Times New Roman" w:cs="Times New Roman"/>
          <w:sz w:val="24"/>
          <w:szCs w:val="24"/>
        </w:rPr>
        <w:t xml:space="preserve"> dotyczące nadań satelitarnych</w:t>
      </w:r>
      <w:r w:rsidR="008525FC" w:rsidRPr="009935E0">
        <w:rPr>
          <w:rFonts w:ascii="Times New Roman" w:hAnsi="Times New Roman" w:cs="Times New Roman"/>
          <w:sz w:val="24"/>
          <w:szCs w:val="24"/>
        </w:rPr>
        <w:t>,</w:t>
      </w:r>
      <w:r w:rsidR="004E7601" w:rsidRPr="009935E0">
        <w:rPr>
          <w:rFonts w:ascii="Times New Roman" w:hAnsi="Times New Roman" w:cs="Times New Roman"/>
          <w:sz w:val="24"/>
          <w:szCs w:val="24"/>
        </w:rPr>
        <w:t xml:space="preserve"> co </w:t>
      </w:r>
      <w:r w:rsidR="00413AB1" w:rsidRPr="009935E0">
        <w:rPr>
          <w:rFonts w:ascii="Times New Roman" w:hAnsi="Times New Roman" w:cs="Times New Roman"/>
          <w:sz w:val="24"/>
          <w:szCs w:val="24"/>
        </w:rPr>
        <w:t xml:space="preserve">jest </w:t>
      </w:r>
      <w:r w:rsidR="004E7601" w:rsidRPr="009935E0">
        <w:rPr>
          <w:rFonts w:ascii="Times New Roman" w:hAnsi="Times New Roman" w:cs="Times New Roman"/>
          <w:sz w:val="24"/>
          <w:szCs w:val="24"/>
        </w:rPr>
        <w:t xml:space="preserve">uzasadnione względami </w:t>
      </w:r>
      <w:r w:rsidR="00E8341A" w:rsidRPr="009935E0">
        <w:rPr>
          <w:rFonts w:ascii="Times New Roman" w:hAnsi="Times New Roman" w:cs="Times New Roman"/>
          <w:sz w:val="24"/>
          <w:szCs w:val="24"/>
        </w:rPr>
        <w:t xml:space="preserve">zapewnienia </w:t>
      </w:r>
      <w:r w:rsidR="00FE5BE0" w:rsidRPr="009935E0">
        <w:rPr>
          <w:rFonts w:ascii="Times New Roman" w:hAnsi="Times New Roman" w:cs="Times New Roman"/>
          <w:sz w:val="24"/>
          <w:szCs w:val="24"/>
        </w:rPr>
        <w:t xml:space="preserve">aksjologicznej </w:t>
      </w:r>
      <w:r w:rsidR="004E7601" w:rsidRPr="009935E0">
        <w:rPr>
          <w:rFonts w:ascii="Times New Roman" w:hAnsi="Times New Roman" w:cs="Times New Roman"/>
          <w:sz w:val="24"/>
          <w:szCs w:val="24"/>
        </w:rPr>
        <w:t xml:space="preserve">spójności </w:t>
      </w:r>
      <w:r w:rsidR="00E8341A" w:rsidRPr="009935E0">
        <w:rPr>
          <w:rFonts w:ascii="Times New Roman" w:hAnsi="Times New Roman" w:cs="Times New Roman"/>
          <w:sz w:val="24"/>
          <w:szCs w:val="24"/>
        </w:rPr>
        <w:t xml:space="preserve">nowych </w:t>
      </w:r>
      <w:r w:rsidR="004E7601" w:rsidRPr="009935E0">
        <w:rPr>
          <w:rFonts w:ascii="Times New Roman" w:hAnsi="Times New Roman" w:cs="Times New Roman"/>
          <w:sz w:val="24"/>
          <w:szCs w:val="24"/>
        </w:rPr>
        <w:t>regulacji</w:t>
      </w:r>
      <w:r w:rsidR="00E8341A" w:rsidRPr="009935E0">
        <w:rPr>
          <w:rFonts w:ascii="Times New Roman" w:hAnsi="Times New Roman" w:cs="Times New Roman"/>
          <w:sz w:val="24"/>
          <w:szCs w:val="24"/>
        </w:rPr>
        <w:t xml:space="preserve"> z już istniejącymi przepisami</w:t>
      </w:r>
      <w:r w:rsidR="004E7601" w:rsidRPr="009935E0">
        <w:rPr>
          <w:rFonts w:ascii="Times New Roman" w:hAnsi="Times New Roman" w:cs="Times New Roman"/>
          <w:sz w:val="24"/>
          <w:szCs w:val="24"/>
        </w:rPr>
        <w:t>.</w:t>
      </w:r>
      <w:r w:rsidR="00B444AE" w:rsidRPr="009935E0">
        <w:rPr>
          <w:rFonts w:ascii="Times New Roman" w:hAnsi="Times New Roman" w:cs="Times New Roman"/>
          <w:sz w:val="24"/>
          <w:szCs w:val="24"/>
        </w:rPr>
        <w:t xml:space="preserve"> </w:t>
      </w:r>
      <w:r w:rsidR="004E7601" w:rsidRPr="009935E0">
        <w:rPr>
          <w:rFonts w:ascii="Times New Roman" w:hAnsi="Times New Roman" w:cs="Times New Roman"/>
          <w:sz w:val="24"/>
          <w:szCs w:val="24"/>
        </w:rPr>
        <w:t>W u</w:t>
      </w:r>
      <w:r w:rsidR="002519BB" w:rsidRPr="009935E0">
        <w:rPr>
          <w:rFonts w:ascii="Times New Roman" w:hAnsi="Times New Roman" w:cs="Times New Roman"/>
          <w:sz w:val="24"/>
          <w:szCs w:val="24"/>
        </w:rPr>
        <w:t xml:space="preserve">st. 1 </w:t>
      </w:r>
      <w:r w:rsidR="00AB021D" w:rsidRPr="009935E0">
        <w:rPr>
          <w:rFonts w:ascii="Times New Roman" w:hAnsi="Times New Roman" w:cs="Times New Roman"/>
          <w:sz w:val="24"/>
          <w:szCs w:val="24"/>
        </w:rPr>
        <w:t>zaw</w:t>
      </w:r>
      <w:r w:rsidR="00A57B70" w:rsidRPr="009935E0">
        <w:rPr>
          <w:rFonts w:ascii="Times New Roman" w:hAnsi="Times New Roman" w:cs="Times New Roman"/>
          <w:sz w:val="24"/>
          <w:szCs w:val="24"/>
        </w:rPr>
        <w:t>arto</w:t>
      </w:r>
      <w:r w:rsidR="00AB021D" w:rsidRPr="009935E0">
        <w:rPr>
          <w:rFonts w:ascii="Times New Roman" w:hAnsi="Times New Roman" w:cs="Times New Roman"/>
          <w:sz w:val="24"/>
          <w:szCs w:val="24"/>
        </w:rPr>
        <w:t xml:space="preserve"> </w:t>
      </w:r>
      <w:r w:rsidR="00FE5BE0" w:rsidRPr="009935E0">
        <w:rPr>
          <w:rFonts w:ascii="Times New Roman" w:hAnsi="Times New Roman" w:cs="Times New Roman"/>
          <w:sz w:val="24"/>
          <w:szCs w:val="24"/>
        </w:rPr>
        <w:t xml:space="preserve">zatem </w:t>
      </w:r>
      <w:r w:rsidR="00AB021D" w:rsidRPr="009935E0">
        <w:rPr>
          <w:rFonts w:ascii="Times New Roman" w:hAnsi="Times New Roman" w:cs="Times New Roman"/>
          <w:sz w:val="24"/>
          <w:szCs w:val="24"/>
        </w:rPr>
        <w:t>wytyczne dla ustalania wynagrodzenia za</w:t>
      </w:r>
      <w:r w:rsidR="007D7C36" w:rsidRPr="009935E0">
        <w:rPr>
          <w:rFonts w:ascii="Times New Roman" w:hAnsi="Times New Roman" w:cs="Times New Roman"/>
          <w:sz w:val="24"/>
          <w:szCs w:val="24"/>
        </w:rPr>
        <w:t>równo za</w:t>
      </w:r>
      <w:r w:rsidR="00AB021D" w:rsidRPr="009935E0">
        <w:rPr>
          <w:rFonts w:ascii="Times New Roman" w:hAnsi="Times New Roman" w:cs="Times New Roman"/>
          <w:sz w:val="24"/>
          <w:szCs w:val="24"/>
        </w:rPr>
        <w:t xml:space="preserve"> korzystanie z praw w ramach świadczenia dodatkowej usługi online, zgodnie z art. 3 ust. 2 </w:t>
      </w:r>
      <w:r w:rsidR="007A621F" w:rsidRPr="009935E0">
        <w:rPr>
          <w:rFonts w:ascii="Times New Roman" w:hAnsi="Times New Roman" w:cs="Times New Roman"/>
          <w:sz w:val="24"/>
          <w:szCs w:val="24"/>
        </w:rPr>
        <w:t xml:space="preserve">tej </w:t>
      </w:r>
      <w:r w:rsidR="00AB021D" w:rsidRPr="009935E0">
        <w:rPr>
          <w:rFonts w:ascii="Times New Roman" w:hAnsi="Times New Roman" w:cs="Times New Roman"/>
          <w:sz w:val="24"/>
          <w:szCs w:val="24"/>
        </w:rPr>
        <w:t>dyrektywy</w:t>
      </w:r>
      <w:r w:rsidR="007D7C36" w:rsidRPr="009935E0">
        <w:rPr>
          <w:rFonts w:ascii="Times New Roman" w:hAnsi="Times New Roman" w:cs="Times New Roman"/>
          <w:sz w:val="24"/>
          <w:szCs w:val="24"/>
        </w:rPr>
        <w:t>, jak również nadań satelitarnych</w:t>
      </w:r>
      <w:r w:rsidR="00FE5BE0" w:rsidRPr="009935E0">
        <w:rPr>
          <w:rFonts w:ascii="Times New Roman" w:hAnsi="Times New Roman" w:cs="Times New Roman"/>
          <w:sz w:val="24"/>
          <w:szCs w:val="24"/>
        </w:rPr>
        <w:t>, zgodnie</w:t>
      </w:r>
      <w:r w:rsidR="00A820FF" w:rsidRPr="009935E0">
        <w:rPr>
          <w:rFonts w:ascii="Times New Roman" w:hAnsi="Times New Roman" w:cs="Times New Roman"/>
          <w:sz w:val="24"/>
          <w:szCs w:val="24"/>
        </w:rPr>
        <w:t xml:space="preserve"> </w:t>
      </w:r>
      <w:r w:rsidR="007D7C36" w:rsidRPr="009935E0">
        <w:rPr>
          <w:rFonts w:ascii="Times New Roman" w:hAnsi="Times New Roman" w:cs="Times New Roman"/>
          <w:sz w:val="24"/>
          <w:szCs w:val="24"/>
        </w:rPr>
        <w:t>z</w:t>
      </w:r>
      <w:r w:rsidR="00FE5BE0" w:rsidRPr="009935E0">
        <w:rPr>
          <w:rFonts w:ascii="Times New Roman" w:hAnsi="Times New Roman" w:cs="Times New Roman"/>
          <w:sz w:val="24"/>
          <w:szCs w:val="24"/>
        </w:rPr>
        <w:t xml:space="preserve"> dyrektywą SATCAB I (motyw 17). </w:t>
      </w:r>
      <w:r w:rsidR="008525FC" w:rsidRPr="009935E0">
        <w:rPr>
          <w:rFonts w:ascii="Times New Roman" w:hAnsi="Times New Roman" w:cs="Times New Roman"/>
          <w:sz w:val="24"/>
          <w:szCs w:val="24"/>
        </w:rPr>
        <w:t>Z kolei p</w:t>
      </w:r>
      <w:r w:rsidR="00D131B2" w:rsidRPr="009935E0">
        <w:rPr>
          <w:rFonts w:ascii="Times New Roman" w:hAnsi="Times New Roman" w:cs="Times New Roman"/>
          <w:sz w:val="24"/>
          <w:szCs w:val="24"/>
        </w:rPr>
        <w:t xml:space="preserve">rzepis </w:t>
      </w:r>
      <w:r w:rsidR="00604FA9" w:rsidRPr="009935E0">
        <w:rPr>
          <w:rFonts w:ascii="Times New Roman" w:hAnsi="Times New Roman" w:cs="Times New Roman"/>
          <w:sz w:val="24"/>
          <w:szCs w:val="24"/>
        </w:rPr>
        <w:t xml:space="preserve">ust. </w:t>
      </w:r>
      <w:r w:rsidR="007D7C36" w:rsidRPr="009935E0">
        <w:rPr>
          <w:rFonts w:ascii="Times New Roman" w:hAnsi="Times New Roman" w:cs="Times New Roman"/>
          <w:sz w:val="24"/>
          <w:szCs w:val="24"/>
        </w:rPr>
        <w:t>2</w:t>
      </w:r>
      <w:r w:rsidR="00604FA9" w:rsidRPr="009935E0">
        <w:rPr>
          <w:rFonts w:ascii="Times New Roman" w:hAnsi="Times New Roman" w:cs="Times New Roman"/>
          <w:sz w:val="24"/>
          <w:szCs w:val="24"/>
        </w:rPr>
        <w:t xml:space="preserve"> </w:t>
      </w:r>
      <w:r w:rsidR="00AB021D" w:rsidRPr="009935E0">
        <w:rPr>
          <w:rFonts w:ascii="Times New Roman" w:hAnsi="Times New Roman" w:cs="Times New Roman"/>
          <w:sz w:val="24"/>
          <w:szCs w:val="24"/>
        </w:rPr>
        <w:t xml:space="preserve">potwierdza, że zasada państwa pochodzenia </w:t>
      </w:r>
      <w:r w:rsidR="001267D1" w:rsidRPr="009935E0">
        <w:rPr>
          <w:rFonts w:ascii="Times New Roman" w:hAnsi="Times New Roman" w:cs="Times New Roman"/>
          <w:sz w:val="24"/>
          <w:szCs w:val="24"/>
        </w:rPr>
        <w:t>nie ogranicza</w:t>
      </w:r>
      <w:r w:rsidR="00AB021D" w:rsidRPr="009935E0">
        <w:rPr>
          <w:rFonts w:ascii="Times New Roman" w:hAnsi="Times New Roman" w:cs="Times New Roman"/>
          <w:sz w:val="24"/>
          <w:szCs w:val="24"/>
        </w:rPr>
        <w:t xml:space="preserve"> </w:t>
      </w:r>
      <w:r w:rsidR="001267D1" w:rsidRPr="009935E0">
        <w:rPr>
          <w:rFonts w:ascii="Times New Roman" w:hAnsi="Times New Roman" w:cs="Times New Roman"/>
          <w:sz w:val="24"/>
          <w:szCs w:val="24"/>
        </w:rPr>
        <w:t xml:space="preserve">zasady </w:t>
      </w:r>
      <w:r w:rsidR="00AB021D" w:rsidRPr="009935E0">
        <w:rPr>
          <w:rFonts w:ascii="Times New Roman" w:hAnsi="Times New Roman" w:cs="Times New Roman"/>
          <w:sz w:val="24"/>
          <w:szCs w:val="24"/>
        </w:rPr>
        <w:t xml:space="preserve">swobody umów pozwalającej uprawnionym oraz organizacjom radiowym i telewizyjnym uzgodnić </w:t>
      </w:r>
      <w:r w:rsidR="001267D1" w:rsidRPr="009935E0">
        <w:rPr>
          <w:rFonts w:ascii="Times New Roman" w:hAnsi="Times New Roman" w:cs="Times New Roman"/>
          <w:sz w:val="24"/>
          <w:szCs w:val="24"/>
        </w:rPr>
        <w:t>szczególne zasady korzystania</w:t>
      </w:r>
      <w:r w:rsidR="00AB021D" w:rsidRPr="009935E0">
        <w:rPr>
          <w:rFonts w:ascii="Times New Roman" w:hAnsi="Times New Roman" w:cs="Times New Roman"/>
          <w:sz w:val="24"/>
          <w:szCs w:val="24"/>
        </w:rPr>
        <w:t xml:space="preserve"> z </w:t>
      </w:r>
      <w:r w:rsidR="00241E41" w:rsidRPr="009935E0">
        <w:rPr>
          <w:rFonts w:ascii="Times New Roman" w:hAnsi="Times New Roman" w:cs="Times New Roman"/>
          <w:sz w:val="24"/>
          <w:szCs w:val="24"/>
        </w:rPr>
        <w:t>utworów</w:t>
      </w:r>
      <w:r w:rsidR="00AB021D" w:rsidRPr="009935E0">
        <w:rPr>
          <w:rFonts w:ascii="Times New Roman" w:hAnsi="Times New Roman" w:cs="Times New Roman"/>
          <w:sz w:val="24"/>
          <w:szCs w:val="24"/>
        </w:rPr>
        <w:t>.</w:t>
      </w:r>
      <w:r w:rsidR="007012CD" w:rsidRPr="009935E0">
        <w:rPr>
          <w:rFonts w:ascii="Times New Roman" w:hAnsi="Times New Roman" w:cs="Times New Roman"/>
          <w:sz w:val="24"/>
          <w:szCs w:val="24"/>
        </w:rPr>
        <w:t xml:space="preserve"> W tym przepisie projektodawca ponownie odnosi się zarówno do zasady państwa pochodzenia mającej zastosowanie do dodatkowych usług online (</w:t>
      </w:r>
      <w:r w:rsidR="00241E41" w:rsidRPr="009935E0">
        <w:rPr>
          <w:rFonts w:ascii="Times New Roman" w:hAnsi="Times New Roman" w:cs="Times New Roman"/>
          <w:sz w:val="24"/>
          <w:szCs w:val="24"/>
        </w:rPr>
        <w:t>zgodnie z art. 3 ust. 3 dyrektywy</w:t>
      </w:r>
      <w:r w:rsidR="00AA5D5F" w:rsidRPr="009935E0">
        <w:rPr>
          <w:rFonts w:ascii="Times New Roman" w:hAnsi="Times New Roman" w:cs="Times New Roman"/>
          <w:sz w:val="24"/>
          <w:szCs w:val="24"/>
        </w:rPr>
        <w:t xml:space="preserve"> SATCAB II</w:t>
      </w:r>
      <w:r w:rsidR="007012CD" w:rsidRPr="009935E0">
        <w:rPr>
          <w:rFonts w:ascii="Times New Roman" w:hAnsi="Times New Roman" w:cs="Times New Roman"/>
          <w:sz w:val="24"/>
          <w:szCs w:val="24"/>
        </w:rPr>
        <w:t>)</w:t>
      </w:r>
      <w:r w:rsidR="00241E41" w:rsidRPr="009935E0">
        <w:rPr>
          <w:rFonts w:ascii="Times New Roman" w:hAnsi="Times New Roman" w:cs="Times New Roman"/>
          <w:sz w:val="24"/>
          <w:szCs w:val="24"/>
        </w:rPr>
        <w:t>,</w:t>
      </w:r>
      <w:r w:rsidR="007012CD" w:rsidRPr="009935E0">
        <w:rPr>
          <w:rFonts w:ascii="Times New Roman" w:hAnsi="Times New Roman" w:cs="Times New Roman"/>
          <w:sz w:val="24"/>
          <w:szCs w:val="24"/>
        </w:rPr>
        <w:t xml:space="preserve"> jak i nadań satelitarnych. </w:t>
      </w:r>
      <w:r w:rsidR="00C57A64" w:rsidRPr="009935E0">
        <w:rPr>
          <w:rFonts w:ascii="Times New Roman" w:hAnsi="Times New Roman" w:cs="Times New Roman"/>
          <w:sz w:val="24"/>
          <w:szCs w:val="24"/>
        </w:rPr>
        <w:t xml:space="preserve">Dopuszczalność proponowanego rozwiązania nie budzi </w:t>
      </w:r>
      <w:r w:rsidR="00CA385B" w:rsidRPr="009935E0">
        <w:rPr>
          <w:rFonts w:ascii="Times New Roman" w:hAnsi="Times New Roman" w:cs="Times New Roman"/>
          <w:sz w:val="24"/>
          <w:szCs w:val="24"/>
        </w:rPr>
        <w:t>zastrzeżeń</w:t>
      </w:r>
      <w:r w:rsidR="00CC13C6" w:rsidRPr="009935E0">
        <w:rPr>
          <w:rFonts w:ascii="Times New Roman" w:hAnsi="Times New Roman" w:cs="Times New Roman"/>
          <w:sz w:val="24"/>
          <w:szCs w:val="24"/>
        </w:rPr>
        <w:t xml:space="preserve"> </w:t>
      </w:r>
      <w:r w:rsidR="00C57A64" w:rsidRPr="009935E0">
        <w:rPr>
          <w:rFonts w:ascii="Times New Roman" w:hAnsi="Times New Roman" w:cs="Times New Roman"/>
          <w:sz w:val="24"/>
          <w:szCs w:val="24"/>
        </w:rPr>
        <w:t>(także w świetle orzecznictwa TSUE</w:t>
      </w:r>
      <w:r w:rsidR="00C57A64" w:rsidRPr="009935E0">
        <w:rPr>
          <w:rStyle w:val="Odwoanieprzypisudolnego"/>
          <w:rFonts w:ascii="Times New Roman" w:hAnsi="Times New Roman" w:cs="Times New Roman"/>
          <w:sz w:val="24"/>
          <w:szCs w:val="24"/>
        </w:rPr>
        <w:footnoteReference w:id="14"/>
      </w:r>
      <w:r w:rsidR="000E26B5" w:rsidRPr="00483092">
        <w:rPr>
          <w:rFonts w:ascii="Times New Roman" w:hAnsi="Times New Roman" w:cs="Times New Roman"/>
          <w:sz w:val="24"/>
          <w:szCs w:val="24"/>
          <w:vertAlign w:val="superscript"/>
        </w:rPr>
        <w:t>)</w:t>
      </w:r>
      <w:r w:rsidR="005F0573" w:rsidRPr="009935E0">
        <w:rPr>
          <w:rFonts w:ascii="Times New Roman" w:hAnsi="Times New Roman" w:cs="Times New Roman"/>
          <w:sz w:val="24"/>
          <w:szCs w:val="24"/>
        </w:rPr>
        <w:t>). N</w:t>
      </w:r>
      <w:r w:rsidR="00C57A64" w:rsidRPr="009935E0">
        <w:rPr>
          <w:rFonts w:ascii="Times New Roman" w:hAnsi="Times New Roman" w:cs="Times New Roman"/>
          <w:sz w:val="24"/>
          <w:szCs w:val="24"/>
        </w:rPr>
        <w:t>atomiast n</w:t>
      </w:r>
      <w:r w:rsidR="007012CD" w:rsidRPr="009935E0">
        <w:rPr>
          <w:rFonts w:ascii="Times New Roman" w:hAnsi="Times New Roman" w:cs="Times New Roman"/>
          <w:sz w:val="24"/>
          <w:szCs w:val="24"/>
        </w:rPr>
        <w:t xml:space="preserve">ieuwzględnienie w projektowanym przepisie </w:t>
      </w:r>
      <w:r w:rsidR="00AA5D5F" w:rsidRPr="009935E0">
        <w:rPr>
          <w:rFonts w:ascii="Times New Roman" w:hAnsi="Times New Roman" w:cs="Times New Roman"/>
          <w:sz w:val="24"/>
          <w:szCs w:val="24"/>
        </w:rPr>
        <w:t xml:space="preserve">obowiązującej </w:t>
      </w:r>
      <w:r w:rsidR="007012CD" w:rsidRPr="009935E0">
        <w:rPr>
          <w:rFonts w:ascii="Times New Roman" w:hAnsi="Times New Roman" w:cs="Times New Roman"/>
          <w:sz w:val="24"/>
          <w:szCs w:val="24"/>
        </w:rPr>
        <w:t xml:space="preserve">regulacji </w:t>
      </w:r>
      <w:r w:rsidR="00AA5D5F" w:rsidRPr="009935E0">
        <w:rPr>
          <w:rFonts w:ascii="Times New Roman" w:hAnsi="Times New Roman" w:cs="Times New Roman"/>
          <w:sz w:val="24"/>
          <w:szCs w:val="24"/>
        </w:rPr>
        <w:t>dotyczącej nadań satelitarnych (</w:t>
      </w:r>
      <w:r w:rsidR="007012CD" w:rsidRPr="009935E0">
        <w:rPr>
          <w:rFonts w:ascii="Times New Roman" w:hAnsi="Times New Roman" w:cs="Times New Roman"/>
          <w:sz w:val="24"/>
          <w:szCs w:val="24"/>
        </w:rPr>
        <w:t>art. 6</w:t>
      </w:r>
      <w:r w:rsidR="007012CD" w:rsidRPr="009935E0">
        <w:rPr>
          <w:rFonts w:ascii="Times New Roman" w:hAnsi="Times New Roman" w:cs="Times New Roman"/>
          <w:sz w:val="24"/>
          <w:szCs w:val="24"/>
          <w:vertAlign w:val="superscript"/>
        </w:rPr>
        <w:t>1</w:t>
      </w:r>
      <w:r w:rsidR="007012CD" w:rsidRPr="009935E0">
        <w:rPr>
          <w:rFonts w:ascii="Times New Roman" w:hAnsi="Times New Roman" w:cs="Times New Roman"/>
          <w:sz w:val="24"/>
          <w:szCs w:val="24"/>
        </w:rPr>
        <w:t xml:space="preserve"> ust. 1 i 2</w:t>
      </w:r>
      <w:r w:rsidR="007A621F" w:rsidRPr="009935E0">
        <w:rPr>
          <w:rFonts w:ascii="Times New Roman" w:hAnsi="Times New Roman" w:cs="Times New Roman"/>
          <w:sz w:val="24"/>
          <w:szCs w:val="24"/>
        </w:rPr>
        <w:t xml:space="preserve"> ustawy o prawie autorskim</w:t>
      </w:r>
      <w:r w:rsidR="00AA5D5F" w:rsidRPr="009935E0">
        <w:rPr>
          <w:rFonts w:ascii="Times New Roman" w:hAnsi="Times New Roman" w:cs="Times New Roman"/>
          <w:sz w:val="24"/>
          <w:szCs w:val="24"/>
        </w:rPr>
        <w:t>)</w:t>
      </w:r>
      <w:r w:rsidR="007012CD" w:rsidRPr="009935E0">
        <w:rPr>
          <w:rFonts w:ascii="Times New Roman" w:hAnsi="Times New Roman" w:cs="Times New Roman"/>
          <w:sz w:val="24"/>
          <w:szCs w:val="24"/>
        </w:rPr>
        <w:t xml:space="preserve"> mogłoby prowadzić do wątpliwości interpretacyjnych, gdyż, </w:t>
      </w:r>
      <w:r w:rsidR="007012CD" w:rsidRPr="009935E0">
        <w:rPr>
          <w:rFonts w:ascii="Times New Roman" w:hAnsi="Times New Roman" w:cs="Times New Roman"/>
          <w:i/>
          <w:sz w:val="24"/>
          <w:szCs w:val="24"/>
        </w:rPr>
        <w:t>a contrario,</w:t>
      </w:r>
      <w:r w:rsidR="007012CD" w:rsidRPr="009935E0">
        <w:rPr>
          <w:rFonts w:ascii="Times New Roman" w:hAnsi="Times New Roman" w:cs="Times New Roman"/>
          <w:sz w:val="24"/>
          <w:szCs w:val="24"/>
        </w:rPr>
        <w:t xml:space="preserve"> mogłoby być podnoszone jako argument na rzecz odmiennego stanu </w:t>
      </w:r>
      <w:r w:rsidR="005F0573" w:rsidRPr="009935E0">
        <w:rPr>
          <w:rFonts w:ascii="Times New Roman" w:hAnsi="Times New Roman" w:cs="Times New Roman"/>
          <w:sz w:val="24"/>
          <w:szCs w:val="24"/>
        </w:rPr>
        <w:t xml:space="preserve">prawnego </w:t>
      </w:r>
      <w:r w:rsidR="007012CD" w:rsidRPr="009935E0">
        <w:rPr>
          <w:rFonts w:ascii="Times New Roman" w:hAnsi="Times New Roman" w:cs="Times New Roman"/>
          <w:sz w:val="24"/>
          <w:szCs w:val="24"/>
        </w:rPr>
        <w:t>na gruncie art. 6</w:t>
      </w:r>
      <w:r w:rsidR="007012CD" w:rsidRPr="009935E0">
        <w:rPr>
          <w:rFonts w:ascii="Times New Roman" w:hAnsi="Times New Roman" w:cs="Times New Roman"/>
          <w:sz w:val="24"/>
          <w:szCs w:val="24"/>
          <w:vertAlign w:val="superscript"/>
        </w:rPr>
        <w:t>1</w:t>
      </w:r>
      <w:r w:rsidR="007A621F" w:rsidRPr="009935E0">
        <w:rPr>
          <w:rFonts w:ascii="Times New Roman" w:hAnsi="Times New Roman" w:cs="Times New Roman"/>
          <w:sz w:val="24"/>
          <w:szCs w:val="24"/>
          <w:vertAlign w:val="superscript"/>
        </w:rPr>
        <w:t xml:space="preserve"> </w:t>
      </w:r>
      <w:r w:rsidR="00E33F74" w:rsidRPr="009935E0">
        <w:rPr>
          <w:rFonts w:ascii="Times New Roman" w:hAnsi="Times New Roman" w:cs="Times New Roman"/>
          <w:sz w:val="24"/>
          <w:szCs w:val="24"/>
        </w:rPr>
        <w:t>tej ustawy</w:t>
      </w:r>
      <w:r w:rsidR="007012CD" w:rsidRPr="009935E0">
        <w:rPr>
          <w:rFonts w:ascii="Times New Roman" w:hAnsi="Times New Roman" w:cs="Times New Roman"/>
          <w:sz w:val="24"/>
          <w:szCs w:val="24"/>
        </w:rPr>
        <w:t>.</w:t>
      </w:r>
    </w:p>
    <w:p w14:paraId="2C82EC79" w14:textId="2F0A2494" w:rsidR="005F0573" w:rsidRPr="009935E0" w:rsidRDefault="002855C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w:t>
      </w:r>
      <w:r w:rsidR="001267D1" w:rsidRPr="009935E0">
        <w:rPr>
          <w:rFonts w:ascii="Times New Roman" w:hAnsi="Times New Roman" w:cs="Times New Roman"/>
          <w:sz w:val="24"/>
          <w:szCs w:val="24"/>
        </w:rPr>
        <w:t xml:space="preserve">poprzednim projekcie ustawy </w:t>
      </w:r>
      <w:r w:rsidR="00E33F74" w:rsidRPr="009935E0">
        <w:rPr>
          <w:rFonts w:ascii="Times New Roman" w:hAnsi="Times New Roman" w:cs="Times New Roman"/>
          <w:sz w:val="24"/>
          <w:szCs w:val="24"/>
        </w:rPr>
        <w:t>(</w:t>
      </w:r>
      <w:r w:rsidRPr="009935E0">
        <w:rPr>
          <w:rFonts w:ascii="Times New Roman" w:hAnsi="Times New Roman" w:cs="Times New Roman"/>
          <w:sz w:val="24"/>
          <w:szCs w:val="24"/>
        </w:rPr>
        <w:t>UC103</w:t>
      </w:r>
      <w:r w:rsidR="00E33F74" w:rsidRPr="009935E0">
        <w:rPr>
          <w:rFonts w:ascii="Times New Roman" w:hAnsi="Times New Roman" w:cs="Times New Roman"/>
          <w:sz w:val="24"/>
          <w:szCs w:val="24"/>
        </w:rPr>
        <w:t>)</w:t>
      </w:r>
      <w:r w:rsidRPr="009935E0">
        <w:rPr>
          <w:rFonts w:ascii="Times New Roman" w:hAnsi="Times New Roman" w:cs="Times New Roman"/>
          <w:sz w:val="24"/>
          <w:szCs w:val="24"/>
        </w:rPr>
        <w:t xml:space="preserve"> w</w:t>
      </w:r>
      <w:r w:rsidR="00497316" w:rsidRPr="009935E0">
        <w:rPr>
          <w:rFonts w:ascii="Times New Roman" w:hAnsi="Times New Roman" w:cs="Times New Roman"/>
          <w:sz w:val="24"/>
          <w:szCs w:val="24"/>
        </w:rPr>
        <w:t xml:space="preserve"> art. 4 ust. 1, zgodnie z art. 11 akapit pierwszy dyrektywy</w:t>
      </w:r>
      <w:r w:rsidR="00E33F74" w:rsidRPr="009935E0">
        <w:rPr>
          <w:rFonts w:ascii="Times New Roman" w:hAnsi="Times New Roman" w:cs="Times New Roman"/>
          <w:sz w:val="24"/>
          <w:szCs w:val="24"/>
        </w:rPr>
        <w:t xml:space="preserve"> SATCAB II</w:t>
      </w:r>
      <w:r w:rsidR="00497316" w:rsidRPr="009935E0">
        <w:rPr>
          <w:rFonts w:ascii="Times New Roman" w:hAnsi="Times New Roman" w:cs="Times New Roman"/>
          <w:sz w:val="24"/>
          <w:szCs w:val="24"/>
        </w:rPr>
        <w:t xml:space="preserve">, </w:t>
      </w:r>
      <w:r w:rsidRPr="009935E0">
        <w:rPr>
          <w:rFonts w:ascii="Times New Roman" w:hAnsi="Times New Roman" w:cs="Times New Roman"/>
          <w:sz w:val="24"/>
          <w:szCs w:val="24"/>
        </w:rPr>
        <w:t>przewidziany był</w:t>
      </w:r>
      <w:r w:rsidR="00497316" w:rsidRPr="009935E0">
        <w:rPr>
          <w:rFonts w:ascii="Times New Roman" w:hAnsi="Times New Roman" w:cs="Times New Roman"/>
          <w:sz w:val="24"/>
          <w:szCs w:val="24"/>
        </w:rPr>
        <w:t xml:space="preserve"> przepis przejściowy, zgodnie z którym </w:t>
      </w:r>
      <w:r w:rsidR="005F0573" w:rsidRPr="009935E0">
        <w:rPr>
          <w:rFonts w:ascii="Times New Roman" w:hAnsi="Times New Roman" w:cs="Times New Roman"/>
          <w:sz w:val="24"/>
          <w:szCs w:val="24"/>
        </w:rPr>
        <w:t xml:space="preserve">do obowiązujących w dniu wejścia w życie projektowanej ustawy umów o korzystanie z utworów lub przedmiotów praw pokrewnych w ramach dodatkowej usługi online </w:t>
      </w:r>
      <w:r w:rsidR="00EA75E1" w:rsidRPr="009935E0">
        <w:rPr>
          <w:rFonts w:ascii="Times New Roman" w:hAnsi="Times New Roman" w:cs="Times New Roman"/>
          <w:sz w:val="24"/>
          <w:szCs w:val="24"/>
        </w:rPr>
        <w:t xml:space="preserve">ww. </w:t>
      </w:r>
      <w:r w:rsidR="006277C1" w:rsidRPr="009935E0">
        <w:rPr>
          <w:rFonts w:ascii="Times New Roman" w:hAnsi="Times New Roman" w:cs="Times New Roman"/>
          <w:sz w:val="24"/>
          <w:szCs w:val="24"/>
        </w:rPr>
        <w:t xml:space="preserve">przepis </w:t>
      </w:r>
      <w:r w:rsidR="00EA75E1" w:rsidRPr="009935E0">
        <w:rPr>
          <w:rFonts w:ascii="Times New Roman" w:hAnsi="Times New Roman" w:cs="Times New Roman"/>
          <w:sz w:val="24"/>
          <w:szCs w:val="24"/>
        </w:rPr>
        <w:t>art. 6</w:t>
      </w:r>
      <w:r w:rsidR="00EA75E1" w:rsidRPr="009935E0">
        <w:rPr>
          <w:rFonts w:ascii="Times New Roman" w:hAnsi="Times New Roman" w:cs="Times New Roman"/>
          <w:sz w:val="24"/>
          <w:szCs w:val="24"/>
          <w:vertAlign w:val="superscript"/>
        </w:rPr>
        <w:t>2</w:t>
      </w:r>
      <w:r w:rsidR="00EA75E1" w:rsidRPr="009935E0">
        <w:rPr>
          <w:rFonts w:ascii="Times New Roman" w:hAnsi="Times New Roman" w:cs="Times New Roman"/>
          <w:sz w:val="24"/>
          <w:szCs w:val="24"/>
        </w:rPr>
        <w:t xml:space="preserve"> ust. </w:t>
      </w:r>
      <w:r w:rsidR="00EA75E1" w:rsidRPr="009935E0">
        <w:rPr>
          <w:rFonts w:ascii="Times New Roman" w:hAnsi="Times New Roman" w:cs="Times New Roman"/>
          <w:sz w:val="24"/>
          <w:szCs w:val="24"/>
        </w:rPr>
        <w:lastRenderedPageBreak/>
        <w:t xml:space="preserve">1 </w:t>
      </w:r>
      <w:r w:rsidR="00E33F74" w:rsidRPr="009935E0">
        <w:rPr>
          <w:rFonts w:ascii="Times New Roman" w:hAnsi="Times New Roman" w:cs="Times New Roman"/>
          <w:sz w:val="24"/>
          <w:szCs w:val="24"/>
        </w:rPr>
        <w:t xml:space="preserve">ustawy o prawie autorskim </w:t>
      </w:r>
      <w:r w:rsidR="00EA75E1" w:rsidRPr="009935E0">
        <w:rPr>
          <w:rFonts w:ascii="Times New Roman" w:hAnsi="Times New Roman" w:cs="Times New Roman"/>
          <w:sz w:val="24"/>
          <w:szCs w:val="24"/>
        </w:rPr>
        <w:t xml:space="preserve">miał </w:t>
      </w:r>
      <w:r w:rsidRPr="009935E0">
        <w:rPr>
          <w:rFonts w:ascii="Times New Roman" w:hAnsi="Times New Roman" w:cs="Times New Roman"/>
          <w:sz w:val="24"/>
          <w:szCs w:val="24"/>
        </w:rPr>
        <w:t xml:space="preserve">mieć </w:t>
      </w:r>
      <w:r w:rsidR="00EA75E1" w:rsidRPr="009935E0">
        <w:rPr>
          <w:rFonts w:ascii="Times New Roman" w:hAnsi="Times New Roman" w:cs="Times New Roman"/>
          <w:sz w:val="24"/>
          <w:szCs w:val="24"/>
        </w:rPr>
        <w:t>zastosowanie od dnia 7 czerwca 2</w:t>
      </w:r>
      <w:r w:rsidRPr="009935E0">
        <w:rPr>
          <w:rFonts w:ascii="Times New Roman" w:hAnsi="Times New Roman" w:cs="Times New Roman"/>
          <w:sz w:val="24"/>
          <w:szCs w:val="24"/>
        </w:rPr>
        <w:t>023 r., jeżeli umowy te wygasłyby</w:t>
      </w:r>
      <w:r w:rsidR="00EA75E1" w:rsidRPr="009935E0">
        <w:rPr>
          <w:rFonts w:ascii="Times New Roman" w:hAnsi="Times New Roman" w:cs="Times New Roman"/>
          <w:sz w:val="24"/>
          <w:szCs w:val="24"/>
        </w:rPr>
        <w:t xml:space="preserve"> po tej dacie. </w:t>
      </w:r>
      <w:r w:rsidRPr="009935E0">
        <w:rPr>
          <w:rFonts w:ascii="Times New Roman" w:hAnsi="Times New Roman" w:cs="Times New Roman"/>
          <w:sz w:val="24"/>
          <w:szCs w:val="24"/>
        </w:rPr>
        <w:t>P</w:t>
      </w:r>
      <w:r w:rsidR="00EA75E1" w:rsidRPr="009935E0">
        <w:rPr>
          <w:rFonts w:ascii="Times New Roman" w:hAnsi="Times New Roman" w:cs="Times New Roman"/>
          <w:sz w:val="24"/>
          <w:szCs w:val="24"/>
        </w:rPr>
        <w:t xml:space="preserve">onieważ jednak projektowana ustawa wejdzie w życie w terminie późniejszym, </w:t>
      </w:r>
      <w:r w:rsidRPr="009935E0">
        <w:rPr>
          <w:rFonts w:ascii="Times New Roman" w:hAnsi="Times New Roman" w:cs="Times New Roman"/>
          <w:sz w:val="24"/>
          <w:szCs w:val="24"/>
        </w:rPr>
        <w:t>niniejszy projekt tego przepisu przejściowego już nie zawiera.</w:t>
      </w:r>
    </w:p>
    <w:p w14:paraId="35B6A703" w14:textId="77777777" w:rsidR="0023066D" w:rsidRPr="009935E0" w:rsidRDefault="002305A0" w:rsidP="00483092">
      <w:pPr>
        <w:pStyle w:val="Akapitzlist"/>
        <w:numPr>
          <w:ilvl w:val="0"/>
          <w:numId w:val="3"/>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Reemitowanie</w:t>
      </w:r>
      <w:r w:rsidR="00B76BEB" w:rsidRPr="009935E0">
        <w:rPr>
          <w:rFonts w:ascii="Times New Roman" w:hAnsi="Times New Roman" w:cs="Times New Roman"/>
          <w:b/>
          <w:sz w:val="24"/>
          <w:szCs w:val="24"/>
        </w:rPr>
        <w:t xml:space="preserve"> (art. </w:t>
      </w:r>
      <w:r w:rsidR="00E104AA" w:rsidRPr="009935E0">
        <w:rPr>
          <w:rFonts w:ascii="Times New Roman" w:hAnsi="Times New Roman" w:cs="Times New Roman"/>
          <w:b/>
          <w:sz w:val="24"/>
          <w:szCs w:val="24"/>
        </w:rPr>
        <w:t>2 pkt 2</w:t>
      </w:r>
      <w:r w:rsidR="00687FA3" w:rsidRPr="009935E0">
        <w:rPr>
          <w:rFonts w:ascii="Times New Roman" w:hAnsi="Times New Roman" w:cs="Times New Roman"/>
          <w:b/>
          <w:sz w:val="24"/>
          <w:szCs w:val="24"/>
        </w:rPr>
        <w:t xml:space="preserve"> i 3</w:t>
      </w:r>
      <w:r w:rsidR="00E104AA" w:rsidRPr="009935E0">
        <w:rPr>
          <w:rFonts w:ascii="Times New Roman" w:hAnsi="Times New Roman" w:cs="Times New Roman"/>
          <w:b/>
          <w:sz w:val="24"/>
          <w:szCs w:val="24"/>
        </w:rPr>
        <w:t>,</w:t>
      </w:r>
      <w:r w:rsidR="00AA5D5F" w:rsidRPr="009935E0">
        <w:rPr>
          <w:rFonts w:ascii="Times New Roman" w:hAnsi="Times New Roman" w:cs="Times New Roman"/>
          <w:b/>
          <w:sz w:val="24"/>
          <w:szCs w:val="24"/>
        </w:rPr>
        <w:t xml:space="preserve"> art. </w:t>
      </w:r>
      <w:r w:rsidR="00B76BEB" w:rsidRPr="009935E0">
        <w:rPr>
          <w:rFonts w:ascii="Times New Roman" w:hAnsi="Times New Roman" w:cs="Times New Roman"/>
          <w:b/>
          <w:sz w:val="24"/>
          <w:szCs w:val="24"/>
        </w:rPr>
        <w:t>4</w:t>
      </w:r>
      <w:r w:rsidR="000A6B2F" w:rsidRPr="009935E0">
        <w:rPr>
          <w:rFonts w:ascii="Times New Roman" w:hAnsi="Times New Roman" w:cs="Times New Roman"/>
          <w:b/>
          <w:sz w:val="24"/>
          <w:szCs w:val="24"/>
        </w:rPr>
        <w:t>–</w:t>
      </w:r>
      <w:r w:rsidR="00B76BEB" w:rsidRPr="009935E0">
        <w:rPr>
          <w:rFonts w:ascii="Times New Roman" w:hAnsi="Times New Roman" w:cs="Times New Roman"/>
          <w:b/>
          <w:sz w:val="24"/>
          <w:szCs w:val="24"/>
        </w:rPr>
        <w:t xml:space="preserve">7 </w:t>
      </w:r>
      <w:r w:rsidR="005365BD" w:rsidRPr="009935E0">
        <w:rPr>
          <w:rFonts w:ascii="Times New Roman" w:hAnsi="Times New Roman" w:cs="Times New Roman"/>
          <w:b/>
          <w:sz w:val="24"/>
          <w:szCs w:val="24"/>
        </w:rPr>
        <w:t xml:space="preserve">i art. 9 </w:t>
      </w:r>
      <w:r w:rsidR="00851BFD" w:rsidRPr="009935E0">
        <w:rPr>
          <w:rFonts w:ascii="Times New Roman" w:hAnsi="Times New Roman" w:cs="Times New Roman"/>
          <w:b/>
          <w:sz w:val="24"/>
          <w:szCs w:val="24"/>
        </w:rPr>
        <w:t>dyrektywy)</w:t>
      </w:r>
    </w:p>
    <w:p w14:paraId="3B31FBC0" w14:textId="332A135D" w:rsidR="000767C8" w:rsidRPr="009935E0" w:rsidRDefault="004050CE"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Dyrektywa SATCAB II istotnie zmienia z</w:t>
      </w:r>
      <w:r w:rsidR="002305A0" w:rsidRPr="009935E0">
        <w:rPr>
          <w:rFonts w:ascii="Times New Roman" w:hAnsi="Times New Roman" w:cs="Times New Roman"/>
          <w:sz w:val="24"/>
          <w:szCs w:val="24"/>
        </w:rPr>
        <w:t>asady licencjonowania reemitowania</w:t>
      </w:r>
      <w:r w:rsidR="00E274F6" w:rsidRPr="009935E0">
        <w:rPr>
          <w:rFonts w:ascii="Times New Roman" w:hAnsi="Times New Roman" w:cs="Times New Roman"/>
          <w:sz w:val="24"/>
          <w:szCs w:val="24"/>
        </w:rPr>
        <w:t>, opierając się jednakże na założeniach i konstrukcjach przewidzianych w dyrektywie 93/83/EWG, implementowanych do polskiego prawa w art. 21</w:t>
      </w:r>
      <w:r w:rsidR="00E274F6" w:rsidRPr="009935E0">
        <w:rPr>
          <w:rFonts w:ascii="Times New Roman" w:hAnsi="Times New Roman" w:cs="Times New Roman"/>
          <w:sz w:val="24"/>
          <w:szCs w:val="24"/>
          <w:vertAlign w:val="superscript"/>
        </w:rPr>
        <w:t>1</w:t>
      </w:r>
      <w:r w:rsidR="00E274F6" w:rsidRPr="009935E0">
        <w:rPr>
          <w:rFonts w:ascii="Times New Roman" w:hAnsi="Times New Roman" w:cs="Times New Roman"/>
          <w:sz w:val="24"/>
          <w:szCs w:val="24"/>
        </w:rPr>
        <w:t xml:space="preserve"> ustawy o prawie autorskim. W aktualnym stanie prawnym obowiązuje zatem pośrednictwo organizacji zbiorowego</w:t>
      </w:r>
      <w:r w:rsidR="0013646F" w:rsidRPr="009935E0">
        <w:rPr>
          <w:rFonts w:ascii="Times New Roman" w:hAnsi="Times New Roman" w:cs="Times New Roman"/>
          <w:sz w:val="24"/>
          <w:szCs w:val="24"/>
        </w:rPr>
        <w:t xml:space="preserve"> zarządzania prawami autorskimi </w:t>
      </w:r>
      <w:r w:rsidR="00E274F6" w:rsidRPr="009935E0">
        <w:rPr>
          <w:rFonts w:ascii="Times New Roman" w:hAnsi="Times New Roman" w:cs="Times New Roman"/>
          <w:sz w:val="24"/>
          <w:szCs w:val="24"/>
        </w:rPr>
        <w:t>przy zawieran</w:t>
      </w:r>
      <w:r w:rsidR="002305A0" w:rsidRPr="009935E0">
        <w:rPr>
          <w:rFonts w:ascii="Times New Roman" w:hAnsi="Times New Roman" w:cs="Times New Roman"/>
          <w:sz w:val="24"/>
          <w:szCs w:val="24"/>
        </w:rPr>
        <w:t>iu umów licencyjnych na reemitowanie, ale wyłącznie w sieciach kablowych. Reemitowanie wykonywane</w:t>
      </w:r>
      <w:r w:rsidR="00817D0B" w:rsidRPr="009935E0">
        <w:rPr>
          <w:rFonts w:ascii="Times New Roman" w:hAnsi="Times New Roman" w:cs="Times New Roman"/>
          <w:sz w:val="24"/>
          <w:szCs w:val="24"/>
        </w:rPr>
        <w:t xml:space="preserve"> inną techniką nie podlega obowiązkowemu licencjonowaniu przez o</w:t>
      </w:r>
      <w:r w:rsidR="007874E7" w:rsidRPr="009935E0">
        <w:rPr>
          <w:rFonts w:ascii="Times New Roman" w:hAnsi="Times New Roman" w:cs="Times New Roman"/>
          <w:sz w:val="24"/>
          <w:szCs w:val="24"/>
        </w:rPr>
        <w:t xml:space="preserve">rganizacje </w:t>
      </w:r>
      <w:r w:rsidR="00817D0B" w:rsidRPr="009935E0">
        <w:rPr>
          <w:rFonts w:ascii="Times New Roman" w:hAnsi="Times New Roman" w:cs="Times New Roman"/>
          <w:sz w:val="24"/>
          <w:szCs w:val="24"/>
        </w:rPr>
        <w:t>z</w:t>
      </w:r>
      <w:r w:rsidR="007874E7" w:rsidRPr="009935E0">
        <w:rPr>
          <w:rFonts w:ascii="Times New Roman" w:hAnsi="Times New Roman" w:cs="Times New Roman"/>
          <w:sz w:val="24"/>
          <w:szCs w:val="24"/>
        </w:rPr>
        <w:t xml:space="preserve">biorowego </w:t>
      </w:r>
      <w:r w:rsidR="00817D0B" w:rsidRPr="009935E0">
        <w:rPr>
          <w:rFonts w:ascii="Times New Roman" w:hAnsi="Times New Roman" w:cs="Times New Roman"/>
          <w:sz w:val="24"/>
          <w:szCs w:val="24"/>
        </w:rPr>
        <w:t>z</w:t>
      </w:r>
      <w:r w:rsidR="007874E7" w:rsidRPr="009935E0">
        <w:rPr>
          <w:rFonts w:ascii="Times New Roman" w:hAnsi="Times New Roman" w:cs="Times New Roman"/>
          <w:sz w:val="24"/>
          <w:szCs w:val="24"/>
        </w:rPr>
        <w:t>arządzania</w:t>
      </w:r>
      <w:r w:rsidR="00817D0B" w:rsidRPr="009935E0">
        <w:rPr>
          <w:rFonts w:ascii="Times New Roman" w:hAnsi="Times New Roman" w:cs="Times New Roman"/>
          <w:sz w:val="24"/>
          <w:szCs w:val="24"/>
        </w:rPr>
        <w:t xml:space="preserve"> i </w:t>
      </w:r>
      <w:proofErr w:type="spellStart"/>
      <w:r w:rsidR="00817D0B" w:rsidRPr="009935E0">
        <w:rPr>
          <w:rFonts w:ascii="Times New Roman" w:hAnsi="Times New Roman" w:cs="Times New Roman"/>
          <w:sz w:val="24"/>
          <w:szCs w:val="24"/>
        </w:rPr>
        <w:t>reemitenci</w:t>
      </w:r>
      <w:proofErr w:type="spellEnd"/>
      <w:r w:rsidR="00817D0B" w:rsidRPr="009935E0">
        <w:rPr>
          <w:rFonts w:ascii="Times New Roman" w:hAnsi="Times New Roman" w:cs="Times New Roman"/>
          <w:sz w:val="24"/>
          <w:szCs w:val="24"/>
        </w:rPr>
        <w:t xml:space="preserve"> mogą uzyskiwać niezbędne licencje bezpośrednio od uprawnionych. Zgodnie z dyrektywą 93/83/EWG obowiązek pośrednictwa </w:t>
      </w:r>
      <w:r w:rsidR="00CB55F5" w:rsidRPr="009935E0">
        <w:rPr>
          <w:rFonts w:ascii="Times New Roman" w:hAnsi="Times New Roman" w:cs="Times New Roman"/>
          <w:sz w:val="24"/>
          <w:szCs w:val="24"/>
        </w:rPr>
        <w:t xml:space="preserve">organizacji zbiorowego zarządzania </w:t>
      </w:r>
      <w:r w:rsidR="00817D0B" w:rsidRPr="009935E0">
        <w:rPr>
          <w:rFonts w:ascii="Times New Roman" w:hAnsi="Times New Roman" w:cs="Times New Roman"/>
          <w:sz w:val="24"/>
          <w:szCs w:val="24"/>
        </w:rPr>
        <w:t>nie dotyczy praw „</w:t>
      </w:r>
      <w:r w:rsidR="00E274F6" w:rsidRPr="009935E0">
        <w:rPr>
          <w:rFonts w:ascii="Times New Roman" w:hAnsi="Times New Roman" w:cs="Times New Roman"/>
          <w:sz w:val="24"/>
          <w:szCs w:val="24"/>
        </w:rPr>
        <w:t>z których organizacja radiowa lub telewizyjna korzysta w odniesieniu do jej własnych transmisji, niezależnie od tego, czy dane prawa należą do tej organizacji, czy też zostały na nią przeniesione przez innego uprawnionego</w:t>
      </w:r>
      <w:r w:rsidR="00817D0B" w:rsidRPr="009935E0">
        <w:rPr>
          <w:rFonts w:ascii="Times New Roman" w:hAnsi="Times New Roman" w:cs="Times New Roman"/>
          <w:sz w:val="24"/>
          <w:szCs w:val="24"/>
        </w:rPr>
        <w:t>”</w:t>
      </w:r>
      <w:r w:rsidR="00E274F6" w:rsidRPr="009935E0">
        <w:rPr>
          <w:rFonts w:ascii="Times New Roman" w:hAnsi="Times New Roman" w:cs="Times New Roman"/>
          <w:sz w:val="24"/>
          <w:szCs w:val="24"/>
        </w:rPr>
        <w:t>.</w:t>
      </w:r>
      <w:r w:rsidR="00664FAF" w:rsidRPr="009935E0">
        <w:rPr>
          <w:rFonts w:ascii="Times New Roman" w:hAnsi="Times New Roman" w:cs="Times New Roman"/>
          <w:sz w:val="24"/>
          <w:szCs w:val="24"/>
        </w:rPr>
        <w:t xml:space="preserve"> Spory związane</w:t>
      </w:r>
      <w:r w:rsidR="00E274F6" w:rsidRPr="009935E0">
        <w:rPr>
          <w:rFonts w:ascii="Times New Roman" w:hAnsi="Times New Roman" w:cs="Times New Roman"/>
          <w:sz w:val="24"/>
          <w:szCs w:val="24"/>
        </w:rPr>
        <w:t xml:space="preserve"> z zawarciem i warunkami umowy</w:t>
      </w:r>
      <w:r w:rsidR="00664FAF" w:rsidRPr="009935E0">
        <w:rPr>
          <w:rFonts w:ascii="Times New Roman" w:hAnsi="Times New Roman" w:cs="Times New Roman"/>
          <w:sz w:val="24"/>
          <w:szCs w:val="24"/>
        </w:rPr>
        <w:t xml:space="preserve"> z</w:t>
      </w:r>
      <w:r w:rsidR="00CB55F5" w:rsidRPr="009935E0">
        <w:rPr>
          <w:rFonts w:ascii="Times New Roman" w:hAnsi="Times New Roman" w:cs="Times New Roman"/>
          <w:sz w:val="24"/>
          <w:szCs w:val="24"/>
        </w:rPr>
        <w:t xml:space="preserve"> organizacją zbiorowego zarządzania</w:t>
      </w:r>
      <w:r w:rsidR="00664FAF" w:rsidRPr="009935E0">
        <w:rPr>
          <w:rFonts w:ascii="Times New Roman" w:hAnsi="Times New Roman" w:cs="Times New Roman"/>
          <w:sz w:val="24"/>
          <w:szCs w:val="24"/>
        </w:rPr>
        <w:t xml:space="preserve"> mogą być rozpatrywane w trybie mediacji określonej w ustawie</w:t>
      </w:r>
      <w:r w:rsidR="00E274F6" w:rsidRPr="009935E0">
        <w:rPr>
          <w:rFonts w:ascii="Times New Roman" w:hAnsi="Times New Roman" w:cs="Times New Roman"/>
          <w:sz w:val="24"/>
          <w:szCs w:val="24"/>
        </w:rPr>
        <w:t xml:space="preserve"> o zbiorowym zarządzaniu.</w:t>
      </w:r>
      <w:r w:rsidR="00664FAF" w:rsidRPr="009935E0">
        <w:rPr>
          <w:rFonts w:ascii="Times New Roman" w:hAnsi="Times New Roman" w:cs="Times New Roman"/>
          <w:sz w:val="24"/>
          <w:szCs w:val="24"/>
        </w:rPr>
        <w:t xml:space="preserve"> Sama definicja pola eksploatacji reemitowanie </w:t>
      </w:r>
      <w:r w:rsidR="00C84549" w:rsidRPr="009935E0">
        <w:rPr>
          <w:rFonts w:ascii="Times New Roman" w:hAnsi="Times New Roman" w:cs="Times New Roman"/>
          <w:sz w:val="24"/>
          <w:szCs w:val="24"/>
        </w:rPr>
        <w:t xml:space="preserve">jest </w:t>
      </w:r>
      <w:r w:rsidR="00664FAF" w:rsidRPr="009935E0">
        <w:rPr>
          <w:rFonts w:ascii="Times New Roman" w:hAnsi="Times New Roman" w:cs="Times New Roman"/>
          <w:sz w:val="24"/>
          <w:szCs w:val="24"/>
        </w:rPr>
        <w:t>zawarta w art.</w:t>
      </w:r>
      <w:r w:rsidR="000767C8" w:rsidRPr="009935E0">
        <w:rPr>
          <w:rFonts w:ascii="Times New Roman" w:hAnsi="Times New Roman" w:cs="Times New Roman"/>
          <w:sz w:val="24"/>
          <w:szCs w:val="24"/>
        </w:rPr>
        <w:t xml:space="preserve"> 6</w:t>
      </w:r>
      <w:r w:rsidR="007C13F1" w:rsidRPr="009935E0">
        <w:rPr>
          <w:rFonts w:ascii="Times New Roman" w:hAnsi="Times New Roman" w:cs="Times New Roman"/>
          <w:sz w:val="24"/>
          <w:szCs w:val="24"/>
        </w:rPr>
        <w:t xml:space="preserve"> ust. 1 pkt 5</w:t>
      </w:r>
      <w:r w:rsidR="00664FAF" w:rsidRPr="009935E0">
        <w:rPr>
          <w:rFonts w:ascii="Times New Roman" w:hAnsi="Times New Roman" w:cs="Times New Roman"/>
          <w:sz w:val="24"/>
          <w:szCs w:val="24"/>
        </w:rPr>
        <w:t xml:space="preserve"> </w:t>
      </w:r>
      <w:r w:rsidR="000767C8" w:rsidRPr="009935E0">
        <w:rPr>
          <w:rFonts w:ascii="Times New Roman" w:hAnsi="Times New Roman" w:cs="Times New Roman"/>
          <w:sz w:val="24"/>
          <w:szCs w:val="24"/>
        </w:rPr>
        <w:t>ustawy o prawie autorskim i zgodnie z nią reemitowaniem utworu jest jego „rozpowszechnianie przez inny podmiot niż pierwotnie nadający, drogą przejmowania w całości i bez zmian programu organizacji radiowej lub telewizyjnej oraz równoczesnego i integralnego przekazywania tego programu do powszechnego odbioru”</w:t>
      </w:r>
      <w:r w:rsidR="003E13AA" w:rsidRPr="009935E0">
        <w:rPr>
          <w:rFonts w:ascii="Times New Roman" w:hAnsi="Times New Roman" w:cs="Times New Roman"/>
          <w:sz w:val="24"/>
          <w:szCs w:val="24"/>
        </w:rPr>
        <w:t>.</w:t>
      </w:r>
    </w:p>
    <w:p w14:paraId="0793D08A" w14:textId="16262FFA" w:rsidR="004050CE" w:rsidRPr="009935E0" w:rsidRDefault="003E13A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Operatorzy sieci kablowych wielokrotnie </w:t>
      </w:r>
      <w:r w:rsidR="00AD3059" w:rsidRPr="009935E0">
        <w:rPr>
          <w:rFonts w:ascii="Times New Roman" w:hAnsi="Times New Roman" w:cs="Times New Roman"/>
          <w:sz w:val="24"/>
          <w:szCs w:val="24"/>
        </w:rPr>
        <w:t xml:space="preserve">wskazywali na nierówne traktowanie względem pozostałych </w:t>
      </w:r>
      <w:proofErr w:type="spellStart"/>
      <w:r w:rsidR="00AD3059" w:rsidRPr="009935E0">
        <w:rPr>
          <w:rFonts w:ascii="Times New Roman" w:hAnsi="Times New Roman" w:cs="Times New Roman"/>
          <w:sz w:val="24"/>
          <w:szCs w:val="24"/>
        </w:rPr>
        <w:t>reemitentó</w:t>
      </w:r>
      <w:r w:rsidR="00067D8F" w:rsidRPr="009935E0">
        <w:rPr>
          <w:rFonts w:ascii="Times New Roman" w:hAnsi="Times New Roman" w:cs="Times New Roman"/>
          <w:sz w:val="24"/>
          <w:szCs w:val="24"/>
        </w:rPr>
        <w:t>w</w:t>
      </w:r>
      <w:proofErr w:type="spellEnd"/>
      <w:r w:rsidR="00067D8F" w:rsidRPr="009935E0">
        <w:rPr>
          <w:rFonts w:ascii="Times New Roman" w:hAnsi="Times New Roman" w:cs="Times New Roman"/>
          <w:sz w:val="24"/>
          <w:szCs w:val="24"/>
        </w:rPr>
        <w:t xml:space="preserve"> </w:t>
      </w:r>
      <w:r w:rsidR="00EC6C9A" w:rsidRPr="009935E0">
        <w:rPr>
          <w:rFonts w:ascii="Times New Roman" w:hAnsi="Times New Roman" w:cs="Times New Roman"/>
          <w:sz w:val="24"/>
          <w:szCs w:val="24"/>
        </w:rPr>
        <w:t>i tym samym brak „neutralności technologicznej” istniejących rozwią</w:t>
      </w:r>
      <w:r w:rsidR="008D6454" w:rsidRPr="009935E0">
        <w:rPr>
          <w:rFonts w:ascii="Times New Roman" w:hAnsi="Times New Roman" w:cs="Times New Roman"/>
          <w:sz w:val="24"/>
          <w:szCs w:val="24"/>
        </w:rPr>
        <w:t>zań.</w:t>
      </w:r>
      <w:r w:rsidR="00EC6C9A" w:rsidRPr="009935E0">
        <w:rPr>
          <w:rFonts w:ascii="Times New Roman" w:hAnsi="Times New Roman" w:cs="Times New Roman"/>
          <w:sz w:val="24"/>
          <w:szCs w:val="24"/>
        </w:rPr>
        <w:t xml:space="preserve"> </w:t>
      </w:r>
      <w:r w:rsidR="00067D8F" w:rsidRPr="009935E0">
        <w:rPr>
          <w:rFonts w:ascii="Times New Roman" w:hAnsi="Times New Roman" w:cs="Times New Roman"/>
          <w:sz w:val="24"/>
          <w:szCs w:val="24"/>
        </w:rPr>
        <w:t>Rozwój rynku doprowadził do tego, że jak wskazuje się w motywach dyrektywy (motyw 2)</w:t>
      </w:r>
      <w:r w:rsidR="00CB55F5" w:rsidRPr="009935E0">
        <w:rPr>
          <w:rFonts w:ascii="Times New Roman" w:hAnsi="Times New Roman" w:cs="Times New Roman"/>
          <w:sz w:val="24"/>
          <w:szCs w:val="24"/>
        </w:rPr>
        <w:t>,</w:t>
      </w:r>
      <w:r w:rsidR="00AA680C" w:rsidRPr="009935E0">
        <w:rPr>
          <w:rFonts w:ascii="Times New Roman" w:hAnsi="Times New Roman" w:cs="Times New Roman"/>
          <w:sz w:val="24"/>
          <w:szCs w:val="24"/>
        </w:rPr>
        <w:t xml:space="preserve"> reemitowanie </w:t>
      </w:r>
      <w:r w:rsidR="00C84549" w:rsidRPr="009935E0">
        <w:rPr>
          <w:rFonts w:ascii="Times New Roman" w:hAnsi="Times New Roman" w:cs="Times New Roman"/>
          <w:sz w:val="24"/>
          <w:szCs w:val="24"/>
        </w:rPr>
        <w:t xml:space="preserve">jest </w:t>
      </w:r>
      <w:r w:rsidR="00AA680C" w:rsidRPr="009935E0">
        <w:rPr>
          <w:rFonts w:ascii="Times New Roman" w:hAnsi="Times New Roman" w:cs="Times New Roman"/>
          <w:sz w:val="24"/>
          <w:szCs w:val="24"/>
        </w:rPr>
        <w:t>dokonywane</w:t>
      </w:r>
      <w:r w:rsidR="00067D8F" w:rsidRPr="009935E0">
        <w:rPr>
          <w:rFonts w:ascii="Times New Roman" w:hAnsi="Times New Roman" w:cs="Times New Roman"/>
          <w:sz w:val="24"/>
          <w:szCs w:val="24"/>
        </w:rPr>
        <w:t xml:space="preserve"> obecnie nie tylko przez sieć kablową czy przekaz satelitarny, ale stosowan</w:t>
      </w:r>
      <w:r w:rsidR="002264D6" w:rsidRPr="009935E0">
        <w:rPr>
          <w:rFonts w:ascii="Times New Roman" w:hAnsi="Times New Roman" w:cs="Times New Roman"/>
          <w:sz w:val="24"/>
          <w:szCs w:val="24"/>
        </w:rPr>
        <w:t>e</w:t>
      </w:r>
      <w:r w:rsidR="00067D8F" w:rsidRPr="009935E0">
        <w:rPr>
          <w:rFonts w:ascii="Times New Roman" w:hAnsi="Times New Roman" w:cs="Times New Roman"/>
          <w:sz w:val="24"/>
          <w:szCs w:val="24"/>
        </w:rPr>
        <w:t xml:space="preserve"> </w:t>
      </w:r>
      <w:r w:rsidR="002264D6" w:rsidRPr="009935E0">
        <w:rPr>
          <w:rFonts w:ascii="Times New Roman" w:hAnsi="Times New Roman" w:cs="Times New Roman"/>
          <w:sz w:val="24"/>
          <w:szCs w:val="24"/>
        </w:rPr>
        <w:t>są</w:t>
      </w:r>
      <w:r w:rsidR="00067D8F" w:rsidRPr="009935E0">
        <w:rPr>
          <w:rFonts w:ascii="Times New Roman" w:hAnsi="Times New Roman" w:cs="Times New Roman"/>
          <w:sz w:val="24"/>
          <w:szCs w:val="24"/>
        </w:rPr>
        <w:t xml:space="preserve"> także </w:t>
      </w:r>
      <w:r w:rsidR="00530E6F" w:rsidRPr="009935E0">
        <w:rPr>
          <w:rFonts w:ascii="Times New Roman" w:hAnsi="Times New Roman" w:cs="Times New Roman"/>
          <w:sz w:val="24"/>
          <w:szCs w:val="24"/>
        </w:rPr>
        <w:t>przykładowo:</w:t>
      </w:r>
      <w:r w:rsidR="00067D8F" w:rsidRPr="009935E0">
        <w:rPr>
          <w:rFonts w:ascii="Times New Roman" w:hAnsi="Times New Roman" w:cs="Times New Roman"/>
          <w:sz w:val="24"/>
          <w:szCs w:val="24"/>
        </w:rPr>
        <w:t xml:space="preserve"> </w:t>
      </w:r>
      <w:r w:rsidR="004050CE" w:rsidRPr="009935E0">
        <w:rPr>
          <w:rFonts w:ascii="Times New Roman" w:hAnsi="Times New Roman" w:cs="Times New Roman"/>
          <w:sz w:val="24"/>
          <w:szCs w:val="24"/>
        </w:rPr>
        <w:t>transmisja cyfrowa drogą naziemną, przekaz w systemach sieci mobilnych lub sieci zamkniętych opartych na protokole IP czy otwarty I</w:t>
      </w:r>
      <w:r w:rsidR="00194827" w:rsidRPr="009935E0">
        <w:rPr>
          <w:rFonts w:ascii="Times New Roman" w:hAnsi="Times New Roman" w:cs="Times New Roman"/>
          <w:sz w:val="24"/>
          <w:szCs w:val="24"/>
        </w:rPr>
        <w:t xml:space="preserve">nternet. </w:t>
      </w:r>
      <w:proofErr w:type="spellStart"/>
      <w:r w:rsidR="004050CE" w:rsidRPr="009935E0">
        <w:rPr>
          <w:rFonts w:ascii="Times New Roman" w:hAnsi="Times New Roman" w:cs="Times New Roman"/>
          <w:sz w:val="24"/>
          <w:szCs w:val="24"/>
        </w:rPr>
        <w:t>Reemitenci</w:t>
      </w:r>
      <w:proofErr w:type="spellEnd"/>
      <w:r w:rsidR="004050CE" w:rsidRPr="009935E0">
        <w:rPr>
          <w:rFonts w:ascii="Times New Roman" w:hAnsi="Times New Roman" w:cs="Times New Roman"/>
          <w:sz w:val="24"/>
          <w:szCs w:val="24"/>
        </w:rPr>
        <w:t xml:space="preserve"> korzystają również z różnych sposobów uzyskiwania sygnału od organizacji radiowych i telewizyjnych, w tym za pomocą tzw. wprowadzenia bezpośredniego, tj. bez jednoczesnego nadawania programu przez daną organizację</w:t>
      </w:r>
      <w:r w:rsidR="00194827" w:rsidRPr="009935E0">
        <w:rPr>
          <w:rFonts w:ascii="Times New Roman" w:hAnsi="Times New Roman" w:cs="Times New Roman"/>
          <w:sz w:val="24"/>
          <w:szCs w:val="24"/>
        </w:rPr>
        <w:t xml:space="preserve"> (o czym </w:t>
      </w:r>
      <w:r w:rsidR="00CB55F5" w:rsidRPr="009935E0">
        <w:rPr>
          <w:rFonts w:ascii="Times New Roman" w:hAnsi="Times New Roman" w:cs="Times New Roman"/>
          <w:sz w:val="24"/>
          <w:szCs w:val="24"/>
        </w:rPr>
        <w:t>niżej</w:t>
      </w:r>
      <w:r w:rsidR="00194827" w:rsidRPr="009935E0">
        <w:rPr>
          <w:rFonts w:ascii="Times New Roman" w:hAnsi="Times New Roman" w:cs="Times New Roman"/>
          <w:sz w:val="24"/>
          <w:szCs w:val="24"/>
        </w:rPr>
        <w:t>)</w:t>
      </w:r>
      <w:r w:rsidR="004050CE" w:rsidRPr="009935E0">
        <w:rPr>
          <w:rFonts w:ascii="Times New Roman" w:hAnsi="Times New Roman" w:cs="Times New Roman"/>
          <w:sz w:val="24"/>
          <w:szCs w:val="24"/>
        </w:rPr>
        <w:t>. Wśród użytkowników obserwuje się rosnące zapotrzebowanie na dostęp do programów telewizyjnych i radiowych, które pochodzą nie tylko z ich państwa c</w:t>
      </w:r>
      <w:r w:rsidR="00194827" w:rsidRPr="009935E0">
        <w:rPr>
          <w:rFonts w:ascii="Times New Roman" w:hAnsi="Times New Roman" w:cs="Times New Roman"/>
          <w:sz w:val="24"/>
          <w:szCs w:val="24"/>
        </w:rPr>
        <w:t>złonkowskiego</w:t>
      </w:r>
      <w:r w:rsidR="002264D6" w:rsidRPr="009935E0">
        <w:rPr>
          <w:rFonts w:ascii="Times New Roman" w:hAnsi="Times New Roman" w:cs="Times New Roman"/>
          <w:sz w:val="24"/>
          <w:szCs w:val="24"/>
        </w:rPr>
        <w:t>,</w:t>
      </w:r>
      <w:r w:rsidR="004050CE" w:rsidRPr="009935E0">
        <w:rPr>
          <w:rFonts w:ascii="Times New Roman" w:hAnsi="Times New Roman" w:cs="Times New Roman"/>
          <w:sz w:val="24"/>
          <w:szCs w:val="24"/>
        </w:rPr>
        <w:t xml:space="preserve"> lecz również z innych </w:t>
      </w:r>
      <w:r w:rsidR="004050CE" w:rsidRPr="009935E0">
        <w:rPr>
          <w:rFonts w:ascii="Times New Roman" w:hAnsi="Times New Roman" w:cs="Times New Roman"/>
          <w:sz w:val="24"/>
          <w:szCs w:val="24"/>
        </w:rPr>
        <w:lastRenderedPageBreak/>
        <w:t xml:space="preserve">państw członkowskich. Do grona takich użytkowników należą </w:t>
      </w:r>
      <w:r w:rsidR="00CB55F5" w:rsidRPr="009935E0">
        <w:rPr>
          <w:rFonts w:ascii="Times New Roman" w:hAnsi="Times New Roman" w:cs="Times New Roman"/>
          <w:sz w:val="24"/>
          <w:szCs w:val="24"/>
        </w:rPr>
        <w:t>tak</w:t>
      </w:r>
      <w:r w:rsidR="00194827" w:rsidRPr="009935E0">
        <w:rPr>
          <w:rFonts w:ascii="Times New Roman" w:hAnsi="Times New Roman" w:cs="Times New Roman"/>
          <w:sz w:val="24"/>
          <w:szCs w:val="24"/>
        </w:rPr>
        <w:t>ż</w:t>
      </w:r>
      <w:r w:rsidR="00CB55F5" w:rsidRPr="009935E0">
        <w:rPr>
          <w:rFonts w:ascii="Times New Roman" w:hAnsi="Times New Roman" w:cs="Times New Roman"/>
          <w:sz w:val="24"/>
          <w:szCs w:val="24"/>
        </w:rPr>
        <w:t>e</w:t>
      </w:r>
      <w:r w:rsidR="00194827" w:rsidRPr="009935E0">
        <w:rPr>
          <w:rFonts w:ascii="Times New Roman" w:hAnsi="Times New Roman" w:cs="Times New Roman"/>
          <w:sz w:val="24"/>
          <w:szCs w:val="24"/>
        </w:rPr>
        <w:t xml:space="preserve"> np.</w:t>
      </w:r>
      <w:r w:rsidR="004050CE" w:rsidRPr="009935E0">
        <w:rPr>
          <w:rFonts w:ascii="Times New Roman" w:hAnsi="Times New Roman" w:cs="Times New Roman"/>
          <w:sz w:val="24"/>
          <w:szCs w:val="24"/>
        </w:rPr>
        <w:t xml:space="preserve"> członkowie mniejszości językowych U</w:t>
      </w:r>
      <w:r w:rsidR="00A94C99" w:rsidRPr="009935E0">
        <w:rPr>
          <w:rFonts w:ascii="Times New Roman" w:hAnsi="Times New Roman" w:cs="Times New Roman"/>
          <w:sz w:val="24"/>
          <w:szCs w:val="24"/>
        </w:rPr>
        <w:t xml:space="preserve">nii </w:t>
      </w:r>
      <w:r w:rsidR="002264D6"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4050CE" w:rsidRPr="009935E0">
        <w:rPr>
          <w:rFonts w:ascii="Times New Roman" w:hAnsi="Times New Roman" w:cs="Times New Roman"/>
          <w:sz w:val="24"/>
          <w:szCs w:val="24"/>
        </w:rPr>
        <w:t xml:space="preserve"> oraz osoby, które mieszkają w państwie członkowskim innym niż państwo członko</w:t>
      </w:r>
      <w:r w:rsidR="00194827" w:rsidRPr="009935E0">
        <w:rPr>
          <w:rFonts w:ascii="Times New Roman" w:hAnsi="Times New Roman" w:cs="Times New Roman"/>
          <w:sz w:val="24"/>
          <w:szCs w:val="24"/>
        </w:rPr>
        <w:t xml:space="preserve">wskie ich pochodzenia. </w:t>
      </w:r>
    </w:p>
    <w:p w14:paraId="4CB4052A" w14:textId="77777777" w:rsidR="008058D5" w:rsidRPr="009935E0" w:rsidRDefault="004050CE"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Organizacje radiowe i telewizyjne codziennie przez wiele godzin</w:t>
      </w:r>
      <w:r w:rsidR="00194827" w:rsidRPr="009935E0">
        <w:rPr>
          <w:rFonts w:ascii="Times New Roman" w:hAnsi="Times New Roman" w:cs="Times New Roman"/>
          <w:sz w:val="24"/>
          <w:szCs w:val="24"/>
        </w:rPr>
        <w:t xml:space="preserve"> nadają</w:t>
      </w:r>
      <w:r w:rsidRPr="009935E0">
        <w:rPr>
          <w:rFonts w:ascii="Times New Roman" w:hAnsi="Times New Roman" w:cs="Times New Roman"/>
          <w:sz w:val="24"/>
          <w:szCs w:val="24"/>
        </w:rPr>
        <w:t xml:space="preserve"> </w:t>
      </w:r>
      <w:r w:rsidR="00194827" w:rsidRPr="009935E0">
        <w:rPr>
          <w:rFonts w:ascii="Times New Roman" w:hAnsi="Times New Roman" w:cs="Times New Roman"/>
          <w:sz w:val="24"/>
          <w:szCs w:val="24"/>
        </w:rPr>
        <w:t xml:space="preserve">programy telewizyjne i radiowe </w:t>
      </w:r>
      <w:r w:rsidRPr="009935E0">
        <w:rPr>
          <w:rFonts w:ascii="Times New Roman" w:hAnsi="Times New Roman" w:cs="Times New Roman"/>
          <w:sz w:val="24"/>
          <w:szCs w:val="24"/>
        </w:rPr>
        <w:t>zawierają</w:t>
      </w:r>
      <w:r w:rsidR="00194827" w:rsidRPr="009935E0">
        <w:rPr>
          <w:rFonts w:ascii="Times New Roman" w:hAnsi="Times New Roman" w:cs="Times New Roman"/>
          <w:sz w:val="24"/>
          <w:szCs w:val="24"/>
        </w:rPr>
        <w:t>ce</w:t>
      </w:r>
      <w:r w:rsidRPr="009935E0">
        <w:rPr>
          <w:rFonts w:ascii="Times New Roman" w:hAnsi="Times New Roman" w:cs="Times New Roman"/>
          <w:sz w:val="24"/>
          <w:szCs w:val="24"/>
        </w:rPr>
        <w:t xml:space="preserve"> różnorodne treści, </w:t>
      </w:r>
      <w:r w:rsidR="00194827" w:rsidRPr="009935E0">
        <w:rPr>
          <w:rFonts w:ascii="Times New Roman" w:hAnsi="Times New Roman" w:cs="Times New Roman"/>
          <w:sz w:val="24"/>
          <w:szCs w:val="24"/>
        </w:rPr>
        <w:t xml:space="preserve">w tym </w:t>
      </w:r>
      <w:r w:rsidRPr="009935E0">
        <w:rPr>
          <w:rFonts w:ascii="Times New Roman" w:hAnsi="Times New Roman" w:cs="Times New Roman"/>
          <w:sz w:val="24"/>
          <w:szCs w:val="24"/>
        </w:rPr>
        <w:t>np. utwory audiowizualne, muzyczne, literackie czy graficzne, chronione prawem autorskim lub prawami pokrewnymi. Skutkuje to złożonym procesem weryfikacji lub pozyskiwania praw należących do wielu uprawnionych i dotyczących różnych kategorii utworów i przedmiotów praw pokrewnych.</w:t>
      </w:r>
      <w:r w:rsidR="00D31226"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Często prawa </w:t>
      </w:r>
      <w:r w:rsidR="006B057B" w:rsidRPr="009935E0">
        <w:rPr>
          <w:rFonts w:ascii="Times New Roman" w:hAnsi="Times New Roman" w:cs="Times New Roman"/>
          <w:sz w:val="24"/>
          <w:szCs w:val="24"/>
        </w:rPr>
        <w:t xml:space="preserve">te </w:t>
      </w:r>
      <w:r w:rsidRPr="009935E0">
        <w:rPr>
          <w:rFonts w:ascii="Times New Roman" w:hAnsi="Times New Roman" w:cs="Times New Roman"/>
          <w:sz w:val="24"/>
          <w:szCs w:val="24"/>
        </w:rPr>
        <w:t>należy zweryfikować lub pozyskać w krótkim termin</w:t>
      </w:r>
      <w:r w:rsidR="006B057B" w:rsidRPr="009935E0">
        <w:rPr>
          <w:rFonts w:ascii="Times New Roman" w:hAnsi="Times New Roman" w:cs="Times New Roman"/>
          <w:sz w:val="24"/>
          <w:szCs w:val="24"/>
        </w:rPr>
        <w:t xml:space="preserve">ie, w szczególności w przypadku przygotowywania programów informacyjnych czy publicystycznych. Jak podkreśla się w motywach dyrektywy </w:t>
      </w:r>
      <w:r w:rsidR="00E33F74" w:rsidRPr="009935E0">
        <w:rPr>
          <w:rFonts w:ascii="Times New Roman" w:hAnsi="Times New Roman" w:cs="Times New Roman"/>
          <w:sz w:val="24"/>
          <w:szCs w:val="24"/>
        </w:rPr>
        <w:t xml:space="preserve">SATCAB II </w:t>
      </w:r>
      <w:r w:rsidR="006B057B" w:rsidRPr="009935E0">
        <w:rPr>
          <w:rFonts w:ascii="Times New Roman" w:hAnsi="Times New Roman" w:cs="Times New Roman"/>
          <w:sz w:val="24"/>
          <w:szCs w:val="24"/>
        </w:rPr>
        <w:t>(motyw 3), a</w:t>
      </w:r>
      <w:r w:rsidRPr="009935E0">
        <w:rPr>
          <w:rFonts w:ascii="Times New Roman" w:hAnsi="Times New Roman" w:cs="Times New Roman"/>
          <w:sz w:val="24"/>
          <w:szCs w:val="24"/>
        </w:rPr>
        <w:t xml:space="preserve">by udostępniać swoje </w:t>
      </w:r>
      <w:r w:rsidR="006B057B" w:rsidRPr="009935E0">
        <w:rPr>
          <w:rFonts w:ascii="Times New Roman" w:hAnsi="Times New Roman" w:cs="Times New Roman"/>
          <w:sz w:val="24"/>
          <w:szCs w:val="24"/>
        </w:rPr>
        <w:t>programy za</w:t>
      </w:r>
      <w:r w:rsidR="00CB55F5" w:rsidRPr="009935E0">
        <w:rPr>
          <w:rFonts w:ascii="Times New Roman" w:hAnsi="Times New Roman" w:cs="Times New Roman"/>
          <w:sz w:val="24"/>
          <w:szCs w:val="24"/>
        </w:rPr>
        <w:t xml:space="preserve"> </w:t>
      </w:r>
      <w:r w:rsidRPr="009935E0">
        <w:rPr>
          <w:rFonts w:ascii="Times New Roman" w:hAnsi="Times New Roman" w:cs="Times New Roman"/>
          <w:sz w:val="24"/>
          <w:szCs w:val="24"/>
        </w:rPr>
        <w:t>granicą, organizacje radiowe i telewizyjne muszą posiadać wymagane prawa dla wszystkich terytoriów, których to dotyczy, przez co kwestia weryfikacji lub pozyskiwania takich pra</w:t>
      </w:r>
      <w:r w:rsidR="006B057B" w:rsidRPr="009935E0">
        <w:rPr>
          <w:rFonts w:ascii="Times New Roman" w:hAnsi="Times New Roman" w:cs="Times New Roman"/>
          <w:sz w:val="24"/>
          <w:szCs w:val="24"/>
        </w:rPr>
        <w:t xml:space="preserve">w staje się szczególnie złożona. </w:t>
      </w:r>
      <w:r w:rsidR="00945BE9" w:rsidRPr="009935E0">
        <w:rPr>
          <w:rFonts w:ascii="Times New Roman" w:hAnsi="Times New Roman" w:cs="Times New Roman"/>
          <w:sz w:val="24"/>
          <w:szCs w:val="24"/>
        </w:rPr>
        <w:t>W przypadku organizacji radiowych i tel</w:t>
      </w:r>
      <w:r w:rsidR="00CB55F5" w:rsidRPr="009935E0">
        <w:rPr>
          <w:rFonts w:ascii="Times New Roman" w:hAnsi="Times New Roman" w:cs="Times New Roman"/>
          <w:sz w:val="24"/>
          <w:szCs w:val="24"/>
        </w:rPr>
        <w:t>ewizyjnych problemy te</w:t>
      </w:r>
      <w:r w:rsidR="00945BE9" w:rsidRPr="009935E0">
        <w:rPr>
          <w:rFonts w:ascii="Times New Roman" w:hAnsi="Times New Roman" w:cs="Times New Roman"/>
          <w:sz w:val="24"/>
          <w:szCs w:val="24"/>
        </w:rPr>
        <w:t xml:space="preserve"> częś</w:t>
      </w:r>
      <w:r w:rsidR="00CB55F5" w:rsidRPr="009935E0">
        <w:rPr>
          <w:rFonts w:ascii="Times New Roman" w:hAnsi="Times New Roman" w:cs="Times New Roman"/>
          <w:sz w:val="24"/>
          <w:szCs w:val="24"/>
        </w:rPr>
        <w:t>ciowo rozwiązują</w:t>
      </w:r>
      <w:r w:rsidR="00945BE9" w:rsidRPr="009935E0">
        <w:rPr>
          <w:rFonts w:ascii="Times New Roman" w:hAnsi="Times New Roman" w:cs="Times New Roman"/>
          <w:sz w:val="24"/>
          <w:szCs w:val="24"/>
        </w:rPr>
        <w:t xml:space="preserve"> przepisy </w:t>
      </w:r>
      <w:r w:rsidR="00CB55F5" w:rsidRPr="009935E0">
        <w:rPr>
          <w:rFonts w:ascii="Times New Roman" w:hAnsi="Times New Roman" w:cs="Times New Roman"/>
          <w:sz w:val="24"/>
          <w:szCs w:val="24"/>
        </w:rPr>
        <w:t xml:space="preserve">dyrektywy </w:t>
      </w:r>
      <w:r w:rsidR="00945BE9" w:rsidRPr="009935E0">
        <w:rPr>
          <w:rFonts w:ascii="Times New Roman" w:hAnsi="Times New Roman" w:cs="Times New Roman"/>
          <w:sz w:val="24"/>
          <w:szCs w:val="24"/>
        </w:rPr>
        <w:t xml:space="preserve">wprowadzające zasadę państwa pochodzenia na potrzeby eksploatacji utworów i przedmiotów praw pokrewnych w ramach świadczenia dodatkowych usług online. </w:t>
      </w:r>
      <w:r w:rsidR="00CB55F5" w:rsidRPr="009935E0">
        <w:rPr>
          <w:rFonts w:ascii="Times New Roman" w:hAnsi="Times New Roman" w:cs="Times New Roman"/>
          <w:sz w:val="24"/>
          <w:szCs w:val="24"/>
        </w:rPr>
        <w:t>Z</w:t>
      </w:r>
      <w:r w:rsidRPr="009935E0">
        <w:rPr>
          <w:rFonts w:ascii="Times New Roman" w:hAnsi="Times New Roman" w:cs="Times New Roman"/>
          <w:sz w:val="24"/>
          <w:szCs w:val="24"/>
        </w:rPr>
        <w:t xml:space="preserve"> podobnymi problemami muszą </w:t>
      </w:r>
      <w:r w:rsidR="00CB55F5" w:rsidRPr="009935E0">
        <w:rPr>
          <w:rFonts w:ascii="Times New Roman" w:hAnsi="Times New Roman" w:cs="Times New Roman"/>
          <w:sz w:val="24"/>
          <w:szCs w:val="24"/>
        </w:rPr>
        <w:t xml:space="preserve">się jednak </w:t>
      </w:r>
      <w:r w:rsidRPr="009935E0">
        <w:rPr>
          <w:rFonts w:ascii="Times New Roman" w:hAnsi="Times New Roman" w:cs="Times New Roman"/>
          <w:sz w:val="24"/>
          <w:szCs w:val="24"/>
        </w:rPr>
        <w:t xml:space="preserve">mierzyć </w:t>
      </w:r>
      <w:r w:rsidR="00945BE9" w:rsidRPr="009935E0">
        <w:rPr>
          <w:rFonts w:ascii="Times New Roman" w:hAnsi="Times New Roman" w:cs="Times New Roman"/>
          <w:sz w:val="24"/>
          <w:szCs w:val="24"/>
        </w:rPr>
        <w:t xml:space="preserve">także </w:t>
      </w:r>
      <w:proofErr w:type="spellStart"/>
      <w:r w:rsidR="00945BE9" w:rsidRPr="009935E0">
        <w:rPr>
          <w:rFonts w:ascii="Times New Roman" w:hAnsi="Times New Roman" w:cs="Times New Roman"/>
          <w:sz w:val="24"/>
          <w:szCs w:val="24"/>
        </w:rPr>
        <w:t>reemitenci</w:t>
      </w:r>
      <w:proofErr w:type="spellEnd"/>
      <w:r w:rsidR="00945BE9" w:rsidRPr="009935E0">
        <w:rPr>
          <w:rFonts w:ascii="Times New Roman" w:hAnsi="Times New Roman" w:cs="Times New Roman"/>
          <w:sz w:val="24"/>
          <w:szCs w:val="24"/>
        </w:rPr>
        <w:t xml:space="preserve">, którzy rozpowszechniają te same programy radiowe i telewizyjne, ale inną techniką i w pakietach obejmujących nieraz programy kilkuset </w:t>
      </w:r>
      <w:r w:rsidR="004D4BEC" w:rsidRPr="009935E0">
        <w:rPr>
          <w:rFonts w:ascii="Times New Roman" w:hAnsi="Times New Roman" w:cs="Times New Roman"/>
          <w:sz w:val="24"/>
          <w:szCs w:val="24"/>
        </w:rPr>
        <w:t xml:space="preserve">nadawców. </w:t>
      </w:r>
      <w:r w:rsidR="00AA680C" w:rsidRPr="009935E0">
        <w:rPr>
          <w:rFonts w:ascii="Times New Roman" w:hAnsi="Times New Roman" w:cs="Times New Roman"/>
          <w:sz w:val="24"/>
          <w:szCs w:val="24"/>
        </w:rPr>
        <w:t>Reemitowanie</w:t>
      </w:r>
      <w:r w:rsidR="00945BE9" w:rsidRPr="009935E0">
        <w:rPr>
          <w:rFonts w:ascii="Times New Roman" w:hAnsi="Times New Roman" w:cs="Times New Roman"/>
          <w:sz w:val="24"/>
          <w:szCs w:val="24"/>
        </w:rPr>
        <w:t xml:space="preserve"> obejmuje zatem </w:t>
      </w:r>
      <w:r w:rsidRPr="009935E0">
        <w:rPr>
          <w:rFonts w:ascii="Times New Roman" w:hAnsi="Times New Roman" w:cs="Times New Roman"/>
          <w:sz w:val="24"/>
          <w:szCs w:val="24"/>
        </w:rPr>
        <w:t xml:space="preserve">ogromną liczbę utworów </w:t>
      </w:r>
      <w:r w:rsidR="00945BE9" w:rsidRPr="009935E0">
        <w:rPr>
          <w:rFonts w:ascii="Times New Roman" w:hAnsi="Times New Roman" w:cs="Times New Roman"/>
          <w:sz w:val="24"/>
          <w:szCs w:val="24"/>
        </w:rPr>
        <w:t xml:space="preserve">i przedmiotów praw pokrewnych, a </w:t>
      </w:r>
      <w:proofErr w:type="spellStart"/>
      <w:r w:rsidR="00945BE9" w:rsidRPr="009935E0">
        <w:rPr>
          <w:rFonts w:ascii="Times New Roman" w:hAnsi="Times New Roman" w:cs="Times New Roman"/>
          <w:sz w:val="24"/>
          <w:szCs w:val="24"/>
        </w:rPr>
        <w:t>reemitenci</w:t>
      </w:r>
      <w:proofErr w:type="spellEnd"/>
      <w:r w:rsidR="006E46DF" w:rsidRPr="009935E0">
        <w:rPr>
          <w:rFonts w:ascii="Times New Roman" w:hAnsi="Times New Roman" w:cs="Times New Roman"/>
          <w:sz w:val="24"/>
          <w:szCs w:val="24"/>
        </w:rPr>
        <w:t>,</w:t>
      </w:r>
      <w:r w:rsidR="00945BE9" w:rsidRPr="009935E0">
        <w:rPr>
          <w:rFonts w:ascii="Times New Roman" w:hAnsi="Times New Roman" w:cs="Times New Roman"/>
          <w:sz w:val="24"/>
          <w:szCs w:val="24"/>
        </w:rPr>
        <w:t xml:space="preserve"> podobnie jak nadawcy, </w:t>
      </w:r>
      <w:r w:rsidR="004D4BEC" w:rsidRPr="009935E0">
        <w:rPr>
          <w:rFonts w:ascii="Times New Roman" w:hAnsi="Times New Roman" w:cs="Times New Roman"/>
          <w:sz w:val="24"/>
          <w:szCs w:val="24"/>
        </w:rPr>
        <w:t xml:space="preserve">także </w:t>
      </w:r>
      <w:r w:rsidRPr="009935E0">
        <w:rPr>
          <w:rFonts w:ascii="Times New Roman" w:hAnsi="Times New Roman" w:cs="Times New Roman"/>
          <w:sz w:val="24"/>
          <w:szCs w:val="24"/>
        </w:rPr>
        <w:t xml:space="preserve">mają bardzo mało czasu na uzyskanie niezbędnych licencji. </w:t>
      </w:r>
      <w:r w:rsidR="00945BE9" w:rsidRPr="009935E0">
        <w:rPr>
          <w:rFonts w:ascii="Times New Roman" w:hAnsi="Times New Roman" w:cs="Times New Roman"/>
          <w:sz w:val="24"/>
          <w:szCs w:val="24"/>
        </w:rPr>
        <w:t>P</w:t>
      </w:r>
      <w:r w:rsidRPr="009935E0">
        <w:rPr>
          <w:rFonts w:ascii="Times New Roman" w:hAnsi="Times New Roman" w:cs="Times New Roman"/>
          <w:sz w:val="24"/>
          <w:szCs w:val="24"/>
        </w:rPr>
        <w:t xml:space="preserve">owstaje zatem ryzyko, że </w:t>
      </w:r>
      <w:r w:rsidR="00945BE9" w:rsidRPr="009935E0">
        <w:rPr>
          <w:rFonts w:ascii="Times New Roman" w:hAnsi="Times New Roman" w:cs="Times New Roman"/>
          <w:sz w:val="24"/>
          <w:szCs w:val="24"/>
        </w:rPr>
        <w:t xml:space="preserve">chronione </w:t>
      </w:r>
      <w:r w:rsidRPr="009935E0">
        <w:rPr>
          <w:rFonts w:ascii="Times New Roman" w:hAnsi="Times New Roman" w:cs="Times New Roman"/>
          <w:sz w:val="24"/>
          <w:szCs w:val="24"/>
        </w:rPr>
        <w:t xml:space="preserve">utwory i przedmioty praw pokrewnych będą eksploatowane bez zezwolenia </w:t>
      </w:r>
      <w:r w:rsidR="004D4BEC" w:rsidRPr="009935E0">
        <w:rPr>
          <w:rFonts w:ascii="Times New Roman" w:hAnsi="Times New Roman" w:cs="Times New Roman"/>
          <w:sz w:val="24"/>
          <w:szCs w:val="24"/>
        </w:rPr>
        <w:t xml:space="preserve">uprawnionych </w:t>
      </w:r>
      <w:r w:rsidRPr="009935E0">
        <w:rPr>
          <w:rFonts w:ascii="Times New Roman" w:hAnsi="Times New Roman" w:cs="Times New Roman"/>
          <w:sz w:val="24"/>
          <w:szCs w:val="24"/>
        </w:rPr>
        <w:t xml:space="preserve">lub bez wypłaty </w:t>
      </w:r>
      <w:r w:rsidR="004D4BEC" w:rsidRPr="009935E0">
        <w:rPr>
          <w:rFonts w:ascii="Times New Roman" w:hAnsi="Times New Roman" w:cs="Times New Roman"/>
          <w:sz w:val="24"/>
          <w:szCs w:val="24"/>
        </w:rPr>
        <w:t xml:space="preserve">im </w:t>
      </w:r>
      <w:r w:rsidRPr="009935E0">
        <w:rPr>
          <w:rFonts w:ascii="Times New Roman" w:hAnsi="Times New Roman" w:cs="Times New Roman"/>
          <w:sz w:val="24"/>
          <w:szCs w:val="24"/>
        </w:rPr>
        <w:t>go</w:t>
      </w:r>
      <w:r w:rsidR="003C7CA4" w:rsidRPr="009935E0">
        <w:rPr>
          <w:rFonts w:ascii="Times New Roman" w:hAnsi="Times New Roman" w:cs="Times New Roman"/>
          <w:sz w:val="24"/>
          <w:szCs w:val="24"/>
        </w:rPr>
        <w:t xml:space="preserve">dziwego wynagrodzenia (motywy 3 i </w:t>
      </w:r>
      <w:r w:rsidRPr="009935E0">
        <w:rPr>
          <w:rFonts w:ascii="Times New Roman" w:hAnsi="Times New Roman" w:cs="Times New Roman"/>
          <w:sz w:val="24"/>
          <w:szCs w:val="24"/>
        </w:rPr>
        <w:t>4</w:t>
      </w:r>
      <w:r w:rsidR="003C7CA4" w:rsidRPr="009935E0">
        <w:rPr>
          <w:rFonts w:ascii="Times New Roman" w:hAnsi="Times New Roman" w:cs="Times New Roman"/>
          <w:sz w:val="24"/>
          <w:szCs w:val="24"/>
        </w:rPr>
        <w:t xml:space="preserve"> dyrektywy</w:t>
      </w:r>
      <w:r w:rsidR="006E46DF" w:rsidRPr="009935E0">
        <w:rPr>
          <w:rFonts w:ascii="Times New Roman" w:hAnsi="Times New Roman" w:cs="Times New Roman"/>
          <w:sz w:val="24"/>
          <w:szCs w:val="24"/>
        </w:rPr>
        <w:t>).</w:t>
      </w:r>
      <w:r w:rsidR="00A627F2" w:rsidRPr="009935E0">
        <w:rPr>
          <w:rFonts w:ascii="Times New Roman" w:hAnsi="Times New Roman" w:cs="Times New Roman"/>
          <w:sz w:val="24"/>
          <w:szCs w:val="24"/>
        </w:rPr>
        <w:t xml:space="preserve"> Minimalizacji tego ryzyka służy obowiązkowe pośrednictwo o</w:t>
      </w:r>
      <w:r w:rsidR="00CB55F5" w:rsidRPr="009935E0">
        <w:rPr>
          <w:rFonts w:ascii="Times New Roman" w:hAnsi="Times New Roman" w:cs="Times New Roman"/>
          <w:sz w:val="24"/>
          <w:szCs w:val="24"/>
        </w:rPr>
        <w:t xml:space="preserve">rganizacji </w:t>
      </w:r>
      <w:r w:rsidR="00A627F2" w:rsidRPr="009935E0">
        <w:rPr>
          <w:rFonts w:ascii="Times New Roman" w:hAnsi="Times New Roman" w:cs="Times New Roman"/>
          <w:sz w:val="24"/>
          <w:szCs w:val="24"/>
        </w:rPr>
        <w:t>z</w:t>
      </w:r>
      <w:r w:rsidR="00CB55F5" w:rsidRPr="009935E0">
        <w:rPr>
          <w:rFonts w:ascii="Times New Roman" w:hAnsi="Times New Roman" w:cs="Times New Roman"/>
          <w:sz w:val="24"/>
          <w:szCs w:val="24"/>
        </w:rPr>
        <w:t xml:space="preserve">biorowego </w:t>
      </w:r>
      <w:r w:rsidR="00A627F2" w:rsidRPr="009935E0">
        <w:rPr>
          <w:rFonts w:ascii="Times New Roman" w:hAnsi="Times New Roman" w:cs="Times New Roman"/>
          <w:sz w:val="24"/>
          <w:szCs w:val="24"/>
        </w:rPr>
        <w:t>z</w:t>
      </w:r>
      <w:r w:rsidR="00CB55F5" w:rsidRPr="009935E0">
        <w:rPr>
          <w:rFonts w:ascii="Times New Roman" w:hAnsi="Times New Roman" w:cs="Times New Roman"/>
          <w:sz w:val="24"/>
          <w:szCs w:val="24"/>
        </w:rPr>
        <w:t>arządzania</w:t>
      </w:r>
      <w:r w:rsidR="00A627F2" w:rsidRPr="009935E0">
        <w:rPr>
          <w:rFonts w:ascii="Times New Roman" w:hAnsi="Times New Roman" w:cs="Times New Roman"/>
          <w:sz w:val="24"/>
          <w:szCs w:val="24"/>
        </w:rPr>
        <w:t>.</w:t>
      </w:r>
    </w:p>
    <w:p w14:paraId="3136FD97" w14:textId="79637F12" w:rsidR="00182FE6" w:rsidRPr="009935E0" w:rsidRDefault="00DA61C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Dyrektywa </w:t>
      </w:r>
      <w:r w:rsidR="004050CE" w:rsidRPr="009935E0">
        <w:rPr>
          <w:rFonts w:ascii="Times New Roman" w:hAnsi="Times New Roman" w:cs="Times New Roman"/>
          <w:sz w:val="24"/>
          <w:szCs w:val="24"/>
        </w:rPr>
        <w:t>93/83/EWG ułatwia transgraniczny prze</w:t>
      </w:r>
      <w:r w:rsidR="00AA680C" w:rsidRPr="009935E0">
        <w:rPr>
          <w:rFonts w:ascii="Times New Roman" w:hAnsi="Times New Roman" w:cs="Times New Roman"/>
          <w:sz w:val="24"/>
          <w:szCs w:val="24"/>
        </w:rPr>
        <w:t>kaz satelitarny i transgraniczne reemitowanie</w:t>
      </w:r>
      <w:r w:rsidR="004050CE" w:rsidRPr="009935E0">
        <w:rPr>
          <w:rFonts w:ascii="Times New Roman" w:hAnsi="Times New Roman" w:cs="Times New Roman"/>
          <w:sz w:val="24"/>
          <w:szCs w:val="24"/>
        </w:rPr>
        <w:t xml:space="preserve"> drogą kablową programów telewizyjnych i radiowych z innych państw członkowskich. Przepisy te nie mają jednak zastosowania do dodatkowych usług online związanych z nadawanymi programam</w:t>
      </w:r>
      <w:r w:rsidR="00AA680C" w:rsidRPr="009935E0">
        <w:rPr>
          <w:rFonts w:ascii="Times New Roman" w:hAnsi="Times New Roman" w:cs="Times New Roman"/>
          <w:sz w:val="24"/>
          <w:szCs w:val="24"/>
        </w:rPr>
        <w:t>i, natomiast w zakresie reemitowania</w:t>
      </w:r>
      <w:r w:rsidR="004050CE" w:rsidRPr="009935E0">
        <w:rPr>
          <w:rFonts w:ascii="Times New Roman" w:hAnsi="Times New Roman" w:cs="Times New Roman"/>
          <w:sz w:val="24"/>
          <w:szCs w:val="24"/>
        </w:rPr>
        <w:t xml:space="preserve"> o</w:t>
      </w:r>
      <w:r w:rsidR="00AA680C" w:rsidRPr="009935E0">
        <w:rPr>
          <w:rFonts w:ascii="Times New Roman" w:hAnsi="Times New Roman" w:cs="Times New Roman"/>
          <w:sz w:val="24"/>
          <w:szCs w:val="24"/>
        </w:rPr>
        <w:t>graniczają się tylko do reemitowania</w:t>
      </w:r>
      <w:r w:rsidR="004050CE" w:rsidRPr="009935E0">
        <w:rPr>
          <w:rFonts w:ascii="Times New Roman" w:hAnsi="Times New Roman" w:cs="Times New Roman"/>
          <w:sz w:val="24"/>
          <w:szCs w:val="24"/>
        </w:rPr>
        <w:t xml:space="preserve"> w systemie kablowym lub mikrofalowym i nie uwzględniają innych technologii. Dyrektywa </w:t>
      </w:r>
      <w:r w:rsidR="00A627F2" w:rsidRPr="009935E0">
        <w:rPr>
          <w:rFonts w:ascii="Times New Roman" w:hAnsi="Times New Roman" w:cs="Times New Roman"/>
          <w:sz w:val="24"/>
          <w:szCs w:val="24"/>
        </w:rPr>
        <w:t xml:space="preserve">SATCAB II </w:t>
      </w:r>
      <w:r w:rsidR="004050CE" w:rsidRPr="009935E0">
        <w:rPr>
          <w:rFonts w:ascii="Times New Roman" w:hAnsi="Times New Roman" w:cs="Times New Roman"/>
          <w:sz w:val="24"/>
          <w:szCs w:val="24"/>
        </w:rPr>
        <w:t xml:space="preserve">ma zatem ułatwić </w:t>
      </w:r>
      <w:r w:rsidR="00A627F2" w:rsidRPr="009935E0">
        <w:rPr>
          <w:rFonts w:ascii="Times New Roman" w:hAnsi="Times New Roman" w:cs="Times New Roman"/>
          <w:sz w:val="24"/>
          <w:szCs w:val="24"/>
        </w:rPr>
        <w:t xml:space="preserve">zarówno </w:t>
      </w:r>
      <w:r w:rsidR="004050CE" w:rsidRPr="009935E0">
        <w:rPr>
          <w:rFonts w:ascii="Times New Roman" w:hAnsi="Times New Roman" w:cs="Times New Roman"/>
          <w:sz w:val="24"/>
          <w:szCs w:val="24"/>
        </w:rPr>
        <w:t xml:space="preserve">transgraniczne świadczenie tych dodatkowych usług online </w:t>
      </w:r>
      <w:r w:rsidRPr="009935E0">
        <w:rPr>
          <w:rFonts w:ascii="Times New Roman" w:hAnsi="Times New Roman" w:cs="Times New Roman"/>
          <w:sz w:val="24"/>
          <w:szCs w:val="24"/>
        </w:rPr>
        <w:t xml:space="preserve">(przez wprowadzenie zasady państwa pochodzenia), jak też </w:t>
      </w:r>
      <w:r w:rsidR="00AA680C" w:rsidRPr="009935E0">
        <w:rPr>
          <w:rFonts w:ascii="Times New Roman" w:hAnsi="Times New Roman" w:cs="Times New Roman"/>
          <w:sz w:val="24"/>
          <w:szCs w:val="24"/>
        </w:rPr>
        <w:t>reemitowania</w:t>
      </w:r>
      <w:r w:rsidR="004050CE" w:rsidRPr="009935E0">
        <w:rPr>
          <w:rFonts w:ascii="Times New Roman" w:hAnsi="Times New Roman" w:cs="Times New Roman"/>
          <w:sz w:val="24"/>
          <w:szCs w:val="24"/>
        </w:rPr>
        <w:t xml:space="preserve"> programów telewizyjnych i radiowych pochodzących z innych państw </w:t>
      </w:r>
      <w:r w:rsidR="004050CE" w:rsidRPr="009935E0">
        <w:rPr>
          <w:rFonts w:ascii="Times New Roman" w:hAnsi="Times New Roman" w:cs="Times New Roman"/>
          <w:sz w:val="24"/>
          <w:szCs w:val="24"/>
        </w:rPr>
        <w:lastRenderedPageBreak/>
        <w:t>członkowskich</w:t>
      </w:r>
      <w:r w:rsidR="00AA680C" w:rsidRPr="009935E0">
        <w:rPr>
          <w:rFonts w:ascii="Times New Roman" w:hAnsi="Times New Roman" w:cs="Times New Roman"/>
          <w:sz w:val="24"/>
          <w:szCs w:val="24"/>
        </w:rPr>
        <w:t xml:space="preserve"> dokonywanego</w:t>
      </w:r>
      <w:r w:rsidR="00E909B9" w:rsidRPr="009935E0">
        <w:rPr>
          <w:rFonts w:ascii="Times New Roman" w:hAnsi="Times New Roman" w:cs="Times New Roman"/>
          <w:sz w:val="24"/>
          <w:szCs w:val="24"/>
        </w:rPr>
        <w:t xml:space="preserve"> inną</w:t>
      </w:r>
      <w:r w:rsidRPr="009935E0">
        <w:rPr>
          <w:rFonts w:ascii="Times New Roman" w:hAnsi="Times New Roman" w:cs="Times New Roman"/>
          <w:sz w:val="24"/>
          <w:szCs w:val="24"/>
        </w:rPr>
        <w:t xml:space="preserve"> techniką niż w sieciach </w:t>
      </w:r>
      <w:r w:rsidR="00E909B9" w:rsidRPr="009935E0">
        <w:rPr>
          <w:rFonts w:ascii="Times New Roman" w:hAnsi="Times New Roman" w:cs="Times New Roman"/>
          <w:sz w:val="24"/>
          <w:szCs w:val="24"/>
        </w:rPr>
        <w:t>kablowych i mikrofalowych –</w:t>
      </w:r>
      <w:r w:rsidR="00830AE0" w:rsidRPr="009935E0">
        <w:rPr>
          <w:rFonts w:ascii="Times New Roman" w:hAnsi="Times New Roman" w:cs="Times New Roman"/>
          <w:sz w:val="24"/>
          <w:szCs w:val="24"/>
        </w:rPr>
        <w:t>przez</w:t>
      </w:r>
      <w:r w:rsidR="000262C0" w:rsidRPr="009935E0">
        <w:rPr>
          <w:rFonts w:ascii="Times New Roman" w:hAnsi="Times New Roman" w:cs="Times New Roman"/>
          <w:sz w:val="24"/>
          <w:szCs w:val="24"/>
        </w:rPr>
        <w:t xml:space="preserve"> </w:t>
      </w:r>
      <w:r w:rsidR="00E909B9" w:rsidRPr="009935E0">
        <w:rPr>
          <w:rFonts w:ascii="Times New Roman" w:hAnsi="Times New Roman" w:cs="Times New Roman"/>
          <w:sz w:val="24"/>
          <w:szCs w:val="24"/>
        </w:rPr>
        <w:t>rozciągnięci</w:t>
      </w:r>
      <w:r w:rsidR="00830AE0" w:rsidRPr="009935E0">
        <w:rPr>
          <w:rFonts w:ascii="Times New Roman" w:hAnsi="Times New Roman" w:cs="Times New Roman"/>
          <w:sz w:val="24"/>
          <w:szCs w:val="24"/>
        </w:rPr>
        <w:t>e</w:t>
      </w:r>
      <w:r w:rsidR="00E909B9" w:rsidRPr="009935E0">
        <w:rPr>
          <w:rFonts w:ascii="Times New Roman" w:hAnsi="Times New Roman" w:cs="Times New Roman"/>
          <w:sz w:val="24"/>
          <w:szCs w:val="24"/>
        </w:rPr>
        <w:t xml:space="preserve"> dotychczasowych zasad obowiązkowego pośrednictwa </w:t>
      </w:r>
      <w:r w:rsidR="007B3300" w:rsidRPr="009935E0">
        <w:rPr>
          <w:rFonts w:ascii="Times New Roman" w:hAnsi="Times New Roman" w:cs="Times New Roman"/>
          <w:sz w:val="24"/>
          <w:szCs w:val="24"/>
        </w:rPr>
        <w:t>o</w:t>
      </w:r>
      <w:r w:rsidR="00913B4F" w:rsidRPr="009935E0">
        <w:rPr>
          <w:rFonts w:ascii="Times New Roman" w:hAnsi="Times New Roman" w:cs="Times New Roman"/>
          <w:sz w:val="24"/>
          <w:szCs w:val="24"/>
        </w:rPr>
        <w:t xml:space="preserve">rganizacji </w:t>
      </w:r>
      <w:r w:rsidR="007B3300" w:rsidRPr="009935E0">
        <w:rPr>
          <w:rFonts w:ascii="Times New Roman" w:hAnsi="Times New Roman" w:cs="Times New Roman"/>
          <w:sz w:val="24"/>
          <w:szCs w:val="24"/>
        </w:rPr>
        <w:t>z</w:t>
      </w:r>
      <w:r w:rsidR="00913B4F" w:rsidRPr="009935E0">
        <w:rPr>
          <w:rFonts w:ascii="Times New Roman" w:hAnsi="Times New Roman" w:cs="Times New Roman"/>
          <w:sz w:val="24"/>
          <w:szCs w:val="24"/>
        </w:rPr>
        <w:t xml:space="preserve">biorowego </w:t>
      </w:r>
      <w:r w:rsidR="007B3300" w:rsidRPr="009935E0">
        <w:rPr>
          <w:rFonts w:ascii="Times New Roman" w:hAnsi="Times New Roman" w:cs="Times New Roman"/>
          <w:sz w:val="24"/>
          <w:szCs w:val="24"/>
        </w:rPr>
        <w:t>z</w:t>
      </w:r>
      <w:r w:rsidR="00913B4F" w:rsidRPr="009935E0">
        <w:rPr>
          <w:rFonts w:ascii="Times New Roman" w:hAnsi="Times New Roman" w:cs="Times New Roman"/>
          <w:sz w:val="24"/>
          <w:szCs w:val="24"/>
        </w:rPr>
        <w:t>arządzania</w:t>
      </w:r>
      <w:r w:rsidR="00830AE0" w:rsidRPr="009935E0">
        <w:rPr>
          <w:rFonts w:ascii="Times New Roman" w:hAnsi="Times New Roman" w:cs="Times New Roman"/>
          <w:sz w:val="24"/>
          <w:szCs w:val="24"/>
        </w:rPr>
        <w:t xml:space="preserve"> na </w:t>
      </w:r>
      <w:r w:rsidR="00064B28" w:rsidRPr="009935E0">
        <w:rPr>
          <w:rFonts w:ascii="Times New Roman" w:hAnsi="Times New Roman" w:cs="Times New Roman"/>
          <w:sz w:val="24"/>
          <w:szCs w:val="24"/>
        </w:rPr>
        <w:t>pozostałe sposoby</w:t>
      </w:r>
      <w:r w:rsidR="00E35AB0" w:rsidRPr="009935E0">
        <w:rPr>
          <w:rFonts w:ascii="Times New Roman" w:hAnsi="Times New Roman" w:cs="Times New Roman"/>
          <w:sz w:val="24"/>
          <w:szCs w:val="24"/>
        </w:rPr>
        <w:t xml:space="preserve"> reemitowania</w:t>
      </w:r>
      <w:r w:rsidR="00A464CB" w:rsidRPr="009935E0">
        <w:rPr>
          <w:rFonts w:ascii="Times New Roman" w:hAnsi="Times New Roman" w:cs="Times New Roman"/>
          <w:sz w:val="24"/>
          <w:szCs w:val="24"/>
        </w:rPr>
        <w:t xml:space="preserve">, </w:t>
      </w:r>
      <w:r w:rsidR="00064B28" w:rsidRPr="009935E0">
        <w:rPr>
          <w:rFonts w:ascii="Times New Roman" w:hAnsi="Times New Roman" w:cs="Times New Roman"/>
          <w:sz w:val="24"/>
          <w:szCs w:val="24"/>
        </w:rPr>
        <w:t xml:space="preserve">prócz </w:t>
      </w:r>
      <w:r w:rsidR="00E35AB0" w:rsidRPr="009935E0">
        <w:rPr>
          <w:rFonts w:ascii="Times New Roman" w:hAnsi="Times New Roman" w:cs="Times New Roman"/>
          <w:sz w:val="24"/>
          <w:szCs w:val="24"/>
        </w:rPr>
        <w:t>reemitowania</w:t>
      </w:r>
      <w:r w:rsidR="00064B28" w:rsidRPr="009935E0">
        <w:rPr>
          <w:rFonts w:ascii="Times New Roman" w:hAnsi="Times New Roman" w:cs="Times New Roman"/>
          <w:sz w:val="24"/>
          <w:szCs w:val="24"/>
        </w:rPr>
        <w:t xml:space="preserve"> sygnału nadawanego „online</w:t>
      </w:r>
      <w:r w:rsidR="00E35AB0" w:rsidRPr="009935E0">
        <w:rPr>
          <w:rFonts w:ascii="Times New Roman" w:hAnsi="Times New Roman" w:cs="Times New Roman"/>
          <w:sz w:val="24"/>
          <w:szCs w:val="24"/>
        </w:rPr>
        <w:t xml:space="preserve">” oraz reemitowania w Internecie w środowisku „niekontrolowanym”. Utrzymany przy tym zostaje ten sam, generalny wyjątek od tego pośrednictwa, obejmujący </w:t>
      </w:r>
      <w:r w:rsidR="007B3300" w:rsidRPr="009935E0">
        <w:rPr>
          <w:rFonts w:ascii="Times New Roman" w:hAnsi="Times New Roman" w:cs="Times New Roman"/>
          <w:sz w:val="24"/>
          <w:szCs w:val="24"/>
        </w:rPr>
        <w:t xml:space="preserve">prawa samodzielnie wykonywane przez nadawców, tj. </w:t>
      </w:r>
      <w:r w:rsidR="00E35AB0" w:rsidRPr="009935E0">
        <w:rPr>
          <w:rFonts w:ascii="Times New Roman" w:hAnsi="Times New Roman" w:cs="Times New Roman"/>
          <w:sz w:val="24"/>
          <w:szCs w:val="24"/>
        </w:rPr>
        <w:t xml:space="preserve">wykonywane </w:t>
      </w:r>
      <w:r w:rsidR="007B3300" w:rsidRPr="009935E0">
        <w:rPr>
          <w:rFonts w:ascii="Times New Roman" w:hAnsi="Times New Roman" w:cs="Times New Roman"/>
          <w:sz w:val="24"/>
          <w:szCs w:val="24"/>
        </w:rPr>
        <w:t>bez pośrednictwa o</w:t>
      </w:r>
      <w:r w:rsidR="00913B4F" w:rsidRPr="009935E0">
        <w:rPr>
          <w:rFonts w:ascii="Times New Roman" w:hAnsi="Times New Roman" w:cs="Times New Roman"/>
          <w:sz w:val="24"/>
          <w:szCs w:val="24"/>
        </w:rPr>
        <w:t xml:space="preserve">rganizacji </w:t>
      </w:r>
      <w:r w:rsidR="007B3300" w:rsidRPr="009935E0">
        <w:rPr>
          <w:rFonts w:ascii="Times New Roman" w:hAnsi="Times New Roman" w:cs="Times New Roman"/>
          <w:sz w:val="24"/>
          <w:szCs w:val="24"/>
        </w:rPr>
        <w:t>z</w:t>
      </w:r>
      <w:r w:rsidR="00913B4F" w:rsidRPr="009935E0">
        <w:rPr>
          <w:rFonts w:ascii="Times New Roman" w:hAnsi="Times New Roman" w:cs="Times New Roman"/>
          <w:sz w:val="24"/>
          <w:szCs w:val="24"/>
        </w:rPr>
        <w:t xml:space="preserve">biorowego </w:t>
      </w:r>
      <w:r w:rsidR="007B3300" w:rsidRPr="009935E0">
        <w:rPr>
          <w:rFonts w:ascii="Times New Roman" w:hAnsi="Times New Roman" w:cs="Times New Roman"/>
          <w:sz w:val="24"/>
          <w:szCs w:val="24"/>
        </w:rPr>
        <w:t>z</w:t>
      </w:r>
      <w:r w:rsidR="00913B4F" w:rsidRPr="009935E0">
        <w:rPr>
          <w:rFonts w:ascii="Times New Roman" w:hAnsi="Times New Roman" w:cs="Times New Roman"/>
          <w:sz w:val="24"/>
          <w:szCs w:val="24"/>
        </w:rPr>
        <w:t>arządzania</w:t>
      </w:r>
      <w:r w:rsidR="007B3300" w:rsidRPr="009935E0">
        <w:rPr>
          <w:rFonts w:ascii="Times New Roman" w:hAnsi="Times New Roman" w:cs="Times New Roman"/>
          <w:sz w:val="24"/>
          <w:szCs w:val="24"/>
        </w:rPr>
        <w:t>.</w:t>
      </w:r>
      <w:r w:rsidR="00F608A5" w:rsidRPr="009935E0">
        <w:rPr>
          <w:rFonts w:ascii="Times New Roman" w:hAnsi="Times New Roman" w:cs="Times New Roman"/>
          <w:sz w:val="24"/>
          <w:szCs w:val="24"/>
        </w:rPr>
        <w:t xml:space="preserve"> </w:t>
      </w:r>
      <w:r w:rsidR="00BC61A4" w:rsidRPr="009935E0">
        <w:rPr>
          <w:rFonts w:ascii="Times New Roman" w:hAnsi="Times New Roman" w:cs="Times New Roman"/>
          <w:sz w:val="24"/>
          <w:szCs w:val="24"/>
        </w:rPr>
        <w:t xml:space="preserve">W konsekwencji przyjmuje się, że na gruncie obecnie obowiązującego prawa europejskiego </w:t>
      </w:r>
      <w:r w:rsidR="00A464CB" w:rsidRPr="009935E0">
        <w:rPr>
          <w:rFonts w:ascii="Times New Roman" w:hAnsi="Times New Roman" w:cs="Times New Roman"/>
          <w:sz w:val="24"/>
          <w:szCs w:val="24"/>
        </w:rPr>
        <w:t>wykonywanie prawa</w:t>
      </w:r>
      <w:r w:rsidR="00AA680C" w:rsidRPr="009935E0">
        <w:rPr>
          <w:rFonts w:ascii="Times New Roman" w:hAnsi="Times New Roman" w:cs="Times New Roman"/>
          <w:sz w:val="24"/>
          <w:szCs w:val="24"/>
        </w:rPr>
        <w:t xml:space="preserve"> do reemitowania</w:t>
      </w:r>
      <w:r w:rsidR="00BC61A4" w:rsidRPr="009935E0">
        <w:rPr>
          <w:rFonts w:ascii="Times New Roman" w:hAnsi="Times New Roman" w:cs="Times New Roman"/>
          <w:sz w:val="24"/>
          <w:szCs w:val="24"/>
        </w:rPr>
        <w:t xml:space="preserve"> zostało uregulowane w sposób technicznie neutralny</w:t>
      </w:r>
      <w:r w:rsidR="00BC61A4" w:rsidRPr="009935E0">
        <w:rPr>
          <w:rStyle w:val="Odwoanieprzypisudolnego"/>
          <w:rFonts w:ascii="Times New Roman" w:hAnsi="Times New Roman" w:cs="Times New Roman"/>
          <w:sz w:val="24"/>
          <w:szCs w:val="24"/>
        </w:rPr>
        <w:footnoteReference w:id="15"/>
      </w:r>
      <w:r w:rsidR="000E26B5" w:rsidRPr="00483092">
        <w:rPr>
          <w:rFonts w:ascii="Times New Roman" w:hAnsi="Times New Roman" w:cs="Times New Roman"/>
          <w:sz w:val="24"/>
          <w:szCs w:val="24"/>
          <w:vertAlign w:val="superscript"/>
        </w:rPr>
        <w:t>)</w:t>
      </w:r>
      <w:r w:rsidR="00BC61A4" w:rsidRPr="009935E0">
        <w:rPr>
          <w:rFonts w:ascii="Times New Roman" w:hAnsi="Times New Roman" w:cs="Times New Roman"/>
          <w:sz w:val="24"/>
          <w:szCs w:val="24"/>
        </w:rPr>
        <w:t xml:space="preserve">. </w:t>
      </w:r>
    </w:p>
    <w:p w14:paraId="25AB61D3" w14:textId="184D01B0" w:rsidR="00DA61C9" w:rsidRPr="009935E0" w:rsidRDefault="00F608A5"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Ponieważ dyrektywa 93/83/EWG jest już wdrożona do polskiego systemu prawnego, a dyrektywa SATCAB II stanowi w zakr</w:t>
      </w:r>
      <w:r w:rsidR="00E35AB0" w:rsidRPr="009935E0">
        <w:rPr>
          <w:rFonts w:ascii="Times New Roman" w:hAnsi="Times New Roman" w:cs="Times New Roman"/>
          <w:sz w:val="24"/>
          <w:szCs w:val="24"/>
        </w:rPr>
        <w:t>esie reemitowania</w:t>
      </w:r>
      <w:r w:rsidRPr="009935E0">
        <w:rPr>
          <w:rFonts w:ascii="Times New Roman" w:hAnsi="Times New Roman" w:cs="Times New Roman"/>
          <w:sz w:val="24"/>
          <w:szCs w:val="24"/>
        </w:rPr>
        <w:t xml:space="preserve"> pewnego rodzaju „aktualizację” tej dyrektywy i powiela cały szereg przyjętych w niej rozwiązań, część już obowiązujących przepisów </w:t>
      </w:r>
      <w:r w:rsidR="00E62212" w:rsidRPr="009935E0">
        <w:rPr>
          <w:rFonts w:ascii="Times New Roman" w:hAnsi="Times New Roman" w:cs="Times New Roman"/>
          <w:sz w:val="24"/>
          <w:szCs w:val="24"/>
        </w:rPr>
        <w:t xml:space="preserve">zawartych w ustawie o prawie autorskim oraz </w:t>
      </w:r>
      <w:r w:rsidR="007B733A" w:rsidRPr="009935E0">
        <w:rPr>
          <w:rFonts w:ascii="Times New Roman" w:hAnsi="Times New Roman" w:cs="Times New Roman"/>
          <w:sz w:val="24"/>
          <w:szCs w:val="24"/>
        </w:rPr>
        <w:t xml:space="preserve">w </w:t>
      </w:r>
      <w:r w:rsidR="00E62212" w:rsidRPr="009935E0">
        <w:rPr>
          <w:rFonts w:ascii="Times New Roman" w:hAnsi="Times New Roman" w:cs="Times New Roman"/>
          <w:sz w:val="24"/>
          <w:szCs w:val="24"/>
        </w:rPr>
        <w:t xml:space="preserve">ustawie o zbiorowym zarządzaniu, wdrażających dyrektywę 93/83/EWG, może być uznana za prawidłowe wdrożenie także dyrektywy SATCAB II </w:t>
      </w:r>
      <w:r w:rsidR="00E35AB0" w:rsidRPr="009935E0">
        <w:rPr>
          <w:rFonts w:ascii="Times New Roman" w:hAnsi="Times New Roman" w:cs="Times New Roman"/>
          <w:sz w:val="24"/>
          <w:szCs w:val="24"/>
        </w:rPr>
        <w:t xml:space="preserve">– </w:t>
      </w:r>
      <w:r w:rsidR="00E62212" w:rsidRPr="009935E0">
        <w:rPr>
          <w:rFonts w:ascii="Times New Roman" w:hAnsi="Times New Roman" w:cs="Times New Roman"/>
          <w:sz w:val="24"/>
          <w:szCs w:val="24"/>
        </w:rPr>
        <w:t>po</w:t>
      </w:r>
      <w:r w:rsidR="00E35AB0" w:rsidRPr="009935E0">
        <w:rPr>
          <w:rFonts w:ascii="Times New Roman" w:hAnsi="Times New Roman" w:cs="Times New Roman"/>
          <w:sz w:val="24"/>
          <w:szCs w:val="24"/>
        </w:rPr>
        <w:t xml:space="preserve"> </w:t>
      </w:r>
      <w:r w:rsidR="00E62212" w:rsidRPr="009935E0">
        <w:rPr>
          <w:rFonts w:ascii="Times New Roman" w:hAnsi="Times New Roman" w:cs="Times New Roman"/>
          <w:sz w:val="24"/>
          <w:szCs w:val="24"/>
        </w:rPr>
        <w:t xml:space="preserve">stosownej zmianie przepisów </w:t>
      </w:r>
      <w:r w:rsidR="00E35AB0" w:rsidRPr="009935E0">
        <w:rPr>
          <w:rFonts w:ascii="Times New Roman" w:hAnsi="Times New Roman" w:cs="Times New Roman"/>
          <w:sz w:val="24"/>
          <w:szCs w:val="24"/>
        </w:rPr>
        <w:t>definiujących</w:t>
      </w:r>
      <w:r w:rsidR="00E62212" w:rsidRPr="009935E0">
        <w:rPr>
          <w:rFonts w:ascii="Times New Roman" w:hAnsi="Times New Roman" w:cs="Times New Roman"/>
          <w:sz w:val="24"/>
          <w:szCs w:val="24"/>
        </w:rPr>
        <w:t xml:space="preserve"> </w:t>
      </w:r>
      <w:r w:rsidR="00E35AB0" w:rsidRPr="009935E0">
        <w:rPr>
          <w:rFonts w:ascii="Times New Roman" w:hAnsi="Times New Roman" w:cs="Times New Roman"/>
          <w:sz w:val="24"/>
          <w:szCs w:val="24"/>
        </w:rPr>
        <w:t xml:space="preserve">nadawanie i </w:t>
      </w:r>
      <w:r w:rsidR="00E62212" w:rsidRPr="009935E0">
        <w:rPr>
          <w:rFonts w:ascii="Times New Roman" w:hAnsi="Times New Roman" w:cs="Times New Roman"/>
          <w:sz w:val="24"/>
          <w:szCs w:val="24"/>
        </w:rPr>
        <w:t>reemi</w:t>
      </w:r>
      <w:r w:rsidR="00E35AB0" w:rsidRPr="009935E0">
        <w:rPr>
          <w:rFonts w:ascii="Times New Roman" w:hAnsi="Times New Roman" w:cs="Times New Roman"/>
          <w:sz w:val="24"/>
          <w:szCs w:val="24"/>
        </w:rPr>
        <w:t>towanie</w:t>
      </w:r>
      <w:r w:rsidR="00B159B8" w:rsidRPr="009935E0">
        <w:rPr>
          <w:rFonts w:ascii="Times New Roman" w:hAnsi="Times New Roman" w:cs="Times New Roman"/>
          <w:sz w:val="24"/>
          <w:szCs w:val="24"/>
        </w:rPr>
        <w:t xml:space="preserve"> oraz </w:t>
      </w:r>
      <w:r w:rsidR="00E35AB0" w:rsidRPr="009935E0">
        <w:rPr>
          <w:rFonts w:ascii="Times New Roman" w:hAnsi="Times New Roman" w:cs="Times New Roman"/>
          <w:sz w:val="24"/>
          <w:szCs w:val="24"/>
        </w:rPr>
        <w:t>przepisów określających zakres</w:t>
      </w:r>
      <w:r w:rsidR="00B159B8" w:rsidRPr="009935E0">
        <w:rPr>
          <w:rFonts w:ascii="Times New Roman" w:hAnsi="Times New Roman" w:cs="Times New Roman"/>
          <w:sz w:val="24"/>
          <w:szCs w:val="24"/>
        </w:rPr>
        <w:t xml:space="preserve"> </w:t>
      </w:r>
      <w:r w:rsidR="00D50416" w:rsidRPr="009935E0">
        <w:rPr>
          <w:rFonts w:ascii="Times New Roman" w:hAnsi="Times New Roman" w:cs="Times New Roman"/>
          <w:sz w:val="24"/>
          <w:szCs w:val="24"/>
        </w:rPr>
        <w:t xml:space="preserve">przymusowego </w:t>
      </w:r>
      <w:r w:rsidR="00A464CB" w:rsidRPr="009935E0">
        <w:rPr>
          <w:rFonts w:ascii="Times New Roman" w:hAnsi="Times New Roman" w:cs="Times New Roman"/>
          <w:sz w:val="24"/>
          <w:szCs w:val="24"/>
        </w:rPr>
        <w:t xml:space="preserve">pośrednictwa </w:t>
      </w:r>
      <w:r w:rsidR="00B159B8" w:rsidRPr="009935E0">
        <w:rPr>
          <w:rFonts w:ascii="Times New Roman" w:hAnsi="Times New Roman" w:cs="Times New Roman"/>
          <w:sz w:val="24"/>
          <w:szCs w:val="24"/>
        </w:rPr>
        <w:t>organizacji zbiorowego zarządzania</w:t>
      </w:r>
      <w:r w:rsidR="00A464CB" w:rsidRPr="009935E0">
        <w:rPr>
          <w:rFonts w:ascii="Times New Roman" w:hAnsi="Times New Roman" w:cs="Times New Roman"/>
          <w:sz w:val="24"/>
          <w:szCs w:val="24"/>
        </w:rPr>
        <w:t xml:space="preserve"> (dyrektywa SATCAB II określa zakres tego przymusowego pośre</w:t>
      </w:r>
      <w:r w:rsidR="00E35AB0" w:rsidRPr="009935E0">
        <w:rPr>
          <w:rFonts w:ascii="Times New Roman" w:hAnsi="Times New Roman" w:cs="Times New Roman"/>
          <w:sz w:val="24"/>
          <w:szCs w:val="24"/>
        </w:rPr>
        <w:t xml:space="preserve">dnictwa przez stworzoną </w:t>
      </w:r>
      <w:r w:rsidR="00A464CB" w:rsidRPr="009935E0">
        <w:rPr>
          <w:rFonts w:ascii="Times New Roman" w:hAnsi="Times New Roman" w:cs="Times New Roman"/>
          <w:sz w:val="24"/>
          <w:szCs w:val="24"/>
        </w:rPr>
        <w:t>w tym cel</w:t>
      </w:r>
      <w:r w:rsidR="00E35AB0" w:rsidRPr="009935E0">
        <w:rPr>
          <w:rFonts w:ascii="Times New Roman" w:hAnsi="Times New Roman" w:cs="Times New Roman"/>
          <w:sz w:val="24"/>
          <w:szCs w:val="24"/>
        </w:rPr>
        <w:t xml:space="preserve">u </w:t>
      </w:r>
      <w:r w:rsidR="002B4B7D" w:rsidRPr="009935E0">
        <w:rPr>
          <w:rFonts w:ascii="Times New Roman" w:hAnsi="Times New Roman" w:cs="Times New Roman"/>
          <w:sz w:val="24"/>
          <w:szCs w:val="24"/>
        </w:rPr>
        <w:t>szczególn</w:t>
      </w:r>
      <w:r w:rsidR="00E35AB0" w:rsidRPr="009935E0">
        <w:rPr>
          <w:rFonts w:ascii="Times New Roman" w:hAnsi="Times New Roman" w:cs="Times New Roman"/>
          <w:sz w:val="24"/>
          <w:szCs w:val="24"/>
        </w:rPr>
        <w:t>ą definicję reemitowania</w:t>
      </w:r>
      <w:r w:rsidR="00FC3564" w:rsidRPr="009935E0">
        <w:rPr>
          <w:rFonts w:ascii="Times New Roman" w:hAnsi="Times New Roman" w:cs="Times New Roman"/>
          <w:sz w:val="24"/>
          <w:szCs w:val="24"/>
        </w:rPr>
        <w:t>).</w:t>
      </w:r>
    </w:p>
    <w:p w14:paraId="3AD49892" w14:textId="499B853E" w:rsidR="00E17D7E" w:rsidRPr="009935E0" w:rsidRDefault="007B330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celu wdrożenia przepisów dyrektywy SATCAB II </w:t>
      </w:r>
      <w:r w:rsidR="002B4B7D" w:rsidRPr="009935E0">
        <w:rPr>
          <w:rFonts w:ascii="Times New Roman" w:hAnsi="Times New Roman" w:cs="Times New Roman"/>
          <w:sz w:val="24"/>
          <w:szCs w:val="24"/>
        </w:rPr>
        <w:t>w zakresie reemitowania</w:t>
      </w:r>
      <w:r w:rsidR="00BF2CE5" w:rsidRPr="009935E0">
        <w:rPr>
          <w:rFonts w:ascii="Times New Roman" w:hAnsi="Times New Roman" w:cs="Times New Roman"/>
          <w:sz w:val="24"/>
          <w:szCs w:val="24"/>
        </w:rPr>
        <w:t xml:space="preserve"> (</w:t>
      </w:r>
      <w:r w:rsidR="00687FA3" w:rsidRPr="009935E0">
        <w:rPr>
          <w:rFonts w:ascii="Times New Roman" w:hAnsi="Times New Roman" w:cs="Times New Roman"/>
          <w:sz w:val="24"/>
          <w:szCs w:val="24"/>
        </w:rPr>
        <w:t>art. 2 pkt 2</w:t>
      </w:r>
      <w:r w:rsidR="00A464CB" w:rsidRPr="009935E0">
        <w:rPr>
          <w:rFonts w:ascii="Times New Roman" w:hAnsi="Times New Roman" w:cs="Times New Roman"/>
          <w:sz w:val="24"/>
          <w:szCs w:val="24"/>
        </w:rPr>
        <w:t xml:space="preserve"> </w:t>
      </w:r>
      <w:r w:rsidR="00687FA3" w:rsidRPr="009935E0">
        <w:rPr>
          <w:rFonts w:ascii="Times New Roman" w:hAnsi="Times New Roman" w:cs="Times New Roman"/>
          <w:sz w:val="24"/>
          <w:szCs w:val="24"/>
        </w:rPr>
        <w:t>i 3</w:t>
      </w:r>
      <w:r w:rsidR="002B4B7D" w:rsidRPr="009935E0">
        <w:rPr>
          <w:rFonts w:ascii="Times New Roman" w:hAnsi="Times New Roman" w:cs="Times New Roman"/>
          <w:sz w:val="24"/>
          <w:szCs w:val="24"/>
        </w:rPr>
        <w:t xml:space="preserve">, </w:t>
      </w:r>
      <w:r w:rsidR="00BF2CE5" w:rsidRPr="009935E0">
        <w:rPr>
          <w:rFonts w:ascii="Times New Roman" w:hAnsi="Times New Roman" w:cs="Times New Roman"/>
          <w:sz w:val="24"/>
          <w:szCs w:val="24"/>
        </w:rPr>
        <w:t>art. 4</w:t>
      </w:r>
      <w:r w:rsidR="007B733A" w:rsidRPr="009935E0">
        <w:rPr>
          <w:rFonts w:ascii="Times New Roman" w:hAnsi="Times New Roman" w:cs="Times New Roman"/>
          <w:sz w:val="24"/>
          <w:szCs w:val="24"/>
        </w:rPr>
        <w:t>–</w:t>
      </w:r>
      <w:r w:rsidR="00A464CB" w:rsidRPr="009935E0">
        <w:rPr>
          <w:rFonts w:ascii="Times New Roman" w:hAnsi="Times New Roman" w:cs="Times New Roman"/>
          <w:sz w:val="24"/>
          <w:szCs w:val="24"/>
        </w:rPr>
        <w:t xml:space="preserve">7 oraz </w:t>
      </w:r>
      <w:r w:rsidR="005365BD" w:rsidRPr="009935E0">
        <w:rPr>
          <w:rFonts w:ascii="Times New Roman" w:hAnsi="Times New Roman" w:cs="Times New Roman"/>
          <w:sz w:val="24"/>
          <w:szCs w:val="24"/>
        </w:rPr>
        <w:t>art. 9</w:t>
      </w:r>
      <w:r w:rsidR="00BF2CE5" w:rsidRPr="009935E0">
        <w:rPr>
          <w:rFonts w:ascii="Times New Roman" w:hAnsi="Times New Roman" w:cs="Times New Roman"/>
          <w:sz w:val="24"/>
          <w:szCs w:val="24"/>
        </w:rPr>
        <w:t xml:space="preserve">) projektowana ustawa przewiduje </w:t>
      </w:r>
      <w:r w:rsidR="00950EF9" w:rsidRPr="009935E0">
        <w:rPr>
          <w:rFonts w:ascii="Times New Roman" w:hAnsi="Times New Roman" w:cs="Times New Roman"/>
          <w:sz w:val="24"/>
          <w:szCs w:val="24"/>
        </w:rPr>
        <w:t xml:space="preserve">przede wszystkim </w:t>
      </w:r>
      <w:r w:rsidR="00BF2CE5" w:rsidRPr="009935E0">
        <w:rPr>
          <w:rFonts w:ascii="Times New Roman" w:hAnsi="Times New Roman" w:cs="Times New Roman"/>
          <w:sz w:val="24"/>
          <w:szCs w:val="24"/>
        </w:rPr>
        <w:t xml:space="preserve">zmianę </w:t>
      </w:r>
      <w:r w:rsidR="00950EF9" w:rsidRPr="009935E0">
        <w:rPr>
          <w:rFonts w:ascii="Times New Roman" w:hAnsi="Times New Roman" w:cs="Times New Roman"/>
          <w:sz w:val="24"/>
          <w:szCs w:val="24"/>
        </w:rPr>
        <w:t xml:space="preserve">kluczowego </w:t>
      </w:r>
      <w:r w:rsidR="00BF2CE5" w:rsidRPr="009935E0">
        <w:rPr>
          <w:rFonts w:ascii="Times New Roman" w:hAnsi="Times New Roman" w:cs="Times New Roman"/>
          <w:sz w:val="24"/>
          <w:szCs w:val="24"/>
        </w:rPr>
        <w:t>art. 21</w:t>
      </w:r>
      <w:r w:rsidR="00BF2CE5" w:rsidRPr="009935E0">
        <w:rPr>
          <w:rFonts w:ascii="Times New Roman" w:hAnsi="Times New Roman" w:cs="Times New Roman"/>
          <w:sz w:val="24"/>
          <w:szCs w:val="24"/>
          <w:vertAlign w:val="superscript"/>
        </w:rPr>
        <w:t>1</w:t>
      </w:r>
      <w:r w:rsidR="00BF2CE5" w:rsidRPr="009935E0">
        <w:rPr>
          <w:rFonts w:ascii="Times New Roman" w:hAnsi="Times New Roman" w:cs="Times New Roman"/>
          <w:sz w:val="24"/>
          <w:szCs w:val="24"/>
        </w:rPr>
        <w:t xml:space="preserve"> ust. 1 ustawy o prawie autorskim</w:t>
      </w:r>
      <w:r w:rsidR="002B4B7D" w:rsidRPr="009935E0">
        <w:rPr>
          <w:rFonts w:ascii="Times New Roman" w:hAnsi="Times New Roman" w:cs="Times New Roman"/>
          <w:sz w:val="24"/>
          <w:szCs w:val="24"/>
        </w:rPr>
        <w:t>,</w:t>
      </w:r>
      <w:r w:rsidR="00BF2CE5" w:rsidRPr="009935E0">
        <w:rPr>
          <w:rFonts w:ascii="Times New Roman" w:hAnsi="Times New Roman" w:cs="Times New Roman"/>
          <w:sz w:val="24"/>
          <w:szCs w:val="24"/>
        </w:rPr>
        <w:t xml:space="preserve"> </w:t>
      </w:r>
      <w:r w:rsidR="007B733A" w:rsidRPr="009935E0">
        <w:rPr>
          <w:rFonts w:ascii="Times New Roman" w:hAnsi="Times New Roman" w:cs="Times New Roman"/>
          <w:sz w:val="24"/>
          <w:szCs w:val="24"/>
        </w:rPr>
        <w:t>polegającą na</w:t>
      </w:r>
      <w:r w:rsidR="00BF2CE5" w:rsidRPr="009935E0">
        <w:rPr>
          <w:rFonts w:ascii="Times New Roman" w:hAnsi="Times New Roman" w:cs="Times New Roman"/>
          <w:sz w:val="24"/>
          <w:szCs w:val="24"/>
        </w:rPr>
        <w:t xml:space="preserve"> objęci</w:t>
      </w:r>
      <w:r w:rsidR="007B733A" w:rsidRPr="009935E0">
        <w:rPr>
          <w:rFonts w:ascii="Times New Roman" w:hAnsi="Times New Roman" w:cs="Times New Roman"/>
          <w:sz w:val="24"/>
          <w:szCs w:val="24"/>
        </w:rPr>
        <w:t>u</w:t>
      </w:r>
      <w:r w:rsidR="00BF2CE5" w:rsidRPr="009935E0">
        <w:rPr>
          <w:rFonts w:ascii="Times New Roman" w:hAnsi="Times New Roman" w:cs="Times New Roman"/>
          <w:sz w:val="24"/>
          <w:szCs w:val="24"/>
        </w:rPr>
        <w:t xml:space="preserve"> zakresem tego </w:t>
      </w:r>
      <w:r w:rsidR="002B4B7D" w:rsidRPr="009935E0">
        <w:rPr>
          <w:rFonts w:ascii="Times New Roman" w:hAnsi="Times New Roman" w:cs="Times New Roman"/>
          <w:sz w:val="24"/>
          <w:szCs w:val="24"/>
        </w:rPr>
        <w:t>przepisu każdej postaci reemitowania</w:t>
      </w:r>
      <w:r w:rsidR="00BF2CE5" w:rsidRPr="009935E0">
        <w:rPr>
          <w:rFonts w:ascii="Times New Roman" w:hAnsi="Times New Roman" w:cs="Times New Roman"/>
          <w:sz w:val="24"/>
          <w:szCs w:val="24"/>
        </w:rPr>
        <w:t xml:space="preserve">. </w:t>
      </w:r>
      <w:r w:rsidR="002B4B7D" w:rsidRPr="009935E0">
        <w:rPr>
          <w:rFonts w:ascii="Times New Roman" w:hAnsi="Times New Roman" w:cs="Times New Roman"/>
          <w:sz w:val="24"/>
          <w:szCs w:val="24"/>
        </w:rPr>
        <w:t>Tym samym każde reemitowanie</w:t>
      </w:r>
      <w:r w:rsidR="002F4EB6" w:rsidRPr="009935E0">
        <w:rPr>
          <w:rFonts w:ascii="Times New Roman" w:hAnsi="Times New Roman" w:cs="Times New Roman"/>
          <w:sz w:val="24"/>
          <w:szCs w:val="24"/>
        </w:rPr>
        <w:t xml:space="preserve">, niezależnie od zastosowanej techniki przekazywania </w:t>
      </w:r>
      <w:proofErr w:type="spellStart"/>
      <w:r w:rsidR="002F4EB6" w:rsidRPr="009935E0">
        <w:rPr>
          <w:rFonts w:ascii="Times New Roman" w:hAnsi="Times New Roman" w:cs="Times New Roman"/>
          <w:sz w:val="24"/>
          <w:szCs w:val="24"/>
        </w:rPr>
        <w:t>re</w:t>
      </w:r>
      <w:r w:rsidR="00950EF9" w:rsidRPr="009935E0">
        <w:rPr>
          <w:rFonts w:ascii="Times New Roman" w:hAnsi="Times New Roman" w:cs="Times New Roman"/>
          <w:sz w:val="24"/>
          <w:szCs w:val="24"/>
        </w:rPr>
        <w:t>e</w:t>
      </w:r>
      <w:r w:rsidR="002F4EB6" w:rsidRPr="009935E0">
        <w:rPr>
          <w:rFonts w:ascii="Times New Roman" w:hAnsi="Times New Roman" w:cs="Times New Roman"/>
          <w:sz w:val="24"/>
          <w:szCs w:val="24"/>
        </w:rPr>
        <w:t>mito</w:t>
      </w:r>
      <w:r w:rsidR="002B4B7D" w:rsidRPr="009935E0">
        <w:rPr>
          <w:rFonts w:ascii="Times New Roman" w:hAnsi="Times New Roman" w:cs="Times New Roman"/>
          <w:sz w:val="24"/>
          <w:szCs w:val="24"/>
        </w:rPr>
        <w:t>wanego</w:t>
      </w:r>
      <w:proofErr w:type="spellEnd"/>
      <w:r w:rsidR="002B4B7D" w:rsidRPr="009935E0">
        <w:rPr>
          <w:rFonts w:ascii="Times New Roman" w:hAnsi="Times New Roman" w:cs="Times New Roman"/>
          <w:sz w:val="24"/>
          <w:szCs w:val="24"/>
        </w:rPr>
        <w:t xml:space="preserve"> sygnału (z zastrzeżeniem trzech wyjątków wskazanych w art. 21</w:t>
      </w:r>
      <w:r w:rsidR="002B4B7D" w:rsidRPr="009935E0">
        <w:rPr>
          <w:rFonts w:ascii="Times New Roman" w:hAnsi="Times New Roman" w:cs="Times New Roman"/>
          <w:sz w:val="24"/>
          <w:szCs w:val="24"/>
          <w:vertAlign w:val="superscript"/>
        </w:rPr>
        <w:t>1</w:t>
      </w:r>
      <w:r w:rsidR="002B4B7D" w:rsidRPr="009935E0">
        <w:rPr>
          <w:rFonts w:ascii="Times New Roman" w:hAnsi="Times New Roman" w:cs="Times New Roman"/>
          <w:sz w:val="24"/>
          <w:szCs w:val="24"/>
        </w:rPr>
        <w:t xml:space="preserve"> ust. </w:t>
      </w:r>
      <w:r w:rsidR="00311D3D" w:rsidRPr="009935E0">
        <w:rPr>
          <w:rFonts w:ascii="Times New Roman" w:hAnsi="Times New Roman" w:cs="Times New Roman"/>
          <w:sz w:val="24"/>
          <w:szCs w:val="24"/>
        </w:rPr>
        <w:t>2</w:t>
      </w:r>
      <w:r w:rsidR="002B4B7D" w:rsidRPr="009935E0">
        <w:rPr>
          <w:rFonts w:ascii="Times New Roman" w:hAnsi="Times New Roman" w:cs="Times New Roman"/>
          <w:sz w:val="24"/>
          <w:szCs w:val="24"/>
        </w:rPr>
        <w:t xml:space="preserve">), będzie podlegało </w:t>
      </w:r>
      <w:r w:rsidR="002F4EB6" w:rsidRPr="009935E0">
        <w:rPr>
          <w:rFonts w:ascii="Times New Roman" w:hAnsi="Times New Roman" w:cs="Times New Roman"/>
          <w:sz w:val="24"/>
          <w:szCs w:val="24"/>
        </w:rPr>
        <w:t xml:space="preserve">obowiązkowemu pośrednictwu </w:t>
      </w:r>
      <w:r w:rsidR="007B733A" w:rsidRPr="009935E0">
        <w:rPr>
          <w:rFonts w:ascii="Times New Roman" w:hAnsi="Times New Roman" w:cs="Times New Roman"/>
          <w:sz w:val="24"/>
          <w:szCs w:val="24"/>
        </w:rPr>
        <w:t>organizacji zbiorowego zarządzania</w:t>
      </w:r>
      <w:r w:rsidR="002F4EB6" w:rsidRPr="009935E0">
        <w:rPr>
          <w:rFonts w:ascii="Times New Roman" w:hAnsi="Times New Roman" w:cs="Times New Roman"/>
          <w:sz w:val="24"/>
          <w:szCs w:val="24"/>
        </w:rPr>
        <w:t xml:space="preserve"> w zakresie uzyskiwania li</w:t>
      </w:r>
      <w:r w:rsidR="00AA680C" w:rsidRPr="009935E0">
        <w:rPr>
          <w:rFonts w:ascii="Times New Roman" w:hAnsi="Times New Roman" w:cs="Times New Roman"/>
          <w:sz w:val="24"/>
          <w:szCs w:val="24"/>
        </w:rPr>
        <w:t>cencji na reemitowanie</w:t>
      </w:r>
      <w:r w:rsidR="002F4EB6" w:rsidRPr="009935E0">
        <w:rPr>
          <w:rFonts w:ascii="Times New Roman" w:hAnsi="Times New Roman" w:cs="Times New Roman"/>
          <w:sz w:val="24"/>
          <w:szCs w:val="24"/>
        </w:rPr>
        <w:t xml:space="preserve"> lub wypłaty wynagrodzenia za reemitowanie przedmiotów praw pokrewnych. </w:t>
      </w:r>
      <w:r w:rsidR="00950EF9" w:rsidRPr="009935E0">
        <w:rPr>
          <w:rFonts w:ascii="Times New Roman" w:hAnsi="Times New Roman" w:cs="Times New Roman"/>
          <w:sz w:val="24"/>
          <w:szCs w:val="24"/>
        </w:rPr>
        <w:t>Z kolei p</w:t>
      </w:r>
      <w:r w:rsidR="00BF2CE5" w:rsidRPr="009935E0">
        <w:rPr>
          <w:rFonts w:ascii="Times New Roman" w:hAnsi="Times New Roman" w:cs="Times New Roman"/>
          <w:sz w:val="24"/>
          <w:szCs w:val="24"/>
        </w:rPr>
        <w:t>rzepis art. 4 ust. 2</w:t>
      </w:r>
      <w:r w:rsidR="002F4EB6" w:rsidRPr="009935E0">
        <w:rPr>
          <w:rFonts w:ascii="Times New Roman" w:hAnsi="Times New Roman" w:cs="Times New Roman"/>
          <w:sz w:val="24"/>
          <w:szCs w:val="24"/>
        </w:rPr>
        <w:t xml:space="preserve"> dyrektywy</w:t>
      </w:r>
      <w:r w:rsidR="00E33F74" w:rsidRPr="009935E0">
        <w:rPr>
          <w:rFonts w:ascii="Times New Roman" w:hAnsi="Times New Roman" w:cs="Times New Roman"/>
          <w:sz w:val="24"/>
          <w:szCs w:val="24"/>
        </w:rPr>
        <w:t xml:space="preserve"> SATCAB II</w:t>
      </w:r>
      <w:r w:rsidR="002F4EB6" w:rsidRPr="009935E0">
        <w:rPr>
          <w:rFonts w:ascii="Times New Roman" w:hAnsi="Times New Roman" w:cs="Times New Roman"/>
          <w:sz w:val="24"/>
          <w:szCs w:val="24"/>
        </w:rPr>
        <w:t>, który wskazuje właściwość</w:t>
      </w:r>
      <w:r w:rsidR="007B733A" w:rsidRPr="00483092">
        <w:rPr>
          <w:rFonts w:ascii="Times New Roman" w:hAnsi="Times New Roman" w:cs="Times New Roman"/>
          <w:sz w:val="24"/>
          <w:szCs w:val="24"/>
        </w:rPr>
        <w:t xml:space="preserve"> </w:t>
      </w:r>
      <w:r w:rsidR="007B733A" w:rsidRPr="009935E0">
        <w:rPr>
          <w:rFonts w:ascii="Times New Roman" w:hAnsi="Times New Roman" w:cs="Times New Roman"/>
          <w:sz w:val="24"/>
          <w:szCs w:val="24"/>
        </w:rPr>
        <w:t xml:space="preserve">organizacji zbiorowego zarządzania </w:t>
      </w:r>
      <w:r w:rsidR="00950EF9" w:rsidRPr="009935E0">
        <w:rPr>
          <w:rFonts w:ascii="Times New Roman" w:hAnsi="Times New Roman" w:cs="Times New Roman"/>
          <w:sz w:val="24"/>
          <w:szCs w:val="24"/>
        </w:rPr>
        <w:t>w przypadku, gdy dany uprawniony nie powierzył swoich praw do reem</w:t>
      </w:r>
      <w:r w:rsidR="002B4B7D" w:rsidRPr="009935E0">
        <w:rPr>
          <w:rFonts w:ascii="Times New Roman" w:hAnsi="Times New Roman" w:cs="Times New Roman"/>
          <w:sz w:val="24"/>
          <w:szCs w:val="24"/>
        </w:rPr>
        <w:t>itowania</w:t>
      </w:r>
      <w:r w:rsidR="00950EF9" w:rsidRPr="009935E0">
        <w:rPr>
          <w:rFonts w:ascii="Times New Roman" w:hAnsi="Times New Roman" w:cs="Times New Roman"/>
          <w:sz w:val="24"/>
          <w:szCs w:val="24"/>
        </w:rPr>
        <w:t xml:space="preserve"> żadnej organizacji, należy uznać za wdrożony przez przepisy ustawy o z</w:t>
      </w:r>
      <w:r w:rsidR="002B4B7D" w:rsidRPr="009935E0">
        <w:rPr>
          <w:rFonts w:ascii="Times New Roman" w:hAnsi="Times New Roman" w:cs="Times New Roman"/>
          <w:sz w:val="24"/>
          <w:szCs w:val="24"/>
        </w:rPr>
        <w:t xml:space="preserve">biorowym zarządzaniu </w:t>
      </w:r>
      <w:r w:rsidR="00423F72" w:rsidRPr="009935E0">
        <w:rPr>
          <w:rFonts w:ascii="Times New Roman" w:hAnsi="Times New Roman" w:cs="Times New Roman"/>
          <w:sz w:val="24"/>
          <w:szCs w:val="24"/>
        </w:rPr>
        <w:t>wprowadzające instytucję tzw. reprezentatywnej</w:t>
      </w:r>
      <w:r w:rsidR="007B733A" w:rsidRPr="00483092">
        <w:rPr>
          <w:rFonts w:ascii="Times New Roman" w:hAnsi="Times New Roman" w:cs="Times New Roman"/>
          <w:sz w:val="24"/>
          <w:szCs w:val="24"/>
        </w:rPr>
        <w:t xml:space="preserve"> </w:t>
      </w:r>
      <w:r w:rsidR="007B733A" w:rsidRPr="009935E0">
        <w:rPr>
          <w:rFonts w:ascii="Times New Roman" w:hAnsi="Times New Roman" w:cs="Times New Roman"/>
          <w:sz w:val="24"/>
          <w:szCs w:val="24"/>
        </w:rPr>
        <w:t>organizacji zbiorowego zarządzania</w:t>
      </w:r>
      <w:r w:rsidR="00423F72" w:rsidRPr="009935E0">
        <w:rPr>
          <w:rFonts w:ascii="Times New Roman" w:hAnsi="Times New Roman" w:cs="Times New Roman"/>
          <w:sz w:val="24"/>
          <w:szCs w:val="24"/>
        </w:rPr>
        <w:t xml:space="preserve">. </w:t>
      </w:r>
      <w:r w:rsidR="008A3FE1" w:rsidRPr="009935E0">
        <w:rPr>
          <w:rFonts w:ascii="Times New Roman" w:hAnsi="Times New Roman" w:cs="Times New Roman"/>
          <w:sz w:val="24"/>
          <w:szCs w:val="24"/>
        </w:rPr>
        <w:t>Zgodnie z art. 5</w:t>
      </w:r>
      <w:r w:rsidR="0029592F" w:rsidRPr="009935E0">
        <w:rPr>
          <w:rFonts w:ascii="Times New Roman" w:hAnsi="Times New Roman" w:cs="Times New Roman"/>
          <w:sz w:val="24"/>
          <w:szCs w:val="24"/>
        </w:rPr>
        <w:t xml:space="preserve"> ust. 2 tej ustawy, w zakresie</w:t>
      </w:r>
      <w:r w:rsidR="007B733A" w:rsidRPr="009935E0">
        <w:rPr>
          <w:rFonts w:ascii="Times New Roman" w:hAnsi="Times New Roman" w:cs="Times New Roman"/>
          <w:sz w:val="24"/>
          <w:szCs w:val="24"/>
        </w:rPr>
        <w:t>,</w:t>
      </w:r>
      <w:r w:rsidR="00A133D5" w:rsidRPr="009935E0">
        <w:rPr>
          <w:rFonts w:ascii="Times New Roman" w:hAnsi="Times New Roman" w:cs="Times New Roman"/>
          <w:sz w:val="24"/>
          <w:szCs w:val="24"/>
        </w:rPr>
        <w:t xml:space="preserve"> w jakim m.</w:t>
      </w:r>
      <w:r w:rsidR="0029592F" w:rsidRPr="009935E0">
        <w:rPr>
          <w:rFonts w:ascii="Times New Roman" w:hAnsi="Times New Roman" w:cs="Times New Roman"/>
          <w:sz w:val="24"/>
          <w:szCs w:val="24"/>
        </w:rPr>
        <w:t>in. art. 21</w:t>
      </w:r>
      <w:r w:rsidR="0029592F" w:rsidRPr="009935E0">
        <w:rPr>
          <w:rFonts w:ascii="Times New Roman" w:hAnsi="Times New Roman" w:cs="Times New Roman"/>
          <w:sz w:val="24"/>
          <w:szCs w:val="24"/>
          <w:vertAlign w:val="superscript"/>
        </w:rPr>
        <w:t>1</w:t>
      </w:r>
      <w:r w:rsidR="002B4B7D" w:rsidRPr="009935E0">
        <w:rPr>
          <w:rFonts w:ascii="Times New Roman" w:hAnsi="Times New Roman" w:cs="Times New Roman"/>
          <w:sz w:val="24"/>
          <w:szCs w:val="24"/>
        </w:rPr>
        <w:t xml:space="preserve"> ustawy o prawie autorskim </w:t>
      </w:r>
      <w:r w:rsidR="0029592F" w:rsidRPr="009935E0">
        <w:rPr>
          <w:rFonts w:ascii="Times New Roman" w:hAnsi="Times New Roman" w:cs="Times New Roman"/>
          <w:sz w:val="24"/>
          <w:szCs w:val="24"/>
        </w:rPr>
        <w:t>przewiduje obowiązek zawarcia umowy lub zapłaty wynagrodzenia za pośrednictwem</w:t>
      </w:r>
      <w:r w:rsidR="007B733A" w:rsidRPr="00483092">
        <w:rPr>
          <w:rFonts w:ascii="Times New Roman" w:hAnsi="Times New Roman" w:cs="Times New Roman"/>
          <w:sz w:val="24"/>
          <w:szCs w:val="24"/>
        </w:rPr>
        <w:t xml:space="preserve"> </w:t>
      </w:r>
      <w:r w:rsidR="007B733A" w:rsidRPr="009935E0">
        <w:rPr>
          <w:rFonts w:ascii="Times New Roman" w:hAnsi="Times New Roman" w:cs="Times New Roman"/>
          <w:sz w:val="24"/>
          <w:szCs w:val="24"/>
        </w:rPr>
        <w:t>organizacji zbiorowego zarządzania</w:t>
      </w:r>
      <w:r w:rsidR="0029592F" w:rsidRPr="009935E0">
        <w:rPr>
          <w:rFonts w:ascii="Times New Roman" w:hAnsi="Times New Roman" w:cs="Times New Roman"/>
          <w:sz w:val="24"/>
          <w:szCs w:val="24"/>
        </w:rPr>
        <w:t xml:space="preserve">, </w:t>
      </w:r>
      <w:r w:rsidR="0029592F" w:rsidRPr="009935E0">
        <w:rPr>
          <w:rFonts w:ascii="Times New Roman" w:hAnsi="Times New Roman" w:cs="Times New Roman"/>
          <w:sz w:val="24"/>
          <w:szCs w:val="24"/>
        </w:rPr>
        <w:lastRenderedPageBreak/>
        <w:t xml:space="preserve">prawami danej kategorii uprawnionych do danego rodzaju utworów lub przedmiotów praw pokrewnych na danym polu eksploatacji, którzy nie zawarli umowy o zbiorowe zarządzanie swoimi prawami z żadną organizacją, zbiorowo zarządza ta organizacja, która jest reprezentatywna w odniesieniu do tych praw. </w:t>
      </w:r>
      <w:r w:rsidR="00875B2F" w:rsidRPr="009935E0">
        <w:rPr>
          <w:rFonts w:ascii="Times New Roman" w:hAnsi="Times New Roman" w:cs="Times New Roman"/>
          <w:sz w:val="24"/>
          <w:szCs w:val="24"/>
        </w:rPr>
        <w:t>Zgodnie z art. 10 ust. 1</w:t>
      </w:r>
      <w:r w:rsidR="00082B67" w:rsidRPr="009935E0">
        <w:rPr>
          <w:rFonts w:ascii="Times New Roman" w:hAnsi="Times New Roman" w:cs="Times New Roman"/>
          <w:sz w:val="24"/>
          <w:szCs w:val="24"/>
        </w:rPr>
        <w:t>–</w:t>
      </w:r>
      <w:r w:rsidR="00875B2F" w:rsidRPr="009935E0">
        <w:rPr>
          <w:rFonts w:ascii="Times New Roman" w:hAnsi="Times New Roman" w:cs="Times New Roman"/>
          <w:sz w:val="24"/>
          <w:szCs w:val="24"/>
        </w:rPr>
        <w:t xml:space="preserve">3 ustawy </w:t>
      </w:r>
      <w:r w:rsidR="0021012A" w:rsidRPr="009935E0">
        <w:rPr>
          <w:rFonts w:ascii="Times New Roman" w:hAnsi="Times New Roman" w:cs="Times New Roman"/>
          <w:sz w:val="24"/>
          <w:szCs w:val="24"/>
        </w:rPr>
        <w:t xml:space="preserve">o zbiorowym zarządzaniu </w:t>
      </w:r>
      <w:r w:rsidR="00875B2F" w:rsidRPr="009935E0">
        <w:rPr>
          <w:rFonts w:ascii="Times New Roman" w:hAnsi="Times New Roman" w:cs="Times New Roman"/>
          <w:sz w:val="24"/>
          <w:szCs w:val="24"/>
        </w:rPr>
        <w:t>reprezentatywną</w:t>
      </w:r>
      <w:r w:rsidR="007B733A" w:rsidRPr="00483092">
        <w:rPr>
          <w:rFonts w:ascii="Times New Roman" w:hAnsi="Times New Roman" w:cs="Times New Roman"/>
          <w:sz w:val="24"/>
          <w:szCs w:val="24"/>
        </w:rPr>
        <w:t xml:space="preserve"> </w:t>
      </w:r>
      <w:r w:rsidR="007B733A" w:rsidRPr="009935E0">
        <w:rPr>
          <w:rFonts w:ascii="Times New Roman" w:hAnsi="Times New Roman" w:cs="Times New Roman"/>
          <w:sz w:val="24"/>
          <w:szCs w:val="24"/>
        </w:rPr>
        <w:t xml:space="preserve">organizacją zbiorowego zarządzania </w:t>
      </w:r>
      <w:r w:rsidR="00875B2F" w:rsidRPr="009935E0">
        <w:rPr>
          <w:rFonts w:ascii="Times New Roman" w:hAnsi="Times New Roman" w:cs="Times New Roman"/>
          <w:sz w:val="24"/>
          <w:szCs w:val="24"/>
        </w:rPr>
        <w:t>jest ta, która jako jedyna posiada zezwolenie na zbiorowe zarządzanie prawami danej kategorii uprawnionych do danego rodzaju utworów lub przedmiotów praw pokrewn</w:t>
      </w:r>
      <w:r w:rsidR="00330384" w:rsidRPr="009935E0">
        <w:rPr>
          <w:rFonts w:ascii="Times New Roman" w:hAnsi="Times New Roman" w:cs="Times New Roman"/>
          <w:sz w:val="24"/>
          <w:szCs w:val="24"/>
        </w:rPr>
        <w:t xml:space="preserve">ych na danym polu eksploatacji. </w:t>
      </w:r>
      <w:r w:rsidR="00875B2F" w:rsidRPr="009935E0">
        <w:rPr>
          <w:rFonts w:ascii="Times New Roman" w:hAnsi="Times New Roman" w:cs="Times New Roman"/>
          <w:sz w:val="24"/>
          <w:szCs w:val="24"/>
        </w:rPr>
        <w:t>Jeżeli</w:t>
      </w:r>
      <w:r w:rsidR="00330384" w:rsidRPr="009935E0">
        <w:rPr>
          <w:rFonts w:ascii="Times New Roman" w:hAnsi="Times New Roman" w:cs="Times New Roman"/>
          <w:sz w:val="24"/>
          <w:szCs w:val="24"/>
        </w:rPr>
        <w:t xml:space="preserve"> natomiast</w:t>
      </w:r>
      <w:r w:rsidR="00875B2F" w:rsidRPr="009935E0">
        <w:rPr>
          <w:rFonts w:ascii="Times New Roman" w:hAnsi="Times New Roman" w:cs="Times New Roman"/>
          <w:sz w:val="24"/>
          <w:szCs w:val="24"/>
        </w:rPr>
        <w:t xml:space="preserve"> zezwolenie na zbiorowe zarządzanie </w:t>
      </w:r>
      <w:r w:rsidR="00330384" w:rsidRPr="009935E0">
        <w:rPr>
          <w:rFonts w:ascii="Times New Roman" w:hAnsi="Times New Roman" w:cs="Times New Roman"/>
          <w:sz w:val="24"/>
          <w:szCs w:val="24"/>
        </w:rPr>
        <w:t>w tym zakresie</w:t>
      </w:r>
      <w:r w:rsidR="00875B2F" w:rsidRPr="009935E0">
        <w:rPr>
          <w:rFonts w:ascii="Times New Roman" w:hAnsi="Times New Roman" w:cs="Times New Roman"/>
          <w:sz w:val="24"/>
          <w:szCs w:val="24"/>
        </w:rPr>
        <w:t xml:space="preserve"> posiada więcej niż jedna organizacja, organizacją reprezentatywną jest ta, która w tym zakresie reprezentuje największą liczbę uprawnionych na podstawie umowy o zbiorowe zarządzanie prawami autorskimi lub prawami pokrew</w:t>
      </w:r>
      <w:r w:rsidR="00330384" w:rsidRPr="009935E0">
        <w:rPr>
          <w:rFonts w:ascii="Times New Roman" w:hAnsi="Times New Roman" w:cs="Times New Roman"/>
          <w:sz w:val="24"/>
          <w:szCs w:val="24"/>
        </w:rPr>
        <w:t>nymi oraz umowy o reprezentacji</w:t>
      </w:r>
      <w:r w:rsidR="00082B67" w:rsidRPr="009935E0">
        <w:rPr>
          <w:rFonts w:ascii="Times New Roman" w:hAnsi="Times New Roman" w:cs="Times New Roman"/>
          <w:sz w:val="24"/>
          <w:szCs w:val="24"/>
        </w:rPr>
        <w:t>. R</w:t>
      </w:r>
      <w:r w:rsidR="00330384" w:rsidRPr="009935E0">
        <w:rPr>
          <w:rFonts w:ascii="Times New Roman" w:hAnsi="Times New Roman" w:cs="Times New Roman"/>
          <w:sz w:val="24"/>
          <w:szCs w:val="24"/>
        </w:rPr>
        <w:t xml:space="preserve">eprezentatywność </w:t>
      </w:r>
      <w:r w:rsidR="00082B67" w:rsidRPr="009935E0">
        <w:rPr>
          <w:rFonts w:ascii="Times New Roman" w:hAnsi="Times New Roman" w:cs="Times New Roman"/>
          <w:sz w:val="24"/>
          <w:szCs w:val="24"/>
        </w:rPr>
        <w:t xml:space="preserve">tę </w:t>
      </w:r>
      <w:r w:rsidR="00330384" w:rsidRPr="009935E0">
        <w:rPr>
          <w:rFonts w:ascii="Times New Roman" w:hAnsi="Times New Roman" w:cs="Times New Roman"/>
          <w:sz w:val="24"/>
          <w:szCs w:val="24"/>
        </w:rPr>
        <w:t>potwierdza</w:t>
      </w:r>
      <w:r w:rsidR="00875B2F" w:rsidRPr="009935E0">
        <w:rPr>
          <w:rFonts w:ascii="Times New Roman" w:hAnsi="Times New Roman" w:cs="Times New Roman"/>
          <w:sz w:val="24"/>
          <w:szCs w:val="24"/>
        </w:rPr>
        <w:t xml:space="preserve"> z urzędu minister</w:t>
      </w:r>
      <w:r w:rsidR="00330384" w:rsidRPr="009935E0">
        <w:rPr>
          <w:rFonts w:ascii="Times New Roman" w:hAnsi="Times New Roman" w:cs="Times New Roman"/>
          <w:sz w:val="24"/>
          <w:szCs w:val="24"/>
        </w:rPr>
        <w:t xml:space="preserve"> właściwy do spraw kultury i ochrony dziedzictwa narodowego w dro</w:t>
      </w:r>
      <w:r w:rsidR="00025AD1" w:rsidRPr="009935E0">
        <w:rPr>
          <w:rFonts w:ascii="Times New Roman" w:hAnsi="Times New Roman" w:cs="Times New Roman"/>
          <w:sz w:val="24"/>
          <w:szCs w:val="24"/>
        </w:rPr>
        <w:t xml:space="preserve">dze decyzji (deklaratoryjnej), </w:t>
      </w:r>
      <w:r w:rsidR="00330384" w:rsidRPr="009935E0">
        <w:rPr>
          <w:rFonts w:ascii="Times New Roman" w:hAnsi="Times New Roman" w:cs="Times New Roman"/>
          <w:sz w:val="24"/>
          <w:szCs w:val="24"/>
        </w:rPr>
        <w:t>a więc w trybie postępowania administracyjnego</w:t>
      </w:r>
      <w:r w:rsidR="001B52E7" w:rsidRPr="009935E0">
        <w:rPr>
          <w:rFonts w:ascii="Times New Roman" w:hAnsi="Times New Roman" w:cs="Times New Roman"/>
          <w:sz w:val="24"/>
          <w:szCs w:val="24"/>
        </w:rPr>
        <w:t xml:space="preserve">. Art. 4 ust. 3 dyrektywy </w:t>
      </w:r>
      <w:r w:rsidR="00E33F74" w:rsidRPr="009935E0">
        <w:rPr>
          <w:rFonts w:ascii="Times New Roman" w:hAnsi="Times New Roman" w:cs="Times New Roman"/>
          <w:sz w:val="24"/>
          <w:szCs w:val="24"/>
        </w:rPr>
        <w:t xml:space="preserve">SATCAB II </w:t>
      </w:r>
      <w:r w:rsidR="001B52E7" w:rsidRPr="009935E0">
        <w:rPr>
          <w:rFonts w:ascii="Times New Roman" w:hAnsi="Times New Roman" w:cs="Times New Roman"/>
          <w:sz w:val="24"/>
          <w:szCs w:val="24"/>
        </w:rPr>
        <w:t>nakazuje</w:t>
      </w:r>
      <w:r w:rsidR="00FF5A63" w:rsidRPr="009935E0">
        <w:rPr>
          <w:rFonts w:ascii="Times New Roman" w:hAnsi="Times New Roman" w:cs="Times New Roman"/>
          <w:sz w:val="24"/>
          <w:szCs w:val="24"/>
        </w:rPr>
        <w:t xml:space="preserve"> w tym zakresie równe traktowanie wszystkich uprawnionych</w:t>
      </w:r>
      <w:r w:rsidR="00A37D9E" w:rsidRPr="009935E0">
        <w:rPr>
          <w:rFonts w:ascii="Times New Roman" w:hAnsi="Times New Roman" w:cs="Times New Roman"/>
          <w:sz w:val="24"/>
          <w:szCs w:val="24"/>
        </w:rPr>
        <w:t>. Z</w:t>
      </w:r>
      <w:r w:rsidR="00FF5A63" w:rsidRPr="009935E0">
        <w:rPr>
          <w:rFonts w:ascii="Times New Roman" w:hAnsi="Times New Roman" w:cs="Times New Roman"/>
          <w:sz w:val="24"/>
          <w:szCs w:val="24"/>
        </w:rPr>
        <w:t>asada</w:t>
      </w:r>
      <w:r w:rsidR="00A37D9E" w:rsidRPr="009935E0">
        <w:rPr>
          <w:rFonts w:ascii="Times New Roman" w:hAnsi="Times New Roman" w:cs="Times New Roman"/>
          <w:sz w:val="24"/>
          <w:szCs w:val="24"/>
        </w:rPr>
        <w:t xml:space="preserve"> ta</w:t>
      </w:r>
      <w:r w:rsidR="00AA63AA" w:rsidRPr="009935E0">
        <w:rPr>
          <w:rFonts w:ascii="Times New Roman" w:hAnsi="Times New Roman" w:cs="Times New Roman"/>
          <w:sz w:val="24"/>
          <w:szCs w:val="24"/>
        </w:rPr>
        <w:t xml:space="preserve">, jako generalna zasada zbiorowego zarządu, </w:t>
      </w:r>
      <w:r w:rsidR="00FF5A63" w:rsidRPr="009935E0">
        <w:rPr>
          <w:rFonts w:ascii="Times New Roman" w:hAnsi="Times New Roman" w:cs="Times New Roman"/>
          <w:sz w:val="24"/>
          <w:szCs w:val="24"/>
        </w:rPr>
        <w:t>jest wdroż</w:t>
      </w:r>
      <w:r w:rsidR="00AA63AA" w:rsidRPr="009935E0">
        <w:rPr>
          <w:rFonts w:ascii="Times New Roman" w:hAnsi="Times New Roman" w:cs="Times New Roman"/>
          <w:sz w:val="24"/>
          <w:szCs w:val="24"/>
        </w:rPr>
        <w:t xml:space="preserve">ona w art. 4 ust. 3 ustawy o zbiorowym zarządzaniu, zgodnie z którym każda organizacja zbiorowego zarządzania „jednakowo traktuje uprawnionych bez względu na podstawę prawną zbiorowego zarządzania ich prawami”. W odniesieniu do organizacji reprezentatywnych zasada ta jest doprecyzowana w </w:t>
      </w:r>
      <w:r w:rsidR="00FF5A63" w:rsidRPr="009935E0">
        <w:rPr>
          <w:rFonts w:ascii="Times New Roman" w:hAnsi="Times New Roman" w:cs="Times New Roman"/>
          <w:sz w:val="24"/>
          <w:szCs w:val="24"/>
        </w:rPr>
        <w:t xml:space="preserve">art. 5 ust. 4 </w:t>
      </w:r>
      <w:r w:rsidR="00247D42" w:rsidRPr="009935E0">
        <w:rPr>
          <w:rFonts w:ascii="Times New Roman" w:hAnsi="Times New Roman" w:cs="Times New Roman"/>
          <w:sz w:val="24"/>
          <w:szCs w:val="24"/>
        </w:rPr>
        <w:t xml:space="preserve">powołanej </w:t>
      </w:r>
      <w:r w:rsidR="00FF5A63" w:rsidRPr="009935E0">
        <w:rPr>
          <w:rFonts w:ascii="Times New Roman" w:hAnsi="Times New Roman" w:cs="Times New Roman"/>
          <w:sz w:val="24"/>
          <w:szCs w:val="24"/>
        </w:rPr>
        <w:t>ustawy</w:t>
      </w:r>
      <w:r w:rsidR="00A37D9E" w:rsidRPr="009935E0">
        <w:rPr>
          <w:rFonts w:ascii="Times New Roman" w:hAnsi="Times New Roman" w:cs="Times New Roman"/>
          <w:sz w:val="24"/>
          <w:szCs w:val="24"/>
        </w:rPr>
        <w:t xml:space="preserve">, zgodnie z którym uprawnionemu niereprezentowanemu przez żadną organizację zbiorowego zarządzania, którego utwór lub przedmiot prawa pokrewnego jest objęty umową zawartą przez reprezentatywną organizację, przychody z praw z tytułu tej umowy przysługują na takich samych warunkach jak uprawnionym, którzy w tym zakresie zawarli z daną organizacją umowę o zbiorowe zarządzanie </w:t>
      </w:r>
      <w:r w:rsidR="00011E14" w:rsidRPr="009935E0">
        <w:rPr>
          <w:rFonts w:ascii="Times New Roman" w:hAnsi="Times New Roman" w:cs="Times New Roman"/>
          <w:sz w:val="24"/>
          <w:szCs w:val="24"/>
        </w:rPr>
        <w:t xml:space="preserve">swoimi </w:t>
      </w:r>
      <w:r w:rsidR="00A37D9E" w:rsidRPr="009935E0">
        <w:rPr>
          <w:rFonts w:ascii="Times New Roman" w:hAnsi="Times New Roman" w:cs="Times New Roman"/>
          <w:sz w:val="24"/>
          <w:szCs w:val="24"/>
        </w:rPr>
        <w:t>prawami. Roszczenie o wypłatę może być dochodzone wyłącznie wobec organizacji zbiorowego za</w:t>
      </w:r>
      <w:r w:rsidR="00011E14" w:rsidRPr="009935E0">
        <w:rPr>
          <w:rFonts w:ascii="Times New Roman" w:hAnsi="Times New Roman" w:cs="Times New Roman"/>
          <w:sz w:val="24"/>
          <w:szCs w:val="24"/>
        </w:rPr>
        <w:t xml:space="preserve">rządzania, która zawarła umowę. Zgodnie z dyrektywą </w:t>
      </w:r>
      <w:r w:rsidR="00247D42" w:rsidRPr="009935E0">
        <w:rPr>
          <w:rFonts w:ascii="Times New Roman" w:hAnsi="Times New Roman" w:cs="Times New Roman"/>
          <w:sz w:val="24"/>
          <w:szCs w:val="24"/>
        </w:rPr>
        <w:t xml:space="preserve">SATCAB II </w:t>
      </w:r>
      <w:r w:rsidR="00011E14" w:rsidRPr="009935E0">
        <w:rPr>
          <w:rFonts w:ascii="Times New Roman" w:hAnsi="Times New Roman" w:cs="Times New Roman"/>
          <w:sz w:val="24"/>
          <w:szCs w:val="24"/>
        </w:rPr>
        <w:t xml:space="preserve">uprawniony </w:t>
      </w:r>
      <w:r w:rsidR="00B51647" w:rsidRPr="009935E0">
        <w:rPr>
          <w:rFonts w:ascii="Times New Roman" w:hAnsi="Times New Roman" w:cs="Times New Roman"/>
          <w:sz w:val="24"/>
          <w:szCs w:val="24"/>
        </w:rPr>
        <w:t>powinien mieć min</w:t>
      </w:r>
      <w:r w:rsidR="001C0CE7" w:rsidRPr="009935E0">
        <w:rPr>
          <w:rFonts w:ascii="Times New Roman" w:hAnsi="Times New Roman" w:cs="Times New Roman"/>
          <w:sz w:val="24"/>
          <w:szCs w:val="24"/>
        </w:rPr>
        <w:t>imum</w:t>
      </w:r>
      <w:r w:rsidR="00B51647" w:rsidRPr="009935E0">
        <w:rPr>
          <w:rFonts w:ascii="Times New Roman" w:hAnsi="Times New Roman" w:cs="Times New Roman"/>
          <w:sz w:val="24"/>
          <w:szCs w:val="24"/>
        </w:rPr>
        <w:t xml:space="preserve"> 3 lata na ew</w:t>
      </w:r>
      <w:r w:rsidR="007B733A" w:rsidRPr="009935E0">
        <w:rPr>
          <w:rFonts w:ascii="Times New Roman" w:hAnsi="Times New Roman" w:cs="Times New Roman"/>
          <w:sz w:val="24"/>
          <w:szCs w:val="24"/>
        </w:rPr>
        <w:t>entualne</w:t>
      </w:r>
      <w:r w:rsidR="00B51647" w:rsidRPr="009935E0">
        <w:rPr>
          <w:rFonts w:ascii="Times New Roman" w:hAnsi="Times New Roman" w:cs="Times New Roman"/>
          <w:sz w:val="24"/>
          <w:szCs w:val="24"/>
        </w:rPr>
        <w:t xml:space="preserve"> dochodzenie swoich roszczeń, licząc od </w:t>
      </w:r>
      <w:r w:rsidR="0021012A" w:rsidRPr="009935E0">
        <w:rPr>
          <w:rFonts w:ascii="Times New Roman" w:hAnsi="Times New Roman" w:cs="Times New Roman"/>
          <w:sz w:val="24"/>
          <w:szCs w:val="24"/>
        </w:rPr>
        <w:t xml:space="preserve">dnia, w którym jego utwór był </w:t>
      </w:r>
      <w:proofErr w:type="spellStart"/>
      <w:r w:rsidR="0021012A" w:rsidRPr="009935E0">
        <w:rPr>
          <w:rFonts w:ascii="Times New Roman" w:hAnsi="Times New Roman" w:cs="Times New Roman"/>
          <w:sz w:val="24"/>
          <w:szCs w:val="24"/>
        </w:rPr>
        <w:t>reemitowany</w:t>
      </w:r>
      <w:proofErr w:type="spellEnd"/>
      <w:r w:rsidR="00B51647" w:rsidRPr="009935E0">
        <w:rPr>
          <w:rFonts w:ascii="Times New Roman" w:hAnsi="Times New Roman" w:cs="Times New Roman"/>
          <w:sz w:val="24"/>
          <w:szCs w:val="24"/>
        </w:rPr>
        <w:t>.</w:t>
      </w:r>
      <w:r w:rsidR="00326072" w:rsidRPr="009935E0">
        <w:rPr>
          <w:rFonts w:ascii="Times New Roman" w:hAnsi="Times New Roman" w:cs="Times New Roman"/>
          <w:sz w:val="24"/>
          <w:szCs w:val="24"/>
        </w:rPr>
        <w:t xml:space="preserve"> W polskim prawie stosować się będą w tym zakresie przepisy </w:t>
      </w:r>
      <w:r w:rsidR="00960A4F" w:rsidRPr="009935E0">
        <w:rPr>
          <w:rFonts w:ascii="Times New Roman" w:hAnsi="Times New Roman" w:cs="Times New Roman"/>
          <w:sz w:val="24"/>
          <w:szCs w:val="24"/>
        </w:rPr>
        <w:t xml:space="preserve">ustawy z dnia </w:t>
      </w:r>
      <w:r w:rsidR="0003129C" w:rsidRPr="009935E0">
        <w:rPr>
          <w:rFonts w:ascii="Times New Roman" w:hAnsi="Times New Roman" w:cs="Times New Roman"/>
          <w:sz w:val="24"/>
          <w:szCs w:val="24"/>
        </w:rPr>
        <w:t xml:space="preserve">23 kwietnia 1964 r. </w:t>
      </w:r>
      <w:r w:rsidR="00685C59" w:rsidRPr="009935E0">
        <w:rPr>
          <w:rFonts w:ascii="Times New Roman" w:hAnsi="Times New Roman" w:cs="Times New Roman"/>
          <w:sz w:val="24"/>
          <w:szCs w:val="24"/>
        </w:rPr>
        <w:t>–</w:t>
      </w:r>
      <w:r w:rsidR="0003129C" w:rsidRPr="009935E0">
        <w:rPr>
          <w:rFonts w:ascii="Times New Roman" w:hAnsi="Times New Roman" w:cs="Times New Roman"/>
          <w:sz w:val="24"/>
          <w:szCs w:val="24"/>
        </w:rPr>
        <w:t xml:space="preserve"> </w:t>
      </w:r>
      <w:r w:rsidR="00326072" w:rsidRPr="009935E0">
        <w:rPr>
          <w:rFonts w:ascii="Times New Roman" w:hAnsi="Times New Roman" w:cs="Times New Roman"/>
          <w:sz w:val="24"/>
          <w:szCs w:val="24"/>
        </w:rPr>
        <w:t xml:space="preserve">Kodeks </w:t>
      </w:r>
      <w:r w:rsidR="0003129C" w:rsidRPr="009935E0">
        <w:rPr>
          <w:rFonts w:ascii="Times New Roman" w:hAnsi="Times New Roman" w:cs="Times New Roman"/>
          <w:sz w:val="24"/>
          <w:szCs w:val="24"/>
        </w:rPr>
        <w:t xml:space="preserve">cywilny (Dz. U. z 2023 r. poz. 1610, z </w:t>
      </w:r>
      <w:proofErr w:type="spellStart"/>
      <w:r w:rsidR="0003129C" w:rsidRPr="009935E0">
        <w:rPr>
          <w:rFonts w:ascii="Times New Roman" w:hAnsi="Times New Roman" w:cs="Times New Roman"/>
          <w:sz w:val="24"/>
          <w:szCs w:val="24"/>
        </w:rPr>
        <w:t>późn</w:t>
      </w:r>
      <w:proofErr w:type="spellEnd"/>
      <w:r w:rsidR="0003129C" w:rsidRPr="009935E0">
        <w:rPr>
          <w:rFonts w:ascii="Times New Roman" w:hAnsi="Times New Roman" w:cs="Times New Roman"/>
          <w:sz w:val="24"/>
          <w:szCs w:val="24"/>
        </w:rPr>
        <w:t xml:space="preserve">. zm.), zwanej dalej „Kodeksem cywilnym”, </w:t>
      </w:r>
      <w:r w:rsidR="00E17D7E" w:rsidRPr="009935E0">
        <w:rPr>
          <w:rFonts w:ascii="Times New Roman" w:hAnsi="Times New Roman" w:cs="Times New Roman"/>
          <w:sz w:val="24"/>
          <w:szCs w:val="24"/>
        </w:rPr>
        <w:t>o przedawnieniu roszczeń</w:t>
      </w:r>
      <w:r w:rsidR="00E33F74" w:rsidRPr="009935E0">
        <w:rPr>
          <w:rFonts w:ascii="Times New Roman" w:hAnsi="Times New Roman" w:cs="Times New Roman"/>
          <w:sz w:val="24"/>
          <w:szCs w:val="24"/>
        </w:rPr>
        <w:t>.</w:t>
      </w:r>
      <w:r w:rsidR="00E17D7E" w:rsidRPr="009935E0">
        <w:rPr>
          <w:rFonts w:ascii="Times New Roman" w:hAnsi="Times New Roman" w:cs="Times New Roman"/>
          <w:sz w:val="24"/>
          <w:szCs w:val="24"/>
        </w:rPr>
        <w:t xml:space="preserve"> </w:t>
      </w:r>
      <w:r w:rsidR="00E33F74" w:rsidRPr="009935E0">
        <w:rPr>
          <w:rFonts w:ascii="Times New Roman" w:hAnsi="Times New Roman" w:cs="Times New Roman"/>
          <w:sz w:val="24"/>
          <w:szCs w:val="24"/>
        </w:rPr>
        <w:t>Z</w:t>
      </w:r>
      <w:r w:rsidR="00E17D7E" w:rsidRPr="009935E0">
        <w:rPr>
          <w:rFonts w:ascii="Times New Roman" w:hAnsi="Times New Roman" w:cs="Times New Roman"/>
          <w:sz w:val="24"/>
          <w:szCs w:val="24"/>
        </w:rPr>
        <w:t>godnie z art. 118 K</w:t>
      </w:r>
      <w:r w:rsidR="007B733A" w:rsidRPr="009935E0">
        <w:rPr>
          <w:rFonts w:ascii="Times New Roman" w:hAnsi="Times New Roman" w:cs="Times New Roman"/>
          <w:sz w:val="24"/>
          <w:szCs w:val="24"/>
        </w:rPr>
        <w:t xml:space="preserve">odeksu </w:t>
      </w:r>
      <w:r w:rsidR="00E17D7E" w:rsidRPr="009935E0">
        <w:rPr>
          <w:rFonts w:ascii="Times New Roman" w:hAnsi="Times New Roman" w:cs="Times New Roman"/>
          <w:sz w:val="24"/>
          <w:szCs w:val="24"/>
        </w:rPr>
        <w:t>c</w:t>
      </w:r>
      <w:r w:rsidR="007B733A" w:rsidRPr="009935E0">
        <w:rPr>
          <w:rFonts w:ascii="Times New Roman" w:hAnsi="Times New Roman" w:cs="Times New Roman"/>
          <w:sz w:val="24"/>
          <w:szCs w:val="24"/>
        </w:rPr>
        <w:t>ywilnego</w:t>
      </w:r>
      <w:r w:rsidR="00E17D7E" w:rsidRPr="009935E0">
        <w:rPr>
          <w:rFonts w:ascii="Times New Roman" w:hAnsi="Times New Roman" w:cs="Times New Roman"/>
          <w:sz w:val="24"/>
          <w:szCs w:val="24"/>
        </w:rPr>
        <w:t xml:space="preserve">, jeżeli przepis szczególny nie stanowi inaczej, termin przedawnienia wynosi sześć lat, a dla roszczeń o świadczenia okresowe oraz roszczeń związanych z prowadzeniem działalności gospodarczej </w:t>
      </w:r>
      <w:r w:rsidR="00082B67" w:rsidRPr="009935E0">
        <w:rPr>
          <w:rFonts w:ascii="Times New Roman" w:hAnsi="Times New Roman" w:cs="Times New Roman"/>
          <w:sz w:val="24"/>
          <w:szCs w:val="24"/>
        </w:rPr>
        <w:t>–</w:t>
      </w:r>
      <w:r w:rsidR="00E17D7E" w:rsidRPr="009935E0">
        <w:rPr>
          <w:rFonts w:ascii="Times New Roman" w:hAnsi="Times New Roman" w:cs="Times New Roman"/>
          <w:sz w:val="24"/>
          <w:szCs w:val="24"/>
        </w:rPr>
        <w:t xml:space="preserve"> trzy lata, przy czym koniec terminu przedawnienia przypada na ostatni dzień roku kalendarzowego.</w:t>
      </w:r>
    </w:p>
    <w:p w14:paraId="08EDE65E" w14:textId="77777777" w:rsidR="00A40108" w:rsidRPr="009935E0" w:rsidRDefault="00E17D7E" w:rsidP="00483092">
      <w:pPr>
        <w:pStyle w:val="Bezodstpw"/>
        <w:spacing w:before="12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 xml:space="preserve">Dyrektywa SATCAB II, podobnie jak dyrektywa 93/83/EWG (art. 10), przewiduje w art. 5 </w:t>
      </w:r>
      <w:r w:rsidR="001C437C" w:rsidRPr="009935E0">
        <w:rPr>
          <w:rFonts w:ascii="Times New Roman" w:hAnsi="Times New Roman" w:cs="Times New Roman"/>
          <w:sz w:val="24"/>
          <w:szCs w:val="24"/>
        </w:rPr>
        <w:t xml:space="preserve">ust. 1 </w:t>
      </w:r>
      <w:r w:rsidRPr="009935E0">
        <w:rPr>
          <w:rFonts w:ascii="Times New Roman" w:hAnsi="Times New Roman" w:cs="Times New Roman"/>
          <w:sz w:val="24"/>
          <w:szCs w:val="24"/>
        </w:rPr>
        <w:t>istotny wyjątek od obowiązkowego pośrednictwa</w:t>
      </w:r>
      <w:r w:rsidR="007B733A" w:rsidRPr="00483092">
        <w:rPr>
          <w:rFonts w:ascii="Times New Roman" w:hAnsi="Times New Roman" w:cs="Times New Roman"/>
          <w:sz w:val="24"/>
          <w:szCs w:val="24"/>
        </w:rPr>
        <w:t xml:space="preserve"> </w:t>
      </w:r>
      <w:r w:rsidR="007B733A" w:rsidRPr="009935E0">
        <w:rPr>
          <w:rFonts w:ascii="Times New Roman" w:hAnsi="Times New Roman" w:cs="Times New Roman"/>
          <w:sz w:val="24"/>
          <w:szCs w:val="24"/>
        </w:rPr>
        <w:t>organizacji zbiorowego zarządzania</w:t>
      </w:r>
      <w:r w:rsidRPr="009935E0">
        <w:rPr>
          <w:rFonts w:ascii="Times New Roman" w:hAnsi="Times New Roman" w:cs="Times New Roman"/>
          <w:sz w:val="24"/>
          <w:szCs w:val="24"/>
        </w:rPr>
        <w:t xml:space="preserve"> dla praw </w:t>
      </w:r>
      <w:r w:rsidR="0021012A" w:rsidRPr="009935E0">
        <w:rPr>
          <w:rFonts w:ascii="Times New Roman" w:hAnsi="Times New Roman" w:cs="Times New Roman"/>
          <w:sz w:val="24"/>
          <w:szCs w:val="24"/>
        </w:rPr>
        <w:t>do reemitowania</w:t>
      </w:r>
      <w:r w:rsidRPr="009935E0">
        <w:rPr>
          <w:rFonts w:ascii="Times New Roman" w:hAnsi="Times New Roman" w:cs="Times New Roman"/>
          <w:sz w:val="24"/>
          <w:szCs w:val="24"/>
        </w:rPr>
        <w:t xml:space="preserve"> „wykonywanych przez organizację radiową lub telewizyjną w odniesieniu do jej własnych transmisji, niezależnie od tego, czy dane prawa należą do tej organizacji, czy też zostały na nią przeniesione przez inny podmiot uprawniony”. Przepis ten należy uznać za już wdrożony przez art. 21</w:t>
      </w:r>
      <w:r w:rsidRPr="009935E0">
        <w:rPr>
          <w:rFonts w:ascii="Times New Roman" w:hAnsi="Times New Roman" w:cs="Times New Roman"/>
          <w:sz w:val="24"/>
          <w:szCs w:val="24"/>
          <w:vertAlign w:val="superscript"/>
        </w:rPr>
        <w:t>1</w:t>
      </w:r>
      <w:r w:rsidRPr="009935E0">
        <w:rPr>
          <w:rFonts w:ascii="Times New Roman" w:hAnsi="Times New Roman" w:cs="Times New Roman"/>
          <w:sz w:val="24"/>
          <w:szCs w:val="24"/>
        </w:rPr>
        <w:t xml:space="preserve"> ust. </w:t>
      </w:r>
      <w:r w:rsidR="00311D3D" w:rsidRPr="009935E0">
        <w:rPr>
          <w:rFonts w:ascii="Times New Roman" w:hAnsi="Times New Roman" w:cs="Times New Roman"/>
          <w:sz w:val="24"/>
          <w:szCs w:val="24"/>
        </w:rPr>
        <w:t>2</w:t>
      </w:r>
      <w:r w:rsidR="00823316" w:rsidRPr="009935E0">
        <w:rPr>
          <w:rFonts w:ascii="Times New Roman" w:hAnsi="Times New Roman" w:cs="Times New Roman"/>
          <w:sz w:val="24"/>
          <w:szCs w:val="24"/>
        </w:rPr>
        <w:t xml:space="preserve"> ustawy o prawie autorskim, wprowadzony jako implementacja art. 10 dyrektywy 93/83/EWG.</w:t>
      </w:r>
      <w:r w:rsidR="0072511D" w:rsidRPr="009935E0">
        <w:rPr>
          <w:rFonts w:ascii="Times New Roman" w:hAnsi="Times New Roman" w:cs="Times New Roman"/>
          <w:sz w:val="24"/>
          <w:szCs w:val="24"/>
        </w:rPr>
        <w:t xml:space="preserve"> </w:t>
      </w:r>
    </w:p>
    <w:p w14:paraId="2FE848CB" w14:textId="77777777" w:rsidR="00687FA3" w:rsidRPr="009935E0" w:rsidRDefault="001C437C" w:rsidP="00483092">
      <w:pPr>
        <w:pStyle w:val="Bezodstpw"/>
        <w:spacing w:before="12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Dwa nowe przypadki wyłączenia spod </w:t>
      </w:r>
      <w:r w:rsidR="00A40108" w:rsidRPr="009935E0">
        <w:rPr>
          <w:rFonts w:ascii="Times New Roman" w:hAnsi="Times New Roman" w:cs="Times New Roman"/>
          <w:sz w:val="24"/>
          <w:szCs w:val="24"/>
        </w:rPr>
        <w:t>obowiązkowego</w:t>
      </w:r>
      <w:r w:rsidRPr="009935E0">
        <w:rPr>
          <w:rFonts w:ascii="Times New Roman" w:hAnsi="Times New Roman" w:cs="Times New Roman"/>
          <w:sz w:val="24"/>
          <w:szCs w:val="24"/>
        </w:rPr>
        <w:t xml:space="preserve"> pośrednictwa organizacji zbiorowego zarządzania wynikają z definicji</w:t>
      </w:r>
      <w:r w:rsidR="0021012A" w:rsidRPr="009935E0">
        <w:rPr>
          <w:rFonts w:ascii="Times New Roman" w:hAnsi="Times New Roman" w:cs="Times New Roman"/>
          <w:sz w:val="24"/>
          <w:szCs w:val="24"/>
        </w:rPr>
        <w:t xml:space="preserve"> reemitowania</w:t>
      </w:r>
      <w:r w:rsidRPr="009935E0">
        <w:rPr>
          <w:rFonts w:ascii="Times New Roman" w:hAnsi="Times New Roman" w:cs="Times New Roman"/>
          <w:sz w:val="24"/>
          <w:szCs w:val="24"/>
        </w:rPr>
        <w:t xml:space="preserve"> przewidzianej w przepisach art. 2 pkt 2</w:t>
      </w:r>
      <w:r w:rsidR="00687FA3" w:rsidRPr="009935E0">
        <w:rPr>
          <w:rFonts w:ascii="Times New Roman" w:hAnsi="Times New Roman" w:cs="Times New Roman"/>
          <w:sz w:val="24"/>
          <w:szCs w:val="24"/>
        </w:rPr>
        <w:t xml:space="preserve"> i 3</w:t>
      </w:r>
      <w:r w:rsidR="00A40108" w:rsidRPr="009935E0">
        <w:rPr>
          <w:rFonts w:ascii="Times New Roman" w:hAnsi="Times New Roman" w:cs="Times New Roman"/>
          <w:sz w:val="24"/>
          <w:szCs w:val="24"/>
        </w:rPr>
        <w:t xml:space="preserve"> dyrektywy</w:t>
      </w:r>
      <w:r w:rsidRPr="009935E0">
        <w:rPr>
          <w:rFonts w:ascii="Times New Roman" w:hAnsi="Times New Roman" w:cs="Times New Roman"/>
          <w:sz w:val="24"/>
          <w:szCs w:val="24"/>
        </w:rPr>
        <w:t xml:space="preserve"> SATCAB II. Przepisy te zostaną transponowane w projektowanym art. 21</w:t>
      </w:r>
      <w:r w:rsidRPr="009935E0">
        <w:rPr>
          <w:rFonts w:ascii="Times New Roman" w:hAnsi="Times New Roman" w:cs="Times New Roman"/>
          <w:sz w:val="24"/>
          <w:szCs w:val="24"/>
          <w:vertAlign w:val="superscript"/>
        </w:rPr>
        <w:t>1</w:t>
      </w:r>
      <w:r w:rsidRPr="009935E0">
        <w:rPr>
          <w:rFonts w:ascii="Times New Roman" w:hAnsi="Times New Roman" w:cs="Times New Roman"/>
          <w:sz w:val="24"/>
          <w:szCs w:val="24"/>
        </w:rPr>
        <w:t xml:space="preserve"> ust. </w:t>
      </w:r>
      <w:r w:rsidR="00311D3D" w:rsidRPr="009935E0">
        <w:rPr>
          <w:rFonts w:ascii="Times New Roman" w:hAnsi="Times New Roman" w:cs="Times New Roman"/>
          <w:sz w:val="24"/>
          <w:szCs w:val="24"/>
        </w:rPr>
        <w:t>2</w:t>
      </w:r>
      <w:r w:rsidRPr="009935E0">
        <w:rPr>
          <w:rFonts w:ascii="Times New Roman" w:hAnsi="Times New Roman" w:cs="Times New Roman"/>
          <w:sz w:val="24"/>
          <w:szCs w:val="24"/>
          <w:vertAlign w:val="superscript"/>
        </w:rPr>
        <w:t xml:space="preserve"> </w:t>
      </w:r>
      <w:r w:rsidR="00E206EF" w:rsidRPr="009935E0">
        <w:rPr>
          <w:rFonts w:ascii="Times New Roman" w:hAnsi="Times New Roman" w:cs="Times New Roman"/>
          <w:sz w:val="24"/>
          <w:szCs w:val="24"/>
        </w:rPr>
        <w:t>pkt 2</w:t>
      </w:r>
      <w:r w:rsidRPr="009935E0">
        <w:rPr>
          <w:rFonts w:ascii="Times New Roman" w:hAnsi="Times New Roman" w:cs="Times New Roman"/>
          <w:sz w:val="24"/>
          <w:szCs w:val="24"/>
        </w:rPr>
        <w:t xml:space="preserve"> </w:t>
      </w:r>
      <w:r w:rsidR="00E206EF" w:rsidRPr="009935E0">
        <w:rPr>
          <w:rFonts w:ascii="Times New Roman" w:hAnsi="Times New Roman" w:cs="Times New Roman"/>
          <w:sz w:val="24"/>
          <w:szCs w:val="24"/>
        </w:rPr>
        <w:t>i 3</w:t>
      </w:r>
      <w:r w:rsidR="0064520E" w:rsidRPr="009935E0">
        <w:rPr>
          <w:rFonts w:ascii="Times New Roman" w:hAnsi="Times New Roman" w:cs="Times New Roman"/>
          <w:sz w:val="24"/>
          <w:szCs w:val="24"/>
        </w:rPr>
        <w:t xml:space="preserve"> ustawy o prawie autorskim</w:t>
      </w:r>
      <w:r w:rsidRPr="009935E0">
        <w:rPr>
          <w:rFonts w:ascii="Times New Roman" w:hAnsi="Times New Roman" w:cs="Times New Roman"/>
          <w:sz w:val="24"/>
          <w:szCs w:val="24"/>
        </w:rPr>
        <w:t xml:space="preserve">. </w:t>
      </w:r>
    </w:p>
    <w:p w14:paraId="3903A0C5" w14:textId="512F6E0D" w:rsidR="001C437C" w:rsidRPr="009935E0" w:rsidRDefault="001C437C" w:rsidP="00483092">
      <w:pPr>
        <w:pStyle w:val="Bezodstpw"/>
        <w:spacing w:before="120" w:line="360" w:lineRule="auto"/>
        <w:jc w:val="both"/>
        <w:rPr>
          <w:rFonts w:ascii="Times New Roman" w:hAnsi="Times New Roman" w:cs="Times New Roman"/>
          <w:sz w:val="24"/>
          <w:szCs w:val="24"/>
        </w:rPr>
      </w:pPr>
      <w:r w:rsidRPr="009935E0">
        <w:rPr>
          <w:rFonts w:ascii="Times New Roman" w:hAnsi="Times New Roman" w:cs="Times New Roman"/>
          <w:sz w:val="24"/>
          <w:szCs w:val="24"/>
        </w:rPr>
        <w:t>Pierwszy z nich obejmuje reemitowani</w:t>
      </w:r>
      <w:r w:rsidR="00A40108" w:rsidRPr="009935E0">
        <w:rPr>
          <w:rFonts w:ascii="Times New Roman" w:hAnsi="Times New Roman" w:cs="Times New Roman"/>
          <w:sz w:val="24"/>
          <w:szCs w:val="24"/>
        </w:rPr>
        <w:t>e</w:t>
      </w:r>
      <w:r w:rsidRPr="009935E0">
        <w:rPr>
          <w:rFonts w:ascii="Times New Roman" w:hAnsi="Times New Roman" w:cs="Times New Roman"/>
          <w:sz w:val="24"/>
          <w:szCs w:val="24"/>
        </w:rPr>
        <w:t xml:space="preserve"> </w:t>
      </w:r>
      <w:r w:rsidR="00A40108" w:rsidRPr="009935E0">
        <w:rPr>
          <w:rFonts w:ascii="Times New Roman" w:hAnsi="Times New Roman" w:cs="Times New Roman"/>
          <w:sz w:val="24"/>
          <w:szCs w:val="24"/>
        </w:rPr>
        <w:t>utworów nadawanych „</w:t>
      </w:r>
      <w:r w:rsidRPr="009935E0">
        <w:rPr>
          <w:rFonts w:ascii="Times New Roman" w:hAnsi="Times New Roman" w:cs="Times New Roman"/>
          <w:sz w:val="24"/>
          <w:szCs w:val="24"/>
        </w:rPr>
        <w:t>online</w:t>
      </w:r>
      <w:r w:rsidR="00A40108" w:rsidRPr="009935E0">
        <w:rPr>
          <w:rFonts w:ascii="Times New Roman" w:hAnsi="Times New Roman" w:cs="Times New Roman"/>
          <w:sz w:val="24"/>
          <w:szCs w:val="24"/>
        </w:rPr>
        <w:t>”</w:t>
      </w:r>
      <w:r w:rsidRPr="009935E0">
        <w:rPr>
          <w:rFonts w:ascii="Times New Roman" w:hAnsi="Times New Roman" w:cs="Times New Roman"/>
          <w:sz w:val="24"/>
          <w:szCs w:val="24"/>
        </w:rPr>
        <w:t xml:space="preserve">, a więc – przenosząc to pojęcie na grunt </w:t>
      </w:r>
      <w:r w:rsidR="00A40108" w:rsidRPr="009935E0">
        <w:rPr>
          <w:rFonts w:ascii="Times New Roman" w:hAnsi="Times New Roman" w:cs="Times New Roman"/>
          <w:sz w:val="24"/>
          <w:szCs w:val="24"/>
        </w:rPr>
        <w:t>krajowych</w:t>
      </w:r>
      <w:r w:rsidRPr="009935E0">
        <w:rPr>
          <w:rFonts w:ascii="Times New Roman" w:hAnsi="Times New Roman" w:cs="Times New Roman"/>
          <w:sz w:val="24"/>
          <w:szCs w:val="24"/>
        </w:rPr>
        <w:t xml:space="preserve"> przepisów –</w:t>
      </w:r>
      <w:r w:rsidR="00A40108" w:rsidRPr="009935E0">
        <w:rPr>
          <w:rFonts w:ascii="Times New Roman" w:hAnsi="Times New Roman" w:cs="Times New Roman"/>
          <w:sz w:val="24"/>
          <w:szCs w:val="24"/>
        </w:rPr>
        <w:t xml:space="preserve"> </w:t>
      </w:r>
      <w:r w:rsidRPr="009935E0">
        <w:rPr>
          <w:rFonts w:ascii="Times New Roman" w:hAnsi="Times New Roman" w:cs="Times New Roman"/>
          <w:sz w:val="24"/>
          <w:szCs w:val="24"/>
        </w:rPr>
        <w:t>rozpowszechnianych wyłącznie w systemie teleinformatycznym</w:t>
      </w:r>
      <w:r w:rsidR="00A40108"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w rozumieniu </w:t>
      </w:r>
      <w:r w:rsidR="005E1993" w:rsidRPr="009935E0">
        <w:rPr>
          <w:rFonts w:ascii="Times New Roman" w:hAnsi="Times New Roman" w:cs="Times New Roman"/>
          <w:sz w:val="24"/>
          <w:szCs w:val="24"/>
        </w:rPr>
        <w:t>art. 2 pkt 3</w:t>
      </w:r>
      <w:r w:rsidR="005E1993" w:rsidRPr="00483092">
        <w:rPr>
          <w:rFonts w:ascii="Times New Roman" w:hAnsi="Times New Roman" w:cs="Times New Roman"/>
          <w:sz w:val="24"/>
          <w:szCs w:val="24"/>
        </w:rPr>
        <w:t xml:space="preserve"> </w:t>
      </w:r>
      <w:r w:rsidRPr="009935E0">
        <w:rPr>
          <w:rFonts w:ascii="Times New Roman" w:hAnsi="Times New Roman" w:cs="Times New Roman"/>
          <w:sz w:val="24"/>
          <w:szCs w:val="24"/>
        </w:rPr>
        <w:t xml:space="preserve">ustawy </w:t>
      </w:r>
      <w:r w:rsidR="00A94C99" w:rsidRPr="009935E0">
        <w:rPr>
          <w:rFonts w:ascii="Times New Roman" w:hAnsi="Times New Roman" w:cs="Times New Roman"/>
          <w:sz w:val="24"/>
          <w:szCs w:val="24"/>
        </w:rPr>
        <w:t xml:space="preserve">z dnia 18 lipca 2002 r. </w:t>
      </w:r>
      <w:r w:rsidRPr="009935E0">
        <w:rPr>
          <w:rFonts w:ascii="Times New Roman" w:hAnsi="Times New Roman" w:cs="Times New Roman"/>
          <w:sz w:val="24"/>
          <w:szCs w:val="24"/>
        </w:rPr>
        <w:t>o świadczeniu usług drogą elektroniczną</w:t>
      </w:r>
      <w:r w:rsidR="00687FA3" w:rsidRPr="009935E0">
        <w:rPr>
          <w:rFonts w:ascii="Times New Roman" w:hAnsi="Times New Roman" w:cs="Times New Roman"/>
          <w:sz w:val="24"/>
          <w:szCs w:val="24"/>
        </w:rPr>
        <w:t xml:space="preserve"> (projektowany art. 21</w:t>
      </w:r>
      <w:r w:rsidR="00687FA3" w:rsidRPr="009935E0">
        <w:rPr>
          <w:rFonts w:ascii="Times New Roman" w:hAnsi="Times New Roman" w:cs="Times New Roman"/>
          <w:sz w:val="24"/>
          <w:szCs w:val="24"/>
          <w:vertAlign w:val="superscript"/>
        </w:rPr>
        <w:t>1</w:t>
      </w:r>
      <w:r w:rsidR="00687FA3" w:rsidRPr="009935E0">
        <w:rPr>
          <w:rFonts w:ascii="Times New Roman" w:hAnsi="Times New Roman" w:cs="Times New Roman"/>
          <w:sz w:val="24"/>
          <w:szCs w:val="24"/>
        </w:rPr>
        <w:t xml:space="preserve"> ust. </w:t>
      </w:r>
      <w:r w:rsidR="00311D3D" w:rsidRPr="009935E0">
        <w:rPr>
          <w:rFonts w:ascii="Times New Roman" w:hAnsi="Times New Roman" w:cs="Times New Roman"/>
          <w:sz w:val="24"/>
          <w:szCs w:val="24"/>
        </w:rPr>
        <w:t>2</w:t>
      </w:r>
      <w:r w:rsidR="00687FA3" w:rsidRPr="009935E0">
        <w:rPr>
          <w:rFonts w:ascii="Times New Roman" w:hAnsi="Times New Roman" w:cs="Times New Roman"/>
          <w:sz w:val="24"/>
          <w:szCs w:val="24"/>
          <w:vertAlign w:val="superscript"/>
        </w:rPr>
        <w:t xml:space="preserve"> </w:t>
      </w:r>
      <w:r w:rsidR="00E206EF" w:rsidRPr="009935E0">
        <w:rPr>
          <w:rFonts w:ascii="Times New Roman" w:hAnsi="Times New Roman" w:cs="Times New Roman"/>
          <w:sz w:val="24"/>
          <w:szCs w:val="24"/>
        </w:rPr>
        <w:t>pkt 2</w:t>
      </w:r>
      <w:r w:rsidR="00687FA3" w:rsidRPr="009935E0">
        <w:rPr>
          <w:rFonts w:ascii="Times New Roman" w:hAnsi="Times New Roman" w:cs="Times New Roman"/>
          <w:sz w:val="24"/>
          <w:szCs w:val="24"/>
        </w:rPr>
        <w:t>)</w:t>
      </w:r>
      <w:r w:rsidRPr="009935E0">
        <w:rPr>
          <w:rFonts w:ascii="Times New Roman" w:hAnsi="Times New Roman" w:cs="Times New Roman"/>
          <w:sz w:val="24"/>
          <w:szCs w:val="24"/>
        </w:rPr>
        <w:t>.</w:t>
      </w:r>
    </w:p>
    <w:p w14:paraId="10C2366D" w14:textId="77777777" w:rsidR="00EE67E9" w:rsidRPr="009935E0" w:rsidRDefault="00A40108" w:rsidP="00483092">
      <w:pPr>
        <w:pStyle w:val="Bezodstpw"/>
        <w:spacing w:before="120" w:line="360" w:lineRule="auto"/>
        <w:jc w:val="both"/>
        <w:rPr>
          <w:rFonts w:ascii="Times New Roman" w:hAnsi="Times New Roman" w:cs="Times New Roman"/>
          <w:sz w:val="24"/>
          <w:szCs w:val="24"/>
        </w:rPr>
      </w:pPr>
      <w:r w:rsidRPr="009935E0">
        <w:rPr>
          <w:rFonts w:ascii="Times New Roman" w:hAnsi="Times New Roman" w:cs="Times New Roman"/>
          <w:sz w:val="24"/>
          <w:szCs w:val="24"/>
        </w:rPr>
        <w:t>Drugi przypadek dotyczy</w:t>
      </w:r>
      <w:r w:rsidR="001C437C" w:rsidRPr="009935E0">
        <w:rPr>
          <w:rFonts w:ascii="Times New Roman" w:hAnsi="Times New Roman" w:cs="Times New Roman"/>
          <w:sz w:val="24"/>
          <w:szCs w:val="24"/>
        </w:rPr>
        <w:t xml:space="preserve"> reemitowania utworów za pośrednictwem usługi dostępu do Internetu zdefiniowanej w art. 2 akapit 2 pkt 2 </w:t>
      </w:r>
      <w:r w:rsidRPr="009935E0">
        <w:rPr>
          <w:rFonts w:ascii="Times New Roman" w:hAnsi="Times New Roman" w:cs="Times New Roman"/>
          <w:sz w:val="24"/>
          <w:szCs w:val="24"/>
        </w:rPr>
        <w:t>r</w:t>
      </w:r>
      <w:r w:rsidR="001C437C" w:rsidRPr="009935E0">
        <w:rPr>
          <w:rFonts w:ascii="Times New Roman" w:hAnsi="Times New Roman" w:cs="Times New Roman"/>
          <w:sz w:val="24"/>
          <w:szCs w:val="24"/>
        </w:rPr>
        <w:t xml:space="preserve">ozporządzenia Parlamentu Europejskiego i Rady (UE) 2015/2120 z dnia 25 listopada 2015 r. ustanawiającego środki dotyczące dostępu do otwartego </w:t>
      </w:r>
      <w:proofErr w:type="spellStart"/>
      <w:r w:rsidR="001C437C" w:rsidRPr="009935E0">
        <w:rPr>
          <w:rFonts w:ascii="Times New Roman" w:hAnsi="Times New Roman" w:cs="Times New Roman"/>
          <w:sz w:val="24"/>
          <w:szCs w:val="24"/>
        </w:rPr>
        <w:t>internetu</w:t>
      </w:r>
      <w:proofErr w:type="spellEnd"/>
      <w:r w:rsidR="001C437C" w:rsidRPr="009935E0">
        <w:rPr>
          <w:rFonts w:ascii="Times New Roman" w:hAnsi="Times New Roman" w:cs="Times New Roman"/>
          <w:sz w:val="24"/>
          <w:szCs w:val="24"/>
        </w:rPr>
        <w:t xml:space="preserve"> oraz zmieniającego dyrektywę 2002/22/WE w sprawie usługi powszechnej i związanych z sieciami i usługami łączności elektronicznej praw użytkowników, a także rozporządzenie (UE) nr 531/2012 w sprawie </w:t>
      </w:r>
      <w:proofErr w:type="spellStart"/>
      <w:r w:rsidR="001C437C" w:rsidRPr="009935E0">
        <w:rPr>
          <w:rFonts w:ascii="Times New Roman" w:hAnsi="Times New Roman" w:cs="Times New Roman"/>
          <w:sz w:val="24"/>
          <w:szCs w:val="24"/>
        </w:rPr>
        <w:t>roamingu</w:t>
      </w:r>
      <w:proofErr w:type="spellEnd"/>
      <w:r w:rsidR="001C437C" w:rsidRPr="009935E0">
        <w:rPr>
          <w:rFonts w:ascii="Times New Roman" w:hAnsi="Times New Roman" w:cs="Times New Roman"/>
          <w:sz w:val="24"/>
          <w:szCs w:val="24"/>
        </w:rPr>
        <w:t xml:space="preserve"> w publicznych sieciach łączności ruchomej wewnątrz Unii (Dz. Urz. UE L 310 z 26.11.2015, str. 1</w:t>
      </w:r>
      <w:r w:rsidR="003D14A0" w:rsidRPr="009935E0">
        <w:rPr>
          <w:rFonts w:ascii="Times New Roman" w:hAnsi="Times New Roman" w:cs="Times New Roman"/>
          <w:sz w:val="24"/>
          <w:szCs w:val="24"/>
        </w:rPr>
        <w:t xml:space="preserve">, z </w:t>
      </w:r>
      <w:proofErr w:type="spellStart"/>
      <w:r w:rsidR="003D14A0" w:rsidRPr="009935E0">
        <w:rPr>
          <w:rFonts w:ascii="Times New Roman" w:hAnsi="Times New Roman" w:cs="Times New Roman"/>
          <w:sz w:val="24"/>
          <w:szCs w:val="24"/>
        </w:rPr>
        <w:t>późn</w:t>
      </w:r>
      <w:proofErr w:type="spellEnd"/>
      <w:r w:rsidR="003D14A0" w:rsidRPr="009935E0">
        <w:rPr>
          <w:rFonts w:ascii="Times New Roman" w:hAnsi="Times New Roman" w:cs="Times New Roman"/>
          <w:sz w:val="24"/>
          <w:szCs w:val="24"/>
        </w:rPr>
        <w:t>. zm.</w:t>
      </w:r>
      <w:r w:rsidR="001C437C" w:rsidRPr="009935E0">
        <w:rPr>
          <w:rFonts w:ascii="Times New Roman" w:hAnsi="Times New Roman" w:cs="Times New Roman"/>
          <w:sz w:val="24"/>
          <w:szCs w:val="24"/>
        </w:rPr>
        <w:t xml:space="preserve">), chyba że jest ono dokonywane w </w:t>
      </w:r>
      <w:r w:rsidRPr="009935E0">
        <w:rPr>
          <w:rFonts w:ascii="Times New Roman" w:hAnsi="Times New Roman" w:cs="Times New Roman"/>
          <w:sz w:val="24"/>
          <w:szCs w:val="24"/>
        </w:rPr>
        <w:t xml:space="preserve">„środowisku kontrolowanym”, tj. w </w:t>
      </w:r>
      <w:r w:rsidR="001C437C" w:rsidRPr="009935E0">
        <w:rPr>
          <w:rFonts w:ascii="Times New Roman" w:hAnsi="Times New Roman" w:cs="Times New Roman"/>
          <w:sz w:val="24"/>
          <w:szCs w:val="24"/>
        </w:rPr>
        <w:t xml:space="preserve">sposób umożliwiający dostęp do </w:t>
      </w:r>
      <w:proofErr w:type="spellStart"/>
      <w:r w:rsidRPr="009935E0">
        <w:rPr>
          <w:rFonts w:ascii="Times New Roman" w:hAnsi="Times New Roman" w:cs="Times New Roman"/>
          <w:sz w:val="24"/>
          <w:szCs w:val="24"/>
        </w:rPr>
        <w:t>reemitowanych</w:t>
      </w:r>
      <w:proofErr w:type="spellEnd"/>
      <w:r w:rsidRPr="009935E0">
        <w:rPr>
          <w:rFonts w:ascii="Times New Roman" w:hAnsi="Times New Roman" w:cs="Times New Roman"/>
          <w:sz w:val="24"/>
          <w:szCs w:val="24"/>
        </w:rPr>
        <w:t xml:space="preserve"> treści </w:t>
      </w:r>
      <w:r w:rsidR="001C437C" w:rsidRPr="009935E0">
        <w:rPr>
          <w:rFonts w:ascii="Times New Roman" w:hAnsi="Times New Roman" w:cs="Times New Roman"/>
          <w:sz w:val="24"/>
          <w:szCs w:val="24"/>
        </w:rPr>
        <w:t>wyłącznie upoważnionym użytkownikom. Z</w:t>
      </w:r>
      <w:r w:rsidR="003D14A0" w:rsidRPr="009935E0">
        <w:rPr>
          <w:rFonts w:ascii="Times New Roman" w:hAnsi="Times New Roman" w:cs="Times New Roman"/>
          <w:sz w:val="24"/>
          <w:szCs w:val="24"/>
        </w:rPr>
        <w:t> </w:t>
      </w:r>
      <w:r w:rsidR="001C437C" w:rsidRPr="009935E0">
        <w:rPr>
          <w:rFonts w:ascii="Times New Roman" w:hAnsi="Times New Roman" w:cs="Times New Roman"/>
          <w:sz w:val="24"/>
          <w:szCs w:val="24"/>
        </w:rPr>
        <w:t xml:space="preserve">projektowanej regulacji </w:t>
      </w:r>
      <w:r w:rsidR="00F04E75" w:rsidRPr="009935E0">
        <w:rPr>
          <w:rFonts w:ascii="Times New Roman" w:hAnsi="Times New Roman" w:cs="Times New Roman"/>
          <w:sz w:val="24"/>
          <w:szCs w:val="24"/>
        </w:rPr>
        <w:t>(art. 21</w:t>
      </w:r>
      <w:r w:rsidR="00F04E75" w:rsidRPr="009935E0">
        <w:rPr>
          <w:rFonts w:ascii="Times New Roman" w:hAnsi="Times New Roman" w:cs="Times New Roman"/>
          <w:sz w:val="24"/>
          <w:szCs w:val="24"/>
          <w:vertAlign w:val="superscript"/>
        </w:rPr>
        <w:t>1</w:t>
      </w:r>
      <w:r w:rsidR="00F04E75" w:rsidRPr="009935E0">
        <w:rPr>
          <w:rFonts w:ascii="Times New Roman" w:hAnsi="Times New Roman" w:cs="Times New Roman"/>
          <w:sz w:val="24"/>
          <w:szCs w:val="24"/>
        </w:rPr>
        <w:t xml:space="preserve"> ust.</w:t>
      </w:r>
      <w:r w:rsidR="00311D3D" w:rsidRPr="009935E0">
        <w:rPr>
          <w:rFonts w:ascii="Times New Roman" w:hAnsi="Times New Roman" w:cs="Times New Roman"/>
          <w:sz w:val="24"/>
          <w:szCs w:val="24"/>
        </w:rPr>
        <w:t xml:space="preserve"> 2</w:t>
      </w:r>
      <w:r w:rsidR="00F04E75" w:rsidRPr="009935E0">
        <w:rPr>
          <w:rFonts w:ascii="Times New Roman" w:hAnsi="Times New Roman" w:cs="Times New Roman"/>
          <w:sz w:val="24"/>
          <w:szCs w:val="24"/>
          <w:vertAlign w:val="superscript"/>
        </w:rPr>
        <w:t xml:space="preserve"> </w:t>
      </w:r>
      <w:r w:rsidR="00F04E75" w:rsidRPr="009935E0">
        <w:rPr>
          <w:rFonts w:ascii="Times New Roman" w:hAnsi="Times New Roman" w:cs="Times New Roman"/>
          <w:sz w:val="24"/>
          <w:szCs w:val="24"/>
        </w:rPr>
        <w:t>pkt 3</w:t>
      </w:r>
      <w:r w:rsidR="0064520E" w:rsidRPr="009935E0">
        <w:rPr>
          <w:rFonts w:ascii="Times New Roman" w:hAnsi="Times New Roman" w:cs="Times New Roman"/>
          <w:sz w:val="24"/>
          <w:szCs w:val="24"/>
        </w:rPr>
        <w:t xml:space="preserve"> ustawy o prawie autorskim</w:t>
      </w:r>
      <w:r w:rsidR="00F04E75" w:rsidRPr="009935E0">
        <w:rPr>
          <w:rFonts w:ascii="Times New Roman" w:hAnsi="Times New Roman" w:cs="Times New Roman"/>
          <w:sz w:val="24"/>
          <w:szCs w:val="24"/>
        </w:rPr>
        <w:t xml:space="preserve">) </w:t>
      </w:r>
      <w:r w:rsidR="001C437C" w:rsidRPr="009935E0">
        <w:rPr>
          <w:rFonts w:ascii="Times New Roman" w:hAnsi="Times New Roman" w:cs="Times New Roman"/>
          <w:sz w:val="24"/>
          <w:szCs w:val="24"/>
        </w:rPr>
        <w:t>wynika więc, że je</w:t>
      </w:r>
      <w:r w:rsidR="00DD4509" w:rsidRPr="009935E0">
        <w:rPr>
          <w:rFonts w:ascii="Times New Roman" w:hAnsi="Times New Roman" w:cs="Times New Roman"/>
          <w:sz w:val="24"/>
          <w:szCs w:val="24"/>
        </w:rPr>
        <w:t>żeli</w:t>
      </w:r>
      <w:r w:rsidR="001C437C" w:rsidRPr="009935E0">
        <w:rPr>
          <w:rFonts w:ascii="Times New Roman" w:hAnsi="Times New Roman" w:cs="Times New Roman"/>
          <w:sz w:val="24"/>
          <w:szCs w:val="24"/>
        </w:rPr>
        <w:t xml:space="preserve"> </w:t>
      </w:r>
      <w:proofErr w:type="spellStart"/>
      <w:r w:rsidR="001C437C" w:rsidRPr="009935E0">
        <w:rPr>
          <w:rFonts w:ascii="Times New Roman" w:hAnsi="Times New Roman" w:cs="Times New Roman"/>
          <w:sz w:val="24"/>
          <w:szCs w:val="24"/>
        </w:rPr>
        <w:t>reemitent</w:t>
      </w:r>
      <w:proofErr w:type="spellEnd"/>
      <w:r w:rsidR="001C437C" w:rsidRPr="009935E0">
        <w:rPr>
          <w:rFonts w:ascii="Times New Roman" w:hAnsi="Times New Roman" w:cs="Times New Roman"/>
          <w:sz w:val="24"/>
          <w:szCs w:val="24"/>
        </w:rPr>
        <w:t xml:space="preserve"> dokon</w:t>
      </w:r>
      <w:r w:rsidR="00DD4509" w:rsidRPr="009935E0">
        <w:rPr>
          <w:rFonts w:ascii="Times New Roman" w:hAnsi="Times New Roman" w:cs="Times New Roman"/>
          <w:sz w:val="24"/>
          <w:szCs w:val="24"/>
        </w:rPr>
        <w:t>uje</w:t>
      </w:r>
      <w:r w:rsidR="0021012A" w:rsidRPr="009935E0">
        <w:rPr>
          <w:rFonts w:ascii="Times New Roman" w:hAnsi="Times New Roman" w:cs="Times New Roman"/>
          <w:sz w:val="24"/>
          <w:szCs w:val="24"/>
        </w:rPr>
        <w:t xml:space="preserve"> zabezpieczonego reemitowania</w:t>
      </w:r>
      <w:r w:rsidR="001C437C" w:rsidRPr="009935E0">
        <w:rPr>
          <w:rFonts w:ascii="Times New Roman" w:hAnsi="Times New Roman" w:cs="Times New Roman"/>
          <w:sz w:val="24"/>
          <w:szCs w:val="24"/>
        </w:rPr>
        <w:t xml:space="preserve"> do upoważnionych użytkownikó</w:t>
      </w:r>
      <w:r w:rsidRPr="009935E0">
        <w:rPr>
          <w:rFonts w:ascii="Times New Roman" w:hAnsi="Times New Roman" w:cs="Times New Roman"/>
          <w:sz w:val="24"/>
          <w:szCs w:val="24"/>
        </w:rPr>
        <w:t>w</w:t>
      </w:r>
      <w:r w:rsidR="00DD4509" w:rsidRPr="009935E0">
        <w:rPr>
          <w:rFonts w:ascii="Times New Roman" w:hAnsi="Times New Roman" w:cs="Times New Roman"/>
          <w:sz w:val="24"/>
          <w:szCs w:val="24"/>
        </w:rPr>
        <w:t>,</w:t>
      </w:r>
      <w:r w:rsidR="001C437C" w:rsidRPr="009935E0">
        <w:rPr>
          <w:rFonts w:ascii="Times New Roman" w:hAnsi="Times New Roman" w:cs="Times New Roman"/>
          <w:sz w:val="24"/>
          <w:szCs w:val="24"/>
        </w:rPr>
        <w:t xml:space="preserve"> uprawniony będzie mógł wykonywać swoje prawa do </w:t>
      </w:r>
      <w:r w:rsidR="0021012A" w:rsidRPr="009935E0">
        <w:rPr>
          <w:rFonts w:ascii="Times New Roman" w:hAnsi="Times New Roman" w:cs="Times New Roman"/>
          <w:sz w:val="24"/>
          <w:szCs w:val="24"/>
        </w:rPr>
        <w:t>reemitowania</w:t>
      </w:r>
      <w:r w:rsidR="001C437C" w:rsidRPr="009935E0">
        <w:rPr>
          <w:rFonts w:ascii="Times New Roman" w:hAnsi="Times New Roman" w:cs="Times New Roman"/>
          <w:sz w:val="24"/>
          <w:szCs w:val="24"/>
        </w:rPr>
        <w:t xml:space="preserve"> wyłącznie za pośrednictwem organizacji zbiorowego zarządzania.</w:t>
      </w:r>
    </w:p>
    <w:p w14:paraId="05AEBAB5" w14:textId="77777777" w:rsidR="0023066D" w:rsidRPr="009935E0" w:rsidRDefault="0072511D" w:rsidP="00483092">
      <w:pPr>
        <w:pStyle w:val="Bezodstpw"/>
        <w:spacing w:before="12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 kolei przewidziany w art. 5 ust. 2 dyrektywy </w:t>
      </w:r>
      <w:r w:rsidR="0064520E"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 xml:space="preserve">wymóg prowadzenia </w:t>
      </w:r>
      <w:r w:rsidR="00220F5C" w:rsidRPr="009935E0">
        <w:rPr>
          <w:rFonts w:ascii="Times New Roman" w:hAnsi="Times New Roman" w:cs="Times New Roman"/>
          <w:sz w:val="24"/>
          <w:szCs w:val="24"/>
        </w:rPr>
        <w:t xml:space="preserve">w dobrej wierze negocjacji przez organizacje zbiorowego zarządzania oraz organizacje radiowe i telewizyjne </w:t>
      </w:r>
      <w:r w:rsidRPr="009935E0">
        <w:rPr>
          <w:rFonts w:ascii="Times New Roman" w:hAnsi="Times New Roman" w:cs="Times New Roman"/>
          <w:sz w:val="24"/>
          <w:szCs w:val="24"/>
        </w:rPr>
        <w:t xml:space="preserve">jest już realizowany w </w:t>
      </w:r>
      <w:r w:rsidR="00DD4509" w:rsidRPr="009935E0">
        <w:rPr>
          <w:rFonts w:ascii="Times New Roman" w:hAnsi="Times New Roman" w:cs="Times New Roman"/>
          <w:sz w:val="24"/>
          <w:szCs w:val="24"/>
        </w:rPr>
        <w:t xml:space="preserve">art. 45 ust. 5 ustawy o zbiorowym zarządzaniu, który ma ogólny charakter i jest adresowany do każdych negocjacji prowadzonych przez organizacje zbiorowego zarządzania i użytkowników. Natomiast </w:t>
      </w:r>
      <w:r w:rsidR="001E3BFB" w:rsidRPr="009935E0">
        <w:rPr>
          <w:rFonts w:ascii="Times New Roman" w:hAnsi="Times New Roman" w:cs="Times New Roman"/>
          <w:sz w:val="24"/>
          <w:szCs w:val="24"/>
        </w:rPr>
        <w:t>jeżeli</w:t>
      </w:r>
      <w:r w:rsidR="00DD4509" w:rsidRPr="009935E0">
        <w:rPr>
          <w:rFonts w:ascii="Times New Roman" w:hAnsi="Times New Roman" w:cs="Times New Roman"/>
          <w:sz w:val="24"/>
          <w:szCs w:val="24"/>
        </w:rPr>
        <w:t xml:space="preserve"> chodzi o negocjacje między </w:t>
      </w:r>
      <w:proofErr w:type="spellStart"/>
      <w:r w:rsidR="00DD4509" w:rsidRPr="009935E0">
        <w:rPr>
          <w:rFonts w:ascii="Times New Roman" w:hAnsi="Times New Roman" w:cs="Times New Roman"/>
          <w:sz w:val="24"/>
          <w:szCs w:val="24"/>
        </w:rPr>
        <w:lastRenderedPageBreak/>
        <w:t>reemitentami</w:t>
      </w:r>
      <w:proofErr w:type="spellEnd"/>
      <w:r w:rsidR="00DD4509" w:rsidRPr="009935E0">
        <w:rPr>
          <w:rFonts w:ascii="Times New Roman" w:hAnsi="Times New Roman" w:cs="Times New Roman"/>
          <w:sz w:val="24"/>
          <w:szCs w:val="24"/>
        </w:rPr>
        <w:t xml:space="preserve"> a nadawcami</w:t>
      </w:r>
      <w:r w:rsidR="001E3BFB" w:rsidRPr="009935E0">
        <w:rPr>
          <w:rFonts w:ascii="Times New Roman" w:hAnsi="Times New Roman" w:cs="Times New Roman"/>
          <w:sz w:val="24"/>
          <w:szCs w:val="24"/>
        </w:rPr>
        <w:t>,</w:t>
      </w:r>
      <w:r w:rsidR="00DD4509" w:rsidRPr="009935E0">
        <w:rPr>
          <w:rFonts w:ascii="Times New Roman" w:hAnsi="Times New Roman" w:cs="Times New Roman"/>
          <w:sz w:val="24"/>
          <w:szCs w:val="24"/>
        </w:rPr>
        <w:t xml:space="preserve"> wymogi dyrektywy realizuje</w:t>
      </w:r>
      <w:r w:rsidR="00AF7490" w:rsidRPr="009935E0">
        <w:rPr>
          <w:rFonts w:ascii="Times New Roman" w:hAnsi="Times New Roman" w:cs="Times New Roman"/>
          <w:sz w:val="24"/>
          <w:szCs w:val="24"/>
        </w:rPr>
        <w:t xml:space="preserve"> art. 72 Kodeks</w:t>
      </w:r>
      <w:r w:rsidR="00960A4F" w:rsidRPr="009935E0">
        <w:rPr>
          <w:rFonts w:ascii="Times New Roman" w:hAnsi="Times New Roman" w:cs="Times New Roman"/>
          <w:sz w:val="24"/>
          <w:szCs w:val="24"/>
        </w:rPr>
        <w:t>u</w:t>
      </w:r>
      <w:r w:rsidR="00AF7490" w:rsidRPr="009935E0">
        <w:rPr>
          <w:rFonts w:ascii="Times New Roman" w:hAnsi="Times New Roman" w:cs="Times New Roman"/>
          <w:sz w:val="24"/>
          <w:szCs w:val="24"/>
        </w:rPr>
        <w:t xml:space="preserve"> </w:t>
      </w:r>
      <w:r w:rsidR="0003129C" w:rsidRPr="009935E0">
        <w:rPr>
          <w:rFonts w:ascii="Times New Roman" w:hAnsi="Times New Roman" w:cs="Times New Roman"/>
          <w:sz w:val="24"/>
          <w:szCs w:val="24"/>
        </w:rPr>
        <w:t>cywilnego</w:t>
      </w:r>
      <w:r w:rsidR="00DD4509" w:rsidRPr="009935E0">
        <w:rPr>
          <w:rFonts w:ascii="Times New Roman" w:hAnsi="Times New Roman" w:cs="Times New Roman"/>
          <w:sz w:val="24"/>
          <w:szCs w:val="24"/>
        </w:rPr>
        <w:t xml:space="preserve">, który </w:t>
      </w:r>
      <w:r w:rsidR="00AF7490" w:rsidRPr="009935E0">
        <w:rPr>
          <w:rFonts w:ascii="Times New Roman" w:hAnsi="Times New Roman" w:cs="Times New Roman"/>
          <w:sz w:val="24"/>
          <w:szCs w:val="24"/>
        </w:rPr>
        <w:t>rozpoczęci</w:t>
      </w:r>
      <w:r w:rsidR="00DD4509" w:rsidRPr="009935E0">
        <w:rPr>
          <w:rFonts w:ascii="Times New Roman" w:hAnsi="Times New Roman" w:cs="Times New Roman"/>
          <w:sz w:val="24"/>
          <w:szCs w:val="24"/>
        </w:rPr>
        <w:t>e</w:t>
      </w:r>
      <w:r w:rsidR="00AF7490" w:rsidRPr="009935E0">
        <w:rPr>
          <w:rFonts w:ascii="Times New Roman" w:hAnsi="Times New Roman" w:cs="Times New Roman"/>
          <w:sz w:val="24"/>
          <w:szCs w:val="24"/>
        </w:rPr>
        <w:t xml:space="preserve"> lub prowadzeni</w:t>
      </w:r>
      <w:r w:rsidR="00DD4509" w:rsidRPr="009935E0">
        <w:rPr>
          <w:rFonts w:ascii="Times New Roman" w:hAnsi="Times New Roman" w:cs="Times New Roman"/>
          <w:sz w:val="24"/>
          <w:szCs w:val="24"/>
        </w:rPr>
        <w:t>e</w:t>
      </w:r>
      <w:r w:rsidR="00AF7490" w:rsidRPr="009935E0">
        <w:rPr>
          <w:rFonts w:ascii="Times New Roman" w:hAnsi="Times New Roman" w:cs="Times New Roman"/>
          <w:sz w:val="24"/>
          <w:szCs w:val="24"/>
        </w:rPr>
        <w:t xml:space="preserve"> negocjacji z naruszeniem dobrych obyczajów</w:t>
      </w:r>
      <w:r w:rsidR="0026328A" w:rsidRPr="009935E0">
        <w:rPr>
          <w:rFonts w:ascii="Times New Roman" w:hAnsi="Times New Roman" w:cs="Times New Roman"/>
          <w:sz w:val="24"/>
          <w:szCs w:val="24"/>
        </w:rPr>
        <w:t xml:space="preserve"> kwalifi</w:t>
      </w:r>
      <w:r w:rsidR="00DD4509" w:rsidRPr="009935E0">
        <w:rPr>
          <w:rFonts w:ascii="Times New Roman" w:hAnsi="Times New Roman" w:cs="Times New Roman"/>
          <w:sz w:val="24"/>
          <w:szCs w:val="24"/>
        </w:rPr>
        <w:t>kuje jako czyn niedozwolony</w:t>
      </w:r>
      <w:r w:rsidR="00AF7490" w:rsidRPr="009935E0">
        <w:rPr>
          <w:rFonts w:ascii="Times New Roman" w:hAnsi="Times New Roman" w:cs="Times New Roman"/>
          <w:sz w:val="24"/>
          <w:szCs w:val="24"/>
        </w:rPr>
        <w:t xml:space="preserve">. W literaturze przyjmuje się, że tym </w:t>
      </w:r>
      <w:r w:rsidR="00DD4509" w:rsidRPr="009935E0">
        <w:rPr>
          <w:rFonts w:ascii="Times New Roman" w:hAnsi="Times New Roman" w:cs="Times New Roman"/>
          <w:sz w:val="24"/>
          <w:szCs w:val="24"/>
        </w:rPr>
        <w:t>sposobem</w:t>
      </w:r>
      <w:r w:rsidR="00AF7490" w:rsidRPr="009935E0">
        <w:rPr>
          <w:rFonts w:ascii="Times New Roman" w:hAnsi="Times New Roman" w:cs="Times New Roman"/>
          <w:sz w:val="24"/>
          <w:szCs w:val="24"/>
        </w:rPr>
        <w:t xml:space="preserve"> w polskim prawie cywilnym </w:t>
      </w:r>
      <w:r w:rsidR="00DD4509" w:rsidRPr="009935E0">
        <w:rPr>
          <w:rFonts w:ascii="Times New Roman" w:hAnsi="Times New Roman" w:cs="Times New Roman"/>
          <w:sz w:val="24"/>
          <w:szCs w:val="24"/>
        </w:rPr>
        <w:t>istnieje</w:t>
      </w:r>
      <w:r w:rsidR="00AF7490" w:rsidRPr="009935E0">
        <w:rPr>
          <w:rFonts w:ascii="Times New Roman" w:hAnsi="Times New Roman" w:cs="Times New Roman"/>
          <w:sz w:val="24"/>
          <w:szCs w:val="24"/>
        </w:rPr>
        <w:t xml:space="preserve"> obowiązek prowadzenia negocjacji w dobrej wierze (tak np. System Prawa Prywatnego t. 2 pod red. Z. Radwańskiego, wyd. 3, 2019, str. 455).</w:t>
      </w:r>
    </w:p>
    <w:p w14:paraId="1B3D73B2" w14:textId="7529EC66" w:rsidR="00220F5C" w:rsidRPr="009935E0" w:rsidRDefault="00220F5C"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Art. 6 dyrektywy</w:t>
      </w:r>
      <w:r w:rsidR="0064520E" w:rsidRPr="009935E0">
        <w:rPr>
          <w:rFonts w:ascii="Times New Roman" w:hAnsi="Times New Roman" w:cs="Times New Roman"/>
          <w:sz w:val="24"/>
          <w:szCs w:val="24"/>
        </w:rPr>
        <w:t xml:space="preserve"> SATCAB II</w:t>
      </w:r>
      <w:r w:rsidR="000C4480" w:rsidRPr="009935E0">
        <w:rPr>
          <w:rFonts w:ascii="Times New Roman" w:hAnsi="Times New Roman" w:cs="Times New Roman"/>
          <w:sz w:val="24"/>
          <w:szCs w:val="24"/>
        </w:rPr>
        <w:t>, podobnie jak art. 11 dyrektywy 93/83/EWG,</w:t>
      </w:r>
      <w:r w:rsidRPr="009935E0">
        <w:rPr>
          <w:rFonts w:ascii="Times New Roman" w:hAnsi="Times New Roman" w:cs="Times New Roman"/>
          <w:sz w:val="24"/>
          <w:szCs w:val="24"/>
        </w:rPr>
        <w:t xml:space="preserve"> zobowiązuje państwa członkowskie do wprowadzenia mediacyjnego mechanizmu rozwiązywania sporó</w:t>
      </w:r>
      <w:r w:rsidR="00AA680C" w:rsidRPr="009935E0">
        <w:rPr>
          <w:rFonts w:ascii="Times New Roman" w:hAnsi="Times New Roman" w:cs="Times New Roman"/>
          <w:sz w:val="24"/>
          <w:szCs w:val="24"/>
        </w:rPr>
        <w:t>w dotyczących umów na reemitowanie</w:t>
      </w:r>
      <w:r w:rsidR="000C4480" w:rsidRPr="009935E0">
        <w:rPr>
          <w:rFonts w:ascii="Times New Roman" w:hAnsi="Times New Roman" w:cs="Times New Roman"/>
          <w:sz w:val="24"/>
          <w:szCs w:val="24"/>
        </w:rPr>
        <w:t xml:space="preserve">. Mechanizm taki został już wdrożony w ramach implementacji dyrektywy 93/83/EWG – jest uregulowany w art. </w:t>
      </w:r>
      <w:r w:rsidR="001C7A27" w:rsidRPr="009935E0">
        <w:rPr>
          <w:rFonts w:ascii="Times New Roman" w:hAnsi="Times New Roman" w:cs="Times New Roman"/>
          <w:sz w:val="24"/>
          <w:szCs w:val="24"/>
        </w:rPr>
        <w:t xml:space="preserve">85 </w:t>
      </w:r>
      <w:r w:rsidR="000C4480" w:rsidRPr="009935E0">
        <w:rPr>
          <w:rFonts w:ascii="Times New Roman" w:hAnsi="Times New Roman" w:cs="Times New Roman"/>
          <w:sz w:val="24"/>
          <w:szCs w:val="24"/>
        </w:rPr>
        <w:t xml:space="preserve">ustawy o zbiorowym zarządzaniu i stosowany </w:t>
      </w:r>
      <w:r w:rsidR="001C7A27" w:rsidRPr="009935E0">
        <w:rPr>
          <w:rFonts w:ascii="Times New Roman" w:hAnsi="Times New Roman" w:cs="Times New Roman"/>
          <w:sz w:val="24"/>
          <w:szCs w:val="24"/>
        </w:rPr>
        <w:t>na podstawie odesłania zawartego w art. 21</w:t>
      </w:r>
      <w:r w:rsidR="001C7A27" w:rsidRPr="009935E0">
        <w:rPr>
          <w:rFonts w:ascii="Times New Roman" w:hAnsi="Times New Roman" w:cs="Times New Roman"/>
          <w:sz w:val="24"/>
          <w:szCs w:val="24"/>
          <w:vertAlign w:val="superscript"/>
        </w:rPr>
        <w:t>1</w:t>
      </w:r>
      <w:r w:rsidR="001C7A27" w:rsidRPr="009935E0">
        <w:rPr>
          <w:rFonts w:ascii="Times New Roman" w:hAnsi="Times New Roman" w:cs="Times New Roman"/>
          <w:sz w:val="24"/>
          <w:szCs w:val="24"/>
        </w:rPr>
        <w:t xml:space="preserve"> ust. </w:t>
      </w:r>
      <w:r w:rsidR="00311D3D" w:rsidRPr="009935E0">
        <w:rPr>
          <w:rFonts w:ascii="Times New Roman" w:hAnsi="Times New Roman" w:cs="Times New Roman"/>
          <w:sz w:val="24"/>
          <w:szCs w:val="24"/>
        </w:rPr>
        <w:t>3</w:t>
      </w:r>
      <w:r w:rsidR="001C7A27" w:rsidRPr="009935E0">
        <w:rPr>
          <w:rFonts w:ascii="Times New Roman" w:hAnsi="Times New Roman" w:cs="Times New Roman"/>
          <w:sz w:val="24"/>
          <w:szCs w:val="24"/>
        </w:rPr>
        <w:t xml:space="preserve"> ustawy o prawie autorskim.</w:t>
      </w:r>
      <w:r w:rsidR="00EE67E9" w:rsidRPr="009935E0">
        <w:rPr>
          <w:rFonts w:ascii="Times New Roman" w:hAnsi="Times New Roman" w:cs="Times New Roman"/>
          <w:sz w:val="24"/>
          <w:szCs w:val="24"/>
        </w:rPr>
        <w:t xml:space="preserve"> </w:t>
      </w:r>
      <w:r w:rsidR="00400EA5" w:rsidRPr="009935E0">
        <w:rPr>
          <w:rFonts w:ascii="Times New Roman" w:hAnsi="Times New Roman" w:cs="Times New Roman"/>
          <w:sz w:val="24"/>
          <w:szCs w:val="24"/>
        </w:rPr>
        <w:t xml:space="preserve">Przepis ten </w:t>
      </w:r>
      <w:r w:rsidR="00EE67E9" w:rsidRPr="009935E0">
        <w:rPr>
          <w:rFonts w:ascii="Times New Roman" w:hAnsi="Times New Roman" w:cs="Times New Roman"/>
          <w:sz w:val="24"/>
          <w:szCs w:val="24"/>
        </w:rPr>
        <w:t xml:space="preserve">implementuje jednak tylko pierwszy przypadek z art. 6 dyrektywy </w:t>
      </w:r>
      <w:r w:rsidR="0064520E" w:rsidRPr="009935E0">
        <w:rPr>
          <w:rFonts w:ascii="Times New Roman" w:hAnsi="Times New Roman" w:cs="Times New Roman"/>
          <w:sz w:val="24"/>
          <w:szCs w:val="24"/>
        </w:rPr>
        <w:t>SATCAB II</w:t>
      </w:r>
      <w:r w:rsidR="0026328A" w:rsidRPr="009935E0">
        <w:rPr>
          <w:rFonts w:ascii="Times New Roman" w:hAnsi="Times New Roman" w:cs="Times New Roman"/>
          <w:sz w:val="24"/>
          <w:szCs w:val="24"/>
        </w:rPr>
        <w:t>,</w:t>
      </w:r>
      <w:r w:rsidR="0021012A" w:rsidRPr="009935E0">
        <w:rPr>
          <w:rFonts w:ascii="Times New Roman" w:hAnsi="Times New Roman" w:cs="Times New Roman"/>
          <w:sz w:val="24"/>
          <w:szCs w:val="24"/>
        </w:rPr>
        <w:t xml:space="preserve"> tj. mediację</w:t>
      </w:r>
      <w:r w:rsidR="00EE67E9" w:rsidRPr="009935E0">
        <w:rPr>
          <w:rFonts w:ascii="Times New Roman" w:hAnsi="Times New Roman" w:cs="Times New Roman"/>
          <w:sz w:val="24"/>
          <w:szCs w:val="24"/>
        </w:rPr>
        <w:t xml:space="preserve"> między organizacją zbiorowego zarządzania a </w:t>
      </w:r>
      <w:proofErr w:type="spellStart"/>
      <w:r w:rsidR="00EE67E9" w:rsidRPr="009935E0">
        <w:rPr>
          <w:rFonts w:ascii="Times New Roman" w:hAnsi="Times New Roman" w:cs="Times New Roman"/>
          <w:sz w:val="24"/>
          <w:szCs w:val="24"/>
        </w:rPr>
        <w:t>reemitentem</w:t>
      </w:r>
      <w:proofErr w:type="spellEnd"/>
      <w:r w:rsidR="00400EA5" w:rsidRPr="009935E0">
        <w:rPr>
          <w:rFonts w:ascii="Times New Roman" w:hAnsi="Times New Roman" w:cs="Times New Roman"/>
          <w:sz w:val="24"/>
          <w:szCs w:val="24"/>
        </w:rPr>
        <w:t xml:space="preserve">. Drugi przypadek z </w:t>
      </w:r>
      <w:r w:rsidR="00EE67E9" w:rsidRPr="009935E0">
        <w:rPr>
          <w:rFonts w:ascii="Times New Roman" w:hAnsi="Times New Roman" w:cs="Times New Roman"/>
          <w:sz w:val="24"/>
          <w:szCs w:val="24"/>
        </w:rPr>
        <w:t>tej dyrektywy dotyczy natomiast możliwości korzystania z mediacji w przypadku</w:t>
      </w:r>
      <w:r w:rsidR="00CC58A9" w:rsidRPr="009935E0">
        <w:rPr>
          <w:rFonts w:ascii="Times New Roman" w:hAnsi="Times New Roman" w:cs="Times New Roman"/>
          <w:sz w:val="24"/>
          <w:szCs w:val="24"/>
        </w:rPr>
        <w:t xml:space="preserve"> niepowodzenia negocjacji między </w:t>
      </w:r>
      <w:proofErr w:type="spellStart"/>
      <w:r w:rsidR="00CC58A9" w:rsidRPr="009935E0">
        <w:rPr>
          <w:rFonts w:ascii="Times New Roman" w:hAnsi="Times New Roman" w:cs="Times New Roman"/>
          <w:sz w:val="24"/>
          <w:szCs w:val="24"/>
        </w:rPr>
        <w:t>reemitentem</w:t>
      </w:r>
      <w:proofErr w:type="spellEnd"/>
      <w:r w:rsidR="00CC58A9" w:rsidRPr="009935E0">
        <w:rPr>
          <w:rFonts w:ascii="Times New Roman" w:hAnsi="Times New Roman" w:cs="Times New Roman"/>
          <w:sz w:val="24"/>
          <w:szCs w:val="24"/>
        </w:rPr>
        <w:t xml:space="preserve"> a nadawcą</w:t>
      </w:r>
      <w:r w:rsidR="00EE67E9" w:rsidRPr="009935E0">
        <w:rPr>
          <w:rFonts w:ascii="Times New Roman" w:hAnsi="Times New Roman" w:cs="Times New Roman"/>
          <w:sz w:val="24"/>
          <w:szCs w:val="24"/>
        </w:rPr>
        <w:t xml:space="preserve">. </w:t>
      </w:r>
      <w:r w:rsidR="00400EA5" w:rsidRPr="009935E0">
        <w:rPr>
          <w:rFonts w:ascii="Times New Roman" w:hAnsi="Times New Roman" w:cs="Times New Roman"/>
          <w:sz w:val="24"/>
          <w:szCs w:val="24"/>
        </w:rPr>
        <w:t xml:space="preserve">W projektowanym </w:t>
      </w:r>
      <w:r w:rsidR="00EE67E9" w:rsidRPr="009935E0">
        <w:rPr>
          <w:rFonts w:ascii="Times New Roman" w:hAnsi="Times New Roman" w:cs="Times New Roman"/>
          <w:sz w:val="24"/>
          <w:szCs w:val="24"/>
        </w:rPr>
        <w:t>art. 21</w:t>
      </w:r>
      <w:r w:rsidR="00EE67E9" w:rsidRPr="009935E0">
        <w:rPr>
          <w:rFonts w:ascii="Times New Roman" w:hAnsi="Times New Roman" w:cs="Times New Roman"/>
          <w:sz w:val="24"/>
          <w:szCs w:val="24"/>
          <w:vertAlign w:val="superscript"/>
        </w:rPr>
        <w:t>1</w:t>
      </w:r>
      <w:r w:rsidR="00EE67E9" w:rsidRPr="009935E0">
        <w:rPr>
          <w:rFonts w:ascii="Times New Roman" w:hAnsi="Times New Roman" w:cs="Times New Roman"/>
          <w:sz w:val="24"/>
          <w:szCs w:val="24"/>
        </w:rPr>
        <w:t xml:space="preserve"> ust. </w:t>
      </w:r>
      <w:r w:rsidR="00311D3D" w:rsidRPr="009935E0">
        <w:rPr>
          <w:rFonts w:ascii="Times New Roman" w:hAnsi="Times New Roman" w:cs="Times New Roman"/>
          <w:sz w:val="24"/>
          <w:szCs w:val="24"/>
        </w:rPr>
        <w:t>3</w:t>
      </w:r>
      <w:r w:rsidR="00EE67E9" w:rsidRPr="009935E0">
        <w:rPr>
          <w:rFonts w:ascii="Times New Roman" w:hAnsi="Times New Roman" w:cs="Times New Roman"/>
          <w:sz w:val="24"/>
          <w:szCs w:val="24"/>
        </w:rPr>
        <w:t xml:space="preserve"> </w:t>
      </w:r>
      <w:r w:rsidR="0064520E" w:rsidRPr="009935E0">
        <w:rPr>
          <w:rFonts w:ascii="Times New Roman" w:hAnsi="Times New Roman" w:cs="Times New Roman"/>
          <w:sz w:val="24"/>
          <w:szCs w:val="24"/>
        </w:rPr>
        <w:t xml:space="preserve">ustawy o prawie autorskim </w:t>
      </w:r>
      <w:r w:rsidR="001267D1" w:rsidRPr="009935E0">
        <w:rPr>
          <w:rFonts w:ascii="Times New Roman" w:hAnsi="Times New Roman" w:cs="Times New Roman"/>
          <w:sz w:val="24"/>
          <w:szCs w:val="24"/>
        </w:rPr>
        <w:t xml:space="preserve">przewiduje </w:t>
      </w:r>
      <w:r w:rsidR="00CC58A9" w:rsidRPr="009935E0">
        <w:rPr>
          <w:rFonts w:ascii="Times New Roman" w:hAnsi="Times New Roman" w:cs="Times New Roman"/>
          <w:sz w:val="24"/>
          <w:szCs w:val="24"/>
        </w:rPr>
        <w:t xml:space="preserve">się </w:t>
      </w:r>
      <w:r w:rsidR="00EE67E9" w:rsidRPr="009935E0">
        <w:rPr>
          <w:rFonts w:ascii="Times New Roman" w:hAnsi="Times New Roman" w:cs="Times New Roman"/>
          <w:sz w:val="24"/>
          <w:szCs w:val="24"/>
        </w:rPr>
        <w:t xml:space="preserve">zatem </w:t>
      </w:r>
      <w:r w:rsidR="00CC58A9" w:rsidRPr="009935E0">
        <w:rPr>
          <w:rFonts w:ascii="Times New Roman" w:hAnsi="Times New Roman" w:cs="Times New Roman"/>
          <w:sz w:val="24"/>
          <w:szCs w:val="24"/>
        </w:rPr>
        <w:t>odpowiednie</w:t>
      </w:r>
      <w:r w:rsidR="00EE67E9" w:rsidRPr="009935E0">
        <w:rPr>
          <w:rFonts w:ascii="Times New Roman" w:hAnsi="Times New Roman" w:cs="Times New Roman"/>
          <w:sz w:val="24"/>
          <w:szCs w:val="24"/>
        </w:rPr>
        <w:t xml:space="preserve"> stosowanie </w:t>
      </w:r>
      <w:r w:rsidR="00CC58A9" w:rsidRPr="009935E0">
        <w:rPr>
          <w:rFonts w:ascii="Times New Roman" w:hAnsi="Times New Roman" w:cs="Times New Roman"/>
          <w:sz w:val="24"/>
          <w:szCs w:val="24"/>
        </w:rPr>
        <w:t xml:space="preserve">w takich sytuacjach </w:t>
      </w:r>
      <w:r w:rsidR="00400EA5" w:rsidRPr="009935E0">
        <w:rPr>
          <w:rFonts w:ascii="Times New Roman" w:hAnsi="Times New Roman" w:cs="Times New Roman"/>
          <w:sz w:val="24"/>
          <w:szCs w:val="24"/>
        </w:rPr>
        <w:t xml:space="preserve">przepisów </w:t>
      </w:r>
      <w:r w:rsidR="00EE67E9" w:rsidRPr="009935E0">
        <w:rPr>
          <w:rFonts w:ascii="Times New Roman" w:hAnsi="Times New Roman" w:cs="Times New Roman"/>
          <w:sz w:val="24"/>
          <w:szCs w:val="24"/>
        </w:rPr>
        <w:t>art. 85 ustawy o zbiorowym zarządzaniu.</w:t>
      </w:r>
      <w:r w:rsidR="00CC58A9" w:rsidRPr="009935E0">
        <w:rPr>
          <w:rFonts w:ascii="Times New Roman" w:hAnsi="Times New Roman" w:cs="Times New Roman"/>
          <w:sz w:val="24"/>
          <w:szCs w:val="24"/>
        </w:rPr>
        <w:t xml:space="preserve"> Nie wydaje się bowiem, aby właściwym rozwiązaniem było stosowne uzupełnienie kompetencji Komisji Prawa Autorskiego w art. 64 ust. 1 tej ustawy z uwagi na to, że zgodnie ze swoim tytułem ustawa ta dotyczy zbiorowego zarządzania </w:t>
      </w:r>
      <w:r w:rsidR="009A320C" w:rsidRPr="009935E0">
        <w:rPr>
          <w:rFonts w:ascii="Times New Roman" w:hAnsi="Times New Roman" w:cs="Times New Roman"/>
          <w:sz w:val="24"/>
          <w:szCs w:val="24"/>
        </w:rPr>
        <w:t>prawami autorskimi i prawami pokrewnymi</w:t>
      </w:r>
      <w:r w:rsidR="0007245E" w:rsidRPr="009935E0">
        <w:rPr>
          <w:rFonts w:ascii="Times New Roman" w:hAnsi="Times New Roman" w:cs="Times New Roman"/>
          <w:sz w:val="24"/>
          <w:szCs w:val="24"/>
        </w:rPr>
        <w:t>,</w:t>
      </w:r>
      <w:r w:rsidR="009A320C" w:rsidRPr="009935E0">
        <w:rPr>
          <w:rFonts w:ascii="Times New Roman" w:hAnsi="Times New Roman" w:cs="Times New Roman"/>
          <w:sz w:val="24"/>
          <w:szCs w:val="24"/>
        </w:rPr>
        <w:t xml:space="preserve"> </w:t>
      </w:r>
      <w:r w:rsidR="00CC58A9" w:rsidRPr="009935E0">
        <w:rPr>
          <w:rFonts w:ascii="Times New Roman" w:hAnsi="Times New Roman" w:cs="Times New Roman"/>
          <w:sz w:val="24"/>
          <w:szCs w:val="24"/>
        </w:rPr>
        <w:t xml:space="preserve">a nie relacji między pozostałymi uczestnikami obrotu </w:t>
      </w:r>
      <w:r w:rsidR="009A320C" w:rsidRPr="009935E0">
        <w:rPr>
          <w:rFonts w:ascii="Times New Roman" w:hAnsi="Times New Roman" w:cs="Times New Roman"/>
          <w:sz w:val="24"/>
          <w:szCs w:val="24"/>
        </w:rPr>
        <w:t xml:space="preserve">tymi </w:t>
      </w:r>
      <w:r w:rsidR="00CC58A9" w:rsidRPr="009935E0">
        <w:rPr>
          <w:rFonts w:ascii="Times New Roman" w:hAnsi="Times New Roman" w:cs="Times New Roman"/>
          <w:sz w:val="24"/>
          <w:szCs w:val="24"/>
        </w:rPr>
        <w:t xml:space="preserve">prawami. </w:t>
      </w:r>
    </w:p>
    <w:p w14:paraId="1F8C2126" w14:textId="77777777" w:rsidR="001636A3" w:rsidRPr="009935E0" w:rsidRDefault="001636A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Zgodnie z art. 7 dyrektywy </w:t>
      </w:r>
      <w:r w:rsidR="0064520E"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 xml:space="preserve">państwa członkowskie mogą postanowić, że ww. regulacje, jak też regulacje dotyczące </w:t>
      </w:r>
      <w:r w:rsidR="009A320C" w:rsidRPr="009935E0">
        <w:rPr>
          <w:rFonts w:ascii="Times New Roman" w:hAnsi="Times New Roman" w:cs="Times New Roman"/>
          <w:sz w:val="24"/>
          <w:szCs w:val="24"/>
        </w:rPr>
        <w:t>reemitowania</w:t>
      </w:r>
      <w:r w:rsidR="00C70A78" w:rsidRPr="009935E0">
        <w:rPr>
          <w:rFonts w:ascii="Times New Roman" w:hAnsi="Times New Roman" w:cs="Times New Roman"/>
          <w:sz w:val="24"/>
          <w:szCs w:val="24"/>
        </w:rPr>
        <w:t xml:space="preserve"> zawarte w dyrektywie 93/83/EWG, mogą</w:t>
      </w:r>
      <w:r w:rsidR="009A320C" w:rsidRPr="009935E0">
        <w:rPr>
          <w:rFonts w:ascii="Times New Roman" w:hAnsi="Times New Roman" w:cs="Times New Roman"/>
          <w:sz w:val="24"/>
          <w:szCs w:val="24"/>
        </w:rPr>
        <w:t xml:space="preserve"> być stosowane także do reemitowania „krajowego</w:t>
      </w:r>
      <w:r w:rsidR="00C70A78" w:rsidRPr="009935E0">
        <w:rPr>
          <w:rFonts w:ascii="Times New Roman" w:hAnsi="Times New Roman" w:cs="Times New Roman"/>
          <w:sz w:val="24"/>
          <w:szCs w:val="24"/>
        </w:rPr>
        <w:t>”, tj.</w:t>
      </w:r>
      <w:r w:rsidR="009A320C" w:rsidRPr="009935E0">
        <w:rPr>
          <w:rFonts w:ascii="Times New Roman" w:hAnsi="Times New Roman" w:cs="Times New Roman"/>
          <w:sz w:val="24"/>
          <w:szCs w:val="24"/>
        </w:rPr>
        <w:t xml:space="preserve"> w sytuacji, gdy zarówno nadawanie</w:t>
      </w:r>
      <w:r w:rsidR="007B733A" w:rsidRPr="009935E0">
        <w:rPr>
          <w:rFonts w:ascii="Times New Roman" w:hAnsi="Times New Roman" w:cs="Times New Roman"/>
          <w:sz w:val="24"/>
          <w:szCs w:val="24"/>
        </w:rPr>
        <w:t>,</w:t>
      </w:r>
      <w:r w:rsidR="009A320C" w:rsidRPr="009935E0">
        <w:rPr>
          <w:rFonts w:ascii="Times New Roman" w:hAnsi="Times New Roman" w:cs="Times New Roman"/>
          <w:sz w:val="24"/>
          <w:szCs w:val="24"/>
        </w:rPr>
        <w:t xml:space="preserve"> jak i reemitowanie</w:t>
      </w:r>
      <w:r w:rsidR="00C70A78" w:rsidRPr="009935E0">
        <w:rPr>
          <w:rFonts w:ascii="Times New Roman" w:hAnsi="Times New Roman" w:cs="Times New Roman"/>
          <w:sz w:val="24"/>
          <w:szCs w:val="24"/>
        </w:rPr>
        <w:t xml:space="preserve"> nada</w:t>
      </w:r>
      <w:r w:rsidR="009A320C" w:rsidRPr="009935E0">
        <w:rPr>
          <w:rFonts w:ascii="Times New Roman" w:hAnsi="Times New Roman" w:cs="Times New Roman"/>
          <w:sz w:val="24"/>
          <w:szCs w:val="24"/>
        </w:rPr>
        <w:t>wa</w:t>
      </w:r>
      <w:r w:rsidR="00C70A78" w:rsidRPr="009935E0">
        <w:rPr>
          <w:rFonts w:ascii="Times New Roman" w:hAnsi="Times New Roman" w:cs="Times New Roman"/>
          <w:sz w:val="24"/>
          <w:szCs w:val="24"/>
        </w:rPr>
        <w:t>nych treści odbywają się na terytorium danego państwa członkowskiego. Polskie regulacje korzystają z tej mo</w:t>
      </w:r>
      <w:r w:rsidR="009A320C" w:rsidRPr="009935E0">
        <w:rPr>
          <w:rFonts w:ascii="Times New Roman" w:hAnsi="Times New Roman" w:cs="Times New Roman"/>
          <w:sz w:val="24"/>
          <w:szCs w:val="24"/>
        </w:rPr>
        <w:t>żliwości – odnoszą się do każdego reemitowania</w:t>
      </w:r>
      <w:r w:rsidR="00C70A78" w:rsidRPr="009935E0">
        <w:rPr>
          <w:rFonts w:ascii="Times New Roman" w:hAnsi="Times New Roman" w:cs="Times New Roman"/>
          <w:sz w:val="24"/>
          <w:szCs w:val="24"/>
        </w:rPr>
        <w:t>, zarówno programów nadawanych na terytorium Rzeczypospolitej Polskiej</w:t>
      </w:r>
      <w:r w:rsidR="007B733A" w:rsidRPr="009935E0">
        <w:rPr>
          <w:rFonts w:ascii="Times New Roman" w:hAnsi="Times New Roman" w:cs="Times New Roman"/>
          <w:sz w:val="24"/>
          <w:szCs w:val="24"/>
        </w:rPr>
        <w:t>,</w:t>
      </w:r>
      <w:r w:rsidR="00C70A78" w:rsidRPr="009935E0">
        <w:rPr>
          <w:rFonts w:ascii="Times New Roman" w:hAnsi="Times New Roman" w:cs="Times New Roman"/>
          <w:sz w:val="24"/>
          <w:szCs w:val="24"/>
        </w:rPr>
        <w:t xml:space="preserve"> jak i programów nadawanych </w:t>
      </w:r>
      <w:r w:rsidR="000C4480" w:rsidRPr="009935E0">
        <w:rPr>
          <w:rFonts w:ascii="Times New Roman" w:hAnsi="Times New Roman" w:cs="Times New Roman"/>
          <w:sz w:val="24"/>
          <w:szCs w:val="24"/>
        </w:rPr>
        <w:t xml:space="preserve">z </w:t>
      </w:r>
      <w:r w:rsidR="00C70A78" w:rsidRPr="009935E0">
        <w:rPr>
          <w:rFonts w:ascii="Times New Roman" w:hAnsi="Times New Roman" w:cs="Times New Roman"/>
          <w:sz w:val="24"/>
          <w:szCs w:val="24"/>
        </w:rPr>
        <w:t>terytorium inn</w:t>
      </w:r>
      <w:r w:rsidR="00576E60" w:rsidRPr="009935E0">
        <w:rPr>
          <w:rFonts w:ascii="Times New Roman" w:hAnsi="Times New Roman" w:cs="Times New Roman"/>
          <w:sz w:val="24"/>
          <w:szCs w:val="24"/>
        </w:rPr>
        <w:t>ych państw.</w:t>
      </w:r>
    </w:p>
    <w:p w14:paraId="5DE06C18" w14:textId="77777777" w:rsidR="00EE67E9" w:rsidRPr="009935E0" w:rsidRDefault="00EE67E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Jak wskazano wyżej, d</w:t>
      </w:r>
      <w:r w:rsidR="004E24CA" w:rsidRPr="009935E0">
        <w:rPr>
          <w:rFonts w:ascii="Times New Roman" w:hAnsi="Times New Roman" w:cs="Times New Roman"/>
          <w:sz w:val="24"/>
          <w:szCs w:val="24"/>
        </w:rPr>
        <w:t xml:space="preserve">yrektywa </w:t>
      </w:r>
      <w:r w:rsidR="0064520E" w:rsidRPr="009935E0">
        <w:rPr>
          <w:rFonts w:ascii="Times New Roman" w:hAnsi="Times New Roman" w:cs="Times New Roman"/>
          <w:sz w:val="24"/>
          <w:szCs w:val="24"/>
        </w:rPr>
        <w:t xml:space="preserve">SATCAB II </w:t>
      </w:r>
      <w:r w:rsidR="006832E9" w:rsidRPr="009935E0">
        <w:rPr>
          <w:rFonts w:ascii="Times New Roman" w:hAnsi="Times New Roman" w:cs="Times New Roman"/>
          <w:sz w:val="24"/>
          <w:szCs w:val="24"/>
        </w:rPr>
        <w:t xml:space="preserve">w art. </w:t>
      </w:r>
      <w:r w:rsidR="00B40E5B" w:rsidRPr="009935E0">
        <w:rPr>
          <w:rFonts w:ascii="Times New Roman" w:hAnsi="Times New Roman" w:cs="Times New Roman"/>
          <w:sz w:val="24"/>
          <w:szCs w:val="24"/>
        </w:rPr>
        <w:t>9</w:t>
      </w:r>
      <w:r w:rsidR="006832E9" w:rsidRPr="009935E0">
        <w:rPr>
          <w:rFonts w:ascii="Times New Roman" w:hAnsi="Times New Roman" w:cs="Times New Roman"/>
          <w:sz w:val="24"/>
          <w:szCs w:val="24"/>
        </w:rPr>
        <w:t xml:space="preserve"> </w:t>
      </w:r>
      <w:r w:rsidRPr="009935E0">
        <w:rPr>
          <w:rFonts w:ascii="Times New Roman" w:hAnsi="Times New Roman" w:cs="Times New Roman"/>
          <w:sz w:val="24"/>
          <w:szCs w:val="24"/>
        </w:rPr>
        <w:t>modyfikuje</w:t>
      </w:r>
      <w:r w:rsidR="007D34A5" w:rsidRPr="009935E0">
        <w:rPr>
          <w:rFonts w:ascii="Times New Roman" w:hAnsi="Times New Roman" w:cs="Times New Roman"/>
          <w:sz w:val="24"/>
          <w:szCs w:val="24"/>
        </w:rPr>
        <w:t xml:space="preserve"> </w:t>
      </w:r>
      <w:r w:rsidR="006832E9" w:rsidRPr="009935E0">
        <w:rPr>
          <w:rFonts w:ascii="Times New Roman" w:hAnsi="Times New Roman" w:cs="Times New Roman"/>
          <w:sz w:val="24"/>
          <w:szCs w:val="24"/>
        </w:rPr>
        <w:t xml:space="preserve">definicję „reemisji drogą kablową” </w:t>
      </w:r>
      <w:r w:rsidR="007D34A5" w:rsidRPr="009935E0">
        <w:rPr>
          <w:rFonts w:ascii="Times New Roman" w:hAnsi="Times New Roman" w:cs="Times New Roman"/>
          <w:sz w:val="24"/>
          <w:szCs w:val="24"/>
        </w:rPr>
        <w:t>zawart</w:t>
      </w:r>
      <w:r w:rsidRPr="009935E0">
        <w:rPr>
          <w:rFonts w:ascii="Times New Roman" w:hAnsi="Times New Roman" w:cs="Times New Roman"/>
          <w:sz w:val="24"/>
          <w:szCs w:val="24"/>
        </w:rPr>
        <w:t>ą</w:t>
      </w:r>
      <w:r w:rsidR="007D34A5" w:rsidRPr="009935E0">
        <w:rPr>
          <w:rFonts w:ascii="Times New Roman" w:hAnsi="Times New Roman" w:cs="Times New Roman"/>
          <w:sz w:val="24"/>
          <w:szCs w:val="24"/>
        </w:rPr>
        <w:t xml:space="preserve"> w art. 1 ust. 3 dyrektywy 93/83/EWG. </w:t>
      </w:r>
      <w:r w:rsidR="005137DF" w:rsidRPr="009935E0">
        <w:rPr>
          <w:rFonts w:ascii="Times New Roman" w:hAnsi="Times New Roman" w:cs="Times New Roman"/>
          <w:sz w:val="24"/>
          <w:szCs w:val="24"/>
        </w:rPr>
        <w:t xml:space="preserve">Zmiana polega na doprecyzowaniu, że dla </w:t>
      </w:r>
      <w:r w:rsidR="009A320C" w:rsidRPr="009935E0">
        <w:rPr>
          <w:rFonts w:ascii="Times New Roman" w:hAnsi="Times New Roman" w:cs="Times New Roman"/>
          <w:sz w:val="24"/>
          <w:szCs w:val="24"/>
        </w:rPr>
        <w:t>powstania reemitowania</w:t>
      </w:r>
      <w:r w:rsidR="009E5EC9" w:rsidRPr="009935E0">
        <w:rPr>
          <w:rFonts w:ascii="Times New Roman" w:hAnsi="Times New Roman" w:cs="Times New Roman"/>
          <w:sz w:val="24"/>
          <w:szCs w:val="24"/>
        </w:rPr>
        <w:t xml:space="preserve"> </w:t>
      </w:r>
      <w:r w:rsidR="005137DF" w:rsidRPr="009935E0">
        <w:rPr>
          <w:rFonts w:ascii="Times New Roman" w:hAnsi="Times New Roman" w:cs="Times New Roman"/>
          <w:sz w:val="24"/>
          <w:szCs w:val="24"/>
        </w:rPr>
        <w:t xml:space="preserve">nie jest istotne, w jaki sposób </w:t>
      </w:r>
      <w:proofErr w:type="spellStart"/>
      <w:r w:rsidR="005137DF" w:rsidRPr="009935E0">
        <w:rPr>
          <w:rFonts w:ascii="Times New Roman" w:hAnsi="Times New Roman" w:cs="Times New Roman"/>
          <w:sz w:val="24"/>
          <w:szCs w:val="24"/>
        </w:rPr>
        <w:t>reemitent</w:t>
      </w:r>
      <w:proofErr w:type="spellEnd"/>
      <w:r w:rsidR="005137DF" w:rsidRPr="009935E0">
        <w:rPr>
          <w:rFonts w:ascii="Times New Roman" w:hAnsi="Times New Roman" w:cs="Times New Roman"/>
          <w:sz w:val="24"/>
          <w:szCs w:val="24"/>
        </w:rPr>
        <w:t xml:space="preserve"> otrzymuje </w:t>
      </w:r>
      <w:r w:rsidR="009E5EC9" w:rsidRPr="009935E0">
        <w:rPr>
          <w:rFonts w:ascii="Times New Roman" w:hAnsi="Times New Roman" w:cs="Times New Roman"/>
          <w:sz w:val="24"/>
          <w:szCs w:val="24"/>
        </w:rPr>
        <w:t>„</w:t>
      </w:r>
      <w:r w:rsidR="005137DF" w:rsidRPr="009935E0">
        <w:rPr>
          <w:rFonts w:ascii="Times New Roman" w:hAnsi="Times New Roman" w:cs="Times New Roman"/>
          <w:sz w:val="24"/>
          <w:szCs w:val="24"/>
        </w:rPr>
        <w:t xml:space="preserve">sygnał </w:t>
      </w:r>
      <w:r w:rsidR="009E5EC9" w:rsidRPr="009935E0">
        <w:rPr>
          <w:rFonts w:ascii="Times New Roman" w:hAnsi="Times New Roman" w:cs="Times New Roman"/>
          <w:sz w:val="24"/>
          <w:szCs w:val="24"/>
        </w:rPr>
        <w:t xml:space="preserve">będący nośnikiem programu” od organizacji radiowej lub telewizyjnej, co należy postrzegać jako </w:t>
      </w:r>
      <w:r w:rsidR="004D2CF0" w:rsidRPr="009935E0">
        <w:rPr>
          <w:rFonts w:ascii="Times New Roman" w:hAnsi="Times New Roman" w:cs="Times New Roman"/>
          <w:sz w:val="24"/>
          <w:szCs w:val="24"/>
        </w:rPr>
        <w:t>realizację postulatu</w:t>
      </w:r>
      <w:r w:rsidRPr="009935E0">
        <w:rPr>
          <w:rFonts w:ascii="Times New Roman" w:hAnsi="Times New Roman" w:cs="Times New Roman"/>
          <w:sz w:val="24"/>
          <w:szCs w:val="24"/>
        </w:rPr>
        <w:t xml:space="preserve"> </w:t>
      </w:r>
      <w:r w:rsidR="004D2CF0" w:rsidRPr="009935E0">
        <w:rPr>
          <w:rFonts w:ascii="Times New Roman" w:hAnsi="Times New Roman" w:cs="Times New Roman"/>
          <w:sz w:val="24"/>
          <w:szCs w:val="24"/>
        </w:rPr>
        <w:t>„</w:t>
      </w:r>
      <w:r w:rsidRPr="009935E0">
        <w:rPr>
          <w:rFonts w:ascii="Times New Roman" w:hAnsi="Times New Roman" w:cs="Times New Roman"/>
          <w:sz w:val="24"/>
          <w:szCs w:val="24"/>
        </w:rPr>
        <w:t>neutralności technologicznej</w:t>
      </w:r>
      <w:r w:rsidR="004D2CF0" w:rsidRPr="009935E0">
        <w:rPr>
          <w:rFonts w:ascii="Times New Roman" w:hAnsi="Times New Roman" w:cs="Times New Roman"/>
          <w:sz w:val="24"/>
          <w:szCs w:val="24"/>
        </w:rPr>
        <w:t>” rozwiązań prawnych</w:t>
      </w:r>
      <w:r w:rsidRPr="009935E0">
        <w:rPr>
          <w:rFonts w:ascii="Times New Roman" w:hAnsi="Times New Roman" w:cs="Times New Roman"/>
          <w:sz w:val="24"/>
          <w:szCs w:val="24"/>
        </w:rPr>
        <w:t xml:space="preserve">, </w:t>
      </w:r>
      <w:r w:rsidR="004D2CF0" w:rsidRPr="009935E0">
        <w:rPr>
          <w:rFonts w:ascii="Times New Roman" w:hAnsi="Times New Roman" w:cs="Times New Roman"/>
          <w:sz w:val="24"/>
          <w:szCs w:val="24"/>
        </w:rPr>
        <w:t xml:space="preserve">w tym </w:t>
      </w:r>
      <w:r w:rsidR="009E5EC9" w:rsidRPr="009935E0">
        <w:rPr>
          <w:rFonts w:ascii="Times New Roman" w:hAnsi="Times New Roman" w:cs="Times New Roman"/>
          <w:sz w:val="24"/>
          <w:szCs w:val="24"/>
        </w:rPr>
        <w:t xml:space="preserve">także </w:t>
      </w:r>
      <w:r w:rsidR="004D2CF0" w:rsidRPr="009935E0">
        <w:rPr>
          <w:rFonts w:ascii="Times New Roman" w:hAnsi="Times New Roman" w:cs="Times New Roman"/>
          <w:sz w:val="24"/>
          <w:szCs w:val="24"/>
        </w:rPr>
        <w:lastRenderedPageBreak/>
        <w:t xml:space="preserve">uwzględnienie </w:t>
      </w:r>
      <w:r w:rsidR="003E7856" w:rsidRPr="009935E0">
        <w:rPr>
          <w:rFonts w:ascii="Times New Roman" w:hAnsi="Times New Roman" w:cs="Times New Roman"/>
          <w:sz w:val="24"/>
          <w:szCs w:val="24"/>
        </w:rPr>
        <w:t xml:space="preserve">przypadku, w którym </w:t>
      </w:r>
      <w:r w:rsidR="004D2CF0" w:rsidRPr="009935E0">
        <w:rPr>
          <w:rFonts w:ascii="Times New Roman" w:hAnsi="Times New Roman" w:cs="Times New Roman"/>
          <w:sz w:val="24"/>
          <w:szCs w:val="24"/>
        </w:rPr>
        <w:t>„</w:t>
      </w:r>
      <w:r w:rsidR="003E7856" w:rsidRPr="009935E0">
        <w:rPr>
          <w:rFonts w:ascii="Times New Roman" w:hAnsi="Times New Roman" w:cs="Times New Roman"/>
          <w:sz w:val="24"/>
          <w:szCs w:val="24"/>
        </w:rPr>
        <w:t xml:space="preserve">sygnał </w:t>
      </w:r>
      <w:r w:rsidR="004D2CF0" w:rsidRPr="009935E0">
        <w:rPr>
          <w:rFonts w:ascii="Times New Roman" w:hAnsi="Times New Roman" w:cs="Times New Roman"/>
          <w:sz w:val="24"/>
          <w:szCs w:val="24"/>
        </w:rPr>
        <w:t>będący nośnikiem programu”</w:t>
      </w:r>
      <w:r w:rsidR="003E7856" w:rsidRPr="009935E0">
        <w:rPr>
          <w:rFonts w:ascii="Times New Roman" w:hAnsi="Times New Roman" w:cs="Times New Roman"/>
          <w:sz w:val="24"/>
          <w:szCs w:val="24"/>
        </w:rPr>
        <w:t xml:space="preserve"> zostanie przez </w:t>
      </w:r>
      <w:proofErr w:type="spellStart"/>
      <w:r w:rsidR="003E7856" w:rsidRPr="009935E0">
        <w:rPr>
          <w:rFonts w:ascii="Times New Roman" w:hAnsi="Times New Roman" w:cs="Times New Roman"/>
          <w:sz w:val="24"/>
          <w:szCs w:val="24"/>
        </w:rPr>
        <w:t>reemitenta</w:t>
      </w:r>
      <w:proofErr w:type="spellEnd"/>
      <w:r w:rsidR="003E7856" w:rsidRPr="009935E0">
        <w:rPr>
          <w:rFonts w:ascii="Times New Roman" w:hAnsi="Times New Roman" w:cs="Times New Roman"/>
          <w:sz w:val="24"/>
          <w:szCs w:val="24"/>
        </w:rPr>
        <w:t xml:space="preserve"> otrzymany</w:t>
      </w:r>
      <w:r w:rsidRPr="009935E0">
        <w:rPr>
          <w:rFonts w:ascii="Times New Roman" w:hAnsi="Times New Roman" w:cs="Times New Roman"/>
          <w:sz w:val="24"/>
          <w:szCs w:val="24"/>
        </w:rPr>
        <w:t xml:space="preserve"> </w:t>
      </w:r>
      <w:r w:rsidR="003E7856" w:rsidRPr="009935E0">
        <w:rPr>
          <w:rFonts w:ascii="Times New Roman" w:hAnsi="Times New Roman" w:cs="Times New Roman"/>
          <w:sz w:val="24"/>
          <w:szCs w:val="24"/>
        </w:rPr>
        <w:t>w drodze „wprowadzenia bezpośredniego</w:t>
      </w:r>
      <w:r w:rsidR="00323159" w:rsidRPr="009935E0">
        <w:rPr>
          <w:rFonts w:ascii="Times New Roman" w:hAnsi="Times New Roman" w:cs="Times New Roman"/>
          <w:sz w:val="24"/>
          <w:szCs w:val="24"/>
        </w:rPr>
        <w:t>”</w:t>
      </w:r>
      <w:r w:rsidR="00293C63" w:rsidRPr="009935E0">
        <w:rPr>
          <w:rFonts w:ascii="Times New Roman" w:hAnsi="Times New Roman" w:cs="Times New Roman"/>
          <w:sz w:val="24"/>
          <w:szCs w:val="24"/>
        </w:rPr>
        <w:t>.</w:t>
      </w:r>
      <w:r w:rsidR="006832E9" w:rsidRPr="009935E0">
        <w:rPr>
          <w:rFonts w:ascii="Times New Roman" w:hAnsi="Times New Roman" w:cs="Times New Roman"/>
          <w:sz w:val="24"/>
          <w:szCs w:val="24"/>
        </w:rPr>
        <w:t xml:space="preserve"> </w:t>
      </w:r>
    </w:p>
    <w:p w14:paraId="059FC4E4" w14:textId="77777777" w:rsidR="00437603" w:rsidRPr="009935E0" w:rsidRDefault="006832E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prawie polskim </w:t>
      </w:r>
      <w:r w:rsidR="0061125D" w:rsidRPr="009935E0">
        <w:rPr>
          <w:rFonts w:ascii="Times New Roman" w:hAnsi="Times New Roman" w:cs="Times New Roman"/>
          <w:sz w:val="24"/>
          <w:szCs w:val="24"/>
        </w:rPr>
        <w:t>przez</w:t>
      </w:r>
      <w:r w:rsidRPr="009935E0">
        <w:rPr>
          <w:rFonts w:ascii="Times New Roman" w:hAnsi="Times New Roman" w:cs="Times New Roman"/>
          <w:sz w:val="24"/>
          <w:szCs w:val="24"/>
        </w:rPr>
        <w:t xml:space="preserve"> </w:t>
      </w:r>
      <w:r w:rsidR="0061125D" w:rsidRPr="009935E0">
        <w:rPr>
          <w:rFonts w:ascii="Times New Roman" w:hAnsi="Times New Roman" w:cs="Times New Roman"/>
          <w:sz w:val="24"/>
          <w:szCs w:val="24"/>
        </w:rPr>
        <w:t>„reemitowanie”</w:t>
      </w:r>
      <w:r w:rsidRPr="009935E0">
        <w:rPr>
          <w:rFonts w:ascii="Times New Roman" w:hAnsi="Times New Roman" w:cs="Times New Roman"/>
          <w:sz w:val="24"/>
          <w:szCs w:val="24"/>
        </w:rPr>
        <w:t xml:space="preserve"> </w:t>
      </w:r>
      <w:r w:rsidR="0061125D" w:rsidRPr="009935E0">
        <w:rPr>
          <w:rFonts w:ascii="Times New Roman" w:hAnsi="Times New Roman" w:cs="Times New Roman"/>
          <w:sz w:val="24"/>
          <w:szCs w:val="24"/>
        </w:rPr>
        <w:t>utworu rozumie się, zgodnie z</w:t>
      </w:r>
      <w:r w:rsidRPr="009935E0">
        <w:rPr>
          <w:rFonts w:ascii="Times New Roman" w:hAnsi="Times New Roman" w:cs="Times New Roman"/>
          <w:sz w:val="24"/>
          <w:szCs w:val="24"/>
        </w:rPr>
        <w:t xml:space="preserve"> art. 6 ust. 1 pkt 5 usta</w:t>
      </w:r>
      <w:r w:rsidR="0061125D" w:rsidRPr="009935E0">
        <w:rPr>
          <w:rFonts w:ascii="Times New Roman" w:hAnsi="Times New Roman" w:cs="Times New Roman"/>
          <w:sz w:val="24"/>
          <w:szCs w:val="24"/>
        </w:rPr>
        <w:t>wy o prawie autorskim „jego</w:t>
      </w:r>
      <w:r w:rsidRPr="009935E0">
        <w:rPr>
          <w:rFonts w:ascii="Times New Roman" w:hAnsi="Times New Roman" w:cs="Times New Roman"/>
          <w:sz w:val="24"/>
          <w:szCs w:val="24"/>
        </w:rPr>
        <w:t xml:space="preserve"> rozpowszechnianie przez inny podmiot niż pierwotnie nadający, drogą przejmowania w całości i bez zmian programu organizacji radiowej lub telewizyjnej oraz równoczesnego i integralnego przekazywania tego programu do powszechnego odbioru”</w:t>
      </w:r>
      <w:r w:rsidR="006F56B5" w:rsidRPr="009935E0">
        <w:rPr>
          <w:rFonts w:ascii="Times New Roman" w:hAnsi="Times New Roman" w:cs="Times New Roman"/>
          <w:sz w:val="24"/>
          <w:szCs w:val="24"/>
        </w:rPr>
        <w:t xml:space="preserve">. </w:t>
      </w:r>
      <w:r w:rsidR="0061125D" w:rsidRPr="009935E0">
        <w:rPr>
          <w:rFonts w:ascii="Times New Roman" w:hAnsi="Times New Roman" w:cs="Times New Roman"/>
          <w:sz w:val="24"/>
          <w:szCs w:val="24"/>
        </w:rPr>
        <w:t>Zatem j</w:t>
      </w:r>
      <w:r w:rsidR="00612BC4" w:rsidRPr="009935E0">
        <w:rPr>
          <w:rFonts w:ascii="Times New Roman" w:hAnsi="Times New Roman" w:cs="Times New Roman"/>
          <w:sz w:val="24"/>
          <w:szCs w:val="24"/>
        </w:rPr>
        <w:t>uż obecnie obowiązująca d</w:t>
      </w:r>
      <w:r w:rsidR="006F56B5" w:rsidRPr="009935E0">
        <w:rPr>
          <w:rFonts w:ascii="Times New Roman" w:hAnsi="Times New Roman" w:cs="Times New Roman"/>
          <w:sz w:val="24"/>
          <w:szCs w:val="24"/>
        </w:rPr>
        <w:t xml:space="preserve">efinicja </w:t>
      </w:r>
      <w:r w:rsidR="00612BC4" w:rsidRPr="009935E0">
        <w:rPr>
          <w:rFonts w:ascii="Times New Roman" w:hAnsi="Times New Roman" w:cs="Times New Roman"/>
          <w:sz w:val="24"/>
          <w:szCs w:val="24"/>
        </w:rPr>
        <w:t>„</w:t>
      </w:r>
      <w:r w:rsidR="006F56B5" w:rsidRPr="009935E0">
        <w:rPr>
          <w:rFonts w:ascii="Times New Roman" w:hAnsi="Times New Roman" w:cs="Times New Roman"/>
          <w:sz w:val="24"/>
          <w:szCs w:val="24"/>
        </w:rPr>
        <w:t>reemi</w:t>
      </w:r>
      <w:r w:rsidR="00612BC4" w:rsidRPr="009935E0">
        <w:rPr>
          <w:rFonts w:ascii="Times New Roman" w:hAnsi="Times New Roman" w:cs="Times New Roman"/>
          <w:sz w:val="24"/>
          <w:szCs w:val="24"/>
        </w:rPr>
        <w:t xml:space="preserve">towania” jest technologicznie neutralna. W ślad za dyrektywą projektodawca doprecyzowuje jednak, że </w:t>
      </w:r>
      <w:r w:rsidR="00287BB6" w:rsidRPr="009935E0">
        <w:rPr>
          <w:rFonts w:ascii="Times New Roman" w:hAnsi="Times New Roman" w:cs="Times New Roman"/>
          <w:sz w:val="24"/>
          <w:szCs w:val="24"/>
        </w:rPr>
        <w:t>dla zaistnienia reemitowania sygnał może pochodzić także od podmiotu „pod którego kontrolą i na którego odpowiedzialność takie pierwotne nada</w:t>
      </w:r>
      <w:r w:rsidR="006874C8" w:rsidRPr="009935E0">
        <w:rPr>
          <w:rFonts w:ascii="Times New Roman" w:hAnsi="Times New Roman" w:cs="Times New Roman"/>
          <w:sz w:val="24"/>
          <w:szCs w:val="24"/>
        </w:rPr>
        <w:t>wa</w:t>
      </w:r>
      <w:r w:rsidR="00287BB6" w:rsidRPr="009935E0">
        <w:rPr>
          <w:rFonts w:ascii="Times New Roman" w:hAnsi="Times New Roman" w:cs="Times New Roman"/>
          <w:sz w:val="24"/>
          <w:szCs w:val="24"/>
        </w:rPr>
        <w:t xml:space="preserve">nie </w:t>
      </w:r>
      <w:r w:rsidR="006874C8" w:rsidRPr="009935E0">
        <w:rPr>
          <w:rFonts w:ascii="Times New Roman" w:hAnsi="Times New Roman" w:cs="Times New Roman"/>
          <w:sz w:val="24"/>
          <w:szCs w:val="24"/>
        </w:rPr>
        <w:t xml:space="preserve">jest </w:t>
      </w:r>
      <w:r w:rsidR="00287BB6" w:rsidRPr="009935E0">
        <w:rPr>
          <w:rFonts w:ascii="Times New Roman" w:hAnsi="Times New Roman" w:cs="Times New Roman"/>
          <w:sz w:val="24"/>
          <w:szCs w:val="24"/>
        </w:rPr>
        <w:t>prowadzone”. Wyraźnie przesądza się też, że reemitowanie powstanie „</w:t>
      </w:r>
      <w:r w:rsidR="00A75297" w:rsidRPr="009935E0">
        <w:rPr>
          <w:rFonts w:ascii="Times New Roman" w:hAnsi="Times New Roman" w:cs="Times New Roman"/>
          <w:sz w:val="24"/>
          <w:szCs w:val="24"/>
        </w:rPr>
        <w:t xml:space="preserve">niezależnie od sposobu w jaki </w:t>
      </w:r>
      <w:proofErr w:type="spellStart"/>
      <w:r w:rsidR="00A75297" w:rsidRPr="009935E0">
        <w:rPr>
          <w:rFonts w:ascii="Times New Roman" w:hAnsi="Times New Roman" w:cs="Times New Roman"/>
          <w:sz w:val="24"/>
          <w:szCs w:val="24"/>
        </w:rPr>
        <w:t>reemitent</w:t>
      </w:r>
      <w:proofErr w:type="spellEnd"/>
      <w:r w:rsidR="00A75297" w:rsidRPr="009935E0">
        <w:rPr>
          <w:rFonts w:ascii="Times New Roman" w:hAnsi="Times New Roman" w:cs="Times New Roman"/>
          <w:sz w:val="24"/>
          <w:szCs w:val="24"/>
        </w:rPr>
        <w:t xml:space="preserve"> otrzymuje </w:t>
      </w:r>
      <w:r w:rsidR="009A320C" w:rsidRPr="009935E0">
        <w:rPr>
          <w:rFonts w:ascii="Times New Roman" w:hAnsi="Times New Roman" w:cs="Times New Roman"/>
          <w:sz w:val="24"/>
          <w:szCs w:val="24"/>
        </w:rPr>
        <w:t>sygnał umożliwiający mu reemitowanie</w:t>
      </w:r>
      <w:r w:rsidR="00A75297" w:rsidRPr="009935E0">
        <w:rPr>
          <w:rFonts w:ascii="Times New Roman" w:hAnsi="Times New Roman" w:cs="Times New Roman"/>
          <w:sz w:val="24"/>
          <w:szCs w:val="24"/>
        </w:rPr>
        <w:t>, w tym programu nadawanego drogą</w:t>
      </w:r>
      <w:r w:rsidR="002529C8" w:rsidRPr="009935E0">
        <w:rPr>
          <w:rFonts w:ascii="Times New Roman" w:hAnsi="Times New Roman" w:cs="Times New Roman"/>
          <w:sz w:val="24"/>
          <w:szCs w:val="24"/>
        </w:rPr>
        <w:t xml:space="preserve"> wprowadzeni</w:t>
      </w:r>
      <w:r w:rsidR="00A75297" w:rsidRPr="009935E0">
        <w:rPr>
          <w:rFonts w:ascii="Times New Roman" w:hAnsi="Times New Roman" w:cs="Times New Roman"/>
          <w:sz w:val="24"/>
          <w:szCs w:val="24"/>
        </w:rPr>
        <w:t>a</w:t>
      </w:r>
      <w:r w:rsidR="002529C8" w:rsidRPr="009935E0">
        <w:rPr>
          <w:rFonts w:ascii="Times New Roman" w:hAnsi="Times New Roman" w:cs="Times New Roman"/>
          <w:sz w:val="24"/>
          <w:szCs w:val="24"/>
        </w:rPr>
        <w:t xml:space="preserve"> bezpośrednie</w:t>
      </w:r>
      <w:r w:rsidR="00A75297" w:rsidRPr="009935E0">
        <w:rPr>
          <w:rFonts w:ascii="Times New Roman" w:hAnsi="Times New Roman" w:cs="Times New Roman"/>
          <w:sz w:val="24"/>
          <w:szCs w:val="24"/>
        </w:rPr>
        <w:t>go”</w:t>
      </w:r>
      <w:r w:rsidR="00565CF4" w:rsidRPr="009935E0">
        <w:rPr>
          <w:rFonts w:ascii="Times New Roman" w:hAnsi="Times New Roman" w:cs="Times New Roman"/>
          <w:sz w:val="24"/>
          <w:szCs w:val="24"/>
        </w:rPr>
        <w:t xml:space="preserve">. </w:t>
      </w:r>
      <w:r w:rsidR="00287BB6" w:rsidRPr="009935E0">
        <w:rPr>
          <w:rFonts w:ascii="Times New Roman" w:hAnsi="Times New Roman" w:cs="Times New Roman"/>
          <w:sz w:val="24"/>
          <w:szCs w:val="24"/>
        </w:rPr>
        <w:t>Ostatni element</w:t>
      </w:r>
      <w:r w:rsidR="00565CF4" w:rsidRPr="009935E0">
        <w:rPr>
          <w:rFonts w:ascii="Times New Roman" w:hAnsi="Times New Roman" w:cs="Times New Roman"/>
          <w:sz w:val="24"/>
          <w:szCs w:val="24"/>
        </w:rPr>
        <w:t xml:space="preserve"> tej definicji dotyczy implementacji przepisów dyrektywy </w:t>
      </w:r>
      <w:r w:rsidR="0064520E" w:rsidRPr="009935E0">
        <w:rPr>
          <w:rFonts w:ascii="Times New Roman" w:hAnsi="Times New Roman" w:cs="Times New Roman"/>
          <w:sz w:val="24"/>
          <w:szCs w:val="24"/>
        </w:rPr>
        <w:t xml:space="preserve">SATCAB II </w:t>
      </w:r>
      <w:r w:rsidR="00565CF4" w:rsidRPr="009935E0">
        <w:rPr>
          <w:rFonts w:ascii="Times New Roman" w:hAnsi="Times New Roman" w:cs="Times New Roman"/>
          <w:sz w:val="24"/>
          <w:szCs w:val="24"/>
        </w:rPr>
        <w:t>o wprowadzeniu bezpośrednim, o czym niż</w:t>
      </w:r>
      <w:r w:rsidR="009A320C" w:rsidRPr="009935E0">
        <w:rPr>
          <w:rFonts w:ascii="Times New Roman" w:hAnsi="Times New Roman" w:cs="Times New Roman"/>
          <w:sz w:val="24"/>
          <w:szCs w:val="24"/>
        </w:rPr>
        <w:t>ej.</w:t>
      </w:r>
    </w:p>
    <w:p w14:paraId="5D510F15" w14:textId="77777777" w:rsidR="004E24CA" w:rsidRPr="009935E0" w:rsidRDefault="00565CF4" w:rsidP="00483092">
      <w:pPr>
        <w:pStyle w:val="Akapitzlist"/>
        <w:numPr>
          <w:ilvl w:val="0"/>
          <w:numId w:val="3"/>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Wprowadzenie bezpośrednie („</w:t>
      </w:r>
      <w:proofErr w:type="spellStart"/>
      <w:r w:rsidRPr="009935E0">
        <w:rPr>
          <w:rFonts w:ascii="Times New Roman" w:hAnsi="Times New Roman" w:cs="Times New Roman"/>
          <w:b/>
          <w:sz w:val="24"/>
          <w:szCs w:val="24"/>
        </w:rPr>
        <w:t>direct</w:t>
      </w:r>
      <w:proofErr w:type="spellEnd"/>
      <w:r w:rsidRPr="009935E0">
        <w:rPr>
          <w:rFonts w:ascii="Times New Roman" w:hAnsi="Times New Roman" w:cs="Times New Roman"/>
          <w:b/>
          <w:sz w:val="24"/>
          <w:szCs w:val="24"/>
        </w:rPr>
        <w:t xml:space="preserve"> </w:t>
      </w:r>
      <w:proofErr w:type="spellStart"/>
      <w:r w:rsidRPr="009935E0">
        <w:rPr>
          <w:rFonts w:ascii="Times New Roman" w:hAnsi="Times New Roman" w:cs="Times New Roman"/>
          <w:b/>
          <w:sz w:val="24"/>
          <w:szCs w:val="24"/>
        </w:rPr>
        <w:t>injection</w:t>
      </w:r>
      <w:proofErr w:type="spellEnd"/>
      <w:r w:rsidRPr="009935E0">
        <w:rPr>
          <w:rFonts w:ascii="Times New Roman" w:hAnsi="Times New Roman" w:cs="Times New Roman"/>
          <w:b/>
          <w:sz w:val="24"/>
          <w:szCs w:val="24"/>
        </w:rPr>
        <w:t>”</w:t>
      </w:r>
      <w:r w:rsidR="00315F85" w:rsidRPr="009935E0">
        <w:rPr>
          <w:rFonts w:ascii="Times New Roman" w:hAnsi="Times New Roman" w:cs="Times New Roman"/>
          <w:b/>
          <w:sz w:val="24"/>
          <w:szCs w:val="24"/>
        </w:rPr>
        <w:t xml:space="preserve">, art. </w:t>
      </w:r>
      <w:r w:rsidR="00912AD3" w:rsidRPr="009935E0">
        <w:rPr>
          <w:rFonts w:ascii="Times New Roman" w:hAnsi="Times New Roman" w:cs="Times New Roman"/>
          <w:b/>
          <w:sz w:val="24"/>
          <w:szCs w:val="24"/>
        </w:rPr>
        <w:t>2 pkt 4</w:t>
      </w:r>
      <w:r w:rsidR="00287BB6" w:rsidRPr="009935E0">
        <w:rPr>
          <w:rFonts w:ascii="Times New Roman" w:hAnsi="Times New Roman" w:cs="Times New Roman"/>
          <w:b/>
          <w:sz w:val="24"/>
          <w:szCs w:val="24"/>
        </w:rPr>
        <w:t>,</w:t>
      </w:r>
      <w:r w:rsidR="00912AD3" w:rsidRPr="009935E0">
        <w:rPr>
          <w:rFonts w:ascii="Times New Roman" w:hAnsi="Times New Roman" w:cs="Times New Roman"/>
          <w:b/>
          <w:sz w:val="24"/>
          <w:szCs w:val="24"/>
        </w:rPr>
        <w:t xml:space="preserve"> art. </w:t>
      </w:r>
      <w:r w:rsidR="00315F85" w:rsidRPr="009935E0">
        <w:rPr>
          <w:rFonts w:ascii="Times New Roman" w:hAnsi="Times New Roman" w:cs="Times New Roman"/>
          <w:b/>
          <w:sz w:val="24"/>
          <w:szCs w:val="24"/>
        </w:rPr>
        <w:t>8 i 11 zdanie drugie dyrektywy</w:t>
      </w:r>
      <w:r w:rsidRPr="009935E0">
        <w:rPr>
          <w:rFonts w:ascii="Times New Roman" w:hAnsi="Times New Roman" w:cs="Times New Roman"/>
          <w:b/>
          <w:sz w:val="24"/>
          <w:szCs w:val="24"/>
        </w:rPr>
        <w:t>)</w:t>
      </w:r>
    </w:p>
    <w:p w14:paraId="1D5DB8D2" w14:textId="28547506" w:rsidR="00912AD3" w:rsidRPr="009935E0" w:rsidRDefault="00912AD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Celem art. 8 dyrektywy SATCAB II jest harmonizacja zasad stosowanych w sytuacji, w której nadawca programu telewizyjnego lub radiowego rozpowszechnia swój program wyłącznie za pośrednictwem innych podmiotów (według dyrektywy: „dystrybutorów sygnału”). Taki sposób rozpowszechniania programu </w:t>
      </w:r>
      <w:r w:rsidR="0064520E" w:rsidRPr="009935E0">
        <w:rPr>
          <w:rFonts w:ascii="Times New Roman" w:hAnsi="Times New Roman" w:cs="Times New Roman"/>
          <w:sz w:val="24"/>
          <w:szCs w:val="24"/>
        </w:rPr>
        <w:t xml:space="preserve">radiowego lub telewizyjnego </w:t>
      </w:r>
      <w:r w:rsidRPr="009935E0">
        <w:rPr>
          <w:rFonts w:ascii="Times New Roman" w:hAnsi="Times New Roman" w:cs="Times New Roman"/>
          <w:sz w:val="24"/>
          <w:szCs w:val="24"/>
        </w:rPr>
        <w:t xml:space="preserve">unijny prawodawca określa mianem „wprowadzania bezpośredniego” (ang. </w:t>
      </w:r>
      <w:r w:rsidRPr="009935E0">
        <w:rPr>
          <w:rFonts w:ascii="Times New Roman" w:hAnsi="Times New Roman" w:cs="Times New Roman"/>
          <w:i/>
          <w:sz w:val="24"/>
          <w:szCs w:val="24"/>
        </w:rPr>
        <w:t>„</w:t>
      </w:r>
      <w:proofErr w:type="spellStart"/>
      <w:r w:rsidRPr="009935E0">
        <w:rPr>
          <w:rFonts w:ascii="Times New Roman" w:hAnsi="Times New Roman" w:cs="Times New Roman"/>
          <w:i/>
          <w:sz w:val="24"/>
          <w:szCs w:val="24"/>
        </w:rPr>
        <w:t>direct</w:t>
      </w:r>
      <w:proofErr w:type="spellEnd"/>
      <w:r w:rsidRPr="009935E0">
        <w:rPr>
          <w:rFonts w:ascii="Times New Roman" w:hAnsi="Times New Roman" w:cs="Times New Roman"/>
          <w:i/>
          <w:sz w:val="24"/>
          <w:szCs w:val="24"/>
        </w:rPr>
        <w:t xml:space="preserve"> </w:t>
      </w:r>
      <w:proofErr w:type="spellStart"/>
      <w:r w:rsidRPr="009935E0">
        <w:rPr>
          <w:rFonts w:ascii="Times New Roman" w:hAnsi="Times New Roman" w:cs="Times New Roman"/>
          <w:i/>
          <w:sz w:val="24"/>
          <w:szCs w:val="24"/>
        </w:rPr>
        <w:t>injection</w:t>
      </w:r>
      <w:proofErr w:type="spellEnd"/>
      <w:r w:rsidRPr="009935E0">
        <w:rPr>
          <w:rFonts w:ascii="Times New Roman" w:hAnsi="Times New Roman" w:cs="Times New Roman"/>
          <w:i/>
          <w:sz w:val="24"/>
          <w:szCs w:val="24"/>
        </w:rPr>
        <w:t>”</w:t>
      </w:r>
      <w:r w:rsidRPr="009935E0">
        <w:rPr>
          <w:rFonts w:ascii="Times New Roman" w:hAnsi="Times New Roman" w:cs="Times New Roman"/>
          <w:sz w:val="24"/>
          <w:szCs w:val="24"/>
        </w:rPr>
        <w:t xml:space="preserve">). </w:t>
      </w:r>
      <w:r w:rsidR="00B51101" w:rsidRPr="009935E0">
        <w:rPr>
          <w:rFonts w:ascii="Times New Roman" w:hAnsi="Times New Roman" w:cs="Times New Roman"/>
          <w:sz w:val="24"/>
          <w:szCs w:val="24"/>
        </w:rPr>
        <w:t>Z</w:t>
      </w:r>
      <w:r w:rsidRPr="009935E0">
        <w:rPr>
          <w:rFonts w:ascii="Times New Roman" w:hAnsi="Times New Roman" w:cs="Times New Roman"/>
          <w:sz w:val="24"/>
          <w:szCs w:val="24"/>
        </w:rPr>
        <w:t xml:space="preserve">definiowano </w:t>
      </w:r>
      <w:r w:rsidR="00B51101" w:rsidRPr="009935E0">
        <w:rPr>
          <w:rFonts w:ascii="Times New Roman" w:hAnsi="Times New Roman" w:cs="Times New Roman"/>
          <w:sz w:val="24"/>
          <w:szCs w:val="24"/>
        </w:rPr>
        <w:t xml:space="preserve">je </w:t>
      </w:r>
      <w:r w:rsidRPr="009935E0">
        <w:rPr>
          <w:rFonts w:ascii="Times New Roman" w:hAnsi="Times New Roman" w:cs="Times New Roman"/>
          <w:sz w:val="24"/>
          <w:szCs w:val="24"/>
        </w:rPr>
        <w:t>w art. 2 pkt 4 dyrektywy</w:t>
      </w:r>
      <w:r w:rsidR="00B51101"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jako </w:t>
      </w:r>
      <w:r w:rsidR="00B51101" w:rsidRPr="009935E0">
        <w:rPr>
          <w:rFonts w:ascii="Times New Roman" w:hAnsi="Times New Roman" w:cs="Times New Roman"/>
          <w:sz w:val="24"/>
          <w:szCs w:val="24"/>
        </w:rPr>
        <w:t>„</w:t>
      </w:r>
      <w:r w:rsidRPr="009935E0">
        <w:rPr>
          <w:rFonts w:ascii="Times New Roman" w:hAnsi="Times New Roman" w:cs="Times New Roman"/>
          <w:sz w:val="24"/>
          <w:szCs w:val="24"/>
        </w:rPr>
        <w:t xml:space="preserve">proces techniczny, za pomocą którego organizacja radiowa lub telewizyjna przesyła swój sygnał będący nośnikiem programu organizacji innej niż organizacja radiowa </w:t>
      </w:r>
      <w:r w:rsidR="00B85E36" w:rsidRPr="009935E0">
        <w:rPr>
          <w:rFonts w:ascii="Times New Roman" w:hAnsi="Times New Roman" w:cs="Times New Roman"/>
          <w:sz w:val="24"/>
          <w:szCs w:val="24"/>
        </w:rPr>
        <w:t>lub telewizyjna w taki sposób, ż</w:t>
      </w:r>
      <w:r w:rsidRPr="009935E0">
        <w:rPr>
          <w:rFonts w:ascii="Times New Roman" w:hAnsi="Times New Roman" w:cs="Times New Roman"/>
          <w:sz w:val="24"/>
          <w:szCs w:val="24"/>
        </w:rPr>
        <w:t xml:space="preserve">e sygnał ten nie jest publicznie dostępny w trakcie tego </w:t>
      </w:r>
      <w:proofErr w:type="spellStart"/>
      <w:r w:rsidRPr="009935E0">
        <w:rPr>
          <w:rFonts w:ascii="Times New Roman" w:hAnsi="Times New Roman" w:cs="Times New Roman"/>
          <w:sz w:val="24"/>
          <w:szCs w:val="24"/>
        </w:rPr>
        <w:t>przesyłu</w:t>
      </w:r>
      <w:proofErr w:type="spellEnd"/>
      <w:r w:rsidR="006D6FA5" w:rsidRPr="009935E0">
        <w:rPr>
          <w:rFonts w:ascii="Times New Roman" w:hAnsi="Times New Roman" w:cs="Times New Roman"/>
          <w:sz w:val="24"/>
          <w:szCs w:val="24"/>
        </w:rPr>
        <w:t>”</w:t>
      </w:r>
      <w:r w:rsidR="00437603" w:rsidRPr="009935E0">
        <w:rPr>
          <w:rFonts w:ascii="Times New Roman" w:hAnsi="Times New Roman" w:cs="Times New Roman"/>
          <w:sz w:val="24"/>
          <w:szCs w:val="24"/>
        </w:rPr>
        <w:t>.</w:t>
      </w:r>
    </w:p>
    <w:p w14:paraId="119D7584" w14:textId="3CC29599" w:rsidR="00912AD3" w:rsidRPr="009935E0" w:rsidRDefault="00912AD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„Dystrybutor sygnału” – o ile nie świadczy jedynie „usług technicznych”</w:t>
      </w:r>
      <w:r w:rsidR="00B85E36"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w rozumieniu orzecznictwa TSUE </w:t>
      </w:r>
      <w:r w:rsidR="00B85E36" w:rsidRPr="009935E0">
        <w:rPr>
          <w:rFonts w:ascii="Times New Roman" w:hAnsi="Times New Roman" w:cs="Times New Roman"/>
          <w:sz w:val="24"/>
          <w:szCs w:val="24"/>
        </w:rPr>
        <w:t>(motyw 20</w:t>
      </w:r>
      <w:r w:rsidR="00CC3CF1" w:rsidRPr="009935E0">
        <w:rPr>
          <w:rFonts w:ascii="Times New Roman" w:hAnsi="Times New Roman" w:cs="Times New Roman"/>
          <w:sz w:val="24"/>
          <w:szCs w:val="24"/>
        </w:rPr>
        <w:t xml:space="preserve"> dyrektywy SATCAB II</w:t>
      </w:r>
      <w:r w:rsidR="00B85E36" w:rsidRPr="009935E0">
        <w:rPr>
          <w:rFonts w:ascii="Times New Roman" w:hAnsi="Times New Roman" w:cs="Times New Roman"/>
          <w:sz w:val="24"/>
          <w:szCs w:val="24"/>
        </w:rPr>
        <w:t>)</w:t>
      </w:r>
      <w:r w:rsidR="0029509C" w:rsidRPr="009935E0">
        <w:rPr>
          <w:rFonts w:ascii="Times New Roman" w:hAnsi="Times New Roman" w:cs="Times New Roman"/>
          <w:sz w:val="24"/>
          <w:szCs w:val="24"/>
        </w:rPr>
        <w:t>,</w:t>
      </w:r>
      <w:r w:rsidR="00B85E36"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przejmuje program otrzymany bezpośrednio od nadawcy (nie dokonuje zatem „przechwycenia” sygnału już dostępnego publicznie) i udostępnia go swoim abonentom za wynagrodzeniem. </w:t>
      </w:r>
      <w:r w:rsidR="00FD08AE" w:rsidRPr="009935E0">
        <w:rPr>
          <w:rFonts w:ascii="Times New Roman" w:hAnsi="Times New Roman" w:cs="Times New Roman"/>
          <w:sz w:val="24"/>
          <w:szCs w:val="24"/>
        </w:rPr>
        <w:t>Funkcjonalnie j</w:t>
      </w:r>
      <w:r w:rsidRPr="009935E0">
        <w:rPr>
          <w:rFonts w:ascii="Times New Roman" w:hAnsi="Times New Roman" w:cs="Times New Roman"/>
          <w:sz w:val="24"/>
          <w:szCs w:val="24"/>
        </w:rPr>
        <w:t xml:space="preserve">ego działalność jest zatem równoznaczna z reemitowaniem programów. Porządkując kwestie eksploatacji dokonywanej w takim przypadku przez nadawcę i „dystrybutora sygnału” dyrektywa </w:t>
      </w:r>
      <w:r w:rsidR="004758BB"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potwierdza dotychczasową praktykę, zgodnie z którą każdy z tych podmiotów zawiera odrębną umowę</w:t>
      </w:r>
      <w:r w:rsidR="00FD08AE" w:rsidRPr="009935E0">
        <w:rPr>
          <w:rFonts w:ascii="Times New Roman" w:hAnsi="Times New Roman" w:cs="Times New Roman"/>
          <w:sz w:val="24"/>
          <w:szCs w:val="24"/>
        </w:rPr>
        <w:t xml:space="preserve"> licencyjną</w:t>
      </w:r>
      <w:r w:rsidRPr="009935E0">
        <w:rPr>
          <w:rFonts w:ascii="Times New Roman" w:hAnsi="Times New Roman" w:cs="Times New Roman"/>
          <w:sz w:val="24"/>
          <w:szCs w:val="24"/>
        </w:rPr>
        <w:t xml:space="preserve">, odpowiednio w zakresie nadawania i </w:t>
      </w:r>
      <w:r w:rsidRPr="009935E0">
        <w:rPr>
          <w:rFonts w:ascii="Times New Roman" w:hAnsi="Times New Roman" w:cs="Times New Roman"/>
          <w:sz w:val="24"/>
          <w:szCs w:val="24"/>
        </w:rPr>
        <w:lastRenderedPageBreak/>
        <w:t xml:space="preserve">reemitowania. Jak wynika z art. 8 ust. 1 </w:t>
      </w:r>
      <w:r w:rsidR="00B85E36" w:rsidRPr="009935E0">
        <w:rPr>
          <w:rFonts w:ascii="Times New Roman" w:hAnsi="Times New Roman" w:cs="Times New Roman"/>
          <w:sz w:val="24"/>
          <w:szCs w:val="24"/>
        </w:rPr>
        <w:t xml:space="preserve">dyrektywy </w:t>
      </w:r>
      <w:r w:rsidR="004758BB" w:rsidRPr="009935E0">
        <w:rPr>
          <w:rFonts w:ascii="Times New Roman" w:hAnsi="Times New Roman" w:cs="Times New Roman"/>
          <w:sz w:val="24"/>
          <w:szCs w:val="24"/>
        </w:rPr>
        <w:t>SATCAB II</w:t>
      </w:r>
      <w:r w:rsidR="00D76A77">
        <w:rPr>
          <w:rFonts w:ascii="Times New Roman" w:hAnsi="Times New Roman" w:cs="Times New Roman"/>
          <w:sz w:val="24"/>
          <w:szCs w:val="24"/>
        </w:rPr>
        <w:t>,</w:t>
      </w:r>
      <w:r w:rsidR="004758BB" w:rsidRPr="009935E0">
        <w:rPr>
          <w:rFonts w:ascii="Times New Roman" w:hAnsi="Times New Roman" w:cs="Times New Roman"/>
          <w:sz w:val="24"/>
          <w:szCs w:val="24"/>
        </w:rPr>
        <w:t xml:space="preserve"> </w:t>
      </w:r>
      <w:r w:rsidRPr="009935E0">
        <w:rPr>
          <w:rFonts w:ascii="Times New Roman" w:hAnsi="Times New Roman" w:cs="Times New Roman"/>
          <w:sz w:val="24"/>
          <w:szCs w:val="24"/>
        </w:rPr>
        <w:t>„organizację radiową lub telewizyjną i dystrybutora sygnału uznaje się za uczestniczących w pojedynczej czynności publicznego komunikowania, w odniesieniu do której wymagane jest uzyskanie przez tę organizację i tego dystrybutora zezwolenia podmiotów uprawnionych”. Chodzi przy tym o czynność publicznego komunikowania w rozumieniu art. 3 ust. 1 dyrektywy 2001/29/WE oraz art. 8 dyrektywy 2006/115/WE, którą na gruncie prawa U</w:t>
      </w:r>
      <w:r w:rsidR="00A94C99" w:rsidRPr="009935E0">
        <w:rPr>
          <w:rFonts w:ascii="Times New Roman" w:hAnsi="Times New Roman" w:cs="Times New Roman"/>
          <w:sz w:val="24"/>
          <w:szCs w:val="24"/>
        </w:rPr>
        <w:t xml:space="preserve">nii </w:t>
      </w:r>
      <w:r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Pr="009935E0">
        <w:rPr>
          <w:rFonts w:ascii="Times New Roman" w:hAnsi="Times New Roman" w:cs="Times New Roman"/>
          <w:sz w:val="24"/>
          <w:szCs w:val="24"/>
        </w:rPr>
        <w:t xml:space="preserve"> należy rozumieć jako obejmującą „każde udostępnianie utworu odbiorcom nieznajdującym się w miejscu, z którego przekazywanie pochodzi”, czyli „każdą publiczną transmisję lub retransmisję utworów, drogą przewodową lub bezprzewodową, w tym nadawanie programów” (motyw 23 preambuły dyrektywy 2001/29/WE). Stosując siatkę pojęciową z polskiej ustawy </w:t>
      </w:r>
      <w:r w:rsidR="00443F9D" w:rsidRPr="009935E0">
        <w:rPr>
          <w:rFonts w:ascii="Times New Roman" w:hAnsi="Times New Roman" w:cs="Times New Roman"/>
          <w:sz w:val="24"/>
          <w:szCs w:val="24"/>
        </w:rPr>
        <w:t>o prawie autorskim</w:t>
      </w:r>
      <w:r w:rsidR="000F7596">
        <w:rPr>
          <w:rFonts w:ascii="Times New Roman" w:hAnsi="Times New Roman" w:cs="Times New Roman"/>
          <w:sz w:val="24"/>
          <w:szCs w:val="24"/>
        </w:rPr>
        <w:t>,</w:t>
      </w:r>
      <w:r w:rsidR="00443F9D"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czynność ta jest najbardziej zbliżona do zbiorczego pojęcia </w:t>
      </w:r>
      <w:r w:rsidR="00443F9D" w:rsidRPr="009935E0">
        <w:rPr>
          <w:rFonts w:ascii="Times New Roman" w:hAnsi="Times New Roman" w:cs="Times New Roman"/>
          <w:sz w:val="24"/>
          <w:szCs w:val="24"/>
        </w:rPr>
        <w:t>„</w:t>
      </w:r>
      <w:r w:rsidRPr="009935E0">
        <w:rPr>
          <w:rFonts w:ascii="Times New Roman" w:hAnsi="Times New Roman" w:cs="Times New Roman"/>
          <w:sz w:val="24"/>
          <w:szCs w:val="24"/>
        </w:rPr>
        <w:t>rozpowszechniania</w:t>
      </w:r>
      <w:r w:rsidR="00443F9D" w:rsidRPr="009935E0">
        <w:rPr>
          <w:rFonts w:ascii="Times New Roman" w:hAnsi="Times New Roman" w:cs="Times New Roman"/>
          <w:sz w:val="24"/>
          <w:szCs w:val="24"/>
        </w:rPr>
        <w:t>”</w:t>
      </w:r>
      <w:r w:rsidRPr="009935E0">
        <w:rPr>
          <w:rFonts w:ascii="Times New Roman" w:hAnsi="Times New Roman" w:cs="Times New Roman"/>
          <w:sz w:val="24"/>
          <w:szCs w:val="24"/>
        </w:rPr>
        <w:t xml:space="preserve"> utworu w inny sposób niż przez obrót </w:t>
      </w:r>
      <w:r w:rsidR="00443F9D" w:rsidRPr="009935E0">
        <w:rPr>
          <w:rFonts w:ascii="Times New Roman" w:hAnsi="Times New Roman" w:cs="Times New Roman"/>
          <w:sz w:val="24"/>
          <w:szCs w:val="24"/>
        </w:rPr>
        <w:t xml:space="preserve">jego </w:t>
      </w:r>
      <w:r w:rsidRPr="009935E0">
        <w:rPr>
          <w:rFonts w:ascii="Times New Roman" w:hAnsi="Times New Roman" w:cs="Times New Roman"/>
          <w:sz w:val="24"/>
          <w:szCs w:val="24"/>
        </w:rPr>
        <w:t>oryg</w:t>
      </w:r>
      <w:r w:rsidR="00443F9D" w:rsidRPr="009935E0">
        <w:rPr>
          <w:rFonts w:ascii="Times New Roman" w:hAnsi="Times New Roman" w:cs="Times New Roman"/>
          <w:sz w:val="24"/>
          <w:szCs w:val="24"/>
        </w:rPr>
        <w:t>inałem albo egzemplarzami</w:t>
      </w:r>
      <w:r w:rsidRPr="009935E0">
        <w:rPr>
          <w:rFonts w:ascii="Times New Roman" w:hAnsi="Times New Roman" w:cs="Times New Roman"/>
          <w:sz w:val="24"/>
          <w:szCs w:val="24"/>
        </w:rPr>
        <w:t>, w ramach którego również mieszczą się różne pola eksploatacji, m.in. właśnie nadawanie i reemitowanie (art. 50 pkt 3)</w:t>
      </w:r>
      <w:r w:rsidRPr="00483092">
        <w:rPr>
          <w:rFonts w:ascii="Times New Roman" w:hAnsi="Times New Roman" w:cs="Times New Roman"/>
          <w:sz w:val="24"/>
          <w:szCs w:val="24"/>
        </w:rPr>
        <w:t>.</w:t>
      </w:r>
      <w:r w:rsidRPr="009935E0">
        <w:rPr>
          <w:rStyle w:val="Odwoanieprzypisudolnego"/>
          <w:rFonts w:ascii="Times New Roman" w:hAnsi="Times New Roman" w:cs="Times New Roman"/>
          <w:sz w:val="24"/>
          <w:szCs w:val="24"/>
        </w:rPr>
        <w:footnoteReference w:id="16"/>
      </w:r>
      <w:r w:rsidR="00205E47" w:rsidRPr="00483092">
        <w:rPr>
          <w:rFonts w:ascii="Times New Roman" w:hAnsi="Times New Roman" w:cs="Times New Roman"/>
          <w:sz w:val="24"/>
          <w:szCs w:val="24"/>
          <w:vertAlign w:val="superscript"/>
        </w:rPr>
        <w:t>)</w:t>
      </w:r>
    </w:p>
    <w:p w14:paraId="60B1F23D" w14:textId="433BE515" w:rsidR="004E662B" w:rsidRPr="009935E0" w:rsidRDefault="0018739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aktualnym stanie prawnym „wprowadzenie bezpośrednie” nie jest uregulowane jako odrębne pole eksploatacji. Aktualna definicja p</w:t>
      </w:r>
      <w:r w:rsidR="00443F9D" w:rsidRPr="009935E0">
        <w:rPr>
          <w:rFonts w:ascii="Times New Roman" w:hAnsi="Times New Roman" w:cs="Times New Roman"/>
          <w:sz w:val="24"/>
          <w:szCs w:val="24"/>
        </w:rPr>
        <w:t>ola eksploatacji „reemitowanie”</w:t>
      </w:r>
      <w:r w:rsidRPr="009935E0">
        <w:rPr>
          <w:rFonts w:ascii="Times New Roman" w:hAnsi="Times New Roman" w:cs="Times New Roman"/>
          <w:sz w:val="24"/>
          <w:szCs w:val="24"/>
        </w:rPr>
        <w:t xml:space="preserve"> zawarta w art.</w:t>
      </w:r>
      <w:r w:rsidR="000F7596">
        <w:rPr>
          <w:rFonts w:ascii="Times New Roman" w:hAnsi="Times New Roman" w:cs="Times New Roman"/>
          <w:sz w:val="24"/>
          <w:szCs w:val="24"/>
        </w:rPr>
        <w:t> </w:t>
      </w:r>
      <w:r w:rsidRPr="009935E0">
        <w:rPr>
          <w:rFonts w:ascii="Times New Roman" w:hAnsi="Times New Roman" w:cs="Times New Roman"/>
          <w:sz w:val="24"/>
          <w:szCs w:val="24"/>
        </w:rPr>
        <w:t>6 ust. 1 pkt 5 ustawy o prawie autorskim</w:t>
      </w:r>
      <w:r w:rsidR="009E3F9E"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wymaga, aby </w:t>
      </w:r>
      <w:proofErr w:type="spellStart"/>
      <w:r w:rsidRPr="009935E0">
        <w:rPr>
          <w:rFonts w:ascii="Times New Roman" w:hAnsi="Times New Roman" w:cs="Times New Roman"/>
          <w:sz w:val="24"/>
          <w:szCs w:val="24"/>
        </w:rPr>
        <w:t>reemitowany</w:t>
      </w:r>
      <w:proofErr w:type="spellEnd"/>
      <w:r w:rsidR="000C7185" w:rsidRPr="009935E0">
        <w:rPr>
          <w:rFonts w:ascii="Times New Roman" w:hAnsi="Times New Roman" w:cs="Times New Roman"/>
          <w:sz w:val="24"/>
          <w:szCs w:val="24"/>
        </w:rPr>
        <w:t xml:space="preserve"> program</w:t>
      </w:r>
      <w:r w:rsidRPr="009935E0">
        <w:rPr>
          <w:rFonts w:ascii="Times New Roman" w:hAnsi="Times New Roman" w:cs="Times New Roman"/>
          <w:sz w:val="24"/>
          <w:szCs w:val="24"/>
        </w:rPr>
        <w:t xml:space="preserve"> był pierwotnie nadawany, a zgodnie z definicją „nadawania” zawartą w art. 6 ust. 1 pkt 4 tej ustawy – nadawaniem utworu jest jego „rozpowszechnianie drogą emisji radiowej lub telewizyjnej”.</w:t>
      </w:r>
      <w:r w:rsidR="00CB2519" w:rsidRPr="009935E0">
        <w:rPr>
          <w:rFonts w:ascii="Times New Roman" w:hAnsi="Times New Roman" w:cs="Times New Roman"/>
          <w:sz w:val="24"/>
          <w:szCs w:val="24"/>
        </w:rPr>
        <w:t xml:space="preserve"> W</w:t>
      </w:r>
      <w:r w:rsidR="000F7596">
        <w:rPr>
          <w:rFonts w:ascii="Times New Roman" w:hAnsi="Times New Roman" w:cs="Times New Roman"/>
          <w:sz w:val="24"/>
          <w:szCs w:val="24"/>
        </w:rPr>
        <w:t> </w:t>
      </w:r>
      <w:r w:rsidR="00CB2519" w:rsidRPr="009935E0">
        <w:rPr>
          <w:rFonts w:ascii="Times New Roman" w:hAnsi="Times New Roman" w:cs="Times New Roman"/>
          <w:sz w:val="24"/>
          <w:szCs w:val="24"/>
        </w:rPr>
        <w:t>przypadku „wprowadzenia bezpośredniego” organizacja radiowa lub telewizyjna nie nadaje zatem swojego programu (nie jest nadawcą), a jedynie przekazuje swój „sygnał będący nośnikiem programu” wybranemu użytkownikowi. Z kolei ten użytkownik nie</w:t>
      </w:r>
      <w:r w:rsidR="00443F9D" w:rsidRPr="009935E0">
        <w:rPr>
          <w:rFonts w:ascii="Times New Roman" w:hAnsi="Times New Roman" w:cs="Times New Roman"/>
          <w:sz w:val="24"/>
          <w:szCs w:val="24"/>
        </w:rPr>
        <w:t xml:space="preserve"> dokonuje reemitowania</w:t>
      </w:r>
      <w:r w:rsidR="00CB2519" w:rsidRPr="009935E0">
        <w:rPr>
          <w:rFonts w:ascii="Times New Roman" w:hAnsi="Times New Roman" w:cs="Times New Roman"/>
          <w:sz w:val="24"/>
          <w:szCs w:val="24"/>
        </w:rPr>
        <w:t xml:space="preserve"> (nie jest </w:t>
      </w:r>
      <w:proofErr w:type="spellStart"/>
      <w:r w:rsidR="00CB2519" w:rsidRPr="009935E0">
        <w:rPr>
          <w:rFonts w:ascii="Times New Roman" w:hAnsi="Times New Roman" w:cs="Times New Roman"/>
          <w:sz w:val="24"/>
          <w:szCs w:val="24"/>
        </w:rPr>
        <w:t>reemitentem</w:t>
      </w:r>
      <w:proofErr w:type="spellEnd"/>
      <w:r w:rsidR="00CB2519" w:rsidRPr="009935E0">
        <w:rPr>
          <w:rFonts w:ascii="Times New Roman" w:hAnsi="Times New Roman" w:cs="Times New Roman"/>
          <w:sz w:val="24"/>
          <w:szCs w:val="24"/>
        </w:rPr>
        <w:t>), ponieważ programy</w:t>
      </w:r>
      <w:r w:rsidR="00BA1278" w:rsidRPr="009935E0">
        <w:rPr>
          <w:rFonts w:ascii="Times New Roman" w:hAnsi="Times New Roman" w:cs="Times New Roman"/>
          <w:sz w:val="24"/>
          <w:szCs w:val="24"/>
        </w:rPr>
        <w:t>,</w:t>
      </w:r>
      <w:r w:rsidR="00CB2519" w:rsidRPr="009935E0">
        <w:rPr>
          <w:rFonts w:ascii="Times New Roman" w:hAnsi="Times New Roman" w:cs="Times New Roman"/>
          <w:sz w:val="24"/>
          <w:szCs w:val="24"/>
        </w:rPr>
        <w:t xml:space="preserve"> które</w:t>
      </w:r>
      <w:r w:rsidR="00303899" w:rsidRPr="009935E0">
        <w:rPr>
          <w:rFonts w:ascii="Times New Roman" w:hAnsi="Times New Roman" w:cs="Times New Roman"/>
          <w:sz w:val="24"/>
          <w:szCs w:val="24"/>
        </w:rPr>
        <w:t xml:space="preserve"> </w:t>
      </w:r>
      <w:r w:rsidR="00CB2519" w:rsidRPr="009935E0">
        <w:rPr>
          <w:rFonts w:ascii="Times New Roman" w:hAnsi="Times New Roman" w:cs="Times New Roman"/>
          <w:sz w:val="24"/>
          <w:szCs w:val="24"/>
        </w:rPr>
        <w:t>rozpowszechnia</w:t>
      </w:r>
      <w:r w:rsidR="00BA1278" w:rsidRPr="009935E0">
        <w:rPr>
          <w:rFonts w:ascii="Times New Roman" w:hAnsi="Times New Roman" w:cs="Times New Roman"/>
          <w:sz w:val="24"/>
          <w:szCs w:val="24"/>
        </w:rPr>
        <w:t>,</w:t>
      </w:r>
      <w:r w:rsidR="00CB2519" w:rsidRPr="009935E0">
        <w:rPr>
          <w:rFonts w:ascii="Times New Roman" w:hAnsi="Times New Roman" w:cs="Times New Roman"/>
          <w:sz w:val="24"/>
          <w:szCs w:val="24"/>
        </w:rPr>
        <w:t xml:space="preserve"> </w:t>
      </w:r>
      <w:r w:rsidR="004E662B" w:rsidRPr="009935E0">
        <w:rPr>
          <w:rFonts w:ascii="Times New Roman" w:hAnsi="Times New Roman" w:cs="Times New Roman"/>
          <w:sz w:val="24"/>
          <w:szCs w:val="24"/>
        </w:rPr>
        <w:t xml:space="preserve">nie są równolegle nadawane. </w:t>
      </w:r>
      <w:r w:rsidR="00CB2519" w:rsidRPr="009935E0">
        <w:rPr>
          <w:rFonts w:ascii="Times New Roman" w:hAnsi="Times New Roman" w:cs="Times New Roman"/>
          <w:sz w:val="24"/>
          <w:szCs w:val="24"/>
        </w:rPr>
        <w:t xml:space="preserve">W praktyce rozpowszechnianie programów radiowych i telewizyjnych przekazywanych w drodze „wprowadzenia bezpośredniego” </w:t>
      </w:r>
      <w:r w:rsidR="0044271D" w:rsidRPr="009935E0">
        <w:rPr>
          <w:rFonts w:ascii="Times New Roman" w:hAnsi="Times New Roman" w:cs="Times New Roman"/>
          <w:sz w:val="24"/>
          <w:szCs w:val="24"/>
        </w:rPr>
        <w:t xml:space="preserve">bardzo przypomina </w:t>
      </w:r>
      <w:r w:rsidR="00BB1E60" w:rsidRPr="009935E0">
        <w:rPr>
          <w:rFonts w:ascii="Times New Roman" w:hAnsi="Times New Roman" w:cs="Times New Roman"/>
          <w:sz w:val="24"/>
          <w:szCs w:val="24"/>
        </w:rPr>
        <w:t xml:space="preserve">nadawanie </w:t>
      </w:r>
      <w:r w:rsidR="0044271D" w:rsidRPr="009935E0">
        <w:rPr>
          <w:rFonts w:ascii="Times New Roman" w:hAnsi="Times New Roman" w:cs="Times New Roman"/>
          <w:sz w:val="24"/>
          <w:szCs w:val="24"/>
        </w:rPr>
        <w:t>i</w:t>
      </w:r>
      <w:r w:rsidR="000F7596">
        <w:rPr>
          <w:rFonts w:ascii="Times New Roman" w:hAnsi="Times New Roman" w:cs="Times New Roman"/>
          <w:sz w:val="24"/>
          <w:szCs w:val="24"/>
        </w:rPr>
        <w:t> </w:t>
      </w:r>
      <w:r w:rsidR="00B51101" w:rsidRPr="009935E0">
        <w:rPr>
          <w:rFonts w:ascii="Times New Roman" w:hAnsi="Times New Roman" w:cs="Times New Roman"/>
          <w:sz w:val="24"/>
          <w:szCs w:val="24"/>
        </w:rPr>
        <w:t xml:space="preserve">reemitowanie, </w:t>
      </w:r>
      <w:r w:rsidR="0044271D" w:rsidRPr="009935E0">
        <w:rPr>
          <w:rFonts w:ascii="Times New Roman" w:hAnsi="Times New Roman" w:cs="Times New Roman"/>
          <w:sz w:val="24"/>
          <w:szCs w:val="24"/>
        </w:rPr>
        <w:t xml:space="preserve">ekonomicznie ma </w:t>
      </w:r>
      <w:r w:rsidR="00BA1278" w:rsidRPr="009935E0">
        <w:rPr>
          <w:rFonts w:ascii="Times New Roman" w:hAnsi="Times New Roman" w:cs="Times New Roman"/>
          <w:sz w:val="24"/>
          <w:szCs w:val="24"/>
        </w:rPr>
        <w:t>zasadniczo</w:t>
      </w:r>
      <w:r w:rsidR="0044271D" w:rsidRPr="009935E0">
        <w:rPr>
          <w:rFonts w:ascii="Times New Roman" w:hAnsi="Times New Roman" w:cs="Times New Roman"/>
          <w:sz w:val="24"/>
          <w:szCs w:val="24"/>
        </w:rPr>
        <w:t xml:space="preserve"> </w:t>
      </w:r>
      <w:r w:rsidR="0087301E" w:rsidRPr="009935E0">
        <w:rPr>
          <w:rFonts w:ascii="Times New Roman" w:hAnsi="Times New Roman" w:cs="Times New Roman"/>
          <w:sz w:val="24"/>
          <w:szCs w:val="24"/>
        </w:rPr>
        <w:t>taki sam sens.</w:t>
      </w:r>
      <w:r w:rsidR="004E662B" w:rsidRPr="009935E0">
        <w:rPr>
          <w:rFonts w:ascii="Times New Roman" w:hAnsi="Times New Roman" w:cs="Times New Roman"/>
          <w:sz w:val="24"/>
          <w:szCs w:val="24"/>
        </w:rPr>
        <w:t xml:space="preserve"> </w:t>
      </w:r>
      <w:r w:rsidR="0087301E" w:rsidRPr="009935E0">
        <w:rPr>
          <w:rFonts w:ascii="Times New Roman" w:hAnsi="Times New Roman" w:cs="Times New Roman"/>
          <w:sz w:val="24"/>
          <w:szCs w:val="24"/>
        </w:rPr>
        <w:t>W</w:t>
      </w:r>
      <w:r w:rsidR="004E662B" w:rsidRPr="009935E0">
        <w:rPr>
          <w:rFonts w:ascii="Times New Roman" w:hAnsi="Times New Roman" w:cs="Times New Roman"/>
          <w:sz w:val="24"/>
          <w:szCs w:val="24"/>
        </w:rPr>
        <w:t xml:space="preserve"> aktualnym stanie pr</w:t>
      </w:r>
      <w:r w:rsidR="00207CF0" w:rsidRPr="009935E0">
        <w:rPr>
          <w:rFonts w:ascii="Times New Roman" w:hAnsi="Times New Roman" w:cs="Times New Roman"/>
          <w:sz w:val="24"/>
          <w:szCs w:val="24"/>
        </w:rPr>
        <w:t xml:space="preserve">awnym </w:t>
      </w:r>
      <w:r w:rsidR="00517642" w:rsidRPr="009935E0">
        <w:rPr>
          <w:rFonts w:ascii="Times New Roman" w:hAnsi="Times New Roman" w:cs="Times New Roman"/>
          <w:sz w:val="24"/>
          <w:szCs w:val="24"/>
        </w:rPr>
        <w:t xml:space="preserve">wydaje się jednak </w:t>
      </w:r>
      <w:r w:rsidR="00B51101" w:rsidRPr="009935E0">
        <w:rPr>
          <w:rFonts w:ascii="Times New Roman" w:hAnsi="Times New Roman" w:cs="Times New Roman"/>
          <w:sz w:val="24"/>
          <w:szCs w:val="24"/>
        </w:rPr>
        <w:t>wymyka</w:t>
      </w:r>
      <w:r w:rsidR="00517642" w:rsidRPr="009935E0">
        <w:rPr>
          <w:rFonts w:ascii="Times New Roman" w:hAnsi="Times New Roman" w:cs="Times New Roman"/>
          <w:sz w:val="24"/>
          <w:szCs w:val="24"/>
        </w:rPr>
        <w:t>ć</w:t>
      </w:r>
      <w:r w:rsidR="00B51101" w:rsidRPr="009935E0">
        <w:rPr>
          <w:rFonts w:ascii="Times New Roman" w:hAnsi="Times New Roman" w:cs="Times New Roman"/>
          <w:sz w:val="24"/>
          <w:szCs w:val="24"/>
        </w:rPr>
        <w:t xml:space="preserve"> definicjom tych pól eksploatacji</w:t>
      </w:r>
      <w:r w:rsidR="00517642" w:rsidRPr="009935E0">
        <w:rPr>
          <w:rFonts w:ascii="Times New Roman" w:hAnsi="Times New Roman" w:cs="Times New Roman"/>
          <w:sz w:val="24"/>
          <w:szCs w:val="24"/>
        </w:rPr>
        <w:t>.</w:t>
      </w:r>
    </w:p>
    <w:p w14:paraId="25A6EB39" w14:textId="47182730" w:rsidR="000A41BF" w:rsidRPr="009935E0" w:rsidRDefault="00BB1E6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Wdrożenie art. 8 dyrektywy </w:t>
      </w:r>
      <w:r w:rsidR="004758BB" w:rsidRPr="009935E0">
        <w:rPr>
          <w:rFonts w:ascii="Times New Roman" w:hAnsi="Times New Roman" w:cs="Times New Roman"/>
          <w:sz w:val="24"/>
          <w:szCs w:val="24"/>
        </w:rPr>
        <w:t xml:space="preserve">SATCAB II </w:t>
      </w:r>
      <w:r w:rsidRPr="009935E0">
        <w:rPr>
          <w:rFonts w:ascii="Times New Roman" w:hAnsi="Times New Roman" w:cs="Times New Roman"/>
          <w:sz w:val="24"/>
          <w:szCs w:val="24"/>
        </w:rPr>
        <w:t xml:space="preserve">będzie </w:t>
      </w:r>
      <w:r w:rsidR="0080219D" w:rsidRPr="009935E0">
        <w:rPr>
          <w:rFonts w:ascii="Times New Roman" w:hAnsi="Times New Roman" w:cs="Times New Roman"/>
          <w:sz w:val="24"/>
          <w:szCs w:val="24"/>
        </w:rPr>
        <w:t xml:space="preserve">zatem </w:t>
      </w:r>
      <w:r w:rsidRPr="009935E0">
        <w:rPr>
          <w:rFonts w:ascii="Times New Roman" w:hAnsi="Times New Roman" w:cs="Times New Roman"/>
          <w:sz w:val="24"/>
          <w:szCs w:val="24"/>
        </w:rPr>
        <w:t xml:space="preserve">polegać na jednoznacznym przesądzeniu, że </w:t>
      </w:r>
      <w:r w:rsidR="00E62497" w:rsidRPr="009935E0">
        <w:rPr>
          <w:rFonts w:ascii="Times New Roman" w:hAnsi="Times New Roman" w:cs="Times New Roman"/>
          <w:sz w:val="24"/>
          <w:szCs w:val="24"/>
        </w:rPr>
        <w:t>udostępnienie sygnału radiowego</w:t>
      </w:r>
      <w:r w:rsidRPr="009935E0">
        <w:rPr>
          <w:rFonts w:ascii="Times New Roman" w:hAnsi="Times New Roman" w:cs="Times New Roman"/>
          <w:sz w:val="24"/>
          <w:szCs w:val="24"/>
        </w:rPr>
        <w:t xml:space="preserve"> lub telewiz</w:t>
      </w:r>
      <w:r w:rsidR="00E62497" w:rsidRPr="009935E0">
        <w:rPr>
          <w:rFonts w:ascii="Times New Roman" w:hAnsi="Times New Roman" w:cs="Times New Roman"/>
          <w:sz w:val="24"/>
          <w:szCs w:val="24"/>
        </w:rPr>
        <w:t xml:space="preserve">yjnego </w:t>
      </w:r>
      <w:r w:rsidRPr="009935E0">
        <w:rPr>
          <w:rFonts w:ascii="Times New Roman" w:hAnsi="Times New Roman" w:cs="Times New Roman"/>
          <w:sz w:val="24"/>
          <w:szCs w:val="24"/>
        </w:rPr>
        <w:t xml:space="preserve">w drodze „wprowadzania bezpośredniego” stanowi postać nadawania w rozumieniu art. 6 ust. 1 </w:t>
      </w:r>
      <w:r w:rsidR="003A4531" w:rsidRPr="009935E0">
        <w:rPr>
          <w:rFonts w:ascii="Times New Roman" w:hAnsi="Times New Roman" w:cs="Times New Roman"/>
          <w:sz w:val="24"/>
          <w:szCs w:val="24"/>
        </w:rPr>
        <w:t xml:space="preserve">pkt 4 ustawy o prawie autorskim. Za takim rozwiązaniem dość zgodnie opowiedziała się większość uczestników </w:t>
      </w:r>
      <w:r w:rsidR="003A4531" w:rsidRPr="009935E0">
        <w:rPr>
          <w:rFonts w:ascii="Times New Roman" w:hAnsi="Times New Roman" w:cs="Times New Roman"/>
          <w:sz w:val="24"/>
          <w:szCs w:val="24"/>
        </w:rPr>
        <w:lastRenderedPageBreak/>
        <w:t xml:space="preserve">konsultacji publicznych pierwszego projektu ustawy. </w:t>
      </w:r>
      <w:r w:rsidRPr="009935E0">
        <w:rPr>
          <w:rFonts w:ascii="Times New Roman" w:hAnsi="Times New Roman" w:cs="Times New Roman"/>
          <w:sz w:val="24"/>
          <w:szCs w:val="24"/>
        </w:rPr>
        <w:t xml:space="preserve">W tym celu zmieniona zostanie definicja nadawania. Zgodnie z projektowanym art. 6 ust. 1 pkt 4 za nadawanie utworu uznaje się </w:t>
      </w:r>
      <w:r w:rsidR="00965EA4" w:rsidRPr="009935E0">
        <w:rPr>
          <w:rFonts w:ascii="Times New Roman" w:hAnsi="Times New Roman" w:cs="Times New Roman"/>
          <w:sz w:val="24"/>
          <w:szCs w:val="24"/>
        </w:rPr>
        <w:t>„</w:t>
      </w:r>
      <w:r w:rsidRPr="009935E0">
        <w:rPr>
          <w:rFonts w:ascii="Times New Roman" w:hAnsi="Times New Roman" w:cs="Times New Roman"/>
          <w:sz w:val="24"/>
          <w:szCs w:val="24"/>
        </w:rPr>
        <w:t xml:space="preserve">jego rozpowszechnianie drogą emisji radiowej lub telewizyjnej prowadzonej w sposób bezprzewodowy (naziemny lub satelitarny) lub w sposób przewodowy, w tym przesyłanie przez organizację radiową lub telewizyjną sygnału zawierającego program innemu podmiotowi w taki sposób, że nie jest on publicznie dostępny w trakcie tego </w:t>
      </w:r>
      <w:proofErr w:type="spellStart"/>
      <w:r w:rsidRPr="009935E0">
        <w:rPr>
          <w:rFonts w:ascii="Times New Roman" w:hAnsi="Times New Roman" w:cs="Times New Roman"/>
          <w:sz w:val="24"/>
          <w:szCs w:val="24"/>
        </w:rPr>
        <w:t>przesyłu</w:t>
      </w:r>
      <w:proofErr w:type="spellEnd"/>
      <w:r w:rsidRPr="009935E0">
        <w:rPr>
          <w:rFonts w:ascii="Times New Roman" w:hAnsi="Times New Roman" w:cs="Times New Roman"/>
          <w:sz w:val="24"/>
          <w:szCs w:val="24"/>
        </w:rPr>
        <w:t>, w celu przejęcia programu przez ten podmiot w całości i bez zmian oraz równoczesnego i integralnego przekazania go do powszechnego odbioru (wprowadzenie bezpośrednie)</w:t>
      </w:r>
      <w:r w:rsidR="00965EA4" w:rsidRPr="009935E0">
        <w:rPr>
          <w:rFonts w:ascii="Times New Roman" w:hAnsi="Times New Roman" w:cs="Times New Roman"/>
          <w:sz w:val="24"/>
          <w:szCs w:val="24"/>
        </w:rPr>
        <w:t>”</w:t>
      </w:r>
      <w:r w:rsidRPr="009935E0">
        <w:rPr>
          <w:rFonts w:ascii="Times New Roman" w:hAnsi="Times New Roman" w:cs="Times New Roman"/>
          <w:sz w:val="24"/>
          <w:szCs w:val="24"/>
        </w:rPr>
        <w:t>.</w:t>
      </w:r>
      <w:r w:rsidR="00517642" w:rsidRPr="009935E0">
        <w:rPr>
          <w:rFonts w:ascii="Times New Roman" w:hAnsi="Times New Roman" w:cs="Times New Roman"/>
          <w:sz w:val="24"/>
          <w:szCs w:val="24"/>
        </w:rPr>
        <w:t xml:space="preserve"> </w:t>
      </w:r>
      <w:r w:rsidR="00AD3AAA" w:rsidRPr="009935E0">
        <w:rPr>
          <w:rFonts w:ascii="Times New Roman" w:hAnsi="Times New Roman" w:cs="Times New Roman"/>
          <w:sz w:val="24"/>
          <w:szCs w:val="24"/>
        </w:rPr>
        <w:t>W związku z tym</w:t>
      </w:r>
      <w:r w:rsidR="003A4531" w:rsidRPr="009935E0">
        <w:rPr>
          <w:rFonts w:ascii="Times New Roman" w:hAnsi="Times New Roman" w:cs="Times New Roman"/>
          <w:sz w:val="24"/>
          <w:szCs w:val="24"/>
        </w:rPr>
        <w:t xml:space="preserve"> jednoczesne</w:t>
      </w:r>
      <w:r w:rsidR="00737181" w:rsidRPr="009935E0">
        <w:rPr>
          <w:rFonts w:ascii="Times New Roman" w:hAnsi="Times New Roman" w:cs="Times New Roman"/>
          <w:sz w:val="24"/>
          <w:szCs w:val="24"/>
        </w:rPr>
        <w:t xml:space="preserve"> udostępnianie odbiorcom otrzymanego w ten sposób (czyli pierwotnie nadanego) programu </w:t>
      </w:r>
      <w:r w:rsidR="000B18C6" w:rsidRPr="009935E0">
        <w:rPr>
          <w:rFonts w:ascii="Times New Roman" w:hAnsi="Times New Roman" w:cs="Times New Roman"/>
          <w:sz w:val="24"/>
          <w:szCs w:val="24"/>
        </w:rPr>
        <w:t xml:space="preserve">automatycznie stanowić będzie jego reemitowanie, gdyż zostanie spełniona podstawowa przesłanka, tj. aby program był „nadawany”. W definicji „reemitowania” (projektowany art. 6 ust. 1 pkt 5), </w:t>
      </w:r>
      <w:r w:rsidR="00517642" w:rsidRPr="009935E0">
        <w:rPr>
          <w:rFonts w:ascii="Times New Roman" w:hAnsi="Times New Roman" w:cs="Times New Roman"/>
          <w:sz w:val="24"/>
          <w:szCs w:val="24"/>
        </w:rPr>
        <w:t xml:space="preserve">projektodawca </w:t>
      </w:r>
      <w:r w:rsidR="000B18C6" w:rsidRPr="009935E0">
        <w:rPr>
          <w:rFonts w:ascii="Times New Roman" w:hAnsi="Times New Roman" w:cs="Times New Roman"/>
          <w:sz w:val="24"/>
          <w:szCs w:val="24"/>
        </w:rPr>
        <w:t xml:space="preserve">zgodnie z dyrektywą </w:t>
      </w:r>
      <w:r w:rsidR="00517642" w:rsidRPr="009935E0">
        <w:rPr>
          <w:rFonts w:ascii="Times New Roman" w:hAnsi="Times New Roman" w:cs="Times New Roman"/>
          <w:sz w:val="24"/>
          <w:szCs w:val="24"/>
        </w:rPr>
        <w:t>doprecyzowuje</w:t>
      </w:r>
      <w:r w:rsidR="000B18C6" w:rsidRPr="009935E0">
        <w:rPr>
          <w:rFonts w:ascii="Times New Roman" w:hAnsi="Times New Roman" w:cs="Times New Roman"/>
          <w:sz w:val="24"/>
          <w:szCs w:val="24"/>
        </w:rPr>
        <w:t xml:space="preserve"> ponadto</w:t>
      </w:r>
      <w:r w:rsidR="00737181" w:rsidRPr="009935E0">
        <w:rPr>
          <w:rFonts w:ascii="Times New Roman" w:hAnsi="Times New Roman" w:cs="Times New Roman"/>
          <w:sz w:val="24"/>
          <w:szCs w:val="24"/>
        </w:rPr>
        <w:t xml:space="preserve">, że dla zakwalifikowania danego aktu eksploatacji jako reemitowania nie jest istotne, w jaki sposób </w:t>
      </w:r>
      <w:proofErr w:type="spellStart"/>
      <w:r w:rsidR="00737181" w:rsidRPr="009935E0">
        <w:rPr>
          <w:rFonts w:ascii="Times New Roman" w:hAnsi="Times New Roman" w:cs="Times New Roman"/>
          <w:sz w:val="24"/>
          <w:szCs w:val="24"/>
        </w:rPr>
        <w:t>reemitent</w:t>
      </w:r>
      <w:proofErr w:type="spellEnd"/>
      <w:r w:rsidR="00737181" w:rsidRPr="009935E0">
        <w:rPr>
          <w:rFonts w:ascii="Times New Roman" w:hAnsi="Times New Roman" w:cs="Times New Roman"/>
          <w:sz w:val="24"/>
          <w:szCs w:val="24"/>
        </w:rPr>
        <w:t xml:space="preserve"> otrzymał sygnał zawierający program.</w:t>
      </w:r>
      <w:r w:rsidR="00CB1380" w:rsidRPr="009935E0">
        <w:rPr>
          <w:rFonts w:ascii="Times New Roman" w:hAnsi="Times New Roman" w:cs="Times New Roman"/>
          <w:sz w:val="24"/>
          <w:szCs w:val="24"/>
        </w:rPr>
        <w:t xml:space="preserve"> Jak zwrócono uwagę w części niniejszego uzasadnienia dotyczącej reemisji, dyrektywa </w:t>
      </w:r>
      <w:r w:rsidR="004758BB" w:rsidRPr="009935E0">
        <w:rPr>
          <w:rFonts w:ascii="Times New Roman" w:hAnsi="Times New Roman" w:cs="Times New Roman"/>
          <w:sz w:val="24"/>
          <w:szCs w:val="24"/>
        </w:rPr>
        <w:t xml:space="preserve">SATCAB II </w:t>
      </w:r>
      <w:r w:rsidR="00CB1380" w:rsidRPr="009935E0">
        <w:rPr>
          <w:rFonts w:ascii="Times New Roman" w:hAnsi="Times New Roman" w:cs="Times New Roman"/>
          <w:sz w:val="24"/>
          <w:szCs w:val="24"/>
        </w:rPr>
        <w:t xml:space="preserve">w art. 9 zmienia definicję reemisji zawartą w </w:t>
      </w:r>
      <w:r w:rsidR="0080219D" w:rsidRPr="009935E0">
        <w:rPr>
          <w:rFonts w:ascii="Times New Roman" w:hAnsi="Times New Roman" w:cs="Times New Roman"/>
          <w:sz w:val="24"/>
          <w:szCs w:val="24"/>
        </w:rPr>
        <w:t>art. 1 ust. 3 dyrektywy</w:t>
      </w:r>
      <w:r w:rsidR="00CB1380" w:rsidRPr="009935E0">
        <w:rPr>
          <w:rFonts w:ascii="Times New Roman" w:hAnsi="Times New Roman" w:cs="Times New Roman"/>
          <w:sz w:val="24"/>
          <w:szCs w:val="24"/>
        </w:rPr>
        <w:t xml:space="preserve"> 93/83/EWG przez wyraźne wskazanie, że nie jest istotny sposób, w jaki </w:t>
      </w:r>
      <w:proofErr w:type="spellStart"/>
      <w:r w:rsidR="00CB1380" w:rsidRPr="009935E0">
        <w:rPr>
          <w:rFonts w:ascii="Times New Roman" w:hAnsi="Times New Roman" w:cs="Times New Roman"/>
          <w:sz w:val="24"/>
          <w:szCs w:val="24"/>
        </w:rPr>
        <w:t>reemitent</w:t>
      </w:r>
      <w:proofErr w:type="spellEnd"/>
      <w:r w:rsidR="00CB1380" w:rsidRPr="009935E0">
        <w:rPr>
          <w:rFonts w:ascii="Times New Roman" w:hAnsi="Times New Roman" w:cs="Times New Roman"/>
          <w:sz w:val="24"/>
          <w:szCs w:val="24"/>
        </w:rPr>
        <w:t xml:space="preserve"> otrzymuje od organizacji radiowej lub telewizyjnej „sygnał będący nośnikiem pr</w:t>
      </w:r>
      <w:r w:rsidR="000B18C6" w:rsidRPr="009935E0">
        <w:rPr>
          <w:rFonts w:ascii="Times New Roman" w:hAnsi="Times New Roman" w:cs="Times New Roman"/>
          <w:sz w:val="24"/>
          <w:szCs w:val="24"/>
        </w:rPr>
        <w:t>ogramu” przeznaczony do reemitowania</w:t>
      </w:r>
      <w:r w:rsidR="00CB1380" w:rsidRPr="009935E0">
        <w:rPr>
          <w:rFonts w:ascii="Times New Roman" w:hAnsi="Times New Roman" w:cs="Times New Roman"/>
          <w:sz w:val="24"/>
          <w:szCs w:val="24"/>
        </w:rPr>
        <w:t xml:space="preserve">. Skoro nie jest istotny sposób, w jaki </w:t>
      </w:r>
      <w:proofErr w:type="spellStart"/>
      <w:r w:rsidR="00CB1380" w:rsidRPr="009935E0">
        <w:rPr>
          <w:rFonts w:ascii="Times New Roman" w:hAnsi="Times New Roman" w:cs="Times New Roman"/>
          <w:sz w:val="24"/>
          <w:szCs w:val="24"/>
        </w:rPr>
        <w:t>reemitent</w:t>
      </w:r>
      <w:proofErr w:type="spellEnd"/>
      <w:r w:rsidR="00CB1380" w:rsidRPr="009935E0">
        <w:rPr>
          <w:rFonts w:ascii="Times New Roman" w:hAnsi="Times New Roman" w:cs="Times New Roman"/>
          <w:sz w:val="24"/>
          <w:szCs w:val="24"/>
        </w:rPr>
        <w:t xml:space="preserve"> otrzymu</w:t>
      </w:r>
      <w:r w:rsidR="000B18C6" w:rsidRPr="009935E0">
        <w:rPr>
          <w:rFonts w:ascii="Times New Roman" w:hAnsi="Times New Roman" w:cs="Times New Roman"/>
          <w:sz w:val="24"/>
          <w:szCs w:val="24"/>
        </w:rPr>
        <w:t>je sygnał RTV celem jego dalszego reemitowania</w:t>
      </w:r>
      <w:r w:rsidR="00CB1380" w:rsidRPr="009935E0">
        <w:rPr>
          <w:rFonts w:ascii="Times New Roman" w:hAnsi="Times New Roman" w:cs="Times New Roman"/>
          <w:sz w:val="24"/>
          <w:szCs w:val="24"/>
        </w:rPr>
        <w:t xml:space="preserve">, to </w:t>
      </w:r>
      <w:r w:rsidR="000B18C6" w:rsidRPr="009935E0">
        <w:rPr>
          <w:rFonts w:ascii="Times New Roman" w:hAnsi="Times New Roman" w:cs="Times New Roman"/>
          <w:sz w:val="24"/>
          <w:szCs w:val="24"/>
        </w:rPr>
        <w:t>sygnał ten</w:t>
      </w:r>
      <w:r w:rsidR="00CB1380" w:rsidRPr="009935E0">
        <w:rPr>
          <w:rFonts w:ascii="Times New Roman" w:hAnsi="Times New Roman" w:cs="Times New Roman"/>
          <w:sz w:val="24"/>
          <w:szCs w:val="24"/>
        </w:rPr>
        <w:t xml:space="preserve"> może być też przekazany drogą „wprowadzenia bezpośredniego”. </w:t>
      </w:r>
      <w:r w:rsidR="00DA5961" w:rsidRPr="009935E0">
        <w:rPr>
          <w:rFonts w:ascii="Times New Roman" w:hAnsi="Times New Roman" w:cs="Times New Roman"/>
          <w:sz w:val="24"/>
          <w:szCs w:val="24"/>
        </w:rPr>
        <w:t>Aby jednak rozstrzygnąć w tym zakresie wszelkie ewentualne wątpliwości</w:t>
      </w:r>
      <w:r w:rsidR="003A1A1B" w:rsidRPr="009935E0">
        <w:rPr>
          <w:rFonts w:ascii="Times New Roman" w:hAnsi="Times New Roman" w:cs="Times New Roman"/>
          <w:sz w:val="24"/>
          <w:szCs w:val="24"/>
        </w:rPr>
        <w:t>,</w:t>
      </w:r>
      <w:r w:rsidR="00DA5961" w:rsidRPr="009935E0">
        <w:rPr>
          <w:rFonts w:ascii="Times New Roman" w:hAnsi="Times New Roman" w:cs="Times New Roman"/>
          <w:sz w:val="24"/>
          <w:szCs w:val="24"/>
        </w:rPr>
        <w:t xml:space="preserve"> w projektowanym</w:t>
      </w:r>
      <w:r w:rsidR="00CB1380" w:rsidRPr="009935E0">
        <w:rPr>
          <w:rFonts w:ascii="Times New Roman" w:hAnsi="Times New Roman" w:cs="Times New Roman"/>
          <w:sz w:val="24"/>
          <w:szCs w:val="24"/>
        </w:rPr>
        <w:t xml:space="preserve"> art. 6 ust. 1 pkt 5 ustawy o prawie autorskim</w:t>
      </w:r>
      <w:r w:rsidR="00DA5961" w:rsidRPr="009935E0">
        <w:rPr>
          <w:rFonts w:ascii="Times New Roman" w:hAnsi="Times New Roman" w:cs="Times New Roman"/>
          <w:sz w:val="24"/>
          <w:szCs w:val="24"/>
        </w:rPr>
        <w:t xml:space="preserve"> doprecyzowuje się (</w:t>
      </w:r>
      <w:r w:rsidR="00DA5961" w:rsidRPr="009935E0">
        <w:rPr>
          <w:rFonts w:ascii="Times New Roman" w:hAnsi="Times New Roman" w:cs="Times New Roman"/>
          <w:i/>
          <w:sz w:val="24"/>
          <w:szCs w:val="24"/>
        </w:rPr>
        <w:t>in fine</w:t>
      </w:r>
      <w:r w:rsidR="00DA5961" w:rsidRPr="009935E0">
        <w:rPr>
          <w:rFonts w:ascii="Times New Roman" w:hAnsi="Times New Roman" w:cs="Times New Roman"/>
          <w:sz w:val="24"/>
          <w:szCs w:val="24"/>
        </w:rPr>
        <w:t>), że reemitowanie</w:t>
      </w:r>
      <w:r w:rsidR="00CB1380" w:rsidRPr="009935E0">
        <w:rPr>
          <w:rFonts w:ascii="Times New Roman" w:hAnsi="Times New Roman" w:cs="Times New Roman"/>
          <w:sz w:val="24"/>
          <w:szCs w:val="24"/>
        </w:rPr>
        <w:t xml:space="preserve"> </w:t>
      </w:r>
      <w:r w:rsidR="00DA5961" w:rsidRPr="009935E0">
        <w:rPr>
          <w:rFonts w:ascii="Times New Roman" w:hAnsi="Times New Roman" w:cs="Times New Roman"/>
          <w:sz w:val="24"/>
          <w:szCs w:val="24"/>
        </w:rPr>
        <w:t>dotyczy też</w:t>
      </w:r>
      <w:r w:rsidR="00CB1380" w:rsidRPr="009935E0">
        <w:rPr>
          <w:rFonts w:ascii="Times New Roman" w:hAnsi="Times New Roman" w:cs="Times New Roman"/>
          <w:sz w:val="24"/>
          <w:szCs w:val="24"/>
        </w:rPr>
        <w:t xml:space="preserve"> </w:t>
      </w:r>
      <w:r w:rsidR="00DA5961" w:rsidRPr="009935E0">
        <w:rPr>
          <w:rFonts w:ascii="Times New Roman" w:hAnsi="Times New Roman" w:cs="Times New Roman"/>
          <w:sz w:val="24"/>
          <w:szCs w:val="24"/>
        </w:rPr>
        <w:t>„</w:t>
      </w:r>
      <w:r w:rsidR="00CB1380" w:rsidRPr="009935E0">
        <w:rPr>
          <w:rFonts w:ascii="Times New Roman" w:hAnsi="Times New Roman" w:cs="Times New Roman"/>
          <w:sz w:val="24"/>
          <w:szCs w:val="24"/>
        </w:rPr>
        <w:t>programu nadawanego dr</w:t>
      </w:r>
      <w:r w:rsidR="00517642" w:rsidRPr="009935E0">
        <w:rPr>
          <w:rFonts w:ascii="Times New Roman" w:hAnsi="Times New Roman" w:cs="Times New Roman"/>
          <w:sz w:val="24"/>
          <w:szCs w:val="24"/>
        </w:rPr>
        <w:t>ogą wprowadzenia bezpośredniego</w:t>
      </w:r>
      <w:r w:rsidR="00CB1380" w:rsidRPr="009935E0">
        <w:rPr>
          <w:rFonts w:ascii="Times New Roman" w:hAnsi="Times New Roman" w:cs="Times New Roman"/>
          <w:sz w:val="24"/>
          <w:szCs w:val="24"/>
        </w:rPr>
        <w:t>”</w:t>
      </w:r>
      <w:r w:rsidR="00517642" w:rsidRPr="009935E0">
        <w:rPr>
          <w:rFonts w:ascii="Times New Roman" w:hAnsi="Times New Roman" w:cs="Times New Roman"/>
          <w:sz w:val="24"/>
          <w:szCs w:val="24"/>
        </w:rPr>
        <w:t>.</w:t>
      </w:r>
      <w:r w:rsidR="00DA5961" w:rsidRPr="009935E0">
        <w:rPr>
          <w:rFonts w:ascii="Times New Roman" w:hAnsi="Times New Roman" w:cs="Times New Roman"/>
          <w:sz w:val="24"/>
          <w:szCs w:val="24"/>
        </w:rPr>
        <w:t xml:space="preserve"> </w:t>
      </w:r>
    </w:p>
    <w:p w14:paraId="0F9AB41D" w14:textId="79D4C695" w:rsidR="00CB1380" w:rsidRPr="009935E0" w:rsidRDefault="000A41B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Aby dopełnić wdrożenia dyrektywy, w art. 21</w:t>
      </w:r>
      <w:r w:rsidRPr="009935E0">
        <w:rPr>
          <w:rFonts w:ascii="Times New Roman" w:hAnsi="Times New Roman" w:cs="Times New Roman"/>
          <w:sz w:val="24"/>
          <w:szCs w:val="24"/>
          <w:vertAlign w:val="superscript"/>
        </w:rPr>
        <w:t>1</w:t>
      </w:r>
      <w:r w:rsidRPr="009935E0">
        <w:rPr>
          <w:rFonts w:ascii="Times New Roman" w:hAnsi="Times New Roman" w:cs="Times New Roman"/>
          <w:sz w:val="24"/>
          <w:szCs w:val="24"/>
        </w:rPr>
        <w:t xml:space="preserve"> </w:t>
      </w:r>
      <w:r w:rsidR="004758BB" w:rsidRPr="009935E0">
        <w:rPr>
          <w:rFonts w:ascii="Times New Roman" w:hAnsi="Times New Roman" w:cs="Times New Roman"/>
          <w:sz w:val="24"/>
          <w:szCs w:val="24"/>
        </w:rPr>
        <w:t xml:space="preserve">ustawy o prawie autorskim </w:t>
      </w:r>
      <w:r w:rsidR="000F7596" w:rsidRPr="009935E0">
        <w:rPr>
          <w:rFonts w:ascii="Times New Roman" w:hAnsi="Times New Roman" w:cs="Times New Roman"/>
          <w:sz w:val="24"/>
          <w:szCs w:val="24"/>
        </w:rPr>
        <w:t xml:space="preserve">zostaje </w:t>
      </w:r>
      <w:r w:rsidRPr="009935E0">
        <w:rPr>
          <w:rFonts w:ascii="Times New Roman" w:hAnsi="Times New Roman" w:cs="Times New Roman"/>
          <w:sz w:val="24"/>
          <w:szCs w:val="24"/>
        </w:rPr>
        <w:t>dodany ust.</w:t>
      </w:r>
      <w:r w:rsidR="000F7596">
        <w:rPr>
          <w:rFonts w:ascii="Times New Roman" w:hAnsi="Times New Roman" w:cs="Times New Roman"/>
          <w:sz w:val="24"/>
          <w:szCs w:val="24"/>
        </w:rPr>
        <w:t> </w:t>
      </w:r>
      <w:r w:rsidR="00311D3D" w:rsidRPr="009935E0">
        <w:rPr>
          <w:rFonts w:ascii="Times New Roman" w:hAnsi="Times New Roman" w:cs="Times New Roman"/>
          <w:sz w:val="24"/>
          <w:szCs w:val="24"/>
        </w:rPr>
        <w:t>4</w:t>
      </w:r>
      <w:r w:rsidRPr="009935E0">
        <w:rPr>
          <w:rFonts w:ascii="Times New Roman" w:hAnsi="Times New Roman" w:cs="Times New Roman"/>
          <w:sz w:val="24"/>
          <w:szCs w:val="24"/>
        </w:rPr>
        <w:t xml:space="preserve">, zgodnie z którym w przypadku reemitowania utworów nadawanych techniką wprowadzania bezpośredniego nadawca i </w:t>
      </w:r>
      <w:proofErr w:type="spellStart"/>
      <w:r w:rsidRPr="009935E0">
        <w:rPr>
          <w:rFonts w:ascii="Times New Roman" w:hAnsi="Times New Roman" w:cs="Times New Roman"/>
          <w:sz w:val="24"/>
          <w:szCs w:val="24"/>
        </w:rPr>
        <w:t>reemitent</w:t>
      </w:r>
      <w:proofErr w:type="spellEnd"/>
      <w:r w:rsidRPr="009935E0">
        <w:rPr>
          <w:rFonts w:ascii="Times New Roman" w:hAnsi="Times New Roman" w:cs="Times New Roman"/>
          <w:sz w:val="24"/>
          <w:szCs w:val="24"/>
        </w:rPr>
        <w:t xml:space="preserve"> dokonują jednej czynności rozpowszechniania utworu, przy czym każdy w nich </w:t>
      </w:r>
      <w:r w:rsidR="00576D94" w:rsidRPr="009935E0">
        <w:rPr>
          <w:rFonts w:ascii="Times New Roman" w:hAnsi="Times New Roman" w:cs="Times New Roman"/>
          <w:sz w:val="24"/>
          <w:szCs w:val="24"/>
        </w:rPr>
        <w:t xml:space="preserve">jest </w:t>
      </w:r>
      <w:r w:rsidRPr="009935E0">
        <w:rPr>
          <w:rFonts w:ascii="Times New Roman" w:hAnsi="Times New Roman" w:cs="Times New Roman"/>
          <w:sz w:val="24"/>
          <w:szCs w:val="24"/>
        </w:rPr>
        <w:t>obowiązany uzyskać zgodę uprawnionego odpowiednio na nadawanie oraz reemitowanie</w:t>
      </w:r>
      <w:r w:rsidR="003A1A1B"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00CB1380" w:rsidRPr="009935E0">
        <w:rPr>
          <w:rFonts w:ascii="Times New Roman" w:hAnsi="Times New Roman" w:cs="Times New Roman"/>
          <w:sz w:val="24"/>
          <w:szCs w:val="24"/>
        </w:rPr>
        <w:t>Dzięki temu zostanie osiągnięty cel zakładany przez dyrektywę</w:t>
      </w:r>
      <w:r w:rsidR="004758BB" w:rsidRPr="009935E0">
        <w:rPr>
          <w:rFonts w:ascii="Times New Roman" w:hAnsi="Times New Roman" w:cs="Times New Roman"/>
          <w:sz w:val="24"/>
          <w:szCs w:val="24"/>
        </w:rPr>
        <w:t xml:space="preserve"> SATCAB II</w:t>
      </w:r>
      <w:r w:rsidR="00CB1380" w:rsidRPr="009935E0">
        <w:rPr>
          <w:rFonts w:ascii="Times New Roman" w:hAnsi="Times New Roman" w:cs="Times New Roman"/>
          <w:sz w:val="24"/>
          <w:szCs w:val="24"/>
        </w:rPr>
        <w:t xml:space="preserve">, tj. zobowiązanie nadawcy i </w:t>
      </w:r>
      <w:proofErr w:type="spellStart"/>
      <w:r w:rsidR="00CB1380" w:rsidRPr="009935E0">
        <w:rPr>
          <w:rFonts w:ascii="Times New Roman" w:hAnsi="Times New Roman" w:cs="Times New Roman"/>
          <w:sz w:val="24"/>
          <w:szCs w:val="24"/>
        </w:rPr>
        <w:t>reemitenta</w:t>
      </w:r>
      <w:proofErr w:type="spellEnd"/>
      <w:r w:rsidR="00CB1380" w:rsidRPr="009935E0">
        <w:rPr>
          <w:rFonts w:ascii="Times New Roman" w:hAnsi="Times New Roman" w:cs="Times New Roman"/>
          <w:sz w:val="24"/>
          <w:szCs w:val="24"/>
        </w:rPr>
        <w:t xml:space="preserve">, uczestniczących w jednej czynności rozpowszechniania utworu obejmującej dwa pola eksploatacji, do uzyskania zgody uprawnionych na eksploatację dokonywaną przez każdego z nich. W zakresie, w jakim udział w tej czynności będzie stanowić odpowiednio nadawanie oraz reemitowanie, </w:t>
      </w:r>
      <w:r w:rsidR="000F7596" w:rsidRPr="009935E0">
        <w:rPr>
          <w:rFonts w:ascii="Times New Roman" w:hAnsi="Times New Roman" w:cs="Times New Roman"/>
          <w:sz w:val="24"/>
          <w:szCs w:val="24"/>
        </w:rPr>
        <w:t xml:space="preserve">znajdą </w:t>
      </w:r>
      <w:r w:rsidR="00CB1380" w:rsidRPr="009935E0">
        <w:rPr>
          <w:rFonts w:ascii="Times New Roman" w:hAnsi="Times New Roman" w:cs="Times New Roman"/>
          <w:sz w:val="24"/>
          <w:szCs w:val="24"/>
        </w:rPr>
        <w:t xml:space="preserve">zastosowanie </w:t>
      </w:r>
      <w:r w:rsidR="00B40E5B" w:rsidRPr="009935E0">
        <w:rPr>
          <w:rFonts w:ascii="Times New Roman" w:hAnsi="Times New Roman" w:cs="Times New Roman"/>
          <w:sz w:val="24"/>
          <w:szCs w:val="24"/>
        </w:rPr>
        <w:t xml:space="preserve">wprost </w:t>
      </w:r>
      <w:r w:rsidR="00CB1380" w:rsidRPr="009935E0">
        <w:rPr>
          <w:rFonts w:ascii="Times New Roman" w:hAnsi="Times New Roman" w:cs="Times New Roman"/>
          <w:sz w:val="24"/>
          <w:szCs w:val="24"/>
        </w:rPr>
        <w:t xml:space="preserve">przepisy ustawy dotyczące tych pól, w tym </w:t>
      </w:r>
      <w:r w:rsidR="00CB1380" w:rsidRPr="009935E0">
        <w:rPr>
          <w:rFonts w:ascii="Times New Roman" w:hAnsi="Times New Roman" w:cs="Times New Roman"/>
          <w:sz w:val="24"/>
          <w:szCs w:val="24"/>
        </w:rPr>
        <w:lastRenderedPageBreak/>
        <w:t xml:space="preserve">dotyczące przymusowego zbiorowego zarządu (art. 21 i </w:t>
      </w:r>
      <w:r w:rsidR="00D45A8D" w:rsidRPr="009935E0">
        <w:rPr>
          <w:rFonts w:ascii="Times New Roman" w:hAnsi="Times New Roman" w:cs="Times New Roman"/>
          <w:sz w:val="24"/>
          <w:szCs w:val="24"/>
        </w:rPr>
        <w:t xml:space="preserve">art. </w:t>
      </w:r>
      <w:r w:rsidR="00CB1380" w:rsidRPr="009935E0">
        <w:rPr>
          <w:rFonts w:ascii="Times New Roman" w:hAnsi="Times New Roman" w:cs="Times New Roman"/>
          <w:sz w:val="24"/>
          <w:szCs w:val="24"/>
        </w:rPr>
        <w:t>21</w:t>
      </w:r>
      <w:r w:rsidR="00CB1380" w:rsidRPr="009935E0">
        <w:rPr>
          <w:rFonts w:ascii="Times New Roman" w:hAnsi="Times New Roman" w:cs="Times New Roman"/>
          <w:sz w:val="24"/>
          <w:szCs w:val="24"/>
          <w:vertAlign w:val="superscript"/>
        </w:rPr>
        <w:t>1</w:t>
      </w:r>
      <w:r w:rsidR="00CB1380" w:rsidRPr="009935E0">
        <w:rPr>
          <w:rFonts w:ascii="Times New Roman" w:hAnsi="Times New Roman" w:cs="Times New Roman"/>
          <w:sz w:val="24"/>
          <w:szCs w:val="24"/>
        </w:rPr>
        <w:t xml:space="preserve"> oraz art. 70 ust. 3</w:t>
      </w:r>
      <w:r w:rsidR="004758BB" w:rsidRPr="009935E0">
        <w:rPr>
          <w:rFonts w:ascii="Times New Roman" w:hAnsi="Times New Roman" w:cs="Times New Roman"/>
          <w:sz w:val="24"/>
          <w:szCs w:val="24"/>
        </w:rPr>
        <w:t xml:space="preserve"> ustawy o prawie autorskim</w:t>
      </w:r>
      <w:r w:rsidR="006500FE" w:rsidRPr="009935E0">
        <w:rPr>
          <w:rFonts w:ascii="Times New Roman" w:hAnsi="Times New Roman" w:cs="Times New Roman"/>
          <w:sz w:val="24"/>
          <w:szCs w:val="24"/>
        </w:rPr>
        <w:t>)</w:t>
      </w:r>
      <w:r w:rsidRPr="009935E0">
        <w:rPr>
          <w:rFonts w:ascii="Times New Roman" w:hAnsi="Times New Roman" w:cs="Times New Roman"/>
          <w:sz w:val="24"/>
          <w:szCs w:val="24"/>
        </w:rPr>
        <w:t>.</w:t>
      </w:r>
    </w:p>
    <w:p w14:paraId="3CFC7E2C" w14:textId="4786AD23" w:rsidR="002F2899" w:rsidRPr="009935E0" w:rsidRDefault="00737181"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Proponowane</w:t>
      </w:r>
      <w:r w:rsidR="0087301E" w:rsidRPr="009935E0">
        <w:rPr>
          <w:rFonts w:ascii="Times New Roman" w:hAnsi="Times New Roman" w:cs="Times New Roman"/>
          <w:sz w:val="24"/>
          <w:szCs w:val="24"/>
        </w:rPr>
        <w:t xml:space="preserve"> rozwiązanie pozwoli ograniczyć do minimum dalsze zmiany ustawowe</w:t>
      </w:r>
      <w:r w:rsidR="000C5D72" w:rsidRPr="009935E0">
        <w:rPr>
          <w:rFonts w:ascii="Times New Roman" w:hAnsi="Times New Roman" w:cs="Times New Roman"/>
          <w:sz w:val="24"/>
          <w:szCs w:val="24"/>
        </w:rPr>
        <w:t>, a także zachować dotychczasowe brzmienie zezwoleń na zbiorowe zarządzanie prawami autorskimi i prawami pokrewnymi</w:t>
      </w:r>
      <w:r w:rsidR="00B233CA" w:rsidRPr="009935E0">
        <w:rPr>
          <w:rFonts w:ascii="Times New Roman" w:hAnsi="Times New Roman" w:cs="Times New Roman"/>
          <w:sz w:val="24"/>
          <w:szCs w:val="24"/>
        </w:rPr>
        <w:t>. Alternatywą dla takiego rozwiązania byłoby wyodrębnienie „wprowadzenia bezpośredniego” jako nowego pola eksploatacji</w:t>
      </w:r>
      <w:r w:rsidR="00222CB3" w:rsidRPr="009935E0">
        <w:rPr>
          <w:rFonts w:ascii="Times New Roman" w:hAnsi="Times New Roman" w:cs="Times New Roman"/>
          <w:sz w:val="24"/>
          <w:szCs w:val="24"/>
        </w:rPr>
        <w:t xml:space="preserve"> – powstałaby jednak wtedy konieczność dokonania zmian całego szeregu przepisów ustawy o prawie autorskim oraz kolejnej zmiany zezwoleń organizacji zbiorowego zarządzania </w:t>
      </w:r>
      <w:r w:rsidR="00A41578" w:rsidRPr="009935E0">
        <w:rPr>
          <w:rFonts w:ascii="Times New Roman" w:hAnsi="Times New Roman" w:cs="Times New Roman"/>
          <w:sz w:val="24"/>
          <w:szCs w:val="24"/>
        </w:rPr>
        <w:t xml:space="preserve">polegającej na </w:t>
      </w:r>
      <w:r w:rsidR="00222CB3" w:rsidRPr="009935E0">
        <w:rPr>
          <w:rFonts w:ascii="Times New Roman" w:hAnsi="Times New Roman" w:cs="Times New Roman"/>
          <w:sz w:val="24"/>
          <w:szCs w:val="24"/>
        </w:rPr>
        <w:t>dopisani</w:t>
      </w:r>
      <w:r w:rsidR="00A41578" w:rsidRPr="009935E0">
        <w:rPr>
          <w:rFonts w:ascii="Times New Roman" w:hAnsi="Times New Roman" w:cs="Times New Roman"/>
          <w:sz w:val="24"/>
          <w:szCs w:val="24"/>
        </w:rPr>
        <w:t>u</w:t>
      </w:r>
      <w:r w:rsidR="00222CB3" w:rsidRPr="009935E0">
        <w:rPr>
          <w:rFonts w:ascii="Times New Roman" w:hAnsi="Times New Roman" w:cs="Times New Roman"/>
          <w:sz w:val="24"/>
          <w:szCs w:val="24"/>
        </w:rPr>
        <w:t xml:space="preserve"> w </w:t>
      </w:r>
      <w:r w:rsidR="00A41578" w:rsidRPr="009935E0">
        <w:rPr>
          <w:rFonts w:ascii="Times New Roman" w:hAnsi="Times New Roman" w:cs="Times New Roman"/>
          <w:sz w:val="24"/>
          <w:szCs w:val="24"/>
        </w:rPr>
        <w:t>nich</w:t>
      </w:r>
      <w:r w:rsidR="00222CB3" w:rsidRPr="009935E0">
        <w:rPr>
          <w:rFonts w:ascii="Times New Roman" w:hAnsi="Times New Roman" w:cs="Times New Roman"/>
          <w:sz w:val="24"/>
          <w:szCs w:val="24"/>
        </w:rPr>
        <w:t xml:space="preserve"> tego nowego pola eksploatacji. Co jednak bardziej istotne – pola eksploatacji aktualnie wyodrębnione w art. 50 ustawy o prawie autorskim mają bardzo różny charakter, stanowią ekonomicznie całkowicie odmienne sposoby eksploatacji utworów. Tymczasem</w:t>
      </w:r>
      <w:r w:rsidR="002F729C" w:rsidRPr="009935E0">
        <w:rPr>
          <w:rFonts w:ascii="Times New Roman" w:hAnsi="Times New Roman" w:cs="Times New Roman"/>
          <w:sz w:val="24"/>
          <w:szCs w:val="24"/>
        </w:rPr>
        <w:t xml:space="preserve"> </w:t>
      </w:r>
      <w:r w:rsidR="00222CB3" w:rsidRPr="009935E0">
        <w:rPr>
          <w:rFonts w:ascii="Times New Roman" w:hAnsi="Times New Roman" w:cs="Times New Roman"/>
          <w:sz w:val="24"/>
          <w:szCs w:val="24"/>
        </w:rPr>
        <w:t xml:space="preserve">„wprowadzenie bezpośrednie” jest </w:t>
      </w:r>
      <w:r w:rsidR="00EF69F5" w:rsidRPr="009935E0">
        <w:rPr>
          <w:rFonts w:ascii="Times New Roman" w:hAnsi="Times New Roman" w:cs="Times New Roman"/>
          <w:sz w:val="24"/>
          <w:szCs w:val="24"/>
        </w:rPr>
        <w:t xml:space="preserve">ekonomicznie </w:t>
      </w:r>
      <w:r w:rsidR="00A41578" w:rsidRPr="009935E0">
        <w:rPr>
          <w:rFonts w:ascii="Times New Roman" w:hAnsi="Times New Roman" w:cs="Times New Roman"/>
          <w:sz w:val="24"/>
          <w:szCs w:val="24"/>
        </w:rPr>
        <w:t>tożsame z</w:t>
      </w:r>
      <w:r w:rsidR="00222CB3" w:rsidRPr="009935E0">
        <w:rPr>
          <w:rFonts w:ascii="Times New Roman" w:hAnsi="Times New Roman" w:cs="Times New Roman"/>
          <w:sz w:val="24"/>
          <w:szCs w:val="24"/>
        </w:rPr>
        <w:t xml:space="preserve"> </w:t>
      </w:r>
      <w:r w:rsidR="00EB4F56" w:rsidRPr="009935E0">
        <w:rPr>
          <w:rFonts w:ascii="Times New Roman" w:hAnsi="Times New Roman" w:cs="Times New Roman"/>
          <w:sz w:val="24"/>
          <w:szCs w:val="24"/>
        </w:rPr>
        <w:t>nadawaniem</w:t>
      </w:r>
      <w:r w:rsidR="00B75874" w:rsidRPr="009935E0">
        <w:rPr>
          <w:rFonts w:ascii="Times New Roman" w:hAnsi="Times New Roman" w:cs="Times New Roman"/>
          <w:sz w:val="24"/>
          <w:szCs w:val="24"/>
        </w:rPr>
        <w:t xml:space="preserve"> </w:t>
      </w:r>
      <w:r w:rsidR="00517642" w:rsidRPr="009935E0">
        <w:rPr>
          <w:rFonts w:ascii="Times New Roman" w:hAnsi="Times New Roman" w:cs="Times New Roman"/>
          <w:sz w:val="24"/>
          <w:szCs w:val="24"/>
        </w:rPr>
        <w:t>i reemitowaniem</w:t>
      </w:r>
      <w:r w:rsidR="00222CB3" w:rsidRPr="009935E0">
        <w:rPr>
          <w:rFonts w:ascii="Times New Roman" w:hAnsi="Times New Roman" w:cs="Times New Roman"/>
          <w:sz w:val="24"/>
          <w:szCs w:val="24"/>
        </w:rPr>
        <w:t xml:space="preserve">, </w:t>
      </w:r>
      <w:r w:rsidR="00A41578" w:rsidRPr="009935E0">
        <w:rPr>
          <w:rFonts w:ascii="Times New Roman" w:hAnsi="Times New Roman" w:cs="Times New Roman"/>
          <w:sz w:val="24"/>
          <w:szCs w:val="24"/>
        </w:rPr>
        <w:t>jednakże</w:t>
      </w:r>
      <w:r w:rsidR="00222CB3" w:rsidRPr="009935E0">
        <w:rPr>
          <w:rFonts w:ascii="Times New Roman" w:hAnsi="Times New Roman" w:cs="Times New Roman"/>
          <w:sz w:val="24"/>
          <w:szCs w:val="24"/>
        </w:rPr>
        <w:t xml:space="preserve"> w tym przypadku postęp techniki udostępniania sygnału RTV wyprzedził regulacje prawne i zawarte w nich definicje </w:t>
      </w:r>
      <w:r w:rsidR="00517642" w:rsidRPr="009935E0">
        <w:rPr>
          <w:rFonts w:ascii="Times New Roman" w:hAnsi="Times New Roman" w:cs="Times New Roman"/>
          <w:sz w:val="24"/>
          <w:szCs w:val="24"/>
        </w:rPr>
        <w:t>tych pól eksploatacji</w:t>
      </w:r>
      <w:r w:rsidR="00222CB3" w:rsidRPr="009935E0">
        <w:rPr>
          <w:rFonts w:ascii="Times New Roman" w:hAnsi="Times New Roman" w:cs="Times New Roman"/>
          <w:sz w:val="24"/>
          <w:szCs w:val="24"/>
        </w:rPr>
        <w:t>. Nie wydaje się zatem zasadn</w:t>
      </w:r>
      <w:r w:rsidR="001176AA" w:rsidRPr="009935E0">
        <w:rPr>
          <w:rFonts w:ascii="Times New Roman" w:hAnsi="Times New Roman" w:cs="Times New Roman"/>
          <w:sz w:val="24"/>
          <w:szCs w:val="24"/>
        </w:rPr>
        <w:t>e normatywne wyodrębnienie w t</w:t>
      </w:r>
      <w:r w:rsidR="00222CB3" w:rsidRPr="009935E0">
        <w:rPr>
          <w:rFonts w:ascii="Times New Roman" w:hAnsi="Times New Roman" w:cs="Times New Roman"/>
          <w:sz w:val="24"/>
          <w:szCs w:val="24"/>
        </w:rPr>
        <w:t>ym zakresie nowego pola eksploatacji.</w:t>
      </w:r>
    </w:p>
    <w:p w14:paraId="3D813C52" w14:textId="6B03B49C" w:rsidR="00025AD1" w:rsidRPr="009935E0" w:rsidRDefault="00EC5D1E"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Zgodnie z art. 11 ust. 2 dyrektywy</w:t>
      </w:r>
      <w:r w:rsidR="00BB7258" w:rsidRPr="009935E0">
        <w:rPr>
          <w:rFonts w:ascii="Times New Roman" w:hAnsi="Times New Roman" w:cs="Times New Roman"/>
          <w:sz w:val="24"/>
          <w:szCs w:val="24"/>
        </w:rPr>
        <w:t xml:space="preserve"> </w:t>
      </w:r>
      <w:r w:rsidR="004758BB" w:rsidRPr="009935E0">
        <w:rPr>
          <w:rFonts w:ascii="Times New Roman" w:hAnsi="Times New Roman" w:cs="Times New Roman"/>
          <w:sz w:val="24"/>
          <w:szCs w:val="24"/>
        </w:rPr>
        <w:t xml:space="preserve">SATCAB II </w:t>
      </w:r>
      <w:r w:rsidR="00BB7258" w:rsidRPr="009935E0">
        <w:rPr>
          <w:rFonts w:ascii="Times New Roman" w:hAnsi="Times New Roman" w:cs="Times New Roman"/>
          <w:sz w:val="24"/>
          <w:szCs w:val="24"/>
        </w:rPr>
        <w:t xml:space="preserve">wprowadza się </w:t>
      </w:r>
      <w:r w:rsidRPr="009935E0">
        <w:rPr>
          <w:rFonts w:ascii="Times New Roman" w:hAnsi="Times New Roman" w:cs="Times New Roman"/>
          <w:sz w:val="24"/>
          <w:szCs w:val="24"/>
        </w:rPr>
        <w:t>w art</w:t>
      </w:r>
      <w:r w:rsidR="00C403A7" w:rsidRPr="009935E0">
        <w:rPr>
          <w:rFonts w:ascii="Times New Roman" w:hAnsi="Times New Roman" w:cs="Times New Roman"/>
          <w:sz w:val="24"/>
          <w:szCs w:val="24"/>
        </w:rPr>
        <w:t xml:space="preserve">. 4 ust. 2 projektowanej ustawy </w:t>
      </w:r>
      <w:r w:rsidRPr="009935E0">
        <w:rPr>
          <w:rFonts w:ascii="Times New Roman" w:hAnsi="Times New Roman" w:cs="Times New Roman"/>
          <w:sz w:val="24"/>
          <w:szCs w:val="24"/>
        </w:rPr>
        <w:t xml:space="preserve">przepis przejściowy, zgodnie z którym </w:t>
      </w:r>
      <w:r w:rsidR="00795CDC" w:rsidRPr="009935E0">
        <w:rPr>
          <w:rFonts w:ascii="Times New Roman" w:hAnsi="Times New Roman" w:cs="Times New Roman"/>
          <w:sz w:val="24"/>
          <w:szCs w:val="24"/>
        </w:rPr>
        <w:t>do obowiązujących w dniu wejścia w życie projektowanej ustawy zgód uprawnionego na rozpowszechnianie utworów lub przedmiotów praw pokrewnych nadawanych drogą wprowadzenia bezpośredniego nowe przepisy art. 6 ust.</w:t>
      </w:r>
      <w:r w:rsidR="000F7596">
        <w:rPr>
          <w:rFonts w:ascii="Times New Roman" w:hAnsi="Times New Roman" w:cs="Times New Roman"/>
          <w:sz w:val="24"/>
          <w:szCs w:val="24"/>
        </w:rPr>
        <w:t> </w:t>
      </w:r>
      <w:r w:rsidR="00795CDC" w:rsidRPr="009935E0">
        <w:rPr>
          <w:rFonts w:ascii="Times New Roman" w:hAnsi="Times New Roman" w:cs="Times New Roman"/>
          <w:sz w:val="24"/>
          <w:szCs w:val="24"/>
        </w:rPr>
        <w:t xml:space="preserve">1 pkt 4 i 5 </w:t>
      </w:r>
      <w:r w:rsidRPr="009935E0">
        <w:rPr>
          <w:rFonts w:ascii="Times New Roman" w:hAnsi="Times New Roman" w:cs="Times New Roman"/>
          <w:sz w:val="24"/>
          <w:szCs w:val="24"/>
        </w:rPr>
        <w:t>ustawy o prawie autorskim będ</w:t>
      </w:r>
      <w:r w:rsidR="00795CDC" w:rsidRPr="009935E0">
        <w:rPr>
          <w:rFonts w:ascii="Times New Roman" w:hAnsi="Times New Roman" w:cs="Times New Roman"/>
          <w:sz w:val="24"/>
          <w:szCs w:val="24"/>
        </w:rPr>
        <w:t xml:space="preserve">ą </w:t>
      </w:r>
      <w:r w:rsidRPr="009935E0">
        <w:rPr>
          <w:rFonts w:ascii="Times New Roman" w:hAnsi="Times New Roman" w:cs="Times New Roman"/>
          <w:sz w:val="24"/>
          <w:szCs w:val="24"/>
        </w:rPr>
        <w:t>stosowa</w:t>
      </w:r>
      <w:r w:rsidR="00795CDC" w:rsidRPr="009935E0">
        <w:rPr>
          <w:rFonts w:ascii="Times New Roman" w:hAnsi="Times New Roman" w:cs="Times New Roman"/>
          <w:sz w:val="24"/>
          <w:szCs w:val="24"/>
        </w:rPr>
        <w:t>ne</w:t>
      </w:r>
      <w:r w:rsidRPr="009935E0">
        <w:rPr>
          <w:rFonts w:ascii="Times New Roman" w:hAnsi="Times New Roman" w:cs="Times New Roman"/>
          <w:sz w:val="24"/>
          <w:szCs w:val="24"/>
        </w:rPr>
        <w:t xml:space="preserve"> od dnia 7 czerwca 2025 r., jeżeli </w:t>
      </w:r>
      <w:r w:rsidR="00025AD1" w:rsidRPr="009935E0">
        <w:rPr>
          <w:rFonts w:ascii="Times New Roman" w:hAnsi="Times New Roman" w:cs="Times New Roman"/>
          <w:sz w:val="24"/>
          <w:szCs w:val="24"/>
        </w:rPr>
        <w:t xml:space="preserve">zgody te wygasają po tej dacie. </w:t>
      </w:r>
      <w:r w:rsidRPr="009935E0">
        <w:rPr>
          <w:rFonts w:ascii="Times New Roman" w:hAnsi="Times New Roman" w:cs="Times New Roman"/>
          <w:sz w:val="24"/>
          <w:szCs w:val="24"/>
        </w:rPr>
        <w:t xml:space="preserve">Przepis dyrektywy odnosi się do </w:t>
      </w:r>
      <w:r w:rsidR="00025AD1" w:rsidRPr="009935E0">
        <w:rPr>
          <w:rFonts w:ascii="Times New Roman" w:hAnsi="Times New Roman" w:cs="Times New Roman"/>
          <w:sz w:val="24"/>
          <w:szCs w:val="24"/>
        </w:rPr>
        <w:t>zgód</w:t>
      </w:r>
      <w:r w:rsidRPr="009935E0">
        <w:rPr>
          <w:rFonts w:ascii="Times New Roman" w:hAnsi="Times New Roman" w:cs="Times New Roman"/>
          <w:sz w:val="24"/>
          <w:szCs w:val="24"/>
        </w:rPr>
        <w:t xml:space="preserve"> obowiązujących w dniu 7 czerwca 2021 r., ponieważ jednak projektowana ustawa wejdzie w życie w terminie późniejszym, zasadne jest stosowanie przepisu przejściowego do </w:t>
      </w:r>
      <w:r w:rsidR="00025AD1" w:rsidRPr="009935E0">
        <w:rPr>
          <w:rFonts w:ascii="Times New Roman" w:hAnsi="Times New Roman" w:cs="Times New Roman"/>
          <w:sz w:val="24"/>
          <w:szCs w:val="24"/>
        </w:rPr>
        <w:t>zgód</w:t>
      </w:r>
      <w:r w:rsidRPr="009935E0">
        <w:rPr>
          <w:rFonts w:ascii="Times New Roman" w:hAnsi="Times New Roman" w:cs="Times New Roman"/>
          <w:sz w:val="24"/>
          <w:szCs w:val="24"/>
        </w:rPr>
        <w:t xml:space="preserve"> obowiązujących w d</w:t>
      </w:r>
      <w:r w:rsidR="00116DDF" w:rsidRPr="009935E0">
        <w:rPr>
          <w:rFonts w:ascii="Times New Roman" w:hAnsi="Times New Roman" w:cs="Times New Roman"/>
          <w:sz w:val="24"/>
          <w:szCs w:val="24"/>
        </w:rPr>
        <w:t>niu wejścia w</w:t>
      </w:r>
      <w:r w:rsidR="000F7596">
        <w:rPr>
          <w:rFonts w:ascii="Times New Roman" w:hAnsi="Times New Roman" w:cs="Times New Roman"/>
          <w:sz w:val="24"/>
          <w:szCs w:val="24"/>
        </w:rPr>
        <w:t> </w:t>
      </w:r>
      <w:r w:rsidR="00116DDF" w:rsidRPr="009935E0">
        <w:rPr>
          <w:rFonts w:ascii="Times New Roman" w:hAnsi="Times New Roman" w:cs="Times New Roman"/>
          <w:sz w:val="24"/>
          <w:szCs w:val="24"/>
        </w:rPr>
        <w:t>życie tej ustawy.</w:t>
      </w:r>
    </w:p>
    <w:p w14:paraId="2A1BF6E4" w14:textId="77777777" w:rsidR="00501876" w:rsidRPr="009935E0" w:rsidRDefault="00826EEE" w:rsidP="009935E0">
      <w:pPr>
        <w:pStyle w:val="Akapitzlist"/>
        <w:spacing w:before="120" w:after="0" w:line="360" w:lineRule="auto"/>
        <w:ind w:left="0"/>
        <w:jc w:val="center"/>
        <w:rPr>
          <w:rFonts w:ascii="Times New Roman" w:hAnsi="Times New Roman" w:cs="Times New Roman"/>
          <w:b/>
          <w:sz w:val="24"/>
          <w:szCs w:val="24"/>
        </w:rPr>
      </w:pPr>
      <w:r w:rsidRPr="009935E0">
        <w:rPr>
          <w:rFonts w:ascii="Times New Roman" w:hAnsi="Times New Roman" w:cs="Times New Roman"/>
          <w:b/>
          <w:sz w:val="24"/>
          <w:szCs w:val="24"/>
        </w:rPr>
        <w:t>Implementacja dyrektywy DSM</w:t>
      </w:r>
    </w:p>
    <w:p w14:paraId="2F5D45BB" w14:textId="77777777" w:rsidR="00BF4722" w:rsidRPr="009935E0" w:rsidRDefault="00BF4722" w:rsidP="00483092">
      <w:pPr>
        <w:pStyle w:val="Akapitzlist"/>
        <w:numPr>
          <w:ilvl w:val="0"/>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Dozwolony użytek (art. 3–7 dyrektywy</w:t>
      </w:r>
      <w:r w:rsidR="004758BB" w:rsidRPr="009935E0">
        <w:rPr>
          <w:rFonts w:ascii="Times New Roman" w:hAnsi="Times New Roman" w:cs="Times New Roman"/>
          <w:b/>
          <w:sz w:val="24"/>
          <w:szCs w:val="24"/>
        </w:rPr>
        <w:t xml:space="preserve"> DSM</w:t>
      </w:r>
      <w:r w:rsidRPr="009935E0">
        <w:rPr>
          <w:rFonts w:ascii="Times New Roman" w:hAnsi="Times New Roman" w:cs="Times New Roman"/>
          <w:b/>
          <w:sz w:val="24"/>
          <w:szCs w:val="24"/>
        </w:rPr>
        <w:t>)</w:t>
      </w:r>
    </w:p>
    <w:p w14:paraId="11F0661B" w14:textId="2067C437" w:rsidR="00BF4722" w:rsidRPr="009935E0" w:rsidRDefault="00BF4722" w:rsidP="00483092">
      <w:pPr>
        <w:pStyle w:val="Akapitzlist"/>
        <w:numPr>
          <w:ilvl w:val="1"/>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 xml:space="preserve">Eksploracja tekstów i danych </w:t>
      </w:r>
      <w:r w:rsidR="0026328A" w:rsidRPr="009935E0">
        <w:rPr>
          <w:rFonts w:ascii="Times New Roman" w:hAnsi="Times New Roman" w:cs="Times New Roman"/>
          <w:b/>
          <w:sz w:val="24"/>
          <w:szCs w:val="24"/>
        </w:rPr>
        <w:t>na potrzeby badań naukowych</w:t>
      </w:r>
      <w:r w:rsidRPr="009935E0">
        <w:rPr>
          <w:rFonts w:ascii="Times New Roman" w:hAnsi="Times New Roman" w:cs="Times New Roman"/>
          <w:b/>
          <w:sz w:val="24"/>
          <w:szCs w:val="24"/>
        </w:rPr>
        <w:t xml:space="preserve"> (art. 3 dyrektywy</w:t>
      </w:r>
      <w:r w:rsidR="004758BB" w:rsidRPr="009935E0">
        <w:rPr>
          <w:rFonts w:ascii="Times New Roman" w:hAnsi="Times New Roman" w:cs="Times New Roman"/>
          <w:b/>
          <w:sz w:val="24"/>
          <w:szCs w:val="24"/>
        </w:rPr>
        <w:t xml:space="preserve"> DSM</w:t>
      </w:r>
      <w:r w:rsidRPr="009935E0">
        <w:rPr>
          <w:rFonts w:ascii="Times New Roman" w:hAnsi="Times New Roman" w:cs="Times New Roman"/>
          <w:b/>
          <w:sz w:val="24"/>
          <w:szCs w:val="24"/>
        </w:rPr>
        <w:t>)</w:t>
      </w:r>
    </w:p>
    <w:p w14:paraId="4E89C3FE" w14:textId="77777777" w:rsidR="00BF4722" w:rsidRPr="009935E0" w:rsidRDefault="00BF4722" w:rsidP="00483092">
      <w:pPr>
        <w:spacing w:before="120" w:after="0" w:line="360" w:lineRule="auto"/>
        <w:jc w:val="both"/>
        <w:rPr>
          <w:rFonts w:ascii="Times New Roman" w:hAnsi="Times New Roman" w:cs="Times New Roman"/>
          <w:sz w:val="24"/>
          <w:szCs w:val="24"/>
          <w:lang w:eastAsia="pl-PL"/>
        </w:rPr>
      </w:pPr>
      <w:r w:rsidRPr="009935E0">
        <w:rPr>
          <w:rFonts w:ascii="Times New Roman" w:hAnsi="Times New Roman" w:cs="Times New Roman"/>
          <w:sz w:val="24"/>
          <w:szCs w:val="24"/>
        </w:rPr>
        <w:t xml:space="preserve">Art. 3 dyrektywy DSM wprowadza do prawa autorskiego </w:t>
      </w:r>
      <w:r w:rsidR="007F0056" w:rsidRPr="009935E0">
        <w:rPr>
          <w:rFonts w:ascii="Times New Roman" w:hAnsi="Times New Roman" w:cs="Times New Roman"/>
          <w:sz w:val="24"/>
          <w:szCs w:val="24"/>
        </w:rPr>
        <w:t xml:space="preserve">nową postać dozwolonego użytku na rzecz </w:t>
      </w:r>
      <w:r w:rsidRPr="009935E0">
        <w:rPr>
          <w:rFonts w:ascii="Times New Roman" w:hAnsi="Times New Roman" w:cs="Times New Roman"/>
          <w:sz w:val="24"/>
          <w:szCs w:val="24"/>
          <w:lang w:eastAsia="pl-PL"/>
        </w:rPr>
        <w:t>uczelni, organizacji badawczych oraz instytucji dziedzictwa kulturowego</w:t>
      </w:r>
      <w:r w:rsidR="007F0056" w:rsidRPr="009935E0">
        <w:rPr>
          <w:rFonts w:ascii="Times New Roman" w:hAnsi="Times New Roman" w:cs="Times New Roman"/>
          <w:sz w:val="24"/>
          <w:szCs w:val="24"/>
          <w:lang w:eastAsia="pl-PL"/>
        </w:rPr>
        <w:t xml:space="preserve"> – możliwość</w:t>
      </w:r>
      <w:r w:rsidRPr="009935E0">
        <w:rPr>
          <w:rFonts w:ascii="Times New Roman" w:hAnsi="Times New Roman" w:cs="Times New Roman"/>
          <w:sz w:val="24"/>
          <w:szCs w:val="24"/>
          <w:lang w:eastAsia="pl-PL"/>
        </w:rPr>
        <w:t xml:space="preserve"> eksploracji tekstów i danych.</w:t>
      </w:r>
      <w:r w:rsidRPr="009935E0">
        <w:rPr>
          <w:rFonts w:ascii="Times New Roman" w:hAnsi="Times New Roman" w:cs="Times New Roman"/>
          <w:sz w:val="24"/>
          <w:szCs w:val="24"/>
        </w:rPr>
        <w:t xml:space="preserve"> Prawodawca unijny dostrzega, że </w:t>
      </w:r>
      <w:r w:rsidRPr="009935E0">
        <w:rPr>
          <w:rFonts w:ascii="Times New Roman" w:hAnsi="Times New Roman" w:cs="Times New Roman"/>
          <w:sz w:val="24"/>
          <w:szCs w:val="24"/>
          <w:lang w:eastAsia="pl-PL"/>
        </w:rPr>
        <w:t>badania naukowe są coraz częściej prowadzone przy pomocy technologii</w:t>
      </w:r>
      <w:r w:rsidR="007F0056" w:rsidRPr="009935E0">
        <w:rPr>
          <w:rFonts w:ascii="Times New Roman" w:hAnsi="Times New Roman" w:cs="Times New Roman"/>
          <w:sz w:val="24"/>
          <w:szCs w:val="24"/>
          <w:lang w:eastAsia="pl-PL"/>
        </w:rPr>
        <w:t>, która umożliwia</w:t>
      </w:r>
      <w:r w:rsidRPr="009935E0">
        <w:rPr>
          <w:rFonts w:ascii="Times New Roman" w:hAnsi="Times New Roman" w:cs="Times New Roman"/>
          <w:sz w:val="24"/>
          <w:szCs w:val="24"/>
          <w:lang w:eastAsia="pl-PL"/>
        </w:rPr>
        <w:t xml:space="preserve"> automatyczną matematyczną analizę informacji w postaci cyfrowej, takich jak teksty, dźwięki, obrazy</w:t>
      </w:r>
      <w:r w:rsidR="007F0056" w:rsidRPr="009935E0">
        <w:rPr>
          <w:rFonts w:ascii="Times New Roman" w:hAnsi="Times New Roman" w:cs="Times New Roman"/>
          <w:sz w:val="24"/>
          <w:szCs w:val="24"/>
          <w:lang w:eastAsia="pl-PL"/>
        </w:rPr>
        <w:t xml:space="preserve"> lub dane, powszechnie określanej</w:t>
      </w:r>
      <w:r w:rsidRPr="009935E0">
        <w:rPr>
          <w:rFonts w:ascii="Times New Roman" w:hAnsi="Times New Roman" w:cs="Times New Roman"/>
          <w:sz w:val="24"/>
          <w:szCs w:val="24"/>
          <w:lang w:eastAsia="pl-PL"/>
        </w:rPr>
        <w:t xml:space="preserve"> jako „eksploracja tekstów i danych</w:t>
      </w:r>
      <w:r w:rsidR="00897940" w:rsidRPr="009935E0">
        <w:rPr>
          <w:rFonts w:ascii="Times New Roman" w:hAnsi="Times New Roman" w:cs="Times New Roman"/>
          <w:sz w:val="24"/>
          <w:szCs w:val="24"/>
          <w:lang w:eastAsia="pl-PL"/>
        </w:rPr>
        <w:t>”</w:t>
      </w:r>
      <w:r w:rsidRPr="009935E0">
        <w:rPr>
          <w:rFonts w:ascii="Times New Roman" w:hAnsi="Times New Roman" w:cs="Times New Roman"/>
          <w:sz w:val="24"/>
          <w:szCs w:val="24"/>
          <w:lang w:eastAsia="pl-PL"/>
        </w:rPr>
        <w:t xml:space="preserve"> (ang.</w:t>
      </w:r>
      <w:r w:rsidR="007F0056" w:rsidRPr="009935E0">
        <w:rPr>
          <w:rFonts w:ascii="Times New Roman" w:hAnsi="Times New Roman" w:cs="Times New Roman"/>
          <w:sz w:val="24"/>
          <w:szCs w:val="24"/>
          <w:lang w:eastAsia="pl-PL"/>
        </w:rPr>
        <w:t xml:space="preserve"> </w:t>
      </w:r>
      <w:proofErr w:type="spellStart"/>
      <w:r w:rsidR="007F0056" w:rsidRPr="009935E0">
        <w:rPr>
          <w:rFonts w:ascii="Times New Roman" w:hAnsi="Times New Roman" w:cs="Times New Roman"/>
          <w:i/>
          <w:sz w:val="24"/>
          <w:szCs w:val="24"/>
          <w:lang w:eastAsia="pl-PL"/>
        </w:rPr>
        <w:t>text</w:t>
      </w:r>
      <w:proofErr w:type="spellEnd"/>
      <w:r w:rsidR="007F0056" w:rsidRPr="009935E0">
        <w:rPr>
          <w:rFonts w:ascii="Times New Roman" w:hAnsi="Times New Roman" w:cs="Times New Roman"/>
          <w:i/>
          <w:sz w:val="24"/>
          <w:szCs w:val="24"/>
          <w:lang w:eastAsia="pl-PL"/>
        </w:rPr>
        <w:t xml:space="preserve"> and data </w:t>
      </w:r>
      <w:proofErr w:type="spellStart"/>
      <w:r w:rsidR="007F0056" w:rsidRPr="009935E0">
        <w:rPr>
          <w:rFonts w:ascii="Times New Roman" w:hAnsi="Times New Roman" w:cs="Times New Roman"/>
          <w:i/>
          <w:sz w:val="24"/>
          <w:szCs w:val="24"/>
          <w:lang w:eastAsia="pl-PL"/>
        </w:rPr>
        <w:t>mining</w:t>
      </w:r>
      <w:proofErr w:type="spellEnd"/>
      <w:r w:rsidR="007F0056" w:rsidRPr="009935E0">
        <w:rPr>
          <w:rFonts w:ascii="Times New Roman" w:hAnsi="Times New Roman" w:cs="Times New Roman"/>
          <w:sz w:val="24"/>
          <w:szCs w:val="24"/>
          <w:lang w:eastAsia="pl-PL"/>
        </w:rPr>
        <w:t>,</w:t>
      </w:r>
      <w:r w:rsidR="00897940" w:rsidRPr="009935E0">
        <w:rPr>
          <w:rFonts w:ascii="Times New Roman" w:hAnsi="Times New Roman" w:cs="Times New Roman"/>
          <w:sz w:val="24"/>
          <w:szCs w:val="24"/>
          <w:lang w:eastAsia="pl-PL"/>
        </w:rPr>
        <w:t xml:space="preserve"> TDM)</w:t>
      </w:r>
      <w:r w:rsidRPr="009935E0">
        <w:rPr>
          <w:rFonts w:ascii="Times New Roman" w:hAnsi="Times New Roman" w:cs="Times New Roman"/>
          <w:sz w:val="24"/>
          <w:szCs w:val="24"/>
          <w:lang w:eastAsia="pl-PL"/>
        </w:rPr>
        <w:t xml:space="preserve">. Technologie </w:t>
      </w:r>
      <w:r w:rsidRPr="009935E0">
        <w:rPr>
          <w:rFonts w:ascii="Times New Roman" w:hAnsi="Times New Roman" w:cs="Times New Roman"/>
          <w:sz w:val="24"/>
          <w:szCs w:val="24"/>
          <w:lang w:eastAsia="pl-PL"/>
        </w:rPr>
        <w:lastRenderedPageBreak/>
        <w:t>eksploracji tekstów i danych umożliwiają przetwarzanie dużych ilości informacji w celu uzyskania nowej wiedzy lub zidentyfikowania nowych tendencji</w:t>
      </w:r>
      <w:r w:rsidR="0026328A" w:rsidRPr="009935E0">
        <w:rPr>
          <w:rFonts w:ascii="Times New Roman" w:hAnsi="Times New Roman" w:cs="Times New Roman"/>
          <w:sz w:val="24"/>
          <w:szCs w:val="24"/>
          <w:lang w:eastAsia="pl-PL"/>
        </w:rPr>
        <w:t xml:space="preserve"> i </w:t>
      </w:r>
      <w:r w:rsidRPr="009935E0">
        <w:rPr>
          <w:rFonts w:ascii="Times New Roman" w:hAnsi="Times New Roman" w:cs="Times New Roman"/>
          <w:sz w:val="24"/>
          <w:szCs w:val="24"/>
          <w:lang w:eastAsia="pl-PL"/>
        </w:rPr>
        <w:t>korelacji. Mogą one przynieść szczególne korzyści ucze</w:t>
      </w:r>
      <w:r w:rsidR="0026328A" w:rsidRPr="009935E0">
        <w:rPr>
          <w:rFonts w:ascii="Times New Roman" w:hAnsi="Times New Roman" w:cs="Times New Roman"/>
          <w:sz w:val="24"/>
          <w:szCs w:val="24"/>
          <w:lang w:eastAsia="pl-PL"/>
        </w:rPr>
        <w:t>lniom, organizacjom badawczym i </w:t>
      </w:r>
      <w:r w:rsidRPr="009935E0">
        <w:rPr>
          <w:rFonts w:ascii="Times New Roman" w:hAnsi="Times New Roman" w:cs="Times New Roman"/>
          <w:sz w:val="24"/>
          <w:szCs w:val="24"/>
          <w:lang w:eastAsia="pl-PL"/>
        </w:rPr>
        <w:t>instytucjom dziedzictwa kulturowego, które prowadzą badania w ramach swojej głównej działalności, tym samym wspierając innowacje i postęp naukowy (motyw 8 dyrektywy</w:t>
      </w:r>
      <w:r w:rsidR="004758BB" w:rsidRPr="009935E0">
        <w:rPr>
          <w:rFonts w:ascii="Times New Roman" w:hAnsi="Times New Roman" w:cs="Times New Roman"/>
          <w:sz w:val="24"/>
          <w:szCs w:val="24"/>
          <w:lang w:eastAsia="pl-PL"/>
        </w:rPr>
        <w:t xml:space="preserve"> DSM</w:t>
      </w:r>
      <w:r w:rsidRPr="009935E0">
        <w:rPr>
          <w:rFonts w:ascii="Times New Roman" w:hAnsi="Times New Roman" w:cs="Times New Roman"/>
          <w:sz w:val="24"/>
          <w:szCs w:val="24"/>
          <w:lang w:eastAsia="pl-PL"/>
        </w:rPr>
        <w:t>)</w:t>
      </w:r>
      <w:r w:rsidR="0026328A" w:rsidRPr="009935E0">
        <w:rPr>
          <w:rFonts w:ascii="Times New Roman" w:hAnsi="Times New Roman" w:cs="Times New Roman"/>
          <w:sz w:val="24"/>
          <w:szCs w:val="24"/>
          <w:lang w:eastAsia="pl-PL"/>
        </w:rPr>
        <w:t>. W </w:t>
      </w:r>
      <w:r w:rsidRPr="009935E0">
        <w:rPr>
          <w:rFonts w:ascii="Times New Roman" w:hAnsi="Times New Roman" w:cs="Times New Roman"/>
          <w:sz w:val="24"/>
          <w:szCs w:val="24"/>
          <w:lang w:eastAsia="pl-PL"/>
        </w:rPr>
        <w:t xml:space="preserve">motywach 8, 10 i 11 </w:t>
      </w:r>
      <w:r w:rsidR="004758BB" w:rsidRPr="009935E0">
        <w:rPr>
          <w:rFonts w:ascii="Times New Roman" w:hAnsi="Times New Roman" w:cs="Times New Roman"/>
          <w:sz w:val="24"/>
          <w:szCs w:val="24"/>
          <w:lang w:eastAsia="pl-PL"/>
        </w:rPr>
        <w:t xml:space="preserve">tej </w:t>
      </w:r>
      <w:r w:rsidRPr="009935E0">
        <w:rPr>
          <w:rFonts w:ascii="Times New Roman" w:hAnsi="Times New Roman" w:cs="Times New Roman"/>
          <w:sz w:val="24"/>
          <w:szCs w:val="24"/>
          <w:lang w:eastAsia="pl-PL"/>
        </w:rPr>
        <w:t xml:space="preserve">dyrektywy zwrócono jednak uwagę na związany z eksploracją tekstów i danych problem braku pewności prawa w odniesieniu do tego, czy pewne czynności wchodzące w zakres takiej eksploracji (np. zwielokrotnianie utworów, pobieranie baz danych) wkraczają w monopol autorski lub prawo producenta baz danych. Wprowadzenie dozwolonego użytku w postaci eksploracji tekstów i danych </w:t>
      </w:r>
      <w:r w:rsidR="0026328A" w:rsidRPr="009935E0">
        <w:rPr>
          <w:rFonts w:ascii="Times New Roman" w:hAnsi="Times New Roman" w:cs="Times New Roman"/>
          <w:sz w:val="24"/>
          <w:szCs w:val="24"/>
          <w:lang w:eastAsia="pl-PL"/>
        </w:rPr>
        <w:t>do</w:t>
      </w:r>
      <w:r w:rsidRPr="009935E0">
        <w:rPr>
          <w:rFonts w:ascii="Times New Roman" w:hAnsi="Times New Roman" w:cs="Times New Roman"/>
          <w:sz w:val="24"/>
          <w:szCs w:val="24"/>
          <w:lang w:eastAsia="pl-PL"/>
        </w:rPr>
        <w:t xml:space="preserve"> celów bada</w:t>
      </w:r>
      <w:r w:rsidR="0026328A" w:rsidRPr="009935E0">
        <w:rPr>
          <w:rFonts w:ascii="Times New Roman" w:hAnsi="Times New Roman" w:cs="Times New Roman"/>
          <w:sz w:val="24"/>
          <w:szCs w:val="24"/>
          <w:lang w:eastAsia="pl-PL"/>
        </w:rPr>
        <w:t>ń naukowych</w:t>
      </w:r>
      <w:r w:rsidRPr="009935E0">
        <w:rPr>
          <w:rFonts w:ascii="Times New Roman" w:hAnsi="Times New Roman" w:cs="Times New Roman"/>
          <w:sz w:val="24"/>
          <w:szCs w:val="24"/>
          <w:lang w:eastAsia="pl-PL"/>
        </w:rPr>
        <w:t xml:space="preserve"> ma rozwiązać </w:t>
      </w:r>
      <w:r w:rsidR="006039D4" w:rsidRPr="009935E0">
        <w:rPr>
          <w:rFonts w:ascii="Times New Roman" w:hAnsi="Times New Roman" w:cs="Times New Roman"/>
          <w:sz w:val="24"/>
          <w:szCs w:val="24"/>
          <w:lang w:eastAsia="pl-PL"/>
        </w:rPr>
        <w:t>ten</w:t>
      </w:r>
      <w:r w:rsidRPr="009935E0">
        <w:rPr>
          <w:rFonts w:ascii="Times New Roman" w:hAnsi="Times New Roman" w:cs="Times New Roman"/>
          <w:sz w:val="24"/>
          <w:szCs w:val="24"/>
          <w:lang w:eastAsia="pl-PL"/>
        </w:rPr>
        <w:t xml:space="preserve"> problem</w:t>
      </w:r>
      <w:r w:rsidR="006039D4" w:rsidRPr="009935E0">
        <w:rPr>
          <w:rFonts w:ascii="Times New Roman" w:hAnsi="Times New Roman" w:cs="Times New Roman"/>
          <w:sz w:val="24"/>
          <w:szCs w:val="24"/>
          <w:lang w:eastAsia="pl-PL"/>
        </w:rPr>
        <w:t>, a tym samym zwiększyć</w:t>
      </w:r>
      <w:r w:rsidRPr="009935E0">
        <w:rPr>
          <w:rFonts w:ascii="Times New Roman" w:hAnsi="Times New Roman" w:cs="Times New Roman"/>
          <w:sz w:val="24"/>
          <w:szCs w:val="24"/>
          <w:lang w:eastAsia="pl-PL"/>
        </w:rPr>
        <w:t xml:space="preserve"> konkurencyjność U</w:t>
      </w:r>
      <w:r w:rsidR="00A94C99" w:rsidRPr="009935E0">
        <w:rPr>
          <w:rFonts w:ascii="Times New Roman" w:hAnsi="Times New Roman" w:cs="Times New Roman"/>
          <w:sz w:val="24"/>
          <w:szCs w:val="24"/>
          <w:lang w:eastAsia="pl-PL"/>
        </w:rPr>
        <w:t xml:space="preserve">nii </w:t>
      </w:r>
      <w:r w:rsidRPr="009935E0">
        <w:rPr>
          <w:rFonts w:ascii="Times New Roman" w:hAnsi="Times New Roman" w:cs="Times New Roman"/>
          <w:sz w:val="24"/>
          <w:szCs w:val="24"/>
          <w:lang w:eastAsia="pl-PL"/>
        </w:rPr>
        <w:t>E</w:t>
      </w:r>
      <w:r w:rsidR="00A94C99" w:rsidRPr="009935E0">
        <w:rPr>
          <w:rFonts w:ascii="Times New Roman" w:hAnsi="Times New Roman" w:cs="Times New Roman"/>
          <w:sz w:val="24"/>
          <w:szCs w:val="24"/>
          <w:lang w:eastAsia="pl-PL"/>
        </w:rPr>
        <w:t>uropejskiej</w:t>
      </w:r>
      <w:r w:rsidRPr="009935E0">
        <w:rPr>
          <w:rFonts w:ascii="Times New Roman" w:hAnsi="Times New Roman" w:cs="Times New Roman"/>
          <w:sz w:val="24"/>
          <w:szCs w:val="24"/>
          <w:lang w:eastAsia="pl-PL"/>
        </w:rPr>
        <w:t xml:space="preserve"> jako przestrzeni badawczej.</w:t>
      </w:r>
    </w:p>
    <w:p w14:paraId="1630CB3B" w14:textId="77777777" w:rsidR="00BF4722" w:rsidRPr="009935E0" w:rsidRDefault="00BF4722" w:rsidP="00483092">
      <w:pPr>
        <w:spacing w:before="120" w:after="0" w:line="360" w:lineRule="auto"/>
        <w:jc w:val="both"/>
        <w:rPr>
          <w:rFonts w:ascii="Times New Roman" w:hAnsi="Times New Roman" w:cs="Times New Roman"/>
          <w:sz w:val="24"/>
          <w:szCs w:val="24"/>
          <w:lang w:eastAsia="pl-PL"/>
        </w:rPr>
      </w:pPr>
      <w:r w:rsidRPr="009935E0">
        <w:rPr>
          <w:rFonts w:ascii="Times New Roman" w:hAnsi="Times New Roman" w:cs="Times New Roman"/>
          <w:sz w:val="24"/>
          <w:szCs w:val="24"/>
          <w:lang w:eastAsia="pl-PL"/>
        </w:rPr>
        <w:t xml:space="preserve">W aktualnym stanie prawnym polskie przepisy nie przewidują </w:t>
      </w:r>
      <w:r w:rsidR="00555802" w:rsidRPr="009935E0">
        <w:rPr>
          <w:rFonts w:ascii="Times New Roman" w:hAnsi="Times New Roman" w:cs="Times New Roman"/>
          <w:sz w:val="24"/>
          <w:szCs w:val="24"/>
          <w:lang w:eastAsia="pl-PL"/>
        </w:rPr>
        <w:t xml:space="preserve">omawianej postaci </w:t>
      </w:r>
      <w:r w:rsidRPr="009935E0">
        <w:rPr>
          <w:rFonts w:ascii="Times New Roman" w:hAnsi="Times New Roman" w:cs="Times New Roman"/>
          <w:sz w:val="24"/>
          <w:szCs w:val="24"/>
          <w:lang w:eastAsia="pl-PL"/>
        </w:rPr>
        <w:t>dozwolonego użytku.</w:t>
      </w:r>
      <w:r w:rsidR="00555802" w:rsidRPr="00483092">
        <w:rPr>
          <w:rFonts w:ascii="Times New Roman" w:hAnsi="Times New Roman" w:cs="Times New Roman"/>
          <w:sz w:val="24"/>
          <w:szCs w:val="24"/>
        </w:rPr>
        <w:t xml:space="preserve"> </w:t>
      </w:r>
      <w:r w:rsidR="00555802" w:rsidRPr="009935E0">
        <w:rPr>
          <w:rFonts w:ascii="Times New Roman" w:hAnsi="Times New Roman" w:cs="Times New Roman"/>
          <w:sz w:val="24"/>
          <w:szCs w:val="24"/>
          <w:lang w:eastAsia="pl-PL"/>
        </w:rPr>
        <w:t>Implementację dyrektywy w tym zakresie stanowi projektowany</w:t>
      </w:r>
      <w:r w:rsidRPr="009935E0">
        <w:rPr>
          <w:rFonts w:ascii="Times New Roman" w:hAnsi="Times New Roman" w:cs="Times New Roman"/>
          <w:sz w:val="24"/>
          <w:szCs w:val="24"/>
          <w:lang w:eastAsia="pl-PL"/>
        </w:rPr>
        <w:t xml:space="preserve"> przepis art. 26</w:t>
      </w:r>
      <w:r w:rsidRPr="009935E0">
        <w:rPr>
          <w:rFonts w:ascii="Times New Roman" w:hAnsi="Times New Roman" w:cs="Times New Roman"/>
          <w:sz w:val="24"/>
          <w:szCs w:val="24"/>
          <w:vertAlign w:val="superscript"/>
          <w:lang w:eastAsia="pl-PL"/>
        </w:rPr>
        <w:t>2</w:t>
      </w:r>
      <w:r w:rsidRPr="009935E0">
        <w:rPr>
          <w:rFonts w:ascii="Times New Roman" w:hAnsi="Times New Roman" w:cs="Times New Roman"/>
          <w:sz w:val="24"/>
          <w:szCs w:val="24"/>
          <w:lang w:eastAsia="pl-PL"/>
        </w:rPr>
        <w:t xml:space="preserve"> </w:t>
      </w:r>
      <w:r w:rsidR="00555802" w:rsidRPr="009935E0">
        <w:rPr>
          <w:rFonts w:ascii="Times New Roman" w:hAnsi="Times New Roman" w:cs="Times New Roman"/>
          <w:sz w:val="24"/>
          <w:szCs w:val="24"/>
          <w:lang w:eastAsia="pl-PL"/>
        </w:rPr>
        <w:t>ustawy o prawie autorskim</w:t>
      </w:r>
      <w:r w:rsidRPr="009935E0">
        <w:rPr>
          <w:rFonts w:ascii="Times New Roman" w:hAnsi="Times New Roman" w:cs="Times New Roman"/>
          <w:sz w:val="24"/>
          <w:szCs w:val="24"/>
          <w:lang w:eastAsia="pl-PL"/>
        </w:rPr>
        <w:t>.</w:t>
      </w:r>
    </w:p>
    <w:p w14:paraId="68F155BF" w14:textId="04A449B0"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bCs/>
          <w:sz w:val="24"/>
          <w:szCs w:val="24"/>
          <w:lang w:eastAsia="pl-PL"/>
        </w:rPr>
        <w:t xml:space="preserve">Art. 2 pkt 2 dyrektywy DSM definiuje „eksplorację tekstów i </w:t>
      </w:r>
      <w:r w:rsidRPr="009935E0">
        <w:rPr>
          <w:rFonts w:ascii="Times New Roman" w:eastAsia="Times New Roman" w:hAnsi="Times New Roman" w:cs="Times New Roman"/>
          <w:sz w:val="24"/>
          <w:szCs w:val="24"/>
          <w:lang w:eastAsia="pl-PL"/>
        </w:rPr>
        <w:t>danych” jako „zautomatyzowaną technikę analityczną służącą do analizowania tekstów i danych w postaci cyfrowej w celu wygenerowania informacji, obejmujących między innymi wzorce, tendencje i korelacje”. Jednocześnie motyw 8 wskazuje, że TDM jest „automatyczną matematyczną analizą informacji w postaci cyfrowej, takich jak teksty, dźwięki, obrazy lub dane”. Dyrektywa rozróżnia też w motywach „techniki” eksploracji tekstów i danych (motyw 8 i 9), jak i „czynności” eksploracji tekstów i danych (motyw 10). Z kolei w motywie 11 jest mowa o „dokonywaniu” eksploracji tekstów i danych, rozumianej jako czynność, a nie narzędzie (technikę) eksploracji. Definicja przyjęta w projekcie n</w:t>
      </w:r>
      <w:r w:rsidR="0026328A" w:rsidRPr="009935E0">
        <w:rPr>
          <w:rFonts w:ascii="Times New Roman" w:eastAsia="Times New Roman" w:hAnsi="Times New Roman" w:cs="Times New Roman"/>
          <w:sz w:val="24"/>
          <w:szCs w:val="24"/>
          <w:lang w:eastAsia="pl-PL"/>
        </w:rPr>
        <w:t>ie służy powieleniu defini</w:t>
      </w:r>
      <w:r w:rsidR="00555802" w:rsidRPr="009935E0">
        <w:rPr>
          <w:rFonts w:ascii="Times New Roman" w:eastAsia="Times New Roman" w:hAnsi="Times New Roman" w:cs="Times New Roman"/>
          <w:sz w:val="24"/>
          <w:szCs w:val="24"/>
          <w:lang w:eastAsia="pl-PL"/>
        </w:rPr>
        <w:t xml:space="preserve">cji z </w:t>
      </w:r>
      <w:r w:rsidRPr="009935E0">
        <w:rPr>
          <w:rFonts w:ascii="Times New Roman" w:eastAsia="Times New Roman" w:hAnsi="Times New Roman" w:cs="Times New Roman"/>
          <w:sz w:val="24"/>
          <w:szCs w:val="24"/>
          <w:lang w:eastAsia="pl-PL"/>
        </w:rPr>
        <w:t>dyrektywy, będzie natomiast odnosiła się do technologicznego procesu (czynności) pozyskiwania danych przez podmioty wskazane w projektowanych przepisach art. 26</w:t>
      </w:r>
      <w:r w:rsidRPr="009935E0">
        <w:rPr>
          <w:rFonts w:ascii="Times New Roman" w:eastAsia="Times New Roman" w:hAnsi="Times New Roman" w:cs="Times New Roman"/>
          <w:sz w:val="24"/>
          <w:szCs w:val="24"/>
          <w:vertAlign w:val="superscript"/>
          <w:lang w:eastAsia="pl-PL"/>
        </w:rPr>
        <w:t>2</w:t>
      </w:r>
      <w:r w:rsidRPr="009935E0">
        <w:rPr>
          <w:rFonts w:ascii="Times New Roman" w:eastAsia="Times New Roman" w:hAnsi="Times New Roman" w:cs="Times New Roman"/>
          <w:sz w:val="24"/>
          <w:szCs w:val="24"/>
          <w:lang w:eastAsia="pl-PL"/>
        </w:rPr>
        <w:t xml:space="preserve"> i art. 26</w:t>
      </w:r>
      <w:r w:rsidRPr="009935E0">
        <w:rPr>
          <w:rFonts w:ascii="Times New Roman" w:eastAsia="Times New Roman" w:hAnsi="Times New Roman" w:cs="Times New Roman"/>
          <w:sz w:val="24"/>
          <w:szCs w:val="24"/>
          <w:vertAlign w:val="superscript"/>
          <w:lang w:eastAsia="pl-PL"/>
        </w:rPr>
        <w:t>3</w:t>
      </w:r>
      <w:r w:rsidR="004758BB" w:rsidRPr="009935E0">
        <w:rPr>
          <w:rFonts w:ascii="Times New Roman" w:eastAsia="Times New Roman" w:hAnsi="Times New Roman" w:cs="Times New Roman"/>
          <w:sz w:val="24"/>
          <w:szCs w:val="24"/>
          <w:lang w:eastAsia="pl-PL"/>
        </w:rPr>
        <w:t xml:space="preserve"> ustawy o prawie autorskim.</w:t>
      </w:r>
    </w:p>
    <w:p w14:paraId="2024F48B" w14:textId="1E83E781"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Wskazany w dyrektywie </w:t>
      </w:r>
      <w:r w:rsidR="004758BB" w:rsidRPr="009935E0">
        <w:rPr>
          <w:rFonts w:ascii="Times New Roman" w:eastAsia="Times New Roman" w:hAnsi="Times New Roman" w:cs="Times New Roman"/>
          <w:sz w:val="24"/>
          <w:szCs w:val="24"/>
          <w:lang w:eastAsia="pl-PL"/>
        </w:rPr>
        <w:t xml:space="preserve">DSM </w:t>
      </w:r>
      <w:r w:rsidRPr="009935E0">
        <w:rPr>
          <w:rFonts w:ascii="Times New Roman" w:eastAsia="Times New Roman" w:hAnsi="Times New Roman" w:cs="Times New Roman"/>
          <w:sz w:val="24"/>
          <w:szCs w:val="24"/>
          <w:lang w:eastAsia="pl-PL"/>
        </w:rPr>
        <w:t xml:space="preserve">zakres beneficjentów przyjętego rozwiązania odnosi się do uczelni, organizacji badawczych i instytucji dziedzictwa kulturowego. Dwa ostatnie terminy zostały również zdefiniowane w dyrektywie. Zgodnie z art. 2 pkt 1 dyrektywy </w:t>
      </w:r>
      <w:r w:rsidR="004758BB" w:rsidRPr="009935E0">
        <w:rPr>
          <w:rFonts w:ascii="Times New Roman" w:eastAsia="Times New Roman" w:hAnsi="Times New Roman" w:cs="Times New Roman"/>
          <w:sz w:val="24"/>
          <w:szCs w:val="24"/>
          <w:lang w:eastAsia="pl-PL"/>
        </w:rPr>
        <w:t xml:space="preserve">DSM </w:t>
      </w:r>
      <w:r w:rsidRPr="009935E0">
        <w:rPr>
          <w:rFonts w:ascii="Times New Roman" w:eastAsia="Times New Roman" w:hAnsi="Times New Roman" w:cs="Times New Roman"/>
          <w:sz w:val="24"/>
          <w:szCs w:val="24"/>
          <w:lang w:eastAsia="pl-PL"/>
        </w:rPr>
        <w:t xml:space="preserve">„organizacja badawcza” oznacza uczelnię, łącznie z należącymi do niej bibliotekami, instytut badawczy lub inny podmiot, których głównym celem jest prowadzenie badań naukowych lub działalności edukacyjnej obejmującej także prowadzenie badań naukowych: w sposób nienastawiony na zysk lub przez ponowne inwestowanie całości zysków w swoje badania naukowe lub zgodnie z uznaną przez dane państwo misją realizowania interesu publicznego – </w:t>
      </w:r>
      <w:r w:rsidRPr="009935E0">
        <w:rPr>
          <w:rFonts w:ascii="Times New Roman" w:eastAsia="Times New Roman" w:hAnsi="Times New Roman" w:cs="Times New Roman"/>
          <w:sz w:val="24"/>
          <w:szCs w:val="24"/>
          <w:lang w:eastAsia="pl-PL"/>
        </w:rPr>
        <w:lastRenderedPageBreak/>
        <w:t>w taki sposób, że z dostępu do wyników takich badań naukowych nie może korzystać na preferencyjnych warunkach przedsiębiorstwo mające decydujący wpływ na taką organizację. Motyw 12 dyrektywy DSM wskazuje ponadto, że definicję organizacji badawczej należy rozumieć szeroko. Wykluczeniu będą podlegały tylko te organizacje badawcze, nad którymi przedsiębiorstwa sprawują kontrolę ze względów komercyjnych (są np. akcjonariuszami lub wspólnikami instytucji badawczej, co mogłoby skutkować preferencyjnym dostępem do wyników prowadzonych przez nią badań). Nie ma natomiast przeszkód, jak wskazuje motyw 11, aby uwzględnić te instytucje badawcze, które współpracują z sektorem prywatnym</w:t>
      </w:r>
      <w:r w:rsidR="00B42126"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 xml:space="preserve">w ramach partnerstw publiczno-prywatnych. </w:t>
      </w:r>
    </w:p>
    <w:p w14:paraId="02F3513A" w14:textId="2B03E6E4"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Przyjęta w art. 26</w:t>
      </w:r>
      <w:r w:rsidRPr="009935E0">
        <w:rPr>
          <w:rFonts w:ascii="Times New Roman" w:eastAsia="Times New Roman" w:hAnsi="Times New Roman" w:cs="Times New Roman"/>
          <w:sz w:val="24"/>
          <w:szCs w:val="24"/>
          <w:vertAlign w:val="superscript"/>
          <w:lang w:eastAsia="pl-PL"/>
        </w:rPr>
        <w:t>2</w:t>
      </w:r>
      <w:r w:rsidRPr="009935E0">
        <w:rPr>
          <w:rFonts w:ascii="Times New Roman" w:eastAsia="Times New Roman" w:hAnsi="Times New Roman" w:cs="Times New Roman"/>
          <w:sz w:val="24"/>
          <w:szCs w:val="24"/>
          <w:lang w:eastAsia="pl-PL"/>
        </w:rPr>
        <w:t xml:space="preserve"> </w:t>
      </w:r>
      <w:r w:rsidR="004758BB" w:rsidRPr="009935E0">
        <w:rPr>
          <w:rFonts w:ascii="Times New Roman" w:eastAsia="Times New Roman" w:hAnsi="Times New Roman" w:cs="Times New Roman"/>
          <w:sz w:val="24"/>
          <w:szCs w:val="24"/>
          <w:lang w:eastAsia="pl-PL"/>
        </w:rPr>
        <w:t xml:space="preserve">ustawy o prawie autorskim </w:t>
      </w:r>
      <w:r w:rsidRPr="009935E0">
        <w:rPr>
          <w:rFonts w:ascii="Times New Roman" w:eastAsia="Times New Roman" w:hAnsi="Times New Roman" w:cs="Times New Roman"/>
          <w:sz w:val="24"/>
          <w:szCs w:val="24"/>
          <w:lang w:eastAsia="pl-PL"/>
        </w:rPr>
        <w:t>definicja „organizacji bada</w:t>
      </w:r>
      <w:r w:rsidR="00032F99" w:rsidRPr="009935E0">
        <w:rPr>
          <w:rFonts w:ascii="Times New Roman" w:eastAsia="Times New Roman" w:hAnsi="Times New Roman" w:cs="Times New Roman"/>
          <w:sz w:val="24"/>
          <w:szCs w:val="24"/>
          <w:lang w:eastAsia="pl-PL"/>
        </w:rPr>
        <w:t>wczej” ma charakter zakresowy i </w:t>
      </w:r>
      <w:r w:rsidRPr="009935E0">
        <w:rPr>
          <w:rFonts w:ascii="Times New Roman" w:eastAsia="Times New Roman" w:hAnsi="Times New Roman" w:cs="Times New Roman"/>
          <w:sz w:val="24"/>
          <w:szCs w:val="24"/>
          <w:lang w:eastAsia="pl-PL"/>
        </w:rPr>
        <w:t>odwołuje się do przepisów ustawy z dnia 20 lipca 2018 r. –</w:t>
      </w:r>
      <w:r w:rsidR="00032F99" w:rsidRPr="009935E0">
        <w:rPr>
          <w:rFonts w:ascii="Times New Roman" w:eastAsia="Times New Roman" w:hAnsi="Times New Roman" w:cs="Times New Roman"/>
          <w:sz w:val="24"/>
          <w:szCs w:val="24"/>
          <w:lang w:eastAsia="pl-PL"/>
        </w:rPr>
        <w:t xml:space="preserve"> Prawo o szkolnictwie wyższym i </w:t>
      </w:r>
      <w:r w:rsidRPr="009935E0">
        <w:rPr>
          <w:rFonts w:ascii="Times New Roman" w:eastAsia="Times New Roman" w:hAnsi="Times New Roman" w:cs="Times New Roman"/>
          <w:sz w:val="24"/>
          <w:szCs w:val="24"/>
          <w:lang w:eastAsia="pl-PL"/>
        </w:rPr>
        <w:t>n</w:t>
      </w:r>
      <w:r w:rsidR="003837F5" w:rsidRPr="009935E0">
        <w:rPr>
          <w:rFonts w:ascii="Times New Roman" w:eastAsia="Times New Roman" w:hAnsi="Times New Roman" w:cs="Times New Roman"/>
          <w:sz w:val="24"/>
          <w:szCs w:val="24"/>
          <w:lang w:eastAsia="pl-PL"/>
        </w:rPr>
        <w:t xml:space="preserve">auce (Dz. U. z </w:t>
      </w:r>
      <w:r w:rsidR="0003129C" w:rsidRPr="009935E0">
        <w:rPr>
          <w:rFonts w:ascii="Times New Roman" w:eastAsia="Times New Roman" w:hAnsi="Times New Roman" w:cs="Times New Roman"/>
          <w:sz w:val="24"/>
          <w:szCs w:val="24"/>
          <w:lang w:eastAsia="pl-PL"/>
        </w:rPr>
        <w:t xml:space="preserve">2023 </w:t>
      </w:r>
      <w:r w:rsidR="003837F5" w:rsidRPr="009935E0">
        <w:rPr>
          <w:rFonts w:ascii="Times New Roman" w:eastAsia="Times New Roman" w:hAnsi="Times New Roman" w:cs="Times New Roman"/>
          <w:sz w:val="24"/>
          <w:szCs w:val="24"/>
          <w:lang w:eastAsia="pl-PL"/>
        </w:rPr>
        <w:t>r. poz. 74</w:t>
      </w:r>
      <w:r w:rsidR="00B67C0F" w:rsidRPr="009935E0">
        <w:rPr>
          <w:rFonts w:ascii="Times New Roman" w:eastAsia="Times New Roman" w:hAnsi="Times New Roman" w:cs="Times New Roman"/>
          <w:sz w:val="24"/>
          <w:szCs w:val="24"/>
          <w:lang w:eastAsia="pl-PL"/>
        </w:rPr>
        <w:t>2</w:t>
      </w:r>
      <w:r w:rsidR="007D2EBF" w:rsidRPr="009935E0">
        <w:rPr>
          <w:rFonts w:ascii="Times New Roman" w:eastAsia="Times New Roman" w:hAnsi="Times New Roman" w:cs="Times New Roman"/>
          <w:sz w:val="24"/>
          <w:szCs w:val="24"/>
          <w:lang w:eastAsia="pl-PL"/>
        </w:rPr>
        <w:t xml:space="preserve">, z </w:t>
      </w:r>
      <w:proofErr w:type="spellStart"/>
      <w:r w:rsidR="007D2EBF" w:rsidRPr="009935E0">
        <w:rPr>
          <w:rFonts w:ascii="Times New Roman" w:eastAsia="Times New Roman" w:hAnsi="Times New Roman" w:cs="Times New Roman"/>
          <w:sz w:val="24"/>
          <w:szCs w:val="24"/>
          <w:lang w:eastAsia="pl-PL"/>
        </w:rPr>
        <w:t>późn</w:t>
      </w:r>
      <w:proofErr w:type="spellEnd"/>
      <w:r w:rsidR="007D2EBF" w:rsidRPr="009935E0">
        <w:rPr>
          <w:rFonts w:ascii="Times New Roman" w:eastAsia="Times New Roman" w:hAnsi="Times New Roman" w:cs="Times New Roman"/>
          <w:sz w:val="24"/>
          <w:szCs w:val="24"/>
          <w:lang w:eastAsia="pl-PL"/>
        </w:rPr>
        <w:t>. zm.</w:t>
      </w:r>
      <w:r w:rsidRPr="009935E0">
        <w:rPr>
          <w:rFonts w:ascii="Times New Roman" w:eastAsia="Times New Roman" w:hAnsi="Times New Roman" w:cs="Times New Roman"/>
          <w:sz w:val="24"/>
          <w:szCs w:val="24"/>
          <w:lang w:eastAsia="pl-PL"/>
        </w:rPr>
        <w:t>). Wymienione enumeratywnie podmioty spełniają ww. kryteria zawarte w definicji dyrektywy DSM, tzn. prowadzą badania naukowe lub działalność edukacyjną obejmującą badania naukowe w sposób nienastawiony na zysk lub przez ponowne inwestowanie całości zysków w swoje badania naukowe lub zgodnie z misją realizowania interesu publicznego wynikającą</w:t>
      </w:r>
      <w:r w:rsidR="001E6727" w:rsidRPr="009935E0">
        <w:rPr>
          <w:rFonts w:ascii="Times New Roman" w:eastAsia="Times New Roman" w:hAnsi="Times New Roman" w:cs="Times New Roman"/>
          <w:sz w:val="24"/>
          <w:szCs w:val="24"/>
          <w:lang w:eastAsia="pl-PL"/>
        </w:rPr>
        <w:t xml:space="preserve"> z przepisów prawa krajowego. </w:t>
      </w:r>
      <w:r w:rsidR="004758BB" w:rsidRPr="009935E0">
        <w:rPr>
          <w:rFonts w:ascii="Times New Roman" w:eastAsia="Times New Roman" w:hAnsi="Times New Roman" w:cs="Times New Roman"/>
          <w:sz w:val="24"/>
          <w:szCs w:val="24"/>
          <w:lang w:eastAsia="pl-PL"/>
        </w:rPr>
        <w:t>Przykładowo</w:t>
      </w:r>
      <w:r w:rsidRPr="009935E0">
        <w:rPr>
          <w:rFonts w:ascii="Times New Roman" w:eastAsia="Times New Roman" w:hAnsi="Times New Roman" w:cs="Times New Roman"/>
          <w:sz w:val="24"/>
          <w:szCs w:val="24"/>
          <w:lang w:eastAsia="pl-PL"/>
        </w:rPr>
        <w:t xml:space="preserve"> art. 49 ust. 2 ustawy </w:t>
      </w:r>
      <w:r w:rsidR="000A5BBF" w:rsidRPr="009935E0">
        <w:rPr>
          <w:rFonts w:ascii="Times New Roman" w:eastAsia="Times New Roman" w:hAnsi="Times New Roman" w:cs="Times New Roman"/>
          <w:sz w:val="24"/>
          <w:szCs w:val="24"/>
          <w:lang w:eastAsia="pl-PL"/>
        </w:rPr>
        <w:t xml:space="preserve">z dnia 20 lipca 2018 r. </w:t>
      </w:r>
      <w:r w:rsidRPr="009935E0">
        <w:rPr>
          <w:rFonts w:ascii="Times New Roman" w:eastAsia="Times New Roman" w:hAnsi="Times New Roman" w:cs="Times New Roman"/>
          <w:sz w:val="24"/>
          <w:szCs w:val="24"/>
          <w:lang w:eastAsia="pl-PL"/>
        </w:rPr>
        <w:t xml:space="preserve">– Prawo o szkolnictwie wyższym </w:t>
      </w:r>
      <w:r w:rsidR="00530E6F" w:rsidRPr="009935E0">
        <w:rPr>
          <w:rFonts w:ascii="Times New Roman" w:eastAsia="Times New Roman" w:hAnsi="Times New Roman" w:cs="Times New Roman"/>
          <w:sz w:val="24"/>
          <w:szCs w:val="24"/>
          <w:lang w:eastAsia="pl-PL"/>
        </w:rPr>
        <w:t xml:space="preserve">i nauce </w:t>
      </w:r>
      <w:r w:rsidRPr="009935E0">
        <w:rPr>
          <w:rFonts w:ascii="Times New Roman" w:eastAsia="Times New Roman" w:hAnsi="Times New Roman" w:cs="Times New Roman"/>
          <w:sz w:val="24"/>
          <w:szCs w:val="24"/>
          <w:lang w:eastAsia="pl-PL"/>
        </w:rPr>
        <w:t>stanowi, że w uczelni działa system biblioteczno-informacyjny, którego podstawę stanowi biblioteka</w:t>
      </w:r>
      <w:r w:rsidR="000F7596">
        <w:rPr>
          <w:rFonts w:ascii="Times New Roman" w:eastAsia="Times New Roman" w:hAnsi="Times New Roman" w:cs="Times New Roman"/>
          <w:sz w:val="24"/>
          <w:szCs w:val="24"/>
          <w:lang w:eastAsia="pl-PL"/>
        </w:rPr>
        <w:t>, a</w:t>
      </w:r>
      <w:r w:rsidRPr="009935E0">
        <w:rPr>
          <w:rFonts w:ascii="Times New Roman" w:eastAsia="Times New Roman" w:hAnsi="Times New Roman" w:cs="Times New Roman"/>
          <w:sz w:val="24"/>
          <w:szCs w:val="24"/>
          <w:lang w:eastAsia="pl-PL"/>
        </w:rPr>
        <w:t xml:space="preserve"> zatem biblioteki uczelniane również będą objęte przepisem art. 26</w:t>
      </w:r>
      <w:r w:rsidRPr="009935E0">
        <w:rPr>
          <w:rFonts w:ascii="Times New Roman" w:eastAsia="Times New Roman" w:hAnsi="Times New Roman" w:cs="Times New Roman"/>
          <w:sz w:val="24"/>
          <w:szCs w:val="24"/>
          <w:vertAlign w:val="superscript"/>
          <w:lang w:eastAsia="pl-PL"/>
        </w:rPr>
        <w:t>2</w:t>
      </w:r>
      <w:r w:rsidR="004758BB" w:rsidRPr="009935E0">
        <w:rPr>
          <w:rFonts w:ascii="Times New Roman" w:eastAsia="Times New Roman" w:hAnsi="Times New Roman" w:cs="Times New Roman"/>
          <w:sz w:val="24"/>
          <w:szCs w:val="24"/>
          <w:lang w:eastAsia="pl-PL"/>
        </w:rPr>
        <w:t xml:space="preserve"> ww. ustawy o prawie autorskim.</w:t>
      </w:r>
    </w:p>
    <w:p w14:paraId="004C2869" w14:textId="5B847D50"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„Instytucja dziedzictwa kulturowego” została z kolei zdefiniowana w art. 2 pkt 3 dyrektywy jako ogólnodostępna biblioteka, muzeum, archiwum, instytucja dziedzictwa filmowego lub instytucja dziedzictwa dźwiękowego. Krąg podmiotów wskazanych w tej definicji został uwzględniony w definicji „instytucji dziedzictwa kulturowego” wprowadzonej w projektowanym art. </w:t>
      </w:r>
      <w:r w:rsidR="0068035E" w:rsidRPr="009935E0">
        <w:rPr>
          <w:rFonts w:ascii="Times New Roman" w:eastAsia="Times New Roman" w:hAnsi="Times New Roman" w:cs="Times New Roman"/>
          <w:sz w:val="24"/>
          <w:szCs w:val="24"/>
          <w:lang w:eastAsia="pl-PL"/>
        </w:rPr>
        <w:t>6</w:t>
      </w:r>
      <w:r w:rsidR="005372A1" w:rsidRPr="009935E0">
        <w:rPr>
          <w:rFonts w:ascii="Times New Roman" w:eastAsia="Times New Roman" w:hAnsi="Times New Roman" w:cs="Times New Roman"/>
          <w:sz w:val="24"/>
          <w:szCs w:val="24"/>
          <w:lang w:eastAsia="pl-PL"/>
        </w:rPr>
        <w:t xml:space="preserve"> ust. 1 pkt 21</w:t>
      </w:r>
      <w:r w:rsidR="004758BB" w:rsidRPr="009935E0">
        <w:rPr>
          <w:rFonts w:ascii="Times New Roman" w:eastAsia="Times New Roman" w:hAnsi="Times New Roman" w:cs="Times New Roman"/>
          <w:sz w:val="24"/>
          <w:szCs w:val="24"/>
          <w:lang w:eastAsia="pl-PL"/>
        </w:rPr>
        <w:t xml:space="preserve"> ustawy o prawie autorskim</w:t>
      </w:r>
      <w:r w:rsidRPr="009935E0">
        <w:rPr>
          <w:rFonts w:ascii="Times New Roman" w:eastAsia="Times New Roman" w:hAnsi="Times New Roman" w:cs="Times New Roman"/>
          <w:sz w:val="24"/>
          <w:szCs w:val="24"/>
          <w:lang w:eastAsia="pl-PL"/>
        </w:rPr>
        <w:t xml:space="preserve">. </w:t>
      </w:r>
    </w:p>
    <w:p w14:paraId="79F02450" w14:textId="77777777"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Zakres przedmiotowy dozwolonego użytku w postaci eksploracji tekstów i danych d</w:t>
      </w:r>
      <w:r w:rsidR="00032F99" w:rsidRPr="009935E0">
        <w:rPr>
          <w:rFonts w:ascii="Times New Roman" w:eastAsia="Times New Roman" w:hAnsi="Times New Roman" w:cs="Times New Roman"/>
          <w:sz w:val="24"/>
          <w:szCs w:val="24"/>
          <w:lang w:eastAsia="pl-PL"/>
        </w:rPr>
        <w:t>o</w:t>
      </w:r>
      <w:r w:rsidRPr="009935E0">
        <w:rPr>
          <w:rFonts w:ascii="Times New Roman" w:eastAsia="Times New Roman" w:hAnsi="Times New Roman" w:cs="Times New Roman"/>
          <w:sz w:val="24"/>
          <w:szCs w:val="24"/>
          <w:lang w:eastAsia="pl-PL"/>
        </w:rPr>
        <w:t xml:space="preserve"> celów badań naukowych został wskazany w art. 3 dyrektywy</w:t>
      </w:r>
      <w:r w:rsidR="004758BB" w:rsidRPr="009935E0">
        <w:rPr>
          <w:rFonts w:ascii="Times New Roman" w:eastAsia="Times New Roman" w:hAnsi="Times New Roman" w:cs="Times New Roman"/>
          <w:sz w:val="24"/>
          <w:szCs w:val="24"/>
          <w:lang w:eastAsia="pl-PL"/>
        </w:rPr>
        <w:t xml:space="preserve"> DSM</w:t>
      </w:r>
      <w:r w:rsidRPr="009935E0">
        <w:rPr>
          <w:rFonts w:ascii="Times New Roman" w:eastAsia="Times New Roman" w:hAnsi="Times New Roman" w:cs="Times New Roman"/>
          <w:sz w:val="24"/>
          <w:szCs w:val="24"/>
          <w:lang w:eastAsia="pl-PL"/>
        </w:rPr>
        <w:t xml:space="preserve">, który przewiduje wyjątek od praw przewidzianych w art. 5 lit a i art. 7 ust. 1 dyrektywy 96/9/WE Parlamentu Europejskiego i Rady z dnia 11 marca 1996 r. w sprawie ochrony prawnej baz danych, w art. 2 dyrektywy 2001/29/WE Parlamentu Europejskiego i Rady z dnia 22 maja 2001 r. w sprawie harmonizacji niektórych aspektów praw autorskich i pokrewnych w społeczeństwie informacyjnym </w:t>
      </w:r>
      <w:r w:rsidR="001E6727" w:rsidRPr="009935E0">
        <w:rPr>
          <w:rFonts w:ascii="Times New Roman" w:eastAsia="Times New Roman" w:hAnsi="Times New Roman" w:cs="Times New Roman"/>
          <w:sz w:val="24"/>
          <w:szCs w:val="24"/>
          <w:lang w:eastAsia="pl-PL"/>
        </w:rPr>
        <w:t xml:space="preserve">(tzw. dyrektywa </w:t>
      </w:r>
      <w:proofErr w:type="spellStart"/>
      <w:r w:rsidR="001E6727" w:rsidRPr="009935E0">
        <w:rPr>
          <w:rFonts w:ascii="Times New Roman" w:eastAsia="Times New Roman" w:hAnsi="Times New Roman" w:cs="Times New Roman"/>
          <w:sz w:val="24"/>
          <w:szCs w:val="24"/>
          <w:lang w:eastAsia="pl-PL"/>
        </w:rPr>
        <w:t>Infosoc</w:t>
      </w:r>
      <w:proofErr w:type="spellEnd"/>
      <w:r w:rsidR="001E6727"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 xml:space="preserve">oraz </w:t>
      </w:r>
      <w:r w:rsidR="00303899" w:rsidRPr="009935E0">
        <w:rPr>
          <w:rFonts w:ascii="Times New Roman" w:eastAsia="Times New Roman" w:hAnsi="Times New Roman" w:cs="Times New Roman"/>
          <w:sz w:val="24"/>
          <w:szCs w:val="24"/>
          <w:lang w:eastAsia="pl-PL"/>
        </w:rPr>
        <w:t xml:space="preserve">w art. 15 ust. 1 dyrektywy DSM. </w:t>
      </w:r>
      <w:r w:rsidR="001E6727" w:rsidRPr="009935E0">
        <w:rPr>
          <w:rFonts w:ascii="Times New Roman" w:eastAsia="Times New Roman" w:hAnsi="Times New Roman" w:cs="Times New Roman"/>
          <w:sz w:val="24"/>
          <w:szCs w:val="24"/>
          <w:lang w:eastAsia="pl-PL"/>
        </w:rPr>
        <w:t>D</w:t>
      </w:r>
      <w:r w:rsidRPr="009935E0">
        <w:rPr>
          <w:rFonts w:ascii="Times New Roman" w:eastAsia="Times New Roman" w:hAnsi="Times New Roman" w:cs="Times New Roman"/>
          <w:sz w:val="24"/>
          <w:szCs w:val="24"/>
          <w:lang w:eastAsia="pl-PL"/>
        </w:rPr>
        <w:t xml:space="preserve">opuszczalne jest zatem zwielokrotnianie utworów i przedmiotów praw pokrewnych, pobieranie baz danych </w:t>
      </w:r>
      <w:r w:rsidRPr="009935E0">
        <w:rPr>
          <w:rFonts w:ascii="Times New Roman" w:eastAsia="Times New Roman" w:hAnsi="Times New Roman" w:cs="Times New Roman"/>
          <w:sz w:val="24"/>
          <w:szCs w:val="24"/>
          <w:lang w:eastAsia="pl-PL"/>
        </w:rPr>
        <w:lastRenderedPageBreak/>
        <w:t xml:space="preserve">chronionych prawem producenta bazy danych oraz ich przechowywanie w celu przeprowadzania eksploracji tekstów i danych do celów badań naukowych. </w:t>
      </w:r>
    </w:p>
    <w:p w14:paraId="0A7740DA" w14:textId="40B0D807"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Skorzystanie przez uprawnione podmioty z omawianej postaci dozwolonego użytku </w:t>
      </w:r>
      <w:r w:rsidR="00576D94" w:rsidRPr="009935E0">
        <w:rPr>
          <w:rFonts w:ascii="Times New Roman" w:eastAsia="Times New Roman" w:hAnsi="Times New Roman" w:cs="Times New Roman"/>
          <w:sz w:val="24"/>
          <w:szCs w:val="24"/>
          <w:lang w:eastAsia="pl-PL"/>
        </w:rPr>
        <w:t xml:space="preserve">jest </w:t>
      </w:r>
      <w:r w:rsidRPr="009935E0">
        <w:rPr>
          <w:rFonts w:ascii="Times New Roman" w:eastAsia="Times New Roman" w:hAnsi="Times New Roman" w:cs="Times New Roman"/>
          <w:sz w:val="24"/>
          <w:szCs w:val="24"/>
          <w:lang w:eastAsia="pl-PL"/>
        </w:rPr>
        <w:t>uzależnione jednak od spełnienia przez nie określon</w:t>
      </w:r>
      <w:r w:rsidR="001E6727" w:rsidRPr="009935E0">
        <w:rPr>
          <w:rFonts w:ascii="Times New Roman" w:eastAsia="Times New Roman" w:hAnsi="Times New Roman" w:cs="Times New Roman"/>
          <w:sz w:val="24"/>
          <w:szCs w:val="24"/>
          <w:lang w:eastAsia="pl-PL"/>
        </w:rPr>
        <w:t xml:space="preserve">ych warunków. </w:t>
      </w:r>
      <w:r w:rsidRPr="009935E0">
        <w:rPr>
          <w:rFonts w:ascii="Times New Roman" w:eastAsia="Times New Roman" w:hAnsi="Times New Roman" w:cs="Times New Roman"/>
          <w:sz w:val="24"/>
          <w:szCs w:val="24"/>
          <w:lang w:eastAsia="pl-PL"/>
        </w:rPr>
        <w:t>K</w:t>
      </w:r>
      <w:r w:rsidR="006B3F43" w:rsidRPr="009935E0">
        <w:rPr>
          <w:rFonts w:ascii="Times New Roman" w:hAnsi="Times New Roman" w:cs="Times New Roman"/>
          <w:sz w:val="24"/>
          <w:szCs w:val="24"/>
          <w:lang w:eastAsia="pl-PL"/>
        </w:rPr>
        <w:t xml:space="preserve">orzystanie z </w:t>
      </w:r>
      <w:r w:rsidRPr="009935E0">
        <w:rPr>
          <w:rFonts w:ascii="Times New Roman" w:hAnsi="Times New Roman" w:cs="Times New Roman"/>
          <w:sz w:val="24"/>
          <w:szCs w:val="24"/>
          <w:lang w:eastAsia="pl-PL"/>
        </w:rPr>
        <w:t>utworów</w:t>
      </w:r>
      <w:r w:rsidR="001E6727" w:rsidRPr="009935E0">
        <w:rPr>
          <w:rFonts w:ascii="Times New Roman" w:hAnsi="Times New Roman" w:cs="Times New Roman"/>
          <w:sz w:val="24"/>
          <w:szCs w:val="24"/>
          <w:lang w:eastAsia="pl-PL"/>
        </w:rPr>
        <w:t xml:space="preserve"> i pozostałych przedmiotów objętych ochroną</w:t>
      </w:r>
      <w:r w:rsidRPr="009935E0">
        <w:rPr>
          <w:rFonts w:ascii="Times New Roman" w:hAnsi="Times New Roman" w:cs="Times New Roman"/>
          <w:sz w:val="24"/>
          <w:szCs w:val="24"/>
          <w:lang w:eastAsia="pl-PL"/>
        </w:rPr>
        <w:t xml:space="preserve"> powinno zatem odbywać się wyłącznie w celu eksploracji tekstów i danych i wyłącznie d</w:t>
      </w:r>
      <w:r w:rsidR="00032F99" w:rsidRPr="009935E0">
        <w:rPr>
          <w:rFonts w:ascii="Times New Roman" w:hAnsi="Times New Roman" w:cs="Times New Roman"/>
          <w:sz w:val="24"/>
          <w:szCs w:val="24"/>
          <w:lang w:eastAsia="pl-PL"/>
        </w:rPr>
        <w:t>o</w:t>
      </w:r>
      <w:r w:rsidRPr="009935E0">
        <w:rPr>
          <w:rFonts w:ascii="Times New Roman" w:hAnsi="Times New Roman" w:cs="Times New Roman"/>
          <w:sz w:val="24"/>
          <w:szCs w:val="24"/>
          <w:lang w:eastAsia="pl-PL"/>
        </w:rPr>
        <w:t xml:space="preserve"> celów badań naukowych (art. 3 ust.1 dyrektywy). Warunkiem wstępnym, zgodnie z motywem 14 dyrektywy, jest legalny dostęp </w:t>
      </w:r>
      <w:r w:rsidR="001E6727" w:rsidRPr="009935E0">
        <w:rPr>
          <w:rFonts w:ascii="Times New Roman" w:hAnsi="Times New Roman" w:cs="Times New Roman"/>
          <w:sz w:val="24"/>
          <w:szCs w:val="24"/>
          <w:lang w:eastAsia="pl-PL"/>
        </w:rPr>
        <w:t xml:space="preserve">do eksplorowanych treści. </w:t>
      </w:r>
      <w:r w:rsidRPr="009935E0">
        <w:rPr>
          <w:rFonts w:ascii="Times New Roman" w:hAnsi="Times New Roman" w:cs="Times New Roman"/>
          <w:sz w:val="24"/>
          <w:szCs w:val="24"/>
          <w:lang w:eastAsia="pl-PL"/>
        </w:rPr>
        <w:t xml:space="preserve">Celem eksploracji nie może być osiągnięcie bezpośredniej lub pośredniej korzyści majątkowej, co </w:t>
      </w:r>
      <w:r w:rsidRPr="009935E0">
        <w:rPr>
          <w:rFonts w:ascii="Times New Roman" w:eastAsia="Times New Roman" w:hAnsi="Times New Roman" w:cs="Times New Roman"/>
          <w:sz w:val="24"/>
          <w:szCs w:val="24"/>
          <w:lang w:eastAsia="pl-PL"/>
        </w:rPr>
        <w:t xml:space="preserve">należy rozumieć jako wymóg nienastawienia działalności beneficjenta na osiąganie zysku. Ewentualny zysk </w:t>
      </w:r>
      <w:r w:rsidR="006B3F43" w:rsidRPr="009935E0">
        <w:rPr>
          <w:rFonts w:ascii="Times New Roman" w:eastAsia="Times New Roman" w:hAnsi="Times New Roman" w:cs="Times New Roman"/>
          <w:sz w:val="24"/>
          <w:szCs w:val="24"/>
          <w:lang w:eastAsia="pl-PL"/>
        </w:rPr>
        <w:t xml:space="preserve">powinien </w:t>
      </w:r>
      <w:r w:rsidRPr="009935E0">
        <w:rPr>
          <w:rFonts w:ascii="Times New Roman" w:eastAsia="Times New Roman" w:hAnsi="Times New Roman" w:cs="Times New Roman"/>
          <w:sz w:val="24"/>
          <w:szCs w:val="24"/>
          <w:lang w:eastAsia="pl-PL"/>
        </w:rPr>
        <w:t>być reinwestowany w badania naukowe.</w:t>
      </w:r>
      <w:r w:rsidRPr="009935E0">
        <w:rPr>
          <w:rFonts w:ascii="Times New Roman" w:hAnsi="Times New Roman" w:cs="Times New Roman"/>
          <w:sz w:val="24"/>
          <w:szCs w:val="24"/>
          <w:lang w:eastAsia="pl-PL"/>
        </w:rPr>
        <w:t xml:space="preserve"> Ponadto w</w:t>
      </w:r>
      <w:r w:rsidRPr="009935E0">
        <w:rPr>
          <w:rFonts w:ascii="Times New Roman" w:eastAsia="Times New Roman" w:hAnsi="Times New Roman" w:cs="Times New Roman"/>
          <w:sz w:val="24"/>
          <w:szCs w:val="24"/>
          <w:lang w:eastAsia="pl-PL"/>
        </w:rPr>
        <w:t xml:space="preserve"> art. 3 ust. 2 dyrektywy </w:t>
      </w:r>
      <w:r w:rsidR="004758BB" w:rsidRPr="009935E0">
        <w:rPr>
          <w:rFonts w:ascii="Times New Roman" w:eastAsia="Times New Roman" w:hAnsi="Times New Roman" w:cs="Times New Roman"/>
          <w:sz w:val="24"/>
          <w:szCs w:val="24"/>
          <w:lang w:eastAsia="pl-PL"/>
        </w:rPr>
        <w:t xml:space="preserve">DSM </w:t>
      </w:r>
      <w:r w:rsidRPr="009935E0">
        <w:rPr>
          <w:rFonts w:ascii="Times New Roman" w:eastAsia="Times New Roman" w:hAnsi="Times New Roman" w:cs="Times New Roman"/>
          <w:sz w:val="24"/>
          <w:szCs w:val="24"/>
          <w:lang w:eastAsia="pl-PL"/>
        </w:rPr>
        <w:t xml:space="preserve">przewidziano </w:t>
      </w:r>
      <w:r w:rsidR="006B3F43" w:rsidRPr="009935E0">
        <w:rPr>
          <w:rFonts w:ascii="Times New Roman" w:eastAsia="Times New Roman" w:hAnsi="Times New Roman" w:cs="Times New Roman"/>
          <w:sz w:val="24"/>
          <w:szCs w:val="24"/>
          <w:lang w:eastAsia="pl-PL"/>
        </w:rPr>
        <w:t>wymóg</w:t>
      </w:r>
      <w:r w:rsidRPr="009935E0">
        <w:rPr>
          <w:rFonts w:ascii="Times New Roman" w:eastAsia="Times New Roman" w:hAnsi="Times New Roman" w:cs="Times New Roman"/>
          <w:sz w:val="24"/>
          <w:szCs w:val="24"/>
          <w:lang w:eastAsia="pl-PL"/>
        </w:rPr>
        <w:t xml:space="preserve">, aby utwory zwielokrotnione w ramach omawianej postaci dozwolonego użytku były przechowywane z zachowaniem odpowiedniego poziomu bezpieczeństwa. Przechowywanie musi jednak służyć celom badań naukowych, w tym weryfikacji wyników tych badań. Jak wskazano </w:t>
      </w:r>
      <w:r w:rsidR="006B3F43" w:rsidRPr="009935E0">
        <w:rPr>
          <w:rFonts w:ascii="Times New Roman" w:eastAsia="Times New Roman" w:hAnsi="Times New Roman" w:cs="Times New Roman"/>
          <w:sz w:val="24"/>
          <w:szCs w:val="24"/>
          <w:lang w:eastAsia="pl-PL"/>
        </w:rPr>
        <w:t xml:space="preserve">w motywie 16 </w:t>
      </w:r>
      <w:r w:rsidR="004758BB" w:rsidRPr="009935E0">
        <w:rPr>
          <w:rFonts w:ascii="Times New Roman" w:eastAsia="Times New Roman" w:hAnsi="Times New Roman" w:cs="Times New Roman"/>
          <w:sz w:val="24"/>
          <w:szCs w:val="24"/>
          <w:lang w:eastAsia="pl-PL"/>
        </w:rPr>
        <w:t xml:space="preserve">tej </w:t>
      </w:r>
      <w:r w:rsidR="006B3F43" w:rsidRPr="009935E0">
        <w:rPr>
          <w:rFonts w:ascii="Times New Roman" w:eastAsia="Times New Roman" w:hAnsi="Times New Roman" w:cs="Times New Roman"/>
          <w:sz w:val="24"/>
          <w:szCs w:val="24"/>
          <w:lang w:eastAsia="pl-PL"/>
        </w:rPr>
        <w:t>dyrektywy</w:t>
      </w:r>
      <w:r w:rsidR="00920CF2"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środki służące zachowaniu odpowiedniego poziomu bezpieczeństwa mogą polegać na tym, </w:t>
      </w:r>
      <w:r w:rsidR="006B3F43" w:rsidRPr="009935E0">
        <w:rPr>
          <w:rFonts w:ascii="Times New Roman" w:eastAsia="Times New Roman" w:hAnsi="Times New Roman" w:cs="Times New Roman"/>
          <w:sz w:val="24"/>
          <w:szCs w:val="24"/>
          <w:lang w:eastAsia="pl-PL"/>
        </w:rPr>
        <w:t xml:space="preserve">że dostęp do chronionych treści mają </w:t>
      </w:r>
      <w:r w:rsidRPr="009935E0">
        <w:rPr>
          <w:rFonts w:ascii="Times New Roman" w:eastAsia="Times New Roman" w:hAnsi="Times New Roman" w:cs="Times New Roman"/>
          <w:sz w:val="24"/>
          <w:szCs w:val="24"/>
          <w:lang w:eastAsia="pl-PL"/>
        </w:rPr>
        <w:t>tylko osoby mające do nich zgodny z prawem dostęp, w tym dzięki uwierzytelnieniu adresu IP czy uwierzytelnieniu użytkownika. Środki te powinny być proporcjonalne do zagrożenia i nie powinny wykraczać́ poza to, co jest niezbędne do realizacji celu polegającego na zapewnieniu bezpieczeństwa i integralności systemu, oraz nie powinny utrudniać́ skutecznego stosowania tego wyjątku. Projektowany przepis art. 26</w:t>
      </w:r>
      <w:r w:rsidRPr="009935E0">
        <w:rPr>
          <w:rFonts w:ascii="Times New Roman" w:eastAsia="Times New Roman" w:hAnsi="Times New Roman" w:cs="Times New Roman"/>
          <w:sz w:val="24"/>
          <w:szCs w:val="24"/>
          <w:vertAlign w:val="superscript"/>
          <w:lang w:eastAsia="pl-PL"/>
        </w:rPr>
        <w:t>2</w:t>
      </w:r>
      <w:r w:rsidRPr="009935E0">
        <w:rPr>
          <w:rFonts w:ascii="Times New Roman" w:eastAsia="Times New Roman" w:hAnsi="Times New Roman" w:cs="Times New Roman"/>
          <w:sz w:val="24"/>
          <w:szCs w:val="24"/>
          <w:lang w:eastAsia="pl-PL"/>
        </w:rPr>
        <w:t xml:space="preserve"> ust. 2 </w:t>
      </w:r>
      <w:r w:rsidR="004F4BC3" w:rsidRPr="009935E0">
        <w:rPr>
          <w:rFonts w:ascii="Times New Roman" w:eastAsia="Times New Roman" w:hAnsi="Times New Roman" w:cs="Times New Roman"/>
          <w:sz w:val="24"/>
          <w:szCs w:val="24"/>
          <w:lang w:eastAsia="pl-PL"/>
        </w:rPr>
        <w:t xml:space="preserve">ustawy o prawie autorskim </w:t>
      </w:r>
      <w:r w:rsidRPr="009935E0">
        <w:rPr>
          <w:rFonts w:ascii="Times New Roman" w:eastAsia="Times New Roman" w:hAnsi="Times New Roman" w:cs="Times New Roman"/>
          <w:sz w:val="24"/>
          <w:szCs w:val="24"/>
          <w:lang w:eastAsia="pl-PL"/>
        </w:rPr>
        <w:t>uwzględni</w:t>
      </w:r>
      <w:r w:rsidR="006B3F43" w:rsidRPr="009935E0">
        <w:rPr>
          <w:rFonts w:ascii="Times New Roman" w:eastAsia="Times New Roman" w:hAnsi="Times New Roman" w:cs="Times New Roman"/>
          <w:sz w:val="24"/>
          <w:szCs w:val="24"/>
          <w:lang w:eastAsia="pl-PL"/>
        </w:rPr>
        <w:t>a</w:t>
      </w:r>
      <w:r w:rsidRPr="009935E0">
        <w:rPr>
          <w:rFonts w:ascii="Times New Roman" w:eastAsia="Times New Roman" w:hAnsi="Times New Roman" w:cs="Times New Roman"/>
          <w:sz w:val="24"/>
          <w:szCs w:val="24"/>
          <w:lang w:eastAsia="pl-PL"/>
        </w:rPr>
        <w:t xml:space="preserve"> zatem, że przechowywanie utworów będzie odbywać się z zachowaniem poziomu bezpieczeństwa </w:t>
      </w:r>
      <w:r w:rsidR="006B3F43"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zapewniającego dostęp do tych utworów wyłącznie upoważnionym osobom, z uwzględnieni</w:t>
      </w:r>
      <w:r w:rsidR="006B3F43" w:rsidRPr="009935E0">
        <w:rPr>
          <w:rFonts w:ascii="Times New Roman" w:eastAsia="Times New Roman" w:hAnsi="Times New Roman" w:cs="Times New Roman"/>
          <w:sz w:val="24"/>
          <w:szCs w:val="24"/>
          <w:lang w:eastAsia="pl-PL"/>
        </w:rPr>
        <w:t>em procedur uwierzytelniających</w:t>
      </w:r>
      <w:r w:rsidRPr="009935E0">
        <w:rPr>
          <w:rFonts w:ascii="Times New Roman" w:eastAsia="Times New Roman" w:hAnsi="Times New Roman" w:cs="Times New Roman"/>
          <w:sz w:val="24"/>
          <w:szCs w:val="24"/>
          <w:lang w:eastAsia="pl-PL"/>
        </w:rPr>
        <w:t>”.</w:t>
      </w:r>
    </w:p>
    <w:p w14:paraId="3A8AC63B" w14:textId="4FBD7824"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W motywie 17 dyrektywy </w:t>
      </w:r>
      <w:r w:rsidR="004F4BC3" w:rsidRPr="009935E0">
        <w:rPr>
          <w:rFonts w:ascii="Times New Roman" w:eastAsia="Times New Roman" w:hAnsi="Times New Roman" w:cs="Times New Roman"/>
          <w:sz w:val="24"/>
          <w:szCs w:val="24"/>
          <w:lang w:eastAsia="pl-PL"/>
        </w:rPr>
        <w:t xml:space="preserve">DSM </w:t>
      </w:r>
      <w:r w:rsidRPr="009935E0">
        <w:rPr>
          <w:rFonts w:ascii="Times New Roman" w:eastAsia="Times New Roman" w:hAnsi="Times New Roman" w:cs="Times New Roman"/>
          <w:sz w:val="24"/>
          <w:szCs w:val="24"/>
          <w:lang w:eastAsia="pl-PL"/>
        </w:rPr>
        <w:t xml:space="preserve">wprost </w:t>
      </w:r>
      <w:r w:rsidR="000F7596" w:rsidRPr="009935E0">
        <w:rPr>
          <w:rFonts w:ascii="Times New Roman" w:eastAsia="Times New Roman" w:hAnsi="Times New Roman" w:cs="Times New Roman"/>
          <w:sz w:val="24"/>
          <w:szCs w:val="24"/>
          <w:lang w:eastAsia="pl-PL"/>
        </w:rPr>
        <w:t xml:space="preserve">zostało </w:t>
      </w:r>
      <w:r w:rsidRPr="009935E0">
        <w:rPr>
          <w:rFonts w:ascii="Times New Roman" w:eastAsia="Times New Roman" w:hAnsi="Times New Roman" w:cs="Times New Roman"/>
          <w:sz w:val="24"/>
          <w:szCs w:val="24"/>
          <w:lang w:eastAsia="pl-PL"/>
        </w:rPr>
        <w:t xml:space="preserve">wykluczone ustawowe zapewnienie rekompensaty dla podmiotów praw wyłącznych z tytułu korzystania z dozwolonego użytku w postaci eksploracji tekstów i danych w celu badań naukowych. </w:t>
      </w:r>
      <w:r w:rsidRPr="009935E0">
        <w:rPr>
          <w:rFonts w:ascii="Times New Roman" w:hAnsi="Times New Roman" w:cs="Times New Roman"/>
          <w:sz w:val="24"/>
          <w:szCs w:val="24"/>
        </w:rPr>
        <w:t xml:space="preserve">Należy także zwrócić uwagę na art. 7 </w:t>
      </w:r>
      <w:r w:rsidR="004F4BC3" w:rsidRPr="009935E0">
        <w:rPr>
          <w:rFonts w:ascii="Times New Roman" w:hAnsi="Times New Roman" w:cs="Times New Roman"/>
          <w:sz w:val="24"/>
          <w:szCs w:val="24"/>
        </w:rPr>
        <w:t xml:space="preserve">tej </w:t>
      </w:r>
      <w:r w:rsidRPr="009935E0">
        <w:rPr>
          <w:rFonts w:ascii="Times New Roman" w:hAnsi="Times New Roman" w:cs="Times New Roman"/>
          <w:sz w:val="24"/>
          <w:szCs w:val="24"/>
        </w:rPr>
        <w:t xml:space="preserve">dyrektywy, z którego wprost wynika, że każde postanowienie umowne sprzeczne z wyjątkiem przewidzianym w art. 3 jest bezskuteczne. Eksploracja tekstów i danych na podstawie art. 3 dyrektywy </w:t>
      </w:r>
      <w:r w:rsidR="004F4BC3" w:rsidRPr="009935E0">
        <w:rPr>
          <w:rFonts w:ascii="Times New Roman" w:hAnsi="Times New Roman" w:cs="Times New Roman"/>
          <w:sz w:val="24"/>
          <w:szCs w:val="24"/>
        </w:rPr>
        <w:t xml:space="preserve">DSM </w:t>
      </w:r>
      <w:r w:rsidRPr="009935E0">
        <w:rPr>
          <w:rFonts w:ascii="Times New Roman" w:hAnsi="Times New Roman" w:cs="Times New Roman"/>
          <w:sz w:val="24"/>
          <w:szCs w:val="24"/>
        </w:rPr>
        <w:t>jest zatem możliwa bez względu na wolę uprawnionego</w:t>
      </w:r>
      <w:r w:rsidR="003148FA" w:rsidRPr="009935E0">
        <w:rPr>
          <w:rFonts w:ascii="Times New Roman" w:hAnsi="Times New Roman" w:cs="Times New Roman"/>
          <w:sz w:val="24"/>
          <w:szCs w:val="24"/>
        </w:rPr>
        <w:t>.</w:t>
      </w:r>
    </w:p>
    <w:p w14:paraId="500BAA78" w14:textId="77777777" w:rsidR="003148FA" w:rsidRPr="009935E0" w:rsidRDefault="00BF4722" w:rsidP="00483092">
      <w:pPr>
        <w:pStyle w:val="Bezodstpw"/>
        <w:spacing w:before="12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Projektowany art. 26</w:t>
      </w:r>
      <w:r w:rsidRPr="009935E0">
        <w:rPr>
          <w:rFonts w:ascii="Times New Roman" w:eastAsia="Times New Roman" w:hAnsi="Times New Roman" w:cs="Times New Roman"/>
          <w:sz w:val="24"/>
          <w:szCs w:val="24"/>
          <w:vertAlign w:val="superscript"/>
          <w:lang w:eastAsia="pl-PL"/>
        </w:rPr>
        <w:t>2</w:t>
      </w:r>
      <w:r w:rsidRPr="009935E0">
        <w:rPr>
          <w:rFonts w:ascii="Times New Roman" w:eastAsia="Times New Roman" w:hAnsi="Times New Roman" w:cs="Times New Roman"/>
          <w:sz w:val="24"/>
          <w:szCs w:val="24"/>
          <w:lang w:eastAsia="pl-PL"/>
        </w:rPr>
        <w:t xml:space="preserve"> ust. 2</w:t>
      </w:r>
      <w:r w:rsidR="004F4BC3" w:rsidRPr="009935E0">
        <w:rPr>
          <w:rFonts w:ascii="Times New Roman" w:eastAsia="Times New Roman" w:hAnsi="Times New Roman" w:cs="Times New Roman"/>
          <w:sz w:val="24"/>
          <w:szCs w:val="24"/>
          <w:lang w:eastAsia="pl-PL"/>
        </w:rPr>
        <w:t xml:space="preserve"> ustawy o prawie autorskim</w:t>
      </w:r>
      <w:r w:rsidRPr="009935E0">
        <w:rPr>
          <w:rFonts w:ascii="Times New Roman" w:eastAsia="Times New Roman" w:hAnsi="Times New Roman" w:cs="Times New Roman"/>
          <w:sz w:val="24"/>
          <w:szCs w:val="24"/>
          <w:lang w:eastAsia="pl-PL"/>
        </w:rPr>
        <w:t>, implementując</w:t>
      </w:r>
      <w:r w:rsidR="00920CF2" w:rsidRPr="009935E0">
        <w:rPr>
          <w:rFonts w:ascii="Times New Roman" w:eastAsia="Times New Roman" w:hAnsi="Times New Roman" w:cs="Times New Roman"/>
          <w:sz w:val="24"/>
          <w:szCs w:val="24"/>
          <w:lang w:eastAsia="pl-PL"/>
        </w:rPr>
        <w:t>y</w:t>
      </w:r>
      <w:r w:rsidRPr="009935E0">
        <w:rPr>
          <w:rFonts w:ascii="Times New Roman" w:eastAsia="Times New Roman" w:hAnsi="Times New Roman" w:cs="Times New Roman"/>
          <w:sz w:val="24"/>
          <w:szCs w:val="24"/>
          <w:lang w:eastAsia="pl-PL"/>
        </w:rPr>
        <w:t xml:space="preserve"> art. </w:t>
      </w:r>
      <w:r w:rsidR="003148FA" w:rsidRPr="009935E0">
        <w:rPr>
          <w:rFonts w:ascii="Times New Roman" w:eastAsia="Times New Roman" w:hAnsi="Times New Roman" w:cs="Times New Roman"/>
          <w:sz w:val="24"/>
          <w:szCs w:val="24"/>
          <w:lang w:eastAsia="pl-PL"/>
        </w:rPr>
        <w:t>3 ust. 1 i 2 dyrektywy, stanowi,</w:t>
      </w:r>
      <w:r w:rsidR="00EA163C"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że utwory zwielokrotnione zgodnie z art. 26</w:t>
      </w:r>
      <w:r w:rsidRPr="009935E0">
        <w:rPr>
          <w:rFonts w:ascii="Times New Roman" w:eastAsia="Times New Roman" w:hAnsi="Times New Roman" w:cs="Times New Roman"/>
          <w:sz w:val="24"/>
          <w:szCs w:val="24"/>
          <w:vertAlign w:val="superscript"/>
          <w:lang w:eastAsia="pl-PL"/>
        </w:rPr>
        <w:t>2</w:t>
      </w:r>
      <w:r w:rsidRPr="009935E0">
        <w:rPr>
          <w:rFonts w:ascii="Times New Roman" w:eastAsia="Times New Roman" w:hAnsi="Times New Roman" w:cs="Times New Roman"/>
          <w:sz w:val="24"/>
          <w:szCs w:val="24"/>
          <w:lang w:eastAsia="pl-PL"/>
        </w:rPr>
        <w:t xml:space="preserve"> ust. 1 mogą być przechowywane do celów badań naukowych, w tym weryfikacji wyników tych badań. </w:t>
      </w:r>
      <w:r w:rsidRPr="009935E0">
        <w:rPr>
          <w:rFonts w:ascii="Times New Roman" w:eastAsia="Times New Roman" w:hAnsi="Times New Roman" w:cs="Times New Roman"/>
          <w:sz w:val="24"/>
          <w:szCs w:val="24"/>
          <w:lang w:eastAsia="pl-PL"/>
        </w:rPr>
        <w:lastRenderedPageBreak/>
        <w:t>Prze</w:t>
      </w:r>
      <w:r w:rsidR="00506C18" w:rsidRPr="009935E0">
        <w:rPr>
          <w:rFonts w:ascii="Times New Roman" w:eastAsia="Times New Roman" w:hAnsi="Times New Roman" w:cs="Times New Roman"/>
          <w:sz w:val="24"/>
          <w:szCs w:val="24"/>
          <w:lang w:eastAsia="pl-PL"/>
        </w:rPr>
        <w:t>chowywanie utworów odbywa się z </w:t>
      </w:r>
      <w:r w:rsidRPr="009935E0">
        <w:rPr>
          <w:rFonts w:ascii="Times New Roman" w:eastAsia="Times New Roman" w:hAnsi="Times New Roman" w:cs="Times New Roman"/>
          <w:sz w:val="24"/>
          <w:szCs w:val="24"/>
          <w:lang w:eastAsia="pl-PL"/>
        </w:rPr>
        <w:t>zachowaniem poziomu bezpieczeństwa zapewniającego dostęp do tych utworów wyłącznie upoważnionym osobom, z uwzględnieniem procedur uwierzytelniających. Przepis art. 26</w:t>
      </w:r>
      <w:r w:rsidRPr="009935E0">
        <w:rPr>
          <w:rFonts w:ascii="Times New Roman" w:eastAsia="Times New Roman" w:hAnsi="Times New Roman" w:cs="Times New Roman"/>
          <w:sz w:val="24"/>
          <w:szCs w:val="24"/>
          <w:vertAlign w:val="superscript"/>
          <w:lang w:eastAsia="pl-PL"/>
        </w:rPr>
        <w:t xml:space="preserve">2 </w:t>
      </w:r>
      <w:r w:rsidRPr="009935E0">
        <w:rPr>
          <w:rFonts w:ascii="Times New Roman" w:eastAsia="Times New Roman" w:hAnsi="Times New Roman" w:cs="Times New Roman"/>
          <w:sz w:val="24"/>
          <w:szCs w:val="24"/>
          <w:lang w:eastAsia="pl-PL"/>
        </w:rPr>
        <w:t xml:space="preserve">upoważnia więc jedynie do eksploracji tekstów i danych oraz do ich przechowywania, nie dopuszcza natomiast udostępniania utworów osobom trzecim. </w:t>
      </w:r>
    </w:p>
    <w:p w14:paraId="585963CD" w14:textId="77777777" w:rsidR="003E699C" w:rsidRPr="009935E0" w:rsidRDefault="003148FA" w:rsidP="00483092">
      <w:pPr>
        <w:pStyle w:val="Bezodstpw"/>
        <w:spacing w:before="12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Projektowany a</w:t>
      </w:r>
      <w:r w:rsidR="00BF4722" w:rsidRPr="009935E0">
        <w:rPr>
          <w:rFonts w:ascii="Times New Roman" w:eastAsia="Times New Roman" w:hAnsi="Times New Roman" w:cs="Times New Roman"/>
          <w:sz w:val="24"/>
          <w:szCs w:val="24"/>
          <w:lang w:eastAsia="pl-PL"/>
        </w:rPr>
        <w:t xml:space="preserve">rt. </w:t>
      </w:r>
      <w:r w:rsidR="00BF4722" w:rsidRPr="009935E0">
        <w:rPr>
          <w:rFonts w:ascii="Times New Roman" w:hAnsi="Times New Roman" w:cs="Times New Roman"/>
          <w:sz w:val="24"/>
          <w:szCs w:val="24"/>
          <w:lang w:eastAsia="pl-PL"/>
        </w:rPr>
        <w:t>26</w:t>
      </w:r>
      <w:r w:rsidR="00BF4722" w:rsidRPr="009935E0">
        <w:rPr>
          <w:rFonts w:ascii="Times New Roman" w:hAnsi="Times New Roman" w:cs="Times New Roman"/>
          <w:sz w:val="24"/>
          <w:szCs w:val="24"/>
          <w:vertAlign w:val="superscript"/>
          <w:lang w:eastAsia="pl-PL"/>
        </w:rPr>
        <w:t xml:space="preserve">2 </w:t>
      </w:r>
      <w:r w:rsidR="00BF4722" w:rsidRPr="009935E0">
        <w:rPr>
          <w:rFonts w:ascii="Times New Roman" w:hAnsi="Times New Roman" w:cs="Times New Roman"/>
          <w:sz w:val="24"/>
          <w:szCs w:val="24"/>
          <w:lang w:eastAsia="pl-PL"/>
        </w:rPr>
        <w:t xml:space="preserve">ust. 3 </w:t>
      </w:r>
      <w:r w:rsidR="00BF4722" w:rsidRPr="009935E0">
        <w:rPr>
          <w:rFonts w:ascii="Times New Roman" w:eastAsia="Times New Roman" w:hAnsi="Times New Roman" w:cs="Times New Roman"/>
          <w:sz w:val="24"/>
          <w:szCs w:val="24"/>
          <w:lang w:eastAsia="pl-PL"/>
        </w:rPr>
        <w:t xml:space="preserve">wdraża art. 3 ust. 3 dyrektywy. </w:t>
      </w:r>
      <w:r w:rsidRPr="009935E0">
        <w:rPr>
          <w:rFonts w:ascii="Times New Roman" w:eastAsia="Times New Roman" w:hAnsi="Times New Roman" w:cs="Times New Roman"/>
          <w:sz w:val="24"/>
          <w:szCs w:val="24"/>
          <w:lang w:eastAsia="pl-PL"/>
        </w:rPr>
        <w:t>U</w:t>
      </w:r>
      <w:r w:rsidR="00BF4722" w:rsidRPr="009935E0">
        <w:rPr>
          <w:rFonts w:ascii="Times New Roman" w:eastAsia="Times New Roman" w:hAnsi="Times New Roman" w:cs="Times New Roman"/>
          <w:sz w:val="24"/>
          <w:szCs w:val="24"/>
          <w:lang w:eastAsia="pl-PL"/>
        </w:rPr>
        <w:t>prawniony</w:t>
      </w:r>
      <w:r w:rsidR="003E699C" w:rsidRPr="009935E0">
        <w:rPr>
          <w:rFonts w:ascii="Times New Roman" w:eastAsia="Times New Roman" w:hAnsi="Times New Roman" w:cs="Times New Roman"/>
          <w:sz w:val="24"/>
          <w:szCs w:val="24"/>
          <w:lang w:eastAsia="pl-PL"/>
        </w:rPr>
        <w:t xml:space="preserve">, w celu zapewnienia bezpieczeństwa i integralności sieci i baz danych, w których utwory są przechowywane, będzie mógł stosować wyłącznie środki niezbędne do osiągnięcia tego celu. </w:t>
      </w:r>
    </w:p>
    <w:p w14:paraId="573D96B6" w14:textId="584D986C" w:rsidR="00BF4722" w:rsidRPr="009935E0" w:rsidRDefault="00BF4722" w:rsidP="00483092">
      <w:pPr>
        <w:pStyle w:val="Akapitzlist"/>
        <w:numPr>
          <w:ilvl w:val="1"/>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Eksploracja tekstów i danych d</w:t>
      </w:r>
      <w:r w:rsidR="00506C18" w:rsidRPr="009935E0">
        <w:rPr>
          <w:rFonts w:ascii="Times New Roman" w:hAnsi="Times New Roman" w:cs="Times New Roman"/>
          <w:b/>
          <w:sz w:val="24"/>
          <w:szCs w:val="24"/>
        </w:rPr>
        <w:t>o</w:t>
      </w:r>
      <w:r w:rsidRPr="009935E0">
        <w:rPr>
          <w:rFonts w:ascii="Times New Roman" w:hAnsi="Times New Roman" w:cs="Times New Roman"/>
          <w:b/>
          <w:sz w:val="24"/>
          <w:szCs w:val="24"/>
        </w:rPr>
        <w:t xml:space="preserve"> celów innych niż badawcze (art. 4</w:t>
      </w:r>
      <w:r w:rsidR="003148FA" w:rsidRPr="009935E0">
        <w:rPr>
          <w:rFonts w:ascii="Times New Roman" w:hAnsi="Times New Roman" w:cs="Times New Roman"/>
          <w:b/>
          <w:sz w:val="24"/>
          <w:szCs w:val="24"/>
        </w:rPr>
        <w:t xml:space="preserve"> dyrektywy)</w:t>
      </w:r>
    </w:p>
    <w:p w14:paraId="70CBB542" w14:textId="77777777" w:rsidR="00BF4722" w:rsidRPr="009935E0" w:rsidRDefault="00BF4722" w:rsidP="00483092">
      <w:pPr>
        <w:spacing w:before="120" w:after="0" w:line="360" w:lineRule="auto"/>
        <w:jc w:val="both"/>
        <w:rPr>
          <w:rFonts w:ascii="Times New Roman" w:eastAsia="Times New Roman" w:hAnsi="Times New Roman" w:cs="Times New Roman"/>
          <w:bCs/>
          <w:sz w:val="24"/>
          <w:szCs w:val="24"/>
          <w:lang w:eastAsia="pl-PL"/>
        </w:rPr>
      </w:pPr>
      <w:r w:rsidRPr="009935E0">
        <w:rPr>
          <w:rFonts w:ascii="Times New Roman" w:hAnsi="Times New Roman" w:cs="Times New Roman"/>
          <w:sz w:val="24"/>
          <w:szCs w:val="24"/>
        </w:rPr>
        <w:t xml:space="preserve">Możliwość stosowania technologii cyfrowych w celu eksploracji tekstów i danych ma doniosłe znaczenie nie tylko dla organizacji badawczych, ale także dla podmiotów gospodarczych, które wykorzystują wyniki eksploracji w różnych sferach życia codziennego i do różnych celów, takich jak np. podejmowanie złożonych decyzji biznesowych, rozwijanie nowych modeli biznesowych, opracowywanie innowacyjnych aplikacji i technologii. Dlatego też art. 4 dyrektywy wprowadza do prawa autorskiego </w:t>
      </w:r>
      <w:r w:rsidR="00637EE9" w:rsidRPr="009935E0">
        <w:rPr>
          <w:rFonts w:ascii="Times New Roman" w:hAnsi="Times New Roman" w:cs="Times New Roman"/>
          <w:sz w:val="24"/>
          <w:szCs w:val="24"/>
          <w:lang w:eastAsia="pl-PL"/>
        </w:rPr>
        <w:t>dozwolony użytek</w:t>
      </w:r>
      <w:r w:rsidRPr="009935E0">
        <w:rPr>
          <w:rFonts w:ascii="Times New Roman" w:hAnsi="Times New Roman" w:cs="Times New Roman"/>
          <w:sz w:val="24"/>
          <w:szCs w:val="24"/>
          <w:lang w:eastAsia="pl-PL"/>
        </w:rPr>
        <w:t xml:space="preserve"> w postaci eksploracji tekstów i danych w celach komercyjnych.</w:t>
      </w:r>
      <w:r w:rsidRPr="009935E0">
        <w:rPr>
          <w:rFonts w:ascii="Times New Roman" w:hAnsi="Times New Roman" w:cs="Times New Roman"/>
          <w:sz w:val="24"/>
          <w:szCs w:val="24"/>
        </w:rPr>
        <w:t xml:space="preserve"> W </w:t>
      </w:r>
      <w:r w:rsidRPr="009935E0">
        <w:rPr>
          <w:rFonts w:ascii="Times New Roman" w:hAnsi="Times New Roman" w:cs="Times New Roman"/>
          <w:sz w:val="24"/>
          <w:szCs w:val="24"/>
          <w:lang w:eastAsia="pl-PL"/>
        </w:rPr>
        <w:t xml:space="preserve">motywie 18 dyrektywy </w:t>
      </w:r>
      <w:r w:rsidR="00F6415F" w:rsidRPr="009935E0">
        <w:rPr>
          <w:rFonts w:ascii="Times New Roman" w:hAnsi="Times New Roman" w:cs="Times New Roman"/>
          <w:sz w:val="24"/>
          <w:szCs w:val="24"/>
          <w:lang w:eastAsia="pl-PL"/>
        </w:rPr>
        <w:t xml:space="preserve">DSM </w:t>
      </w:r>
      <w:r w:rsidRPr="009935E0">
        <w:rPr>
          <w:rFonts w:ascii="Times New Roman" w:hAnsi="Times New Roman" w:cs="Times New Roman"/>
          <w:sz w:val="24"/>
          <w:szCs w:val="24"/>
          <w:lang w:eastAsia="pl-PL"/>
        </w:rPr>
        <w:t xml:space="preserve">zaakcentowano niepewność co do tego, czy w aktualnym stanie prawnym można dokonywać zwielokrotnień i pobrań na potrzeby eksploracji tekstów i danych. </w:t>
      </w:r>
      <w:r w:rsidRPr="009935E0">
        <w:rPr>
          <w:rFonts w:ascii="Times New Roman" w:hAnsi="Times New Roman" w:cs="Times New Roman"/>
          <w:sz w:val="24"/>
          <w:szCs w:val="24"/>
        </w:rPr>
        <w:t xml:space="preserve">Celem dyrektywy jest </w:t>
      </w:r>
      <w:r w:rsidRPr="009935E0">
        <w:rPr>
          <w:rFonts w:ascii="Times New Roman" w:hAnsi="Times New Roman" w:cs="Times New Roman"/>
          <w:sz w:val="24"/>
          <w:szCs w:val="24"/>
          <w:lang w:eastAsia="pl-PL"/>
        </w:rPr>
        <w:t>zatem zwiększenie pewności prawa oraz stymulowanie rozwoju innowacji w sektorze prywatnym.</w:t>
      </w:r>
    </w:p>
    <w:p w14:paraId="51F58974" w14:textId="77777777" w:rsidR="00BF4722" w:rsidRPr="009935E0" w:rsidRDefault="00BF4722" w:rsidP="00483092">
      <w:pPr>
        <w:spacing w:before="120" w:after="0" w:line="360" w:lineRule="auto"/>
        <w:jc w:val="both"/>
        <w:rPr>
          <w:rFonts w:ascii="Times New Roman" w:eastAsia="Times New Roman" w:hAnsi="Times New Roman" w:cs="Times New Roman"/>
          <w:bCs/>
          <w:sz w:val="24"/>
          <w:szCs w:val="24"/>
          <w:lang w:eastAsia="pl-PL"/>
        </w:rPr>
      </w:pPr>
      <w:r w:rsidRPr="009935E0">
        <w:rPr>
          <w:rFonts w:ascii="Times New Roman" w:eastAsia="Times New Roman" w:hAnsi="Times New Roman" w:cs="Times New Roman"/>
          <w:bCs/>
          <w:sz w:val="24"/>
          <w:szCs w:val="24"/>
          <w:lang w:eastAsia="pl-PL"/>
        </w:rPr>
        <w:t>W aktualnym stanie prawnym polskie przepisy nie przewidują regulacji dotyczących dozwolonego użytku w postaci eksploracji tekstów i danych w celach komercyjnych. Implementacja omawianego przepisu dyrektywy nastąpi</w:t>
      </w:r>
      <w:r w:rsidR="00506C18" w:rsidRPr="009935E0">
        <w:rPr>
          <w:rFonts w:ascii="Times New Roman" w:eastAsia="Times New Roman" w:hAnsi="Times New Roman" w:cs="Times New Roman"/>
          <w:bCs/>
          <w:sz w:val="24"/>
          <w:szCs w:val="24"/>
          <w:lang w:eastAsia="pl-PL"/>
        </w:rPr>
        <w:t xml:space="preserve"> przez wprowadzenie do ustawy o </w:t>
      </w:r>
      <w:r w:rsidRPr="009935E0">
        <w:rPr>
          <w:rFonts w:ascii="Times New Roman" w:eastAsia="Times New Roman" w:hAnsi="Times New Roman" w:cs="Times New Roman"/>
          <w:bCs/>
          <w:sz w:val="24"/>
          <w:szCs w:val="24"/>
          <w:lang w:eastAsia="pl-PL"/>
        </w:rPr>
        <w:t>prawie autorskim nowego art. 26</w:t>
      </w:r>
      <w:r w:rsidRPr="009935E0">
        <w:rPr>
          <w:rFonts w:ascii="Times New Roman" w:eastAsia="Times New Roman" w:hAnsi="Times New Roman" w:cs="Times New Roman"/>
          <w:bCs/>
          <w:sz w:val="24"/>
          <w:szCs w:val="24"/>
          <w:vertAlign w:val="superscript"/>
          <w:lang w:eastAsia="pl-PL"/>
        </w:rPr>
        <w:t>3</w:t>
      </w:r>
      <w:r w:rsidRPr="009935E0">
        <w:rPr>
          <w:rFonts w:ascii="Times New Roman" w:eastAsia="Times New Roman" w:hAnsi="Times New Roman" w:cs="Times New Roman"/>
          <w:bCs/>
          <w:sz w:val="24"/>
          <w:szCs w:val="24"/>
          <w:lang w:eastAsia="pl-PL"/>
        </w:rPr>
        <w:t>.</w:t>
      </w:r>
    </w:p>
    <w:p w14:paraId="53A7174F" w14:textId="77777777" w:rsidR="00BF4722" w:rsidRPr="009935E0" w:rsidRDefault="00BF4722" w:rsidP="00483092">
      <w:pPr>
        <w:spacing w:before="120" w:after="0" w:line="360" w:lineRule="auto"/>
        <w:jc w:val="both"/>
        <w:rPr>
          <w:rFonts w:ascii="Times New Roman" w:eastAsia="Times New Roman" w:hAnsi="Times New Roman" w:cs="Times New Roman"/>
          <w:bCs/>
          <w:sz w:val="24"/>
          <w:szCs w:val="24"/>
          <w:lang w:eastAsia="pl-PL"/>
        </w:rPr>
      </w:pPr>
      <w:r w:rsidRPr="009935E0">
        <w:rPr>
          <w:rFonts w:ascii="Times New Roman" w:eastAsia="Times New Roman" w:hAnsi="Times New Roman" w:cs="Times New Roman"/>
          <w:bCs/>
          <w:sz w:val="24"/>
          <w:szCs w:val="24"/>
          <w:lang w:eastAsia="pl-PL"/>
        </w:rPr>
        <w:t>Zakres przedmiotowy dozwolonego użytku w postaci eksploracji tekstów i danych dla</w:t>
      </w:r>
      <w:r w:rsidRPr="009935E0">
        <w:rPr>
          <w:rFonts w:ascii="Times New Roman" w:eastAsia="Times New Roman" w:hAnsi="Times New Roman" w:cs="Times New Roman"/>
          <w:sz w:val="24"/>
          <w:szCs w:val="24"/>
          <w:lang w:eastAsia="pl-PL"/>
        </w:rPr>
        <w:t xml:space="preserve"> celów komercyjnych został wskazany w art. 4 ust. 1 dyrektywy DSM, który przewiduje wyjątek od praw przewidzianych w art. 5 lit a i art. 7 ust. 1 dyrektywy 96/9/WE Parlamentu Europejskiego i Rady z dnia 11 marca 1996 r. w sprawie ochrony prawnej baz danych, w art. 2 dyrektywy 2001/29/WE Parlamentu Europejskiego i Rady z dnia 22 maja 2001 r. w sprawie harmonizacji niektórych aspektów praw autorskich i pokrewnych w społeczeństwie informacyjnym, w art. 4 ust. 1 lit. a i b dyrektywy Parlamentu Europejskiego i Rady 2009/24/WE z dnia 23 kwietnia 2009 r. w sprawie ochrony prawnej programów komputerowych oraz w art. 15 ust. 1 dyrektywy DSM. </w:t>
      </w:r>
      <w:r w:rsidRPr="009935E0">
        <w:rPr>
          <w:rFonts w:ascii="Times New Roman" w:eastAsia="Times New Roman" w:hAnsi="Times New Roman" w:cs="Times New Roman"/>
          <w:bCs/>
          <w:sz w:val="24"/>
          <w:szCs w:val="24"/>
          <w:lang w:eastAsia="pl-PL"/>
        </w:rPr>
        <w:t xml:space="preserve">Zakres utworów, które mogą być eksplorowane w oparciu o powyższy przepis pokrywa </w:t>
      </w:r>
      <w:r w:rsidRPr="009935E0">
        <w:rPr>
          <w:rFonts w:ascii="Times New Roman" w:eastAsia="Times New Roman" w:hAnsi="Times New Roman" w:cs="Times New Roman"/>
          <w:bCs/>
          <w:sz w:val="24"/>
          <w:szCs w:val="24"/>
          <w:lang w:eastAsia="pl-PL"/>
        </w:rPr>
        <w:lastRenderedPageBreak/>
        <w:t>się zatem z zakresem przewidzianym w art. 3 dyrektywy DSM, a dodatkowo obejmuje także programy komputerowe.</w:t>
      </w:r>
    </w:p>
    <w:p w14:paraId="4C360851" w14:textId="77777777" w:rsidR="00637EE9"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bCs/>
          <w:sz w:val="24"/>
          <w:szCs w:val="24"/>
          <w:lang w:eastAsia="pl-PL"/>
        </w:rPr>
        <w:t>Zgodnie z art. 4 ust. 2 dyrektywy zwielokrotnienia i pobrania dokonane w ramach</w:t>
      </w:r>
      <w:r w:rsidRPr="009935E0">
        <w:rPr>
          <w:rFonts w:ascii="Times New Roman" w:eastAsia="Times New Roman" w:hAnsi="Times New Roman" w:cs="Times New Roman"/>
          <w:sz w:val="24"/>
          <w:szCs w:val="24"/>
          <w:lang w:eastAsia="pl-PL"/>
        </w:rPr>
        <w:t xml:space="preserve"> omawianego dozwolonego użytku mogą być przechowywane tak długo, jak to konieczne do celów eksploracji tekstów i danych. Co szczególnie istotne, korzystanie z omawianej postaci dozwolonego użytku nie jest uzależnione od spełnienia jakichkolwiek warunków co do celu korzystania</w:t>
      </w:r>
      <w:r w:rsidR="00637EE9" w:rsidRPr="009935E0">
        <w:rPr>
          <w:rFonts w:ascii="Times New Roman" w:eastAsia="Times New Roman" w:hAnsi="Times New Roman" w:cs="Times New Roman"/>
          <w:sz w:val="24"/>
          <w:szCs w:val="24"/>
          <w:lang w:eastAsia="pl-PL"/>
        </w:rPr>
        <w:t xml:space="preserve">. </w:t>
      </w:r>
    </w:p>
    <w:p w14:paraId="4FE9E45D" w14:textId="78336D7F" w:rsidR="0024436A" w:rsidRPr="009935E0" w:rsidRDefault="00BF4722" w:rsidP="00483092">
      <w:pPr>
        <w:spacing w:before="120" w:after="0" w:line="360" w:lineRule="auto"/>
        <w:jc w:val="both"/>
        <w:rPr>
          <w:rFonts w:ascii="Times New Roman" w:hAnsi="Times New Roman" w:cs="Times New Roman"/>
          <w:sz w:val="24"/>
          <w:szCs w:val="24"/>
        </w:rPr>
      </w:pPr>
      <w:r w:rsidRPr="009935E0">
        <w:rPr>
          <w:rFonts w:ascii="Times New Roman" w:eastAsia="Times New Roman" w:hAnsi="Times New Roman" w:cs="Times New Roman"/>
          <w:sz w:val="24"/>
          <w:szCs w:val="24"/>
          <w:lang w:eastAsia="pl-PL"/>
        </w:rPr>
        <w:t>Istotne postanowienie zawarto w art. 4 ust. 3 dyrektywy</w:t>
      </w:r>
      <w:r w:rsidR="00F6415F" w:rsidRPr="009935E0">
        <w:rPr>
          <w:rFonts w:ascii="Times New Roman" w:eastAsia="Times New Roman" w:hAnsi="Times New Roman" w:cs="Times New Roman"/>
          <w:sz w:val="24"/>
          <w:szCs w:val="24"/>
          <w:lang w:eastAsia="pl-PL"/>
        </w:rPr>
        <w:t xml:space="preserve"> DSM</w:t>
      </w:r>
      <w:r w:rsidRPr="009935E0">
        <w:rPr>
          <w:rFonts w:ascii="Times New Roman" w:eastAsia="Times New Roman" w:hAnsi="Times New Roman" w:cs="Times New Roman"/>
          <w:sz w:val="24"/>
          <w:szCs w:val="24"/>
          <w:lang w:eastAsia="pl-PL"/>
        </w:rPr>
        <w:t xml:space="preserve">. Z przepisu wynika, że </w:t>
      </w:r>
      <w:r w:rsidRPr="009935E0">
        <w:rPr>
          <w:rFonts w:ascii="Times New Roman" w:hAnsi="Times New Roman" w:cs="Times New Roman"/>
          <w:sz w:val="24"/>
          <w:szCs w:val="24"/>
        </w:rPr>
        <w:t>podmiot, któremu przysługują autorskie prawa majątkowe do utworów, które miałyby być eksplorowane, może wyłączyć taką możliwość przez odpowiednie zastrzeżenie, na przykład za pomocą środków nadających się do odczytu maszynowego w przypadku treści, które zostały udostępnione w Internecie, łącznie z metadanymi i warunkami korzystania ze strony internetowej lub usługi, co wynika wprost z motywu 18 ust. 2 dyrektywy. Jest to zatem szczególny przypadek dozwolonego użytku, kiedy to już sama możliwość korzystania z niego jest uzależniona od woli uprawnionego, oczywiście pod warunkiem wyrażenia tej woli w odpowiedni sposób. Zawarty w projektowanym art. 26</w:t>
      </w:r>
      <w:r w:rsidRPr="009935E0">
        <w:rPr>
          <w:rFonts w:ascii="Times New Roman" w:hAnsi="Times New Roman" w:cs="Times New Roman"/>
          <w:sz w:val="24"/>
          <w:szCs w:val="24"/>
          <w:vertAlign w:val="superscript"/>
        </w:rPr>
        <w:t>3</w:t>
      </w:r>
      <w:r w:rsidR="00637EE9" w:rsidRPr="009935E0">
        <w:rPr>
          <w:rFonts w:ascii="Times New Roman" w:hAnsi="Times New Roman" w:cs="Times New Roman"/>
          <w:sz w:val="24"/>
          <w:szCs w:val="24"/>
        </w:rPr>
        <w:t xml:space="preserve"> </w:t>
      </w:r>
      <w:r w:rsidR="007D7EC2" w:rsidRPr="009935E0">
        <w:rPr>
          <w:rFonts w:ascii="Times New Roman" w:hAnsi="Times New Roman" w:cs="Times New Roman"/>
          <w:sz w:val="24"/>
          <w:szCs w:val="24"/>
        </w:rPr>
        <w:t xml:space="preserve">ustawy o prawie autorskim </w:t>
      </w:r>
      <w:r w:rsidR="00637EE9" w:rsidRPr="009935E0">
        <w:rPr>
          <w:rFonts w:ascii="Times New Roman" w:hAnsi="Times New Roman" w:cs="Times New Roman"/>
          <w:sz w:val="24"/>
          <w:szCs w:val="24"/>
        </w:rPr>
        <w:t>przepis ust. 3 wskazuje</w:t>
      </w:r>
      <w:r w:rsidRPr="009935E0">
        <w:rPr>
          <w:rFonts w:ascii="Times New Roman" w:hAnsi="Times New Roman" w:cs="Times New Roman"/>
          <w:sz w:val="24"/>
          <w:szCs w:val="24"/>
        </w:rPr>
        <w:t xml:space="preserve">, że zastrzeżenie to powinno być </w:t>
      </w:r>
      <w:r w:rsidR="0024436A" w:rsidRPr="009935E0">
        <w:rPr>
          <w:rFonts w:ascii="Times New Roman" w:hAnsi="Times New Roman" w:cs="Times New Roman"/>
          <w:sz w:val="24"/>
          <w:szCs w:val="24"/>
        </w:rPr>
        <w:t xml:space="preserve">wyraźne i odpowiednie </w:t>
      </w:r>
      <w:r w:rsidRPr="009935E0">
        <w:rPr>
          <w:rFonts w:ascii="Times New Roman" w:hAnsi="Times New Roman" w:cs="Times New Roman"/>
          <w:sz w:val="24"/>
          <w:szCs w:val="24"/>
        </w:rPr>
        <w:t>do sposobu udostępniania utworów. W przypadku utworów publicznie udostępnionych w taki sposób, aby każdy mógł mieć do nich dostęp w miejscu i czasie przez siebie wybranym (czyli udostępnionych w Internecie), pojawi</w:t>
      </w:r>
      <w:r w:rsidR="00637EE9" w:rsidRPr="009935E0">
        <w:rPr>
          <w:rFonts w:ascii="Times New Roman" w:hAnsi="Times New Roman" w:cs="Times New Roman"/>
          <w:sz w:val="24"/>
          <w:szCs w:val="24"/>
        </w:rPr>
        <w:t>a</w:t>
      </w:r>
      <w:r w:rsidRPr="009935E0">
        <w:rPr>
          <w:rFonts w:ascii="Times New Roman" w:hAnsi="Times New Roman" w:cs="Times New Roman"/>
          <w:sz w:val="24"/>
          <w:szCs w:val="24"/>
        </w:rPr>
        <w:t xml:space="preserve"> się wymóg zastrzeżenia w formacie nadaj</w:t>
      </w:r>
      <w:r w:rsidR="00637EE9" w:rsidRPr="009935E0">
        <w:rPr>
          <w:rFonts w:ascii="Times New Roman" w:hAnsi="Times New Roman" w:cs="Times New Roman"/>
          <w:sz w:val="24"/>
          <w:szCs w:val="24"/>
        </w:rPr>
        <w:t>ącym się do odczytu maszynowego</w:t>
      </w:r>
      <w:r w:rsidRPr="009935E0">
        <w:rPr>
          <w:rFonts w:ascii="Times New Roman" w:hAnsi="Times New Roman" w:cs="Times New Roman"/>
          <w:sz w:val="24"/>
          <w:szCs w:val="24"/>
        </w:rPr>
        <w:t xml:space="preserve"> w rozumieniu </w:t>
      </w:r>
      <w:r w:rsidR="00420E53" w:rsidRPr="009935E0">
        <w:rPr>
          <w:rFonts w:ascii="Times New Roman" w:hAnsi="Times New Roman" w:cs="Times New Roman"/>
          <w:sz w:val="24"/>
          <w:szCs w:val="24"/>
        </w:rPr>
        <w:t xml:space="preserve">art. 2 pkt 7 </w:t>
      </w:r>
      <w:r w:rsidRPr="009935E0">
        <w:rPr>
          <w:rFonts w:ascii="Times New Roman" w:hAnsi="Times New Roman" w:cs="Times New Roman"/>
          <w:sz w:val="24"/>
          <w:szCs w:val="24"/>
        </w:rPr>
        <w:t>ustawy z dnia 11 sierpnia 2021 r. o otwartych danych i ponownym wykorzystywaniu informacji sekto</w:t>
      </w:r>
      <w:r w:rsidR="002E2AB9" w:rsidRPr="009935E0">
        <w:rPr>
          <w:rFonts w:ascii="Times New Roman" w:hAnsi="Times New Roman" w:cs="Times New Roman"/>
          <w:sz w:val="24"/>
          <w:szCs w:val="24"/>
        </w:rPr>
        <w:t>ra publicznego</w:t>
      </w:r>
      <w:r w:rsidR="00386CB1" w:rsidRPr="009935E0">
        <w:rPr>
          <w:rFonts w:ascii="Times New Roman" w:hAnsi="Times New Roman" w:cs="Times New Roman"/>
          <w:sz w:val="24"/>
          <w:szCs w:val="24"/>
        </w:rPr>
        <w:t xml:space="preserve"> (Dz. U. z 2023 r. poz. 1524)</w:t>
      </w:r>
      <w:r w:rsidR="00637EE9" w:rsidRPr="009935E0">
        <w:rPr>
          <w:rFonts w:ascii="Times New Roman" w:hAnsi="Times New Roman" w:cs="Times New Roman"/>
          <w:sz w:val="24"/>
          <w:szCs w:val="24"/>
        </w:rPr>
        <w:t>.</w:t>
      </w:r>
      <w:r w:rsidR="0024436A" w:rsidRPr="009935E0">
        <w:rPr>
          <w:rFonts w:ascii="Times New Roman" w:hAnsi="Times New Roman" w:cs="Times New Roman"/>
          <w:sz w:val="24"/>
          <w:szCs w:val="24"/>
        </w:rPr>
        <w:t xml:space="preserve"> W</w:t>
      </w:r>
      <w:r w:rsidR="004F2E2B">
        <w:rPr>
          <w:rFonts w:ascii="Times New Roman" w:hAnsi="Times New Roman" w:cs="Times New Roman"/>
          <w:sz w:val="24"/>
          <w:szCs w:val="24"/>
        </w:rPr>
        <w:t> </w:t>
      </w:r>
      <w:r w:rsidR="0024436A" w:rsidRPr="009935E0">
        <w:rPr>
          <w:rFonts w:ascii="Times New Roman" w:hAnsi="Times New Roman" w:cs="Times New Roman"/>
          <w:sz w:val="24"/>
          <w:szCs w:val="24"/>
        </w:rPr>
        <w:t>przypadku innych treści niż podane do publicznej wiadomości w Internecie odpowiednie zastrzeżenie praw może nastąpić w drodze innych środków, takich jak np. umowy czy jednostronne oświadczenia</w:t>
      </w:r>
      <w:r w:rsidR="00BC7BBA" w:rsidRPr="009935E0">
        <w:rPr>
          <w:rFonts w:ascii="Times New Roman" w:hAnsi="Times New Roman" w:cs="Times New Roman"/>
          <w:sz w:val="24"/>
          <w:szCs w:val="24"/>
        </w:rPr>
        <w:t xml:space="preserve"> </w:t>
      </w:r>
      <w:r w:rsidR="0024436A" w:rsidRPr="009935E0">
        <w:rPr>
          <w:rFonts w:ascii="Times New Roman" w:hAnsi="Times New Roman" w:cs="Times New Roman"/>
          <w:sz w:val="24"/>
          <w:szCs w:val="24"/>
        </w:rPr>
        <w:t>(motyw 18</w:t>
      </w:r>
      <w:r w:rsidR="00F6415F" w:rsidRPr="009935E0">
        <w:rPr>
          <w:rFonts w:ascii="Times New Roman" w:hAnsi="Times New Roman" w:cs="Times New Roman"/>
          <w:sz w:val="24"/>
          <w:szCs w:val="24"/>
        </w:rPr>
        <w:t xml:space="preserve"> dyrektywy DSM</w:t>
      </w:r>
      <w:r w:rsidR="0024436A" w:rsidRPr="009935E0">
        <w:rPr>
          <w:rFonts w:ascii="Times New Roman" w:hAnsi="Times New Roman" w:cs="Times New Roman"/>
          <w:sz w:val="24"/>
          <w:szCs w:val="24"/>
        </w:rPr>
        <w:t>)</w:t>
      </w:r>
      <w:r w:rsidR="0085613F" w:rsidRPr="009935E0">
        <w:rPr>
          <w:rFonts w:ascii="Times New Roman" w:hAnsi="Times New Roman" w:cs="Times New Roman"/>
          <w:sz w:val="24"/>
          <w:szCs w:val="24"/>
        </w:rPr>
        <w:t>.</w:t>
      </w:r>
    </w:p>
    <w:p w14:paraId="792BCC93" w14:textId="32B6E993" w:rsidR="00BF4722" w:rsidRPr="009935E0" w:rsidRDefault="00BF4722" w:rsidP="00483092">
      <w:pPr>
        <w:spacing w:before="120" w:after="0" w:line="360" w:lineRule="auto"/>
        <w:jc w:val="both"/>
        <w:rPr>
          <w:rFonts w:ascii="Times New Roman" w:eastAsia="Times New Roman" w:hAnsi="Times New Roman" w:cs="Times New Roman"/>
          <w:b/>
          <w:bCs/>
          <w:sz w:val="24"/>
          <w:szCs w:val="24"/>
          <w:lang w:eastAsia="pl-PL"/>
        </w:rPr>
      </w:pPr>
      <w:r w:rsidRPr="009935E0">
        <w:rPr>
          <w:rFonts w:ascii="Times New Roman" w:eastAsia="Times New Roman" w:hAnsi="Times New Roman" w:cs="Times New Roman"/>
          <w:bCs/>
          <w:sz w:val="24"/>
          <w:szCs w:val="24"/>
          <w:lang w:eastAsia="pl-PL"/>
        </w:rPr>
        <w:t xml:space="preserve">Różnice między dozwolonym użytkiem </w:t>
      </w:r>
      <w:r w:rsidR="00637EE9" w:rsidRPr="009935E0">
        <w:rPr>
          <w:rFonts w:ascii="Times New Roman" w:eastAsia="Times New Roman" w:hAnsi="Times New Roman" w:cs="Times New Roman"/>
          <w:bCs/>
          <w:sz w:val="24"/>
          <w:szCs w:val="24"/>
          <w:lang w:eastAsia="pl-PL"/>
        </w:rPr>
        <w:t xml:space="preserve">w zakresie eksploracji tekstów i danych </w:t>
      </w:r>
      <w:r w:rsidRPr="009935E0">
        <w:rPr>
          <w:rFonts w:ascii="Times New Roman" w:eastAsia="Times New Roman" w:hAnsi="Times New Roman" w:cs="Times New Roman"/>
          <w:bCs/>
          <w:sz w:val="24"/>
          <w:szCs w:val="24"/>
          <w:lang w:eastAsia="pl-PL"/>
        </w:rPr>
        <w:t>w projektowanym art. 26</w:t>
      </w:r>
      <w:r w:rsidRPr="009935E0">
        <w:rPr>
          <w:rFonts w:ascii="Times New Roman" w:eastAsia="Times New Roman" w:hAnsi="Times New Roman" w:cs="Times New Roman"/>
          <w:bCs/>
          <w:sz w:val="24"/>
          <w:szCs w:val="24"/>
          <w:vertAlign w:val="superscript"/>
          <w:lang w:eastAsia="pl-PL"/>
        </w:rPr>
        <w:t xml:space="preserve">2 </w:t>
      </w:r>
      <w:r w:rsidRPr="009935E0">
        <w:rPr>
          <w:rFonts w:ascii="Times New Roman" w:eastAsia="Times New Roman" w:hAnsi="Times New Roman" w:cs="Times New Roman"/>
          <w:bCs/>
          <w:sz w:val="24"/>
          <w:szCs w:val="24"/>
          <w:lang w:eastAsia="pl-PL"/>
        </w:rPr>
        <w:t>a projektowanym art. 26</w:t>
      </w:r>
      <w:r w:rsidRPr="009935E0">
        <w:rPr>
          <w:rFonts w:ascii="Times New Roman" w:eastAsia="Times New Roman" w:hAnsi="Times New Roman" w:cs="Times New Roman"/>
          <w:bCs/>
          <w:sz w:val="24"/>
          <w:szCs w:val="24"/>
          <w:vertAlign w:val="superscript"/>
          <w:lang w:eastAsia="pl-PL"/>
        </w:rPr>
        <w:t xml:space="preserve">3 </w:t>
      </w:r>
      <w:r w:rsidR="00F6415F" w:rsidRPr="009935E0">
        <w:rPr>
          <w:rFonts w:ascii="Times New Roman" w:eastAsia="Times New Roman" w:hAnsi="Times New Roman" w:cs="Times New Roman"/>
          <w:bCs/>
          <w:sz w:val="24"/>
          <w:szCs w:val="24"/>
          <w:lang w:eastAsia="pl-PL"/>
        </w:rPr>
        <w:t>ustawy o prawie autorskim s</w:t>
      </w:r>
      <w:r w:rsidRPr="009935E0">
        <w:rPr>
          <w:rFonts w:ascii="Times New Roman" w:eastAsia="Times New Roman" w:hAnsi="Times New Roman" w:cs="Times New Roman"/>
          <w:bCs/>
          <w:sz w:val="24"/>
          <w:szCs w:val="24"/>
          <w:lang w:eastAsia="pl-PL"/>
        </w:rPr>
        <w:t>ą następujące:</w:t>
      </w:r>
    </w:p>
    <w:p w14:paraId="2054137F" w14:textId="77777777" w:rsidR="00BF4722" w:rsidRPr="009935E0" w:rsidRDefault="00BF4722" w:rsidP="00483092">
      <w:pPr>
        <w:pStyle w:val="Akapitzlist"/>
        <w:numPr>
          <w:ilvl w:val="0"/>
          <w:numId w:val="2"/>
        </w:num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9935E0">
        <w:rPr>
          <w:rFonts w:ascii="Times New Roman" w:eastAsia="Times New Roman" w:hAnsi="Times New Roman" w:cs="Times New Roman"/>
          <w:bCs/>
          <w:sz w:val="24"/>
          <w:szCs w:val="24"/>
          <w:lang w:eastAsia="pl-PL"/>
        </w:rPr>
        <w:t>art. 26</w:t>
      </w:r>
      <w:r w:rsidRPr="009935E0">
        <w:rPr>
          <w:rFonts w:ascii="Times New Roman" w:eastAsia="Times New Roman" w:hAnsi="Times New Roman" w:cs="Times New Roman"/>
          <w:bCs/>
          <w:sz w:val="24"/>
          <w:szCs w:val="24"/>
          <w:vertAlign w:val="superscript"/>
          <w:lang w:eastAsia="pl-PL"/>
        </w:rPr>
        <w:t>3</w:t>
      </w:r>
      <w:r w:rsidRPr="009935E0">
        <w:rPr>
          <w:rFonts w:ascii="Times New Roman" w:eastAsia="Times New Roman" w:hAnsi="Times New Roman" w:cs="Times New Roman"/>
          <w:bCs/>
          <w:sz w:val="24"/>
          <w:szCs w:val="24"/>
          <w:lang w:eastAsia="pl-PL"/>
        </w:rPr>
        <w:t xml:space="preserve"> nie zawiera żadnych ograniczeń podmiotowych – każdy może korzystać z omawi</w:t>
      </w:r>
      <w:r w:rsidR="00BC7BBA" w:rsidRPr="009935E0">
        <w:rPr>
          <w:rFonts w:ascii="Times New Roman" w:eastAsia="Times New Roman" w:hAnsi="Times New Roman" w:cs="Times New Roman"/>
          <w:bCs/>
          <w:sz w:val="24"/>
          <w:szCs w:val="24"/>
          <w:lang w:eastAsia="pl-PL"/>
        </w:rPr>
        <w:t>anej postaci dozwolonego użytku;</w:t>
      </w:r>
    </w:p>
    <w:p w14:paraId="547CBEC9" w14:textId="77777777" w:rsidR="00BF4722" w:rsidRPr="009935E0" w:rsidRDefault="00BF4722" w:rsidP="00483092">
      <w:pPr>
        <w:pStyle w:val="Akapitzlist"/>
        <w:numPr>
          <w:ilvl w:val="0"/>
          <w:numId w:val="2"/>
        </w:num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9935E0">
        <w:rPr>
          <w:rFonts w:ascii="Times New Roman" w:eastAsia="Times New Roman" w:hAnsi="Times New Roman" w:cs="Times New Roman"/>
          <w:bCs/>
          <w:sz w:val="24"/>
          <w:szCs w:val="24"/>
          <w:lang w:eastAsia="pl-PL"/>
        </w:rPr>
        <w:t>zakres utworów, które mogą być eksplorowane w oparciu o art. 26</w:t>
      </w:r>
      <w:r w:rsidRPr="009935E0">
        <w:rPr>
          <w:rFonts w:ascii="Times New Roman" w:eastAsia="Times New Roman" w:hAnsi="Times New Roman" w:cs="Times New Roman"/>
          <w:bCs/>
          <w:sz w:val="24"/>
          <w:szCs w:val="24"/>
          <w:vertAlign w:val="superscript"/>
          <w:lang w:eastAsia="pl-PL"/>
        </w:rPr>
        <w:t>3</w:t>
      </w:r>
      <w:r w:rsidRPr="009935E0">
        <w:rPr>
          <w:rFonts w:ascii="Times New Roman" w:eastAsia="Times New Roman" w:hAnsi="Times New Roman" w:cs="Times New Roman"/>
          <w:bCs/>
          <w:sz w:val="24"/>
          <w:szCs w:val="24"/>
          <w:lang w:eastAsia="pl-PL"/>
        </w:rPr>
        <w:t>,</w:t>
      </w:r>
      <w:r w:rsidRPr="009935E0">
        <w:rPr>
          <w:rFonts w:ascii="Times New Roman" w:eastAsia="Times New Roman" w:hAnsi="Times New Roman" w:cs="Times New Roman"/>
          <w:bCs/>
          <w:sz w:val="24"/>
          <w:szCs w:val="24"/>
          <w:vertAlign w:val="superscript"/>
          <w:lang w:eastAsia="pl-PL"/>
        </w:rPr>
        <w:t xml:space="preserve"> </w:t>
      </w:r>
      <w:r w:rsidRPr="009935E0">
        <w:rPr>
          <w:rFonts w:ascii="Times New Roman" w:eastAsia="Times New Roman" w:hAnsi="Times New Roman" w:cs="Times New Roman"/>
          <w:bCs/>
          <w:sz w:val="24"/>
          <w:szCs w:val="24"/>
          <w:lang w:eastAsia="pl-PL"/>
        </w:rPr>
        <w:t xml:space="preserve">obejmuje także programy komputerowe (projektowany art. 77 ust. 1 ustawy o prawie autorskim wyłącza dopuszczalność eksplorowania tekstów i danych zawartych w programach komputerowych </w:t>
      </w:r>
      <w:r w:rsidR="00F7478E" w:rsidRPr="009935E0">
        <w:rPr>
          <w:rFonts w:ascii="Times New Roman" w:eastAsia="Times New Roman" w:hAnsi="Times New Roman" w:cs="Times New Roman"/>
          <w:bCs/>
          <w:sz w:val="24"/>
          <w:szCs w:val="24"/>
          <w:lang w:eastAsia="pl-PL"/>
        </w:rPr>
        <w:t xml:space="preserve">wyłącznie </w:t>
      </w:r>
      <w:r w:rsidRPr="009935E0">
        <w:rPr>
          <w:rFonts w:ascii="Times New Roman" w:eastAsia="Times New Roman" w:hAnsi="Times New Roman" w:cs="Times New Roman"/>
          <w:bCs/>
          <w:sz w:val="24"/>
          <w:szCs w:val="24"/>
          <w:lang w:eastAsia="pl-PL"/>
        </w:rPr>
        <w:t>w odniesieniu do</w:t>
      </w:r>
      <w:r w:rsidR="00F7478E" w:rsidRPr="009935E0">
        <w:rPr>
          <w:rFonts w:ascii="Times New Roman" w:eastAsia="Times New Roman" w:hAnsi="Times New Roman" w:cs="Times New Roman"/>
          <w:bCs/>
          <w:sz w:val="24"/>
          <w:szCs w:val="24"/>
          <w:lang w:eastAsia="pl-PL"/>
        </w:rPr>
        <w:t xml:space="preserve"> dozwolonego użytku badawczego);</w:t>
      </w:r>
    </w:p>
    <w:p w14:paraId="50B00214" w14:textId="77777777" w:rsidR="00BF4722" w:rsidRPr="009935E0" w:rsidRDefault="00BF4722" w:rsidP="00483092">
      <w:pPr>
        <w:numPr>
          <w:ilvl w:val="0"/>
          <w:numId w:val="2"/>
        </w:num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9935E0">
        <w:rPr>
          <w:rFonts w:ascii="Times New Roman" w:eastAsia="Times New Roman" w:hAnsi="Times New Roman" w:cs="Times New Roman"/>
          <w:bCs/>
          <w:sz w:val="24"/>
          <w:szCs w:val="24"/>
          <w:lang w:eastAsia="pl-PL"/>
        </w:rPr>
        <w:lastRenderedPageBreak/>
        <w:t>na podstawie art. 26</w:t>
      </w:r>
      <w:r w:rsidRPr="009935E0">
        <w:rPr>
          <w:rFonts w:ascii="Times New Roman" w:eastAsia="Times New Roman" w:hAnsi="Times New Roman" w:cs="Times New Roman"/>
          <w:bCs/>
          <w:sz w:val="24"/>
          <w:szCs w:val="24"/>
          <w:vertAlign w:val="superscript"/>
          <w:lang w:eastAsia="pl-PL"/>
        </w:rPr>
        <w:t>3</w:t>
      </w:r>
      <w:r w:rsidRPr="009935E0">
        <w:rPr>
          <w:rFonts w:ascii="Times New Roman" w:eastAsia="Times New Roman" w:hAnsi="Times New Roman" w:cs="Times New Roman"/>
          <w:bCs/>
          <w:sz w:val="24"/>
          <w:szCs w:val="24"/>
          <w:lang w:eastAsia="pl-PL"/>
        </w:rPr>
        <w:t xml:space="preserve"> można korzystać z utworów </w:t>
      </w:r>
      <w:r w:rsidR="00506C18" w:rsidRPr="009935E0">
        <w:rPr>
          <w:rFonts w:ascii="Times New Roman" w:eastAsia="Times New Roman" w:hAnsi="Times New Roman" w:cs="Times New Roman"/>
          <w:bCs/>
          <w:sz w:val="24"/>
          <w:szCs w:val="24"/>
          <w:lang w:eastAsia="pl-PL"/>
        </w:rPr>
        <w:t>w dowolnym</w:t>
      </w:r>
      <w:r w:rsidRPr="009935E0">
        <w:rPr>
          <w:rFonts w:ascii="Times New Roman" w:eastAsia="Times New Roman" w:hAnsi="Times New Roman" w:cs="Times New Roman"/>
          <w:bCs/>
          <w:sz w:val="24"/>
          <w:szCs w:val="24"/>
          <w:lang w:eastAsia="pl-PL"/>
        </w:rPr>
        <w:t xml:space="preserve"> cel</w:t>
      </w:r>
      <w:r w:rsidR="00506C18" w:rsidRPr="009935E0">
        <w:rPr>
          <w:rFonts w:ascii="Times New Roman" w:eastAsia="Times New Roman" w:hAnsi="Times New Roman" w:cs="Times New Roman"/>
          <w:bCs/>
          <w:sz w:val="24"/>
          <w:szCs w:val="24"/>
          <w:lang w:eastAsia="pl-PL"/>
        </w:rPr>
        <w:t>u</w:t>
      </w:r>
      <w:r w:rsidRPr="009935E0">
        <w:rPr>
          <w:rFonts w:ascii="Times New Roman" w:eastAsia="Times New Roman" w:hAnsi="Times New Roman" w:cs="Times New Roman"/>
          <w:bCs/>
          <w:sz w:val="24"/>
          <w:szCs w:val="24"/>
          <w:lang w:eastAsia="pl-PL"/>
        </w:rPr>
        <w:t>, na podstawie art. 26</w:t>
      </w:r>
      <w:r w:rsidRPr="009935E0">
        <w:rPr>
          <w:rFonts w:ascii="Times New Roman" w:eastAsia="Times New Roman" w:hAnsi="Times New Roman" w:cs="Times New Roman"/>
          <w:bCs/>
          <w:sz w:val="24"/>
          <w:szCs w:val="24"/>
          <w:vertAlign w:val="superscript"/>
          <w:lang w:eastAsia="pl-PL"/>
        </w:rPr>
        <w:t>2</w:t>
      </w:r>
      <w:r w:rsidRPr="009935E0">
        <w:rPr>
          <w:rFonts w:ascii="Times New Roman" w:eastAsia="Times New Roman" w:hAnsi="Times New Roman" w:cs="Times New Roman"/>
          <w:bCs/>
          <w:sz w:val="24"/>
          <w:szCs w:val="24"/>
          <w:lang w:eastAsia="pl-PL"/>
        </w:rPr>
        <w:t xml:space="preserve"> – jedynie d</w:t>
      </w:r>
      <w:r w:rsidR="00506C18" w:rsidRPr="009935E0">
        <w:rPr>
          <w:rFonts w:ascii="Times New Roman" w:eastAsia="Times New Roman" w:hAnsi="Times New Roman" w:cs="Times New Roman"/>
          <w:bCs/>
          <w:sz w:val="24"/>
          <w:szCs w:val="24"/>
          <w:lang w:eastAsia="pl-PL"/>
        </w:rPr>
        <w:t>o</w:t>
      </w:r>
      <w:r w:rsidR="00F7478E" w:rsidRPr="009935E0">
        <w:rPr>
          <w:rFonts w:ascii="Times New Roman" w:eastAsia="Times New Roman" w:hAnsi="Times New Roman" w:cs="Times New Roman"/>
          <w:bCs/>
          <w:sz w:val="24"/>
          <w:szCs w:val="24"/>
          <w:lang w:eastAsia="pl-PL"/>
        </w:rPr>
        <w:t xml:space="preserve"> celów badań naukowych;</w:t>
      </w:r>
    </w:p>
    <w:p w14:paraId="0B4CAA09" w14:textId="77777777" w:rsidR="00BF4722" w:rsidRPr="009935E0" w:rsidRDefault="00BF4722" w:rsidP="00483092">
      <w:pPr>
        <w:numPr>
          <w:ilvl w:val="0"/>
          <w:numId w:val="2"/>
        </w:numPr>
        <w:spacing w:before="120" w:after="0" w:line="360" w:lineRule="auto"/>
        <w:ind w:left="426" w:hanging="426"/>
        <w:contextualSpacing/>
        <w:jc w:val="both"/>
        <w:rPr>
          <w:rFonts w:ascii="Times New Roman" w:hAnsi="Times New Roman" w:cs="Times New Roman"/>
          <w:sz w:val="24"/>
          <w:szCs w:val="24"/>
        </w:rPr>
      </w:pPr>
      <w:r w:rsidRPr="009935E0">
        <w:rPr>
          <w:rFonts w:ascii="Times New Roman" w:hAnsi="Times New Roman" w:cs="Times New Roman"/>
          <w:bCs/>
          <w:sz w:val="24"/>
          <w:szCs w:val="24"/>
        </w:rPr>
        <w:t>zgodnie z art. 26</w:t>
      </w:r>
      <w:r w:rsidRPr="009935E0">
        <w:rPr>
          <w:rFonts w:ascii="Times New Roman" w:hAnsi="Times New Roman" w:cs="Times New Roman"/>
          <w:bCs/>
          <w:sz w:val="24"/>
          <w:szCs w:val="24"/>
          <w:vertAlign w:val="superscript"/>
        </w:rPr>
        <w:t xml:space="preserve">3 </w:t>
      </w:r>
      <w:r w:rsidRPr="009935E0">
        <w:rPr>
          <w:rFonts w:ascii="Times New Roman" w:hAnsi="Times New Roman" w:cs="Times New Roman"/>
          <w:bCs/>
          <w:sz w:val="24"/>
          <w:szCs w:val="24"/>
        </w:rPr>
        <w:t xml:space="preserve">ust. </w:t>
      </w:r>
      <w:r w:rsidR="00BC7BBA" w:rsidRPr="009935E0">
        <w:rPr>
          <w:rFonts w:ascii="Times New Roman" w:hAnsi="Times New Roman" w:cs="Times New Roman"/>
          <w:bCs/>
          <w:sz w:val="24"/>
          <w:szCs w:val="24"/>
        </w:rPr>
        <w:t>3</w:t>
      </w:r>
      <w:r w:rsidRPr="00483092">
        <w:rPr>
          <w:rFonts w:ascii="Times New Roman" w:hAnsi="Times New Roman" w:cs="Times New Roman"/>
          <w:bCs/>
          <w:sz w:val="24"/>
          <w:szCs w:val="24"/>
        </w:rPr>
        <w:t xml:space="preserve"> </w:t>
      </w:r>
      <w:r w:rsidRPr="009935E0">
        <w:rPr>
          <w:rFonts w:ascii="Times New Roman" w:hAnsi="Times New Roman" w:cs="Times New Roman"/>
          <w:sz w:val="24"/>
          <w:szCs w:val="24"/>
        </w:rPr>
        <w:t>zwielokrotnione utwory mogą być przechowywane wyłącznie w celu eksploracji tekstów i danych i tak długo, jak jest to konieczne do osiągnięcia tego celu, natomiast art. 26</w:t>
      </w:r>
      <w:r w:rsidRPr="009935E0">
        <w:rPr>
          <w:rFonts w:ascii="Times New Roman" w:hAnsi="Times New Roman" w:cs="Times New Roman"/>
          <w:sz w:val="24"/>
          <w:szCs w:val="24"/>
          <w:vertAlign w:val="superscript"/>
        </w:rPr>
        <w:t xml:space="preserve">2 </w:t>
      </w:r>
      <w:r w:rsidRPr="009935E0">
        <w:rPr>
          <w:rFonts w:ascii="Times New Roman" w:hAnsi="Times New Roman" w:cs="Times New Roman"/>
          <w:sz w:val="24"/>
          <w:szCs w:val="24"/>
        </w:rPr>
        <w:t>nie wprowadz</w:t>
      </w:r>
      <w:r w:rsidR="00F7478E" w:rsidRPr="009935E0">
        <w:rPr>
          <w:rFonts w:ascii="Times New Roman" w:hAnsi="Times New Roman" w:cs="Times New Roman"/>
          <w:sz w:val="24"/>
          <w:szCs w:val="24"/>
        </w:rPr>
        <w:t xml:space="preserve">a </w:t>
      </w:r>
      <w:r w:rsidRPr="009935E0">
        <w:rPr>
          <w:rFonts w:ascii="Times New Roman" w:hAnsi="Times New Roman" w:cs="Times New Roman"/>
          <w:sz w:val="24"/>
          <w:szCs w:val="24"/>
        </w:rPr>
        <w:t xml:space="preserve">żadnych </w:t>
      </w:r>
      <w:r w:rsidR="00F7478E" w:rsidRPr="009935E0">
        <w:rPr>
          <w:rFonts w:ascii="Times New Roman" w:hAnsi="Times New Roman" w:cs="Times New Roman"/>
          <w:sz w:val="24"/>
          <w:szCs w:val="24"/>
        </w:rPr>
        <w:t>tego typu ograniczeń czasowych;</w:t>
      </w:r>
    </w:p>
    <w:p w14:paraId="1723DCE9" w14:textId="1333DC7A" w:rsidR="00BF4722" w:rsidRPr="009935E0" w:rsidRDefault="00BF4722" w:rsidP="00483092">
      <w:pPr>
        <w:numPr>
          <w:ilvl w:val="0"/>
          <w:numId w:val="2"/>
        </w:numPr>
        <w:spacing w:before="120" w:after="0" w:line="360" w:lineRule="auto"/>
        <w:ind w:left="426" w:hanging="426"/>
        <w:contextualSpacing/>
        <w:jc w:val="both"/>
        <w:rPr>
          <w:rFonts w:ascii="Times New Roman" w:hAnsi="Times New Roman" w:cs="Times New Roman"/>
          <w:sz w:val="24"/>
          <w:szCs w:val="24"/>
        </w:rPr>
      </w:pPr>
      <w:r w:rsidRPr="009935E0">
        <w:rPr>
          <w:rFonts w:ascii="Times New Roman" w:hAnsi="Times New Roman" w:cs="Times New Roman"/>
          <w:sz w:val="24"/>
          <w:szCs w:val="24"/>
        </w:rPr>
        <w:t xml:space="preserve">możliwość korzystania z dozwolonego użytku na podstawie </w:t>
      </w:r>
      <w:r w:rsidRPr="009935E0">
        <w:rPr>
          <w:rFonts w:ascii="Times New Roman" w:eastAsia="Times New Roman" w:hAnsi="Times New Roman" w:cs="Times New Roman"/>
          <w:bCs/>
          <w:sz w:val="24"/>
          <w:szCs w:val="24"/>
          <w:lang w:eastAsia="pl-PL"/>
        </w:rPr>
        <w:t>art. 26</w:t>
      </w:r>
      <w:r w:rsidRPr="009935E0">
        <w:rPr>
          <w:rFonts w:ascii="Times New Roman" w:eastAsia="Times New Roman" w:hAnsi="Times New Roman" w:cs="Times New Roman"/>
          <w:bCs/>
          <w:sz w:val="24"/>
          <w:szCs w:val="24"/>
          <w:vertAlign w:val="superscript"/>
          <w:lang w:eastAsia="pl-PL"/>
        </w:rPr>
        <w:t>2</w:t>
      </w:r>
      <w:r w:rsidRPr="009935E0">
        <w:rPr>
          <w:rFonts w:ascii="Times New Roman" w:hAnsi="Times New Roman" w:cs="Times New Roman"/>
          <w:sz w:val="24"/>
          <w:szCs w:val="24"/>
        </w:rPr>
        <w:t xml:space="preserve"> nie zależy od woli uprawnionego, natomiast zgodnie z </w:t>
      </w:r>
      <w:r w:rsidRPr="009935E0">
        <w:rPr>
          <w:rFonts w:ascii="Times New Roman" w:eastAsia="Times New Roman" w:hAnsi="Times New Roman" w:cs="Times New Roman"/>
          <w:bCs/>
          <w:sz w:val="24"/>
          <w:szCs w:val="24"/>
          <w:lang w:eastAsia="pl-PL"/>
        </w:rPr>
        <w:t>art. 26</w:t>
      </w:r>
      <w:r w:rsidRPr="009935E0">
        <w:rPr>
          <w:rFonts w:ascii="Times New Roman" w:eastAsia="Times New Roman" w:hAnsi="Times New Roman" w:cs="Times New Roman"/>
          <w:bCs/>
          <w:sz w:val="24"/>
          <w:szCs w:val="24"/>
          <w:vertAlign w:val="superscript"/>
          <w:lang w:eastAsia="pl-PL"/>
        </w:rPr>
        <w:t xml:space="preserve">3 </w:t>
      </w:r>
      <w:r w:rsidRPr="009935E0">
        <w:rPr>
          <w:rFonts w:ascii="Times New Roman" w:hAnsi="Times New Roman" w:cs="Times New Roman"/>
          <w:sz w:val="24"/>
          <w:szCs w:val="24"/>
        </w:rPr>
        <w:t>uprawniony może zabronić korzystania ze swojego utworu przez odpowiednie zastrzeżenie.</w:t>
      </w:r>
    </w:p>
    <w:p w14:paraId="5612112C" w14:textId="33DD50E2" w:rsidR="00BF4722" w:rsidRPr="009935E0" w:rsidRDefault="00506C18" w:rsidP="00483092">
      <w:pPr>
        <w:pStyle w:val="Akapitzlist"/>
        <w:numPr>
          <w:ilvl w:val="1"/>
          <w:numId w:val="6"/>
        </w:numPr>
        <w:tabs>
          <w:tab w:val="left" w:pos="426"/>
        </w:tabs>
        <w:spacing w:before="120" w:after="0" w:line="360" w:lineRule="auto"/>
        <w:ind w:left="0" w:firstLine="0"/>
        <w:jc w:val="both"/>
        <w:rPr>
          <w:rFonts w:ascii="Times New Roman" w:eastAsia="Times New Roman" w:hAnsi="Times New Roman" w:cs="Times New Roman"/>
          <w:b/>
          <w:sz w:val="24"/>
          <w:szCs w:val="24"/>
          <w:lang w:eastAsia="pl-PL"/>
        </w:rPr>
      </w:pPr>
      <w:r w:rsidRPr="009935E0">
        <w:rPr>
          <w:rFonts w:ascii="Times New Roman" w:eastAsia="Times New Roman" w:hAnsi="Times New Roman" w:cs="Times New Roman"/>
          <w:b/>
          <w:sz w:val="24"/>
          <w:szCs w:val="24"/>
          <w:lang w:eastAsia="pl-PL"/>
        </w:rPr>
        <w:t>Dozwolony użytek do</w:t>
      </w:r>
      <w:r w:rsidR="00BF4722" w:rsidRPr="009935E0">
        <w:rPr>
          <w:rFonts w:ascii="Times New Roman" w:eastAsia="Times New Roman" w:hAnsi="Times New Roman" w:cs="Times New Roman"/>
          <w:b/>
          <w:sz w:val="24"/>
          <w:szCs w:val="24"/>
          <w:lang w:eastAsia="pl-PL"/>
        </w:rPr>
        <w:t xml:space="preserve"> celów dydaktycznych (art. 5 dyrektywy</w:t>
      </w:r>
      <w:r w:rsidR="00F6415F" w:rsidRPr="009935E0">
        <w:rPr>
          <w:rFonts w:ascii="Times New Roman" w:eastAsia="Times New Roman" w:hAnsi="Times New Roman" w:cs="Times New Roman"/>
          <w:b/>
          <w:sz w:val="24"/>
          <w:szCs w:val="24"/>
          <w:lang w:eastAsia="pl-PL"/>
        </w:rPr>
        <w:t xml:space="preserve"> DSM</w:t>
      </w:r>
      <w:r w:rsidR="00BF4722" w:rsidRPr="009935E0">
        <w:rPr>
          <w:rFonts w:ascii="Times New Roman" w:eastAsia="Times New Roman" w:hAnsi="Times New Roman" w:cs="Times New Roman"/>
          <w:b/>
          <w:sz w:val="24"/>
          <w:szCs w:val="24"/>
          <w:lang w:eastAsia="pl-PL"/>
        </w:rPr>
        <w:t>)</w:t>
      </w:r>
    </w:p>
    <w:p w14:paraId="0E29B3A8" w14:textId="43821CD6" w:rsidR="00FB4F3A"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Art. 5 dyrektywy </w:t>
      </w:r>
      <w:r w:rsidR="008937D1" w:rsidRPr="009935E0">
        <w:rPr>
          <w:rFonts w:ascii="Times New Roman" w:eastAsia="Times New Roman" w:hAnsi="Times New Roman" w:cs="Times New Roman"/>
          <w:sz w:val="24"/>
          <w:szCs w:val="24"/>
          <w:lang w:eastAsia="pl-PL"/>
        </w:rPr>
        <w:t xml:space="preserve">DSM </w:t>
      </w:r>
      <w:r w:rsidRPr="009935E0">
        <w:rPr>
          <w:rFonts w:ascii="Times New Roman" w:eastAsia="Times New Roman" w:hAnsi="Times New Roman" w:cs="Times New Roman"/>
          <w:sz w:val="24"/>
          <w:szCs w:val="24"/>
          <w:lang w:eastAsia="pl-PL"/>
        </w:rPr>
        <w:t xml:space="preserve">modyfikuje obowiązujące dotychczas przepisy art. 5 ust. 3 lit. a dyrektywy 2001/29/WE oraz art. 6 ust. 2 lit. b i art. 9 lit. b dyrektywy 96/9/WE, </w:t>
      </w:r>
      <w:r w:rsidR="00506C18" w:rsidRPr="009935E0">
        <w:rPr>
          <w:rFonts w:ascii="Times New Roman" w:eastAsia="Times New Roman" w:hAnsi="Times New Roman" w:cs="Times New Roman"/>
          <w:sz w:val="24"/>
          <w:szCs w:val="24"/>
          <w:lang w:eastAsia="pl-PL"/>
        </w:rPr>
        <w:t>dotyczące dozwolonego użytku do</w:t>
      </w:r>
      <w:r w:rsidRPr="009935E0">
        <w:rPr>
          <w:rFonts w:ascii="Times New Roman" w:eastAsia="Times New Roman" w:hAnsi="Times New Roman" w:cs="Times New Roman"/>
          <w:sz w:val="24"/>
          <w:szCs w:val="24"/>
          <w:lang w:eastAsia="pl-PL"/>
        </w:rPr>
        <w:t xml:space="preserve"> celów dydaktycznych w ten sposób, że rozszerza </w:t>
      </w:r>
      <w:r w:rsidR="00FB4F3A" w:rsidRPr="009935E0">
        <w:rPr>
          <w:rFonts w:ascii="Times New Roman" w:eastAsia="Times New Roman" w:hAnsi="Times New Roman" w:cs="Times New Roman"/>
          <w:sz w:val="24"/>
          <w:szCs w:val="24"/>
          <w:lang w:eastAsia="pl-PL"/>
        </w:rPr>
        <w:t xml:space="preserve">i doprecyzowuje możliwość </w:t>
      </w:r>
      <w:r w:rsidRPr="009935E0">
        <w:rPr>
          <w:rFonts w:ascii="Times New Roman" w:eastAsia="Times New Roman" w:hAnsi="Times New Roman" w:cs="Times New Roman"/>
          <w:sz w:val="24"/>
          <w:szCs w:val="24"/>
          <w:lang w:eastAsia="pl-PL"/>
        </w:rPr>
        <w:t xml:space="preserve">korzystania z utworów i przedmiotów praw pokrewnych przez placówki edukacyjne w środowisku online. </w:t>
      </w:r>
      <w:r w:rsidR="008937D1" w:rsidRPr="009935E0">
        <w:rPr>
          <w:rFonts w:ascii="Times New Roman" w:eastAsia="Times New Roman" w:hAnsi="Times New Roman" w:cs="Times New Roman"/>
          <w:sz w:val="24"/>
          <w:szCs w:val="24"/>
          <w:lang w:eastAsia="pl-PL"/>
        </w:rPr>
        <w:t>Wskazuje</w:t>
      </w:r>
      <w:r w:rsidR="00FB4F3A" w:rsidRPr="009935E0">
        <w:rPr>
          <w:rFonts w:ascii="Times New Roman" w:eastAsia="Times New Roman" w:hAnsi="Times New Roman" w:cs="Times New Roman"/>
          <w:sz w:val="24"/>
          <w:szCs w:val="24"/>
          <w:lang w:eastAsia="pl-PL"/>
        </w:rPr>
        <w:t>, że korzystanie</w:t>
      </w:r>
      <w:r w:rsidRPr="009935E0">
        <w:rPr>
          <w:rFonts w:ascii="Times New Roman" w:eastAsia="Times New Roman" w:hAnsi="Times New Roman" w:cs="Times New Roman"/>
          <w:sz w:val="24"/>
          <w:szCs w:val="24"/>
          <w:lang w:eastAsia="pl-PL"/>
        </w:rPr>
        <w:t xml:space="preserve"> z </w:t>
      </w:r>
      <w:r w:rsidR="00FB4F3A" w:rsidRPr="009935E0">
        <w:rPr>
          <w:rFonts w:ascii="Times New Roman" w:eastAsia="Times New Roman" w:hAnsi="Times New Roman" w:cs="Times New Roman"/>
          <w:sz w:val="24"/>
          <w:szCs w:val="24"/>
          <w:lang w:eastAsia="pl-PL"/>
        </w:rPr>
        <w:t xml:space="preserve">tej </w:t>
      </w:r>
      <w:r w:rsidRPr="009935E0">
        <w:rPr>
          <w:rFonts w:ascii="Times New Roman" w:eastAsia="Times New Roman" w:hAnsi="Times New Roman" w:cs="Times New Roman"/>
          <w:sz w:val="24"/>
          <w:szCs w:val="24"/>
          <w:lang w:eastAsia="pl-PL"/>
        </w:rPr>
        <w:t>postaci dozwolonego użytku</w:t>
      </w:r>
      <w:r w:rsidR="00FB4F3A" w:rsidRPr="009935E0">
        <w:rPr>
          <w:rFonts w:ascii="Times New Roman" w:eastAsia="Times New Roman" w:hAnsi="Times New Roman" w:cs="Times New Roman"/>
          <w:sz w:val="24"/>
          <w:szCs w:val="24"/>
          <w:lang w:eastAsia="pl-PL"/>
        </w:rPr>
        <w:t xml:space="preserve"> jest możliwe </w:t>
      </w:r>
      <w:r w:rsidR="003955A2" w:rsidRPr="009935E0">
        <w:rPr>
          <w:rFonts w:ascii="Times New Roman" w:eastAsia="Times New Roman" w:hAnsi="Times New Roman" w:cs="Times New Roman"/>
          <w:sz w:val="24"/>
          <w:szCs w:val="24"/>
          <w:lang w:eastAsia="pl-PL"/>
        </w:rPr>
        <w:t>jeżeli</w:t>
      </w:r>
      <w:r w:rsidR="00FB4F3A" w:rsidRPr="009935E0">
        <w:rPr>
          <w:rFonts w:ascii="Times New Roman" w:eastAsia="Times New Roman" w:hAnsi="Times New Roman" w:cs="Times New Roman"/>
          <w:sz w:val="24"/>
          <w:szCs w:val="24"/>
          <w:lang w:eastAsia="pl-PL"/>
        </w:rPr>
        <w:t>:</w:t>
      </w:r>
    </w:p>
    <w:p w14:paraId="70DDF25E" w14:textId="77777777" w:rsidR="00BF4722" w:rsidRPr="009935E0" w:rsidRDefault="00FB4F3A" w:rsidP="00483092">
      <w:pPr>
        <w:numPr>
          <w:ilvl w:val="0"/>
          <w:numId w:val="17"/>
        </w:numPr>
        <w:spacing w:before="120" w:after="0" w:line="360" w:lineRule="auto"/>
        <w:ind w:left="426" w:hanging="426"/>
        <w:contextualSpacing/>
        <w:jc w:val="both"/>
        <w:rPr>
          <w:rFonts w:ascii="Times New Roman" w:hAnsi="Times New Roman" w:cs="Times New Roman"/>
          <w:bCs/>
          <w:sz w:val="24"/>
          <w:szCs w:val="24"/>
        </w:rPr>
      </w:pPr>
      <w:r w:rsidRPr="009935E0">
        <w:rPr>
          <w:rFonts w:ascii="Times New Roman" w:hAnsi="Times New Roman" w:cs="Times New Roman"/>
          <w:bCs/>
          <w:sz w:val="24"/>
          <w:szCs w:val="24"/>
        </w:rPr>
        <w:t>następuje wyłącznie</w:t>
      </w:r>
      <w:r w:rsidR="00BF4722" w:rsidRPr="009935E0">
        <w:rPr>
          <w:rFonts w:ascii="Times New Roman" w:hAnsi="Times New Roman" w:cs="Times New Roman"/>
          <w:bCs/>
          <w:sz w:val="24"/>
          <w:szCs w:val="24"/>
        </w:rPr>
        <w:t xml:space="preserve"> </w:t>
      </w:r>
      <w:r w:rsidRPr="009935E0">
        <w:rPr>
          <w:rFonts w:ascii="Times New Roman" w:hAnsi="Times New Roman" w:cs="Times New Roman"/>
          <w:bCs/>
          <w:sz w:val="24"/>
          <w:szCs w:val="24"/>
        </w:rPr>
        <w:t>„</w:t>
      </w:r>
      <w:r w:rsidR="00BF4722" w:rsidRPr="009935E0">
        <w:rPr>
          <w:rFonts w:ascii="Times New Roman" w:hAnsi="Times New Roman" w:cs="Times New Roman"/>
          <w:bCs/>
          <w:sz w:val="24"/>
          <w:szCs w:val="24"/>
        </w:rPr>
        <w:t>w celu zilustrowania w ramach nauczania</w:t>
      </w:r>
      <w:r w:rsidRPr="009935E0">
        <w:rPr>
          <w:rFonts w:ascii="Times New Roman" w:hAnsi="Times New Roman" w:cs="Times New Roman"/>
          <w:bCs/>
          <w:sz w:val="24"/>
          <w:szCs w:val="24"/>
        </w:rPr>
        <w:t>”</w:t>
      </w:r>
      <w:r w:rsidR="003955A2" w:rsidRPr="009935E0">
        <w:rPr>
          <w:rFonts w:ascii="Times New Roman" w:hAnsi="Times New Roman" w:cs="Times New Roman"/>
          <w:bCs/>
          <w:sz w:val="24"/>
          <w:szCs w:val="24"/>
        </w:rPr>
        <w:t xml:space="preserve"> </w:t>
      </w:r>
      <w:r w:rsidRPr="009935E0">
        <w:rPr>
          <w:rFonts w:ascii="Times New Roman" w:hAnsi="Times New Roman" w:cs="Times New Roman"/>
          <w:bCs/>
          <w:sz w:val="24"/>
          <w:szCs w:val="24"/>
        </w:rPr>
        <w:t xml:space="preserve">i </w:t>
      </w:r>
      <w:r w:rsidR="00BF4722" w:rsidRPr="009935E0">
        <w:rPr>
          <w:rFonts w:ascii="Times New Roman" w:hAnsi="Times New Roman" w:cs="Times New Roman"/>
          <w:bCs/>
          <w:sz w:val="24"/>
          <w:szCs w:val="24"/>
        </w:rPr>
        <w:t xml:space="preserve">w zakresie </w:t>
      </w:r>
      <w:r w:rsidRPr="009935E0">
        <w:rPr>
          <w:rFonts w:ascii="Times New Roman" w:hAnsi="Times New Roman" w:cs="Times New Roman"/>
          <w:bCs/>
          <w:sz w:val="24"/>
          <w:szCs w:val="24"/>
        </w:rPr>
        <w:t>„</w:t>
      </w:r>
      <w:r w:rsidR="00BF4722" w:rsidRPr="009935E0">
        <w:rPr>
          <w:rFonts w:ascii="Times New Roman" w:hAnsi="Times New Roman" w:cs="Times New Roman"/>
          <w:bCs/>
          <w:sz w:val="24"/>
          <w:szCs w:val="24"/>
        </w:rPr>
        <w:t>uzasadnionym przez niekomercyjny cel, który ma zostać osiągnięty</w:t>
      </w:r>
      <w:r w:rsidRPr="009935E0">
        <w:rPr>
          <w:rFonts w:ascii="Times New Roman" w:hAnsi="Times New Roman" w:cs="Times New Roman"/>
          <w:bCs/>
          <w:sz w:val="24"/>
          <w:szCs w:val="24"/>
        </w:rPr>
        <w:t>”</w:t>
      </w:r>
      <w:r w:rsidR="003955A2" w:rsidRPr="009935E0">
        <w:rPr>
          <w:rFonts w:ascii="Times New Roman" w:hAnsi="Times New Roman" w:cs="Times New Roman"/>
          <w:bCs/>
          <w:sz w:val="24"/>
          <w:szCs w:val="24"/>
        </w:rPr>
        <w:t>,</w:t>
      </w:r>
    </w:p>
    <w:p w14:paraId="0DA80526" w14:textId="77777777" w:rsidR="00BF4722" w:rsidRPr="009935E0" w:rsidRDefault="00BF4722" w:rsidP="00483092">
      <w:pPr>
        <w:numPr>
          <w:ilvl w:val="0"/>
          <w:numId w:val="17"/>
        </w:numPr>
        <w:spacing w:before="120" w:after="0" w:line="360" w:lineRule="auto"/>
        <w:ind w:left="426" w:hanging="426"/>
        <w:contextualSpacing/>
        <w:jc w:val="both"/>
        <w:rPr>
          <w:rFonts w:ascii="Times New Roman" w:hAnsi="Times New Roman" w:cs="Times New Roman"/>
          <w:bCs/>
          <w:sz w:val="24"/>
          <w:szCs w:val="24"/>
        </w:rPr>
      </w:pPr>
      <w:r w:rsidRPr="009935E0">
        <w:rPr>
          <w:rFonts w:ascii="Times New Roman" w:hAnsi="Times New Roman" w:cs="Times New Roman"/>
          <w:bCs/>
          <w:sz w:val="24"/>
          <w:szCs w:val="24"/>
        </w:rPr>
        <w:t>odbywa się na odpowiedzialność placówki edukacyjnej, na jej terenie lub w innym miejscu, lub za pośrednictwem bezpiecznego środowiska elektronicznego dostępnego wyłącznie dla uczniów lub studentów i pracowników dydaktycznych danej placówki edukacyjnej oraz</w:t>
      </w:r>
    </w:p>
    <w:p w14:paraId="01DA462B" w14:textId="77777777" w:rsidR="00BF4722" w:rsidRPr="009935E0" w:rsidRDefault="00BF4722" w:rsidP="00483092">
      <w:pPr>
        <w:numPr>
          <w:ilvl w:val="0"/>
          <w:numId w:val="17"/>
        </w:numPr>
        <w:spacing w:before="120" w:after="0" w:line="360" w:lineRule="auto"/>
        <w:ind w:left="426" w:hanging="426"/>
        <w:contextualSpacing/>
        <w:jc w:val="both"/>
        <w:rPr>
          <w:rFonts w:ascii="Times New Roman" w:hAnsi="Times New Roman" w:cs="Times New Roman"/>
          <w:bCs/>
          <w:sz w:val="24"/>
          <w:szCs w:val="24"/>
        </w:rPr>
      </w:pPr>
      <w:r w:rsidRPr="009935E0">
        <w:rPr>
          <w:rFonts w:ascii="Times New Roman" w:eastAsia="Times New Roman" w:hAnsi="Times New Roman" w:cs="Times New Roman"/>
          <w:sz w:val="24"/>
          <w:szCs w:val="24"/>
          <w:lang w:eastAsia="pl-PL"/>
        </w:rPr>
        <w:t>jest opatrzone informacją dotycz</w:t>
      </w:r>
      <w:r w:rsidR="003955A2" w:rsidRPr="009935E0">
        <w:rPr>
          <w:rFonts w:ascii="Times New Roman" w:eastAsia="Times New Roman" w:hAnsi="Times New Roman" w:cs="Times New Roman"/>
          <w:sz w:val="24"/>
          <w:szCs w:val="24"/>
          <w:lang w:eastAsia="pl-PL"/>
        </w:rPr>
        <w:t xml:space="preserve">ącą źródła, łącznie z imieniem </w:t>
      </w:r>
      <w:r w:rsidRPr="009935E0">
        <w:rPr>
          <w:rFonts w:ascii="Times New Roman" w:eastAsia="Times New Roman" w:hAnsi="Times New Roman" w:cs="Times New Roman"/>
          <w:sz w:val="24"/>
          <w:szCs w:val="24"/>
          <w:lang w:eastAsia="pl-PL"/>
        </w:rPr>
        <w:t>i nazwiskiem twórcy, chyba że okaże się to niemożliwe.</w:t>
      </w:r>
    </w:p>
    <w:p w14:paraId="1E44043B" w14:textId="77777777"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Art. 5 ust. 3 dyrektywy </w:t>
      </w:r>
      <w:r w:rsidR="008937D1" w:rsidRPr="009935E0">
        <w:rPr>
          <w:rFonts w:ascii="Times New Roman" w:eastAsia="Times New Roman" w:hAnsi="Times New Roman" w:cs="Times New Roman"/>
          <w:sz w:val="24"/>
          <w:szCs w:val="24"/>
          <w:lang w:eastAsia="pl-PL"/>
        </w:rPr>
        <w:t xml:space="preserve">DSM </w:t>
      </w:r>
      <w:r w:rsidRPr="009935E0">
        <w:rPr>
          <w:rFonts w:ascii="Times New Roman" w:eastAsia="Times New Roman" w:hAnsi="Times New Roman" w:cs="Times New Roman"/>
          <w:sz w:val="24"/>
          <w:szCs w:val="24"/>
          <w:lang w:eastAsia="pl-PL"/>
        </w:rPr>
        <w:t xml:space="preserve">wprowadza </w:t>
      </w:r>
      <w:r w:rsidR="003955A2" w:rsidRPr="009935E0">
        <w:rPr>
          <w:rFonts w:ascii="Times New Roman" w:eastAsia="Times New Roman" w:hAnsi="Times New Roman" w:cs="Times New Roman"/>
          <w:sz w:val="24"/>
          <w:szCs w:val="24"/>
          <w:lang w:eastAsia="pl-PL"/>
        </w:rPr>
        <w:t xml:space="preserve">ponadto </w:t>
      </w:r>
      <w:r w:rsidRPr="009935E0">
        <w:rPr>
          <w:rFonts w:ascii="Times New Roman" w:eastAsia="Times New Roman" w:hAnsi="Times New Roman" w:cs="Times New Roman"/>
          <w:sz w:val="24"/>
          <w:szCs w:val="24"/>
          <w:lang w:eastAsia="pl-PL"/>
        </w:rPr>
        <w:t xml:space="preserve">zasadę państwa pochodzenia w przypadku korzystania z omawianej postaci dozwolonego użytku w środowisku cyfrowym – przyjmując, że korzystanie to ma miejsce wyłącznie w państwie członkowskim, w którym dana placówka edukacyjna ma swoją siedzibę. W motywach </w:t>
      </w:r>
      <w:r w:rsidR="00F6415F" w:rsidRPr="009935E0">
        <w:rPr>
          <w:rFonts w:ascii="Times New Roman" w:eastAsia="Times New Roman" w:hAnsi="Times New Roman" w:cs="Times New Roman"/>
          <w:sz w:val="24"/>
          <w:szCs w:val="24"/>
          <w:lang w:eastAsia="pl-PL"/>
        </w:rPr>
        <w:t xml:space="preserve">tej </w:t>
      </w:r>
      <w:r w:rsidRPr="009935E0">
        <w:rPr>
          <w:rFonts w:ascii="Times New Roman" w:eastAsia="Times New Roman" w:hAnsi="Times New Roman" w:cs="Times New Roman"/>
          <w:sz w:val="24"/>
          <w:szCs w:val="24"/>
          <w:lang w:eastAsia="pl-PL"/>
        </w:rPr>
        <w:t>dyrektywy wskazano, że dotychczasowa regulacja mogła utrudniać rozwój działalności edukacyjnej</w:t>
      </w:r>
      <w:r w:rsidR="007041B1" w:rsidRPr="009935E0">
        <w:rPr>
          <w:rFonts w:ascii="Times New Roman" w:eastAsia="Times New Roman" w:hAnsi="Times New Roman" w:cs="Times New Roman"/>
          <w:sz w:val="24"/>
          <w:szCs w:val="24"/>
          <w:lang w:eastAsia="pl-PL"/>
        </w:rPr>
        <w:t xml:space="preserve"> i nauczania na odległość</w:t>
      </w:r>
      <w:r w:rsidRPr="009935E0">
        <w:rPr>
          <w:rFonts w:ascii="Times New Roman" w:eastAsia="Times New Roman" w:hAnsi="Times New Roman" w:cs="Times New Roman"/>
          <w:sz w:val="24"/>
          <w:szCs w:val="24"/>
          <w:lang w:eastAsia="pl-PL"/>
        </w:rPr>
        <w:t xml:space="preserve">, </w:t>
      </w:r>
      <w:r w:rsidR="007041B1" w:rsidRPr="009935E0">
        <w:rPr>
          <w:rFonts w:ascii="Times New Roman" w:eastAsia="Times New Roman" w:hAnsi="Times New Roman" w:cs="Times New Roman"/>
          <w:sz w:val="24"/>
          <w:szCs w:val="24"/>
          <w:lang w:eastAsia="pl-PL"/>
        </w:rPr>
        <w:t>gdzie</w:t>
      </w:r>
      <w:r w:rsidRPr="009935E0">
        <w:rPr>
          <w:rFonts w:ascii="Times New Roman" w:eastAsia="Times New Roman" w:hAnsi="Times New Roman" w:cs="Times New Roman"/>
          <w:sz w:val="24"/>
          <w:szCs w:val="24"/>
          <w:lang w:eastAsia="pl-PL"/>
        </w:rPr>
        <w:t xml:space="preserve"> wyk</w:t>
      </w:r>
      <w:r w:rsidR="00626CFB" w:rsidRPr="009935E0">
        <w:rPr>
          <w:rFonts w:ascii="Times New Roman" w:eastAsia="Times New Roman" w:hAnsi="Times New Roman" w:cs="Times New Roman"/>
          <w:sz w:val="24"/>
          <w:szCs w:val="24"/>
          <w:lang w:eastAsia="pl-PL"/>
        </w:rPr>
        <w:t>orzystuje się materiały cyfrowe</w:t>
      </w:r>
      <w:r w:rsidRPr="009935E0">
        <w:rPr>
          <w:rFonts w:ascii="Times New Roman" w:eastAsia="Times New Roman" w:hAnsi="Times New Roman" w:cs="Times New Roman"/>
          <w:sz w:val="24"/>
          <w:szCs w:val="24"/>
          <w:lang w:eastAsia="pl-PL"/>
        </w:rPr>
        <w:t xml:space="preserve">. Zatem aby placówki edukacyjne mogły </w:t>
      </w:r>
      <w:r w:rsidR="00626CFB" w:rsidRPr="009935E0">
        <w:rPr>
          <w:rFonts w:ascii="Times New Roman" w:eastAsia="Times New Roman" w:hAnsi="Times New Roman" w:cs="Times New Roman"/>
          <w:sz w:val="24"/>
          <w:szCs w:val="24"/>
          <w:lang w:eastAsia="pl-PL"/>
        </w:rPr>
        <w:t>mieć pewność prawa</w:t>
      </w:r>
      <w:r w:rsidR="00F26CA3"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korzystając z utworów w cyfrowej dzi</w:t>
      </w:r>
      <w:r w:rsidR="007041B1" w:rsidRPr="009935E0">
        <w:rPr>
          <w:rFonts w:ascii="Times New Roman" w:eastAsia="Times New Roman" w:hAnsi="Times New Roman" w:cs="Times New Roman"/>
          <w:sz w:val="24"/>
          <w:szCs w:val="24"/>
          <w:lang w:eastAsia="pl-PL"/>
        </w:rPr>
        <w:t xml:space="preserve">ałalności edukacyjnej, w tym </w:t>
      </w:r>
      <w:r w:rsidRPr="009935E0">
        <w:rPr>
          <w:rFonts w:ascii="Times New Roman" w:eastAsia="Times New Roman" w:hAnsi="Times New Roman" w:cs="Times New Roman"/>
          <w:sz w:val="24"/>
          <w:szCs w:val="24"/>
          <w:lang w:eastAsia="pl-PL"/>
        </w:rPr>
        <w:t>w Internecie i poza granicami, konieczne jest wprowadzenie nowego obowiązkowego dozwolonego użytku (motyw 19).</w:t>
      </w:r>
    </w:p>
    <w:p w14:paraId="32630CFF" w14:textId="479DFF8C" w:rsidR="00BF4722" w:rsidRPr="009935E0" w:rsidRDefault="008A45B4"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lastRenderedPageBreak/>
        <w:t>Instytucja dozwolonego użytku dla celów dydaktycznych istnieje już w polskim porządku prawnym i jest wyrażona w obowiązującym art. 27</w:t>
      </w:r>
      <w:r w:rsidR="00F6415F" w:rsidRPr="009935E0">
        <w:rPr>
          <w:rFonts w:ascii="Times New Roman" w:eastAsia="Times New Roman" w:hAnsi="Times New Roman" w:cs="Times New Roman"/>
          <w:sz w:val="24"/>
          <w:szCs w:val="24"/>
          <w:lang w:eastAsia="pl-PL"/>
        </w:rPr>
        <w:t xml:space="preserve"> ustawy o prawie autorskim</w:t>
      </w:r>
      <w:r w:rsidRPr="009935E0">
        <w:rPr>
          <w:rFonts w:ascii="Times New Roman" w:eastAsia="Times New Roman" w:hAnsi="Times New Roman" w:cs="Times New Roman"/>
          <w:sz w:val="24"/>
          <w:szCs w:val="24"/>
          <w:lang w:eastAsia="pl-PL"/>
        </w:rPr>
        <w:t xml:space="preserve"> – stanowiącym wdrożenie art. 5 ust. 3 lit. a dyrektywy 2001/29/WE, który przewidywał fakultatywnie możliwość wprowadzenia – wobec wyłącznych praw do zwielokrotniania i publicznego udostępniania utworów – wyjątku lub ograniczenia w </w:t>
      </w:r>
      <w:r w:rsidR="008937D1"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niehandlowych celach edukacyjnych i badań naukowych, włączając nauczanie na odległość</w:t>
      </w:r>
      <w:r w:rsidR="008937D1"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(tzw. </w:t>
      </w:r>
      <w:r w:rsidRPr="009935E0">
        <w:rPr>
          <w:rFonts w:ascii="Times New Roman" w:eastAsia="Times New Roman" w:hAnsi="Times New Roman" w:cs="Times New Roman"/>
          <w:i/>
          <w:sz w:val="24"/>
          <w:szCs w:val="24"/>
          <w:lang w:eastAsia="pl-PL"/>
        </w:rPr>
        <w:t>e-learning</w:t>
      </w:r>
      <w:r w:rsidRPr="009935E0">
        <w:rPr>
          <w:rFonts w:ascii="Times New Roman" w:eastAsia="Times New Roman" w:hAnsi="Times New Roman" w:cs="Times New Roman"/>
          <w:sz w:val="24"/>
          <w:szCs w:val="24"/>
          <w:lang w:eastAsia="pl-PL"/>
        </w:rPr>
        <w:t>).</w:t>
      </w:r>
      <w:r w:rsidR="00BF4722" w:rsidRPr="009935E0">
        <w:rPr>
          <w:rFonts w:ascii="Times New Roman" w:eastAsia="Times New Roman" w:hAnsi="Times New Roman" w:cs="Times New Roman"/>
          <w:sz w:val="24"/>
          <w:szCs w:val="24"/>
          <w:lang w:eastAsia="pl-PL"/>
        </w:rPr>
        <w:t xml:space="preserve"> </w:t>
      </w:r>
    </w:p>
    <w:p w14:paraId="1CF66A01" w14:textId="77777777" w:rsidR="007B53CB" w:rsidRPr="009935E0" w:rsidRDefault="007B53CB"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Zmiany wprowadzone do projektowanego art. 27 służą natomiast uwzględnieniu pewnych elementów dyrektywy DSM o charakterze doprecyzowującym. </w:t>
      </w:r>
      <w:r w:rsidR="00F94CCE" w:rsidRPr="009935E0">
        <w:rPr>
          <w:rFonts w:ascii="Times New Roman" w:eastAsia="Times New Roman" w:hAnsi="Times New Roman" w:cs="Times New Roman"/>
          <w:sz w:val="24"/>
          <w:szCs w:val="24"/>
          <w:lang w:eastAsia="pl-PL"/>
        </w:rPr>
        <w:t xml:space="preserve">Zgodnie bowiem z art. 25 </w:t>
      </w:r>
      <w:r w:rsidR="00F6415F" w:rsidRPr="009935E0">
        <w:rPr>
          <w:rFonts w:ascii="Times New Roman" w:eastAsia="Times New Roman" w:hAnsi="Times New Roman" w:cs="Times New Roman"/>
          <w:sz w:val="24"/>
          <w:szCs w:val="24"/>
          <w:lang w:eastAsia="pl-PL"/>
        </w:rPr>
        <w:t xml:space="preserve">tej </w:t>
      </w:r>
      <w:r w:rsidR="00F94CCE" w:rsidRPr="009935E0">
        <w:rPr>
          <w:rFonts w:ascii="Times New Roman" w:eastAsia="Times New Roman" w:hAnsi="Times New Roman" w:cs="Times New Roman"/>
          <w:sz w:val="24"/>
          <w:szCs w:val="24"/>
          <w:lang w:eastAsia="pl-PL"/>
        </w:rPr>
        <w:t xml:space="preserve">dyrektywy („Relacja z wyjątkami i ograniczeniami określonymi w innych dyrektywach”) państwa członkowskie mogą przyjmować lub utrzymywać w mocy szersze przepisy zgodne z wyjątkami lub ograniczeniami określonymi w dyrektywach 96/9/WE i 2001/29/WE w odniesieniu do sposobów lub obszarów korzystania objętych wyjątkami lub ograniczeniami przewidzianymi w niniejszej dyrektywie. </w:t>
      </w:r>
      <w:r w:rsidRPr="009935E0">
        <w:rPr>
          <w:rFonts w:ascii="Times New Roman" w:eastAsia="Times New Roman" w:hAnsi="Times New Roman" w:cs="Times New Roman"/>
          <w:sz w:val="24"/>
          <w:szCs w:val="24"/>
          <w:lang w:eastAsia="pl-PL"/>
        </w:rPr>
        <w:t xml:space="preserve">Wprowadzana modyfikacja art. 27 ust. 1 </w:t>
      </w:r>
      <w:r w:rsidR="00F6415F" w:rsidRPr="009935E0">
        <w:rPr>
          <w:rFonts w:ascii="Times New Roman" w:eastAsia="Times New Roman" w:hAnsi="Times New Roman" w:cs="Times New Roman"/>
          <w:sz w:val="24"/>
          <w:szCs w:val="24"/>
          <w:lang w:eastAsia="pl-PL"/>
        </w:rPr>
        <w:t xml:space="preserve">ustawy o prawie autorskim </w:t>
      </w:r>
      <w:r w:rsidRPr="009935E0">
        <w:rPr>
          <w:rFonts w:ascii="Times New Roman" w:eastAsia="Times New Roman" w:hAnsi="Times New Roman" w:cs="Times New Roman"/>
          <w:sz w:val="24"/>
          <w:szCs w:val="24"/>
          <w:lang w:eastAsia="pl-PL"/>
        </w:rPr>
        <w:t xml:space="preserve">nie zmienia zasadniczo dotychczasowej jego treści, przesądza jedynie, w zgodzie z treścią art. 5 ust. 1 dyrektywy DSM, że korzystanie odbywa się na odpowiedzialność beneficjentów, w tym „za pośrednictwem bezpiecznego środowiska elektronicznego” (w projekcie: „za pośrednictwem </w:t>
      </w:r>
      <w:r w:rsidR="007E1DC4" w:rsidRPr="009935E0">
        <w:rPr>
          <w:rFonts w:ascii="Times New Roman" w:eastAsia="Times New Roman" w:hAnsi="Times New Roman" w:cs="Times New Roman"/>
          <w:sz w:val="24"/>
          <w:szCs w:val="24"/>
          <w:lang w:eastAsia="pl-PL"/>
        </w:rPr>
        <w:t xml:space="preserve">bezpiecznego </w:t>
      </w:r>
      <w:r w:rsidRPr="009935E0">
        <w:rPr>
          <w:rFonts w:ascii="Times New Roman" w:eastAsia="Times New Roman" w:hAnsi="Times New Roman" w:cs="Times New Roman"/>
          <w:sz w:val="24"/>
          <w:szCs w:val="24"/>
          <w:lang w:eastAsia="pl-PL"/>
        </w:rPr>
        <w:t>środowiska elektronicznego dostępnego, dzięki zastosowaniu procedur uwierzytelniających, tylko dla uczących się i nauczających lub prowadzących działalność naukową w danej instytucji lub podmiocie”). Przepis art. 5 dyrektywy DSM powiela w swej treści co do zasady wyjątek określony w art. 5 ust. 3 lit. a dyrektywy 2001/29 wobec wyłącznych praw do zwielokrotniania i publicznego udostępniania, aby zapewnić we wszystkich państwach członkowskich U</w:t>
      </w:r>
      <w:r w:rsidR="00A94C99" w:rsidRPr="009935E0">
        <w:rPr>
          <w:rFonts w:ascii="Times New Roman" w:eastAsia="Times New Roman" w:hAnsi="Times New Roman" w:cs="Times New Roman"/>
          <w:sz w:val="24"/>
          <w:szCs w:val="24"/>
          <w:lang w:eastAsia="pl-PL"/>
        </w:rPr>
        <w:t xml:space="preserve">nii </w:t>
      </w:r>
      <w:r w:rsidRPr="009935E0">
        <w:rPr>
          <w:rFonts w:ascii="Times New Roman" w:eastAsia="Times New Roman" w:hAnsi="Times New Roman" w:cs="Times New Roman"/>
          <w:sz w:val="24"/>
          <w:szCs w:val="24"/>
          <w:lang w:eastAsia="pl-PL"/>
        </w:rPr>
        <w:t>E</w:t>
      </w:r>
      <w:r w:rsidR="00A94C99" w:rsidRPr="009935E0">
        <w:rPr>
          <w:rFonts w:ascii="Times New Roman" w:eastAsia="Times New Roman" w:hAnsi="Times New Roman" w:cs="Times New Roman"/>
          <w:sz w:val="24"/>
          <w:szCs w:val="24"/>
          <w:lang w:eastAsia="pl-PL"/>
        </w:rPr>
        <w:t>uropejskiej</w:t>
      </w:r>
      <w:r w:rsidRPr="009935E0">
        <w:rPr>
          <w:rFonts w:ascii="Times New Roman" w:eastAsia="Times New Roman" w:hAnsi="Times New Roman" w:cs="Times New Roman"/>
          <w:sz w:val="24"/>
          <w:szCs w:val="24"/>
          <w:lang w:eastAsia="pl-PL"/>
        </w:rPr>
        <w:t xml:space="preserve"> cyfrowe korzystanie z utworów – ale jedynie w stosunku do „placówek edukacyjnych” i w celu zilustrowania w ramach nauczania. Nie uwzględnia natomiast celu „badań naukowych” wynikającego z dyrektywy 2001/29. Należy jednak mieć na uwadze, że dotychczasowe </w:t>
      </w:r>
      <w:r w:rsidR="00626CFB" w:rsidRPr="009935E0">
        <w:rPr>
          <w:rFonts w:ascii="Times New Roman" w:eastAsia="Times New Roman" w:hAnsi="Times New Roman" w:cs="Times New Roman"/>
          <w:sz w:val="24"/>
          <w:szCs w:val="24"/>
          <w:lang w:eastAsia="pl-PL"/>
        </w:rPr>
        <w:t>przepisy art. 27</w:t>
      </w:r>
      <w:r w:rsidR="00F6415F" w:rsidRPr="009935E0">
        <w:rPr>
          <w:rFonts w:ascii="Times New Roman" w:eastAsia="Times New Roman" w:hAnsi="Times New Roman" w:cs="Times New Roman"/>
          <w:sz w:val="24"/>
          <w:szCs w:val="24"/>
          <w:lang w:eastAsia="pl-PL"/>
        </w:rPr>
        <w:t xml:space="preserve"> ustawy o prawie autorskim</w:t>
      </w:r>
      <w:r w:rsidR="00626CFB" w:rsidRPr="009935E0">
        <w:rPr>
          <w:rFonts w:ascii="Times New Roman" w:eastAsia="Times New Roman" w:hAnsi="Times New Roman" w:cs="Times New Roman"/>
          <w:sz w:val="24"/>
          <w:szCs w:val="24"/>
          <w:lang w:eastAsia="pl-PL"/>
        </w:rPr>
        <w:t>, odnoszące się do korzystania</w:t>
      </w:r>
      <w:r w:rsidRPr="009935E0">
        <w:rPr>
          <w:rFonts w:ascii="Times New Roman" w:eastAsia="Times New Roman" w:hAnsi="Times New Roman" w:cs="Times New Roman"/>
          <w:sz w:val="24"/>
          <w:szCs w:val="24"/>
          <w:lang w:eastAsia="pl-PL"/>
        </w:rPr>
        <w:t xml:space="preserve"> </w:t>
      </w:r>
      <w:r w:rsidR="00F94CCE" w:rsidRPr="009935E0">
        <w:rPr>
          <w:rFonts w:ascii="Times New Roman" w:eastAsia="Times New Roman" w:hAnsi="Times New Roman" w:cs="Times New Roman"/>
          <w:sz w:val="24"/>
          <w:szCs w:val="24"/>
          <w:lang w:eastAsia="pl-PL"/>
        </w:rPr>
        <w:t xml:space="preserve">w środowisku </w:t>
      </w:r>
      <w:r w:rsidRPr="009935E0">
        <w:rPr>
          <w:rFonts w:ascii="Times New Roman" w:eastAsia="Times New Roman" w:hAnsi="Times New Roman" w:cs="Times New Roman"/>
          <w:sz w:val="24"/>
          <w:szCs w:val="24"/>
          <w:lang w:eastAsia="pl-PL"/>
        </w:rPr>
        <w:t>analogow</w:t>
      </w:r>
      <w:r w:rsidR="00F94CCE" w:rsidRPr="009935E0">
        <w:rPr>
          <w:rFonts w:ascii="Times New Roman" w:eastAsia="Times New Roman" w:hAnsi="Times New Roman" w:cs="Times New Roman"/>
          <w:sz w:val="24"/>
          <w:szCs w:val="24"/>
          <w:lang w:eastAsia="pl-PL"/>
        </w:rPr>
        <w:t>ym</w:t>
      </w:r>
      <w:r w:rsidR="00352883" w:rsidRPr="009935E0">
        <w:rPr>
          <w:rFonts w:ascii="Times New Roman" w:eastAsia="Times New Roman" w:hAnsi="Times New Roman" w:cs="Times New Roman"/>
          <w:sz w:val="24"/>
          <w:szCs w:val="24"/>
          <w:lang w:eastAsia="pl-PL"/>
        </w:rPr>
        <w:t xml:space="preserve"> i elektronicznym</w:t>
      </w:r>
      <w:r w:rsidRPr="009935E0">
        <w:rPr>
          <w:rFonts w:ascii="Times New Roman" w:eastAsia="Times New Roman" w:hAnsi="Times New Roman" w:cs="Times New Roman"/>
          <w:sz w:val="24"/>
          <w:szCs w:val="24"/>
          <w:lang w:eastAsia="pl-PL"/>
        </w:rPr>
        <w:t xml:space="preserve">, </w:t>
      </w:r>
      <w:r w:rsidR="00F94CCE" w:rsidRPr="009935E0">
        <w:rPr>
          <w:rFonts w:ascii="Times New Roman" w:eastAsia="Times New Roman" w:hAnsi="Times New Roman" w:cs="Times New Roman"/>
          <w:sz w:val="24"/>
          <w:szCs w:val="24"/>
          <w:lang w:eastAsia="pl-PL"/>
        </w:rPr>
        <w:t xml:space="preserve">zarówno w celu prowadzenia działalności edukacyjnej, jak i </w:t>
      </w:r>
      <w:r w:rsidRPr="009935E0">
        <w:rPr>
          <w:rFonts w:ascii="Times New Roman" w:eastAsia="Times New Roman" w:hAnsi="Times New Roman" w:cs="Times New Roman"/>
          <w:sz w:val="24"/>
          <w:szCs w:val="24"/>
          <w:lang w:eastAsia="pl-PL"/>
        </w:rPr>
        <w:t xml:space="preserve">w celu „badań naukowych”, pozostają </w:t>
      </w:r>
      <w:r w:rsidR="008937D1" w:rsidRPr="009935E0">
        <w:rPr>
          <w:rFonts w:ascii="Times New Roman" w:eastAsia="Times New Roman" w:hAnsi="Times New Roman" w:cs="Times New Roman"/>
          <w:sz w:val="24"/>
          <w:szCs w:val="24"/>
          <w:lang w:eastAsia="pl-PL"/>
        </w:rPr>
        <w:t>w mocy</w:t>
      </w:r>
      <w:r w:rsidRPr="009935E0">
        <w:rPr>
          <w:rFonts w:ascii="Times New Roman" w:eastAsia="Times New Roman" w:hAnsi="Times New Roman" w:cs="Times New Roman"/>
          <w:sz w:val="24"/>
          <w:szCs w:val="24"/>
          <w:lang w:eastAsia="pl-PL"/>
        </w:rPr>
        <w:t xml:space="preserve">, ponieważ, </w:t>
      </w:r>
      <w:r w:rsidR="00F94CCE" w:rsidRPr="009935E0">
        <w:rPr>
          <w:rFonts w:ascii="Times New Roman" w:eastAsia="Times New Roman" w:hAnsi="Times New Roman" w:cs="Times New Roman"/>
          <w:sz w:val="24"/>
          <w:szCs w:val="24"/>
          <w:lang w:eastAsia="pl-PL"/>
        </w:rPr>
        <w:t xml:space="preserve">jak zostało wyżej wskazane, </w:t>
      </w:r>
      <w:r w:rsidRPr="009935E0">
        <w:rPr>
          <w:rFonts w:ascii="Times New Roman" w:eastAsia="Times New Roman" w:hAnsi="Times New Roman" w:cs="Times New Roman"/>
          <w:sz w:val="24"/>
          <w:szCs w:val="24"/>
          <w:lang w:eastAsia="pl-PL"/>
        </w:rPr>
        <w:t>art. 25 dyrektywy DSM pozwala utrzymać w mocy szersze przepisy, zgodne w wyjątkami określonymi w dyrektywie 2001/29.</w:t>
      </w:r>
      <w:r w:rsidR="00FB05FE" w:rsidRPr="009935E0">
        <w:rPr>
          <w:rFonts w:ascii="Times New Roman" w:eastAsia="Times New Roman" w:hAnsi="Times New Roman" w:cs="Times New Roman"/>
          <w:sz w:val="24"/>
          <w:szCs w:val="24"/>
          <w:lang w:eastAsia="pl-PL"/>
        </w:rPr>
        <w:t xml:space="preserve"> </w:t>
      </w:r>
    </w:p>
    <w:p w14:paraId="344D7A43" w14:textId="77777777" w:rsidR="00BF4722" w:rsidRPr="009935E0" w:rsidRDefault="00102BD3"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Natomiast wyłącznie w dyrektywie DSM i jedynie do korzystania z utworów na potrzeby zilustrowania treści przekazywanych w celach dydaktycznych za pośrednictwem bezpiecznego środowiska elektronicznego odnosi się zasada tzw. skutku transgranicznego. Stąd w projektowanym ust. 2 tego przepisu zostało wyraźnie przesądzone, </w:t>
      </w:r>
      <w:r w:rsidR="00BF4722" w:rsidRPr="009935E0">
        <w:rPr>
          <w:rFonts w:ascii="Times New Roman" w:eastAsia="Times New Roman" w:hAnsi="Times New Roman" w:cs="Times New Roman"/>
          <w:sz w:val="24"/>
          <w:szCs w:val="24"/>
          <w:lang w:eastAsia="pl-PL"/>
        </w:rPr>
        <w:t xml:space="preserve">że korzystanie z utworu </w:t>
      </w:r>
      <w:r w:rsidR="00424E9E" w:rsidRPr="009935E0">
        <w:rPr>
          <w:rFonts w:ascii="Times New Roman" w:eastAsia="Times New Roman" w:hAnsi="Times New Roman" w:cs="Times New Roman"/>
          <w:sz w:val="24"/>
          <w:szCs w:val="24"/>
          <w:lang w:eastAsia="pl-PL"/>
        </w:rPr>
        <w:t xml:space="preserve">na </w:t>
      </w:r>
      <w:r w:rsidR="00424E9E" w:rsidRPr="009935E0">
        <w:rPr>
          <w:rFonts w:ascii="Times New Roman" w:eastAsia="Times New Roman" w:hAnsi="Times New Roman" w:cs="Times New Roman"/>
          <w:sz w:val="24"/>
          <w:szCs w:val="24"/>
          <w:lang w:eastAsia="pl-PL"/>
        </w:rPr>
        <w:lastRenderedPageBreak/>
        <w:t>potrzeby zilustrowania treści przekazywanych w celach dydaktycznych</w:t>
      </w:r>
      <w:r w:rsidR="00BF044E" w:rsidRPr="009935E0">
        <w:rPr>
          <w:rFonts w:ascii="Times New Roman" w:eastAsia="Times New Roman" w:hAnsi="Times New Roman" w:cs="Times New Roman"/>
          <w:sz w:val="24"/>
          <w:szCs w:val="24"/>
          <w:lang w:eastAsia="pl-PL"/>
        </w:rPr>
        <w:t xml:space="preserve"> za pośrednictwem środow</w:t>
      </w:r>
      <w:r w:rsidR="009D03A8" w:rsidRPr="009935E0">
        <w:rPr>
          <w:rFonts w:ascii="Times New Roman" w:eastAsia="Times New Roman" w:hAnsi="Times New Roman" w:cs="Times New Roman"/>
          <w:sz w:val="24"/>
          <w:szCs w:val="24"/>
          <w:lang w:eastAsia="pl-PL"/>
        </w:rPr>
        <w:t>iska elektronicznego</w:t>
      </w:r>
      <w:r w:rsidR="00424E9E" w:rsidRPr="009935E0">
        <w:rPr>
          <w:rFonts w:ascii="Times New Roman" w:eastAsia="Times New Roman" w:hAnsi="Times New Roman" w:cs="Times New Roman"/>
          <w:sz w:val="24"/>
          <w:szCs w:val="24"/>
          <w:lang w:eastAsia="pl-PL"/>
        </w:rPr>
        <w:t>, w sposób określony w ust. 1, odbywa się w państwie członkowskim Unii Europejskiej lub państwie członkowskim Europejskiego Porozumienia o Wolnym Handlu (EFTA) – stronie umowy</w:t>
      </w:r>
      <w:r w:rsidR="009D03A8" w:rsidRPr="009935E0">
        <w:rPr>
          <w:rFonts w:ascii="Times New Roman" w:eastAsia="Times New Roman" w:hAnsi="Times New Roman" w:cs="Times New Roman"/>
          <w:sz w:val="24"/>
          <w:szCs w:val="24"/>
          <w:lang w:eastAsia="pl-PL"/>
        </w:rPr>
        <w:t xml:space="preserve"> </w:t>
      </w:r>
      <w:r w:rsidR="00424E9E" w:rsidRPr="009935E0">
        <w:rPr>
          <w:rFonts w:ascii="Times New Roman" w:eastAsia="Times New Roman" w:hAnsi="Times New Roman" w:cs="Times New Roman"/>
          <w:sz w:val="24"/>
          <w:szCs w:val="24"/>
          <w:lang w:eastAsia="pl-PL"/>
        </w:rPr>
        <w:t>o Europejskim Obszarze Gospodarczym, w którym</w:t>
      </w:r>
      <w:r w:rsidR="00BF4722" w:rsidRPr="009935E0">
        <w:rPr>
          <w:rFonts w:ascii="Times New Roman" w:eastAsia="Times New Roman" w:hAnsi="Times New Roman" w:cs="Times New Roman"/>
          <w:sz w:val="24"/>
          <w:szCs w:val="24"/>
          <w:lang w:eastAsia="pl-PL"/>
        </w:rPr>
        <w:t xml:space="preserve"> beneficjent ma swoją siedzibę.</w:t>
      </w:r>
    </w:p>
    <w:p w14:paraId="1B582446" w14:textId="77777777" w:rsidR="00BF4722" w:rsidRPr="009935E0" w:rsidRDefault="007041B1"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W preambule </w:t>
      </w:r>
      <w:r w:rsidR="00BF4722" w:rsidRPr="009935E0">
        <w:rPr>
          <w:rFonts w:ascii="Times New Roman" w:eastAsia="Times New Roman" w:hAnsi="Times New Roman" w:cs="Times New Roman"/>
          <w:sz w:val="24"/>
          <w:szCs w:val="24"/>
          <w:lang w:eastAsia="pl-PL"/>
        </w:rPr>
        <w:t xml:space="preserve">dyrektywy wskazuje się, że programy nauczania na odległość i kształcenia transgranicznego funkcjonują przede wszystkim na poziomie szkolnictwa wyższego, jednak cyfrowe narzędzia i zasoby są coraz częściej wykorzystywane na wszystkich poziomach kształcenia, w szczególności w celu poprawienia i wzbogacenia procesu uczenia się. </w:t>
      </w:r>
      <w:r w:rsidR="008035A6" w:rsidRPr="009935E0">
        <w:rPr>
          <w:rFonts w:ascii="Times New Roman" w:eastAsia="Times New Roman" w:hAnsi="Times New Roman" w:cs="Times New Roman"/>
          <w:sz w:val="24"/>
          <w:szCs w:val="24"/>
          <w:lang w:eastAsia="pl-PL"/>
        </w:rPr>
        <w:t>Przewidziany</w:t>
      </w:r>
      <w:r w:rsidR="00BF4722" w:rsidRPr="009935E0">
        <w:rPr>
          <w:rFonts w:ascii="Times New Roman" w:eastAsia="Times New Roman" w:hAnsi="Times New Roman" w:cs="Times New Roman"/>
          <w:sz w:val="24"/>
          <w:szCs w:val="24"/>
          <w:lang w:eastAsia="pl-PL"/>
        </w:rPr>
        <w:t xml:space="preserve"> w dyrektywie</w:t>
      </w:r>
      <w:r w:rsidR="00F6415F" w:rsidRPr="009935E0">
        <w:rPr>
          <w:rFonts w:ascii="Times New Roman" w:eastAsia="Times New Roman" w:hAnsi="Times New Roman" w:cs="Times New Roman"/>
          <w:sz w:val="24"/>
          <w:szCs w:val="24"/>
          <w:lang w:eastAsia="pl-PL"/>
        </w:rPr>
        <w:t xml:space="preserve"> DSM</w:t>
      </w:r>
      <w:r w:rsidR="008035A6" w:rsidRPr="009935E0">
        <w:rPr>
          <w:rFonts w:ascii="Times New Roman" w:eastAsia="Times New Roman" w:hAnsi="Times New Roman" w:cs="Times New Roman"/>
          <w:sz w:val="24"/>
          <w:szCs w:val="24"/>
          <w:lang w:eastAsia="pl-PL"/>
        </w:rPr>
        <w:t xml:space="preserve"> dozwolony użytek na potrzeby edukacyjne powinien</w:t>
      </w:r>
      <w:r w:rsidR="00BF4722" w:rsidRPr="009935E0">
        <w:rPr>
          <w:rFonts w:ascii="Times New Roman" w:eastAsia="Times New Roman" w:hAnsi="Times New Roman" w:cs="Times New Roman"/>
          <w:sz w:val="24"/>
          <w:szCs w:val="24"/>
          <w:lang w:eastAsia="pl-PL"/>
        </w:rPr>
        <w:t xml:space="preserve"> zatem przynieść korzyści wszystkim placówkom edukacyjnym uznanym przez dane państwo członkowskie, w tym placówkom edukacyjnym na poziomie kształcenia podstawowego, średniego, zawodowego i wyższego (motyw 20). Należy zatem </w:t>
      </w:r>
      <w:r w:rsidR="00506C18" w:rsidRPr="009935E0">
        <w:rPr>
          <w:rFonts w:ascii="Times New Roman" w:eastAsia="Times New Roman" w:hAnsi="Times New Roman" w:cs="Times New Roman"/>
          <w:sz w:val="24"/>
          <w:szCs w:val="24"/>
          <w:lang w:eastAsia="pl-PL"/>
        </w:rPr>
        <w:t>zauważyć</w:t>
      </w:r>
      <w:r w:rsidR="00BF4722" w:rsidRPr="009935E0">
        <w:rPr>
          <w:rFonts w:ascii="Times New Roman" w:eastAsia="Times New Roman" w:hAnsi="Times New Roman" w:cs="Times New Roman"/>
          <w:sz w:val="24"/>
          <w:szCs w:val="24"/>
          <w:lang w:eastAsia="pl-PL"/>
        </w:rPr>
        <w:t>, że zakres podmiotowy polskiej regulacji omawianej postaci dozwolonego użytku obejmuje również placówki edukacyjne prowadzące działalność na ww. poziomach edukacji. Utrzymany zostanie zatem katalog bene</w:t>
      </w:r>
      <w:r w:rsidR="00506C18" w:rsidRPr="009935E0">
        <w:rPr>
          <w:rFonts w:ascii="Times New Roman" w:eastAsia="Times New Roman" w:hAnsi="Times New Roman" w:cs="Times New Roman"/>
          <w:sz w:val="24"/>
          <w:szCs w:val="24"/>
          <w:lang w:eastAsia="pl-PL"/>
        </w:rPr>
        <w:t>ficjentów</w:t>
      </w:r>
      <w:r w:rsidR="00BF4722" w:rsidRPr="009935E0">
        <w:rPr>
          <w:rFonts w:ascii="Times New Roman" w:eastAsia="Times New Roman" w:hAnsi="Times New Roman" w:cs="Times New Roman"/>
          <w:sz w:val="24"/>
          <w:szCs w:val="24"/>
          <w:lang w:eastAsia="pl-PL"/>
        </w:rPr>
        <w:t xml:space="preserve">, który zgodnie z art. 27 ust. 1 ustawy o prawie autorskim obejmuje instytucje oświatowe oraz podmioty, o których mowa w art. 7 ust. 1 pkt 1, 2 i 4–8 ustawy z dnia 20 lipca 2018 r. – Prawo </w:t>
      </w:r>
      <w:r w:rsidR="002F501A" w:rsidRPr="009935E0">
        <w:rPr>
          <w:rFonts w:ascii="Times New Roman" w:eastAsia="Times New Roman" w:hAnsi="Times New Roman" w:cs="Times New Roman"/>
          <w:sz w:val="24"/>
          <w:szCs w:val="24"/>
          <w:lang w:eastAsia="pl-PL"/>
        </w:rPr>
        <w:t>o szkolnictwie wyższym i nauce.</w:t>
      </w:r>
    </w:p>
    <w:p w14:paraId="1F74534B" w14:textId="7F1CEFC3"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Na gruncie stosowania nowego brzmienia art. 27 ustawy o prawie autorskim może pojawić się wątpliwość, czy zakres podmiotów uprawnionych do korzystania z dozwolonego użytku uregulowanego w tym przepisie obejmuje wyłącznie placówki publiczne, czy </w:t>
      </w:r>
      <w:r w:rsidR="002F501A" w:rsidRPr="009935E0">
        <w:rPr>
          <w:rFonts w:ascii="Times New Roman" w:eastAsia="Times New Roman" w:hAnsi="Times New Roman" w:cs="Times New Roman"/>
          <w:sz w:val="24"/>
          <w:szCs w:val="24"/>
          <w:lang w:eastAsia="pl-PL"/>
        </w:rPr>
        <w:t>także placówki</w:t>
      </w:r>
      <w:r w:rsidRPr="009935E0">
        <w:rPr>
          <w:rFonts w:ascii="Times New Roman" w:eastAsia="Times New Roman" w:hAnsi="Times New Roman" w:cs="Times New Roman"/>
          <w:sz w:val="24"/>
          <w:szCs w:val="24"/>
          <w:lang w:eastAsia="pl-PL"/>
        </w:rPr>
        <w:t xml:space="preserve"> prywatne. Dotychczasowa wykładnia, wskazująca że dozwolony użytek z art. 27 obejmuje z</w:t>
      </w:r>
      <w:r w:rsidR="00626CFB" w:rsidRPr="009935E0">
        <w:rPr>
          <w:rFonts w:ascii="Times New Roman" w:eastAsia="Times New Roman" w:hAnsi="Times New Roman" w:cs="Times New Roman"/>
          <w:sz w:val="24"/>
          <w:szCs w:val="24"/>
          <w:lang w:eastAsia="pl-PL"/>
        </w:rPr>
        <w:t>arówno placówki publiczne</w:t>
      </w:r>
      <w:r w:rsidRPr="009935E0">
        <w:rPr>
          <w:rFonts w:ascii="Times New Roman" w:eastAsia="Times New Roman" w:hAnsi="Times New Roman" w:cs="Times New Roman"/>
          <w:sz w:val="24"/>
          <w:szCs w:val="24"/>
          <w:lang w:eastAsia="pl-PL"/>
        </w:rPr>
        <w:t xml:space="preserve"> jak i prywatne, pozostaje aktualna. Należy zwrócić uwa</w:t>
      </w:r>
      <w:r w:rsidR="007041B1" w:rsidRPr="009935E0">
        <w:rPr>
          <w:rFonts w:ascii="Times New Roman" w:eastAsia="Times New Roman" w:hAnsi="Times New Roman" w:cs="Times New Roman"/>
          <w:sz w:val="24"/>
          <w:szCs w:val="24"/>
          <w:lang w:eastAsia="pl-PL"/>
        </w:rPr>
        <w:t xml:space="preserve">gę na treść motywu 42 preambuły </w:t>
      </w:r>
      <w:r w:rsidRPr="009935E0">
        <w:rPr>
          <w:rFonts w:ascii="Times New Roman" w:eastAsia="Times New Roman" w:hAnsi="Times New Roman" w:cs="Times New Roman"/>
          <w:sz w:val="24"/>
          <w:szCs w:val="24"/>
          <w:lang w:eastAsia="pl-PL"/>
        </w:rPr>
        <w:t>dyrektywy 2001/29/WE, który nakazuje traktować jednakowo podmioty prowadzące działalność tego samego rodzaju bez względu na różnice w strukturze organizacyjnej i środkach finansowania danej instytucji, którym nie przypisano znaczenia decydującego</w:t>
      </w:r>
      <w:r w:rsidRPr="009935E0">
        <w:rPr>
          <w:rStyle w:val="Odwoanieprzypisudolnego"/>
          <w:rFonts w:ascii="Times New Roman" w:eastAsia="Times New Roman" w:hAnsi="Times New Roman" w:cs="Times New Roman"/>
          <w:sz w:val="24"/>
          <w:szCs w:val="24"/>
          <w:lang w:eastAsia="pl-PL"/>
        </w:rPr>
        <w:footnoteReference w:id="17"/>
      </w:r>
      <w:r w:rsidR="00205E47" w:rsidRPr="00483092">
        <w:rPr>
          <w:rFonts w:ascii="Times New Roman" w:eastAsia="Times New Roman" w:hAnsi="Times New Roman" w:cs="Times New Roman"/>
          <w:sz w:val="24"/>
          <w:szCs w:val="24"/>
          <w:vertAlign w:val="superscript"/>
          <w:lang w:eastAsia="pl-PL"/>
        </w:rPr>
        <w:t>)</w:t>
      </w:r>
      <w:r w:rsidRPr="009935E0">
        <w:rPr>
          <w:rFonts w:ascii="Times New Roman" w:eastAsia="Times New Roman" w:hAnsi="Times New Roman" w:cs="Times New Roman"/>
          <w:sz w:val="24"/>
          <w:szCs w:val="24"/>
          <w:lang w:eastAsia="pl-PL"/>
        </w:rPr>
        <w:t xml:space="preserve">. Niewątpliwe jest, że działalność szkół niepublicznych </w:t>
      </w:r>
      <w:r w:rsidR="001847D9" w:rsidRPr="009935E0">
        <w:rPr>
          <w:rFonts w:ascii="Times New Roman" w:eastAsia="Times New Roman" w:hAnsi="Times New Roman" w:cs="Times New Roman"/>
          <w:sz w:val="24"/>
          <w:szCs w:val="24"/>
          <w:lang w:eastAsia="pl-PL"/>
        </w:rPr>
        <w:t xml:space="preserve">zasadniczo </w:t>
      </w:r>
      <w:r w:rsidRPr="009935E0">
        <w:rPr>
          <w:rFonts w:ascii="Times New Roman" w:eastAsia="Times New Roman" w:hAnsi="Times New Roman" w:cs="Times New Roman"/>
          <w:sz w:val="24"/>
          <w:szCs w:val="24"/>
          <w:lang w:eastAsia="pl-PL"/>
        </w:rPr>
        <w:t>nie różni się charakterem od działalności szkół publicznych, nie ma charakteru handlowego, a jej podstawowym celem nie jest uzyskiwanie korzyści majątkowych.</w:t>
      </w:r>
    </w:p>
    <w:p w14:paraId="4CAC311F" w14:textId="4BFD72DC" w:rsidR="007B7E94" w:rsidRPr="009935E0" w:rsidRDefault="007B7E94"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lastRenderedPageBreak/>
        <w:t xml:space="preserve">Natomiast na potrzeby stosowania niniejszego przepisu zostanie </w:t>
      </w:r>
      <w:r w:rsidR="009A5733" w:rsidRPr="009935E0">
        <w:rPr>
          <w:rFonts w:ascii="Times New Roman" w:eastAsia="Times New Roman" w:hAnsi="Times New Roman" w:cs="Times New Roman"/>
          <w:sz w:val="24"/>
          <w:szCs w:val="24"/>
          <w:lang w:eastAsia="pl-PL"/>
        </w:rPr>
        <w:t xml:space="preserve">zaktualizowana i </w:t>
      </w:r>
      <w:r w:rsidRPr="009935E0">
        <w:rPr>
          <w:rFonts w:ascii="Times New Roman" w:eastAsia="Times New Roman" w:hAnsi="Times New Roman" w:cs="Times New Roman"/>
          <w:sz w:val="24"/>
          <w:szCs w:val="24"/>
          <w:lang w:eastAsia="pl-PL"/>
        </w:rPr>
        <w:t>uzupełniona definicja „instytucji oświatowej” zawarta w dotychczasowym art. 6</w:t>
      </w:r>
      <w:r w:rsidR="00EF7153" w:rsidRPr="009935E0">
        <w:rPr>
          <w:rFonts w:ascii="Times New Roman" w:eastAsia="Times New Roman" w:hAnsi="Times New Roman" w:cs="Times New Roman"/>
          <w:sz w:val="24"/>
          <w:szCs w:val="24"/>
          <w:lang w:eastAsia="pl-PL"/>
        </w:rPr>
        <w:t xml:space="preserve"> ust. 1 </w:t>
      </w:r>
      <w:r w:rsidRPr="009935E0">
        <w:rPr>
          <w:rFonts w:ascii="Times New Roman" w:eastAsia="Times New Roman" w:hAnsi="Times New Roman" w:cs="Times New Roman"/>
          <w:sz w:val="24"/>
          <w:szCs w:val="24"/>
          <w:lang w:eastAsia="pl-PL"/>
        </w:rPr>
        <w:t>pkt 13 ustawy o prawie autorskim. Do katalogu podmiotów objętych tą definicją zostaną dodane Centralna Komisja Egzaminacyjna i okręgowe komisje egzaminacyjne, o których mowa w ustawie z dnia 7 września 1991 r. o systemie oświaty (Dz. U. z 2022 r. poz. 2230</w:t>
      </w:r>
      <w:r w:rsidR="00403830" w:rsidRPr="009935E0">
        <w:rPr>
          <w:rFonts w:ascii="Times New Roman" w:eastAsia="Times New Roman" w:hAnsi="Times New Roman" w:cs="Times New Roman"/>
          <w:sz w:val="24"/>
          <w:szCs w:val="24"/>
          <w:lang w:eastAsia="pl-PL"/>
        </w:rPr>
        <w:t xml:space="preserve">, z </w:t>
      </w:r>
      <w:proofErr w:type="spellStart"/>
      <w:r w:rsidR="00403830" w:rsidRPr="009935E0">
        <w:rPr>
          <w:rFonts w:ascii="Times New Roman" w:eastAsia="Times New Roman" w:hAnsi="Times New Roman" w:cs="Times New Roman"/>
          <w:sz w:val="24"/>
          <w:szCs w:val="24"/>
          <w:lang w:eastAsia="pl-PL"/>
        </w:rPr>
        <w:t>późn</w:t>
      </w:r>
      <w:proofErr w:type="spellEnd"/>
      <w:r w:rsidR="00403830" w:rsidRPr="009935E0">
        <w:rPr>
          <w:rFonts w:ascii="Times New Roman" w:eastAsia="Times New Roman" w:hAnsi="Times New Roman" w:cs="Times New Roman"/>
          <w:sz w:val="24"/>
          <w:szCs w:val="24"/>
          <w:lang w:eastAsia="pl-PL"/>
        </w:rPr>
        <w:t>. zm.</w:t>
      </w:r>
      <w:r w:rsidRPr="009935E0">
        <w:rPr>
          <w:rFonts w:ascii="Times New Roman" w:eastAsia="Times New Roman" w:hAnsi="Times New Roman" w:cs="Times New Roman"/>
          <w:sz w:val="24"/>
          <w:szCs w:val="24"/>
          <w:lang w:eastAsia="pl-PL"/>
        </w:rPr>
        <w:t xml:space="preserve">). Ustawowym zadaniem Centralnej Komisji Egzaminacyjnej (CKE) i okręgowych komisji egzaminacyjnych (OKE) jest bowiem przygotowywanie i ustalanie materiałów egzaminacyjnych, w szczególności zadań i arkuszy egzaminacyjnych do przeprowadzania egzaminów, co mieści się </w:t>
      </w:r>
      <w:r w:rsidR="00A35A16" w:rsidRPr="009935E0">
        <w:rPr>
          <w:rFonts w:ascii="Times New Roman" w:eastAsia="Times New Roman" w:hAnsi="Times New Roman" w:cs="Times New Roman"/>
          <w:sz w:val="24"/>
          <w:szCs w:val="24"/>
          <w:lang w:eastAsia="pl-PL"/>
        </w:rPr>
        <w:t xml:space="preserve">w pojęciu </w:t>
      </w:r>
      <w:r w:rsidRPr="009935E0">
        <w:rPr>
          <w:rFonts w:ascii="Times New Roman" w:eastAsia="Times New Roman" w:hAnsi="Times New Roman" w:cs="Times New Roman"/>
          <w:sz w:val="24"/>
          <w:szCs w:val="24"/>
          <w:lang w:eastAsia="pl-PL"/>
        </w:rPr>
        <w:t>„celu dydaktycznego”. Niejednokrotnie w przygotowanych arkuszach egzaminacyjnych, na potrzeby zilustrowania treści przekazywanych w celach dydaktycznych, CKE i OKE wykorzystują drobne utwory lub fragmenty większych utworów na prawie cytatu.</w:t>
      </w:r>
    </w:p>
    <w:p w14:paraId="04E55A0B" w14:textId="77777777" w:rsidR="00E13725"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Nie planuje się wprowadzenia ograniczeń stosowania omawianej postaci dozwolonego użytku, które dopuszcza art. 5 ust. 2 dyrektywy</w:t>
      </w:r>
      <w:r w:rsidR="00403830" w:rsidRPr="009935E0">
        <w:rPr>
          <w:rFonts w:ascii="Times New Roman" w:eastAsia="Times New Roman" w:hAnsi="Times New Roman" w:cs="Times New Roman"/>
          <w:sz w:val="24"/>
          <w:szCs w:val="24"/>
          <w:lang w:eastAsia="pl-PL"/>
        </w:rPr>
        <w:t xml:space="preserve"> DSM</w:t>
      </w:r>
      <w:r w:rsidRPr="009935E0">
        <w:rPr>
          <w:rFonts w:ascii="Times New Roman" w:eastAsia="Times New Roman" w:hAnsi="Times New Roman" w:cs="Times New Roman"/>
          <w:sz w:val="24"/>
          <w:szCs w:val="24"/>
          <w:lang w:eastAsia="pl-PL"/>
        </w:rPr>
        <w:t xml:space="preserve">. </w:t>
      </w:r>
    </w:p>
    <w:p w14:paraId="6DBBFB0F" w14:textId="77777777" w:rsidR="00A21298" w:rsidRPr="009935E0" w:rsidRDefault="00A21298"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Istotą tzw. dozwolonego użytku edukacyjnego jest </w:t>
      </w:r>
      <w:r w:rsidR="003157F5" w:rsidRPr="009935E0">
        <w:rPr>
          <w:rFonts w:ascii="Times New Roman" w:eastAsia="Times New Roman" w:hAnsi="Times New Roman" w:cs="Times New Roman"/>
          <w:sz w:val="24"/>
          <w:szCs w:val="24"/>
          <w:lang w:eastAsia="pl-PL"/>
        </w:rPr>
        <w:t xml:space="preserve">prawo do odpłatnego bądź nieodpłatnego korzystania z utworów bez zgody uprawnionego z tytułu </w:t>
      </w:r>
      <w:r w:rsidR="00FF2498" w:rsidRPr="009935E0">
        <w:rPr>
          <w:rFonts w:ascii="Times New Roman" w:eastAsia="Times New Roman" w:hAnsi="Times New Roman" w:cs="Times New Roman"/>
          <w:sz w:val="24"/>
          <w:szCs w:val="24"/>
          <w:lang w:eastAsia="pl-PL"/>
        </w:rPr>
        <w:t xml:space="preserve">autorskich </w:t>
      </w:r>
      <w:r w:rsidR="003157F5" w:rsidRPr="009935E0">
        <w:rPr>
          <w:rFonts w:ascii="Times New Roman" w:eastAsia="Times New Roman" w:hAnsi="Times New Roman" w:cs="Times New Roman"/>
          <w:sz w:val="24"/>
          <w:szCs w:val="24"/>
          <w:lang w:eastAsia="pl-PL"/>
        </w:rPr>
        <w:t>praw majątkowych.</w:t>
      </w:r>
      <w:r w:rsidRPr="009935E0">
        <w:rPr>
          <w:rFonts w:ascii="Times New Roman" w:eastAsia="Times New Roman" w:hAnsi="Times New Roman" w:cs="Times New Roman"/>
          <w:sz w:val="24"/>
          <w:szCs w:val="24"/>
          <w:lang w:eastAsia="pl-PL"/>
        </w:rPr>
        <w:t xml:space="preserve"> Ratio legis tego ustawowego wyjątku wiąże się z dążeniem Państwa do zapewnienia równowagi interesów zarówno uprawnionych z tytułu autorskich praw majątkowych, jak i podmiotów zainteresowanych korzystaniem z twórczości innych osób dla realizacji celów o charakterze ogólnospołecznym. Zapewnieniu tej równowagi służą wskazane w przepisie art. 27 </w:t>
      </w:r>
      <w:r w:rsidR="00403830" w:rsidRPr="009935E0">
        <w:rPr>
          <w:rFonts w:ascii="Times New Roman" w:eastAsia="Times New Roman" w:hAnsi="Times New Roman" w:cs="Times New Roman"/>
          <w:sz w:val="24"/>
          <w:szCs w:val="24"/>
          <w:lang w:eastAsia="pl-PL"/>
        </w:rPr>
        <w:t xml:space="preserve">ustawy o prawach autorskich </w:t>
      </w:r>
      <w:r w:rsidRPr="009935E0">
        <w:rPr>
          <w:rFonts w:ascii="Times New Roman" w:eastAsia="Times New Roman" w:hAnsi="Times New Roman" w:cs="Times New Roman"/>
          <w:sz w:val="24"/>
          <w:szCs w:val="24"/>
          <w:lang w:eastAsia="pl-PL"/>
        </w:rPr>
        <w:t>ograniczenia pozwalające na zwielokrotnianie przez beneficjentów prowadzących działalność dydaktyczną lub naukową jedynie „drobnych utworów” lub „fragmentów większych utworów”. Jak wskazuje motyw 21 dyrektywy DSM</w:t>
      </w:r>
      <w:r w:rsidR="0027112D"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„W większości przypadków pojęcie zilustrowania powinno zatem zakładać korzystanie jedynie z części lub fragmentów utworów, co nie powinno zastępować zakupu materiałów przeznaczonych przede wszystkim na rynki edukacyjne.”. Dopuszczając do zwielokrotniania drobnych utworów i fragmentów większych utworów ustawodawca miał na celu zachowanie równowagi interesów obu stron.</w:t>
      </w:r>
    </w:p>
    <w:p w14:paraId="5F9B6EF3" w14:textId="0FB8FEAA" w:rsidR="00303899" w:rsidRPr="009935E0" w:rsidRDefault="00A21298"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Projektodawca</w:t>
      </w:r>
      <w:r w:rsidR="00B05AED"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sankcjonując dotychczasowe rozwiązanie </w:t>
      </w:r>
      <w:r w:rsidR="00546624" w:rsidRPr="009935E0">
        <w:rPr>
          <w:rFonts w:ascii="Times New Roman" w:eastAsia="Times New Roman" w:hAnsi="Times New Roman" w:cs="Times New Roman"/>
          <w:sz w:val="24"/>
          <w:szCs w:val="24"/>
          <w:lang w:eastAsia="pl-PL"/>
        </w:rPr>
        <w:t>w zakresie dozwolonego użytku edukacyjnego</w:t>
      </w:r>
      <w:r w:rsidR="00B05AED" w:rsidRPr="009935E0">
        <w:rPr>
          <w:rFonts w:ascii="Times New Roman" w:eastAsia="Times New Roman" w:hAnsi="Times New Roman" w:cs="Times New Roman"/>
          <w:sz w:val="24"/>
          <w:szCs w:val="24"/>
          <w:lang w:eastAsia="pl-PL"/>
        </w:rPr>
        <w:t>, n</w:t>
      </w:r>
      <w:r w:rsidR="00BF4722" w:rsidRPr="009935E0">
        <w:rPr>
          <w:rFonts w:ascii="Times New Roman" w:eastAsia="Times New Roman" w:hAnsi="Times New Roman" w:cs="Times New Roman"/>
          <w:sz w:val="24"/>
          <w:szCs w:val="24"/>
          <w:lang w:eastAsia="pl-PL"/>
        </w:rPr>
        <w:t>ie przewiduje wprowadzenia rekompensaty, o której mowa w art. 5 ust. 4 dyrektywy</w:t>
      </w:r>
      <w:r w:rsidR="00403830" w:rsidRPr="009935E0">
        <w:rPr>
          <w:rFonts w:ascii="Times New Roman" w:eastAsia="Times New Roman" w:hAnsi="Times New Roman" w:cs="Times New Roman"/>
          <w:sz w:val="24"/>
          <w:szCs w:val="24"/>
          <w:lang w:eastAsia="pl-PL"/>
        </w:rPr>
        <w:t xml:space="preserve"> DSM</w:t>
      </w:r>
      <w:r w:rsidR="00BF4722" w:rsidRPr="009935E0">
        <w:rPr>
          <w:rFonts w:ascii="Times New Roman" w:eastAsia="Times New Roman" w:hAnsi="Times New Roman" w:cs="Times New Roman"/>
          <w:sz w:val="24"/>
          <w:szCs w:val="24"/>
          <w:lang w:eastAsia="pl-PL"/>
        </w:rPr>
        <w:t>.</w:t>
      </w:r>
      <w:r w:rsidR="009F5065" w:rsidRPr="009935E0">
        <w:rPr>
          <w:rFonts w:ascii="Times New Roman" w:eastAsia="Times New Roman" w:hAnsi="Times New Roman" w:cs="Times New Roman"/>
          <w:sz w:val="24"/>
          <w:szCs w:val="24"/>
          <w:lang w:eastAsia="pl-PL"/>
        </w:rPr>
        <w:t xml:space="preserve"> Jednakże, aby ułatwić korzystanie z tej formy dozwolonego użytku, </w:t>
      </w:r>
      <w:r w:rsidR="00BF40CC" w:rsidRPr="009935E0">
        <w:rPr>
          <w:rFonts w:ascii="Times New Roman" w:eastAsia="Times New Roman" w:hAnsi="Times New Roman" w:cs="Times New Roman"/>
          <w:sz w:val="24"/>
          <w:szCs w:val="24"/>
          <w:lang w:eastAsia="pl-PL"/>
        </w:rPr>
        <w:t xml:space="preserve">doprecyzowuje, że „fragment większego utworu” oznacza nie więcej niż 20% jego objętości (liczby stron, powierzchni itp.). </w:t>
      </w:r>
      <w:r w:rsidR="00A35A16" w:rsidRPr="009935E0">
        <w:rPr>
          <w:rFonts w:ascii="Times New Roman" w:eastAsia="Times New Roman" w:hAnsi="Times New Roman" w:cs="Times New Roman"/>
          <w:sz w:val="24"/>
          <w:szCs w:val="24"/>
          <w:lang w:eastAsia="pl-PL"/>
        </w:rPr>
        <w:t xml:space="preserve">Projektodawca przychylił się do stanowiska zainteresowanych środowisk, podnoszących, że zakres zwielokrotniania na potrzeby zilustrowania treści </w:t>
      </w:r>
      <w:r w:rsidR="00A35A16" w:rsidRPr="009935E0">
        <w:rPr>
          <w:rFonts w:ascii="Times New Roman" w:eastAsia="Times New Roman" w:hAnsi="Times New Roman" w:cs="Times New Roman"/>
          <w:sz w:val="24"/>
          <w:szCs w:val="24"/>
          <w:lang w:eastAsia="pl-PL"/>
        </w:rPr>
        <w:lastRenderedPageBreak/>
        <w:t xml:space="preserve">przekazywanych w celach dydaktycznych lub w celu prowadzenia działalności naukowej powinien zostać doprecyzowany przez wprowadzenie dla „fragmentów większych utworów” kryterium procentowego. Wprowadzenie, wzorem regulacji niemieckiej, wyraźnej zasady, że dozwolone korzystanie obejmuje określony procent publikacji, wydaje się stanowić optymalne rozwiązanie dla stosujących przepisy projektowanej ustawy, jednocześnie rozwiązanie to nie stanowi </w:t>
      </w:r>
      <w:proofErr w:type="spellStart"/>
      <w:r w:rsidR="00A35A16" w:rsidRPr="009935E0">
        <w:rPr>
          <w:rFonts w:ascii="Times New Roman" w:eastAsia="Times New Roman" w:hAnsi="Times New Roman" w:cs="Times New Roman"/>
          <w:sz w:val="24"/>
          <w:szCs w:val="24"/>
          <w:lang w:eastAsia="pl-PL"/>
        </w:rPr>
        <w:t>nadregulacji</w:t>
      </w:r>
      <w:proofErr w:type="spellEnd"/>
      <w:r w:rsidR="00A35A16" w:rsidRPr="009935E0">
        <w:rPr>
          <w:rFonts w:ascii="Times New Roman" w:eastAsia="Times New Roman" w:hAnsi="Times New Roman" w:cs="Times New Roman"/>
          <w:sz w:val="24"/>
          <w:szCs w:val="24"/>
          <w:lang w:eastAsia="pl-PL"/>
        </w:rPr>
        <w:t xml:space="preserve"> w stosunku do dyrektywy DSM. Kwestię możliwości definiowania fragmentu utworu na potrzeby omawianego wyjątku doprecyzowuje motyw 21 dyrektywy DSM, stanowiący, że: „Przy wdrażaniu wyjątku lub ograniczenia państwa członkowskie powinny mieć swobodę określania – w odniesieniu do poszczególnych rodzajów utworów lub innych przedmiotów objętych ochroną, w zrównoważony sposób – proporcji utworu lub innego przedmiotu objętego ochroną, z której można korzystać wyłącznie w celu zilustrowania w ramach nauczania.”.</w:t>
      </w:r>
      <w:r w:rsidR="00BF40CC" w:rsidRPr="009935E0">
        <w:rPr>
          <w:rFonts w:ascii="Times New Roman" w:eastAsia="Times New Roman" w:hAnsi="Times New Roman" w:cs="Times New Roman"/>
          <w:sz w:val="24"/>
          <w:szCs w:val="24"/>
          <w:lang w:eastAsia="pl-PL"/>
        </w:rPr>
        <w:t xml:space="preserve"> </w:t>
      </w:r>
      <w:r w:rsidR="00B05AED" w:rsidRPr="009935E0">
        <w:rPr>
          <w:rFonts w:ascii="Times New Roman" w:eastAsia="Times New Roman" w:hAnsi="Times New Roman" w:cs="Times New Roman"/>
          <w:sz w:val="24"/>
          <w:szCs w:val="24"/>
          <w:lang w:eastAsia="pl-PL"/>
        </w:rPr>
        <w:t xml:space="preserve">W dotychczasowej praktyce, popartej orzecznictwem i doktryną, od dawna </w:t>
      </w:r>
      <w:r w:rsidR="00576D94" w:rsidRPr="009935E0">
        <w:rPr>
          <w:rFonts w:ascii="Times New Roman" w:eastAsia="Times New Roman" w:hAnsi="Times New Roman" w:cs="Times New Roman"/>
          <w:sz w:val="24"/>
          <w:szCs w:val="24"/>
          <w:lang w:eastAsia="pl-PL"/>
        </w:rPr>
        <w:t xml:space="preserve">jest </w:t>
      </w:r>
      <w:r w:rsidR="00B05AED" w:rsidRPr="009935E0">
        <w:rPr>
          <w:rFonts w:ascii="Times New Roman" w:eastAsia="Times New Roman" w:hAnsi="Times New Roman" w:cs="Times New Roman"/>
          <w:sz w:val="24"/>
          <w:szCs w:val="24"/>
          <w:lang w:eastAsia="pl-PL"/>
        </w:rPr>
        <w:t xml:space="preserve">wypracowane stanowisko, że za drobny utwór należy uznać: utwór plastyczny, utwór fotograficzny, piosenkę, krótką etiudę muzyczną, wiersz, dialog, monolog, skecz etc. </w:t>
      </w:r>
      <w:r w:rsidR="00751715" w:rsidRPr="009935E0">
        <w:rPr>
          <w:rFonts w:ascii="Times New Roman" w:eastAsia="Times New Roman" w:hAnsi="Times New Roman" w:cs="Times New Roman"/>
          <w:sz w:val="24"/>
          <w:szCs w:val="24"/>
          <w:lang w:eastAsia="pl-PL"/>
        </w:rPr>
        <w:t>Uprawnione i</w:t>
      </w:r>
      <w:r w:rsidR="00B05AED" w:rsidRPr="009935E0">
        <w:rPr>
          <w:rFonts w:ascii="Times New Roman" w:eastAsia="Times New Roman" w:hAnsi="Times New Roman" w:cs="Times New Roman"/>
          <w:sz w:val="24"/>
          <w:szCs w:val="24"/>
          <w:lang w:eastAsia="pl-PL"/>
        </w:rPr>
        <w:t>nstytucje mogą zatem korzystać z dozwolonego użytku w powyższym zakresie, nie mog</w:t>
      </w:r>
      <w:r w:rsidR="00B05AED" w:rsidRPr="009935E0">
        <w:rPr>
          <w:rFonts w:ascii="Times New Roman" w:eastAsia="Times New Roman" w:hAnsi="Times New Roman" w:cs="Times New Roman" w:hint="eastAsia"/>
          <w:sz w:val="24"/>
          <w:szCs w:val="24"/>
          <w:lang w:eastAsia="pl-PL"/>
        </w:rPr>
        <w:t>ą</w:t>
      </w:r>
      <w:r w:rsidR="00B05AED" w:rsidRPr="009935E0">
        <w:rPr>
          <w:rFonts w:ascii="Times New Roman" w:eastAsia="Times New Roman" w:hAnsi="Times New Roman" w:cs="Times New Roman"/>
          <w:sz w:val="24"/>
          <w:szCs w:val="24"/>
          <w:lang w:eastAsia="pl-PL"/>
        </w:rPr>
        <w:t xml:space="preserve"> natomiast zwielokrotnia</w:t>
      </w:r>
      <w:r w:rsidR="00B05AED" w:rsidRPr="009935E0">
        <w:rPr>
          <w:rFonts w:ascii="Times New Roman" w:eastAsia="Times New Roman" w:hAnsi="Times New Roman" w:cs="Times New Roman" w:hint="eastAsia"/>
          <w:sz w:val="24"/>
          <w:szCs w:val="24"/>
          <w:lang w:eastAsia="pl-PL"/>
        </w:rPr>
        <w:t>ć</w:t>
      </w:r>
      <w:r w:rsidR="00B05AED" w:rsidRPr="009935E0">
        <w:rPr>
          <w:rFonts w:ascii="Times New Roman" w:eastAsia="Times New Roman" w:hAnsi="Times New Roman" w:cs="Times New Roman"/>
          <w:sz w:val="24"/>
          <w:szCs w:val="24"/>
          <w:lang w:eastAsia="pl-PL"/>
        </w:rPr>
        <w:t xml:space="preserve"> ca</w:t>
      </w:r>
      <w:r w:rsidR="00B05AED" w:rsidRPr="009935E0">
        <w:rPr>
          <w:rFonts w:ascii="Times New Roman" w:eastAsia="Times New Roman" w:hAnsi="Times New Roman" w:cs="Times New Roman" w:hint="eastAsia"/>
          <w:sz w:val="24"/>
          <w:szCs w:val="24"/>
          <w:lang w:eastAsia="pl-PL"/>
        </w:rPr>
        <w:t>ł</w:t>
      </w:r>
      <w:r w:rsidR="00B05AED" w:rsidRPr="009935E0">
        <w:rPr>
          <w:rFonts w:ascii="Times New Roman" w:eastAsia="Times New Roman" w:hAnsi="Times New Roman" w:cs="Times New Roman"/>
          <w:sz w:val="24"/>
          <w:szCs w:val="24"/>
          <w:lang w:eastAsia="pl-PL"/>
        </w:rPr>
        <w:t>ych ksi</w:t>
      </w:r>
      <w:r w:rsidR="00B05AED" w:rsidRPr="009935E0">
        <w:rPr>
          <w:rFonts w:ascii="Times New Roman" w:eastAsia="Times New Roman" w:hAnsi="Times New Roman" w:cs="Times New Roman" w:hint="eastAsia"/>
          <w:sz w:val="24"/>
          <w:szCs w:val="24"/>
          <w:lang w:eastAsia="pl-PL"/>
        </w:rPr>
        <w:t>ąż</w:t>
      </w:r>
      <w:r w:rsidR="00B05AED" w:rsidRPr="009935E0">
        <w:rPr>
          <w:rFonts w:ascii="Times New Roman" w:eastAsia="Times New Roman" w:hAnsi="Times New Roman" w:cs="Times New Roman"/>
          <w:sz w:val="24"/>
          <w:szCs w:val="24"/>
          <w:lang w:eastAsia="pl-PL"/>
        </w:rPr>
        <w:t>ek lub podr</w:t>
      </w:r>
      <w:r w:rsidR="00B05AED" w:rsidRPr="009935E0">
        <w:rPr>
          <w:rFonts w:ascii="Times New Roman" w:eastAsia="Times New Roman" w:hAnsi="Times New Roman" w:cs="Times New Roman" w:hint="eastAsia"/>
          <w:sz w:val="24"/>
          <w:szCs w:val="24"/>
          <w:lang w:eastAsia="pl-PL"/>
        </w:rPr>
        <w:t>ę</w:t>
      </w:r>
      <w:r w:rsidR="00B05AED" w:rsidRPr="009935E0">
        <w:rPr>
          <w:rFonts w:ascii="Times New Roman" w:eastAsia="Times New Roman" w:hAnsi="Times New Roman" w:cs="Times New Roman"/>
          <w:sz w:val="24"/>
          <w:szCs w:val="24"/>
          <w:lang w:eastAsia="pl-PL"/>
        </w:rPr>
        <w:t>czników naukowych.</w:t>
      </w:r>
    </w:p>
    <w:p w14:paraId="3245406E" w14:textId="4C74CC49" w:rsidR="00BF4722" w:rsidRPr="009935E0" w:rsidRDefault="00BF4722" w:rsidP="00483092">
      <w:pPr>
        <w:pStyle w:val="Akapitzlist"/>
        <w:numPr>
          <w:ilvl w:val="1"/>
          <w:numId w:val="6"/>
        </w:numPr>
        <w:tabs>
          <w:tab w:val="left" w:pos="426"/>
        </w:tabs>
        <w:spacing w:before="120" w:after="0" w:line="360" w:lineRule="auto"/>
        <w:ind w:left="0" w:firstLine="0"/>
        <w:jc w:val="both"/>
        <w:rPr>
          <w:rFonts w:ascii="Times New Roman" w:eastAsia="Times New Roman" w:hAnsi="Times New Roman" w:cs="Times New Roman"/>
          <w:b/>
          <w:sz w:val="24"/>
          <w:szCs w:val="24"/>
          <w:lang w:eastAsia="pl-PL"/>
        </w:rPr>
      </w:pPr>
      <w:r w:rsidRPr="009935E0">
        <w:rPr>
          <w:rFonts w:ascii="Times New Roman" w:eastAsia="Times New Roman" w:hAnsi="Times New Roman" w:cs="Times New Roman"/>
          <w:b/>
          <w:sz w:val="24"/>
          <w:szCs w:val="24"/>
          <w:lang w:eastAsia="pl-PL"/>
        </w:rPr>
        <w:t>Dozwolony użytek na potrzeby zachowania zbiorów</w:t>
      </w:r>
      <w:r w:rsidR="00A940F3" w:rsidRPr="009935E0">
        <w:rPr>
          <w:rFonts w:ascii="Times New Roman" w:eastAsia="Times New Roman" w:hAnsi="Times New Roman" w:cs="Times New Roman"/>
          <w:b/>
          <w:sz w:val="24"/>
          <w:szCs w:val="24"/>
          <w:lang w:eastAsia="pl-PL"/>
        </w:rPr>
        <w:t xml:space="preserve"> (art. 6 dyrektywy)</w:t>
      </w:r>
    </w:p>
    <w:p w14:paraId="25C58791" w14:textId="7E7A6AE8" w:rsidR="009600B4"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Art. 6 dyrektywy DSM zezwala instytucjom dziedzictwa kulturowego na wykonywanie kopii utworów i przedmiotów praw pokrewnych</w:t>
      </w:r>
      <w:r w:rsidR="00506C18" w:rsidRPr="009935E0">
        <w:rPr>
          <w:rFonts w:ascii="Times New Roman" w:eastAsia="Times New Roman" w:hAnsi="Times New Roman" w:cs="Times New Roman"/>
          <w:sz w:val="24"/>
          <w:szCs w:val="24"/>
          <w:lang w:eastAsia="pl-PL"/>
        </w:rPr>
        <w:t xml:space="preserve"> znajdujących się na stałe w </w:t>
      </w:r>
      <w:r w:rsidRPr="009935E0">
        <w:rPr>
          <w:rFonts w:ascii="Times New Roman" w:eastAsia="Times New Roman" w:hAnsi="Times New Roman" w:cs="Times New Roman"/>
          <w:sz w:val="24"/>
          <w:szCs w:val="24"/>
          <w:lang w:eastAsia="pl-PL"/>
        </w:rPr>
        <w:t>zbiorach tych instytucji, w celu ich zachowania i w zakresie potrzebnym do tego zachowania.</w:t>
      </w:r>
      <w:r w:rsidR="00531D17" w:rsidRPr="009935E0">
        <w:rPr>
          <w:rFonts w:ascii="Times New Roman" w:eastAsia="Times New Roman" w:hAnsi="Times New Roman" w:cs="Times New Roman"/>
          <w:sz w:val="24"/>
          <w:szCs w:val="24"/>
          <w:lang w:eastAsia="pl-PL"/>
        </w:rPr>
        <w:t xml:space="preserve"> </w:t>
      </w:r>
      <w:r w:rsidR="000C491B" w:rsidRPr="009935E0">
        <w:rPr>
          <w:rFonts w:ascii="Times New Roman" w:eastAsia="Times New Roman" w:hAnsi="Times New Roman" w:cs="Times New Roman"/>
          <w:sz w:val="24"/>
          <w:szCs w:val="24"/>
          <w:lang w:eastAsia="pl-PL"/>
        </w:rPr>
        <w:t>Zmiany wynikające z art.</w:t>
      </w:r>
      <w:r w:rsidR="004F2E2B">
        <w:rPr>
          <w:rFonts w:ascii="Times New Roman" w:eastAsia="Times New Roman" w:hAnsi="Times New Roman" w:cs="Times New Roman"/>
          <w:sz w:val="24"/>
          <w:szCs w:val="24"/>
          <w:lang w:eastAsia="pl-PL"/>
        </w:rPr>
        <w:t> </w:t>
      </w:r>
      <w:r w:rsidR="000C491B" w:rsidRPr="009935E0">
        <w:rPr>
          <w:rFonts w:ascii="Times New Roman" w:eastAsia="Times New Roman" w:hAnsi="Times New Roman" w:cs="Times New Roman"/>
          <w:sz w:val="24"/>
          <w:szCs w:val="24"/>
          <w:lang w:eastAsia="pl-PL"/>
        </w:rPr>
        <w:t xml:space="preserve">6 dyrektywy DSM </w:t>
      </w:r>
      <w:r w:rsidR="00530E6F" w:rsidRPr="009935E0">
        <w:rPr>
          <w:rFonts w:ascii="Times New Roman" w:eastAsia="Times New Roman" w:hAnsi="Times New Roman" w:cs="Times New Roman"/>
          <w:sz w:val="24"/>
          <w:szCs w:val="24"/>
          <w:lang w:eastAsia="pl-PL"/>
        </w:rPr>
        <w:t xml:space="preserve">są </w:t>
      </w:r>
      <w:r w:rsidR="000C491B" w:rsidRPr="009935E0">
        <w:rPr>
          <w:rFonts w:ascii="Times New Roman" w:eastAsia="Times New Roman" w:hAnsi="Times New Roman" w:cs="Times New Roman"/>
          <w:sz w:val="24"/>
          <w:szCs w:val="24"/>
          <w:lang w:eastAsia="pl-PL"/>
        </w:rPr>
        <w:t xml:space="preserve">wprowadzone do art. 28 jedynie w takim zakresie, w jakim nie pokrywają się z uregulowaniami wynikającymi z dyrektywy 2001/29. </w:t>
      </w:r>
      <w:r w:rsidR="00531D17" w:rsidRPr="009935E0">
        <w:rPr>
          <w:rFonts w:ascii="Times New Roman" w:eastAsia="Times New Roman" w:hAnsi="Times New Roman" w:cs="Times New Roman"/>
          <w:sz w:val="24"/>
          <w:szCs w:val="24"/>
          <w:lang w:eastAsia="pl-PL"/>
        </w:rPr>
        <w:t>O</w:t>
      </w:r>
      <w:r w:rsidR="009600B4" w:rsidRPr="009935E0">
        <w:rPr>
          <w:rFonts w:ascii="Times New Roman" w:eastAsia="Times New Roman" w:hAnsi="Times New Roman" w:cs="Times New Roman"/>
          <w:sz w:val="24"/>
          <w:szCs w:val="24"/>
          <w:lang w:eastAsia="pl-PL"/>
        </w:rPr>
        <w:t xml:space="preserve">dpowiednikiem tego przepisu jest obecnie obowiązujący art. 28 ust. 1 pkt 2 ustawy o prawie autorskim, który stanowi, że wymienione w nim podmioty mogą „zwielokrotniać utwory znajdujące się we własnych zbiorach w celu uzupełnienia, zachowania lub ochrony tych zbiorów” – </w:t>
      </w:r>
      <w:r w:rsidR="001473DB" w:rsidRPr="009935E0">
        <w:rPr>
          <w:rFonts w:ascii="Times New Roman" w:eastAsia="Times New Roman" w:hAnsi="Times New Roman" w:cs="Times New Roman"/>
          <w:sz w:val="24"/>
          <w:szCs w:val="24"/>
          <w:lang w:eastAsia="pl-PL"/>
        </w:rPr>
        <w:t xml:space="preserve">został </w:t>
      </w:r>
      <w:r w:rsidR="009600B4" w:rsidRPr="009935E0">
        <w:rPr>
          <w:rFonts w:ascii="Times New Roman" w:eastAsia="Times New Roman" w:hAnsi="Times New Roman" w:cs="Times New Roman"/>
          <w:sz w:val="24"/>
          <w:szCs w:val="24"/>
          <w:lang w:eastAsia="pl-PL"/>
        </w:rPr>
        <w:t xml:space="preserve">on </w:t>
      </w:r>
      <w:r w:rsidR="001473DB" w:rsidRPr="009935E0">
        <w:rPr>
          <w:rFonts w:ascii="Times New Roman" w:eastAsia="Times New Roman" w:hAnsi="Times New Roman" w:cs="Times New Roman"/>
          <w:sz w:val="24"/>
          <w:szCs w:val="24"/>
          <w:lang w:eastAsia="pl-PL"/>
        </w:rPr>
        <w:t xml:space="preserve">wprowadzony w ramach </w:t>
      </w:r>
      <w:r w:rsidR="003A1807" w:rsidRPr="009935E0">
        <w:rPr>
          <w:rFonts w:ascii="Times New Roman" w:eastAsia="Times New Roman" w:hAnsi="Times New Roman" w:cs="Times New Roman"/>
          <w:sz w:val="24"/>
          <w:szCs w:val="24"/>
          <w:lang w:eastAsia="pl-PL"/>
        </w:rPr>
        <w:t xml:space="preserve">fakultatywnego </w:t>
      </w:r>
      <w:r w:rsidR="009600B4" w:rsidRPr="009935E0">
        <w:rPr>
          <w:rFonts w:ascii="Times New Roman" w:eastAsia="Times New Roman" w:hAnsi="Times New Roman" w:cs="Times New Roman"/>
          <w:sz w:val="24"/>
          <w:szCs w:val="24"/>
          <w:lang w:eastAsia="pl-PL"/>
        </w:rPr>
        <w:t>wdrożeni</w:t>
      </w:r>
      <w:r w:rsidR="001473DB" w:rsidRPr="009935E0">
        <w:rPr>
          <w:rFonts w:ascii="Times New Roman" w:eastAsia="Times New Roman" w:hAnsi="Times New Roman" w:cs="Times New Roman"/>
          <w:sz w:val="24"/>
          <w:szCs w:val="24"/>
          <w:lang w:eastAsia="pl-PL"/>
        </w:rPr>
        <w:t xml:space="preserve">a </w:t>
      </w:r>
      <w:r w:rsidR="00A3137D" w:rsidRPr="009935E0">
        <w:rPr>
          <w:rFonts w:ascii="Times New Roman" w:eastAsia="Times New Roman" w:hAnsi="Times New Roman" w:cs="Times New Roman"/>
          <w:sz w:val="24"/>
          <w:szCs w:val="24"/>
          <w:lang w:eastAsia="pl-PL"/>
        </w:rPr>
        <w:t>przepisu</w:t>
      </w:r>
      <w:r w:rsidR="009600B4" w:rsidRPr="009935E0">
        <w:rPr>
          <w:rFonts w:ascii="Times New Roman" w:eastAsia="Times New Roman" w:hAnsi="Times New Roman" w:cs="Times New Roman"/>
          <w:sz w:val="24"/>
          <w:szCs w:val="24"/>
          <w:lang w:eastAsia="pl-PL"/>
        </w:rPr>
        <w:t xml:space="preserve"> art. 5 ust. 2 lit. c dyrektywy 2001/29/WE</w:t>
      </w:r>
      <w:r w:rsidR="00531D17" w:rsidRPr="009935E0">
        <w:rPr>
          <w:rFonts w:ascii="Times New Roman" w:eastAsia="Times New Roman" w:hAnsi="Times New Roman" w:cs="Times New Roman"/>
          <w:sz w:val="24"/>
          <w:szCs w:val="24"/>
          <w:lang w:eastAsia="pl-PL"/>
        </w:rPr>
        <w:t>.</w:t>
      </w:r>
      <w:r w:rsidR="0006455B" w:rsidRPr="009935E0">
        <w:rPr>
          <w:rFonts w:ascii="Times New Roman" w:eastAsia="Times New Roman" w:hAnsi="Times New Roman" w:cs="Times New Roman"/>
          <w:sz w:val="24"/>
          <w:szCs w:val="24"/>
          <w:lang w:eastAsia="pl-PL"/>
        </w:rPr>
        <w:t xml:space="preserve"> Z kolei </w:t>
      </w:r>
      <w:r w:rsidR="009D03A8" w:rsidRPr="009935E0">
        <w:rPr>
          <w:rFonts w:ascii="Times New Roman" w:eastAsia="Times New Roman" w:hAnsi="Times New Roman" w:cs="Times New Roman"/>
          <w:sz w:val="24"/>
          <w:szCs w:val="24"/>
          <w:lang w:eastAsia="pl-PL"/>
        </w:rPr>
        <w:t xml:space="preserve">obowiązujący art. 28 ust. 1 </w:t>
      </w:r>
      <w:r w:rsidR="0006455B" w:rsidRPr="009935E0">
        <w:rPr>
          <w:rFonts w:ascii="Times New Roman" w:eastAsia="Times New Roman" w:hAnsi="Times New Roman" w:cs="Times New Roman"/>
          <w:sz w:val="24"/>
          <w:szCs w:val="24"/>
          <w:lang w:eastAsia="pl-PL"/>
        </w:rPr>
        <w:t>w</w:t>
      </w:r>
      <w:r w:rsidR="00A3137D" w:rsidRPr="009935E0">
        <w:rPr>
          <w:rFonts w:ascii="Times New Roman" w:eastAsia="Times New Roman" w:hAnsi="Times New Roman" w:cs="Times New Roman"/>
          <w:sz w:val="24"/>
          <w:szCs w:val="24"/>
          <w:lang w:eastAsia="pl-PL"/>
        </w:rPr>
        <w:t xml:space="preserve"> zakresie</w:t>
      </w:r>
      <w:r w:rsidR="0006455B" w:rsidRPr="009935E0">
        <w:rPr>
          <w:rFonts w:ascii="Times New Roman" w:eastAsia="Times New Roman" w:hAnsi="Times New Roman" w:cs="Times New Roman"/>
          <w:sz w:val="24"/>
          <w:szCs w:val="24"/>
          <w:lang w:eastAsia="pl-PL"/>
        </w:rPr>
        <w:t xml:space="preserve"> pkt 3</w:t>
      </w:r>
      <w:r w:rsidR="00D72404" w:rsidRPr="009935E0">
        <w:rPr>
          <w:rFonts w:ascii="Times New Roman" w:eastAsia="Times New Roman" w:hAnsi="Times New Roman" w:cs="Times New Roman"/>
          <w:sz w:val="24"/>
          <w:szCs w:val="24"/>
          <w:lang w:eastAsia="pl-PL"/>
        </w:rPr>
        <w:t xml:space="preserve"> (udostępnianie zbiorów dla celów badawczych lub poznawczych za pośrednictwem końcówek systemu informatycznego (terminali))</w:t>
      </w:r>
      <w:r w:rsidR="0006455B" w:rsidRPr="009935E0">
        <w:rPr>
          <w:rFonts w:ascii="Times New Roman" w:eastAsia="Times New Roman" w:hAnsi="Times New Roman" w:cs="Times New Roman"/>
          <w:sz w:val="24"/>
          <w:szCs w:val="24"/>
          <w:lang w:eastAsia="pl-PL"/>
        </w:rPr>
        <w:t xml:space="preserve"> realizuje postanowienia art. 5 ust. 3 lit. n ww. dyrektywy. </w:t>
      </w:r>
      <w:r w:rsidR="006314EC" w:rsidRPr="009935E0">
        <w:rPr>
          <w:rFonts w:ascii="Times New Roman" w:eastAsia="Times New Roman" w:hAnsi="Times New Roman" w:cs="Times New Roman"/>
          <w:sz w:val="24"/>
          <w:szCs w:val="24"/>
          <w:lang w:eastAsia="pl-PL"/>
        </w:rPr>
        <w:t>N</w:t>
      </w:r>
      <w:r w:rsidR="0006455B" w:rsidRPr="009935E0">
        <w:rPr>
          <w:rFonts w:ascii="Times New Roman" w:eastAsia="Times New Roman" w:hAnsi="Times New Roman" w:cs="Times New Roman"/>
          <w:sz w:val="24"/>
          <w:szCs w:val="24"/>
          <w:lang w:eastAsia="pl-PL"/>
        </w:rPr>
        <w:t xml:space="preserve">atomiast w pkt 1 </w:t>
      </w:r>
      <w:r w:rsidR="003A1807" w:rsidRPr="009935E0">
        <w:rPr>
          <w:rFonts w:ascii="Times New Roman" w:eastAsia="Times New Roman" w:hAnsi="Times New Roman" w:cs="Times New Roman"/>
          <w:sz w:val="24"/>
          <w:szCs w:val="24"/>
          <w:lang w:eastAsia="pl-PL"/>
        </w:rPr>
        <w:t xml:space="preserve">tego przepisu </w:t>
      </w:r>
      <w:r w:rsidR="0006455B" w:rsidRPr="009935E0">
        <w:rPr>
          <w:rFonts w:ascii="Times New Roman" w:eastAsia="Times New Roman" w:hAnsi="Times New Roman" w:cs="Times New Roman"/>
          <w:sz w:val="24"/>
          <w:szCs w:val="24"/>
          <w:lang w:eastAsia="pl-PL"/>
        </w:rPr>
        <w:t xml:space="preserve">został ustanowiony wyjątek od tzw. prawa użyczania </w:t>
      </w:r>
      <w:r w:rsidR="006314EC" w:rsidRPr="009935E0">
        <w:rPr>
          <w:rFonts w:ascii="Times New Roman" w:eastAsia="Times New Roman" w:hAnsi="Times New Roman" w:cs="Times New Roman"/>
          <w:sz w:val="24"/>
          <w:szCs w:val="24"/>
          <w:lang w:eastAsia="pl-PL"/>
        </w:rPr>
        <w:t xml:space="preserve">wynikający z art. </w:t>
      </w:r>
      <w:r w:rsidR="00330977" w:rsidRPr="009935E0">
        <w:rPr>
          <w:rFonts w:ascii="Times New Roman" w:eastAsia="Times New Roman" w:hAnsi="Times New Roman" w:cs="Times New Roman"/>
          <w:sz w:val="24"/>
          <w:szCs w:val="24"/>
          <w:lang w:eastAsia="pl-PL"/>
        </w:rPr>
        <w:t>6</w:t>
      </w:r>
      <w:r w:rsidR="006314EC" w:rsidRPr="009935E0">
        <w:rPr>
          <w:rFonts w:ascii="Times New Roman" w:eastAsia="Times New Roman" w:hAnsi="Times New Roman" w:cs="Times New Roman"/>
          <w:sz w:val="24"/>
          <w:szCs w:val="24"/>
          <w:lang w:eastAsia="pl-PL"/>
        </w:rPr>
        <w:t xml:space="preserve"> ust. 1 </w:t>
      </w:r>
      <w:r w:rsidR="0006455B" w:rsidRPr="009935E0">
        <w:rPr>
          <w:rFonts w:ascii="Times New Roman" w:eastAsia="Times New Roman" w:hAnsi="Times New Roman" w:cs="Times New Roman"/>
          <w:sz w:val="24"/>
          <w:szCs w:val="24"/>
          <w:lang w:eastAsia="pl-PL"/>
        </w:rPr>
        <w:t>dyrektyw</w:t>
      </w:r>
      <w:r w:rsidR="006314EC" w:rsidRPr="009935E0">
        <w:rPr>
          <w:rFonts w:ascii="Times New Roman" w:eastAsia="Times New Roman" w:hAnsi="Times New Roman" w:cs="Times New Roman"/>
          <w:sz w:val="24"/>
          <w:szCs w:val="24"/>
          <w:lang w:eastAsia="pl-PL"/>
        </w:rPr>
        <w:t>y</w:t>
      </w:r>
      <w:r w:rsidR="0006455B" w:rsidRPr="009935E0">
        <w:rPr>
          <w:rFonts w:ascii="Times New Roman" w:eastAsia="Times New Roman" w:hAnsi="Times New Roman" w:cs="Times New Roman"/>
          <w:sz w:val="24"/>
          <w:szCs w:val="24"/>
          <w:lang w:eastAsia="pl-PL"/>
        </w:rPr>
        <w:t xml:space="preserve"> 2006/115/WE</w:t>
      </w:r>
      <w:r w:rsidR="001842AA" w:rsidRPr="009935E0">
        <w:rPr>
          <w:rFonts w:ascii="Times New Roman" w:eastAsia="Times New Roman" w:hAnsi="Times New Roman" w:cs="Times New Roman"/>
          <w:sz w:val="24"/>
          <w:szCs w:val="24"/>
          <w:lang w:eastAsia="pl-PL"/>
        </w:rPr>
        <w:t>.</w:t>
      </w:r>
    </w:p>
    <w:p w14:paraId="25EE83B8" w14:textId="78D545C3" w:rsidR="00BF4722" w:rsidRPr="009935E0" w:rsidRDefault="00330977"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Obowiązujący p</w:t>
      </w:r>
      <w:r w:rsidR="00637556" w:rsidRPr="009935E0">
        <w:rPr>
          <w:rFonts w:ascii="Times New Roman" w:eastAsia="Times New Roman" w:hAnsi="Times New Roman" w:cs="Times New Roman"/>
          <w:sz w:val="24"/>
          <w:szCs w:val="24"/>
          <w:lang w:eastAsia="pl-PL"/>
        </w:rPr>
        <w:t xml:space="preserve">rzepis </w:t>
      </w:r>
      <w:r w:rsidRPr="009935E0">
        <w:rPr>
          <w:rFonts w:ascii="Times New Roman" w:eastAsia="Times New Roman" w:hAnsi="Times New Roman" w:cs="Times New Roman"/>
          <w:sz w:val="24"/>
          <w:szCs w:val="24"/>
          <w:lang w:eastAsia="pl-PL"/>
        </w:rPr>
        <w:t>art. 28</w:t>
      </w:r>
      <w:r w:rsidR="00637556"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 xml:space="preserve">ustawy o prawie autorskim </w:t>
      </w:r>
      <w:r w:rsidR="00BF4722" w:rsidRPr="009935E0">
        <w:rPr>
          <w:rFonts w:ascii="Times New Roman" w:eastAsia="Times New Roman" w:hAnsi="Times New Roman" w:cs="Times New Roman"/>
          <w:sz w:val="24"/>
          <w:szCs w:val="24"/>
          <w:lang w:eastAsia="pl-PL"/>
        </w:rPr>
        <w:t xml:space="preserve">wśród beneficjentów wymienia instytucje oświatowe, uczelnie, instytuty badawcze prowadzące działalność, o której mowa w </w:t>
      </w:r>
      <w:r w:rsidR="00BF4722" w:rsidRPr="009935E0">
        <w:rPr>
          <w:rFonts w:ascii="Times New Roman" w:eastAsia="Times New Roman" w:hAnsi="Times New Roman" w:cs="Times New Roman"/>
          <w:sz w:val="24"/>
          <w:szCs w:val="24"/>
          <w:lang w:eastAsia="pl-PL"/>
        </w:rPr>
        <w:lastRenderedPageBreak/>
        <w:t>art. 2 ust. 3 ustawy z dnia 30 kwietnia 2010 r. o instytutach badawczych (Dz.</w:t>
      </w:r>
      <w:r w:rsidR="00475FDF" w:rsidRPr="009935E0">
        <w:rPr>
          <w:rFonts w:ascii="Times New Roman" w:eastAsia="Times New Roman" w:hAnsi="Times New Roman" w:cs="Times New Roman"/>
          <w:sz w:val="24"/>
          <w:szCs w:val="24"/>
          <w:lang w:eastAsia="pl-PL"/>
        </w:rPr>
        <w:t xml:space="preserve"> </w:t>
      </w:r>
      <w:r w:rsidR="00BF4722" w:rsidRPr="009935E0">
        <w:rPr>
          <w:rFonts w:ascii="Times New Roman" w:eastAsia="Times New Roman" w:hAnsi="Times New Roman" w:cs="Times New Roman"/>
          <w:sz w:val="24"/>
          <w:szCs w:val="24"/>
          <w:lang w:eastAsia="pl-PL"/>
        </w:rPr>
        <w:t xml:space="preserve">U. z </w:t>
      </w:r>
      <w:r w:rsidR="00543FE4" w:rsidRPr="009935E0">
        <w:rPr>
          <w:rFonts w:ascii="Times New Roman" w:eastAsia="Times New Roman" w:hAnsi="Times New Roman" w:cs="Times New Roman"/>
          <w:sz w:val="24"/>
          <w:szCs w:val="24"/>
          <w:lang w:eastAsia="pl-PL"/>
        </w:rPr>
        <w:t xml:space="preserve">2024 </w:t>
      </w:r>
      <w:r w:rsidR="00BF4722" w:rsidRPr="009935E0">
        <w:rPr>
          <w:rFonts w:ascii="Times New Roman" w:eastAsia="Times New Roman" w:hAnsi="Times New Roman" w:cs="Times New Roman"/>
          <w:sz w:val="24"/>
          <w:szCs w:val="24"/>
          <w:lang w:eastAsia="pl-PL"/>
        </w:rPr>
        <w:t xml:space="preserve">r. poz. </w:t>
      </w:r>
      <w:r w:rsidR="00543FE4" w:rsidRPr="009935E0">
        <w:rPr>
          <w:rFonts w:ascii="Times New Roman" w:eastAsia="Times New Roman" w:hAnsi="Times New Roman" w:cs="Times New Roman"/>
          <w:sz w:val="24"/>
          <w:szCs w:val="24"/>
          <w:lang w:eastAsia="pl-PL"/>
        </w:rPr>
        <w:t>534</w:t>
      </w:r>
      <w:r w:rsidR="00BF4722" w:rsidRPr="009935E0">
        <w:rPr>
          <w:rFonts w:ascii="Times New Roman" w:eastAsia="Times New Roman" w:hAnsi="Times New Roman" w:cs="Times New Roman"/>
          <w:sz w:val="24"/>
          <w:szCs w:val="24"/>
          <w:lang w:eastAsia="pl-PL"/>
        </w:rPr>
        <w:t>), instytuty naukowe Polskiej Akademii Nauk prowadzące działalność, o której mowa w art. 50 ust. 4 ustawy</w:t>
      </w:r>
      <w:r w:rsidR="0085025A" w:rsidRPr="009935E0">
        <w:rPr>
          <w:rFonts w:ascii="Times New Roman" w:eastAsia="Times New Roman" w:hAnsi="Times New Roman" w:cs="Times New Roman"/>
          <w:sz w:val="24"/>
          <w:szCs w:val="24"/>
          <w:lang w:eastAsia="pl-PL"/>
        </w:rPr>
        <w:t xml:space="preserve"> </w:t>
      </w:r>
      <w:r w:rsidR="00BF4722" w:rsidRPr="009935E0">
        <w:rPr>
          <w:rFonts w:ascii="Times New Roman" w:eastAsia="Times New Roman" w:hAnsi="Times New Roman" w:cs="Times New Roman"/>
          <w:sz w:val="24"/>
          <w:szCs w:val="24"/>
          <w:lang w:eastAsia="pl-PL"/>
        </w:rPr>
        <w:t>z dnia 30 kwietnia 2010 r. o Polskiej Akademii Nauk (Dz.</w:t>
      </w:r>
      <w:r w:rsidR="00543FE4" w:rsidRPr="009935E0">
        <w:rPr>
          <w:rFonts w:ascii="Times New Roman" w:eastAsia="Times New Roman" w:hAnsi="Times New Roman" w:cs="Times New Roman"/>
          <w:sz w:val="24"/>
          <w:szCs w:val="24"/>
          <w:lang w:eastAsia="pl-PL"/>
        </w:rPr>
        <w:t xml:space="preserve"> </w:t>
      </w:r>
      <w:r w:rsidR="00BF4722" w:rsidRPr="009935E0">
        <w:rPr>
          <w:rFonts w:ascii="Times New Roman" w:eastAsia="Times New Roman" w:hAnsi="Times New Roman" w:cs="Times New Roman"/>
          <w:sz w:val="24"/>
          <w:szCs w:val="24"/>
          <w:lang w:eastAsia="pl-PL"/>
        </w:rPr>
        <w:t xml:space="preserve">U. z 2020 r. poz. 1796), biblioteki, muzea oraz archiwa. </w:t>
      </w:r>
      <w:r w:rsidR="000D7C3B" w:rsidRPr="009935E0">
        <w:rPr>
          <w:rFonts w:ascii="Times New Roman" w:eastAsia="Times New Roman" w:hAnsi="Times New Roman" w:cs="Times New Roman"/>
          <w:sz w:val="24"/>
          <w:szCs w:val="24"/>
          <w:lang w:eastAsia="pl-PL"/>
        </w:rPr>
        <w:t>T</w:t>
      </w:r>
      <w:r w:rsidR="004F7BF9" w:rsidRPr="009935E0">
        <w:rPr>
          <w:rFonts w:ascii="Times New Roman" w:eastAsia="Times New Roman" w:hAnsi="Times New Roman" w:cs="Times New Roman"/>
          <w:sz w:val="24"/>
          <w:szCs w:val="24"/>
          <w:lang w:eastAsia="pl-PL"/>
        </w:rPr>
        <w:t>aki</w:t>
      </w:r>
      <w:r w:rsidR="000D7C3B" w:rsidRPr="009935E0">
        <w:rPr>
          <w:rFonts w:ascii="Times New Roman" w:eastAsia="Times New Roman" w:hAnsi="Times New Roman" w:cs="Times New Roman"/>
          <w:sz w:val="24"/>
          <w:szCs w:val="24"/>
          <w:lang w:eastAsia="pl-PL"/>
        </w:rPr>
        <w:t xml:space="preserve"> zakres podmiot</w:t>
      </w:r>
      <w:r w:rsidR="00BF044E" w:rsidRPr="009935E0">
        <w:rPr>
          <w:rFonts w:ascii="Times New Roman" w:eastAsia="Times New Roman" w:hAnsi="Times New Roman" w:cs="Times New Roman"/>
          <w:sz w:val="24"/>
          <w:szCs w:val="24"/>
          <w:lang w:eastAsia="pl-PL"/>
        </w:rPr>
        <w:t>owy</w:t>
      </w:r>
      <w:r w:rsidR="000D7C3B" w:rsidRPr="009935E0">
        <w:rPr>
          <w:rFonts w:ascii="Times New Roman" w:eastAsia="Times New Roman" w:hAnsi="Times New Roman" w:cs="Times New Roman"/>
          <w:sz w:val="24"/>
          <w:szCs w:val="24"/>
          <w:lang w:eastAsia="pl-PL"/>
        </w:rPr>
        <w:t xml:space="preserve"> wynika z </w:t>
      </w:r>
      <w:r w:rsidR="00403830" w:rsidRPr="009935E0">
        <w:rPr>
          <w:rFonts w:ascii="Times New Roman" w:eastAsia="Times New Roman" w:hAnsi="Times New Roman" w:cs="Times New Roman"/>
          <w:sz w:val="24"/>
          <w:szCs w:val="24"/>
          <w:lang w:eastAsia="pl-PL"/>
        </w:rPr>
        <w:t>przywołanych</w:t>
      </w:r>
      <w:r w:rsidR="000D7C3B" w:rsidRPr="009935E0">
        <w:rPr>
          <w:rFonts w:ascii="Times New Roman" w:eastAsia="Times New Roman" w:hAnsi="Times New Roman" w:cs="Times New Roman"/>
          <w:sz w:val="24"/>
          <w:szCs w:val="24"/>
          <w:lang w:eastAsia="pl-PL"/>
        </w:rPr>
        <w:t xml:space="preserve"> przepisów dyrektywy 2001/29/WE. </w:t>
      </w:r>
      <w:r w:rsidR="00637556" w:rsidRPr="009935E0">
        <w:rPr>
          <w:rFonts w:ascii="Times New Roman" w:eastAsia="Times New Roman" w:hAnsi="Times New Roman" w:cs="Times New Roman"/>
          <w:sz w:val="24"/>
          <w:szCs w:val="24"/>
          <w:lang w:eastAsia="pl-PL"/>
        </w:rPr>
        <w:t>Z kolei przepis a</w:t>
      </w:r>
      <w:r w:rsidR="00BF4722" w:rsidRPr="009935E0">
        <w:rPr>
          <w:rFonts w:ascii="Times New Roman" w:eastAsia="Times New Roman" w:hAnsi="Times New Roman" w:cs="Times New Roman"/>
          <w:sz w:val="24"/>
          <w:szCs w:val="24"/>
          <w:lang w:eastAsia="pl-PL"/>
        </w:rPr>
        <w:t xml:space="preserve">rt. 6 dyrektywy </w:t>
      </w:r>
      <w:r w:rsidR="00637556" w:rsidRPr="009935E0">
        <w:rPr>
          <w:rFonts w:ascii="Times New Roman" w:eastAsia="Times New Roman" w:hAnsi="Times New Roman" w:cs="Times New Roman"/>
          <w:sz w:val="24"/>
          <w:szCs w:val="24"/>
          <w:lang w:eastAsia="pl-PL"/>
        </w:rPr>
        <w:t xml:space="preserve">DSM </w:t>
      </w:r>
      <w:r w:rsidR="00BF4722" w:rsidRPr="009935E0">
        <w:rPr>
          <w:rFonts w:ascii="Times New Roman" w:eastAsia="Times New Roman" w:hAnsi="Times New Roman" w:cs="Times New Roman"/>
          <w:sz w:val="24"/>
          <w:szCs w:val="24"/>
          <w:lang w:eastAsia="pl-PL"/>
        </w:rPr>
        <w:t>wskazuje, że beneficjentami są instytucje dziedzictwa kulturowego, do których</w:t>
      </w:r>
      <w:r w:rsidR="0027112D" w:rsidRPr="009935E0">
        <w:rPr>
          <w:rFonts w:ascii="Times New Roman" w:eastAsia="Times New Roman" w:hAnsi="Times New Roman" w:cs="Times New Roman"/>
          <w:sz w:val="24"/>
          <w:szCs w:val="24"/>
          <w:lang w:eastAsia="pl-PL"/>
        </w:rPr>
        <w:t>,</w:t>
      </w:r>
      <w:r w:rsidR="00BF4722" w:rsidRPr="009935E0">
        <w:rPr>
          <w:rFonts w:ascii="Times New Roman" w:eastAsia="Times New Roman" w:hAnsi="Times New Roman" w:cs="Times New Roman"/>
          <w:sz w:val="24"/>
          <w:szCs w:val="24"/>
          <w:lang w:eastAsia="pl-PL"/>
        </w:rPr>
        <w:t xml:space="preserve"> zgodnie z zawartą w art. 2 pkt 3 </w:t>
      </w:r>
      <w:r w:rsidR="00403830" w:rsidRPr="009935E0">
        <w:rPr>
          <w:rFonts w:ascii="Times New Roman" w:eastAsia="Times New Roman" w:hAnsi="Times New Roman" w:cs="Times New Roman"/>
          <w:sz w:val="24"/>
          <w:szCs w:val="24"/>
          <w:lang w:eastAsia="pl-PL"/>
        </w:rPr>
        <w:t xml:space="preserve">tej </w:t>
      </w:r>
      <w:r w:rsidR="00BF4722" w:rsidRPr="009935E0">
        <w:rPr>
          <w:rFonts w:ascii="Times New Roman" w:eastAsia="Times New Roman" w:hAnsi="Times New Roman" w:cs="Times New Roman"/>
          <w:sz w:val="24"/>
          <w:szCs w:val="24"/>
          <w:lang w:eastAsia="pl-PL"/>
        </w:rPr>
        <w:t>dyrektywy definicją</w:t>
      </w:r>
      <w:r w:rsidR="0027112D" w:rsidRPr="009935E0">
        <w:rPr>
          <w:rFonts w:ascii="Times New Roman" w:eastAsia="Times New Roman" w:hAnsi="Times New Roman" w:cs="Times New Roman"/>
          <w:sz w:val="24"/>
          <w:szCs w:val="24"/>
          <w:lang w:eastAsia="pl-PL"/>
        </w:rPr>
        <w:t>,</w:t>
      </w:r>
      <w:r w:rsidR="00BF4722" w:rsidRPr="009935E0">
        <w:rPr>
          <w:rFonts w:ascii="Times New Roman" w:eastAsia="Times New Roman" w:hAnsi="Times New Roman" w:cs="Times New Roman"/>
          <w:sz w:val="24"/>
          <w:szCs w:val="24"/>
          <w:lang w:eastAsia="pl-PL"/>
        </w:rPr>
        <w:t xml:space="preserve"> zalicza się ogólnodostępną bibliotekę lub muzeum, archiwum lub instytucję dziedzictwa filmowego lub instytucję dziedzictwa dźwiękowego. </w:t>
      </w:r>
      <w:r w:rsidR="000C491B" w:rsidRPr="009935E0">
        <w:rPr>
          <w:rFonts w:ascii="Times New Roman" w:eastAsia="Times New Roman" w:hAnsi="Times New Roman" w:cs="Times New Roman"/>
          <w:sz w:val="24"/>
          <w:szCs w:val="24"/>
          <w:lang w:eastAsia="pl-PL"/>
        </w:rPr>
        <w:t>Aktualny pozostaje natomiast dotychczasowy krąg beneficjentów wymienionych w obecnie obowiązującym art. 28</w:t>
      </w:r>
      <w:r w:rsidR="00403830" w:rsidRPr="009935E0">
        <w:rPr>
          <w:rFonts w:ascii="Times New Roman" w:eastAsia="Times New Roman" w:hAnsi="Times New Roman" w:cs="Times New Roman"/>
          <w:sz w:val="24"/>
          <w:szCs w:val="24"/>
          <w:lang w:eastAsia="pl-PL"/>
        </w:rPr>
        <w:t xml:space="preserve"> ustawy o prawie autorskim</w:t>
      </w:r>
      <w:r w:rsidR="000C491B" w:rsidRPr="009935E0">
        <w:rPr>
          <w:rFonts w:ascii="Times New Roman" w:eastAsia="Times New Roman" w:hAnsi="Times New Roman" w:cs="Times New Roman"/>
          <w:sz w:val="24"/>
          <w:szCs w:val="24"/>
          <w:lang w:eastAsia="pl-PL"/>
        </w:rPr>
        <w:t>, mieszczących się w definicji „instytucji edukacyjnych” wynikającej z dyrektywy 2001/29/WE. Został on jedynie zaktualizowany o powstałe po 2019 r. podmioty: federacje podmiotów systemu szkolnictwa wyższego i nauki, Centrum Łukasiewicz i instytuty S</w:t>
      </w:r>
      <w:r w:rsidR="00C101B2" w:rsidRPr="009935E0">
        <w:rPr>
          <w:rFonts w:ascii="Times New Roman" w:eastAsia="Times New Roman" w:hAnsi="Times New Roman" w:cs="Times New Roman"/>
          <w:sz w:val="24"/>
          <w:szCs w:val="24"/>
          <w:lang w:eastAsia="pl-PL"/>
        </w:rPr>
        <w:t xml:space="preserve">ieci </w:t>
      </w:r>
      <w:r w:rsidR="000C491B" w:rsidRPr="009935E0">
        <w:rPr>
          <w:rFonts w:ascii="Times New Roman" w:eastAsia="Times New Roman" w:hAnsi="Times New Roman" w:cs="Times New Roman"/>
          <w:sz w:val="24"/>
          <w:szCs w:val="24"/>
          <w:lang w:eastAsia="pl-PL"/>
        </w:rPr>
        <w:t>B</w:t>
      </w:r>
      <w:r w:rsidR="00C101B2" w:rsidRPr="009935E0">
        <w:rPr>
          <w:rFonts w:ascii="Times New Roman" w:eastAsia="Times New Roman" w:hAnsi="Times New Roman" w:cs="Times New Roman"/>
          <w:sz w:val="24"/>
          <w:szCs w:val="24"/>
          <w:lang w:eastAsia="pl-PL"/>
        </w:rPr>
        <w:t xml:space="preserve">adawczej </w:t>
      </w:r>
      <w:r w:rsidR="000C491B" w:rsidRPr="009935E0">
        <w:rPr>
          <w:rFonts w:ascii="Times New Roman" w:eastAsia="Times New Roman" w:hAnsi="Times New Roman" w:cs="Times New Roman"/>
          <w:sz w:val="24"/>
          <w:szCs w:val="24"/>
          <w:lang w:eastAsia="pl-PL"/>
        </w:rPr>
        <w:t>Ł</w:t>
      </w:r>
      <w:r w:rsidR="00C101B2" w:rsidRPr="009935E0">
        <w:rPr>
          <w:rFonts w:ascii="Times New Roman" w:eastAsia="Times New Roman" w:hAnsi="Times New Roman" w:cs="Times New Roman"/>
          <w:sz w:val="24"/>
          <w:szCs w:val="24"/>
          <w:lang w:eastAsia="pl-PL"/>
        </w:rPr>
        <w:t>ukasiewicz</w:t>
      </w:r>
      <w:r w:rsidR="000C491B" w:rsidRPr="009935E0">
        <w:rPr>
          <w:rFonts w:ascii="Times New Roman" w:eastAsia="Times New Roman" w:hAnsi="Times New Roman" w:cs="Times New Roman"/>
          <w:sz w:val="24"/>
          <w:szCs w:val="24"/>
          <w:lang w:eastAsia="pl-PL"/>
        </w:rPr>
        <w:t xml:space="preserve">, które spełniają kryterium „instytucji edukacyjnej”. Poszerzenie tego kręgu podmiotów nastąpiło na wniosek Ministra Edukacji i Nauki, który wskazał na konieczność ich uwzględnienia w ramach „instytucji edukacyjnych”. </w:t>
      </w:r>
      <w:r w:rsidR="00BF4722" w:rsidRPr="009935E0">
        <w:rPr>
          <w:rFonts w:ascii="Times New Roman" w:eastAsia="Times New Roman" w:hAnsi="Times New Roman" w:cs="Times New Roman"/>
          <w:sz w:val="24"/>
          <w:szCs w:val="24"/>
          <w:lang w:eastAsia="pl-PL"/>
        </w:rPr>
        <w:t>Natomiast definicja instytucji dziedzictwa kulturowego obejmie swoim zakresem dodatkowo instytucje kultury, których statutowym zadaniem jest gromadzenie, ochrona</w:t>
      </w:r>
      <w:r w:rsidR="00D00691" w:rsidRPr="009935E0">
        <w:rPr>
          <w:rFonts w:ascii="Times New Roman" w:eastAsia="Times New Roman" w:hAnsi="Times New Roman" w:cs="Times New Roman"/>
          <w:sz w:val="24"/>
          <w:szCs w:val="24"/>
          <w:lang w:eastAsia="pl-PL"/>
        </w:rPr>
        <w:t xml:space="preserve"> </w:t>
      </w:r>
      <w:r w:rsidR="00BF4722" w:rsidRPr="009935E0">
        <w:rPr>
          <w:rFonts w:ascii="Times New Roman" w:eastAsia="Times New Roman" w:hAnsi="Times New Roman" w:cs="Times New Roman"/>
          <w:sz w:val="24"/>
          <w:szCs w:val="24"/>
          <w:lang w:eastAsia="pl-PL"/>
        </w:rPr>
        <w:t>i upowszechnianie zbiorów dziedzictw</w:t>
      </w:r>
      <w:r w:rsidR="00360E75" w:rsidRPr="009935E0">
        <w:rPr>
          <w:rFonts w:ascii="Times New Roman" w:eastAsia="Times New Roman" w:hAnsi="Times New Roman" w:cs="Times New Roman"/>
          <w:sz w:val="24"/>
          <w:szCs w:val="24"/>
          <w:lang w:eastAsia="pl-PL"/>
        </w:rPr>
        <w:t>a filmowego lub fonograficznego.</w:t>
      </w:r>
      <w:r w:rsidR="00820F85" w:rsidRPr="009935E0">
        <w:rPr>
          <w:rFonts w:ascii="Times New Roman" w:eastAsia="Times New Roman" w:hAnsi="Times New Roman" w:cs="Times New Roman"/>
          <w:sz w:val="24"/>
          <w:szCs w:val="24"/>
          <w:lang w:eastAsia="pl-PL"/>
        </w:rPr>
        <w:t xml:space="preserve"> </w:t>
      </w:r>
      <w:r w:rsidR="00BF4722" w:rsidRPr="009935E0">
        <w:rPr>
          <w:rFonts w:ascii="Times New Roman" w:eastAsia="Times New Roman" w:hAnsi="Times New Roman" w:cs="Times New Roman"/>
          <w:sz w:val="24"/>
          <w:szCs w:val="24"/>
          <w:lang w:eastAsia="pl-PL"/>
        </w:rPr>
        <w:t>Z uwagi na fakt, że katalog tych podmiotów pokrywa się z katalogiem beneficjentów określonym w projektowanym art. 26</w:t>
      </w:r>
      <w:r w:rsidR="00BF4722" w:rsidRPr="009935E0">
        <w:rPr>
          <w:rFonts w:ascii="Times New Roman" w:eastAsia="Times New Roman" w:hAnsi="Times New Roman" w:cs="Times New Roman"/>
          <w:sz w:val="24"/>
          <w:szCs w:val="24"/>
          <w:vertAlign w:val="superscript"/>
          <w:lang w:eastAsia="pl-PL"/>
        </w:rPr>
        <w:t>2</w:t>
      </w:r>
      <w:r w:rsidR="00BF4722" w:rsidRPr="009935E0">
        <w:rPr>
          <w:rFonts w:ascii="Times New Roman" w:eastAsia="Times New Roman" w:hAnsi="Times New Roman" w:cs="Times New Roman"/>
          <w:sz w:val="24"/>
          <w:szCs w:val="24"/>
          <w:lang w:eastAsia="pl-PL"/>
        </w:rPr>
        <w:t xml:space="preserve"> ustawy, proponuje się zastąpienie dotychczasowego wyliczenia zbiorczą kategorią</w:t>
      </w:r>
      <w:r w:rsidR="00BF044E" w:rsidRPr="009935E0">
        <w:rPr>
          <w:rFonts w:ascii="Times New Roman" w:eastAsia="Times New Roman" w:hAnsi="Times New Roman" w:cs="Times New Roman"/>
          <w:sz w:val="24"/>
          <w:szCs w:val="24"/>
          <w:lang w:eastAsia="pl-PL"/>
        </w:rPr>
        <w:t>:</w:t>
      </w:r>
      <w:r w:rsidR="00BF4722" w:rsidRPr="009935E0">
        <w:rPr>
          <w:rFonts w:ascii="Times New Roman" w:eastAsia="Times New Roman" w:hAnsi="Times New Roman" w:cs="Times New Roman"/>
          <w:sz w:val="24"/>
          <w:szCs w:val="24"/>
          <w:lang w:eastAsia="pl-PL"/>
        </w:rPr>
        <w:t xml:space="preserve"> „instytucja dziedzictwa kulturowego”. Zabieg ten, zgodny z zasadami techniki prawodawczej, pozwoli na wprowadzenie większej przejrzystości ustawy i ułatwi</w:t>
      </w:r>
      <w:r w:rsidR="00CA7553" w:rsidRPr="009935E0">
        <w:rPr>
          <w:rFonts w:ascii="Times New Roman" w:eastAsia="Times New Roman" w:hAnsi="Times New Roman" w:cs="Times New Roman"/>
          <w:sz w:val="24"/>
          <w:szCs w:val="24"/>
          <w:lang w:eastAsia="pl-PL"/>
        </w:rPr>
        <w:t xml:space="preserve"> korzystanie z niej.</w:t>
      </w:r>
    </w:p>
    <w:p w14:paraId="4A3FEC9B" w14:textId="77777777" w:rsidR="00BF4722" w:rsidRPr="009935E0" w:rsidRDefault="000C491B"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Zmiany wprowadzone w art. 28 </w:t>
      </w:r>
      <w:r w:rsidR="00403830" w:rsidRPr="009935E0">
        <w:rPr>
          <w:rFonts w:ascii="Times New Roman" w:eastAsia="Times New Roman" w:hAnsi="Times New Roman" w:cs="Times New Roman"/>
          <w:sz w:val="24"/>
          <w:szCs w:val="24"/>
          <w:lang w:eastAsia="pl-PL"/>
        </w:rPr>
        <w:t xml:space="preserve">ustawy o prawie autorskim </w:t>
      </w:r>
      <w:r w:rsidRPr="009935E0">
        <w:rPr>
          <w:rFonts w:ascii="Times New Roman" w:eastAsia="Times New Roman" w:hAnsi="Times New Roman" w:cs="Times New Roman"/>
          <w:sz w:val="24"/>
          <w:szCs w:val="24"/>
          <w:lang w:eastAsia="pl-PL"/>
        </w:rPr>
        <w:t xml:space="preserve">w pozostałym zakresie mają jedynie charakter porządkujący i służą wykluczeniu istniejących wątpliwości co do dopuszczalności kopiowania utworów i przedmiotów praw pokrewnych w formie cyfrowej. </w:t>
      </w:r>
      <w:r w:rsidR="00BF4722" w:rsidRPr="009935E0">
        <w:rPr>
          <w:rFonts w:ascii="Times New Roman" w:eastAsia="Times New Roman" w:hAnsi="Times New Roman" w:cs="Times New Roman"/>
          <w:sz w:val="24"/>
          <w:szCs w:val="24"/>
          <w:lang w:eastAsia="pl-PL"/>
        </w:rPr>
        <w:t xml:space="preserve">Z uwagi na fakt, że art. 6 dyrektywy dopuszcza wprost kopiowanie utworów i innych przedmiotów objętych ochroną niezależnie od ich formatu lub nośnika, proponuje się </w:t>
      </w:r>
      <w:r w:rsidR="000D7C3B" w:rsidRPr="009935E0">
        <w:rPr>
          <w:rFonts w:ascii="Times New Roman" w:eastAsia="Times New Roman" w:hAnsi="Times New Roman" w:cs="Times New Roman"/>
          <w:sz w:val="24"/>
          <w:szCs w:val="24"/>
          <w:lang w:eastAsia="pl-PL"/>
        </w:rPr>
        <w:t xml:space="preserve">uzupełnić treść </w:t>
      </w:r>
      <w:r w:rsidR="00BF4722" w:rsidRPr="009935E0">
        <w:rPr>
          <w:rFonts w:ascii="Times New Roman" w:eastAsia="Times New Roman" w:hAnsi="Times New Roman" w:cs="Times New Roman"/>
          <w:sz w:val="24"/>
          <w:szCs w:val="24"/>
          <w:lang w:eastAsia="pl-PL"/>
        </w:rPr>
        <w:t>art. 28 ust. 1 pkt 2 ustawy o prawie autorskim</w:t>
      </w:r>
      <w:r w:rsidR="000D7C3B" w:rsidRPr="009935E0">
        <w:rPr>
          <w:rFonts w:ascii="Times New Roman" w:eastAsia="Times New Roman" w:hAnsi="Times New Roman" w:cs="Times New Roman"/>
          <w:sz w:val="24"/>
          <w:szCs w:val="24"/>
          <w:lang w:eastAsia="pl-PL"/>
        </w:rPr>
        <w:t xml:space="preserve"> o to wyrażenie</w:t>
      </w:r>
      <w:r w:rsidR="00BF4722" w:rsidRPr="009935E0">
        <w:rPr>
          <w:rFonts w:ascii="Times New Roman" w:eastAsia="Times New Roman" w:hAnsi="Times New Roman" w:cs="Times New Roman"/>
          <w:sz w:val="24"/>
          <w:szCs w:val="24"/>
          <w:lang w:eastAsia="pl-PL"/>
        </w:rPr>
        <w:t xml:space="preserve">. </w:t>
      </w:r>
    </w:p>
    <w:p w14:paraId="1164CA15" w14:textId="77777777"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Warunkiem koniecznym korzystania z tego dozwolonego użytku jest posiadanie na stałe utworów w zbiorach danego podmiotu. Sytuacja taka dotyczy utworów objętych ochroną, które są własnością tych podmiotów lub znajdują się na stałe w ich posiadaniu, np. wskutek przeniesienia własności, umowy licencyjnej, systemu przekazywania egzemplarza </w:t>
      </w:r>
      <w:r w:rsidRPr="009935E0">
        <w:rPr>
          <w:rFonts w:ascii="Times New Roman" w:eastAsia="Times New Roman" w:hAnsi="Times New Roman" w:cs="Times New Roman"/>
          <w:sz w:val="24"/>
          <w:szCs w:val="24"/>
          <w:lang w:eastAsia="pl-PL"/>
        </w:rPr>
        <w:lastRenderedPageBreak/>
        <w:t>obowiązkowego lub uzgodnień dotyczących długoterminowego przechowywania (motyw 29</w:t>
      </w:r>
      <w:r w:rsidR="00820F85" w:rsidRPr="009935E0">
        <w:rPr>
          <w:rFonts w:ascii="Times New Roman" w:eastAsia="Times New Roman" w:hAnsi="Times New Roman" w:cs="Times New Roman"/>
          <w:sz w:val="24"/>
          <w:szCs w:val="24"/>
          <w:lang w:eastAsia="pl-PL"/>
        </w:rPr>
        <w:t xml:space="preserve"> dyrektywy</w:t>
      </w:r>
      <w:r w:rsidR="00403830" w:rsidRPr="009935E0">
        <w:rPr>
          <w:rFonts w:ascii="Times New Roman" w:eastAsia="Times New Roman" w:hAnsi="Times New Roman" w:cs="Times New Roman"/>
          <w:sz w:val="24"/>
          <w:szCs w:val="24"/>
          <w:lang w:eastAsia="pl-PL"/>
        </w:rPr>
        <w:t xml:space="preserve"> DSM</w:t>
      </w:r>
      <w:r w:rsidRPr="009935E0">
        <w:rPr>
          <w:rFonts w:ascii="Times New Roman" w:eastAsia="Times New Roman" w:hAnsi="Times New Roman" w:cs="Times New Roman"/>
          <w:sz w:val="24"/>
          <w:szCs w:val="24"/>
          <w:lang w:eastAsia="pl-PL"/>
        </w:rPr>
        <w:t>).</w:t>
      </w:r>
    </w:p>
    <w:p w14:paraId="11BA8792" w14:textId="37CDF2B9" w:rsidR="00BF4722" w:rsidRPr="009935E0" w:rsidRDefault="00BF4722" w:rsidP="00483092">
      <w:pPr>
        <w:pStyle w:val="Akapitzlist"/>
        <w:numPr>
          <w:ilvl w:val="1"/>
          <w:numId w:val="6"/>
        </w:numPr>
        <w:tabs>
          <w:tab w:val="left" w:pos="426"/>
        </w:tabs>
        <w:spacing w:before="120" w:after="0" w:line="360" w:lineRule="auto"/>
        <w:ind w:left="0" w:firstLine="0"/>
        <w:jc w:val="both"/>
        <w:rPr>
          <w:rFonts w:ascii="Times New Roman" w:eastAsia="Times New Roman" w:hAnsi="Times New Roman" w:cs="Times New Roman"/>
          <w:b/>
          <w:sz w:val="24"/>
          <w:szCs w:val="24"/>
          <w:lang w:eastAsia="pl-PL"/>
        </w:rPr>
      </w:pPr>
      <w:r w:rsidRPr="009935E0">
        <w:rPr>
          <w:rFonts w:ascii="Times New Roman" w:eastAsia="Times New Roman" w:hAnsi="Times New Roman" w:cs="Times New Roman"/>
          <w:b/>
          <w:sz w:val="24"/>
          <w:szCs w:val="24"/>
          <w:lang w:eastAsia="pl-PL"/>
        </w:rPr>
        <w:t>Przepisy wspólne (art. 7 dyrektywy</w:t>
      </w:r>
      <w:r w:rsidR="00403830" w:rsidRPr="009935E0">
        <w:rPr>
          <w:rFonts w:ascii="Times New Roman" w:eastAsia="Times New Roman" w:hAnsi="Times New Roman" w:cs="Times New Roman"/>
          <w:b/>
          <w:sz w:val="24"/>
          <w:szCs w:val="24"/>
          <w:lang w:eastAsia="pl-PL"/>
        </w:rPr>
        <w:t xml:space="preserve"> DSM</w:t>
      </w:r>
      <w:r w:rsidRPr="009935E0">
        <w:rPr>
          <w:rFonts w:ascii="Times New Roman" w:eastAsia="Times New Roman" w:hAnsi="Times New Roman" w:cs="Times New Roman"/>
          <w:b/>
          <w:sz w:val="24"/>
          <w:szCs w:val="24"/>
          <w:lang w:eastAsia="pl-PL"/>
        </w:rPr>
        <w:t>)</w:t>
      </w:r>
    </w:p>
    <w:p w14:paraId="3BEF9BEB" w14:textId="77777777"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Zgodnie z art. 7 dyrektywy postanowienia umowne sprzeczne z wyjątkami przewidzianymi w art. 3, 5 i 6 dyrektywy mają być bezskuteczne, zaś do wszystkich instytucji dozwolonego użytku (art. 3–6 dyrektywy) mają mieć zastosowanie art. 5 ust. 5 oraz art. 6 ust. 4 akapit pierwszy, trzeci i piąty dyrektywy 2001/29/WE.</w:t>
      </w:r>
    </w:p>
    <w:p w14:paraId="723D62D4" w14:textId="72E573C1" w:rsidR="00BF4722" w:rsidRPr="009935E0" w:rsidRDefault="00BF472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Powyższe przepisy dyrektywy nie wymagają uwzględnienia w projektowanej ustawie. Należy bowiem mieć na uwadze, że przepisy ustawy o prawie autorskim dotyczące dozwolonego użytku (art. 23–35) nie pozostawiają wątpliwości, że znajdują zastosowanie niezależnie od woli uprawnionych, a więc także niezależnie od ewentualnych postanowień umownych między uprawnionym a beneficjentem danej instytucji dozwolonego użytku. Wykładnia ta zostanie jeszcze dodatkowo wzmocniona projektowanym przepisem art. 26</w:t>
      </w:r>
      <w:r w:rsidRPr="009935E0">
        <w:rPr>
          <w:rFonts w:ascii="Times New Roman" w:eastAsia="Times New Roman" w:hAnsi="Times New Roman" w:cs="Times New Roman"/>
          <w:sz w:val="24"/>
          <w:szCs w:val="24"/>
          <w:vertAlign w:val="superscript"/>
          <w:lang w:eastAsia="pl-PL"/>
        </w:rPr>
        <w:t>3</w:t>
      </w:r>
      <w:r w:rsidRPr="009935E0">
        <w:rPr>
          <w:rFonts w:ascii="Times New Roman" w:eastAsia="Times New Roman" w:hAnsi="Times New Roman" w:cs="Times New Roman"/>
          <w:sz w:val="24"/>
          <w:szCs w:val="24"/>
          <w:lang w:eastAsia="pl-PL"/>
        </w:rPr>
        <w:t xml:space="preserve"> ustawy o prawie autorskim, który </w:t>
      </w:r>
      <w:r w:rsidRPr="009935E0">
        <w:rPr>
          <w:rFonts w:ascii="Times New Roman" w:eastAsia="Times New Roman" w:hAnsi="Times New Roman" w:cs="Times New Roman"/>
          <w:i/>
          <w:sz w:val="24"/>
          <w:szCs w:val="24"/>
          <w:lang w:eastAsia="pl-PL"/>
        </w:rPr>
        <w:t>expressis verbis</w:t>
      </w:r>
      <w:r w:rsidRPr="009935E0">
        <w:rPr>
          <w:rFonts w:ascii="Times New Roman" w:eastAsia="Times New Roman" w:hAnsi="Times New Roman" w:cs="Times New Roman"/>
          <w:sz w:val="24"/>
          <w:szCs w:val="24"/>
          <w:lang w:eastAsia="pl-PL"/>
        </w:rPr>
        <w:t xml:space="preserve"> uzależnia swoje stosowanie w danej sytuacji od (odpowiednio wyrażonej) woli uprawnionego i będzie stanowił swoisty wyjątek w przepisach o dozwolonym użytku. Z kolei art. 5 ust. 5 oraz art. 6 ust. 4 akapit pierwszy, trzeci i piąty dyrektywy 20</w:t>
      </w:r>
      <w:r w:rsidR="00820F85" w:rsidRPr="009935E0">
        <w:rPr>
          <w:rFonts w:ascii="Times New Roman" w:eastAsia="Times New Roman" w:hAnsi="Times New Roman" w:cs="Times New Roman"/>
          <w:sz w:val="24"/>
          <w:szCs w:val="24"/>
          <w:lang w:eastAsia="pl-PL"/>
        </w:rPr>
        <w:t>01/29/WE zostały implementowane,</w:t>
      </w:r>
      <w:r w:rsidRPr="009935E0">
        <w:rPr>
          <w:rFonts w:ascii="Times New Roman" w:eastAsia="Times New Roman" w:hAnsi="Times New Roman" w:cs="Times New Roman"/>
          <w:sz w:val="24"/>
          <w:szCs w:val="24"/>
          <w:lang w:eastAsia="pl-PL"/>
        </w:rPr>
        <w:t xml:space="preserve"> w ramach implementacji tej dyrektywy, w </w:t>
      </w:r>
      <w:r w:rsidR="00B36961" w:rsidRPr="009935E0">
        <w:rPr>
          <w:rFonts w:ascii="Times New Roman" w:eastAsia="Times New Roman" w:hAnsi="Times New Roman" w:cs="Times New Roman"/>
          <w:sz w:val="24"/>
          <w:szCs w:val="24"/>
          <w:lang w:eastAsia="pl-PL"/>
        </w:rPr>
        <w:t xml:space="preserve">przepisach </w:t>
      </w:r>
      <w:r w:rsidRPr="009935E0">
        <w:rPr>
          <w:rFonts w:ascii="Times New Roman" w:eastAsia="Times New Roman" w:hAnsi="Times New Roman" w:cs="Times New Roman"/>
          <w:sz w:val="24"/>
          <w:szCs w:val="24"/>
          <w:lang w:eastAsia="pl-PL"/>
        </w:rPr>
        <w:t xml:space="preserve">art. 35 oraz </w:t>
      </w:r>
      <w:r w:rsidR="00B36961" w:rsidRPr="009935E0">
        <w:rPr>
          <w:rFonts w:ascii="Times New Roman" w:eastAsia="Times New Roman" w:hAnsi="Times New Roman" w:cs="Times New Roman"/>
          <w:sz w:val="24"/>
          <w:szCs w:val="24"/>
          <w:lang w:eastAsia="pl-PL"/>
        </w:rPr>
        <w:t xml:space="preserve">art. </w:t>
      </w:r>
      <w:r w:rsidRPr="009935E0">
        <w:rPr>
          <w:rFonts w:ascii="Times New Roman" w:eastAsia="Times New Roman" w:hAnsi="Times New Roman" w:cs="Times New Roman"/>
          <w:sz w:val="24"/>
          <w:szCs w:val="24"/>
          <w:lang w:eastAsia="pl-PL"/>
        </w:rPr>
        <w:t>79 ust. 6 ustawy o prawie autorskim, znajdą zatem zastosowanie także do nowych przepisów o dozwolonym</w:t>
      </w:r>
      <w:r w:rsidR="00820F85" w:rsidRPr="009935E0">
        <w:rPr>
          <w:rFonts w:ascii="Times New Roman" w:eastAsia="Times New Roman" w:hAnsi="Times New Roman" w:cs="Times New Roman"/>
          <w:sz w:val="24"/>
          <w:szCs w:val="24"/>
          <w:lang w:eastAsia="pl-PL"/>
        </w:rPr>
        <w:t xml:space="preserve"> użytku</w:t>
      </w:r>
      <w:r w:rsidR="00B36961"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wprowadzonych zgodnie z art. 3–6 dyrektywy DSM.</w:t>
      </w:r>
    </w:p>
    <w:p w14:paraId="41F76F85" w14:textId="77777777" w:rsidR="00DF3EF4" w:rsidRPr="009935E0" w:rsidRDefault="00DF3EF4" w:rsidP="00483092">
      <w:pPr>
        <w:pStyle w:val="ZARTzmartartykuempunktem"/>
        <w:numPr>
          <w:ilvl w:val="0"/>
          <w:numId w:val="6"/>
        </w:numPr>
        <w:tabs>
          <w:tab w:val="left" w:pos="426"/>
        </w:tabs>
        <w:spacing w:before="120"/>
        <w:ind w:left="0" w:firstLine="0"/>
        <w:rPr>
          <w:rFonts w:ascii="Times New Roman" w:hAnsi="Times New Roman" w:cs="Times New Roman"/>
          <w:b/>
          <w:bCs/>
          <w:szCs w:val="24"/>
        </w:rPr>
      </w:pPr>
      <w:r w:rsidRPr="009935E0">
        <w:rPr>
          <w:rFonts w:ascii="Times New Roman" w:hAnsi="Times New Roman" w:cs="Times New Roman"/>
          <w:b/>
          <w:bCs/>
          <w:szCs w:val="24"/>
        </w:rPr>
        <w:t>Korzystanie z utworów uznanych za niedostępne handlu</w:t>
      </w:r>
      <w:r w:rsidR="00CA719E" w:rsidRPr="009935E0">
        <w:rPr>
          <w:rFonts w:ascii="Times New Roman" w:hAnsi="Times New Roman" w:cs="Times New Roman"/>
          <w:b/>
          <w:bCs/>
          <w:szCs w:val="24"/>
        </w:rPr>
        <w:t xml:space="preserve"> (art. 8</w:t>
      </w:r>
      <w:r w:rsidR="000A6B2F" w:rsidRPr="009935E0">
        <w:rPr>
          <w:rFonts w:ascii="Times New Roman" w:hAnsi="Times New Roman" w:cs="Times New Roman"/>
          <w:b/>
          <w:bCs/>
          <w:szCs w:val="24"/>
        </w:rPr>
        <w:t>–</w:t>
      </w:r>
      <w:r w:rsidR="00CA719E" w:rsidRPr="009935E0">
        <w:rPr>
          <w:rFonts w:ascii="Times New Roman" w:hAnsi="Times New Roman" w:cs="Times New Roman"/>
          <w:b/>
          <w:bCs/>
          <w:szCs w:val="24"/>
        </w:rPr>
        <w:t>11</w:t>
      </w:r>
      <w:r w:rsidR="00A71499" w:rsidRPr="009935E0">
        <w:rPr>
          <w:rFonts w:ascii="Times New Roman" w:hAnsi="Times New Roman" w:cs="Times New Roman"/>
          <w:b/>
          <w:bCs/>
          <w:szCs w:val="24"/>
        </w:rPr>
        <w:t xml:space="preserve"> dyrektywy</w:t>
      </w:r>
      <w:r w:rsidR="00403830" w:rsidRPr="009935E0">
        <w:rPr>
          <w:rFonts w:ascii="Times New Roman" w:hAnsi="Times New Roman" w:cs="Times New Roman"/>
          <w:b/>
          <w:bCs/>
          <w:szCs w:val="24"/>
        </w:rPr>
        <w:t xml:space="preserve"> DSM</w:t>
      </w:r>
      <w:r w:rsidR="00C84636" w:rsidRPr="009935E0">
        <w:rPr>
          <w:rFonts w:ascii="Times New Roman" w:hAnsi="Times New Roman" w:cs="Times New Roman"/>
          <w:b/>
          <w:bCs/>
          <w:szCs w:val="24"/>
        </w:rPr>
        <w:t>)</w:t>
      </w:r>
    </w:p>
    <w:p w14:paraId="1E297097" w14:textId="67969711" w:rsidR="00F9526B" w:rsidRPr="009935E0" w:rsidRDefault="00F9526B" w:rsidP="00483092">
      <w:pPr>
        <w:pStyle w:val="Akapitzlist"/>
        <w:numPr>
          <w:ilvl w:val="1"/>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Wprowadzenie</w:t>
      </w:r>
    </w:p>
    <w:p w14:paraId="36D124ED" w14:textId="3179AEAD" w:rsidR="00F9526B" w:rsidRPr="009935E0" w:rsidRDefault="00DF3EF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Ze względu na fakt, </w:t>
      </w:r>
      <w:r w:rsidR="00403830" w:rsidRPr="009935E0">
        <w:rPr>
          <w:rFonts w:ascii="Times New Roman" w:hAnsi="Times New Roman" w:cs="Times New Roman"/>
          <w:sz w:val="24"/>
          <w:szCs w:val="24"/>
        </w:rPr>
        <w:t xml:space="preserve">że </w:t>
      </w:r>
      <w:r w:rsidRPr="009935E0">
        <w:rPr>
          <w:rFonts w:ascii="Times New Roman" w:hAnsi="Times New Roman" w:cs="Times New Roman"/>
          <w:sz w:val="24"/>
          <w:szCs w:val="24"/>
        </w:rPr>
        <w:t>znacząca część utworów niedostępnych w handlu</w:t>
      </w:r>
      <w:r w:rsidR="00A02AAD" w:rsidRPr="009935E0">
        <w:rPr>
          <w:rFonts w:ascii="Times New Roman" w:hAnsi="Times New Roman" w:cs="Times New Roman"/>
          <w:sz w:val="24"/>
          <w:szCs w:val="24"/>
        </w:rPr>
        <w:t>,</w:t>
      </w:r>
      <w:r w:rsidRPr="009935E0">
        <w:rPr>
          <w:rFonts w:ascii="Times New Roman" w:hAnsi="Times New Roman" w:cs="Times New Roman"/>
          <w:sz w:val="24"/>
          <w:szCs w:val="24"/>
        </w:rPr>
        <w:t xml:space="preserve"> znajdujących się w zbiorach instytucji dziedzictwa kulturowego</w:t>
      </w:r>
      <w:r w:rsidR="00A02AAD" w:rsidRPr="009935E0">
        <w:rPr>
          <w:rFonts w:ascii="Times New Roman" w:hAnsi="Times New Roman" w:cs="Times New Roman"/>
          <w:sz w:val="24"/>
          <w:szCs w:val="24"/>
        </w:rPr>
        <w:t>,</w:t>
      </w:r>
      <w:r w:rsidRPr="009935E0">
        <w:rPr>
          <w:rFonts w:ascii="Times New Roman" w:hAnsi="Times New Roman" w:cs="Times New Roman"/>
          <w:sz w:val="24"/>
          <w:szCs w:val="24"/>
        </w:rPr>
        <w:t xml:space="preserve"> nigdy bądź od wielu lat nie była eksploatowana w sposób komercyjny,</w:t>
      </w:r>
      <w:r w:rsidR="00FC5BED" w:rsidRPr="009935E0">
        <w:rPr>
          <w:rFonts w:ascii="Times New Roman" w:hAnsi="Times New Roman" w:cs="Times New Roman"/>
          <w:sz w:val="24"/>
          <w:szCs w:val="24"/>
        </w:rPr>
        <w:t xml:space="preserve"> a także </w:t>
      </w:r>
      <w:r w:rsidR="00DB2156" w:rsidRPr="009935E0">
        <w:rPr>
          <w:rFonts w:ascii="Times New Roman" w:hAnsi="Times New Roman" w:cs="Times New Roman"/>
          <w:sz w:val="24"/>
          <w:szCs w:val="24"/>
        </w:rPr>
        <w:t xml:space="preserve">ze względu na </w:t>
      </w:r>
      <w:r w:rsidRPr="009935E0">
        <w:rPr>
          <w:rFonts w:ascii="Times New Roman" w:hAnsi="Times New Roman" w:cs="Times New Roman"/>
          <w:sz w:val="24"/>
          <w:szCs w:val="24"/>
        </w:rPr>
        <w:t xml:space="preserve">wiek tych utworów oraz ich dużą liczbę i potrzebę masowej digitalizacji, uzyskanie zgody uprawnionych na korzystanie umożliwiające eksploatację </w:t>
      </w:r>
      <w:r w:rsidR="00531A9D" w:rsidRPr="009935E0">
        <w:rPr>
          <w:rFonts w:ascii="Times New Roman" w:hAnsi="Times New Roman" w:cs="Times New Roman"/>
          <w:sz w:val="24"/>
          <w:szCs w:val="24"/>
        </w:rPr>
        <w:t>duż</w:t>
      </w:r>
      <w:r w:rsidRPr="009935E0">
        <w:rPr>
          <w:rFonts w:ascii="Times New Roman" w:hAnsi="Times New Roman" w:cs="Times New Roman"/>
          <w:sz w:val="24"/>
          <w:szCs w:val="24"/>
        </w:rPr>
        <w:t>ej części zbiorów instytucji dziedzictwa kulturowego okazuje się niemożliwe albo znacząco utrudnione</w:t>
      </w:r>
      <w:r w:rsidR="00CA719E" w:rsidRPr="009935E0">
        <w:rPr>
          <w:rFonts w:ascii="Times New Roman" w:hAnsi="Times New Roman" w:cs="Times New Roman"/>
          <w:sz w:val="24"/>
          <w:szCs w:val="24"/>
        </w:rPr>
        <w:t xml:space="preserve"> (motyw 30 dyrektywy</w:t>
      </w:r>
      <w:r w:rsidR="00403830" w:rsidRPr="009935E0">
        <w:rPr>
          <w:rFonts w:ascii="Times New Roman" w:hAnsi="Times New Roman" w:cs="Times New Roman"/>
          <w:sz w:val="24"/>
          <w:szCs w:val="24"/>
        </w:rPr>
        <w:t xml:space="preserve"> DSM</w:t>
      </w:r>
      <w:r w:rsidR="00CA719E" w:rsidRPr="009935E0">
        <w:rPr>
          <w:rFonts w:ascii="Times New Roman" w:hAnsi="Times New Roman" w:cs="Times New Roman"/>
          <w:sz w:val="24"/>
          <w:szCs w:val="24"/>
        </w:rPr>
        <w:t>)</w:t>
      </w:r>
      <w:r w:rsidRPr="009935E0">
        <w:rPr>
          <w:rFonts w:ascii="Times New Roman" w:hAnsi="Times New Roman" w:cs="Times New Roman"/>
          <w:sz w:val="24"/>
          <w:szCs w:val="24"/>
        </w:rPr>
        <w:t xml:space="preserve">. Z tego względu w </w:t>
      </w:r>
      <w:r w:rsidR="00DB2156" w:rsidRPr="009935E0">
        <w:rPr>
          <w:rFonts w:ascii="Times New Roman" w:hAnsi="Times New Roman" w:cs="Times New Roman"/>
          <w:sz w:val="24"/>
          <w:szCs w:val="24"/>
        </w:rPr>
        <w:t>art. 8</w:t>
      </w:r>
      <w:r w:rsidR="00665671" w:rsidRPr="009935E0">
        <w:rPr>
          <w:rFonts w:ascii="Times New Roman" w:hAnsi="Times New Roman" w:cs="Times New Roman"/>
          <w:sz w:val="24"/>
          <w:szCs w:val="24"/>
        </w:rPr>
        <w:t>–</w:t>
      </w:r>
      <w:r w:rsidR="00DB2156" w:rsidRPr="009935E0">
        <w:rPr>
          <w:rFonts w:ascii="Times New Roman" w:hAnsi="Times New Roman" w:cs="Times New Roman"/>
          <w:sz w:val="24"/>
          <w:szCs w:val="24"/>
        </w:rPr>
        <w:t>11 dyrektywy</w:t>
      </w:r>
      <w:r w:rsidRPr="009935E0">
        <w:rPr>
          <w:rFonts w:ascii="Times New Roman" w:hAnsi="Times New Roman" w:cs="Times New Roman"/>
          <w:sz w:val="24"/>
          <w:szCs w:val="24"/>
        </w:rPr>
        <w:t xml:space="preserve"> </w:t>
      </w:r>
      <w:r w:rsidR="00403830" w:rsidRPr="009935E0">
        <w:rPr>
          <w:rFonts w:ascii="Times New Roman" w:hAnsi="Times New Roman" w:cs="Times New Roman"/>
          <w:sz w:val="24"/>
          <w:szCs w:val="24"/>
        </w:rPr>
        <w:t xml:space="preserve">DSM </w:t>
      </w:r>
      <w:r w:rsidRPr="009935E0">
        <w:rPr>
          <w:rFonts w:ascii="Times New Roman" w:hAnsi="Times New Roman" w:cs="Times New Roman"/>
          <w:sz w:val="24"/>
          <w:szCs w:val="24"/>
        </w:rPr>
        <w:t>przewidziano rozwiązanie umożliwiające korzystanie z utworów niedostępnych w handlu przez instytucje dziedzictwa kulturowego na podstawie licencji udzielonej przez organizację zbioro</w:t>
      </w:r>
      <w:r w:rsidR="004C22A0" w:rsidRPr="009935E0">
        <w:rPr>
          <w:rFonts w:ascii="Times New Roman" w:hAnsi="Times New Roman" w:cs="Times New Roman"/>
          <w:sz w:val="24"/>
          <w:szCs w:val="24"/>
        </w:rPr>
        <w:t>we</w:t>
      </w:r>
      <w:r w:rsidRPr="009935E0">
        <w:rPr>
          <w:rFonts w:ascii="Times New Roman" w:hAnsi="Times New Roman" w:cs="Times New Roman"/>
          <w:sz w:val="24"/>
          <w:szCs w:val="24"/>
        </w:rPr>
        <w:t xml:space="preserve">go zarządzania również w zakresie, w </w:t>
      </w:r>
      <w:r w:rsidR="00B36961" w:rsidRPr="009935E0">
        <w:rPr>
          <w:rFonts w:ascii="Times New Roman" w:hAnsi="Times New Roman" w:cs="Times New Roman"/>
          <w:sz w:val="24"/>
          <w:szCs w:val="24"/>
        </w:rPr>
        <w:t>jakim</w:t>
      </w:r>
      <w:r w:rsidRPr="009935E0">
        <w:rPr>
          <w:rFonts w:ascii="Times New Roman" w:hAnsi="Times New Roman" w:cs="Times New Roman"/>
          <w:sz w:val="24"/>
          <w:szCs w:val="24"/>
        </w:rPr>
        <w:t xml:space="preserve"> uprawnieni nie powierzyli swoich praw </w:t>
      </w:r>
      <w:r w:rsidRPr="009935E0">
        <w:rPr>
          <w:rFonts w:ascii="Times New Roman" w:hAnsi="Times New Roman" w:cs="Times New Roman"/>
          <w:sz w:val="24"/>
          <w:szCs w:val="24"/>
        </w:rPr>
        <w:lastRenderedPageBreak/>
        <w:t>w zbiorowy zarząd</w:t>
      </w:r>
      <w:r w:rsidRPr="009935E0">
        <w:rPr>
          <w:rStyle w:val="Odwoanieprzypisudolnego"/>
          <w:rFonts w:ascii="Times New Roman" w:hAnsi="Times New Roman" w:cs="Times New Roman"/>
          <w:sz w:val="24"/>
          <w:szCs w:val="24"/>
        </w:rPr>
        <w:footnoteReference w:id="18"/>
      </w:r>
      <w:r w:rsidR="00205E47" w:rsidRPr="00483092">
        <w:rPr>
          <w:rFonts w:ascii="Times New Roman" w:hAnsi="Times New Roman" w:cs="Times New Roman"/>
          <w:sz w:val="24"/>
          <w:szCs w:val="24"/>
          <w:vertAlign w:val="superscript"/>
        </w:rPr>
        <w:t>)</w:t>
      </w:r>
      <w:r w:rsidR="001F2938" w:rsidRPr="009935E0">
        <w:rPr>
          <w:rFonts w:ascii="Times New Roman" w:hAnsi="Times New Roman" w:cs="Times New Roman"/>
          <w:sz w:val="24"/>
          <w:szCs w:val="24"/>
        </w:rPr>
        <w:t xml:space="preserve">. </w:t>
      </w:r>
      <w:r w:rsidR="004C22A0" w:rsidRPr="009935E0">
        <w:rPr>
          <w:rFonts w:ascii="Times New Roman" w:hAnsi="Times New Roman" w:cs="Times New Roman"/>
          <w:sz w:val="24"/>
          <w:szCs w:val="24"/>
        </w:rPr>
        <w:t>W przypadkach</w:t>
      </w:r>
      <w:r w:rsidRPr="009935E0">
        <w:rPr>
          <w:rFonts w:ascii="Times New Roman" w:hAnsi="Times New Roman" w:cs="Times New Roman"/>
          <w:sz w:val="24"/>
          <w:szCs w:val="24"/>
        </w:rPr>
        <w:t>, w których nie istnieje organizacja zbiorowego zarządzania spełniająca wymogi określone w dyrektywie, przewidziano natomiast nowy obligatoryjny wyjątek (ograniczenie)</w:t>
      </w:r>
      <w:r w:rsidRPr="009935E0">
        <w:rPr>
          <w:rStyle w:val="Odwoanieprzypisudolnego"/>
          <w:rFonts w:ascii="Times New Roman" w:hAnsi="Times New Roman" w:cs="Times New Roman"/>
          <w:sz w:val="24"/>
          <w:szCs w:val="24"/>
        </w:rPr>
        <w:footnoteReference w:id="19"/>
      </w:r>
      <w:r w:rsidR="00205E47"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w:t>
      </w:r>
      <w:r w:rsidR="00403830" w:rsidRPr="009935E0">
        <w:rPr>
          <w:rFonts w:ascii="Times New Roman" w:hAnsi="Times New Roman" w:cs="Times New Roman"/>
          <w:sz w:val="24"/>
          <w:szCs w:val="24"/>
        </w:rPr>
        <w:t>U</w:t>
      </w:r>
      <w:r w:rsidRPr="009935E0">
        <w:rPr>
          <w:rFonts w:ascii="Times New Roman" w:hAnsi="Times New Roman" w:cs="Times New Roman"/>
          <w:sz w:val="24"/>
          <w:szCs w:val="24"/>
        </w:rPr>
        <w:t>stawa o prawie autorskim zawiera rozwiązani</w:t>
      </w:r>
      <w:r w:rsidR="00FC5BED" w:rsidRPr="009935E0">
        <w:rPr>
          <w:rFonts w:ascii="Times New Roman" w:hAnsi="Times New Roman" w:cs="Times New Roman"/>
          <w:sz w:val="24"/>
          <w:szCs w:val="24"/>
        </w:rPr>
        <w:t>a</w:t>
      </w:r>
      <w:r w:rsidRPr="009935E0">
        <w:rPr>
          <w:rFonts w:ascii="Times New Roman" w:hAnsi="Times New Roman" w:cs="Times New Roman"/>
          <w:sz w:val="24"/>
          <w:szCs w:val="24"/>
        </w:rPr>
        <w:t xml:space="preserve"> mające na celu ułatwienie korzystania z konkretnych, wąsko określonych</w:t>
      </w:r>
      <w:r w:rsidR="0005739A" w:rsidRPr="009935E0">
        <w:rPr>
          <w:rFonts w:ascii="Times New Roman" w:hAnsi="Times New Roman" w:cs="Times New Roman"/>
          <w:sz w:val="24"/>
          <w:szCs w:val="24"/>
        </w:rPr>
        <w:t>,</w:t>
      </w:r>
      <w:r w:rsidRPr="009935E0">
        <w:rPr>
          <w:rFonts w:ascii="Times New Roman" w:hAnsi="Times New Roman" w:cs="Times New Roman"/>
          <w:sz w:val="24"/>
          <w:szCs w:val="24"/>
        </w:rPr>
        <w:t xml:space="preserve"> rodzajów utworów niedostępnych w handlu na podstawie umowy zawartej z organizacją zbiorowego zarządzania. Regulacja ta nie spełnia jednak wymogów </w:t>
      </w:r>
      <w:r w:rsidR="00FC5BED" w:rsidRPr="009935E0">
        <w:rPr>
          <w:rFonts w:ascii="Times New Roman" w:hAnsi="Times New Roman" w:cs="Times New Roman"/>
          <w:sz w:val="24"/>
          <w:szCs w:val="24"/>
        </w:rPr>
        <w:t>wskazanych</w:t>
      </w:r>
      <w:r w:rsidR="0005739A" w:rsidRPr="009935E0">
        <w:rPr>
          <w:rFonts w:ascii="Times New Roman" w:hAnsi="Times New Roman" w:cs="Times New Roman"/>
          <w:sz w:val="24"/>
          <w:szCs w:val="24"/>
        </w:rPr>
        <w:t xml:space="preserve"> w dyrektywie</w:t>
      </w:r>
      <w:r w:rsidRPr="009935E0">
        <w:rPr>
          <w:rFonts w:ascii="Times New Roman" w:hAnsi="Times New Roman" w:cs="Times New Roman"/>
          <w:sz w:val="24"/>
          <w:szCs w:val="24"/>
        </w:rPr>
        <w:t xml:space="preserve"> zarówno w odniesieniu do zakresu przedmiotowego, jak i warunków oraz dopuszczalnych sposobów korzystania z utworów niedostępnych w handlu. W związku z powyższym konieczne okazało się całościowe, ponowne uregulowanie instytucji ułatwiających korzystanie z tych utworów</w:t>
      </w:r>
      <w:r w:rsidR="00531A9D" w:rsidRPr="009935E0">
        <w:rPr>
          <w:rFonts w:ascii="Times New Roman" w:hAnsi="Times New Roman" w:cs="Times New Roman"/>
          <w:sz w:val="24"/>
          <w:szCs w:val="24"/>
        </w:rPr>
        <w:t xml:space="preserve"> przez instytucje dziedzictwa kulturowego</w:t>
      </w:r>
      <w:r w:rsidRPr="009935E0">
        <w:rPr>
          <w:rFonts w:ascii="Times New Roman" w:hAnsi="Times New Roman" w:cs="Times New Roman"/>
          <w:sz w:val="24"/>
          <w:szCs w:val="24"/>
        </w:rPr>
        <w:t xml:space="preserve">. </w:t>
      </w:r>
    </w:p>
    <w:p w14:paraId="7634A30C" w14:textId="172E4D02" w:rsidR="00796596" w:rsidRPr="009935E0" w:rsidRDefault="00F9526B" w:rsidP="00483092">
      <w:pPr>
        <w:tabs>
          <w:tab w:val="left" w:pos="426"/>
        </w:tabs>
        <w:spacing w:before="120" w:after="0" w:line="360" w:lineRule="auto"/>
        <w:jc w:val="both"/>
        <w:rPr>
          <w:rFonts w:ascii="Times New Roman" w:hAnsi="Times New Roman" w:cs="Times New Roman"/>
          <w:b/>
          <w:sz w:val="24"/>
          <w:szCs w:val="24"/>
        </w:rPr>
      </w:pPr>
      <w:r w:rsidRPr="009935E0">
        <w:rPr>
          <w:rFonts w:ascii="Times New Roman" w:hAnsi="Times New Roman" w:cs="Times New Roman"/>
          <w:b/>
          <w:sz w:val="24"/>
          <w:szCs w:val="24"/>
        </w:rPr>
        <w:t>2.2</w:t>
      </w:r>
      <w:r w:rsidR="00687958" w:rsidRPr="009935E0">
        <w:rPr>
          <w:rFonts w:ascii="Times New Roman" w:hAnsi="Times New Roman" w:cs="Times New Roman"/>
          <w:b/>
          <w:sz w:val="24"/>
          <w:szCs w:val="24"/>
        </w:rPr>
        <w:t>.</w:t>
      </w:r>
      <w:r w:rsidR="00DC5B80">
        <w:rPr>
          <w:rFonts w:ascii="Times New Roman" w:hAnsi="Times New Roman" w:cs="Times New Roman"/>
          <w:b/>
          <w:sz w:val="24"/>
          <w:szCs w:val="24"/>
        </w:rPr>
        <w:tab/>
      </w:r>
      <w:r w:rsidR="00357BC6" w:rsidRPr="009935E0">
        <w:rPr>
          <w:rFonts w:ascii="Times New Roman" w:hAnsi="Times New Roman" w:cs="Times New Roman"/>
          <w:b/>
          <w:sz w:val="24"/>
          <w:szCs w:val="24"/>
        </w:rPr>
        <w:t xml:space="preserve">Postanowienia </w:t>
      </w:r>
      <w:r w:rsidR="00BE1315" w:rsidRPr="009935E0">
        <w:rPr>
          <w:rFonts w:ascii="Times New Roman" w:hAnsi="Times New Roman" w:cs="Times New Roman"/>
          <w:b/>
          <w:sz w:val="24"/>
          <w:szCs w:val="24"/>
        </w:rPr>
        <w:t>wspólne dotyczące korzystania z utworów niedostępnych w handlu</w:t>
      </w:r>
    </w:p>
    <w:p w14:paraId="5C600176" w14:textId="49F3D9FE" w:rsidR="00796596" w:rsidRPr="009935E0" w:rsidRDefault="00466012" w:rsidP="00483092">
      <w:pPr>
        <w:spacing w:before="120" w:after="0" w:line="360" w:lineRule="auto"/>
        <w:jc w:val="both"/>
        <w:rPr>
          <w:rFonts w:ascii="Times New Roman" w:hAnsi="Times New Roman" w:cs="Times New Roman"/>
          <w:b/>
          <w:sz w:val="24"/>
          <w:szCs w:val="24"/>
        </w:rPr>
      </w:pPr>
      <w:r w:rsidRPr="009935E0">
        <w:rPr>
          <w:rFonts w:ascii="Times New Roman" w:hAnsi="Times New Roman" w:cs="Times New Roman"/>
          <w:sz w:val="24"/>
          <w:szCs w:val="24"/>
        </w:rPr>
        <w:t xml:space="preserve">Projektowany </w:t>
      </w:r>
      <w:r w:rsidR="00B56146" w:rsidRPr="009935E0">
        <w:rPr>
          <w:rFonts w:ascii="Times New Roman" w:hAnsi="Times New Roman" w:cs="Times New Roman"/>
          <w:sz w:val="24"/>
          <w:szCs w:val="24"/>
        </w:rPr>
        <w:t>przepis</w:t>
      </w:r>
      <w:r w:rsidRPr="009935E0">
        <w:rPr>
          <w:rFonts w:ascii="Times New Roman" w:hAnsi="Times New Roman" w:cs="Times New Roman"/>
          <w:sz w:val="24"/>
          <w:szCs w:val="24"/>
        </w:rPr>
        <w:t xml:space="preserve"> </w:t>
      </w:r>
      <w:r w:rsidR="00FC5BED" w:rsidRPr="009935E0">
        <w:rPr>
          <w:rFonts w:ascii="Times New Roman" w:hAnsi="Times New Roman" w:cs="Times New Roman"/>
          <w:sz w:val="24"/>
          <w:szCs w:val="24"/>
        </w:rPr>
        <w:t>art. 35</w:t>
      </w:r>
      <w:r w:rsidR="00FC5BED" w:rsidRPr="009935E0">
        <w:rPr>
          <w:rFonts w:ascii="Times New Roman" w:hAnsi="Times New Roman" w:cs="Times New Roman"/>
          <w:sz w:val="24"/>
          <w:szCs w:val="24"/>
          <w:vertAlign w:val="superscript"/>
        </w:rPr>
        <w:t>10</w:t>
      </w:r>
      <w:r w:rsidR="00FC5BED"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otwiera część przepisów wspólnych (projektowany oddział 6) kompleksowej regulacji mającej na celu </w:t>
      </w:r>
      <w:r w:rsidR="00E148D6" w:rsidRPr="009935E0">
        <w:rPr>
          <w:rFonts w:ascii="Times New Roman" w:hAnsi="Times New Roman" w:cs="Times New Roman"/>
          <w:sz w:val="24"/>
          <w:szCs w:val="24"/>
        </w:rPr>
        <w:t>–</w:t>
      </w:r>
      <w:r w:rsidRPr="009935E0">
        <w:rPr>
          <w:rFonts w:ascii="Times New Roman" w:hAnsi="Times New Roman" w:cs="Times New Roman"/>
          <w:sz w:val="24"/>
          <w:szCs w:val="24"/>
        </w:rPr>
        <w:t xml:space="preserve"> zgodnie z wymogami </w:t>
      </w:r>
      <w:r w:rsidR="001D2EAA"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B56146"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 ułatwienie </w:t>
      </w:r>
      <w:r w:rsidR="00F42BBA" w:rsidRPr="009935E0">
        <w:rPr>
          <w:rFonts w:ascii="Times New Roman" w:hAnsi="Times New Roman" w:cs="Times New Roman"/>
          <w:sz w:val="24"/>
          <w:szCs w:val="24"/>
        </w:rPr>
        <w:t xml:space="preserve">korzystania </w:t>
      </w:r>
      <w:r w:rsidRPr="009935E0">
        <w:rPr>
          <w:rFonts w:ascii="Times New Roman" w:hAnsi="Times New Roman" w:cs="Times New Roman"/>
          <w:sz w:val="24"/>
          <w:szCs w:val="24"/>
        </w:rPr>
        <w:t>z utworów</w:t>
      </w:r>
      <w:r w:rsidRPr="009935E0">
        <w:rPr>
          <w:rStyle w:val="Odwoanieprzypisudolnego"/>
          <w:rFonts w:ascii="Times New Roman" w:hAnsi="Times New Roman" w:cs="Times New Roman"/>
          <w:sz w:val="24"/>
          <w:szCs w:val="24"/>
        </w:rPr>
        <w:footnoteReference w:id="20"/>
      </w:r>
      <w:r w:rsidR="00205E47"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niedostępnych w handlu</w:t>
      </w:r>
      <w:r w:rsidR="00746FDC" w:rsidRPr="009935E0">
        <w:rPr>
          <w:rFonts w:ascii="Times New Roman" w:hAnsi="Times New Roman" w:cs="Times New Roman"/>
          <w:sz w:val="24"/>
          <w:szCs w:val="24"/>
        </w:rPr>
        <w:t>,</w:t>
      </w:r>
      <w:r w:rsidRPr="009935E0">
        <w:rPr>
          <w:rFonts w:ascii="Times New Roman" w:hAnsi="Times New Roman" w:cs="Times New Roman"/>
          <w:sz w:val="24"/>
          <w:szCs w:val="24"/>
        </w:rPr>
        <w:t xml:space="preserve"> znajdujących się w zbiorach instytucji dziedzictwa kulturowego, w tym w szczególności ich digitalizacji i rozpowszechniania online, również w zakresie transgranicznym. </w:t>
      </w:r>
      <w:r w:rsidR="00506206" w:rsidRPr="009935E0">
        <w:rPr>
          <w:rFonts w:ascii="Times New Roman" w:hAnsi="Times New Roman" w:cs="Times New Roman"/>
          <w:sz w:val="24"/>
          <w:szCs w:val="24"/>
        </w:rPr>
        <w:t xml:space="preserve">W wyniku uwag zgłoszonych w toku konsultacji publicznych oraz uzgodnień międzyresortowych zdecydowano się </w:t>
      </w:r>
      <w:r w:rsidR="00F80337" w:rsidRPr="009935E0">
        <w:rPr>
          <w:rFonts w:ascii="Times New Roman" w:hAnsi="Times New Roman" w:cs="Times New Roman"/>
          <w:sz w:val="24"/>
          <w:szCs w:val="24"/>
        </w:rPr>
        <w:t xml:space="preserve">na </w:t>
      </w:r>
      <w:r w:rsidR="00506206" w:rsidRPr="009935E0">
        <w:rPr>
          <w:rFonts w:ascii="Times New Roman" w:hAnsi="Times New Roman" w:cs="Times New Roman"/>
          <w:sz w:val="24"/>
          <w:szCs w:val="24"/>
        </w:rPr>
        <w:t xml:space="preserve">rezygnację z wyłączenia możliwości stosowania projektowanych przepisów w odniesieniu do praw powierzonych organizacji zbiorowego zarządzania. Finalnie </w:t>
      </w:r>
      <w:r w:rsidR="00F80337" w:rsidRPr="009935E0">
        <w:rPr>
          <w:rFonts w:ascii="Times New Roman" w:hAnsi="Times New Roman" w:cs="Times New Roman"/>
          <w:sz w:val="24"/>
          <w:szCs w:val="24"/>
        </w:rPr>
        <w:t>rozwiązanie to, w zestawieniu z</w:t>
      </w:r>
      <w:r w:rsidR="00506206" w:rsidRPr="009935E0">
        <w:rPr>
          <w:rFonts w:ascii="Times New Roman" w:hAnsi="Times New Roman" w:cs="Times New Roman"/>
          <w:sz w:val="24"/>
          <w:szCs w:val="24"/>
        </w:rPr>
        <w:t xml:space="preserve"> treścią projektowanego art. 5 ust. 2a </w:t>
      </w:r>
      <w:r w:rsidR="00820F85" w:rsidRPr="009935E0">
        <w:rPr>
          <w:rFonts w:ascii="Times New Roman" w:hAnsi="Times New Roman" w:cs="Times New Roman"/>
          <w:sz w:val="24"/>
          <w:szCs w:val="24"/>
        </w:rPr>
        <w:t>ustawy o zbiorowym zarządzaniu</w:t>
      </w:r>
      <w:r w:rsidR="00506206" w:rsidRPr="009935E0">
        <w:rPr>
          <w:rFonts w:ascii="Times New Roman" w:hAnsi="Times New Roman" w:cs="Times New Roman"/>
          <w:sz w:val="24"/>
          <w:szCs w:val="24"/>
        </w:rPr>
        <w:t>, umożliwia instytucji dziedzictwa kulturowego zawarcie umowy o korzystanie zarówno na zasadach ogólnych – z uprawni</w:t>
      </w:r>
      <w:r w:rsidR="00F80337" w:rsidRPr="009935E0">
        <w:rPr>
          <w:rFonts w:ascii="Times New Roman" w:hAnsi="Times New Roman" w:cs="Times New Roman"/>
          <w:sz w:val="24"/>
          <w:szCs w:val="24"/>
        </w:rPr>
        <w:t>onym albo o</w:t>
      </w:r>
      <w:r w:rsidR="007B1009" w:rsidRPr="009935E0">
        <w:rPr>
          <w:rFonts w:ascii="Times New Roman" w:hAnsi="Times New Roman" w:cs="Times New Roman"/>
          <w:sz w:val="24"/>
          <w:szCs w:val="24"/>
        </w:rPr>
        <w:t xml:space="preserve">rganizacją </w:t>
      </w:r>
      <w:r w:rsidR="00F80337" w:rsidRPr="009935E0">
        <w:rPr>
          <w:rFonts w:ascii="Times New Roman" w:hAnsi="Times New Roman" w:cs="Times New Roman"/>
          <w:sz w:val="24"/>
          <w:szCs w:val="24"/>
        </w:rPr>
        <w:t>z</w:t>
      </w:r>
      <w:r w:rsidR="007B1009" w:rsidRPr="009935E0">
        <w:rPr>
          <w:rFonts w:ascii="Times New Roman" w:hAnsi="Times New Roman" w:cs="Times New Roman"/>
          <w:sz w:val="24"/>
          <w:szCs w:val="24"/>
        </w:rPr>
        <w:t xml:space="preserve">biorowego </w:t>
      </w:r>
      <w:r w:rsidR="00F80337" w:rsidRPr="009935E0">
        <w:rPr>
          <w:rFonts w:ascii="Times New Roman" w:hAnsi="Times New Roman" w:cs="Times New Roman"/>
          <w:sz w:val="24"/>
          <w:szCs w:val="24"/>
        </w:rPr>
        <w:t>z</w:t>
      </w:r>
      <w:r w:rsidR="007B1009" w:rsidRPr="009935E0">
        <w:rPr>
          <w:rFonts w:ascii="Times New Roman" w:hAnsi="Times New Roman" w:cs="Times New Roman"/>
          <w:sz w:val="24"/>
          <w:szCs w:val="24"/>
        </w:rPr>
        <w:t>arządzania</w:t>
      </w:r>
      <w:r w:rsidR="00F80337" w:rsidRPr="009935E0">
        <w:rPr>
          <w:rFonts w:ascii="Times New Roman" w:hAnsi="Times New Roman" w:cs="Times New Roman"/>
          <w:sz w:val="24"/>
          <w:szCs w:val="24"/>
        </w:rPr>
        <w:t>, której powierzył on</w:t>
      </w:r>
      <w:r w:rsidR="00506206" w:rsidRPr="009935E0">
        <w:rPr>
          <w:rFonts w:ascii="Times New Roman" w:hAnsi="Times New Roman" w:cs="Times New Roman"/>
          <w:sz w:val="24"/>
          <w:szCs w:val="24"/>
        </w:rPr>
        <w:t xml:space="preserve"> prawa, jak również na zasadach określonych w projektowanych przepisach </w:t>
      </w:r>
      <w:r w:rsidR="007B1009" w:rsidRPr="009935E0">
        <w:rPr>
          <w:rFonts w:ascii="Times New Roman" w:hAnsi="Times New Roman" w:cs="Times New Roman"/>
          <w:sz w:val="24"/>
          <w:szCs w:val="24"/>
        </w:rPr>
        <w:t>–</w:t>
      </w:r>
      <w:r w:rsidR="00832EEF" w:rsidRPr="009935E0">
        <w:rPr>
          <w:rFonts w:ascii="Times New Roman" w:hAnsi="Times New Roman" w:cs="Times New Roman"/>
          <w:sz w:val="24"/>
          <w:szCs w:val="24"/>
        </w:rPr>
        <w:t xml:space="preserve"> </w:t>
      </w:r>
      <w:r w:rsidR="00506206" w:rsidRPr="009935E0">
        <w:rPr>
          <w:rFonts w:ascii="Times New Roman" w:hAnsi="Times New Roman" w:cs="Times New Roman"/>
          <w:sz w:val="24"/>
          <w:szCs w:val="24"/>
        </w:rPr>
        <w:t>z o</w:t>
      </w:r>
      <w:r w:rsidR="007B1009" w:rsidRPr="009935E0">
        <w:rPr>
          <w:rFonts w:ascii="Times New Roman" w:hAnsi="Times New Roman" w:cs="Times New Roman"/>
          <w:sz w:val="24"/>
          <w:szCs w:val="24"/>
        </w:rPr>
        <w:t xml:space="preserve">rganizacją </w:t>
      </w:r>
      <w:r w:rsidR="00506206" w:rsidRPr="009935E0">
        <w:rPr>
          <w:rFonts w:ascii="Times New Roman" w:hAnsi="Times New Roman" w:cs="Times New Roman"/>
          <w:sz w:val="24"/>
          <w:szCs w:val="24"/>
        </w:rPr>
        <w:t>z</w:t>
      </w:r>
      <w:r w:rsidR="007B1009" w:rsidRPr="009935E0">
        <w:rPr>
          <w:rFonts w:ascii="Times New Roman" w:hAnsi="Times New Roman" w:cs="Times New Roman"/>
          <w:sz w:val="24"/>
          <w:szCs w:val="24"/>
        </w:rPr>
        <w:t xml:space="preserve">biorowego </w:t>
      </w:r>
      <w:r w:rsidR="00506206" w:rsidRPr="009935E0">
        <w:rPr>
          <w:rFonts w:ascii="Times New Roman" w:hAnsi="Times New Roman" w:cs="Times New Roman"/>
          <w:sz w:val="24"/>
          <w:szCs w:val="24"/>
        </w:rPr>
        <w:t>z</w:t>
      </w:r>
      <w:r w:rsidR="007B1009" w:rsidRPr="009935E0">
        <w:rPr>
          <w:rFonts w:ascii="Times New Roman" w:hAnsi="Times New Roman" w:cs="Times New Roman"/>
          <w:sz w:val="24"/>
          <w:szCs w:val="24"/>
        </w:rPr>
        <w:t>arządzania</w:t>
      </w:r>
      <w:r w:rsidR="00506206" w:rsidRPr="009935E0">
        <w:rPr>
          <w:rFonts w:ascii="Times New Roman" w:hAnsi="Times New Roman" w:cs="Times New Roman"/>
          <w:sz w:val="24"/>
          <w:szCs w:val="24"/>
        </w:rPr>
        <w:t xml:space="preserve"> reprezentatywną. </w:t>
      </w:r>
    </w:p>
    <w:p w14:paraId="6A2500AE" w14:textId="653E2FB1"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8 ust. 5 </w:t>
      </w:r>
      <w:r w:rsidR="001D2EAA"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746FDC" w:rsidRPr="009935E0">
        <w:rPr>
          <w:rFonts w:ascii="Times New Roman" w:hAnsi="Times New Roman" w:cs="Times New Roman"/>
          <w:sz w:val="24"/>
          <w:szCs w:val="24"/>
        </w:rPr>
        <w:t xml:space="preserve"> </w:t>
      </w:r>
      <w:r w:rsidR="00403830"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określa wymogi uznania utworu za niedostępny w handlu na potrzeby korzystania określonego w </w:t>
      </w:r>
      <w:r w:rsidR="001D2EAA"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yrektywie. Zgodnie z jego treścią </w:t>
      </w:r>
      <w:r w:rsidR="00F9526B" w:rsidRPr="009935E0">
        <w:rPr>
          <w:rFonts w:ascii="Times New Roman" w:hAnsi="Times New Roman" w:cs="Times New Roman"/>
          <w:sz w:val="24"/>
          <w:szCs w:val="24"/>
        </w:rPr>
        <w:t>„</w:t>
      </w:r>
      <w:r w:rsidRPr="009935E0">
        <w:rPr>
          <w:rFonts w:ascii="Times New Roman" w:hAnsi="Times New Roman" w:cs="Times New Roman"/>
          <w:sz w:val="24"/>
          <w:szCs w:val="24"/>
        </w:rPr>
        <w:t>utwór lub inny przedmiot objęty ochroną uznaje się za niedostępny w obrocie handlowym</w:t>
      </w:r>
      <w:r w:rsidR="00BB0D74">
        <w:rPr>
          <w:rStyle w:val="Odwoanieprzypisudolnego"/>
          <w:rFonts w:ascii="Times New Roman" w:hAnsi="Times New Roman" w:cs="Times New Roman"/>
          <w:sz w:val="24"/>
          <w:szCs w:val="24"/>
        </w:rPr>
        <w:footnoteReference w:id="21"/>
      </w:r>
      <w:r w:rsidR="00205E47"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jeżeli w dobrej </w:t>
      </w:r>
      <w:r w:rsidRPr="009935E0">
        <w:rPr>
          <w:rFonts w:ascii="Times New Roman" w:hAnsi="Times New Roman" w:cs="Times New Roman"/>
          <w:sz w:val="24"/>
          <w:szCs w:val="24"/>
        </w:rPr>
        <w:lastRenderedPageBreak/>
        <w:t>wierze można uznać, że cały utwór lub inny przedmiot objęty ochroną nie jest dostępny publicznie za pośrednictwem zwykłych kanałów handlowych, po tym jak podjęte zostały rozsądne działania w celu ustalenia, czy jest on dostępny publicznie</w:t>
      </w:r>
      <w:r w:rsidR="00F9526B"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00531A9D" w:rsidRPr="009935E0">
        <w:rPr>
          <w:rFonts w:ascii="Times New Roman" w:hAnsi="Times New Roman" w:cs="Times New Roman"/>
          <w:sz w:val="24"/>
          <w:szCs w:val="24"/>
        </w:rPr>
        <w:t>W projektowanej</w:t>
      </w:r>
      <w:r w:rsidR="00796596" w:rsidRPr="009935E0">
        <w:rPr>
          <w:rFonts w:ascii="Times New Roman" w:hAnsi="Times New Roman" w:cs="Times New Roman"/>
          <w:sz w:val="24"/>
          <w:szCs w:val="24"/>
        </w:rPr>
        <w:t xml:space="preserve"> w art. 35</w:t>
      </w:r>
      <w:r w:rsidR="00A00131" w:rsidRPr="009935E0">
        <w:rPr>
          <w:rFonts w:ascii="Times New Roman" w:hAnsi="Times New Roman" w:cs="Times New Roman"/>
          <w:sz w:val="24"/>
          <w:szCs w:val="24"/>
          <w:vertAlign w:val="superscript"/>
        </w:rPr>
        <w:t>10</w:t>
      </w:r>
      <w:r w:rsidR="00240918" w:rsidRPr="009935E0">
        <w:rPr>
          <w:rFonts w:ascii="Times New Roman" w:hAnsi="Times New Roman" w:cs="Times New Roman"/>
          <w:sz w:val="24"/>
          <w:szCs w:val="24"/>
        </w:rPr>
        <w:t xml:space="preserve"> </w:t>
      </w:r>
      <w:r w:rsidR="00531A9D" w:rsidRPr="009935E0">
        <w:rPr>
          <w:rFonts w:ascii="Times New Roman" w:hAnsi="Times New Roman" w:cs="Times New Roman"/>
          <w:sz w:val="24"/>
          <w:szCs w:val="24"/>
        </w:rPr>
        <w:t>definicji</w:t>
      </w:r>
      <w:r w:rsidRPr="009935E0">
        <w:rPr>
          <w:rFonts w:ascii="Times New Roman" w:hAnsi="Times New Roman" w:cs="Times New Roman"/>
          <w:sz w:val="24"/>
          <w:szCs w:val="24"/>
        </w:rPr>
        <w:t xml:space="preserve"> </w:t>
      </w:r>
      <w:r w:rsidR="0050015B" w:rsidRPr="009935E0">
        <w:rPr>
          <w:rFonts w:ascii="Times New Roman" w:hAnsi="Times New Roman" w:cs="Times New Roman"/>
          <w:sz w:val="24"/>
          <w:szCs w:val="24"/>
        </w:rPr>
        <w:t xml:space="preserve">utworów niedostępnych w handlu </w:t>
      </w:r>
      <w:r w:rsidRPr="009935E0">
        <w:rPr>
          <w:rFonts w:ascii="Times New Roman" w:hAnsi="Times New Roman" w:cs="Times New Roman"/>
          <w:sz w:val="24"/>
          <w:szCs w:val="24"/>
        </w:rPr>
        <w:t>określono</w:t>
      </w:r>
      <w:r w:rsidR="0050015B" w:rsidRPr="009935E0">
        <w:rPr>
          <w:rFonts w:ascii="Times New Roman" w:hAnsi="Times New Roman" w:cs="Times New Roman"/>
          <w:sz w:val="24"/>
          <w:szCs w:val="24"/>
        </w:rPr>
        <w:t>, że badanie poziomu ich dostępności</w:t>
      </w:r>
      <w:r w:rsidRPr="009935E0">
        <w:rPr>
          <w:rFonts w:ascii="Times New Roman" w:hAnsi="Times New Roman" w:cs="Times New Roman"/>
          <w:sz w:val="24"/>
          <w:szCs w:val="24"/>
        </w:rPr>
        <w:t xml:space="preserve"> </w:t>
      </w:r>
      <w:r w:rsidR="00A00131" w:rsidRPr="009935E0">
        <w:rPr>
          <w:rFonts w:ascii="Times New Roman" w:hAnsi="Times New Roman" w:cs="Times New Roman"/>
          <w:sz w:val="24"/>
          <w:szCs w:val="24"/>
        </w:rPr>
        <w:t>odbywa się przy uwzględnieniu</w:t>
      </w:r>
      <w:r w:rsidRPr="009935E0">
        <w:rPr>
          <w:rFonts w:ascii="Times New Roman" w:hAnsi="Times New Roman" w:cs="Times New Roman"/>
          <w:sz w:val="24"/>
          <w:szCs w:val="24"/>
        </w:rPr>
        <w:t xml:space="preserve"> kanałów dystrybucji</w:t>
      </w:r>
      <w:r w:rsidR="00EE61DE">
        <w:rPr>
          <w:rStyle w:val="Odwoanieprzypisudolnego"/>
          <w:rFonts w:ascii="Times New Roman" w:hAnsi="Times New Roman" w:cs="Times New Roman"/>
          <w:sz w:val="24"/>
          <w:szCs w:val="24"/>
        </w:rPr>
        <w:footnoteReference w:id="22"/>
      </w:r>
      <w:r w:rsidR="00205E47"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właściwych dla danego rodzaju utworów</w:t>
      </w:r>
      <w:r w:rsidR="00DE0439" w:rsidRPr="009935E0">
        <w:rPr>
          <w:rFonts w:ascii="Times New Roman" w:hAnsi="Times New Roman" w:cs="Times New Roman"/>
          <w:sz w:val="24"/>
          <w:szCs w:val="24"/>
        </w:rPr>
        <w:t>.</w:t>
      </w:r>
      <w:r w:rsidRPr="009935E0">
        <w:rPr>
          <w:rFonts w:ascii="Times New Roman" w:hAnsi="Times New Roman" w:cs="Times New Roman"/>
          <w:sz w:val="24"/>
          <w:szCs w:val="24"/>
        </w:rPr>
        <w:t xml:space="preserve"> Na konieczność uwzględnieni</w:t>
      </w:r>
      <w:r w:rsidR="00486379" w:rsidRPr="009935E0">
        <w:rPr>
          <w:rFonts w:ascii="Times New Roman" w:hAnsi="Times New Roman" w:cs="Times New Roman"/>
          <w:sz w:val="24"/>
          <w:szCs w:val="24"/>
        </w:rPr>
        <w:t>a</w:t>
      </w:r>
      <w:r w:rsidR="00531A9D" w:rsidRPr="009935E0">
        <w:rPr>
          <w:rFonts w:ascii="Times New Roman" w:hAnsi="Times New Roman" w:cs="Times New Roman"/>
          <w:sz w:val="24"/>
          <w:szCs w:val="24"/>
        </w:rPr>
        <w:t xml:space="preserve"> specyfiki</w:t>
      </w:r>
      <w:r w:rsidR="00751D2A"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dystrybucji </w:t>
      </w:r>
      <w:r w:rsidR="000807BF" w:rsidRPr="009935E0">
        <w:rPr>
          <w:rFonts w:ascii="Times New Roman" w:hAnsi="Times New Roman" w:cs="Times New Roman"/>
          <w:sz w:val="24"/>
          <w:szCs w:val="24"/>
        </w:rPr>
        <w:t xml:space="preserve">danego rodzaju utworów </w:t>
      </w:r>
      <w:r w:rsidRPr="009935E0">
        <w:rPr>
          <w:rFonts w:ascii="Times New Roman" w:hAnsi="Times New Roman" w:cs="Times New Roman"/>
          <w:sz w:val="24"/>
          <w:szCs w:val="24"/>
        </w:rPr>
        <w:t xml:space="preserve">wskazano w motywie 38 </w:t>
      </w:r>
      <w:r w:rsidR="00403830" w:rsidRPr="009935E0">
        <w:rPr>
          <w:rFonts w:ascii="Times New Roman" w:hAnsi="Times New Roman" w:cs="Times New Roman"/>
          <w:sz w:val="24"/>
          <w:szCs w:val="24"/>
        </w:rPr>
        <w:t xml:space="preserve">tej </w:t>
      </w:r>
      <w:r w:rsidR="001D2EAA"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yrektywy, zgodnie z którym badanie dostępności powinno być podejmowane </w:t>
      </w:r>
      <w:r w:rsidR="009C5B09" w:rsidRPr="009935E0">
        <w:rPr>
          <w:rFonts w:ascii="Times New Roman" w:hAnsi="Times New Roman" w:cs="Times New Roman"/>
          <w:sz w:val="24"/>
          <w:szCs w:val="24"/>
        </w:rPr>
        <w:t>„</w:t>
      </w:r>
      <w:r w:rsidRPr="009935E0">
        <w:rPr>
          <w:rFonts w:ascii="Times New Roman" w:hAnsi="Times New Roman" w:cs="Times New Roman"/>
          <w:sz w:val="24"/>
          <w:szCs w:val="24"/>
        </w:rPr>
        <w:t>z uwzględnieniem cech charakterystycznych danego utworu lub innego przedmiotu objętego ochroną lub konkretnego zbioru utworów lub innych przedmiotów objętych ochroną</w:t>
      </w:r>
      <w:r w:rsidR="009C5B09" w:rsidRPr="009935E0">
        <w:rPr>
          <w:rFonts w:ascii="Times New Roman" w:hAnsi="Times New Roman" w:cs="Times New Roman"/>
          <w:sz w:val="24"/>
          <w:szCs w:val="24"/>
        </w:rPr>
        <w:t>”</w:t>
      </w:r>
      <w:r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p>
    <w:p w14:paraId="2897F3DF" w14:textId="4FB0BD85"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Dyrektywa </w:t>
      </w:r>
      <w:r w:rsidR="00403830"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przewiduje wymóg podjęcia </w:t>
      </w:r>
      <w:r w:rsidR="009C5B09" w:rsidRPr="009935E0">
        <w:rPr>
          <w:rFonts w:ascii="Times New Roman" w:hAnsi="Times New Roman" w:cs="Times New Roman"/>
          <w:sz w:val="24"/>
          <w:szCs w:val="24"/>
        </w:rPr>
        <w:t>„</w:t>
      </w:r>
      <w:r w:rsidRPr="009935E0">
        <w:rPr>
          <w:rFonts w:ascii="Times New Roman" w:hAnsi="Times New Roman" w:cs="Times New Roman"/>
          <w:sz w:val="24"/>
          <w:szCs w:val="24"/>
        </w:rPr>
        <w:t>rozsądnych działań</w:t>
      </w:r>
      <w:r w:rsidR="009C5B09" w:rsidRPr="009935E0">
        <w:rPr>
          <w:rFonts w:ascii="Times New Roman" w:hAnsi="Times New Roman" w:cs="Times New Roman"/>
          <w:sz w:val="24"/>
          <w:szCs w:val="24"/>
        </w:rPr>
        <w:t>”</w:t>
      </w:r>
      <w:r w:rsidRPr="009935E0">
        <w:rPr>
          <w:rFonts w:ascii="Times New Roman" w:hAnsi="Times New Roman" w:cs="Times New Roman"/>
          <w:sz w:val="24"/>
          <w:szCs w:val="24"/>
        </w:rPr>
        <w:t xml:space="preserve"> w celu weryfikacji dostępności utworów lub innych przedmiotów objętych ochroną. W projektowanym przepisie przewidziano</w:t>
      </w:r>
      <w:r w:rsidR="00751D2A" w:rsidRPr="009935E0">
        <w:rPr>
          <w:rFonts w:ascii="Times New Roman" w:hAnsi="Times New Roman" w:cs="Times New Roman"/>
          <w:sz w:val="24"/>
          <w:szCs w:val="24"/>
        </w:rPr>
        <w:t xml:space="preserve"> zatem</w:t>
      </w:r>
      <w:r w:rsidRPr="009935E0">
        <w:rPr>
          <w:rFonts w:ascii="Times New Roman" w:hAnsi="Times New Roman" w:cs="Times New Roman"/>
          <w:sz w:val="24"/>
          <w:szCs w:val="24"/>
        </w:rPr>
        <w:t xml:space="preserve">, że stwierdzenie niedostępności utworu powinno nastąpić w wyniku przeprowadzenia badania dostępności </w:t>
      </w:r>
      <w:r w:rsidR="009C5B09" w:rsidRPr="009935E0">
        <w:rPr>
          <w:rFonts w:ascii="Times New Roman" w:hAnsi="Times New Roman" w:cs="Times New Roman"/>
          <w:sz w:val="24"/>
          <w:szCs w:val="24"/>
        </w:rPr>
        <w:t>„</w:t>
      </w:r>
      <w:r w:rsidRPr="009935E0">
        <w:rPr>
          <w:rFonts w:ascii="Times New Roman" w:hAnsi="Times New Roman" w:cs="Times New Roman"/>
          <w:sz w:val="24"/>
          <w:szCs w:val="24"/>
        </w:rPr>
        <w:t>w dobrej wierze i z należytą starannością</w:t>
      </w:r>
      <w:r w:rsidR="009C5B09"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W</w:t>
      </w:r>
      <w:r w:rsidR="004F2E2B">
        <w:rPr>
          <w:rFonts w:ascii="Times New Roman" w:hAnsi="Times New Roman" w:cs="Times New Roman"/>
          <w:sz w:val="24"/>
          <w:szCs w:val="24"/>
        </w:rPr>
        <w:t> </w:t>
      </w:r>
      <w:r w:rsidRPr="009935E0">
        <w:rPr>
          <w:rFonts w:ascii="Times New Roman" w:hAnsi="Times New Roman" w:cs="Times New Roman"/>
          <w:sz w:val="24"/>
          <w:szCs w:val="24"/>
        </w:rPr>
        <w:t xml:space="preserve">proponowanym rozwiązaniu zdecydowano się na zastosowanie klauzul generalnych funkcjonujących na gruncie prawa cywilnego. Umożliwia to odpowiednie uwzględnienie dotychczas wypracowanych dla tych klauzul wskazówek interpretacyjnych. Projektodawca postanowił natomiast uniknąć określania konkretnych działań oraz precyzyjnego wskazywania źródeł, które powinny zostać zweryfikowane w celu stwierdzenia niedostępności, uwzględniając odmienność regulacji przewidzianej </w:t>
      </w:r>
      <w:r w:rsidR="005504F9" w:rsidRPr="009935E0">
        <w:rPr>
          <w:rFonts w:ascii="Times New Roman" w:hAnsi="Times New Roman" w:cs="Times New Roman"/>
          <w:sz w:val="24"/>
          <w:szCs w:val="24"/>
        </w:rPr>
        <w:t>d</w:t>
      </w:r>
      <w:r w:rsidRPr="009935E0">
        <w:rPr>
          <w:rFonts w:ascii="Times New Roman" w:hAnsi="Times New Roman" w:cs="Times New Roman"/>
          <w:sz w:val="24"/>
          <w:szCs w:val="24"/>
        </w:rPr>
        <w:t>yrektywą</w:t>
      </w:r>
      <w:r w:rsidR="00815F40"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od rozwiązania zastosowanego w </w:t>
      </w:r>
      <w:r w:rsidR="005504F9"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yrektywie 2012/28/UE w sprawie niektórych dozwolonych sposobów korzystania z utworów osieroconych. Takie rozwiązanie </w:t>
      </w:r>
      <w:r w:rsidR="009669AE" w:rsidRPr="009935E0">
        <w:rPr>
          <w:rFonts w:ascii="Times New Roman" w:hAnsi="Times New Roman" w:cs="Times New Roman"/>
          <w:sz w:val="24"/>
          <w:szCs w:val="24"/>
        </w:rPr>
        <w:t xml:space="preserve">przyjęte przez prawodawcę unijnego </w:t>
      </w:r>
      <w:r w:rsidRPr="009935E0">
        <w:rPr>
          <w:rFonts w:ascii="Times New Roman" w:hAnsi="Times New Roman" w:cs="Times New Roman"/>
          <w:sz w:val="24"/>
          <w:szCs w:val="24"/>
        </w:rPr>
        <w:t xml:space="preserve">wydaje się wynikać </w:t>
      </w:r>
      <w:r w:rsidR="009669AE" w:rsidRPr="009935E0">
        <w:rPr>
          <w:rFonts w:ascii="Times New Roman" w:hAnsi="Times New Roman" w:cs="Times New Roman"/>
          <w:sz w:val="24"/>
          <w:szCs w:val="24"/>
        </w:rPr>
        <w:t xml:space="preserve">m.in. </w:t>
      </w:r>
      <w:r w:rsidRPr="009935E0">
        <w:rPr>
          <w:rFonts w:ascii="Times New Roman" w:hAnsi="Times New Roman" w:cs="Times New Roman"/>
          <w:sz w:val="24"/>
          <w:szCs w:val="24"/>
        </w:rPr>
        <w:t>z faktu, ż</w:t>
      </w:r>
      <w:r w:rsidR="00486379" w:rsidRPr="009935E0">
        <w:rPr>
          <w:rFonts w:ascii="Times New Roman" w:hAnsi="Times New Roman" w:cs="Times New Roman"/>
          <w:sz w:val="24"/>
          <w:szCs w:val="24"/>
        </w:rPr>
        <w:t>e</w:t>
      </w:r>
      <w:r w:rsidRPr="009935E0">
        <w:rPr>
          <w:rFonts w:ascii="Times New Roman" w:hAnsi="Times New Roman" w:cs="Times New Roman"/>
          <w:sz w:val="24"/>
          <w:szCs w:val="24"/>
        </w:rPr>
        <w:t xml:space="preserve"> badanie dostępności utworów w zakresie uwzględniającym potrzeby odbiorców jest zadaniem łatwiejszym niż poszukiwanie uprawnionych w przypadku utworów potencjalnie osieroconych. Z powyższych względów dążenie do kazuistycznej regulacji, przewidującej na poziomie ustawy choćby przykładowe wskazanie konkretnych potencjalnych źródeł informacji na temat dostępności poszczególnych rodzajów utworów niedost</w:t>
      </w:r>
      <w:r w:rsidR="009C52B3" w:rsidRPr="009935E0">
        <w:rPr>
          <w:rFonts w:ascii="Times New Roman" w:hAnsi="Times New Roman" w:cs="Times New Roman"/>
          <w:sz w:val="24"/>
          <w:szCs w:val="24"/>
        </w:rPr>
        <w:t xml:space="preserve">ępnych w handlu, prowadzącej do </w:t>
      </w:r>
      <w:r w:rsidRPr="009935E0">
        <w:rPr>
          <w:rFonts w:ascii="Times New Roman" w:hAnsi="Times New Roman" w:cs="Times New Roman"/>
          <w:sz w:val="24"/>
          <w:szCs w:val="24"/>
        </w:rPr>
        <w:t xml:space="preserve">sformalizowania tych badań na wzór regulacji </w:t>
      </w:r>
      <w:r w:rsidRPr="009935E0">
        <w:rPr>
          <w:rFonts w:ascii="Times New Roman" w:hAnsi="Times New Roman" w:cs="Times New Roman"/>
          <w:sz w:val="24"/>
          <w:szCs w:val="24"/>
        </w:rPr>
        <w:lastRenderedPageBreak/>
        <w:t>dotyczącej utworów osieroconych, nie wydaje się na obecnym etapie wskazane ani racjonalne. Dodatkowe szczególne wskazania dotyczące prowadzenia działań, o których mowa w</w:t>
      </w:r>
      <w:r w:rsidR="004F2E2B">
        <w:rPr>
          <w:rFonts w:ascii="Times New Roman" w:hAnsi="Times New Roman" w:cs="Times New Roman"/>
          <w:sz w:val="24"/>
          <w:szCs w:val="24"/>
        </w:rPr>
        <w:t> </w:t>
      </w:r>
      <w:r w:rsidRPr="009935E0">
        <w:rPr>
          <w:rFonts w:ascii="Times New Roman" w:hAnsi="Times New Roman" w:cs="Times New Roman"/>
          <w:sz w:val="24"/>
          <w:szCs w:val="24"/>
        </w:rPr>
        <w:t xml:space="preserve">projektowanym </w:t>
      </w:r>
      <w:r w:rsidR="001241A6" w:rsidRPr="009935E0">
        <w:rPr>
          <w:rFonts w:ascii="Times New Roman" w:hAnsi="Times New Roman" w:cs="Times New Roman"/>
          <w:sz w:val="24"/>
          <w:szCs w:val="24"/>
        </w:rPr>
        <w:t>przepisie</w:t>
      </w:r>
      <w:r w:rsidR="005504F9" w:rsidRPr="009935E0">
        <w:rPr>
          <w:rFonts w:ascii="Times New Roman" w:hAnsi="Times New Roman" w:cs="Times New Roman"/>
          <w:sz w:val="24"/>
          <w:szCs w:val="24"/>
        </w:rPr>
        <w:t>,</w:t>
      </w:r>
      <w:r w:rsidRPr="009935E0">
        <w:rPr>
          <w:rFonts w:ascii="Times New Roman" w:hAnsi="Times New Roman" w:cs="Times New Roman"/>
          <w:sz w:val="24"/>
          <w:szCs w:val="24"/>
        </w:rPr>
        <w:t xml:space="preserve"> w specyficznych sytuacjach, zawarto w </w:t>
      </w:r>
      <w:r w:rsidR="00403830" w:rsidRPr="009935E0">
        <w:rPr>
          <w:rFonts w:ascii="Times New Roman" w:hAnsi="Times New Roman" w:cs="Times New Roman"/>
          <w:sz w:val="24"/>
          <w:szCs w:val="24"/>
        </w:rPr>
        <w:t xml:space="preserve">zmienianych </w:t>
      </w:r>
      <w:r w:rsidRPr="009935E0">
        <w:rPr>
          <w:rFonts w:ascii="Times New Roman" w:hAnsi="Times New Roman" w:cs="Times New Roman"/>
          <w:sz w:val="24"/>
          <w:szCs w:val="24"/>
        </w:rPr>
        <w:t>art. 35</w:t>
      </w:r>
      <w:r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2</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i</w:t>
      </w:r>
      <w:r w:rsidR="004F2E2B">
        <w:rPr>
          <w:rFonts w:ascii="Times New Roman" w:hAnsi="Times New Roman" w:cs="Times New Roman"/>
          <w:sz w:val="24"/>
          <w:szCs w:val="24"/>
        </w:rPr>
        <w:t> </w:t>
      </w:r>
      <w:r w:rsidR="00486379" w:rsidRPr="009935E0">
        <w:rPr>
          <w:rFonts w:ascii="Times New Roman" w:hAnsi="Times New Roman" w:cs="Times New Roman"/>
          <w:sz w:val="24"/>
          <w:szCs w:val="24"/>
        </w:rPr>
        <w:t>art.</w:t>
      </w:r>
      <w:r w:rsidR="004F2E2B">
        <w:t> </w:t>
      </w:r>
      <w:r w:rsidRPr="009935E0">
        <w:rPr>
          <w:rFonts w:ascii="Times New Roman" w:hAnsi="Times New Roman" w:cs="Times New Roman"/>
          <w:sz w:val="24"/>
          <w:szCs w:val="24"/>
        </w:rPr>
        <w:t>35</w:t>
      </w:r>
      <w:r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3</w:t>
      </w:r>
      <w:r w:rsidR="009C5B09" w:rsidRPr="009935E0">
        <w:rPr>
          <w:rFonts w:ascii="Times New Roman" w:hAnsi="Times New Roman" w:cs="Times New Roman"/>
          <w:sz w:val="24"/>
          <w:szCs w:val="24"/>
        </w:rPr>
        <w:t xml:space="preserve"> ustawy o prawie autorskim.</w:t>
      </w:r>
    </w:p>
    <w:p w14:paraId="687371A0" w14:textId="2E2B86D8" w:rsidR="00796596" w:rsidRPr="009935E0" w:rsidRDefault="00C67261"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projekcie nie przesąd</w:t>
      </w:r>
      <w:r w:rsidR="00531A9D" w:rsidRPr="009935E0">
        <w:rPr>
          <w:rFonts w:ascii="Times New Roman" w:hAnsi="Times New Roman" w:cs="Times New Roman"/>
          <w:sz w:val="24"/>
          <w:szCs w:val="24"/>
        </w:rPr>
        <w:t>zono</w:t>
      </w:r>
      <w:r w:rsidR="001241A6" w:rsidRPr="009935E0">
        <w:rPr>
          <w:rFonts w:ascii="Times New Roman" w:hAnsi="Times New Roman" w:cs="Times New Roman"/>
          <w:sz w:val="24"/>
          <w:szCs w:val="24"/>
        </w:rPr>
        <w:t>,</w:t>
      </w:r>
      <w:r w:rsidR="00531A9D" w:rsidRPr="009935E0">
        <w:rPr>
          <w:rFonts w:ascii="Times New Roman" w:hAnsi="Times New Roman" w:cs="Times New Roman"/>
          <w:sz w:val="24"/>
          <w:szCs w:val="24"/>
        </w:rPr>
        <w:t xml:space="preserve"> kto powinien przeprowadzić działania umożliwiające</w:t>
      </w:r>
      <w:r w:rsidRPr="009935E0">
        <w:rPr>
          <w:rFonts w:ascii="Times New Roman" w:hAnsi="Times New Roman" w:cs="Times New Roman"/>
          <w:sz w:val="24"/>
          <w:szCs w:val="24"/>
        </w:rPr>
        <w:t xml:space="preserve"> st</w:t>
      </w:r>
      <w:r w:rsidR="00572DF6" w:rsidRPr="009935E0">
        <w:rPr>
          <w:rFonts w:ascii="Times New Roman" w:hAnsi="Times New Roman" w:cs="Times New Roman"/>
          <w:sz w:val="24"/>
          <w:szCs w:val="24"/>
        </w:rPr>
        <w:t>wierdzenie niedostępności</w:t>
      </w:r>
      <w:r w:rsidRPr="009935E0">
        <w:rPr>
          <w:rFonts w:ascii="Times New Roman" w:hAnsi="Times New Roman" w:cs="Times New Roman"/>
          <w:sz w:val="24"/>
          <w:szCs w:val="24"/>
        </w:rPr>
        <w:t xml:space="preserve"> na po</w:t>
      </w:r>
      <w:r w:rsidR="00D03F24" w:rsidRPr="009935E0">
        <w:rPr>
          <w:rFonts w:ascii="Times New Roman" w:hAnsi="Times New Roman" w:cs="Times New Roman"/>
          <w:sz w:val="24"/>
          <w:szCs w:val="24"/>
        </w:rPr>
        <w:t>trzeby korzystania z utworu nie</w:t>
      </w:r>
      <w:r w:rsidR="00531A9D" w:rsidRPr="009935E0">
        <w:rPr>
          <w:rFonts w:ascii="Times New Roman" w:hAnsi="Times New Roman" w:cs="Times New Roman"/>
          <w:sz w:val="24"/>
          <w:szCs w:val="24"/>
        </w:rPr>
        <w:t>dostępnego w handlu. O ile w przypadku korzystania na podstawie dozwolonego użytku (projektowany oddział</w:t>
      </w:r>
      <w:r w:rsidR="00572DF6" w:rsidRPr="009935E0">
        <w:rPr>
          <w:rFonts w:ascii="Times New Roman" w:hAnsi="Times New Roman" w:cs="Times New Roman"/>
          <w:sz w:val="24"/>
          <w:szCs w:val="24"/>
        </w:rPr>
        <w:t xml:space="preserve"> 6b) ciężar</w:t>
      </w:r>
      <w:r w:rsidR="00531A9D" w:rsidRPr="009935E0">
        <w:rPr>
          <w:rFonts w:ascii="Times New Roman" w:hAnsi="Times New Roman" w:cs="Times New Roman"/>
          <w:sz w:val="24"/>
          <w:szCs w:val="24"/>
        </w:rPr>
        <w:t xml:space="preserve"> ten </w:t>
      </w:r>
      <w:r w:rsidR="00DC58CD" w:rsidRPr="009935E0">
        <w:rPr>
          <w:rFonts w:ascii="Times New Roman" w:hAnsi="Times New Roman" w:cs="Times New Roman"/>
          <w:sz w:val="24"/>
          <w:szCs w:val="24"/>
        </w:rPr>
        <w:t xml:space="preserve">będzie </w:t>
      </w:r>
      <w:r w:rsidR="00531A9D" w:rsidRPr="009935E0">
        <w:rPr>
          <w:rFonts w:ascii="Times New Roman" w:hAnsi="Times New Roman" w:cs="Times New Roman"/>
          <w:sz w:val="24"/>
          <w:szCs w:val="24"/>
        </w:rPr>
        <w:t>spoczywał zawsze wyłącznie na instytucji dziedzictwa kulturowego, o tyle</w:t>
      </w:r>
      <w:r w:rsidRPr="009935E0">
        <w:rPr>
          <w:rFonts w:ascii="Times New Roman" w:hAnsi="Times New Roman" w:cs="Times New Roman"/>
          <w:sz w:val="24"/>
          <w:szCs w:val="24"/>
        </w:rPr>
        <w:t xml:space="preserve"> </w:t>
      </w:r>
      <w:r w:rsidR="00531A9D" w:rsidRPr="009935E0">
        <w:rPr>
          <w:rFonts w:ascii="Times New Roman" w:hAnsi="Times New Roman" w:cs="Times New Roman"/>
          <w:sz w:val="24"/>
          <w:szCs w:val="24"/>
        </w:rPr>
        <w:t xml:space="preserve">w </w:t>
      </w:r>
      <w:r w:rsidRPr="009935E0">
        <w:rPr>
          <w:rFonts w:ascii="Times New Roman" w:hAnsi="Times New Roman" w:cs="Times New Roman"/>
          <w:sz w:val="24"/>
          <w:szCs w:val="24"/>
        </w:rPr>
        <w:t>przypadku korzystania na podstawie projektowanego oddziału 6a (korzystanie na podstawie umowy licencji niewyłącznej zawartej z organizacją zbiorowego zarządzania)</w:t>
      </w:r>
      <w:r w:rsidR="00572DF6" w:rsidRPr="009935E0">
        <w:rPr>
          <w:rFonts w:ascii="Times New Roman" w:hAnsi="Times New Roman" w:cs="Times New Roman"/>
          <w:sz w:val="24"/>
          <w:szCs w:val="24"/>
        </w:rPr>
        <w:t xml:space="preserve"> może </w:t>
      </w:r>
      <w:r w:rsidR="001241A6" w:rsidRPr="009935E0">
        <w:rPr>
          <w:rFonts w:ascii="Times New Roman" w:hAnsi="Times New Roman" w:cs="Times New Roman"/>
          <w:sz w:val="24"/>
          <w:szCs w:val="24"/>
        </w:rPr>
        <w:t xml:space="preserve">on </w:t>
      </w:r>
      <w:r w:rsidR="00572DF6" w:rsidRPr="009935E0">
        <w:rPr>
          <w:rFonts w:ascii="Times New Roman" w:hAnsi="Times New Roman" w:cs="Times New Roman"/>
          <w:sz w:val="24"/>
          <w:szCs w:val="24"/>
        </w:rPr>
        <w:t>zostać rozłożony</w:t>
      </w:r>
      <w:r w:rsidR="009E6AF8" w:rsidRPr="009935E0">
        <w:rPr>
          <w:rFonts w:ascii="Times New Roman" w:hAnsi="Times New Roman" w:cs="Times New Roman"/>
          <w:sz w:val="24"/>
          <w:szCs w:val="24"/>
        </w:rPr>
        <w:t xml:space="preserve"> </w:t>
      </w:r>
      <w:r w:rsidR="00572DF6" w:rsidRPr="009935E0">
        <w:rPr>
          <w:rFonts w:ascii="Times New Roman" w:hAnsi="Times New Roman" w:cs="Times New Roman"/>
          <w:sz w:val="24"/>
          <w:szCs w:val="24"/>
        </w:rPr>
        <w:t>między instytucję dziedzictwa kulturowego a organizację zbiorowego zarządzania.</w:t>
      </w:r>
      <w:r w:rsidR="000151F0" w:rsidRPr="009935E0">
        <w:rPr>
          <w:rFonts w:ascii="Times New Roman" w:hAnsi="Times New Roman" w:cs="Times New Roman"/>
          <w:sz w:val="24"/>
          <w:szCs w:val="24"/>
        </w:rPr>
        <w:t xml:space="preserve"> </w:t>
      </w:r>
      <w:r w:rsidR="00572DF6" w:rsidRPr="009935E0">
        <w:rPr>
          <w:rFonts w:ascii="Times New Roman" w:hAnsi="Times New Roman" w:cs="Times New Roman"/>
          <w:sz w:val="24"/>
          <w:szCs w:val="24"/>
        </w:rPr>
        <w:t>W</w:t>
      </w:r>
      <w:r w:rsidR="000151F0" w:rsidRPr="009935E0">
        <w:rPr>
          <w:rFonts w:ascii="Times New Roman" w:hAnsi="Times New Roman" w:cs="Times New Roman"/>
          <w:sz w:val="24"/>
          <w:szCs w:val="24"/>
        </w:rPr>
        <w:t xml:space="preserve"> momencie podpisywania umowy licencji n</w:t>
      </w:r>
      <w:r w:rsidR="009C5B09" w:rsidRPr="009935E0">
        <w:rPr>
          <w:rFonts w:ascii="Times New Roman" w:hAnsi="Times New Roman" w:cs="Times New Roman"/>
          <w:sz w:val="24"/>
          <w:szCs w:val="24"/>
        </w:rPr>
        <w:t>iewyłącznej obydwa</w:t>
      </w:r>
      <w:r w:rsidR="00572DF6" w:rsidRPr="009935E0">
        <w:rPr>
          <w:rFonts w:ascii="Times New Roman" w:hAnsi="Times New Roman" w:cs="Times New Roman"/>
          <w:sz w:val="24"/>
          <w:szCs w:val="24"/>
        </w:rPr>
        <w:t xml:space="preserve"> podmiot</w:t>
      </w:r>
      <w:r w:rsidR="009C6487" w:rsidRPr="009935E0">
        <w:rPr>
          <w:rFonts w:ascii="Times New Roman" w:hAnsi="Times New Roman" w:cs="Times New Roman"/>
          <w:sz w:val="24"/>
          <w:szCs w:val="24"/>
        </w:rPr>
        <w:t>y powinny mieć przekonanie o przeprowadzeniu tych działań w dobrej wierze i z należytą starannością.</w:t>
      </w:r>
      <w:r w:rsidR="00F7179F">
        <w:rPr>
          <w:rStyle w:val="Odwoanieprzypisudolnego"/>
          <w:rFonts w:ascii="Times New Roman" w:hAnsi="Times New Roman" w:cs="Times New Roman"/>
          <w:sz w:val="24"/>
          <w:szCs w:val="24"/>
        </w:rPr>
        <w:footnoteReference w:id="23"/>
      </w:r>
      <w:r w:rsidR="007104DF" w:rsidRPr="00483092">
        <w:rPr>
          <w:rFonts w:ascii="Times New Roman" w:hAnsi="Times New Roman" w:cs="Times New Roman"/>
          <w:sz w:val="24"/>
          <w:szCs w:val="24"/>
          <w:vertAlign w:val="superscript"/>
        </w:rPr>
        <w:t>)</w:t>
      </w:r>
      <w:r w:rsidR="00572DF6" w:rsidRPr="009935E0">
        <w:rPr>
          <w:rFonts w:ascii="Times New Roman" w:hAnsi="Times New Roman" w:cs="Times New Roman"/>
          <w:sz w:val="24"/>
          <w:szCs w:val="24"/>
        </w:rPr>
        <w:t xml:space="preserve"> </w:t>
      </w:r>
    </w:p>
    <w:p w14:paraId="2FDAE922" w14:textId="77777777" w:rsidR="00D64839" w:rsidRPr="009935E0" w:rsidRDefault="00D6483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projektowanym art. 35</w:t>
      </w:r>
      <w:r w:rsidRPr="009935E0">
        <w:rPr>
          <w:rFonts w:ascii="Times New Roman" w:hAnsi="Times New Roman" w:cs="Times New Roman"/>
          <w:sz w:val="24"/>
          <w:szCs w:val="24"/>
          <w:vertAlign w:val="superscript"/>
        </w:rPr>
        <w:t>10</w:t>
      </w:r>
      <w:r w:rsidRPr="009935E0">
        <w:rPr>
          <w:rFonts w:ascii="Times New Roman" w:hAnsi="Times New Roman" w:cs="Times New Roman"/>
          <w:sz w:val="24"/>
          <w:szCs w:val="24"/>
        </w:rPr>
        <w:t xml:space="preserve"> przesądzono ponadto, że przy określaniu dostępności utworu nie uwzględnia się dostępności opracowań tego utworu</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Projektowany przepis uwzględnia w ten sposób wytyczne zawarte w motywie 37 dyrektywy</w:t>
      </w:r>
      <w:r w:rsidR="00403830"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zgodnie z którymi dostępność adaptacji nie powinna uniemożliwiać stwierdzenia niedostępności utworu.</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 xml:space="preserve">Zgodnie z projektowanym przepisem dostępność tłumaczenia książki czy też adaptacji filmowej utworu literackiego nie uniemożliwi więc uznania za niedostępny w handlu samego utworu pierwotnego. Równocześnie projektowane rozwiązanie nie pozwala na stwierdzenie, że utwór jest niedostępny w handlu w przypadku braku dostępności utworu wyłącznie w jednej z jego form. Przykładowo, nie jest więc możliwe uznanie piosenki za niedostępną w handlu na potrzeby korzystania określonego w projektowanej regulacji wyłącznie ze względu na fakt, że nie jest ona dostępna w sprzedaży na płytach CD, podczas gdy jest dostępna na platformie </w:t>
      </w:r>
      <w:proofErr w:type="spellStart"/>
      <w:r w:rsidRPr="009935E0">
        <w:rPr>
          <w:rFonts w:ascii="Times New Roman" w:hAnsi="Times New Roman" w:cs="Times New Roman"/>
          <w:i/>
          <w:sz w:val="24"/>
          <w:szCs w:val="24"/>
        </w:rPr>
        <w:t>streamingowej</w:t>
      </w:r>
      <w:proofErr w:type="spellEnd"/>
      <w:r w:rsidRPr="009935E0">
        <w:rPr>
          <w:rFonts w:ascii="Times New Roman" w:hAnsi="Times New Roman" w:cs="Times New Roman"/>
          <w:sz w:val="24"/>
          <w:szCs w:val="24"/>
        </w:rPr>
        <w:t xml:space="preserve">. Zgodnie z treścią motywu 37 dyrektywy </w:t>
      </w:r>
      <w:r w:rsidR="00403830" w:rsidRPr="009935E0">
        <w:rPr>
          <w:rFonts w:ascii="Times New Roman" w:hAnsi="Times New Roman" w:cs="Times New Roman"/>
          <w:sz w:val="24"/>
          <w:szCs w:val="24"/>
        </w:rPr>
        <w:t xml:space="preserve">DSM </w:t>
      </w:r>
      <w:r w:rsidRPr="009935E0">
        <w:rPr>
          <w:rFonts w:ascii="Times New Roman" w:hAnsi="Times New Roman" w:cs="Times New Roman"/>
          <w:sz w:val="24"/>
          <w:szCs w:val="24"/>
        </w:rPr>
        <w:t>dla uniemożliwienia stwierdzenia niedostępności wystarczające jest, że utwór jest dostępny „w jakiejkolwiek ze swoich różnych wersji, takich jak kolejne wydania utworów literackich lub alternatywne wersje utworów kinematograficznych, lub w jakiejkolwiek ze swoich postaci, takich jak cyfrowe i drukowane formy tego samego utworu”</w:t>
      </w:r>
      <w:r w:rsidR="00193A11" w:rsidRPr="009935E0">
        <w:rPr>
          <w:rFonts w:ascii="Times New Roman" w:hAnsi="Times New Roman" w:cs="Times New Roman"/>
          <w:sz w:val="24"/>
          <w:szCs w:val="24"/>
        </w:rPr>
        <w:t>.</w:t>
      </w:r>
    </w:p>
    <w:p w14:paraId="7C2E874D" w14:textId="5C25DE2C" w:rsidR="00466012" w:rsidRPr="009935E0" w:rsidRDefault="00466012" w:rsidP="00483092">
      <w:pPr>
        <w:spacing w:before="120" w:after="0" w:line="360" w:lineRule="auto"/>
        <w:jc w:val="both"/>
        <w:rPr>
          <w:rFonts w:ascii="Times New Roman" w:hAnsi="Times New Roman" w:cs="Times New Roman"/>
          <w:i/>
          <w:sz w:val="24"/>
          <w:szCs w:val="24"/>
        </w:rPr>
      </w:pPr>
      <w:r w:rsidRPr="009935E0">
        <w:rPr>
          <w:rFonts w:ascii="Times New Roman" w:hAnsi="Times New Roman" w:cs="Times New Roman"/>
          <w:sz w:val="24"/>
          <w:szCs w:val="24"/>
        </w:rPr>
        <w:lastRenderedPageBreak/>
        <w:t xml:space="preserve">W </w:t>
      </w:r>
      <w:r w:rsidR="00403830" w:rsidRPr="009935E0">
        <w:rPr>
          <w:rFonts w:ascii="Times New Roman" w:hAnsi="Times New Roman" w:cs="Times New Roman"/>
          <w:sz w:val="24"/>
          <w:szCs w:val="24"/>
        </w:rPr>
        <w:t xml:space="preserve">zmienianym </w:t>
      </w:r>
      <w:r w:rsidR="007D4DC3" w:rsidRPr="009935E0">
        <w:rPr>
          <w:rFonts w:ascii="Times New Roman" w:hAnsi="Times New Roman" w:cs="Times New Roman"/>
          <w:sz w:val="24"/>
          <w:szCs w:val="24"/>
        </w:rPr>
        <w:t>art. 35</w:t>
      </w:r>
      <w:r w:rsidR="007D4DC3"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1</w:t>
      </w:r>
      <w:r w:rsidR="007D4DC3" w:rsidRPr="009935E0">
        <w:rPr>
          <w:rFonts w:ascii="Times New Roman" w:hAnsi="Times New Roman" w:cs="Times New Roman"/>
          <w:sz w:val="24"/>
          <w:szCs w:val="24"/>
        </w:rPr>
        <w:t xml:space="preserve"> </w:t>
      </w:r>
      <w:r w:rsidRPr="009935E0">
        <w:rPr>
          <w:rFonts w:ascii="Times New Roman" w:hAnsi="Times New Roman" w:cs="Times New Roman"/>
          <w:sz w:val="24"/>
          <w:szCs w:val="24"/>
        </w:rPr>
        <w:t>wskazano, że za utwór niedostępny w hand</w:t>
      </w:r>
      <w:r w:rsidR="0006007C" w:rsidRPr="009935E0">
        <w:rPr>
          <w:rFonts w:ascii="Times New Roman" w:hAnsi="Times New Roman" w:cs="Times New Roman"/>
          <w:sz w:val="24"/>
          <w:szCs w:val="24"/>
        </w:rPr>
        <w:t>lu nie może zostać uznany utwór</w:t>
      </w:r>
      <w:r w:rsidRPr="009935E0">
        <w:rPr>
          <w:rFonts w:ascii="Times New Roman" w:hAnsi="Times New Roman" w:cs="Times New Roman"/>
          <w:sz w:val="24"/>
          <w:szCs w:val="24"/>
        </w:rPr>
        <w:t xml:space="preserve"> </w:t>
      </w:r>
      <w:r w:rsidR="0006007C" w:rsidRPr="009935E0">
        <w:rPr>
          <w:rFonts w:ascii="Times New Roman" w:hAnsi="Times New Roman" w:cs="Times New Roman"/>
          <w:sz w:val="24"/>
          <w:szCs w:val="24"/>
        </w:rPr>
        <w:t>„</w:t>
      </w:r>
      <w:r w:rsidRPr="009935E0">
        <w:rPr>
          <w:rFonts w:ascii="Times New Roman" w:hAnsi="Times New Roman" w:cs="Times New Roman"/>
          <w:sz w:val="24"/>
          <w:szCs w:val="24"/>
        </w:rPr>
        <w:t>co do którego istnieje duże prawdopodobieństwo, że będzie dostępny w handlu w przyszłości</w:t>
      </w:r>
      <w:r w:rsidR="0006007C"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W ten sposób uwzględniono treść motywu 38</w:t>
      </w:r>
      <w:r w:rsidR="005504F9" w:rsidRPr="009935E0">
        <w:rPr>
          <w:rFonts w:ascii="Times New Roman" w:hAnsi="Times New Roman" w:cs="Times New Roman"/>
          <w:sz w:val="24"/>
          <w:szCs w:val="24"/>
        </w:rPr>
        <w:t xml:space="preserve"> dyrektywy</w:t>
      </w:r>
      <w:r w:rsidR="00C61B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zgodnie </w:t>
      </w:r>
      <w:r w:rsidR="0006007C" w:rsidRPr="009935E0">
        <w:rPr>
          <w:rFonts w:ascii="Times New Roman" w:hAnsi="Times New Roman" w:cs="Times New Roman"/>
          <w:sz w:val="24"/>
          <w:szCs w:val="24"/>
        </w:rPr>
        <w:t>z którym</w:t>
      </w:r>
      <w:r w:rsidRPr="009935E0">
        <w:rPr>
          <w:rFonts w:ascii="Times New Roman" w:hAnsi="Times New Roman" w:cs="Times New Roman"/>
          <w:sz w:val="24"/>
          <w:szCs w:val="24"/>
        </w:rPr>
        <w:t xml:space="preserve"> regulacja dotycząca tzw. utworów </w:t>
      </w:r>
      <w:r w:rsidRPr="009935E0">
        <w:rPr>
          <w:rFonts w:ascii="Times New Roman" w:hAnsi="Times New Roman" w:cs="Times New Roman"/>
          <w:i/>
          <w:sz w:val="24"/>
          <w:szCs w:val="24"/>
        </w:rPr>
        <w:t>out-of-</w:t>
      </w:r>
      <w:proofErr w:type="spellStart"/>
      <w:r w:rsidRPr="009935E0">
        <w:rPr>
          <w:rFonts w:ascii="Times New Roman" w:hAnsi="Times New Roman" w:cs="Times New Roman"/>
          <w:i/>
          <w:sz w:val="24"/>
          <w:szCs w:val="24"/>
        </w:rPr>
        <w:t>commerce</w:t>
      </w:r>
      <w:proofErr w:type="spellEnd"/>
      <w:r w:rsidRPr="009935E0">
        <w:rPr>
          <w:rFonts w:ascii="Times New Roman" w:hAnsi="Times New Roman" w:cs="Times New Roman"/>
          <w:sz w:val="24"/>
          <w:szCs w:val="24"/>
        </w:rPr>
        <w:t xml:space="preserve"> nie wymaga powtarzania raz zakończonych badań dostępności, ale na etapie badań powinien być uwzględniany </w:t>
      </w:r>
      <w:r w:rsidR="0006007C" w:rsidRPr="009935E0">
        <w:rPr>
          <w:rFonts w:ascii="Times New Roman" w:hAnsi="Times New Roman" w:cs="Times New Roman"/>
          <w:sz w:val="24"/>
          <w:szCs w:val="24"/>
        </w:rPr>
        <w:t>„</w:t>
      </w:r>
      <w:r w:rsidRPr="009935E0">
        <w:rPr>
          <w:rFonts w:ascii="Times New Roman" w:hAnsi="Times New Roman" w:cs="Times New Roman"/>
          <w:sz w:val="24"/>
          <w:szCs w:val="24"/>
        </w:rPr>
        <w:t>każdy łatwo dostępny dowód przyszłej dostępności utworów lub innych przedmiotów objętych ochroną w zwyczajowych kanałach handlowych</w:t>
      </w:r>
      <w:r w:rsidR="0006007C" w:rsidRPr="009935E0">
        <w:rPr>
          <w:rFonts w:ascii="Times New Roman" w:hAnsi="Times New Roman" w:cs="Times New Roman"/>
          <w:sz w:val="24"/>
          <w:szCs w:val="24"/>
        </w:rPr>
        <w:t>”</w:t>
      </w:r>
      <w:r w:rsidRPr="009935E0">
        <w:rPr>
          <w:rFonts w:ascii="Times New Roman" w:hAnsi="Times New Roman" w:cs="Times New Roman"/>
          <w:i/>
          <w:sz w:val="24"/>
          <w:szCs w:val="24"/>
        </w:rPr>
        <w:t>.</w:t>
      </w:r>
      <w:r w:rsidR="00725D62" w:rsidRPr="009935E0">
        <w:rPr>
          <w:rFonts w:ascii="Times New Roman" w:hAnsi="Times New Roman" w:cs="Times New Roman"/>
          <w:i/>
          <w:sz w:val="24"/>
          <w:szCs w:val="24"/>
        </w:rPr>
        <w:t xml:space="preserve"> </w:t>
      </w:r>
      <w:r w:rsidR="005504F9" w:rsidRPr="009935E0">
        <w:rPr>
          <w:rFonts w:ascii="Times New Roman" w:hAnsi="Times New Roman" w:cs="Times New Roman"/>
          <w:sz w:val="24"/>
          <w:szCs w:val="24"/>
        </w:rPr>
        <w:t>A</w:t>
      </w:r>
      <w:r w:rsidR="00791CE9" w:rsidRPr="009935E0">
        <w:rPr>
          <w:rFonts w:ascii="Times New Roman" w:hAnsi="Times New Roman" w:cs="Times New Roman"/>
          <w:sz w:val="24"/>
          <w:szCs w:val="24"/>
        </w:rPr>
        <w:t>rt.</w:t>
      </w:r>
      <w:r w:rsidRPr="009935E0">
        <w:rPr>
          <w:rFonts w:ascii="Times New Roman" w:hAnsi="Times New Roman" w:cs="Times New Roman"/>
          <w:sz w:val="24"/>
          <w:szCs w:val="24"/>
        </w:rPr>
        <w:t xml:space="preserve"> 8 ust. 5 </w:t>
      </w:r>
      <w:r w:rsidR="005504F9"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004680" w:rsidRPr="009935E0">
        <w:rPr>
          <w:rFonts w:ascii="Times New Roman" w:hAnsi="Times New Roman" w:cs="Times New Roman"/>
          <w:sz w:val="24"/>
          <w:szCs w:val="24"/>
        </w:rPr>
        <w:t xml:space="preserve"> </w:t>
      </w:r>
      <w:r w:rsidRPr="009935E0">
        <w:rPr>
          <w:rFonts w:ascii="Times New Roman" w:hAnsi="Times New Roman" w:cs="Times New Roman"/>
          <w:sz w:val="24"/>
          <w:szCs w:val="24"/>
        </w:rPr>
        <w:t>umożliwia wprowadzenie szczególnych wymogów</w:t>
      </w:r>
      <w:r w:rsidR="00791CE9" w:rsidRPr="009935E0">
        <w:rPr>
          <w:rFonts w:ascii="Times New Roman" w:hAnsi="Times New Roman" w:cs="Times New Roman"/>
          <w:sz w:val="24"/>
          <w:szCs w:val="24"/>
        </w:rPr>
        <w:t>,</w:t>
      </w:r>
      <w:r w:rsidRPr="009935E0">
        <w:rPr>
          <w:rFonts w:ascii="Times New Roman" w:hAnsi="Times New Roman" w:cs="Times New Roman"/>
          <w:sz w:val="24"/>
          <w:szCs w:val="24"/>
        </w:rPr>
        <w:t xml:space="preserve"> takich jak</w:t>
      </w:r>
      <w:r w:rsidRPr="009935E0">
        <w:rPr>
          <w:rFonts w:ascii="Times New Roman" w:hAnsi="Times New Roman" w:cs="Times New Roman"/>
          <w:i/>
          <w:sz w:val="24"/>
          <w:szCs w:val="24"/>
        </w:rPr>
        <w:t xml:space="preserve"> </w:t>
      </w:r>
      <w:r w:rsidR="0006007C" w:rsidRPr="009935E0">
        <w:rPr>
          <w:rFonts w:ascii="Times New Roman" w:hAnsi="Times New Roman" w:cs="Times New Roman"/>
          <w:sz w:val="24"/>
          <w:szCs w:val="24"/>
        </w:rPr>
        <w:t>„</w:t>
      </w:r>
      <w:r w:rsidRPr="009935E0">
        <w:rPr>
          <w:rFonts w:ascii="Times New Roman" w:hAnsi="Times New Roman" w:cs="Times New Roman"/>
          <w:sz w:val="24"/>
          <w:szCs w:val="24"/>
        </w:rPr>
        <w:t>termin ostateczny</w:t>
      </w:r>
      <w:r w:rsidR="00EE61DE">
        <w:rPr>
          <w:rStyle w:val="Odwoanieprzypisudolnego"/>
          <w:rFonts w:ascii="Times New Roman" w:hAnsi="Times New Roman" w:cs="Times New Roman"/>
          <w:sz w:val="24"/>
          <w:szCs w:val="24"/>
        </w:rPr>
        <w:footnoteReference w:id="24"/>
      </w:r>
      <w:r w:rsidR="007104DF"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w celu ustalenia, czy utwory i inne przedmioty objęte ochroną mogą być licencjonowane zgodnie z ust. 1 lub wykorzystywane na podstawie wyjątku lub ograniczenia przewidzianego w ust. 2</w:t>
      </w:r>
      <w:r w:rsidR="0006007C"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 xml:space="preserve">Dodatkowej wskazówki w tym zakresie udziela motyw 37 </w:t>
      </w:r>
      <w:r w:rsidR="005504F9"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yrektywy, w którym wskazano, że w celu ułatwienia korzystania z mechanizmów licencyjnych </w:t>
      </w:r>
      <w:r w:rsidR="0006007C" w:rsidRPr="009935E0">
        <w:rPr>
          <w:rFonts w:ascii="Times New Roman" w:hAnsi="Times New Roman" w:cs="Times New Roman"/>
          <w:sz w:val="24"/>
          <w:szCs w:val="24"/>
        </w:rPr>
        <w:t>„</w:t>
      </w:r>
      <w:r w:rsidRPr="009935E0">
        <w:rPr>
          <w:rFonts w:ascii="Times New Roman" w:hAnsi="Times New Roman" w:cs="Times New Roman"/>
          <w:sz w:val="24"/>
          <w:szCs w:val="24"/>
        </w:rPr>
        <w:t>konieczne może okazać</w:t>
      </w:r>
      <w:r w:rsidR="005504F9" w:rsidRPr="009935E0">
        <w:rPr>
          <w:rFonts w:ascii="Times New Roman" w:hAnsi="Times New Roman" w:cs="Times New Roman"/>
          <w:sz w:val="24"/>
          <w:szCs w:val="24"/>
        </w:rPr>
        <w:t xml:space="preserve"> się</w:t>
      </w:r>
      <w:r w:rsidRPr="009935E0">
        <w:rPr>
          <w:rFonts w:ascii="Times New Roman" w:hAnsi="Times New Roman" w:cs="Times New Roman"/>
          <w:sz w:val="24"/>
          <w:szCs w:val="24"/>
        </w:rPr>
        <w:t xml:space="preserve"> ustanowienie szczególnych wymogów w zakresie praktycznego stosowania tych mechanizmów licencyjnych, takich jak wymóg okresu, jaki musi upłynąć od pierwszej dostępności w obrocie handlowym utworu lub innego przedmiotu objętego ochroną</w:t>
      </w:r>
      <w:r w:rsidR="0006007C" w:rsidRPr="009935E0">
        <w:rPr>
          <w:rFonts w:ascii="Times New Roman" w:hAnsi="Times New Roman" w:cs="Times New Roman"/>
          <w:sz w:val="24"/>
          <w:szCs w:val="24"/>
        </w:rPr>
        <w:t>”</w:t>
      </w:r>
      <w:r w:rsidRPr="009935E0">
        <w:rPr>
          <w:rFonts w:ascii="Times New Roman" w:hAnsi="Times New Roman" w:cs="Times New Roman"/>
          <w:i/>
          <w:sz w:val="24"/>
          <w:szCs w:val="24"/>
        </w:rPr>
        <w:t>.</w:t>
      </w:r>
      <w:r w:rsidRPr="009935E0">
        <w:rPr>
          <w:rFonts w:ascii="Times New Roman" w:hAnsi="Times New Roman" w:cs="Times New Roman"/>
          <w:sz w:val="24"/>
          <w:szCs w:val="24"/>
        </w:rPr>
        <w:t xml:space="preserve"> Wskazany wyżej przepis ma jednak charakter fakultatywny i</w:t>
      </w:r>
      <w:r w:rsidR="005504F9"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na obecnym etapie </w:t>
      </w:r>
      <w:r w:rsidR="004F21B3" w:rsidRPr="009935E0">
        <w:rPr>
          <w:rFonts w:ascii="Times New Roman" w:hAnsi="Times New Roman" w:cs="Times New Roman"/>
          <w:sz w:val="24"/>
          <w:szCs w:val="24"/>
        </w:rPr>
        <w:t>projektodawca nie zdecydował</w:t>
      </w:r>
      <w:r w:rsidRPr="009935E0">
        <w:rPr>
          <w:rFonts w:ascii="Times New Roman" w:hAnsi="Times New Roman" w:cs="Times New Roman"/>
          <w:sz w:val="24"/>
          <w:szCs w:val="24"/>
        </w:rPr>
        <w:t xml:space="preserve"> się na rozwiązanie prowadzące do ograniczenia zakresu utworów, z których można korzystać na podstawie przepisów projektowanej regulacji. Aktualnie obowiązująca ustawa przewiduje w art. 35</w:t>
      </w:r>
      <w:r w:rsidRPr="009935E0">
        <w:rPr>
          <w:rFonts w:ascii="Times New Roman" w:hAnsi="Times New Roman" w:cs="Times New Roman"/>
          <w:sz w:val="24"/>
          <w:szCs w:val="24"/>
          <w:vertAlign w:val="superscript"/>
        </w:rPr>
        <w:t xml:space="preserve">10 </w:t>
      </w:r>
      <w:r w:rsidR="00C61BAD" w:rsidRPr="009935E0">
        <w:rPr>
          <w:rFonts w:ascii="Times New Roman" w:hAnsi="Times New Roman" w:cs="Times New Roman"/>
          <w:sz w:val="24"/>
          <w:szCs w:val="24"/>
        </w:rPr>
        <w:t>ustawy o prawie autorskim o</w:t>
      </w:r>
      <w:r w:rsidRPr="009935E0">
        <w:rPr>
          <w:rFonts w:ascii="Times New Roman" w:hAnsi="Times New Roman" w:cs="Times New Roman"/>
          <w:sz w:val="24"/>
          <w:szCs w:val="24"/>
        </w:rPr>
        <w:t>graniczenie, na podstawie którego wyłączono korzystanie z utworów niedostępnych w handlu, które zostały opublikowane po raz pierwszy na terytorium Rzeczypospolitej Polskiej w dniu 24 maja 1994 r</w:t>
      </w:r>
      <w:r w:rsidR="00791CE9" w:rsidRPr="009935E0">
        <w:rPr>
          <w:rFonts w:ascii="Times New Roman" w:hAnsi="Times New Roman" w:cs="Times New Roman"/>
          <w:sz w:val="24"/>
          <w:szCs w:val="24"/>
        </w:rPr>
        <w:t>.</w:t>
      </w:r>
      <w:r w:rsidRPr="009935E0">
        <w:rPr>
          <w:rFonts w:ascii="Times New Roman" w:hAnsi="Times New Roman" w:cs="Times New Roman"/>
          <w:sz w:val="24"/>
          <w:szCs w:val="24"/>
        </w:rPr>
        <w:t xml:space="preserve"> albo po tej dacie. Wprowadzenie w ślad za dotychczasowym rozwiązaniem konkretnej daty pierwszej publikacji</w:t>
      </w:r>
      <w:r w:rsidR="00463A30" w:rsidRPr="009935E0">
        <w:rPr>
          <w:rFonts w:ascii="Times New Roman" w:hAnsi="Times New Roman" w:cs="Times New Roman"/>
          <w:sz w:val="24"/>
          <w:szCs w:val="24"/>
        </w:rPr>
        <w:t>,</w:t>
      </w:r>
      <w:r w:rsidRPr="009935E0">
        <w:rPr>
          <w:rFonts w:ascii="Times New Roman" w:hAnsi="Times New Roman" w:cs="Times New Roman"/>
          <w:sz w:val="24"/>
          <w:szCs w:val="24"/>
        </w:rPr>
        <w:t xml:space="preserve"> jako relewantnej dla dopuszczalności </w:t>
      </w:r>
      <w:r w:rsidR="004C68BB" w:rsidRPr="009935E0">
        <w:rPr>
          <w:rFonts w:ascii="Times New Roman" w:hAnsi="Times New Roman" w:cs="Times New Roman"/>
          <w:sz w:val="24"/>
          <w:szCs w:val="24"/>
        </w:rPr>
        <w:t xml:space="preserve">stwierdzenia niedostępności utworu </w:t>
      </w:r>
      <w:r w:rsidRPr="009935E0">
        <w:rPr>
          <w:rFonts w:ascii="Times New Roman" w:hAnsi="Times New Roman" w:cs="Times New Roman"/>
          <w:sz w:val="24"/>
          <w:szCs w:val="24"/>
        </w:rPr>
        <w:t>na potrzeby korzystania określonego w projektowanej regulacji</w:t>
      </w:r>
      <w:r w:rsidR="00463A30" w:rsidRPr="009935E0">
        <w:rPr>
          <w:rFonts w:ascii="Times New Roman" w:hAnsi="Times New Roman" w:cs="Times New Roman"/>
          <w:sz w:val="24"/>
          <w:szCs w:val="24"/>
        </w:rPr>
        <w:t>,</w:t>
      </w:r>
      <w:r w:rsidRPr="009935E0">
        <w:rPr>
          <w:rFonts w:ascii="Times New Roman" w:hAnsi="Times New Roman" w:cs="Times New Roman"/>
          <w:sz w:val="24"/>
          <w:szCs w:val="24"/>
        </w:rPr>
        <w:t xml:space="preserve"> nie wydaje się właściwe. Z upływem lat rozwiązanie takie prowadzi bowiem do nieuzasadnionego wykluczenia coraz większej grupy utworów. Można natomiast rozważyć </w:t>
      </w:r>
      <w:r w:rsidR="00832EEF" w:rsidRPr="009935E0">
        <w:rPr>
          <w:rFonts w:ascii="Times New Roman" w:hAnsi="Times New Roman" w:cs="Times New Roman"/>
          <w:sz w:val="24"/>
          <w:szCs w:val="24"/>
        </w:rPr>
        <w:t xml:space="preserve">w przyszłości </w:t>
      </w:r>
      <w:r w:rsidRPr="009935E0">
        <w:rPr>
          <w:rFonts w:ascii="Times New Roman" w:hAnsi="Times New Roman" w:cs="Times New Roman"/>
          <w:sz w:val="24"/>
          <w:szCs w:val="24"/>
        </w:rPr>
        <w:t>wykluczenie</w:t>
      </w:r>
      <w:r w:rsidR="00D1656A" w:rsidRPr="009935E0">
        <w:rPr>
          <w:rFonts w:ascii="Times New Roman" w:hAnsi="Times New Roman" w:cs="Times New Roman"/>
          <w:sz w:val="24"/>
          <w:szCs w:val="24"/>
        </w:rPr>
        <w:t xml:space="preserve"> możliwości</w:t>
      </w:r>
      <w:r w:rsidRPr="009935E0">
        <w:rPr>
          <w:rFonts w:ascii="Times New Roman" w:hAnsi="Times New Roman" w:cs="Times New Roman"/>
          <w:sz w:val="24"/>
          <w:szCs w:val="24"/>
        </w:rPr>
        <w:t xml:space="preserve"> uznani</w:t>
      </w:r>
      <w:r w:rsidR="005504F9" w:rsidRPr="009935E0">
        <w:rPr>
          <w:rFonts w:ascii="Times New Roman" w:hAnsi="Times New Roman" w:cs="Times New Roman"/>
          <w:sz w:val="24"/>
          <w:szCs w:val="24"/>
        </w:rPr>
        <w:t>a</w:t>
      </w:r>
      <w:r w:rsidR="00D1656A" w:rsidRPr="009935E0">
        <w:rPr>
          <w:rFonts w:ascii="Times New Roman" w:hAnsi="Times New Roman" w:cs="Times New Roman"/>
          <w:sz w:val="24"/>
          <w:szCs w:val="24"/>
        </w:rPr>
        <w:t xml:space="preserve"> utworu za</w:t>
      </w:r>
      <w:r w:rsidRPr="009935E0">
        <w:rPr>
          <w:rFonts w:ascii="Times New Roman" w:hAnsi="Times New Roman" w:cs="Times New Roman"/>
          <w:sz w:val="24"/>
          <w:szCs w:val="24"/>
        </w:rPr>
        <w:t xml:space="preserve"> niedostępny w handlu w </w:t>
      </w:r>
      <w:r w:rsidR="005504F9" w:rsidRPr="009935E0">
        <w:rPr>
          <w:rFonts w:ascii="Times New Roman" w:hAnsi="Times New Roman" w:cs="Times New Roman"/>
          <w:sz w:val="24"/>
          <w:szCs w:val="24"/>
        </w:rPr>
        <w:t xml:space="preserve">danym </w:t>
      </w:r>
      <w:r w:rsidRPr="009935E0">
        <w:rPr>
          <w:rFonts w:ascii="Times New Roman" w:hAnsi="Times New Roman" w:cs="Times New Roman"/>
          <w:sz w:val="24"/>
          <w:szCs w:val="24"/>
        </w:rPr>
        <w:t xml:space="preserve">okresie (np. 15 lat) po jego pierwszym rozpowszechnieniu, a w przypadku utworów nierozpowszechnionych – </w:t>
      </w:r>
      <w:r w:rsidR="005504F9" w:rsidRPr="009935E0">
        <w:rPr>
          <w:rFonts w:ascii="Times New Roman" w:hAnsi="Times New Roman" w:cs="Times New Roman"/>
          <w:sz w:val="24"/>
          <w:szCs w:val="24"/>
        </w:rPr>
        <w:t xml:space="preserve">jego </w:t>
      </w:r>
      <w:r w:rsidRPr="009935E0">
        <w:rPr>
          <w:rFonts w:ascii="Times New Roman" w:hAnsi="Times New Roman" w:cs="Times New Roman"/>
          <w:sz w:val="24"/>
          <w:szCs w:val="24"/>
        </w:rPr>
        <w:t xml:space="preserve">ustaleniu. </w:t>
      </w:r>
      <w:r w:rsidR="007E0A04" w:rsidRPr="009935E0">
        <w:rPr>
          <w:rFonts w:ascii="Times New Roman" w:hAnsi="Times New Roman" w:cs="Times New Roman"/>
          <w:sz w:val="24"/>
          <w:szCs w:val="24"/>
        </w:rPr>
        <w:t xml:space="preserve">W związku z faktem, iż projektowane rozwiązanie prawne jest nowością w polskim prawie autorskim (dotychczasowa regulacja nie była stosowana w praktyce), projektodawca bierze pod uwagę konieczność wprowadzenia zmian </w:t>
      </w:r>
      <w:r w:rsidR="00832EEF" w:rsidRPr="009935E0">
        <w:rPr>
          <w:rFonts w:ascii="Times New Roman" w:hAnsi="Times New Roman" w:cs="Times New Roman"/>
          <w:sz w:val="24"/>
          <w:szCs w:val="24"/>
        </w:rPr>
        <w:t xml:space="preserve">tej regulacji </w:t>
      </w:r>
      <w:r w:rsidR="007E0A04" w:rsidRPr="009935E0">
        <w:rPr>
          <w:rFonts w:ascii="Times New Roman" w:hAnsi="Times New Roman" w:cs="Times New Roman"/>
          <w:sz w:val="24"/>
          <w:szCs w:val="24"/>
        </w:rPr>
        <w:t>w przyszłości (np. w przypadku dużej liczby żądań powstrzymania się od korzystania z utworów w od</w:t>
      </w:r>
      <w:r w:rsidR="001E0217" w:rsidRPr="009935E0">
        <w:rPr>
          <w:rFonts w:ascii="Times New Roman" w:hAnsi="Times New Roman" w:cs="Times New Roman"/>
          <w:sz w:val="24"/>
          <w:szCs w:val="24"/>
        </w:rPr>
        <w:t>niesieniu do utworów nowszych).</w:t>
      </w:r>
    </w:p>
    <w:p w14:paraId="20099FE4" w14:textId="1B70B727" w:rsidR="00466012" w:rsidRPr="009935E0" w:rsidRDefault="00C61BAD" w:rsidP="00483092">
      <w:pPr>
        <w:spacing w:before="120" w:after="0" w:line="360" w:lineRule="auto"/>
        <w:jc w:val="both"/>
        <w:rPr>
          <w:rFonts w:ascii="Times New Roman" w:hAnsi="Times New Roman" w:cs="Times New Roman"/>
          <w:i/>
          <w:sz w:val="24"/>
          <w:szCs w:val="24"/>
        </w:rPr>
      </w:pPr>
      <w:r w:rsidRPr="009935E0">
        <w:rPr>
          <w:rFonts w:ascii="Times New Roman" w:hAnsi="Times New Roman" w:cs="Times New Roman"/>
          <w:sz w:val="24"/>
          <w:szCs w:val="24"/>
        </w:rPr>
        <w:lastRenderedPageBreak/>
        <w:t xml:space="preserve">Zmieniany </w:t>
      </w:r>
      <w:r w:rsidR="005504F9" w:rsidRPr="009935E0">
        <w:rPr>
          <w:rFonts w:ascii="Times New Roman" w:hAnsi="Times New Roman" w:cs="Times New Roman"/>
          <w:sz w:val="24"/>
          <w:szCs w:val="24"/>
        </w:rPr>
        <w:t>a</w:t>
      </w:r>
      <w:r w:rsidR="007E1863" w:rsidRPr="009935E0">
        <w:rPr>
          <w:rFonts w:ascii="Times New Roman" w:hAnsi="Times New Roman" w:cs="Times New Roman"/>
          <w:sz w:val="24"/>
          <w:szCs w:val="24"/>
        </w:rPr>
        <w:t>rt.</w:t>
      </w:r>
      <w:r w:rsidR="00466012" w:rsidRPr="009935E0">
        <w:rPr>
          <w:rFonts w:ascii="Times New Roman" w:hAnsi="Times New Roman" w:cs="Times New Roman"/>
          <w:sz w:val="24"/>
          <w:szCs w:val="24"/>
        </w:rPr>
        <w:t xml:space="preserve"> 35</w:t>
      </w:r>
      <w:r w:rsidR="00466012"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2</w:t>
      </w:r>
      <w:r w:rsidR="00466012" w:rsidRPr="009935E0">
        <w:rPr>
          <w:rFonts w:ascii="Times New Roman" w:hAnsi="Times New Roman" w:cs="Times New Roman"/>
          <w:sz w:val="24"/>
          <w:szCs w:val="24"/>
        </w:rPr>
        <w:t xml:space="preserve"> kształtuje normę dotyczącą zasad przeprowadzania w dobrej wierze i z należytą starannością działań w celu ustalenia dostępności w przypadku konkretnego zbioru utworów, stanowiącego pewną całość w ramach zbiorów danej instytucji dziedzictwa kulturowego. Badanie dostępności w tym przypadku może bowiem polegać</w:t>
      </w:r>
      <w:r w:rsidR="003B1273" w:rsidRPr="009935E0">
        <w:rPr>
          <w:rFonts w:ascii="Times New Roman" w:hAnsi="Times New Roman" w:cs="Times New Roman"/>
          <w:sz w:val="24"/>
          <w:szCs w:val="24"/>
        </w:rPr>
        <w:t>,</w:t>
      </w:r>
      <w:r w:rsidR="00466012" w:rsidRPr="009935E0">
        <w:rPr>
          <w:rFonts w:ascii="Times New Roman" w:hAnsi="Times New Roman" w:cs="Times New Roman"/>
          <w:sz w:val="24"/>
          <w:szCs w:val="24"/>
        </w:rPr>
        <w:t xml:space="preserve"> zgodnie z treścią proponowanego przepisu</w:t>
      </w:r>
      <w:r w:rsidR="0006007C" w:rsidRPr="009935E0">
        <w:rPr>
          <w:rFonts w:ascii="Times New Roman" w:hAnsi="Times New Roman" w:cs="Times New Roman"/>
          <w:sz w:val="24"/>
          <w:szCs w:val="24"/>
        </w:rPr>
        <w:t xml:space="preserve"> „</w:t>
      </w:r>
      <w:r w:rsidR="00466012" w:rsidRPr="009935E0">
        <w:rPr>
          <w:rFonts w:ascii="Times New Roman" w:hAnsi="Times New Roman" w:cs="Times New Roman"/>
          <w:sz w:val="24"/>
          <w:szCs w:val="24"/>
        </w:rPr>
        <w:t>na wyrywkowym badaniu dostępności w handlu wybranych utworów należących do zbioru</w:t>
      </w:r>
      <w:r w:rsidR="005A7378" w:rsidRPr="009935E0">
        <w:rPr>
          <w:rFonts w:ascii="Times New Roman" w:hAnsi="Times New Roman" w:cs="Times New Roman"/>
          <w:sz w:val="24"/>
          <w:szCs w:val="24"/>
        </w:rPr>
        <w:t>”</w:t>
      </w:r>
      <w:r w:rsidR="00466012" w:rsidRPr="009935E0">
        <w:rPr>
          <w:rFonts w:ascii="Times New Roman" w:hAnsi="Times New Roman" w:cs="Times New Roman"/>
          <w:i/>
          <w:sz w:val="24"/>
          <w:szCs w:val="24"/>
        </w:rPr>
        <w:t xml:space="preserve">. </w:t>
      </w:r>
      <w:r w:rsidR="00466012" w:rsidRPr="009935E0">
        <w:rPr>
          <w:rFonts w:ascii="Times New Roman" w:hAnsi="Times New Roman" w:cs="Times New Roman"/>
          <w:sz w:val="24"/>
          <w:szCs w:val="24"/>
        </w:rPr>
        <w:t xml:space="preserve">Zasady tej nie stosuje się jednak, gdy występuje znaczne prawdopodobieństwo dostępności poszczególnych utworów. Przepis ten stanowi odzwierciedlenie reguły zawartej w motywie 38 </w:t>
      </w:r>
      <w:r w:rsidRPr="009935E0">
        <w:rPr>
          <w:rFonts w:ascii="Times New Roman" w:hAnsi="Times New Roman" w:cs="Times New Roman"/>
          <w:sz w:val="24"/>
          <w:szCs w:val="24"/>
        </w:rPr>
        <w:t xml:space="preserve">dyrektywy DSM </w:t>
      </w:r>
      <w:r w:rsidR="00466012" w:rsidRPr="009935E0">
        <w:rPr>
          <w:rFonts w:ascii="Times New Roman" w:hAnsi="Times New Roman" w:cs="Times New Roman"/>
          <w:sz w:val="24"/>
          <w:szCs w:val="24"/>
        </w:rPr>
        <w:t>w zakresie, w jakim przewiduje on, że</w:t>
      </w:r>
      <w:r w:rsidR="00466012" w:rsidRPr="009935E0">
        <w:rPr>
          <w:rFonts w:ascii="Times New Roman" w:hAnsi="Times New Roman" w:cs="Times New Roman"/>
          <w:i/>
          <w:sz w:val="24"/>
          <w:szCs w:val="24"/>
        </w:rPr>
        <w:t xml:space="preserve"> </w:t>
      </w:r>
      <w:r w:rsidR="0006007C" w:rsidRPr="009935E0">
        <w:rPr>
          <w:rFonts w:ascii="Times New Roman" w:hAnsi="Times New Roman" w:cs="Times New Roman"/>
          <w:sz w:val="24"/>
          <w:szCs w:val="24"/>
        </w:rPr>
        <w:t>„</w:t>
      </w:r>
      <w:r w:rsidR="00466012" w:rsidRPr="009935E0">
        <w:rPr>
          <w:rFonts w:ascii="Times New Roman" w:hAnsi="Times New Roman" w:cs="Times New Roman"/>
          <w:sz w:val="24"/>
          <w:szCs w:val="24"/>
        </w:rPr>
        <w:t>indywidualna ocena poszczególnych utworów powinna być wymagana wyłącznie wtedy, gdy jest to uznane za rozsądne z uwagi na dostępność odnośnych informacji, prawdopodobieństwo dostępności handlowej i szacowany koszt transakcji, a także, iż w wielu przypadkach status niedostępności danego zbioru utworów lub innych przedmiotów objętych ochroną w obrocie handlowym można określać za pomocą proporcjonalnego mechanizmu, takiego jak kontrola wyrywkowa</w:t>
      </w:r>
      <w:r w:rsidR="0006007C" w:rsidRPr="009935E0">
        <w:rPr>
          <w:rFonts w:ascii="Times New Roman" w:hAnsi="Times New Roman" w:cs="Times New Roman"/>
          <w:sz w:val="24"/>
          <w:szCs w:val="24"/>
        </w:rPr>
        <w:t>”</w:t>
      </w:r>
      <w:r w:rsidR="00466012" w:rsidRPr="009935E0">
        <w:rPr>
          <w:rFonts w:ascii="Times New Roman" w:hAnsi="Times New Roman" w:cs="Times New Roman"/>
          <w:sz w:val="24"/>
          <w:szCs w:val="24"/>
        </w:rPr>
        <w:t>.</w:t>
      </w:r>
    </w:p>
    <w:p w14:paraId="2C47BEAD" w14:textId="14CA5A7E" w:rsidR="00466012" w:rsidRPr="009935E0" w:rsidRDefault="00C61BA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Zmien</w:t>
      </w:r>
      <w:r w:rsidR="00C101B2" w:rsidRPr="009935E0">
        <w:rPr>
          <w:rFonts w:ascii="Times New Roman" w:hAnsi="Times New Roman" w:cs="Times New Roman"/>
          <w:sz w:val="24"/>
          <w:szCs w:val="24"/>
        </w:rPr>
        <w:t>i</w:t>
      </w:r>
      <w:r w:rsidRPr="009935E0">
        <w:rPr>
          <w:rFonts w:ascii="Times New Roman" w:hAnsi="Times New Roman" w:cs="Times New Roman"/>
          <w:sz w:val="24"/>
          <w:szCs w:val="24"/>
        </w:rPr>
        <w:t xml:space="preserve">any </w:t>
      </w:r>
      <w:r w:rsidR="005504F9" w:rsidRPr="009935E0">
        <w:rPr>
          <w:rFonts w:ascii="Times New Roman" w:hAnsi="Times New Roman" w:cs="Times New Roman"/>
          <w:sz w:val="24"/>
          <w:szCs w:val="24"/>
        </w:rPr>
        <w:t>a</w:t>
      </w:r>
      <w:r w:rsidR="00990E6D" w:rsidRPr="009935E0">
        <w:rPr>
          <w:rFonts w:ascii="Times New Roman" w:hAnsi="Times New Roman" w:cs="Times New Roman"/>
          <w:sz w:val="24"/>
          <w:szCs w:val="24"/>
        </w:rPr>
        <w:t>rt.</w:t>
      </w:r>
      <w:r w:rsidR="00466012" w:rsidRPr="009935E0">
        <w:rPr>
          <w:rFonts w:ascii="Times New Roman" w:hAnsi="Times New Roman" w:cs="Times New Roman"/>
          <w:sz w:val="24"/>
          <w:szCs w:val="24"/>
        </w:rPr>
        <w:t xml:space="preserve"> 35</w:t>
      </w:r>
      <w:r w:rsidR="00466012"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3</w:t>
      </w:r>
      <w:r w:rsidR="00E27D02"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ustawy o prawie autorskim</w:t>
      </w:r>
      <w:r w:rsidR="00C101B2" w:rsidRPr="009935E0">
        <w:rPr>
          <w:rFonts w:ascii="Times New Roman" w:hAnsi="Times New Roman" w:cs="Times New Roman"/>
          <w:sz w:val="24"/>
          <w:szCs w:val="24"/>
          <w:vertAlign w:val="superscript"/>
        </w:rPr>
        <w:t xml:space="preserve"> </w:t>
      </w:r>
      <w:r w:rsidR="00466012" w:rsidRPr="009935E0">
        <w:rPr>
          <w:rFonts w:ascii="Times New Roman" w:hAnsi="Times New Roman" w:cs="Times New Roman"/>
          <w:sz w:val="24"/>
          <w:szCs w:val="24"/>
        </w:rPr>
        <w:t>zawiera normę mającą zastosowanie przede wszystkim w</w:t>
      </w:r>
      <w:r w:rsidR="005504F9" w:rsidRPr="009935E0">
        <w:rPr>
          <w:rFonts w:ascii="Times New Roman" w:hAnsi="Times New Roman" w:cs="Times New Roman"/>
          <w:sz w:val="24"/>
          <w:szCs w:val="24"/>
        </w:rPr>
        <w:t xml:space="preserve"> </w:t>
      </w:r>
      <w:r w:rsidR="00466012" w:rsidRPr="009935E0">
        <w:rPr>
          <w:rFonts w:ascii="Times New Roman" w:hAnsi="Times New Roman" w:cs="Times New Roman"/>
          <w:sz w:val="24"/>
          <w:szCs w:val="24"/>
        </w:rPr>
        <w:t xml:space="preserve">przypadku badania dostępności utworów w wersjach językowych innych niż polska. W ramach prowadzenia działań, o których mowa w </w:t>
      </w:r>
      <w:r w:rsidRPr="009935E0">
        <w:rPr>
          <w:rFonts w:ascii="Times New Roman" w:hAnsi="Times New Roman" w:cs="Times New Roman"/>
          <w:sz w:val="24"/>
          <w:szCs w:val="24"/>
        </w:rPr>
        <w:t xml:space="preserve">zmienianym </w:t>
      </w:r>
      <w:r w:rsidR="00466012" w:rsidRPr="009935E0">
        <w:rPr>
          <w:rFonts w:ascii="Times New Roman" w:hAnsi="Times New Roman" w:cs="Times New Roman"/>
          <w:sz w:val="24"/>
          <w:szCs w:val="24"/>
        </w:rPr>
        <w:t>art. 35</w:t>
      </w:r>
      <w:r w:rsidR="00466012"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0</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ustawy o prawie autorskim,</w:t>
      </w:r>
      <w:r w:rsidR="00CA494C" w:rsidRPr="009935E0">
        <w:rPr>
          <w:rFonts w:ascii="Times New Roman" w:hAnsi="Times New Roman" w:cs="Times New Roman"/>
          <w:sz w:val="24"/>
          <w:szCs w:val="24"/>
        </w:rPr>
        <w:t xml:space="preserve"> </w:t>
      </w:r>
      <w:r w:rsidR="00466012" w:rsidRPr="009935E0">
        <w:rPr>
          <w:rFonts w:ascii="Times New Roman" w:hAnsi="Times New Roman" w:cs="Times New Roman"/>
          <w:sz w:val="24"/>
          <w:szCs w:val="24"/>
        </w:rPr>
        <w:t xml:space="preserve">należy, przy uwzględnieniu prawdopodobieństwa pierwszego rozpowszechnienia utworu w innym państwie, przeprowadzić badanie dostępności w tym państwie. W ten sposób uwzględniono treść motywu 38 </w:t>
      </w:r>
      <w:r w:rsidR="00857EFC" w:rsidRPr="009935E0">
        <w:rPr>
          <w:rFonts w:ascii="Times New Roman" w:hAnsi="Times New Roman" w:cs="Times New Roman"/>
          <w:sz w:val="24"/>
          <w:szCs w:val="24"/>
        </w:rPr>
        <w:t>d</w:t>
      </w:r>
      <w:r w:rsidR="00466012" w:rsidRPr="009935E0">
        <w:rPr>
          <w:rFonts w:ascii="Times New Roman" w:hAnsi="Times New Roman" w:cs="Times New Roman"/>
          <w:sz w:val="24"/>
          <w:szCs w:val="24"/>
        </w:rPr>
        <w:t>yrektywy</w:t>
      </w:r>
      <w:r w:rsidR="00941431"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DSM </w:t>
      </w:r>
      <w:r w:rsidR="00466012" w:rsidRPr="009935E0">
        <w:rPr>
          <w:rFonts w:ascii="Times New Roman" w:hAnsi="Times New Roman" w:cs="Times New Roman"/>
          <w:sz w:val="24"/>
          <w:szCs w:val="24"/>
        </w:rPr>
        <w:t>w zakresie</w:t>
      </w:r>
      <w:r w:rsidR="00990E6D" w:rsidRPr="009935E0">
        <w:rPr>
          <w:rFonts w:ascii="Times New Roman" w:hAnsi="Times New Roman" w:cs="Times New Roman"/>
          <w:sz w:val="24"/>
          <w:szCs w:val="24"/>
        </w:rPr>
        <w:t>,</w:t>
      </w:r>
      <w:r w:rsidR="00466012" w:rsidRPr="009935E0">
        <w:rPr>
          <w:rFonts w:ascii="Times New Roman" w:hAnsi="Times New Roman" w:cs="Times New Roman"/>
          <w:sz w:val="24"/>
          <w:szCs w:val="24"/>
        </w:rPr>
        <w:t xml:space="preserve"> w jakim uznano, ż</w:t>
      </w:r>
      <w:r w:rsidR="00E27D02" w:rsidRPr="009935E0">
        <w:rPr>
          <w:rFonts w:ascii="Times New Roman" w:hAnsi="Times New Roman" w:cs="Times New Roman"/>
          <w:sz w:val="24"/>
          <w:szCs w:val="24"/>
        </w:rPr>
        <w:t>e</w:t>
      </w:r>
      <w:r w:rsidR="00466012" w:rsidRPr="009935E0">
        <w:rPr>
          <w:rFonts w:ascii="Times New Roman" w:hAnsi="Times New Roman" w:cs="Times New Roman"/>
          <w:sz w:val="24"/>
          <w:szCs w:val="24"/>
        </w:rPr>
        <w:t xml:space="preserve"> weryfikację dostępności przeprowadza się w państwie członkowskim siedziby instytucji dziedzictwa kulturowego</w:t>
      </w:r>
      <w:r w:rsidR="00CA494C" w:rsidRPr="009935E0">
        <w:rPr>
          <w:rFonts w:ascii="Times New Roman" w:hAnsi="Times New Roman" w:cs="Times New Roman"/>
          <w:sz w:val="24"/>
          <w:szCs w:val="24"/>
        </w:rPr>
        <w:t>,</w:t>
      </w:r>
      <w:r w:rsidR="0006007C" w:rsidRPr="009935E0">
        <w:rPr>
          <w:rFonts w:ascii="Times New Roman" w:hAnsi="Times New Roman" w:cs="Times New Roman"/>
          <w:i/>
          <w:sz w:val="24"/>
          <w:szCs w:val="24"/>
        </w:rPr>
        <w:t xml:space="preserve"> </w:t>
      </w:r>
      <w:r w:rsidR="0006007C" w:rsidRPr="009935E0">
        <w:rPr>
          <w:rFonts w:ascii="Times New Roman" w:hAnsi="Times New Roman" w:cs="Times New Roman"/>
          <w:sz w:val="24"/>
          <w:szCs w:val="24"/>
        </w:rPr>
        <w:t>„</w:t>
      </w:r>
      <w:r w:rsidR="00466012" w:rsidRPr="009935E0">
        <w:rPr>
          <w:rFonts w:ascii="Times New Roman" w:hAnsi="Times New Roman" w:cs="Times New Roman"/>
          <w:sz w:val="24"/>
          <w:szCs w:val="24"/>
        </w:rPr>
        <w:t>chyba że za rozsądną uznaje się weryfikację transgraniczną, na przykład w przypadku gdy istnieją łatwo dostępne informacje wskazujące, że utwór literacki został najpierw opublikowany w danej wersji językowej w innym państwie członkowskim</w:t>
      </w:r>
      <w:r w:rsidR="0006007C" w:rsidRPr="009935E0">
        <w:rPr>
          <w:rFonts w:ascii="Times New Roman" w:hAnsi="Times New Roman" w:cs="Times New Roman"/>
          <w:sz w:val="24"/>
          <w:szCs w:val="24"/>
        </w:rPr>
        <w:t>”</w:t>
      </w:r>
      <w:r w:rsidR="00466012" w:rsidRPr="009935E0">
        <w:rPr>
          <w:rFonts w:ascii="Times New Roman" w:hAnsi="Times New Roman" w:cs="Times New Roman"/>
          <w:i/>
          <w:sz w:val="24"/>
          <w:szCs w:val="24"/>
        </w:rPr>
        <w:t xml:space="preserve">. </w:t>
      </w:r>
      <w:r w:rsidR="00466012" w:rsidRPr="009935E0">
        <w:rPr>
          <w:rFonts w:ascii="Times New Roman" w:hAnsi="Times New Roman" w:cs="Times New Roman"/>
          <w:sz w:val="24"/>
          <w:szCs w:val="24"/>
        </w:rPr>
        <w:t xml:space="preserve">Zasada ta ma szczególne znaczenie </w:t>
      </w:r>
      <w:r w:rsidR="00E7586D" w:rsidRPr="009935E0">
        <w:rPr>
          <w:rFonts w:ascii="Times New Roman" w:hAnsi="Times New Roman" w:cs="Times New Roman"/>
          <w:sz w:val="24"/>
          <w:szCs w:val="24"/>
        </w:rPr>
        <w:t>w świetle</w:t>
      </w:r>
      <w:r w:rsidR="00466012" w:rsidRPr="009935E0">
        <w:rPr>
          <w:rFonts w:ascii="Times New Roman" w:hAnsi="Times New Roman" w:cs="Times New Roman"/>
          <w:sz w:val="24"/>
          <w:szCs w:val="24"/>
        </w:rPr>
        <w:t xml:space="preserve"> fakt</w:t>
      </w:r>
      <w:r w:rsidR="00E7586D" w:rsidRPr="009935E0">
        <w:rPr>
          <w:rFonts w:ascii="Times New Roman" w:hAnsi="Times New Roman" w:cs="Times New Roman"/>
          <w:sz w:val="24"/>
          <w:szCs w:val="24"/>
        </w:rPr>
        <w:t>u</w:t>
      </w:r>
      <w:r w:rsidR="00466012" w:rsidRPr="009935E0">
        <w:rPr>
          <w:rFonts w:ascii="Times New Roman" w:hAnsi="Times New Roman" w:cs="Times New Roman"/>
          <w:sz w:val="24"/>
          <w:szCs w:val="24"/>
        </w:rPr>
        <w:t>, ż</w:t>
      </w:r>
      <w:r w:rsidR="00CB6308" w:rsidRPr="009935E0">
        <w:rPr>
          <w:rFonts w:ascii="Times New Roman" w:hAnsi="Times New Roman" w:cs="Times New Roman"/>
          <w:sz w:val="24"/>
          <w:szCs w:val="24"/>
        </w:rPr>
        <w:t>e</w:t>
      </w:r>
      <w:r w:rsidR="00466012" w:rsidRPr="009935E0">
        <w:rPr>
          <w:rFonts w:ascii="Times New Roman" w:hAnsi="Times New Roman" w:cs="Times New Roman"/>
          <w:sz w:val="24"/>
          <w:szCs w:val="24"/>
        </w:rPr>
        <w:t xml:space="preserve"> licencja udzielona przez organizację zbiorowego zarządzania na podstawie art. 35</w:t>
      </w:r>
      <w:r w:rsidR="00DA64D7" w:rsidRPr="009935E0">
        <w:rPr>
          <w:rFonts w:ascii="Times New Roman" w:hAnsi="Times New Roman" w:cs="Times New Roman"/>
          <w:sz w:val="24"/>
          <w:szCs w:val="24"/>
          <w:vertAlign w:val="superscript"/>
        </w:rPr>
        <w:t>19</w:t>
      </w:r>
      <w:r w:rsidR="00466012"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ustawy o prawie autorskim </w:t>
      </w:r>
      <w:r w:rsidR="00466012" w:rsidRPr="009935E0">
        <w:rPr>
          <w:rFonts w:ascii="Times New Roman" w:hAnsi="Times New Roman" w:cs="Times New Roman"/>
          <w:sz w:val="24"/>
          <w:szCs w:val="24"/>
        </w:rPr>
        <w:t xml:space="preserve">może mieć charakter </w:t>
      </w:r>
      <w:proofErr w:type="spellStart"/>
      <w:r w:rsidR="00466012" w:rsidRPr="009935E0">
        <w:rPr>
          <w:rFonts w:ascii="Times New Roman" w:hAnsi="Times New Roman" w:cs="Times New Roman"/>
          <w:sz w:val="24"/>
          <w:szCs w:val="24"/>
        </w:rPr>
        <w:t>wieloterytorialny</w:t>
      </w:r>
      <w:proofErr w:type="spellEnd"/>
      <w:r w:rsidR="00466012" w:rsidRPr="009935E0">
        <w:rPr>
          <w:rFonts w:ascii="Times New Roman" w:hAnsi="Times New Roman" w:cs="Times New Roman"/>
          <w:sz w:val="24"/>
          <w:szCs w:val="24"/>
        </w:rPr>
        <w:t xml:space="preserve">, natomiast w związku z fikcją prawną przyjętą w </w:t>
      </w:r>
      <w:r w:rsidR="00857EFC" w:rsidRPr="009935E0">
        <w:rPr>
          <w:rFonts w:ascii="Times New Roman" w:hAnsi="Times New Roman" w:cs="Times New Roman"/>
          <w:sz w:val="24"/>
          <w:szCs w:val="24"/>
        </w:rPr>
        <w:t>a</w:t>
      </w:r>
      <w:r w:rsidR="00990E6D" w:rsidRPr="009935E0">
        <w:rPr>
          <w:rFonts w:ascii="Times New Roman" w:hAnsi="Times New Roman" w:cs="Times New Roman"/>
          <w:sz w:val="24"/>
          <w:szCs w:val="24"/>
        </w:rPr>
        <w:t>rt.</w:t>
      </w:r>
      <w:r w:rsidR="00466012" w:rsidRPr="009935E0">
        <w:rPr>
          <w:rFonts w:ascii="Times New Roman" w:hAnsi="Times New Roman" w:cs="Times New Roman"/>
          <w:sz w:val="24"/>
          <w:szCs w:val="24"/>
        </w:rPr>
        <w:t xml:space="preserve"> 9 ust. 2 </w:t>
      </w:r>
      <w:r w:rsidR="00857EFC" w:rsidRPr="009935E0">
        <w:rPr>
          <w:rFonts w:ascii="Times New Roman" w:hAnsi="Times New Roman" w:cs="Times New Roman"/>
          <w:sz w:val="24"/>
          <w:szCs w:val="24"/>
        </w:rPr>
        <w:t>d</w:t>
      </w:r>
      <w:r w:rsidR="00466012" w:rsidRPr="009935E0">
        <w:rPr>
          <w:rFonts w:ascii="Times New Roman" w:hAnsi="Times New Roman" w:cs="Times New Roman"/>
          <w:sz w:val="24"/>
          <w:szCs w:val="24"/>
        </w:rPr>
        <w:t xml:space="preserve">yrektywy, a w ślad za nim </w:t>
      </w:r>
      <w:r w:rsidR="003B1273" w:rsidRPr="009935E0">
        <w:rPr>
          <w:rFonts w:ascii="Times New Roman" w:hAnsi="Times New Roman" w:cs="Times New Roman"/>
          <w:sz w:val="24"/>
          <w:szCs w:val="24"/>
        </w:rPr>
        <w:t xml:space="preserve">– </w:t>
      </w:r>
      <w:r w:rsidR="00466012" w:rsidRPr="009935E0">
        <w:rPr>
          <w:rFonts w:ascii="Times New Roman" w:hAnsi="Times New Roman" w:cs="Times New Roman"/>
          <w:sz w:val="24"/>
          <w:szCs w:val="24"/>
        </w:rPr>
        <w:t>w projektowanym art. 35</w:t>
      </w:r>
      <w:r w:rsidR="00DA64D7" w:rsidRPr="009935E0">
        <w:rPr>
          <w:rFonts w:ascii="Times New Roman" w:hAnsi="Times New Roman" w:cs="Times New Roman"/>
          <w:sz w:val="24"/>
          <w:szCs w:val="24"/>
          <w:vertAlign w:val="superscript"/>
        </w:rPr>
        <w:t>24</w:t>
      </w:r>
      <w:r w:rsidRPr="009935E0">
        <w:rPr>
          <w:rFonts w:ascii="Times New Roman" w:hAnsi="Times New Roman" w:cs="Times New Roman"/>
          <w:sz w:val="24"/>
          <w:szCs w:val="24"/>
        </w:rPr>
        <w:t xml:space="preserve"> ustawy o prawie autorskim,</w:t>
      </w:r>
      <w:r w:rsidR="00466012" w:rsidRPr="009935E0">
        <w:rPr>
          <w:rFonts w:ascii="Times New Roman" w:hAnsi="Times New Roman" w:cs="Times New Roman"/>
          <w:sz w:val="24"/>
          <w:szCs w:val="24"/>
        </w:rPr>
        <w:t xml:space="preserve"> zasady określone w oddziale 6 i 6b </w:t>
      </w:r>
      <w:r w:rsidRPr="009935E0">
        <w:rPr>
          <w:rFonts w:ascii="Times New Roman" w:hAnsi="Times New Roman" w:cs="Times New Roman"/>
          <w:sz w:val="24"/>
          <w:szCs w:val="24"/>
        </w:rPr>
        <w:t xml:space="preserve">tej ustawy </w:t>
      </w:r>
      <w:r w:rsidR="00466012" w:rsidRPr="009935E0">
        <w:rPr>
          <w:rFonts w:ascii="Times New Roman" w:hAnsi="Times New Roman" w:cs="Times New Roman"/>
          <w:sz w:val="24"/>
          <w:szCs w:val="24"/>
        </w:rPr>
        <w:t xml:space="preserve">dotyczyć będą również korzystania dokonywanego faktycznie poza terytorium Rzeczypospolitej Polskiej przez instytucje dziedzictwa kulturowego mające siedzibę na </w:t>
      </w:r>
      <w:r w:rsidRPr="009935E0">
        <w:rPr>
          <w:rFonts w:ascii="Times New Roman" w:hAnsi="Times New Roman" w:cs="Times New Roman"/>
          <w:sz w:val="24"/>
          <w:szCs w:val="24"/>
        </w:rPr>
        <w:t xml:space="preserve">jej </w:t>
      </w:r>
      <w:r w:rsidR="00466012" w:rsidRPr="009935E0">
        <w:rPr>
          <w:rFonts w:ascii="Times New Roman" w:hAnsi="Times New Roman" w:cs="Times New Roman"/>
          <w:sz w:val="24"/>
          <w:szCs w:val="24"/>
        </w:rPr>
        <w:t xml:space="preserve">terytorium. </w:t>
      </w:r>
    </w:p>
    <w:p w14:paraId="576ACC50" w14:textId="62273227"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Proponowan</w:t>
      </w:r>
      <w:r w:rsidR="003B1273" w:rsidRPr="009935E0">
        <w:rPr>
          <w:rFonts w:ascii="Times New Roman" w:hAnsi="Times New Roman" w:cs="Times New Roman"/>
          <w:sz w:val="24"/>
          <w:szCs w:val="24"/>
        </w:rPr>
        <w:t>y art. 35</w:t>
      </w:r>
      <w:r w:rsidR="003B1273"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4</w:t>
      </w:r>
      <w:r w:rsidRPr="009935E0">
        <w:rPr>
          <w:rFonts w:ascii="Times New Roman" w:hAnsi="Times New Roman" w:cs="Times New Roman"/>
          <w:sz w:val="24"/>
          <w:szCs w:val="24"/>
        </w:rPr>
        <w:t xml:space="preserve"> </w:t>
      </w:r>
      <w:r w:rsidR="00C61BAD" w:rsidRPr="009935E0">
        <w:rPr>
          <w:rFonts w:ascii="Times New Roman" w:hAnsi="Times New Roman" w:cs="Times New Roman"/>
          <w:sz w:val="24"/>
          <w:szCs w:val="24"/>
        </w:rPr>
        <w:t xml:space="preserve">ustawy o prawie autorskim </w:t>
      </w:r>
      <w:r w:rsidR="00990E6D" w:rsidRPr="009935E0">
        <w:rPr>
          <w:rFonts w:ascii="Times New Roman" w:hAnsi="Times New Roman" w:cs="Times New Roman"/>
          <w:sz w:val="24"/>
          <w:szCs w:val="24"/>
        </w:rPr>
        <w:t xml:space="preserve">stanowi </w:t>
      </w:r>
      <w:r w:rsidRPr="009935E0">
        <w:rPr>
          <w:rFonts w:ascii="Times New Roman" w:hAnsi="Times New Roman" w:cs="Times New Roman"/>
          <w:sz w:val="24"/>
          <w:szCs w:val="24"/>
        </w:rPr>
        <w:t xml:space="preserve">wierne odzwierciedlenie </w:t>
      </w:r>
      <w:r w:rsidR="00990E6D" w:rsidRPr="009935E0">
        <w:rPr>
          <w:rFonts w:ascii="Times New Roman" w:hAnsi="Times New Roman" w:cs="Times New Roman"/>
          <w:sz w:val="24"/>
          <w:szCs w:val="24"/>
        </w:rPr>
        <w:t xml:space="preserve">treści </w:t>
      </w:r>
      <w:r w:rsidR="00857EFC" w:rsidRPr="009935E0">
        <w:rPr>
          <w:rFonts w:ascii="Times New Roman" w:hAnsi="Times New Roman" w:cs="Times New Roman"/>
          <w:sz w:val="24"/>
          <w:szCs w:val="24"/>
        </w:rPr>
        <w:t>a</w:t>
      </w:r>
      <w:r w:rsidR="00990E6D" w:rsidRPr="009935E0">
        <w:rPr>
          <w:rFonts w:ascii="Times New Roman" w:hAnsi="Times New Roman" w:cs="Times New Roman"/>
          <w:sz w:val="24"/>
          <w:szCs w:val="24"/>
        </w:rPr>
        <w:t>rt.</w:t>
      </w:r>
      <w:r w:rsidR="004F2E2B">
        <w:rPr>
          <w:rFonts w:ascii="Times New Roman" w:hAnsi="Times New Roman" w:cs="Times New Roman"/>
          <w:sz w:val="24"/>
          <w:szCs w:val="24"/>
        </w:rPr>
        <w:t> </w:t>
      </w:r>
      <w:r w:rsidRPr="009935E0">
        <w:rPr>
          <w:rFonts w:ascii="Times New Roman" w:hAnsi="Times New Roman" w:cs="Times New Roman"/>
          <w:sz w:val="24"/>
          <w:szCs w:val="24"/>
        </w:rPr>
        <w:t xml:space="preserve">8 ust. 7 </w:t>
      </w:r>
      <w:r w:rsidR="00857EFC"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yrektywy, przewidując wyłączenie stosowania projektowanej regulacji w odniesieniu </w:t>
      </w:r>
      <w:r w:rsidRPr="009935E0">
        <w:rPr>
          <w:rFonts w:ascii="Times New Roman" w:hAnsi="Times New Roman" w:cs="Times New Roman"/>
          <w:sz w:val="24"/>
          <w:szCs w:val="24"/>
        </w:rPr>
        <w:lastRenderedPageBreak/>
        <w:t>do zbiorów utworów pochodzących z państw trzecich, z wyjątkiem sytuacji, w której istnieje organizacja zbiorowego zarządzania reprezentatywna dla uprawnionych z tego państwa trzeciego</w:t>
      </w:r>
      <w:r w:rsidR="005E552B" w:rsidRPr="009935E0">
        <w:rPr>
          <w:rFonts w:ascii="Times New Roman" w:hAnsi="Times New Roman" w:cs="Times New Roman"/>
          <w:sz w:val="24"/>
          <w:szCs w:val="24"/>
        </w:rPr>
        <w:t xml:space="preserve"> w zakresie określonego rodzaju praw i pól eksploatacji</w:t>
      </w:r>
      <w:r w:rsidRPr="009935E0">
        <w:rPr>
          <w:rFonts w:ascii="Times New Roman" w:hAnsi="Times New Roman" w:cs="Times New Roman"/>
          <w:sz w:val="24"/>
          <w:szCs w:val="24"/>
        </w:rPr>
        <w:t>. W takich okolicznościach badania, o których mowa w projektowanym art. 35</w:t>
      </w:r>
      <w:r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0</w:t>
      </w:r>
      <w:r w:rsidR="007E3526" w:rsidRPr="009935E0">
        <w:rPr>
          <w:rFonts w:ascii="Times New Roman" w:hAnsi="Times New Roman" w:cs="Times New Roman"/>
          <w:sz w:val="24"/>
          <w:szCs w:val="24"/>
        </w:rPr>
        <w:t xml:space="preserve"> ust. 1</w:t>
      </w:r>
      <w:r w:rsidR="00C61BAD" w:rsidRPr="009935E0">
        <w:rPr>
          <w:rFonts w:ascii="Times New Roman" w:hAnsi="Times New Roman" w:cs="Times New Roman"/>
          <w:sz w:val="24"/>
          <w:szCs w:val="24"/>
        </w:rPr>
        <w:t xml:space="preserve"> tej ustawy</w:t>
      </w:r>
      <w:r w:rsidR="00990E6D"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należy przeprowadzić </w:t>
      </w:r>
      <w:r w:rsidR="009669AE" w:rsidRPr="009935E0">
        <w:rPr>
          <w:rFonts w:ascii="Times New Roman" w:hAnsi="Times New Roman" w:cs="Times New Roman"/>
          <w:sz w:val="24"/>
          <w:szCs w:val="24"/>
        </w:rPr>
        <w:t xml:space="preserve">również </w:t>
      </w:r>
      <w:r w:rsidRPr="009935E0">
        <w:rPr>
          <w:rFonts w:ascii="Times New Roman" w:hAnsi="Times New Roman" w:cs="Times New Roman"/>
          <w:sz w:val="24"/>
          <w:szCs w:val="24"/>
        </w:rPr>
        <w:t>w odpowiednim państwie trzecim</w:t>
      </w:r>
      <w:r w:rsidR="00832EEF" w:rsidRPr="009935E0">
        <w:rPr>
          <w:rFonts w:ascii="Times New Roman" w:hAnsi="Times New Roman" w:cs="Times New Roman"/>
          <w:sz w:val="24"/>
          <w:szCs w:val="24"/>
        </w:rPr>
        <w:t xml:space="preserve"> (</w:t>
      </w:r>
      <w:r w:rsidR="00C80574" w:rsidRPr="009935E0">
        <w:rPr>
          <w:rFonts w:ascii="Times New Roman" w:hAnsi="Times New Roman" w:cs="Times New Roman"/>
          <w:sz w:val="24"/>
          <w:szCs w:val="24"/>
        </w:rPr>
        <w:t xml:space="preserve">art. </w:t>
      </w:r>
      <w:r w:rsidR="00832EEF" w:rsidRPr="009935E0">
        <w:rPr>
          <w:rFonts w:ascii="Times New Roman" w:hAnsi="Times New Roman" w:cs="Times New Roman"/>
          <w:sz w:val="24"/>
          <w:szCs w:val="24"/>
        </w:rPr>
        <w:t>35</w:t>
      </w:r>
      <w:r w:rsidR="00832EEF" w:rsidRPr="009935E0">
        <w:rPr>
          <w:rFonts w:ascii="Times New Roman" w:hAnsi="Times New Roman" w:cs="Times New Roman"/>
          <w:sz w:val="24"/>
          <w:szCs w:val="24"/>
          <w:vertAlign w:val="superscript"/>
        </w:rPr>
        <w:t>13</w:t>
      </w:r>
      <w:r w:rsidR="00832EEF" w:rsidRPr="009935E0">
        <w:rPr>
          <w:rFonts w:ascii="Times New Roman" w:hAnsi="Times New Roman" w:cs="Times New Roman"/>
          <w:sz w:val="24"/>
          <w:szCs w:val="24"/>
        </w:rPr>
        <w:t>)</w:t>
      </w:r>
      <w:r w:rsidR="00C80574" w:rsidRPr="009935E0">
        <w:rPr>
          <w:rFonts w:ascii="Times New Roman" w:hAnsi="Times New Roman" w:cs="Times New Roman"/>
          <w:sz w:val="24"/>
          <w:szCs w:val="24"/>
        </w:rPr>
        <w:t>.</w:t>
      </w:r>
    </w:p>
    <w:p w14:paraId="372CEE42" w14:textId="44644C85" w:rsidR="00466012" w:rsidRPr="009935E0" w:rsidRDefault="00466012" w:rsidP="00483092">
      <w:pPr>
        <w:spacing w:before="120" w:after="0" w:line="360" w:lineRule="auto"/>
        <w:jc w:val="both"/>
        <w:rPr>
          <w:rFonts w:ascii="Times New Roman" w:hAnsi="Times New Roman" w:cs="Times New Roman"/>
          <w:i/>
          <w:sz w:val="24"/>
          <w:szCs w:val="24"/>
        </w:rPr>
      </w:pPr>
      <w:r w:rsidRPr="009935E0">
        <w:rPr>
          <w:rFonts w:ascii="Times New Roman" w:hAnsi="Times New Roman" w:cs="Times New Roman"/>
          <w:sz w:val="24"/>
          <w:szCs w:val="24"/>
        </w:rPr>
        <w:t>Z proponowane</w:t>
      </w:r>
      <w:r w:rsidR="003B1273" w:rsidRPr="009935E0">
        <w:rPr>
          <w:rFonts w:ascii="Times New Roman" w:hAnsi="Times New Roman" w:cs="Times New Roman"/>
          <w:sz w:val="24"/>
          <w:szCs w:val="24"/>
        </w:rPr>
        <w:t>go brzmienia art. 35</w:t>
      </w:r>
      <w:r w:rsidR="003B1273"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5</w:t>
      </w:r>
      <w:r w:rsidRPr="009935E0">
        <w:rPr>
          <w:rFonts w:ascii="Times New Roman" w:hAnsi="Times New Roman" w:cs="Times New Roman"/>
          <w:sz w:val="24"/>
          <w:szCs w:val="24"/>
        </w:rPr>
        <w:t xml:space="preserve"> </w:t>
      </w:r>
      <w:r w:rsidR="00C61BAD"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 xml:space="preserve">wynika istotne ograniczenie dopuszczalności korzystania z utworów i przedmiotów praw pokrewnych na podstawie projektowanych </w:t>
      </w:r>
      <w:r w:rsidR="00990E6D" w:rsidRPr="009935E0">
        <w:rPr>
          <w:rFonts w:ascii="Times New Roman" w:hAnsi="Times New Roman" w:cs="Times New Roman"/>
          <w:sz w:val="24"/>
          <w:szCs w:val="24"/>
        </w:rPr>
        <w:t>o</w:t>
      </w:r>
      <w:r w:rsidRPr="009935E0">
        <w:rPr>
          <w:rFonts w:ascii="Times New Roman" w:hAnsi="Times New Roman" w:cs="Times New Roman"/>
          <w:sz w:val="24"/>
          <w:szCs w:val="24"/>
        </w:rPr>
        <w:t>ddziałów 6</w:t>
      </w:r>
      <w:r w:rsidR="00941431" w:rsidRPr="009935E0">
        <w:rPr>
          <w:rFonts w:ascii="Times New Roman" w:hAnsi="Times New Roman" w:cs="Times New Roman"/>
          <w:sz w:val="24"/>
          <w:szCs w:val="24"/>
        </w:rPr>
        <w:t>–</w:t>
      </w:r>
      <w:r w:rsidRPr="009935E0">
        <w:rPr>
          <w:rFonts w:ascii="Times New Roman" w:hAnsi="Times New Roman" w:cs="Times New Roman"/>
          <w:sz w:val="24"/>
          <w:szCs w:val="24"/>
        </w:rPr>
        <w:t>6b</w:t>
      </w:r>
      <w:r w:rsidR="00C61BAD" w:rsidRPr="009935E0">
        <w:rPr>
          <w:rFonts w:ascii="Times New Roman" w:hAnsi="Times New Roman" w:cs="Times New Roman"/>
          <w:sz w:val="24"/>
          <w:szCs w:val="24"/>
        </w:rPr>
        <w:t xml:space="preserve"> tej ustawy</w:t>
      </w:r>
      <w:r w:rsidRPr="009935E0">
        <w:rPr>
          <w:rFonts w:ascii="Times New Roman" w:hAnsi="Times New Roman" w:cs="Times New Roman"/>
          <w:sz w:val="24"/>
          <w:szCs w:val="24"/>
        </w:rPr>
        <w:t xml:space="preserve">. Korzystanie to nie może być </w:t>
      </w:r>
      <w:r w:rsidR="005E552B" w:rsidRPr="009935E0">
        <w:rPr>
          <w:rFonts w:ascii="Times New Roman" w:hAnsi="Times New Roman" w:cs="Times New Roman"/>
          <w:sz w:val="24"/>
          <w:szCs w:val="24"/>
        </w:rPr>
        <w:t xml:space="preserve">bowiem </w:t>
      </w:r>
      <w:r w:rsidRPr="009935E0">
        <w:rPr>
          <w:rFonts w:ascii="Times New Roman" w:hAnsi="Times New Roman" w:cs="Times New Roman"/>
          <w:sz w:val="24"/>
          <w:szCs w:val="24"/>
        </w:rPr>
        <w:t xml:space="preserve">realizowane w celu osiągnięcia </w:t>
      </w:r>
      <w:r w:rsidR="00DA64D7" w:rsidRPr="009935E0">
        <w:rPr>
          <w:rFonts w:ascii="Times New Roman" w:hAnsi="Times New Roman" w:cs="Times New Roman"/>
          <w:sz w:val="24"/>
          <w:szCs w:val="24"/>
        </w:rPr>
        <w:t xml:space="preserve">bezpośredniej lub pośredniej </w:t>
      </w:r>
      <w:r w:rsidRPr="009935E0">
        <w:rPr>
          <w:rFonts w:ascii="Times New Roman" w:hAnsi="Times New Roman" w:cs="Times New Roman"/>
          <w:sz w:val="24"/>
          <w:szCs w:val="24"/>
        </w:rPr>
        <w:t xml:space="preserve">korzyści majątkowej. Projektowane rozwiązanie </w:t>
      </w:r>
      <w:r w:rsidR="00857EFC" w:rsidRPr="009935E0">
        <w:rPr>
          <w:rFonts w:ascii="Times New Roman" w:hAnsi="Times New Roman" w:cs="Times New Roman"/>
          <w:sz w:val="24"/>
          <w:szCs w:val="24"/>
        </w:rPr>
        <w:t>–</w:t>
      </w:r>
      <w:r w:rsidRPr="009935E0">
        <w:rPr>
          <w:rFonts w:ascii="Times New Roman" w:hAnsi="Times New Roman" w:cs="Times New Roman"/>
          <w:sz w:val="24"/>
          <w:szCs w:val="24"/>
        </w:rPr>
        <w:t xml:space="preserve"> w ślad za regułą przewidzianą w aktualnie obowiązujących przepisach dotyczących korzystania z utworów osieroconych</w:t>
      </w:r>
      <w:r w:rsidRPr="009935E0">
        <w:rPr>
          <w:rStyle w:val="Odwoanieprzypisudolnego"/>
          <w:rFonts w:ascii="Times New Roman" w:hAnsi="Times New Roman" w:cs="Times New Roman"/>
          <w:sz w:val="24"/>
          <w:szCs w:val="24"/>
        </w:rPr>
        <w:footnoteReference w:id="25"/>
      </w:r>
      <w:r w:rsidR="007104DF"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w:t>
      </w:r>
      <w:r w:rsidR="003B1273" w:rsidRPr="009935E0">
        <w:rPr>
          <w:rFonts w:ascii="Times New Roman" w:hAnsi="Times New Roman" w:cs="Times New Roman"/>
          <w:sz w:val="24"/>
          <w:szCs w:val="24"/>
        </w:rPr>
        <w:t>–</w:t>
      </w:r>
      <w:r w:rsidRPr="009935E0">
        <w:rPr>
          <w:rFonts w:ascii="Times New Roman" w:hAnsi="Times New Roman" w:cs="Times New Roman"/>
          <w:sz w:val="24"/>
          <w:szCs w:val="24"/>
        </w:rPr>
        <w:t xml:space="preserve"> dopuszcza jednak przeznaczenie przychodów z takiego korzystania na cele </w:t>
      </w:r>
      <w:r w:rsidR="001D03D5" w:rsidRPr="009935E0">
        <w:rPr>
          <w:rFonts w:ascii="Times New Roman" w:hAnsi="Times New Roman" w:cs="Times New Roman"/>
          <w:sz w:val="24"/>
          <w:szCs w:val="24"/>
        </w:rPr>
        <w:t xml:space="preserve">(koszty) </w:t>
      </w:r>
      <w:r w:rsidR="00E90830" w:rsidRPr="009935E0">
        <w:rPr>
          <w:rFonts w:ascii="Times New Roman" w:hAnsi="Times New Roman" w:cs="Times New Roman"/>
          <w:sz w:val="24"/>
          <w:szCs w:val="24"/>
        </w:rPr>
        <w:t xml:space="preserve">związane z digitalizacją, </w:t>
      </w:r>
      <w:r w:rsidRPr="009935E0">
        <w:rPr>
          <w:rFonts w:ascii="Times New Roman" w:hAnsi="Times New Roman" w:cs="Times New Roman"/>
          <w:sz w:val="24"/>
          <w:szCs w:val="24"/>
        </w:rPr>
        <w:t>rozpowszechnianiem utworów uznanych za niedostępne w handlu</w:t>
      </w:r>
      <w:r w:rsidR="00DA64D7" w:rsidRPr="009935E0">
        <w:rPr>
          <w:rFonts w:ascii="Times New Roman" w:hAnsi="Times New Roman" w:cs="Times New Roman"/>
          <w:sz w:val="24"/>
          <w:szCs w:val="24"/>
        </w:rPr>
        <w:t xml:space="preserve"> </w:t>
      </w:r>
      <w:r w:rsidR="00132EB9" w:rsidRPr="009935E0">
        <w:rPr>
          <w:rFonts w:ascii="Times New Roman" w:hAnsi="Times New Roman" w:cs="Times New Roman"/>
          <w:sz w:val="24"/>
          <w:szCs w:val="24"/>
        </w:rPr>
        <w:t>lub opłaceniem licencji</w:t>
      </w:r>
      <w:r w:rsidR="00DA64D7" w:rsidRPr="009935E0">
        <w:rPr>
          <w:rFonts w:ascii="Times New Roman" w:hAnsi="Times New Roman" w:cs="Times New Roman"/>
          <w:sz w:val="24"/>
          <w:szCs w:val="24"/>
        </w:rPr>
        <w:t xml:space="preserve"> </w:t>
      </w:r>
      <w:r w:rsidRPr="009935E0">
        <w:rPr>
          <w:rFonts w:ascii="Times New Roman" w:hAnsi="Times New Roman" w:cs="Times New Roman"/>
          <w:sz w:val="24"/>
          <w:szCs w:val="24"/>
        </w:rPr>
        <w:t>udzielonej przez o</w:t>
      </w:r>
      <w:r w:rsidR="00857EFC" w:rsidRPr="009935E0">
        <w:rPr>
          <w:rFonts w:ascii="Times New Roman" w:hAnsi="Times New Roman" w:cs="Times New Roman"/>
          <w:sz w:val="24"/>
          <w:szCs w:val="24"/>
        </w:rPr>
        <w:t xml:space="preserve">rganizację </w:t>
      </w:r>
      <w:r w:rsidRPr="009935E0">
        <w:rPr>
          <w:rFonts w:ascii="Times New Roman" w:hAnsi="Times New Roman" w:cs="Times New Roman"/>
          <w:sz w:val="24"/>
          <w:szCs w:val="24"/>
        </w:rPr>
        <w:t>z</w:t>
      </w:r>
      <w:r w:rsidR="00857EFC" w:rsidRPr="009935E0">
        <w:rPr>
          <w:rFonts w:ascii="Times New Roman" w:hAnsi="Times New Roman" w:cs="Times New Roman"/>
          <w:sz w:val="24"/>
          <w:szCs w:val="24"/>
        </w:rPr>
        <w:t xml:space="preserve">biorowego </w:t>
      </w:r>
      <w:r w:rsidRPr="009935E0">
        <w:rPr>
          <w:rFonts w:ascii="Times New Roman" w:hAnsi="Times New Roman" w:cs="Times New Roman"/>
          <w:sz w:val="24"/>
          <w:szCs w:val="24"/>
        </w:rPr>
        <w:t>z</w:t>
      </w:r>
      <w:r w:rsidR="00857EFC" w:rsidRPr="009935E0">
        <w:rPr>
          <w:rFonts w:ascii="Times New Roman" w:hAnsi="Times New Roman" w:cs="Times New Roman"/>
          <w:sz w:val="24"/>
          <w:szCs w:val="24"/>
        </w:rPr>
        <w:t>arządzania</w:t>
      </w:r>
      <w:r w:rsidRPr="009935E0">
        <w:rPr>
          <w:rFonts w:ascii="Times New Roman" w:hAnsi="Times New Roman" w:cs="Times New Roman"/>
          <w:sz w:val="24"/>
          <w:szCs w:val="24"/>
        </w:rPr>
        <w:t xml:space="preserve">. Projektowane rozwiązanie stanowi implementację art. 8 ust. 1 </w:t>
      </w:r>
      <w:r w:rsidR="00990E6D" w:rsidRPr="009935E0">
        <w:rPr>
          <w:rFonts w:ascii="Times New Roman" w:hAnsi="Times New Roman" w:cs="Times New Roman"/>
          <w:sz w:val="24"/>
          <w:szCs w:val="24"/>
        </w:rPr>
        <w:t>i</w:t>
      </w:r>
      <w:r w:rsidRPr="009935E0">
        <w:rPr>
          <w:rFonts w:ascii="Times New Roman" w:hAnsi="Times New Roman" w:cs="Times New Roman"/>
          <w:sz w:val="24"/>
          <w:szCs w:val="24"/>
        </w:rPr>
        <w:t xml:space="preserve"> 2 </w:t>
      </w:r>
      <w:r w:rsidR="003B1273"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yrektywy </w:t>
      </w:r>
      <w:r w:rsidR="00C61B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w zakresie</w:t>
      </w:r>
      <w:r w:rsidR="00990E6D" w:rsidRPr="009935E0">
        <w:rPr>
          <w:rFonts w:ascii="Times New Roman" w:hAnsi="Times New Roman" w:cs="Times New Roman"/>
          <w:sz w:val="24"/>
          <w:szCs w:val="24"/>
        </w:rPr>
        <w:t>,</w:t>
      </w:r>
      <w:r w:rsidRPr="009935E0">
        <w:rPr>
          <w:rFonts w:ascii="Times New Roman" w:hAnsi="Times New Roman" w:cs="Times New Roman"/>
          <w:sz w:val="24"/>
          <w:szCs w:val="24"/>
        </w:rPr>
        <w:t xml:space="preserve"> w jakim </w:t>
      </w:r>
      <w:r w:rsidR="00463A30" w:rsidRPr="009935E0">
        <w:rPr>
          <w:rFonts w:ascii="Times New Roman" w:hAnsi="Times New Roman" w:cs="Times New Roman"/>
          <w:sz w:val="24"/>
          <w:szCs w:val="24"/>
        </w:rPr>
        <w:t xml:space="preserve">przepis ten </w:t>
      </w:r>
      <w:r w:rsidRPr="009935E0">
        <w:rPr>
          <w:rFonts w:ascii="Times New Roman" w:hAnsi="Times New Roman" w:cs="Times New Roman"/>
          <w:sz w:val="24"/>
          <w:szCs w:val="24"/>
        </w:rPr>
        <w:t>przewiduj</w:t>
      </w:r>
      <w:r w:rsidR="003B1273" w:rsidRPr="009935E0">
        <w:rPr>
          <w:rFonts w:ascii="Times New Roman" w:hAnsi="Times New Roman" w:cs="Times New Roman"/>
          <w:sz w:val="24"/>
          <w:szCs w:val="24"/>
        </w:rPr>
        <w:t>e</w:t>
      </w:r>
      <w:r w:rsidRPr="009935E0">
        <w:rPr>
          <w:rFonts w:ascii="Times New Roman" w:hAnsi="Times New Roman" w:cs="Times New Roman"/>
          <w:sz w:val="24"/>
          <w:szCs w:val="24"/>
        </w:rPr>
        <w:t xml:space="preserve">, że korzystanie zarówno na podstawie licencji udzielonej przez </w:t>
      </w:r>
      <w:r w:rsidR="00857EFC" w:rsidRPr="009935E0">
        <w:rPr>
          <w:rFonts w:ascii="Times New Roman" w:hAnsi="Times New Roman" w:cs="Times New Roman"/>
          <w:sz w:val="24"/>
          <w:szCs w:val="24"/>
        </w:rPr>
        <w:t>organizację zbiorowego zarządzania</w:t>
      </w:r>
      <w:r w:rsidRPr="009935E0">
        <w:rPr>
          <w:rFonts w:ascii="Times New Roman" w:hAnsi="Times New Roman" w:cs="Times New Roman"/>
          <w:sz w:val="24"/>
          <w:szCs w:val="24"/>
        </w:rPr>
        <w:t>, jak i na podstawie przewidzianego wyjątku lub ograniczenia, musi odbywać</w:t>
      </w:r>
      <w:r w:rsidR="00990E6D" w:rsidRPr="009935E0">
        <w:rPr>
          <w:rFonts w:ascii="Times New Roman" w:hAnsi="Times New Roman" w:cs="Times New Roman"/>
          <w:sz w:val="24"/>
          <w:szCs w:val="24"/>
        </w:rPr>
        <w:t xml:space="preserve"> się</w:t>
      </w:r>
      <w:r w:rsidRPr="009935E0">
        <w:rPr>
          <w:rFonts w:ascii="Times New Roman" w:hAnsi="Times New Roman" w:cs="Times New Roman"/>
          <w:sz w:val="24"/>
          <w:szCs w:val="24"/>
        </w:rPr>
        <w:t xml:space="preserve"> </w:t>
      </w:r>
      <w:r w:rsidR="001D03D5" w:rsidRPr="009935E0">
        <w:rPr>
          <w:rFonts w:ascii="Times New Roman" w:hAnsi="Times New Roman" w:cs="Times New Roman"/>
          <w:sz w:val="24"/>
          <w:szCs w:val="24"/>
        </w:rPr>
        <w:t>„</w:t>
      </w:r>
      <w:r w:rsidRPr="009935E0">
        <w:rPr>
          <w:rFonts w:ascii="Times New Roman" w:hAnsi="Times New Roman" w:cs="Times New Roman"/>
          <w:sz w:val="24"/>
          <w:szCs w:val="24"/>
        </w:rPr>
        <w:t>w celach niekomercyjnych</w:t>
      </w:r>
      <w:r w:rsidR="001D03D5" w:rsidRPr="009935E0">
        <w:rPr>
          <w:rFonts w:ascii="Times New Roman" w:hAnsi="Times New Roman" w:cs="Times New Roman"/>
          <w:sz w:val="24"/>
          <w:szCs w:val="24"/>
        </w:rPr>
        <w:t>”</w:t>
      </w:r>
      <w:r w:rsidRPr="009935E0">
        <w:rPr>
          <w:rFonts w:ascii="Times New Roman" w:hAnsi="Times New Roman" w:cs="Times New Roman"/>
          <w:sz w:val="24"/>
          <w:szCs w:val="24"/>
        </w:rPr>
        <w:t xml:space="preserve">. Dodatkowo art. 8 ust. 2 </w:t>
      </w:r>
      <w:r w:rsidR="00857EFC"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857EFC" w:rsidRPr="009935E0">
        <w:rPr>
          <w:rFonts w:ascii="Times New Roman" w:hAnsi="Times New Roman" w:cs="Times New Roman"/>
          <w:sz w:val="24"/>
          <w:szCs w:val="24"/>
        </w:rPr>
        <w:t xml:space="preserve"> </w:t>
      </w:r>
      <w:r w:rsidRPr="009935E0">
        <w:rPr>
          <w:rFonts w:ascii="Times New Roman" w:hAnsi="Times New Roman" w:cs="Times New Roman"/>
          <w:sz w:val="24"/>
          <w:szCs w:val="24"/>
        </w:rPr>
        <w:t>przewiduje, w odniesieniu do tego drugiego przypadku</w:t>
      </w:r>
      <w:r w:rsidR="00990E6D" w:rsidRPr="009935E0">
        <w:rPr>
          <w:rFonts w:ascii="Times New Roman" w:hAnsi="Times New Roman" w:cs="Times New Roman"/>
          <w:sz w:val="24"/>
          <w:szCs w:val="24"/>
        </w:rPr>
        <w:t>,</w:t>
      </w:r>
      <w:r w:rsidRPr="009935E0">
        <w:rPr>
          <w:rFonts w:ascii="Times New Roman" w:hAnsi="Times New Roman" w:cs="Times New Roman"/>
          <w:sz w:val="24"/>
          <w:szCs w:val="24"/>
        </w:rPr>
        <w:t xml:space="preserve"> niekomercyjny charakter strony internetowej, na której utwór lub inny przedmiot ochrony </w:t>
      </w:r>
      <w:r w:rsidR="00576D94" w:rsidRPr="009935E0">
        <w:rPr>
          <w:rFonts w:ascii="Times New Roman" w:hAnsi="Times New Roman" w:cs="Times New Roman"/>
          <w:sz w:val="24"/>
          <w:szCs w:val="24"/>
        </w:rPr>
        <w:t xml:space="preserve">jest </w:t>
      </w:r>
      <w:r w:rsidRPr="009935E0">
        <w:rPr>
          <w:rFonts w:ascii="Times New Roman" w:hAnsi="Times New Roman" w:cs="Times New Roman"/>
          <w:sz w:val="24"/>
          <w:szCs w:val="24"/>
        </w:rPr>
        <w:t>podawany do wiadomości. Równocześnie</w:t>
      </w:r>
      <w:r w:rsidR="00463A30" w:rsidRPr="009935E0">
        <w:rPr>
          <w:rFonts w:ascii="Times New Roman" w:hAnsi="Times New Roman" w:cs="Times New Roman"/>
          <w:sz w:val="24"/>
          <w:szCs w:val="24"/>
        </w:rPr>
        <w:t>,</w:t>
      </w:r>
      <w:r w:rsidRPr="009935E0">
        <w:rPr>
          <w:rFonts w:ascii="Times New Roman" w:hAnsi="Times New Roman" w:cs="Times New Roman"/>
          <w:sz w:val="24"/>
          <w:szCs w:val="24"/>
        </w:rPr>
        <w:t xml:space="preserve"> zgodnie z treścią motywu 40 </w:t>
      </w:r>
      <w:r w:rsidR="00857EFC"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F31024" w:rsidRPr="009935E0">
        <w:rPr>
          <w:rFonts w:ascii="Times New Roman" w:hAnsi="Times New Roman" w:cs="Times New Roman"/>
          <w:sz w:val="24"/>
          <w:szCs w:val="24"/>
        </w:rPr>
        <w:t>,</w:t>
      </w:r>
      <w:r w:rsidR="001D03D5" w:rsidRPr="009935E0">
        <w:rPr>
          <w:rFonts w:ascii="Times New Roman" w:hAnsi="Times New Roman" w:cs="Times New Roman"/>
          <w:sz w:val="24"/>
          <w:szCs w:val="24"/>
        </w:rPr>
        <w:t xml:space="preserve"> „</w:t>
      </w:r>
      <w:r w:rsidRPr="009935E0">
        <w:rPr>
          <w:rFonts w:ascii="Times New Roman" w:hAnsi="Times New Roman" w:cs="Times New Roman"/>
          <w:sz w:val="24"/>
          <w:szCs w:val="24"/>
        </w:rPr>
        <w:t>wszelkie licencje udzielane na podstawie mechanizmu przewidzianego w niniejszej dyrektywie nie powinny uniemożliwiać instytucjom dziedzictwa kulturowego pokrywania kosztów licencji oraz kosztów cyfryzacji i upowszechniania utworów lub innych przedmiotów objętych ochroną będących przedmiotem licencji</w:t>
      </w:r>
      <w:r w:rsidR="001D03D5" w:rsidRPr="009935E0">
        <w:rPr>
          <w:rFonts w:ascii="Times New Roman" w:hAnsi="Times New Roman" w:cs="Times New Roman"/>
          <w:sz w:val="24"/>
          <w:szCs w:val="24"/>
        </w:rPr>
        <w:t>”</w:t>
      </w:r>
      <w:r w:rsidRPr="009935E0">
        <w:rPr>
          <w:rFonts w:ascii="Times New Roman" w:hAnsi="Times New Roman" w:cs="Times New Roman"/>
          <w:sz w:val="24"/>
          <w:szCs w:val="24"/>
        </w:rPr>
        <w:t>.</w:t>
      </w:r>
    </w:p>
    <w:p w14:paraId="51BD219B" w14:textId="450F54C6" w:rsidR="00BE3A57" w:rsidRPr="009935E0" w:rsidRDefault="00BE3A5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shd w:val="clear" w:color="auto" w:fill="FFFFFF"/>
        </w:rPr>
        <w:t xml:space="preserve">W projektowanym art. </w:t>
      </w:r>
      <w:r w:rsidRPr="009935E0">
        <w:rPr>
          <w:rFonts w:ascii="Times New Roman" w:hAnsi="Times New Roman" w:cs="Times New Roman"/>
          <w:sz w:val="24"/>
          <w:szCs w:val="24"/>
        </w:rPr>
        <w:t>35</w:t>
      </w:r>
      <w:r w:rsidRPr="009935E0">
        <w:rPr>
          <w:rFonts w:ascii="Times New Roman" w:hAnsi="Times New Roman" w:cs="Times New Roman"/>
          <w:sz w:val="24"/>
          <w:szCs w:val="24"/>
          <w:vertAlign w:val="superscript"/>
        </w:rPr>
        <w:t>1</w:t>
      </w:r>
      <w:r w:rsidR="00DA64D7" w:rsidRPr="009935E0">
        <w:rPr>
          <w:rFonts w:ascii="Times New Roman" w:hAnsi="Times New Roman" w:cs="Times New Roman"/>
          <w:sz w:val="24"/>
          <w:szCs w:val="24"/>
          <w:vertAlign w:val="superscript"/>
        </w:rPr>
        <w:t>6</w:t>
      </w:r>
      <w:r w:rsidRPr="009935E0">
        <w:rPr>
          <w:rFonts w:ascii="Times New Roman" w:hAnsi="Times New Roman" w:cs="Times New Roman"/>
          <w:sz w:val="24"/>
          <w:szCs w:val="24"/>
          <w:vertAlign w:val="superscript"/>
        </w:rPr>
        <w:t xml:space="preserve"> </w:t>
      </w:r>
      <w:r w:rsidR="00C61BAD"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 xml:space="preserve">przewidziano </w:t>
      </w:r>
      <w:r w:rsidR="007D4DC3" w:rsidRPr="009935E0">
        <w:rPr>
          <w:rFonts w:ascii="Times New Roman" w:hAnsi="Times New Roman" w:cs="Times New Roman"/>
          <w:sz w:val="24"/>
          <w:szCs w:val="24"/>
        </w:rPr>
        <w:t xml:space="preserve">uprawnienie </w:t>
      </w:r>
      <w:r w:rsidRPr="009935E0">
        <w:rPr>
          <w:rFonts w:ascii="Times New Roman" w:hAnsi="Times New Roman" w:cs="Times New Roman"/>
          <w:sz w:val="24"/>
          <w:szCs w:val="24"/>
        </w:rPr>
        <w:t>organizacji zbiorowego zarządzania oraz instytucji dziedzictwa kulturowego do</w:t>
      </w:r>
      <w:r w:rsidR="007D4DC3" w:rsidRPr="009935E0">
        <w:rPr>
          <w:rFonts w:ascii="Times New Roman" w:hAnsi="Times New Roman" w:cs="Times New Roman"/>
          <w:sz w:val="24"/>
          <w:szCs w:val="24"/>
        </w:rPr>
        <w:t xml:space="preserve"> złożenia wniosku </w:t>
      </w:r>
      <w:r w:rsidR="00650459" w:rsidRPr="009935E0">
        <w:rPr>
          <w:rFonts w:ascii="Times New Roman" w:hAnsi="Times New Roman" w:cs="Times New Roman"/>
          <w:sz w:val="24"/>
          <w:szCs w:val="24"/>
        </w:rPr>
        <w:t>do ministra właściwego do spraw kultury i ochrony dziedzictwa narodowego o dokonanie</w:t>
      </w:r>
      <w:r w:rsidR="007D4DC3" w:rsidRPr="009935E0">
        <w:rPr>
          <w:rFonts w:ascii="Times New Roman" w:hAnsi="Times New Roman" w:cs="Times New Roman"/>
          <w:sz w:val="24"/>
          <w:szCs w:val="24"/>
        </w:rPr>
        <w:t xml:space="preserve"> rejestracj</w:t>
      </w:r>
      <w:r w:rsidR="00650459" w:rsidRPr="009935E0">
        <w:rPr>
          <w:rFonts w:ascii="Times New Roman" w:hAnsi="Times New Roman" w:cs="Times New Roman"/>
          <w:sz w:val="24"/>
          <w:szCs w:val="24"/>
        </w:rPr>
        <w:t>i</w:t>
      </w:r>
      <w:r w:rsidR="007D4DC3" w:rsidRPr="009935E0">
        <w:rPr>
          <w:rFonts w:ascii="Times New Roman" w:hAnsi="Times New Roman" w:cs="Times New Roman"/>
          <w:sz w:val="24"/>
          <w:szCs w:val="24"/>
        </w:rPr>
        <w:t xml:space="preserve"> w </w:t>
      </w:r>
      <w:r w:rsidR="00E7586D" w:rsidRPr="009935E0">
        <w:rPr>
          <w:rFonts w:ascii="Times New Roman" w:hAnsi="Times New Roman" w:cs="Times New Roman"/>
          <w:sz w:val="24"/>
          <w:szCs w:val="24"/>
        </w:rPr>
        <w:t>portalu</w:t>
      </w:r>
      <w:r w:rsidRPr="009935E0">
        <w:rPr>
          <w:rFonts w:ascii="Times New Roman" w:hAnsi="Times New Roman" w:cs="Times New Roman"/>
          <w:sz w:val="24"/>
          <w:szCs w:val="24"/>
        </w:rPr>
        <w:t xml:space="preserve"> utworów niedostępnych w handlu. </w:t>
      </w:r>
      <w:r w:rsidR="00E7586D" w:rsidRPr="009935E0">
        <w:rPr>
          <w:rFonts w:ascii="Times New Roman" w:hAnsi="Times New Roman" w:cs="Times New Roman"/>
          <w:sz w:val="24"/>
          <w:szCs w:val="24"/>
        </w:rPr>
        <w:t>Jest to</w:t>
      </w:r>
      <w:r w:rsidR="00D1656A" w:rsidRPr="009935E0">
        <w:rPr>
          <w:rFonts w:ascii="Times New Roman" w:hAnsi="Times New Roman" w:cs="Times New Roman"/>
          <w:sz w:val="24"/>
          <w:szCs w:val="24"/>
        </w:rPr>
        <w:t xml:space="preserve"> portal utworzony i zarządzany</w:t>
      </w:r>
      <w:r w:rsidRPr="009935E0">
        <w:rPr>
          <w:rFonts w:ascii="Times New Roman" w:hAnsi="Times New Roman" w:cs="Times New Roman"/>
          <w:sz w:val="24"/>
          <w:szCs w:val="24"/>
        </w:rPr>
        <w:t xml:space="preserve"> przez Urząd Unii Europejskiej </w:t>
      </w:r>
      <w:r w:rsidR="007E3526" w:rsidRPr="009935E0">
        <w:rPr>
          <w:rFonts w:ascii="Times New Roman" w:hAnsi="Times New Roman" w:cs="Times New Roman"/>
          <w:sz w:val="24"/>
          <w:szCs w:val="24"/>
        </w:rPr>
        <w:t xml:space="preserve">ds. </w:t>
      </w:r>
      <w:r w:rsidRPr="009935E0">
        <w:rPr>
          <w:rFonts w:ascii="Times New Roman" w:hAnsi="Times New Roman" w:cs="Times New Roman"/>
          <w:sz w:val="24"/>
          <w:szCs w:val="24"/>
        </w:rPr>
        <w:t>Własności Intelektualnej</w:t>
      </w:r>
      <w:r w:rsidR="0075192E" w:rsidRPr="009935E0">
        <w:rPr>
          <w:rFonts w:ascii="Times New Roman" w:hAnsi="Times New Roman" w:cs="Times New Roman"/>
          <w:sz w:val="24"/>
          <w:szCs w:val="24"/>
        </w:rPr>
        <w:t xml:space="preserve"> w ramach europejskiego obserwatorium do spraw naruszeń praw własno</w:t>
      </w:r>
      <w:r w:rsidR="00224A72" w:rsidRPr="009935E0">
        <w:rPr>
          <w:rFonts w:ascii="Times New Roman" w:hAnsi="Times New Roman" w:cs="Times New Roman"/>
          <w:sz w:val="24"/>
          <w:szCs w:val="24"/>
        </w:rPr>
        <w:t>ści intelektualnej (zwany dalej</w:t>
      </w:r>
      <w:r w:rsidR="0075192E" w:rsidRPr="009935E0">
        <w:rPr>
          <w:rFonts w:ascii="Times New Roman" w:hAnsi="Times New Roman" w:cs="Times New Roman"/>
          <w:sz w:val="24"/>
          <w:szCs w:val="24"/>
        </w:rPr>
        <w:t xml:space="preserve"> </w:t>
      </w:r>
      <w:r w:rsidR="00224A72" w:rsidRPr="009935E0">
        <w:rPr>
          <w:rFonts w:ascii="Times New Roman" w:hAnsi="Times New Roman" w:cs="Times New Roman"/>
          <w:sz w:val="24"/>
          <w:szCs w:val="24"/>
        </w:rPr>
        <w:t>„</w:t>
      </w:r>
      <w:r w:rsidR="0075192E" w:rsidRPr="009935E0">
        <w:rPr>
          <w:rFonts w:ascii="Times New Roman" w:hAnsi="Times New Roman" w:cs="Times New Roman"/>
          <w:sz w:val="24"/>
          <w:szCs w:val="24"/>
        </w:rPr>
        <w:t>EUIPO</w:t>
      </w:r>
      <w:r w:rsidR="00224A72" w:rsidRPr="009935E0">
        <w:rPr>
          <w:rFonts w:ascii="Times New Roman" w:hAnsi="Times New Roman" w:cs="Times New Roman"/>
          <w:sz w:val="24"/>
          <w:szCs w:val="24"/>
        </w:rPr>
        <w:t>”</w:t>
      </w:r>
      <w:r w:rsidR="0075192E" w:rsidRPr="009935E0">
        <w:rPr>
          <w:rFonts w:ascii="Times New Roman" w:hAnsi="Times New Roman" w:cs="Times New Roman"/>
          <w:sz w:val="24"/>
          <w:szCs w:val="24"/>
        </w:rPr>
        <w:t>)</w:t>
      </w:r>
      <w:r w:rsidRPr="009935E0">
        <w:rPr>
          <w:rFonts w:ascii="Times New Roman" w:hAnsi="Times New Roman" w:cs="Times New Roman"/>
          <w:sz w:val="24"/>
          <w:szCs w:val="24"/>
        </w:rPr>
        <w:t xml:space="preserve">. Portal ten jest dostępny pod adresem </w:t>
      </w:r>
      <w:r w:rsidRPr="00B36CC6">
        <w:rPr>
          <w:rFonts w:ascii="Times New Roman" w:hAnsi="Times New Roman" w:cs="Times New Roman"/>
          <w:sz w:val="24"/>
          <w:szCs w:val="24"/>
        </w:rPr>
        <w:t>https://euipo.europa.eu/out-of-commerce/#/</w:t>
      </w:r>
      <w:r w:rsidRPr="009935E0">
        <w:rPr>
          <w:rFonts w:ascii="Times New Roman" w:hAnsi="Times New Roman" w:cs="Times New Roman"/>
          <w:sz w:val="24"/>
          <w:szCs w:val="24"/>
        </w:rPr>
        <w:t xml:space="preserve">. Ma on </w:t>
      </w:r>
      <w:r w:rsidR="00D1656A" w:rsidRPr="009935E0">
        <w:rPr>
          <w:rFonts w:ascii="Times New Roman" w:hAnsi="Times New Roman" w:cs="Times New Roman"/>
          <w:sz w:val="24"/>
          <w:szCs w:val="24"/>
        </w:rPr>
        <w:t>zapewnić uprawnionym łatwy i skuteczny dostęp</w:t>
      </w:r>
      <w:r w:rsidRPr="009935E0">
        <w:rPr>
          <w:rFonts w:ascii="Times New Roman" w:hAnsi="Times New Roman" w:cs="Times New Roman"/>
          <w:sz w:val="24"/>
          <w:szCs w:val="24"/>
        </w:rPr>
        <w:t xml:space="preserve"> do informacji o ich utworach uznanych za </w:t>
      </w:r>
      <w:r w:rsidRPr="009935E0">
        <w:rPr>
          <w:rFonts w:ascii="Times New Roman" w:hAnsi="Times New Roman" w:cs="Times New Roman"/>
          <w:sz w:val="24"/>
          <w:szCs w:val="24"/>
        </w:rPr>
        <w:lastRenderedPageBreak/>
        <w:t>niedostępne w handlu i sposobach korzystania z nich</w:t>
      </w:r>
      <w:r w:rsidR="00D1656A" w:rsidRPr="009935E0">
        <w:rPr>
          <w:rFonts w:ascii="Times New Roman" w:hAnsi="Times New Roman" w:cs="Times New Roman"/>
          <w:sz w:val="24"/>
          <w:szCs w:val="24"/>
        </w:rPr>
        <w:t xml:space="preserve"> przez instytucje dziedzictwa kulturowego</w:t>
      </w:r>
      <w:r w:rsidRPr="009935E0">
        <w:rPr>
          <w:rFonts w:ascii="Times New Roman" w:hAnsi="Times New Roman" w:cs="Times New Roman"/>
          <w:sz w:val="24"/>
          <w:szCs w:val="24"/>
        </w:rPr>
        <w:t xml:space="preserve">. Ma również </w:t>
      </w:r>
      <w:r w:rsidR="0075192E" w:rsidRPr="009935E0">
        <w:rPr>
          <w:rFonts w:ascii="Times New Roman" w:hAnsi="Times New Roman" w:cs="Times New Roman"/>
          <w:sz w:val="24"/>
          <w:szCs w:val="24"/>
        </w:rPr>
        <w:t>–</w:t>
      </w:r>
      <w:r w:rsidRPr="009935E0">
        <w:rPr>
          <w:rFonts w:ascii="Times New Roman" w:hAnsi="Times New Roman" w:cs="Times New Roman"/>
          <w:sz w:val="24"/>
          <w:szCs w:val="24"/>
        </w:rPr>
        <w:t xml:space="preserve"> zgodnie z </w:t>
      </w:r>
      <w:r w:rsidR="0075192E" w:rsidRPr="009935E0">
        <w:rPr>
          <w:rFonts w:ascii="Times New Roman" w:hAnsi="Times New Roman" w:cs="Times New Roman"/>
          <w:sz w:val="24"/>
          <w:szCs w:val="24"/>
        </w:rPr>
        <w:t>m</w:t>
      </w:r>
      <w:r w:rsidRPr="009935E0">
        <w:rPr>
          <w:rFonts w:ascii="Times New Roman" w:hAnsi="Times New Roman" w:cs="Times New Roman"/>
          <w:sz w:val="24"/>
          <w:szCs w:val="24"/>
        </w:rPr>
        <w:t>otywem 41 dyrektywy</w:t>
      </w:r>
      <w:r w:rsidR="00C61B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w:t>
      </w:r>
      <w:r w:rsidR="0075192E" w:rsidRPr="009935E0">
        <w:rPr>
          <w:rFonts w:ascii="Times New Roman" w:hAnsi="Times New Roman" w:cs="Times New Roman"/>
          <w:sz w:val="24"/>
          <w:szCs w:val="24"/>
        </w:rPr>
        <w:t>–</w:t>
      </w:r>
      <w:r w:rsidRPr="009935E0">
        <w:rPr>
          <w:rFonts w:ascii="Times New Roman" w:hAnsi="Times New Roman" w:cs="Times New Roman"/>
          <w:sz w:val="24"/>
          <w:szCs w:val="24"/>
        </w:rPr>
        <w:t xml:space="preserve"> ułatwiać uprawnionym skuteczne sprzeciwienie się takiemu korzystaniu</w:t>
      </w:r>
      <w:r w:rsidR="00C84852" w:rsidRPr="009935E0">
        <w:rPr>
          <w:rFonts w:ascii="Times New Roman" w:hAnsi="Times New Roman" w:cs="Times New Roman"/>
          <w:sz w:val="24"/>
          <w:szCs w:val="24"/>
        </w:rPr>
        <w:t xml:space="preserve"> (tzw. </w:t>
      </w:r>
      <w:proofErr w:type="spellStart"/>
      <w:r w:rsidR="00C84852" w:rsidRPr="009935E0">
        <w:rPr>
          <w:rFonts w:ascii="Times New Roman" w:hAnsi="Times New Roman" w:cs="Times New Roman"/>
          <w:i/>
          <w:sz w:val="24"/>
          <w:szCs w:val="24"/>
        </w:rPr>
        <w:t>opt</w:t>
      </w:r>
      <w:proofErr w:type="spellEnd"/>
      <w:r w:rsidR="00C84852" w:rsidRPr="009935E0">
        <w:rPr>
          <w:rFonts w:ascii="Times New Roman" w:hAnsi="Times New Roman" w:cs="Times New Roman"/>
          <w:i/>
          <w:sz w:val="24"/>
          <w:szCs w:val="24"/>
        </w:rPr>
        <w:t>-out</w:t>
      </w:r>
      <w:r w:rsidR="00C84852" w:rsidRPr="009935E0">
        <w:rPr>
          <w:rFonts w:ascii="Times New Roman" w:hAnsi="Times New Roman" w:cs="Times New Roman"/>
          <w:sz w:val="24"/>
          <w:szCs w:val="24"/>
        </w:rPr>
        <w:t>)</w:t>
      </w:r>
      <w:r w:rsidR="00E7586D" w:rsidRPr="009935E0">
        <w:rPr>
          <w:rStyle w:val="Odwoanieprzypisudolnego"/>
          <w:rFonts w:ascii="Times New Roman" w:hAnsi="Times New Roman" w:cs="Times New Roman"/>
          <w:sz w:val="24"/>
          <w:szCs w:val="24"/>
        </w:rPr>
        <w:footnoteReference w:id="26"/>
      </w:r>
      <w:r w:rsidR="007104DF" w:rsidRPr="00483092">
        <w:rPr>
          <w:rFonts w:ascii="Times New Roman" w:hAnsi="Times New Roman" w:cs="Times New Roman"/>
          <w:sz w:val="24"/>
          <w:szCs w:val="24"/>
          <w:vertAlign w:val="superscript"/>
        </w:rPr>
        <w:t>)</w:t>
      </w:r>
      <w:r w:rsidR="006903B2" w:rsidRPr="009935E0">
        <w:rPr>
          <w:rFonts w:ascii="Times New Roman" w:hAnsi="Times New Roman" w:cs="Times New Roman"/>
          <w:sz w:val="24"/>
          <w:szCs w:val="24"/>
        </w:rPr>
        <w:t>.</w:t>
      </w:r>
      <w:r w:rsidR="00D1656A" w:rsidRPr="009935E0">
        <w:rPr>
          <w:rFonts w:ascii="Times New Roman" w:hAnsi="Times New Roman" w:cs="Times New Roman"/>
          <w:sz w:val="24"/>
          <w:szCs w:val="24"/>
        </w:rPr>
        <w:t xml:space="preserve"> Portal został </w:t>
      </w:r>
      <w:r w:rsidR="001C56E1" w:rsidRPr="009935E0">
        <w:rPr>
          <w:rFonts w:ascii="Times New Roman" w:hAnsi="Times New Roman" w:cs="Times New Roman"/>
          <w:sz w:val="24"/>
          <w:szCs w:val="24"/>
        </w:rPr>
        <w:t xml:space="preserve">tak </w:t>
      </w:r>
      <w:r w:rsidR="00D1656A" w:rsidRPr="009935E0">
        <w:rPr>
          <w:rFonts w:ascii="Times New Roman" w:hAnsi="Times New Roman" w:cs="Times New Roman"/>
          <w:sz w:val="24"/>
          <w:szCs w:val="24"/>
        </w:rPr>
        <w:t>zaprojektowany</w:t>
      </w:r>
      <w:r w:rsidR="001C56E1" w:rsidRPr="009935E0">
        <w:rPr>
          <w:rFonts w:ascii="Times New Roman" w:hAnsi="Times New Roman" w:cs="Times New Roman"/>
          <w:sz w:val="24"/>
          <w:szCs w:val="24"/>
        </w:rPr>
        <w:t>, aby</w:t>
      </w:r>
      <w:r w:rsidRPr="009935E0">
        <w:rPr>
          <w:rFonts w:ascii="Times New Roman" w:hAnsi="Times New Roman" w:cs="Times New Roman"/>
          <w:sz w:val="24"/>
          <w:szCs w:val="24"/>
        </w:rPr>
        <w:t xml:space="preserve"> wył</w:t>
      </w:r>
      <w:r w:rsidR="00D1656A" w:rsidRPr="009935E0">
        <w:rPr>
          <w:rFonts w:ascii="Times New Roman" w:hAnsi="Times New Roman" w:cs="Times New Roman"/>
          <w:sz w:val="24"/>
          <w:szCs w:val="24"/>
        </w:rPr>
        <w:t>ącznie podmioty wcześniej w nim</w:t>
      </w:r>
      <w:r w:rsidRPr="009935E0">
        <w:rPr>
          <w:rFonts w:ascii="Times New Roman" w:hAnsi="Times New Roman" w:cs="Times New Roman"/>
          <w:sz w:val="24"/>
          <w:szCs w:val="24"/>
        </w:rPr>
        <w:t xml:space="preserve"> zarejestrowane m</w:t>
      </w:r>
      <w:r w:rsidR="001C56E1" w:rsidRPr="009935E0">
        <w:rPr>
          <w:rFonts w:ascii="Times New Roman" w:hAnsi="Times New Roman" w:cs="Times New Roman"/>
          <w:sz w:val="24"/>
          <w:szCs w:val="24"/>
        </w:rPr>
        <w:t>iały</w:t>
      </w:r>
      <w:r w:rsidRPr="009935E0">
        <w:rPr>
          <w:rFonts w:ascii="Times New Roman" w:hAnsi="Times New Roman" w:cs="Times New Roman"/>
          <w:sz w:val="24"/>
          <w:szCs w:val="24"/>
        </w:rPr>
        <w:t xml:space="preserve"> możliwoś</w:t>
      </w:r>
      <w:r w:rsidR="00030E0B" w:rsidRPr="009935E0">
        <w:rPr>
          <w:rFonts w:ascii="Times New Roman" w:hAnsi="Times New Roman" w:cs="Times New Roman"/>
          <w:sz w:val="24"/>
          <w:szCs w:val="24"/>
        </w:rPr>
        <w:t xml:space="preserve">ć </w:t>
      </w:r>
      <w:r w:rsidRPr="009935E0">
        <w:rPr>
          <w:rFonts w:ascii="Times New Roman" w:hAnsi="Times New Roman" w:cs="Times New Roman"/>
          <w:sz w:val="24"/>
          <w:szCs w:val="24"/>
        </w:rPr>
        <w:t>zamieszczenia informacji wskazanych w art. 10 us</w:t>
      </w:r>
      <w:r w:rsidR="007D4DC3" w:rsidRPr="009935E0">
        <w:rPr>
          <w:rFonts w:ascii="Times New Roman" w:hAnsi="Times New Roman" w:cs="Times New Roman"/>
          <w:sz w:val="24"/>
          <w:szCs w:val="24"/>
        </w:rPr>
        <w:t>t. 1 dyrektywy. K</w:t>
      </w:r>
      <w:r w:rsidRPr="009935E0">
        <w:rPr>
          <w:rFonts w:ascii="Times New Roman" w:hAnsi="Times New Roman" w:cs="Times New Roman"/>
          <w:sz w:val="24"/>
          <w:szCs w:val="24"/>
        </w:rPr>
        <w:t>ażda instyt</w:t>
      </w:r>
      <w:r w:rsidR="007D4DC3" w:rsidRPr="009935E0">
        <w:rPr>
          <w:rFonts w:ascii="Times New Roman" w:hAnsi="Times New Roman" w:cs="Times New Roman"/>
          <w:sz w:val="24"/>
          <w:szCs w:val="24"/>
        </w:rPr>
        <w:t>ucja dziedzictwa kulturowego i</w:t>
      </w:r>
      <w:r w:rsidRPr="009935E0">
        <w:rPr>
          <w:rFonts w:ascii="Times New Roman" w:hAnsi="Times New Roman" w:cs="Times New Roman"/>
          <w:sz w:val="24"/>
          <w:szCs w:val="24"/>
        </w:rPr>
        <w:t xml:space="preserve"> organizacja zbiorowego zarządzania planująca </w:t>
      </w:r>
      <w:r w:rsidR="00E7586D" w:rsidRPr="009935E0">
        <w:rPr>
          <w:rFonts w:ascii="Times New Roman" w:hAnsi="Times New Roman" w:cs="Times New Roman"/>
          <w:sz w:val="24"/>
          <w:szCs w:val="24"/>
        </w:rPr>
        <w:t>zamieszcz</w:t>
      </w:r>
      <w:r w:rsidR="002A5E36" w:rsidRPr="009935E0">
        <w:rPr>
          <w:rFonts w:ascii="Times New Roman" w:hAnsi="Times New Roman" w:cs="Times New Roman"/>
          <w:sz w:val="24"/>
          <w:szCs w:val="24"/>
        </w:rPr>
        <w:t>a</w:t>
      </w:r>
      <w:r w:rsidR="00E7586D" w:rsidRPr="009935E0">
        <w:rPr>
          <w:rFonts w:ascii="Times New Roman" w:hAnsi="Times New Roman" w:cs="Times New Roman"/>
          <w:sz w:val="24"/>
          <w:szCs w:val="24"/>
        </w:rPr>
        <w:t>nie w portalu</w:t>
      </w:r>
      <w:r w:rsidR="00D1656A" w:rsidRPr="009935E0">
        <w:rPr>
          <w:rFonts w:ascii="Times New Roman" w:hAnsi="Times New Roman" w:cs="Times New Roman"/>
          <w:sz w:val="24"/>
          <w:szCs w:val="24"/>
        </w:rPr>
        <w:t xml:space="preserve"> </w:t>
      </w:r>
      <w:r w:rsidRPr="009935E0">
        <w:rPr>
          <w:rFonts w:ascii="Times New Roman" w:hAnsi="Times New Roman" w:cs="Times New Roman"/>
          <w:sz w:val="24"/>
          <w:szCs w:val="24"/>
        </w:rPr>
        <w:t>danych dotyczących przewidywanego korzystania z utworu musi</w:t>
      </w:r>
      <w:r w:rsidR="00F364AD" w:rsidRPr="009935E0">
        <w:rPr>
          <w:rFonts w:ascii="Times New Roman" w:hAnsi="Times New Roman" w:cs="Times New Roman"/>
          <w:sz w:val="24"/>
          <w:szCs w:val="24"/>
        </w:rPr>
        <w:t xml:space="preserve"> więc</w:t>
      </w:r>
      <w:r w:rsidRPr="009935E0">
        <w:rPr>
          <w:rFonts w:ascii="Times New Roman" w:hAnsi="Times New Roman" w:cs="Times New Roman"/>
          <w:sz w:val="24"/>
          <w:szCs w:val="24"/>
        </w:rPr>
        <w:t xml:space="preserve"> najpierw zostać </w:t>
      </w:r>
      <w:r w:rsidR="00E7586D" w:rsidRPr="009935E0">
        <w:rPr>
          <w:rFonts w:ascii="Times New Roman" w:hAnsi="Times New Roman" w:cs="Times New Roman"/>
          <w:sz w:val="24"/>
          <w:szCs w:val="24"/>
        </w:rPr>
        <w:t xml:space="preserve">w nim </w:t>
      </w:r>
      <w:r w:rsidRPr="009935E0">
        <w:rPr>
          <w:rFonts w:ascii="Times New Roman" w:hAnsi="Times New Roman" w:cs="Times New Roman"/>
          <w:sz w:val="24"/>
          <w:szCs w:val="24"/>
        </w:rPr>
        <w:t>zarejestrowana</w:t>
      </w:r>
      <w:r w:rsidR="00EE61DE">
        <w:rPr>
          <w:rStyle w:val="Odwoanieprzypisudolnego"/>
          <w:rFonts w:ascii="Times New Roman" w:hAnsi="Times New Roman" w:cs="Times New Roman"/>
          <w:sz w:val="24"/>
          <w:szCs w:val="24"/>
        </w:rPr>
        <w:footnoteReference w:id="27"/>
      </w:r>
      <w:r w:rsidR="007104DF" w:rsidRPr="00483092">
        <w:rPr>
          <w:rFonts w:ascii="Times New Roman" w:hAnsi="Times New Roman" w:cs="Times New Roman"/>
          <w:sz w:val="24"/>
          <w:szCs w:val="24"/>
          <w:vertAlign w:val="superscript"/>
        </w:rPr>
        <w:t>)</w:t>
      </w:r>
      <w:r w:rsidR="0075192E" w:rsidRPr="009935E0">
        <w:rPr>
          <w:rFonts w:ascii="Times New Roman" w:hAnsi="Times New Roman" w:cs="Times New Roman"/>
          <w:sz w:val="24"/>
          <w:szCs w:val="24"/>
        </w:rPr>
        <w:t>.</w:t>
      </w:r>
      <w:r w:rsidRPr="009935E0">
        <w:rPr>
          <w:rFonts w:ascii="Times New Roman" w:hAnsi="Times New Roman" w:cs="Times New Roman"/>
          <w:sz w:val="24"/>
          <w:szCs w:val="24"/>
        </w:rPr>
        <w:t xml:space="preserve"> Kompetencja ministra w </w:t>
      </w:r>
      <w:r w:rsidR="00911D89" w:rsidRPr="009935E0">
        <w:rPr>
          <w:rFonts w:ascii="Times New Roman" w:hAnsi="Times New Roman" w:cs="Times New Roman"/>
          <w:sz w:val="24"/>
          <w:szCs w:val="24"/>
        </w:rPr>
        <w:t xml:space="preserve">zakresie rejestracji ww. podmiotów w </w:t>
      </w:r>
      <w:r w:rsidR="00415CA3" w:rsidRPr="009935E0">
        <w:rPr>
          <w:rFonts w:ascii="Times New Roman" w:hAnsi="Times New Roman" w:cs="Times New Roman"/>
          <w:sz w:val="24"/>
          <w:szCs w:val="24"/>
        </w:rPr>
        <w:t>portalu</w:t>
      </w:r>
      <w:r w:rsidRPr="009935E0">
        <w:rPr>
          <w:rFonts w:ascii="Times New Roman" w:hAnsi="Times New Roman" w:cs="Times New Roman"/>
          <w:sz w:val="24"/>
          <w:szCs w:val="24"/>
        </w:rPr>
        <w:t xml:space="preserve"> nie wynika w tym przypadku bezpośrednio z obowiązku nałożonego przez dyrektywę. Niemniej jednak </w:t>
      </w:r>
      <w:r w:rsidR="00415CA3" w:rsidRPr="009935E0">
        <w:rPr>
          <w:rFonts w:ascii="Times New Roman" w:hAnsi="Times New Roman" w:cs="Times New Roman"/>
          <w:sz w:val="24"/>
          <w:szCs w:val="24"/>
        </w:rPr>
        <w:t xml:space="preserve">portal ten </w:t>
      </w:r>
      <w:r w:rsidRPr="009935E0">
        <w:rPr>
          <w:rFonts w:ascii="Times New Roman" w:hAnsi="Times New Roman" w:cs="Times New Roman"/>
          <w:sz w:val="24"/>
          <w:szCs w:val="24"/>
        </w:rPr>
        <w:t>przewiduje możliwość ustanowienia tzw. punktu kontaktowego, weryfik</w:t>
      </w:r>
      <w:r w:rsidR="00415CA3" w:rsidRPr="009935E0">
        <w:rPr>
          <w:rFonts w:ascii="Times New Roman" w:hAnsi="Times New Roman" w:cs="Times New Roman"/>
          <w:sz w:val="24"/>
          <w:szCs w:val="24"/>
        </w:rPr>
        <w:t>ującego</w:t>
      </w:r>
      <w:r w:rsidRPr="009935E0">
        <w:rPr>
          <w:rFonts w:ascii="Times New Roman" w:hAnsi="Times New Roman" w:cs="Times New Roman"/>
          <w:sz w:val="24"/>
          <w:szCs w:val="24"/>
        </w:rPr>
        <w:t xml:space="preserve"> </w:t>
      </w:r>
      <w:r w:rsidR="00D1656A" w:rsidRPr="009935E0">
        <w:rPr>
          <w:rFonts w:ascii="Times New Roman" w:hAnsi="Times New Roman" w:cs="Times New Roman"/>
          <w:sz w:val="24"/>
          <w:szCs w:val="24"/>
        </w:rPr>
        <w:t>organizacje</w:t>
      </w:r>
      <w:r w:rsidRPr="009935E0">
        <w:rPr>
          <w:rFonts w:ascii="Times New Roman" w:hAnsi="Times New Roman" w:cs="Times New Roman"/>
          <w:sz w:val="24"/>
          <w:szCs w:val="24"/>
        </w:rPr>
        <w:t xml:space="preserve"> rejestrując</w:t>
      </w:r>
      <w:r w:rsidR="00415CA3" w:rsidRPr="009935E0">
        <w:rPr>
          <w:rFonts w:ascii="Times New Roman" w:hAnsi="Times New Roman" w:cs="Times New Roman"/>
          <w:sz w:val="24"/>
          <w:szCs w:val="24"/>
        </w:rPr>
        <w:t>e</w:t>
      </w:r>
      <w:r w:rsidRPr="009935E0">
        <w:rPr>
          <w:rFonts w:ascii="Times New Roman" w:hAnsi="Times New Roman" w:cs="Times New Roman"/>
          <w:sz w:val="24"/>
          <w:szCs w:val="24"/>
        </w:rPr>
        <w:t xml:space="preserve"> się w </w:t>
      </w:r>
      <w:r w:rsidR="00415CA3" w:rsidRPr="009935E0">
        <w:rPr>
          <w:rFonts w:ascii="Times New Roman" w:hAnsi="Times New Roman" w:cs="Times New Roman"/>
          <w:sz w:val="24"/>
          <w:szCs w:val="24"/>
        </w:rPr>
        <w:t>portalu</w:t>
      </w:r>
      <w:r w:rsidRPr="009935E0">
        <w:rPr>
          <w:rFonts w:ascii="Times New Roman" w:hAnsi="Times New Roman" w:cs="Times New Roman"/>
          <w:sz w:val="24"/>
          <w:szCs w:val="24"/>
        </w:rPr>
        <w:t>, w celu uniknięci</w:t>
      </w:r>
      <w:r w:rsidR="0075192E" w:rsidRPr="009935E0">
        <w:rPr>
          <w:rFonts w:ascii="Times New Roman" w:hAnsi="Times New Roman" w:cs="Times New Roman"/>
          <w:sz w:val="24"/>
          <w:szCs w:val="24"/>
        </w:rPr>
        <w:t>a</w:t>
      </w:r>
      <w:r w:rsidR="00911D89" w:rsidRPr="009935E0">
        <w:rPr>
          <w:rFonts w:ascii="Times New Roman" w:hAnsi="Times New Roman" w:cs="Times New Roman"/>
          <w:sz w:val="24"/>
          <w:szCs w:val="24"/>
        </w:rPr>
        <w:t xml:space="preserve"> </w:t>
      </w:r>
      <w:r w:rsidR="00415CA3" w:rsidRPr="009935E0">
        <w:rPr>
          <w:rFonts w:ascii="Times New Roman" w:hAnsi="Times New Roman" w:cs="Times New Roman"/>
          <w:sz w:val="24"/>
          <w:szCs w:val="24"/>
        </w:rPr>
        <w:t xml:space="preserve">rejestrowania </w:t>
      </w:r>
      <w:r w:rsidR="00D1656A" w:rsidRPr="009935E0">
        <w:rPr>
          <w:rFonts w:ascii="Times New Roman" w:hAnsi="Times New Roman" w:cs="Times New Roman"/>
          <w:sz w:val="24"/>
          <w:szCs w:val="24"/>
        </w:rPr>
        <w:t xml:space="preserve">się </w:t>
      </w:r>
      <w:r w:rsidR="00415CA3" w:rsidRPr="009935E0">
        <w:rPr>
          <w:rFonts w:ascii="Times New Roman" w:hAnsi="Times New Roman" w:cs="Times New Roman"/>
          <w:sz w:val="24"/>
          <w:szCs w:val="24"/>
        </w:rPr>
        <w:t>w nim</w:t>
      </w:r>
      <w:r w:rsidRPr="009935E0">
        <w:rPr>
          <w:rFonts w:ascii="Times New Roman" w:hAnsi="Times New Roman" w:cs="Times New Roman"/>
          <w:sz w:val="24"/>
          <w:szCs w:val="24"/>
        </w:rPr>
        <w:t xml:space="preserve"> podmiotów nie</w:t>
      </w:r>
      <w:r w:rsidR="00911D89" w:rsidRPr="009935E0">
        <w:rPr>
          <w:rFonts w:ascii="Times New Roman" w:hAnsi="Times New Roman" w:cs="Times New Roman"/>
          <w:sz w:val="24"/>
          <w:szCs w:val="24"/>
        </w:rPr>
        <w:t>objętych regulacją</w:t>
      </w:r>
      <w:r w:rsidRPr="009935E0">
        <w:rPr>
          <w:rFonts w:ascii="Times New Roman" w:hAnsi="Times New Roman" w:cs="Times New Roman"/>
          <w:sz w:val="24"/>
          <w:szCs w:val="24"/>
        </w:rPr>
        <w:t xml:space="preserve">. Uwzględnienie przedmiotowej kompetencji </w:t>
      </w:r>
      <w:r w:rsidR="0075192E" w:rsidRPr="009935E0">
        <w:rPr>
          <w:rFonts w:ascii="Times New Roman" w:hAnsi="Times New Roman" w:cs="Times New Roman"/>
          <w:sz w:val="24"/>
          <w:szCs w:val="24"/>
        </w:rPr>
        <w:t>m</w:t>
      </w:r>
      <w:r w:rsidRPr="009935E0">
        <w:rPr>
          <w:rFonts w:ascii="Times New Roman" w:hAnsi="Times New Roman" w:cs="Times New Roman"/>
          <w:sz w:val="24"/>
          <w:szCs w:val="24"/>
        </w:rPr>
        <w:t xml:space="preserve">inistra przyczyni się do prawidłowej realizacji sformułowanego w art. 10 </w:t>
      </w:r>
      <w:r w:rsidR="0075192E" w:rsidRPr="009935E0">
        <w:rPr>
          <w:rFonts w:ascii="Times New Roman" w:hAnsi="Times New Roman" w:cs="Times New Roman"/>
          <w:sz w:val="24"/>
          <w:szCs w:val="24"/>
        </w:rPr>
        <w:t>d</w:t>
      </w:r>
      <w:r w:rsidRPr="009935E0">
        <w:rPr>
          <w:rFonts w:ascii="Times New Roman" w:hAnsi="Times New Roman" w:cs="Times New Roman"/>
          <w:sz w:val="24"/>
          <w:szCs w:val="24"/>
        </w:rPr>
        <w:t>yrektywy obowiązku informacyjnego. Projektowane rozwiązanie</w:t>
      </w:r>
      <w:r w:rsidR="00911D89" w:rsidRPr="009935E0">
        <w:rPr>
          <w:rFonts w:ascii="Times New Roman" w:hAnsi="Times New Roman" w:cs="Times New Roman"/>
          <w:sz w:val="24"/>
          <w:szCs w:val="24"/>
        </w:rPr>
        <w:t xml:space="preserve"> jest zbieżn</w:t>
      </w:r>
      <w:r w:rsidRPr="009935E0">
        <w:rPr>
          <w:rFonts w:ascii="Times New Roman" w:hAnsi="Times New Roman" w:cs="Times New Roman"/>
          <w:sz w:val="24"/>
          <w:szCs w:val="24"/>
        </w:rPr>
        <w:t xml:space="preserve">e z rozwiązaniem zastosowanym w aktualnie obowiązującej regulacji dotyczącej rejestracji beneficjentów dozwolonego użytku utworów osieroconych. </w:t>
      </w:r>
      <w:r w:rsidR="00C80574" w:rsidRPr="009935E0">
        <w:rPr>
          <w:rFonts w:ascii="Times New Roman" w:hAnsi="Times New Roman" w:cs="Times New Roman"/>
          <w:sz w:val="24"/>
          <w:szCs w:val="24"/>
        </w:rPr>
        <w:t xml:space="preserve">Odmowa rejestracji będzie następować w drodze decyzji </w:t>
      </w:r>
      <w:r w:rsidR="0070052C" w:rsidRPr="009935E0">
        <w:rPr>
          <w:rFonts w:ascii="Times New Roman" w:hAnsi="Times New Roman" w:cs="Times New Roman"/>
          <w:sz w:val="24"/>
          <w:szCs w:val="24"/>
        </w:rPr>
        <w:t>–</w:t>
      </w:r>
      <w:r w:rsidR="007E3526" w:rsidRPr="009935E0">
        <w:rPr>
          <w:rFonts w:ascii="Times New Roman" w:hAnsi="Times New Roman" w:cs="Times New Roman"/>
          <w:sz w:val="24"/>
          <w:szCs w:val="24"/>
        </w:rPr>
        <w:t xml:space="preserve"> w przypadku, gdy wniosek nie będzie pochodził od uprawnionego podmiotu albo będzie dotyczył</w:t>
      </w:r>
      <w:r w:rsidR="00413AB1" w:rsidRPr="009935E0">
        <w:rPr>
          <w:rFonts w:ascii="Times New Roman" w:hAnsi="Times New Roman" w:cs="Times New Roman"/>
          <w:sz w:val="24"/>
          <w:szCs w:val="24"/>
        </w:rPr>
        <w:t xml:space="preserve"> </w:t>
      </w:r>
      <w:r w:rsidR="007E3526" w:rsidRPr="009935E0">
        <w:rPr>
          <w:rFonts w:ascii="Times New Roman" w:hAnsi="Times New Roman" w:cs="Times New Roman"/>
          <w:sz w:val="24"/>
          <w:szCs w:val="24"/>
        </w:rPr>
        <w:t>korzystania z utworu wykraczającego poza zakres zezwolenia wnios</w:t>
      </w:r>
      <w:r w:rsidR="0070052C" w:rsidRPr="009935E0">
        <w:rPr>
          <w:rFonts w:ascii="Times New Roman" w:hAnsi="Times New Roman" w:cs="Times New Roman"/>
          <w:sz w:val="24"/>
          <w:szCs w:val="24"/>
        </w:rPr>
        <w:t>kodawcy na zbiorowy zarząd lub określony statutem zakres działalności instytucji dziedzictwa kulturowego.</w:t>
      </w:r>
    </w:p>
    <w:p w14:paraId="5FBF2A06" w14:textId="166E4C7F" w:rsidR="00C04F8A"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projektowanym art. 35</w:t>
      </w:r>
      <w:r w:rsidRPr="009935E0">
        <w:rPr>
          <w:rFonts w:ascii="Times New Roman" w:hAnsi="Times New Roman" w:cs="Times New Roman"/>
          <w:sz w:val="24"/>
          <w:szCs w:val="24"/>
          <w:vertAlign w:val="superscript"/>
        </w:rPr>
        <w:t>1</w:t>
      </w:r>
      <w:r w:rsidR="00715AF1" w:rsidRPr="009935E0">
        <w:rPr>
          <w:rFonts w:ascii="Times New Roman" w:hAnsi="Times New Roman" w:cs="Times New Roman"/>
          <w:sz w:val="24"/>
          <w:szCs w:val="24"/>
          <w:vertAlign w:val="superscript"/>
        </w:rPr>
        <w:t>7</w:t>
      </w:r>
      <w:r w:rsidRPr="009935E0">
        <w:rPr>
          <w:rFonts w:ascii="Times New Roman" w:hAnsi="Times New Roman" w:cs="Times New Roman"/>
          <w:sz w:val="24"/>
          <w:szCs w:val="24"/>
          <w:vertAlign w:val="superscript"/>
        </w:rPr>
        <w:t xml:space="preserve"> </w:t>
      </w:r>
      <w:r w:rsidR="00C61BAD" w:rsidRPr="009935E0">
        <w:rPr>
          <w:rFonts w:ascii="Times New Roman" w:hAnsi="Times New Roman" w:cs="Times New Roman"/>
          <w:sz w:val="24"/>
          <w:szCs w:val="24"/>
        </w:rPr>
        <w:t>ustawy o prawie autorskim</w:t>
      </w:r>
      <w:r w:rsidR="00C61BAD" w:rsidRPr="009935E0" w:rsidDel="00C61BAD">
        <w:rPr>
          <w:rFonts w:ascii="Times New Roman" w:hAnsi="Times New Roman" w:cs="Times New Roman"/>
          <w:sz w:val="24"/>
          <w:szCs w:val="24"/>
        </w:rPr>
        <w:t xml:space="preserve"> </w:t>
      </w:r>
      <w:r w:rsidR="00C61BAD" w:rsidRPr="009935E0">
        <w:rPr>
          <w:rFonts w:ascii="Times New Roman" w:hAnsi="Times New Roman" w:cs="Times New Roman"/>
          <w:sz w:val="24"/>
          <w:szCs w:val="24"/>
        </w:rPr>
        <w:t>p</w:t>
      </w:r>
      <w:r w:rsidRPr="009935E0">
        <w:rPr>
          <w:rFonts w:ascii="Times New Roman" w:hAnsi="Times New Roman" w:cs="Times New Roman"/>
          <w:sz w:val="24"/>
          <w:szCs w:val="24"/>
        </w:rPr>
        <w:t xml:space="preserve">rzewidziano możliwość żądania przez uprawnionego </w:t>
      </w:r>
      <w:r w:rsidR="001D03D5" w:rsidRPr="009935E0">
        <w:rPr>
          <w:rFonts w:ascii="Times New Roman" w:hAnsi="Times New Roman" w:cs="Times New Roman"/>
          <w:sz w:val="24"/>
          <w:szCs w:val="24"/>
        </w:rPr>
        <w:t>„</w:t>
      </w:r>
      <w:r w:rsidRPr="009935E0">
        <w:rPr>
          <w:rFonts w:ascii="Times New Roman" w:hAnsi="Times New Roman" w:cs="Times New Roman"/>
          <w:sz w:val="24"/>
          <w:szCs w:val="24"/>
        </w:rPr>
        <w:t>powstrzymania się</w:t>
      </w:r>
      <w:r w:rsidR="00C80574" w:rsidRPr="009935E0">
        <w:rPr>
          <w:rFonts w:ascii="Times New Roman" w:hAnsi="Times New Roman" w:cs="Times New Roman"/>
          <w:sz w:val="24"/>
          <w:szCs w:val="24"/>
        </w:rPr>
        <w:t>”</w:t>
      </w:r>
      <w:r w:rsidRPr="009935E0">
        <w:rPr>
          <w:rFonts w:ascii="Times New Roman" w:hAnsi="Times New Roman" w:cs="Times New Roman"/>
          <w:sz w:val="24"/>
          <w:szCs w:val="24"/>
        </w:rPr>
        <w:t xml:space="preserve"> od korzystania</w:t>
      </w:r>
      <w:r w:rsidR="005049C9" w:rsidRPr="009935E0">
        <w:rPr>
          <w:rFonts w:ascii="Times New Roman" w:hAnsi="Times New Roman" w:cs="Times New Roman"/>
          <w:sz w:val="24"/>
          <w:szCs w:val="24"/>
        </w:rPr>
        <w:t xml:space="preserve"> </w:t>
      </w:r>
      <w:r w:rsidR="002A5E36" w:rsidRPr="009935E0">
        <w:rPr>
          <w:rFonts w:ascii="Times New Roman" w:hAnsi="Times New Roman" w:cs="Times New Roman"/>
          <w:sz w:val="24"/>
          <w:szCs w:val="24"/>
        </w:rPr>
        <w:t>z utworu</w:t>
      </w:r>
      <w:r w:rsidR="00C80574" w:rsidRPr="009935E0">
        <w:rPr>
          <w:rFonts w:ascii="Times New Roman" w:hAnsi="Times New Roman" w:cs="Times New Roman"/>
          <w:sz w:val="24"/>
          <w:szCs w:val="24"/>
        </w:rPr>
        <w:t xml:space="preserve"> na podstawie tych przepisów</w:t>
      </w:r>
      <w:r w:rsidRPr="009935E0">
        <w:rPr>
          <w:rFonts w:ascii="Times New Roman" w:hAnsi="Times New Roman" w:cs="Times New Roman"/>
          <w:sz w:val="24"/>
          <w:szCs w:val="24"/>
        </w:rPr>
        <w:t xml:space="preserve">, za pośrednictwem </w:t>
      </w:r>
      <w:r w:rsidR="00415CA3" w:rsidRPr="009935E0">
        <w:rPr>
          <w:rFonts w:ascii="Times New Roman" w:hAnsi="Times New Roman" w:cs="Times New Roman"/>
          <w:sz w:val="24"/>
          <w:szCs w:val="24"/>
        </w:rPr>
        <w:t>portalu</w:t>
      </w:r>
      <w:r w:rsidR="005049C9" w:rsidRPr="009935E0">
        <w:rPr>
          <w:rFonts w:ascii="Times New Roman" w:hAnsi="Times New Roman" w:cs="Times New Roman"/>
          <w:sz w:val="24"/>
          <w:szCs w:val="24"/>
        </w:rPr>
        <w:t xml:space="preserve"> utworów niedostępnych w handlu</w:t>
      </w:r>
      <w:r w:rsidRPr="009935E0">
        <w:rPr>
          <w:rFonts w:ascii="Times New Roman" w:hAnsi="Times New Roman" w:cs="Times New Roman"/>
          <w:sz w:val="24"/>
          <w:szCs w:val="24"/>
        </w:rPr>
        <w:t>. Zgo</w:t>
      </w:r>
      <w:r w:rsidR="00783C8F" w:rsidRPr="009935E0">
        <w:rPr>
          <w:rFonts w:ascii="Times New Roman" w:hAnsi="Times New Roman" w:cs="Times New Roman"/>
          <w:sz w:val="24"/>
          <w:szCs w:val="24"/>
        </w:rPr>
        <w:t>d</w:t>
      </w:r>
      <w:r w:rsidRPr="009935E0">
        <w:rPr>
          <w:rFonts w:ascii="Times New Roman" w:hAnsi="Times New Roman" w:cs="Times New Roman"/>
          <w:sz w:val="24"/>
          <w:szCs w:val="24"/>
        </w:rPr>
        <w:t xml:space="preserve">nie z treścią art. 8 ust. 4 </w:t>
      </w:r>
      <w:r w:rsidR="00857EFC"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224A72" w:rsidRPr="009935E0">
        <w:rPr>
          <w:rFonts w:ascii="Times New Roman" w:hAnsi="Times New Roman" w:cs="Times New Roman"/>
          <w:sz w:val="24"/>
          <w:szCs w:val="24"/>
        </w:rPr>
        <w:t xml:space="preserve"> </w:t>
      </w:r>
      <w:r w:rsidR="001D03D5" w:rsidRPr="009935E0">
        <w:rPr>
          <w:rFonts w:ascii="Times New Roman" w:hAnsi="Times New Roman" w:cs="Times New Roman"/>
          <w:sz w:val="24"/>
          <w:szCs w:val="24"/>
        </w:rPr>
        <w:t>„</w:t>
      </w:r>
      <w:r w:rsidRPr="009935E0">
        <w:rPr>
          <w:rFonts w:ascii="Times New Roman" w:hAnsi="Times New Roman" w:cs="Times New Roman"/>
          <w:sz w:val="24"/>
          <w:szCs w:val="24"/>
        </w:rPr>
        <w:t xml:space="preserve">wszystkie podmioty uprawnione mogą w każdej chwili, łatwo i skutecznie, wyłączyć swoje utwory lub inne przedmioty objęte ochroną z mechanizmu licencyjnego określonego w ust. 1, lub ze stosowania wyjątku lub ograniczenia określonego w ust. 2, ogólnie albo w szczególnych przypadkach, w tym po udzieleniu licencji lub rozpoczęciu danego </w:t>
      </w:r>
      <w:r w:rsidRPr="009935E0">
        <w:rPr>
          <w:rFonts w:ascii="Times New Roman" w:hAnsi="Times New Roman" w:cs="Times New Roman"/>
          <w:sz w:val="24"/>
          <w:szCs w:val="24"/>
        </w:rPr>
        <w:lastRenderedPageBreak/>
        <w:t>korzystania</w:t>
      </w:r>
      <w:r w:rsidR="001D03D5" w:rsidRPr="009935E0">
        <w:rPr>
          <w:rFonts w:ascii="Times New Roman" w:hAnsi="Times New Roman" w:cs="Times New Roman"/>
          <w:sz w:val="24"/>
          <w:szCs w:val="24"/>
        </w:rPr>
        <w:t>”</w:t>
      </w:r>
      <w:r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r w:rsidR="009C08E5" w:rsidRPr="009935E0">
        <w:rPr>
          <w:rFonts w:ascii="Times New Roman" w:hAnsi="Times New Roman" w:cs="Times New Roman"/>
          <w:sz w:val="24"/>
          <w:szCs w:val="24"/>
        </w:rPr>
        <w:t xml:space="preserve">Z </w:t>
      </w:r>
      <w:r w:rsidRPr="009935E0">
        <w:rPr>
          <w:rFonts w:ascii="Times New Roman" w:hAnsi="Times New Roman" w:cs="Times New Roman"/>
          <w:sz w:val="24"/>
          <w:szCs w:val="24"/>
        </w:rPr>
        <w:t>powyższego wynika, ż</w:t>
      </w:r>
      <w:r w:rsidR="00783C8F" w:rsidRPr="009935E0">
        <w:rPr>
          <w:rFonts w:ascii="Times New Roman" w:hAnsi="Times New Roman" w:cs="Times New Roman"/>
          <w:sz w:val="24"/>
          <w:szCs w:val="24"/>
        </w:rPr>
        <w:t>e</w:t>
      </w:r>
      <w:r w:rsidRPr="009935E0">
        <w:rPr>
          <w:rFonts w:ascii="Times New Roman" w:hAnsi="Times New Roman" w:cs="Times New Roman"/>
          <w:sz w:val="24"/>
          <w:szCs w:val="24"/>
        </w:rPr>
        <w:t xml:space="preserve"> państwa członkowskie mają obowiązek zapewnić możliwość takiego wyłączenia</w:t>
      </w:r>
      <w:r w:rsidR="00D1656A" w:rsidRPr="009935E0">
        <w:rPr>
          <w:rFonts w:ascii="Times New Roman" w:hAnsi="Times New Roman" w:cs="Times New Roman"/>
          <w:sz w:val="24"/>
          <w:szCs w:val="24"/>
        </w:rPr>
        <w:t xml:space="preserve"> w każdym momencie, również</w:t>
      </w:r>
      <w:r w:rsidRPr="009935E0">
        <w:rPr>
          <w:rFonts w:ascii="Times New Roman" w:hAnsi="Times New Roman" w:cs="Times New Roman"/>
          <w:sz w:val="24"/>
          <w:szCs w:val="24"/>
        </w:rPr>
        <w:t xml:space="preserve"> na etapie poprzedzającym</w:t>
      </w:r>
      <w:r w:rsidR="00F258C3" w:rsidRPr="009935E0">
        <w:rPr>
          <w:rFonts w:ascii="Times New Roman" w:hAnsi="Times New Roman" w:cs="Times New Roman"/>
          <w:sz w:val="24"/>
          <w:szCs w:val="24"/>
        </w:rPr>
        <w:t xml:space="preserve"> </w:t>
      </w:r>
      <w:r w:rsidR="00415CA3" w:rsidRPr="009935E0">
        <w:rPr>
          <w:rFonts w:ascii="Times New Roman" w:hAnsi="Times New Roman" w:cs="Times New Roman"/>
          <w:sz w:val="24"/>
          <w:szCs w:val="24"/>
        </w:rPr>
        <w:t>zamieszczeni</w:t>
      </w:r>
      <w:r w:rsidR="002A5E36" w:rsidRPr="009935E0">
        <w:rPr>
          <w:rFonts w:ascii="Times New Roman" w:hAnsi="Times New Roman" w:cs="Times New Roman"/>
          <w:sz w:val="24"/>
          <w:szCs w:val="24"/>
        </w:rPr>
        <w:t>e</w:t>
      </w:r>
      <w:r w:rsidR="00415CA3" w:rsidRPr="009935E0">
        <w:rPr>
          <w:rFonts w:ascii="Times New Roman" w:hAnsi="Times New Roman" w:cs="Times New Roman"/>
          <w:sz w:val="24"/>
          <w:szCs w:val="24"/>
        </w:rPr>
        <w:t xml:space="preserve"> w portalu</w:t>
      </w:r>
      <w:r w:rsidR="00F258C3" w:rsidRPr="009935E0">
        <w:rPr>
          <w:rFonts w:ascii="Times New Roman" w:hAnsi="Times New Roman" w:cs="Times New Roman"/>
          <w:sz w:val="24"/>
          <w:szCs w:val="24"/>
        </w:rPr>
        <w:t xml:space="preserve"> informacji</w:t>
      </w:r>
      <w:r w:rsidR="00C84852" w:rsidRPr="009935E0">
        <w:rPr>
          <w:rFonts w:ascii="Times New Roman" w:hAnsi="Times New Roman" w:cs="Times New Roman"/>
          <w:sz w:val="24"/>
          <w:szCs w:val="24"/>
        </w:rPr>
        <w:t>,</w:t>
      </w:r>
      <w:r w:rsidR="00F258C3" w:rsidRPr="009935E0">
        <w:rPr>
          <w:rFonts w:ascii="Times New Roman" w:hAnsi="Times New Roman" w:cs="Times New Roman"/>
          <w:sz w:val="24"/>
          <w:szCs w:val="24"/>
        </w:rPr>
        <w:t xml:space="preserve"> o</w:t>
      </w:r>
      <w:r w:rsidR="00C84852" w:rsidRPr="009935E0">
        <w:rPr>
          <w:rFonts w:ascii="Times New Roman" w:hAnsi="Times New Roman" w:cs="Times New Roman"/>
          <w:sz w:val="24"/>
          <w:szCs w:val="24"/>
        </w:rPr>
        <w:t xml:space="preserve"> których mowa w art. 10 dyrektywy</w:t>
      </w:r>
      <w:r w:rsidR="00911D89" w:rsidRPr="009935E0">
        <w:rPr>
          <w:rFonts w:ascii="Times New Roman" w:hAnsi="Times New Roman" w:cs="Times New Roman"/>
          <w:sz w:val="24"/>
          <w:szCs w:val="24"/>
        </w:rPr>
        <w:t>, a także umożliwić łatwe wyłączenie z mechanizmu w pełnym zakresie</w:t>
      </w:r>
      <w:r w:rsidR="005049C9" w:rsidRPr="009935E0">
        <w:rPr>
          <w:rFonts w:ascii="Times New Roman" w:hAnsi="Times New Roman" w:cs="Times New Roman"/>
          <w:sz w:val="24"/>
          <w:szCs w:val="24"/>
        </w:rPr>
        <w:t xml:space="preserve"> (np. w odniesieniu do wszystkich utworów, do których prawa przysługują uprawnionemu)</w:t>
      </w:r>
      <w:r w:rsidRPr="009935E0">
        <w:rPr>
          <w:rFonts w:ascii="Times New Roman" w:hAnsi="Times New Roman" w:cs="Times New Roman"/>
          <w:sz w:val="24"/>
          <w:szCs w:val="24"/>
        </w:rPr>
        <w:t xml:space="preserve">. Zgodnie natomiast z treścią motywu 41 </w:t>
      </w:r>
      <w:r w:rsidR="00857EFC"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C61BAD" w:rsidRPr="009935E0">
        <w:rPr>
          <w:rFonts w:ascii="Times New Roman" w:hAnsi="Times New Roman" w:cs="Times New Roman"/>
          <w:sz w:val="24"/>
          <w:szCs w:val="24"/>
        </w:rPr>
        <w:t xml:space="preserve"> DSM</w:t>
      </w:r>
      <w:r w:rsidR="00D1656A" w:rsidRPr="009935E0">
        <w:rPr>
          <w:rFonts w:ascii="Times New Roman" w:hAnsi="Times New Roman" w:cs="Times New Roman"/>
          <w:sz w:val="24"/>
          <w:szCs w:val="24"/>
        </w:rPr>
        <w:t>,</w:t>
      </w:r>
      <w:r w:rsidRPr="009935E0">
        <w:rPr>
          <w:rFonts w:ascii="Times New Roman" w:hAnsi="Times New Roman" w:cs="Times New Roman"/>
          <w:sz w:val="24"/>
          <w:szCs w:val="24"/>
        </w:rPr>
        <w:t xml:space="preserve"> jedną z funkcji portalu tworzonego przez EUIPO ma być ułatwienie podmiotom uprawnionym </w:t>
      </w:r>
      <w:r w:rsidR="00911D89" w:rsidRPr="009935E0">
        <w:rPr>
          <w:rFonts w:ascii="Times New Roman" w:hAnsi="Times New Roman" w:cs="Times New Roman"/>
          <w:sz w:val="24"/>
          <w:szCs w:val="24"/>
        </w:rPr>
        <w:t xml:space="preserve">takiego </w:t>
      </w:r>
      <w:r w:rsidRPr="009935E0">
        <w:rPr>
          <w:rFonts w:ascii="Times New Roman" w:hAnsi="Times New Roman" w:cs="Times New Roman"/>
          <w:sz w:val="24"/>
          <w:szCs w:val="24"/>
        </w:rPr>
        <w:t xml:space="preserve">wyłączenia. </w:t>
      </w:r>
      <w:r w:rsidR="00415CA3" w:rsidRPr="009935E0">
        <w:rPr>
          <w:rFonts w:ascii="Times New Roman" w:hAnsi="Times New Roman" w:cs="Times New Roman"/>
          <w:sz w:val="24"/>
          <w:szCs w:val="24"/>
        </w:rPr>
        <w:t>Portal</w:t>
      </w:r>
      <w:r w:rsidR="00C04F8A" w:rsidRPr="009935E0">
        <w:rPr>
          <w:rFonts w:ascii="Times New Roman" w:hAnsi="Times New Roman" w:cs="Times New Roman"/>
          <w:sz w:val="24"/>
          <w:szCs w:val="24"/>
        </w:rPr>
        <w:t xml:space="preserve"> pozwala uprawnionym na dowolne określenie zakresu żądania </w:t>
      </w:r>
      <w:r w:rsidR="001C56E1" w:rsidRPr="009935E0">
        <w:rPr>
          <w:rFonts w:ascii="Times New Roman" w:hAnsi="Times New Roman" w:cs="Times New Roman"/>
          <w:sz w:val="24"/>
          <w:szCs w:val="24"/>
        </w:rPr>
        <w:t>–</w:t>
      </w:r>
      <w:r w:rsidR="00C04F8A" w:rsidRPr="009935E0">
        <w:rPr>
          <w:rFonts w:ascii="Times New Roman" w:hAnsi="Times New Roman" w:cs="Times New Roman"/>
          <w:sz w:val="24"/>
          <w:szCs w:val="24"/>
        </w:rPr>
        <w:t xml:space="preserve"> przewiduje możliwość zgłoszenia przez uprawnionego zarówno </w:t>
      </w:r>
      <w:proofErr w:type="spellStart"/>
      <w:r w:rsidR="00C04F8A" w:rsidRPr="009935E0">
        <w:rPr>
          <w:rFonts w:ascii="Times New Roman" w:hAnsi="Times New Roman" w:cs="Times New Roman"/>
          <w:i/>
          <w:sz w:val="24"/>
          <w:szCs w:val="24"/>
        </w:rPr>
        <w:t>opt</w:t>
      </w:r>
      <w:proofErr w:type="spellEnd"/>
      <w:r w:rsidR="00C04F8A" w:rsidRPr="009935E0">
        <w:rPr>
          <w:rFonts w:ascii="Times New Roman" w:hAnsi="Times New Roman" w:cs="Times New Roman"/>
          <w:i/>
          <w:sz w:val="24"/>
          <w:szCs w:val="24"/>
        </w:rPr>
        <w:t>-out</w:t>
      </w:r>
      <w:r w:rsidR="00C04F8A" w:rsidRPr="009935E0">
        <w:rPr>
          <w:rFonts w:ascii="Times New Roman" w:hAnsi="Times New Roman" w:cs="Times New Roman"/>
          <w:sz w:val="24"/>
          <w:szCs w:val="24"/>
        </w:rPr>
        <w:t xml:space="preserve"> dotyczącego konkretnego utworu czy też sposobu korzystania, jak i tzw. </w:t>
      </w:r>
      <w:proofErr w:type="spellStart"/>
      <w:r w:rsidR="00C04F8A" w:rsidRPr="009935E0">
        <w:rPr>
          <w:rFonts w:ascii="Times New Roman" w:hAnsi="Times New Roman" w:cs="Times New Roman"/>
          <w:i/>
          <w:sz w:val="24"/>
          <w:szCs w:val="24"/>
        </w:rPr>
        <w:t>opt</w:t>
      </w:r>
      <w:proofErr w:type="spellEnd"/>
      <w:r w:rsidR="00C04F8A" w:rsidRPr="009935E0">
        <w:rPr>
          <w:rFonts w:ascii="Times New Roman" w:hAnsi="Times New Roman" w:cs="Times New Roman"/>
          <w:i/>
          <w:sz w:val="24"/>
          <w:szCs w:val="24"/>
        </w:rPr>
        <w:t>-out</w:t>
      </w:r>
      <w:r w:rsidR="00C04F8A" w:rsidRPr="009935E0">
        <w:rPr>
          <w:rFonts w:ascii="Times New Roman" w:hAnsi="Times New Roman" w:cs="Times New Roman"/>
          <w:sz w:val="24"/>
          <w:szCs w:val="24"/>
        </w:rPr>
        <w:t xml:space="preserve"> generalnego (dotyczącego wszystkich utworów albo wielu utworów jednocześnie), w każdym czasie, również przed wpisaniem danych o planowanym korzystaniu z jakiegokolwiek utworu danego uprawnionego, tworząc swoisty rejestr zgłoszeń </w:t>
      </w:r>
      <w:proofErr w:type="spellStart"/>
      <w:r w:rsidR="00C04F8A" w:rsidRPr="009935E0">
        <w:rPr>
          <w:rFonts w:ascii="Times New Roman" w:hAnsi="Times New Roman" w:cs="Times New Roman"/>
          <w:i/>
          <w:sz w:val="24"/>
          <w:szCs w:val="24"/>
        </w:rPr>
        <w:t>opt</w:t>
      </w:r>
      <w:proofErr w:type="spellEnd"/>
      <w:r w:rsidR="00C04F8A" w:rsidRPr="009935E0">
        <w:rPr>
          <w:rFonts w:ascii="Times New Roman" w:hAnsi="Times New Roman" w:cs="Times New Roman"/>
          <w:i/>
          <w:sz w:val="24"/>
          <w:szCs w:val="24"/>
        </w:rPr>
        <w:t>-out</w:t>
      </w:r>
      <w:r w:rsidR="00C04F8A" w:rsidRPr="009935E0">
        <w:rPr>
          <w:rFonts w:ascii="Times New Roman" w:hAnsi="Times New Roman" w:cs="Times New Roman"/>
          <w:sz w:val="24"/>
          <w:szCs w:val="24"/>
        </w:rPr>
        <w:t xml:space="preserve">. Ważną cechą </w:t>
      </w:r>
      <w:r w:rsidR="00415CA3" w:rsidRPr="009935E0">
        <w:rPr>
          <w:rFonts w:ascii="Times New Roman" w:hAnsi="Times New Roman" w:cs="Times New Roman"/>
          <w:sz w:val="24"/>
          <w:szCs w:val="24"/>
        </w:rPr>
        <w:t>portalu</w:t>
      </w:r>
      <w:r w:rsidR="00C04F8A" w:rsidRPr="009935E0">
        <w:rPr>
          <w:rFonts w:ascii="Times New Roman" w:hAnsi="Times New Roman" w:cs="Times New Roman"/>
          <w:sz w:val="24"/>
          <w:szCs w:val="24"/>
        </w:rPr>
        <w:t xml:space="preserve"> jest także zapewnienie uprawnionym możliwości zainicjowania </w:t>
      </w:r>
      <w:proofErr w:type="spellStart"/>
      <w:r w:rsidR="00C04F8A" w:rsidRPr="009935E0">
        <w:rPr>
          <w:rFonts w:ascii="Times New Roman" w:hAnsi="Times New Roman" w:cs="Times New Roman"/>
          <w:i/>
          <w:sz w:val="24"/>
          <w:szCs w:val="24"/>
        </w:rPr>
        <w:t>opt</w:t>
      </w:r>
      <w:proofErr w:type="spellEnd"/>
      <w:r w:rsidR="00C04F8A" w:rsidRPr="009935E0">
        <w:rPr>
          <w:rFonts w:ascii="Times New Roman" w:hAnsi="Times New Roman" w:cs="Times New Roman"/>
          <w:i/>
          <w:sz w:val="24"/>
          <w:szCs w:val="24"/>
        </w:rPr>
        <w:t>-out</w:t>
      </w:r>
      <w:r w:rsidR="00C04F8A" w:rsidRPr="009935E0">
        <w:rPr>
          <w:rFonts w:ascii="Times New Roman" w:hAnsi="Times New Roman" w:cs="Times New Roman"/>
          <w:sz w:val="24"/>
          <w:szCs w:val="24"/>
        </w:rPr>
        <w:t xml:space="preserve"> </w:t>
      </w:r>
      <w:r w:rsidR="00415CA3" w:rsidRPr="009935E0">
        <w:rPr>
          <w:rFonts w:ascii="Times New Roman" w:hAnsi="Times New Roman" w:cs="Times New Roman"/>
          <w:sz w:val="24"/>
          <w:szCs w:val="24"/>
        </w:rPr>
        <w:t xml:space="preserve">w tym samym miejscu, w którym </w:t>
      </w:r>
      <w:r w:rsidR="00C04F8A" w:rsidRPr="009935E0">
        <w:rPr>
          <w:rFonts w:ascii="Times New Roman" w:hAnsi="Times New Roman" w:cs="Times New Roman"/>
          <w:sz w:val="24"/>
          <w:szCs w:val="24"/>
        </w:rPr>
        <w:t>mogą pozyskać informację o korzystaniu z ich utworów. W związku z powyżs</w:t>
      </w:r>
      <w:r w:rsidR="00224A72" w:rsidRPr="009935E0">
        <w:rPr>
          <w:rFonts w:ascii="Times New Roman" w:hAnsi="Times New Roman" w:cs="Times New Roman"/>
          <w:sz w:val="24"/>
          <w:szCs w:val="24"/>
        </w:rPr>
        <w:t>zym</w:t>
      </w:r>
      <w:r w:rsidR="00C04F8A" w:rsidRPr="009935E0">
        <w:rPr>
          <w:rFonts w:ascii="Times New Roman" w:hAnsi="Times New Roman" w:cs="Times New Roman"/>
          <w:sz w:val="24"/>
          <w:szCs w:val="24"/>
        </w:rPr>
        <w:t xml:space="preserve"> należy uznać, że w celu prawidłowego wdrożenia przewidzianego w dyrektywie obowiązku zapewnienia przez państwa członkowskie łatwego i skutecznego sposobu dokonania </w:t>
      </w:r>
      <w:proofErr w:type="spellStart"/>
      <w:r w:rsidR="00C04F8A" w:rsidRPr="009935E0">
        <w:rPr>
          <w:rFonts w:ascii="Times New Roman" w:hAnsi="Times New Roman" w:cs="Times New Roman"/>
          <w:i/>
          <w:sz w:val="24"/>
          <w:szCs w:val="24"/>
        </w:rPr>
        <w:t>opt</w:t>
      </w:r>
      <w:proofErr w:type="spellEnd"/>
      <w:r w:rsidR="00C04F8A" w:rsidRPr="009935E0">
        <w:rPr>
          <w:rFonts w:ascii="Times New Roman" w:hAnsi="Times New Roman" w:cs="Times New Roman"/>
          <w:i/>
          <w:sz w:val="24"/>
          <w:szCs w:val="24"/>
        </w:rPr>
        <w:t xml:space="preserve">-out </w:t>
      </w:r>
      <w:r w:rsidR="00C04F8A" w:rsidRPr="009935E0">
        <w:rPr>
          <w:rFonts w:ascii="Times New Roman" w:hAnsi="Times New Roman" w:cs="Times New Roman"/>
          <w:sz w:val="24"/>
          <w:szCs w:val="24"/>
        </w:rPr>
        <w:t xml:space="preserve">niezbędne jest uwzględnienie w regulacji krajowej istniejących już możliwości oferowanych przez </w:t>
      </w:r>
      <w:r w:rsidR="00415CA3" w:rsidRPr="009935E0">
        <w:rPr>
          <w:rFonts w:ascii="Times New Roman" w:hAnsi="Times New Roman" w:cs="Times New Roman"/>
          <w:sz w:val="24"/>
          <w:szCs w:val="24"/>
        </w:rPr>
        <w:t>portal</w:t>
      </w:r>
      <w:r w:rsidR="00C04F8A" w:rsidRPr="009935E0">
        <w:rPr>
          <w:rFonts w:ascii="Times New Roman" w:hAnsi="Times New Roman" w:cs="Times New Roman"/>
          <w:sz w:val="24"/>
          <w:szCs w:val="24"/>
        </w:rPr>
        <w:t xml:space="preserve"> </w:t>
      </w:r>
      <w:r w:rsidR="00725D62" w:rsidRPr="009935E0">
        <w:rPr>
          <w:rFonts w:ascii="Times New Roman" w:hAnsi="Times New Roman" w:cs="Times New Roman"/>
          <w:sz w:val="24"/>
          <w:szCs w:val="24"/>
        </w:rPr>
        <w:t xml:space="preserve">utworów niedostępnych w handlu. </w:t>
      </w:r>
      <w:r w:rsidR="00D1656A" w:rsidRPr="009935E0">
        <w:rPr>
          <w:rFonts w:ascii="Times New Roman" w:hAnsi="Times New Roman" w:cs="Times New Roman"/>
          <w:sz w:val="24"/>
          <w:szCs w:val="24"/>
        </w:rPr>
        <w:t>P</w:t>
      </w:r>
      <w:r w:rsidR="00C04F8A" w:rsidRPr="009935E0">
        <w:rPr>
          <w:rFonts w:ascii="Times New Roman" w:hAnsi="Times New Roman" w:cs="Times New Roman"/>
          <w:sz w:val="24"/>
          <w:szCs w:val="24"/>
        </w:rPr>
        <w:t xml:space="preserve">ortal </w:t>
      </w:r>
      <w:r w:rsidR="00D1656A" w:rsidRPr="009935E0">
        <w:rPr>
          <w:rFonts w:ascii="Times New Roman" w:hAnsi="Times New Roman" w:cs="Times New Roman"/>
          <w:sz w:val="24"/>
          <w:szCs w:val="24"/>
        </w:rPr>
        <w:t xml:space="preserve">EUIPO </w:t>
      </w:r>
      <w:r w:rsidR="00C04F8A" w:rsidRPr="009935E0">
        <w:rPr>
          <w:rFonts w:ascii="Times New Roman" w:hAnsi="Times New Roman" w:cs="Times New Roman"/>
          <w:sz w:val="24"/>
          <w:szCs w:val="24"/>
        </w:rPr>
        <w:t xml:space="preserve">przewiduje możliwość zgłoszenia </w:t>
      </w:r>
      <w:proofErr w:type="spellStart"/>
      <w:r w:rsidR="00C04F8A" w:rsidRPr="009935E0">
        <w:rPr>
          <w:rFonts w:ascii="Times New Roman" w:hAnsi="Times New Roman" w:cs="Times New Roman"/>
          <w:i/>
          <w:sz w:val="24"/>
          <w:szCs w:val="24"/>
        </w:rPr>
        <w:t>opt</w:t>
      </w:r>
      <w:proofErr w:type="spellEnd"/>
      <w:r w:rsidR="00C04F8A" w:rsidRPr="009935E0">
        <w:rPr>
          <w:rFonts w:ascii="Times New Roman" w:hAnsi="Times New Roman" w:cs="Times New Roman"/>
          <w:i/>
          <w:sz w:val="24"/>
          <w:szCs w:val="24"/>
        </w:rPr>
        <w:t>-out</w:t>
      </w:r>
      <w:r w:rsidR="00D1656A" w:rsidRPr="009935E0">
        <w:rPr>
          <w:rFonts w:ascii="Times New Roman" w:hAnsi="Times New Roman" w:cs="Times New Roman"/>
          <w:sz w:val="24"/>
          <w:szCs w:val="24"/>
        </w:rPr>
        <w:t xml:space="preserve"> już</w:t>
      </w:r>
      <w:r w:rsidR="00C04F8A" w:rsidRPr="009935E0">
        <w:rPr>
          <w:rFonts w:ascii="Times New Roman" w:hAnsi="Times New Roman" w:cs="Times New Roman"/>
          <w:sz w:val="24"/>
          <w:szCs w:val="24"/>
        </w:rPr>
        <w:t xml:space="preserve"> na etapie, gdy </w:t>
      </w:r>
      <w:r w:rsidR="00415CA3" w:rsidRPr="009935E0">
        <w:rPr>
          <w:rFonts w:ascii="Times New Roman" w:hAnsi="Times New Roman" w:cs="Times New Roman"/>
          <w:sz w:val="24"/>
          <w:szCs w:val="24"/>
        </w:rPr>
        <w:t xml:space="preserve">informacja o korzystaniu z </w:t>
      </w:r>
      <w:r w:rsidR="00D1656A" w:rsidRPr="009935E0">
        <w:rPr>
          <w:rFonts w:ascii="Times New Roman" w:hAnsi="Times New Roman" w:cs="Times New Roman"/>
          <w:sz w:val="24"/>
          <w:szCs w:val="24"/>
        </w:rPr>
        <w:t>utwo</w:t>
      </w:r>
      <w:r w:rsidR="00C04F8A" w:rsidRPr="009935E0">
        <w:rPr>
          <w:rFonts w:ascii="Times New Roman" w:hAnsi="Times New Roman" w:cs="Times New Roman"/>
          <w:sz w:val="24"/>
          <w:szCs w:val="24"/>
        </w:rPr>
        <w:t>r</w:t>
      </w:r>
      <w:r w:rsidR="00415CA3" w:rsidRPr="009935E0">
        <w:rPr>
          <w:rFonts w:ascii="Times New Roman" w:hAnsi="Times New Roman" w:cs="Times New Roman"/>
          <w:sz w:val="24"/>
          <w:szCs w:val="24"/>
        </w:rPr>
        <w:t>u</w:t>
      </w:r>
      <w:r w:rsidR="00C04F8A" w:rsidRPr="009935E0">
        <w:rPr>
          <w:rFonts w:ascii="Times New Roman" w:hAnsi="Times New Roman" w:cs="Times New Roman"/>
          <w:sz w:val="24"/>
          <w:szCs w:val="24"/>
        </w:rPr>
        <w:t xml:space="preserve"> </w:t>
      </w:r>
      <w:r w:rsidR="00415CA3" w:rsidRPr="009935E0">
        <w:rPr>
          <w:rFonts w:ascii="Times New Roman" w:hAnsi="Times New Roman" w:cs="Times New Roman"/>
          <w:sz w:val="24"/>
          <w:szCs w:val="24"/>
        </w:rPr>
        <w:t xml:space="preserve">nie została jeszcze zamieszczona w </w:t>
      </w:r>
      <w:r w:rsidR="00D1656A" w:rsidRPr="009935E0">
        <w:rPr>
          <w:rFonts w:ascii="Times New Roman" w:hAnsi="Times New Roman" w:cs="Times New Roman"/>
          <w:sz w:val="24"/>
          <w:szCs w:val="24"/>
        </w:rPr>
        <w:t xml:space="preserve">tym </w:t>
      </w:r>
      <w:r w:rsidR="00415CA3" w:rsidRPr="009935E0">
        <w:rPr>
          <w:rFonts w:ascii="Times New Roman" w:hAnsi="Times New Roman" w:cs="Times New Roman"/>
          <w:sz w:val="24"/>
          <w:szCs w:val="24"/>
        </w:rPr>
        <w:t>portalu</w:t>
      </w:r>
      <w:r w:rsidR="00C04F8A" w:rsidRPr="009935E0">
        <w:rPr>
          <w:rStyle w:val="Odwoanieprzypisudolnego"/>
          <w:rFonts w:ascii="Times New Roman" w:hAnsi="Times New Roman" w:cs="Times New Roman"/>
          <w:sz w:val="24"/>
          <w:szCs w:val="24"/>
        </w:rPr>
        <w:footnoteReference w:id="28"/>
      </w:r>
      <w:r w:rsidR="007104DF" w:rsidRPr="00483092">
        <w:rPr>
          <w:rFonts w:ascii="Times New Roman" w:hAnsi="Times New Roman" w:cs="Times New Roman"/>
          <w:sz w:val="24"/>
          <w:szCs w:val="24"/>
          <w:vertAlign w:val="superscript"/>
        </w:rPr>
        <w:t>)</w:t>
      </w:r>
      <w:r w:rsidR="00442F75" w:rsidRPr="009935E0">
        <w:rPr>
          <w:rFonts w:ascii="Times New Roman" w:hAnsi="Times New Roman" w:cs="Times New Roman"/>
          <w:sz w:val="24"/>
          <w:szCs w:val="24"/>
        </w:rPr>
        <w:t>.</w:t>
      </w:r>
      <w:r w:rsidR="00C04F8A" w:rsidRPr="009935E0">
        <w:rPr>
          <w:rFonts w:ascii="Times New Roman" w:hAnsi="Times New Roman" w:cs="Times New Roman"/>
          <w:sz w:val="24"/>
          <w:szCs w:val="24"/>
        </w:rPr>
        <w:t xml:space="preserve"> Organizacje zbiorowego zarządzania oraz instytucje dziedzictwa kulturowego mogą pozyskać informację o tym zdarzeniu za pomocą:</w:t>
      </w:r>
    </w:p>
    <w:p w14:paraId="43BC058A" w14:textId="664CF36E" w:rsidR="00C04F8A" w:rsidRPr="009935E0" w:rsidRDefault="00C04F8A" w:rsidP="00483092">
      <w:pPr>
        <w:pStyle w:val="Akapitzlist"/>
        <w:numPr>
          <w:ilvl w:val="0"/>
          <w:numId w:val="12"/>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przekazanej im automatycznie informacji na wskazany adres mailowy, jeżeli w momencie zaistnienia zdarzenia były już zarejestrowane w </w:t>
      </w:r>
      <w:r w:rsidR="00415CA3" w:rsidRPr="009935E0">
        <w:rPr>
          <w:rFonts w:ascii="Times New Roman" w:hAnsi="Times New Roman" w:cs="Times New Roman"/>
          <w:sz w:val="24"/>
          <w:szCs w:val="24"/>
        </w:rPr>
        <w:t>portalu</w:t>
      </w:r>
      <w:r w:rsidRPr="009935E0">
        <w:rPr>
          <w:rFonts w:ascii="Times New Roman" w:hAnsi="Times New Roman" w:cs="Times New Roman"/>
          <w:sz w:val="24"/>
          <w:szCs w:val="24"/>
        </w:rPr>
        <w:t xml:space="preserve"> (informację uzyskują automatycznie wszystkie zarejestrowane organizacje zbiorowego zarządzania oraz instytucje dziedzictwa kulturowego z siedzibą w państwie, którego dotyczy </w:t>
      </w:r>
      <w:proofErr w:type="spellStart"/>
      <w:r w:rsidRPr="009935E0">
        <w:rPr>
          <w:rFonts w:ascii="Times New Roman" w:hAnsi="Times New Roman" w:cs="Times New Roman"/>
          <w:sz w:val="24"/>
          <w:szCs w:val="24"/>
        </w:rPr>
        <w:t>opt</w:t>
      </w:r>
      <w:proofErr w:type="spellEnd"/>
      <w:r w:rsidRPr="009935E0">
        <w:rPr>
          <w:rFonts w:ascii="Times New Roman" w:hAnsi="Times New Roman" w:cs="Times New Roman"/>
          <w:sz w:val="24"/>
          <w:szCs w:val="24"/>
        </w:rPr>
        <w:t>-out</w:t>
      </w:r>
      <w:r w:rsidR="004167DD" w:rsidRPr="009935E0">
        <w:rPr>
          <w:rFonts w:ascii="Times New Roman" w:hAnsi="Times New Roman" w:cs="Times New Roman"/>
          <w:sz w:val="24"/>
          <w:szCs w:val="24"/>
        </w:rPr>
        <w:t>),</w:t>
      </w:r>
    </w:p>
    <w:p w14:paraId="1F2D656A" w14:textId="77777777" w:rsidR="00C04F8A" w:rsidRPr="009935E0" w:rsidRDefault="00C04F8A" w:rsidP="00483092">
      <w:pPr>
        <w:pStyle w:val="Akapitzlist"/>
        <w:numPr>
          <w:ilvl w:val="0"/>
          <w:numId w:val="12"/>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przekazanego automatycznie powiadomienia w momencie podjęcia próby</w:t>
      </w:r>
      <w:r w:rsidR="00E72562" w:rsidRPr="009935E0">
        <w:rPr>
          <w:rFonts w:ascii="Times New Roman" w:hAnsi="Times New Roman" w:cs="Times New Roman"/>
          <w:sz w:val="24"/>
          <w:szCs w:val="24"/>
        </w:rPr>
        <w:t xml:space="preserve"> zamieszczenia w portalu</w:t>
      </w:r>
      <w:r w:rsidRPr="009935E0">
        <w:rPr>
          <w:rFonts w:ascii="Times New Roman" w:hAnsi="Times New Roman" w:cs="Times New Roman"/>
          <w:sz w:val="24"/>
          <w:szCs w:val="24"/>
        </w:rPr>
        <w:t xml:space="preserve"> </w:t>
      </w:r>
      <w:r w:rsidR="00415CA3" w:rsidRPr="009935E0">
        <w:rPr>
          <w:rFonts w:ascii="Times New Roman" w:hAnsi="Times New Roman" w:cs="Times New Roman"/>
          <w:sz w:val="24"/>
          <w:szCs w:val="24"/>
        </w:rPr>
        <w:t xml:space="preserve">danych na temat planowanego korzystania z </w:t>
      </w:r>
      <w:r w:rsidRPr="009935E0">
        <w:rPr>
          <w:rFonts w:ascii="Times New Roman" w:hAnsi="Times New Roman" w:cs="Times New Roman"/>
          <w:sz w:val="24"/>
          <w:szCs w:val="24"/>
        </w:rPr>
        <w:t>utworu danego uprawnionego</w:t>
      </w:r>
      <w:r w:rsidR="004167DD" w:rsidRPr="009935E0">
        <w:rPr>
          <w:rFonts w:ascii="Times New Roman" w:hAnsi="Times New Roman" w:cs="Times New Roman"/>
          <w:sz w:val="24"/>
          <w:szCs w:val="24"/>
        </w:rPr>
        <w:t>,</w:t>
      </w:r>
    </w:p>
    <w:p w14:paraId="2B9844AA" w14:textId="77777777" w:rsidR="00C04F8A" w:rsidRPr="009935E0" w:rsidRDefault="00984150" w:rsidP="00483092">
      <w:pPr>
        <w:pStyle w:val="Akapitzlist"/>
        <w:numPr>
          <w:ilvl w:val="0"/>
          <w:numId w:val="12"/>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dostępnej w portalu</w:t>
      </w:r>
      <w:r w:rsidR="00C04F8A" w:rsidRPr="009935E0">
        <w:rPr>
          <w:rFonts w:ascii="Times New Roman" w:hAnsi="Times New Roman" w:cs="Times New Roman"/>
          <w:sz w:val="24"/>
          <w:szCs w:val="24"/>
        </w:rPr>
        <w:t xml:space="preserve"> wyszukiwarki.</w:t>
      </w:r>
    </w:p>
    <w:p w14:paraId="0B8EE73B" w14:textId="47075429" w:rsidR="00C04F8A" w:rsidRPr="009935E0" w:rsidRDefault="00C04F8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przypadku gdy żądanie zostało złożone po </w:t>
      </w:r>
      <w:r w:rsidR="00E72562" w:rsidRPr="009935E0">
        <w:rPr>
          <w:rFonts w:ascii="Times New Roman" w:hAnsi="Times New Roman" w:cs="Times New Roman"/>
          <w:sz w:val="24"/>
          <w:szCs w:val="24"/>
        </w:rPr>
        <w:t>zamieszczeniu w</w:t>
      </w:r>
      <w:r w:rsidRPr="009935E0">
        <w:rPr>
          <w:rFonts w:ascii="Times New Roman" w:hAnsi="Times New Roman" w:cs="Times New Roman"/>
          <w:sz w:val="24"/>
          <w:szCs w:val="24"/>
        </w:rPr>
        <w:t xml:space="preserve"> </w:t>
      </w:r>
      <w:r w:rsidR="00E72562" w:rsidRPr="009935E0">
        <w:rPr>
          <w:rFonts w:ascii="Times New Roman" w:hAnsi="Times New Roman" w:cs="Times New Roman"/>
          <w:sz w:val="24"/>
          <w:szCs w:val="24"/>
        </w:rPr>
        <w:t>portalu</w:t>
      </w:r>
      <w:r w:rsidR="001B77A7"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danych dotyczących korzystania objętego żądaniem, informacja zostanie przekazana podmiotowi, który </w:t>
      </w:r>
      <w:r w:rsidR="00E72562" w:rsidRPr="009935E0">
        <w:rPr>
          <w:rFonts w:ascii="Times New Roman" w:hAnsi="Times New Roman" w:cs="Times New Roman"/>
          <w:sz w:val="24"/>
          <w:szCs w:val="24"/>
        </w:rPr>
        <w:t>zamie</w:t>
      </w:r>
      <w:r w:rsidR="001B77A7" w:rsidRPr="009935E0">
        <w:rPr>
          <w:rFonts w:ascii="Times New Roman" w:hAnsi="Times New Roman" w:cs="Times New Roman"/>
          <w:sz w:val="24"/>
          <w:szCs w:val="24"/>
        </w:rPr>
        <w:t>ści</w:t>
      </w:r>
      <w:r w:rsidRPr="009935E0">
        <w:rPr>
          <w:rFonts w:ascii="Times New Roman" w:hAnsi="Times New Roman" w:cs="Times New Roman"/>
          <w:sz w:val="24"/>
          <w:szCs w:val="24"/>
        </w:rPr>
        <w:t xml:space="preserve">ł </w:t>
      </w:r>
      <w:r w:rsidRPr="009935E0">
        <w:rPr>
          <w:rFonts w:ascii="Times New Roman" w:hAnsi="Times New Roman" w:cs="Times New Roman"/>
          <w:sz w:val="24"/>
          <w:szCs w:val="24"/>
        </w:rPr>
        <w:lastRenderedPageBreak/>
        <w:t xml:space="preserve">dane </w:t>
      </w:r>
      <w:r w:rsidR="00E72562" w:rsidRPr="009935E0">
        <w:rPr>
          <w:rFonts w:ascii="Times New Roman" w:hAnsi="Times New Roman" w:cs="Times New Roman"/>
          <w:sz w:val="24"/>
          <w:szCs w:val="24"/>
        </w:rPr>
        <w:t>w portalu</w:t>
      </w:r>
      <w:r w:rsidR="007104DF">
        <w:rPr>
          <w:rStyle w:val="Odwoanieprzypisudolnego"/>
          <w:rFonts w:ascii="Times New Roman" w:hAnsi="Times New Roman" w:cs="Times New Roman"/>
          <w:sz w:val="24"/>
          <w:szCs w:val="24"/>
        </w:rPr>
        <w:footnoteReference w:id="29"/>
      </w:r>
      <w:r w:rsidR="007104DF"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oraz</w:t>
      </w:r>
      <w:r w:rsidR="001B77A7" w:rsidRPr="009935E0">
        <w:rPr>
          <w:rFonts w:ascii="Times New Roman" w:hAnsi="Times New Roman" w:cs="Times New Roman"/>
          <w:sz w:val="24"/>
          <w:szCs w:val="24"/>
        </w:rPr>
        <w:t xml:space="preserve"> instytucji dziedzictwa kulturowego wskazanej w portalu jako strona</w:t>
      </w:r>
      <w:r w:rsidRPr="009935E0">
        <w:rPr>
          <w:rFonts w:ascii="Times New Roman" w:hAnsi="Times New Roman" w:cs="Times New Roman"/>
          <w:sz w:val="24"/>
          <w:szCs w:val="24"/>
        </w:rPr>
        <w:t xml:space="preserve"> umowy licencyjnej.</w:t>
      </w:r>
    </w:p>
    <w:p w14:paraId="04498220" w14:textId="77777777" w:rsidR="00466012" w:rsidRPr="009935E0" w:rsidRDefault="00C04F8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projektowanym art. 35</w:t>
      </w:r>
      <w:r w:rsidR="00C66E69" w:rsidRPr="009935E0">
        <w:rPr>
          <w:rFonts w:ascii="Times New Roman" w:hAnsi="Times New Roman" w:cs="Times New Roman"/>
          <w:sz w:val="24"/>
          <w:szCs w:val="24"/>
          <w:vertAlign w:val="superscript"/>
        </w:rPr>
        <w:t>17</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ust. 2</w:t>
      </w:r>
      <w:r w:rsidR="004F21B3" w:rsidRPr="009935E0">
        <w:rPr>
          <w:rFonts w:ascii="Times New Roman" w:hAnsi="Times New Roman" w:cs="Times New Roman"/>
          <w:sz w:val="24"/>
          <w:szCs w:val="24"/>
        </w:rPr>
        <w:t xml:space="preserve"> i 3</w:t>
      </w:r>
      <w:r w:rsidRPr="009935E0">
        <w:rPr>
          <w:rFonts w:ascii="Times New Roman" w:hAnsi="Times New Roman" w:cs="Times New Roman"/>
          <w:sz w:val="24"/>
          <w:szCs w:val="24"/>
        </w:rPr>
        <w:t xml:space="preserve"> </w:t>
      </w:r>
      <w:r w:rsidR="00C61BAD"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określono konsekwencje otrzymania przez organizację zbiorowego zarządzania oraz instytucję dziedzictwa kulturowego informacji o żądaniu uprawnionego powstrzym</w:t>
      </w:r>
      <w:r w:rsidR="005049C9" w:rsidRPr="009935E0">
        <w:rPr>
          <w:rFonts w:ascii="Times New Roman" w:hAnsi="Times New Roman" w:cs="Times New Roman"/>
          <w:sz w:val="24"/>
          <w:szCs w:val="24"/>
        </w:rPr>
        <w:t>ania się od korzystania</w:t>
      </w:r>
      <w:r w:rsidRPr="009935E0">
        <w:rPr>
          <w:rFonts w:ascii="Times New Roman" w:hAnsi="Times New Roman" w:cs="Times New Roman"/>
          <w:sz w:val="24"/>
          <w:szCs w:val="24"/>
        </w:rPr>
        <w:t>. Zgodnie z treścią ust. 2 organizacja zbiorowego zarządzania zaprzestaje zawierania umów licencyjnyc</w:t>
      </w:r>
      <w:r w:rsidR="004A14F4" w:rsidRPr="009935E0">
        <w:rPr>
          <w:rFonts w:ascii="Times New Roman" w:hAnsi="Times New Roman" w:cs="Times New Roman"/>
          <w:sz w:val="24"/>
          <w:szCs w:val="24"/>
        </w:rPr>
        <w:t>h</w:t>
      </w:r>
      <w:r w:rsidRPr="009935E0">
        <w:rPr>
          <w:rFonts w:ascii="Times New Roman" w:hAnsi="Times New Roman" w:cs="Times New Roman"/>
          <w:sz w:val="24"/>
          <w:szCs w:val="24"/>
        </w:rPr>
        <w:t xml:space="preserve"> oraz wpisywania danych dotyczących korzystania w zakresie objętym żądaniem. Natomiast </w:t>
      </w:r>
      <w:r w:rsidR="00C66E69" w:rsidRPr="009935E0">
        <w:rPr>
          <w:rFonts w:ascii="Times New Roman" w:hAnsi="Times New Roman" w:cs="Times New Roman"/>
          <w:sz w:val="24"/>
          <w:szCs w:val="24"/>
        </w:rPr>
        <w:t xml:space="preserve">zgodnie z treścią ust. 3 </w:t>
      </w:r>
      <w:r w:rsidRPr="009935E0">
        <w:rPr>
          <w:rFonts w:ascii="Times New Roman" w:hAnsi="Times New Roman" w:cs="Times New Roman"/>
          <w:sz w:val="24"/>
          <w:szCs w:val="24"/>
        </w:rPr>
        <w:t xml:space="preserve">instytucja dziedzictwa kulturowego, w zależności od momentu pozyskania informacji o żądaniu, nie rozpoczyna korzystania z utworu w zakresie objętym żądaniem albo zaprzestaje takiego korzystania. W tym drugim przypadku instytucji dziedzictwa kulturowego pozostawiono miesiąc na zakończenie korzystania. </w:t>
      </w:r>
      <w:r w:rsidRPr="009935E0">
        <w:rPr>
          <w:rFonts w:ascii="Times New Roman" w:eastAsia="Times New Roman" w:hAnsi="Times New Roman" w:cs="Times New Roman"/>
          <w:sz w:val="24"/>
          <w:szCs w:val="24"/>
          <w:lang w:eastAsia="pl-PL"/>
        </w:rPr>
        <w:t xml:space="preserve">W ten sposób umożliwiono zakończenie trwającego korzystania </w:t>
      </w:r>
      <w:r w:rsidR="004167DD"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w rozsądnym terminie</w:t>
      </w:r>
      <w:r w:rsidR="004167DD"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o któ</w:t>
      </w:r>
      <w:r w:rsidR="004167DD" w:rsidRPr="009935E0">
        <w:rPr>
          <w:rFonts w:ascii="Times New Roman" w:eastAsia="Times New Roman" w:hAnsi="Times New Roman" w:cs="Times New Roman"/>
          <w:sz w:val="24"/>
          <w:szCs w:val="24"/>
          <w:lang w:eastAsia="pl-PL"/>
        </w:rPr>
        <w:t>rym mowa w motywie 35 dyrektywy</w:t>
      </w:r>
      <w:r w:rsidR="00C61BAD" w:rsidRPr="009935E0">
        <w:rPr>
          <w:rFonts w:ascii="Times New Roman" w:eastAsia="Times New Roman" w:hAnsi="Times New Roman" w:cs="Times New Roman"/>
          <w:sz w:val="24"/>
          <w:szCs w:val="24"/>
          <w:lang w:eastAsia="pl-PL"/>
        </w:rPr>
        <w:t xml:space="preserve"> DSM</w:t>
      </w:r>
      <w:r w:rsidR="004167DD" w:rsidRPr="009935E0">
        <w:rPr>
          <w:rFonts w:ascii="Times New Roman" w:eastAsia="Times New Roman" w:hAnsi="Times New Roman" w:cs="Times New Roman"/>
          <w:sz w:val="24"/>
          <w:szCs w:val="24"/>
          <w:lang w:eastAsia="pl-PL"/>
        </w:rPr>
        <w:t>.</w:t>
      </w:r>
    </w:p>
    <w:p w14:paraId="1311C83D" w14:textId="4AFC32D9"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Należy podkreślić, ż</w:t>
      </w:r>
      <w:r w:rsidR="008623B4" w:rsidRPr="009935E0">
        <w:rPr>
          <w:rFonts w:ascii="Times New Roman" w:hAnsi="Times New Roman" w:cs="Times New Roman"/>
          <w:sz w:val="24"/>
          <w:szCs w:val="24"/>
        </w:rPr>
        <w:t>e</w:t>
      </w:r>
      <w:r w:rsidRPr="009935E0">
        <w:rPr>
          <w:rFonts w:ascii="Times New Roman" w:hAnsi="Times New Roman" w:cs="Times New Roman"/>
          <w:sz w:val="24"/>
          <w:szCs w:val="24"/>
        </w:rPr>
        <w:t xml:space="preserve"> uprawnienie do żądania powstrzym</w:t>
      </w:r>
      <w:r w:rsidR="005049C9" w:rsidRPr="009935E0">
        <w:rPr>
          <w:rFonts w:ascii="Times New Roman" w:hAnsi="Times New Roman" w:cs="Times New Roman"/>
          <w:sz w:val="24"/>
          <w:szCs w:val="24"/>
        </w:rPr>
        <w:t>ania się od korzystania</w:t>
      </w:r>
      <w:r w:rsidRPr="009935E0">
        <w:rPr>
          <w:rFonts w:ascii="Times New Roman" w:hAnsi="Times New Roman" w:cs="Times New Roman"/>
          <w:sz w:val="24"/>
          <w:szCs w:val="24"/>
        </w:rPr>
        <w:t xml:space="preserve"> na podstawie </w:t>
      </w:r>
      <w:r w:rsidR="00E44042" w:rsidRPr="009935E0">
        <w:rPr>
          <w:rFonts w:ascii="Times New Roman" w:hAnsi="Times New Roman" w:cs="Times New Roman"/>
          <w:sz w:val="24"/>
          <w:szCs w:val="24"/>
        </w:rPr>
        <w:t xml:space="preserve">przepisów </w:t>
      </w:r>
      <w:r w:rsidR="00783C8F" w:rsidRPr="009935E0">
        <w:rPr>
          <w:rFonts w:ascii="Times New Roman" w:hAnsi="Times New Roman" w:cs="Times New Roman"/>
          <w:sz w:val="24"/>
          <w:szCs w:val="24"/>
        </w:rPr>
        <w:t>o</w:t>
      </w:r>
      <w:r w:rsidRPr="009935E0">
        <w:rPr>
          <w:rFonts w:ascii="Times New Roman" w:hAnsi="Times New Roman" w:cs="Times New Roman"/>
          <w:sz w:val="24"/>
          <w:szCs w:val="24"/>
        </w:rPr>
        <w:t>ddziałów 6a lub 6b przysługuje wyłącznie uprawnionemu w zakresie przysługujących mu praw majątkowych do utworu. Decyzja</w:t>
      </w:r>
      <w:r w:rsidR="00224A72" w:rsidRPr="009935E0">
        <w:rPr>
          <w:rFonts w:ascii="Times New Roman" w:hAnsi="Times New Roman" w:cs="Times New Roman"/>
          <w:sz w:val="24"/>
          <w:szCs w:val="24"/>
        </w:rPr>
        <w:t>,</w:t>
      </w:r>
      <w:r w:rsidRPr="009935E0">
        <w:rPr>
          <w:rFonts w:ascii="Times New Roman" w:hAnsi="Times New Roman" w:cs="Times New Roman"/>
          <w:sz w:val="24"/>
          <w:szCs w:val="24"/>
        </w:rPr>
        <w:t xml:space="preserve"> czy osobę, która dokonała stosownych czynności w </w:t>
      </w:r>
      <w:r w:rsidR="004A14F4" w:rsidRPr="009935E0">
        <w:rPr>
          <w:rFonts w:ascii="Times New Roman" w:hAnsi="Times New Roman" w:cs="Times New Roman"/>
          <w:sz w:val="24"/>
          <w:szCs w:val="24"/>
        </w:rPr>
        <w:t>portalu</w:t>
      </w:r>
      <w:r w:rsidR="00783C8F" w:rsidRPr="009935E0">
        <w:rPr>
          <w:rFonts w:ascii="Times New Roman" w:hAnsi="Times New Roman" w:cs="Times New Roman"/>
          <w:sz w:val="24"/>
          <w:szCs w:val="24"/>
        </w:rPr>
        <w:t>,</w:t>
      </w:r>
      <w:r w:rsidRPr="009935E0">
        <w:rPr>
          <w:rFonts w:ascii="Times New Roman" w:hAnsi="Times New Roman" w:cs="Times New Roman"/>
          <w:sz w:val="24"/>
          <w:szCs w:val="24"/>
        </w:rPr>
        <w:t xml:space="preserve"> należy uznać za uprawnionego, musi być podejmowana każdorazowo przez </w:t>
      </w:r>
      <w:r w:rsidR="00426063" w:rsidRPr="009935E0">
        <w:rPr>
          <w:rFonts w:ascii="Times New Roman" w:hAnsi="Times New Roman" w:cs="Times New Roman"/>
          <w:sz w:val="24"/>
          <w:szCs w:val="24"/>
        </w:rPr>
        <w:t xml:space="preserve">zainteresowaną </w:t>
      </w:r>
      <w:r w:rsidRPr="009935E0">
        <w:rPr>
          <w:rFonts w:ascii="Times New Roman" w:hAnsi="Times New Roman" w:cs="Times New Roman"/>
          <w:sz w:val="24"/>
          <w:szCs w:val="24"/>
        </w:rPr>
        <w:t>organizację zbiorowego zarządzania lub instytucję dziedzictwa kulturowego</w:t>
      </w:r>
      <w:r w:rsidR="0002377F">
        <w:rPr>
          <w:rStyle w:val="Odwoanieprzypisudolnego"/>
          <w:rFonts w:ascii="Times New Roman" w:hAnsi="Times New Roman" w:cs="Times New Roman"/>
          <w:sz w:val="24"/>
          <w:szCs w:val="24"/>
        </w:rPr>
        <w:footnoteReference w:id="30"/>
      </w:r>
      <w:r w:rsidR="007104DF" w:rsidRPr="00483092">
        <w:rPr>
          <w:rFonts w:ascii="Times New Roman" w:hAnsi="Times New Roman" w:cs="Times New Roman"/>
          <w:sz w:val="24"/>
          <w:szCs w:val="24"/>
          <w:vertAlign w:val="superscript"/>
        </w:rPr>
        <w:t>)</w:t>
      </w:r>
      <w:r w:rsidR="00442F75" w:rsidRPr="009935E0">
        <w:rPr>
          <w:rFonts w:ascii="Times New Roman" w:hAnsi="Times New Roman" w:cs="Times New Roman"/>
          <w:sz w:val="24"/>
          <w:szCs w:val="24"/>
        </w:rPr>
        <w:t>.</w:t>
      </w:r>
      <w:r w:rsidRPr="009935E0">
        <w:rPr>
          <w:rFonts w:ascii="Times New Roman" w:hAnsi="Times New Roman" w:cs="Times New Roman"/>
          <w:sz w:val="24"/>
          <w:szCs w:val="24"/>
        </w:rPr>
        <w:t xml:space="preserve"> Od strony technicznej </w:t>
      </w:r>
      <w:r w:rsidR="004A14F4" w:rsidRPr="009935E0">
        <w:rPr>
          <w:rFonts w:ascii="Times New Roman" w:hAnsi="Times New Roman" w:cs="Times New Roman"/>
          <w:sz w:val="24"/>
          <w:szCs w:val="24"/>
        </w:rPr>
        <w:t>portal</w:t>
      </w:r>
      <w:r w:rsidRPr="009935E0">
        <w:rPr>
          <w:rFonts w:ascii="Times New Roman" w:hAnsi="Times New Roman" w:cs="Times New Roman"/>
          <w:sz w:val="24"/>
          <w:szCs w:val="24"/>
        </w:rPr>
        <w:t xml:space="preserve"> utworów niedostępnych w handlu nie uniemożliwi dokonania wpisu danych, o którym mowa </w:t>
      </w:r>
      <w:r w:rsidR="009669AE" w:rsidRPr="009935E0">
        <w:rPr>
          <w:rFonts w:ascii="Times New Roman" w:hAnsi="Times New Roman" w:cs="Times New Roman"/>
          <w:sz w:val="24"/>
          <w:szCs w:val="24"/>
        </w:rPr>
        <w:t xml:space="preserve">w </w:t>
      </w:r>
      <w:r w:rsidRPr="009935E0">
        <w:rPr>
          <w:rFonts w:ascii="Times New Roman" w:hAnsi="Times New Roman" w:cs="Times New Roman"/>
          <w:sz w:val="24"/>
          <w:szCs w:val="24"/>
        </w:rPr>
        <w:t>projektowanych art. 35</w:t>
      </w:r>
      <w:r w:rsidR="00C66E69" w:rsidRPr="009935E0">
        <w:rPr>
          <w:rFonts w:ascii="Times New Roman" w:hAnsi="Times New Roman" w:cs="Times New Roman"/>
          <w:sz w:val="24"/>
          <w:szCs w:val="24"/>
          <w:vertAlign w:val="superscript"/>
        </w:rPr>
        <w:t>20</w:t>
      </w:r>
      <w:r w:rsidR="00C950B3"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ust. 1 </w:t>
      </w:r>
      <w:r w:rsidR="00783C8F" w:rsidRPr="009935E0">
        <w:rPr>
          <w:rFonts w:ascii="Times New Roman" w:hAnsi="Times New Roman" w:cs="Times New Roman"/>
          <w:sz w:val="24"/>
          <w:szCs w:val="24"/>
        </w:rPr>
        <w:t>i art.</w:t>
      </w:r>
      <w:r w:rsidRPr="009935E0">
        <w:rPr>
          <w:rFonts w:ascii="Times New Roman" w:hAnsi="Times New Roman" w:cs="Times New Roman"/>
          <w:sz w:val="24"/>
          <w:szCs w:val="24"/>
        </w:rPr>
        <w:t xml:space="preserve"> 35</w:t>
      </w:r>
      <w:r w:rsidR="009669AE" w:rsidRPr="009935E0">
        <w:rPr>
          <w:rFonts w:ascii="Times New Roman" w:hAnsi="Times New Roman" w:cs="Times New Roman"/>
          <w:sz w:val="24"/>
          <w:szCs w:val="24"/>
          <w:vertAlign w:val="superscript"/>
        </w:rPr>
        <w:t>2</w:t>
      </w:r>
      <w:r w:rsidR="00C66E69" w:rsidRPr="009935E0">
        <w:rPr>
          <w:rFonts w:ascii="Times New Roman" w:hAnsi="Times New Roman" w:cs="Times New Roman"/>
          <w:sz w:val="24"/>
          <w:szCs w:val="24"/>
          <w:vertAlign w:val="superscript"/>
        </w:rPr>
        <w:t>3</w:t>
      </w:r>
      <w:r w:rsidR="00C61BAD" w:rsidRPr="009935E0">
        <w:rPr>
          <w:rFonts w:ascii="Times New Roman" w:hAnsi="Times New Roman" w:cs="Times New Roman"/>
          <w:sz w:val="24"/>
          <w:szCs w:val="24"/>
        </w:rPr>
        <w:t xml:space="preserve"> ustawy o prawie autorskim,</w:t>
      </w:r>
      <w:r w:rsidR="00C66E69" w:rsidRPr="009935E0">
        <w:rPr>
          <w:rFonts w:ascii="Times New Roman" w:hAnsi="Times New Roman" w:cs="Times New Roman"/>
          <w:sz w:val="24"/>
          <w:szCs w:val="24"/>
        </w:rPr>
        <w:t xml:space="preserve"> </w:t>
      </w:r>
      <w:r w:rsidR="00254AC8" w:rsidRPr="009935E0">
        <w:rPr>
          <w:rFonts w:ascii="Times New Roman" w:hAnsi="Times New Roman" w:cs="Times New Roman"/>
          <w:sz w:val="24"/>
          <w:szCs w:val="24"/>
        </w:rPr>
        <w:t>w</w:t>
      </w:r>
      <w:r w:rsidR="00C859B1"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przypadku </w:t>
      </w:r>
      <w:r w:rsidR="00254AC8" w:rsidRPr="009935E0">
        <w:rPr>
          <w:rFonts w:ascii="Times New Roman" w:hAnsi="Times New Roman" w:cs="Times New Roman"/>
          <w:sz w:val="24"/>
          <w:szCs w:val="24"/>
        </w:rPr>
        <w:t xml:space="preserve">wcześniejszego </w:t>
      </w:r>
      <w:r w:rsidRPr="009935E0">
        <w:rPr>
          <w:rFonts w:ascii="Times New Roman" w:hAnsi="Times New Roman" w:cs="Times New Roman"/>
          <w:sz w:val="24"/>
          <w:szCs w:val="24"/>
        </w:rPr>
        <w:t>zgłoszenia żądania, a jedyni</w:t>
      </w:r>
      <w:r w:rsidR="00254AC8" w:rsidRPr="009935E0">
        <w:rPr>
          <w:rFonts w:ascii="Times New Roman" w:hAnsi="Times New Roman" w:cs="Times New Roman"/>
          <w:sz w:val="24"/>
          <w:szCs w:val="24"/>
        </w:rPr>
        <w:t>e powiadomi dokonującego wpis o</w:t>
      </w:r>
      <w:r w:rsidR="00C950B3" w:rsidRPr="009935E0">
        <w:rPr>
          <w:rFonts w:ascii="Times New Roman" w:hAnsi="Times New Roman" w:cs="Times New Roman"/>
          <w:sz w:val="24"/>
          <w:szCs w:val="24"/>
        </w:rPr>
        <w:t xml:space="preserve"> </w:t>
      </w:r>
      <w:r w:rsidRPr="009935E0">
        <w:rPr>
          <w:rFonts w:ascii="Times New Roman" w:hAnsi="Times New Roman" w:cs="Times New Roman"/>
          <w:sz w:val="24"/>
          <w:szCs w:val="24"/>
        </w:rPr>
        <w:t>takim zgłoszeniu. Podobnie gdy wpis został już dokonany</w:t>
      </w:r>
      <w:r w:rsidR="00857EFC" w:rsidRPr="009935E0">
        <w:rPr>
          <w:rFonts w:ascii="Times New Roman" w:hAnsi="Times New Roman" w:cs="Times New Roman"/>
          <w:sz w:val="24"/>
          <w:szCs w:val="24"/>
        </w:rPr>
        <w:t>,</w:t>
      </w:r>
      <w:r w:rsidRPr="009935E0">
        <w:rPr>
          <w:rFonts w:ascii="Times New Roman" w:hAnsi="Times New Roman" w:cs="Times New Roman"/>
          <w:sz w:val="24"/>
          <w:szCs w:val="24"/>
        </w:rPr>
        <w:t xml:space="preserve"> informacja o żądaniu zostanie przekaz</w:t>
      </w:r>
      <w:r w:rsidR="00254AC8" w:rsidRPr="009935E0">
        <w:rPr>
          <w:rFonts w:ascii="Times New Roman" w:hAnsi="Times New Roman" w:cs="Times New Roman"/>
          <w:sz w:val="24"/>
          <w:szCs w:val="24"/>
        </w:rPr>
        <w:t xml:space="preserve">ana zainteresowanym podmiotom i ujawniona w </w:t>
      </w:r>
      <w:r w:rsidR="004A14F4" w:rsidRPr="009935E0">
        <w:rPr>
          <w:rFonts w:ascii="Times New Roman" w:hAnsi="Times New Roman" w:cs="Times New Roman"/>
          <w:sz w:val="24"/>
          <w:szCs w:val="24"/>
        </w:rPr>
        <w:t>portalu</w:t>
      </w:r>
      <w:r w:rsidRPr="009935E0">
        <w:rPr>
          <w:rFonts w:ascii="Times New Roman" w:hAnsi="Times New Roman" w:cs="Times New Roman"/>
          <w:sz w:val="24"/>
          <w:szCs w:val="24"/>
        </w:rPr>
        <w:t>,</w:t>
      </w:r>
      <w:r w:rsidR="005049C9" w:rsidRPr="009935E0">
        <w:rPr>
          <w:rFonts w:ascii="Times New Roman" w:hAnsi="Times New Roman" w:cs="Times New Roman"/>
          <w:sz w:val="24"/>
          <w:szCs w:val="24"/>
        </w:rPr>
        <w:t xml:space="preserve"> nie nastąpi jednak automatyczne uznanie utworu za wyłączony z korzystania</w:t>
      </w:r>
      <w:r w:rsidRPr="009935E0">
        <w:rPr>
          <w:rFonts w:ascii="Times New Roman" w:hAnsi="Times New Roman" w:cs="Times New Roman"/>
          <w:sz w:val="24"/>
          <w:szCs w:val="24"/>
        </w:rPr>
        <w:t xml:space="preserve">. </w:t>
      </w:r>
      <w:r w:rsidR="004B77F3" w:rsidRPr="009935E0">
        <w:rPr>
          <w:rFonts w:ascii="Times New Roman" w:hAnsi="Times New Roman" w:cs="Times New Roman"/>
          <w:sz w:val="24"/>
          <w:szCs w:val="24"/>
        </w:rPr>
        <w:t>Ze względu na łatwość inicjowania żądania za pośrednictwem portalu oraz obawy z</w:t>
      </w:r>
      <w:r w:rsidR="007E0A04" w:rsidRPr="009935E0">
        <w:rPr>
          <w:rFonts w:ascii="Times New Roman" w:hAnsi="Times New Roman" w:cs="Times New Roman"/>
          <w:sz w:val="24"/>
          <w:szCs w:val="24"/>
        </w:rPr>
        <w:t>g</w:t>
      </w:r>
      <w:r w:rsidR="004B77F3" w:rsidRPr="009935E0">
        <w:rPr>
          <w:rFonts w:ascii="Times New Roman" w:hAnsi="Times New Roman" w:cs="Times New Roman"/>
          <w:sz w:val="24"/>
          <w:szCs w:val="24"/>
        </w:rPr>
        <w:t>łoszone w toku konsultacji publicznych przez organizacje reprezentujące podmi</w:t>
      </w:r>
      <w:r w:rsidR="007E0A04" w:rsidRPr="009935E0">
        <w:rPr>
          <w:rFonts w:ascii="Times New Roman" w:hAnsi="Times New Roman" w:cs="Times New Roman"/>
          <w:sz w:val="24"/>
          <w:szCs w:val="24"/>
        </w:rPr>
        <w:t>o</w:t>
      </w:r>
      <w:r w:rsidR="004B77F3" w:rsidRPr="009935E0">
        <w:rPr>
          <w:rFonts w:ascii="Times New Roman" w:hAnsi="Times New Roman" w:cs="Times New Roman"/>
          <w:sz w:val="24"/>
          <w:szCs w:val="24"/>
        </w:rPr>
        <w:t xml:space="preserve">ty </w:t>
      </w:r>
      <w:r w:rsidR="007E0A04" w:rsidRPr="009935E0">
        <w:rPr>
          <w:rFonts w:ascii="Times New Roman" w:hAnsi="Times New Roman" w:cs="Times New Roman"/>
          <w:sz w:val="24"/>
          <w:szCs w:val="24"/>
        </w:rPr>
        <w:t>korzystające z utworów, projekto</w:t>
      </w:r>
      <w:r w:rsidR="004B77F3" w:rsidRPr="009935E0">
        <w:rPr>
          <w:rFonts w:ascii="Times New Roman" w:hAnsi="Times New Roman" w:cs="Times New Roman"/>
          <w:sz w:val="24"/>
          <w:szCs w:val="24"/>
        </w:rPr>
        <w:t>dawca zdecydował się na wprowadzenie przepisu, który umożliwi</w:t>
      </w:r>
      <w:r w:rsidR="00342B6D" w:rsidRPr="009935E0">
        <w:rPr>
          <w:rFonts w:ascii="Times New Roman" w:hAnsi="Times New Roman" w:cs="Times New Roman"/>
          <w:sz w:val="24"/>
          <w:szCs w:val="24"/>
        </w:rPr>
        <w:t xml:space="preserve"> wezwanie do złożenia oświadczenia</w:t>
      </w:r>
      <w:r w:rsidR="004B77F3" w:rsidRPr="009935E0">
        <w:rPr>
          <w:rFonts w:ascii="Times New Roman" w:hAnsi="Times New Roman" w:cs="Times New Roman"/>
          <w:sz w:val="24"/>
          <w:szCs w:val="24"/>
        </w:rPr>
        <w:t xml:space="preserve">, w którym żądający poświadczy </w:t>
      </w:r>
      <w:r w:rsidR="00635F35" w:rsidRPr="009935E0">
        <w:rPr>
          <w:rFonts w:ascii="Times New Roman" w:hAnsi="Times New Roman" w:cs="Times New Roman"/>
          <w:sz w:val="24"/>
          <w:szCs w:val="24"/>
        </w:rPr>
        <w:t>w formie pisemnej</w:t>
      </w:r>
      <w:r w:rsidR="00832EEF" w:rsidRPr="009935E0">
        <w:rPr>
          <w:rFonts w:ascii="Times New Roman" w:hAnsi="Times New Roman" w:cs="Times New Roman"/>
          <w:sz w:val="24"/>
          <w:szCs w:val="24"/>
        </w:rPr>
        <w:t xml:space="preserve"> </w:t>
      </w:r>
      <w:r w:rsidR="004B77F3" w:rsidRPr="009935E0">
        <w:rPr>
          <w:rFonts w:ascii="Times New Roman" w:hAnsi="Times New Roman" w:cs="Times New Roman"/>
          <w:sz w:val="24"/>
          <w:szCs w:val="24"/>
        </w:rPr>
        <w:t>swoją tożsamość oraz fakt przysługiwania mu praw do utworu. Rozwiązanie to</w:t>
      </w:r>
      <w:r w:rsidR="00A203BB" w:rsidRPr="009935E0">
        <w:rPr>
          <w:rFonts w:ascii="Times New Roman" w:hAnsi="Times New Roman" w:cs="Times New Roman"/>
          <w:sz w:val="24"/>
          <w:szCs w:val="24"/>
        </w:rPr>
        <w:t>,</w:t>
      </w:r>
      <w:r w:rsidR="004B77F3" w:rsidRPr="009935E0">
        <w:rPr>
          <w:rFonts w:ascii="Times New Roman" w:hAnsi="Times New Roman" w:cs="Times New Roman"/>
          <w:sz w:val="24"/>
          <w:szCs w:val="24"/>
        </w:rPr>
        <w:t xml:space="preserve"> przy nieznacznym obciążeniu </w:t>
      </w:r>
      <w:r w:rsidR="004B77F3" w:rsidRPr="009935E0">
        <w:rPr>
          <w:rFonts w:ascii="Times New Roman" w:hAnsi="Times New Roman" w:cs="Times New Roman"/>
          <w:sz w:val="24"/>
          <w:szCs w:val="24"/>
        </w:rPr>
        <w:lastRenderedPageBreak/>
        <w:t>uprawnionych, pozwoli na ograniczenie skutków ewentualnego składania żądania przez nieuprawnione osoby</w:t>
      </w:r>
      <w:r w:rsidR="00342B6D" w:rsidRPr="009935E0">
        <w:rPr>
          <w:rFonts w:ascii="Times New Roman" w:hAnsi="Times New Roman" w:cs="Times New Roman"/>
          <w:sz w:val="24"/>
          <w:szCs w:val="24"/>
        </w:rPr>
        <w:t xml:space="preserve"> i zagwarantuje podmiotom korzystającym większą pewność prawną</w:t>
      </w:r>
      <w:r w:rsidR="004B77F3" w:rsidRPr="009935E0">
        <w:rPr>
          <w:rFonts w:ascii="Times New Roman" w:hAnsi="Times New Roman" w:cs="Times New Roman"/>
          <w:sz w:val="24"/>
          <w:szCs w:val="24"/>
        </w:rPr>
        <w:t>.</w:t>
      </w:r>
      <w:r w:rsidR="00BE570A" w:rsidRPr="009935E0">
        <w:rPr>
          <w:rFonts w:ascii="Times New Roman" w:hAnsi="Times New Roman" w:cs="Times New Roman"/>
          <w:sz w:val="24"/>
          <w:szCs w:val="24"/>
        </w:rPr>
        <w:t xml:space="preserve"> </w:t>
      </w:r>
    </w:p>
    <w:p w14:paraId="2C3B91FF" w14:textId="77777777" w:rsidR="00EE5E2F" w:rsidRPr="009935E0" w:rsidRDefault="00254AC8"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Dodatkowo</w:t>
      </w:r>
      <w:r w:rsidR="00466012" w:rsidRPr="009935E0">
        <w:rPr>
          <w:rFonts w:ascii="Times New Roman" w:hAnsi="Times New Roman" w:cs="Times New Roman"/>
          <w:sz w:val="24"/>
          <w:szCs w:val="24"/>
        </w:rPr>
        <w:t xml:space="preserve"> w ust</w:t>
      </w:r>
      <w:r w:rsidR="00783C8F" w:rsidRPr="009935E0">
        <w:rPr>
          <w:rFonts w:ascii="Times New Roman" w:hAnsi="Times New Roman" w:cs="Times New Roman"/>
          <w:sz w:val="24"/>
          <w:szCs w:val="24"/>
        </w:rPr>
        <w:t>.</w:t>
      </w:r>
      <w:r w:rsidR="00342B6D" w:rsidRPr="009935E0">
        <w:rPr>
          <w:rFonts w:ascii="Times New Roman" w:hAnsi="Times New Roman" w:cs="Times New Roman"/>
          <w:sz w:val="24"/>
          <w:szCs w:val="24"/>
        </w:rPr>
        <w:t xml:space="preserve"> </w:t>
      </w:r>
      <w:r w:rsidR="005A4D39" w:rsidRPr="009935E0">
        <w:rPr>
          <w:rFonts w:ascii="Times New Roman" w:hAnsi="Times New Roman" w:cs="Times New Roman"/>
          <w:sz w:val="24"/>
          <w:szCs w:val="24"/>
        </w:rPr>
        <w:t>5</w:t>
      </w:r>
      <w:r w:rsidR="00466012" w:rsidRPr="009935E0">
        <w:rPr>
          <w:rFonts w:ascii="Times New Roman" w:hAnsi="Times New Roman" w:cs="Times New Roman"/>
          <w:sz w:val="24"/>
          <w:szCs w:val="24"/>
        </w:rPr>
        <w:t xml:space="preserve"> przewidziano możliwość złożenia żądania </w:t>
      </w:r>
      <w:r w:rsidR="00635F35" w:rsidRPr="009935E0">
        <w:rPr>
          <w:rFonts w:ascii="Times New Roman" w:hAnsi="Times New Roman" w:cs="Times New Roman"/>
          <w:sz w:val="24"/>
          <w:szCs w:val="24"/>
        </w:rPr>
        <w:t>powstrzymania się od korzystania z utworu w formie pisemnej.</w:t>
      </w:r>
      <w:r w:rsidR="009C06AD" w:rsidRPr="009935E0">
        <w:rPr>
          <w:rFonts w:ascii="Times New Roman" w:hAnsi="Times New Roman" w:cs="Times New Roman"/>
          <w:sz w:val="24"/>
          <w:szCs w:val="24"/>
        </w:rPr>
        <w:t xml:space="preserve"> </w:t>
      </w:r>
      <w:r w:rsidR="005049C9" w:rsidRPr="009935E0">
        <w:rPr>
          <w:rFonts w:ascii="Times New Roman" w:hAnsi="Times New Roman" w:cs="Times New Roman"/>
          <w:sz w:val="24"/>
          <w:szCs w:val="24"/>
        </w:rPr>
        <w:t>Rozwiązanie to</w:t>
      </w:r>
      <w:r w:rsidR="00CC0CED" w:rsidRPr="009935E0">
        <w:rPr>
          <w:rFonts w:ascii="Times New Roman" w:hAnsi="Times New Roman" w:cs="Times New Roman"/>
          <w:sz w:val="24"/>
          <w:szCs w:val="24"/>
        </w:rPr>
        <w:t xml:space="preserve"> ma na celu </w:t>
      </w:r>
      <w:r w:rsidR="001C56E1" w:rsidRPr="009935E0">
        <w:rPr>
          <w:rFonts w:ascii="Times New Roman" w:hAnsi="Times New Roman" w:cs="Times New Roman"/>
          <w:sz w:val="24"/>
          <w:szCs w:val="24"/>
        </w:rPr>
        <w:t xml:space="preserve">zapewnienie </w:t>
      </w:r>
      <w:r w:rsidR="00CC0CED" w:rsidRPr="009935E0">
        <w:rPr>
          <w:rFonts w:ascii="Times New Roman" w:hAnsi="Times New Roman" w:cs="Times New Roman"/>
          <w:sz w:val="24"/>
          <w:szCs w:val="24"/>
        </w:rPr>
        <w:t xml:space="preserve">alternatywnej formy złożenia żądania uprawnionym, którzy nie korzystają z </w:t>
      </w:r>
      <w:r w:rsidR="00683B7D" w:rsidRPr="009935E0">
        <w:rPr>
          <w:rFonts w:ascii="Times New Roman" w:hAnsi="Times New Roman" w:cs="Times New Roman"/>
          <w:sz w:val="24"/>
          <w:szCs w:val="24"/>
        </w:rPr>
        <w:t>I</w:t>
      </w:r>
      <w:r w:rsidR="00635F35" w:rsidRPr="009935E0">
        <w:rPr>
          <w:rFonts w:ascii="Times New Roman" w:hAnsi="Times New Roman" w:cs="Times New Roman"/>
          <w:sz w:val="24"/>
          <w:szCs w:val="24"/>
        </w:rPr>
        <w:t>nternetu.</w:t>
      </w:r>
    </w:p>
    <w:p w14:paraId="045CA235" w14:textId="77777777" w:rsidR="004167DD" w:rsidRPr="009935E0" w:rsidRDefault="00E51DAE"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hAnsi="Times New Roman" w:cs="Times New Roman"/>
          <w:sz w:val="24"/>
          <w:szCs w:val="24"/>
        </w:rPr>
        <w:t>Przepisy a</w:t>
      </w:r>
      <w:r w:rsidR="00342B6D" w:rsidRPr="009935E0">
        <w:rPr>
          <w:rFonts w:ascii="Times New Roman" w:hAnsi="Times New Roman" w:cs="Times New Roman"/>
          <w:sz w:val="24"/>
          <w:szCs w:val="24"/>
        </w:rPr>
        <w:t xml:space="preserve">rt. </w:t>
      </w:r>
      <w:r w:rsidR="00342B6D" w:rsidRPr="009935E0">
        <w:rPr>
          <w:rFonts w:ascii="Times New Roman" w:eastAsia="Times New Roman" w:hAnsi="Times New Roman" w:cs="Times New Roman"/>
          <w:sz w:val="24"/>
          <w:szCs w:val="24"/>
          <w:lang w:eastAsia="pl-PL"/>
        </w:rPr>
        <w:t>35</w:t>
      </w:r>
      <w:r w:rsidR="00A203BB" w:rsidRPr="009935E0">
        <w:rPr>
          <w:rFonts w:ascii="Times New Roman" w:eastAsia="Times New Roman" w:hAnsi="Times New Roman" w:cs="Times New Roman"/>
          <w:sz w:val="24"/>
          <w:szCs w:val="24"/>
          <w:vertAlign w:val="superscript"/>
          <w:lang w:eastAsia="pl-PL"/>
        </w:rPr>
        <w:t>18</w:t>
      </w:r>
      <w:r w:rsidR="00A203BB"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 xml:space="preserve">ust. </w:t>
      </w:r>
      <w:r w:rsidR="005A4D39" w:rsidRPr="009935E0">
        <w:rPr>
          <w:rFonts w:ascii="Times New Roman" w:eastAsia="Times New Roman" w:hAnsi="Times New Roman" w:cs="Times New Roman"/>
          <w:sz w:val="24"/>
          <w:szCs w:val="24"/>
          <w:lang w:eastAsia="pl-PL"/>
        </w:rPr>
        <w:t>1</w:t>
      </w:r>
      <w:r w:rsidRPr="009935E0">
        <w:rPr>
          <w:rFonts w:ascii="Times New Roman" w:eastAsia="Times New Roman" w:hAnsi="Times New Roman" w:cs="Times New Roman"/>
          <w:sz w:val="24"/>
          <w:szCs w:val="24"/>
          <w:lang w:eastAsia="pl-PL"/>
        </w:rPr>
        <w:t xml:space="preserve"> i </w:t>
      </w:r>
      <w:r w:rsidR="005A4D39" w:rsidRPr="009935E0">
        <w:rPr>
          <w:rFonts w:ascii="Times New Roman" w:eastAsia="Times New Roman" w:hAnsi="Times New Roman" w:cs="Times New Roman"/>
          <w:sz w:val="24"/>
          <w:szCs w:val="24"/>
          <w:lang w:eastAsia="pl-PL"/>
        </w:rPr>
        <w:t>2</w:t>
      </w:r>
      <w:r w:rsidRPr="009935E0">
        <w:rPr>
          <w:rFonts w:ascii="Times New Roman" w:eastAsia="Times New Roman" w:hAnsi="Times New Roman" w:cs="Times New Roman"/>
          <w:sz w:val="24"/>
          <w:szCs w:val="24"/>
          <w:lang w:eastAsia="pl-PL"/>
        </w:rPr>
        <w:t xml:space="preserve"> </w:t>
      </w:r>
      <w:r w:rsidR="00C61BAD" w:rsidRPr="009935E0">
        <w:rPr>
          <w:rFonts w:ascii="Times New Roman" w:hAnsi="Times New Roman" w:cs="Times New Roman"/>
          <w:sz w:val="24"/>
          <w:szCs w:val="24"/>
        </w:rPr>
        <w:t>ustawy o prawie autorskim</w:t>
      </w:r>
      <w:r w:rsidR="00C61BAD"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przewidują</w:t>
      </w:r>
      <w:r w:rsidR="00342B6D" w:rsidRPr="009935E0">
        <w:rPr>
          <w:rFonts w:ascii="Times New Roman" w:eastAsia="Times New Roman" w:hAnsi="Times New Roman" w:cs="Times New Roman"/>
          <w:sz w:val="24"/>
          <w:szCs w:val="24"/>
          <w:lang w:eastAsia="pl-PL"/>
        </w:rPr>
        <w:t xml:space="preserve"> natomiast dodatkowe obowiązki informacyjne </w:t>
      </w:r>
      <w:r w:rsidR="005A4D39" w:rsidRPr="009935E0">
        <w:rPr>
          <w:rFonts w:ascii="Times New Roman" w:eastAsia="Times New Roman" w:hAnsi="Times New Roman" w:cs="Times New Roman"/>
          <w:sz w:val="24"/>
          <w:szCs w:val="24"/>
          <w:lang w:eastAsia="pl-PL"/>
        </w:rPr>
        <w:t>organizacji zbiorowego zarządzania oraz instytucji dziedzictwa kulturowego</w:t>
      </w:r>
      <w:r w:rsidR="00773CD3" w:rsidRPr="009935E0">
        <w:rPr>
          <w:rFonts w:ascii="Times New Roman" w:eastAsia="Times New Roman" w:hAnsi="Times New Roman" w:cs="Times New Roman"/>
          <w:sz w:val="24"/>
          <w:szCs w:val="24"/>
          <w:lang w:eastAsia="pl-PL"/>
        </w:rPr>
        <w:t xml:space="preserve">. Należy jednak założyć, że </w:t>
      </w:r>
      <w:r w:rsidR="00773CD3" w:rsidRPr="009935E0">
        <w:rPr>
          <w:rFonts w:ascii="Times New Roman" w:hAnsi="Times New Roman" w:cs="Times New Roman"/>
          <w:sz w:val="24"/>
          <w:szCs w:val="24"/>
        </w:rPr>
        <w:t>podstawową funkcję informacyjną będzie realizował ogólnodostępny portal prowadzony przez EUIPO.</w:t>
      </w:r>
    </w:p>
    <w:p w14:paraId="2E6FD377" w14:textId="3123BB86" w:rsidR="00BE1315" w:rsidRPr="009935E0" w:rsidRDefault="00687958" w:rsidP="00483092">
      <w:pPr>
        <w:tabs>
          <w:tab w:val="left" w:pos="426"/>
        </w:tabs>
        <w:spacing w:before="120" w:after="0" w:line="360" w:lineRule="auto"/>
        <w:jc w:val="both"/>
        <w:rPr>
          <w:rFonts w:ascii="Times New Roman" w:eastAsia="Times New Roman" w:hAnsi="Times New Roman" w:cs="Times New Roman"/>
          <w:b/>
          <w:sz w:val="24"/>
          <w:szCs w:val="24"/>
          <w:lang w:eastAsia="pl-PL"/>
        </w:rPr>
      </w:pPr>
      <w:r w:rsidRPr="009935E0">
        <w:rPr>
          <w:rFonts w:ascii="Times New Roman" w:eastAsia="Times New Roman" w:hAnsi="Times New Roman" w:cs="Times New Roman"/>
          <w:b/>
          <w:sz w:val="24"/>
          <w:szCs w:val="24"/>
          <w:lang w:eastAsia="pl-PL"/>
        </w:rPr>
        <w:t>2.3.</w:t>
      </w:r>
      <w:r w:rsidR="00DC5B80">
        <w:rPr>
          <w:rFonts w:ascii="Times New Roman" w:eastAsia="Times New Roman" w:hAnsi="Times New Roman" w:cs="Times New Roman"/>
          <w:b/>
          <w:sz w:val="24"/>
          <w:szCs w:val="24"/>
          <w:lang w:eastAsia="pl-PL"/>
        </w:rPr>
        <w:tab/>
      </w:r>
      <w:r w:rsidR="00DF7BB6" w:rsidRPr="009935E0">
        <w:rPr>
          <w:rFonts w:ascii="Times New Roman" w:eastAsia="Times New Roman" w:hAnsi="Times New Roman" w:cs="Times New Roman"/>
          <w:b/>
          <w:sz w:val="24"/>
          <w:szCs w:val="24"/>
          <w:lang w:eastAsia="pl-PL"/>
        </w:rPr>
        <w:t>Korzystanie z utworów niedostępnych w handlu na podstawie umowy licencji niewyłącznej zawartej z reprezentatywną or</w:t>
      </w:r>
      <w:r w:rsidR="00B64E64" w:rsidRPr="009935E0">
        <w:rPr>
          <w:rFonts w:ascii="Times New Roman" w:eastAsia="Times New Roman" w:hAnsi="Times New Roman" w:cs="Times New Roman"/>
          <w:b/>
          <w:sz w:val="24"/>
          <w:szCs w:val="24"/>
          <w:lang w:eastAsia="pl-PL"/>
        </w:rPr>
        <w:t>ganizacją zbiorowego zarządzania</w:t>
      </w:r>
    </w:p>
    <w:p w14:paraId="13103541" w14:textId="01BE1412" w:rsidR="00466012" w:rsidRPr="009935E0" w:rsidRDefault="00466012" w:rsidP="00483092">
      <w:pPr>
        <w:spacing w:before="120" w:after="0" w:line="360" w:lineRule="auto"/>
        <w:jc w:val="both"/>
        <w:rPr>
          <w:rFonts w:ascii="Times New Roman" w:hAnsi="Times New Roman" w:cs="Times New Roman"/>
          <w:sz w:val="24"/>
          <w:szCs w:val="24"/>
          <w:shd w:val="clear" w:color="auto" w:fill="FFFFFF"/>
        </w:rPr>
      </w:pPr>
      <w:r w:rsidRPr="009935E0">
        <w:rPr>
          <w:rFonts w:ascii="Times New Roman" w:hAnsi="Times New Roman" w:cs="Times New Roman"/>
          <w:sz w:val="24"/>
          <w:szCs w:val="24"/>
        </w:rPr>
        <w:t xml:space="preserve">W projektowanym </w:t>
      </w:r>
      <w:r w:rsidR="00783C8F" w:rsidRPr="009935E0">
        <w:rPr>
          <w:rFonts w:ascii="Times New Roman" w:hAnsi="Times New Roman" w:cs="Times New Roman"/>
          <w:sz w:val="24"/>
          <w:szCs w:val="24"/>
        </w:rPr>
        <w:t xml:space="preserve">art. </w:t>
      </w:r>
      <w:r w:rsidRPr="009935E0">
        <w:rPr>
          <w:rFonts w:ascii="Times New Roman" w:hAnsi="Times New Roman" w:cs="Times New Roman"/>
          <w:sz w:val="24"/>
          <w:szCs w:val="24"/>
        </w:rPr>
        <w:t>35</w:t>
      </w:r>
      <w:r w:rsidR="007B2769" w:rsidRPr="009935E0">
        <w:rPr>
          <w:rFonts w:ascii="Times New Roman" w:hAnsi="Times New Roman" w:cs="Times New Roman"/>
          <w:sz w:val="24"/>
          <w:szCs w:val="24"/>
          <w:vertAlign w:val="superscript"/>
        </w:rPr>
        <w:t>19</w:t>
      </w:r>
      <w:r w:rsidR="00A203BB" w:rsidRPr="009935E0">
        <w:rPr>
          <w:rFonts w:ascii="Times New Roman" w:hAnsi="Times New Roman" w:cs="Times New Roman"/>
          <w:sz w:val="24"/>
          <w:szCs w:val="24"/>
        </w:rPr>
        <w:t xml:space="preserve"> </w:t>
      </w:r>
      <w:r w:rsidR="00C61BAD"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przewidziano możliwość korzystan</w:t>
      </w:r>
      <w:r w:rsidR="00725D62" w:rsidRPr="009935E0">
        <w:rPr>
          <w:rFonts w:ascii="Times New Roman" w:hAnsi="Times New Roman" w:cs="Times New Roman"/>
          <w:sz w:val="24"/>
          <w:szCs w:val="24"/>
        </w:rPr>
        <w:t xml:space="preserve">ia przez instytucje dziedzictwa </w:t>
      </w:r>
      <w:r w:rsidRPr="009935E0">
        <w:rPr>
          <w:rFonts w:ascii="Times New Roman" w:hAnsi="Times New Roman" w:cs="Times New Roman"/>
          <w:sz w:val="24"/>
          <w:szCs w:val="24"/>
        </w:rPr>
        <w:t>kulturowego z utworów niedostępnych w handlu</w:t>
      </w:r>
      <w:r w:rsidR="00785255" w:rsidRPr="009935E0">
        <w:rPr>
          <w:rFonts w:ascii="Times New Roman" w:hAnsi="Times New Roman" w:cs="Times New Roman"/>
          <w:sz w:val="24"/>
          <w:szCs w:val="24"/>
        </w:rPr>
        <w:t>, w rozumieniu projektowanego art. 35</w:t>
      </w:r>
      <w:r w:rsidR="00785255" w:rsidRPr="009935E0">
        <w:rPr>
          <w:rFonts w:ascii="Times New Roman" w:hAnsi="Times New Roman" w:cs="Times New Roman"/>
          <w:sz w:val="24"/>
          <w:szCs w:val="24"/>
          <w:vertAlign w:val="superscript"/>
        </w:rPr>
        <w:t>1</w:t>
      </w:r>
      <w:r w:rsidR="007B2769" w:rsidRPr="009935E0">
        <w:rPr>
          <w:rFonts w:ascii="Times New Roman" w:hAnsi="Times New Roman" w:cs="Times New Roman"/>
          <w:sz w:val="24"/>
          <w:szCs w:val="24"/>
          <w:vertAlign w:val="superscript"/>
        </w:rPr>
        <w:t>0</w:t>
      </w:r>
      <w:r w:rsidR="00C61BAD" w:rsidRPr="009935E0">
        <w:rPr>
          <w:rFonts w:ascii="Times New Roman" w:hAnsi="Times New Roman" w:cs="Times New Roman"/>
          <w:sz w:val="24"/>
          <w:szCs w:val="24"/>
        </w:rPr>
        <w:t xml:space="preserve"> tej ustawy</w:t>
      </w:r>
      <w:r w:rsidRPr="009935E0">
        <w:rPr>
          <w:rFonts w:ascii="Times New Roman" w:hAnsi="Times New Roman" w:cs="Times New Roman"/>
          <w:sz w:val="24"/>
          <w:szCs w:val="24"/>
        </w:rPr>
        <w:t xml:space="preserve"> znajdujących się na stałe w ich zbiorach</w:t>
      </w:r>
      <w:r w:rsidR="00E51DAE" w:rsidRPr="009935E0">
        <w:rPr>
          <w:rFonts w:ascii="Times New Roman" w:hAnsi="Times New Roman" w:cs="Times New Roman"/>
          <w:sz w:val="24"/>
          <w:szCs w:val="24"/>
        </w:rPr>
        <w:t>,</w:t>
      </w:r>
      <w:r w:rsidRPr="009935E0">
        <w:rPr>
          <w:rFonts w:ascii="Times New Roman" w:hAnsi="Times New Roman" w:cs="Times New Roman"/>
          <w:sz w:val="24"/>
          <w:szCs w:val="24"/>
        </w:rPr>
        <w:t xml:space="preserve"> na podstawie umowy licencji niewyłącznej zawartej z reprezentatywną organizacją zbioroweg</w:t>
      </w:r>
      <w:r w:rsidR="007B6036" w:rsidRPr="009935E0">
        <w:rPr>
          <w:rFonts w:ascii="Times New Roman" w:hAnsi="Times New Roman" w:cs="Times New Roman"/>
          <w:sz w:val="24"/>
          <w:szCs w:val="24"/>
        </w:rPr>
        <w:t xml:space="preserve">o zarządzania, </w:t>
      </w:r>
      <w:r w:rsidR="007B2769" w:rsidRPr="009935E0">
        <w:rPr>
          <w:rFonts w:ascii="Times New Roman" w:hAnsi="Times New Roman" w:cs="Times New Roman"/>
          <w:sz w:val="24"/>
          <w:szCs w:val="24"/>
        </w:rPr>
        <w:t>nawet jeżeli</w:t>
      </w:r>
      <w:r w:rsidRPr="009935E0">
        <w:rPr>
          <w:rFonts w:ascii="Times New Roman" w:hAnsi="Times New Roman" w:cs="Times New Roman"/>
          <w:sz w:val="24"/>
          <w:szCs w:val="24"/>
        </w:rPr>
        <w:t xml:space="preserve"> uprawniony w odniesieniu do danego utworu i na danym polu eksploatacji nie jest reprezentowany przez </w:t>
      </w:r>
      <w:r w:rsidR="007B2769" w:rsidRPr="009935E0">
        <w:rPr>
          <w:rFonts w:ascii="Times New Roman" w:hAnsi="Times New Roman" w:cs="Times New Roman"/>
          <w:sz w:val="24"/>
          <w:szCs w:val="24"/>
        </w:rPr>
        <w:t>tę</w:t>
      </w:r>
      <w:r w:rsidR="00E51DAE" w:rsidRPr="009935E0">
        <w:rPr>
          <w:rFonts w:ascii="Times New Roman" w:hAnsi="Times New Roman" w:cs="Times New Roman"/>
          <w:sz w:val="24"/>
          <w:szCs w:val="24"/>
        </w:rPr>
        <w:t xml:space="preserve"> </w:t>
      </w:r>
      <w:r w:rsidRPr="009935E0">
        <w:rPr>
          <w:rFonts w:ascii="Times New Roman" w:hAnsi="Times New Roman" w:cs="Times New Roman"/>
          <w:sz w:val="24"/>
          <w:szCs w:val="24"/>
        </w:rPr>
        <w:t>o</w:t>
      </w:r>
      <w:r w:rsidR="00F438E9" w:rsidRPr="009935E0">
        <w:rPr>
          <w:rFonts w:ascii="Times New Roman" w:hAnsi="Times New Roman" w:cs="Times New Roman"/>
          <w:sz w:val="24"/>
          <w:szCs w:val="24"/>
        </w:rPr>
        <w:t xml:space="preserve">rganizację </w:t>
      </w:r>
      <w:r w:rsidRPr="009935E0">
        <w:rPr>
          <w:rFonts w:ascii="Times New Roman" w:hAnsi="Times New Roman" w:cs="Times New Roman"/>
          <w:sz w:val="24"/>
          <w:szCs w:val="24"/>
        </w:rPr>
        <w:t>z</w:t>
      </w:r>
      <w:r w:rsidR="00F438E9" w:rsidRPr="009935E0">
        <w:rPr>
          <w:rFonts w:ascii="Times New Roman" w:hAnsi="Times New Roman" w:cs="Times New Roman"/>
          <w:sz w:val="24"/>
          <w:szCs w:val="24"/>
        </w:rPr>
        <w:t xml:space="preserve">biorowego </w:t>
      </w:r>
      <w:r w:rsidRPr="009935E0">
        <w:rPr>
          <w:rFonts w:ascii="Times New Roman" w:hAnsi="Times New Roman" w:cs="Times New Roman"/>
          <w:sz w:val="24"/>
          <w:szCs w:val="24"/>
        </w:rPr>
        <w:t>z</w:t>
      </w:r>
      <w:r w:rsidR="00F438E9" w:rsidRPr="009935E0">
        <w:rPr>
          <w:rFonts w:ascii="Times New Roman" w:hAnsi="Times New Roman" w:cs="Times New Roman"/>
          <w:sz w:val="24"/>
          <w:szCs w:val="24"/>
        </w:rPr>
        <w:t>arządzania</w:t>
      </w:r>
      <w:r w:rsidRPr="009935E0">
        <w:rPr>
          <w:rFonts w:ascii="Times New Roman" w:hAnsi="Times New Roman" w:cs="Times New Roman"/>
          <w:sz w:val="24"/>
          <w:szCs w:val="24"/>
        </w:rPr>
        <w:t xml:space="preserve"> na </w:t>
      </w:r>
      <w:r w:rsidR="00221A37" w:rsidRPr="009935E0">
        <w:rPr>
          <w:rFonts w:ascii="Times New Roman" w:hAnsi="Times New Roman" w:cs="Times New Roman"/>
          <w:sz w:val="24"/>
          <w:szCs w:val="24"/>
        </w:rPr>
        <w:t>ogólnych</w:t>
      </w:r>
      <w:r w:rsidRPr="009935E0">
        <w:rPr>
          <w:rFonts w:ascii="Times New Roman" w:hAnsi="Times New Roman" w:cs="Times New Roman"/>
          <w:sz w:val="24"/>
          <w:szCs w:val="24"/>
        </w:rPr>
        <w:t xml:space="preserve"> zasadach (na podstawie umowy o zbiorowe zarządzanie albo </w:t>
      </w:r>
      <w:r w:rsidR="00E51DAE" w:rsidRPr="009935E0">
        <w:rPr>
          <w:rFonts w:ascii="Times New Roman" w:hAnsi="Times New Roman" w:cs="Times New Roman"/>
          <w:sz w:val="24"/>
          <w:szCs w:val="24"/>
        </w:rPr>
        <w:t>umowy o reprezentacji</w:t>
      </w:r>
      <w:r w:rsidRPr="009935E0">
        <w:rPr>
          <w:rFonts w:ascii="Times New Roman" w:hAnsi="Times New Roman" w:cs="Times New Roman"/>
          <w:sz w:val="24"/>
          <w:szCs w:val="24"/>
        </w:rPr>
        <w:t>). Proponowana regulacja, w zestawieniu z projektowanym art. 5 ust. 2</w:t>
      </w:r>
      <w:r w:rsidR="007A238F" w:rsidRPr="009935E0">
        <w:rPr>
          <w:rFonts w:ascii="Times New Roman" w:hAnsi="Times New Roman" w:cs="Times New Roman"/>
          <w:sz w:val="24"/>
          <w:szCs w:val="24"/>
        </w:rPr>
        <w:t>a</w:t>
      </w:r>
      <w:r w:rsidRPr="009935E0">
        <w:rPr>
          <w:rFonts w:ascii="Times New Roman" w:hAnsi="Times New Roman" w:cs="Times New Roman"/>
          <w:sz w:val="24"/>
          <w:szCs w:val="24"/>
        </w:rPr>
        <w:t xml:space="preserve"> ustawy o zb</w:t>
      </w:r>
      <w:r w:rsidR="00847557" w:rsidRPr="009935E0">
        <w:rPr>
          <w:rFonts w:ascii="Times New Roman" w:hAnsi="Times New Roman" w:cs="Times New Roman"/>
          <w:sz w:val="24"/>
          <w:szCs w:val="24"/>
        </w:rPr>
        <w:t>iorowym zarządzaniu</w:t>
      </w:r>
      <w:r w:rsidRPr="009935E0">
        <w:rPr>
          <w:rFonts w:ascii="Times New Roman" w:hAnsi="Times New Roman" w:cs="Times New Roman"/>
          <w:sz w:val="24"/>
          <w:szCs w:val="24"/>
        </w:rPr>
        <w:t>, przewiduje wi</w:t>
      </w:r>
      <w:r w:rsidR="00783C8F" w:rsidRPr="009935E0">
        <w:rPr>
          <w:rFonts w:ascii="Times New Roman" w:hAnsi="Times New Roman" w:cs="Times New Roman"/>
          <w:sz w:val="24"/>
          <w:szCs w:val="24"/>
        </w:rPr>
        <w:t>ę</w:t>
      </w:r>
      <w:r w:rsidRPr="009935E0">
        <w:rPr>
          <w:rFonts w:ascii="Times New Roman" w:hAnsi="Times New Roman" w:cs="Times New Roman"/>
          <w:sz w:val="24"/>
          <w:szCs w:val="24"/>
        </w:rPr>
        <w:t>c rozszerzon</w:t>
      </w:r>
      <w:r w:rsidR="00DD410F" w:rsidRPr="009935E0">
        <w:rPr>
          <w:rFonts w:ascii="Times New Roman" w:hAnsi="Times New Roman" w:cs="Times New Roman"/>
          <w:sz w:val="24"/>
          <w:szCs w:val="24"/>
        </w:rPr>
        <w:t>y</w:t>
      </w:r>
      <w:r w:rsidRPr="009935E0">
        <w:rPr>
          <w:rFonts w:ascii="Times New Roman" w:hAnsi="Times New Roman" w:cs="Times New Roman"/>
          <w:sz w:val="24"/>
          <w:szCs w:val="24"/>
        </w:rPr>
        <w:t xml:space="preserve"> skutek zbiorowe</w:t>
      </w:r>
      <w:r w:rsidR="00794772" w:rsidRPr="009935E0">
        <w:rPr>
          <w:rFonts w:ascii="Times New Roman" w:hAnsi="Times New Roman" w:cs="Times New Roman"/>
          <w:sz w:val="24"/>
          <w:szCs w:val="24"/>
        </w:rPr>
        <w:t>go</w:t>
      </w:r>
      <w:r w:rsidRPr="009935E0">
        <w:rPr>
          <w:rFonts w:ascii="Times New Roman" w:hAnsi="Times New Roman" w:cs="Times New Roman"/>
          <w:sz w:val="24"/>
          <w:szCs w:val="24"/>
        </w:rPr>
        <w:t xml:space="preserve"> zarządzani</w:t>
      </w:r>
      <w:r w:rsidR="00794772" w:rsidRPr="009935E0">
        <w:rPr>
          <w:rFonts w:ascii="Times New Roman" w:hAnsi="Times New Roman" w:cs="Times New Roman"/>
          <w:sz w:val="24"/>
          <w:szCs w:val="24"/>
        </w:rPr>
        <w:t>a</w:t>
      </w:r>
      <w:r w:rsidR="00785255" w:rsidRPr="009935E0">
        <w:rPr>
          <w:rFonts w:ascii="Times New Roman" w:hAnsi="Times New Roman" w:cs="Times New Roman"/>
          <w:sz w:val="24"/>
          <w:szCs w:val="24"/>
        </w:rPr>
        <w:t xml:space="preserve"> prawami do utworów niedostępnych w handlu</w:t>
      </w:r>
      <w:r w:rsidR="00DF7BB6" w:rsidRPr="009935E0">
        <w:rPr>
          <w:rFonts w:ascii="Times New Roman" w:hAnsi="Times New Roman" w:cs="Times New Roman"/>
          <w:sz w:val="24"/>
          <w:szCs w:val="24"/>
        </w:rPr>
        <w:t>, nie eliminując równocześnie możliwości zastosowania projektowanych przepisów do praw powierzonych reprezentatywnej organizacji zbiorowego zarządzania</w:t>
      </w:r>
      <w:r w:rsidR="006B24E3" w:rsidRPr="009935E0">
        <w:rPr>
          <w:rFonts w:ascii="Times New Roman" w:hAnsi="Times New Roman" w:cs="Times New Roman"/>
          <w:sz w:val="24"/>
          <w:szCs w:val="24"/>
        </w:rPr>
        <w:t>. W ramach</w:t>
      </w:r>
      <w:r w:rsidR="009669AE" w:rsidRPr="009935E0">
        <w:rPr>
          <w:rFonts w:ascii="Times New Roman" w:hAnsi="Times New Roman" w:cs="Times New Roman"/>
          <w:sz w:val="24"/>
          <w:szCs w:val="24"/>
        </w:rPr>
        <w:t xml:space="preserve"> rozszerzonego skutku zbiorowego zarządu</w:t>
      </w:r>
      <w:r w:rsidRPr="009935E0">
        <w:rPr>
          <w:rFonts w:ascii="Times New Roman" w:hAnsi="Times New Roman" w:cs="Times New Roman"/>
          <w:sz w:val="24"/>
          <w:szCs w:val="24"/>
        </w:rPr>
        <w:t xml:space="preserve"> korzystanie z utworów niedostępnych w handlu może się jednak odbywać wyłącznie na zasadach określonych w projektowanych oddziałach 6 </w:t>
      </w:r>
      <w:r w:rsidR="00783C8F" w:rsidRPr="009935E0">
        <w:rPr>
          <w:rFonts w:ascii="Times New Roman" w:hAnsi="Times New Roman" w:cs="Times New Roman"/>
          <w:sz w:val="24"/>
          <w:szCs w:val="24"/>
        </w:rPr>
        <w:t>i</w:t>
      </w:r>
      <w:r w:rsidRPr="009935E0">
        <w:rPr>
          <w:rFonts w:ascii="Times New Roman" w:hAnsi="Times New Roman" w:cs="Times New Roman"/>
          <w:sz w:val="24"/>
          <w:szCs w:val="24"/>
        </w:rPr>
        <w:t xml:space="preserve"> 6a. Rozwiązanie polegające na umożliwieniu organizacjom zbiorowego zarządzania udzielania niewyłącznej licencji na korzystanie w celach niekomercyjnych</w:t>
      </w:r>
      <w:r w:rsidR="00AA4AF4">
        <w:rPr>
          <w:rStyle w:val="Odwoanieprzypisudolnego"/>
          <w:rFonts w:ascii="Times New Roman" w:hAnsi="Times New Roman" w:cs="Times New Roman"/>
          <w:sz w:val="24"/>
          <w:szCs w:val="24"/>
        </w:rPr>
        <w:footnoteReference w:id="31"/>
      </w:r>
      <w:r w:rsidR="007104DF"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przez instytucje dziedzictwa kulturowego z utworów</w:t>
      </w:r>
      <w:r w:rsidR="0002377F">
        <w:rPr>
          <w:rStyle w:val="Odwoanieprzypisudolnego"/>
          <w:rFonts w:ascii="Times New Roman" w:hAnsi="Times New Roman" w:cs="Times New Roman"/>
          <w:sz w:val="24"/>
          <w:szCs w:val="24"/>
        </w:rPr>
        <w:footnoteReference w:id="32"/>
      </w:r>
      <w:r w:rsidR="007104DF"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niedostępnych w handlu znajdujących się na stałe w ich zbiorach w odniesieniu do utworów, co do których prawa nie zostały powierzone </w:t>
      </w:r>
      <w:r w:rsidR="007B2769" w:rsidRPr="009935E0">
        <w:rPr>
          <w:rFonts w:ascii="Times New Roman" w:hAnsi="Times New Roman" w:cs="Times New Roman"/>
          <w:sz w:val="24"/>
          <w:szCs w:val="24"/>
        </w:rPr>
        <w:t xml:space="preserve">tej </w:t>
      </w:r>
      <w:r w:rsidRPr="009935E0">
        <w:rPr>
          <w:rFonts w:ascii="Times New Roman" w:hAnsi="Times New Roman" w:cs="Times New Roman"/>
          <w:sz w:val="24"/>
          <w:szCs w:val="24"/>
        </w:rPr>
        <w:t>organizacji zbiorowego zarządzania</w:t>
      </w:r>
      <w:r w:rsidR="00783C8F" w:rsidRPr="009935E0">
        <w:rPr>
          <w:rFonts w:ascii="Times New Roman" w:hAnsi="Times New Roman" w:cs="Times New Roman"/>
          <w:sz w:val="24"/>
          <w:szCs w:val="24"/>
        </w:rPr>
        <w:t>,</w:t>
      </w:r>
      <w:r w:rsidRPr="009935E0">
        <w:rPr>
          <w:rFonts w:ascii="Times New Roman" w:hAnsi="Times New Roman" w:cs="Times New Roman"/>
          <w:sz w:val="24"/>
          <w:szCs w:val="24"/>
        </w:rPr>
        <w:t xml:space="preserve"> zostało przewidziane w art. 8 </w:t>
      </w:r>
      <w:r w:rsidRPr="009935E0">
        <w:rPr>
          <w:rFonts w:ascii="Times New Roman" w:hAnsi="Times New Roman" w:cs="Times New Roman"/>
          <w:sz w:val="24"/>
          <w:szCs w:val="24"/>
        </w:rPr>
        <w:lastRenderedPageBreak/>
        <w:t xml:space="preserve">ust. 1 </w:t>
      </w:r>
      <w:r w:rsidR="00F438E9"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F438E9" w:rsidRPr="009935E0">
        <w:rPr>
          <w:rFonts w:ascii="Times New Roman" w:hAnsi="Times New Roman" w:cs="Times New Roman"/>
          <w:sz w:val="24"/>
          <w:szCs w:val="24"/>
        </w:rPr>
        <w:t xml:space="preserve"> </w:t>
      </w:r>
      <w:r w:rsidRPr="009935E0">
        <w:rPr>
          <w:rFonts w:ascii="Times New Roman" w:hAnsi="Times New Roman" w:cs="Times New Roman"/>
          <w:sz w:val="24"/>
          <w:szCs w:val="24"/>
        </w:rPr>
        <w:t>jako rozwiązanie obligatoryjne</w:t>
      </w:r>
      <w:r w:rsidRPr="009935E0">
        <w:rPr>
          <w:rStyle w:val="Odwoanieprzypisudolnego"/>
          <w:rFonts w:ascii="Times New Roman" w:hAnsi="Times New Roman" w:cs="Times New Roman"/>
          <w:sz w:val="24"/>
          <w:szCs w:val="24"/>
        </w:rPr>
        <w:footnoteReference w:id="33"/>
      </w:r>
      <w:r w:rsidR="007104DF" w:rsidRPr="00483092">
        <w:rPr>
          <w:rFonts w:ascii="Times New Roman" w:hAnsi="Times New Roman" w:cs="Times New Roman"/>
          <w:sz w:val="24"/>
          <w:szCs w:val="24"/>
          <w:vertAlign w:val="superscript"/>
        </w:rPr>
        <w:t>)</w:t>
      </w:r>
      <w:r w:rsidR="00A203BB" w:rsidRPr="009935E0">
        <w:rPr>
          <w:rFonts w:ascii="Times New Roman" w:hAnsi="Times New Roman" w:cs="Times New Roman"/>
          <w:sz w:val="24"/>
          <w:szCs w:val="24"/>
        </w:rPr>
        <w:t>.</w:t>
      </w:r>
      <w:r w:rsidRPr="009935E0">
        <w:rPr>
          <w:rFonts w:ascii="Times New Roman" w:hAnsi="Times New Roman" w:cs="Times New Roman"/>
          <w:sz w:val="24"/>
          <w:szCs w:val="24"/>
        </w:rPr>
        <w:t xml:space="preserve"> Dopuszczalne licencjonowanie obejmuje</w:t>
      </w:r>
      <w:r w:rsidR="00377F36" w:rsidRPr="009935E0">
        <w:rPr>
          <w:rFonts w:ascii="Times New Roman" w:hAnsi="Times New Roman" w:cs="Times New Roman"/>
          <w:sz w:val="24"/>
          <w:szCs w:val="24"/>
        </w:rPr>
        <w:t>,</w:t>
      </w:r>
      <w:r w:rsidRPr="009935E0">
        <w:rPr>
          <w:rFonts w:ascii="Times New Roman" w:hAnsi="Times New Roman" w:cs="Times New Roman"/>
          <w:sz w:val="24"/>
          <w:szCs w:val="24"/>
        </w:rPr>
        <w:t xml:space="preserve"> zgodnie z treścią </w:t>
      </w:r>
      <w:r w:rsidR="00F438E9"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377F36" w:rsidRPr="009935E0">
        <w:rPr>
          <w:rFonts w:ascii="Times New Roman" w:hAnsi="Times New Roman" w:cs="Times New Roman"/>
          <w:sz w:val="24"/>
          <w:szCs w:val="24"/>
        </w:rPr>
        <w:t>,</w:t>
      </w:r>
      <w:r w:rsidRPr="009935E0">
        <w:rPr>
          <w:rFonts w:ascii="Times New Roman" w:hAnsi="Times New Roman" w:cs="Times New Roman"/>
          <w:sz w:val="24"/>
          <w:szCs w:val="24"/>
        </w:rPr>
        <w:t xml:space="preserve"> korzystanie </w:t>
      </w:r>
      <w:r w:rsidR="00D61647" w:rsidRPr="009935E0">
        <w:rPr>
          <w:rFonts w:ascii="Times New Roman" w:hAnsi="Times New Roman" w:cs="Times New Roman"/>
          <w:sz w:val="24"/>
          <w:szCs w:val="24"/>
        </w:rPr>
        <w:t>„</w:t>
      </w:r>
      <w:r w:rsidRPr="009935E0">
        <w:rPr>
          <w:rFonts w:ascii="Times New Roman" w:hAnsi="Times New Roman" w:cs="Times New Roman"/>
          <w:sz w:val="24"/>
          <w:szCs w:val="24"/>
          <w:shd w:val="clear" w:color="auto" w:fill="FFFFFF"/>
        </w:rPr>
        <w:t>w celu</w:t>
      </w:r>
      <w:r w:rsidR="002F729C" w:rsidRPr="009935E0">
        <w:rPr>
          <w:rFonts w:ascii="Times New Roman" w:hAnsi="Times New Roman" w:cs="Times New Roman"/>
          <w:sz w:val="24"/>
          <w:szCs w:val="24"/>
          <w:shd w:val="clear" w:color="auto" w:fill="FFFFFF"/>
        </w:rPr>
        <w:t xml:space="preserve"> </w:t>
      </w:r>
      <w:r w:rsidRPr="009935E0">
        <w:rPr>
          <w:rFonts w:ascii="Times New Roman" w:hAnsi="Times New Roman" w:cs="Times New Roman"/>
          <w:sz w:val="24"/>
          <w:szCs w:val="24"/>
          <w:shd w:val="clear" w:color="auto" w:fill="FFFFFF"/>
        </w:rPr>
        <w:t>zwielokrotniania, rozpowszechniania</w:t>
      </w:r>
      <w:r w:rsidRPr="009935E0">
        <w:rPr>
          <w:rStyle w:val="Odwoanieprzypisudolnego"/>
          <w:rFonts w:ascii="Times New Roman" w:hAnsi="Times New Roman" w:cs="Times New Roman"/>
          <w:sz w:val="24"/>
          <w:szCs w:val="24"/>
          <w:shd w:val="clear" w:color="auto" w:fill="FFFFFF"/>
        </w:rPr>
        <w:footnoteReference w:id="34"/>
      </w:r>
      <w:r w:rsidR="007104DF" w:rsidRPr="00483092">
        <w:rPr>
          <w:rFonts w:ascii="Times New Roman" w:hAnsi="Times New Roman" w:cs="Times New Roman"/>
          <w:sz w:val="24"/>
          <w:szCs w:val="24"/>
          <w:shd w:val="clear" w:color="auto" w:fill="FFFFFF"/>
          <w:vertAlign w:val="superscript"/>
        </w:rPr>
        <w:t>)</w:t>
      </w:r>
      <w:r w:rsidRPr="009935E0">
        <w:rPr>
          <w:rFonts w:ascii="Times New Roman" w:hAnsi="Times New Roman" w:cs="Times New Roman"/>
          <w:sz w:val="24"/>
          <w:szCs w:val="24"/>
          <w:shd w:val="clear" w:color="auto" w:fill="FFFFFF"/>
        </w:rPr>
        <w:t>, publicznego udostępniania</w:t>
      </w:r>
      <w:r w:rsidRPr="009935E0">
        <w:rPr>
          <w:rStyle w:val="Odwoanieprzypisudolnego"/>
          <w:rFonts w:ascii="Times New Roman" w:hAnsi="Times New Roman" w:cs="Times New Roman"/>
          <w:sz w:val="24"/>
          <w:szCs w:val="24"/>
          <w:shd w:val="clear" w:color="auto" w:fill="FFFFFF"/>
        </w:rPr>
        <w:footnoteReference w:id="35"/>
      </w:r>
      <w:r w:rsidR="007104DF" w:rsidRPr="00483092">
        <w:rPr>
          <w:rFonts w:ascii="Times New Roman" w:hAnsi="Times New Roman" w:cs="Times New Roman"/>
          <w:sz w:val="24"/>
          <w:szCs w:val="24"/>
          <w:shd w:val="clear" w:color="auto" w:fill="FFFFFF"/>
          <w:vertAlign w:val="superscript"/>
        </w:rPr>
        <w:t>)</w:t>
      </w:r>
      <w:r w:rsidRPr="009935E0">
        <w:rPr>
          <w:rFonts w:ascii="Times New Roman" w:hAnsi="Times New Roman" w:cs="Times New Roman"/>
          <w:sz w:val="24"/>
          <w:szCs w:val="24"/>
          <w:shd w:val="clear" w:color="auto" w:fill="FFFFFF"/>
        </w:rPr>
        <w:t xml:space="preserve"> lub podawania do publicznej wiadomości</w:t>
      </w:r>
      <w:r w:rsidR="00D61647" w:rsidRPr="009935E0">
        <w:rPr>
          <w:rFonts w:ascii="Times New Roman" w:hAnsi="Times New Roman" w:cs="Times New Roman"/>
          <w:sz w:val="24"/>
          <w:szCs w:val="24"/>
          <w:shd w:val="clear" w:color="auto" w:fill="FFFFFF"/>
        </w:rPr>
        <w:t>”</w:t>
      </w:r>
      <w:r w:rsidRPr="009935E0">
        <w:rPr>
          <w:rFonts w:ascii="Times New Roman" w:hAnsi="Times New Roman" w:cs="Times New Roman"/>
          <w:sz w:val="24"/>
          <w:szCs w:val="24"/>
          <w:shd w:val="clear" w:color="auto" w:fill="FFFFFF"/>
        </w:rPr>
        <w:t>.</w:t>
      </w:r>
      <w:r w:rsidRPr="009935E0">
        <w:rPr>
          <w:rFonts w:ascii="Times New Roman" w:hAnsi="Times New Roman" w:cs="Times New Roman"/>
          <w:i/>
          <w:sz w:val="24"/>
          <w:szCs w:val="24"/>
          <w:shd w:val="clear" w:color="auto" w:fill="FFFFFF"/>
        </w:rPr>
        <w:t xml:space="preserve"> </w:t>
      </w:r>
      <w:r w:rsidRPr="009935E0">
        <w:rPr>
          <w:rFonts w:ascii="Times New Roman" w:hAnsi="Times New Roman" w:cs="Times New Roman"/>
          <w:sz w:val="24"/>
          <w:szCs w:val="24"/>
          <w:shd w:val="clear" w:color="auto" w:fill="FFFFFF"/>
        </w:rPr>
        <w:t xml:space="preserve">W motywie 29 </w:t>
      </w:r>
      <w:r w:rsidR="00F438E9" w:rsidRPr="009935E0">
        <w:rPr>
          <w:rFonts w:ascii="Times New Roman" w:hAnsi="Times New Roman" w:cs="Times New Roman"/>
          <w:sz w:val="24"/>
          <w:szCs w:val="24"/>
          <w:shd w:val="clear" w:color="auto" w:fill="FFFFFF"/>
        </w:rPr>
        <w:t>d</w:t>
      </w:r>
      <w:r w:rsidRPr="009935E0">
        <w:rPr>
          <w:rFonts w:ascii="Times New Roman" w:hAnsi="Times New Roman" w:cs="Times New Roman"/>
          <w:sz w:val="24"/>
          <w:szCs w:val="24"/>
          <w:shd w:val="clear" w:color="auto" w:fill="FFFFFF"/>
        </w:rPr>
        <w:t>yrektywy</w:t>
      </w:r>
      <w:r w:rsidR="00C61BAD" w:rsidRPr="009935E0">
        <w:rPr>
          <w:rFonts w:ascii="Times New Roman" w:hAnsi="Times New Roman" w:cs="Times New Roman"/>
          <w:sz w:val="24"/>
          <w:szCs w:val="24"/>
          <w:shd w:val="clear" w:color="auto" w:fill="FFFFFF"/>
        </w:rPr>
        <w:t xml:space="preserve"> DSM</w:t>
      </w:r>
      <w:r w:rsidRPr="009935E0">
        <w:rPr>
          <w:rFonts w:ascii="Times New Roman" w:hAnsi="Times New Roman" w:cs="Times New Roman"/>
          <w:sz w:val="24"/>
          <w:szCs w:val="24"/>
          <w:shd w:val="clear" w:color="auto" w:fill="FFFFFF"/>
        </w:rPr>
        <w:t xml:space="preserve"> wskazano, że utwory należy uznać za znajdujące się na stałe w zbiorach instytucji, jeżeli są </w:t>
      </w:r>
      <w:r w:rsidR="00D61647" w:rsidRPr="009935E0">
        <w:rPr>
          <w:rFonts w:ascii="Times New Roman" w:hAnsi="Times New Roman" w:cs="Times New Roman"/>
          <w:sz w:val="24"/>
          <w:szCs w:val="24"/>
          <w:shd w:val="clear" w:color="auto" w:fill="FFFFFF"/>
        </w:rPr>
        <w:t>„</w:t>
      </w:r>
      <w:r w:rsidRPr="009935E0">
        <w:rPr>
          <w:rFonts w:ascii="Times New Roman" w:hAnsi="Times New Roman" w:cs="Times New Roman"/>
          <w:sz w:val="24"/>
          <w:szCs w:val="24"/>
          <w:shd w:val="clear" w:color="auto" w:fill="FFFFFF"/>
        </w:rPr>
        <w:t>własnością tych instytucji lub znajdują się na stałe w ich posiadaniu, np. w wyniku przeniesienia własności, umowy licencyjnej, systemu przekazywania egzemplarza obowiązkowego lub uzgodnień dotyczących długoterminowego przechowywania</w:t>
      </w:r>
      <w:r w:rsidR="00D61647" w:rsidRPr="009935E0">
        <w:rPr>
          <w:rFonts w:ascii="Times New Roman" w:hAnsi="Times New Roman" w:cs="Times New Roman"/>
          <w:sz w:val="24"/>
          <w:szCs w:val="24"/>
          <w:shd w:val="clear" w:color="auto" w:fill="FFFFFF"/>
        </w:rPr>
        <w:t>”</w:t>
      </w:r>
      <w:r w:rsidRPr="009935E0">
        <w:rPr>
          <w:rFonts w:ascii="Times New Roman" w:hAnsi="Times New Roman" w:cs="Times New Roman"/>
          <w:sz w:val="24"/>
          <w:szCs w:val="24"/>
          <w:shd w:val="clear" w:color="auto" w:fill="FFFFFF"/>
        </w:rPr>
        <w:t>.</w:t>
      </w:r>
    </w:p>
    <w:p w14:paraId="6FD7BADA" w14:textId="77777777"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Projektowany art. 35</w:t>
      </w:r>
      <w:r w:rsidR="008E4D98" w:rsidRPr="009935E0">
        <w:rPr>
          <w:rFonts w:ascii="Times New Roman" w:hAnsi="Times New Roman" w:cs="Times New Roman"/>
          <w:sz w:val="24"/>
          <w:szCs w:val="24"/>
          <w:vertAlign w:val="superscript"/>
        </w:rPr>
        <w:t>2</w:t>
      </w:r>
      <w:r w:rsidR="007B2769" w:rsidRPr="009935E0">
        <w:rPr>
          <w:rFonts w:ascii="Times New Roman" w:hAnsi="Times New Roman" w:cs="Times New Roman"/>
          <w:sz w:val="24"/>
          <w:szCs w:val="24"/>
          <w:vertAlign w:val="superscript"/>
        </w:rPr>
        <w:t>0</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ust. 1 określa zakres danyc</w:t>
      </w:r>
      <w:r w:rsidR="00725D62" w:rsidRPr="009935E0">
        <w:rPr>
          <w:rFonts w:ascii="Times New Roman" w:hAnsi="Times New Roman" w:cs="Times New Roman"/>
          <w:sz w:val="24"/>
          <w:szCs w:val="24"/>
        </w:rPr>
        <w:t xml:space="preserve">h, które organizacja zbiorowego </w:t>
      </w:r>
      <w:r w:rsidRPr="009935E0">
        <w:rPr>
          <w:rFonts w:ascii="Times New Roman" w:hAnsi="Times New Roman" w:cs="Times New Roman"/>
          <w:sz w:val="24"/>
          <w:szCs w:val="24"/>
        </w:rPr>
        <w:t xml:space="preserve">zarządzania </w:t>
      </w:r>
      <w:r w:rsidR="009C06AD" w:rsidRPr="009935E0">
        <w:rPr>
          <w:rFonts w:ascii="Times New Roman" w:hAnsi="Times New Roman" w:cs="Times New Roman"/>
          <w:sz w:val="24"/>
          <w:szCs w:val="24"/>
        </w:rPr>
        <w:t xml:space="preserve">powinna </w:t>
      </w:r>
      <w:r w:rsidR="00785255" w:rsidRPr="009935E0">
        <w:rPr>
          <w:rFonts w:ascii="Times New Roman" w:hAnsi="Times New Roman" w:cs="Times New Roman"/>
          <w:sz w:val="24"/>
          <w:szCs w:val="24"/>
        </w:rPr>
        <w:t>zamieścić w portalu</w:t>
      </w:r>
      <w:r w:rsidRPr="009935E0">
        <w:rPr>
          <w:rFonts w:ascii="Times New Roman" w:hAnsi="Times New Roman" w:cs="Times New Roman"/>
          <w:sz w:val="24"/>
          <w:szCs w:val="24"/>
        </w:rPr>
        <w:t xml:space="preserve"> utworów niedostępnych w handlu. Są </w:t>
      </w:r>
      <w:r w:rsidR="00377F36" w:rsidRPr="009935E0">
        <w:rPr>
          <w:rFonts w:ascii="Times New Roman" w:hAnsi="Times New Roman" w:cs="Times New Roman"/>
          <w:sz w:val="24"/>
          <w:szCs w:val="24"/>
        </w:rPr>
        <w:t>to</w:t>
      </w:r>
      <w:r w:rsidRPr="009935E0">
        <w:rPr>
          <w:rFonts w:ascii="Times New Roman" w:hAnsi="Times New Roman" w:cs="Times New Roman"/>
          <w:sz w:val="24"/>
          <w:szCs w:val="24"/>
        </w:rPr>
        <w:t xml:space="preserve">: </w:t>
      </w:r>
    </w:p>
    <w:p w14:paraId="42283EE5" w14:textId="77777777" w:rsidR="007B2769" w:rsidRPr="009935E0" w:rsidRDefault="007B2769" w:rsidP="00483092">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imię i nazwisko oraz pseudonim twórc</w:t>
      </w:r>
      <w:r w:rsidR="00106F2D" w:rsidRPr="009935E0">
        <w:rPr>
          <w:rFonts w:ascii="Times New Roman" w:hAnsi="Times New Roman" w:cs="Times New Roman"/>
          <w:sz w:val="24"/>
          <w:szCs w:val="24"/>
        </w:rPr>
        <w:t>y albo wzmiank</w:t>
      </w:r>
      <w:r w:rsidR="00A203BB" w:rsidRPr="009935E0">
        <w:rPr>
          <w:rFonts w:ascii="Times New Roman" w:hAnsi="Times New Roman" w:cs="Times New Roman"/>
          <w:sz w:val="24"/>
          <w:szCs w:val="24"/>
        </w:rPr>
        <w:t>a</w:t>
      </w:r>
      <w:r w:rsidR="00106F2D" w:rsidRPr="009935E0">
        <w:rPr>
          <w:rFonts w:ascii="Times New Roman" w:hAnsi="Times New Roman" w:cs="Times New Roman"/>
          <w:sz w:val="24"/>
          <w:szCs w:val="24"/>
        </w:rPr>
        <w:t xml:space="preserve"> o anonimowości,</w:t>
      </w:r>
    </w:p>
    <w:p w14:paraId="1D01C138" w14:textId="77777777" w:rsidR="007B2769" w:rsidRPr="009935E0" w:rsidRDefault="007B2769" w:rsidP="00483092">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imię i nazwisko albo nazw</w:t>
      </w:r>
      <w:r w:rsidR="00A203BB" w:rsidRPr="009935E0">
        <w:rPr>
          <w:rFonts w:ascii="Times New Roman" w:hAnsi="Times New Roman" w:cs="Times New Roman"/>
          <w:sz w:val="24"/>
          <w:szCs w:val="24"/>
        </w:rPr>
        <w:t>a</w:t>
      </w:r>
      <w:r w:rsidRPr="009935E0">
        <w:rPr>
          <w:rFonts w:ascii="Times New Roman" w:hAnsi="Times New Roman" w:cs="Times New Roman"/>
          <w:sz w:val="24"/>
          <w:szCs w:val="24"/>
        </w:rPr>
        <w:t xml:space="preserve"> uprawnionego, któremu w zakresie pól eksploatacji objętych umową licencji niewyłącznej, o której mowa w art. 35</w:t>
      </w:r>
      <w:r w:rsidRPr="009935E0">
        <w:rPr>
          <w:rFonts w:ascii="Times New Roman" w:hAnsi="Times New Roman" w:cs="Times New Roman"/>
          <w:sz w:val="24"/>
          <w:szCs w:val="24"/>
          <w:vertAlign w:val="superscript"/>
        </w:rPr>
        <w:t>19</w:t>
      </w:r>
      <w:r w:rsidRPr="009935E0">
        <w:rPr>
          <w:rFonts w:ascii="Times New Roman" w:hAnsi="Times New Roman" w:cs="Times New Roman"/>
          <w:sz w:val="24"/>
          <w:szCs w:val="24"/>
        </w:rPr>
        <w:t>, przysługują auto</w:t>
      </w:r>
      <w:r w:rsidR="00106F2D" w:rsidRPr="009935E0">
        <w:rPr>
          <w:rFonts w:ascii="Times New Roman" w:hAnsi="Times New Roman" w:cs="Times New Roman"/>
          <w:sz w:val="24"/>
          <w:szCs w:val="24"/>
        </w:rPr>
        <w:t>rskie prawa majątkowe do utworu,</w:t>
      </w:r>
    </w:p>
    <w:p w14:paraId="675E35A4" w14:textId="77777777" w:rsidR="007B2769" w:rsidRPr="009935E0" w:rsidRDefault="007B2769" w:rsidP="00483092">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tytuł utworu, a w jego braku</w:t>
      </w:r>
      <w:r w:rsidR="00A203BB"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 inne informacje um</w:t>
      </w:r>
      <w:r w:rsidR="00106F2D" w:rsidRPr="009935E0">
        <w:rPr>
          <w:rFonts w:ascii="Times New Roman" w:hAnsi="Times New Roman" w:cs="Times New Roman"/>
          <w:sz w:val="24"/>
          <w:szCs w:val="24"/>
        </w:rPr>
        <w:t>ożliwiające jego identyfikację,</w:t>
      </w:r>
    </w:p>
    <w:p w14:paraId="243CCC8A" w14:textId="77777777" w:rsidR="00E5356B" w:rsidRPr="009935E0" w:rsidRDefault="007B2769" w:rsidP="00483092">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imię </w:t>
      </w:r>
      <w:r w:rsidR="0031099C" w:rsidRPr="009935E0">
        <w:rPr>
          <w:rFonts w:ascii="Times New Roman" w:hAnsi="Times New Roman" w:cs="Times New Roman"/>
          <w:sz w:val="24"/>
          <w:szCs w:val="24"/>
        </w:rPr>
        <w:t xml:space="preserve">i </w:t>
      </w:r>
      <w:r w:rsidRPr="009935E0">
        <w:rPr>
          <w:rFonts w:ascii="Times New Roman" w:hAnsi="Times New Roman" w:cs="Times New Roman"/>
          <w:sz w:val="24"/>
          <w:szCs w:val="24"/>
        </w:rPr>
        <w:t>nazwisko albo nazw</w:t>
      </w:r>
      <w:r w:rsidR="00A203BB" w:rsidRPr="009935E0">
        <w:rPr>
          <w:rFonts w:ascii="Times New Roman" w:hAnsi="Times New Roman" w:cs="Times New Roman"/>
          <w:sz w:val="24"/>
          <w:szCs w:val="24"/>
        </w:rPr>
        <w:t>a producenta lub wydawcy utworu</w:t>
      </w:r>
    </w:p>
    <w:p w14:paraId="4B7F9C8E" w14:textId="50469A01" w:rsidR="00466012" w:rsidRPr="009935E0" w:rsidRDefault="00DC5B80" w:rsidP="00483092">
      <w:pPr>
        <w:pStyle w:val="Akapitzlist"/>
        <w:tabs>
          <w:tab w:val="left" w:pos="284"/>
        </w:tabs>
        <w:spacing w:before="120"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B2769" w:rsidRPr="009935E0">
        <w:rPr>
          <w:rFonts w:ascii="Times New Roman" w:hAnsi="Times New Roman" w:cs="Times New Roman"/>
          <w:sz w:val="24"/>
          <w:szCs w:val="24"/>
        </w:rPr>
        <w:t>o</w:t>
      </w:r>
      <w:r w:rsidR="00E5356B" w:rsidRPr="009935E0">
        <w:rPr>
          <w:rFonts w:ascii="Times New Roman" w:hAnsi="Times New Roman" w:cs="Times New Roman"/>
          <w:sz w:val="24"/>
          <w:szCs w:val="24"/>
        </w:rPr>
        <w:t xml:space="preserve"> </w:t>
      </w:r>
      <w:r w:rsidR="007B2769" w:rsidRPr="009935E0">
        <w:rPr>
          <w:rFonts w:ascii="Times New Roman" w:hAnsi="Times New Roman" w:cs="Times New Roman"/>
          <w:sz w:val="24"/>
          <w:szCs w:val="24"/>
        </w:rPr>
        <w:t>ile są dostępne</w:t>
      </w:r>
      <w:r w:rsidR="00106F2D" w:rsidRPr="009935E0">
        <w:rPr>
          <w:rFonts w:ascii="Times New Roman" w:hAnsi="Times New Roman" w:cs="Times New Roman"/>
          <w:sz w:val="24"/>
          <w:szCs w:val="24"/>
        </w:rPr>
        <w:t>,</w:t>
      </w:r>
    </w:p>
    <w:p w14:paraId="79A5C5EE" w14:textId="05EF920D" w:rsidR="00725D62" w:rsidRPr="009935E0" w:rsidRDefault="003F122C"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oraz</w:t>
      </w:r>
      <w:r w:rsidR="00DF7BB6" w:rsidRPr="009935E0">
        <w:rPr>
          <w:rFonts w:ascii="Times New Roman" w:eastAsia="Times New Roman" w:hAnsi="Times New Roman" w:cs="Times New Roman"/>
          <w:sz w:val="24"/>
          <w:szCs w:val="24"/>
          <w:lang w:eastAsia="pl-PL"/>
        </w:rPr>
        <w:t xml:space="preserve"> </w:t>
      </w:r>
      <w:r w:rsidR="00466012" w:rsidRPr="009935E0">
        <w:rPr>
          <w:rFonts w:ascii="Times New Roman" w:eastAsia="Times New Roman" w:hAnsi="Times New Roman" w:cs="Times New Roman"/>
          <w:sz w:val="24"/>
          <w:szCs w:val="24"/>
          <w:lang w:eastAsia="pl-PL"/>
        </w:rPr>
        <w:t>informacj</w:t>
      </w:r>
      <w:r w:rsidR="00F438E9" w:rsidRPr="009935E0">
        <w:rPr>
          <w:rFonts w:ascii="Times New Roman" w:eastAsia="Times New Roman" w:hAnsi="Times New Roman" w:cs="Times New Roman"/>
          <w:sz w:val="24"/>
          <w:szCs w:val="24"/>
          <w:lang w:eastAsia="pl-PL"/>
        </w:rPr>
        <w:t>a</w:t>
      </w:r>
      <w:r w:rsidR="00466012" w:rsidRPr="009935E0">
        <w:rPr>
          <w:rFonts w:ascii="Times New Roman" w:eastAsia="Times New Roman" w:hAnsi="Times New Roman" w:cs="Times New Roman"/>
          <w:sz w:val="24"/>
          <w:szCs w:val="24"/>
          <w:lang w:eastAsia="pl-PL"/>
        </w:rPr>
        <w:t xml:space="preserve"> o zakresie korzystania, do którego uprawnia umowa licencji niewyłącznej zawarta z instytucją dziedzictwa kulturowego</w:t>
      </w:r>
      <w:r w:rsidR="007B2769" w:rsidRPr="009935E0">
        <w:rPr>
          <w:rFonts w:ascii="Times New Roman" w:eastAsia="Times New Roman" w:hAnsi="Times New Roman" w:cs="Times New Roman"/>
          <w:sz w:val="24"/>
          <w:szCs w:val="24"/>
          <w:lang w:eastAsia="pl-PL"/>
        </w:rPr>
        <w:t xml:space="preserve"> </w:t>
      </w:r>
      <w:r w:rsidR="00E5356B" w:rsidRPr="009935E0">
        <w:rPr>
          <w:rFonts w:ascii="Times New Roman" w:eastAsia="Times New Roman" w:hAnsi="Times New Roman" w:cs="Times New Roman"/>
          <w:sz w:val="24"/>
          <w:szCs w:val="24"/>
          <w:lang w:eastAsia="pl-PL"/>
        </w:rPr>
        <w:t>i</w:t>
      </w:r>
      <w:r w:rsidR="007B2769" w:rsidRPr="009935E0">
        <w:rPr>
          <w:rFonts w:ascii="Times New Roman" w:eastAsia="Times New Roman" w:hAnsi="Times New Roman" w:cs="Times New Roman"/>
          <w:sz w:val="24"/>
          <w:szCs w:val="24"/>
          <w:lang w:eastAsia="pl-PL"/>
        </w:rPr>
        <w:t xml:space="preserve"> objętych nią terytoriach</w:t>
      </w:r>
      <w:r w:rsidR="009A74CD"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a także nazwy, siedziby</w:t>
      </w:r>
      <w:r w:rsidR="0031099C" w:rsidRPr="009935E0">
        <w:rPr>
          <w:rFonts w:ascii="Times New Roman" w:eastAsia="Times New Roman" w:hAnsi="Times New Roman" w:cs="Times New Roman"/>
          <w:sz w:val="24"/>
          <w:szCs w:val="24"/>
          <w:lang w:eastAsia="pl-PL"/>
        </w:rPr>
        <w:t>, adresy</w:t>
      </w:r>
      <w:r w:rsidRPr="009935E0">
        <w:rPr>
          <w:rFonts w:ascii="Times New Roman" w:eastAsia="Times New Roman" w:hAnsi="Times New Roman" w:cs="Times New Roman"/>
          <w:sz w:val="24"/>
          <w:szCs w:val="24"/>
          <w:lang w:eastAsia="pl-PL"/>
        </w:rPr>
        <w:t xml:space="preserve"> oraz adresy</w:t>
      </w:r>
      <w:r w:rsidR="007B2769" w:rsidRPr="009935E0">
        <w:rPr>
          <w:rFonts w:ascii="Times New Roman" w:eastAsia="Times New Roman" w:hAnsi="Times New Roman" w:cs="Times New Roman"/>
          <w:sz w:val="24"/>
          <w:szCs w:val="24"/>
          <w:lang w:eastAsia="pl-PL"/>
        </w:rPr>
        <w:t xml:space="preserve"> poczty elektronicznej</w:t>
      </w:r>
      <w:r w:rsidRPr="009935E0">
        <w:rPr>
          <w:rFonts w:ascii="Times New Roman" w:eastAsia="Times New Roman" w:hAnsi="Times New Roman" w:cs="Times New Roman"/>
          <w:sz w:val="24"/>
          <w:szCs w:val="24"/>
          <w:lang w:eastAsia="pl-PL"/>
        </w:rPr>
        <w:t xml:space="preserve"> stron umowy licencji niewyłącznej</w:t>
      </w:r>
      <w:r w:rsidR="00AA4AF4">
        <w:rPr>
          <w:rStyle w:val="Odwoanieprzypisudolnego"/>
          <w:rFonts w:ascii="Times New Roman" w:eastAsia="Times New Roman" w:hAnsi="Times New Roman" w:cs="Times New Roman"/>
          <w:sz w:val="24"/>
          <w:szCs w:val="24"/>
          <w:lang w:eastAsia="pl-PL"/>
        </w:rPr>
        <w:footnoteReference w:id="36"/>
      </w:r>
      <w:r w:rsidR="007104DF" w:rsidRPr="00483092">
        <w:rPr>
          <w:rFonts w:ascii="Times New Roman" w:eastAsia="Times New Roman" w:hAnsi="Times New Roman" w:cs="Times New Roman"/>
          <w:sz w:val="24"/>
          <w:szCs w:val="24"/>
          <w:vertAlign w:val="superscript"/>
          <w:lang w:eastAsia="pl-PL"/>
        </w:rPr>
        <w:t>)</w:t>
      </w:r>
      <w:r w:rsidR="00341C1C" w:rsidRPr="009935E0">
        <w:rPr>
          <w:rFonts w:ascii="Times New Roman" w:eastAsia="Times New Roman" w:hAnsi="Times New Roman" w:cs="Times New Roman"/>
          <w:sz w:val="24"/>
          <w:szCs w:val="24"/>
          <w:lang w:eastAsia="pl-PL"/>
        </w:rPr>
        <w:t>.</w:t>
      </w:r>
    </w:p>
    <w:p w14:paraId="67A72D33" w14:textId="52A329B7" w:rsidR="00466012" w:rsidRPr="009935E0" w:rsidRDefault="0046601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Dokonanie powyższego wpisu </w:t>
      </w:r>
      <w:r w:rsidR="009C06AD" w:rsidRPr="009935E0">
        <w:rPr>
          <w:rFonts w:ascii="Times New Roman" w:eastAsia="Times New Roman" w:hAnsi="Times New Roman" w:cs="Times New Roman"/>
          <w:sz w:val="24"/>
          <w:szCs w:val="24"/>
          <w:lang w:eastAsia="pl-PL"/>
        </w:rPr>
        <w:t xml:space="preserve">musi </w:t>
      </w:r>
      <w:r w:rsidRPr="009935E0">
        <w:rPr>
          <w:rFonts w:ascii="Times New Roman" w:eastAsia="Times New Roman" w:hAnsi="Times New Roman" w:cs="Times New Roman"/>
          <w:sz w:val="24"/>
          <w:szCs w:val="24"/>
          <w:lang w:eastAsia="pl-PL"/>
        </w:rPr>
        <w:t>nastąpić na 6 miesięcy przed rozpoczęciem rozpowszechniania na podstawie projektowanego art. 35</w:t>
      </w:r>
      <w:r w:rsidR="00B37BEB" w:rsidRPr="009935E0">
        <w:rPr>
          <w:rFonts w:ascii="Times New Roman" w:eastAsia="Times New Roman" w:hAnsi="Times New Roman" w:cs="Times New Roman"/>
          <w:sz w:val="24"/>
          <w:szCs w:val="24"/>
          <w:vertAlign w:val="superscript"/>
          <w:lang w:eastAsia="pl-PL"/>
        </w:rPr>
        <w:t>19</w:t>
      </w:r>
      <w:r w:rsidR="00C61BAD" w:rsidRPr="009935E0">
        <w:rPr>
          <w:rFonts w:ascii="Times New Roman" w:eastAsia="Times New Roman" w:hAnsi="Times New Roman" w:cs="Times New Roman"/>
          <w:sz w:val="24"/>
          <w:szCs w:val="24"/>
          <w:lang w:eastAsia="pl-PL"/>
        </w:rPr>
        <w:t xml:space="preserve"> </w:t>
      </w:r>
      <w:r w:rsidR="00C61BAD" w:rsidRPr="009935E0">
        <w:rPr>
          <w:rFonts w:ascii="Times New Roman" w:hAnsi="Times New Roman" w:cs="Times New Roman"/>
          <w:sz w:val="24"/>
          <w:szCs w:val="24"/>
        </w:rPr>
        <w:t>ustawy o prawie autorskim,</w:t>
      </w:r>
      <w:r w:rsidR="00794772" w:rsidRPr="009935E0">
        <w:rPr>
          <w:rFonts w:ascii="Times New Roman" w:eastAsia="Times New Roman" w:hAnsi="Times New Roman" w:cs="Times New Roman"/>
          <w:sz w:val="24"/>
          <w:szCs w:val="24"/>
          <w:lang w:eastAsia="pl-PL"/>
        </w:rPr>
        <w:t xml:space="preserve"> </w:t>
      </w:r>
      <w:r w:rsidR="009C06AD" w:rsidRPr="009935E0">
        <w:rPr>
          <w:rFonts w:ascii="Times New Roman" w:eastAsia="Times New Roman" w:hAnsi="Times New Roman" w:cs="Times New Roman"/>
          <w:sz w:val="24"/>
          <w:szCs w:val="24"/>
          <w:lang w:eastAsia="pl-PL"/>
        </w:rPr>
        <w:t xml:space="preserve">a także przed innego rodzaju korzystaniem z tego utworu (w </w:t>
      </w:r>
      <w:r w:rsidR="008D018E" w:rsidRPr="009935E0">
        <w:rPr>
          <w:rFonts w:ascii="Times New Roman" w:eastAsia="Times New Roman" w:hAnsi="Times New Roman" w:cs="Times New Roman"/>
          <w:sz w:val="24"/>
          <w:szCs w:val="24"/>
          <w:lang w:eastAsia="pl-PL"/>
        </w:rPr>
        <w:t>szczególności jego zwielokrotnia</w:t>
      </w:r>
      <w:r w:rsidR="009C06AD" w:rsidRPr="009935E0">
        <w:rPr>
          <w:rFonts w:ascii="Times New Roman" w:eastAsia="Times New Roman" w:hAnsi="Times New Roman" w:cs="Times New Roman"/>
          <w:sz w:val="24"/>
          <w:szCs w:val="24"/>
          <w:lang w:eastAsia="pl-PL"/>
        </w:rPr>
        <w:t>niem)</w:t>
      </w:r>
      <w:r w:rsidRPr="009935E0">
        <w:rPr>
          <w:rFonts w:ascii="Times New Roman" w:eastAsia="Times New Roman" w:hAnsi="Times New Roman" w:cs="Times New Roman"/>
          <w:sz w:val="24"/>
          <w:szCs w:val="24"/>
          <w:lang w:eastAsia="pl-PL"/>
        </w:rPr>
        <w:t xml:space="preserve">. Oznacza to, że </w:t>
      </w:r>
      <w:r w:rsidR="009C06AD" w:rsidRPr="009935E0">
        <w:rPr>
          <w:rFonts w:ascii="Times New Roman" w:eastAsia="Times New Roman" w:hAnsi="Times New Roman" w:cs="Times New Roman"/>
          <w:sz w:val="24"/>
          <w:szCs w:val="24"/>
          <w:lang w:eastAsia="pl-PL"/>
        </w:rPr>
        <w:t xml:space="preserve">w okresie 6 miesięcy od ww. wpisu </w:t>
      </w:r>
      <w:r w:rsidRPr="009935E0">
        <w:rPr>
          <w:rFonts w:ascii="Times New Roman" w:eastAsia="Times New Roman" w:hAnsi="Times New Roman" w:cs="Times New Roman"/>
          <w:sz w:val="24"/>
          <w:szCs w:val="24"/>
          <w:lang w:eastAsia="pl-PL"/>
        </w:rPr>
        <w:t xml:space="preserve">instytucja dziedzictwa kulturowego nie może rozpowszechniać utworu. Nie ma jednak przeszkód, </w:t>
      </w:r>
      <w:r w:rsidR="009A74CD" w:rsidRPr="009935E0">
        <w:rPr>
          <w:rFonts w:ascii="Times New Roman" w:eastAsia="Times New Roman" w:hAnsi="Times New Roman" w:cs="Times New Roman"/>
          <w:sz w:val="24"/>
          <w:szCs w:val="24"/>
          <w:lang w:eastAsia="pl-PL"/>
        </w:rPr>
        <w:t>a</w:t>
      </w:r>
      <w:r w:rsidRPr="009935E0">
        <w:rPr>
          <w:rFonts w:ascii="Times New Roman" w:eastAsia="Times New Roman" w:hAnsi="Times New Roman" w:cs="Times New Roman"/>
          <w:sz w:val="24"/>
          <w:szCs w:val="24"/>
          <w:lang w:eastAsia="pl-PL"/>
        </w:rPr>
        <w:t xml:space="preserve">by na podstawie zawartej umowy </w:t>
      </w:r>
      <w:r w:rsidRPr="009935E0">
        <w:rPr>
          <w:rFonts w:ascii="Times New Roman" w:eastAsia="Times New Roman" w:hAnsi="Times New Roman" w:cs="Times New Roman"/>
          <w:sz w:val="24"/>
          <w:szCs w:val="24"/>
          <w:lang w:eastAsia="pl-PL"/>
        </w:rPr>
        <w:lastRenderedPageBreak/>
        <w:t xml:space="preserve">licencyjnej instytucja dziedzictwa kulturowego </w:t>
      </w:r>
      <w:r w:rsidR="009C06AD" w:rsidRPr="009935E0">
        <w:rPr>
          <w:rFonts w:ascii="Times New Roman" w:eastAsia="Times New Roman" w:hAnsi="Times New Roman" w:cs="Times New Roman"/>
          <w:sz w:val="24"/>
          <w:szCs w:val="24"/>
          <w:lang w:eastAsia="pl-PL"/>
        </w:rPr>
        <w:t xml:space="preserve">po dokonaniu wpisu </w:t>
      </w:r>
      <w:r w:rsidRPr="009935E0">
        <w:rPr>
          <w:rFonts w:ascii="Times New Roman" w:eastAsia="Times New Roman" w:hAnsi="Times New Roman" w:cs="Times New Roman"/>
          <w:sz w:val="24"/>
          <w:szCs w:val="24"/>
          <w:lang w:eastAsia="pl-PL"/>
        </w:rPr>
        <w:t>rozpoczęła zwielokrotnianie</w:t>
      </w:r>
      <w:r w:rsidR="00A203BB" w:rsidRPr="009935E0">
        <w:rPr>
          <w:rFonts w:ascii="Times New Roman" w:eastAsia="Times New Roman" w:hAnsi="Times New Roman" w:cs="Times New Roman"/>
          <w:sz w:val="24"/>
          <w:szCs w:val="24"/>
          <w:lang w:eastAsia="pl-PL"/>
        </w:rPr>
        <w:t xml:space="preserve"> tego utworu</w:t>
      </w:r>
      <w:r w:rsidRPr="009935E0">
        <w:rPr>
          <w:rFonts w:ascii="Times New Roman" w:eastAsia="Times New Roman" w:hAnsi="Times New Roman" w:cs="Times New Roman"/>
          <w:sz w:val="24"/>
          <w:szCs w:val="24"/>
          <w:lang w:eastAsia="pl-PL"/>
        </w:rPr>
        <w:t>. Ponadto</w:t>
      </w:r>
      <w:r w:rsidR="00D61647"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w </w:t>
      </w:r>
      <w:r w:rsidR="00537188" w:rsidRPr="009935E0">
        <w:rPr>
          <w:rFonts w:ascii="Times New Roman" w:eastAsia="Times New Roman" w:hAnsi="Times New Roman" w:cs="Times New Roman"/>
          <w:sz w:val="24"/>
          <w:szCs w:val="24"/>
          <w:lang w:eastAsia="pl-PL"/>
        </w:rPr>
        <w:t>prz</w:t>
      </w:r>
      <w:r w:rsidRPr="009935E0">
        <w:rPr>
          <w:rFonts w:ascii="Times New Roman" w:eastAsia="Times New Roman" w:hAnsi="Times New Roman" w:cs="Times New Roman"/>
          <w:sz w:val="24"/>
          <w:szCs w:val="24"/>
          <w:lang w:eastAsia="pl-PL"/>
        </w:rPr>
        <w:t>ypadku gdy ta sama organizacja zbiorowego zarządzania zawiera kolejną umowę dotycząc</w:t>
      </w:r>
      <w:r w:rsidR="009A74CD" w:rsidRPr="009935E0">
        <w:rPr>
          <w:rFonts w:ascii="Times New Roman" w:eastAsia="Times New Roman" w:hAnsi="Times New Roman" w:cs="Times New Roman"/>
          <w:sz w:val="24"/>
          <w:szCs w:val="24"/>
          <w:lang w:eastAsia="pl-PL"/>
        </w:rPr>
        <w:t>ą</w:t>
      </w:r>
      <w:r w:rsidRPr="009935E0">
        <w:rPr>
          <w:rFonts w:ascii="Times New Roman" w:eastAsia="Times New Roman" w:hAnsi="Times New Roman" w:cs="Times New Roman"/>
          <w:sz w:val="24"/>
          <w:szCs w:val="24"/>
          <w:lang w:eastAsia="pl-PL"/>
        </w:rPr>
        <w:t xml:space="preserve"> tego samego utworu</w:t>
      </w:r>
      <w:r w:rsidR="009C06AD" w:rsidRPr="009935E0">
        <w:rPr>
          <w:rFonts w:ascii="Times New Roman" w:eastAsia="Times New Roman" w:hAnsi="Times New Roman" w:cs="Times New Roman"/>
          <w:sz w:val="24"/>
          <w:szCs w:val="24"/>
          <w:lang w:eastAsia="pl-PL"/>
        </w:rPr>
        <w:t xml:space="preserve"> i uprawnionego</w:t>
      </w:r>
      <w:r w:rsidRPr="009935E0">
        <w:rPr>
          <w:rFonts w:ascii="Times New Roman" w:eastAsia="Times New Roman" w:hAnsi="Times New Roman" w:cs="Times New Roman"/>
          <w:sz w:val="24"/>
          <w:szCs w:val="24"/>
          <w:lang w:eastAsia="pl-PL"/>
        </w:rPr>
        <w:t xml:space="preserve">, </w:t>
      </w:r>
      <w:r w:rsidR="00537188" w:rsidRPr="009935E0">
        <w:rPr>
          <w:rFonts w:ascii="Times New Roman" w:eastAsia="Times New Roman" w:hAnsi="Times New Roman" w:cs="Times New Roman"/>
          <w:sz w:val="24"/>
          <w:szCs w:val="24"/>
          <w:lang w:eastAsia="pl-PL"/>
        </w:rPr>
        <w:t xml:space="preserve">to </w:t>
      </w:r>
      <w:r w:rsidRPr="009935E0">
        <w:rPr>
          <w:rFonts w:ascii="Times New Roman" w:eastAsia="Times New Roman" w:hAnsi="Times New Roman" w:cs="Times New Roman"/>
          <w:sz w:val="24"/>
          <w:szCs w:val="24"/>
          <w:lang w:eastAsia="pl-PL"/>
        </w:rPr>
        <w:t xml:space="preserve">na podstawie ust. 2 uzupełnia </w:t>
      </w:r>
      <w:r w:rsidR="00537188" w:rsidRPr="009935E0">
        <w:rPr>
          <w:rFonts w:ascii="Times New Roman" w:eastAsia="Times New Roman" w:hAnsi="Times New Roman" w:cs="Times New Roman"/>
          <w:sz w:val="24"/>
          <w:szCs w:val="24"/>
          <w:lang w:eastAsia="pl-PL"/>
        </w:rPr>
        <w:t xml:space="preserve">ona </w:t>
      </w:r>
      <w:r w:rsidRPr="009935E0">
        <w:rPr>
          <w:rFonts w:ascii="Times New Roman" w:eastAsia="Times New Roman" w:hAnsi="Times New Roman" w:cs="Times New Roman"/>
          <w:sz w:val="24"/>
          <w:szCs w:val="24"/>
          <w:lang w:eastAsia="pl-PL"/>
        </w:rPr>
        <w:t xml:space="preserve">dotychczasowy wpis (nie tworzy nowego </w:t>
      </w:r>
      <w:proofErr w:type="spellStart"/>
      <w:r w:rsidRPr="009935E0">
        <w:rPr>
          <w:rFonts w:ascii="Times New Roman" w:eastAsia="Times New Roman" w:hAnsi="Times New Roman" w:cs="Times New Roman"/>
          <w:i/>
          <w:sz w:val="24"/>
          <w:szCs w:val="24"/>
          <w:lang w:eastAsia="pl-PL"/>
        </w:rPr>
        <w:t>recordu</w:t>
      </w:r>
      <w:proofErr w:type="spellEnd"/>
      <w:r w:rsidR="00984150" w:rsidRPr="009935E0">
        <w:rPr>
          <w:rFonts w:ascii="Times New Roman" w:eastAsia="Times New Roman" w:hAnsi="Times New Roman" w:cs="Times New Roman"/>
          <w:sz w:val="24"/>
          <w:szCs w:val="24"/>
          <w:lang w:eastAsia="pl-PL"/>
        </w:rPr>
        <w:t xml:space="preserve"> w portalu</w:t>
      </w:r>
      <w:r w:rsidRPr="009935E0">
        <w:rPr>
          <w:rFonts w:ascii="Times New Roman" w:eastAsia="Times New Roman" w:hAnsi="Times New Roman" w:cs="Times New Roman"/>
          <w:sz w:val="24"/>
          <w:szCs w:val="24"/>
          <w:lang w:eastAsia="pl-PL"/>
        </w:rPr>
        <w:t xml:space="preserve"> utworów niedostępnych w handlu)</w:t>
      </w:r>
      <w:r w:rsidR="008E4D98" w:rsidRPr="009935E0">
        <w:rPr>
          <w:rStyle w:val="Odwoanieprzypisudolnego"/>
          <w:rFonts w:ascii="Times New Roman" w:eastAsia="Times New Roman" w:hAnsi="Times New Roman" w:cs="Times New Roman"/>
          <w:sz w:val="24"/>
          <w:szCs w:val="24"/>
          <w:lang w:eastAsia="pl-PL"/>
        </w:rPr>
        <w:footnoteReference w:id="37"/>
      </w:r>
      <w:r w:rsidR="00214723" w:rsidRPr="00483092">
        <w:rPr>
          <w:rFonts w:ascii="Times New Roman" w:eastAsia="Times New Roman" w:hAnsi="Times New Roman" w:cs="Times New Roman"/>
          <w:sz w:val="24"/>
          <w:szCs w:val="24"/>
          <w:vertAlign w:val="superscript"/>
          <w:lang w:eastAsia="pl-PL"/>
        </w:rPr>
        <w:t>)</w:t>
      </w:r>
      <w:r w:rsidR="007B6036"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 xml:space="preserve">W tej sytuacji rozpoczęcie rozpowszechniania na podstawie nowo wpisanej umowy może się rozpocząć po upływie 6 miesięcy od dnia uzupełnienia wpisu </w:t>
      </w:r>
      <w:r w:rsidR="00EF2DC7" w:rsidRPr="009935E0">
        <w:rPr>
          <w:rFonts w:ascii="Times New Roman" w:eastAsia="Times New Roman" w:hAnsi="Times New Roman" w:cs="Times New Roman"/>
          <w:sz w:val="24"/>
          <w:szCs w:val="24"/>
          <w:lang w:eastAsia="pl-PL"/>
        </w:rPr>
        <w:t>w zakresie dotyczącym</w:t>
      </w:r>
      <w:r w:rsidRPr="009935E0">
        <w:rPr>
          <w:rFonts w:ascii="Times New Roman" w:eastAsia="Times New Roman" w:hAnsi="Times New Roman" w:cs="Times New Roman"/>
          <w:sz w:val="24"/>
          <w:szCs w:val="24"/>
          <w:lang w:eastAsia="pl-PL"/>
        </w:rPr>
        <w:t xml:space="preserve"> tej umowy. </w:t>
      </w:r>
    </w:p>
    <w:p w14:paraId="137DF38B" w14:textId="77777777" w:rsidR="00466012" w:rsidRPr="009935E0" w:rsidRDefault="00466012" w:rsidP="00483092">
      <w:pPr>
        <w:spacing w:before="120" w:after="0" w:line="360" w:lineRule="auto"/>
        <w:jc w:val="both"/>
        <w:rPr>
          <w:rFonts w:ascii="Times New Roman" w:eastAsia="Times New Roman" w:hAnsi="Times New Roman" w:cs="Times New Roman"/>
          <w:sz w:val="24"/>
          <w:szCs w:val="24"/>
          <w:lang w:eastAsia="pl-PL"/>
        </w:rPr>
      </w:pPr>
      <w:r w:rsidRPr="009935E0">
        <w:rPr>
          <w:rFonts w:ascii="Times New Roman" w:eastAsia="Times New Roman" w:hAnsi="Times New Roman" w:cs="Times New Roman"/>
          <w:sz w:val="24"/>
          <w:szCs w:val="24"/>
          <w:lang w:eastAsia="pl-PL"/>
        </w:rPr>
        <w:t xml:space="preserve">Rozwiązanie </w:t>
      </w:r>
      <w:r w:rsidR="00EF2DC7" w:rsidRPr="009935E0">
        <w:rPr>
          <w:rFonts w:ascii="Times New Roman" w:eastAsia="Times New Roman" w:hAnsi="Times New Roman" w:cs="Times New Roman"/>
          <w:sz w:val="24"/>
          <w:szCs w:val="24"/>
          <w:lang w:eastAsia="pl-PL"/>
        </w:rPr>
        <w:t>polegające na zamieszczeniu</w:t>
      </w:r>
      <w:r w:rsidRPr="009935E0">
        <w:rPr>
          <w:rFonts w:ascii="Times New Roman" w:eastAsia="Times New Roman" w:hAnsi="Times New Roman" w:cs="Times New Roman"/>
          <w:sz w:val="24"/>
          <w:szCs w:val="24"/>
          <w:lang w:eastAsia="pl-PL"/>
        </w:rPr>
        <w:t xml:space="preserve"> danych </w:t>
      </w:r>
      <w:r w:rsidR="00785255" w:rsidRPr="009935E0">
        <w:rPr>
          <w:rFonts w:ascii="Times New Roman" w:eastAsia="Times New Roman" w:hAnsi="Times New Roman" w:cs="Times New Roman"/>
          <w:sz w:val="24"/>
          <w:szCs w:val="24"/>
          <w:lang w:eastAsia="pl-PL"/>
        </w:rPr>
        <w:t xml:space="preserve">dotyczących planowanego korzystania z utworu niedostępnego w handlu </w:t>
      </w:r>
      <w:r w:rsidR="00936588" w:rsidRPr="009935E0">
        <w:rPr>
          <w:rFonts w:ascii="Times New Roman" w:eastAsia="Times New Roman" w:hAnsi="Times New Roman" w:cs="Times New Roman"/>
          <w:sz w:val="24"/>
          <w:szCs w:val="24"/>
          <w:lang w:eastAsia="pl-PL"/>
        </w:rPr>
        <w:t xml:space="preserve">w </w:t>
      </w:r>
      <w:r w:rsidR="00785255" w:rsidRPr="009935E0">
        <w:rPr>
          <w:rFonts w:ascii="Times New Roman" w:eastAsia="Times New Roman" w:hAnsi="Times New Roman" w:cs="Times New Roman"/>
          <w:sz w:val="24"/>
          <w:szCs w:val="24"/>
          <w:lang w:eastAsia="pl-PL"/>
        </w:rPr>
        <w:t>portalu</w:t>
      </w:r>
      <w:r w:rsidRPr="009935E0">
        <w:rPr>
          <w:rFonts w:ascii="Times New Roman" w:eastAsia="Times New Roman" w:hAnsi="Times New Roman" w:cs="Times New Roman"/>
          <w:sz w:val="24"/>
          <w:szCs w:val="24"/>
          <w:lang w:eastAsia="pl-PL"/>
        </w:rPr>
        <w:t xml:space="preserve"> przewidziano w art. 10 </w:t>
      </w:r>
      <w:r w:rsidR="00F438E9" w:rsidRPr="009935E0">
        <w:rPr>
          <w:rFonts w:ascii="Times New Roman" w:eastAsia="Times New Roman" w:hAnsi="Times New Roman" w:cs="Times New Roman"/>
          <w:sz w:val="24"/>
          <w:szCs w:val="24"/>
          <w:lang w:eastAsia="pl-PL"/>
        </w:rPr>
        <w:t>d</w:t>
      </w:r>
      <w:r w:rsidRPr="009935E0">
        <w:rPr>
          <w:rFonts w:ascii="Times New Roman" w:eastAsia="Times New Roman" w:hAnsi="Times New Roman" w:cs="Times New Roman"/>
          <w:sz w:val="24"/>
          <w:szCs w:val="24"/>
          <w:lang w:eastAsia="pl-PL"/>
        </w:rPr>
        <w:t>yrektywy</w:t>
      </w:r>
      <w:r w:rsidR="00C61BAD" w:rsidRPr="009935E0">
        <w:rPr>
          <w:rFonts w:ascii="Times New Roman" w:eastAsia="Times New Roman" w:hAnsi="Times New Roman" w:cs="Times New Roman"/>
          <w:sz w:val="24"/>
          <w:szCs w:val="24"/>
          <w:lang w:eastAsia="pl-PL"/>
        </w:rPr>
        <w:t xml:space="preserve"> DSM</w:t>
      </w:r>
      <w:r w:rsidRPr="009935E0">
        <w:rPr>
          <w:rFonts w:ascii="Times New Roman" w:eastAsia="Times New Roman" w:hAnsi="Times New Roman" w:cs="Times New Roman"/>
          <w:sz w:val="24"/>
          <w:szCs w:val="24"/>
          <w:lang w:eastAsia="pl-PL"/>
        </w:rPr>
        <w:t xml:space="preserve">, zgodnie z którym </w:t>
      </w:r>
      <w:r w:rsidR="00D61647" w:rsidRPr="009935E0">
        <w:rPr>
          <w:rFonts w:ascii="Times New Roman" w:eastAsia="Times New Roman" w:hAnsi="Times New Roman" w:cs="Times New Roman"/>
          <w:sz w:val="24"/>
          <w:szCs w:val="24"/>
          <w:lang w:eastAsia="pl-PL"/>
        </w:rPr>
        <w:t>„</w:t>
      </w:r>
      <w:r w:rsidR="008F6F9A" w:rsidRPr="009935E0">
        <w:rPr>
          <w:rFonts w:ascii="Times New Roman" w:eastAsia="Times New Roman" w:hAnsi="Times New Roman" w:cs="Times New Roman"/>
          <w:sz w:val="24"/>
          <w:szCs w:val="24"/>
          <w:lang w:eastAsia="pl-PL"/>
        </w:rPr>
        <w:t>p</w:t>
      </w:r>
      <w:r w:rsidRPr="009935E0">
        <w:rPr>
          <w:rFonts w:ascii="Times New Roman" w:eastAsia="Times New Roman" w:hAnsi="Times New Roman" w:cs="Times New Roman"/>
          <w:sz w:val="24"/>
          <w:szCs w:val="24"/>
          <w:lang w:eastAsia="pl-PL"/>
        </w:rPr>
        <w:t>aństwa członkowskie zapewniają, aby informacje przekazywane przez instytucje dziedzictwa kulturowego, organizacje zbiorowego zarządzania lub właściwe organy publiczne do celów identyfikacji niedostępnych w obrocie handlowym utworów lub innych przedmiotów objętych ochroną, będących przedmiotem licencji udzielonej zgodnie z art.</w:t>
      </w:r>
      <w:r w:rsidR="00377F36"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8 ust.</w:t>
      </w:r>
      <w:r w:rsidR="00377F36"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 xml:space="preserve">1 </w:t>
      </w:r>
      <w:r w:rsidR="00807CAD" w:rsidRPr="009935E0">
        <w:rPr>
          <w:rFonts w:ascii="Times New Roman" w:eastAsia="Times New Roman" w:hAnsi="Times New Roman" w:cs="Times New Roman"/>
          <w:sz w:val="24"/>
          <w:szCs w:val="24"/>
          <w:lang w:eastAsia="pl-PL"/>
        </w:rPr>
        <w:t xml:space="preserve">Dyrektywy DSM </w:t>
      </w:r>
      <w:r w:rsidRPr="009935E0">
        <w:rPr>
          <w:rFonts w:ascii="Times New Roman" w:eastAsia="Times New Roman" w:hAnsi="Times New Roman" w:cs="Times New Roman"/>
          <w:sz w:val="24"/>
          <w:szCs w:val="24"/>
          <w:lang w:eastAsia="pl-PL"/>
        </w:rPr>
        <w:t>lub wykorzystywanych na podstawie wyjątku lub ograniczenia określonego w art.</w:t>
      </w:r>
      <w:r w:rsidR="00377F36"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8 ust.</w:t>
      </w:r>
      <w:r w:rsidR="00377F36"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2</w:t>
      </w:r>
      <w:r w:rsidR="00807CAD" w:rsidRPr="009935E0">
        <w:rPr>
          <w:rFonts w:ascii="Times New Roman" w:eastAsia="Times New Roman" w:hAnsi="Times New Roman" w:cs="Times New Roman"/>
          <w:sz w:val="24"/>
          <w:szCs w:val="24"/>
          <w:lang w:eastAsia="pl-PL"/>
        </w:rPr>
        <w:t xml:space="preserve"> tej dyrektywy</w:t>
      </w:r>
      <w:r w:rsidRPr="009935E0">
        <w:rPr>
          <w:rFonts w:ascii="Times New Roman" w:eastAsia="Times New Roman" w:hAnsi="Times New Roman" w:cs="Times New Roman"/>
          <w:sz w:val="24"/>
          <w:szCs w:val="24"/>
          <w:lang w:eastAsia="pl-PL"/>
        </w:rPr>
        <w:t>, a także informacje o przysługujących podmiotom uprawnionym możliwościach, o których mowa w art.</w:t>
      </w:r>
      <w:r w:rsidR="00A203BB"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8 ust.</w:t>
      </w:r>
      <w:r w:rsidR="00A203BB"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4</w:t>
      </w:r>
      <w:r w:rsidR="00807CAD" w:rsidRPr="009935E0">
        <w:rPr>
          <w:rFonts w:ascii="Times New Roman" w:eastAsia="Times New Roman" w:hAnsi="Times New Roman" w:cs="Times New Roman"/>
          <w:sz w:val="24"/>
          <w:szCs w:val="24"/>
          <w:lang w:eastAsia="pl-PL"/>
        </w:rPr>
        <w:t xml:space="preserve"> tej dyrektywy</w:t>
      </w:r>
      <w:r w:rsidRPr="009935E0">
        <w:rPr>
          <w:rFonts w:ascii="Times New Roman" w:eastAsia="Times New Roman" w:hAnsi="Times New Roman" w:cs="Times New Roman"/>
          <w:sz w:val="24"/>
          <w:szCs w:val="24"/>
          <w:lang w:eastAsia="pl-PL"/>
        </w:rPr>
        <w:t>, oraz – gdy tylko staną się dostępne i gdy jest to konieczne – informacje o stronach umowy licencyjnej, objętych nią terytoriach i zakresie korzystania, były stale, łatwo i skutecznie dostępne na jednym przeznaczonym do tego publicznym portalu internetowym na co najmniej sześć miesięcy przed rozpowszechnianiem utworów lub innych przedmiotów objętych ochroną, ich publicznym udostępnianiem lub podaniem do publicznej wiadomości zgodnie z licencją lub na podstawie wyjątku lub ograniczenia</w:t>
      </w:r>
      <w:r w:rsidR="00D61647" w:rsidRPr="009935E0">
        <w:rPr>
          <w:rFonts w:ascii="Times New Roman" w:eastAsia="Times New Roman" w:hAnsi="Times New Roman" w:cs="Times New Roman"/>
          <w:sz w:val="24"/>
          <w:szCs w:val="24"/>
          <w:lang w:eastAsia="pl-PL"/>
        </w:rPr>
        <w:t>”</w:t>
      </w:r>
      <w:r w:rsidRPr="009935E0">
        <w:rPr>
          <w:rFonts w:ascii="Times New Roman" w:eastAsia="Times New Roman" w:hAnsi="Times New Roman" w:cs="Times New Roman"/>
          <w:sz w:val="24"/>
          <w:szCs w:val="24"/>
          <w:lang w:eastAsia="pl-PL"/>
        </w:rPr>
        <w:t xml:space="preserve">. Rozwiązanie to zapewni powszechny dostęp do informacji na temat korzystania z utworów uznanych za niedostępne w handlu wszystkim podmiotom uprawnionym. </w:t>
      </w:r>
    </w:p>
    <w:p w14:paraId="61F4D231" w14:textId="213143AE" w:rsidR="00466012" w:rsidRPr="009935E0" w:rsidRDefault="00466012" w:rsidP="00483092">
      <w:pPr>
        <w:spacing w:before="120" w:after="0" w:line="360" w:lineRule="auto"/>
        <w:jc w:val="both"/>
        <w:rPr>
          <w:rFonts w:ascii="Times New Roman" w:hAnsi="Times New Roman" w:cs="Times New Roman"/>
          <w:sz w:val="24"/>
          <w:szCs w:val="24"/>
          <w:shd w:val="clear" w:color="auto" w:fill="FFFFFF"/>
        </w:rPr>
      </w:pPr>
      <w:r w:rsidRPr="009935E0">
        <w:rPr>
          <w:rFonts w:ascii="Times New Roman" w:eastAsia="Times New Roman" w:hAnsi="Times New Roman" w:cs="Times New Roman"/>
          <w:sz w:val="24"/>
          <w:szCs w:val="24"/>
          <w:lang w:eastAsia="pl-PL"/>
        </w:rPr>
        <w:t xml:space="preserve">Projektowany przepis </w:t>
      </w:r>
      <w:r w:rsidR="00794772" w:rsidRPr="009935E0">
        <w:rPr>
          <w:rFonts w:ascii="Times New Roman" w:eastAsia="Times New Roman" w:hAnsi="Times New Roman" w:cs="Times New Roman"/>
          <w:sz w:val="24"/>
          <w:szCs w:val="24"/>
          <w:lang w:eastAsia="pl-PL"/>
        </w:rPr>
        <w:t>art. 35</w:t>
      </w:r>
      <w:r w:rsidR="00794772" w:rsidRPr="009935E0">
        <w:rPr>
          <w:rFonts w:ascii="Times New Roman" w:eastAsia="Times New Roman" w:hAnsi="Times New Roman" w:cs="Times New Roman"/>
          <w:sz w:val="24"/>
          <w:szCs w:val="24"/>
          <w:vertAlign w:val="superscript"/>
          <w:lang w:eastAsia="pl-PL"/>
        </w:rPr>
        <w:t>2</w:t>
      </w:r>
      <w:r w:rsidR="00B37BEB" w:rsidRPr="009935E0">
        <w:rPr>
          <w:rFonts w:ascii="Times New Roman" w:eastAsia="Times New Roman" w:hAnsi="Times New Roman" w:cs="Times New Roman"/>
          <w:sz w:val="24"/>
          <w:szCs w:val="24"/>
          <w:vertAlign w:val="superscript"/>
          <w:lang w:eastAsia="pl-PL"/>
        </w:rPr>
        <w:t>1</w:t>
      </w:r>
      <w:r w:rsidR="00794772" w:rsidRPr="009935E0">
        <w:rPr>
          <w:rFonts w:ascii="Times New Roman" w:eastAsia="Times New Roman" w:hAnsi="Times New Roman" w:cs="Times New Roman"/>
          <w:sz w:val="24"/>
          <w:szCs w:val="24"/>
          <w:lang w:eastAsia="pl-PL"/>
        </w:rPr>
        <w:t xml:space="preserve"> </w:t>
      </w:r>
      <w:r w:rsidR="00807CAD" w:rsidRPr="009935E0">
        <w:rPr>
          <w:rFonts w:ascii="Times New Roman" w:hAnsi="Times New Roman" w:cs="Times New Roman"/>
          <w:sz w:val="24"/>
          <w:szCs w:val="24"/>
        </w:rPr>
        <w:t>ustawy o prawie autorskim</w:t>
      </w:r>
      <w:r w:rsidR="00807CAD"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przesądza, że korzystanie z utworów niedostępn</w:t>
      </w:r>
      <w:r w:rsidR="00785255" w:rsidRPr="009935E0">
        <w:rPr>
          <w:rFonts w:ascii="Times New Roman" w:eastAsia="Times New Roman" w:hAnsi="Times New Roman" w:cs="Times New Roman"/>
          <w:sz w:val="24"/>
          <w:szCs w:val="24"/>
          <w:lang w:eastAsia="pl-PL"/>
        </w:rPr>
        <w:t>ych</w:t>
      </w:r>
      <w:r w:rsidRPr="009935E0">
        <w:rPr>
          <w:rFonts w:ascii="Times New Roman" w:eastAsia="Times New Roman" w:hAnsi="Times New Roman" w:cs="Times New Roman"/>
          <w:sz w:val="24"/>
          <w:szCs w:val="24"/>
          <w:lang w:eastAsia="pl-PL"/>
        </w:rPr>
        <w:t xml:space="preserve"> w handlu przez instytucję dziedzictwa kulturowego mającą siedzibę w innym państwie członkowskim </w:t>
      </w:r>
      <w:r w:rsidRPr="009935E0">
        <w:rPr>
          <w:rFonts w:ascii="Times New Roman" w:hAnsi="Times New Roman" w:cs="Times New Roman"/>
          <w:sz w:val="24"/>
          <w:szCs w:val="24"/>
        </w:rPr>
        <w:t xml:space="preserve">Unii Europejskiej </w:t>
      </w:r>
      <w:r w:rsidRPr="009935E0">
        <w:rPr>
          <w:rFonts w:ascii="Times New Roman" w:hAnsi="Times New Roman" w:cs="Times New Roman"/>
          <w:sz w:val="24"/>
          <w:szCs w:val="24"/>
          <w:shd w:val="clear" w:color="auto" w:fill="FFFFFF"/>
        </w:rPr>
        <w:t xml:space="preserve">lub państwie członkowskim Europejskiego Porozumienia o Wolnym Handlu (EFTA) </w:t>
      </w:r>
      <w:r w:rsidR="009A74CD" w:rsidRPr="009935E0">
        <w:rPr>
          <w:rFonts w:ascii="Times New Roman" w:hAnsi="Times New Roman" w:cs="Times New Roman"/>
          <w:sz w:val="24"/>
          <w:szCs w:val="24"/>
          <w:shd w:val="clear" w:color="auto" w:fill="FFFFFF"/>
        </w:rPr>
        <w:t xml:space="preserve">– </w:t>
      </w:r>
      <w:r w:rsidRPr="009935E0">
        <w:rPr>
          <w:rFonts w:ascii="Times New Roman" w:hAnsi="Times New Roman" w:cs="Times New Roman"/>
          <w:sz w:val="24"/>
          <w:szCs w:val="24"/>
          <w:shd w:val="clear" w:color="auto" w:fill="FFFFFF"/>
        </w:rPr>
        <w:t xml:space="preserve">stronie umowy o Europejskim Obszarze </w:t>
      </w:r>
      <w:r w:rsidRPr="009935E0">
        <w:rPr>
          <w:rFonts w:ascii="Times New Roman" w:hAnsi="Times New Roman" w:cs="Times New Roman"/>
          <w:sz w:val="24"/>
          <w:szCs w:val="24"/>
          <w:shd w:val="clear" w:color="auto" w:fill="FFFFFF"/>
        </w:rPr>
        <w:lastRenderedPageBreak/>
        <w:t>Gospodarczym</w:t>
      </w:r>
      <w:r w:rsidR="00794772" w:rsidRPr="009935E0">
        <w:rPr>
          <w:rFonts w:ascii="Times New Roman" w:hAnsi="Times New Roman" w:cs="Times New Roman"/>
          <w:sz w:val="24"/>
          <w:szCs w:val="24"/>
          <w:shd w:val="clear" w:color="auto" w:fill="FFFFFF"/>
        </w:rPr>
        <w:t>,</w:t>
      </w:r>
      <w:r w:rsidRPr="009935E0">
        <w:rPr>
          <w:rFonts w:ascii="Times New Roman" w:eastAsia="Times New Roman" w:hAnsi="Times New Roman" w:cs="Times New Roman"/>
          <w:sz w:val="24"/>
          <w:szCs w:val="24"/>
          <w:lang w:eastAsia="pl-PL"/>
        </w:rPr>
        <w:t xml:space="preserve"> może odbywać</w:t>
      </w:r>
      <w:r w:rsidR="00794772" w:rsidRPr="009935E0">
        <w:rPr>
          <w:rFonts w:ascii="Times New Roman" w:eastAsia="Times New Roman" w:hAnsi="Times New Roman" w:cs="Times New Roman"/>
          <w:sz w:val="24"/>
          <w:szCs w:val="24"/>
          <w:lang w:eastAsia="pl-PL"/>
        </w:rPr>
        <w:t xml:space="preserve"> się</w:t>
      </w:r>
      <w:r w:rsidRPr="009935E0">
        <w:rPr>
          <w:rFonts w:ascii="Times New Roman" w:eastAsia="Times New Roman" w:hAnsi="Times New Roman" w:cs="Times New Roman"/>
          <w:sz w:val="24"/>
          <w:szCs w:val="24"/>
          <w:lang w:eastAsia="pl-PL"/>
        </w:rPr>
        <w:t xml:space="preserve"> na podstawie umowy licencji niewyłącznej zawartej przez tę instytucję z reprezentatywną organizacją zbiorowego zarządzania w zgodzie z przepisa</w:t>
      </w:r>
      <w:r w:rsidR="004D248C" w:rsidRPr="009935E0">
        <w:rPr>
          <w:rFonts w:ascii="Times New Roman" w:eastAsia="Times New Roman" w:hAnsi="Times New Roman" w:cs="Times New Roman"/>
          <w:sz w:val="24"/>
          <w:szCs w:val="24"/>
          <w:lang w:eastAsia="pl-PL"/>
        </w:rPr>
        <w:t>mi tego państwa członkowskiego.</w:t>
      </w:r>
      <w:r w:rsidR="004D248C" w:rsidRPr="009935E0">
        <w:rPr>
          <w:rStyle w:val="Odwoanieprzypisudolnego"/>
          <w:rFonts w:ascii="Times New Roman" w:eastAsia="Times New Roman" w:hAnsi="Times New Roman" w:cs="Times New Roman"/>
          <w:sz w:val="24"/>
          <w:szCs w:val="24"/>
          <w:lang w:eastAsia="pl-PL"/>
        </w:rPr>
        <w:footnoteReference w:id="38"/>
      </w:r>
      <w:r w:rsidR="00214723" w:rsidRPr="00483092">
        <w:rPr>
          <w:rFonts w:ascii="Times New Roman" w:eastAsia="Times New Roman" w:hAnsi="Times New Roman" w:cs="Times New Roman"/>
          <w:sz w:val="24"/>
          <w:szCs w:val="24"/>
          <w:vertAlign w:val="superscript"/>
          <w:lang w:eastAsia="pl-PL"/>
        </w:rPr>
        <w:t>)</w:t>
      </w:r>
      <w:r w:rsidR="004D248C" w:rsidRPr="009935E0">
        <w:rPr>
          <w:rFonts w:ascii="Times New Roman" w:eastAsia="Times New Roman" w:hAnsi="Times New Roman" w:cs="Times New Roman"/>
          <w:sz w:val="24"/>
          <w:szCs w:val="24"/>
          <w:lang w:eastAsia="pl-PL"/>
        </w:rPr>
        <w:t xml:space="preserve"> </w:t>
      </w:r>
      <w:r w:rsidRPr="009935E0">
        <w:rPr>
          <w:rFonts w:ascii="Times New Roman" w:eastAsia="Times New Roman" w:hAnsi="Times New Roman" w:cs="Times New Roman"/>
          <w:sz w:val="24"/>
          <w:szCs w:val="24"/>
          <w:lang w:eastAsia="pl-PL"/>
        </w:rPr>
        <w:t xml:space="preserve">Równocześnie w projektowanym rozwiązaniu przesądzono, że </w:t>
      </w:r>
      <w:r w:rsidRPr="009935E0">
        <w:rPr>
          <w:rFonts w:ascii="Times New Roman" w:hAnsi="Times New Roman" w:cs="Times New Roman"/>
          <w:sz w:val="24"/>
          <w:szCs w:val="24"/>
        </w:rPr>
        <w:t xml:space="preserve">umowa licencji niewyłącznej zawarta z polską organizacją zbiorowego zarządzania może obejmować terytorium innego państwa członkowskiego Unii Europejskiej </w:t>
      </w:r>
      <w:r w:rsidRPr="009935E0">
        <w:rPr>
          <w:rFonts w:ascii="Times New Roman" w:hAnsi="Times New Roman" w:cs="Times New Roman"/>
          <w:sz w:val="24"/>
          <w:szCs w:val="24"/>
          <w:shd w:val="clear" w:color="auto" w:fill="FFFFFF"/>
        </w:rPr>
        <w:t xml:space="preserve">lub państwa członkowskiego Europejskiego Porozumienia o Wolnym Handlu (EFTA) </w:t>
      </w:r>
      <w:r w:rsidR="00377F36" w:rsidRPr="009935E0">
        <w:rPr>
          <w:rFonts w:ascii="Times New Roman" w:hAnsi="Times New Roman" w:cs="Times New Roman"/>
          <w:sz w:val="24"/>
          <w:szCs w:val="24"/>
          <w:shd w:val="clear" w:color="auto" w:fill="FFFFFF"/>
        </w:rPr>
        <w:t xml:space="preserve">– </w:t>
      </w:r>
      <w:r w:rsidRPr="009935E0">
        <w:rPr>
          <w:rFonts w:ascii="Times New Roman" w:hAnsi="Times New Roman" w:cs="Times New Roman"/>
          <w:sz w:val="24"/>
          <w:szCs w:val="24"/>
          <w:shd w:val="clear" w:color="auto" w:fill="FFFFFF"/>
        </w:rPr>
        <w:t>stronie umowy o Europejskim Obszarze Gospodarczym. Przepisy te stanowią implementację art. 9 ust 1 oraz art.</w:t>
      </w:r>
      <w:r w:rsidR="001C1FE3">
        <w:rPr>
          <w:rFonts w:ascii="Times New Roman" w:hAnsi="Times New Roman" w:cs="Times New Roman"/>
          <w:sz w:val="24"/>
          <w:szCs w:val="24"/>
          <w:shd w:val="clear" w:color="auto" w:fill="FFFFFF"/>
        </w:rPr>
        <w:t> </w:t>
      </w:r>
      <w:r w:rsidRPr="009935E0">
        <w:rPr>
          <w:rFonts w:ascii="Times New Roman" w:hAnsi="Times New Roman" w:cs="Times New Roman"/>
          <w:sz w:val="24"/>
          <w:szCs w:val="24"/>
          <w:shd w:val="clear" w:color="auto" w:fill="FFFFFF"/>
        </w:rPr>
        <w:t xml:space="preserve">8 ust. 6 </w:t>
      </w:r>
      <w:r w:rsidR="00F438E9" w:rsidRPr="009935E0">
        <w:rPr>
          <w:rFonts w:ascii="Times New Roman" w:hAnsi="Times New Roman" w:cs="Times New Roman"/>
          <w:sz w:val="24"/>
          <w:szCs w:val="24"/>
          <w:shd w:val="clear" w:color="auto" w:fill="FFFFFF"/>
        </w:rPr>
        <w:t>d</w:t>
      </w:r>
      <w:r w:rsidRPr="009935E0">
        <w:rPr>
          <w:rFonts w:ascii="Times New Roman" w:hAnsi="Times New Roman" w:cs="Times New Roman"/>
          <w:sz w:val="24"/>
          <w:szCs w:val="24"/>
          <w:shd w:val="clear" w:color="auto" w:fill="FFFFFF"/>
        </w:rPr>
        <w:t>yrektywy</w:t>
      </w:r>
      <w:r w:rsidR="00807CAD" w:rsidRPr="009935E0">
        <w:rPr>
          <w:rFonts w:ascii="Times New Roman" w:hAnsi="Times New Roman" w:cs="Times New Roman"/>
          <w:sz w:val="24"/>
          <w:szCs w:val="24"/>
          <w:shd w:val="clear" w:color="auto" w:fill="FFFFFF"/>
        </w:rPr>
        <w:t xml:space="preserve"> DSM</w:t>
      </w:r>
      <w:r w:rsidRPr="009935E0">
        <w:rPr>
          <w:rFonts w:ascii="Times New Roman" w:hAnsi="Times New Roman" w:cs="Times New Roman"/>
          <w:sz w:val="24"/>
          <w:szCs w:val="24"/>
          <w:shd w:val="clear" w:color="auto" w:fill="FFFFFF"/>
        </w:rPr>
        <w:t>.</w:t>
      </w:r>
    </w:p>
    <w:p w14:paraId="08309292" w14:textId="25A5F086" w:rsidR="00C938A7" w:rsidRPr="009935E0" w:rsidRDefault="00C938A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Projektowany art. 5 ust. 2a</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ustawy o zbiorowym zarządzaniu przewiduje kompetencję reprezentatywnej organizacji zbiorowego zarządzania, w rozumieniu art. 10 tej ustawy, do zbiorowego zarządu z rozszerzonym skutkiem</w:t>
      </w:r>
      <w:r w:rsidR="00FB50DD" w:rsidRPr="009935E0">
        <w:rPr>
          <w:rFonts w:ascii="Times New Roman" w:hAnsi="Times New Roman" w:cs="Times New Roman"/>
          <w:sz w:val="24"/>
          <w:szCs w:val="24"/>
        </w:rPr>
        <w:t>,</w:t>
      </w:r>
      <w:r w:rsidRPr="009935E0">
        <w:rPr>
          <w:rFonts w:ascii="Times New Roman" w:hAnsi="Times New Roman" w:cs="Times New Roman"/>
          <w:sz w:val="24"/>
          <w:szCs w:val="24"/>
        </w:rPr>
        <w:t xml:space="preserve"> obejmującego również zarząd prawami danej kategorii uprawnionych do danego rodzaju utworów lub przedmiotów praw pokrewnych niedostępnych w handlu na danym polu eksploatacji, którzy nie zawarli umowy o zbiorowe zarządzanie prawami autorskimi lub prawami pokrewnymi z żadną organizacją. </w:t>
      </w:r>
      <w:r w:rsidR="00B37BEB" w:rsidRPr="009935E0">
        <w:rPr>
          <w:rFonts w:ascii="Times New Roman" w:hAnsi="Times New Roman" w:cs="Times New Roman"/>
          <w:sz w:val="24"/>
          <w:szCs w:val="24"/>
        </w:rPr>
        <w:t xml:space="preserve">Ponadto, w wyniku uwag zgłoszonych w konsultacjach publicznych oraz </w:t>
      </w:r>
      <w:r w:rsidR="00FB50DD" w:rsidRPr="009935E0">
        <w:rPr>
          <w:rFonts w:ascii="Times New Roman" w:hAnsi="Times New Roman" w:cs="Times New Roman"/>
          <w:sz w:val="24"/>
          <w:szCs w:val="24"/>
        </w:rPr>
        <w:t xml:space="preserve">w </w:t>
      </w:r>
      <w:r w:rsidR="00B37BEB" w:rsidRPr="009935E0">
        <w:rPr>
          <w:rFonts w:ascii="Times New Roman" w:hAnsi="Times New Roman" w:cs="Times New Roman"/>
          <w:sz w:val="24"/>
          <w:szCs w:val="24"/>
        </w:rPr>
        <w:t>uzgo</w:t>
      </w:r>
      <w:r w:rsidR="007E0A04" w:rsidRPr="009935E0">
        <w:rPr>
          <w:rFonts w:ascii="Times New Roman" w:hAnsi="Times New Roman" w:cs="Times New Roman"/>
          <w:sz w:val="24"/>
          <w:szCs w:val="24"/>
        </w:rPr>
        <w:t>dnieniach międzyresortowych</w:t>
      </w:r>
      <w:r w:rsidR="00FC5B87" w:rsidRPr="009935E0">
        <w:rPr>
          <w:rFonts w:ascii="Times New Roman" w:hAnsi="Times New Roman" w:cs="Times New Roman"/>
          <w:sz w:val="24"/>
          <w:szCs w:val="24"/>
        </w:rPr>
        <w:t>,</w:t>
      </w:r>
      <w:r w:rsidR="007E0A04" w:rsidRPr="009935E0">
        <w:rPr>
          <w:rFonts w:ascii="Times New Roman" w:hAnsi="Times New Roman" w:cs="Times New Roman"/>
          <w:sz w:val="24"/>
          <w:szCs w:val="24"/>
        </w:rPr>
        <w:t xml:space="preserve"> sk</w:t>
      </w:r>
      <w:r w:rsidR="00B37BEB" w:rsidRPr="009935E0">
        <w:rPr>
          <w:rFonts w:ascii="Times New Roman" w:hAnsi="Times New Roman" w:cs="Times New Roman"/>
          <w:sz w:val="24"/>
          <w:szCs w:val="24"/>
        </w:rPr>
        <w:t>utek ten</w:t>
      </w:r>
      <w:r w:rsidR="00537188" w:rsidRPr="009935E0">
        <w:rPr>
          <w:rFonts w:ascii="Times New Roman" w:hAnsi="Times New Roman" w:cs="Times New Roman"/>
          <w:sz w:val="24"/>
          <w:szCs w:val="24"/>
        </w:rPr>
        <w:t xml:space="preserve"> rozszerzono również na sytuację</w:t>
      </w:r>
      <w:r w:rsidR="00B37BEB" w:rsidRPr="009935E0">
        <w:rPr>
          <w:rFonts w:ascii="Times New Roman" w:hAnsi="Times New Roman" w:cs="Times New Roman"/>
          <w:sz w:val="24"/>
          <w:szCs w:val="24"/>
        </w:rPr>
        <w:t>, w</w:t>
      </w:r>
      <w:r w:rsidR="00537188" w:rsidRPr="009935E0">
        <w:rPr>
          <w:rFonts w:ascii="Times New Roman" w:hAnsi="Times New Roman" w:cs="Times New Roman"/>
          <w:sz w:val="24"/>
          <w:szCs w:val="24"/>
        </w:rPr>
        <w:t xml:space="preserve"> której</w:t>
      </w:r>
      <w:r w:rsidR="00B37BEB" w:rsidRPr="009935E0">
        <w:rPr>
          <w:rFonts w:ascii="Times New Roman" w:hAnsi="Times New Roman" w:cs="Times New Roman"/>
          <w:sz w:val="24"/>
          <w:szCs w:val="24"/>
        </w:rPr>
        <w:t xml:space="preserve"> uprawniony co prawda zawarł umowę o zbiorowe zarządzanie, ale z inną niż reprezentatywna organizacją zbiorowego zarządzania. </w:t>
      </w:r>
      <w:r w:rsidRPr="009935E0">
        <w:rPr>
          <w:rFonts w:ascii="Times New Roman" w:hAnsi="Times New Roman" w:cs="Times New Roman"/>
          <w:sz w:val="24"/>
          <w:szCs w:val="24"/>
        </w:rPr>
        <w:t>Regulacja ta jest komplementarna w stosunku do przewidzianej w art.</w:t>
      </w:r>
      <w:r w:rsidR="001C1FE3">
        <w:rPr>
          <w:rFonts w:ascii="Times New Roman" w:hAnsi="Times New Roman" w:cs="Times New Roman"/>
          <w:sz w:val="24"/>
          <w:szCs w:val="24"/>
        </w:rPr>
        <w:t> </w:t>
      </w:r>
      <w:r w:rsidRPr="009935E0">
        <w:rPr>
          <w:rFonts w:ascii="Times New Roman" w:hAnsi="Times New Roman" w:cs="Times New Roman"/>
          <w:sz w:val="24"/>
          <w:szCs w:val="24"/>
        </w:rPr>
        <w:t>35</w:t>
      </w:r>
      <w:r w:rsidR="0042181B" w:rsidRPr="009935E0">
        <w:rPr>
          <w:rFonts w:ascii="Times New Roman" w:hAnsi="Times New Roman" w:cs="Times New Roman"/>
          <w:sz w:val="24"/>
          <w:szCs w:val="24"/>
          <w:vertAlign w:val="superscript"/>
        </w:rPr>
        <w:t>19</w:t>
      </w:r>
      <w:r w:rsidRPr="009935E0">
        <w:rPr>
          <w:rFonts w:ascii="Times New Roman" w:hAnsi="Times New Roman" w:cs="Times New Roman"/>
          <w:sz w:val="24"/>
          <w:szCs w:val="24"/>
        </w:rPr>
        <w:t xml:space="preserve"> możliwości korzystania przez instytucje dziedzictwa kulturowego z utworów niedostępnych w handlu (stosowanej odpowiednio do praw pokrewnych). Obowiązek przewidzenia takiego skutku wynika wprost z art. 8 ust. 1 dyrektywy DSM. W motywie 33 dyrektywy przewidziano jednak swobodę państw członkowskich w określeniu rodzaju mechanizmu licencyjnego, takiego jak rozszerzone licencje zbiorowe lub domniemanie reprezentacji, w zgodzie z tradycjami prawnymi i praktykami tych państw. Projektowane rozwiązanie przewiduje zastosowanie mechanizmu rozszerzonego zbiorowego zarządu, które to rozwiązanie jest stosowane na gruncie obowiązujących przepisów do przypadków obligatoryjnego zbiorowego zarządu, o których mowa w art. 5 ust. 2 ustawy o zbiorowym zarządzaniu. </w:t>
      </w:r>
    </w:p>
    <w:p w14:paraId="4A73ACAD" w14:textId="77777777" w:rsidR="00C938A7" w:rsidRPr="009935E0" w:rsidRDefault="00C938A7" w:rsidP="00483092">
      <w:pPr>
        <w:spacing w:before="120" w:after="0" w:line="360" w:lineRule="auto"/>
        <w:jc w:val="both"/>
        <w:rPr>
          <w:rFonts w:ascii="Times New Roman" w:hAnsi="Times New Roman" w:cs="Times New Roman"/>
          <w:i/>
          <w:sz w:val="24"/>
          <w:szCs w:val="24"/>
        </w:rPr>
      </w:pPr>
      <w:r w:rsidRPr="009935E0">
        <w:rPr>
          <w:rFonts w:ascii="Times New Roman" w:hAnsi="Times New Roman" w:cs="Times New Roman"/>
          <w:sz w:val="24"/>
          <w:szCs w:val="24"/>
        </w:rPr>
        <w:t>Zgodnie z art. 8 ust. 1 lit</w:t>
      </w:r>
      <w:r w:rsidR="00151373" w:rsidRPr="009935E0">
        <w:rPr>
          <w:rFonts w:ascii="Times New Roman" w:hAnsi="Times New Roman" w:cs="Times New Roman"/>
          <w:sz w:val="24"/>
          <w:szCs w:val="24"/>
        </w:rPr>
        <w:t>.</w:t>
      </w:r>
      <w:r w:rsidRPr="009935E0">
        <w:rPr>
          <w:rFonts w:ascii="Times New Roman" w:hAnsi="Times New Roman" w:cs="Times New Roman"/>
          <w:sz w:val="24"/>
          <w:szCs w:val="24"/>
        </w:rPr>
        <w:t xml:space="preserve"> a i b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organizacja zbiorowego zarządzania posiadająca możliwość udzielania licencji o tak poszerzonym skutku powinna być</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„ze względ</w:t>
      </w:r>
      <w:r w:rsidR="00282965" w:rsidRPr="009935E0">
        <w:rPr>
          <w:rFonts w:ascii="Times New Roman" w:hAnsi="Times New Roman" w:cs="Times New Roman"/>
          <w:sz w:val="24"/>
          <w:szCs w:val="24"/>
        </w:rPr>
        <w:t xml:space="preserve">u </w:t>
      </w:r>
      <w:r w:rsidR="00282965" w:rsidRPr="009935E0">
        <w:rPr>
          <w:rFonts w:ascii="Times New Roman" w:hAnsi="Times New Roman" w:cs="Times New Roman"/>
          <w:sz w:val="24"/>
          <w:szCs w:val="24"/>
        </w:rPr>
        <w:lastRenderedPageBreak/>
        <w:t>na udzielone jej upoważnienia</w:t>
      </w:r>
      <w:r w:rsidRPr="009935E0">
        <w:rPr>
          <w:rFonts w:ascii="Times New Roman" w:hAnsi="Times New Roman" w:cs="Times New Roman"/>
          <w:sz w:val="24"/>
          <w:szCs w:val="24"/>
        </w:rPr>
        <w:t xml:space="preserve"> w wystarczającym stopniu reprezentatywna w odniesieniu do podmiotów uprawnionych w przypadku odpowiedniego rodzaju utworów lub innych przedmiotów objętych ochroną oraz w odniesieniu do praw, które są przedmiotem licencji, a także wszystkie podmioty uprawnione powinny być równo traktowane w odniesieniu do warunków licencji”</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przez organizację zbiorowego zarządzania</w:t>
      </w:r>
      <w:r w:rsidRPr="009935E0">
        <w:rPr>
          <w:rFonts w:ascii="Times New Roman" w:hAnsi="Times New Roman" w:cs="Times New Roman"/>
          <w:i/>
          <w:sz w:val="24"/>
          <w:szCs w:val="24"/>
        </w:rPr>
        <w:t xml:space="preserve">. </w:t>
      </w:r>
    </w:p>
    <w:p w14:paraId="52B4472E" w14:textId="58B910BF" w:rsidR="00C938A7" w:rsidRPr="009935E0" w:rsidRDefault="00C938A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Dodatkowe wskazówki w odniesieniu do warunku pierwszego zawiera motyw 33 dyrektywy</w:t>
      </w:r>
      <w:r w:rsidR="00807C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w:t>
      </w:r>
      <w:r w:rsidRPr="009935E0">
        <w:rPr>
          <w:rFonts w:ascii="Times New Roman" w:hAnsi="Times New Roman" w:cs="Times New Roman"/>
          <w:sz w:val="24"/>
          <w:szCs w:val="24"/>
          <w:shd w:val="clear" w:color="auto" w:fill="FFFFFF"/>
        </w:rPr>
        <w:t xml:space="preserve">Swoboda państw członkowskich w określaniu wymogów dotyczących reprezentatywności </w:t>
      </w:r>
      <w:r w:rsidR="00C84549" w:rsidRPr="009935E0">
        <w:rPr>
          <w:rFonts w:ascii="Times New Roman" w:hAnsi="Times New Roman" w:cs="Times New Roman"/>
          <w:sz w:val="24"/>
          <w:szCs w:val="24"/>
          <w:shd w:val="clear" w:color="auto" w:fill="FFFFFF"/>
        </w:rPr>
        <w:t xml:space="preserve">jest </w:t>
      </w:r>
      <w:r w:rsidRPr="009935E0">
        <w:rPr>
          <w:rFonts w:ascii="Times New Roman" w:hAnsi="Times New Roman" w:cs="Times New Roman"/>
          <w:sz w:val="24"/>
          <w:szCs w:val="24"/>
          <w:shd w:val="clear" w:color="auto" w:fill="FFFFFF"/>
        </w:rPr>
        <w:t>ograniczona przez konieczność oparcia ich na kryterium</w:t>
      </w:r>
      <w:r w:rsidRPr="009935E0">
        <w:rPr>
          <w:rFonts w:ascii="Times New Roman" w:hAnsi="Times New Roman" w:cs="Times New Roman"/>
          <w:i/>
          <w:sz w:val="24"/>
          <w:szCs w:val="24"/>
          <w:shd w:val="clear" w:color="auto" w:fill="FFFFFF"/>
        </w:rPr>
        <w:t xml:space="preserve"> </w:t>
      </w:r>
      <w:r w:rsidRPr="009935E0">
        <w:rPr>
          <w:rFonts w:ascii="Times New Roman" w:hAnsi="Times New Roman" w:cs="Times New Roman"/>
          <w:sz w:val="24"/>
          <w:szCs w:val="24"/>
          <w:shd w:val="clear" w:color="auto" w:fill="FFFFFF"/>
        </w:rPr>
        <w:t>„znaczącej liczby podmiotów uprawnionych w przypadku danego rodzaju utworów i innych przedmiotów objętych ochroną, które udzieliły upoważnienia umożliwiającego udzielenie licencji na dany sposób korzystania”</w:t>
      </w:r>
      <w:r w:rsidRPr="009935E0">
        <w:rPr>
          <w:rFonts w:ascii="Times New Roman" w:hAnsi="Times New Roman" w:cs="Times New Roman"/>
          <w:i/>
          <w:sz w:val="24"/>
          <w:szCs w:val="24"/>
          <w:shd w:val="clear" w:color="auto" w:fill="FFFFFF"/>
        </w:rPr>
        <w:t xml:space="preserve">. </w:t>
      </w:r>
      <w:r w:rsidRPr="009935E0">
        <w:rPr>
          <w:rFonts w:ascii="Times New Roman" w:hAnsi="Times New Roman" w:cs="Times New Roman"/>
          <w:sz w:val="24"/>
          <w:szCs w:val="24"/>
          <w:shd w:val="clear" w:color="auto" w:fill="FFFFFF"/>
        </w:rPr>
        <w:t xml:space="preserve">Z tego też względu w projektowanym </w:t>
      </w:r>
      <w:r w:rsidRPr="009935E0">
        <w:rPr>
          <w:rFonts w:ascii="Times New Roman" w:hAnsi="Times New Roman" w:cs="Times New Roman"/>
          <w:sz w:val="24"/>
          <w:szCs w:val="24"/>
        </w:rPr>
        <w:t>art. 7 ust. 1 pkt 2</w:t>
      </w:r>
      <w:r w:rsidRPr="009935E0">
        <w:rPr>
          <w:rFonts w:ascii="Times New Roman" w:hAnsi="Times New Roman" w:cs="Times New Roman"/>
          <w:sz w:val="24"/>
          <w:szCs w:val="24"/>
          <w:shd w:val="clear" w:color="auto" w:fill="FFFFFF"/>
        </w:rPr>
        <w:t xml:space="preserve"> </w:t>
      </w:r>
      <w:r w:rsidR="0042181B" w:rsidRPr="009935E0">
        <w:rPr>
          <w:rFonts w:ascii="Times New Roman" w:hAnsi="Times New Roman" w:cs="Times New Roman"/>
          <w:sz w:val="24"/>
          <w:szCs w:val="24"/>
          <w:shd w:val="clear" w:color="auto" w:fill="FFFFFF"/>
        </w:rPr>
        <w:t xml:space="preserve">ustawy o zbiorowym zarządzaniu </w:t>
      </w:r>
      <w:r w:rsidRPr="009935E0">
        <w:rPr>
          <w:rFonts w:ascii="Times New Roman" w:hAnsi="Times New Roman" w:cs="Times New Roman"/>
          <w:sz w:val="24"/>
          <w:szCs w:val="24"/>
          <w:shd w:val="clear" w:color="auto" w:fill="FFFFFF"/>
        </w:rPr>
        <w:t>planuje się dodanie dodatkowego kryterium, które minister właściwy do spraw kultury i ochrony dziedzictwa kulturowego bierze pod uwagę w trakcie oceny dawania rękojmi należytego zbiorowego zarządzania prawami autorskimi lub prawami pokrewnymi w toku postępowania administracyjnego z wniosku o udzielenie zezwolenia na zbiorowe zarządzanie, tj. kryterium „</w:t>
      </w:r>
      <w:r w:rsidRPr="009935E0">
        <w:rPr>
          <w:rFonts w:ascii="Times New Roman" w:hAnsi="Times New Roman" w:cs="Times New Roman"/>
          <w:sz w:val="24"/>
          <w:szCs w:val="24"/>
        </w:rPr>
        <w:t>zrzeszania istotnej liczby uprawnionych w zakresie objętym wnioskiem o udzielenie zezwolenia, biorąc pod uwagę ogólną liczbę uprawnionych danej kategorii”.</w:t>
      </w:r>
    </w:p>
    <w:p w14:paraId="691BA3D9" w14:textId="6655F104" w:rsidR="00C938A7" w:rsidRPr="009935E0" w:rsidRDefault="00C938A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odniesieniu do warunku określonego w art. 8 ust. 1 lit. b dyrektywy</w:t>
      </w:r>
      <w:r w:rsidR="00807C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należy wskazać, że na gruncie przepisów ustawy o zbiorowym zarządzaniu, w szczególności jej art. 4 ust 3, organizacje zbiorowego zarządzania są zobowiązane do jednakowego traktowania uprawnionych, bez względu na podstawę prawną zbiorowego zarządzania ich prawami</w:t>
      </w:r>
      <w:r w:rsidRPr="009935E0">
        <w:rPr>
          <w:rStyle w:val="Odwoanieprzypisudolnego"/>
          <w:rFonts w:ascii="Times New Roman" w:hAnsi="Times New Roman" w:cs="Times New Roman"/>
          <w:sz w:val="24"/>
          <w:szCs w:val="24"/>
        </w:rPr>
        <w:footnoteReference w:id="39"/>
      </w:r>
      <w:r w:rsidR="00214723"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Ponadto do korzystania, o którym mowa w art. 35</w:t>
      </w:r>
      <w:r w:rsidR="0042181B" w:rsidRPr="009935E0">
        <w:rPr>
          <w:rFonts w:ascii="Times New Roman" w:hAnsi="Times New Roman" w:cs="Times New Roman"/>
          <w:sz w:val="24"/>
          <w:szCs w:val="24"/>
          <w:vertAlign w:val="superscript"/>
        </w:rPr>
        <w:t>19</w:t>
      </w:r>
      <w:r w:rsidRPr="009935E0">
        <w:rPr>
          <w:rFonts w:ascii="Times New Roman" w:hAnsi="Times New Roman" w:cs="Times New Roman"/>
          <w:sz w:val="24"/>
          <w:szCs w:val="24"/>
        </w:rPr>
        <w:t xml:space="preserve">, zastosowanie będzie miał również art. 5 ust. 4 ustawy o zbiorowym zarządzaniu. </w:t>
      </w:r>
    </w:p>
    <w:p w14:paraId="6469AA80" w14:textId="77777777" w:rsidR="00C938A7" w:rsidRPr="009935E0" w:rsidRDefault="00C938A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projektowanym art. 5 ust. 3 ustawy o zbiorowym zarządzaniu potwierdzono, że umowa zawarta z reprezentatywną organizacją zbiorowego zarządzania uprawnia użytkownika do korzystania także z utworów lub przedmiotów praw pokrewnych niedostępnych w handlu, do których prawami zarządza ona zbiorowo w zakresie rozszerzonego skutku. Równocześnie przesądzono o stosowaniu, do korzystania na tej podstawie, </w:t>
      </w:r>
      <w:r w:rsidR="003D4855" w:rsidRPr="009935E0">
        <w:rPr>
          <w:rFonts w:ascii="Times New Roman" w:hAnsi="Times New Roman" w:cs="Times New Roman"/>
          <w:sz w:val="24"/>
          <w:szCs w:val="24"/>
        </w:rPr>
        <w:t>przepisów</w:t>
      </w:r>
      <w:r w:rsidRPr="009935E0">
        <w:rPr>
          <w:rFonts w:ascii="Times New Roman" w:hAnsi="Times New Roman" w:cs="Times New Roman"/>
          <w:sz w:val="24"/>
          <w:szCs w:val="24"/>
        </w:rPr>
        <w:t xml:space="preserve"> art. 5 ust. 4, które przewidują odpowiedzialność organizacji zbiorowego zarządzania w zakresie roszczeń związanych z tym korzystaniem.</w:t>
      </w:r>
    </w:p>
    <w:p w14:paraId="44BED534" w14:textId="77777777" w:rsidR="00D61647" w:rsidRPr="009935E0" w:rsidRDefault="00C938A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 xml:space="preserve">Omawiana regulacja rozszerzonego zbiorowego zarządu dotyczy korzystania z dzieł </w:t>
      </w:r>
      <w:r w:rsidRPr="009935E0">
        <w:rPr>
          <w:rFonts w:ascii="Times New Roman" w:hAnsi="Times New Roman" w:cs="Times New Roman"/>
          <w:i/>
          <w:sz w:val="24"/>
          <w:szCs w:val="24"/>
        </w:rPr>
        <w:t>out-of-</w:t>
      </w:r>
      <w:proofErr w:type="spellStart"/>
      <w:r w:rsidRPr="009935E0">
        <w:rPr>
          <w:rFonts w:ascii="Times New Roman" w:hAnsi="Times New Roman" w:cs="Times New Roman"/>
          <w:i/>
          <w:sz w:val="24"/>
          <w:szCs w:val="24"/>
        </w:rPr>
        <w:t>commerce</w:t>
      </w:r>
      <w:proofErr w:type="spellEnd"/>
      <w:r w:rsidRPr="009935E0">
        <w:rPr>
          <w:rFonts w:ascii="Times New Roman" w:hAnsi="Times New Roman" w:cs="Times New Roman"/>
          <w:sz w:val="24"/>
          <w:szCs w:val="24"/>
        </w:rPr>
        <w:t xml:space="preserve"> i ma charakter szczególny względem ogólnej regulacji rozszerzonego zbiorowego zarządu</w:t>
      </w:r>
      <w:r w:rsidR="001308CD" w:rsidRPr="009935E0">
        <w:rPr>
          <w:rFonts w:ascii="Times New Roman" w:hAnsi="Times New Roman" w:cs="Times New Roman"/>
          <w:sz w:val="24"/>
          <w:szCs w:val="24"/>
        </w:rPr>
        <w:t>, zawartej</w:t>
      </w:r>
      <w:r w:rsidRPr="009935E0">
        <w:rPr>
          <w:rFonts w:ascii="Times New Roman" w:hAnsi="Times New Roman" w:cs="Times New Roman"/>
          <w:sz w:val="24"/>
          <w:szCs w:val="24"/>
        </w:rPr>
        <w:t xml:space="preserve"> w art. 12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i</w:t>
      </w:r>
      <w:r w:rsidR="001308CD" w:rsidRPr="009935E0">
        <w:rPr>
          <w:rFonts w:ascii="Times New Roman" w:hAnsi="Times New Roman" w:cs="Times New Roman"/>
          <w:sz w:val="24"/>
          <w:szCs w:val="24"/>
        </w:rPr>
        <w:t xml:space="preserve"> wdrażanej w art. 5a ustawy o zbior</w:t>
      </w:r>
      <w:r w:rsidR="001F40D4" w:rsidRPr="009935E0">
        <w:rPr>
          <w:rFonts w:ascii="Times New Roman" w:hAnsi="Times New Roman" w:cs="Times New Roman"/>
          <w:sz w:val="24"/>
          <w:szCs w:val="24"/>
        </w:rPr>
        <w:t>owym zarządzaniu (o czym dalej).</w:t>
      </w:r>
    </w:p>
    <w:p w14:paraId="4ACEA054" w14:textId="38BD4167" w:rsidR="00BE1315" w:rsidRPr="009935E0" w:rsidRDefault="00D61647" w:rsidP="00483092">
      <w:pPr>
        <w:tabs>
          <w:tab w:val="left" w:pos="426"/>
        </w:tabs>
        <w:spacing w:before="120" w:after="0" w:line="360" w:lineRule="auto"/>
        <w:jc w:val="both"/>
        <w:rPr>
          <w:rFonts w:ascii="Times New Roman" w:hAnsi="Times New Roman" w:cs="Times New Roman"/>
          <w:b/>
          <w:sz w:val="24"/>
          <w:szCs w:val="24"/>
          <w:shd w:val="clear" w:color="auto" w:fill="FFFFFF"/>
        </w:rPr>
      </w:pPr>
      <w:r w:rsidRPr="009935E0">
        <w:rPr>
          <w:rFonts w:ascii="Times New Roman" w:hAnsi="Times New Roman" w:cs="Times New Roman"/>
          <w:b/>
          <w:sz w:val="24"/>
          <w:szCs w:val="24"/>
          <w:shd w:val="clear" w:color="auto" w:fill="FFFFFF"/>
        </w:rPr>
        <w:t>2.4.</w:t>
      </w:r>
      <w:r w:rsidR="00DC5B80">
        <w:rPr>
          <w:rFonts w:ascii="Times New Roman" w:hAnsi="Times New Roman" w:cs="Times New Roman"/>
          <w:b/>
          <w:sz w:val="24"/>
          <w:szCs w:val="24"/>
          <w:shd w:val="clear" w:color="auto" w:fill="FFFFFF"/>
        </w:rPr>
        <w:tab/>
      </w:r>
      <w:r w:rsidR="00BE1315" w:rsidRPr="009935E0">
        <w:rPr>
          <w:rFonts w:ascii="Times New Roman" w:hAnsi="Times New Roman" w:cs="Times New Roman"/>
          <w:b/>
          <w:sz w:val="24"/>
          <w:szCs w:val="24"/>
          <w:shd w:val="clear" w:color="auto" w:fill="FFFFFF"/>
        </w:rPr>
        <w:t>Dozwolony użytek utworów niedostępnych w handlu</w:t>
      </w:r>
    </w:p>
    <w:p w14:paraId="73E994B3" w14:textId="7B613AE2" w:rsidR="00466012" w:rsidRPr="009935E0" w:rsidRDefault="00466012" w:rsidP="00483092">
      <w:pPr>
        <w:spacing w:before="120" w:after="0" w:line="360" w:lineRule="auto"/>
        <w:jc w:val="both"/>
        <w:rPr>
          <w:rFonts w:ascii="Times New Roman" w:hAnsi="Times New Roman" w:cs="Times New Roman"/>
          <w:i/>
          <w:sz w:val="24"/>
          <w:szCs w:val="24"/>
        </w:rPr>
      </w:pPr>
      <w:r w:rsidRPr="009935E0">
        <w:rPr>
          <w:rFonts w:ascii="Times New Roman" w:hAnsi="Times New Roman" w:cs="Times New Roman"/>
          <w:sz w:val="24"/>
          <w:szCs w:val="24"/>
          <w:shd w:val="clear" w:color="auto" w:fill="FFFFFF"/>
        </w:rPr>
        <w:t xml:space="preserve">W projektowanym </w:t>
      </w:r>
      <w:r w:rsidR="009A74CD" w:rsidRPr="009935E0">
        <w:rPr>
          <w:rFonts w:ascii="Times New Roman" w:hAnsi="Times New Roman" w:cs="Times New Roman"/>
          <w:sz w:val="24"/>
          <w:szCs w:val="24"/>
          <w:shd w:val="clear" w:color="auto" w:fill="FFFFFF"/>
        </w:rPr>
        <w:t xml:space="preserve">art. </w:t>
      </w:r>
      <w:r w:rsidRPr="009935E0">
        <w:rPr>
          <w:rFonts w:ascii="Times New Roman" w:hAnsi="Times New Roman" w:cs="Times New Roman"/>
          <w:sz w:val="24"/>
          <w:szCs w:val="24"/>
          <w:shd w:val="clear" w:color="auto" w:fill="FFFFFF"/>
        </w:rPr>
        <w:t>35</w:t>
      </w:r>
      <w:r w:rsidR="006B24E3" w:rsidRPr="009935E0">
        <w:rPr>
          <w:rFonts w:ascii="Times New Roman" w:hAnsi="Times New Roman" w:cs="Times New Roman"/>
          <w:sz w:val="24"/>
          <w:szCs w:val="24"/>
          <w:shd w:val="clear" w:color="auto" w:fill="FFFFFF"/>
          <w:vertAlign w:val="superscript"/>
        </w:rPr>
        <w:t>22</w:t>
      </w:r>
      <w:r w:rsidR="00807CAD" w:rsidRPr="009935E0">
        <w:rPr>
          <w:rFonts w:ascii="Times New Roman" w:hAnsi="Times New Roman" w:cs="Times New Roman"/>
          <w:sz w:val="24"/>
          <w:szCs w:val="24"/>
        </w:rPr>
        <w:t xml:space="preserve"> ustawy o prawie autorskim,</w:t>
      </w:r>
      <w:r w:rsidRPr="009935E0">
        <w:rPr>
          <w:rFonts w:ascii="Times New Roman" w:hAnsi="Times New Roman" w:cs="Times New Roman"/>
          <w:sz w:val="24"/>
          <w:szCs w:val="24"/>
          <w:shd w:val="clear" w:color="auto" w:fill="FFFFFF"/>
        </w:rPr>
        <w:t xml:space="preserve"> w ślad za </w:t>
      </w:r>
      <w:r w:rsidR="00794772" w:rsidRPr="009935E0">
        <w:rPr>
          <w:rFonts w:ascii="Times New Roman" w:hAnsi="Times New Roman" w:cs="Times New Roman"/>
          <w:sz w:val="24"/>
          <w:szCs w:val="24"/>
          <w:shd w:val="clear" w:color="auto" w:fill="FFFFFF"/>
        </w:rPr>
        <w:t xml:space="preserve">art. </w:t>
      </w:r>
      <w:r w:rsidRPr="009935E0">
        <w:rPr>
          <w:rFonts w:ascii="Times New Roman" w:hAnsi="Times New Roman" w:cs="Times New Roman"/>
          <w:sz w:val="24"/>
          <w:szCs w:val="24"/>
          <w:shd w:val="clear" w:color="auto" w:fill="FFFFFF"/>
        </w:rPr>
        <w:t xml:space="preserve">8 ust. 2 </w:t>
      </w:r>
      <w:r w:rsidR="00F438E9" w:rsidRPr="009935E0">
        <w:rPr>
          <w:rFonts w:ascii="Times New Roman" w:hAnsi="Times New Roman" w:cs="Times New Roman"/>
          <w:sz w:val="24"/>
          <w:szCs w:val="24"/>
          <w:shd w:val="clear" w:color="auto" w:fill="FFFFFF"/>
        </w:rPr>
        <w:t>d</w:t>
      </w:r>
      <w:r w:rsidRPr="009935E0">
        <w:rPr>
          <w:rFonts w:ascii="Times New Roman" w:hAnsi="Times New Roman" w:cs="Times New Roman"/>
          <w:sz w:val="24"/>
          <w:szCs w:val="24"/>
          <w:shd w:val="clear" w:color="auto" w:fill="FFFFFF"/>
        </w:rPr>
        <w:t>yrektywy</w:t>
      </w:r>
      <w:r w:rsidR="00807CAD" w:rsidRPr="009935E0">
        <w:rPr>
          <w:rFonts w:ascii="Times New Roman" w:hAnsi="Times New Roman" w:cs="Times New Roman"/>
          <w:sz w:val="24"/>
          <w:szCs w:val="24"/>
          <w:shd w:val="clear" w:color="auto" w:fill="FFFFFF"/>
        </w:rPr>
        <w:t xml:space="preserve"> DSM</w:t>
      </w:r>
      <w:r w:rsidRPr="009935E0">
        <w:rPr>
          <w:rFonts w:ascii="Times New Roman" w:hAnsi="Times New Roman" w:cs="Times New Roman"/>
          <w:sz w:val="24"/>
          <w:szCs w:val="24"/>
          <w:shd w:val="clear" w:color="auto" w:fill="FFFFFF"/>
        </w:rPr>
        <w:t>, przewidziano nową</w:t>
      </w:r>
      <w:r w:rsidRPr="009935E0">
        <w:rPr>
          <w:rFonts w:ascii="Times New Roman" w:hAnsi="Times New Roman" w:cs="Times New Roman"/>
          <w:sz w:val="24"/>
          <w:szCs w:val="24"/>
        </w:rPr>
        <w:t xml:space="preserve"> postać dozwolonego użytku na rzecz instytucji dziedzictwa kulturowego posiadających na stałe w swoich zbiorach utwory niedostępne w handlu</w:t>
      </w:r>
      <w:r w:rsidR="00785255" w:rsidRPr="009935E0">
        <w:rPr>
          <w:rFonts w:ascii="Times New Roman" w:hAnsi="Times New Roman" w:cs="Times New Roman"/>
          <w:sz w:val="24"/>
          <w:szCs w:val="24"/>
        </w:rPr>
        <w:t>, w rozumieniu projektowan</w:t>
      </w:r>
      <w:r w:rsidR="00794772" w:rsidRPr="009935E0">
        <w:rPr>
          <w:rFonts w:ascii="Times New Roman" w:hAnsi="Times New Roman" w:cs="Times New Roman"/>
          <w:sz w:val="24"/>
          <w:szCs w:val="24"/>
        </w:rPr>
        <w:t>ego</w:t>
      </w:r>
      <w:r w:rsidR="00785255" w:rsidRPr="009935E0">
        <w:rPr>
          <w:rFonts w:ascii="Times New Roman" w:hAnsi="Times New Roman" w:cs="Times New Roman"/>
          <w:sz w:val="24"/>
          <w:szCs w:val="24"/>
        </w:rPr>
        <w:t xml:space="preserve"> art. 35</w:t>
      </w:r>
      <w:r w:rsidR="00785255" w:rsidRPr="009935E0">
        <w:rPr>
          <w:rFonts w:ascii="Times New Roman" w:hAnsi="Times New Roman" w:cs="Times New Roman"/>
          <w:sz w:val="24"/>
          <w:szCs w:val="24"/>
          <w:vertAlign w:val="superscript"/>
        </w:rPr>
        <w:t>1</w:t>
      </w:r>
      <w:r w:rsidR="0042181B" w:rsidRPr="009935E0">
        <w:rPr>
          <w:rFonts w:ascii="Times New Roman" w:hAnsi="Times New Roman" w:cs="Times New Roman"/>
          <w:sz w:val="24"/>
          <w:szCs w:val="24"/>
          <w:vertAlign w:val="superscript"/>
        </w:rPr>
        <w:t>0</w:t>
      </w:r>
      <w:r w:rsidR="00807CAD" w:rsidRPr="009935E0">
        <w:rPr>
          <w:rFonts w:ascii="Times New Roman" w:hAnsi="Times New Roman" w:cs="Times New Roman"/>
          <w:sz w:val="24"/>
          <w:szCs w:val="24"/>
        </w:rPr>
        <w:t xml:space="preserve"> tej ustawy.</w:t>
      </w:r>
      <w:r w:rsidRPr="009935E0">
        <w:rPr>
          <w:rFonts w:ascii="Times New Roman" w:hAnsi="Times New Roman" w:cs="Times New Roman"/>
          <w:sz w:val="24"/>
          <w:szCs w:val="24"/>
        </w:rPr>
        <w:t xml:space="preserve"> </w:t>
      </w:r>
      <w:r w:rsidR="00B14D5C" w:rsidRPr="009935E0">
        <w:rPr>
          <w:rFonts w:ascii="Times New Roman" w:hAnsi="Times New Roman" w:cs="Times New Roman"/>
          <w:sz w:val="24"/>
          <w:szCs w:val="24"/>
        </w:rPr>
        <w:t>O</w:t>
      </w:r>
      <w:r w:rsidR="005A35D6" w:rsidRPr="009935E0">
        <w:rPr>
          <w:rFonts w:ascii="Times New Roman" w:hAnsi="Times New Roman" w:cs="Times New Roman"/>
          <w:sz w:val="24"/>
          <w:szCs w:val="24"/>
        </w:rPr>
        <w:t>bejmuje on</w:t>
      </w:r>
      <w:r w:rsidR="00B14D5C" w:rsidRPr="009935E0">
        <w:rPr>
          <w:rFonts w:ascii="Times New Roman" w:hAnsi="Times New Roman" w:cs="Times New Roman"/>
          <w:sz w:val="24"/>
          <w:szCs w:val="24"/>
        </w:rPr>
        <w:t xml:space="preserve"> zwielokrotnianie</w:t>
      </w:r>
      <w:r w:rsidRPr="009935E0">
        <w:rPr>
          <w:rFonts w:ascii="Times New Roman" w:hAnsi="Times New Roman" w:cs="Times New Roman"/>
          <w:sz w:val="24"/>
          <w:szCs w:val="24"/>
        </w:rPr>
        <w:t xml:space="preserve"> utworów (art. 2 dyrektywy </w:t>
      </w:r>
      <w:r w:rsidR="002F729C" w:rsidRPr="009935E0">
        <w:rPr>
          <w:rFonts w:ascii="Times New Roman" w:hAnsi="Times New Roman" w:cs="Times New Roman"/>
          <w:sz w:val="24"/>
          <w:szCs w:val="24"/>
        </w:rPr>
        <w:t xml:space="preserve">2001/29/WE) oraz ich </w:t>
      </w:r>
      <w:r w:rsidR="0042181B" w:rsidRPr="009935E0">
        <w:rPr>
          <w:rFonts w:ascii="Times New Roman" w:hAnsi="Times New Roman" w:cs="Times New Roman"/>
          <w:sz w:val="24"/>
          <w:szCs w:val="24"/>
        </w:rPr>
        <w:t xml:space="preserve">rozpowszechnianie na niekomercyjnych stronach internetowych </w:t>
      </w:r>
      <w:r w:rsidR="003D4855" w:rsidRPr="009935E0">
        <w:rPr>
          <w:rFonts w:ascii="Times New Roman" w:hAnsi="Times New Roman" w:cs="Times New Roman"/>
          <w:sz w:val="24"/>
          <w:szCs w:val="24"/>
        </w:rPr>
        <w:t xml:space="preserve">(art. 3 dyrektywy </w:t>
      </w:r>
      <w:r w:rsidRPr="009935E0">
        <w:rPr>
          <w:rFonts w:ascii="Times New Roman" w:hAnsi="Times New Roman" w:cs="Times New Roman"/>
          <w:sz w:val="24"/>
          <w:szCs w:val="24"/>
        </w:rPr>
        <w:t>2001/29/WE)</w:t>
      </w:r>
      <w:r w:rsidRPr="009935E0">
        <w:rPr>
          <w:rStyle w:val="Odwoanieprzypisudolnego"/>
          <w:rFonts w:ascii="Times New Roman" w:hAnsi="Times New Roman" w:cs="Times New Roman"/>
          <w:sz w:val="24"/>
          <w:szCs w:val="24"/>
        </w:rPr>
        <w:footnoteReference w:id="40"/>
      </w:r>
      <w:r w:rsidR="00214723" w:rsidRPr="00483092">
        <w:rPr>
          <w:rFonts w:ascii="Times New Roman" w:hAnsi="Times New Roman" w:cs="Times New Roman"/>
          <w:sz w:val="24"/>
          <w:szCs w:val="24"/>
          <w:vertAlign w:val="superscript"/>
        </w:rPr>
        <w:t>)</w:t>
      </w:r>
      <w:r w:rsidR="00377F36" w:rsidRPr="009935E0">
        <w:rPr>
          <w:rFonts w:ascii="Times New Roman" w:hAnsi="Times New Roman" w:cs="Times New Roman"/>
          <w:sz w:val="24"/>
          <w:szCs w:val="24"/>
        </w:rPr>
        <w:t xml:space="preserve">. </w:t>
      </w:r>
      <w:r w:rsidR="005A35D6" w:rsidRPr="009935E0">
        <w:rPr>
          <w:rFonts w:ascii="Times New Roman" w:hAnsi="Times New Roman" w:cs="Times New Roman"/>
          <w:sz w:val="24"/>
          <w:szCs w:val="24"/>
        </w:rPr>
        <w:t>Dla instytucji dziedzictwa kulturowego o</w:t>
      </w:r>
      <w:r w:rsidRPr="009935E0">
        <w:rPr>
          <w:rFonts w:ascii="Times New Roman" w:hAnsi="Times New Roman" w:cs="Times New Roman"/>
          <w:sz w:val="24"/>
          <w:szCs w:val="24"/>
        </w:rPr>
        <w:t xml:space="preserve">znacza to </w:t>
      </w:r>
      <w:r w:rsidR="005A35D6" w:rsidRPr="009935E0">
        <w:rPr>
          <w:rFonts w:ascii="Times New Roman" w:hAnsi="Times New Roman" w:cs="Times New Roman"/>
          <w:sz w:val="24"/>
          <w:szCs w:val="24"/>
        </w:rPr>
        <w:t xml:space="preserve">np. </w:t>
      </w:r>
      <w:r w:rsidRPr="009935E0">
        <w:rPr>
          <w:rFonts w:ascii="Times New Roman" w:hAnsi="Times New Roman" w:cs="Times New Roman"/>
          <w:sz w:val="24"/>
          <w:szCs w:val="24"/>
        </w:rPr>
        <w:t xml:space="preserve">możliwość digitalizacji zbiorów oraz zamieszczenia ich na </w:t>
      </w:r>
      <w:r w:rsidR="005A35D6" w:rsidRPr="009935E0">
        <w:rPr>
          <w:rFonts w:ascii="Times New Roman" w:hAnsi="Times New Roman" w:cs="Times New Roman"/>
          <w:sz w:val="24"/>
          <w:szCs w:val="24"/>
        </w:rPr>
        <w:t>swojej</w:t>
      </w:r>
      <w:r w:rsidR="005A3944"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stronie internetowej. </w:t>
      </w:r>
    </w:p>
    <w:p w14:paraId="62FA7D3A" w14:textId="5278AE66"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Zgodnie z treścią art. 8 ust. 3 </w:t>
      </w:r>
      <w:r w:rsidR="00F438E9"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yrektywy </w:t>
      </w:r>
      <w:r w:rsidR="00807CAD" w:rsidRPr="009935E0">
        <w:rPr>
          <w:rFonts w:ascii="Times New Roman" w:hAnsi="Times New Roman" w:cs="Times New Roman"/>
          <w:sz w:val="24"/>
          <w:szCs w:val="24"/>
        </w:rPr>
        <w:t xml:space="preserve">DSM </w:t>
      </w:r>
      <w:r w:rsidR="005A35D6" w:rsidRPr="009935E0">
        <w:rPr>
          <w:rFonts w:ascii="Times New Roman" w:hAnsi="Times New Roman" w:cs="Times New Roman"/>
          <w:sz w:val="24"/>
          <w:szCs w:val="24"/>
        </w:rPr>
        <w:t xml:space="preserve">ta nowa postać dozwolonego użytku </w:t>
      </w:r>
      <w:r w:rsidRPr="009935E0">
        <w:rPr>
          <w:rFonts w:ascii="Times New Roman" w:hAnsi="Times New Roman" w:cs="Times New Roman"/>
          <w:sz w:val="24"/>
          <w:szCs w:val="24"/>
        </w:rPr>
        <w:t>ma zastosowanie wyłącznie do</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tych rodzajów utworów lub innych przedmiotów objętych ochroną</w:t>
      </w:r>
      <w:r w:rsidR="00FC5B87"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r w:rsidR="005A35D6" w:rsidRPr="009935E0">
        <w:rPr>
          <w:rFonts w:ascii="Times New Roman" w:hAnsi="Times New Roman" w:cs="Times New Roman"/>
          <w:sz w:val="24"/>
          <w:szCs w:val="24"/>
        </w:rPr>
        <w:t>„</w:t>
      </w:r>
      <w:r w:rsidRPr="009935E0">
        <w:rPr>
          <w:rFonts w:ascii="Times New Roman" w:hAnsi="Times New Roman" w:cs="Times New Roman"/>
          <w:sz w:val="24"/>
          <w:szCs w:val="24"/>
        </w:rPr>
        <w:t>w odniesieniu do których nie istnieje organizacja zbiorowego zarządzania spełniająca warunki określone w ust. 1 lit. a</w:t>
      </w:r>
      <w:r w:rsidR="005A35D6"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r w:rsidR="005A35D6" w:rsidRPr="009935E0">
        <w:rPr>
          <w:rFonts w:ascii="Times New Roman" w:hAnsi="Times New Roman" w:cs="Times New Roman"/>
          <w:sz w:val="24"/>
          <w:szCs w:val="24"/>
        </w:rPr>
        <w:t>P</w:t>
      </w:r>
      <w:r w:rsidRPr="009935E0">
        <w:rPr>
          <w:rFonts w:ascii="Times New Roman" w:hAnsi="Times New Roman" w:cs="Times New Roman"/>
          <w:sz w:val="24"/>
          <w:szCs w:val="24"/>
        </w:rPr>
        <w:t>rojektowany art. 35</w:t>
      </w:r>
      <w:r w:rsidR="006B24E3" w:rsidRPr="009935E0">
        <w:rPr>
          <w:rFonts w:ascii="Times New Roman" w:hAnsi="Times New Roman" w:cs="Times New Roman"/>
          <w:sz w:val="24"/>
          <w:szCs w:val="24"/>
          <w:vertAlign w:val="superscript"/>
        </w:rPr>
        <w:t>22</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 xml:space="preserve">ust. 2 </w:t>
      </w:r>
      <w:r w:rsidR="00807CAD"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 xml:space="preserve">dopuszcza </w:t>
      </w:r>
      <w:r w:rsidR="00F52E95" w:rsidRPr="009935E0">
        <w:rPr>
          <w:rFonts w:ascii="Times New Roman" w:hAnsi="Times New Roman" w:cs="Times New Roman"/>
          <w:sz w:val="24"/>
          <w:szCs w:val="24"/>
        </w:rPr>
        <w:t xml:space="preserve">zatem </w:t>
      </w:r>
      <w:r w:rsidRPr="009935E0">
        <w:rPr>
          <w:rFonts w:ascii="Times New Roman" w:hAnsi="Times New Roman" w:cs="Times New Roman"/>
          <w:sz w:val="24"/>
          <w:szCs w:val="24"/>
        </w:rPr>
        <w:t xml:space="preserve">korzystanie na podstawie dozwolonego użytku w sytuacjach, w których </w:t>
      </w:r>
      <w:r w:rsidR="00F52E95" w:rsidRPr="009935E0">
        <w:rPr>
          <w:rFonts w:ascii="Times New Roman" w:hAnsi="Times New Roman" w:cs="Times New Roman"/>
          <w:sz w:val="24"/>
          <w:szCs w:val="24"/>
        </w:rPr>
        <w:t>„</w:t>
      </w:r>
      <w:r w:rsidRPr="009935E0">
        <w:rPr>
          <w:rFonts w:ascii="Times New Roman" w:hAnsi="Times New Roman" w:cs="Times New Roman"/>
          <w:sz w:val="24"/>
          <w:szCs w:val="24"/>
        </w:rPr>
        <w:t xml:space="preserve">brak </w:t>
      </w:r>
      <w:r w:rsidR="005A3944" w:rsidRPr="009935E0">
        <w:rPr>
          <w:rFonts w:ascii="Times New Roman" w:hAnsi="Times New Roman" w:cs="Times New Roman"/>
          <w:sz w:val="24"/>
          <w:szCs w:val="24"/>
        </w:rPr>
        <w:t xml:space="preserve">jest </w:t>
      </w:r>
      <w:r w:rsidRPr="009935E0">
        <w:rPr>
          <w:rFonts w:ascii="Times New Roman" w:hAnsi="Times New Roman" w:cs="Times New Roman"/>
          <w:sz w:val="24"/>
          <w:szCs w:val="24"/>
        </w:rPr>
        <w:t>reprezentatywnej organizacji zbiorowego zarządzania, o której mowa w art. 5 ust. 2</w:t>
      </w:r>
      <w:r w:rsidR="00F24B2E" w:rsidRPr="009935E0">
        <w:rPr>
          <w:rFonts w:ascii="Times New Roman" w:hAnsi="Times New Roman" w:cs="Times New Roman"/>
          <w:sz w:val="24"/>
          <w:szCs w:val="24"/>
        </w:rPr>
        <w:t>a</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ustawy o zbiorowym zarządzaniu prawami autorskimi i prawami pokrewnymi</w:t>
      </w:r>
      <w:r w:rsidR="00F52E95" w:rsidRPr="009935E0">
        <w:rPr>
          <w:rFonts w:ascii="Times New Roman" w:hAnsi="Times New Roman" w:cs="Times New Roman"/>
          <w:sz w:val="24"/>
          <w:szCs w:val="24"/>
        </w:rPr>
        <w:t>”</w:t>
      </w:r>
      <w:r w:rsidRPr="009935E0">
        <w:rPr>
          <w:rStyle w:val="Odwoanieprzypisudolnego"/>
          <w:rFonts w:ascii="Times New Roman" w:hAnsi="Times New Roman" w:cs="Times New Roman"/>
          <w:sz w:val="24"/>
          <w:szCs w:val="24"/>
        </w:rPr>
        <w:footnoteReference w:id="41"/>
      </w:r>
      <w:r w:rsidR="00214723"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w:t>
      </w:r>
      <w:r w:rsidR="00CC1F94">
        <w:rPr>
          <w:rStyle w:val="Odwoanieprzypisudolnego"/>
          <w:rFonts w:ascii="Times New Roman" w:hAnsi="Times New Roman" w:cs="Times New Roman"/>
          <w:sz w:val="24"/>
          <w:szCs w:val="24"/>
        </w:rPr>
        <w:footnoteReference w:id="42"/>
      </w:r>
      <w:r w:rsidR="00214723" w:rsidRPr="00483092">
        <w:rPr>
          <w:rFonts w:ascii="Times New Roman" w:hAnsi="Times New Roman" w:cs="Times New Roman"/>
          <w:sz w:val="24"/>
          <w:szCs w:val="24"/>
          <w:vertAlign w:val="superscript"/>
        </w:rPr>
        <w:t>)</w:t>
      </w:r>
      <w:r w:rsidR="007176A3" w:rsidRPr="009935E0">
        <w:rPr>
          <w:rFonts w:ascii="Times New Roman" w:hAnsi="Times New Roman" w:cs="Times New Roman"/>
          <w:sz w:val="24"/>
          <w:szCs w:val="24"/>
        </w:rPr>
        <w:t>,</w:t>
      </w:r>
      <w:r w:rsidR="0042181B" w:rsidRPr="009935E0">
        <w:rPr>
          <w:rFonts w:ascii="Times New Roman" w:hAnsi="Times New Roman" w:cs="Times New Roman"/>
          <w:sz w:val="24"/>
          <w:szCs w:val="24"/>
        </w:rPr>
        <w:t xml:space="preserve"> a równocześnie uprawniony nie jest reprezentowany przez inną o</w:t>
      </w:r>
      <w:r w:rsidR="00FC5B87" w:rsidRPr="009935E0">
        <w:rPr>
          <w:rFonts w:ascii="Times New Roman" w:hAnsi="Times New Roman" w:cs="Times New Roman"/>
          <w:sz w:val="24"/>
          <w:szCs w:val="24"/>
        </w:rPr>
        <w:t xml:space="preserve">rganizację </w:t>
      </w:r>
      <w:r w:rsidR="0042181B" w:rsidRPr="009935E0">
        <w:rPr>
          <w:rFonts w:ascii="Times New Roman" w:hAnsi="Times New Roman" w:cs="Times New Roman"/>
          <w:sz w:val="24"/>
          <w:szCs w:val="24"/>
        </w:rPr>
        <w:t>z</w:t>
      </w:r>
      <w:r w:rsidR="00FC5B87" w:rsidRPr="009935E0">
        <w:rPr>
          <w:rFonts w:ascii="Times New Roman" w:hAnsi="Times New Roman" w:cs="Times New Roman"/>
          <w:sz w:val="24"/>
          <w:szCs w:val="24"/>
        </w:rPr>
        <w:t xml:space="preserve">biorowego </w:t>
      </w:r>
      <w:r w:rsidR="0042181B" w:rsidRPr="009935E0">
        <w:rPr>
          <w:rFonts w:ascii="Times New Roman" w:hAnsi="Times New Roman" w:cs="Times New Roman"/>
          <w:sz w:val="24"/>
          <w:szCs w:val="24"/>
        </w:rPr>
        <w:t>z</w:t>
      </w:r>
      <w:r w:rsidR="00FC5B87" w:rsidRPr="009935E0">
        <w:rPr>
          <w:rFonts w:ascii="Times New Roman" w:hAnsi="Times New Roman" w:cs="Times New Roman"/>
          <w:sz w:val="24"/>
          <w:szCs w:val="24"/>
        </w:rPr>
        <w:t>arządzania</w:t>
      </w:r>
      <w:r w:rsidR="005A3944" w:rsidRPr="009935E0">
        <w:rPr>
          <w:rFonts w:ascii="Times New Roman" w:hAnsi="Times New Roman" w:cs="Times New Roman"/>
          <w:i/>
          <w:sz w:val="24"/>
          <w:szCs w:val="24"/>
        </w:rPr>
        <w:t>.</w:t>
      </w:r>
      <w:r w:rsidRPr="009935E0">
        <w:rPr>
          <w:rFonts w:ascii="Times New Roman" w:hAnsi="Times New Roman" w:cs="Times New Roman"/>
          <w:sz w:val="24"/>
          <w:szCs w:val="24"/>
        </w:rPr>
        <w:t xml:space="preserve"> </w:t>
      </w:r>
    </w:p>
    <w:p w14:paraId="3EA310FB" w14:textId="77777777"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projektowanym </w:t>
      </w:r>
      <w:r w:rsidR="0066126A" w:rsidRPr="009935E0">
        <w:rPr>
          <w:rFonts w:ascii="Times New Roman" w:hAnsi="Times New Roman" w:cs="Times New Roman"/>
          <w:sz w:val="24"/>
          <w:szCs w:val="24"/>
        </w:rPr>
        <w:t>art. 35</w:t>
      </w:r>
      <w:r w:rsidR="0066126A" w:rsidRPr="009935E0">
        <w:rPr>
          <w:rFonts w:ascii="Times New Roman" w:hAnsi="Times New Roman" w:cs="Times New Roman"/>
          <w:sz w:val="24"/>
          <w:szCs w:val="24"/>
          <w:vertAlign w:val="superscript"/>
        </w:rPr>
        <w:t>2</w:t>
      </w:r>
      <w:r w:rsidR="006B24E3" w:rsidRPr="009935E0">
        <w:rPr>
          <w:rFonts w:ascii="Times New Roman" w:hAnsi="Times New Roman" w:cs="Times New Roman"/>
          <w:sz w:val="24"/>
          <w:szCs w:val="24"/>
          <w:vertAlign w:val="superscript"/>
        </w:rPr>
        <w:t>3</w:t>
      </w:r>
      <w:r w:rsidRPr="009935E0">
        <w:rPr>
          <w:rFonts w:ascii="Times New Roman" w:hAnsi="Times New Roman" w:cs="Times New Roman"/>
          <w:sz w:val="24"/>
          <w:szCs w:val="24"/>
        </w:rPr>
        <w:t xml:space="preserve"> </w:t>
      </w:r>
      <w:r w:rsidR="00807CAD"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 xml:space="preserve">zastosowano rozwiązania tożsame z przewidzianymi w odniesieniu do organizacji zbiorowego zarządzania w </w:t>
      </w:r>
      <w:r w:rsidR="00F438E9" w:rsidRPr="009935E0">
        <w:rPr>
          <w:rFonts w:ascii="Times New Roman" w:hAnsi="Times New Roman" w:cs="Times New Roman"/>
          <w:sz w:val="24"/>
          <w:szCs w:val="24"/>
        </w:rPr>
        <w:t>o</w:t>
      </w:r>
      <w:r w:rsidRPr="009935E0">
        <w:rPr>
          <w:rFonts w:ascii="Times New Roman" w:hAnsi="Times New Roman" w:cs="Times New Roman"/>
          <w:sz w:val="24"/>
          <w:szCs w:val="24"/>
        </w:rPr>
        <w:t>ddziale 6a</w:t>
      </w:r>
      <w:r w:rsidR="00936588" w:rsidRPr="009935E0">
        <w:rPr>
          <w:rFonts w:ascii="Times New Roman" w:hAnsi="Times New Roman" w:cs="Times New Roman"/>
          <w:sz w:val="24"/>
          <w:szCs w:val="24"/>
        </w:rPr>
        <w:t>,</w:t>
      </w:r>
      <w:r w:rsidRPr="009935E0">
        <w:rPr>
          <w:rFonts w:ascii="Times New Roman" w:hAnsi="Times New Roman" w:cs="Times New Roman"/>
          <w:sz w:val="24"/>
          <w:szCs w:val="24"/>
        </w:rPr>
        <w:t xml:space="preserve"> w celu zapewnienia realizacji obowiązku informacyjnego wynikającego z art. 10 </w:t>
      </w:r>
      <w:r w:rsidR="00F438E9"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807CAD" w:rsidRPr="009935E0">
        <w:rPr>
          <w:rFonts w:ascii="Times New Roman" w:hAnsi="Times New Roman" w:cs="Times New Roman"/>
          <w:sz w:val="24"/>
          <w:szCs w:val="24"/>
        </w:rPr>
        <w:t xml:space="preserve"> DSM</w:t>
      </w:r>
      <w:r w:rsidR="00F52E95" w:rsidRPr="009935E0">
        <w:rPr>
          <w:rFonts w:ascii="Times New Roman" w:hAnsi="Times New Roman" w:cs="Times New Roman"/>
          <w:sz w:val="24"/>
          <w:szCs w:val="24"/>
        </w:rPr>
        <w:t>.</w:t>
      </w:r>
    </w:p>
    <w:p w14:paraId="10CF5124" w14:textId="5EACF8EB"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Art. 9 ust</w:t>
      </w:r>
      <w:r w:rsidR="00D45A8D" w:rsidRPr="009935E0">
        <w:rPr>
          <w:rFonts w:ascii="Times New Roman" w:hAnsi="Times New Roman" w:cs="Times New Roman"/>
          <w:sz w:val="24"/>
          <w:szCs w:val="24"/>
        </w:rPr>
        <w:t>.</w:t>
      </w:r>
      <w:r w:rsidRPr="009935E0">
        <w:rPr>
          <w:rFonts w:ascii="Times New Roman" w:hAnsi="Times New Roman" w:cs="Times New Roman"/>
          <w:sz w:val="24"/>
          <w:szCs w:val="24"/>
        </w:rPr>
        <w:t xml:space="preserve"> 2 </w:t>
      </w:r>
      <w:r w:rsidR="00F438E9"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F438E9" w:rsidRPr="009935E0">
        <w:rPr>
          <w:rFonts w:ascii="Times New Roman" w:hAnsi="Times New Roman" w:cs="Times New Roman"/>
          <w:sz w:val="24"/>
          <w:szCs w:val="24"/>
        </w:rPr>
        <w:t xml:space="preserve">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zobowiązuje państwa c</w:t>
      </w:r>
      <w:r w:rsidR="009E2A6E" w:rsidRPr="009935E0">
        <w:rPr>
          <w:rFonts w:ascii="Times New Roman" w:hAnsi="Times New Roman" w:cs="Times New Roman"/>
          <w:sz w:val="24"/>
          <w:szCs w:val="24"/>
        </w:rPr>
        <w:t xml:space="preserve">złonkowskie do przyjęcia fikcji </w:t>
      </w:r>
      <w:r w:rsidRPr="009935E0">
        <w:rPr>
          <w:rFonts w:ascii="Times New Roman" w:hAnsi="Times New Roman" w:cs="Times New Roman"/>
          <w:sz w:val="24"/>
          <w:szCs w:val="24"/>
        </w:rPr>
        <w:t xml:space="preserve">prawnej, zgodnie z którą </w:t>
      </w:r>
      <w:r w:rsidR="00D43E52" w:rsidRPr="009935E0">
        <w:rPr>
          <w:rFonts w:ascii="Times New Roman" w:hAnsi="Times New Roman" w:cs="Times New Roman"/>
          <w:sz w:val="24"/>
          <w:szCs w:val="24"/>
        </w:rPr>
        <w:t>„</w:t>
      </w:r>
      <w:r w:rsidRPr="009935E0">
        <w:rPr>
          <w:rFonts w:ascii="Times New Roman" w:hAnsi="Times New Roman" w:cs="Times New Roman"/>
          <w:sz w:val="24"/>
          <w:szCs w:val="24"/>
        </w:rPr>
        <w:t xml:space="preserve">uznaje się, że korzystanie z utworów i innych przedmiotów objętych ochroną na mocy wyjątku lub </w:t>
      </w:r>
      <w:r w:rsidR="00FB50DD" w:rsidRPr="009935E0">
        <w:rPr>
          <w:rFonts w:ascii="Times New Roman" w:hAnsi="Times New Roman" w:cs="Times New Roman"/>
          <w:sz w:val="24"/>
          <w:szCs w:val="24"/>
        </w:rPr>
        <w:t xml:space="preserve">ograniczenia określonych w art. </w:t>
      </w:r>
      <w:r w:rsidRPr="009935E0">
        <w:rPr>
          <w:rFonts w:ascii="Times New Roman" w:hAnsi="Times New Roman" w:cs="Times New Roman"/>
          <w:sz w:val="24"/>
          <w:szCs w:val="24"/>
        </w:rPr>
        <w:t>8 ust.</w:t>
      </w:r>
      <w:r w:rsidR="00FB50DD" w:rsidRPr="009935E0">
        <w:rPr>
          <w:rFonts w:ascii="Times New Roman" w:hAnsi="Times New Roman" w:cs="Times New Roman"/>
          <w:sz w:val="24"/>
          <w:szCs w:val="24"/>
        </w:rPr>
        <w:t xml:space="preserve"> </w:t>
      </w:r>
      <w:r w:rsidRPr="009935E0">
        <w:rPr>
          <w:rFonts w:ascii="Times New Roman" w:hAnsi="Times New Roman" w:cs="Times New Roman"/>
          <w:sz w:val="24"/>
          <w:szCs w:val="24"/>
        </w:rPr>
        <w:t>2 ma miejsce wyłącznie w państwie członkowskim, w którym siedzibę ma korzystająca z nich instytucja dziedzictwa kulturowego</w:t>
      </w:r>
      <w:r w:rsidR="00D43E52" w:rsidRPr="009935E0">
        <w:rPr>
          <w:rFonts w:ascii="Times New Roman" w:hAnsi="Times New Roman" w:cs="Times New Roman"/>
          <w:sz w:val="24"/>
          <w:szCs w:val="24"/>
        </w:rPr>
        <w:t>”</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lastRenderedPageBreak/>
        <w:t xml:space="preserve">Fikcja ta wpłynie na sposób ustalenia prawa właściwego zgodnie z zasadą </w:t>
      </w:r>
      <w:proofErr w:type="spellStart"/>
      <w:r w:rsidRPr="009935E0">
        <w:rPr>
          <w:rFonts w:ascii="Times New Roman" w:hAnsi="Times New Roman" w:cs="Times New Roman"/>
          <w:sz w:val="24"/>
          <w:szCs w:val="24"/>
        </w:rPr>
        <w:t>terytorializmu</w:t>
      </w:r>
      <w:proofErr w:type="spellEnd"/>
      <w:r w:rsidRPr="009935E0">
        <w:rPr>
          <w:rFonts w:ascii="Times New Roman" w:hAnsi="Times New Roman" w:cs="Times New Roman"/>
          <w:sz w:val="24"/>
          <w:szCs w:val="24"/>
        </w:rPr>
        <w:t xml:space="preserve"> prawa autorskiego i należy przyjąć, że spowoduje dwa skutki, które muszą znaleźć odzwierciedlenie w projektowanych przepisach. Po pierwsze, korzystanie faktycznie mające miejsce na terytorium R</w:t>
      </w:r>
      <w:r w:rsidR="00807CAD" w:rsidRPr="009935E0">
        <w:rPr>
          <w:rFonts w:ascii="Times New Roman" w:hAnsi="Times New Roman" w:cs="Times New Roman"/>
          <w:sz w:val="24"/>
          <w:szCs w:val="24"/>
        </w:rPr>
        <w:t xml:space="preserve">zeczypospolitej </w:t>
      </w:r>
      <w:r w:rsidRPr="009935E0">
        <w:rPr>
          <w:rFonts w:ascii="Times New Roman" w:hAnsi="Times New Roman" w:cs="Times New Roman"/>
          <w:sz w:val="24"/>
          <w:szCs w:val="24"/>
        </w:rPr>
        <w:t>P</w:t>
      </w:r>
      <w:r w:rsidR="00807CAD" w:rsidRPr="009935E0">
        <w:rPr>
          <w:rFonts w:ascii="Times New Roman" w:hAnsi="Times New Roman" w:cs="Times New Roman"/>
          <w:sz w:val="24"/>
          <w:szCs w:val="24"/>
        </w:rPr>
        <w:t>olskiej</w:t>
      </w:r>
      <w:r w:rsidRPr="009935E0">
        <w:rPr>
          <w:rFonts w:ascii="Times New Roman" w:hAnsi="Times New Roman" w:cs="Times New Roman"/>
          <w:sz w:val="24"/>
          <w:szCs w:val="24"/>
        </w:rPr>
        <w:t xml:space="preserve"> nie podlega polskim przepisom, jeżeli jest dokonywane przez instytucję dziedzictwa kulturowego z siedzibą w innym państwie członkowskim. Po drugie, korzystanie faktycznie odbywające się na terytorium innego państwa członkowskiego przez instytucję dziedzictwa kulturowego mającą siedzibę na terytorium RP powinno się odbywać na zasadach określonych w polskich przepisach. </w:t>
      </w:r>
      <w:r w:rsidR="001C098F" w:rsidRPr="009935E0">
        <w:rPr>
          <w:rFonts w:ascii="Times New Roman" w:hAnsi="Times New Roman" w:cs="Times New Roman"/>
          <w:sz w:val="24"/>
          <w:szCs w:val="24"/>
        </w:rPr>
        <w:t xml:space="preserve">Zasady te zostały </w:t>
      </w:r>
      <w:r w:rsidRPr="009935E0">
        <w:rPr>
          <w:rFonts w:ascii="Times New Roman" w:hAnsi="Times New Roman" w:cs="Times New Roman"/>
          <w:sz w:val="24"/>
          <w:szCs w:val="24"/>
        </w:rPr>
        <w:t>odzwierciedlone w projektowanym art. 35</w:t>
      </w:r>
      <w:r w:rsidR="002F652B" w:rsidRPr="009935E0">
        <w:rPr>
          <w:rFonts w:ascii="Times New Roman" w:hAnsi="Times New Roman" w:cs="Times New Roman"/>
          <w:sz w:val="24"/>
          <w:szCs w:val="24"/>
          <w:vertAlign w:val="superscript"/>
        </w:rPr>
        <w:t>2</w:t>
      </w:r>
      <w:r w:rsidR="001C098F" w:rsidRPr="009935E0">
        <w:rPr>
          <w:rFonts w:ascii="Times New Roman" w:hAnsi="Times New Roman" w:cs="Times New Roman"/>
          <w:sz w:val="24"/>
          <w:szCs w:val="24"/>
          <w:vertAlign w:val="superscript"/>
        </w:rPr>
        <w:t>4</w:t>
      </w:r>
      <w:r w:rsidR="00807CAD" w:rsidRPr="009935E0">
        <w:rPr>
          <w:rFonts w:ascii="Times New Roman" w:hAnsi="Times New Roman" w:cs="Times New Roman"/>
          <w:sz w:val="24"/>
          <w:szCs w:val="24"/>
        </w:rPr>
        <w:t xml:space="preserve"> ustawy o prawie autorskim.</w:t>
      </w:r>
    </w:p>
    <w:p w14:paraId="7C689164" w14:textId="77777777" w:rsidR="00466012" w:rsidRPr="009935E0" w:rsidRDefault="0046601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celu implementacji postanowień </w:t>
      </w:r>
      <w:r w:rsidR="00785F73" w:rsidRPr="009935E0">
        <w:rPr>
          <w:rFonts w:ascii="Times New Roman" w:hAnsi="Times New Roman" w:cs="Times New Roman"/>
          <w:sz w:val="24"/>
          <w:szCs w:val="24"/>
        </w:rPr>
        <w:t xml:space="preserve">art. </w:t>
      </w:r>
      <w:r w:rsidRPr="009935E0">
        <w:rPr>
          <w:rFonts w:ascii="Times New Roman" w:hAnsi="Times New Roman" w:cs="Times New Roman"/>
          <w:sz w:val="24"/>
          <w:szCs w:val="24"/>
        </w:rPr>
        <w:t>8 ust. 2</w:t>
      </w:r>
      <w:r w:rsidR="00785F73" w:rsidRPr="009935E0">
        <w:rPr>
          <w:rFonts w:ascii="Times New Roman" w:hAnsi="Times New Roman" w:cs="Times New Roman"/>
          <w:sz w:val="24"/>
          <w:szCs w:val="24"/>
        </w:rPr>
        <w:t xml:space="preserve"> lit. </w:t>
      </w:r>
      <w:r w:rsidRPr="009935E0">
        <w:rPr>
          <w:rFonts w:ascii="Times New Roman" w:hAnsi="Times New Roman" w:cs="Times New Roman"/>
          <w:sz w:val="24"/>
          <w:szCs w:val="24"/>
        </w:rPr>
        <w:t xml:space="preserve">a </w:t>
      </w:r>
      <w:r w:rsidR="00785F73"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780F26"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w odniesieniu do projektowanego dozwolonego użytku projektowany przepis </w:t>
      </w:r>
      <w:r w:rsidR="00DA7538" w:rsidRPr="009935E0">
        <w:rPr>
          <w:rFonts w:ascii="Times New Roman" w:hAnsi="Times New Roman" w:cs="Times New Roman"/>
          <w:sz w:val="24"/>
          <w:szCs w:val="24"/>
        </w:rPr>
        <w:t>art. 35</w:t>
      </w:r>
      <w:r w:rsidR="00DA7538" w:rsidRPr="009935E0">
        <w:rPr>
          <w:rFonts w:ascii="Times New Roman" w:hAnsi="Times New Roman" w:cs="Times New Roman"/>
          <w:sz w:val="24"/>
          <w:szCs w:val="24"/>
          <w:vertAlign w:val="superscript"/>
        </w:rPr>
        <w:t>2</w:t>
      </w:r>
      <w:r w:rsidR="001C098F" w:rsidRPr="009935E0">
        <w:rPr>
          <w:rFonts w:ascii="Times New Roman" w:hAnsi="Times New Roman" w:cs="Times New Roman"/>
          <w:sz w:val="24"/>
          <w:szCs w:val="24"/>
          <w:vertAlign w:val="superscript"/>
        </w:rPr>
        <w:t>5</w:t>
      </w:r>
      <w:r w:rsidR="00DA7538"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odsyła do art. 34 </w:t>
      </w:r>
      <w:r w:rsidR="00785F73" w:rsidRPr="009935E0">
        <w:rPr>
          <w:rFonts w:ascii="Times New Roman" w:hAnsi="Times New Roman" w:cs="Times New Roman"/>
          <w:sz w:val="24"/>
          <w:szCs w:val="24"/>
        </w:rPr>
        <w:t>ustawy o prawie autorskim</w:t>
      </w:r>
      <w:r w:rsidR="0066126A" w:rsidRPr="009935E0">
        <w:rPr>
          <w:rFonts w:ascii="Times New Roman" w:hAnsi="Times New Roman" w:cs="Times New Roman"/>
          <w:sz w:val="24"/>
          <w:szCs w:val="24"/>
        </w:rPr>
        <w:t>, a także</w:t>
      </w:r>
      <w:r w:rsidR="00DA7538" w:rsidRPr="009935E0">
        <w:rPr>
          <w:rFonts w:ascii="Times New Roman" w:hAnsi="Times New Roman" w:cs="Times New Roman"/>
          <w:sz w:val="24"/>
          <w:szCs w:val="24"/>
        </w:rPr>
        <w:t xml:space="preserve"> do</w:t>
      </w:r>
      <w:r w:rsidR="002F652B" w:rsidRPr="009935E0">
        <w:rPr>
          <w:rFonts w:ascii="Times New Roman" w:hAnsi="Times New Roman" w:cs="Times New Roman"/>
          <w:sz w:val="24"/>
          <w:szCs w:val="24"/>
        </w:rPr>
        <w:t xml:space="preserve"> art. 35 </w:t>
      </w:r>
      <w:r w:rsidR="00785F73" w:rsidRPr="009935E0">
        <w:rPr>
          <w:rFonts w:ascii="Times New Roman" w:hAnsi="Times New Roman" w:cs="Times New Roman"/>
          <w:sz w:val="24"/>
          <w:szCs w:val="24"/>
        </w:rPr>
        <w:t>tej ustawy</w:t>
      </w:r>
      <w:r w:rsidR="002F652B" w:rsidRPr="009935E0">
        <w:rPr>
          <w:rFonts w:ascii="Times New Roman" w:hAnsi="Times New Roman" w:cs="Times New Roman"/>
          <w:sz w:val="24"/>
          <w:szCs w:val="24"/>
        </w:rPr>
        <w:t xml:space="preserve">, mającego zastosowanie do wszystkich postaci dozwolonego użytku. </w:t>
      </w:r>
    </w:p>
    <w:p w14:paraId="28E69A18" w14:textId="77777777" w:rsidR="00C34A96" w:rsidRPr="009935E0" w:rsidRDefault="00C34A96" w:rsidP="00483092">
      <w:pPr>
        <w:pStyle w:val="Akapitzlist"/>
        <w:numPr>
          <w:ilvl w:val="0"/>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Rozszerzone licencje zbiorowe (art. 12 dyrektywy</w:t>
      </w:r>
      <w:r w:rsidR="00807CAD" w:rsidRPr="009935E0">
        <w:rPr>
          <w:rFonts w:ascii="Times New Roman" w:hAnsi="Times New Roman" w:cs="Times New Roman"/>
          <w:b/>
          <w:sz w:val="24"/>
          <w:szCs w:val="24"/>
        </w:rPr>
        <w:t xml:space="preserve"> DSM</w:t>
      </w:r>
      <w:r w:rsidRPr="009935E0">
        <w:rPr>
          <w:rFonts w:ascii="Times New Roman" w:hAnsi="Times New Roman" w:cs="Times New Roman"/>
          <w:b/>
          <w:sz w:val="24"/>
          <w:szCs w:val="24"/>
        </w:rPr>
        <w:t>)</w:t>
      </w:r>
    </w:p>
    <w:p w14:paraId="31B24769" w14:textId="77777777" w:rsidR="00C34A96" w:rsidRPr="009935E0" w:rsidRDefault="00C34A9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12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ma charakter fakultatywny. Określa zasady, na jakich państwa członkowskie mogą w swoich systemach prawa autorskiego wprowadzić możliwość udzielania tzw. licencji zbiorowych z rozszerzonym skutkiem („ECL” – </w:t>
      </w:r>
      <w:r w:rsidRPr="009935E0">
        <w:rPr>
          <w:rFonts w:ascii="Times New Roman" w:hAnsi="Times New Roman" w:cs="Times New Roman"/>
          <w:i/>
          <w:sz w:val="24"/>
          <w:szCs w:val="24"/>
        </w:rPr>
        <w:t xml:space="preserve">Extended </w:t>
      </w:r>
      <w:proofErr w:type="spellStart"/>
      <w:r w:rsidRPr="009935E0">
        <w:rPr>
          <w:rFonts w:ascii="Times New Roman" w:hAnsi="Times New Roman" w:cs="Times New Roman"/>
          <w:i/>
          <w:sz w:val="24"/>
          <w:szCs w:val="24"/>
        </w:rPr>
        <w:t>Collective</w:t>
      </w:r>
      <w:proofErr w:type="spellEnd"/>
      <w:r w:rsidRPr="009935E0">
        <w:rPr>
          <w:rFonts w:ascii="Times New Roman" w:hAnsi="Times New Roman" w:cs="Times New Roman"/>
          <w:i/>
          <w:sz w:val="24"/>
          <w:szCs w:val="24"/>
        </w:rPr>
        <w:t xml:space="preserve"> License</w:t>
      </w:r>
      <w:r w:rsidRPr="009935E0">
        <w:rPr>
          <w:rFonts w:ascii="Times New Roman" w:hAnsi="Times New Roman" w:cs="Times New Roman"/>
          <w:sz w:val="24"/>
          <w:szCs w:val="24"/>
        </w:rPr>
        <w:t xml:space="preserve">), tj. licencji, które upoważniają do korzystania z utworów lub przedmiotów praw pokrewnych także tych uprawnionych, którzy nie udzielili upoważnienia do udzielenia takiej licencji. Zasady te są następujące: </w:t>
      </w:r>
    </w:p>
    <w:p w14:paraId="1F6A65EE" w14:textId="77777777" w:rsidR="00C34A96"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licencji może udzielić tylko organizacja zbiorowego zarządzania prawami autorskimi lub prawami pokrewnymi podlegająca przepisom krajowym wdrażającym dyrektywę 2014/26/UE z dnia 26 lutego 2014 r. w sprawie zbiorowego zarządzania prawami autorskimi i prawami pokrewnymi oraz udzielania licencji </w:t>
      </w:r>
      <w:proofErr w:type="spellStart"/>
      <w:r w:rsidRPr="009935E0">
        <w:rPr>
          <w:rFonts w:ascii="Times New Roman" w:hAnsi="Times New Roman" w:cs="Times New Roman"/>
          <w:sz w:val="24"/>
          <w:szCs w:val="24"/>
        </w:rPr>
        <w:t>wieloterytorialnych</w:t>
      </w:r>
      <w:proofErr w:type="spellEnd"/>
      <w:r w:rsidRPr="009935E0">
        <w:rPr>
          <w:rFonts w:ascii="Times New Roman" w:hAnsi="Times New Roman" w:cs="Times New Roman"/>
          <w:sz w:val="24"/>
          <w:szCs w:val="24"/>
        </w:rPr>
        <w:t xml:space="preserve"> dotyczących praw do utworów muzycznych do korzystania online na rynku wewnętrznym (Dz. Urz. UE L 84 z 20</w:t>
      </w:r>
      <w:r w:rsidR="00537188" w:rsidRPr="009935E0">
        <w:rPr>
          <w:rFonts w:ascii="Times New Roman" w:hAnsi="Times New Roman" w:cs="Times New Roman"/>
          <w:sz w:val="24"/>
          <w:szCs w:val="24"/>
        </w:rPr>
        <w:t>.03.2014, str. 72</w:t>
      </w:r>
      <w:r w:rsidR="002C7F11" w:rsidRPr="009935E0">
        <w:rPr>
          <w:rFonts w:ascii="Times New Roman" w:hAnsi="Times New Roman" w:cs="Times New Roman"/>
          <w:sz w:val="24"/>
          <w:szCs w:val="24"/>
        </w:rPr>
        <w:t>);</w:t>
      </w:r>
    </w:p>
    <w:p w14:paraId="4FD52CAF" w14:textId="77777777" w:rsidR="00C34A96"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licencja może obejmować tylko terytorium tego konk</w:t>
      </w:r>
      <w:r w:rsidR="002C7F11" w:rsidRPr="009935E0">
        <w:rPr>
          <w:rFonts w:ascii="Times New Roman" w:hAnsi="Times New Roman" w:cs="Times New Roman"/>
          <w:sz w:val="24"/>
          <w:szCs w:val="24"/>
        </w:rPr>
        <w:t>retnego państwa członkowskiego;</w:t>
      </w:r>
    </w:p>
    <w:p w14:paraId="40200B84" w14:textId="77777777" w:rsidR="00C34A96"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licencja (w zakresie nierozszerzonym) jest udzielana w zakresie upoważnień udzielonych danej organizacji zbiorowego zarządzania</w:t>
      </w:r>
      <w:r w:rsidR="002C7F11"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p>
    <w:p w14:paraId="2866ADE8" w14:textId="77777777" w:rsidR="00C34A96"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licencja dotyczy „dokładnie określonych przypadków korzystania, w których uzyskanie zezwolenia bezpośrednio od podmiotów uprawnionych jest zazwyczaj uciążliwe i niepraktyczne w takim stopniu, że zawarcie umowy licencji jest mało prawdopodobne ze </w:t>
      </w:r>
      <w:r w:rsidRPr="009935E0">
        <w:rPr>
          <w:rFonts w:ascii="Times New Roman" w:hAnsi="Times New Roman" w:cs="Times New Roman"/>
          <w:sz w:val="24"/>
          <w:szCs w:val="24"/>
        </w:rPr>
        <w:lastRenderedPageBreak/>
        <w:t>względu na charakter korzystania lub rodzaje utworów lub innych przedmiotów objętych ochroną”</w:t>
      </w:r>
      <w:r w:rsidR="002C7F11"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p>
    <w:p w14:paraId="062A66CA" w14:textId="77777777" w:rsidR="00CD4B25"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muszą być chronione „uzasadnione interesy podmiotów uprawnionych”</w:t>
      </w:r>
      <w:r w:rsidR="002C7F11"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p>
    <w:p w14:paraId="23B60E21" w14:textId="77777777" w:rsidR="00CD4B25"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organizacja zbiorowego zarząd</w:t>
      </w:r>
      <w:r w:rsidR="00CD4B25" w:rsidRPr="009935E0">
        <w:rPr>
          <w:rFonts w:ascii="Times New Roman" w:hAnsi="Times New Roman" w:cs="Times New Roman"/>
          <w:sz w:val="24"/>
          <w:szCs w:val="24"/>
        </w:rPr>
        <w:t>zania udzielająca licencji jest</w:t>
      </w:r>
      <w:r w:rsidRPr="009935E0">
        <w:rPr>
          <w:rFonts w:ascii="Times New Roman" w:hAnsi="Times New Roman" w:cs="Times New Roman"/>
          <w:sz w:val="24"/>
          <w:szCs w:val="24"/>
        </w:rPr>
        <w:t xml:space="preserve"> „ze względu na udzielone jej upoważnienia, w wystarczającym stopniu reprezentatywna dla danego państwa członkowskiego w odniesieniu do podmiotów uprawnionych, w przypadku odpowiedniego rodzaju utworów lub innych przedmiotów objętych ochroną, oraz w odniesieniu do praw, któ</w:t>
      </w:r>
      <w:r w:rsidR="00CD4B25" w:rsidRPr="009935E0">
        <w:rPr>
          <w:rFonts w:ascii="Times New Roman" w:hAnsi="Times New Roman" w:cs="Times New Roman"/>
          <w:sz w:val="24"/>
          <w:szCs w:val="24"/>
        </w:rPr>
        <w:t>re są przedmiotem licencji”</w:t>
      </w:r>
      <w:r w:rsidR="002C7F11" w:rsidRPr="009935E0">
        <w:rPr>
          <w:rFonts w:ascii="Times New Roman" w:hAnsi="Times New Roman" w:cs="Times New Roman"/>
          <w:sz w:val="24"/>
          <w:szCs w:val="24"/>
        </w:rPr>
        <w:t>;</w:t>
      </w:r>
      <w:r w:rsidR="00CD4B25" w:rsidRPr="009935E0">
        <w:rPr>
          <w:rFonts w:ascii="Times New Roman" w:hAnsi="Times New Roman" w:cs="Times New Roman"/>
          <w:sz w:val="24"/>
          <w:szCs w:val="24"/>
        </w:rPr>
        <w:t xml:space="preserve"> </w:t>
      </w:r>
    </w:p>
    <w:p w14:paraId="1A48CB0D" w14:textId="77777777" w:rsidR="00CD4B25"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wszyscy upr</w:t>
      </w:r>
      <w:r w:rsidR="00CD4B25" w:rsidRPr="009935E0">
        <w:rPr>
          <w:rFonts w:ascii="Times New Roman" w:hAnsi="Times New Roman" w:cs="Times New Roman"/>
          <w:sz w:val="24"/>
          <w:szCs w:val="24"/>
        </w:rPr>
        <w:t>awnieni są równo traktowani</w:t>
      </w:r>
      <w:r w:rsidR="002C7F11" w:rsidRPr="009935E0">
        <w:rPr>
          <w:rFonts w:ascii="Times New Roman" w:hAnsi="Times New Roman" w:cs="Times New Roman"/>
          <w:sz w:val="24"/>
          <w:szCs w:val="24"/>
        </w:rPr>
        <w:t>;</w:t>
      </w:r>
      <w:r w:rsidR="00CD4B25" w:rsidRPr="009935E0">
        <w:rPr>
          <w:rFonts w:ascii="Times New Roman" w:hAnsi="Times New Roman" w:cs="Times New Roman"/>
          <w:sz w:val="24"/>
          <w:szCs w:val="24"/>
        </w:rPr>
        <w:t xml:space="preserve"> </w:t>
      </w:r>
    </w:p>
    <w:p w14:paraId="75A27B00" w14:textId="77777777" w:rsidR="00CD4B25"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uprawnieni, którzy nie udzielili upoważnienia do udzielenia licencji, mogą „w dowolnym czasie łatwo i skutecznie wyłączyć swoje utwory lub inne przedmioty objęte ochroną z mechanizmu licencjonowania” (tzw. </w:t>
      </w:r>
      <w:proofErr w:type="spellStart"/>
      <w:r w:rsidRPr="009935E0">
        <w:rPr>
          <w:rFonts w:ascii="Times New Roman" w:hAnsi="Times New Roman" w:cs="Times New Roman"/>
          <w:i/>
          <w:sz w:val="24"/>
          <w:szCs w:val="24"/>
        </w:rPr>
        <w:t>opt</w:t>
      </w:r>
      <w:proofErr w:type="spellEnd"/>
      <w:r w:rsidRPr="009935E0">
        <w:rPr>
          <w:rFonts w:ascii="Times New Roman" w:hAnsi="Times New Roman" w:cs="Times New Roman"/>
          <w:i/>
          <w:sz w:val="24"/>
          <w:szCs w:val="24"/>
        </w:rPr>
        <w:t>-out</w:t>
      </w:r>
      <w:r w:rsidRPr="009935E0">
        <w:rPr>
          <w:rFonts w:ascii="Times New Roman" w:hAnsi="Times New Roman" w:cs="Times New Roman"/>
          <w:sz w:val="24"/>
          <w:szCs w:val="24"/>
        </w:rPr>
        <w:t>)</w:t>
      </w:r>
      <w:r w:rsidR="002C7F11"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p>
    <w:p w14:paraId="7555A190" w14:textId="77777777" w:rsidR="00CD4B25" w:rsidRPr="009935E0" w:rsidRDefault="00C34A96" w:rsidP="00483092">
      <w:pPr>
        <w:pStyle w:val="Akapitzlist"/>
        <w:numPr>
          <w:ilvl w:val="0"/>
          <w:numId w:val="11"/>
        </w:numPr>
        <w:spacing w:before="120" w:after="0" w:line="360" w:lineRule="auto"/>
        <w:ind w:left="426" w:hanging="426"/>
        <w:jc w:val="both"/>
        <w:rPr>
          <w:rFonts w:ascii="Times New Roman" w:hAnsi="Times New Roman" w:cs="Times New Roman"/>
          <w:sz w:val="24"/>
          <w:szCs w:val="24"/>
        </w:rPr>
      </w:pPr>
      <w:r w:rsidRPr="009935E0">
        <w:rPr>
          <w:rFonts w:ascii="Times New Roman" w:hAnsi="Times New Roman" w:cs="Times New Roman"/>
          <w:sz w:val="24"/>
          <w:szCs w:val="24"/>
        </w:rPr>
        <w:t xml:space="preserve">podejmuje się </w:t>
      </w:r>
      <w:r w:rsidR="00CD4B25" w:rsidRPr="009935E0">
        <w:rPr>
          <w:rFonts w:ascii="Times New Roman" w:hAnsi="Times New Roman" w:cs="Times New Roman"/>
          <w:sz w:val="24"/>
          <w:szCs w:val="24"/>
        </w:rPr>
        <w:t>„</w:t>
      </w:r>
      <w:r w:rsidRPr="009935E0">
        <w:rPr>
          <w:rFonts w:ascii="Times New Roman" w:hAnsi="Times New Roman" w:cs="Times New Roman"/>
          <w:sz w:val="24"/>
          <w:szCs w:val="24"/>
        </w:rPr>
        <w:t xml:space="preserve">odpowiednie działania informacyjne – począwszy od rozsądnego okresu przed rozpoczęciem korzystania z utworów lub innych przedmiotów objętych ochroną w ramach udzielonej licencji – aby informować podmioty uprawnione o możliwości udzielania licencji przez organizację zbiorowego zarządzania”, następnie o udzieleniu licencji oraz o możliwości skorzystania </w:t>
      </w:r>
      <w:r w:rsidR="00CD4B25" w:rsidRPr="009935E0">
        <w:rPr>
          <w:rFonts w:ascii="Times New Roman" w:hAnsi="Times New Roman" w:cs="Times New Roman"/>
          <w:sz w:val="24"/>
          <w:szCs w:val="24"/>
        </w:rPr>
        <w:t xml:space="preserve">przez uprawnionego </w:t>
      </w:r>
      <w:r w:rsidRPr="009935E0">
        <w:rPr>
          <w:rFonts w:ascii="Times New Roman" w:hAnsi="Times New Roman" w:cs="Times New Roman"/>
          <w:sz w:val="24"/>
          <w:szCs w:val="24"/>
        </w:rPr>
        <w:t xml:space="preserve">z </w:t>
      </w:r>
      <w:proofErr w:type="spellStart"/>
      <w:r w:rsidRPr="009935E0">
        <w:rPr>
          <w:rFonts w:ascii="Times New Roman" w:hAnsi="Times New Roman" w:cs="Times New Roman"/>
          <w:i/>
          <w:sz w:val="24"/>
          <w:szCs w:val="24"/>
        </w:rPr>
        <w:t>opt</w:t>
      </w:r>
      <w:proofErr w:type="spellEnd"/>
      <w:r w:rsidRPr="009935E0">
        <w:rPr>
          <w:rFonts w:ascii="Times New Roman" w:hAnsi="Times New Roman" w:cs="Times New Roman"/>
          <w:i/>
          <w:sz w:val="24"/>
          <w:szCs w:val="24"/>
        </w:rPr>
        <w:t>-out</w:t>
      </w:r>
      <w:r w:rsidRPr="009935E0">
        <w:rPr>
          <w:rFonts w:ascii="Times New Roman" w:hAnsi="Times New Roman" w:cs="Times New Roman"/>
          <w:sz w:val="24"/>
          <w:szCs w:val="24"/>
        </w:rPr>
        <w:t xml:space="preserve">; działania informacyjne muszą być prowadzone w sposób „skuteczny” i „tak aby nie było konieczności informowania każdego podmiotu uprawnionego osobno”. </w:t>
      </w:r>
    </w:p>
    <w:p w14:paraId="7124072C" w14:textId="77777777" w:rsidR="00F92FD3" w:rsidRPr="009935E0" w:rsidRDefault="00C34A9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Opisane zasady, zgodnie z art. 12 ust. 4 dyrektywy</w:t>
      </w:r>
      <w:r w:rsidR="00807C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nie dotyczą licencji zbiorowych z rozszerzonym skutkiem, wprowadzonych zgodn</w:t>
      </w:r>
      <w:r w:rsidR="00CD4B25" w:rsidRPr="009935E0">
        <w:rPr>
          <w:rFonts w:ascii="Times New Roman" w:hAnsi="Times New Roman" w:cs="Times New Roman"/>
          <w:sz w:val="24"/>
          <w:szCs w:val="24"/>
        </w:rPr>
        <w:t>ie z innymi przepisami prawa U</w:t>
      </w:r>
      <w:r w:rsidR="00A94C99" w:rsidRPr="009935E0">
        <w:rPr>
          <w:rFonts w:ascii="Times New Roman" w:hAnsi="Times New Roman" w:cs="Times New Roman"/>
          <w:sz w:val="24"/>
          <w:szCs w:val="24"/>
        </w:rPr>
        <w:t xml:space="preserve">nii </w:t>
      </w:r>
      <w:r w:rsidR="00CD4B25"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Pr="009935E0">
        <w:rPr>
          <w:rFonts w:ascii="Times New Roman" w:hAnsi="Times New Roman" w:cs="Times New Roman"/>
          <w:sz w:val="24"/>
          <w:szCs w:val="24"/>
        </w:rPr>
        <w:t xml:space="preserve"> ani udzielanych w ramach </w:t>
      </w:r>
      <w:r w:rsidR="00CD4B25" w:rsidRPr="009935E0">
        <w:rPr>
          <w:rFonts w:ascii="Times New Roman" w:hAnsi="Times New Roman" w:cs="Times New Roman"/>
          <w:sz w:val="24"/>
          <w:szCs w:val="24"/>
        </w:rPr>
        <w:t>obowiązkowego (przymusowego)</w:t>
      </w:r>
      <w:r w:rsidRPr="009935E0">
        <w:rPr>
          <w:rFonts w:ascii="Times New Roman" w:hAnsi="Times New Roman" w:cs="Times New Roman"/>
          <w:sz w:val="24"/>
          <w:szCs w:val="24"/>
        </w:rPr>
        <w:t xml:space="preserve"> zbiorowego zarządzania. Tym samym nie dotyczą </w:t>
      </w:r>
      <w:r w:rsidR="00CD4B25" w:rsidRPr="009935E0">
        <w:rPr>
          <w:rFonts w:ascii="Times New Roman" w:hAnsi="Times New Roman" w:cs="Times New Roman"/>
          <w:sz w:val="24"/>
          <w:szCs w:val="24"/>
        </w:rPr>
        <w:t xml:space="preserve">np. </w:t>
      </w:r>
      <w:r w:rsidRPr="009935E0">
        <w:rPr>
          <w:rFonts w:ascii="Times New Roman" w:hAnsi="Times New Roman" w:cs="Times New Roman"/>
          <w:sz w:val="24"/>
          <w:szCs w:val="24"/>
        </w:rPr>
        <w:t xml:space="preserve">licencji na korzystanie z dzieł </w:t>
      </w:r>
      <w:r w:rsidRPr="009935E0">
        <w:rPr>
          <w:rFonts w:ascii="Times New Roman" w:hAnsi="Times New Roman" w:cs="Times New Roman"/>
          <w:i/>
          <w:sz w:val="24"/>
          <w:szCs w:val="24"/>
        </w:rPr>
        <w:t>out-of-</w:t>
      </w:r>
      <w:proofErr w:type="spellStart"/>
      <w:r w:rsidRPr="009935E0">
        <w:rPr>
          <w:rFonts w:ascii="Times New Roman" w:hAnsi="Times New Roman" w:cs="Times New Roman"/>
          <w:i/>
          <w:sz w:val="24"/>
          <w:szCs w:val="24"/>
        </w:rPr>
        <w:t>commerce</w:t>
      </w:r>
      <w:proofErr w:type="spellEnd"/>
      <w:r w:rsidRPr="009935E0">
        <w:rPr>
          <w:rFonts w:ascii="Times New Roman" w:hAnsi="Times New Roman" w:cs="Times New Roman"/>
          <w:sz w:val="24"/>
          <w:szCs w:val="24"/>
        </w:rPr>
        <w:t>, których dotyczą odrębne przepisy tej dyrektywy, ani licencji udzielanych w umowach, o których mowa w art. 21–21</w:t>
      </w:r>
      <w:r w:rsidRPr="009935E0">
        <w:rPr>
          <w:rFonts w:ascii="Times New Roman" w:hAnsi="Times New Roman" w:cs="Times New Roman"/>
          <w:sz w:val="24"/>
          <w:szCs w:val="24"/>
          <w:vertAlign w:val="superscript"/>
        </w:rPr>
        <w:t>3</w:t>
      </w:r>
      <w:r w:rsidRPr="009935E0">
        <w:rPr>
          <w:rFonts w:ascii="Times New Roman" w:hAnsi="Times New Roman" w:cs="Times New Roman"/>
          <w:sz w:val="24"/>
          <w:szCs w:val="24"/>
        </w:rPr>
        <w:t xml:space="preserve"> ustawy o prawie autorskim, gdyż są one zawierane w ramach </w:t>
      </w:r>
      <w:r w:rsidR="00CD4B25" w:rsidRPr="009935E0">
        <w:rPr>
          <w:rFonts w:ascii="Times New Roman" w:hAnsi="Times New Roman" w:cs="Times New Roman"/>
          <w:sz w:val="24"/>
          <w:szCs w:val="24"/>
        </w:rPr>
        <w:t>obowiązkowego</w:t>
      </w:r>
      <w:r w:rsidRPr="009935E0">
        <w:rPr>
          <w:rFonts w:ascii="Times New Roman" w:hAnsi="Times New Roman" w:cs="Times New Roman"/>
          <w:sz w:val="24"/>
          <w:szCs w:val="24"/>
        </w:rPr>
        <w:t xml:space="preserve"> zbiorowego zarządzania. </w:t>
      </w:r>
    </w:p>
    <w:p w14:paraId="0E34188D" w14:textId="77777777" w:rsidR="00F92FD3" w:rsidRPr="009935E0" w:rsidRDefault="00F92FD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motywach dyrektywy</w:t>
      </w:r>
      <w:r w:rsidR="00807C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wskazuje się, że „z uwagi na charakter niektórych sposobów korzystania, wraz ze zwykle dużą liczbą odnośnych utworów lub innych przedmiotów objętych ochroną, koszt związany z weryfikacją indywidualnych praw w przypadku każdego zainteresowanego podmiotu uprawnionego jest zbyt wysoki”. W rezultacie „jest mało prawdopodobne, aby – bez skutecznych mechanizmów udzielania licencji zbiorowych – odbyły się wszystkie transakcje w danych obszarach, które są konieczne, aby możliwe było korzystania z tych utworów lub innych przedmiotów objętych ochroną”. Udzielanie przez organizacje </w:t>
      </w:r>
      <w:r w:rsidRPr="009935E0">
        <w:rPr>
          <w:rFonts w:ascii="Times New Roman" w:hAnsi="Times New Roman" w:cs="Times New Roman"/>
          <w:sz w:val="24"/>
          <w:szCs w:val="24"/>
        </w:rPr>
        <w:lastRenderedPageBreak/>
        <w:t>zbiorowego zarządzania rozszerzonych licencji zbiorowych i podobne mechanizmy mogą zatem „umożliwić zawieranie porozumień w tych obszarach, w których licencje zbiorowe oparte na zezwoleniu podmiotów uprawnionych nie zapewniają wyczerpującego rozwiązania w odniesieniu do objęcia wszystkich utworów lub innych przedmiotów objętych ochroną, które ma być stosowane”. Mechanizmy takie „uzupełniają zbiorowe zarządzanie prawami w oparciu o indywidualne zezwolenia podmiotów uprawnionych, zapewniając użytkownikom w niektórych przypadkach całkowitą pewność prawa”, jednocześnie dając uprawnionym możliwość „odnoszenia korzyści ze zgodnego z prawem korzystania z ich utworów” (motyw 45</w:t>
      </w:r>
      <w:r w:rsidR="00807CAD" w:rsidRPr="009935E0">
        <w:rPr>
          <w:rFonts w:ascii="Times New Roman" w:hAnsi="Times New Roman" w:cs="Times New Roman"/>
          <w:sz w:val="24"/>
          <w:szCs w:val="24"/>
        </w:rPr>
        <w:t xml:space="preserve"> dyrektywy</w:t>
      </w:r>
      <w:r w:rsidRPr="009935E0">
        <w:rPr>
          <w:rFonts w:ascii="Times New Roman" w:hAnsi="Times New Roman" w:cs="Times New Roman"/>
          <w:sz w:val="24"/>
          <w:szCs w:val="24"/>
        </w:rPr>
        <w:t>).</w:t>
      </w:r>
    </w:p>
    <w:p w14:paraId="7F9E8C8C" w14:textId="77777777" w:rsidR="00A41C49" w:rsidRPr="009935E0" w:rsidRDefault="00F92FD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Projektowana ustawa wprowadza </w:t>
      </w:r>
      <w:r w:rsidR="007D5C97" w:rsidRPr="009935E0">
        <w:rPr>
          <w:rFonts w:ascii="Times New Roman" w:hAnsi="Times New Roman" w:cs="Times New Roman"/>
          <w:sz w:val="24"/>
          <w:szCs w:val="24"/>
        </w:rPr>
        <w:t>rozszerzone licencje zbiorowe (</w:t>
      </w:r>
      <w:r w:rsidR="00807CAD" w:rsidRPr="009935E0">
        <w:rPr>
          <w:rFonts w:ascii="Times New Roman" w:hAnsi="Times New Roman" w:cs="Times New Roman"/>
          <w:sz w:val="24"/>
          <w:szCs w:val="24"/>
        </w:rPr>
        <w:t>zwane dalej „</w:t>
      </w:r>
      <w:r w:rsidRPr="009935E0">
        <w:rPr>
          <w:rFonts w:ascii="Times New Roman" w:hAnsi="Times New Roman" w:cs="Times New Roman"/>
          <w:sz w:val="24"/>
          <w:szCs w:val="24"/>
        </w:rPr>
        <w:t>ECL</w:t>
      </w:r>
      <w:r w:rsidR="00807CAD" w:rsidRPr="009935E0">
        <w:rPr>
          <w:rFonts w:ascii="Times New Roman" w:hAnsi="Times New Roman" w:cs="Times New Roman"/>
          <w:sz w:val="24"/>
          <w:szCs w:val="24"/>
        </w:rPr>
        <w:t>”</w:t>
      </w:r>
      <w:r w:rsidR="007D5C97" w:rsidRPr="009935E0">
        <w:rPr>
          <w:rFonts w:ascii="Times New Roman" w:hAnsi="Times New Roman" w:cs="Times New Roman"/>
          <w:sz w:val="24"/>
          <w:szCs w:val="24"/>
        </w:rPr>
        <w:t>)</w:t>
      </w:r>
      <w:r w:rsidR="00E9168B" w:rsidRPr="009935E0">
        <w:rPr>
          <w:rFonts w:ascii="Times New Roman" w:hAnsi="Times New Roman" w:cs="Times New Roman"/>
          <w:sz w:val="24"/>
          <w:szCs w:val="24"/>
        </w:rPr>
        <w:t xml:space="preserve"> </w:t>
      </w:r>
      <w:r w:rsidR="00BE2FAD" w:rsidRPr="009935E0">
        <w:rPr>
          <w:rFonts w:ascii="Times New Roman" w:hAnsi="Times New Roman" w:cs="Times New Roman"/>
          <w:sz w:val="24"/>
          <w:szCs w:val="24"/>
        </w:rPr>
        <w:t xml:space="preserve">wyłącznie </w:t>
      </w:r>
      <w:r w:rsidR="00C34A96" w:rsidRPr="009935E0">
        <w:rPr>
          <w:rFonts w:ascii="Times New Roman" w:hAnsi="Times New Roman" w:cs="Times New Roman"/>
          <w:sz w:val="24"/>
          <w:szCs w:val="24"/>
        </w:rPr>
        <w:t>w zakresie eksploatacji nowego prawa pokrewnego dla wydawców prasy (art. 15 dyrektywy</w:t>
      </w:r>
      <w:r w:rsidRPr="009935E0">
        <w:rPr>
          <w:rFonts w:ascii="Times New Roman" w:hAnsi="Times New Roman" w:cs="Times New Roman"/>
          <w:sz w:val="24"/>
          <w:szCs w:val="24"/>
        </w:rPr>
        <w:t>, projektowany art. 99</w:t>
      </w:r>
      <w:r w:rsidRPr="009935E0">
        <w:rPr>
          <w:rFonts w:ascii="Times New Roman" w:hAnsi="Times New Roman" w:cs="Times New Roman"/>
          <w:sz w:val="24"/>
          <w:szCs w:val="24"/>
          <w:vertAlign w:val="superscript"/>
        </w:rPr>
        <w:t>7</w:t>
      </w:r>
      <w:r w:rsidRPr="009935E0">
        <w:rPr>
          <w:rFonts w:ascii="Times New Roman" w:hAnsi="Times New Roman" w:cs="Times New Roman"/>
          <w:sz w:val="24"/>
          <w:szCs w:val="24"/>
        </w:rPr>
        <w:t xml:space="preserve"> ust. 2 ustawy o prawie autorskim</w:t>
      </w:r>
      <w:r w:rsidR="00C34A96" w:rsidRPr="009935E0">
        <w:rPr>
          <w:rFonts w:ascii="Times New Roman" w:hAnsi="Times New Roman" w:cs="Times New Roman"/>
          <w:sz w:val="24"/>
          <w:szCs w:val="24"/>
        </w:rPr>
        <w:t>)</w:t>
      </w:r>
      <w:r w:rsidR="00E9168B" w:rsidRPr="009935E0">
        <w:rPr>
          <w:rFonts w:ascii="Times New Roman" w:hAnsi="Times New Roman" w:cs="Times New Roman"/>
          <w:sz w:val="24"/>
          <w:szCs w:val="24"/>
        </w:rPr>
        <w:t>.</w:t>
      </w:r>
      <w:r w:rsidR="00C34A96" w:rsidRPr="009935E0">
        <w:rPr>
          <w:rFonts w:ascii="Times New Roman" w:hAnsi="Times New Roman" w:cs="Times New Roman"/>
          <w:sz w:val="24"/>
          <w:szCs w:val="24"/>
        </w:rPr>
        <w:t xml:space="preserve"> </w:t>
      </w:r>
      <w:r w:rsidR="00A41C49" w:rsidRPr="009935E0">
        <w:rPr>
          <w:rFonts w:ascii="Times New Roman" w:hAnsi="Times New Roman" w:cs="Times New Roman"/>
          <w:sz w:val="24"/>
          <w:szCs w:val="24"/>
        </w:rPr>
        <w:t>W ty</w:t>
      </w:r>
      <w:r w:rsidR="007D5C97" w:rsidRPr="009935E0">
        <w:rPr>
          <w:rFonts w:ascii="Times New Roman" w:hAnsi="Times New Roman" w:cs="Times New Roman"/>
          <w:sz w:val="24"/>
          <w:szCs w:val="24"/>
        </w:rPr>
        <w:t>m</w:t>
      </w:r>
      <w:r w:rsidR="00A41C49" w:rsidRPr="009935E0">
        <w:rPr>
          <w:rFonts w:ascii="Times New Roman" w:hAnsi="Times New Roman" w:cs="Times New Roman"/>
          <w:sz w:val="24"/>
          <w:szCs w:val="24"/>
        </w:rPr>
        <w:t xml:space="preserve"> przypadk</w:t>
      </w:r>
      <w:r w:rsidR="007D5C97" w:rsidRPr="009935E0">
        <w:rPr>
          <w:rFonts w:ascii="Times New Roman" w:hAnsi="Times New Roman" w:cs="Times New Roman"/>
          <w:sz w:val="24"/>
          <w:szCs w:val="24"/>
        </w:rPr>
        <w:t>u</w:t>
      </w:r>
      <w:r w:rsidR="00A41C49" w:rsidRPr="009935E0">
        <w:rPr>
          <w:rFonts w:ascii="Times New Roman" w:hAnsi="Times New Roman" w:cs="Times New Roman"/>
          <w:sz w:val="24"/>
          <w:szCs w:val="24"/>
        </w:rPr>
        <w:t xml:space="preserve"> chodzi bowiem o eksploatację znacznej liczby utworów w Internecie (online). Nie wydaje się, aby istniejące organizacje zbiorowego zarządzania dysponowały wystarczającymi upoważnieniami ze strony uprawnionych, aby mogły udzielić zwykłych licencji zbiorowych na </w:t>
      </w:r>
      <w:r w:rsidR="000262C7" w:rsidRPr="009935E0">
        <w:rPr>
          <w:rFonts w:ascii="Times New Roman" w:hAnsi="Times New Roman" w:cs="Times New Roman"/>
          <w:sz w:val="24"/>
          <w:szCs w:val="24"/>
        </w:rPr>
        <w:t>wszystkie utwory</w:t>
      </w:r>
      <w:r w:rsidR="00A41C49" w:rsidRPr="009935E0">
        <w:rPr>
          <w:rFonts w:ascii="Times New Roman" w:hAnsi="Times New Roman" w:cs="Times New Roman"/>
          <w:sz w:val="24"/>
          <w:szCs w:val="24"/>
        </w:rPr>
        <w:t xml:space="preserve"> eksploatowan</w:t>
      </w:r>
      <w:r w:rsidR="000262C7" w:rsidRPr="009935E0">
        <w:rPr>
          <w:rFonts w:ascii="Times New Roman" w:hAnsi="Times New Roman" w:cs="Times New Roman"/>
          <w:sz w:val="24"/>
          <w:szCs w:val="24"/>
        </w:rPr>
        <w:t>e</w:t>
      </w:r>
      <w:r w:rsidR="00A41C49" w:rsidRPr="009935E0">
        <w:rPr>
          <w:rFonts w:ascii="Times New Roman" w:hAnsi="Times New Roman" w:cs="Times New Roman"/>
          <w:sz w:val="24"/>
          <w:szCs w:val="24"/>
        </w:rPr>
        <w:t xml:space="preserve"> przez dostawców usług społeczeństwa informacyjnego w ww. zakresie lub nawet na istotną </w:t>
      </w:r>
      <w:r w:rsidR="000262C7" w:rsidRPr="009935E0">
        <w:rPr>
          <w:rFonts w:ascii="Times New Roman" w:hAnsi="Times New Roman" w:cs="Times New Roman"/>
          <w:sz w:val="24"/>
          <w:szCs w:val="24"/>
        </w:rPr>
        <w:t xml:space="preserve">ich </w:t>
      </w:r>
      <w:r w:rsidR="00A41C49" w:rsidRPr="009935E0">
        <w:rPr>
          <w:rFonts w:ascii="Times New Roman" w:hAnsi="Times New Roman" w:cs="Times New Roman"/>
          <w:sz w:val="24"/>
          <w:szCs w:val="24"/>
        </w:rPr>
        <w:t>część. Stąd wprowadzenie licencji ECL w tym obszarze wydaje się uzasadnione z praktycznego punktu widzenia.</w:t>
      </w:r>
      <w:r w:rsidR="00F94652" w:rsidRPr="009935E0">
        <w:rPr>
          <w:rFonts w:ascii="Times New Roman" w:hAnsi="Times New Roman" w:cs="Times New Roman"/>
          <w:sz w:val="24"/>
          <w:szCs w:val="24"/>
        </w:rPr>
        <w:t xml:space="preserve"> Po stronie organizacji zbiorowego zarządzania </w:t>
      </w:r>
      <w:r w:rsidR="004A2A36" w:rsidRPr="009935E0">
        <w:rPr>
          <w:rFonts w:ascii="Times New Roman" w:hAnsi="Times New Roman" w:cs="Times New Roman"/>
          <w:sz w:val="24"/>
          <w:szCs w:val="24"/>
        </w:rPr>
        <w:t xml:space="preserve">znajdować się będzie </w:t>
      </w:r>
      <w:r w:rsidR="00F94652" w:rsidRPr="009935E0">
        <w:rPr>
          <w:rFonts w:ascii="Times New Roman" w:hAnsi="Times New Roman" w:cs="Times New Roman"/>
          <w:sz w:val="24"/>
          <w:szCs w:val="24"/>
        </w:rPr>
        <w:t xml:space="preserve">uprawnienie do udzielenia takiej licencji, a nie obowiązek. Z „ważnej przyczyny” organizacja może odmówić </w:t>
      </w:r>
      <w:r w:rsidR="00FF6E4C" w:rsidRPr="009935E0">
        <w:rPr>
          <w:rFonts w:ascii="Times New Roman" w:hAnsi="Times New Roman" w:cs="Times New Roman"/>
          <w:sz w:val="24"/>
          <w:szCs w:val="24"/>
        </w:rPr>
        <w:t xml:space="preserve">jej </w:t>
      </w:r>
      <w:r w:rsidR="00F94652" w:rsidRPr="009935E0">
        <w:rPr>
          <w:rFonts w:ascii="Times New Roman" w:hAnsi="Times New Roman" w:cs="Times New Roman"/>
          <w:sz w:val="24"/>
          <w:szCs w:val="24"/>
        </w:rPr>
        <w:t>udzielenia</w:t>
      </w:r>
      <w:r w:rsidR="00FF6E4C" w:rsidRPr="009935E0">
        <w:rPr>
          <w:rFonts w:ascii="Times New Roman" w:hAnsi="Times New Roman" w:cs="Times New Roman"/>
          <w:sz w:val="24"/>
          <w:szCs w:val="24"/>
        </w:rPr>
        <w:t>.</w:t>
      </w:r>
    </w:p>
    <w:p w14:paraId="0082C0F6" w14:textId="77777777" w:rsidR="005064D5" w:rsidRPr="009935E0" w:rsidRDefault="00A41C4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Na potrzeby ECL </w:t>
      </w:r>
      <w:r w:rsidR="00C34A96" w:rsidRPr="009935E0">
        <w:rPr>
          <w:rFonts w:ascii="Times New Roman" w:hAnsi="Times New Roman" w:cs="Times New Roman"/>
          <w:sz w:val="24"/>
          <w:szCs w:val="24"/>
        </w:rPr>
        <w:t xml:space="preserve">zostanie wykorzystana instytucja reprezentatywnej organizacji zbiorowego zarządzania, o której mowa w art. 10 ustawy o zbiorowym zarządzaniu. Należy bowiem uznać, że spośród </w:t>
      </w:r>
      <w:r w:rsidRPr="009935E0">
        <w:rPr>
          <w:rFonts w:ascii="Times New Roman" w:hAnsi="Times New Roman" w:cs="Times New Roman"/>
          <w:sz w:val="24"/>
          <w:szCs w:val="24"/>
        </w:rPr>
        <w:t xml:space="preserve">wszystkich aktualnie </w:t>
      </w:r>
      <w:r w:rsidR="00C34A96" w:rsidRPr="009935E0">
        <w:rPr>
          <w:rFonts w:ascii="Times New Roman" w:hAnsi="Times New Roman" w:cs="Times New Roman"/>
          <w:sz w:val="24"/>
          <w:szCs w:val="24"/>
        </w:rPr>
        <w:t>funkcjonujących obecnie na polskim rynku organizacji zbiorowego zarządzania każda jest „reprezentatywna” w rozumieniu dyrektywy, jeżeli chodzi o zakres repertuaru, którym zarządza. Ustawa o zbiorowym zarządzaniu stawia jednak tę poprzeczkę</w:t>
      </w:r>
      <w:r w:rsidR="00356201" w:rsidRPr="009935E0">
        <w:rPr>
          <w:rFonts w:ascii="Times New Roman" w:hAnsi="Times New Roman" w:cs="Times New Roman"/>
          <w:sz w:val="24"/>
          <w:szCs w:val="24"/>
        </w:rPr>
        <w:t xml:space="preserve"> </w:t>
      </w:r>
      <w:r w:rsidR="005064D5" w:rsidRPr="009935E0">
        <w:rPr>
          <w:rFonts w:ascii="Times New Roman" w:hAnsi="Times New Roman" w:cs="Times New Roman"/>
          <w:sz w:val="24"/>
          <w:szCs w:val="24"/>
        </w:rPr>
        <w:t xml:space="preserve">„reprezentatywności” </w:t>
      </w:r>
      <w:r w:rsidR="00C34A96" w:rsidRPr="009935E0">
        <w:rPr>
          <w:rFonts w:ascii="Times New Roman" w:hAnsi="Times New Roman" w:cs="Times New Roman"/>
          <w:sz w:val="24"/>
          <w:szCs w:val="24"/>
        </w:rPr>
        <w:t xml:space="preserve">jeszcze wyżej w przypadku krzyżowania się zakresów reprezentacji kilku organizacji – wtedy tylko jedna z nich jest reprezentatywna w krzyżującym się zakresie i jest to ta, która „reprezentuje największą liczbę uprawnionych na podstawie umowy o zbiorowe zarządzanie prawami autorskimi lub prawami pokrewnymi oraz umowy o reprezentacji” (art. 10 ust. 2 ustawy o zbiorowym zarządzaniu). Jednak aby zapewnić, że w przyszłości każda nowa organizacja zbiorowego zarządzania także będzie spełniać kryterium „reprezentatywności”, przewiduje się dodanie w art. 7 ust. 1 ustawy o zbiorowym zarządzaniu dodatkowej przesłanki udzielenia zezwolenia na zbiorowe zarządzanie </w:t>
      </w:r>
      <w:r w:rsidR="001E2F0C" w:rsidRPr="009935E0">
        <w:rPr>
          <w:rFonts w:ascii="Times New Roman" w:hAnsi="Times New Roman" w:cs="Times New Roman"/>
          <w:sz w:val="24"/>
          <w:szCs w:val="24"/>
        </w:rPr>
        <w:t xml:space="preserve">(pkt 3) </w:t>
      </w:r>
      <w:r w:rsidR="00C34A96" w:rsidRPr="009935E0">
        <w:rPr>
          <w:rFonts w:ascii="Times New Roman" w:hAnsi="Times New Roman" w:cs="Times New Roman"/>
          <w:sz w:val="24"/>
          <w:szCs w:val="24"/>
        </w:rPr>
        <w:t xml:space="preserve">w postaci </w:t>
      </w:r>
      <w:r w:rsidR="00C34A96" w:rsidRPr="009935E0">
        <w:rPr>
          <w:rFonts w:ascii="Times New Roman" w:hAnsi="Times New Roman" w:cs="Times New Roman"/>
          <w:sz w:val="24"/>
          <w:szCs w:val="24"/>
        </w:rPr>
        <w:lastRenderedPageBreak/>
        <w:t xml:space="preserve">wymogu, aby stowarzyszenie wnioskujące o zezwolenie zrzeszało </w:t>
      </w:r>
      <w:r w:rsidR="005064D5" w:rsidRPr="009935E0">
        <w:rPr>
          <w:rFonts w:ascii="Times New Roman" w:hAnsi="Times New Roman" w:cs="Times New Roman"/>
          <w:sz w:val="24"/>
          <w:szCs w:val="24"/>
        </w:rPr>
        <w:t>„</w:t>
      </w:r>
      <w:r w:rsidR="00C34A96" w:rsidRPr="009935E0">
        <w:rPr>
          <w:rFonts w:ascii="Times New Roman" w:hAnsi="Times New Roman" w:cs="Times New Roman"/>
          <w:sz w:val="24"/>
          <w:szCs w:val="24"/>
        </w:rPr>
        <w:t xml:space="preserve">istotną liczbę uprawnionych w zakresie </w:t>
      </w:r>
      <w:r w:rsidR="005064D5" w:rsidRPr="009935E0">
        <w:rPr>
          <w:rFonts w:ascii="Times New Roman" w:hAnsi="Times New Roman" w:cs="Times New Roman"/>
          <w:sz w:val="24"/>
          <w:szCs w:val="24"/>
        </w:rPr>
        <w:t>objętym</w:t>
      </w:r>
      <w:r w:rsidR="00C34A96" w:rsidRPr="009935E0">
        <w:rPr>
          <w:rFonts w:ascii="Times New Roman" w:hAnsi="Times New Roman" w:cs="Times New Roman"/>
          <w:sz w:val="24"/>
          <w:szCs w:val="24"/>
        </w:rPr>
        <w:t xml:space="preserve"> wnioskiem o udzielenie zezwolenia</w:t>
      </w:r>
      <w:r w:rsidR="005064D5" w:rsidRPr="009935E0">
        <w:rPr>
          <w:rFonts w:ascii="Times New Roman" w:hAnsi="Times New Roman" w:cs="Times New Roman"/>
          <w:sz w:val="24"/>
          <w:szCs w:val="24"/>
        </w:rPr>
        <w:t>, biorąc pod uwagę ogólną liczbę uprawnionych danej kategorii”.</w:t>
      </w:r>
    </w:p>
    <w:p w14:paraId="333158A3" w14:textId="77777777" w:rsidR="00356201" w:rsidRPr="009935E0" w:rsidRDefault="00C34A9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Przepisy dotyczące ECL zos</w:t>
      </w:r>
      <w:r w:rsidR="00356201" w:rsidRPr="009935E0">
        <w:rPr>
          <w:rFonts w:ascii="Times New Roman" w:hAnsi="Times New Roman" w:cs="Times New Roman"/>
          <w:sz w:val="24"/>
          <w:szCs w:val="24"/>
        </w:rPr>
        <w:t>ta</w:t>
      </w:r>
      <w:r w:rsidR="00545C69" w:rsidRPr="009935E0">
        <w:rPr>
          <w:rFonts w:ascii="Times New Roman" w:hAnsi="Times New Roman" w:cs="Times New Roman"/>
          <w:sz w:val="24"/>
          <w:szCs w:val="24"/>
        </w:rPr>
        <w:t>ną</w:t>
      </w:r>
      <w:r w:rsidR="00356201" w:rsidRPr="009935E0">
        <w:rPr>
          <w:rFonts w:ascii="Times New Roman" w:hAnsi="Times New Roman" w:cs="Times New Roman"/>
          <w:sz w:val="24"/>
          <w:szCs w:val="24"/>
        </w:rPr>
        <w:t xml:space="preserve"> wprowadzone w projektowanym art. 5a ustawy o zbiorowym zarządzaniu. Przewiduje się zatem, że organizacja zbiorowego zarządzania, która zawiera umowę w z</w:t>
      </w:r>
      <w:r w:rsidR="008A1EAA" w:rsidRPr="009935E0">
        <w:rPr>
          <w:rFonts w:ascii="Times New Roman" w:hAnsi="Times New Roman" w:cs="Times New Roman"/>
          <w:sz w:val="24"/>
          <w:szCs w:val="24"/>
        </w:rPr>
        <w:t xml:space="preserve">akresie, o którym mowa w </w:t>
      </w:r>
      <w:r w:rsidR="00356201" w:rsidRPr="009935E0">
        <w:rPr>
          <w:rFonts w:ascii="Times New Roman" w:hAnsi="Times New Roman" w:cs="Times New Roman"/>
          <w:sz w:val="24"/>
          <w:szCs w:val="24"/>
        </w:rPr>
        <w:t>art. 99</w:t>
      </w:r>
      <w:r w:rsidR="00356201" w:rsidRPr="009935E0">
        <w:rPr>
          <w:rStyle w:val="IGindeksgrny"/>
          <w:rFonts w:ascii="Times New Roman" w:hAnsi="Times New Roman" w:cs="Times New Roman"/>
          <w:sz w:val="24"/>
          <w:szCs w:val="24"/>
          <w:specVanish w:val="0"/>
        </w:rPr>
        <w:t>7</w:t>
      </w:r>
      <w:r w:rsidR="00356201" w:rsidRPr="009935E0">
        <w:rPr>
          <w:rFonts w:ascii="Times New Roman" w:hAnsi="Times New Roman" w:cs="Times New Roman"/>
          <w:sz w:val="24"/>
          <w:szCs w:val="24"/>
        </w:rPr>
        <w:t xml:space="preserve"> ust. 2 ustawy o prawie autorskim może „rozszerzyć” zakres takiej umowy o prawa tej samej kategorii uprawnionych do tego samego rodzaju utworów lub przedmiotów praw pokrewnych na tym samym polu eksploatacji, którymi organizacja ta nie zarządza na podstawie umowy o zbiorowe zarządzanie lub umowy o reprezentacji (przy czym zostaje wprowadzony termin „rozszerzona licencja zbiorowa”), pod warunkiem że w zakresie tego rozszerzenia umowa dotyczy wyłącznie korzystania na terytorium Rzeczypospolitej Polskiej, zaś organizacja zbiorowego zarządzania jest reprezentatywna w odniesieniu do tych praw.</w:t>
      </w:r>
    </w:p>
    <w:p w14:paraId="072232B2" w14:textId="77777777" w:rsidR="00B650F0" w:rsidRPr="009935E0" w:rsidRDefault="00B650F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ust. 2 przewidziano mechanizm </w:t>
      </w:r>
      <w:proofErr w:type="spellStart"/>
      <w:r w:rsidRPr="009935E0">
        <w:rPr>
          <w:rFonts w:ascii="Times New Roman" w:hAnsi="Times New Roman" w:cs="Times New Roman"/>
          <w:i/>
          <w:sz w:val="24"/>
          <w:szCs w:val="24"/>
        </w:rPr>
        <w:t>opt</w:t>
      </w:r>
      <w:proofErr w:type="spellEnd"/>
      <w:r w:rsidRPr="009935E0">
        <w:rPr>
          <w:rFonts w:ascii="Times New Roman" w:hAnsi="Times New Roman" w:cs="Times New Roman"/>
          <w:i/>
          <w:sz w:val="24"/>
          <w:szCs w:val="24"/>
        </w:rPr>
        <w:t>-out</w:t>
      </w:r>
      <w:r w:rsidRPr="009935E0">
        <w:rPr>
          <w:rFonts w:ascii="Times New Roman" w:hAnsi="Times New Roman" w:cs="Times New Roman"/>
          <w:sz w:val="24"/>
          <w:szCs w:val="24"/>
        </w:rPr>
        <w:t xml:space="preserve"> dla uprawnionych, zgodnie z art. 12 ust. 3 lit. c dyrektywy</w:t>
      </w:r>
      <w:r w:rsidR="00807C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Uprawnieni będą mogli zatem „w każdym czasie i ze skutkiem natychmiastowym”, w drodze oświadczenia złożonego organizacji zbiorowego zarządzania, wyłączyć swoje utwory lub przedmioty praw pokrewnych z zakresu rozszerzonych licencji zbiorowych. W takim przypadku będzie odpowiednio stosowany mechanizm „okresu przejściowego”, o którym mowa w art. 32 ust. 3–5 ustawy o zbiorowym zarządzaniu, z tym że zostanie on skrócony do 6 miesięcy.</w:t>
      </w:r>
    </w:p>
    <w:p w14:paraId="45FF8E99" w14:textId="77777777" w:rsidR="00B650F0" w:rsidRPr="009935E0" w:rsidRDefault="00B650F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ust. 3 przewidziano obowiązek informacyjny, zgodnie z art. 12 ust. 3 lit. d dyrektywy</w:t>
      </w:r>
      <w:r w:rsidR="00807CAD"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Organizacja zbiorowego zarządzania zamierzająca udzielić ECL</w:t>
      </w:r>
      <w:r w:rsidR="005F0F97"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001A40A7" w:rsidRPr="009935E0">
        <w:rPr>
          <w:rFonts w:ascii="Times New Roman" w:hAnsi="Times New Roman" w:cs="Times New Roman"/>
          <w:sz w:val="24"/>
          <w:szCs w:val="24"/>
        </w:rPr>
        <w:t>„</w:t>
      </w:r>
      <w:r w:rsidRPr="009935E0">
        <w:rPr>
          <w:rFonts w:ascii="Times New Roman" w:hAnsi="Times New Roman" w:cs="Times New Roman"/>
          <w:sz w:val="24"/>
          <w:szCs w:val="24"/>
        </w:rPr>
        <w:t>w rozsądnym czasie</w:t>
      </w:r>
      <w:r w:rsidR="001A40A7" w:rsidRPr="009935E0">
        <w:rPr>
          <w:rFonts w:ascii="Times New Roman" w:hAnsi="Times New Roman" w:cs="Times New Roman"/>
          <w:sz w:val="24"/>
          <w:szCs w:val="24"/>
        </w:rPr>
        <w:t>”</w:t>
      </w:r>
      <w:r w:rsidRPr="009935E0">
        <w:rPr>
          <w:rFonts w:ascii="Times New Roman" w:hAnsi="Times New Roman" w:cs="Times New Roman"/>
          <w:sz w:val="24"/>
          <w:szCs w:val="24"/>
        </w:rPr>
        <w:t xml:space="preserve"> przed </w:t>
      </w:r>
      <w:r w:rsidR="001A40A7" w:rsidRPr="009935E0">
        <w:rPr>
          <w:rFonts w:ascii="Times New Roman" w:hAnsi="Times New Roman" w:cs="Times New Roman"/>
          <w:sz w:val="24"/>
          <w:szCs w:val="24"/>
        </w:rPr>
        <w:t xml:space="preserve">jej </w:t>
      </w:r>
      <w:r w:rsidRPr="009935E0">
        <w:rPr>
          <w:rFonts w:ascii="Times New Roman" w:hAnsi="Times New Roman" w:cs="Times New Roman"/>
          <w:sz w:val="24"/>
          <w:szCs w:val="24"/>
        </w:rPr>
        <w:t>udzieleniem</w:t>
      </w:r>
      <w:r w:rsidR="005F0F97"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001A40A7" w:rsidRPr="009935E0">
        <w:rPr>
          <w:rFonts w:ascii="Times New Roman" w:hAnsi="Times New Roman" w:cs="Times New Roman"/>
          <w:sz w:val="24"/>
          <w:szCs w:val="24"/>
        </w:rPr>
        <w:t>obowiązana zostaje podać</w:t>
      </w:r>
      <w:r w:rsidRPr="009935E0">
        <w:rPr>
          <w:rFonts w:ascii="Times New Roman" w:hAnsi="Times New Roman" w:cs="Times New Roman"/>
          <w:sz w:val="24"/>
          <w:szCs w:val="24"/>
        </w:rPr>
        <w:t xml:space="preserve"> do publicznej wiadomości</w:t>
      </w:r>
      <w:r w:rsidR="00F910BA" w:rsidRPr="009935E0">
        <w:rPr>
          <w:rFonts w:ascii="Times New Roman" w:hAnsi="Times New Roman" w:cs="Times New Roman"/>
          <w:sz w:val="24"/>
          <w:szCs w:val="24"/>
        </w:rPr>
        <w:t xml:space="preserve"> na swojej stronie internetowej</w:t>
      </w:r>
      <w:r w:rsidRPr="009935E0">
        <w:rPr>
          <w:rFonts w:ascii="Times New Roman" w:hAnsi="Times New Roman" w:cs="Times New Roman"/>
          <w:sz w:val="24"/>
          <w:szCs w:val="24"/>
        </w:rPr>
        <w:t>, że zamierza udzielić takiej licencji, a następnie że udzieliła takiej licencji oraz, w każdym przypadku, że upraw</w:t>
      </w:r>
      <w:r w:rsidR="001A40A7" w:rsidRPr="009935E0">
        <w:rPr>
          <w:rFonts w:ascii="Times New Roman" w:hAnsi="Times New Roman" w:cs="Times New Roman"/>
          <w:sz w:val="24"/>
          <w:szCs w:val="24"/>
        </w:rPr>
        <w:t>nieni mogą złożyć oświadczenie o wyłączeniu swych utworów spod ECL (</w:t>
      </w:r>
      <w:proofErr w:type="spellStart"/>
      <w:r w:rsidR="001A40A7" w:rsidRPr="009935E0">
        <w:rPr>
          <w:rFonts w:ascii="Times New Roman" w:hAnsi="Times New Roman" w:cs="Times New Roman"/>
          <w:i/>
          <w:sz w:val="24"/>
          <w:szCs w:val="24"/>
        </w:rPr>
        <w:t>opt</w:t>
      </w:r>
      <w:proofErr w:type="spellEnd"/>
      <w:r w:rsidR="001A40A7" w:rsidRPr="009935E0">
        <w:rPr>
          <w:rFonts w:ascii="Times New Roman" w:hAnsi="Times New Roman" w:cs="Times New Roman"/>
          <w:i/>
          <w:sz w:val="24"/>
          <w:szCs w:val="24"/>
        </w:rPr>
        <w:t>-out</w:t>
      </w:r>
      <w:r w:rsidR="001A40A7" w:rsidRPr="009935E0">
        <w:rPr>
          <w:rFonts w:ascii="Times New Roman" w:hAnsi="Times New Roman" w:cs="Times New Roman"/>
          <w:sz w:val="24"/>
          <w:szCs w:val="24"/>
        </w:rPr>
        <w:t xml:space="preserve">). </w:t>
      </w:r>
    </w:p>
    <w:p w14:paraId="780E610D" w14:textId="77777777" w:rsidR="001A40A7" w:rsidRPr="009935E0" w:rsidRDefault="006C117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Zgodnie z art. 12 ust. 4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do ECL ma mieć zastosowanie art. 7 dyrektywy 2014/26/UE. Ponieważ ta dyrektywa została wdrożona właśnie ustawą o zbiorowym zarządzaniu, a regulacja dotycząca ECL będzie znajdować się w tej ustawie, do organizacji zbiorowego zarządzania udzielającej ECL będą się stosowały także przewidziane w tej ustawie zasady dotyczące </w:t>
      </w:r>
      <w:r w:rsidR="00151543" w:rsidRPr="009935E0">
        <w:rPr>
          <w:rFonts w:ascii="Times New Roman" w:hAnsi="Times New Roman" w:cs="Times New Roman"/>
          <w:sz w:val="24"/>
          <w:szCs w:val="24"/>
        </w:rPr>
        <w:t xml:space="preserve">działalności </w:t>
      </w:r>
      <w:proofErr w:type="spellStart"/>
      <w:r w:rsidR="00151543" w:rsidRPr="009935E0">
        <w:rPr>
          <w:rFonts w:ascii="Times New Roman" w:hAnsi="Times New Roman" w:cs="Times New Roman"/>
          <w:sz w:val="24"/>
          <w:szCs w:val="24"/>
        </w:rPr>
        <w:t>ozz</w:t>
      </w:r>
      <w:proofErr w:type="spellEnd"/>
      <w:r w:rsidR="00151543" w:rsidRPr="009935E0">
        <w:rPr>
          <w:rFonts w:ascii="Times New Roman" w:hAnsi="Times New Roman" w:cs="Times New Roman"/>
          <w:sz w:val="24"/>
          <w:szCs w:val="24"/>
        </w:rPr>
        <w:t xml:space="preserve"> w pozostałych obszarach (obowiązek stosowania środków komunikacji elektronicznej, obowiązki informacyjne itd.)</w:t>
      </w:r>
      <w:r w:rsidR="00AB1F86" w:rsidRPr="009935E0">
        <w:rPr>
          <w:rFonts w:ascii="Times New Roman" w:hAnsi="Times New Roman" w:cs="Times New Roman"/>
          <w:sz w:val="24"/>
          <w:szCs w:val="24"/>
        </w:rPr>
        <w:t>.</w:t>
      </w:r>
    </w:p>
    <w:p w14:paraId="67FE426E" w14:textId="78A5BFDA" w:rsidR="003D69ED" w:rsidRPr="009935E0" w:rsidRDefault="003D69ED" w:rsidP="00483092">
      <w:pPr>
        <w:pStyle w:val="Akapitzlist"/>
        <w:numPr>
          <w:ilvl w:val="0"/>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lastRenderedPageBreak/>
        <w:t>Wprowadzenie środków ułatwiających licencjonowanie utworów udostępnianych w</w:t>
      </w:r>
      <w:r w:rsidR="001C1FE3">
        <w:rPr>
          <w:rFonts w:ascii="Times New Roman" w:hAnsi="Times New Roman" w:cs="Times New Roman"/>
          <w:b/>
          <w:sz w:val="24"/>
          <w:szCs w:val="24"/>
        </w:rPr>
        <w:t> </w:t>
      </w:r>
      <w:r w:rsidRPr="009935E0">
        <w:rPr>
          <w:rFonts w:ascii="Times New Roman" w:hAnsi="Times New Roman" w:cs="Times New Roman"/>
          <w:b/>
          <w:sz w:val="24"/>
          <w:szCs w:val="24"/>
        </w:rPr>
        <w:t>ramach usług wide</w:t>
      </w:r>
      <w:r w:rsidR="009B263A" w:rsidRPr="009935E0">
        <w:rPr>
          <w:rFonts w:ascii="Times New Roman" w:hAnsi="Times New Roman" w:cs="Times New Roman"/>
          <w:b/>
          <w:sz w:val="24"/>
          <w:szCs w:val="24"/>
        </w:rPr>
        <w:t>o na żądanie (art. 13 dyrektywy)</w:t>
      </w:r>
    </w:p>
    <w:p w14:paraId="20476B9A" w14:textId="63FFBA16" w:rsidR="004635F7" w:rsidRPr="009935E0" w:rsidRDefault="003D69E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13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ma na celu ułatwienie zawierania umów licencyjnych dotyczących VOD. Przewiduje on, że strony, które „napotykają trudności związane z udzielaniem licencji”, powinny móc „zwrócić się o pomoc do bezstronnego organu lub mediatorów”, którzy będą </w:t>
      </w:r>
      <w:r w:rsidR="004635F7" w:rsidRPr="009935E0">
        <w:rPr>
          <w:rFonts w:ascii="Times New Roman" w:hAnsi="Times New Roman" w:cs="Times New Roman"/>
          <w:sz w:val="24"/>
          <w:szCs w:val="24"/>
        </w:rPr>
        <w:t>„</w:t>
      </w:r>
      <w:r w:rsidRPr="009935E0">
        <w:rPr>
          <w:rFonts w:ascii="Times New Roman" w:hAnsi="Times New Roman" w:cs="Times New Roman"/>
          <w:sz w:val="24"/>
          <w:szCs w:val="24"/>
        </w:rPr>
        <w:t xml:space="preserve">stanowić </w:t>
      </w:r>
      <w:r w:rsidR="004635F7" w:rsidRPr="009935E0">
        <w:rPr>
          <w:rFonts w:ascii="Times New Roman" w:hAnsi="Times New Roman" w:cs="Times New Roman"/>
          <w:sz w:val="24"/>
          <w:szCs w:val="24"/>
        </w:rPr>
        <w:t>wsparcie w tych negocjacjach i w stosownych przypadkach</w:t>
      </w:r>
      <w:r w:rsidRPr="009935E0">
        <w:rPr>
          <w:rFonts w:ascii="Times New Roman" w:hAnsi="Times New Roman" w:cs="Times New Roman"/>
          <w:sz w:val="24"/>
          <w:szCs w:val="24"/>
        </w:rPr>
        <w:t xml:space="preserve"> proponować własne rozwiązania</w:t>
      </w:r>
      <w:r w:rsidR="004635F7"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004635F7" w:rsidRPr="009935E0">
        <w:rPr>
          <w:rFonts w:ascii="Times New Roman" w:hAnsi="Times New Roman" w:cs="Times New Roman"/>
          <w:sz w:val="24"/>
          <w:szCs w:val="24"/>
        </w:rPr>
        <w:t xml:space="preserve">Dyrektywa </w:t>
      </w:r>
      <w:r w:rsidR="00807CAD" w:rsidRPr="009935E0">
        <w:rPr>
          <w:rFonts w:ascii="Times New Roman" w:hAnsi="Times New Roman" w:cs="Times New Roman"/>
          <w:sz w:val="24"/>
          <w:szCs w:val="24"/>
        </w:rPr>
        <w:t xml:space="preserve">DSM </w:t>
      </w:r>
      <w:r w:rsidR="004635F7" w:rsidRPr="009935E0">
        <w:rPr>
          <w:rFonts w:ascii="Times New Roman" w:hAnsi="Times New Roman" w:cs="Times New Roman"/>
          <w:sz w:val="24"/>
          <w:szCs w:val="24"/>
        </w:rPr>
        <w:t xml:space="preserve">nie zawiera bardziej szczegółowych </w:t>
      </w:r>
      <w:r w:rsidRPr="009935E0">
        <w:rPr>
          <w:rFonts w:ascii="Times New Roman" w:hAnsi="Times New Roman" w:cs="Times New Roman"/>
          <w:sz w:val="24"/>
          <w:szCs w:val="24"/>
        </w:rPr>
        <w:t xml:space="preserve">wytycznych w tym zakresie. </w:t>
      </w:r>
      <w:r w:rsidR="004635F7" w:rsidRPr="009935E0">
        <w:rPr>
          <w:rFonts w:ascii="Times New Roman" w:hAnsi="Times New Roman" w:cs="Times New Roman"/>
          <w:sz w:val="24"/>
          <w:szCs w:val="24"/>
        </w:rPr>
        <w:t>W</w:t>
      </w:r>
      <w:r w:rsidRPr="009935E0">
        <w:rPr>
          <w:rFonts w:ascii="Times New Roman" w:hAnsi="Times New Roman" w:cs="Times New Roman"/>
          <w:sz w:val="24"/>
          <w:szCs w:val="24"/>
        </w:rPr>
        <w:t xml:space="preserve"> motywie 52 wskazuje </w:t>
      </w:r>
      <w:r w:rsidR="004635F7" w:rsidRPr="009935E0">
        <w:rPr>
          <w:rFonts w:ascii="Times New Roman" w:hAnsi="Times New Roman" w:cs="Times New Roman"/>
          <w:sz w:val="24"/>
          <w:szCs w:val="24"/>
        </w:rPr>
        <w:t>jednak</w:t>
      </w:r>
      <w:r w:rsidRPr="009935E0">
        <w:rPr>
          <w:rFonts w:ascii="Times New Roman" w:hAnsi="Times New Roman" w:cs="Times New Roman"/>
          <w:sz w:val="24"/>
          <w:szCs w:val="24"/>
        </w:rPr>
        <w:t xml:space="preserve">, że mediacja ma być dobrowolna dla obydwu stron </w:t>
      </w:r>
      <w:r w:rsidR="00545C69" w:rsidRPr="009935E0">
        <w:rPr>
          <w:rFonts w:ascii="Times New Roman" w:hAnsi="Times New Roman" w:cs="Times New Roman"/>
          <w:sz w:val="24"/>
          <w:szCs w:val="24"/>
        </w:rPr>
        <w:t>oraz że</w:t>
      </w:r>
      <w:r w:rsidRPr="009935E0">
        <w:rPr>
          <w:rFonts w:ascii="Times New Roman" w:hAnsi="Times New Roman" w:cs="Times New Roman"/>
          <w:sz w:val="24"/>
          <w:szCs w:val="24"/>
        </w:rPr>
        <w:t xml:space="preserve"> poszanowana ma być zasada swobody zawierania umów, co jednak należy uznać za dość oczywiste i powszechnie przyjęte </w:t>
      </w:r>
      <w:r w:rsidR="004635F7" w:rsidRPr="009935E0">
        <w:rPr>
          <w:rFonts w:ascii="Times New Roman" w:hAnsi="Times New Roman" w:cs="Times New Roman"/>
          <w:sz w:val="24"/>
          <w:szCs w:val="24"/>
        </w:rPr>
        <w:t>standardy</w:t>
      </w:r>
      <w:r w:rsidRPr="009935E0">
        <w:rPr>
          <w:rFonts w:ascii="Times New Roman" w:hAnsi="Times New Roman" w:cs="Times New Roman"/>
          <w:sz w:val="24"/>
          <w:szCs w:val="24"/>
        </w:rPr>
        <w:t xml:space="preserve"> charakteryzujące istotę tego pozasądowego sposobu rozwiązywania sporów</w:t>
      </w:r>
      <w:r w:rsidR="004635F7" w:rsidRPr="009935E0">
        <w:rPr>
          <w:rFonts w:ascii="Times New Roman" w:hAnsi="Times New Roman" w:cs="Times New Roman"/>
          <w:sz w:val="24"/>
          <w:szCs w:val="24"/>
        </w:rPr>
        <w:t>,</w:t>
      </w:r>
      <w:r w:rsidRPr="009935E0">
        <w:rPr>
          <w:rFonts w:ascii="Times New Roman" w:hAnsi="Times New Roman" w:cs="Times New Roman"/>
          <w:sz w:val="24"/>
          <w:szCs w:val="24"/>
        </w:rPr>
        <w:t xml:space="preserve"> odróżniające go od innych (ADR – </w:t>
      </w:r>
      <w:proofErr w:type="spellStart"/>
      <w:r w:rsidRPr="009935E0">
        <w:rPr>
          <w:rFonts w:ascii="Times New Roman" w:hAnsi="Times New Roman" w:cs="Times New Roman"/>
          <w:sz w:val="24"/>
          <w:szCs w:val="24"/>
        </w:rPr>
        <w:t>Alternative</w:t>
      </w:r>
      <w:proofErr w:type="spellEnd"/>
      <w:r w:rsidRPr="009935E0">
        <w:rPr>
          <w:rFonts w:ascii="Times New Roman" w:hAnsi="Times New Roman" w:cs="Times New Roman"/>
          <w:sz w:val="24"/>
          <w:szCs w:val="24"/>
        </w:rPr>
        <w:t xml:space="preserve"> </w:t>
      </w:r>
      <w:proofErr w:type="spellStart"/>
      <w:r w:rsidRPr="009935E0">
        <w:rPr>
          <w:rFonts w:ascii="Times New Roman" w:hAnsi="Times New Roman" w:cs="Times New Roman"/>
          <w:sz w:val="24"/>
          <w:szCs w:val="24"/>
        </w:rPr>
        <w:t>Dispute</w:t>
      </w:r>
      <w:proofErr w:type="spellEnd"/>
      <w:r w:rsidRPr="009935E0">
        <w:rPr>
          <w:rFonts w:ascii="Times New Roman" w:hAnsi="Times New Roman" w:cs="Times New Roman"/>
          <w:sz w:val="24"/>
          <w:szCs w:val="24"/>
        </w:rPr>
        <w:t xml:space="preserve"> Resolution), np. od sądownictwa polubownego (arbitrażu). Dyrektywa pozostawia państwom członkowskim swobodę decyzji co do „konkretnego funkcjonowania mechanizmu mediacji” i kosztów z tym związanych</w:t>
      </w:r>
      <w:r w:rsidR="000541EB" w:rsidRPr="009935E0">
        <w:rPr>
          <w:rFonts w:ascii="Times New Roman" w:hAnsi="Times New Roman" w:cs="Times New Roman"/>
          <w:sz w:val="24"/>
          <w:szCs w:val="24"/>
        </w:rPr>
        <w:t xml:space="preserve">, </w:t>
      </w:r>
      <w:r w:rsidRPr="009935E0">
        <w:rPr>
          <w:rFonts w:ascii="Times New Roman" w:hAnsi="Times New Roman" w:cs="Times New Roman"/>
          <w:sz w:val="24"/>
          <w:szCs w:val="24"/>
        </w:rPr>
        <w:t>o ile byłyby one „proporcjonalne do zagwarantowania skuteczno</w:t>
      </w:r>
      <w:r w:rsidR="004635F7" w:rsidRPr="009935E0">
        <w:rPr>
          <w:rFonts w:ascii="Times New Roman" w:hAnsi="Times New Roman" w:cs="Times New Roman"/>
          <w:sz w:val="24"/>
          <w:szCs w:val="24"/>
        </w:rPr>
        <w:t>ści mechanizmu negocjacyjnego”.</w:t>
      </w:r>
    </w:p>
    <w:p w14:paraId="6EF7AD29" w14:textId="77777777" w:rsidR="005E4526" w:rsidRPr="009935E0" w:rsidRDefault="003D69E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Należy zauważyć, że aktualnie w prawie polskim nie ma przeszkód, aby strony negocjujące umowy licencyjne (i w zasadzie każde inne) korzystały z instytucji mediacji, którą oferuje wiele instytucji publicznych i prywatnych (Centrum Mediacji przy Krajowej Radzie Radców Prawnych, Sąd Arbitrażowy Rynku Audi</w:t>
      </w:r>
      <w:r w:rsidR="001E2F0C" w:rsidRPr="009935E0">
        <w:rPr>
          <w:rFonts w:ascii="Times New Roman" w:hAnsi="Times New Roman" w:cs="Times New Roman"/>
          <w:sz w:val="24"/>
          <w:szCs w:val="24"/>
        </w:rPr>
        <w:t xml:space="preserve">owizualnego przy Krajowej Izbie </w:t>
      </w:r>
      <w:r w:rsidRPr="009935E0">
        <w:rPr>
          <w:rFonts w:ascii="Times New Roman" w:hAnsi="Times New Roman" w:cs="Times New Roman"/>
          <w:sz w:val="24"/>
          <w:szCs w:val="24"/>
        </w:rPr>
        <w:t>Producentów Audiowizualnych w Warszawie, Sąd Arbitrażowy przy Krajowej Izbie Gospodarczej w Warszawie itd.)</w:t>
      </w:r>
      <w:r w:rsidR="00545C69" w:rsidRPr="009935E0">
        <w:rPr>
          <w:rFonts w:ascii="Times New Roman" w:hAnsi="Times New Roman" w:cs="Times New Roman"/>
          <w:sz w:val="24"/>
          <w:szCs w:val="24"/>
        </w:rPr>
        <w:t>,</w:t>
      </w:r>
      <w:r w:rsidRPr="009935E0">
        <w:rPr>
          <w:rFonts w:ascii="Times New Roman" w:hAnsi="Times New Roman" w:cs="Times New Roman"/>
          <w:sz w:val="24"/>
          <w:szCs w:val="24"/>
        </w:rPr>
        <w:t xml:space="preserve"> lub też skorzystały z mediacji pozainstytucjonalnej (ad hoc). Negocjacje prowadzone z organizacjami zbiorowego zarządzania prawami autorskimi lub prawami pokrewnymi podlegają przepisom ustawy o zbiorowym zarz</w:t>
      </w:r>
      <w:r w:rsidR="00A133D5" w:rsidRPr="009935E0">
        <w:rPr>
          <w:rFonts w:ascii="Times New Roman" w:hAnsi="Times New Roman" w:cs="Times New Roman"/>
          <w:sz w:val="24"/>
          <w:szCs w:val="24"/>
        </w:rPr>
        <w:t>ądzaniu (m.</w:t>
      </w:r>
      <w:r w:rsidRPr="009935E0">
        <w:rPr>
          <w:rFonts w:ascii="Times New Roman" w:hAnsi="Times New Roman" w:cs="Times New Roman"/>
          <w:sz w:val="24"/>
          <w:szCs w:val="24"/>
        </w:rPr>
        <w:t xml:space="preserve">in. art. 45), a w braku porozumienia – szczególnej postaci mediacji prowadzonej przez Komisję Prawa Autorskiego, stosującej odpowiednio przepisy Kodeksu postępowania cywilnego o mediacji (art. 64 ust. 1 pkt 4 w zw. z ust. 3 ustawy o zbiorowym zarządzaniu). Wydaje się zatem, że wdrażając omawiany </w:t>
      </w:r>
      <w:r w:rsidR="005E4526" w:rsidRPr="009935E0">
        <w:rPr>
          <w:rFonts w:ascii="Times New Roman" w:hAnsi="Times New Roman" w:cs="Times New Roman"/>
          <w:sz w:val="24"/>
          <w:szCs w:val="24"/>
        </w:rPr>
        <w:t>przepis</w:t>
      </w:r>
      <w:r w:rsidRPr="009935E0">
        <w:rPr>
          <w:rFonts w:ascii="Times New Roman" w:hAnsi="Times New Roman" w:cs="Times New Roman"/>
          <w:sz w:val="24"/>
          <w:szCs w:val="24"/>
        </w:rPr>
        <w:t xml:space="preserve"> dyrektywy</w:t>
      </w:r>
      <w:r w:rsidR="00545C69" w:rsidRPr="009935E0">
        <w:rPr>
          <w:rFonts w:ascii="Times New Roman" w:hAnsi="Times New Roman" w:cs="Times New Roman"/>
          <w:sz w:val="24"/>
          <w:szCs w:val="24"/>
        </w:rPr>
        <w:t>,</w:t>
      </w:r>
      <w:r w:rsidRPr="009935E0">
        <w:rPr>
          <w:rFonts w:ascii="Times New Roman" w:hAnsi="Times New Roman" w:cs="Times New Roman"/>
          <w:sz w:val="24"/>
          <w:szCs w:val="24"/>
        </w:rPr>
        <w:t xml:space="preserve"> należy skorzystać z wieloletnich doświadczeń Komisji Prawa Autorskiego, nie zamykając jednak zainteresowanym stronom drogi do mediacji prowadzonej przez inne organizacje lub instytucje. Ponieważ ustawa o zbiorowym zarządzaniu dotyczy organizacji zbiorowego zarządzania (oraz tzw. niezależnych podmiotów zarządzających), zaś omawiany </w:t>
      </w:r>
      <w:r w:rsidR="005E4526" w:rsidRPr="009935E0">
        <w:rPr>
          <w:rFonts w:ascii="Times New Roman" w:hAnsi="Times New Roman" w:cs="Times New Roman"/>
          <w:sz w:val="24"/>
          <w:szCs w:val="24"/>
        </w:rPr>
        <w:t>przepis</w:t>
      </w:r>
      <w:r w:rsidRPr="009935E0">
        <w:rPr>
          <w:rFonts w:ascii="Times New Roman" w:hAnsi="Times New Roman" w:cs="Times New Roman"/>
          <w:sz w:val="24"/>
          <w:szCs w:val="24"/>
        </w:rPr>
        <w:t xml:space="preserve"> dyrektywy </w:t>
      </w:r>
      <w:r w:rsidR="00545C69" w:rsidRPr="009935E0">
        <w:rPr>
          <w:rFonts w:ascii="Times New Roman" w:hAnsi="Times New Roman" w:cs="Times New Roman"/>
          <w:sz w:val="24"/>
          <w:szCs w:val="24"/>
        </w:rPr>
        <w:t xml:space="preserve">– </w:t>
      </w:r>
      <w:r w:rsidRPr="009935E0">
        <w:rPr>
          <w:rFonts w:ascii="Times New Roman" w:hAnsi="Times New Roman" w:cs="Times New Roman"/>
          <w:sz w:val="24"/>
          <w:szCs w:val="24"/>
        </w:rPr>
        <w:t>negocjacji prowadzonych nie tylko z udziałem organizacji zbiorowego zarządzania, jego wdrożenie nastąpi w ustawie o prawie autorskim, w rozdziale 6</w:t>
      </w:r>
      <w:r w:rsidR="005E4526" w:rsidRPr="009935E0">
        <w:rPr>
          <w:rFonts w:ascii="Times New Roman" w:hAnsi="Times New Roman" w:cs="Times New Roman"/>
          <w:sz w:val="24"/>
          <w:szCs w:val="24"/>
        </w:rPr>
        <w:t xml:space="preserve"> pt.:</w:t>
      </w:r>
      <w:r w:rsidRPr="009935E0">
        <w:rPr>
          <w:rFonts w:ascii="Times New Roman" w:hAnsi="Times New Roman" w:cs="Times New Roman"/>
          <w:sz w:val="24"/>
          <w:szCs w:val="24"/>
        </w:rPr>
        <w:t xml:space="preserve"> „Przepisy szczególne dotyczące utworów audiowizualnych”, </w:t>
      </w:r>
      <w:r w:rsidR="005E4526" w:rsidRPr="009935E0">
        <w:rPr>
          <w:rFonts w:ascii="Times New Roman" w:hAnsi="Times New Roman" w:cs="Times New Roman"/>
          <w:sz w:val="24"/>
          <w:szCs w:val="24"/>
        </w:rPr>
        <w:t>w nowym</w:t>
      </w:r>
      <w:r w:rsidRPr="009935E0">
        <w:rPr>
          <w:rFonts w:ascii="Times New Roman" w:hAnsi="Times New Roman" w:cs="Times New Roman"/>
          <w:sz w:val="24"/>
          <w:szCs w:val="24"/>
        </w:rPr>
        <w:t xml:space="preserve"> art. 73</w:t>
      </w:r>
      <w:r w:rsidR="005F0F97" w:rsidRPr="009935E0">
        <w:rPr>
          <w:rFonts w:ascii="Times New Roman" w:hAnsi="Times New Roman" w:cs="Times New Roman"/>
          <w:sz w:val="24"/>
          <w:szCs w:val="24"/>
        </w:rPr>
        <w:t>a</w:t>
      </w:r>
      <w:r w:rsidRPr="009935E0">
        <w:rPr>
          <w:rFonts w:ascii="Times New Roman" w:hAnsi="Times New Roman" w:cs="Times New Roman"/>
          <w:sz w:val="24"/>
          <w:szCs w:val="24"/>
        </w:rPr>
        <w:t xml:space="preserve">. </w:t>
      </w:r>
    </w:p>
    <w:p w14:paraId="2EBB0345" w14:textId="77777777" w:rsidR="00AA2FE2" w:rsidRPr="009935E0" w:rsidRDefault="005E452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Zatem zgodnie z projektowanym art. 73</w:t>
      </w:r>
      <w:r w:rsidR="005F0F97" w:rsidRPr="009935E0">
        <w:rPr>
          <w:rFonts w:ascii="Times New Roman" w:hAnsi="Times New Roman" w:cs="Times New Roman"/>
          <w:sz w:val="24"/>
          <w:szCs w:val="24"/>
        </w:rPr>
        <w:t>a</w:t>
      </w:r>
      <w:r w:rsidRPr="009935E0">
        <w:rPr>
          <w:rFonts w:ascii="Times New Roman" w:hAnsi="Times New Roman" w:cs="Times New Roman"/>
          <w:sz w:val="24"/>
          <w:szCs w:val="24"/>
        </w:rPr>
        <w:t xml:space="preserve"> </w:t>
      </w:r>
      <w:r w:rsidR="00250067"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 xml:space="preserve">strony negocjujące umowę o publiczne udostępnianie utworu </w:t>
      </w:r>
      <w:r w:rsidR="000541EB" w:rsidRPr="009935E0">
        <w:rPr>
          <w:rFonts w:ascii="Times New Roman" w:hAnsi="Times New Roman" w:cs="Times New Roman"/>
          <w:sz w:val="24"/>
          <w:szCs w:val="24"/>
        </w:rPr>
        <w:t xml:space="preserve">audiowizualnego </w:t>
      </w:r>
      <w:r w:rsidRPr="009935E0">
        <w:rPr>
          <w:rFonts w:ascii="Times New Roman" w:hAnsi="Times New Roman" w:cs="Times New Roman"/>
          <w:sz w:val="24"/>
          <w:szCs w:val="24"/>
        </w:rPr>
        <w:t>w taki sposób, aby każdy mógł mieć do niego dostęp w miejscu i czasie przez siebie wybranym, mogą wystąpić do Komisji Prawa Autorskiego (o której mowa w ustawie o zbiorowym zarządzaniu) o przeprowadzenie mediacji, wskazując mediatora z listy arbitrów Komisji.</w:t>
      </w:r>
      <w:r w:rsidR="00250067" w:rsidRPr="009935E0">
        <w:rPr>
          <w:rFonts w:ascii="Times New Roman" w:hAnsi="Times New Roman" w:cs="Times New Roman"/>
          <w:sz w:val="24"/>
          <w:szCs w:val="24"/>
        </w:rPr>
        <w:t xml:space="preserve"> </w:t>
      </w:r>
      <w:r w:rsidRPr="009935E0">
        <w:rPr>
          <w:rFonts w:ascii="Times New Roman" w:hAnsi="Times New Roman" w:cs="Times New Roman"/>
          <w:sz w:val="24"/>
          <w:szCs w:val="24"/>
        </w:rPr>
        <w:t>Jeżeli wskazany przez strony mediator wyrazi zgodę na mediację, uzgadnia ze stronami warunki, zasady i harmonogram mediacji.</w:t>
      </w:r>
      <w:r w:rsidR="00250067" w:rsidRPr="009935E0">
        <w:rPr>
          <w:rFonts w:ascii="Times New Roman" w:hAnsi="Times New Roman" w:cs="Times New Roman"/>
          <w:sz w:val="24"/>
          <w:szCs w:val="24"/>
        </w:rPr>
        <w:t xml:space="preserve"> </w:t>
      </w:r>
      <w:r w:rsidR="006225C9" w:rsidRPr="009935E0">
        <w:rPr>
          <w:rFonts w:ascii="Times New Roman" w:hAnsi="Times New Roman" w:cs="Times New Roman"/>
          <w:sz w:val="24"/>
          <w:szCs w:val="24"/>
        </w:rPr>
        <w:t xml:space="preserve">W zakresie </w:t>
      </w:r>
      <w:r w:rsidRPr="009935E0">
        <w:rPr>
          <w:rFonts w:ascii="Times New Roman" w:hAnsi="Times New Roman" w:cs="Times New Roman"/>
          <w:sz w:val="24"/>
          <w:szCs w:val="24"/>
        </w:rPr>
        <w:t xml:space="preserve">nieuregulowanym </w:t>
      </w:r>
      <w:r w:rsidR="00250067" w:rsidRPr="009935E0">
        <w:rPr>
          <w:rFonts w:ascii="Times New Roman" w:hAnsi="Times New Roman" w:cs="Times New Roman"/>
          <w:sz w:val="24"/>
          <w:szCs w:val="24"/>
        </w:rPr>
        <w:t>tymi przepisami</w:t>
      </w:r>
      <w:r w:rsidRPr="009935E0">
        <w:rPr>
          <w:rFonts w:ascii="Times New Roman" w:hAnsi="Times New Roman" w:cs="Times New Roman"/>
          <w:sz w:val="24"/>
          <w:szCs w:val="24"/>
        </w:rPr>
        <w:t xml:space="preserve"> do mediacji </w:t>
      </w:r>
      <w:r w:rsidR="00250067" w:rsidRPr="009935E0">
        <w:rPr>
          <w:rFonts w:ascii="Times New Roman" w:hAnsi="Times New Roman" w:cs="Times New Roman"/>
          <w:sz w:val="24"/>
          <w:szCs w:val="24"/>
        </w:rPr>
        <w:t>stosować</w:t>
      </w:r>
      <w:r w:rsidRPr="009935E0">
        <w:rPr>
          <w:rFonts w:ascii="Times New Roman" w:hAnsi="Times New Roman" w:cs="Times New Roman"/>
          <w:sz w:val="24"/>
          <w:szCs w:val="24"/>
        </w:rPr>
        <w:t xml:space="preserve"> się </w:t>
      </w:r>
      <w:r w:rsidR="00250067" w:rsidRPr="009935E0">
        <w:rPr>
          <w:rFonts w:ascii="Times New Roman" w:hAnsi="Times New Roman" w:cs="Times New Roman"/>
          <w:sz w:val="24"/>
          <w:szCs w:val="24"/>
        </w:rPr>
        <w:t xml:space="preserve">będzie </w:t>
      </w:r>
      <w:r w:rsidRPr="009935E0">
        <w:rPr>
          <w:rFonts w:ascii="Times New Roman" w:hAnsi="Times New Roman" w:cs="Times New Roman"/>
          <w:sz w:val="24"/>
          <w:szCs w:val="24"/>
        </w:rPr>
        <w:t>odpowiednio przepisy o mediacji zawarte w Kodeks</w:t>
      </w:r>
      <w:r w:rsidR="0003129C" w:rsidRPr="009935E0">
        <w:rPr>
          <w:rFonts w:ascii="Times New Roman" w:hAnsi="Times New Roman" w:cs="Times New Roman"/>
          <w:sz w:val="24"/>
          <w:szCs w:val="24"/>
        </w:rPr>
        <w:t>ie</w:t>
      </w:r>
      <w:r w:rsidRPr="009935E0">
        <w:rPr>
          <w:rFonts w:ascii="Times New Roman" w:hAnsi="Times New Roman" w:cs="Times New Roman"/>
          <w:sz w:val="24"/>
          <w:szCs w:val="24"/>
        </w:rPr>
        <w:t xml:space="preserve"> postępowania cywilnego.</w:t>
      </w:r>
      <w:r w:rsidR="00250067" w:rsidRPr="009935E0">
        <w:rPr>
          <w:rFonts w:ascii="Times New Roman" w:hAnsi="Times New Roman" w:cs="Times New Roman"/>
          <w:sz w:val="24"/>
          <w:szCs w:val="24"/>
        </w:rPr>
        <w:t xml:space="preserve"> </w:t>
      </w:r>
      <w:r w:rsidRPr="009935E0">
        <w:rPr>
          <w:rFonts w:ascii="Times New Roman" w:hAnsi="Times New Roman" w:cs="Times New Roman"/>
          <w:sz w:val="24"/>
          <w:szCs w:val="24"/>
        </w:rPr>
        <w:t>Obsługę techniczno</w:t>
      </w:r>
      <w:r w:rsidR="00250067" w:rsidRPr="009935E0">
        <w:rPr>
          <w:rFonts w:ascii="Times New Roman" w:hAnsi="Times New Roman" w:cs="Times New Roman"/>
          <w:sz w:val="24"/>
          <w:szCs w:val="24"/>
        </w:rPr>
        <w:t>-organizacyjną mediacji zapewni</w:t>
      </w:r>
      <w:r w:rsidRPr="009935E0">
        <w:rPr>
          <w:rFonts w:ascii="Times New Roman" w:hAnsi="Times New Roman" w:cs="Times New Roman"/>
          <w:sz w:val="24"/>
          <w:szCs w:val="24"/>
        </w:rPr>
        <w:t xml:space="preserve"> urząd obsługujący ministra właściwego do spraw kultury i ochrony dziedzictwa narodowego, </w:t>
      </w:r>
      <w:r w:rsidR="00250067" w:rsidRPr="009935E0">
        <w:rPr>
          <w:rFonts w:ascii="Times New Roman" w:hAnsi="Times New Roman" w:cs="Times New Roman"/>
          <w:sz w:val="24"/>
          <w:szCs w:val="24"/>
        </w:rPr>
        <w:t xml:space="preserve">jednak </w:t>
      </w:r>
      <w:r w:rsidRPr="009935E0">
        <w:rPr>
          <w:rFonts w:ascii="Times New Roman" w:hAnsi="Times New Roman" w:cs="Times New Roman"/>
          <w:sz w:val="24"/>
          <w:szCs w:val="24"/>
        </w:rPr>
        <w:t>nie dłużej niż przez 3 miesiące od wyrażenia prze</w:t>
      </w:r>
      <w:r w:rsidR="00250067" w:rsidRPr="009935E0">
        <w:rPr>
          <w:rFonts w:ascii="Times New Roman" w:hAnsi="Times New Roman" w:cs="Times New Roman"/>
          <w:sz w:val="24"/>
          <w:szCs w:val="24"/>
        </w:rPr>
        <w:t>z mediatora zgody na mediację.</w:t>
      </w:r>
    </w:p>
    <w:p w14:paraId="5EE00DF5" w14:textId="77777777" w:rsidR="00C938A7" w:rsidRPr="009935E0" w:rsidRDefault="00343B46" w:rsidP="00483092">
      <w:pPr>
        <w:pStyle w:val="Akapitzlist"/>
        <w:numPr>
          <w:ilvl w:val="0"/>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Utwory sztuk wizualnych znajdujące się w domenie publicznej</w:t>
      </w:r>
      <w:r w:rsidR="00250067" w:rsidRPr="009935E0">
        <w:rPr>
          <w:rFonts w:ascii="Times New Roman" w:hAnsi="Times New Roman" w:cs="Times New Roman"/>
          <w:b/>
          <w:sz w:val="24"/>
          <w:szCs w:val="24"/>
        </w:rPr>
        <w:t xml:space="preserve"> (art. 14 dyrektywy)</w:t>
      </w:r>
    </w:p>
    <w:p w14:paraId="54845814" w14:textId="77777777" w:rsidR="00343B46" w:rsidRPr="009935E0" w:rsidRDefault="00343B4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14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wprowadza do prawa unijnego zasadę, zgodnie z którą w przypadku wygaśnięcia okresu ochrony utworów sztuk wizualnych wszelkie materiały powstałe w wyniku zwielokrotnienia tego utworu nie są przedmiotem prawa autorskiego ani praw pokrewnych, chyba że materiał powstały w wyniku tego zwielokrotnienia jest oryginalny w tym sensie, że stanowi własną intelektualną twórczość twórcy. W </w:t>
      </w:r>
      <w:r w:rsidR="000541EB" w:rsidRPr="009935E0">
        <w:rPr>
          <w:rFonts w:ascii="Times New Roman" w:hAnsi="Times New Roman" w:cs="Times New Roman"/>
          <w:sz w:val="24"/>
          <w:szCs w:val="24"/>
        </w:rPr>
        <w:t>motywach dyrektywy</w:t>
      </w:r>
      <w:r w:rsidRPr="009935E0">
        <w:rPr>
          <w:rFonts w:ascii="Times New Roman" w:hAnsi="Times New Roman" w:cs="Times New Roman"/>
          <w:sz w:val="24"/>
          <w:szCs w:val="24"/>
        </w:rPr>
        <w:t xml:space="preserve"> </w:t>
      </w:r>
      <w:r w:rsidR="00AE498C" w:rsidRPr="009935E0">
        <w:rPr>
          <w:rFonts w:ascii="Times New Roman" w:hAnsi="Times New Roman" w:cs="Times New Roman"/>
          <w:sz w:val="24"/>
          <w:szCs w:val="24"/>
        </w:rPr>
        <w:t>zostało wyjaśnione</w:t>
      </w:r>
      <w:r w:rsidRPr="009935E0">
        <w:rPr>
          <w:rFonts w:ascii="Times New Roman" w:hAnsi="Times New Roman" w:cs="Times New Roman"/>
          <w:sz w:val="24"/>
          <w:szCs w:val="24"/>
        </w:rPr>
        <w:t xml:space="preserve">, że w dziedzinie sztuk wizualnych rozpowszechnianie wiernych reprodukcji utworów znajdujących się w domenie publicznej przyczynia się do dostępu do kultury i jej promowania </w:t>
      </w:r>
      <w:r w:rsidR="00AE498C" w:rsidRPr="009935E0">
        <w:rPr>
          <w:rFonts w:ascii="Times New Roman" w:hAnsi="Times New Roman" w:cs="Times New Roman"/>
          <w:sz w:val="24"/>
          <w:szCs w:val="24"/>
        </w:rPr>
        <w:t>oraz</w:t>
      </w:r>
      <w:r w:rsidRPr="009935E0">
        <w:rPr>
          <w:rFonts w:ascii="Times New Roman" w:hAnsi="Times New Roman" w:cs="Times New Roman"/>
          <w:sz w:val="24"/>
          <w:szCs w:val="24"/>
        </w:rPr>
        <w:t xml:space="preserve"> do dostępu do dziedzictwa kulturowego (motyw 53). Prawodawca unijny wskazuje, że regulacja ta jest potrzebna z uwagi na transgraniczne rozpowszechnianie dzieł sztuki wizualnej znajdujących się w domenie publicznej, gdyż porządki krajowe poszczególnych państw członkowskich w tym zakresie różnią się i w konsekwencji powodują brak pewności prawa (motyw 53). Nie ulega wątpliwości, że jednolita implementacja art. 14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doprowadzi do usunięcia tych wątpliwości.</w:t>
      </w:r>
    </w:p>
    <w:p w14:paraId="7433DC91" w14:textId="77777777" w:rsidR="00250067" w:rsidRPr="009935E0" w:rsidRDefault="00AE498C"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Biorąc pod uwagę, że ustawa o </w:t>
      </w:r>
      <w:r w:rsidR="00AA2FE2" w:rsidRPr="009935E0">
        <w:rPr>
          <w:rFonts w:ascii="Times New Roman" w:hAnsi="Times New Roman" w:cs="Times New Roman"/>
          <w:sz w:val="24"/>
          <w:szCs w:val="24"/>
        </w:rPr>
        <w:t xml:space="preserve">prawie autorskim </w:t>
      </w:r>
      <w:r w:rsidR="00343B46" w:rsidRPr="009935E0">
        <w:rPr>
          <w:rFonts w:ascii="Times New Roman" w:hAnsi="Times New Roman" w:cs="Times New Roman"/>
          <w:sz w:val="24"/>
          <w:szCs w:val="24"/>
        </w:rPr>
        <w:t xml:space="preserve">nie przewiduje ochrony nietwórczych fotografii, </w:t>
      </w:r>
      <w:r w:rsidRPr="009935E0">
        <w:rPr>
          <w:rFonts w:ascii="Times New Roman" w:hAnsi="Times New Roman" w:cs="Times New Roman"/>
          <w:sz w:val="24"/>
          <w:szCs w:val="24"/>
        </w:rPr>
        <w:t xml:space="preserve">należy uznać, że </w:t>
      </w:r>
      <w:r w:rsidR="00343B46" w:rsidRPr="009935E0">
        <w:rPr>
          <w:rFonts w:ascii="Times New Roman" w:hAnsi="Times New Roman" w:cs="Times New Roman"/>
          <w:sz w:val="24"/>
          <w:szCs w:val="24"/>
        </w:rPr>
        <w:t xml:space="preserve">nie </w:t>
      </w:r>
      <w:r w:rsidRPr="009935E0">
        <w:rPr>
          <w:rFonts w:ascii="Times New Roman" w:hAnsi="Times New Roman" w:cs="Times New Roman"/>
          <w:sz w:val="24"/>
          <w:szCs w:val="24"/>
        </w:rPr>
        <w:t>ma</w:t>
      </w:r>
      <w:r w:rsidR="00343B46" w:rsidRPr="009935E0">
        <w:rPr>
          <w:rFonts w:ascii="Times New Roman" w:hAnsi="Times New Roman" w:cs="Times New Roman"/>
          <w:sz w:val="24"/>
          <w:szCs w:val="24"/>
        </w:rPr>
        <w:t xml:space="preserve"> potrzeb</w:t>
      </w:r>
      <w:r w:rsidRPr="009935E0">
        <w:rPr>
          <w:rFonts w:ascii="Times New Roman" w:hAnsi="Times New Roman" w:cs="Times New Roman"/>
          <w:sz w:val="24"/>
          <w:szCs w:val="24"/>
        </w:rPr>
        <w:t>y</w:t>
      </w:r>
      <w:r w:rsidR="00343B46" w:rsidRPr="009935E0">
        <w:rPr>
          <w:rFonts w:ascii="Times New Roman" w:hAnsi="Times New Roman" w:cs="Times New Roman"/>
          <w:sz w:val="24"/>
          <w:szCs w:val="24"/>
        </w:rPr>
        <w:t xml:space="preserve"> wprowadzania dodatkowych regulacji w tym zakresie. </w:t>
      </w:r>
      <w:r w:rsidR="00AA2FE2" w:rsidRPr="009935E0">
        <w:rPr>
          <w:rFonts w:ascii="Times New Roman" w:hAnsi="Times New Roman" w:cs="Times New Roman"/>
          <w:sz w:val="24"/>
          <w:szCs w:val="24"/>
        </w:rPr>
        <w:t>W</w:t>
      </w:r>
      <w:r w:rsidR="00343B46" w:rsidRPr="009935E0">
        <w:rPr>
          <w:rFonts w:ascii="Times New Roman" w:hAnsi="Times New Roman" w:cs="Times New Roman"/>
          <w:sz w:val="24"/>
          <w:szCs w:val="24"/>
        </w:rPr>
        <w:t xml:space="preserve"> przypadku gdy fotografia utrwalająca inny utwór wizualny sama spełnia cechy utworu, podlega ochronie </w:t>
      </w:r>
      <w:proofErr w:type="spellStart"/>
      <w:r w:rsidR="00343B46" w:rsidRPr="009935E0">
        <w:rPr>
          <w:rFonts w:ascii="Times New Roman" w:hAnsi="Times New Roman" w:cs="Times New Roman"/>
          <w:sz w:val="24"/>
          <w:szCs w:val="24"/>
        </w:rPr>
        <w:t>prawnoautorskiej</w:t>
      </w:r>
      <w:proofErr w:type="spellEnd"/>
      <w:r w:rsidR="00343B46" w:rsidRPr="009935E0">
        <w:rPr>
          <w:rFonts w:ascii="Times New Roman" w:hAnsi="Times New Roman" w:cs="Times New Roman"/>
          <w:sz w:val="24"/>
          <w:szCs w:val="24"/>
        </w:rPr>
        <w:t xml:space="preserve"> bez względu na to</w:t>
      </w:r>
      <w:r w:rsidR="00250067" w:rsidRPr="009935E0">
        <w:rPr>
          <w:rFonts w:ascii="Times New Roman" w:hAnsi="Times New Roman" w:cs="Times New Roman"/>
          <w:sz w:val="24"/>
          <w:szCs w:val="24"/>
        </w:rPr>
        <w:t>,</w:t>
      </w:r>
      <w:r w:rsidR="00343B46" w:rsidRPr="009935E0">
        <w:rPr>
          <w:rFonts w:ascii="Times New Roman" w:hAnsi="Times New Roman" w:cs="Times New Roman"/>
          <w:sz w:val="24"/>
          <w:szCs w:val="24"/>
        </w:rPr>
        <w:t xml:space="preserve"> czy majątkowe prawa autorskie do utworu wizualnego istnieją, czy już wygasły. </w:t>
      </w:r>
      <w:r w:rsidR="00AA2FE2" w:rsidRPr="009935E0">
        <w:rPr>
          <w:rFonts w:ascii="Times New Roman" w:hAnsi="Times New Roman" w:cs="Times New Roman"/>
          <w:sz w:val="24"/>
          <w:szCs w:val="24"/>
        </w:rPr>
        <w:t xml:space="preserve">Jeżeli majątkowe prawa autorskie do utworu wizualnego utrwalonego na fotografii wciąż istnieją, </w:t>
      </w:r>
      <w:r w:rsidR="00343B46" w:rsidRPr="009935E0">
        <w:rPr>
          <w:rFonts w:ascii="Times New Roman" w:hAnsi="Times New Roman" w:cs="Times New Roman"/>
          <w:sz w:val="24"/>
          <w:szCs w:val="24"/>
        </w:rPr>
        <w:t xml:space="preserve">rozpowszechnianie takiej fotografii będzie wymagać co do zasady </w:t>
      </w:r>
      <w:r w:rsidR="00250067" w:rsidRPr="009935E0">
        <w:rPr>
          <w:rFonts w:ascii="Times New Roman" w:hAnsi="Times New Roman" w:cs="Times New Roman"/>
          <w:sz w:val="24"/>
          <w:szCs w:val="24"/>
        </w:rPr>
        <w:t xml:space="preserve">także </w:t>
      </w:r>
      <w:r w:rsidR="00343B46" w:rsidRPr="009935E0">
        <w:rPr>
          <w:rFonts w:ascii="Times New Roman" w:hAnsi="Times New Roman" w:cs="Times New Roman"/>
          <w:sz w:val="24"/>
          <w:szCs w:val="24"/>
        </w:rPr>
        <w:t xml:space="preserve">zezwolenia twórcy </w:t>
      </w:r>
      <w:r w:rsidR="00A56395" w:rsidRPr="009935E0">
        <w:rPr>
          <w:rFonts w:ascii="Times New Roman" w:hAnsi="Times New Roman" w:cs="Times New Roman"/>
          <w:sz w:val="24"/>
          <w:szCs w:val="24"/>
        </w:rPr>
        <w:t xml:space="preserve">tego </w:t>
      </w:r>
      <w:r w:rsidR="00343B46" w:rsidRPr="009935E0">
        <w:rPr>
          <w:rFonts w:ascii="Times New Roman" w:hAnsi="Times New Roman" w:cs="Times New Roman"/>
          <w:sz w:val="24"/>
          <w:szCs w:val="24"/>
        </w:rPr>
        <w:t xml:space="preserve">utworu </w:t>
      </w:r>
      <w:r w:rsidR="00A56395" w:rsidRPr="009935E0">
        <w:rPr>
          <w:rFonts w:ascii="Times New Roman" w:hAnsi="Times New Roman" w:cs="Times New Roman"/>
          <w:sz w:val="24"/>
          <w:szCs w:val="24"/>
        </w:rPr>
        <w:t>wizualnego.</w:t>
      </w:r>
    </w:p>
    <w:p w14:paraId="461EF36B" w14:textId="77777777" w:rsidR="007A2283" w:rsidRPr="009935E0" w:rsidRDefault="0000759C" w:rsidP="00483092">
      <w:pPr>
        <w:pStyle w:val="Akapitzlist"/>
        <w:numPr>
          <w:ilvl w:val="0"/>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lastRenderedPageBreak/>
        <w:t>Nowe p</w:t>
      </w:r>
      <w:r w:rsidR="00BC53E3" w:rsidRPr="009935E0">
        <w:rPr>
          <w:rFonts w:ascii="Times New Roman" w:hAnsi="Times New Roman" w:cs="Times New Roman"/>
          <w:b/>
          <w:sz w:val="24"/>
          <w:szCs w:val="24"/>
        </w:rPr>
        <w:t xml:space="preserve">rawo pokrewne </w:t>
      </w:r>
      <w:r w:rsidRPr="009935E0">
        <w:rPr>
          <w:rFonts w:ascii="Times New Roman" w:hAnsi="Times New Roman" w:cs="Times New Roman"/>
          <w:b/>
          <w:sz w:val="24"/>
          <w:szCs w:val="24"/>
        </w:rPr>
        <w:t xml:space="preserve">dla </w:t>
      </w:r>
      <w:r w:rsidR="00BC53E3" w:rsidRPr="009935E0">
        <w:rPr>
          <w:rFonts w:ascii="Times New Roman" w:hAnsi="Times New Roman" w:cs="Times New Roman"/>
          <w:b/>
          <w:sz w:val="24"/>
          <w:szCs w:val="24"/>
        </w:rPr>
        <w:t>wydawców prasy</w:t>
      </w:r>
      <w:r w:rsidRPr="009935E0">
        <w:rPr>
          <w:rFonts w:ascii="Times New Roman" w:hAnsi="Times New Roman" w:cs="Times New Roman"/>
          <w:b/>
          <w:sz w:val="24"/>
          <w:szCs w:val="24"/>
        </w:rPr>
        <w:t xml:space="preserve"> – prawo do publikacji prasowych w </w:t>
      </w:r>
      <w:r w:rsidR="00A56395" w:rsidRPr="009935E0">
        <w:rPr>
          <w:rFonts w:ascii="Times New Roman" w:hAnsi="Times New Roman" w:cs="Times New Roman"/>
          <w:b/>
          <w:sz w:val="24"/>
          <w:szCs w:val="24"/>
        </w:rPr>
        <w:t>ramach świadczenia usług drogą elektroniczną</w:t>
      </w:r>
      <w:r w:rsidR="00BC53E3" w:rsidRPr="009935E0">
        <w:rPr>
          <w:rFonts w:ascii="Times New Roman" w:hAnsi="Times New Roman" w:cs="Times New Roman"/>
          <w:b/>
          <w:sz w:val="24"/>
          <w:szCs w:val="24"/>
        </w:rPr>
        <w:t xml:space="preserve"> (art. 15</w:t>
      </w:r>
      <w:r w:rsidR="00545C69" w:rsidRPr="009935E0">
        <w:rPr>
          <w:rFonts w:ascii="Times New Roman" w:hAnsi="Times New Roman" w:cs="Times New Roman"/>
          <w:b/>
          <w:sz w:val="24"/>
          <w:szCs w:val="24"/>
        </w:rPr>
        <w:t>–</w:t>
      </w:r>
      <w:r w:rsidR="00250067" w:rsidRPr="009935E0">
        <w:rPr>
          <w:rFonts w:ascii="Times New Roman" w:hAnsi="Times New Roman" w:cs="Times New Roman"/>
          <w:b/>
          <w:sz w:val="24"/>
          <w:szCs w:val="24"/>
        </w:rPr>
        <w:t>16</w:t>
      </w:r>
      <w:r w:rsidR="00BC53E3" w:rsidRPr="009935E0">
        <w:rPr>
          <w:rFonts w:ascii="Times New Roman" w:hAnsi="Times New Roman" w:cs="Times New Roman"/>
          <w:b/>
          <w:sz w:val="24"/>
          <w:szCs w:val="24"/>
        </w:rPr>
        <w:t xml:space="preserve"> dyrektywy</w:t>
      </w:r>
      <w:r w:rsidR="00807CAD" w:rsidRPr="009935E0">
        <w:rPr>
          <w:rFonts w:ascii="Times New Roman" w:hAnsi="Times New Roman" w:cs="Times New Roman"/>
          <w:b/>
          <w:sz w:val="24"/>
          <w:szCs w:val="24"/>
        </w:rPr>
        <w:t xml:space="preserve"> DSM</w:t>
      </w:r>
      <w:r w:rsidR="00BC53E3" w:rsidRPr="009935E0">
        <w:rPr>
          <w:rFonts w:ascii="Times New Roman" w:hAnsi="Times New Roman" w:cs="Times New Roman"/>
          <w:b/>
          <w:sz w:val="24"/>
          <w:szCs w:val="24"/>
        </w:rPr>
        <w:t>)</w:t>
      </w:r>
    </w:p>
    <w:p w14:paraId="2C6D3806" w14:textId="77777777" w:rsidR="00A56395" w:rsidRPr="009935E0" w:rsidRDefault="00BC53E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15 dyrektywy </w:t>
      </w:r>
      <w:r w:rsidR="00807CAD"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wprowadza do prawa autorskiego nową kategorię prawa wyłącznego – prawo wydawcy prasowego do wyłącznej eksploatacji online jego publikacji prasowych przez platformy internetowe zdefiniowane jako „dostawcy usług społeczeństwa informacyjnego”. W aktualnym stanie prawnym wydawcom takie odrębne prawo nie przysługuje – prawa wyłączne do eksploatacji publikacji prasowej online mogą nabyć jedynie pochodnie, tj. w ramach praw autorskich nabywanych od twórców (autorów) publikacji prasowych. Dyrektywa wyraźnie przesądza, że to nowe prawo pozostaje bez uszczerbku dla praw twórców, którzy w szczególności zachowują prawo do korzystania ze swoich utworów „niezależnie od publikacji prasowej, w skład której wchodzą” (art. 15 ust. 2 dyrektywy). </w:t>
      </w:r>
      <w:r w:rsidR="00A56395" w:rsidRPr="009935E0">
        <w:rPr>
          <w:rFonts w:ascii="Times New Roman" w:hAnsi="Times New Roman" w:cs="Times New Roman"/>
          <w:sz w:val="24"/>
          <w:szCs w:val="24"/>
        </w:rPr>
        <w:t xml:space="preserve">Co więcej, jeżeli utwór lub przedmiot prawa pokrewnego został włączony do publikacji prasowej na podstawie </w:t>
      </w:r>
      <w:r w:rsidR="0044080E" w:rsidRPr="009935E0">
        <w:rPr>
          <w:rFonts w:ascii="Times New Roman" w:hAnsi="Times New Roman" w:cs="Times New Roman"/>
          <w:sz w:val="24"/>
          <w:szCs w:val="24"/>
        </w:rPr>
        <w:t xml:space="preserve">licencji </w:t>
      </w:r>
      <w:r w:rsidR="00A56395" w:rsidRPr="009935E0">
        <w:rPr>
          <w:rFonts w:ascii="Times New Roman" w:hAnsi="Times New Roman" w:cs="Times New Roman"/>
          <w:sz w:val="24"/>
          <w:szCs w:val="24"/>
        </w:rPr>
        <w:t>niewyłącznej</w:t>
      </w:r>
      <w:r w:rsidR="0044080E" w:rsidRPr="009935E0">
        <w:rPr>
          <w:rFonts w:ascii="Times New Roman" w:hAnsi="Times New Roman" w:cs="Times New Roman"/>
          <w:sz w:val="24"/>
          <w:szCs w:val="24"/>
        </w:rPr>
        <w:t>,</w:t>
      </w:r>
      <w:r w:rsidR="00A56395" w:rsidRPr="009935E0">
        <w:rPr>
          <w:rFonts w:ascii="Times New Roman" w:hAnsi="Times New Roman" w:cs="Times New Roman"/>
          <w:sz w:val="24"/>
          <w:szCs w:val="24"/>
        </w:rPr>
        <w:t xml:space="preserve"> na nowe prawo </w:t>
      </w:r>
      <w:r w:rsidR="0044080E" w:rsidRPr="009935E0">
        <w:rPr>
          <w:rFonts w:ascii="Times New Roman" w:hAnsi="Times New Roman" w:cs="Times New Roman"/>
          <w:sz w:val="24"/>
          <w:szCs w:val="24"/>
        </w:rPr>
        <w:t>pokrewne</w:t>
      </w:r>
      <w:r w:rsidR="00A56395" w:rsidRPr="009935E0">
        <w:rPr>
          <w:rFonts w:ascii="Times New Roman" w:hAnsi="Times New Roman" w:cs="Times New Roman"/>
          <w:sz w:val="24"/>
          <w:szCs w:val="24"/>
        </w:rPr>
        <w:t xml:space="preserve"> nie można się powołać, aby zakazać korzystania z </w:t>
      </w:r>
      <w:r w:rsidR="0044080E" w:rsidRPr="009935E0">
        <w:rPr>
          <w:rFonts w:ascii="Times New Roman" w:hAnsi="Times New Roman" w:cs="Times New Roman"/>
          <w:sz w:val="24"/>
          <w:szCs w:val="24"/>
        </w:rPr>
        <w:t xml:space="preserve">tego </w:t>
      </w:r>
      <w:r w:rsidR="00A56395" w:rsidRPr="009935E0">
        <w:rPr>
          <w:rFonts w:ascii="Times New Roman" w:hAnsi="Times New Roman" w:cs="Times New Roman"/>
          <w:sz w:val="24"/>
          <w:szCs w:val="24"/>
        </w:rPr>
        <w:t>utworu</w:t>
      </w:r>
      <w:r w:rsidR="0044080E" w:rsidRPr="009935E0">
        <w:rPr>
          <w:rFonts w:ascii="Times New Roman" w:hAnsi="Times New Roman" w:cs="Times New Roman"/>
          <w:sz w:val="24"/>
          <w:szCs w:val="24"/>
        </w:rPr>
        <w:t xml:space="preserve"> lub przedmiotu prawa pokrewnego</w:t>
      </w:r>
      <w:r w:rsidR="00A56395" w:rsidRPr="009935E0">
        <w:rPr>
          <w:rFonts w:ascii="Times New Roman" w:hAnsi="Times New Roman" w:cs="Times New Roman"/>
          <w:sz w:val="24"/>
          <w:szCs w:val="24"/>
        </w:rPr>
        <w:t xml:space="preserve"> przez innych użytkowników, którym </w:t>
      </w:r>
      <w:r w:rsidR="0044080E" w:rsidRPr="009935E0">
        <w:rPr>
          <w:rFonts w:ascii="Times New Roman" w:hAnsi="Times New Roman" w:cs="Times New Roman"/>
          <w:sz w:val="24"/>
          <w:szCs w:val="24"/>
        </w:rPr>
        <w:t>uprawnieni także udzieli</w:t>
      </w:r>
      <w:r w:rsidR="00A56395" w:rsidRPr="009935E0">
        <w:rPr>
          <w:rFonts w:ascii="Times New Roman" w:hAnsi="Times New Roman" w:cs="Times New Roman"/>
          <w:sz w:val="24"/>
          <w:szCs w:val="24"/>
        </w:rPr>
        <w:t xml:space="preserve"> </w:t>
      </w:r>
      <w:r w:rsidR="0044080E" w:rsidRPr="009935E0">
        <w:rPr>
          <w:rFonts w:ascii="Times New Roman" w:hAnsi="Times New Roman" w:cs="Times New Roman"/>
          <w:sz w:val="24"/>
          <w:szCs w:val="24"/>
        </w:rPr>
        <w:t>licencji (art. 15 ust. 2 dyrektywy).</w:t>
      </w:r>
    </w:p>
    <w:p w14:paraId="750B0416" w14:textId="77777777" w:rsidR="00BC53E3" w:rsidRPr="009935E0" w:rsidRDefault="00BC53E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Zgodnie z dyrektywą to nowe prawo wyłączne nie ma zastosowania do „prywatnych i niekomercyjnych sposobów korzystania z publikacji prasowych przez użytkowników indywidualnych”, do czynności </w:t>
      </w:r>
      <w:r w:rsidR="0012013F" w:rsidRPr="009935E0">
        <w:rPr>
          <w:rFonts w:ascii="Times New Roman" w:hAnsi="Times New Roman" w:cs="Times New Roman"/>
          <w:sz w:val="24"/>
          <w:szCs w:val="24"/>
        </w:rPr>
        <w:t>„linkowania”</w:t>
      </w:r>
      <w:r w:rsidRPr="009935E0">
        <w:rPr>
          <w:rFonts w:ascii="Times New Roman" w:hAnsi="Times New Roman" w:cs="Times New Roman"/>
          <w:sz w:val="24"/>
          <w:szCs w:val="24"/>
        </w:rPr>
        <w:t xml:space="preserve"> oraz do „pojedynczych słów lub bardzo krótkich fragmentów publikacji prasowej”</w:t>
      </w:r>
      <w:r w:rsidR="0012013F" w:rsidRPr="009935E0">
        <w:rPr>
          <w:rFonts w:ascii="Times New Roman" w:hAnsi="Times New Roman" w:cs="Times New Roman"/>
          <w:sz w:val="24"/>
          <w:szCs w:val="24"/>
        </w:rPr>
        <w:t xml:space="preserve"> (art. 15 ust. 1 dyrektywy)</w:t>
      </w:r>
      <w:r w:rsidRPr="009935E0">
        <w:rPr>
          <w:rFonts w:ascii="Times New Roman" w:hAnsi="Times New Roman" w:cs="Times New Roman"/>
          <w:sz w:val="24"/>
          <w:szCs w:val="24"/>
        </w:rPr>
        <w:t>. Nowe prawo wyłączne ma także trwać relatywnie krótko – 2 lata od opublikowania danej publikacji prasowej</w:t>
      </w:r>
      <w:r w:rsidR="0012013F" w:rsidRPr="009935E0">
        <w:rPr>
          <w:rFonts w:ascii="Times New Roman" w:hAnsi="Times New Roman" w:cs="Times New Roman"/>
          <w:sz w:val="24"/>
          <w:szCs w:val="24"/>
        </w:rPr>
        <w:t xml:space="preserve"> (licząc od dnia 1 stycznia roku następnego)</w:t>
      </w:r>
      <w:r w:rsidRPr="009935E0">
        <w:rPr>
          <w:rFonts w:ascii="Times New Roman" w:hAnsi="Times New Roman" w:cs="Times New Roman"/>
          <w:sz w:val="24"/>
          <w:szCs w:val="24"/>
        </w:rPr>
        <w:t xml:space="preserve"> oraz nie będzie dotyczyć tych, które zostały opublikowane przed dniem 6 czerwca 2019 r.</w:t>
      </w:r>
      <w:r w:rsidR="0012013F" w:rsidRPr="009935E0">
        <w:rPr>
          <w:rFonts w:ascii="Times New Roman" w:hAnsi="Times New Roman" w:cs="Times New Roman"/>
          <w:sz w:val="24"/>
          <w:szCs w:val="24"/>
        </w:rPr>
        <w:t xml:space="preserve"> (art. 15 ust. 4 dyrektywy)</w:t>
      </w:r>
      <w:r w:rsidR="00003A02" w:rsidRPr="009935E0">
        <w:rPr>
          <w:rFonts w:ascii="Times New Roman" w:hAnsi="Times New Roman" w:cs="Times New Roman"/>
          <w:sz w:val="24"/>
          <w:szCs w:val="24"/>
        </w:rPr>
        <w:t xml:space="preserve">. Nie będzie także dotyczyć publikacji prasowych, których ochrona wygasła (art. 15 ust. 2 </w:t>
      </w:r>
      <w:r w:rsidR="00003A02" w:rsidRPr="009935E0">
        <w:rPr>
          <w:rFonts w:ascii="Times New Roman" w:hAnsi="Times New Roman" w:cs="Times New Roman"/>
          <w:i/>
          <w:sz w:val="24"/>
          <w:szCs w:val="24"/>
        </w:rPr>
        <w:t>in fine</w:t>
      </w:r>
      <w:r w:rsidR="00003A02" w:rsidRPr="009935E0">
        <w:rPr>
          <w:rFonts w:ascii="Times New Roman" w:hAnsi="Times New Roman" w:cs="Times New Roman"/>
          <w:sz w:val="24"/>
          <w:szCs w:val="24"/>
        </w:rPr>
        <w:t xml:space="preserve"> dyrektywy). </w:t>
      </w:r>
      <w:r w:rsidR="0012013F" w:rsidRPr="009935E0">
        <w:rPr>
          <w:rFonts w:ascii="Times New Roman" w:hAnsi="Times New Roman" w:cs="Times New Roman"/>
          <w:sz w:val="24"/>
          <w:szCs w:val="24"/>
        </w:rPr>
        <w:t xml:space="preserve">Co warte podkreślenia </w:t>
      </w:r>
      <w:r w:rsidR="00345E73" w:rsidRPr="009935E0">
        <w:rPr>
          <w:rFonts w:ascii="Times New Roman" w:hAnsi="Times New Roman" w:cs="Times New Roman"/>
          <w:sz w:val="24"/>
          <w:szCs w:val="24"/>
        </w:rPr>
        <w:t>–</w:t>
      </w:r>
      <w:r w:rsidR="0012013F" w:rsidRPr="009935E0">
        <w:rPr>
          <w:rFonts w:ascii="Times New Roman" w:hAnsi="Times New Roman" w:cs="Times New Roman"/>
          <w:sz w:val="24"/>
          <w:szCs w:val="24"/>
        </w:rPr>
        <w:t xml:space="preserve"> a</w:t>
      </w:r>
      <w:r w:rsidRPr="009935E0">
        <w:rPr>
          <w:rFonts w:ascii="Times New Roman" w:hAnsi="Times New Roman" w:cs="Times New Roman"/>
          <w:sz w:val="24"/>
          <w:szCs w:val="24"/>
        </w:rPr>
        <w:t>utor</w:t>
      </w:r>
      <w:r w:rsidR="0012013F" w:rsidRPr="009935E0">
        <w:rPr>
          <w:rFonts w:ascii="Times New Roman" w:hAnsi="Times New Roman" w:cs="Times New Roman"/>
          <w:sz w:val="24"/>
          <w:szCs w:val="24"/>
        </w:rPr>
        <w:t>zy</w:t>
      </w:r>
      <w:r w:rsidR="00196C12" w:rsidRPr="009935E0">
        <w:rPr>
          <w:rFonts w:ascii="Times New Roman" w:hAnsi="Times New Roman" w:cs="Times New Roman"/>
          <w:sz w:val="24"/>
          <w:szCs w:val="24"/>
        </w:rPr>
        <w:t xml:space="preserve"> publikacji prasowych</w:t>
      </w:r>
      <w:r w:rsidRPr="009935E0">
        <w:rPr>
          <w:rFonts w:ascii="Times New Roman" w:hAnsi="Times New Roman" w:cs="Times New Roman"/>
          <w:sz w:val="24"/>
          <w:szCs w:val="24"/>
        </w:rPr>
        <w:t xml:space="preserve"> </w:t>
      </w:r>
      <w:r w:rsidR="0012013F" w:rsidRPr="009935E0">
        <w:rPr>
          <w:rFonts w:ascii="Times New Roman" w:hAnsi="Times New Roman" w:cs="Times New Roman"/>
          <w:sz w:val="24"/>
          <w:szCs w:val="24"/>
        </w:rPr>
        <w:t xml:space="preserve">mają </w:t>
      </w:r>
      <w:r w:rsidRPr="009935E0">
        <w:rPr>
          <w:rFonts w:ascii="Times New Roman" w:hAnsi="Times New Roman" w:cs="Times New Roman"/>
          <w:sz w:val="24"/>
          <w:szCs w:val="24"/>
        </w:rPr>
        <w:t>partycyp</w:t>
      </w:r>
      <w:r w:rsidR="0012013F" w:rsidRPr="009935E0">
        <w:rPr>
          <w:rFonts w:ascii="Times New Roman" w:hAnsi="Times New Roman" w:cs="Times New Roman"/>
          <w:sz w:val="24"/>
          <w:szCs w:val="24"/>
        </w:rPr>
        <w:t>ować</w:t>
      </w:r>
      <w:r w:rsidRPr="009935E0">
        <w:rPr>
          <w:rFonts w:ascii="Times New Roman" w:hAnsi="Times New Roman" w:cs="Times New Roman"/>
          <w:sz w:val="24"/>
          <w:szCs w:val="24"/>
        </w:rPr>
        <w:t xml:space="preserve"> we wpływach uzyskiwanych przez wydawców z ekspl</w:t>
      </w:r>
      <w:r w:rsidR="0012013F" w:rsidRPr="009935E0">
        <w:rPr>
          <w:rFonts w:ascii="Times New Roman" w:hAnsi="Times New Roman" w:cs="Times New Roman"/>
          <w:sz w:val="24"/>
          <w:szCs w:val="24"/>
        </w:rPr>
        <w:t>oatacji nowego prawa wyłącznego, cho</w:t>
      </w:r>
      <w:r w:rsidR="00345E73" w:rsidRPr="009935E0">
        <w:rPr>
          <w:rFonts w:ascii="Times New Roman" w:hAnsi="Times New Roman" w:cs="Times New Roman"/>
          <w:sz w:val="24"/>
          <w:szCs w:val="24"/>
        </w:rPr>
        <w:t>ciaż</w:t>
      </w:r>
      <w:r w:rsidR="0012013F" w:rsidRPr="009935E0">
        <w:rPr>
          <w:rFonts w:ascii="Times New Roman" w:hAnsi="Times New Roman" w:cs="Times New Roman"/>
          <w:sz w:val="24"/>
          <w:szCs w:val="24"/>
        </w:rPr>
        <w:t xml:space="preserve"> sama dyrektywa nie określa </w:t>
      </w:r>
      <w:r w:rsidR="00B354A6" w:rsidRPr="009935E0">
        <w:rPr>
          <w:rFonts w:ascii="Times New Roman" w:hAnsi="Times New Roman" w:cs="Times New Roman"/>
          <w:sz w:val="24"/>
          <w:szCs w:val="24"/>
        </w:rPr>
        <w:t xml:space="preserve">żadnej </w:t>
      </w:r>
      <w:r w:rsidR="0012013F" w:rsidRPr="009935E0">
        <w:rPr>
          <w:rFonts w:ascii="Times New Roman" w:hAnsi="Times New Roman" w:cs="Times New Roman"/>
          <w:sz w:val="24"/>
          <w:szCs w:val="24"/>
        </w:rPr>
        <w:t>proporcji podziału</w:t>
      </w:r>
      <w:r w:rsidR="00B354A6" w:rsidRPr="009935E0">
        <w:rPr>
          <w:rFonts w:ascii="Times New Roman" w:hAnsi="Times New Roman" w:cs="Times New Roman"/>
          <w:sz w:val="24"/>
          <w:szCs w:val="24"/>
        </w:rPr>
        <w:t xml:space="preserve"> (art. 15 ust. 5</w:t>
      </w:r>
      <w:r w:rsidR="005E1993" w:rsidRPr="009935E0">
        <w:rPr>
          <w:rFonts w:ascii="Times New Roman" w:hAnsi="Times New Roman" w:cs="Times New Roman"/>
          <w:sz w:val="24"/>
          <w:szCs w:val="24"/>
        </w:rPr>
        <w:t xml:space="preserve"> dyrektywy</w:t>
      </w:r>
      <w:r w:rsidR="00B354A6" w:rsidRPr="009935E0">
        <w:rPr>
          <w:rFonts w:ascii="Times New Roman" w:hAnsi="Times New Roman" w:cs="Times New Roman"/>
          <w:sz w:val="24"/>
          <w:szCs w:val="24"/>
        </w:rPr>
        <w:t>).</w:t>
      </w:r>
    </w:p>
    <w:p w14:paraId="42A8ABE4" w14:textId="77777777" w:rsidR="00003A02" w:rsidRPr="009935E0" w:rsidRDefault="00003A0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Dyrektywa </w:t>
      </w:r>
      <w:r w:rsidR="005E1993"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definiuje publikację prasową jako „zbiór złożony głównie z utworów literackich o charakterze dziennikarskim”, który </w:t>
      </w:r>
      <w:r w:rsidR="00A133D5" w:rsidRPr="009935E0">
        <w:rPr>
          <w:rFonts w:ascii="Times New Roman" w:hAnsi="Times New Roman" w:cs="Times New Roman"/>
          <w:sz w:val="24"/>
          <w:szCs w:val="24"/>
        </w:rPr>
        <w:t>m.</w:t>
      </w:r>
      <w:r w:rsidR="00C47B33" w:rsidRPr="009935E0">
        <w:rPr>
          <w:rFonts w:ascii="Times New Roman" w:hAnsi="Times New Roman" w:cs="Times New Roman"/>
          <w:sz w:val="24"/>
          <w:szCs w:val="24"/>
        </w:rPr>
        <w:t xml:space="preserve">in. </w:t>
      </w:r>
      <w:r w:rsidRPr="009935E0">
        <w:rPr>
          <w:rFonts w:ascii="Times New Roman" w:hAnsi="Times New Roman" w:cs="Times New Roman"/>
          <w:sz w:val="24"/>
          <w:szCs w:val="24"/>
        </w:rPr>
        <w:t>„stanowi odrębną całość w ramach periodycznej lub regularnie aktualizowanej pod jednym tytułem publikacji, takiej jak gazeta lub czasopismo”</w:t>
      </w:r>
      <w:r w:rsidR="00545C69" w:rsidRPr="009935E0">
        <w:rPr>
          <w:rFonts w:ascii="Times New Roman" w:hAnsi="Times New Roman" w:cs="Times New Roman"/>
          <w:sz w:val="24"/>
          <w:szCs w:val="24"/>
        </w:rPr>
        <w:t>,</w:t>
      </w:r>
      <w:r w:rsidR="00C47B33" w:rsidRPr="009935E0">
        <w:rPr>
          <w:rFonts w:ascii="Times New Roman" w:hAnsi="Times New Roman" w:cs="Times New Roman"/>
          <w:sz w:val="24"/>
          <w:szCs w:val="24"/>
        </w:rPr>
        <w:t xml:space="preserve"> i „</w:t>
      </w:r>
      <w:r w:rsidRPr="009935E0">
        <w:rPr>
          <w:rFonts w:ascii="Times New Roman" w:hAnsi="Times New Roman" w:cs="Times New Roman"/>
          <w:sz w:val="24"/>
          <w:szCs w:val="24"/>
        </w:rPr>
        <w:t>jest publikowany w dowolnym medium z inicjatywy dostawcy usług, na jego odpowiedzialność i pod jego k</w:t>
      </w:r>
      <w:r w:rsidR="00C47B33" w:rsidRPr="009935E0">
        <w:rPr>
          <w:rFonts w:ascii="Times New Roman" w:hAnsi="Times New Roman" w:cs="Times New Roman"/>
          <w:sz w:val="24"/>
          <w:szCs w:val="24"/>
        </w:rPr>
        <w:t xml:space="preserve">ontrolą” (art. </w:t>
      </w:r>
      <w:r w:rsidR="00FC615A" w:rsidRPr="009935E0">
        <w:rPr>
          <w:rFonts w:ascii="Times New Roman" w:hAnsi="Times New Roman" w:cs="Times New Roman"/>
          <w:sz w:val="24"/>
          <w:szCs w:val="24"/>
        </w:rPr>
        <w:t xml:space="preserve">2 pkt 4 dyrektywy). </w:t>
      </w:r>
      <w:r w:rsidR="005443CA" w:rsidRPr="009935E0">
        <w:rPr>
          <w:rFonts w:ascii="Times New Roman" w:hAnsi="Times New Roman" w:cs="Times New Roman"/>
          <w:sz w:val="24"/>
          <w:szCs w:val="24"/>
        </w:rPr>
        <w:t xml:space="preserve">W preambule wyjaśnia się, że zgodnie z tą definicją za publikacje prasowe należy uznać m.in. „dzienniki, tygodniki lub miesięczniki o tematyce ogólnej lub specjalistycznej”, jak również „internetowe serwisy </w:t>
      </w:r>
      <w:r w:rsidR="005443CA" w:rsidRPr="009935E0">
        <w:rPr>
          <w:rFonts w:ascii="Times New Roman" w:hAnsi="Times New Roman" w:cs="Times New Roman"/>
          <w:sz w:val="24"/>
          <w:szCs w:val="24"/>
        </w:rPr>
        <w:lastRenderedPageBreak/>
        <w:t xml:space="preserve">informacyjne” (motyw 56). </w:t>
      </w:r>
      <w:r w:rsidR="00FC615A" w:rsidRPr="009935E0">
        <w:rPr>
          <w:rFonts w:ascii="Times New Roman" w:hAnsi="Times New Roman" w:cs="Times New Roman"/>
          <w:sz w:val="24"/>
          <w:szCs w:val="24"/>
        </w:rPr>
        <w:t xml:space="preserve">Dyrektywa za publikacje prasowe w tym rozumieniu nie uważa natomiast publikacji periodycznych naukowych </w:t>
      </w:r>
      <w:r w:rsidR="00123910" w:rsidRPr="009935E0">
        <w:rPr>
          <w:rFonts w:ascii="Times New Roman" w:hAnsi="Times New Roman" w:cs="Times New Roman"/>
          <w:sz w:val="24"/>
          <w:szCs w:val="24"/>
        </w:rPr>
        <w:t xml:space="preserve">lub akademickich (np. czasopism </w:t>
      </w:r>
      <w:r w:rsidR="00FC615A" w:rsidRPr="009935E0">
        <w:rPr>
          <w:rFonts w:ascii="Times New Roman" w:hAnsi="Times New Roman" w:cs="Times New Roman"/>
          <w:sz w:val="24"/>
          <w:szCs w:val="24"/>
        </w:rPr>
        <w:t>naukowych).</w:t>
      </w:r>
    </w:p>
    <w:p w14:paraId="5BD712E2" w14:textId="6EBF743A" w:rsidR="00FC615A" w:rsidRPr="009935E0" w:rsidRDefault="00A53B4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Zakres nowego prawa wyłącznego</w:t>
      </w:r>
      <w:r w:rsidR="005443CA" w:rsidRPr="009935E0">
        <w:rPr>
          <w:rFonts w:ascii="Times New Roman" w:hAnsi="Times New Roman" w:cs="Times New Roman"/>
          <w:sz w:val="24"/>
          <w:szCs w:val="24"/>
        </w:rPr>
        <w:t xml:space="preserve"> obejmuje prawa określone w art. 2 i art. 3 ust. 2 dyrektywy 2001/29/WE, a więc prawo do zwielokrotniania i publicznego udostępniania, w zakresie „sposobów korzystania online z publikacji prasowych” (art. 15 ust. 1</w:t>
      </w:r>
      <w:r w:rsidR="005E1993" w:rsidRPr="009935E0">
        <w:rPr>
          <w:rFonts w:ascii="Times New Roman" w:hAnsi="Times New Roman" w:cs="Times New Roman"/>
          <w:sz w:val="24"/>
          <w:szCs w:val="24"/>
        </w:rPr>
        <w:t xml:space="preserve"> dyrektywy DSM</w:t>
      </w:r>
      <w:r w:rsidR="005443CA" w:rsidRPr="009935E0">
        <w:rPr>
          <w:rFonts w:ascii="Times New Roman" w:hAnsi="Times New Roman" w:cs="Times New Roman"/>
          <w:sz w:val="24"/>
          <w:szCs w:val="24"/>
        </w:rPr>
        <w:t>). Co istotne, zakres nowego prawa pokrewnego jest określony także przez krąg podmiotów</w:t>
      </w:r>
      <w:r w:rsidR="00122C83" w:rsidRPr="009935E0">
        <w:rPr>
          <w:rFonts w:ascii="Times New Roman" w:hAnsi="Times New Roman" w:cs="Times New Roman"/>
          <w:sz w:val="24"/>
          <w:szCs w:val="24"/>
        </w:rPr>
        <w:t xml:space="preserve">, które mogą być użytkownikami tego prawa – mogą to być </w:t>
      </w:r>
      <w:r w:rsidR="00AE498C" w:rsidRPr="009935E0">
        <w:rPr>
          <w:rFonts w:ascii="Times New Roman" w:hAnsi="Times New Roman" w:cs="Times New Roman"/>
          <w:sz w:val="24"/>
          <w:szCs w:val="24"/>
        </w:rPr>
        <w:t>wyłącznie</w:t>
      </w:r>
      <w:r w:rsidR="00122C83" w:rsidRPr="009935E0">
        <w:rPr>
          <w:rFonts w:ascii="Times New Roman" w:hAnsi="Times New Roman" w:cs="Times New Roman"/>
          <w:sz w:val="24"/>
          <w:szCs w:val="24"/>
        </w:rPr>
        <w:t xml:space="preserve"> „dostawcy usług społeczeństwa informacyjnego”. Sama „usługa społeczeństwa informacyjnego” została zdefiniowana w art. 2 pkt 5 dyrektywy przez odwołanie do usługi w rozumieniu art. 1 ust. 1 lit. b dyrektywy (UE) 2015/1535. W praktyce w polskim u</w:t>
      </w:r>
      <w:r w:rsidR="00123910" w:rsidRPr="009935E0">
        <w:rPr>
          <w:rFonts w:ascii="Times New Roman" w:hAnsi="Times New Roman" w:cs="Times New Roman"/>
          <w:sz w:val="24"/>
          <w:szCs w:val="24"/>
        </w:rPr>
        <w:t xml:space="preserve">stawodawstwie będzie to usługa </w:t>
      </w:r>
      <w:r w:rsidR="00F46EE2" w:rsidRPr="009935E0">
        <w:rPr>
          <w:rFonts w:ascii="Times New Roman" w:hAnsi="Times New Roman" w:cs="Times New Roman"/>
          <w:sz w:val="24"/>
          <w:szCs w:val="24"/>
        </w:rPr>
        <w:t xml:space="preserve">świadczona drogą elektroniczną </w:t>
      </w:r>
      <w:r w:rsidR="00122C83" w:rsidRPr="009935E0">
        <w:rPr>
          <w:rFonts w:ascii="Times New Roman" w:hAnsi="Times New Roman" w:cs="Times New Roman"/>
          <w:sz w:val="24"/>
          <w:szCs w:val="24"/>
        </w:rPr>
        <w:t xml:space="preserve">w rozumieniu </w:t>
      </w:r>
      <w:r w:rsidR="00F46EE2" w:rsidRPr="009935E0">
        <w:rPr>
          <w:rFonts w:ascii="Times New Roman" w:hAnsi="Times New Roman" w:cs="Times New Roman"/>
          <w:sz w:val="24"/>
          <w:szCs w:val="24"/>
        </w:rPr>
        <w:t xml:space="preserve">art. 2 pkt 4 </w:t>
      </w:r>
      <w:r w:rsidR="00122C83" w:rsidRPr="009935E0">
        <w:rPr>
          <w:rFonts w:ascii="Times New Roman" w:hAnsi="Times New Roman" w:cs="Times New Roman"/>
          <w:sz w:val="24"/>
          <w:szCs w:val="24"/>
        </w:rPr>
        <w:t xml:space="preserve">ustawy </w:t>
      </w:r>
      <w:r w:rsidR="00386CB1" w:rsidRPr="009935E0">
        <w:rPr>
          <w:rFonts w:ascii="Times New Roman" w:hAnsi="Times New Roman" w:cs="Times New Roman"/>
          <w:sz w:val="24"/>
          <w:szCs w:val="24"/>
        </w:rPr>
        <w:t xml:space="preserve">z dnia 18 lipca 2002 r. </w:t>
      </w:r>
      <w:r w:rsidR="00122C83" w:rsidRPr="009935E0">
        <w:rPr>
          <w:rFonts w:ascii="Times New Roman" w:hAnsi="Times New Roman" w:cs="Times New Roman"/>
          <w:sz w:val="24"/>
          <w:szCs w:val="24"/>
        </w:rPr>
        <w:t>o świadczeniu usług drogą elektroniczną (o czym dalej).</w:t>
      </w:r>
    </w:p>
    <w:p w14:paraId="64FC45C3" w14:textId="32522A9B" w:rsidR="00003A02" w:rsidRPr="009935E0" w:rsidRDefault="00122C8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Celem wprowadzenia tego nowego prawa wyłącznego była, generalnie rzecz ujmując, poprawa sytuacji wydawców prasowych w dobie masowego korzystania z ich publikacji </w:t>
      </w:r>
      <w:r w:rsidR="007A5BC5" w:rsidRPr="009935E0">
        <w:rPr>
          <w:rFonts w:ascii="Times New Roman" w:hAnsi="Times New Roman" w:cs="Times New Roman"/>
          <w:sz w:val="24"/>
          <w:szCs w:val="24"/>
        </w:rPr>
        <w:t xml:space="preserve">przez różnego rodzaju serwisy internetowe, bez uiszczania należnych wynagrodzeń. </w:t>
      </w:r>
      <w:r w:rsidR="00676A62" w:rsidRPr="009935E0">
        <w:rPr>
          <w:rFonts w:ascii="Times New Roman" w:hAnsi="Times New Roman" w:cs="Times New Roman"/>
          <w:sz w:val="24"/>
          <w:szCs w:val="24"/>
        </w:rPr>
        <w:t>W preambule podkreśla się, że „wolna i pluralistyczna prasa jest niezbędna do zapewnienia wysokiej jakości dziennikarstwa i dostępu obywateli do informacji” i że „wnosi ona zasadniczy wkład w debatę publiczną i prawidłowe funkcjonowanie demokratycznego społeczeństwa”. Ale wskazuje się też na problemy, które prasa napotyka w dobie cyfryzacji:</w:t>
      </w:r>
      <w:r w:rsidR="007A5BC5" w:rsidRPr="009935E0">
        <w:rPr>
          <w:rFonts w:ascii="Times New Roman" w:hAnsi="Times New Roman" w:cs="Times New Roman"/>
          <w:sz w:val="24"/>
          <w:szCs w:val="24"/>
        </w:rPr>
        <w:t xml:space="preserve"> „szeroki dostęp do publikacji prasowych w Internecie doprowadził do powstania nowych usług online, takich jak agregatory wiadomości lub usługi monitorowania mediów, w przypadku których ponowne wykorzystywanie publikacji prasowych stanowi ważną część ich modeli biznesowych i źródła przychodów”, </w:t>
      </w:r>
      <w:r w:rsidR="00676A62" w:rsidRPr="009935E0">
        <w:rPr>
          <w:rFonts w:ascii="Times New Roman" w:hAnsi="Times New Roman" w:cs="Times New Roman"/>
          <w:sz w:val="24"/>
          <w:szCs w:val="24"/>
        </w:rPr>
        <w:t>a</w:t>
      </w:r>
      <w:r w:rsidR="007A5BC5" w:rsidRPr="009935E0">
        <w:rPr>
          <w:rFonts w:ascii="Times New Roman" w:hAnsi="Times New Roman" w:cs="Times New Roman"/>
          <w:sz w:val="24"/>
          <w:szCs w:val="24"/>
        </w:rPr>
        <w:t xml:space="preserve"> wydawcy publikacji prasowych „mają trudności z udzielaniem licencji na internetowe korzystanie z ich publikacji dostawcom tych usług, co utrudnia im osiągnięcie zwrotu z inwestycji”. W przypadku gdy wydawców publikacji prasowych „nie uznaje się za podmioty uprawnione”</w:t>
      </w:r>
      <w:r w:rsidR="001E2F0C" w:rsidRPr="009935E0">
        <w:rPr>
          <w:rFonts w:ascii="Times New Roman" w:hAnsi="Times New Roman" w:cs="Times New Roman"/>
          <w:sz w:val="24"/>
          <w:szCs w:val="24"/>
        </w:rPr>
        <w:t xml:space="preserve">, udzielanie licencji </w:t>
      </w:r>
      <w:r w:rsidR="00676A62" w:rsidRPr="009935E0">
        <w:rPr>
          <w:rFonts w:ascii="Times New Roman" w:hAnsi="Times New Roman" w:cs="Times New Roman"/>
          <w:sz w:val="24"/>
          <w:szCs w:val="24"/>
        </w:rPr>
        <w:t xml:space="preserve">i </w:t>
      </w:r>
      <w:r w:rsidR="007A5BC5" w:rsidRPr="009935E0">
        <w:rPr>
          <w:rFonts w:ascii="Times New Roman" w:hAnsi="Times New Roman" w:cs="Times New Roman"/>
          <w:sz w:val="24"/>
          <w:szCs w:val="24"/>
        </w:rPr>
        <w:t>egzekwowanie praw dotyczących publikacji prasowych w odniesieniu do sposobów korzystania online przez dostawców usług społeczeństwa informacyjnego w środowisku cyfrowym „są często skomplikowane i nieefektywne”. Wskazuje się też, że „należy uznać organizacyjny i finansowy wkład, jaki wydawcy wnoszą w produkcję publikacji prasowych</w:t>
      </w:r>
      <w:r w:rsidR="008716F8" w:rsidRPr="009935E0">
        <w:rPr>
          <w:rFonts w:ascii="Times New Roman" w:hAnsi="Times New Roman" w:cs="Times New Roman"/>
          <w:sz w:val="24"/>
          <w:szCs w:val="24"/>
        </w:rPr>
        <w:t>,</w:t>
      </w:r>
      <w:r w:rsidR="007A5BC5" w:rsidRPr="009935E0">
        <w:rPr>
          <w:rFonts w:ascii="Times New Roman" w:hAnsi="Times New Roman" w:cs="Times New Roman"/>
          <w:sz w:val="24"/>
          <w:szCs w:val="24"/>
        </w:rPr>
        <w:t xml:space="preserve"> i</w:t>
      </w:r>
      <w:r w:rsidR="00D84DF7" w:rsidRPr="009935E0">
        <w:rPr>
          <w:rFonts w:ascii="Times New Roman" w:hAnsi="Times New Roman" w:cs="Times New Roman"/>
          <w:sz w:val="24"/>
          <w:szCs w:val="24"/>
        </w:rPr>
        <w:t xml:space="preserve"> stworzyć dla nich zachęty, aby zapewni</w:t>
      </w:r>
      <w:r w:rsidR="007A5BC5" w:rsidRPr="009935E0">
        <w:rPr>
          <w:rFonts w:ascii="Times New Roman" w:hAnsi="Times New Roman" w:cs="Times New Roman"/>
          <w:sz w:val="24"/>
          <w:szCs w:val="24"/>
        </w:rPr>
        <w:t xml:space="preserve">ć stabilność branży wydawniczej, a tym samym zwiększyć dostępność rzetelnych informacji” (motywy </w:t>
      </w:r>
      <w:r w:rsidR="00676A62" w:rsidRPr="009935E0">
        <w:rPr>
          <w:rFonts w:ascii="Times New Roman" w:hAnsi="Times New Roman" w:cs="Times New Roman"/>
          <w:sz w:val="24"/>
          <w:szCs w:val="24"/>
        </w:rPr>
        <w:t>54</w:t>
      </w:r>
      <w:r w:rsidR="000A6B2F" w:rsidRPr="009935E0">
        <w:rPr>
          <w:rFonts w:ascii="Times New Roman" w:hAnsi="Times New Roman" w:cs="Times New Roman"/>
          <w:sz w:val="24"/>
          <w:szCs w:val="24"/>
        </w:rPr>
        <w:t>–</w:t>
      </w:r>
      <w:r w:rsidR="00676A62" w:rsidRPr="009935E0">
        <w:rPr>
          <w:rFonts w:ascii="Times New Roman" w:hAnsi="Times New Roman" w:cs="Times New Roman"/>
          <w:sz w:val="24"/>
          <w:szCs w:val="24"/>
        </w:rPr>
        <w:t>55</w:t>
      </w:r>
      <w:r w:rsidR="005E1993" w:rsidRPr="009935E0">
        <w:rPr>
          <w:rFonts w:ascii="Times New Roman" w:hAnsi="Times New Roman" w:cs="Times New Roman"/>
          <w:sz w:val="24"/>
          <w:szCs w:val="24"/>
        </w:rPr>
        <w:t xml:space="preserve"> dyrektywy</w:t>
      </w:r>
      <w:r w:rsidR="007B0B31" w:rsidRPr="009935E0">
        <w:rPr>
          <w:rFonts w:ascii="Times New Roman" w:hAnsi="Times New Roman" w:cs="Times New Roman"/>
          <w:sz w:val="24"/>
          <w:szCs w:val="24"/>
        </w:rPr>
        <w:t xml:space="preserve"> DSM</w:t>
      </w:r>
      <w:r w:rsidR="00676A62" w:rsidRPr="009935E0">
        <w:rPr>
          <w:rFonts w:ascii="Times New Roman" w:hAnsi="Times New Roman" w:cs="Times New Roman"/>
          <w:sz w:val="24"/>
          <w:szCs w:val="24"/>
        </w:rPr>
        <w:t>).</w:t>
      </w:r>
    </w:p>
    <w:p w14:paraId="3D0D25A1" w14:textId="77777777" w:rsidR="00BC53E3" w:rsidRPr="009935E0" w:rsidRDefault="00BC53E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Implementacja omawianych przepisów dyrektywy</w:t>
      </w:r>
      <w:r w:rsidR="008716F8"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nastąpi przez wprowadzenie do ustawy o prawie autorskim nowego prawa pokrewnego</w:t>
      </w:r>
      <w:r w:rsidR="00362337" w:rsidRPr="009935E0">
        <w:rPr>
          <w:rFonts w:ascii="Times New Roman" w:hAnsi="Times New Roman" w:cs="Times New Roman"/>
          <w:sz w:val="24"/>
          <w:szCs w:val="24"/>
        </w:rPr>
        <w:t xml:space="preserve"> – „prawa do publikacji prasowych w </w:t>
      </w:r>
      <w:r w:rsidR="0044080E" w:rsidRPr="009935E0">
        <w:rPr>
          <w:rFonts w:ascii="Times New Roman" w:hAnsi="Times New Roman" w:cs="Times New Roman"/>
          <w:sz w:val="24"/>
          <w:szCs w:val="24"/>
        </w:rPr>
        <w:t>ramach świadczenia usług drogą elektroniczną</w:t>
      </w:r>
      <w:r w:rsidRPr="009935E0">
        <w:rPr>
          <w:rFonts w:ascii="Times New Roman" w:hAnsi="Times New Roman" w:cs="Times New Roman"/>
          <w:sz w:val="24"/>
          <w:szCs w:val="24"/>
        </w:rPr>
        <w:t xml:space="preserve">”. Stosowne przepisy zostaną zamieszczone w rozdziale 11 „Prawa pokrewne” </w:t>
      </w:r>
      <w:r w:rsidR="002A3CA2" w:rsidRPr="009935E0">
        <w:rPr>
          <w:rFonts w:ascii="Times New Roman" w:hAnsi="Times New Roman" w:cs="Times New Roman"/>
          <w:sz w:val="24"/>
          <w:szCs w:val="24"/>
        </w:rPr>
        <w:t xml:space="preserve">– </w:t>
      </w:r>
      <w:r w:rsidRPr="009935E0">
        <w:rPr>
          <w:rFonts w:ascii="Times New Roman" w:hAnsi="Times New Roman" w:cs="Times New Roman"/>
          <w:sz w:val="24"/>
          <w:szCs w:val="24"/>
        </w:rPr>
        <w:t>jako nowy oddział 3</w:t>
      </w:r>
      <w:r w:rsidRPr="009935E0">
        <w:rPr>
          <w:rFonts w:ascii="Times New Roman" w:hAnsi="Times New Roman" w:cs="Times New Roman"/>
          <w:sz w:val="24"/>
          <w:szCs w:val="24"/>
          <w:vertAlign w:val="superscript"/>
        </w:rPr>
        <w:t>2</w:t>
      </w:r>
      <w:r w:rsidR="00362337" w:rsidRPr="009935E0">
        <w:rPr>
          <w:rFonts w:ascii="Times New Roman" w:hAnsi="Times New Roman" w:cs="Times New Roman"/>
          <w:sz w:val="24"/>
          <w:szCs w:val="24"/>
        </w:rPr>
        <w:t xml:space="preserve"> (art. 99</w:t>
      </w:r>
      <w:r w:rsidR="00362337" w:rsidRPr="009935E0">
        <w:rPr>
          <w:rFonts w:ascii="Times New Roman" w:hAnsi="Times New Roman" w:cs="Times New Roman"/>
          <w:sz w:val="24"/>
          <w:szCs w:val="24"/>
          <w:vertAlign w:val="superscript"/>
        </w:rPr>
        <w:t>7</w:t>
      </w:r>
      <w:r w:rsidR="008716F8" w:rsidRPr="009935E0">
        <w:rPr>
          <w:rFonts w:ascii="Times New Roman" w:hAnsi="Times New Roman" w:cs="Times New Roman"/>
          <w:sz w:val="24"/>
          <w:szCs w:val="24"/>
        </w:rPr>
        <w:t>–</w:t>
      </w:r>
      <w:r w:rsidR="00362337" w:rsidRPr="009935E0">
        <w:rPr>
          <w:rFonts w:ascii="Times New Roman" w:hAnsi="Times New Roman" w:cs="Times New Roman"/>
          <w:sz w:val="24"/>
          <w:szCs w:val="24"/>
        </w:rPr>
        <w:t>99</w:t>
      </w:r>
      <w:r w:rsidR="00362337" w:rsidRPr="009935E0">
        <w:rPr>
          <w:rFonts w:ascii="Times New Roman" w:hAnsi="Times New Roman" w:cs="Times New Roman"/>
          <w:sz w:val="24"/>
          <w:szCs w:val="24"/>
          <w:vertAlign w:val="superscript"/>
        </w:rPr>
        <w:t>10</w:t>
      </w:r>
      <w:r w:rsidR="00362337" w:rsidRPr="009935E0">
        <w:rPr>
          <w:rFonts w:ascii="Times New Roman" w:hAnsi="Times New Roman" w:cs="Times New Roman"/>
          <w:sz w:val="24"/>
          <w:szCs w:val="24"/>
        </w:rPr>
        <w:t>).</w:t>
      </w:r>
    </w:p>
    <w:p w14:paraId="3C695885" w14:textId="35432196" w:rsidR="00CA6E01" w:rsidRPr="009935E0" w:rsidRDefault="0036233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Projektowany a</w:t>
      </w:r>
      <w:r w:rsidR="00BC53E3" w:rsidRPr="009935E0">
        <w:rPr>
          <w:rFonts w:ascii="Times New Roman" w:hAnsi="Times New Roman" w:cs="Times New Roman"/>
          <w:sz w:val="24"/>
          <w:szCs w:val="24"/>
        </w:rPr>
        <w:t>rt. 99</w:t>
      </w:r>
      <w:r w:rsidR="00BC53E3" w:rsidRPr="009935E0">
        <w:rPr>
          <w:rFonts w:ascii="Times New Roman" w:hAnsi="Times New Roman" w:cs="Times New Roman"/>
          <w:sz w:val="24"/>
          <w:szCs w:val="24"/>
          <w:vertAlign w:val="superscript"/>
        </w:rPr>
        <w:t>7</w:t>
      </w:r>
      <w:r w:rsidR="00BC53E3" w:rsidRPr="009935E0">
        <w:rPr>
          <w:rFonts w:ascii="Times New Roman" w:hAnsi="Times New Roman" w:cs="Times New Roman"/>
          <w:sz w:val="24"/>
          <w:szCs w:val="24"/>
        </w:rPr>
        <w:t xml:space="preserve"> </w:t>
      </w:r>
      <w:r w:rsidR="005A5B82" w:rsidRPr="009935E0">
        <w:rPr>
          <w:rFonts w:ascii="Times New Roman" w:hAnsi="Times New Roman" w:cs="Times New Roman"/>
          <w:sz w:val="24"/>
          <w:szCs w:val="24"/>
        </w:rPr>
        <w:t xml:space="preserve">ust. 1 </w:t>
      </w:r>
      <w:r w:rsidR="00BC53E3" w:rsidRPr="009935E0">
        <w:rPr>
          <w:rFonts w:ascii="Times New Roman" w:hAnsi="Times New Roman" w:cs="Times New Roman"/>
          <w:sz w:val="24"/>
          <w:szCs w:val="24"/>
        </w:rPr>
        <w:t xml:space="preserve">ustawy o prawie autorskim zawiera </w:t>
      </w:r>
      <w:r w:rsidRPr="009935E0">
        <w:rPr>
          <w:rFonts w:ascii="Times New Roman" w:hAnsi="Times New Roman" w:cs="Times New Roman"/>
          <w:sz w:val="24"/>
          <w:szCs w:val="24"/>
        </w:rPr>
        <w:t xml:space="preserve">zatem </w:t>
      </w:r>
      <w:r w:rsidR="00BC53E3" w:rsidRPr="009935E0">
        <w:rPr>
          <w:rFonts w:ascii="Times New Roman" w:hAnsi="Times New Roman" w:cs="Times New Roman"/>
          <w:sz w:val="24"/>
          <w:szCs w:val="24"/>
        </w:rPr>
        <w:t>definicję „publikacji prasowej” na potrzeby nowego prawa pokrewnego – zgodn</w:t>
      </w:r>
      <w:r w:rsidR="001C664F" w:rsidRPr="009935E0">
        <w:rPr>
          <w:rFonts w:ascii="Times New Roman" w:hAnsi="Times New Roman" w:cs="Times New Roman"/>
          <w:sz w:val="24"/>
          <w:szCs w:val="24"/>
        </w:rPr>
        <w:t>ą</w:t>
      </w:r>
      <w:r w:rsidR="00BC53E3" w:rsidRPr="009935E0">
        <w:rPr>
          <w:rFonts w:ascii="Times New Roman" w:hAnsi="Times New Roman" w:cs="Times New Roman"/>
          <w:sz w:val="24"/>
          <w:szCs w:val="24"/>
        </w:rPr>
        <w:t xml:space="preserve"> z definicją zawartą w art. 2 pkt 4 dyrektywy</w:t>
      </w:r>
      <w:r w:rsidR="008716F8" w:rsidRPr="009935E0">
        <w:rPr>
          <w:rFonts w:ascii="Times New Roman" w:hAnsi="Times New Roman" w:cs="Times New Roman"/>
          <w:sz w:val="24"/>
          <w:szCs w:val="24"/>
        </w:rPr>
        <w:t xml:space="preserve"> DSM</w:t>
      </w:r>
      <w:r w:rsidR="00196C12" w:rsidRPr="009935E0">
        <w:rPr>
          <w:rFonts w:ascii="Times New Roman" w:hAnsi="Times New Roman" w:cs="Times New Roman"/>
          <w:sz w:val="24"/>
          <w:szCs w:val="24"/>
        </w:rPr>
        <w:t xml:space="preserve">. Wynika to z </w:t>
      </w:r>
      <w:r w:rsidR="00BC53E3" w:rsidRPr="009935E0">
        <w:rPr>
          <w:rFonts w:ascii="Times New Roman" w:hAnsi="Times New Roman" w:cs="Times New Roman"/>
          <w:sz w:val="24"/>
          <w:szCs w:val="24"/>
        </w:rPr>
        <w:t>przyjęt</w:t>
      </w:r>
      <w:r w:rsidR="00196C12" w:rsidRPr="009935E0">
        <w:rPr>
          <w:rFonts w:ascii="Times New Roman" w:hAnsi="Times New Roman" w:cs="Times New Roman"/>
          <w:sz w:val="24"/>
          <w:szCs w:val="24"/>
        </w:rPr>
        <w:t>ej</w:t>
      </w:r>
      <w:r w:rsidR="00BC53E3" w:rsidRPr="009935E0">
        <w:rPr>
          <w:rFonts w:ascii="Times New Roman" w:hAnsi="Times New Roman" w:cs="Times New Roman"/>
          <w:sz w:val="24"/>
          <w:szCs w:val="24"/>
        </w:rPr>
        <w:t xml:space="preserve"> praktyk</w:t>
      </w:r>
      <w:r w:rsidR="00196C12" w:rsidRPr="009935E0">
        <w:rPr>
          <w:rFonts w:ascii="Times New Roman" w:hAnsi="Times New Roman" w:cs="Times New Roman"/>
          <w:sz w:val="24"/>
          <w:szCs w:val="24"/>
        </w:rPr>
        <w:t>i</w:t>
      </w:r>
      <w:r w:rsidR="00BC53E3" w:rsidRPr="009935E0">
        <w:rPr>
          <w:rFonts w:ascii="Times New Roman" w:hAnsi="Times New Roman" w:cs="Times New Roman"/>
          <w:sz w:val="24"/>
          <w:szCs w:val="24"/>
        </w:rPr>
        <w:t xml:space="preserve"> legislacyjn</w:t>
      </w:r>
      <w:r w:rsidR="00196C12" w:rsidRPr="009935E0">
        <w:rPr>
          <w:rFonts w:ascii="Times New Roman" w:hAnsi="Times New Roman" w:cs="Times New Roman"/>
          <w:sz w:val="24"/>
          <w:szCs w:val="24"/>
        </w:rPr>
        <w:t>ej</w:t>
      </w:r>
      <w:r w:rsidR="00BC53E3" w:rsidRPr="009935E0">
        <w:rPr>
          <w:rFonts w:ascii="Times New Roman" w:hAnsi="Times New Roman" w:cs="Times New Roman"/>
          <w:sz w:val="24"/>
          <w:szCs w:val="24"/>
        </w:rPr>
        <w:t xml:space="preserve"> w ustawie o prawie autorskim, </w:t>
      </w:r>
      <w:r w:rsidR="00196C12" w:rsidRPr="009935E0">
        <w:rPr>
          <w:rFonts w:ascii="Times New Roman" w:hAnsi="Times New Roman" w:cs="Times New Roman"/>
          <w:sz w:val="24"/>
          <w:szCs w:val="24"/>
        </w:rPr>
        <w:t>zgodnie z którą</w:t>
      </w:r>
      <w:r w:rsidR="00BC53E3" w:rsidRPr="009935E0">
        <w:rPr>
          <w:rFonts w:ascii="Times New Roman" w:hAnsi="Times New Roman" w:cs="Times New Roman"/>
          <w:sz w:val="24"/>
          <w:szCs w:val="24"/>
        </w:rPr>
        <w:t xml:space="preserve"> definicje przedmiotów praw pokrewnych </w:t>
      </w:r>
      <w:r w:rsidR="00F211ED" w:rsidRPr="009935E0">
        <w:rPr>
          <w:rFonts w:ascii="Times New Roman" w:hAnsi="Times New Roman" w:cs="Times New Roman"/>
          <w:sz w:val="24"/>
          <w:szCs w:val="24"/>
        </w:rPr>
        <w:t xml:space="preserve">są </w:t>
      </w:r>
      <w:r w:rsidR="00BC53E3" w:rsidRPr="009935E0">
        <w:rPr>
          <w:rFonts w:ascii="Times New Roman" w:hAnsi="Times New Roman" w:cs="Times New Roman"/>
          <w:sz w:val="24"/>
          <w:szCs w:val="24"/>
        </w:rPr>
        <w:t>zamieszczane nie w słowniczku ustawowym (art. 6</w:t>
      </w:r>
      <w:r w:rsidR="00196C12" w:rsidRPr="009935E0">
        <w:rPr>
          <w:rFonts w:ascii="Times New Roman" w:hAnsi="Times New Roman" w:cs="Times New Roman"/>
          <w:sz w:val="24"/>
          <w:szCs w:val="24"/>
        </w:rPr>
        <w:t xml:space="preserve"> ustawy</w:t>
      </w:r>
      <w:r w:rsidR="005E1993" w:rsidRPr="009935E0">
        <w:rPr>
          <w:rFonts w:ascii="Times New Roman" w:hAnsi="Times New Roman" w:cs="Times New Roman"/>
          <w:sz w:val="24"/>
          <w:szCs w:val="24"/>
        </w:rPr>
        <w:t xml:space="preserve"> o prawie autorskim</w:t>
      </w:r>
      <w:r w:rsidR="00BC53E3" w:rsidRPr="009935E0">
        <w:rPr>
          <w:rFonts w:ascii="Times New Roman" w:hAnsi="Times New Roman" w:cs="Times New Roman"/>
          <w:sz w:val="24"/>
          <w:szCs w:val="24"/>
        </w:rPr>
        <w:t xml:space="preserve">), ale w przepisach oddziałów regulujących poszczególne prawa </w:t>
      </w:r>
      <w:r w:rsidRPr="009935E0">
        <w:rPr>
          <w:rFonts w:ascii="Times New Roman" w:hAnsi="Times New Roman" w:cs="Times New Roman"/>
          <w:sz w:val="24"/>
          <w:szCs w:val="24"/>
        </w:rPr>
        <w:t xml:space="preserve">pokrewne </w:t>
      </w:r>
      <w:r w:rsidR="00BC53E3" w:rsidRPr="009935E0">
        <w:rPr>
          <w:rFonts w:ascii="Times New Roman" w:hAnsi="Times New Roman" w:cs="Times New Roman"/>
          <w:sz w:val="24"/>
          <w:szCs w:val="24"/>
        </w:rPr>
        <w:t xml:space="preserve">(zob. art. 85, </w:t>
      </w:r>
      <w:r w:rsidR="00196C12" w:rsidRPr="009935E0">
        <w:rPr>
          <w:rFonts w:ascii="Times New Roman" w:hAnsi="Times New Roman" w:cs="Times New Roman"/>
          <w:sz w:val="24"/>
          <w:szCs w:val="24"/>
        </w:rPr>
        <w:t xml:space="preserve">art. </w:t>
      </w:r>
      <w:r w:rsidR="00BC53E3" w:rsidRPr="009935E0">
        <w:rPr>
          <w:rFonts w:ascii="Times New Roman" w:hAnsi="Times New Roman" w:cs="Times New Roman"/>
          <w:sz w:val="24"/>
          <w:szCs w:val="24"/>
        </w:rPr>
        <w:t>94 ust. 1 i 2, art. 99</w:t>
      </w:r>
      <w:r w:rsidR="00BC53E3" w:rsidRPr="009935E0">
        <w:rPr>
          <w:rFonts w:ascii="Times New Roman" w:hAnsi="Times New Roman" w:cs="Times New Roman"/>
          <w:sz w:val="24"/>
          <w:szCs w:val="24"/>
          <w:vertAlign w:val="superscript"/>
        </w:rPr>
        <w:t>1</w:t>
      </w:r>
      <w:r w:rsidR="00BC53E3" w:rsidRPr="009935E0">
        <w:rPr>
          <w:rFonts w:ascii="Times New Roman" w:hAnsi="Times New Roman" w:cs="Times New Roman"/>
          <w:sz w:val="24"/>
          <w:szCs w:val="24"/>
        </w:rPr>
        <w:t xml:space="preserve"> i </w:t>
      </w:r>
      <w:r w:rsidR="00196C12" w:rsidRPr="009935E0">
        <w:rPr>
          <w:rFonts w:ascii="Times New Roman" w:hAnsi="Times New Roman" w:cs="Times New Roman"/>
          <w:sz w:val="24"/>
          <w:szCs w:val="24"/>
        </w:rPr>
        <w:t xml:space="preserve">art. </w:t>
      </w:r>
      <w:r w:rsidR="00BC53E3" w:rsidRPr="009935E0">
        <w:rPr>
          <w:rFonts w:ascii="Times New Roman" w:hAnsi="Times New Roman" w:cs="Times New Roman"/>
          <w:sz w:val="24"/>
          <w:szCs w:val="24"/>
        </w:rPr>
        <w:t>99</w:t>
      </w:r>
      <w:r w:rsidR="00BC53E3" w:rsidRPr="009935E0">
        <w:rPr>
          <w:rFonts w:ascii="Times New Roman" w:hAnsi="Times New Roman" w:cs="Times New Roman"/>
          <w:sz w:val="24"/>
          <w:szCs w:val="24"/>
          <w:vertAlign w:val="superscript"/>
        </w:rPr>
        <w:t>2</w:t>
      </w:r>
      <w:r w:rsidR="00BC53E3" w:rsidRPr="009935E0">
        <w:rPr>
          <w:rFonts w:ascii="Times New Roman" w:hAnsi="Times New Roman" w:cs="Times New Roman"/>
          <w:sz w:val="24"/>
          <w:szCs w:val="24"/>
        </w:rPr>
        <w:t xml:space="preserve"> ustawy</w:t>
      </w:r>
      <w:r w:rsidR="007B0B31" w:rsidRPr="009935E0">
        <w:rPr>
          <w:rFonts w:ascii="Times New Roman" w:hAnsi="Times New Roman" w:cs="Times New Roman"/>
          <w:sz w:val="24"/>
          <w:szCs w:val="24"/>
        </w:rPr>
        <w:t xml:space="preserve"> o prawie autorskim</w:t>
      </w:r>
      <w:r w:rsidR="00BC53E3" w:rsidRPr="009935E0">
        <w:rPr>
          <w:rFonts w:ascii="Times New Roman" w:hAnsi="Times New Roman" w:cs="Times New Roman"/>
          <w:sz w:val="24"/>
          <w:szCs w:val="24"/>
        </w:rPr>
        <w:t xml:space="preserve">). </w:t>
      </w:r>
      <w:r w:rsidR="001C664F" w:rsidRPr="009935E0">
        <w:rPr>
          <w:rFonts w:ascii="Times New Roman" w:hAnsi="Times New Roman" w:cs="Times New Roman"/>
          <w:sz w:val="24"/>
          <w:szCs w:val="24"/>
        </w:rPr>
        <w:t>P</w:t>
      </w:r>
      <w:r w:rsidR="00BC53E3" w:rsidRPr="009935E0">
        <w:rPr>
          <w:rFonts w:ascii="Times New Roman" w:hAnsi="Times New Roman" w:cs="Times New Roman"/>
          <w:sz w:val="24"/>
          <w:szCs w:val="24"/>
        </w:rPr>
        <w:t>ublikacją prasową będzie</w:t>
      </w:r>
      <w:r w:rsidR="001C664F" w:rsidRPr="009935E0">
        <w:rPr>
          <w:rFonts w:ascii="Times New Roman" w:hAnsi="Times New Roman" w:cs="Times New Roman"/>
          <w:sz w:val="24"/>
          <w:szCs w:val="24"/>
        </w:rPr>
        <w:t xml:space="preserve"> zatem</w:t>
      </w:r>
      <w:r w:rsidR="00BC53E3" w:rsidRPr="009935E0">
        <w:rPr>
          <w:rFonts w:ascii="Times New Roman" w:hAnsi="Times New Roman" w:cs="Times New Roman"/>
          <w:sz w:val="24"/>
          <w:szCs w:val="24"/>
        </w:rPr>
        <w:t xml:space="preserve"> „zbiór utworów lub przedmiotów praw pokrewnych złożony głównie z utworów słownych o charakterze dziennikarskim, stanowiący odrębną całość w ramach periodycznej lub regularnie aktualizowanej pod jednym tytuł</w:t>
      </w:r>
      <w:r w:rsidR="007C16EA" w:rsidRPr="009935E0">
        <w:rPr>
          <w:rFonts w:ascii="Times New Roman" w:hAnsi="Times New Roman" w:cs="Times New Roman"/>
          <w:sz w:val="24"/>
          <w:szCs w:val="24"/>
        </w:rPr>
        <w:t xml:space="preserve">em publikacji, takiej jak dziennik, </w:t>
      </w:r>
      <w:r w:rsidR="00BC53E3" w:rsidRPr="009935E0">
        <w:rPr>
          <w:rFonts w:ascii="Times New Roman" w:hAnsi="Times New Roman" w:cs="Times New Roman"/>
          <w:sz w:val="24"/>
          <w:szCs w:val="24"/>
        </w:rPr>
        <w:t>czasopismo,</w:t>
      </w:r>
      <w:r w:rsidR="007C16EA" w:rsidRPr="009935E0">
        <w:rPr>
          <w:rFonts w:ascii="Times New Roman" w:hAnsi="Times New Roman" w:cs="Times New Roman"/>
          <w:sz w:val="24"/>
          <w:szCs w:val="24"/>
        </w:rPr>
        <w:t xml:space="preserve"> serwis agencji prasowej lub internetowy serwis informacyjny,</w:t>
      </w:r>
      <w:r w:rsidR="00BC53E3" w:rsidRPr="009935E0">
        <w:rPr>
          <w:rFonts w:ascii="Times New Roman" w:hAnsi="Times New Roman" w:cs="Times New Roman"/>
          <w:sz w:val="24"/>
          <w:szCs w:val="24"/>
        </w:rPr>
        <w:t xml:space="preserve"> rozpowszechniany w celach informacyjnych w dowolnej formie i w dowolny sposób w ramach działalności gospodarczej </w:t>
      </w:r>
      <w:r w:rsidR="007C16EA" w:rsidRPr="009935E0">
        <w:rPr>
          <w:rFonts w:ascii="Times New Roman" w:hAnsi="Times New Roman" w:cs="Times New Roman"/>
          <w:sz w:val="24"/>
          <w:szCs w:val="24"/>
        </w:rPr>
        <w:t xml:space="preserve">lub statutowej i na odpowiedzialność </w:t>
      </w:r>
      <w:r w:rsidR="00BC53E3" w:rsidRPr="009935E0">
        <w:rPr>
          <w:rFonts w:ascii="Times New Roman" w:hAnsi="Times New Roman" w:cs="Times New Roman"/>
          <w:sz w:val="24"/>
          <w:szCs w:val="24"/>
        </w:rPr>
        <w:t xml:space="preserve">podmiotu, który sprawuje </w:t>
      </w:r>
      <w:r w:rsidR="007C16EA" w:rsidRPr="009935E0">
        <w:rPr>
          <w:rFonts w:ascii="Times New Roman" w:hAnsi="Times New Roman" w:cs="Times New Roman"/>
          <w:sz w:val="24"/>
          <w:szCs w:val="24"/>
        </w:rPr>
        <w:t xml:space="preserve">nad nim </w:t>
      </w:r>
      <w:r w:rsidR="00BC53E3" w:rsidRPr="009935E0">
        <w:rPr>
          <w:rFonts w:ascii="Times New Roman" w:hAnsi="Times New Roman" w:cs="Times New Roman"/>
          <w:sz w:val="24"/>
          <w:szCs w:val="24"/>
        </w:rPr>
        <w:t xml:space="preserve">faktyczną i prawną kontrolę”. Zgodnie z art. 2 pkt 4 </w:t>
      </w:r>
      <w:r w:rsidR="00CA6E01" w:rsidRPr="009935E0">
        <w:rPr>
          <w:rFonts w:ascii="Times New Roman" w:hAnsi="Times New Roman" w:cs="Times New Roman"/>
          <w:i/>
          <w:sz w:val="24"/>
          <w:szCs w:val="24"/>
        </w:rPr>
        <w:t>in fine</w:t>
      </w:r>
      <w:r w:rsidR="00CA6E01" w:rsidRPr="009935E0">
        <w:rPr>
          <w:rFonts w:ascii="Times New Roman" w:hAnsi="Times New Roman" w:cs="Times New Roman"/>
          <w:sz w:val="24"/>
          <w:szCs w:val="24"/>
        </w:rPr>
        <w:t xml:space="preserve"> </w:t>
      </w:r>
      <w:r w:rsidR="00BC53E3" w:rsidRPr="009935E0">
        <w:rPr>
          <w:rFonts w:ascii="Times New Roman" w:hAnsi="Times New Roman" w:cs="Times New Roman"/>
          <w:sz w:val="24"/>
          <w:szCs w:val="24"/>
        </w:rPr>
        <w:t>dyrektywy</w:t>
      </w:r>
      <w:r w:rsidR="008716F8" w:rsidRPr="009935E0">
        <w:rPr>
          <w:rFonts w:ascii="Times New Roman" w:hAnsi="Times New Roman" w:cs="Times New Roman"/>
          <w:sz w:val="24"/>
          <w:szCs w:val="24"/>
        </w:rPr>
        <w:t xml:space="preserve"> DSM</w:t>
      </w:r>
      <w:r w:rsidR="00E21071" w:rsidRPr="009935E0">
        <w:rPr>
          <w:rFonts w:ascii="Times New Roman" w:hAnsi="Times New Roman" w:cs="Times New Roman"/>
          <w:sz w:val="24"/>
          <w:szCs w:val="24"/>
        </w:rPr>
        <w:t xml:space="preserve"> </w:t>
      </w:r>
      <w:r w:rsidR="00BC53E3" w:rsidRPr="009935E0">
        <w:rPr>
          <w:rFonts w:ascii="Times New Roman" w:hAnsi="Times New Roman" w:cs="Times New Roman"/>
          <w:sz w:val="24"/>
          <w:szCs w:val="24"/>
        </w:rPr>
        <w:t>powyższa definicja nie będzie obejmować publikacji periodycznych o charakterze naukowym lub</w:t>
      </w:r>
      <w:r w:rsidR="00D84DF7" w:rsidRPr="009935E0">
        <w:rPr>
          <w:rFonts w:ascii="Times New Roman" w:hAnsi="Times New Roman" w:cs="Times New Roman"/>
          <w:sz w:val="24"/>
          <w:szCs w:val="24"/>
        </w:rPr>
        <w:t xml:space="preserve"> akademickim. </w:t>
      </w:r>
      <w:r w:rsidR="005A5B82" w:rsidRPr="009935E0">
        <w:rPr>
          <w:rFonts w:ascii="Times New Roman" w:hAnsi="Times New Roman" w:cs="Times New Roman"/>
          <w:sz w:val="24"/>
          <w:szCs w:val="24"/>
        </w:rPr>
        <w:t>Na szczególną uw</w:t>
      </w:r>
      <w:r w:rsidR="00D84DF7" w:rsidRPr="009935E0">
        <w:rPr>
          <w:rFonts w:ascii="Times New Roman" w:hAnsi="Times New Roman" w:cs="Times New Roman"/>
          <w:sz w:val="24"/>
          <w:szCs w:val="24"/>
        </w:rPr>
        <w:t>agę w tej definicji zasługuje fakt</w:t>
      </w:r>
      <w:r w:rsidR="005A5B82" w:rsidRPr="009935E0">
        <w:rPr>
          <w:rFonts w:ascii="Times New Roman" w:hAnsi="Times New Roman" w:cs="Times New Roman"/>
          <w:sz w:val="24"/>
          <w:szCs w:val="24"/>
        </w:rPr>
        <w:t xml:space="preserve">, że publikacja prasowa </w:t>
      </w:r>
      <w:r w:rsidR="00D84DF7" w:rsidRPr="009935E0">
        <w:rPr>
          <w:rFonts w:ascii="Times New Roman" w:hAnsi="Times New Roman" w:cs="Times New Roman"/>
          <w:sz w:val="24"/>
          <w:szCs w:val="24"/>
        </w:rPr>
        <w:t>będzie</w:t>
      </w:r>
      <w:r w:rsidR="005A5B82" w:rsidRPr="009935E0">
        <w:rPr>
          <w:rFonts w:ascii="Times New Roman" w:hAnsi="Times New Roman" w:cs="Times New Roman"/>
          <w:sz w:val="24"/>
          <w:szCs w:val="24"/>
        </w:rPr>
        <w:t xml:space="preserve"> składać</w:t>
      </w:r>
      <w:r w:rsidR="00D84DF7" w:rsidRPr="009935E0">
        <w:rPr>
          <w:rFonts w:ascii="Times New Roman" w:hAnsi="Times New Roman" w:cs="Times New Roman"/>
          <w:sz w:val="24"/>
          <w:szCs w:val="24"/>
        </w:rPr>
        <w:t xml:space="preserve"> się </w:t>
      </w:r>
      <w:r w:rsidR="005A5B82" w:rsidRPr="009935E0">
        <w:rPr>
          <w:rFonts w:ascii="Times New Roman" w:hAnsi="Times New Roman" w:cs="Times New Roman"/>
          <w:sz w:val="24"/>
          <w:szCs w:val="24"/>
        </w:rPr>
        <w:t xml:space="preserve">przede wszystkim z utworów słownych (w dyrektywie „literackich”) o charakterze dziennikarskim i </w:t>
      </w:r>
      <w:r w:rsidR="00D84DF7" w:rsidRPr="009935E0">
        <w:rPr>
          <w:rFonts w:ascii="Times New Roman" w:hAnsi="Times New Roman" w:cs="Times New Roman"/>
          <w:sz w:val="24"/>
          <w:szCs w:val="24"/>
        </w:rPr>
        <w:t>będzie</w:t>
      </w:r>
      <w:r w:rsidR="005A5B82" w:rsidRPr="009935E0">
        <w:rPr>
          <w:rFonts w:ascii="Times New Roman" w:hAnsi="Times New Roman" w:cs="Times New Roman"/>
          <w:sz w:val="24"/>
          <w:szCs w:val="24"/>
        </w:rPr>
        <w:t xml:space="preserve"> rozpowszechniana w celach informacyjnych. Nie są istotne ani forma</w:t>
      </w:r>
      <w:r w:rsidR="008716F8" w:rsidRPr="009935E0">
        <w:rPr>
          <w:rFonts w:ascii="Times New Roman" w:hAnsi="Times New Roman" w:cs="Times New Roman"/>
          <w:sz w:val="24"/>
          <w:szCs w:val="24"/>
        </w:rPr>
        <w:t>,</w:t>
      </w:r>
      <w:r w:rsidR="005A5B82" w:rsidRPr="009935E0">
        <w:rPr>
          <w:rFonts w:ascii="Times New Roman" w:hAnsi="Times New Roman" w:cs="Times New Roman"/>
          <w:sz w:val="24"/>
          <w:szCs w:val="24"/>
        </w:rPr>
        <w:t xml:space="preserve"> ani sposób rozpowszechniania. </w:t>
      </w:r>
      <w:r w:rsidR="00C345AA" w:rsidRPr="009935E0">
        <w:rPr>
          <w:rFonts w:ascii="Times New Roman" w:hAnsi="Times New Roman" w:cs="Times New Roman"/>
          <w:sz w:val="24"/>
          <w:szCs w:val="24"/>
        </w:rPr>
        <w:t xml:space="preserve">Ważne jest natomiast, aby była wydawana periodycznie lub regularnie aktualizowana oraz rozpowszechniania pod jednym tytułem jako „odrębna całość”. </w:t>
      </w:r>
      <w:r w:rsidR="005A5B82" w:rsidRPr="009935E0">
        <w:rPr>
          <w:rFonts w:ascii="Times New Roman" w:hAnsi="Times New Roman" w:cs="Times New Roman"/>
          <w:sz w:val="24"/>
          <w:szCs w:val="24"/>
        </w:rPr>
        <w:t xml:space="preserve">Publikacja prasowa musi </w:t>
      </w:r>
      <w:r w:rsidR="00C345AA" w:rsidRPr="009935E0">
        <w:rPr>
          <w:rFonts w:ascii="Times New Roman" w:hAnsi="Times New Roman" w:cs="Times New Roman"/>
          <w:sz w:val="24"/>
          <w:szCs w:val="24"/>
        </w:rPr>
        <w:t>też</w:t>
      </w:r>
      <w:r w:rsidR="005A5B82" w:rsidRPr="009935E0">
        <w:rPr>
          <w:rFonts w:ascii="Times New Roman" w:hAnsi="Times New Roman" w:cs="Times New Roman"/>
          <w:sz w:val="24"/>
          <w:szCs w:val="24"/>
        </w:rPr>
        <w:t xml:space="preserve"> pochodzić od wydawcy </w:t>
      </w:r>
      <w:r w:rsidR="00C345AA" w:rsidRPr="009935E0">
        <w:rPr>
          <w:rFonts w:ascii="Times New Roman" w:hAnsi="Times New Roman" w:cs="Times New Roman"/>
          <w:sz w:val="24"/>
          <w:szCs w:val="24"/>
        </w:rPr>
        <w:t>rozumianego jako podmiot</w:t>
      </w:r>
      <w:r w:rsidR="005A5B82" w:rsidRPr="009935E0">
        <w:rPr>
          <w:rFonts w:ascii="Times New Roman" w:hAnsi="Times New Roman" w:cs="Times New Roman"/>
          <w:sz w:val="24"/>
          <w:szCs w:val="24"/>
        </w:rPr>
        <w:t xml:space="preserve"> </w:t>
      </w:r>
      <w:r w:rsidR="00C345AA" w:rsidRPr="009935E0">
        <w:rPr>
          <w:rFonts w:ascii="Times New Roman" w:hAnsi="Times New Roman" w:cs="Times New Roman"/>
          <w:sz w:val="24"/>
          <w:szCs w:val="24"/>
        </w:rPr>
        <w:t>prowadzący</w:t>
      </w:r>
      <w:r w:rsidR="005A5B82" w:rsidRPr="009935E0">
        <w:rPr>
          <w:rFonts w:ascii="Times New Roman" w:hAnsi="Times New Roman" w:cs="Times New Roman"/>
          <w:sz w:val="24"/>
          <w:szCs w:val="24"/>
        </w:rPr>
        <w:t xml:space="preserve"> działalność gospodarczą (</w:t>
      </w:r>
      <w:r w:rsidR="00C345AA" w:rsidRPr="009935E0">
        <w:rPr>
          <w:rFonts w:ascii="Times New Roman" w:hAnsi="Times New Roman" w:cs="Times New Roman"/>
          <w:sz w:val="24"/>
          <w:szCs w:val="24"/>
        </w:rPr>
        <w:t>przedsiębiorca</w:t>
      </w:r>
      <w:r w:rsidR="005A5B82" w:rsidRPr="009935E0">
        <w:rPr>
          <w:rFonts w:ascii="Times New Roman" w:hAnsi="Times New Roman" w:cs="Times New Roman"/>
          <w:sz w:val="24"/>
          <w:szCs w:val="24"/>
        </w:rPr>
        <w:t>)</w:t>
      </w:r>
      <w:r w:rsidR="007C16EA" w:rsidRPr="009935E0">
        <w:rPr>
          <w:rFonts w:ascii="Times New Roman" w:hAnsi="Times New Roman" w:cs="Times New Roman"/>
          <w:sz w:val="24"/>
          <w:szCs w:val="24"/>
        </w:rPr>
        <w:t xml:space="preserve"> lub statutową</w:t>
      </w:r>
      <w:r w:rsidR="00C345AA" w:rsidRPr="009935E0">
        <w:rPr>
          <w:rFonts w:ascii="Times New Roman" w:hAnsi="Times New Roman" w:cs="Times New Roman"/>
          <w:sz w:val="24"/>
          <w:szCs w:val="24"/>
        </w:rPr>
        <w:t xml:space="preserve">, który sprawuje </w:t>
      </w:r>
      <w:r w:rsidR="00A31CAD" w:rsidRPr="009935E0">
        <w:rPr>
          <w:rFonts w:ascii="Times New Roman" w:hAnsi="Times New Roman" w:cs="Times New Roman"/>
          <w:sz w:val="24"/>
          <w:szCs w:val="24"/>
        </w:rPr>
        <w:t xml:space="preserve">nad nią </w:t>
      </w:r>
      <w:r w:rsidR="00C345AA" w:rsidRPr="009935E0">
        <w:rPr>
          <w:rFonts w:ascii="Times New Roman" w:hAnsi="Times New Roman" w:cs="Times New Roman"/>
          <w:sz w:val="24"/>
          <w:szCs w:val="24"/>
        </w:rPr>
        <w:t>faktyczną i prawną kontrolę</w:t>
      </w:r>
      <w:r w:rsidR="00A31CAD" w:rsidRPr="009935E0">
        <w:rPr>
          <w:rFonts w:ascii="Times New Roman" w:hAnsi="Times New Roman" w:cs="Times New Roman"/>
          <w:sz w:val="24"/>
          <w:szCs w:val="24"/>
        </w:rPr>
        <w:t xml:space="preserve"> i ponosi z tego tytułu odpowiedzialność.</w:t>
      </w:r>
      <w:r w:rsidR="00E772FE" w:rsidRPr="009935E0">
        <w:rPr>
          <w:rFonts w:ascii="Times New Roman" w:hAnsi="Times New Roman" w:cs="Times New Roman"/>
          <w:sz w:val="24"/>
          <w:szCs w:val="24"/>
        </w:rPr>
        <w:t xml:space="preserve"> W stosunku do definicji zawartej w dyrektywie przytoczona definicja pomija elementy pozbawione </w:t>
      </w:r>
      <w:r w:rsidR="0097514F" w:rsidRPr="009935E0">
        <w:rPr>
          <w:rFonts w:ascii="Times New Roman" w:hAnsi="Times New Roman" w:cs="Times New Roman"/>
          <w:sz w:val="24"/>
          <w:szCs w:val="24"/>
        </w:rPr>
        <w:t xml:space="preserve">merytorycznego </w:t>
      </w:r>
      <w:r w:rsidR="00E772FE" w:rsidRPr="009935E0">
        <w:rPr>
          <w:rFonts w:ascii="Times New Roman" w:hAnsi="Times New Roman" w:cs="Times New Roman"/>
          <w:sz w:val="24"/>
          <w:szCs w:val="24"/>
        </w:rPr>
        <w:t xml:space="preserve">znaczenia, np. „o tematyce ogólnej lub specjalistycznej” (a więc o każdej tematyce), </w:t>
      </w:r>
      <w:r w:rsidR="0097514F" w:rsidRPr="009935E0">
        <w:rPr>
          <w:rFonts w:ascii="Times New Roman" w:hAnsi="Times New Roman" w:cs="Times New Roman"/>
          <w:sz w:val="24"/>
          <w:szCs w:val="24"/>
        </w:rPr>
        <w:t>„informacji dotyczących aktualnych wiadomości lub innej tematyki” (a więc każdej tematyki).</w:t>
      </w:r>
    </w:p>
    <w:p w14:paraId="3075C7A6" w14:textId="41DAB7D3" w:rsidR="00C345AA" w:rsidRPr="009935E0" w:rsidRDefault="00C345A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Treść</w:t>
      </w:r>
      <w:r w:rsidR="00D84DF7" w:rsidRPr="009935E0">
        <w:rPr>
          <w:rFonts w:ascii="Times New Roman" w:hAnsi="Times New Roman" w:cs="Times New Roman"/>
          <w:sz w:val="24"/>
          <w:szCs w:val="24"/>
        </w:rPr>
        <w:t xml:space="preserve"> </w:t>
      </w:r>
      <w:r w:rsidR="0097514F" w:rsidRPr="009935E0">
        <w:rPr>
          <w:rFonts w:ascii="Times New Roman" w:hAnsi="Times New Roman" w:cs="Times New Roman"/>
          <w:sz w:val="24"/>
          <w:szCs w:val="24"/>
        </w:rPr>
        <w:t>nowego prawa pokrewnego zostaje</w:t>
      </w:r>
      <w:r w:rsidRPr="009935E0">
        <w:rPr>
          <w:rFonts w:ascii="Times New Roman" w:hAnsi="Times New Roman" w:cs="Times New Roman"/>
          <w:sz w:val="24"/>
          <w:szCs w:val="24"/>
        </w:rPr>
        <w:t xml:space="preserve"> określona w </w:t>
      </w:r>
      <w:r w:rsidR="00117401" w:rsidRPr="009935E0">
        <w:rPr>
          <w:rFonts w:ascii="Times New Roman" w:hAnsi="Times New Roman" w:cs="Times New Roman"/>
          <w:sz w:val="24"/>
          <w:szCs w:val="24"/>
        </w:rPr>
        <w:t xml:space="preserve">art. </w:t>
      </w:r>
      <w:r w:rsidR="005E1993" w:rsidRPr="009935E0">
        <w:rPr>
          <w:rFonts w:ascii="Times New Roman" w:hAnsi="Times New Roman" w:cs="Times New Roman"/>
          <w:sz w:val="24"/>
          <w:szCs w:val="24"/>
        </w:rPr>
        <w:t>99</w:t>
      </w:r>
      <w:r w:rsidR="005E1993" w:rsidRPr="009935E0">
        <w:rPr>
          <w:rFonts w:ascii="Times New Roman" w:hAnsi="Times New Roman" w:cs="Times New Roman"/>
          <w:sz w:val="24"/>
          <w:szCs w:val="24"/>
          <w:vertAlign w:val="superscript"/>
        </w:rPr>
        <w:t>7</w:t>
      </w:r>
      <w:r w:rsidR="005E1993" w:rsidRPr="009935E0">
        <w:rPr>
          <w:rFonts w:ascii="Times New Roman" w:hAnsi="Times New Roman" w:cs="Times New Roman"/>
          <w:sz w:val="24"/>
          <w:szCs w:val="24"/>
        </w:rPr>
        <w:t xml:space="preserve"> </w:t>
      </w:r>
      <w:r w:rsidRPr="009935E0">
        <w:rPr>
          <w:rFonts w:ascii="Times New Roman" w:hAnsi="Times New Roman" w:cs="Times New Roman"/>
          <w:sz w:val="24"/>
          <w:szCs w:val="24"/>
        </w:rPr>
        <w:t>ust. 2</w:t>
      </w:r>
      <w:r w:rsidR="005E1993" w:rsidRPr="009935E0">
        <w:rPr>
          <w:rFonts w:ascii="Times New Roman" w:hAnsi="Times New Roman" w:cs="Times New Roman"/>
          <w:sz w:val="24"/>
          <w:szCs w:val="24"/>
        </w:rPr>
        <w:t xml:space="preserve"> ustawy o prawie autorskim</w:t>
      </w:r>
      <w:r w:rsidRPr="009935E0">
        <w:rPr>
          <w:rFonts w:ascii="Times New Roman" w:hAnsi="Times New Roman" w:cs="Times New Roman"/>
          <w:sz w:val="24"/>
          <w:szCs w:val="24"/>
        </w:rPr>
        <w:t xml:space="preserve">. Prawo to będzie przysługiwać „wydawcom” na </w:t>
      </w:r>
      <w:r w:rsidR="00EA1B3F" w:rsidRPr="009935E0">
        <w:rPr>
          <w:rFonts w:ascii="Times New Roman" w:hAnsi="Times New Roman" w:cs="Times New Roman"/>
          <w:sz w:val="24"/>
          <w:szCs w:val="24"/>
        </w:rPr>
        <w:t xml:space="preserve">dwóch </w:t>
      </w:r>
      <w:r w:rsidRPr="009935E0">
        <w:rPr>
          <w:rFonts w:ascii="Times New Roman" w:hAnsi="Times New Roman" w:cs="Times New Roman"/>
          <w:sz w:val="24"/>
          <w:szCs w:val="24"/>
        </w:rPr>
        <w:t>polach eksploatacji</w:t>
      </w:r>
      <w:r w:rsidR="00EA1B3F" w:rsidRPr="009935E0">
        <w:rPr>
          <w:rFonts w:ascii="Times New Roman" w:hAnsi="Times New Roman" w:cs="Times New Roman"/>
          <w:sz w:val="24"/>
          <w:szCs w:val="24"/>
        </w:rPr>
        <w:t>:</w:t>
      </w:r>
      <w:r w:rsidRPr="009935E0">
        <w:rPr>
          <w:rFonts w:ascii="Times New Roman" w:hAnsi="Times New Roman" w:cs="Times New Roman"/>
          <w:sz w:val="24"/>
          <w:szCs w:val="24"/>
        </w:rPr>
        <w:t xml:space="preserve"> zwielokrotnianie i </w:t>
      </w:r>
      <w:r w:rsidR="00EA1B3F" w:rsidRPr="009935E0">
        <w:rPr>
          <w:rFonts w:ascii="Times New Roman" w:hAnsi="Times New Roman" w:cs="Times New Roman"/>
          <w:sz w:val="24"/>
          <w:szCs w:val="24"/>
        </w:rPr>
        <w:t xml:space="preserve">publiczne udostępnianie w taki sposób, aby każdy miał do publikacji dostęp w miejscu i czasie </w:t>
      </w:r>
      <w:r w:rsidR="00EA1B3F" w:rsidRPr="009935E0">
        <w:rPr>
          <w:rFonts w:ascii="Times New Roman" w:hAnsi="Times New Roman" w:cs="Times New Roman"/>
          <w:sz w:val="24"/>
          <w:szCs w:val="24"/>
        </w:rPr>
        <w:lastRenderedPageBreak/>
        <w:t>przez siebie wybranym. Sama konstrukcja redakcyjna przepisu (wyłączne prawo do korzystania i rozporządzania, sprecyzowane wskazaniem określonych pól eksploatacji) jest oparta na już istniejących w ustawie przepisach określających treść praw pokrewnych (art. 86, art. 94 ust. 4, art. 97, art. 99</w:t>
      </w:r>
      <w:r w:rsidR="00EA1B3F" w:rsidRPr="009935E0">
        <w:rPr>
          <w:rFonts w:ascii="Times New Roman" w:hAnsi="Times New Roman" w:cs="Times New Roman"/>
          <w:sz w:val="24"/>
          <w:szCs w:val="24"/>
          <w:vertAlign w:val="superscript"/>
        </w:rPr>
        <w:t>1</w:t>
      </w:r>
      <w:r w:rsidR="008716F8" w:rsidRPr="009935E0">
        <w:rPr>
          <w:rFonts w:ascii="Times New Roman" w:hAnsi="Times New Roman" w:cs="Times New Roman"/>
          <w:sz w:val="24"/>
          <w:szCs w:val="24"/>
        </w:rPr>
        <w:t>–</w:t>
      </w:r>
      <w:r w:rsidR="00EA1B3F" w:rsidRPr="009935E0">
        <w:rPr>
          <w:rFonts w:ascii="Times New Roman" w:hAnsi="Times New Roman" w:cs="Times New Roman"/>
          <w:sz w:val="24"/>
          <w:szCs w:val="24"/>
        </w:rPr>
        <w:t>99</w:t>
      </w:r>
      <w:r w:rsidR="00EA1B3F" w:rsidRPr="009935E0">
        <w:rPr>
          <w:rFonts w:ascii="Times New Roman" w:hAnsi="Times New Roman" w:cs="Times New Roman"/>
          <w:sz w:val="24"/>
          <w:szCs w:val="24"/>
          <w:vertAlign w:val="superscript"/>
        </w:rPr>
        <w:t>2</w:t>
      </w:r>
      <w:r w:rsidR="005E1993" w:rsidRPr="009935E0">
        <w:rPr>
          <w:rFonts w:ascii="Times New Roman" w:hAnsi="Times New Roman" w:cs="Times New Roman"/>
          <w:sz w:val="24"/>
          <w:szCs w:val="24"/>
        </w:rPr>
        <w:t xml:space="preserve"> ustawy o prawie autorskim)</w:t>
      </w:r>
      <w:r w:rsidR="00EA1B3F" w:rsidRPr="009935E0">
        <w:rPr>
          <w:rFonts w:ascii="Times New Roman" w:hAnsi="Times New Roman" w:cs="Times New Roman"/>
          <w:sz w:val="24"/>
          <w:szCs w:val="24"/>
        </w:rPr>
        <w:t>.</w:t>
      </w:r>
      <w:r w:rsidR="00EF09C6" w:rsidRPr="009935E0">
        <w:rPr>
          <w:rFonts w:ascii="Times New Roman" w:hAnsi="Times New Roman" w:cs="Times New Roman"/>
          <w:sz w:val="24"/>
          <w:szCs w:val="24"/>
        </w:rPr>
        <w:t xml:space="preserve"> Co ważne, podobnie jak przy innych prawach pokrewnych, nowe prawo wyłączne będzie funkcjonować „bez uszczerbku” </w:t>
      </w:r>
      <w:r w:rsidR="00DA03B3" w:rsidRPr="009935E0">
        <w:rPr>
          <w:rFonts w:ascii="Times New Roman" w:hAnsi="Times New Roman" w:cs="Times New Roman"/>
          <w:sz w:val="24"/>
          <w:szCs w:val="24"/>
        </w:rPr>
        <w:t>dla praw twórców i pozostał</w:t>
      </w:r>
      <w:r w:rsidR="008716F8" w:rsidRPr="009935E0">
        <w:rPr>
          <w:rFonts w:ascii="Times New Roman" w:hAnsi="Times New Roman" w:cs="Times New Roman"/>
          <w:sz w:val="24"/>
          <w:szCs w:val="24"/>
        </w:rPr>
        <w:t>ych uprawnionych. Oznacza to m.</w:t>
      </w:r>
      <w:r w:rsidR="00DA03B3" w:rsidRPr="009935E0">
        <w:rPr>
          <w:rFonts w:ascii="Times New Roman" w:hAnsi="Times New Roman" w:cs="Times New Roman"/>
          <w:sz w:val="24"/>
          <w:szCs w:val="24"/>
        </w:rPr>
        <w:t>in., że zgodnie z art. 15 ust. 2 dyrektywy</w:t>
      </w:r>
      <w:r w:rsidR="008716F8" w:rsidRPr="009935E0">
        <w:rPr>
          <w:rFonts w:ascii="Times New Roman" w:hAnsi="Times New Roman" w:cs="Times New Roman"/>
          <w:sz w:val="24"/>
          <w:szCs w:val="24"/>
        </w:rPr>
        <w:t xml:space="preserve"> DSM</w:t>
      </w:r>
      <w:r w:rsidR="00DA03B3" w:rsidRPr="009935E0">
        <w:rPr>
          <w:rFonts w:ascii="Times New Roman" w:hAnsi="Times New Roman" w:cs="Times New Roman"/>
          <w:sz w:val="24"/>
          <w:szCs w:val="24"/>
        </w:rPr>
        <w:t xml:space="preserve"> na prawo to nie będzie można się skutecznie powoływać przeciwko twórcom </w:t>
      </w:r>
      <w:r w:rsidR="000610EA" w:rsidRPr="009935E0">
        <w:rPr>
          <w:rFonts w:ascii="Times New Roman" w:hAnsi="Times New Roman" w:cs="Times New Roman"/>
          <w:sz w:val="24"/>
          <w:szCs w:val="24"/>
        </w:rPr>
        <w:t>(</w:t>
      </w:r>
      <w:r w:rsidR="00DA03B3" w:rsidRPr="009935E0">
        <w:rPr>
          <w:rFonts w:ascii="Times New Roman" w:hAnsi="Times New Roman" w:cs="Times New Roman"/>
          <w:sz w:val="24"/>
          <w:szCs w:val="24"/>
        </w:rPr>
        <w:t>i pozostałym uprawnionym</w:t>
      </w:r>
      <w:r w:rsidR="000610EA" w:rsidRPr="009935E0">
        <w:rPr>
          <w:rFonts w:ascii="Times New Roman" w:hAnsi="Times New Roman" w:cs="Times New Roman"/>
          <w:sz w:val="24"/>
          <w:szCs w:val="24"/>
        </w:rPr>
        <w:t>)</w:t>
      </w:r>
      <w:r w:rsidR="00DA03B3" w:rsidRPr="009935E0">
        <w:rPr>
          <w:rFonts w:ascii="Times New Roman" w:hAnsi="Times New Roman" w:cs="Times New Roman"/>
          <w:sz w:val="24"/>
          <w:szCs w:val="24"/>
        </w:rPr>
        <w:t xml:space="preserve"> w celu uniemożliwienia im korzystania z ich </w:t>
      </w:r>
      <w:r w:rsidR="000610EA" w:rsidRPr="009935E0">
        <w:rPr>
          <w:rFonts w:ascii="Times New Roman" w:hAnsi="Times New Roman" w:cs="Times New Roman"/>
          <w:sz w:val="24"/>
          <w:szCs w:val="24"/>
        </w:rPr>
        <w:t xml:space="preserve">utworów niezależnie od publikacji prasowej, w </w:t>
      </w:r>
      <w:r w:rsidR="0097514F" w:rsidRPr="009935E0">
        <w:rPr>
          <w:rFonts w:ascii="Times New Roman" w:hAnsi="Times New Roman" w:cs="Times New Roman"/>
          <w:sz w:val="24"/>
          <w:szCs w:val="24"/>
        </w:rPr>
        <w:t>skład której te utwory wchodzą</w:t>
      </w:r>
      <w:r w:rsidR="008B3EA4" w:rsidRPr="009935E0">
        <w:rPr>
          <w:rFonts w:ascii="Times New Roman" w:hAnsi="Times New Roman" w:cs="Times New Roman"/>
          <w:sz w:val="24"/>
          <w:szCs w:val="24"/>
        </w:rPr>
        <w:t>.</w:t>
      </w:r>
    </w:p>
    <w:p w14:paraId="31790346" w14:textId="4D41DF8C" w:rsidR="00EF7BC6" w:rsidRPr="009935E0" w:rsidRDefault="0090082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Co </w:t>
      </w:r>
      <w:r w:rsidR="008716F8" w:rsidRPr="009935E0">
        <w:rPr>
          <w:rFonts w:ascii="Times New Roman" w:hAnsi="Times New Roman" w:cs="Times New Roman"/>
          <w:sz w:val="24"/>
          <w:szCs w:val="24"/>
        </w:rPr>
        <w:t>istotne</w:t>
      </w:r>
      <w:r w:rsidRPr="009935E0">
        <w:rPr>
          <w:rFonts w:ascii="Times New Roman" w:hAnsi="Times New Roman" w:cs="Times New Roman"/>
          <w:sz w:val="24"/>
          <w:szCs w:val="24"/>
        </w:rPr>
        <w:t>, treść nowego prawa wyłączneg</w:t>
      </w:r>
      <w:r w:rsidR="008716F8" w:rsidRPr="009935E0">
        <w:rPr>
          <w:rFonts w:ascii="Times New Roman" w:hAnsi="Times New Roman" w:cs="Times New Roman"/>
          <w:sz w:val="24"/>
          <w:szCs w:val="24"/>
        </w:rPr>
        <w:t xml:space="preserve">o zostaje określona nie tylko </w:t>
      </w:r>
      <w:r w:rsidRPr="009935E0">
        <w:rPr>
          <w:rFonts w:ascii="Times New Roman" w:hAnsi="Times New Roman" w:cs="Times New Roman"/>
          <w:sz w:val="24"/>
          <w:szCs w:val="24"/>
        </w:rPr>
        <w:t>przez</w:t>
      </w:r>
      <w:r w:rsidR="008716F8" w:rsidRPr="009935E0">
        <w:rPr>
          <w:rFonts w:ascii="Times New Roman" w:hAnsi="Times New Roman" w:cs="Times New Roman"/>
          <w:sz w:val="24"/>
          <w:szCs w:val="24"/>
        </w:rPr>
        <w:t xml:space="preserve"> wskazanie pól</w:t>
      </w:r>
      <w:r w:rsidRPr="009935E0">
        <w:rPr>
          <w:rFonts w:ascii="Times New Roman" w:hAnsi="Times New Roman" w:cs="Times New Roman"/>
          <w:sz w:val="24"/>
          <w:szCs w:val="24"/>
        </w:rPr>
        <w:t xml:space="preserve"> eksploatacji, ale </w:t>
      </w:r>
      <w:r w:rsidR="0097514F" w:rsidRPr="009935E0">
        <w:rPr>
          <w:rFonts w:ascii="Times New Roman" w:hAnsi="Times New Roman" w:cs="Times New Roman"/>
          <w:sz w:val="24"/>
          <w:szCs w:val="24"/>
        </w:rPr>
        <w:t xml:space="preserve">także użytkowników tego prawa. </w:t>
      </w:r>
      <w:r w:rsidR="005E1993" w:rsidRPr="009935E0">
        <w:rPr>
          <w:rFonts w:ascii="Times New Roman" w:hAnsi="Times New Roman" w:cs="Times New Roman"/>
          <w:sz w:val="24"/>
          <w:szCs w:val="24"/>
        </w:rPr>
        <w:t xml:space="preserve">Według </w:t>
      </w:r>
      <w:r w:rsidR="0097514F" w:rsidRPr="009935E0">
        <w:rPr>
          <w:rFonts w:ascii="Times New Roman" w:hAnsi="Times New Roman" w:cs="Times New Roman"/>
          <w:sz w:val="24"/>
          <w:szCs w:val="24"/>
        </w:rPr>
        <w:t xml:space="preserve">dyrektywy </w:t>
      </w:r>
      <w:r w:rsidRPr="009935E0">
        <w:rPr>
          <w:rFonts w:ascii="Times New Roman" w:hAnsi="Times New Roman" w:cs="Times New Roman"/>
          <w:sz w:val="24"/>
          <w:szCs w:val="24"/>
        </w:rPr>
        <w:t xml:space="preserve">mogą to być </w:t>
      </w:r>
      <w:r w:rsidR="008716F8" w:rsidRPr="009935E0">
        <w:rPr>
          <w:rFonts w:ascii="Times New Roman" w:hAnsi="Times New Roman" w:cs="Times New Roman"/>
          <w:sz w:val="24"/>
          <w:szCs w:val="24"/>
        </w:rPr>
        <w:t>wyłącznie</w:t>
      </w:r>
      <w:r w:rsidRPr="009935E0">
        <w:rPr>
          <w:rFonts w:ascii="Times New Roman" w:hAnsi="Times New Roman" w:cs="Times New Roman"/>
          <w:sz w:val="24"/>
          <w:szCs w:val="24"/>
        </w:rPr>
        <w:t xml:space="preserve"> „dostawcy usług społeczeństwa informacyjnego”, </w:t>
      </w:r>
      <w:r w:rsidR="00EF7BC6" w:rsidRPr="009935E0">
        <w:rPr>
          <w:rFonts w:ascii="Times New Roman" w:hAnsi="Times New Roman" w:cs="Times New Roman"/>
          <w:sz w:val="24"/>
          <w:szCs w:val="24"/>
        </w:rPr>
        <w:t>a więc dostawcy usług w rozumieniu art. 1 ust. 1 lit. b dyrektywy 2015/1535. Definicja ta odpowiada definicji „usługodawcy”</w:t>
      </w:r>
      <w:r w:rsidR="006E037A" w:rsidRPr="009935E0">
        <w:rPr>
          <w:rFonts w:ascii="Times New Roman" w:hAnsi="Times New Roman" w:cs="Times New Roman"/>
          <w:sz w:val="24"/>
          <w:szCs w:val="24"/>
        </w:rPr>
        <w:t xml:space="preserve"> z art. 2 pkt 6 ustawy z dnia 18 lipca 2002 r. o świadczeniu usług drogą elektroniczną, która wdraża do prawa krajowego dyrektywę 2000/31/WE (tzw. dyrektywa </w:t>
      </w:r>
      <w:r w:rsidR="006E037A" w:rsidRPr="009935E0">
        <w:rPr>
          <w:rFonts w:ascii="Times New Roman" w:hAnsi="Times New Roman" w:cs="Times New Roman"/>
          <w:i/>
          <w:sz w:val="24"/>
          <w:szCs w:val="24"/>
        </w:rPr>
        <w:t>e-commerce</w:t>
      </w:r>
      <w:r w:rsidR="006E037A" w:rsidRPr="009935E0">
        <w:rPr>
          <w:rFonts w:ascii="Times New Roman" w:hAnsi="Times New Roman" w:cs="Times New Roman"/>
          <w:sz w:val="24"/>
          <w:szCs w:val="24"/>
        </w:rPr>
        <w:t xml:space="preserve">). Definicja dostawcy usług społeczeństwa informacyjnego zawarta w dyrektywach 2015/1535 i 2000/31/WE jest identyczna (tekst ang.), zatem zasadne jest odwołanie się do definicji usługodawcy z ustawy </w:t>
      </w:r>
      <w:r w:rsidR="00386CB1" w:rsidRPr="009935E0">
        <w:rPr>
          <w:rFonts w:ascii="Times New Roman" w:hAnsi="Times New Roman" w:cs="Times New Roman"/>
          <w:sz w:val="24"/>
          <w:szCs w:val="24"/>
        </w:rPr>
        <w:t xml:space="preserve">z dnia 18 lipca 2002 r. </w:t>
      </w:r>
      <w:r w:rsidR="006E037A" w:rsidRPr="009935E0">
        <w:rPr>
          <w:rFonts w:ascii="Times New Roman" w:hAnsi="Times New Roman" w:cs="Times New Roman"/>
          <w:sz w:val="24"/>
          <w:szCs w:val="24"/>
        </w:rPr>
        <w:t>o świadczeniu usług d</w:t>
      </w:r>
      <w:r w:rsidR="0073304E" w:rsidRPr="009935E0">
        <w:rPr>
          <w:rFonts w:ascii="Times New Roman" w:hAnsi="Times New Roman" w:cs="Times New Roman"/>
          <w:sz w:val="24"/>
          <w:szCs w:val="24"/>
        </w:rPr>
        <w:t xml:space="preserve">rogą elektroniczną. W tym miejscu warto jeszcze wskazać, że rodzajem „dostawcy usług </w:t>
      </w:r>
      <w:r w:rsidR="00D963C3" w:rsidRPr="009935E0">
        <w:rPr>
          <w:rFonts w:ascii="Times New Roman" w:hAnsi="Times New Roman" w:cs="Times New Roman"/>
          <w:sz w:val="24"/>
          <w:szCs w:val="24"/>
        </w:rPr>
        <w:t>społeczeństwa informacyjnego” w</w:t>
      </w:r>
      <w:r w:rsidR="007209D3" w:rsidRPr="009935E0">
        <w:rPr>
          <w:rFonts w:ascii="Times New Roman" w:hAnsi="Times New Roman" w:cs="Times New Roman"/>
          <w:sz w:val="24"/>
          <w:szCs w:val="24"/>
        </w:rPr>
        <w:t xml:space="preserve"> </w:t>
      </w:r>
      <w:r w:rsidR="0073304E" w:rsidRPr="009935E0">
        <w:rPr>
          <w:rFonts w:ascii="Times New Roman" w:hAnsi="Times New Roman" w:cs="Times New Roman"/>
          <w:sz w:val="24"/>
          <w:szCs w:val="24"/>
        </w:rPr>
        <w:t>rozumieniu dyrekty</w:t>
      </w:r>
      <w:r w:rsidR="001E2F0C" w:rsidRPr="009935E0">
        <w:rPr>
          <w:rFonts w:ascii="Times New Roman" w:hAnsi="Times New Roman" w:cs="Times New Roman"/>
          <w:sz w:val="24"/>
          <w:szCs w:val="24"/>
        </w:rPr>
        <w:t>wy DSM są</w:t>
      </w:r>
      <w:r w:rsidR="00C43420" w:rsidRPr="009935E0">
        <w:rPr>
          <w:rFonts w:ascii="Times New Roman" w:hAnsi="Times New Roman" w:cs="Times New Roman"/>
          <w:sz w:val="24"/>
          <w:szCs w:val="24"/>
        </w:rPr>
        <w:t xml:space="preserve"> dostawcy usług udostępniania treści online (zwani dalej „</w:t>
      </w:r>
      <w:r w:rsidR="001E2F0C" w:rsidRPr="009935E0">
        <w:rPr>
          <w:rFonts w:ascii="Times New Roman" w:hAnsi="Times New Roman" w:cs="Times New Roman"/>
          <w:sz w:val="24"/>
          <w:szCs w:val="24"/>
        </w:rPr>
        <w:t>DUUTO</w:t>
      </w:r>
      <w:r w:rsidR="00C43420" w:rsidRPr="009935E0">
        <w:rPr>
          <w:rFonts w:ascii="Times New Roman" w:hAnsi="Times New Roman" w:cs="Times New Roman"/>
          <w:sz w:val="24"/>
          <w:szCs w:val="24"/>
        </w:rPr>
        <w:t>”)</w:t>
      </w:r>
      <w:r w:rsidR="001E2F0C" w:rsidRPr="009935E0">
        <w:rPr>
          <w:rFonts w:ascii="Times New Roman" w:hAnsi="Times New Roman" w:cs="Times New Roman"/>
          <w:sz w:val="24"/>
          <w:szCs w:val="24"/>
        </w:rPr>
        <w:t xml:space="preserve"> (art. 17 </w:t>
      </w:r>
      <w:r w:rsidR="005E1993" w:rsidRPr="009935E0">
        <w:rPr>
          <w:rFonts w:ascii="Times New Roman" w:hAnsi="Times New Roman" w:cs="Times New Roman"/>
          <w:sz w:val="24"/>
          <w:szCs w:val="24"/>
        </w:rPr>
        <w:t xml:space="preserve">dyrektywy </w:t>
      </w:r>
      <w:r w:rsidR="001E2F0C" w:rsidRPr="009935E0">
        <w:rPr>
          <w:rFonts w:ascii="Times New Roman" w:hAnsi="Times New Roman" w:cs="Times New Roman"/>
          <w:sz w:val="24"/>
          <w:szCs w:val="24"/>
        </w:rPr>
        <w:t xml:space="preserve">DSM), </w:t>
      </w:r>
      <w:r w:rsidR="0073304E" w:rsidRPr="009935E0">
        <w:rPr>
          <w:rFonts w:ascii="Times New Roman" w:hAnsi="Times New Roman" w:cs="Times New Roman"/>
          <w:sz w:val="24"/>
          <w:szCs w:val="24"/>
        </w:rPr>
        <w:t>w odnie</w:t>
      </w:r>
      <w:r w:rsidR="00D963C3" w:rsidRPr="009935E0">
        <w:rPr>
          <w:rFonts w:ascii="Times New Roman" w:hAnsi="Times New Roman" w:cs="Times New Roman"/>
          <w:sz w:val="24"/>
          <w:szCs w:val="24"/>
        </w:rPr>
        <w:t>sieniu do których w</w:t>
      </w:r>
      <w:r w:rsidR="007209D3" w:rsidRPr="009935E0">
        <w:rPr>
          <w:rFonts w:ascii="Times New Roman" w:hAnsi="Times New Roman" w:cs="Times New Roman"/>
          <w:sz w:val="24"/>
          <w:szCs w:val="24"/>
        </w:rPr>
        <w:t xml:space="preserve"> </w:t>
      </w:r>
      <w:r w:rsidR="0073304E" w:rsidRPr="009935E0">
        <w:rPr>
          <w:rFonts w:ascii="Times New Roman" w:hAnsi="Times New Roman" w:cs="Times New Roman"/>
          <w:sz w:val="24"/>
          <w:szCs w:val="24"/>
        </w:rPr>
        <w:t xml:space="preserve">zakresie nieuregulowanym przez dyrektywę DSM stosuje się m.in. zasady odpowiedzialności określone w dyrektywie 2000/31/WE, a więc w prawie krajowym ustawę </w:t>
      </w:r>
      <w:r w:rsidR="00386CB1" w:rsidRPr="009935E0">
        <w:rPr>
          <w:rFonts w:ascii="Times New Roman" w:hAnsi="Times New Roman" w:cs="Times New Roman"/>
          <w:sz w:val="24"/>
          <w:szCs w:val="24"/>
        </w:rPr>
        <w:t xml:space="preserve">z dnia 18 lipca 2002 r. </w:t>
      </w:r>
      <w:r w:rsidR="0073304E" w:rsidRPr="009935E0">
        <w:rPr>
          <w:rFonts w:ascii="Times New Roman" w:hAnsi="Times New Roman" w:cs="Times New Roman"/>
          <w:sz w:val="24"/>
          <w:szCs w:val="24"/>
        </w:rPr>
        <w:t>o świadczeniu usług drogą elektroniczną</w:t>
      </w:r>
      <w:r w:rsidR="008A251E" w:rsidRPr="009935E0">
        <w:rPr>
          <w:rFonts w:ascii="Times New Roman" w:hAnsi="Times New Roman" w:cs="Times New Roman"/>
          <w:sz w:val="24"/>
          <w:szCs w:val="24"/>
        </w:rPr>
        <w:t>. Prowadzi to do wniosku, że na gruncie prawa krajowego zarówno „dostawcy usług społ</w:t>
      </w:r>
      <w:r w:rsidR="001E2F0C" w:rsidRPr="009935E0">
        <w:rPr>
          <w:rFonts w:ascii="Times New Roman" w:hAnsi="Times New Roman" w:cs="Times New Roman"/>
          <w:sz w:val="24"/>
          <w:szCs w:val="24"/>
        </w:rPr>
        <w:t xml:space="preserve">eczeństwa informacyjnego”, jak </w:t>
      </w:r>
      <w:r w:rsidR="008A251E" w:rsidRPr="009935E0">
        <w:rPr>
          <w:rFonts w:ascii="Times New Roman" w:hAnsi="Times New Roman" w:cs="Times New Roman"/>
          <w:sz w:val="24"/>
          <w:szCs w:val="24"/>
        </w:rPr>
        <w:t xml:space="preserve">i DUUTO powinni być traktowani jako „usługodawcy” w rozumieniu ustawy </w:t>
      </w:r>
      <w:r w:rsidR="00386CB1" w:rsidRPr="009935E0">
        <w:rPr>
          <w:rFonts w:ascii="Times New Roman" w:hAnsi="Times New Roman" w:cs="Times New Roman"/>
          <w:sz w:val="24"/>
          <w:szCs w:val="24"/>
        </w:rPr>
        <w:t xml:space="preserve">z dnia 18 lipca 2002 r. </w:t>
      </w:r>
      <w:r w:rsidR="008A251E" w:rsidRPr="009935E0">
        <w:rPr>
          <w:rFonts w:ascii="Times New Roman" w:hAnsi="Times New Roman" w:cs="Times New Roman"/>
          <w:sz w:val="24"/>
          <w:szCs w:val="24"/>
        </w:rPr>
        <w:t>o świadczeniu usług drogą elektroniczną. Ten t</w:t>
      </w:r>
      <w:r w:rsidR="00A133D5" w:rsidRPr="009935E0">
        <w:rPr>
          <w:rFonts w:ascii="Times New Roman" w:hAnsi="Times New Roman" w:cs="Times New Roman"/>
          <w:sz w:val="24"/>
          <w:szCs w:val="24"/>
        </w:rPr>
        <w:t>ermin będzie zatem stosowany m.</w:t>
      </w:r>
      <w:r w:rsidR="008A251E" w:rsidRPr="009935E0">
        <w:rPr>
          <w:rFonts w:ascii="Times New Roman" w:hAnsi="Times New Roman" w:cs="Times New Roman"/>
          <w:sz w:val="24"/>
          <w:szCs w:val="24"/>
        </w:rPr>
        <w:t>in. dla określenia beneficjentów nowego prawa pokrewnego.</w:t>
      </w:r>
    </w:p>
    <w:p w14:paraId="0A7F515A" w14:textId="253F56FB" w:rsidR="000610EA" w:rsidRPr="009935E0" w:rsidRDefault="000610E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ust. 3 określa się wszystkie ograniczenia nowego prawa wyłącznego. Zatem, zgodnie z art. 15 ust. 1 </w:t>
      </w:r>
      <w:r w:rsidRPr="009935E0">
        <w:rPr>
          <w:rFonts w:ascii="Times New Roman" w:hAnsi="Times New Roman" w:cs="Times New Roman"/>
          <w:i/>
          <w:sz w:val="24"/>
          <w:szCs w:val="24"/>
        </w:rPr>
        <w:t>in fine</w:t>
      </w:r>
      <w:r w:rsidRPr="009935E0">
        <w:rPr>
          <w:rFonts w:ascii="Times New Roman" w:hAnsi="Times New Roman" w:cs="Times New Roman"/>
          <w:sz w:val="24"/>
          <w:szCs w:val="24"/>
        </w:rPr>
        <w:t xml:space="preserve"> dyrektywy</w:t>
      </w:r>
      <w:r w:rsidR="005E1993"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w:t>
      </w:r>
      <w:r w:rsidR="008716F8" w:rsidRPr="009935E0">
        <w:rPr>
          <w:rFonts w:ascii="Times New Roman" w:hAnsi="Times New Roman" w:cs="Times New Roman"/>
          <w:sz w:val="24"/>
          <w:szCs w:val="24"/>
        </w:rPr>
        <w:t xml:space="preserve">prawo to </w:t>
      </w:r>
      <w:r w:rsidRPr="009935E0">
        <w:rPr>
          <w:rFonts w:ascii="Times New Roman" w:hAnsi="Times New Roman" w:cs="Times New Roman"/>
          <w:sz w:val="24"/>
          <w:szCs w:val="24"/>
        </w:rPr>
        <w:t xml:space="preserve">nie będzie obejmowało „własnego użytku osobistego, niezwiązanego z </w:t>
      </w:r>
      <w:r w:rsidR="008A251E" w:rsidRPr="009935E0">
        <w:rPr>
          <w:rFonts w:ascii="Times New Roman" w:hAnsi="Times New Roman" w:cs="Times New Roman"/>
          <w:sz w:val="24"/>
          <w:szCs w:val="24"/>
        </w:rPr>
        <w:t>celem zarobkowym</w:t>
      </w:r>
      <w:r w:rsidRPr="009935E0">
        <w:rPr>
          <w:rFonts w:ascii="Times New Roman" w:hAnsi="Times New Roman" w:cs="Times New Roman"/>
          <w:sz w:val="24"/>
          <w:szCs w:val="24"/>
        </w:rPr>
        <w:t>”, „</w:t>
      </w:r>
      <w:r w:rsidR="008A251E" w:rsidRPr="009935E0">
        <w:rPr>
          <w:rFonts w:ascii="Times New Roman" w:hAnsi="Times New Roman" w:cs="Times New Roman"/>
          <w:sz w:val="24"/>
          <w:szCs w:val="24"/>
        </w:rPr>
        <w:t>publicznego udostępniania hiperłącza</w:t>
      </w:r>
      <w:r w:rsidRPr="009935E0">
        <w:rPr>
          <w:rFonts w:ascii="Times New Roman" w:hAnsi="Times New Roman" w:cs="Times New Roman"/>
          <w:sz w:val="24"/>
          <w:szCs w:val="24"/>
        </w:rPr>
        <w:t xml:space="preserve"> do publikacji prasowej” (tj. czynności „linkowania” w terminologii dyrektywy) oraz „pojedynczych słów lub bardzo krótkich fragmentów publikacji prasowej”. </w:t>
      </w:r>
      <w:r w:rsidR="00D60C31" w:rsidRPr="009935E0">
        <w:rPr>
          <w:rFonts w:ascii="Times New Roman" w:hAnsi="Times New Roman" w:cs="Times New Roman"/>
          <w:sz w:val="24"/>
          <w:szCs w:val="24"/>
        </w:rPr>
        <w:t xml:space="preserve">Należy wyjaśnić, że ograniczenie związane z „własnym użytkiem osobistym” nie jest </w:t>
      </w:r>
      <w:r w:rsidR="006033D6" w:rsidRPr="009935E0">
        <w:rPr>
          <w:rFonts w:ascii="Times New Roman" w:hAnsi="Times New Roman" w:cs="Times New Roman"/>
          <w:sz w:val="24"/>
          <w:szCs w:val="24"/>
        </w:rPr>
        <w:t>tożsame z</w:t>
      </w:r>
      <w:r w:rsidR="00D60C31" w:rsidRPr="009935E0">
        <w:rPr>
          <w:rFonts w:ascii="Times New Roman" w:hAnsi="Times New Roman" w:cs="Times New Roman"/>
          <w:sz w:val="24"/>
          <w:szCs w:val="24"/>
        </w:rPr>
        <w:t xml:space="preserve"> treś</w:t>
      </w:r>
      <w:r w:rsidR="006033D6" w:rsidRPr="009935E0">
        <w:rPr>
          <w:rFonts w:ascii="Times New Roman" w:hAnsi="Times New Roman" w:cs="Times New Roman"/>
          <w:sz w:val="24"/>
          <w:szCs w:val="24"/>
        </w:rPr>
        <w:t>cią</w:t>
      </w:r>
      <w:r w:rsidR="00D60C31" w:rsidRPr="009935E0">
        <w:rPr>
          <w:rFonts w:ascii="Times New Roman" w:hAnsi="Times New Roman" w:cs="Times New Roman"/>
          <w:sz w:val="24"/>
          <w:szCs w:val="24"/>
        </w:rPr>
        <w:t xml:space="preserve"> art. 23 </w:t>
      </w:r>
      <w:r w:rsidR="00D60C31" w:rsidRPr="009935E0">
        <w:rPr>
          <w:rFonts w:ascii="Times New Roman" w:hAnsi="Times New Roman" w:cs="Times New Roman"/>
          <w:sz w:val="24"/>
          <w:szCs w:val="24"/>
        </w:rPr>
        <w:lastRenderedPageBreak/>
        <w:t>ustawy o prawie autorskim (dozwolony użytek osobisty). Instytucja dozwolonego użytku (</w:t>
      </w:r>
      <w:r w:rsidR="006033D6" w:rsidRPr="009935E0">
        <w:rPr>
          <w:rFonts w:ascii="Times New Roman" w:hAnsi="Times New Roman" w:cs="Times New Roman"/>
          <w:sz w:val="24"/>
          <w:szCs w:val="24"/>
        </w:rPr>
        <w:t xml:space="preserve">zarówno </w:t>
      </w:r>
      <w:r w:rsidR="00D60C31" w:rsidRPr="009935E0">
        <w:rPr>
          <w:rFonts w:ascii="Times New Roman" w:hAnsi="Times New Roman" w:cs="Times New Roman"/>
          <w:sz w:val="24"/>
          <w:szCs w:val="24"/>
        </w:rPr>
        <w:t>osobistego</w:t>
      </w:r>
      <w:r w:rsidR="006033D6" w:rsidRPr="009935E0">
        <w:rPr>
          <w:rFonts w:ascii="Times New Roman" w:hAnsi="Times New Roman" w:cs="Times New Roman"/>
          <w:sz w:val="24"/>
          <w:szCs w:val="24"/>
        </w:rPr>
        <w:t>, jak i</w:t>
      </w:r>
      <w:r w:rsidR="00D60C31" w:rsidRPr="009935E0">
        <w:rPr>
          <w:rFonts w:ascii="Times New Roman" w:hAnsi="Times New Roman" w:cs="Times New Roman"/>
          <w:sz w:val="24"/>
          <w:szCs w:val="24"/>
        </w:rPr>
        <w:t xml:space="preserve"> publicznego) nie wyznacza treści prawa autorskiego czy pokrewnego, ale pozwala (w określonych sytuacjach) bez zgody uprawnionego korzystać z tych praw, z ograniczeniami wynikającymi np. z art. 34</w:t>
      </w:r>
      <w:r w:rsidR="006033D6" w:rsidRPr="009935E0">
        <w:rPr>
          <w:rFonts w:ascii="Times New Roman" w:hAnsi="Times New Roman" w:cs="Times New Roman"/>
          <w:sz w:val="24"/>
          <w:szCs w:val="24"/>
        </w:rPr>
        <w:t>–</w:t>
      </w:r>
      <w:r w:rsidR="00D60C31" w:rsidRPr="009935E0">
        <w:rPr>
          <w:rFonts w:ascii="Times New Roman" w:hAnsi="Times New Roman" w:cs="Times New Roman"/>
          <w:sz w:val="24"/>
          <w:szCs w:val="24"/>
        </w:rPr>
        <w:t xml:space="preserve">35 </w:t>
      </w:r>
      <w:r w:rsidR="005E1993" w:rsidRPr="009935E0">
        <w:rPr>
          <w:rFonts w:ascii="Times New Roman" w:hAnsi="Times New Roman" w:cs="Times New Roman"/>
          <w:sz w:val="24"/>
          <w:szCs w:val="24"/>
        </w:rPr>
        <w:t>ustawy o prawie autorskim</w:t>
      </w:r>
      <w:r w:rsidR="00D60C31" w:rsidRPr="009935E0">
        <w:rPr>
          <w:rFonts w:ascii="Times New Roman" w:hAnsi="Times New Roman" w:cs="Times New Roman"/>
          <w:sz w:val="24"/>
          <w:szCs w:val="24"/>
        </w:rPr>
        <w:t xml:space="preserve">. Tymczasem omawiane ograniczenie nowego prawa wyłącznego wyznacza treść nowego prawa. Korzystanie z publikacji prasowej w ramach „własnego użytku osobistego, niezwiązanego z </w:t>
      </w:r>
      <w:r w:rsidR="008A251E" w:rsidRPr="009935E0">
        <w:rPr>
          <w:rFonts w:ascii="Times New Roman" w:hAnsi="Times New Roman" w:cs="Times New Roman"/>
          <w:sz w:val="24"/>
          <w:szCs w:val="24"/>
        </w:rPr>
        <w:t>celem zarobkowym</w:t>
      </w:r>
      <w:r w:rsidR="00D60C31" w:rsidRPr="009935E0">
        <w:rPr>
          <w:rFonts w:ascii="Times New Roman" w:hAnsi="Times New Roman" w:cs="Times New Roman"/>
          <w:sz w:val="24"/>
          <w:szCs w:val="24"/>
        </w:rPr>
        <w:t>” nie jest w ogóle korzystaniem z nowego prawa wyłącznego i tym samym nie podlega np. ograniczeniom wynikającym z ww. art. 34</w:t>
      </w:r>
      <w:r w:rsidR="006033D6" w:rsidRPr="009935E0">
        <w:rPr>
          <w:rFonts w:ascii="Times New Roman" w:hAnsi="Times New Roman" w:cs="Times New Roman"/>
          <w:sz w:val="24"/>
          <w:szCs w:val="24"/>
        </w:rPr>
        <w:t>–</w:t>
      </w:r>
      <w:r w:rsidR="00D60C31" w:rsidRPr="009935E0">
        <w:rPr>
          <w:rFonts w:ascii="Times New Roman" w:hAnsi="Times New Roman" w:cs="Times New Roman"/>
          <w:sz w:val="24"/>
          <w:szCs w:val="24"/>
        </w:rPr>
        <w:t xml:space="preserve">35. </w:t>
      </w:r>
      <w:r w:rsidR="006033D6" w:rsidRPr="009935E0">
        <w:rPr>
          <w:rFonts w:ascii="Times New Roman" w:hAnsi="Times New Roman" w:cs="Times New Roman"/>
          <w:sz w:val="24"/>
          <w:szCs w:val="24"/>
        </w:rPr>
        <w:t>Analogicznie</w:t>
      </w:r>
      <w:r w:rsidR="00386008" w:rsidRPr="009935E0">
        <w:rPr>
          <w:rFonts w:ascii="Times New Roman" w:hAnsi="Times New Roman" w:cs="Times New Roman"/>
          <w:sz w:val="24"/>
          <w:szCs w:val="24"/>
        </w:rPr>
        <w:t xml:space="preserve"> należy rozumieć pozostałe ograniczenia określone w omawianym ust. 3.</w:t>
      </w:r>
    </w:p>
    <w:p w14:paraId="516090A8" w14:textId="613F4D34" w:rsidR="009D6892" w:rsidRPr="009935E0" w:rsidRDefault="009D689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Wy</w:t>
      </w:r>
      <w:r w:rsidR="006033D6" w:rsidRPr="009935E0">
        <w:rPr>
          <w:rFonts w:ascii="Times New Roman" w:hAnsi="Times New Roman" w:cs="Times New Roman"/>
          <w:sz w:val="24"/>
          <w:szCs w:val="24"/>
        </w:rPr>
        <w:t>jątek</w:t>
      </w:r>
      <w:r w:rsidRPr="009935E0">
        <w:rPr>
          <w:rFonts w:ascii="Times New Roman" w:hAnsi="Times New Roman" w:cs="Times New Roman"/>
          <w:sz w:val="24"/>
          <w:szCs w:val="24"/>
        </w:rPr>
        <w:t xml:space="preserve"> z zakresu nowego prawa wyłącznego </w:t>
      </w:r>
      <w:r w:rsidR="006033D6" w:rsidRPr="009935E0">
        <w:rPr>
          <w:rFonts w:ascii="Times New Roman" w:hAnsi="Times New Roman" w:cs="Times New Roman"/>
          <w:sz w:val="24"/>
          <w:szCs w:val="24"/>
        </w:rPr>
        <w:t xml:space="preserve">dotyczący </w:t>
      </w:r>
      <w:r w:rsidRPr="009935E0">
        <w:rPr>
          <w:rFonts w:ascii="Times New Roman" w:hAnsi="Times New Roman" w:cs="Times New Roman"/>
          <w:sz w:val="24"/>
          <w:szCs w:val="24"/>
        </w:rPr>
        <w:t>„pojedynczych słów” i „bardzo krótkich fragmentów publikacji prasowej” może prowadzić do wątpliwości interpretacyjnych z</w:t>
      </w:r>
      <w:r w:rsidR="006033D6" w:rsidRPr="009935E0">
        <w:rPr>
          <w:rFonts w:ascii="Times New Roman" w:hAnsi="Times New Roman" w:cs="Times New Roman"/>
          <w:sz w:val="24"/>
          <w:szCs w:val="24"/>
        </w:rPr>
        <w:t>e</w:t>
      </w:r>
      <w:r w:rsidRPr="009935E0">
        <w:rPr>
          <w:rFonts w:ascii="Times New Roman" w:hAnsi="Times New Roman" w:cs="Times New Roman"/>
          <w:sz w:val="24"/>
          <w:szCs w:val="24"/>
        </w:rPr>
        <w:t xml:space="preserve"> </w:t>
      </w:r>
      <w:r w:rsidR="006033D6" w:rsidRPr="009935E0">
        <w:rPr>
          <w:rFonts w:ascii="Times New Roman" w:hAnsi="Times New Roman" w:cs="Times New Roman"/>
          <w:sz w:val="24"/>
          <w:szCs w:val="24"/>
        </w:rPr>
        <w:t>względu</w:t>
      </w:r>
      <w:r w:rsidRPr="009935E0">
        <w:rPr>
          <w:rFonts w:ascii="Times New Roman" w:hAnsi="Times New Roman" w:cs="Times New Roman"/>
          <w:sz w:val="24"/>
          <w:szCs w:val="24"/>
        </w:rPr>
        <w:t xml:space="preserve"> na niedookreśloność tych pojęć. Nie wydaje się jednak zasadn</w:t>
      </w:r>
      <w:r w:rsidR="00315516" w:rsidRPr="009935E0">
        <w:rPr>
          <w:rFonts w:ascii="Times New Roman" w:hAnsi="Times New Roman" w:cs="Times New Roman"/>
          <w:sz w:val="24"/>
          <w:szCs w:val="24"/>
        </w:rPr>
        <w:t>e</w:t>
      </w:r>
      <w:r w:rsidRPr="009935E0">
        <w:rPr>
          <w:rFonts w:ascii="Times New Roman" w:hAnsi="Times New Roman" w:cs="Times New Roman"/>
          <w:sz w:val="24"/>
          <w:szCs w:val="24"/>
        </w:rPr>
        <w:t xml:space="preserve"> </w:t>
      </w:r>
      <w:r w:rsidR="00315516" w:rsidRPr="009935E0">
        <w:rPr>
          <w:rFonts w:ascii="Times New Roman" w:hAnsi="Times New Roman" w:cs="Times New Roman"/>
          <w:sz w:val="24"/>
          <w:szCs w:val="24"/>
        </w:rPr>
        <w:t>ich dookreślenie</w:t>
      </w:r>
      <w:r w:rsidRPr="009935E0">
        <w:rPr>
          <w:rFonts w:ascii="Times New Roman" w:hAnsi="Times New Roman" w:cs="Times New Roman"/>
          <w:sz w:val="24"/>
          <w:szCs w:val="24"/>
        </w:rPr>
        <w:t xml:space="preserve"> </w:t>
      </w:r>
      <w:r w:rsidR="00FE589A" w:rsidRPr="009935E0">
        <w:rPr>
          <w:rFonts w:ascii="Times New Roman" w:hAnsi="Times New Roman" w:cs="Times New Roman"/>
          <w:sz w:val="24"/>
          <w:szCs w:val="24"/>
        </w:rPr>
        <w:t xml:space="preserve">w ustawie </w:t>
      </w:r>
      <w:r w:rsidRPr="009935E0">
        <w:rPr>
          <w:rFonts w:ascii="Times New Roman" w:hAnsi="Times New Roman" w:cs="Times New Roman"/>
          <w:sz w:val="24"/>
          <w:szCs w:val="24"/>
        </w:rPr>
        <w:t xml:space="preserve">(np. przez określenie limitu słów lub znaków „bardzo krótkiego fragmentu publikacji prasowej”), gdyż każda taka próba może budzić zasadne pytania o </w:t>
      </w:r>
      <w:r w:rsidR="00315516" w:rsidRPr="009935E0">
        <w:rPr>
          <w:rFonts w:ascii="Times New Roman" w:hAnsi="Times New Roman" w:cs="Times New Roman"/>
          <w:sz w:val="24"/>
          <w:szCs w:val="24"/>
        </w:rPr>
        <w:t>zgodność z dyrektywą. Należy także</w:t>
      </w:r>
      <w:r w:rsidRPr="009935E0">
        <w:rPr>
          <w:rFonts w:ascii="Times New Roman" w:hAnsi="Times New Roman" w:cs="Times New Roman"/>
          <w:sz w:val="24"/>
          <w:szCs w:val="24"/>
        </w:rPr>
        <w:t xml:space="preserve"> mieć na uwadze, że Komisja Europejska generalnie nie zachęca do doprecyzowywania w prawie krajowym ogólnych pojęć stosowanych w dyrektywach, gdyż skutkuje to niejednolitym stosowaniem praw</w:t>
      </w:r>
      <w:r w:rsidR="007753BD" w:rsidRPr="009935E0">
        <w:rPr>
          <w:rFonts w:ascii="Times New Roman" w:hAnsi="Times New Roman" w:cs="Times New Roman"/>
          <w:sz w:val="24"/>
          <w:szCs w:val="24"/>
        </w:rPr>
        <w:t>a U</w:t>
      </w:r>
      <w:r w:rsidR="00A94C99" w:rsidRPr="009935E0">
        <w:rPr>
          <w:rFonts w:ascii="Times New Roman" w:hAnsi="Times New Roman" w:cs="Times New Roman"/>
          <w:sz w:val="24"/>
          <w:szCs w:val="24"/>
        </w:rPr>
        <w:t xml:space="preserve">nii </w:t>
      </w:r>
      <w:r w:rsidR="007753BD"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7753BD" w:rsidRPr="009935E0">
        <w:rPr>
          <w:rFonts w:ascii="Times New Roman" w:hAnsi="Times New Roman" w:cs="Times New Roman"/>
          <w:sz w:val="24"/>
          <w:szCs w:val="24"/>
        </w:rPr>
        <w:t xml:space="preserve"> w państwach członkowskich (zob. </w:t>
      </w:r>
      <w:r w:rsidR="007B0B31" w:rsidRPr="009935E0">
        <w:rPr>
          <w:rFonts w:ascii="Times New Roman" w:hAnsi="Times New Roman" w:cs="Times New Roman"/>
          <w:sz w:val="24"/>
          <w:szCs w:val="24"/>
        </w:rPr>
        <w:t>Wytyczne</w:t>
      </w:r>
      <w:r w:rsidR="00FE589A" w:rsidRPr="009935E0">
        <w:rPr>
          <w:rFonts w:ascii="Times New Roman" w:hAnsi="Times New Roman" w:cs="Times New Roman"/>
          <w:sz w:val="24"/>
          <w:szCs w:val="24"/>
        </w:rPr>
        <w:t>, o czym dalej).</w:t>
      </w:r>
    </w:p>
    <w:p w14:paraId="009A6842" w14:textId="2168A558" w:rsidR="000610EA" w:rsidRPr="009935E0" w:rsidRDefault="005879E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Projektowany art. 99</w:t>
      </w:r>
      <w:r w:rsidRPr="009935E0">
        <w:rPr>
          <w:rFonts w:ascii="Times New Roman" w:hAnsi="Times New Roman" w:cs="Times New Roman"/>
          <w:sz w:val="24"/>
          <w:szCs w:val="24"/>
          <w:vertAlign w:val="superscript"/>
        </w:rPr>
        <w:t>7</w:t>
      </w:r>
      <w:r w:rsidRPr="009935E0">
        <w:rPr>
          <w:rFonts w:ascii="Times New Roman" w:hAnsi="Times New Roman" w:cs="Times New Roman"/>
          <w:sz w:val="24"/>
          <w:szCs w:val="24"/>
        </w:rPr>
        <w:t xml:space="preserve"> ust. 3 ustawy o prawie autorskim zawiera także pozostałe ograniczenia dla nowego prawa wyłącznego –</w:t>
      </w:r>
      <w:r w:rsidR="00ED7552"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zgodnie z art. 15 ust. 2 </w:t>
      </w:r>
      <w:r w:rsidRPr="009935E0">
        <w:rPr>
          <w:rFonts w:ascii="Times New Roman" w:hAnsi="Times New Roman" w:cs="Times New Roman"/>
          <w:i/>
          <w:sz w:val="24"/>
          <w:szCs w:val="24"/>
        </w:rPr>
        <w:t>in fine</w:t>
      </w:r>
      <w:r w:rsidRPr="009935E0">
        <w:rPr>
          <w:rFonts w:ascii="Times New Roman" w:hAnsi="Times New Roman" w:cs="Times New Roman"/>
          <w:sz w:val="24"/>
          <w:szCs w:val="24"/>
        </w:rPr>
        <w:t xml:space="preserve"> dyrektywy</w:t>
      </w:r>
      <w:r w:rsidR="00385FE9" w:rsidRPr="009935E0">
        <w:rPr>
          <w:rFonts w:ascii="Times New Roman" w:hAnsi="Times New Roman" w:cs="Times New Roman"/>
          <w:sz w:val="24"/>
          <w:szCs w:val="24"/>
        </w:rPr>
        <w:t xml:space="preserve"> nowe prawo wyłączne nie będzie dotyczyć </w:t>
      </w:r>
      <w:r w:rsidR="000610EA" w:rsidRPr="009935E0">
        <w:rPr>
          <w:rFonts w:ascii="Times New Roman" w:hAnsi="Times New Roman" w:cs="Times New Roman"/>
          <w:sz w:val="24"/>
          <w:szCs w:val="24"/>
        </w:rPr>
        <w:t>utworów lub przedmiotów praw pokrewnych zawartych w publikacji prasowej, których ochrona wygasła</w:t>
      </w:r>
      <w:r w:rsidR="007A2546" w:rsidRPr="009935E0">
        <w:rPr>
          <w:rFonts w:ascii="Times New Roman" w:hAnsi="Times New Roman" w:cs="Times New Roman"/>
          <w:sz w:val="24"/>
          <w:szCs w:val="24"/>
        </w:rPr>
        <w:t xml:space="preserve"> lub które (wkład</w:t>
      </w:r>
      <w:r w:rsidR="008A251E" w:rsidRPr="009935E0">
        <w:rPr>
          <w:rFonts w:ascii="Times New Roman" w:hAnsi="Times New Roman" w:cs="Times New Roman"/>
          <w:sz w:val="24"/>
          <w:szCs w:val="24"/>
        </w:rPr>
        <w:t xml:space="preserve"> polskiego ustawodawcy</w:t>
      </w:r>
      <w:r w:rsidR="007A2546" w:rsidRPr="009935E0">
        <w:rPr>
          <w:rFonts w:ascii="Times New Roman" w:hAnsi="Times New Roman" w:cs="Times New Roman"/>
          <w:sz w:val="24"/>
          <w:szCs w:val="24"/>
        </w:rPr>
        <w:t>) nigdy nie były przedmiotem ochrony.</w:t>
      </w:r>
      <w:r w:rsidR="00ED7552" w:rsidRPr="009935E0">
        <w:rPr>
          <w:rFonts w:ascii="Times New Roman" w:hAnsi="Times New Roman" w:cs="Times New Roman"/>
          <w:sz w:val="24"/>
          <w:szCs w:val="24"/>
        </w:rPr>
        <w:t xml:space="preserve"> </w:t>
      </w:r>
      <w:r w:rsidR="00385FE9" w:rsidRPr="009935E0">
        <w:rPr>
          <w:rFonts w:ascii="Times New Roman" w:hAnsi="Times New Roman" w:cs="Times New Roman"/>
          <w:sz w:val="24"/>
          <w:szCs w:val="24"/>
        </w:rPr>
        <w:t>Z</w:t>
      </w:r>
      <w:r w:rsidR="00ED7552" w:rsidRPr="009935E0">
        <w:rPr>
          <w:rFonts w:ascii="Times New Roman" w:hAnsi="Times New Roman" w:cs="Times New Roman"/>
          <w:sz w:val="24"/>
          <w:szCs w:val="24"/>
        </w:rPr>
        <w:t xml:space="preserve">godnie z art. 15 ust. 4 </w:t>
      </w:r>
      <w:r w:rsidR="00ED7552" w:rsidRPr="009935E0">
        <w:rPr>
          <w:rFonts w:ascii="Times New Roman" w:hAnsi="Times New Roman" w:cs="Times New Roman"/>
          <w:i/>
          <w:sz w:val="24"/>
          <w:szCs w:val="24"/>
        </w:rPr>
        <w:t>in fine</w:t>
      </w:r>
      <w:r w:rsidR="00ED7552" w:rsidRPr="009935E0">
        <w:rPr>
          <w:rFonts w:ascii="Times New Roman" w:hAnsi="Times New Roman" w:cs="Times New Roman"/>
          <w:sz w:val="24"/>
          <w:szCs w:val="24"/>
        </w:rPr>
        <w:t xml:space="preserve"> dyrektywy </w:t>
      </w:r>
      <w:r w:rsidR="005E1993" w:rsidRPr="009935E0">
        <w:rPr>
          <w:rFonts w:ascii="Times New Roman" w:hAnsi="Times New Roman" w:cs="Times New Roman"/>
          <w:sz w:val="24"/>
          <w:szCs w:val="24"/>
        </w:rPr>
        <w:t xml:space="preserve">DSM </w:t>
      </w:r>
      <w:r w:rsidR="00385FE9" w:rsidRPr="009935E0">
        <w:rPr>
          <w:rFonts w:ascii="Times New Roman" w:hAnsi="Times New Roman" w:cs="Times New Roman"/>
          <w:sz w:val="24"/>
          <w:szCs w:val="24"/>
        </w:rPr>
        <w:t xml:space="preserve">nie powinno </w:t>
      </w:r>
      <w:r w:rsidR="00315516" w:rsidRPr="009935E0">
        <w:rPr>
          <w:rFonts w:ascii="Times New Roman" w:hAnsi="Times New Roman" w:cs="Times New Roman"/>
          <w:sz w:val="24"/>
          <w:szCs w:val="24"/>
        </w:rPr>
        <w:t xml:space="preserve">ono </w:t>
      </w:r>
      <w:r w:rsidR="00385FE9" w:rsidRPr="009935E0">
        <w:rPr>
          <w:rFonts w:ascii="Times New Roman" w:hAnsi="Times New Roman" w:cs="Times New Roman"/>
          <w:sz w:val="24"/>
          <w:szCs w:val="24"/>
        </w:rPr>
        <w:t xml:space="preserve">dotyczyć także </w:t>
      </w:r>
      <w:r w:rsidR="00ED7552" w:rsidRPr="009935E0">
        <w:rPr>
          <w:rFonts w:ascii="Times New Roman" w:hAnsi="Times New Roman" w:cs="Times New Roman"/>
          <w:sz w:val="24"/>
          <w:szCs w:val="24"/>
        </w:rPr>
        <w:t>publikacji prasowych opublikowanych przed dniem 6 czerwca 2019 r.</w:t>
      </w:r>
      <w:r w:rsidR="00385FE9" w:rsidRPr="009935E0">
        <w:rPr>
          <w:rFonts w:ascii="Times New Roman" w:hAnsi="Times New Roman" w:cs="Times New Roman"/>
          <w:sz w:val="24"/>
          <w:szCs w:val="24"/>
        </w:rPr>
        <w:t xml:space="preserve">, jednakże z uwagi na termin implementacji dyrektywy do polskiego porządku prawnego przepis ten stał się bezprzedmiotowy. Nowe prawo pokrewne będzie zatem chronić publikacje prasowe opublikowane od dnia wejścia w życie ustawy, ale również te wcześniejsze, co do których nie upłynął jeszcze czas </w:t>
      </w:r>
      <w:r w:rsidR="005009D7" w:rsidRPr="009935E0">
        <w:rPr>
          <w:rFonts w:ascii="Times New Roman" w:hAnsi="Times New Roman" w:cs="Times New Roman"/>
          <w:sz w:val="24"/>
          <w:szCs w:val="24"/>
        </w:rPr>
        <w:t xml:space="preserve">ich </w:t>
      </w:r>
      <w:r w:rsidR="00385FE9" w:rsidRPr="009935E0">
        <w:rPr>
          <w:rFonts w:ascii="Times New Roman" w:hAnsi="Times New Roman" w:cs="Times New Roman"/>
          <w:sz w:val="24"/>
          <w:szCs w:val="24"/>
        </w:rPr>
        <w:t xml:space="preserve">ochrony liczony </w:t>
      </w:r>
      <w:r w:rsidR="005009D7" w:rsidRPr="009935E0">
        <w:rPr>
          <w:rFonts w:ascii="Times New Roman" w:hAnsi="Times New Roman" w:cs="Times New Roman"/>
          <w:sz w:val="24"/>
          <w:szCs w:val="24"/>
        </w:rPr>
        <w:t>zgodnie z projektowanym art. 99</w:t>
      </w:r>
      <w:r w:rsidR="005009D7" w:rsidRPr="009935E0">
        <w:rPr>
          <w:rFonts w:ascii="Times New Roman" w:hAnsi="Times New Roman" w:cs="Times New Roman"/>
          <w:sz w:val="24"/>
          <w:szCs w:val="24"/>
          <w:vertAlign w:val="superscript"/>
        </w:rPr>
        <w:t>8</w:t>
      </w:r>
      <w:r w:rsidR="005E1993" w:rsidRPr="009935E0">
        <w:rPr>
          <w:rFonts w:ascii="Times New Roman" w:hAnsi="Times New Roman" w:cs="Times New Roman"/>
          <w:sz w:val="24"/>
          <w:szCs w:val="24"/>
        </w:rPr>
        <w:t xml:space="preserve"> ustawy o prawie autorskim.</w:t>
      </w:r>
      <w:r w:rsidR="00BC5DC6" w:rsidRPr="009935E0">
        <w:rPr>
          <w:rFonts w:ascii="Times New Roman" w:hAnsi="Times New Roman" w:cs="Times New Roman"/>
          <w:sz w:val="24"/>
          <w:szCs w:val="24"/>
        </w:rPr>
        <w:t xml:space="preserve"> Nie oznacza to retroaktywnego działania ustawy, gdyż ochrona nowym prawem powsta</w:t>
      </w:r>
      <w:r w:rsidR="00E13954" w:rsidRPr="009935E0">
        <w:rPr>
          <w:rFonts w:ascii="Times New Roman" w:hAnsi="Times New Roman" w:cs="Times New Roman"/>
          <w:sz w:val="24"/>
          <w:szCs w:val="24"/>
        </w:rPr>
        <w:t>nie</w:t>
      </w:r>
      <w:r w:rsidR="00BC5DC6" w:rsidRPr="009935E0">
        <w:rPr>
          <w:rFonts w:ascii="Times New Roman" w:hAnsi="Times New Roman" w:cs="Times New Roman"/>
          <w:sz w:val="24"/>
          <w:szCs w:val="24"/>
        </w:rPr>
        <w:t xml:space="preserve"> dopiero z dniem wejścia ustawy w życie i tym samym obowiązek uzyskania zgody (i zapłaty wynagrodzenia) za korzystanie z tego prawa będzie dotyczyć aktów eksploatacji </w:t>
      </w:r>
      <w:r w:rsidR="00E13954" w:rsidRPr="009935E0">
        <w:rPr>
          <w:rFonts w:ascii="Times New Roman" w:hAnsi="Times New Roman" w:cs="Times New Roman"/>
          <w:sz w:val="24"/>
          <w:szCs w:val="24"/>
        </w:rPr>
        <w:t xml:space="preserve">dokonywanych od tego </w:t>
      </w:r>
      <w:r w:rsidR="00BC5DC6" w:rsidRPr="009935E0">
        <w:rPr>
          <w:rFonts w:ascii="Times New Roman" w:hAnsi="Times New Roman" w:cs="Times New Roman"/>
          <w:sz w:val="24"/>
          <w:szCs w:val="24"/>
        </w:rPr>
        <w:t xml:space="preserve">dnia. </w:t>
      </w:r>
    </w:p>
    <w:p w14:paraId="3E9E5CAE" w14:textId="77777777" w:rsidR="007A2546" w:rsidRPr="009935E0" w:rsidRDefault="007A254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 xml:space="preserve">Zgodnie z art. 15 ust. 2 dyrektywy </w:t>
      </w:r>
      <w:r w:rsidR="005E1993" w:rsidRPr="009935E0">
        <w:rPr>
          <w:rFonts w:ascii="Times New Roman" w:hAnsi="Times New Roman" w:cs="Times New Roman"/>
          <w:sz w:val="24"/>
          <w:szCs w:val="24"/>
        </w:rPr>
        <w:t xml:space="preserve">DSM </w:t>
      </w:r>
      <w:r w:rsidRPr="009935E0">
        <w:rPr>
          <w:rFonts w:ascii="Times New Roman" w:hAnsi="Times New Roman" w:cs="Times New Roman"/>
          <w:sz w:val="24"/>
          <w:szCs w:val="24"/>
        </w:rPr>
        <w:t>przepis art. 99</w:t>
      </w:r>
      <w:r w:rsidRPr="009935E0">
        <w:rPr>
          <w:rFonts w:ascii="Times New Roman" w:hAnsi="Times New Roman" w:cs="Times New Roman"/>
          <w:sz w:val="24"/>
          <w:szCs w:val="24"/>
          <w:vertAlign w:val="superscript"/>
        </w:rPr>
        <w:t>7</w:t>
      </w:r>
      <w:r w:rsidRPr="009935E0">
        <w:rPr>
          <w:rFonts w:ascii="Times New Roman" w:hAnsi="Times New Roman" w:cs="Times New Roman"/>
          <w:sz w:val="24"/>
          <w:szCs w:val="24"/>
        </w:rPr>
        <w:t xml:space="preserve"> ust. 4 </w:t>
      </w:r>
      <w:r w:rsidR="005E1993"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wyraźnie rozstrzyga, że nowe prawo wyłączne nie obejmuje prawa zakazywania korzystania z utworu lub przedmiotu prawa pokrewnego zamieszczonych w publikacji prasowej na podstawie licencji niewyłącznej, jeżeli korzystanie to odbywa się za zgodą uprawnionego (tj. na podstawie odrębnej licencji niewyłącznej). Jest to bardzo istotne</w:t>
      </w:r>
      <w:r w:rsidR="00C57E4D" w:rsidRPr="009935E0">
        <w:rPr>
          <w:rFonts w:ascii="Times New Roman" w:hAnsi="Times New Roman" w:cs="Times New Roman"/>
          <w:sz w:val="24"/>
          <w:szCs w:val="24"/>
        </w:rPr>
        <w:t xml:space="preserve"> ograniczenie nowego prawa wyłącznego, gdyż umożliwia autorom utworów zamieszczonych w publikacji prasowej i pozostałym uprawnionym skuteczne licencjonowanie swojej twórczości</w:t>
      </w:r>
      <w:r w:rsidR="001E2F0C" w:rsidRPr="009935E0">
        <w:rPr>
          <w:rFonts w:ascii="Times New Roman" w:hAnsi="Times New Roman" w:cs="Times New Roman"/>
          <w:sz w:val="24"/>
          <w:szCs w:val="24"/>
        </w:rPr>
        <w:t xml:space="preserve"> na rzecz innych użytkowników, </w:t>
      </w:r>
      <w:r w:rsidR="00C57E4D" w:rsidRPr="009935E0">
        <w:rPr>
          <w:rFonts w:ascii="Times New Roman" w:hAnsi="Times New Roman" w:cs="Times New Roman"/>
          <w:sz w:val="24"/>
          <w:szCs w:val="24"/>
        </w:rPr>
        <w:t>o ile tylko w relacji z wydawcami prasowymi posłużą się konstrukcją licencji niewyłącznej.</w:t>
      </w:r>
    </w:p>
    <w:p w14:paraId="5C565B99" w14:textId="62DBAEF7" w:rsidR="00C57E4D" w:rsidRPr="009935E0" w:rsidRDefault="00C57E4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Zgodnie z art. 15 ust. 4 dyrektywy DSM nowe prawo wyłączne będzie trwać relatywnie krótko – przez 2 lata, liczone od początku roku kalendarzowego następującego po dniu pierwszego rozpowszechnienia publikacji prasowej (projektowany art. 99</w:t>
      </w:r>
      <w:r w:rsidRPr="009935E0">
        <w:rPr>
          <w:rFonts w:ascii="Times New Roman" w:hAnsi="Times New Roman" w:cs="Times New Roman"/>
          <w:sz w:val="24"/>
          <w:szCs w:val="24"/>
          <w:vertAlign w:val="superscript"/>
        </w:rPr>
        <w:t>8</w:t>
      </w:r>
      <w:r w:rsidRPr="009935E0">
        <w:rPr>
          <w:rFonts w:ascii="Times New Roman" w:hAnsi="Times New Roman" w:cs="Times New Roman"/>
          <w:sz w:val="24"/>
          <w:szCs w:val="24"/>
        </w:rPr>
        <w:t xml:space="preserve"> ustawy o prawie autorskim). Zgodnie z art. 15 ust. 3 dyrektywy </w:t>
      </w:r>
      <w:r w:rsidR="005E1993" w:rsidRPr="009935E0">
        <w:rPr>
          <w:rFonts w:ascii="Times New Roman" w:hAnsi="Times New Roman" w:cs="Times New Roman"/>
          <w:sz w:val="24"/>
          <w:szCs w:val="24"/>
        </w:rPr>
        <w:t xml:space="preserve">DSM </w:t>
      </w:r>
      <w:r w:rsidRPr="009935E0">
        <w:rPr>
          <w:rFonts w:ascii="Times New Roman" w:hAnsi="Times New Roman" w:cs="Times New Roman"/>
          <w:sz w:val="24"/>
          <w:szCs w:val="24"/>
        </w:rPr>
        <w:t>będzie się do niego stosować przepisy o dozwolonym użytku oraz pozostałe przepisy dotyczące wszystkich praw pokrewnych – nastąpi zatem stosowna zmiana merytoryc</w:t>
      </w:r>
      <w:r w:rsidR="001E2F0C" w:rsidRPr="009935E0">
        <w:rPr>
          <w:rFonts w:ascii="Times New Roman" w:hAnsi="Times New Roman" w:cs="Times New Roman"/>
          <w:sz w:val="24"/>
          <w:szCs w:val="24"/>
        </w:rPr>
        <w:t xml:space="preserve">zna art. 100 i art. 101 ustawy </w:t>
      </w:r>
      <w:r w:rsidRPr="009935E0">
        <w:rPr>
          <w:rFonts w:ascii="Times New Roman" w:hAnsi="Times New Roman" w:cs="Times New Roman"/>
          <w:sz w:val="24"/>
          <w:szCs w:val="24"/>
        </w:rPr>
        <w:t xml:space="preserve">o prawie autorskim oraz upraszczająca zmiana redakcyjna tych przepisów przez zastosowanie jednej formuły „prawa pokrewne” i „przedmioty praw pokrewnych” zamiast enumeratywnego ich wyliczania. </w:t>
      </w:r>
      <w:r w:rsidR="001F7525" w:rsidRPr="009935E0">
        <w:rPr>
          <w:rFonts w:ascii="Times New Roman" w:hAnsi="Times New Roman" w:cs="Times New Roman"/>
          <w:sz w:val="24"/>
          <w:szCs w:val="24"/>
        </w:rPr>
        <w:t xml:space="preserve">W art. 101 zostaje przy tym wprowadzony nowy ust. 2, zgodnie z którym nowe prawo pokrewne wydawców prasowych nie będzie podlegać przepisom dotyczącym DUUTO. </w:t>
      </w:r>
      <w:r w:rsidRPr="009935E0">
        <w:rPr>
          <w:rFonts w:ascii="Times New Roman" w:hAnsi="Times New Roman" w:cs="Times New Roman"/>
          <w:sz w:val="24"/>
          <w:szCs w:val="24"/>
        </w:rPr>
        <w:t xml:space="preserve">Przy tej okazji zakres art. 101 zostaje uzupełniony o </w:t>
      </w:r>
      <w:r w:rsidR="0095007F" w:rsidRPr="009935E0">
        <w:rPr>
          <w:rFonts w:ascii="Times New Roman" w:hAnsi="Times New Roman" w:cs="Times New Roman"/>
          <w:sz w:val="24"/>
          <w:szCs w:val="24"/>
        </w:rPr>
        <w:t xml:space="preserve">odesłanie do </w:t>
      </w:r>
      <w:r w:rsidRPr="009935E0">
        <w:rPr>
          <w:rFonts w:ascii="Times New Roman" w:hAnsi="Times New Roman" w:cs="Times New Roman"/>
          <w:sz w:val="24"/>
          <w:szCs w:val="24"/>
        </w:rPr>
        <w:t>art. 15, tj. przepis</w:t>
      </w:r>
      <w:r w:rsidR="0095007F" w:rsidRPr="009935E0">
        <w:rPr>
          <w:rFonts w:ascii="Times New Roman" w:hAnsi="Times New Roman" w:cs="Times New Roman"/>
          <w:sz w:val="24"/>
          <w:szCs w:val="24"/>
        </w:rPr>
        <w:t>u</w:t>
      </w:r>
      <w:r w:rsidRPr="009935E0">
        <w:rPr>
          <w:rFonts w:ascii="Times New Roman" w:hAnsi="Times New Roman" w:cs="Times New Roman"/>
          <w:sz w:val="24"/>
          <w:szCs w:val="24"/>
        </w:rPr>
        <w:t xml:space="preserve"> </w:t>
      </w:r>
      <w:r w:rsidR="0095007F" w:rsidRPr="009935E0">
        <w:rPr>
          <w:rFonts w:ascii="Times New Roman" w:hAnsi="Times New Roman" w:cs="Times New Roman"/>
          <w:sz w:val="24"/>
          <w:szCs w:val="24"/>
        </w:rPr>
        <w:t xml:space="preserve">przewidującego </w:t>
      </w:r>
      <w:r w:rsidRPr="009935E0">
        <w:rPr>
          <w:rFonts w:ascii="Times New Roman" w:hAnsi="Times New Roman" w:cs="Times New Roman"/>
          <w:sz w:val="24"/>
          <w:szCs w:val="24"/>
        </w:rPr>
        <w:t>domniemanie statusu producenta lub wydawcy – po tej zmianie domniemanie statusu wydawcy będzie obejmowało t</w:t>
      </w:r>
      <w:r w:rsidR="001E2F0C" w:rsidRPr="009935E0">
        <w:rPr>
          <w:rFonts w:ascii="Times New Roman" w:hAnsi="Times New Roman" w:cs="Times New Roman"/>
          <w:sz w:val="24"/>
          <w:szCs w:val="24"/>
        </w:rPr>
        <w:t xml:space="preserve">akże wydawcę jako uprawnionego </w:t>
      </w:r>
      <w:r w:rsidRPr="009935E0">
        <w:rPr>
          <w:rFonts w:ascii="Times New Roman" w:hAnsi="Times New Roman" w:cs="Times New Roman"/>
          <w:sz w:val="24"/>
          <w:szCs w:val="24"/>
        </w:rPr>
        <w:t xml:space="preserve">z </w:t>
      </w:r>
      <w:r w:rsidR="001E2F0C" w:rsidRPr="009935E0">
        <w:rPr>
          <w:rFonts w:ascii="Times New Roman" w:hAnsi="Times New Roman" w:cs="Times New Roman"/>
          <w:sz w:val="24"/>
          <w:szCs w:val="24"/>
        </w:rPr>
        <w:t>tytułu nowego prawa pokrewnego.</w:t>
      </w:r>
    </w:p>
    <w:p w14:paraId="7804E075" w14:textId="583313B8" w:rsidR="00C57E4D" w:rsidRPr="009935E0" w:rsidRDefault="00C57E4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Za szczególnie istotny dla jakości rynku prasy należy uznać przepis art. 15 ust. 5 dyrektywy DSM, zgodnie z którym autorzy publikacji prasowych mają partycypować we wpływach uzyskiwanych przez wydawców z eksploatacji nowego prawa wyłącznego. Dyrektywa nie określa jednak zakresu partycypacji, pozostawiając tę kwestię ustawodawcy krajowemu. W</w:t>
      </w:r>
      <w:r w:rsidR="001C1FE3">
        <w:rPr>
          <w:rFonts w:ascii="Times New Roman" w:hAnsi="Times New Roman" w:cs="Times New Roman"/>
          <w:sz w:val="24"/>
          <w:szCs w:val="24"/>
        </w:rPr>
        <w:t> </w:t>
      </w:r>
      <w:r w:rsidRPr="009935E0">
        <w:rPr>
          <w:rFonts w:ascii="Times New Roman" w:hAnsi="Times New Roman" w:cs="Times New Roman"/>
          <w:sz w:val="24"/>
          <w:szCs w:val="24"/>
        </w:rPr>
        <w:t>projektowanym art. 99</w:t>
      </w:r>
      <w:r w:rsidRPr="009935E0">
        <w:rPr>
          <w:rFonts w:ascii="Times New Roman" w:hAnsi="Times New Roman" w:cs="Times New Roman"/>
          <w:sz w:val="24"/>
          <w:szCs w:val="24"/>
          <w:vertAlign w:val="superscript"/>
        </w:rPr>
        <w:t>9</w:t>
      </w:r>
      <w:r w:rsidRPr="009935E0">
        <w:rPr>
          <w:rFonts w:ascii="Times New Roman" w:hAnsi="Times New Roman" w:cs="Times New Roman"/>
          <w:sz w:val="24"/>
          <w:szCs w:val="24"/>
        </w:rPr>
        <w:t xml:space="preserve"> </w:t>
      </w:r>
      <w:r w:rsidR="009B19C2"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przewiduje się udział autorów w wysokości 50% wpływów. Taka propozycja, jak się wydaje bardzo korzystna dla autorów (dziennikarzy), została przedstawiona przez samo środowisko wydawców prasowych (</w:t>
      </w:r>
      <w:proofErr w:type="spellStart"/>
      <w:r w:rsidRPr="009935E0">
        <w:rPr>
          <w:rFonts w:ascii="Times New Roman" w:hAnsi="Times New Roman" w:cs="Times New Roman"/>
          <w:sz w:val="24"/>
          <w:szCs w:val="24"/>
        </w:rPr>
        <w:t>SDiW</w:t>
      </w:r>
      <w:proofErr w:type="spellEnd"/>
      <w:r w:rsidRPr="009935E0">
        <w:rPr>
          <w:rFonts w:ascii="Times New Roman" w:hAnsi="Times New Roman" w:cs="Times New Roman"/>
          <w:sz w:val="24"/>
          <w:szCs w:val="24"/>
        </w:rPr>
        <w:t xml:space="preserve"> REPROPOL i Izbę Wydawców Prasy) w </w:t>
      </w:r>
      <w:proofErr w:type="spellStart"/>
      <w:r w:rsidRPr="009935E0">
        <w:rPr>
          <w:rFonts w:ascii="Times New Roman" w:hAnsi="Times New Roman" w:cs="Times New Roman"/>
          <w:sz w:val="24"/>
          <w:szCs w:val="24"/>
        </w:rPr>
        <w:t>prekonsultacjach</w:t>
      </w:r>
      <w:proofErr w:type="spellEnd"/>
      <w:r w:rsidRPr="009935E0">
        <w:rPr>
          <w:rFonts w:ascii="Times New Roman" w:hAnsi="Times New Roman" w:cs="Times New Roman"/>
          <w:sz w:val="24"/>
          <w:szCs w:val="24"/>
        </w:rPr>
        <w:t xml:space="preserve"> publicznych dyrektywy i zasługuje na poparcie. Wypłata wynagrodzenia dla autorów powinna nastąpić w terminie 30 dni od </w:t>
      </w:r>
      <w:r w:rsidR="008B1424" w:rsidRPr="009935E0">
        <w:rPr>
          <w:rFonts w:ascii="Times New Roman" w:hAnsi="Times New Roman" w:cs="Times New Roman"/>
          <w:sz w:val="24"/>
          <w:szCs w:val="24"/>
        </w:rPr>
        <w:t xml:space="preserve">dnia </w:t>
      </w:r>
      <w:r w:rsidRPr="009935E0">
        <w:rPr>
          <w:rFonts w:ascii="Times New Roman" w:hAnsi="Times New Roman" w:cs="Times New Roman"/>
          <w:sz w:val="24"/>
          <w:szCs w:val="24"/>
        </w:rPr>
        <w:t xml:space="preserve">otrzymania </w:t>
      </w:r>
      <w:r w:rsidR="008B1424" w:rsidRPr="009935E0">
        <w:rPr>
          <w:rFonts w:ascii="Times New Roman" w:hAnsi="Times New Roman" w:cs="Times New Roman"/>
          <w:sz w:val="24"/>
          <w:szCs w:val="24"/>
        </w:rPr>
        <w:t xml:space="preserve">tego wynagrodzenia </w:t>
      </w:r>
      <w:r w:rsidRPr="009935E0">
        <w:rPr>
          <w:rFonts w:ascii="Times New Roman" w:hAnsi="Times New Roman" w:cs="Times New Roman"/>
          <w:sz w:val="24"/>
          <w:szCs w:val="24"/>
        </w:rPr>
        <w:t>przez wydawcę prasowego.</w:t>
      </w:r>
    </w:p>
    <w:p w14:paraId="6E23ED93" w14:textId="77777777" w:rsidR="00C57E4D" w:rsidRPr="009935E0" w:rsidRDefault="00C57E4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Projektowany art. 99</w:t>
      </w:r>
      <w:r w:rsidRPr="009935E0">
        <w:rPr>
          <w:rFonts w:ascii="Times New Roman" w:hAnsi="Times New Roman" w:cs="Times New Roman"/>
          <w:sz w:val="24"/>
          <w:szCs w:val="24"/>
          <w:vertAlign w:val="superscript"/>
        </w:rPr>
        <w:t>10</w:t>
      </w:r>
      <w:r w:rsidRPr="009935E0">
        <w:rPr>
          <w:rFonts w:ascii="Times New Roman" w:hAnsi="Times New Roman" w:cs="Times New Roman"/>
          <w:sz w:val="24"/>
          <w:szCs w:val="24"/>
        </w:rPr>
        <w:t xml:space="preserve"> ustawy o prawie autorskim jest redakcyjnie oparty na podobnych przepisach dotyczących pozostałych praw pokrewnych i wskazuje właściwość polskiej ustawy względem publikacji prasowych ze względu na miejsce zamieszkania lub siedzibę wydawcy. Polska regulacja nowego prawa wyłącznego będzie zatem dotyczyć publikacji prasowych wydawców mających miejsce zamieszkania lub siedzibę na terytorium Rzeczypospolitej Polskiej lub na terytorium państwa członkowskiego Unii Europejskiej</w:t>
      </w:r>
      <w:r w:rsidR="001051BD" w:rsidRPr="009935E0">
        <w:rPr>
          <w:rFonts w:ascii="Times New Roman" w:hAnsi="Times New Roman" w:cs="Times New Roman"/>
          <w:sz w:val="24"/>
          <w:szCs w:val="24"/>
        </w:rPr>
        <w:t>,</w:t>
      </w:r>
      <w:r w:rsidRPr="009935E0">
        <w:rPr>
          <w:rFonts w:ascii="Times New Roman" w:hAnsi="Times New Roman" w:cs="Times New Roman"/>
          <w:sz w:val="24"/>
          <w:szCs w:val="24"/>
        </w:rPr>
        <w:t xml:space="preserve"> lub państwa członkowskiego Europejskiego Porozumienia o Wolnym Handlu (EFTA) – strony umowy o Europejskim Obszarze Gospodarczym.</w:t>
      </w:r>
    </w:p>
    <w:p w14:paraId="735E1104" w14:textId="77777777" w:rsidR="00C57E4D" w:rsidRPr="009935E0" w:rsidRDefault="00C57E4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Wykonywanie nowego prawa wyłącznego nie będzie podlegać obowiązkowemu pośrednictwu organizacji zbiorowego zarządzania. Aby jednak ułatwić udzielanie licencji w tym zakresie, zostanie zastosowany omówiony wcześniej mechanizm rozszerzonych licencji zbiorowych (ECL) – organizacja zbiorowego zarządzania reprezentatywna według przepisów ustawy o zbiorowym zarządzaniu będzie mogła udzielić takiej rozszerzonej licencji zbiorowej na eksploatację publikacji prasowych online.</w:t>
      </w:r>
    </w:p>
    <w:p w14:paraId="7ABFC6F4" w14:textId="77777777" w:rsidR="00C57E4D" w:rsidRPr="009935E0" w:rsidRDefault="00C57E4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Art. 16 dyrektywy przewiduje prawo wydawców do udziału w rekompensacie za korzystanie z utworów na podstawie przepisów o dozwolonym użytku, co nie narusza obowiązujących w państwach członkowskich przepisów dotyczących „praw publicznego użyczenia”. Ten przepis dyrektywy należy uznać za już wdrożony do porządku krajowego. Wydawcom przysługuje bowiem udział w opłatach, o których mowa w art. 20 i art. 20</w:t>
      </w:r>
      <w:r w:rsidRPr="009935E0">
        <w:rPr>
          <w:rFonts w:ascii="Times New Roman" w:hAnsi="Times New Roman" w:cs="Times New Roman"/>
          <w:sz w:val="24"/>
          <w:szCs w:val="24"/>
          <w:vertAlign w:val="superscript"/>
        </w:rPr>
        <w:t>1</w:t>
      </w:r>
      <w:r w:rsidRPr="009935E0">
        <w:rPr>
          <w:rFonts w:ascii="Times New Roman" w:hAnsi="Times New Roman" w:cs="Times New Roman"/>
          <w:sz w:val="24"/>
          <w:szCs w:val="24"/>
        </w:rPr>
        <w:t xml:space="preserve"> ustawy o prawie autorskim, oraz w podziale wynagrodzenia za publiczne użyczanie egzemplarzy bibliotecznych, o którym mowa w art. 28 ust. 4 i 5 tej ustawy.</w:t>
      </w:r>
    </w:p>
    <w:p w14:paraId="0486164B" w14:textId="77777777" w:rsidR="00E02CAF" w:rsidRPr="009935E0" w:rsidRDefault="00592418" w:rsidP="00483092">
      <w:pPr>
        <w:pStyle w:val="Akapitzlist"/>
        <w:numPr>
          <w:ilvl w:val="0"/>
          <w:numId w:val="6"/>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 xml:space="preserve">Przepisy szczególne dotyczące korzystania z utworów i przedmiotów praw pokrewnych przez dostawców usług udostępniania treści online </w:t>
      </w:r>
      <w:r w:rsidR="00BC53E3" w:rsidRPr="009935E0">
        <w:rPr>
          <w:rFonts w:ascii="Times New Roman" w:hAnsi="Times New Roman" w:cs="Times New Roman"/>
          <w:b/>
          <w:sz w:val="24"/>
          <w:szCs w:val="24"/>
        </w:rPr>
        <w:t>(art. 17 dyrektywy</w:t>
      </w:r>
      <w:r w:rsidR="009B19C2" w:rsidRPr="009935E0">
        <w:rPr>
          <w:rFonts w:ascii="Times New Roman" w:hAnsi="Times New Roman" w:cs="Times New Roman"/>
          <w:b/>
          <w:sz w:val="24"/>
          <w:szCs w:val="24"/>
        </w:rPr>
        <w:t xml:space="preserve"> DSM</w:t>
      </w:r>
      <w:r w:rsidR="00BC53E3" w:rsidRPr="009935E0">
        <w:rPr>
          <w:rFonts w:ascii="Times New Roman" w:hAnsi="Times New Roman" w:cs="Times New Roman"/>
          <w:b/>
          <w:sz w:val="24"/>
          <w:szCs w:val="24"/>
        </w:rPr>
        <w:t>)</w:t>
      </w:r>
    </w:p>
    <w:p w14:paraId="2711E775" w14:textId="77777777" w:rsidR="00E02CAF" w:rsidRPr="009935E0" w:rsidRDefault="00E02CA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17 dyrektywy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budzi największe kontrowersje i był głównym powodem, dla którego aż sześć państw członkowskich </w:t>
      </w:r>
      <w:r w:rsidR="00123910" w:rsidRPr="009935E0">
        <w:rPr>
          <w:rFonts w:ascii="Times New Roman" w:hAnsi="Times New Roman" w:cs="Times New Roman"/>
          <w:sz w:val="24"/>
          <w:szCs w:val="24"/>
        </w:rPr>
        <w:t>U</w:t>
      </w:r>
      <w:r w:rsidR="00A94C99" w:rsidRPr="009935E0">
        <w:rPr>
          <w:rFonts w:ascii="Times New Roman" w:hAnsi="Times New Roman" w:cs="Times New Roman"/>
          <w:sz w:val="24"/>
          <w:szCs w:val="24"/>
        </w:rPr>
        <w:t xml:space="preserve">nii </w:t>
      </w:r>
      <w:r w:rsidR="00123910"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123910"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(w tym Polska) głosowało w Radzie przeciwko przyjęciu dyrektywy, a trzy kolejne wstrzymały się od głosu. Polska zaskarżyła też kluczowe przepisy art. 17 (ust. 4 lit. b i c </w:t>
      </w:r>
      <w:r w:rsidRPr="009935E0">
        <w:rPr>
          <w:rFonts w:ascii="Times New Roman" w:hAnsi="Times New Roman" w:cs="Times New Roman"/>
          <w:i/>
          <w:sz w:val="24"/>
          <w:szCs w:val="24"/>
        </w:rPr>
        <w:t>in fine</w:t>
      </w:r>
      <w:r w:rsidRPr="009935E0">
        <w:rPr>
          <w:rFonts w:ascii="Times New Roman" w:hAnsi="Times New Roman" w:cs="Times New Roman"/>
          <w:sz w:val="24"/>
          <w:szCs w:val="24"/>
        </w:rPr>
        <w:t>) do Trybunału Sprawiedliwości U</w:t>
      </w:r>
      <w:r w:rsidR="00A94C99" w:rsidRPr="009935E0">
        <w:rPr>
          <w:rFonts w:ascii="Times New Roman" w:hAnsi="Times New Roman" w:cs="Times New Roman"/>
          <w:sz w:val="24"/>
          <w:szCs w:val="24"/>
        </w:rPr>
        <w:t xml:space="preserve">nii </w:t>
      </w:r>
      <w:r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Pr="009935E0">
        <w:rPr>
          <w:rFonts w:ascii="Times New Roman" w:hAnsi="Times New Roman" w:cs="Times New Roman"/>
          <w:sz w:val="24"/>
          <w:szCs w:val="24"/>
        </w:rPr>
        <w:t xml:space="preserve"> (</w:t>
      </w:r>
      <w:r w:rsidR="00AA195F" w:rsidRPr="009935E0">
        <w:rPr>
          <w:rFonts w:ascii="Times New Roman" w:hAnsi="Times New Roman" w:cs="Times New Roman"/>
          <w:sz w:val="24"/>
          <w:szCs w:val="24"/>
        </w:rPr>
        <w:t>jako żądanie ewentualne skarżąc cały art. 17). Ustawodawca unijny</w:t>
      </w:r>
      <w:r w:rsidR="00F31F17" w:rsidRPr="009935E0">
        <w:rPr>
          <w:rFonts w:ascii="Times New Roman" w:hAnsi="Times New Roman" w:cs="Times New Roman"/>
          <w:sz w:val="24"/>
          <w:szCs w:val="24"/>
        </w:rPr>
        <w:t>,</w:t>
      </w:r>
      <w:r w:rsidR="00AA195F" w:rsidRPr="009935E0">
        <w:rPr>
          <w:rFonts w:ascii="Times New Roman" w:hAnsi="Times New Roman" w:cs="Times New Roman"/>
          <w:sz w:val="24"/>
          <w:szCs w:val="24"/>
        </w:rPr>
        <w:t xml:space="preserve"> świadom znaczenia tej regulacji</w:t>
      </w:r>
      <w:r w:rsidR="00F31F17" w:rsidRPr="009935E0">
        <w:rPr>
          <w:rFonts w:ascii="Times New Roman" w:hAnsi="Times New Roman" w:cs="Times New Roman"/>
          <w:sz w:val="24"/>
          <w:szCs w:val="24"/>
        </w:rPr>
        <w:t>,</w:t>
      </w:r>
      <w:r w:rsidR="00AA195F" w:rsidRPr="009935E0">
        <w:rPr>
          <w:rFonts w:ascii="Times New Roman" w:hAnsi="Times New Roman" w:cs="Times New Roman"/>
          <w:sz w:val="24"/>
          <w:szCs w:val="24"/>
        </w:rPr>
        <w:t xml:space="preserve"> w ust. 10</w:t>
      </w:r>
      <w:r w:rsidR="001051BD" w:rsidRPr="009935E0">
        <w:rPr>
          <w:rFonts w:ascii="Times New Roman" w:hAnsi="Times New Roman" w:cs="Times New Roman"/>
          <w:sz w:val="24"/>
          <w:szCs w:val="24"/>
        </w:rPr>
        <w:t xml:space="preserve"> dyrektywy</w:t>
      </w:r>
      <w:r w:rsidR="00AA195F" w:rsidRPr="009935E0">
        <w:rPr>
          <w:rFonts w:ascii="Times New Roman" w:hAnsi="Times New Roman" w:cs="Times New Roman"/>
          <w:sz w:val="24"/>
          <w:szCs w:val="24"/>
        </w:rPr>
        <w:t xml:space="preserve"> zobowiązał Komisję Europejską do wydania wytycznych (</w:t>
      </w:r>
      <w:proofErr w:type="spellStart"/>
      <w:r w:rsidR="00AA195F" w:rsidRPr="009935E0">
        <w:rPr>
          <w:rFonts w:ascii="Times New Roman" w:hAnsi="Times New Roman" w:cs="Times New Roman"/>
          <w:sz w:val="24"/>
          <w:szCs w:val="24"/>
        </w:rPr>
        <w:t>guidance</w:t>
      </w:r>
      <w:proofErr w:type="spellEnd"/>
      <w:r w:rsidR="00AA195F" w:rsidRPr="009935E0">
        <w:rPr>
          <w:rFonts w:ascii="Times New Roman" w:hAnsi="Times New Roman" w:cs="Times New Roman"/>
          <w:sz w:val="24"/>
          <w:szCs w:val="24"/>
        </w:rPr>
        <w:t xml:space="preserve">) co do prawidłowego wdrożenia i stosowania całego art. 17, nie </w:t>
      </w:r>
      <w:r w:rsidR="00F31F17" w:rsidRPr="009935E0">
        <w:rPr>
          <w:rFonts w:ascii="Times New Roman" w:hAnsi="Times New Roman" w:cs="Times New Roman"/>
          <w:sz w:val="24"/>
          <w:szCs w:val="24"/>
        </w:rPr>
        <w:t>wyznaczając</w:t>
      </w:r>
      <w:r w:rsidR="00247721" w:rsidRPr="009935E0">
        <w:rPr>
          <w:rFonts w:ascii="Times New Roman" w:hAnsi="Times New Roman" w:cs="Times New Roman"/>
          <w:sz w:val="24"/>
          <w:szCs w:val="24"/>
        </w:rPr>
        <w:t xml:space="preserve"> jednak Komisji</w:t>
      </w:r>
      <w:r w:rsidR="00AA195F" w:rsidRPr="009935E0">
        <w:rPr>
          <w:rFonts w:ascii="Times New Roman" w:hAnsi="Times New Roman" w:cs="Times New Roman"/>
          <w:sz w:val="24"/>
          <w:szCs w:val="24"/>
        </w:rPr>
        <w:t xml:space="preserve"> terminu wykonania tego obowiązku. Przedmiotowe wytyczne Komisja wydała dopiero 4 czerwca 2021 r., na trzy dni przed terminem implementacji dyrektywy, w formie komunikatu Komisji (</w:t>
      </w:r>
      <w:r w:rsidR="00071C9F" w:rsidRPr="009935E0">
        <w:rPr>
          <w:rFonts w:ascii="Times New Roman" w:hAnsi="Times New Roman" w:cs="Times New Roman"/>
          <w:sz w:val="24"/>
          <w:szCs w:val="24"/>
        </w:rPr>
        <w:t xml:space="preserve">COM(2021) 288 </w:t>
      </w:r>
      <w:proofErr w:type="spellStart"/>
      <w:r w:rsidR="00071C9F" w:rsidRPr="009935E0">
        <w:rPr>
          <w:rFonts w:ascii="Times New Roman" w:hAnsi="Times New Roman" w:cs="Times New Roman"/>
          <w:sz w:val="24"/>
          <w:szCs w:val="24"/>
        </w:rPr>
        <w:t>final</w:t>
      </w:r>
      <w:proofErr w:type="spellEnd"/>
      <w:r w:rsidR="00071C9F" w:rsidRPr="009935E0">
        <w:rPr>
          <w:rFonts w:ascii="Times New Roman" w:hAnsi="Times New Roman" w:cs="Times New Roman"/>
          <w:sz w:val="24"/>
          <w:szCs w:val="24"/>
        </w:rPr>
        <w:t xml:space="preserve">). </w:t>
      </w:r>
    </w:p>
    <w:p w14:paraId="74E92D6C" w14:textId="1BFF06BD" w:rsidR="00E02CAF" w:rsidRPr="009935E0" w:rsidRDefault="00071C9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 xml:space="preserve">Art. 17 dyrektywy </w:t>
      </w:r>
      <w:r w:rsidR="00E02CAF" w:rsidRPr="009935E0">
        <w:rPr>
          <w:rFonts w:ascii="Times New Roman" w:hAnsi="Times New Roman" w:cs="Times New Roman"/>
          <w:sz w:val="24"/>
          <w:szCs w:val="24"/>
        </w:rPr>
        <w:t xml:space="preserve">przewiduje szczególne regulacje dotyczące </w:t>
      </w:r>
      <w:r w:rsidRPr="009935E0">
        <w:rPr>
          <w:rFonts w:ascii="Times New Roman" w:hAnsi="Times New Roman" w:cs="Times New Roman"/>
          <w:sz w:val="24"/>
          <w:szCs w:val="24"/>
        </w:rPr>
        <w:t>korzystania z treści chronionych prawem autorskim lub prawami pokrewnymi przez</w:t>
      </w:r>
      <w:r w:rsidR="00E02CAF"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DUUTO. Jest to zdefiniowana </w:t>
      </w:r>
      <w:r w:rsidR="00E02CAF" w:rsidRPr="009935E0">
        <w:rPr>
          <w:rFonts w:ascii="Times New Roman" w:hAnsi="Times New Roman" w:cs="Times New Roman"/>
          <w:sz w:val="24"/>
          <w:szCs w:val="24"/>
        </w:rPr>
        <w:t>w art. 2 pkt</w:t>
      </w:r>
      <w:r w:rsidR="001C1FE3">
        <w:rPr>
          <w:rFonts w:ascii="Times New Roman" w:hAnsi="Times New Roman" w:cs="Times New Roman"/>
          <w:sz w:val="24"/>
          <w:szCs w:val="24"/>
        </w:rPr>
        <w:t> </w:t>
      </w:r>
      <w:r w:rsidR="00E02CAF" w:rsidRPr="009935E0">
        <w:rPr>
          <w:rFonts w:ascii="Times New Roman" w:hAnsi="Times New Roman" w:cs="Times New Roman"/>
          <w:sz w:val="24"/>
          <w:szCs w:val="24"/>
        </w:rPr>
        <w:t xml:space="preserve">6 dyrektywy </w:t>
      </w:r>
      <w:r w:rsidR="009B19C2" w:rsidRPr="009935E0">
        <w:rPr>
          <w:rFonts w:ascii="Times New Roman" w:hAnsi="Times New Roman" w:cs="Times New Roman"/>
          <w:sz w:val="24"/>
          <w:szCs w:val="24"/>
        </w:rPr>
        <w:t xml:space="preserve">DSM </w:t>
      </w:r>
      <w:r w:rsidR="00E02CAF" w:rsidRPr="009935E0">
        <w:rPr>
          <w:rFonts w:ascii="Times New Roman" w:hAnsi="Times New Roman" w:cs="Times New Roman"/>
          <w:sz w:val="24"/>
          <w:szCs w:val="24"/>
        </w:rPr>
        <w:t xml:space="preserve">szczególna kategoria </w:t>
      </w:r>
      <w:r w:rsidRPr="009935E0">
        <w:rPr>
          <w:rFonts w:ascii="Times New Roman" w:hAnsi="Times New Roman" w:cs="Times New Roman"/>
          <w:sz w:val="24"/>
          <w:szCs w:val="24"/>
        </w:rPr>
        <w:t xml:space="preserve">(podkategoria) </w:t>
      </w:r>
      <w:r w:rsidR="00E02CAF" w:rsidRPr="009935E0">
        <w:rPr>
          <w:rFonts w:ascii="Times New Roman" w:hAnsi="Times New Roman" w:cs="Times New Roman"/>
          <w:sz w:val="24"/>
          <w:szCs w:val="24"/>
        </w:rPr>
        <w:t>dostawców „usług społeczeństwa informacyjnego” (zob. definicję w opisie rozwiązań do art. 15 dyrektywy</w:t>
      </w:r>
      <w:r w:rsidR="009B19C2" w:rsidRPr="009935E0">
        <w:rPr>
          <w:rFonts w:ascii="Times New Roman" w:hAnsi="Times New Roman" w:cs="Times New Roman"/>
          <w:sz w:val="24"/>
          <w:szCs w:val="24"/>
        </w:rPr>
        <w:t xml:space="preserve"> DSM</w:t>
      </w:r>
      <w:r w:rsidR="00E02CAF" w:rsidRPr="009935E0">
        <w:rPr>
          <w:rFonts w:ascii="Times New Roman" w:hAnsi="Times New Roman" w:cs="Times New Roman"/>
          <w:sz w:val="24"/>
          <w:szCs w:val="24"/>
        </w:rPr>
        <w:t xml:space="preserve">), których „głównym lub jednym z głównych celów jest przechowywanie i udzielanie publicznego dostępu do dużej liczby chronionych prawem autorskim utworów lub innych przedmiotów objętych ochroną zamieszczanych przez użytkowników tych usług, które są przez niego organizowane i promowane w celach zarobkowych”. Dyrektywa precyzuje, że nie zalicza się do tej kategorii dostawców takich usług, jak „nienastawione na zysk encyklopedie internetowe, nienastawione na zysk repozytoria naukowe i edukacyjne, platformy tworzenia otwartego oprogramowania i platformy wymiany otwartego oprogramowania, dostawców usług łączności elektronicznej zdefiniowanych w dyrektywie (UE) 2018/1972, internetowych platform handlowych oraz usług w chmurze dla przedsiębiorstw i usług w chmurze obliczeniowej, które umożliwiają użytkownikom zamieszczanie treści na własny użytek”. </w:t>
      </w:r>
    </w:p>
    <w:p w14:paraId="308071BC" w14:textId="3F38CA94" w:rsidR="009D4A6D" w:rsidRPr="009935E0" w:rsidRDefault="00E02CA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17 ust. 1 dyrektywy przesądza </w:t>
      </w:r>
      <w:r w:rsidR="00071C9F" w:rsidRPr="009935E0">
        <w:rPr>
          <w:rFonts w:ascii="Times New Roman" w:hAnsi="Times New Roman" w:cs="Times New Roman"/>
          <w:sz w:val="24"/>
          <w:szCs w:val="24"/>
        </w:rPr>
        <w:t xml:space="preserve">bardzo istotną </w:t>
      </w:r>
      <w:r w:rsidRPr="009935E0">
        <w:rPr>
          <w:rFonts w:ascii="Times New Roman" w:hAnsi="Times New Roman" w:cs="Times New Roman"/>
          <w:sz w:val="24"/>
          <w:szCs w:val="24"/>
        </w:rPr>
        <w:t>kwestię, budzącą dotąd poważne wątpliwoś</w:t>
      </w:r>
      <w:r w:rsidR="00071C9F" w:rsidRPr="009935E0">
        <w:rPr>
          <w:rFonts w:ascii="Times New Roman" w:hAnsi="Times New Roman" w:cs="Times New Roman"/>
          <w:sz w:val="24"/>
          <w:szCs w:val="24"/>
        </w:rPr>
        <w:t>ci na gruncie prawa autorskiego</w:t>
      </w:r>
      <w:r w:rsidR="00CC1F94">
        <w:rPr>
          <w:rStyle w:val="Odwoanieprzypisudolnego"/>
          <w:rFonts w:ascii="Times New Roman" w:hAnsi="Times New Roman" w:cs="Times New Roman"/>
          <w:sz w:val="24"/>
          <w:szCs w:val="24"/>
        </w:rPr>
        <w:footnoteReference w:id="43"/>
      </w:r>
      <w:r w:rsidR="00214723" w:rsidRPr="00483092">
        <w:rPr>
          <w:rFonts w:ascii="Times New Roman" w:hAnsi="Times New Roman" w:cs="Times New Roman"/>
          <w:sz w:val="24"/>
          <w:szCs w:val="24"/>
          <w:vertAlign w:val="superscript"/>
        </w:rPr>
        <w:t>)</w:t>
      </w:r>
      <w:r w:rsidR="00071C9F" w:rsidRPr="009935E0">
        <w:rPr>
          <w:rFonts w:ascii="Times New Roman" w:hAnsi="Times New Roman" w:cs="Times New Roman"/>
          <w:sz w:val="24"/>
          <w:szCs w:val="24"/>
        </w:rPr>
        <w:t xml:space="preserve">, </w:t>
      </w:r>
      <w:r w:rsidRPr="009935E0">
        <w:rPr>
          <w:rFonts w:ascii="Times New Roman" w:hAnsi="Times New Roman" w:cs="Times New Roman"/>
          <w:sz w:val="24"/>
          <w:szCs w:val="24"/>
        </w:rPr>
        <w:t>że DUUTO dokonuje czynności publicznego u</w:t>
      </w:r>
      <w:r w:rsidR="00956D00" w:rsidRPr="009935E0">
        <w:rPr>
          <w:rFonts w:ascii="Times New Roman" w:hAnsi="Times New Roman" w:cs="Times New Roman"/>
          <w:sz w:val="24"/>
          <w:szCs w:val="24"/>
        </w:rPr>
        <w:t>dostępniania</w:t>
      </w:r>
      <w:r w:rsidRPr="009935E0">
        <w:rPr>
          <w:rFonts w:ascii="Times New Roman" w:hAnsi="Times New Roman" w:cs="Times New Roman"/>
          <w:sz w:val="24"/>
          <w:szCs w:val="24"/>
        </w:rPr>
        <w:t xml:space="preserve"> utworów, gdy „udziela on publicznego dostępu do chronionych prawem autorskim utworów lub innych przedmiotów objętych ochroną zamieszczanych przez jego użytkowników”. Tym samym dyrektywa przesądza, że na gruncie prawa autorskiego DUUTO jest w zakresie powyższych czynności użytkownikiem</w:t>
      </w:r>
      <w:r w:rsidR="00214C1C" w:rsidRPr="009935E0">
        <w:rPr>
          <w:rFonts w:ascii="Times New Roman" w:hAnsi="Times New Roman" w:cs="Times New Roman"/>
          <w:sz w:val="24"/>
          <w:szCs w:val="24"/>
        </w:rPr>
        <w:t xml:space="preserve"> (art. 3 pkt 10 ustawy o zbiorowym zarządzaniu) </w:t>
      </w:r>
      <w:r w:rsidRPr="009935E0">
        <w:rPr>
          <w:rFonts w:ascii="Times New Roman" w:hAnsi="Times New Roman" w:cs="Times New Roman"/>
          <w:sz w:val="24"/>
          <w:szCs w:val="24"/>
        </w:rPr>
        <w:t>i w związku z tym powinien dysponować odpowiednimi licencjami</w:t>
      </w:r>
      <w:r w:rsidR="00214C1C" w:rsidRPr="009935E0">
        <w:rPr>
          <w:rFonts w:ascii="Times New Roman" w:hAnsi="Times New Roman" w:cs="Times New Roman"/>
          <w:sz w:val="24"/>
          <w:szCs w:val="24"/>
        </w:rPr>
        <w:t xml:space="preserve"> </w:t>
      </w:r>
      <w:r w:rsidR="00247721" w:rsidRPr="009935E0">
        <w:rPr>
          <w:rFonts w:ascii="Times New Roman" w:hAnsi="Times New Roman" w:cs="Times New Roman"/>
          <w:sz w:val="24"/>
          <w:szCs w:val="24"/>
        </w:rPr>
        <w:t xml:space="preserve">– w </w:t>
      </w:r>
      <w:r w:rsidR="00214C1C" w:rsidRPr="009935E0">
        <w:rPr>
          <w:rFonts w:ascii="Times New Roman" w:hAnsi="Times New Roman" w:cs="Times New Roman"/>
          <w:sz w:val="24"/>
          <w:szCs w:val="24"/>
        </w:rPr>
        <w:t>zakresie praw, o których mowa w art. 3 ust. 1 i 2 dyrektywy 2001/29/WE</w:t>
      </w:r>
      <w:r w:rsidR="005101F8" w:rsidRPr="009935E0">
        <w:rPr>
          <w:rFonts w:ascii="Times New Roman" w:hAnsi="Times New Roman" w:cs="Times New Roman"/>
          <w:sz w:val="24"/>
          <w:szCs w:val="24"/>
        </w:rPr>
        <w:t>, tj. w praktyce na polu eksploatacji „publiczne udostępnianie utworu w taki sposób, aby każdy mógł mieć do niego dostęp w miejscu i czasie przez siebie wybranym”</w:t>
      </w:r>
      <w:r w:rsidRPr="009935E0">
        <w:rPr>
          <w:rFonts w:ascii="Times New Roman" w:hAnsi="Times New Roman" w:cs="Times New Roman"/>
          <w:sz w:val="24"/>
          <w:szCs w:val="24"/>
        </w:rPr>
        <w:t xml:space="preserve">. Jednocześnie dyrektywa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w art. 17 ust. 2 przewiduje rozszerzony skutek takich licencji pod względem podmiotowym, tj. że będą one </w:t>
      </w:r>
      <w:r w:rsidRPr="009935E0">
        <w:rPr>
          <w:rFonts w:ascii="Times New Roman" w:hAnsi="Times New Roman" w:cs="Times New Roman"/>
          <w:i/>
          <w:sz w:val="24"/>
          <w:szCs w:val="24"/>
        </w:rPr>
        <w:t>ex lege</w:t>
      </w:r>
      <w:r w:rsidRPr="009935E0">
        <w:rPr>
          <w:rFonts w:ascii="Times New Roman" w:hAnsi="Times New Roman" w:cs="Times New Roman"/>
          <w:sz w:val="24"/>
          <w:szCs w:val="24"/>
        </w:rPr>
        <w:t xml:space="preserve"> obejmować także czynności publicznego udostępniania dokonywane przez korzystających z usług DUUTO, ale wyłącznie gdy „nie działają oni na zasadach komercyjnych lub gdy ich działalność nie przynosi znaczących przychodów”.</w:t>
      </w:r>
    </w:p>
    <w:p w14:paraId="4A98098B" w14:textId="77777777" w:rsidR="00F12206" w:rsidRPr="009935E0" w:rsidRDefault="00E02CA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Ponieważ </w:t>
      </w:r>
      <w:r w:rsidR="00F12206" w:rsidRPr="009935E0">
        <w:rPr>
          <w:rFonts w:ascii="Times New Roman" w:hAnsi="Times New Roman" w:cs="Times New Roman"/>
          <w:sz w:val="24"/>
          <w:szCs w:val="24"/>
        </w:rPr>
        <w:t xml:space="preserve">zgodnie z dyrektywą </w:t>
      </w:r>
      <w:r w:rsidRPr="009935E0">
        <w:rPr>
          <w:rFonts w:ascii="Times New Roman" w:hAnsi="Times New Roman" w:cs="Times New Roman"/>
          <w:sz w:val="24"/>
          <w:szCs w:val="24"/>
        </w:rPr>
        <w:t xml:space="preserve">DUUTO mają być </w:t>
      </w:r>
      <w:r w:rsidR="00F12206" w:rsidRPr="009935E0">
        <w:rPr>
          <w:rFonts w:ascii="Times New Roman" w:hAnsi="Times New Roman" w:cs="Times New Roman"/>
          <w:sz w:val="24"/>
          <w:szCs w:val="24"/>
        </w:rPr>
        <w:t xml:space="preserve">teraz </w:t>
      </w:r>
      <w:r w:rsidRPr="009935E0">
        <w:rPr>
          <w:rFonts w:ascii="Times New Roman" w:hAnsi="Times New Roman" w:cs="Times New Roman"/>
          <w:sz w:val="24"/>
          <w:szCs w:val="24"/>
        </w:rPr>
        <w:t xml:space="preserve">użytkownikami w rozumieniu </w:t>
      </w:r>
      <w:r w:rsidR="00F12206" w:rsidRPr="009935E0">
        <w:rPr>
          <w:rFonts w:ascii="Times New Roman" w:hAnsi="Times New Roman" w:cs="Times New Roman"/>
          <w:sz w:val="24"/>
          <w:szCs w:val="24"/>
        </w:rPr>
        <w:t>prawa autorskiego</w:t>
      </w:r>
      <w:r w:rsidRPr="009935E0">
        <w:rPr>
          <w:rFonts w:ascii="Times New Roman" w:hAnsi="Times New Roman" w:cs="Times New Roman"/>
          <w:sz w:val="24"/>
          <w:szCs w:val="24"/>
        </w:rPr>
        <w:t xml:space="preserve">, to w konsekwencji obejmowałyby ich także regulacje dotyczące odpowiedzialności za naruszenia praw autorskich, np. gdyby doszło do </w:t>
      </w:r>
      <w:r w:rsidR="00F12206" w:rsidRPr="009935E0">
        <w:rPr>
          <w:rFonts w:ascii="Times New Roman" w:hAnsi="Times New Roman" w:cs="Times New Roman"/>
          <w:sz w:val="24"/>
          <w:szCs w:val="24"/>
        </w:rPr>
        <w:t xml:space="preserve">publicznego </w:t>
      </w:r>
      <w:r w:rsidRPr="009935E0">
        <w:rPr>
          <w:rFonts w:ascii="Times New Roman" w:hAnsi="Times New Roman" w:cs="Times New Roman"/>
          <w:sz w:val="24"/>
          <w:szCs w:val="24"/>
        </w:rPr>
        <w:t xml:space="preserve">udostępnienia określonych utworów bez </w:t>
      </w:r>
      <w:r w:rsidR="00F12206" w:rsidRPr="009935E0">
        <w:rPr>
          <w:rFonts w:ascii="Times New Roman" w:hAnsi="Times New Roman" w:cs="Times New Roman"/>
          <w:sz w:val="24"/>
          <w:szCs w:val="24"/>
        </w:rPr>
        <w:t>wymaganej</w:t>
      </w:r>
      <w:r w:rsidRPr="009935E0">
        <w:rPr>
          <w:rFonts w:ascii="Times New Roman" w:hAnsi="Times New Roman" w:cs="Times New Roman"/>
          <w:sz w:val="24"/>
          <w:szCs w:val="24"/>
        </w:rPr>
        <w:t xml:space="preserve"> licencji. Biorąc jednakże pod uwagę </w:t>
      </w:r>
      <w:r w:rsidRPr="009935E0">
        <w:rPr>
          <w:rFonts w:ascii="Times New Roman" w:hAnsi="Times New Roman" w:cs="Times New Roman"/>
          <w:sz w:val="24"/>
          <w:szCs w:val="24"/>
        </w:rPr>
        <w:lastRenderedPageBreak/>
        <w:t xml:space="preserve">charakter działalności DUUTO, ogromną liczbę udostępnianych treści i ich ogromne zróżnicowanie, dyrektywa </w:t>
      </w:r>
      <w:r w:rsidR="00F12206" w:rsidRPr="009935E0">
        <w:rPr>
          <w:rFonts w:ascii="Times New Roman" w:hAnsi="Times New Roman" w:cs="Times New Roman"/>
          <w:sz w:val="24"/>
          <w:szCs w:val="24"/>
        </w:rPr>
        <w:t xml:space="preserve">wprowadza szczególny reżim odpowiedzialności tych podmiotów, jednocześnie wyraźnie wyłączając w art. 17 ust. 3 reżim odpowiedzialności przewidziany w dyrektywie 2000/31/WE (tzw. dyrektywa „o handlu elektronicznym” lub dyrektywa „e-commerce”), do polskiego prawa wdrożony w art. 14 ustawy </w:t>
      </w:r>
      <w:r w:rsidR="00386CB1" w:rsidRPr="009935E0">
        <w:rPr>
          <w:rFonts w:ascii="Times New Roman" w:hAnsi="Times New Roman" w:cs="Times New Roman"/>
          <w:sz w:val="24"/>
          <w:szCs w:val="24"/>
        </w:rPr>
        <w:t xml:space="preserve">z dnia 18 lipca 2002 r. </w:t>
      </w:r>
      <w:r w:rsidR="00F12206" w:rsidRPr="009935E0">
        <w:rPr>
          <w:rFonts w:ascii="Times New Roman" w:hAnsi="Times New Roman" w:cs="Times New Roman"/>
          <w:sz w:val="24"/>
          <w:szCs w:val="24"/>
        </w:rPr>
        <w:t>o świadczeniu usług drogą elektroniczną.</w:t>
      </w:r>
    </w:p>
    <w:p w14:paraId="45B307F1" w14:textId="530289D1" w:rsidR="005F1EBA" w:rsidRPr="009935E0" w:rsidRDefault="005C4BD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Zgodnie z art. 14 ustawy </w:t>
      </w:r>
      <w:r w:rsidR="00386CB1" w:rsidRPr="009935E0">
        <w:rPr>
          <w:rFonts w:ascii="Times New Roman" w:hAnsi="Times New Roman" w:cs="Times New Roman"/>
          <w:sz w:val="24"/>
          <w:szCs w:val="24"/>
        </w:rPr>
        <w:t xml:space="preserve">z dnia 18 lipca 2002 r. </w:t>
      </w:r>
      <w:r w:rsidRPr="009935E0">
        <w:rPr>
          <w:rFonts w:ascii="Times New Roman" w:hAnsi="Times New Roman" w:cs="Times New Roman"/>
          <w:sz w:val="24"/>
          <w:szCs w:val="24"/>
        </w:rPr>
        <w:t>o świadczeniu usług drogą elektroniczną „n</w:t>
      </w:r>
      <w:r w:rsidR="00F12206" w:rsidRPr="009935E0">
        <w:rPr>
          <w:rFonts w:ascii="Times New Roman" w:hAnsi="Times New Roman" w:cs="Times New Roman"/>
          <w:sz w:val="24"/>
          <w:szCs w:val="24"/>
        </w:rPr>
        <w:t>ie ponosi odpowiedzialności za przechowywane dane ten, kto udostępniając zasoby systemu teleinformatycznego w celu przechowywania danych przez usługobiorcę</w:t>
      </w:r>
      <w:r w:rsidR="00620DB5" w:rsidRPr="009935E0">
        <w:rPr>
          <w:rFonts w:ascii="Times New Roman" w:hAnsi="Times New Roman" w:cs="Times New Roman"/>
          <w:sz w:val="24"/>
          <w:szCs w:val="24"/>
        </w:rPr>
        <w:t>,</w:t>
      </w:r>
      <w:r w:rsidR="00F12206" w:rsidRPr="009935E0">
        <w:rPr>
          <w:rFonts w:ascii="Times New Roman" w:hAnsi="Times New Roman" w:cs="Times New Roman"/>
          <w:sz w:val="24"/>
          <w:szCs w:val="24"/>
        </w:rPr>
        <w:t xml:space="preserve"> nie wie o bezprawnym charakterze danych lub związanej z nimi działalności, a w razie otrzymania urzędowego zawiadomienia lub uzyskania wiarygodnej wiadomości o bezprawnym charakterze danych lub związanej z nimi działalności niezwłocznie un</w:t>
      </w:r>
      <w:r w:rsidRPr="009935E0">
        <w:rPr>
          <w:rFonts w:ascii="Times New Roman" w:hAnsi="Times New Roman" w:cs="Times New Roman"/>
          <w:sz w:val="24"/>
          <w:szCs w:val="24"/>
        </w:rPr>
        <w:t xml:space="preserve">iemożliwi dostęp do tych danych”. </w:t>
      </w:r>
      <w:r w:rsidR="009B19C2" w:rsidRPr="009935E0">
        <w:rPr>
          <w:rFonts w:ascii="Times New Roman" w:hAnsi="Times New Roman" w:cs="Times New Roman"/>
          <w:sz w:val="24"/>
          <w:szCs w:val="24"/>
        </w:rPr>
        <w:t xml:space="preserve">Według </w:t>
      </w:r>
      <w:r w:rsidR="007B3FBD" w:rsidRPr="009935E0">
        <w:rPr>
          <w:rFonts w:ascii="Times New Roman" w:hAnsi="Times New Roman" w:cs="Times New Roman"/>
          <w:sz w:val="24"/>
          <w:szCs w:val="24"/>
        </w:rPr>
        <w:t>tego przepisu k</w:t>
      </w:r>
      <w:r w:rsidRPr="009935E0">
        <w:rPr>
          <w:rFonts w:ascii="Times New Roman" w:hAnsi="Times New Roman" w:cs="Times New Roman"/>
          <w:sz w:val="24"/>
          <w:szCs w:val="24"/>
        </w:rPr>
        <w:t>luczową przesłanką zwolnienia usługodawcy</w:t>
      </w:r>
      <w:r w:rsidR="001E7588" w:rsidRPr="009935E0">
        <w:rPr>
          <w:rFonts w:ascii="Times New Roman" w:hAnsi="Times New Roman" w:cs="Times New Roman"/>
          <w:sz w:val="24"/>
          <w:szCs w:val="24"/>
        </w:rPr>
        <w:t xml:space="preserve"> (</w:t>
      </w:r>
      <w:r w:rsidR="007B3FBD" w:rsidRPr="009935E0">
        <w:rPr>
          <w:rFonts w:ascii="Times New Roman" w:hAnsi="Times New Roman" w:cs="Times New Roman"/>
          <w:sz w:val="24"/>
          <w:szCs w:val="24"/>
        </w:rPr>
        <w:t>co do zasady tożsam</w:t>
      </w:r>
      <w:r w:rsidR="009B19C2" w:rsidRPr="009935E0">
        <w:rPr>
          <w:rFonts w:ascii="Times New Roman" w:hAnsi="Times New Roman" w:cs="Times New Roman"/>
          <w:sz w:val="24"/>
          <w:szCs w:val="24"/>
        </w:rPr>
        <w:t>ego</w:t>
      </w:r>
      <w:r w:rsidR="007B3FBD" w:rsidRPr="009935E0">
        <w:rPr>
          <w:rFonts w:ascii="Times New Roman" w:hAnsi="Times New Roman" w:cs="Times New Roman"/>
          <w:sz w:val="24"/>
          <w:szCs w:val="24"/>
        </w:rPr>
        <w:t xml:space="preserve"> z</w:t>
      </w:r>
      <w:r w:rsidR="001E7588" w:rsidRPr="009935E0">
        <w:rPr>
          <w:rFonts w:ascii="Times New Roman" w:hAnsi="Times New Roman" w:cs="Times New Roman"/>
          <w:sz w:val="24"/>
          <w:szCs w:val="24"/>
        </w:rPr>
        <w:t xml:space="preserve"> DUUTO) z odpowiedzialności jest zatem brak po jego stronie wiedzy</w:t>
      </w:r>
      <w:r w:rsidR="00EF7D66" w:rsidRPr="009935E0">
        <w:rPr>
          <w:rFonts w:ascii="Times New Roman" w:hAnsi="Times New Roman" w:cs="Times New Roman"/>
          <w:sz w:val="24"/>
          <w:szCs w:val="24"/>
        </w:rPr>
        <w:t xml:space="preserve"> o bezprawnym charakterze przechowywanych (hosting) i udostępnianych danych lub związanej z nimi działalności oraz odpowiednia reakcja (uniemożliwienie dostępu) na informację, że treści o takim bezprawnym charakterze są jednak udostępniane (tzw. procedura </w:t>
      </w:r>
      <w:proofErr w:type="spellStart"/>
      <w:r w:rsidR="00EF7D66" w:rsidRPr="009935E0">
        <w:rPr>
          <w:rFonts w:ascii="Times New Roman" w:hAnsi="Times New Roman" w:cs="Times New Roman"/>
          <w:sz w:val="24"/>
          <w:szCs w:val="24"/>
        </w:rPr>
        <w:t>notice</w:t>
      </w:r>
      <w:proofErr w:type="spellEnd"/>
      <w:r w:rsidR="00EF7D66" w:rsidRPr="009935E0">
        <w:rPr>
          <w:rFonts w:ascii="Times New Roman" w:hAnsi="Times New Roman" w:cs="Times New Roman"/>
          <w:sz w:val="24"/>
          <w:szCs w:val="24"/>
        </w:rPr>
        <w:t>-and-</w:t>
      </w:r>
      <w:proofErr w:type="spellStart"/>
      <w:r w:rsidR="00EF7D66" w:rsidRPr="009935E0">
        <w:rPr>
          <w:rFonts w:ascii="Times New Roman" w:hAnsi="Times New Roman" w:cs="Times New Roman"/>
          <w:sz w:val="24"/>
          <w:szCs w:val="24"/>
        </w:rPr>
        <w:t>take</w:t>
      </w:r>
      <w:proofErr w:type="spellEnd"/>
      <w:r w:rsidR="00EF7D66" w:rsidRPr="009935E0">
        <w:rPr>
          <w:rFonts w:ascii="Times New Roman" w:hAnsi="Times New Roman" w:cs="Times New Roman"/>
          <w:sz w:val="24"/>
          <w:szCs w:val="24"/>
        </w:rPr>
        <w:t xml:space="preserve"> down). Są to przepisy mające zastosowanie także do treści naruszających prawa autorskie, ale generalnie dotyczą każdych treści, a więc także np. naruszających dobra osob</w:t>
      </w:r>
      <w:r w:rsidR="00A00FE3" w:rsidRPr="009935E0">
        <w:rPr>
          <w:rFonts w:ascii="Times New Roman" w:hAnsi="Times New Roman" w:cs="Times New Roman"/>
          <w:sz w:val="24"/>
          <w:szCs w:val="24"/>
        </w:rPr>
        <w:t>iste, bezpieczeństwo państwa czy</w:t>
      </w:r>
      <w:r w:rsidR="00EF7D66" w:rsidRPr="009935E0">
        <w:rPr>
          <w:rFonts w:ascii="Times New Roman" w:hAnsi="Times New Roman" w:cs="Times New Roman"/>
          <w:sz w:val="24"/>
          <w:szCs w:val="24"/>
        </w:rPr>
        <w:t xml:space="preserve"> porządek publiczny.</w:t>
      </w:r>
      <w:r w:rsidR="00A00FE3" w:rsidRPr="009935E0">
        <w:rPr>
          <w:rFonts w:ascii="Times New Roman" w:hAnsi="Times New Roman" w:cs="Times New Roman"/>
          <w:sz w:val="24"/>
          <w:szCs w:val="24"/>
        </w:rPr>
        <w:t xml:space="preserve"> Przewidziany w nich rygor odpowiedzialności można uznać za względnie łagodny, gdyż w istocie sprowadza się do właściwej reakcji usługodawcy na każdorazowe zawiadomienie o możliwości naruszenia prawa. Nie wymaga, aby usługodawca podejmował jakieś środki prewencyjne z własnej inicjatywy, aby np. zapobiec ponownemu udostępnieniu raz usuniętej bezprawnej treści.</w:t>
      </w:r>
    </w:p>
    <w:p w14:paraId="0044785B" w14:textId="236E0932" w:rsidR="00EF7D66" w:rsidRPr="009935E0" w:rsidRDefault="005F1EB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 punktu widzenia podmiotów praw autorskich i praw pokrewnych powyższe zasady odpowiedzialności dostawców usług przechowywania i udostępniania</w:t>
      </w:r>
      <w:r w:rsidR="00ED6D3A" w:rsidRPr="009935E0">
        <w:rPr>
          <w:rFonts w:ascii="Times New Roman" w:hAnsi="Times New Roman" w:cs="Times New Roman"/>
          <w:sz w:val="24"/>
          <w:szCs w:val="24"/>
        </w:rPr>
        <w:t xml:space="preserve"> treści okazały się niedostatecznie skuteczne w obliczu dynamicznego rozwoju tych usług i ich coraz większej dostępności, a w efekcie niestety także </w:t>
      </w:r>
      <w:r w:rsidR="00F04677" w:rsidRPr="009935E0">
        <w:rPr>
          <w:rFonts w:ascii="Times New Roman" w:hAnsi="Times New Roman" w:cs="Times New Roman"/>
          <w:sz w:val="24"/>
          <w:szCs w:val="24"/>
        </w:rPr>
        <w:t>znacznej</w:t>
      </w:r>
      <w:r w:rsidR="00ED6D3A" w:rsidRPr="009935E0">
        <w:rPr>
          <w:rFonts w:ascii="Times New Roman" w:hAnsi="Times New Roman" w:cs="Times New Roman"/>
          <w:sz w:val="24"/>
          <w:szCs w:val="24"/>
        </w:rPr>
        <w:t xml:space="preserve"> skali nielegalnego udostępniania utworów i przedmiotów praw pokrewnych przez tego typu usługi. Procedura </w:t>
      </w:r>
      <w:proofErr w:type="spellStart"/>
      <w:r w:rsidR="00ED6D3A" w:rsidRPr="009935E0">
        <w:rPr>
          <w:rFonts w:ascii="Times New Roman" w:hAnsi="Times New Roman" w:cs="Times New Roman"/>
          <w:i/>
          <w:sz w:val="24"/>
          <w:szCs w:val="24"/>
        </w:rPr>
        <w:t>notice</w:t>
      </w:r>
      <w:proofErr w:type="spellEnd"/>
      <w:r w:rsidR="00ED6D3A" w:rsidRPr="009935E0">
        <w:rPr>
          <w:rFonts w:ascii="Times New Roman" w:hAnsi="Times New Roman" w:cs="Times New Roman"/>
          <w:i/>
          <w:sz w:val="24"/>
          <w:szCs w:val="24"/>
        </w:rPr>
        <w:t>-and-</w:t>
      </w:r>
      <w:proofErr w:type="spellStart"/>
      <w:r w:rsidR="00ED6D3A" w:rsidRPr="009935E0">
        <w:rPr>
          <w:rFonts w:ascii="Times New Roman" w:hAnsi="Times New Roman" w:cs="Times New Roman"/>
          <w:i/>
          <w:sz w:val="24"/>
          <w:szCs w:val="24"/>
        </w:rPr>
        <w:t>take</w:t>
      </w:r>
      <w:proofErr w:type="spellEnd"/>
      <w:r w:rsidR="00ED6D3A" w:rsidRPr="009935E0">
        <w:rPr>
          <w:rFonts w:ascii="Times New Roman" w:hAnsi="Times New Roman" w:cs="Times New Roman"/>
          <w:i/>
          <w:sz w:val="24"/>
          <w:szCs w:val="24"/>
        </w:rPr>
        <w:t xml:space="preserve"> down</w:t>
      </w:r>
      <w:r w:rsidR="00ED6D3A" w:rsidRPr="009935E0">
        <w:rPr>
          <w:rFonts w:ascii="Times New Roman" w:hAnsi="Times New Roman" w:cs="Times New Roman"/>
          <w:sz w:val="24"/>
          <w:szCs w:val="24"/>
        </w:rPr>
        <w:t xml:space="preserve"> okazała się niewystarczająca, gdyż raz usunięty nielegalnie udostępniony </w:t>
      </w:r>
      <w:r w:rsidR="008345B4" w:rsidRPr="009935E0">
        <w:rPr>
          <w:rFonts w:ascii="Times New Roman" w:hAnsi="Times New Roman" w:cs="Times New Roman"/>
          <w:sz w:val="24"/>
          <w:szCs w:val="24"/>
        </w:rPr>
        <w:t xml:space="preserve">utwór bardzo szybko pojawia się ponownie w tym samym serwisie, ale w innej </w:t>
      </w:r>
      <w:r w:rsidR="00F04677" w:rsidRPr="009935E0">
        <w:rPr>
          <w:rFonts w:ascii="Times New Roman" w:hAnsi="Times New Roman" w:cs="Times New Roman"/>
          <w:sz w:val="24"/>
          <w:szCs w:val="24"/>
        </w:rPr>
        <w:t xml:space="preserve">technicznie </w:t>
      </w:r>
      <w:r w:rsidR="008345B4" w:rsidRPr="009935E0">
        <w:rPr>
          <w:rFonts w:ascii="Times New Roman" w:hAnsi="Times New Roman" w:cs="Times New Roman"/>
          <w:sz w:val="24"/>
          <w:szCs w:val="24"/>
        </w:rPr>
        <w:t xml:space="preserve">lokalizacji (pod innym linkiem). Uprawnieni i reprezentujące ich organizacje muszą zatem stale monitorować treści udostępniane w wielu serwisach internetowych i każdorazowo informować usługodawców o </w:t>
      </w:r>
      <w:r w:rsidR="008345B4" w:rsidRPr="009935E0">
        <w:rPr>
          <w:rFonts w:ascii="Times New Roman" w:hAnsi="Times New Roman" w:cs="Times New Roman"/>
          <w:sz w:val="24"/>
          <w:szCs w:val="24"/>
        </w:rPr>
        <w:lastRenderedPageBreak/>
        <w:t xml:space="preserve">przypadkach naruszenia prawa autorskiego. </w:t>
      </w:r>
      <w:r w:rsidR="00F04677" w:rsidRPr="009935E0">
        <w:rPr>
          <w:rFonts w:ascii="Times New Roman" w:hAnsi="Times New Roman" w:cs="Times New Roman"/>
          <w:sz w:val="24"/>
          <w:szCs w:val="24"/>
        </w:rPr>
        <w:t xml:space="preserve">Są to oczywiście działania kosztowne, czasochłonne i wciąż mało skuteczne. </w:t>
      </w:r>
      <w:r w:rsidR="008345B4" w:rsidRPr="009935E0">
        <w:rPr>
          <w:rFonts w:ascii="Times New Roman" w:hAnsi="Times New Roman" w:cs="Times New Roman"/>
          <w:sz w:val="24"/>
          <w:szCs w:val="24"/>
        </w:rPr>
        <w:t xml:space="preserve">Stąd ustawodawca unijny postanowił w dyrektywie DSM w odpowiedni sposób wpłynąć na dostawców usług online, aby bardziej zaangażowali się w zwalczanie </w:t>
      </w:r>
      <w:r w:rsidR="00F04677" w:rsidRPr="009935E0">
        <w:rPr>
          <w:rFonts w:ascii="Times New Roman" w:hAnsi="Times New Roman" w:cs="Times New Roman"/>
          <w:sz w:val="24"/>
          <w:szCs w:val="24"/>
        </w:rPr>
        <w:t>przypadków naruszeń prawa autorskiego</w:t>
      </w:r>
      <w:r w:rsidR="008345B4" w:rsidRPr="009935E0">
        <w:rPr>
          <w:rFonts w:ascii="Times New Roman" w:hAnsi="Times New Roman" w:cs="Times New Roman"/>
          <w:sz w:val="24"/>
          <w:szCs w:val="24"/>
        </w:rPr>
        <w:t xml:space="preserve">, a zwłaszcza w zapobieganie </w:t>
      </w:r>
      <w:r w:rsidR="002E3669" w:rsidRPr="009935E0">
        <w:rPr>
          <w:rFonts w:ascii="Times New Roman" w:hAnsi="Times New Roman" w:cs="Times New Roman"/>
          <w:sz w:val="24"/>
          <w:szCs w:val="24"/>
        </w:rPr>
        <w:t>tym naruszeniom</w:t>
      </w:r>
      <w:r w:rsidR="008345B4" w:rsidRPr="009935E0">
        <w:rPr>
          <w:rFonts w:ascii="Times New Roman" w:hAnsi="Times New Roman" w:cs="Times New Roman"/>
          <w:sz w:val="24"/>
          <w:szCs w:val="24"/>
        </w:rPr>
        <w:t>.</w:t>
      </w:r>
    </w:p>
    <w:p w14:paraId="5DC9D954" w14:textId="77777777" w:rsidR="00366D55" w:rsidRPr="009935E0" w:rsidRDefault="00CD2C3C"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art. 17 ust. 4 dyrektywy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przesądza się zatem, że DUUTO ponoszą odpowiedzialność z tytułu naruszenia praw autorskich, jeżeli publicznie udostępniają treści chronione prawem autorskim lub prawami pokrewnymi bez stosownego zezwolenia podmiotów uprawnionych (bez licencji). Mogą się jednak uwolnić od tej odpowiedzialności, jeżeli wykażą, że dołożyli „wszelkich starań”, aby uzyskać niezbędne zezwolenia </w:t>
      </w:r>
      <w:r w:rsidR="00CA24EE" w:rsidRPr="009935E0">
        <w:rPr>
          <w:rFonts w:ascii="Times New Roman" w:hAnsi="Times New Roman" w:cs="Times New Roman"/>
          <w:sz w:val="24"/>
          <w:szCs w:val="24"/>
        </w:rPr>
        <w:t>(ust. 4 lit. a</w:t>
      </w:r>
      <w:r w:rsidR="003A30D7" w:rsidRPr="009935E0">
        <w:rPr>
          <w:rFonts w:ascii="Times New Roman" w:hAnsi="Times New Roman" w:cs="Times New Roman"/>
          <w:sz w:val="24"/>
          <w:szCs w:val="24"/>
        </w:rPr>
        <w:t>)</w:t>
      </w:r>
      <w:r w:rsidR="00CA24EE" w:rsidRPr="009935E0">
        <w:rPr>
          <w:rFonts w:ascii="Times New Roman" w:hAnsi="Times New Roman" w:cs="Times New Roman"/>
          <w:sz w:val="24"/>
          <w:szCs w:val="24"/>
        </w:rPr>
        <w:t xml:space="preserve"> </w:t>
      </w:r>
      <w:r w:rsidRPr="009935E0">
        <w:rPr>
          <w:rFonts w:ascii="Times New Roman" w:hAnsi="Times New Roman" w:cs="Times New Roman"/>
          <w:sz w:val="24"/>
          <w:szCs w:val="24"/>
        </w:rPr>
        <w:t>oraz dołożyli „wszelkich starań – zgodnie z wysokimi standardami staranności zawodowej w sektorze”, aby „zapewnić brak dostępu” do chronionych</w:t>
      </w:r>
      <w:r w:rsidR="00CA24EE" w:rsidRPr="009935E0">
        <w:rPr>
          <w:rFonts w:ascii="Times New Roman" w:hAnsi="Times New Roman" w:cs="Times New Roman"/>
          <w:sz w:val="24"/>
          <w:szCs w:val="24"/>
        </w:rPr>
        <w:t xml:space="preserve"> treści „</w:t>
      </w:r>
      <w:r w:rsidR="00E02CAF" w:rsidRPr="009935E0">
        <w:rPr>
          <w:rFonts w:ascii="Times New Roman" w:hAnsi="Times New Roman" w:cs="Times New Roman"/>
          <w:sz w:val="24"/>
          <w:szCs w:val="24"/>
        </w:rPr>
        <w:t>w odniesieniu do których podmioty uprawnione przekazały dostawcom usług odpow</w:t>
      </w:r>
      <w:r w:rsidR="00CA24EE" w:rsidRPr="009935E0">
        <w:rPr>
          <w:rFonts w:ascii="Times New Roman" w:hAnsi="Times New Roman" w:cs="Times New Roman"/>
          <w:sz w:val="24"/>
          <w:szCs w:val="24"/>
        </w:rPr>
        <w:t>iednie i niezbędne informacje” (ust. 4 lit. b</w:t>
      </w:r>
      <w:r w:rsidR="003A30D7" w:rsidRPr="009935E0">
        <w:rPr>
          <w:rFonts w:ascii="Times New Roman" w:hAnsi="Times New Roman" w:cs="Times New Roman"/>
          <w:sz w:val="24"/>
          <w:szCs w:val="24"/>
        </w:rPr>
        <w:t>)</w:t>
      </w:r>
      <w:r w:rsidR="00CA24EE" w:rsidRPr="009935E0">
        <w:rPr>
          <w:rFonts w:ascii="Times New Roman" w:hAnsi="Times New Roman" w:cs="Times New Roman"/>
          <w:sz w:val="24"/>
          <w:szCs w:val="24"/>
        </w:rPr>
        <w:t xml:space="preserve">. </w:t>
      </w:r>
      <w:r w:rsidR="00FF42ED" w:rsidRPr="009935E0">
        <w:rPr>
          <w:rFonts w:ascii="Times New Roman" w:hAnsi="Times New Roman" w:cs="Times New Roman"/>
          <w:sz w:val="24"/>
          <w:szCs w:val="24"/>
        </w:rPr>
        <w:t xml:space="preserve">Muszą także w dalszym ciągu stosować procedurę </w:t>
      </w:r>
      <w:proofErr w:type="spellStart"/>
      <w:r w:rsidR="00FF42ED" w:rsidRPr="009935E0">
        <w:rPr>
          <w:rFonts w:ascii="Times New Roman" w:hAnsi="Times New Roman" w:cs="Times New Roman"/>
          <w:i/>
          <w:sz w:val="24"/>
          <w:szCs w:val="24"/>
        </w:rPr>
        <w:t>notice</w:t>
      </w:r>
      <w:proofErr w:type="spellEnd"/>
      <w:r w:rsidR="00FF42ED" w:rsidRPr="009935E0">
        <w:rPr>
          <w:rFonts w:ascii="Times New Roman" w:hAnsi="Times New Roman" w:cs="Times New Roman"/>
          <w:i/>
          <w:sz w:val="24"/>
          <w:szCs w:val="24"/>
        </w:rPr>
        <w:t>-and-</w:t>
      </w:r>
      <w:proofErr w:type="spellStart"/>
      <w:r w:rsidR="00FF42ED" w:rsidRPr="009935E0">
        <w:rPr>
          <w:rFonts w:ascii="Times New Roman" w:hAnsi="Times New Roman" w:cs="Times New Roman"/>
          <w:i/>
          <w:sz w:val="24"/>
          <w:szCs w:val="24"/>
        </w:rPr>
        <w:t>take</w:t>
      </w:r>
      <w:proofErr w:type="spellEnd"/>
      <w:r w:rsidR="00FF42ED" w:rsidRPr="009935E0">
        <w:rPr>
          <w:rFonts w:ascii="Times New Roman" w:hAnsi="Times New Roman" w:cs="Times New Roman"/>
          <w:i/>
          <w:sz w:val="24"/>
          <w:szCs w:val="24"/>
        </w:rPr>
        <w:t xml:space="preserve"> down</w:t>
      </w:r>
      <w:r w:rsidR="00FF42ED" w:rsidRPr="009935E0">
        <w:rPr>
          <w:rFonts w:ascii="Times New Roman" w:hAnsi="Times New Roman" w:cs="Times New Roman"/>
          <w:sz w:val="24"/>
          <w:szCs w:val="24"/>
        </w:rPr>
        <w:t>, tj. działać „</w:t>
      </w:r>
      <w:r w:rsidR="00E02CAF" w:rsidRPr="009935E0">
        <w:rPr>
          <w:rFonts w:ascii="Times New Roman" w:hAnsi="Times New Roman" w:cs="Times New Roman"/>
          <w:sz w:val="24"/>
          <w:szCs w:val="24"/>
        </w:rPr>
        <w:t>niezwłocznie po otrzymaniu odpowiednio uzasadnionego zastrzeżenia od podmiotów uprawnionych</w:t>
      </w:r>
      <w:r w:rsidR="00FF42ED" w:rsidRPr="009935E0">
        <w:rPr>
          <w:rFonts w:ascii="Times New Roman" w:hAnsi="Times New Roman" w:cs="Times New Roman"/>
          <w:sz w:val="24"/>
          <w:szCs w:val="24"/>
        </w:rPr>
        <w:t>”</w:t>
      </w:r>
      <w:r w:rsidR="00E02CAF" w:rsidRPr="009935E0">
        <w:rPr>
          <w:rFonts w:ascii="Times New Roman" w:hAnsi="Times New Roman" w:cs="Times New Roman"/>
          <w:sz w:val="24"/>
          <w:szCs w:val="24"/>
        </w:rPr>
        <w:t xml:space="preserve"> w celu </w:t>
      </w:r>
      <w:r w:rsidR="00FF42ED" w:rsidRPr="009935E0">
        <w:rPr>
          <w:rFonts w:ascii="Times New Roman" w:hAnsi="Times New Roman" w:cs="Times New Roman"/>
          <w:sz w:val="24"/>
          <w:szCs w:val="24"/>
        </w:rPr>
        <w:t>„</w:t>
      </w:r>
      <w:r w:rsidR="00E02CAF" w:rsidRPr="009935E0">
        <w:rPr>
          <w:rFonts w:ascii="Times New Roman" w:hAnsi="Times New Roman" w:cs="Times New Roman"/>
          <w:sz w:val="24"/>
          <w:szCs w:val="24"/>
        </w:rPr>
        <w:t>zablokowania dostępu</w:t>
      </w:r>
      <w:r w:rsidR="00FF42ED" w:rsidRPr="009935E0">
        <w:rPr>
          <w:rFonts w:ascii="Times New Roman" w:hAnsi="Times New Roman" w:cs="Times New Roman"/>
          <w:sz w:val="24"/>
          <w:szCs w:val="24"/>
        </w:rPr>
        <w:t>”</w:t>
      </w:r>
      <w:r w:rsidR="0043233A" w:rsidRPr="009935E0">
        <w:rPr>
          <w:rFonts w:ascii="Times New Roman" w:hAnsi="Times New Roman" w:cs="Times New Roman"/>
          <w:sz w:val="24"/>
          <w:szCs w:val="24"/>
        </w:rPr>
        <w:t xml:space="preserve"> </w:t>
      </w:r>
      <w:r w:rsidR="00E02CAF" w:rsidRPr="009935E0">
        <w:rPr>
          <w:rFonts w:ascii="Times New Roman" w:hAnsi="Times New Roman" w:cs="Times New Roman"/>
          <w:sz w:val="24"/>
          <w:szCs w:val="24"/>
        </w:rPr>
        <w:t xml:space="preserve">do </w:t>
      </w:r>
      <w:r w:rsidR="0043233A" w:rsidRPr="009935E0">
        <w:rPr>
          <w:rFonts w:ascii="Times New Roman" w:hAnsi="Times New Roman" w:cs="Times New Roman"/>
          <w:sz w:val="24"/>
          <w:szCs w:val="24"/>
        </w:rPr>
        <w:t xml:space="preserve">wskazanych chronionych treści </w:t>
      </w:r>
      <w:r w:rsidR="00E02CAF" w:rsidRPr="009935E0">
        <w:rPr>
          <w:rFonts w:ascii="Times New Roman" w:hAnsi="Times New Roman" w:cs="Times New Roman"/>
          <w:sz w:val="24"/>
          <w:szCs w:val="24"/>
        </w:rPr>
        <w:t xml:space="preserve">lub </w:t>
      </w:r>
      <w:r w:rsidR="0043233A" w:rsidRPr="009935E0">
        <w:rPr>
          <w:rFonts w:ascii="Times New Roman" w:hAnsi="Times New Roman" w:cs="Times New Roman"/>
          <w:sz w:val="24"/>
          <w:szCs w:val="24"/>
        </w:rPr>
        <w:t>„</w:t>
      </w:r>
      <w:r w:rsidR="00E02CAF" w:rsidRPr="009935E0">
        <w:rPr>
          <w:rFonts w:ascii="Times New Roman" w:hAnsi="Times New Roman" w:cs="Times New Roman"/>
          <w:sz w:val="24"/>
          <w:szCs w:val="24"/>
        </w:rPr>
        <w:t>usunięcia ich ze swoich stron internetowy</w:t>
      </w:r>
      <w:r w:rsidR="0043233A" w:rsidRPr="009935E0">
        <w:rPr>
          <w:rFonts w:ascii="Times New Roman" w:hAnsi="Times New Roman" w:cs="Times New Roman"/>
          <w:sz w:val="24"/>
          <w:szCs w:val="24"/>
        </w:rPr>
        <w:t>ch” –</w:t>
      </w:r>
      <w:r w:rsidR="00E02CAF" w:rsidRPr="009935E0">
        <w:rPr>
          <w:rFonts w:ascii="Times New Roman" w:hAnsi="Times New Roman" w:cs="Times New Roman"/>
          <w:sz w:val="24"/>
          <w:szCs w:val="24"/>
        </w:rPr>
        <w:t xml:space="preserve"> a</w:t>
      </w:r>
      <w:r w:rsidR="0043233A" w:rsidRPr="009935E0">
        <w:rPr>
          <w:rFonts w:ascii="Times New Roman" w:hAnsi="Times New Roman" w:cs="Times New Roman"/>
          <w:sz w:val="24"/>
          <w:szCs w:val="24"/>
        </w:rPr>
        <w:t>le teraz, po zastosowaniu tej procedury, także dołożyć</w:t>
      </w:r>
      <w:r w:rsidR="00E02CAF" w:rsidRPr="009935E0">
        <w:rPr>
          <w:rFonts w:ascii="Times New Roman" w:hAnsi="Times New Roman" w:cs="Times New Roman"/>
          <w:sz w:val="24"/>
          <w:szCs w:val="24"/>
        </w:rPr>
        <w:t xml:space="preserve"> </w:t>
      </w:r>
      <w:r w:rsidR="0043233A" w:rsidRPr="009935E0">
        <w:rPr>
          <w:rFonts w:ascii="Times New Roman" w:hAnsi="Times New Roman" w:cs="Times New Roman"/>
          <w:sz w:val="24"/>
          <w:szCs w:val="24"/>
        </w:rPr>
        <w:t>„</w:t>
      </w:r>
      <w:r w:rsidR="00E02CAF" w:rsidRPr="009935E0">
        <w:rPr>
          <w:rFonts w:ascii="Times New Roman" w:hAnsi="Times New Roman" w:cs="Times New Roman"/>
          <w:sz w:val="24"/>
          <w:szCs w:val="24"/>
        </w:rPr>
        <w:t>wszelkich starań, aby zapobie</w:t>
      </w:r>
      <w:r w:rsidR="0043233A" w:rsidRPr="009935E0">
        <w:rPr>
          <w:rFonts w:ascii="Times New Roman" w:hAnsi="Times New Roman" w:cs="Times New Roman"/>
          <w:sz w:val="24"/>
          <w:szCs w:val="24"/>
        </w:rPr>
        <w:t>c ich przyszłemu zamieszczaniu” (ust. 4 lit</w:t>
      </w:r>
      <w:r w:rsidR="00151373" w:rsidRPr="009935E0">
        <w:rPr>
          <w:rFonts w:ascii="Times New Roman" w:hAnsi="Times New Roman" w:cs="Times New Roman"/>
          <w:sz w:val="24"/>
          <w:szCs w:val="24"/>
        </w:rPr>
        <w:t>.</w:t>
      </w:r>
      <w:r w:rsidR="0043233A" w:rsidRPr="009935E0">
        <w:rPr>
          <w:rFonts w:ascii="Times New Roman" w:hAnsi="Times New Roman" w:cs="Times New Roman"/>
          <w:sz w:val="24"/>
          <w:szCs w:val="24"/>
        </w:rPr>
        <w:t xml:space="preserve"> c). Przesłanki określone w ust. 4 lit. b</w:t>
      </w:r>
      <w:r w:rsidR="00984BA9" w:rsidRPr="009935E0">
        <w:rPr>
          <w:rFonts w:ascii="Times New Roman" w:hAnsi="Times New Roman" w:cs="Times New Roman"/>
          <w:sz w:val="24"/>
          <w:szCs w:val="24"/>
        </w:rPr>
        <w:t xml:space="preserve"> i </w:t>
      </w:r>
      <w:r w:rsidR="0043233A" w:rsidRPr="009935E0">
        <w:rPr>
          <w:rFonts w:ascii="Times New Roman" w:hAnsi="Times New Roman" w:cs="Times New Roman"/>
          <w:sz w:val="24"/>
          <w:szCs w:val="24"/>
        </w:rPr>
        <w:t xml:space="preserve">c </w:t>
      </w:r>
      <w:r w:rsidR="0043233A" w:rsidRPr="009935E0">
        <w:rPr>
          <w:rFonts w:ascii="Times New Roman" w:hAnsi="Times New Roman" w:cs="Times New Roman"/>
          <w:i/>
          <w:sz w:val="24"/>
          <w:szCs w:val="24"/>
        </w:rPr>
        <w:t>in fine</w:t>
      </w:r>
      <w:r w:rsidR="0043233A" w:rsidRPr="009935E0">
        <w:rPr>
          <w:rFonts w:ascii="Times New Roman" w:hAnsi="Times New Roman" w:cs="Times New Roman"/>
          <w:sz w:val="24"/>
          <w:szCs w:val="24"/>
        </w:rPr>
        <w:t xml:space="preserve"> wymagają zatem od DUUTO, i jest to kluczową nowością</w:t>
      </w:r>
      <w:r w:rsidR="00262FC0" w:rsidRPr="009935E0">
        <w:rPr>
          <w:rFonts w:ascii="Times New Roman" w:hAnsi="Times New Roman" w:cs="Times New Roman"/>
          <w:sz w:val="24"/>
          <w:szCs w:val="24"/>
        </w:rPr>
        <w:t>,</w:t>
      </w:r>
      <w:r w:rsidR="0043233A" w:rsidRPr="009935E0">
        <w:rPr>
          <w:rFonts w:ascii="Times New Roman" w:hAnsi="Times New Roman" w:cs="Times New Roman"/>
          <w:sz w:val="24"/>
          <w:szCs w:val="24"/>
        </w:rPr>
        <w:t xml:space="preserve"> </w:t>
      </w:r>
      <w:r w:rsidR="00262FC0" w:rsidRPr="009935E0">
        <w:rPr>
          <w:rFonts w:ascii="Times New Roman" w:hAnsi="Times New Roman" w:cs="Times New Roman"/>
          <w:sz w:val="24"/>
          <w:szCs w:val="24"/>
        </w:rPr>
        <w:t>jeżeli</w:t>
      </w:r>
      <w:r w:rsidR="0043233A" w:rsidRPr="009935E0">
        <w:rPr>
          <w:rFonts w:ascii="Times New Roman" w:hAnsi="Times New Roman" w:cs="Times New Roman"/>
          <w:sz w:val="24"/>
          <w:szCs w:val="24"/>
        </w:rPr>
        <w:t xml:space="preserve"> chodzi o regulacje prawne dotyczące usługodawców hostingowych, aby obok dotychczasowego obowiązku usuwania treści naruszających prawa autorskie w reakcji na odpowiednie zgłoszenie</w:t>
      </w:r>
      <w:r w:rsidR="00D56F75" w:rsidRPr="009935E0">
        <w:rPr>
          <w:rFonts w:ascii="Times New Roman" w:hAnsi="Times New Roman" w:cs="Times New Roman"/>
          <w:sz w:val="24"/>
          <w:szCs w:val="24"/>
        </w:rPr>
        <w:t xml:space="preserve"> (</w:t>
      </w:r>
      <w:proofErr w:type="spellStart"/>
      <w:r w:rsidR="00D56F75" w:rsidRPr="009935E0">
        <w:rPr>
          <w:rFonts w:ascii="Times New Roman" w:hAnsi="Times New Roman" w:cs="Times New Roman"/>
          <w:i/>
          <w:sz w:val="24"/>
          <w:szCs w:val="24"/>
        </w:rPr>
        <w:t>notice</w:t>
      </w:r>
      <w:proofErr w:type="spellEnd"/>
      <w:r w:rsidR="00D56F75" w:rsidRPr="009935E0">
        <w:rPr>
          <w:rFonts w:ascii="Times New Roman" w:hAnsi="Times New Roman" w:cs="Times New Roman"/>
          <w:i/>
          <w:sz w:val="24"/>
          <w:szCs w:val="24"/>
        </w:rPr>
        <w:t>-and-</w:t>
      </w:r>
      <w:proofErr w:type="spellStart"/>
      <w:r w:rsidR="00D56F75" w:rsidRPr="009935E0">
        <w:rPr>
          <w:rFonts w:ascii="Times New Roman" w:hAnsi="Times New Roman" w:cs="Times New Roman"/>
          <w:i/>
          <w:sz w:val="24"/>
          <w:szCs w:val="24"/>
        </w:rPr>
        <w:t>take</w:t>
      </w:r>
      <w:proofErr w:type="spellEnd"/>
      <w:r w:rsidR="00D56F75" w:rsidRPr="009935E0">
        <w:rPr>
          <w:rFonts w:ascii="Times New Roman" w:hAnsi="Times New Roman" w:cs="Times New Roman"/>
          <w:i/>
          <w:sz w:val="24"/>
          <w:szCs w:val="24"/>
        </w:rPr>
        <w:t xml:space="preserve"> down</w:t>
      </w:r>
      <w:r w:rsidR="00D56F75" w:rsidRPr="009935E0">
        <w:rPr>
          <w:rFonts w:ascii="Times New Roman" w:hAnsi="Times New Roman" w:cs="Times New Roman"/>
          <w:sz w:val="24"/>
          <w:szCs w:val="24"/>
        </w:rPr>
        <w:t xml:space="preserve">, ust. 4 lit. c </w:t>
      </w:r>
      <w:r w:rsidR="00D56F75" w:rsidRPr="009935E0">
        <w:rPr>
          <w:rFonts w:ascii="Times New Roman" w:hAnsi="Times New Roman" w:cs="Times New Roman"/>
          <w:i/>
          <w:sz w:val="24"/>
          <w:szCs w:val="24"/>
        </w:rPr>
        <w:t xml:space="preserve">in </w:t>
      </w:r>
      <w:proofErr w:type="spellStart"/>
      <w:r w:rsidR="00D56F75" w:rsidRPr="009935E0">
        <w:rPr>
          <w:rFonts w:ascii="Times New Roman" w:hAnsi="Times New Roman" w:cs="Times New Roman"/>
          <w:i/>
          <w:sz w:val="24"/>
          <w:szCs w:val="24"/>
        </w:rPr>
        <w:t>principio</w:t>
      </w:r>
      <w:proofErr w:type="spellEnd"/>
      <w:r w:rsidR="00D56F75" w:rsidRPr="009935E0">
        <w:rPr>
          <w:rFonts w:ascii="Times New Roman" w:hAnsi="Times New Roman" w:cs="Times New Roman"/>
          <w:sz w:val="24"/>
          <w:szCs w:val="24"/>
        </w:rPr>
        <w:t>)</w:t>
      </w:r>
      <w:r w:rsidR="00A62106" w:rsidRPr="009935E0">
        <w:rPr>
          <w:rFonts w:ascii="Times New Roman" w:hAnsi="Times New Roman" w:cs="Times New Roman"/>
          <w:sz w:val="24"/>
          <w:szCs w:val="24"/>
        </w:rPr>
        <w:t xml:space="preserve">, dokonywali </w:t>
      </w:r>
      <w:r w:rsidR="0005620E" w:rsidRPr="009935E0">
        <w:rPr>
          <w:rFonts w:ascii="Times New Roman" w:hAnsi="Times New Roman" w:cs="Times New Roman"/>
          <w:sz w:val="24"/>
          <w:szCs w:val="24"/>
        </w:rPr>
        <w:t xml:space="preserve">także </w:t>
      </w:r>
      <w:r w:rsidR="00A62106" w:rsidRPr="009935E0">
        <w:rPr>
          <w:rFonts w:ascii="Times New Roman" w:hAnsi="Times New Roman" w:cs="Times New Roman"/>
          <w:sz w:val="24"/>
          <w:szCs w:val="24"/>
        </w:rPr>
        <w:t>pewnego rodzaju weryfikacji (filtracji) udostępnianych treści, aby nie dopuścić do ich nielegalnego udostępnienia</w:t>
      </w:r>
      <w:r w:rsidR="0005620E" w:rsidRPr="009935E0">
        <w:rPr>
          <w:rFonts w:ascii="Times New Roman" w:hAnsi="Times New Roman" w:cs="Times New Roman"/>
          <w:sz w:val="24"/>
          <w:szCs w:val="24"/>
        </w:rPr>
        <w:t xml:space="preserve"> l</w:t>
      </w:r>
      <w:r w:rsidR="00262FC0" w:rsidRPr="009935E0">
        <w:rPr>
          <w:rFonts w:ascii="Times New Roman" w:hAnsi="Times New Roman" w:cs="Times New Roman"/>
          <w:sz w:val="24"/>
          <w:szCs w:val="24"/>
        </w:rPr>
        <w:t>ub ponownego nielegalnego udostę</w:t>
      </w:r>
      <w:r w:rsidR="0005620E" w:rsidRPr="009935E0">
        <w:rPr>
          <w:rFonts w:ascii="Times New Roman" w:hAnsi="Times New Roman" w:cs="Times New Roman"/>
          <w:sz w:val="24"/>
          <w:szCs w:val="24"/>
        </w:rPr>
        <w:t xml:space="preserve">pnienia (tzw. </w:t>
      </w:r>
      <w:proofErr w:type="spellStart"/>
      <w:r w:rsidR="0005620E" w:rsidRPr="009935E0">
        <w:rPr>
          <w:rFonts w:ascii="Times New Roman" w:hAnsi="Times New Roman" w:cs="Times New Roman"/>
          <w:i/>
          <w:sz w:val="24"/>
          <w:szCs w:val="24"/>
        </w:rPr>
        <w:t>notice</w:t>
      </w:r>
      <w:proofErr w:type="spellEnd"/>
      <w:r w:rsidR="0005620E" w:rsidRPr="009935E0">
        <w:rPr>
          <w:rFonts w:ascii="Times New Roman" w:hAnsi="Times New Roman" w:cs="Times New Roman"/>
          <w:i/>
          <w:sz w:val="24"/>
          <w:szCs w:val="24"/>
        </w:rPr>
        <w:t>-and-</w:t>
      </w:r>
      <w:proofErr w:type="spellStart"/>
      <w:r w:rsidR="0005620E" w:rsidRPr="009935E0">
        <w:rPr>
          <w:rFonts w:ascii="Times New Roman" w:hAnsi="Times New Roman" w:cs="Times New Roman"/>
          <w:i/>
          <w:sz w:val="24"/>
          <w:szCs w:val="24"/>
        </w:rPr>
        <w:t>stay</w:t>
      </w:r>
      <w:proofErr w:type="spellEnd"/>
      <w:r w:rsidR="0005620E" w:rsidRPr="009935E0">
        <w:rPr>
          <w:rFonts w:ascii="Times New Roman" w:hAnsi="Times New Roman" w:cs="Times New Roman"/>
          <w:i/>
          <w:sz w:val="24"/>
          <w:szCs w:val="24"/>
        </w:rPr>
        <w:t xml:space="preserve"> down</w:t>
      </w:r>
      <w:r w:rsidR="0005620E" w:rsidRPr="009935E0">
        <w:rPr>
          <w:rFonts w:ascii="Times New Roman" w:hAnsi="Times New Roman" w:cs="Times New Roman"/>
          <w:sz w:val="24"/>
          <w:szCs w:val="24"/>
        </w:rPr>
        <w:t>)</w:t>
      </w:r>
      <w:r w:rsidR="00A62106" w:rsidRPr="009935E0">
        <w:rPr>
          <w:rFonts w:ascii="Times New Roman" w:hAnsi="Times New Roman" w:cs="Times New Roman"/>
          <w:sz w:val="24"/>
          <w:szCs w:val="24"/>
        </w:rPr>
        <w:t>. Rozwiązanie to, choć może istotnie poprawić ochronę praw autorskich w sieci, budzi jednak także poważne kontrowersje. Powstaje tu bowiem także ryzyko swoistej cenzury w Internecie, tym bardziej że ogromna ilość i zróżnicowanie treści zamieszczanych w serwisach DUUTO wymusi na nich stosowanie mechanizmów automatycznej weryfikacji treści (algorytmy)</w:t>
      </w:r>
      <w:r w:rsidR="0005620E" w:rsidRPr="009935E0">
        <w:rPr>
          <w:rFonts w:ascii="Times New Roman" w:hAnsi="Times New Roman" w:cs="Times New Roman"/>
          <w:sz w:val="24"/>
          <w:szCs w:val="24"/>
        </w:rPr>
        <w:t>, które nie będą na tyle „inteligentne”, aby prawidłowo rozpoznać wszystkie faktyczne i prawne okoliczności decydujące o tym, czy dana treść chroniona została udostępniona zgodnie z prawem</w:t>
      </w:r>
      <w:r w:rsidR="004204D1" w:rsidRPr="009935E0">
        <w:rPr>
          <w:rFonts w:ascii="Times New Roman" w:hAnsi="Times New Roman" w:cs="Times New Roman"/>
          <w:sz w:val="24"/>
          <w:szCs w:val="24"/>
        </w:rPr>
        <w:t>,</w:t>
      </w:r>
      <w:r w:rsidR="0005620E" w:rsidRPr="009935E0">
        <w:rPr>
          <w:rFonts w:ascii="Times New Roman" w:hAnsi="Times New Roman" w:cs="Times New Roman"/>
          <w:sz w:val="24"/>
          <w:szCs w:val="24"/>
        </w:rPr>
        <w:t xml:space="preserve"> czy też nielegalnie (kwestia dozwolonego użytku, licencji uzyskanych indywidualnie w zakresie danej treści przez użytkownika usług DUUTO, wygaśnięcia ochrony lub jej braku </w:t>
      </w:r>
      <w:r w:rsidR="0005620E" w:rsidRPr="009935E0">
        <w:rPr>
          <w:rFonts w:ascii="Times New Roman" w:hAnsi="Times New Roman" w:cs="Times New Roman"/>
          <w:i/>
          <w:sz w:val="24"/>
          <w:szCs w:val="24"/>
        </w:rPr>
        <w:t>ab initio</w:t>
      </w:r>
      <w:r w:rsidR="0005620E" w:rsidRPr="009935E0">
        <w:rPr>
          <w:rFonts w:ascii="Times New Roman" w:hAnsi="Times New Roman" w:cs="Times New Roman"/>
          <w:sz w:val="24"/>
          <w:szCs w:val="24"/>
        </w:rPr>
        <w:t xml:space="preserve">, kwestia wyboru prawa właściwego itd.). </w:t>
      </w:r>
      <w:r w:rsidR="00E7766D" w:rsidRPr="009935E0">
        <w:rPr>
          <w:rFonts w:ascii="Times New Roman" w:hAnsi="Times New Roman" w:cs="Times New Roman"/>
          <w:sz w:val="24"/>
          <w:szCs w:val="24"/>
        </w:rPr>
        <w:t xml:space="preserve">Powstaje ryzyko, że DUUTO, chcąc uniknąć ew. </w:t>
      </w:r>
      <w:r w:rsidR="00E7766D" w:rsidRPr="009935E0">
        <w:rPr>
          <w:rFonts w:ascii="Times New Roman" w:hAnsi="Times New Roman" w:cs="Times New Roman"/>
          <w:sz w:val="24"/>
          <w:szCs w:val="24"/>
        </w:rPr>
        <w:lastRenderedPageBreak/>
        <w:t xml:space="preserve">odpowiedzialności, będą wykazywać pewną „nadgorliwość” i blokować dostęp również do treści, co do których ocena czy naruszają prawa autorskie, będzie budzić uzasadnione wątpliwości. Z tego właśnie względu Polska w finalnym głosowaniu w Radzie opowiedziała się przeciwko przyjęciu dyrektywy i właśnie te przepisy zaskarżyła do TSUE (skarga z </w:t>
      </w:r>
      <w:r w:rsidR="00537188" w:rsidRPr="009935E0">
        <w:rPr>
          <w:rFonts w:ascii="Times New Roman" w:hAnsi="Times New Roman" w:cs="Times New Roman"/>
          <w:sz w:val="24"/>
          <w:szCs w:val="24"/>
        </w:rPr>
        <w:t>24 maja</w:t>
      </w:r>
      <w:r w:rsidR="00E7766D" w:rsidRPr="009935E0">
        <w:rPr>
          <w:rFonts w:ascii="Times New Roman" w:hAnsi="Times New Roman" w:cs="Times New Roman"/>
          <w:sz w:val="24"/>
          <w:szCs w:val="24"/>
        </w:rPr>
        <w:t xml:space="preserve"> 2019 r., sprawa C-401/19).</w:t>
      </w:r>
      <w:r w:rsidR="00362254" w:rsidRPr="009935E0">
        <w:rPr>
          <w:rFonts w:ascii="Times New Roman" w:hAnsi="Times New Roman" w:cs="Times New Roman"/>
          <w:sz w:val="24"/>
          <w:szCs w:val="24"/>
        </w:rPr>
        <w:t xml:space="preserve"> </w:t>
      </w:r>
    </w:p>
    <w:p w14:paraId="23A3540B" w14:textId="77777777" w:rsidR="00AF6677" w:rsidRPr="009935E0" w:rsidRDefault="00E02CA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Art. 17 ust. 5 dyrektywy</w:t>
      </w:r>
      <w:r w:rsidR="000F1750"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nakazuje, aby przy ocenie, czy dany DUUTO spełnił ww. przesłanki zwolnienia z odpowiedzialności, brać pod uwagę </w:t>
      </w:r>
      <w:r w:rsidR="0089091B" w:rsidRPr="009935E0">
        <w:rPr>
          <w:rFonts w:ascii="Times New Roman" w:hAnsi="Times New Roman" w:cs="Times New Roman"/>
          <w:sz w:val="24"/>
          <w:szCs w:val="24"/>
        </w:rPr>
        <w:t xml:space="preserve">„w świetle zasady proporcjonalności” </w:t>
      </w:r>
      <w:r w:rsidR="00A133D5" w:rsidRPr="009935E0">
        <w:rPr>
          <w:rFonts w:ascii="Times New Roman" w:hAnsi="Times New Roman" w:cs="Times New Roman"/>
          <w:sz w:val="24"/>
          <w:szCs w:val="24"/>
        </w:rPr>
        <w:t>m.</w:t>
      </w:r>
      <w:r w:rsidRPr="009935E0">
        <w:rPr>
          <w:rFonts w:ascii="Times New Roman" w:hAnsi="Times New Roman" w:cs="Times New Roman"/>
          <w:sz w:val="24"/>
          <w:szCs w:val="24"/>
        </w:rPr>
        <w:t xml:space="preserve">in. „rodzaj, odbiorców i skalę świadczonych usług”, rodzaj udostępnianych utworów i przedmiotów praw pokrewnych, „dostępność odpowiednich i skutecznych środków oraz ich koszt dla dostawców usług”. </w:t>
      </w:r>
      <w:r w:rsidR="00AF6677" w:rsidRPr="009935E0">
        <w:rPr>
          <w:rFonts w:ascii="Times New Roman" w:hAnsi="Times New Roman" w:cs="Times New Roman"/>
          <w:sz w:val="24"/>
          <w:szCs w:val="24"/>
        </w:rPr>
        <w:t>Ponieważ jest to tylko przykładowe wyliczenie</w:t>
      </w:r>
      <w:r w:rsidR="00620DB5" w:rsidRPr="009935E0">
        <w:rPr>
          <w:rFonts w:ascii="Times New Roman" w:hAnsi="Times New Roman" w:cs="Times New Roman"/>
          <w:sz w:val="24"/>
          <w:szCs w:val="24"/>
        </w:rPr>
        <w:t>,</w:t>
      </w:r>
      <w:r w:rsidR="00AF6677" w:rsidRPr="009935E0">
        <w:rPr>
          <w:rFonts w:ascii="Times New Roman" w:hAnsi="Times New Roman" w:cs="Times New Roman"/>
          <w:sz w:val="24"/>
          <w:szCs w:val="24"/>
        </w:rPr>
        <w:t xml:space="preserve"> pozostaje przyjąć, że taka ocena powinna być dokonywana z uwzględnieniem wszystkich istotnych okoliczności.</w:t>
      </w:r>
    </w:p>
    <w:p w14:paraId="4BDBFAC5" w14:textId="1E4D03B5" w:rsidR="00E02CAF" w:rsidRPr="009935E0" w:rsidRDefault="00E02CA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Dyrektywa w art. 17 ust. 6 przewiduje złagodzone rygory odpowiedzialności </w:t>
      </w:r>
      <w:r w:rsidR="00AF6677" w:rsidRPr="009935E0">
        <w:rPr>
          <w:rFonts w:ascii="Times New Roman" w:hAnsi="Times New Roman" w:cs="Times New Roman"/>
          <w:sz w:val="24"/>
          <w:szCs w:val="24"/>
        </w:rPr>
        <w:t>dla</w:t>
      </w:r>
      <w:r w:rsidRPr="009935E0">
        <w:rPr>
          <w:rFonts w:ascii="Times New Roman" w:hAnsi="Times New Roman" w:cs="Times New Roman"/>
          <w:sz w:val="24"/>
          <w:szCs w:val="24"/>
        </w:rPr>
        <w:t xml:space="preserve"> „nowych” DUUTO, tj. świadczących swoje usługi w U</w:t>
      </w:r>
      <w:r w:rsidR="00A94C99" w:rsidRPr="009935E0">
        <w:rPr>
          <w:rFonts w:ascii="Times New Roman" w:hAnsi="Times New Roman" w:cs="Times New Roman"/>
          <w:sz w:val="24"/>
          <w:szCs w:val="24"/>
        </w:rPr>
        <w:t xml:space="preserve">nii </w:t>
      </w:r>
      <w:r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Pr="009935E0">
        <w:rPr>
          <w:rFonts w:ascii="Times New Roman" w:hAnsi="Times New Roman" w:cs="Times New Roman"/>
          <w:sz w:val="24"/>
          <w:szCs w:val="24"/>
        </w:rPr>
        <w:t xml:space="preserve"> krócej niż 3 lata i których roczny </w:t>
      </w:r>
      <w:r w:rsidR="00537188" w:rsidRPr="009935E0">
        <w:rPr>
          <w:rFonts w:ascii="Times New Roman" w:hAnsi="Times New Roman" w:cs="Times New Roman"/>
          <w:sz w:val="24"/>
          <w:szCs w:val="24"/>
        </w:rPr>
        <w:t xml:space="preserve">obrót nie przekracza 10 mln </w:t>
      </w:r>
      <w:r w:rsidR="00FD57C6" w:rsidRPr="009935E0">
        <w:rPr>
          <w:rFonts w:ascii="Times New Roman" w:hAnsi="Times New Roman" w:cs="Times New Roman"/>
          <w:sz w:val="24"/>
          <w:szCs w:val="24"/>
        </w:rPr>
        <w:t>euro</w:t>
      </w:r>
      <w:r w:rsidRPr="009935E0">
        <w:rPr>
          <w:rFonts w:ascii="Times New Roman" w:hAnsi="Times New Roman" w:cs="Times New Roman"/>
          <w:sz w:val="24"/>
          <w:szCs w:val="24"/>
        </w:rPr>
        <w:t xml:space="preserve">. </w:t>
      </w:r>
      <w:r w:rsidR="00AF6677" w:rsidRPr="009935E0">
        <w:rPr>
          <w:rFonts w:ascii="Times New Roman" w:hAnsi="Times New Roman" w:cs="Times New Roman"/>
          <w:sz w:val="24"/>
          <w:szCs w:val="24"/>
        </w:rPr>
        <w:t xml:space="preserve">Tacy usługodawcy powinni jedynie wykazać, że </w:t>
      </w:r>
      <w:r w:rsidR="00123D58" w:rsidRPr="009935E0">
        <w:rPr>
          <w:rFonts w:ascii="Times New Roman" w:hAnsi="Times New Roman" w:cs="Times New Roman"/>
          <w:sz w:val="24"/>
          <w:szCs w:val="24"/>
        </w:rPr>
        <w:t xml:space="preserve">dołożyli wszelkich starań, aby uzyskać niezbędne zezwolenia (ust. 4 lit. a oraz stosować procedurę </w:t>
      </w:r>
      <w:proofErr w:type="spellStart"/>
      <w:r w:rsidR="00123D58" w:rsidRPr="009935E0">
        <w:rPr>
          <w:rFonts w:ascii="Times New Roman" w:hAnsi="Times New Roman" w:cs="Times New Roman"/>
          <w:i/>
          <w:sz w:val="24"/>
          <w:szCs w:val="24"/>
        </w:rPr>
        <w:t>notice</w:t>
      </w:r>
      <w:proofErr w:type="spellEnd"/>
      <w:r w:rsidR="00123D58" w:rsidRPr="009935E0">
        <w:rPr>
          <w:rFonts w:ascii="Times New Roman" w:hAnsi="Times New Roman" w:cs="Times New Roman"/>
          <w:i/>
          <w:sz w:val="24"/>
          <w:szCs w:val="24"/>
        </w:rPr>
        <w:t>-and-</w:t>
      </w:r>
      <w:proofErr w:type="spellStart"/>
      <w:r w:rsidR="00123D58" w:rsidRPr="009935E0">
        <w:rPr>
          <w:rFonts w:ascii="Times New Roman" w:hAnsi="Times New Roman" w:cs="Times New Roman"/>
          <w:i/>
          <w:sz w:val="24"/>
          <w:szCs w:val="24"/>
        </w:rPr>
        <w:t>take</w:t>
      </w:r>
      <w:proofErr w:type="spellEnd"/>
      <w:r w:rsidR="00123D58" w:rsidRPr="009935E0">
        <w:rPr>
          <w:rFonts w:ascii="Times New Roman" w:hAnsi="Times New Roman" w:cs="Times New Roman"/>
          <w:i/>
          <w:sz w:val="24"/>
          <w:szCs w:val="24"/>
        </w:rPr>
        <w:t xml:space="preserve"> down</w:t>
      </w:r>
      <w:r w:rsidR="00123D58" w:rsidRPr="009935E0">
        <w:rPr>
          <w:rFonts w:ascii="Times New Roman" w:hAnsi="Times New Roman" w:cs="Times New Roman"/>
          <w:sz w:val="24"/>
          <w:szCs w:val="24"/>
        </w:rPr>
        <w:t xml:space="preserve"> (ust. 4 lit. c </w:t>
      </w:r>
      <w:r w:rsidR="00123D58" w:rsidRPr="009935E0">
        <w:rPr>
          <w:rFonts w:ascii="Times New Roman" w:hAnsi="Times New Roman" w:cs="Times New Roman"/>
          <w:i/>
          <w:sz w:val="24"/>
          <w:szCs w:val="24"/>
        </w:rPr>
        <w:t xml:space="preserve">in </w:t>
      </w:r>
      <w:proofErr w:type="spellStart"/>
      <w:r w:rsidR="00123D58" w:rsidRPr="009935E0">
        <w:rPr>
          <w:rFonts w:ascii="Times New Roman" w:hAnsi="Times New Roman" w:cs="Times New Roman"/>
          <w:i/>
          <w:sz w:val="24"/>
          <w:szCs w:val="24"/>
        </w:rPr>
        <w:t>principio</w:t>
      </w:r>
      <w:proofErr w:type="spellEnd"/>
      <w:r w:rsidR="00123D58" w:rsidRPr="009935E0">
        <w:rPr>
          <w:rFonts w:ascii="Times New Roman" w:hAnsi="Times New Roman" w:cs="Times New Roman"/>
          <w:sz w:val="24"/>
          <w:szCs w:val="24"/>
        </w:rPr>
        <w:t xml:space="preserve">). Natomiast jeżeli średnia </w:t>
      </w:r>
      <w:r w:rsidRPr="009935E0">
        <w:rPr>
          <w:rFonts w:ascii="Times New Roman" w:hAnsi="Times New Roman" w:cs="Times New Roman"/>
          <w:sz w:val="24"/>
          <w:szCs w:val="24"/>
        </w:rPr>
        <w:t xml:space="preserve">miesięczna liczba </w:t>
      </w:r>
      <w:r w:rsidR="004204D1" w:rsidRPr="009935E0">
        <w:rPr>
          <w:rFonts w:ascii="Times New Roman" w:hAnsi="Times New Roman" w:cs="Times New Roman"/>
          <w:sz w:val="24"/>
          <w:szCs w:val="24"/>
        </w:rPr>
        <w:t>„</w:t>
      </w:r>
      <w:r w:rsidRPr="009935E0">
        <w:rPr>
          <w:rFonts w:ascii="Times New Roman" w:hAnsi="Times New Roman" w:cs="Times New Roman"/>
          <w:sz w:val="24"/>
          <w:szCs w:val="24"/>
        </w:rPr>
        <w:t>odwiedzających”</w:t>
      </w:r>
      <w:r w:rsidR="00123D58" w:rsidRPr="009935E0">
        <w:rPr>
          <w:rFonts w:ascii="Times New Roman" w:hAnsi="Times New Roman" w:cs="Times New Roman"/>
          <w:sz w:val="24"/>
          <w:szCs w:val="24"/>
        </w:rPr>
        <w:t xml:space="preserve"> takiego „nowego” DUUTO</w:t>
      </w:r>
      <w:r w:rsidRPr="009935E0">
        <w:rPr>
          <w:rFonts w:ascii="Times New Roman" w:hAnsi="Times New Roman" w:cs="Times New Roman"/>
          <w:sz w:val="24"/>
          <w:szCs w:val="24"/>
        </w:rPr>
        <w:t>, obliczona wg danych za poprze</w:t>
      </w:r>
      <w:r w:rsidR="00123D58" w:rsidRPr="009935E0">
        <w:rPr>
          <w:rFonts w:ascii="Times New Roman" w:hAnsi="Times New Roman" w:cs="Times New Roman"/>
          <w:sz w:val="24"/>
          <w:szCs w:val="24"/>
        </w:rPr>
        <w:t xml:space="preserve">dni rok kalendarzowy, przekroczy 5 mln osób, usługodawcy ci są także obowiązani do stosowania procedury </w:t>
      </w:r>
      <w:proofErr w:type="spellStart"/>
      <w:r w:rsidR="00123D58" w:rsidRPr="009935E0">
        <w:rPr>
          <w:rFonts w:ascii="Times New Roman" w:hAnsi="Times New Roman" w:cs="Times New Roman"/>
          <w:i/>
          <w:sz w:val="24"/>
          <w:szCs w:val="24"/>
        </w:rPr>
        <w:t>notice</w:t>
      </w:r>
      <w:proofErr w:type="spellEnd"/>
      <w:r w:rsidR="00123D58" w:rsidRPr="009935E0">
        <w:rPr>
          <w:rFonts w:ascii="Times New Roman" w:hAnsi="Times New Roman" w:cs="Times New Roman"/>
          <w:i/>
          <w:sz w:val="24"/>
          <w:szCs w:val="24"/>
        </w:rPr>
        <w:t>-and-</w:t>
      </w:r>
      <w:proofErr w:type="spellStart"/>
      <w:r w:rsidR="00123D58" w:rsidRPr="009935E0">
        <w:rPr>
          <w:rFonts w:ascii="Times New Roman" w:hAnsi="Times New Roman" w:cs="Times New Roman"/>
          <w:i/>
          <w:sz w:val="24"/>
          <w:szCs w:val="24"/>
        </w:rPr>
        <w:t>stay</w:t>
      </w:r>
      <w:proofErr w:type="spellEnd"/>
      <w:r w:rsidR="00123D58" w:rsidRPr="009935E0">
        <w:rPr>
          <w:rFonts w:ascii="Times New Roman" w:hAnsi="Times New Roman" w:cs="Times New Roman"/>
          <w:i/>
          <w:sz w:val="24"/>
          <w:szCs w:val="24"/>
        </w:rPr>
        <w:t xml:space="preserve"> down</w:t>
      </w:r>
      <w:r w:rsidR="00123D58" w:rsidRPr="009935E0">
        <w:rPr>
          <w:rFonts w:ascii="Times New Roman" w:hAnsi="Times New Roman" w:cs="Times New Roman"/>
          <w:sz w:val="24"/>
          <w:szCs w:val="24"/>
        </w:rPr>
        <w:t xml:space="preserve"> (ust. 4 lit. c </w:t>
      </w:r>
      <w:r w:rsidR="00123D58" w:rsidRPr="009935E0">
        <w:rPr>
          <w:rFonts w:ascii="Times New Roman" w:hAnsi="Times New Roman" w:cs="Times New Roman"/>
          <w:i/>
          <w:sz w:val="24"/>
          <w:szCs w:val="24"/>
        </w:rPr>
        <w:t>in fine</w:t>
      </w:r>
      <w:r w:rsidR="00123D58" w:rsidRPr="009935E0">
        <w:rPr>
          <w:rFonts w:ascii="Times New Roman" w:hAnsi="Times New Roman" w:cs="Times New Roman"/>
          <w:sz w:val="24"/>
          <w:szCs w:val="24"/>
        </w:rPr>
        <w:t xml:space="preserve">). </w:t>
      </w:r>
      <w:r w:rsidR="007D48E9" w:rsidRPr="009935E0">
        <w:rPr>
          <w:rFonts w:ascii="Times New Roman" w:hAnsi="Times New Roman" w:cs="Times New Roman"/>
          <w:sz w:val="24"/>
          <w:szCs w:val="24"/>
        </w:rPr>
        <w:t xml:space="preserve">W żadnym razie natomiast „nowi” DUUTO nie będą musieli stosować przesłanki z ust. 4 lit. b, tj. dokładać </w:t>
      </w:r>
      <w:r w:rsidR="0089091B" w:rsidRPr="009935E0">
        <w:rPr>
          <w:rFonts w:ascii="Times New Roman" w:hAnsi="Times New Roman" w:cs="Times New Roman"/>
          <w:sz w:val="24"/>
          <w:szCs w:val="24"/>
        </w:rPr>
        <w:t>„</w:t>
      </w:r>
      <w:r w:rsidR="007D48E9" w:rsidRPr="009935E0">
        <w:rPr>
          <w:rFonts w:ascii="Times New Roman" w:hAnsi="Times New Roman" w:cs="Times New Roman"/>
          <w:sz w:val="24"/>
          <w:szCs w:val="24"/>
        </w:rPr>
        <w:t>wszelkich starań</w:t>
      </w:r>
      <w:r w:rsidR="0089091B" w:rsidRPr="009935E0">
        <w:rPr>
          <w:rFonts w:ascii="Times New Roman" w:hAnsi="Times New Roman" w:cs="Times New Roman"/>
          <w:sz w:val="24"/>
          <w:szCs w:val="24"/>
        </w:rPr>
        <w:t>”</w:t>
      </w:r>
      <w:r w:rsidR="007D48E9" w:rsidRPr="009935E0">
        <w:rPr>
          <w:rFonts w:ascii="Times New Roman" w:hAnsi="Times New Roman" w:cs="Times New Roman"/>
          <w:sz w:val="24"/>
          <w:szCs w:val="24"/>
        </w:rPr>
        <w:t>, aby zapewnić brak dostępu do treści</w:t>
      </w:r>
      <w:r w:rsidR="00620DB5" w:rsidRPr="009935E0">
        <w:rPr>
          <w:rFonts w:ascii="Times New Roman" w:hAnsi="Times New Roman" w:cs="Times New Roman"/>
          <w:sz w:val="24"/>
          <w:szCs w:val="24"/>
        </w:rPr>
        <w:t>,</w:t>
      </w:r>
      <w:r w:rsidR="007D48E9" w:rsidRPr="009935E0">
        <w:rPr>
          <w:rFonts w:ascii="Times New Roman" w:hAnsi="Times New Roman" w:cs="Times New Roman"/>
          <w:sz w:val="24"/>
          <w:szCs w:val="24"/>
        </w:rPr>
        <w:t xml:space="preserve"> „w odniesieniu do których podmioty uprawnione przekazały dostawcom usług odpowiednie i niezbędne informacje”</w:t>
      </w:r>
      <w:r w:rsidR="007D48E9" w:rsidRPr="009935E0">
        <w:rPr>
          <w:rStyle w:val="Odwoanieprzypisudolnego"/>
          <w:rFonts w:ascii="Times New Roman" w:hAnsi="Times New Roman" w:cs="Times New Roman"/>
          <w:sz w:val="24"/>
          <w:szCs w:val="24"/>
        </w:rPr>
        <w:footnoteReference w:id="44"/>
      </w:r>
      <w:r w:rsidR="00214723" w:rsidRPr="00483092">
        <w:rPr>
          <w:rFonts w:ascii="Times New Roman" w:hAnsi="Times New Roman" w:cs="Times New Roman"/>
          <w:sz w:val="24"/>
          <w:szCs w:val="24"/>
          <w:vertAlign w:val="superscript"/>
        </w:rPr>
        <w:t>)</w:t>
      </w:r>
      <w:r w:rsidR="007D48E9" w:rsidRPr="009935E0">
        <w:rPr>
          <w:rFonts w:ascii="Times New Roman" w:hAnsi="Times New Roman" w:cs="Times New Roman"/>
          <w:sz w:val="24"/>
          <w:szCs w:val="24"/>
        </w:rPr>
        <w:t>.</w:t>
      </w:r>
    </w:p>
    <w:p w14:paraId="51302A10" w14:textId="77777777" w:rsidR="004C02C4" w:rsidRPr="009935E0" w:rsidRDefault="007D48E9"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w:t>
      </w:r>
      <w:r w:rsidR="00E02CAF" w:rsidRPr="009935E0">
        <w:rPr>
          <w:rFonts w:ascii="Times New Roman" w:hAnsi="Times New Roman" w:cs="Times New Roman"/>
          <w:sz w:val="24"/>
          <w:szCs w:val="24"/>
        </w:rPr>
        <w:t xml:space="preserve"> art. 17 ust. 7 </w:t>
      </w:r>
      <w:r w:rsidRPr="009935E0">
        <w:rPr>
          <w:rFonts w:ascii="Times New Roman" w:hAnsi="Times New Roman" w:cs="Times New Roman"/>
          <w:sz w:val="24"/>
          <w:szCs w:val="24"/>
        </w:rPr>
        <w:t xml:space="preserve">dyrektywa </w:t>
      </w:r>
      <w:r w:rsidR="009B19C2" w:rsidRPr="009935E0">
        <w:rPr>
          <w:rFonts w:ascii="Times New Roman" w:hAnsi="Times New Roman" w:cs="Times New Roman"/>
          <w:sz w:val="24"/>
          <w:szCs w:val="24"/>
        </w:rPr>
        <w:t xml:space="preserve">DSM </w:t>
      </w:r>
      <w:r w:rsidR="004C02C4" w:rsidRPr="009935E0">
        <w:rPr>
          <w:rFonts w:ascii="Times New Roman" w:hAnsi="Times New Roman" w:cs="Times New Roman"/>
          <w:sz w:val="24"/>
          <w:szCs w:val="24"/>
        </w:rPr>
        <w:t>przesądza, że te nowe przepisy dotyczące DUUTO nie będą ograniczać możliwości korzystania z treści chronionych na podstawie przepisów o dozwolonym użytku. W</w:t>
      </w:r>
      <w:r w:rsidR="00E02CAF" w:rsidRPr="009935E0">
        <w:rPr>
          <w:rFonts w:ascii="Times New Roman" w:hAnsi="Times New Roman" w:cs="Times New Roman"/>
          <w:sz w:val="24"/>
          <w:szCs w:val="24"/>
        </w:rPr>
        <w:t>skazuje</w:t>
      </w:r>
      <w:r w:rsidR="004C02C4" w:rsidRPr="009935E0">
        <w:rPr>
          <w:rFonts w:ascii="Times New Roman" w:hAnsi="Times New Roman" w:cs="Times New Roman"/>
          <w:sz w:val="24"/>
          <w:szCs w:val="24"/>
        </w:rPr>
        <w:t xml:space="preserve"> zatem</w:t>
      </w:r>
      <w:r w:rsidR="00E02CAF" w:rsidRPr="009935E0">
        <w:rPr>
          <w:rFonts w:ascii="Times New Roman" w:hAnsi="Times New Roman" w:cs="Times New Roman"/>
          <w:sz w:val="24"/>
          <w:szCs w:val="24"/>
        </w:rPr>
        <w:t xml:space="preserve">, że współpraca między DUUTO a podmiotami uprawnionymi z tytułu praw autorskich lub praw pokrewnych (celem której jest prawidłowe stosowanie przepisów krajowych wdrażających omawiane regulacje) </w:t>
      </w:r>
      <w:r w:rsidR="004C02C4" w:rsidRPr="009935E0">
        <w:rPr>
          <w:rFonts w:ascii="Times New Roman" w:hAnsi="Times New Roman" w:cs="Times New Roman"/>
          <w:sz w:val="24"/>
          <w:szCs w:val="24"/>
        </w:rPr>
        <w:t>„</w:t>
      </w:r>
      <w:r w:rsidR="00E02CAF" w:rsidRPr="009935E0">
        <w:rPr>
          <w:rFonts w:ascii="Times New Roman" w:hAnsi="Times New Roman" w:cs="Times New Roman"/>
          <w:sz w:val="24"/>
          <w:szCs w:val="24"/>
        </w:rPr>
        <w:t>nie może prowadzić do uniemożliwiania</w:t>
      </w:r>
      <w:r w:rsidR="004C02C4" w:rsidRPr="009935E0">
        <w:rPr>
          <w:rFonts w:ascii="Times New Roman" w:hAnsi="Times New Roman" w:cs="Times New Roman"/>
          <w:sz w:val="24"/>
          <w:szCs w:val="24"/>
        </w:rPr>
        <w:t xml:space="preserve"> dostępności utworów lub innych przedmiotów objętych ochroną zamieszczanych przez użytkowników, które nie naruszają prawa autorskiego i praw pokrewnych, w tym również w przypadku gdy takie utwory lub inne przedmioty objęte ochroną </w:t>
      </w:r>
      <w:r w:rsidR="004C02C4" w:rsidRPr="009935E0">
        <w:rPr>
          <w:rFonts w:ascii="Times New Roman" w:hAnsi="Times New Roman" w:cs="Times New Roman"/>
          <w:sz w:val="24"/>
          <w:szCs w:val="24"/>
        </w:rPr>
        <w:lastRenderedPageBreak/>
        <w:t xml:space="preserve">są objęte wyjątkiem lub ograniczeniem”. Jednocześnie nakazuje, aby użytkownicy usług DUUTO mogli korzystać z dozwolonego użytku </w:t>
      </w:r>
      <w:r w:rsidR="00845E25" w:rsidRPr="009935E0">
        <w:rPr>
          <w:rFonts w:ascii="Times New Roman" w:hAnsi="Times New Roman" w:cs="Times New Roman"/>
          <w:sz w:val="24"/>
          <w:szCs w:val="24"/>
        </w:rPr>
        <w:t>w postaci cytowania, krytyki, recenzowania, karykatury, parodii i pastiszu – tym samym w tym zakresie wprowadza obowiązkowy dozwolony użytek, w przeciwieństwie do dyrektywy 2001/29/WE, która te postaci dozwolonego użytku traktuje jako fakultatywne.</w:t>
      </w:r>
    </w:p>
    <w:p w14:paraId="3FCA8121" w14:textId="29257B3C" w:rsidR="00175FCC" w:rsidRPr="009935E0" w:rsidRDefault="007A128F"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art. 17 ust. 8 dyrektywa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wskazuje, że </w:t>
      </w:r>
      <w:r w:rsidR="00175FCC" w:rsidRPr="009935E0">
        <w:rPr>
          <w:rFonts w:ascii="Times New Roman" w:hAnsi="Times New Roman" w:cs="Times New Roman"/>
          <w:sz w:val="24"/>
          <w:szCs w:val="24"/>
        </w:rPr>
        <w:t>„stosowanie” tego artykułu „nie wywołuje skutku w postaci ogólnego obowiązku w zakresie nadzoru”. Komisja Europejska w swoich Wytycznych interpretuje ten przepis jako sposób zagwarantowania, że po stronie DUUTO „nie istnieje ogólny obowiązek monitorowania” przechowywanych i/lub udostępnianych treści</w:t>
      </w:r>
      <w:r w:rsidR="00175FCC" w:rsidRPr="009935E0">
        <w:rPr>
          <w:rStyle w:val="Odwoanieprzypisudolnego"/>
          <w:rFonts w:ascii="Times New Roman" w:hAnsi="Times New Roman" w:cs="Times New Roman"/>
          <w:sz w:val="24"/>
          <w:szCs w:val="24"/>
        </w:rPr>
        <w:footnoteReference w:id="45"/>
      </w:r>
      <w:r w:rsidR="00214723" w:rsidRPr="00483092">
        <w:rPr>
          <w:rFonts w:ascii="Times New Roman" w:hAnsi="Times New Roman" w:cs="Times New Roman"/>
          <w:sz w:val="24"/>
          <w:szCs w:val="24"/>
          <w:vertAlign w:val="superscript"/>
        </w:rPr>
        <w:t>)</w:t>
      </w:r>
      <w:r w:rsidR="00175FCC" w:rsidRPr="009935E0">
        <w:rPr>
          <w:rFonts w:ascii="Times New Roman" w:hAnsi="Times New Roman" w:cs="Times New Roman"/>
          <w:sz w:val="24"/>
          <w:szCs w:val="24"/>
        </w:rPr>
        <w:t xml:space="preserve">. Jednocześnie jednak </w:t>
      </w:r>
      <w:r w:rsidR="00E02CAF" w:rsidRPr="009935E0">
        <w:rPr>
          <w:rFonts w:ascii="Times New Roman" w:hAnsi="Times New Roman" w:cs="Times New Roman"/>
          <w:sz w:val="24"/>
          <w:szCs w:val="24"/>
        </w:rPr>
        <w:t xml:space="preserve">DUUTO </w:t>
      </w:r>
      <w:r w:rsidR="00175FCC" w:rsidRPr="009935E0">
        <w:rPr>
          <w:rFonts w:ascii="Times New Roman" w:hAnsi="Times New Roman" w:cs="Times New Roman"/>
          <w:sz w:val="24"/>
          <w:szCs w:val="24"/>
        </w:rPr>
        <w:t xml:space="preserve">zostają </w:t>
      </w:r>
      <w:r w:rsidR="00E02CAF" w:rsidRPr="009935E0">
        <w:rPr>
          <w:rFonts w:ascii="Times New Roman" w:hAnsi="Times New Roman" w:cs="Times New Roman"/>
          <w:sz w:val="24"/>
          <w:szCs w:val="24"/>
        </w:rPr>
        <w:t>obowiązani do udzielania uprawnionym, na ich żądanie, informacji na temat „funkcjonowania swoich praktyk</w:t>
      </w:r>
      <w:r w:rsidR="00175FCC" w:rsidRPr="009935E0">
        <w:rPr>
          <w:rFonts w:ascii="Times New Roman" w:hAnsi="Times New Roman" w:cs="Times New Roman"/>
          <w:sz w:val="24"/>
          <w:szCs w:val="24"/>
        </w:rPr>
        <w:t xml:space="preserve"> w odniesieniu do współpracy, o której mowa w ust. 4</w:t>
      </w:r>
      <w:r w:rsidR="00E02CAF" w:rsidRPr="009935E0">
        <w:rPr>
          <w:rFonts w:ascii="Times New Roman" w:hAnsi="Times New Roman" w:cs="Times New Roman"/>
          <w:sz w:val="24"/>
          <w:szCs w:val="24"/>
        </w:rPr>
        <w:t>”</w:t>
      </w:r>
      <w:r w:rsidR="00203F9B" w:rsidRPr="009935E0">
        <w:rPr>
          <w:rFonts w:ascii="Times New Roman" w:hAnsi="Times New Roman" w:cs="Times New Roman"/>
          <w:sz w:val="24"/>
          <w:szCs w:val="24"/>
        </w:rPr>
        <w:t>, a więc współpracy z uprawnionymi w celu zablokowania lub uniemożliwienia dostępu do chronionych treści, np. stosowanych narzędzi weryfikacji treści</w:t>
      </w:r>
      <w:r w:rsidR="00FA0746">
        <w:rPr>
          <w:rStyle w:val="Odwoanieprzypisudolnego"/>
          <w:rFonts w:ascii="Times New Roman" w:hAnsi="Times New Roman" w:cs="Times New Roman"/>
          <w:sz w:val="24"/>
          <w:szCs w:val="24"/>
        </w:rPr>
        <w:footnoteReference w:id="46"/>
      </w:r>
      <w:r w:rsidR="00214723" w:rsidRPr="00483092">
        <w:rPr>
          <w:rFonts w:ascii="Times New Roman" w:hAnsi="Times New Roman" w:cs="Times New Roman"/>
          <w:sz w:val="24"/>
          <w:szCs w:val="24"/>
          <w:vertAlign w:val="superscript"/>
        </w:rPr>
        <w:t>)</w:t>
      </w:r>
      <w:r w:rsidR="00203F9B" w:rsidRPr="009935E0">
        <w:rPr>
          <w:rFonts w:ascii="Times New Roman" w:hAnsi="Times New Roman" w:cs="Times New Roman"/>
          <w:sz w:val="24"/>
          <w:szCs w:val="24"/>
        </w:rPr>
        <w:t xml:space="preserve">. Obowiązani zostają także do udzielania informacji „na temat wykorzystywania treści objętych umowami”, tj. umowami licencyjnymi zawieranymi z uprawnionymi na publiczne udostępnianie chronionych treści zamieszczanych przez użytkowników </w:t>
      </w:r>
      <w:r w:rsidR="008A5475" w:rsidRPr="009935E0">
        <w:rPr>
          <w:rFonts w:ascii="Times New Roman" w:hAnsi="Times New Roman" w:cs="Times New Roman"/>
          <w:sz w:val="24"/>
          <w:szCs w:val="24"/>
        </w:rPr>
        <w:t>usług DUUTO.</w:t>
      </w:r>
    </w:p>
    <w:p w14:paraId="56C8963E" w14:textId="77777777" w:rsidR="00E02CAF" w:rsidRPr="009935E0" w:rsidRDefault="0071687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art. 17 ust. 9 dyrektywa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nakazuje, aby DUUTO wprowadzili </w:t>
      </w:r>
      <w:r w:rsidR="00E02CAF" w:rsidRPr="009935E0">
        <w:rPr>
          <w:rFonts w:ascii="Times New Roman" w:hAnsi="Times New Roman" w:cs="Times New Roman"/>
          <w:sz w:val="24"/>
          <w:szCs w:val="24"/>
        </w:rPr>
        <w:t xml:space="preserve">„skuteczny i sprawny mechanizm składania skarg i dochodzenia roszczeń”, </w:t>
      </w:r>
      <w:r w:rsidRPr="009935E0">
        <w:rPr>
          <w:rFonts w:ascii="Times New Roman" w:hAnsi="Times New Roman" w:cs="Times New Roman"/>
          <w:sz w:val="24"/>
          <w:szCs w:val="24"/>
        </w:rPr>
        <w:t xml:space="preserve">dostępny dla użytkowników ich usług, </w:t>
      </w:r>
      <w:r w:rsidR="00E02CAF" w:rsidRPr="009935E0">
        <w:rPr>
          <w:rFonts w:ascii="Times New Roman" w:hAnsi="Times New Roman" w:cs="Times New Roman"/>
          <w:sz w:val="24"/>
          <w:szCs w:val="24"/>
        </w:rPr>
        <w:t xml:space="preserve">w sprawach dotyczących usunięcia zamieszczonych przez użytkownika treści lub zablokowania dostępu do nich, zaś państwa członkowskie – możliwość dochodzenia roszczeń zarówno na drodze sądowej, jak też pozasądowej. Dyrektywa wyraźnie </w:t>
      </w:r>
      <w:r w:rsidR="00F720EC" w:rsidRPr="009935E0">
        <w:rPr>
          <w:rFonts w:ascii="Times New Roman" w:hAnsi="Times New Roman" w:cs="Times New Roman"/>
          <w:sz w:val="24"/>
          <w:szCs w:val="24"/>
        </w:rPr>
        <w:t>wymaga</w:t>
      </w:r>
      <w:r w:rsidR="00E02CAF" w:rsidRPr="009935E0">
        <w:rPr>
          <w:rFonts w:ascii="Times New Roman" w:hAnsi="Times New Roman" w:cs="Times New Roman"/>
          <w:sz w:val="24"/>
          <w:szCs w:val="24"/>
        </w:rPr>
        <w:t xml:space="preserve">, </w:t>
      </w:r>
      <w:r w:rsidR="00F720EC" w:rsidRPr="009935E0">
        <w:rPr>
          <w:rFonts w:ascii="Times New Roman" w:hAnsi="Times New Roman" w:cs="Times New Roman"/>
          <w:sz w:val="24"/>
          <w:szCs w:val="24"/>
        </w:rPr>
        <w:t xml:space="preserve">aby żądanie uprawnionego usunięcia lub zablokowania danej treści było „należycie uzasadnione”, a skarga użytkownika, który tę treść zamieścił, była rozpatrzona przez DUUTO w ramach ww. mechanizmu „bez zbędnej zwłoki”. Co szczególnie istotne, po rozpatrzeniu takiej skargi ostateczna </w:t>
      </w:r>
      <w:r w:rsidR="00E02CAF" w:rsidRPr="009935E0">
        <w:rPr>
          <w:rFonts w:ascii="Times New Roman" w:hAnsi="Times New Roman" w:cs="Times New Roman"/>
          <w:sz w:val="24"/>
          <w:szCs w:val="24"/>
        </w:rPr>
        <w:t>decyzja DUUTO o usunięciu danej treści lu</w:t>
      </w:r>
      <w:r w:rsidR="00F720EC" w:rsidRPr="009935E0">
        <w:rPr>
          <w:rFonts w:ascii="Times New Roman" w:hAnsi="Times New Roman" w:cs="Times New Roman"/>
          <w:sz w:val="24"/>
          <w:szCs w:val="24"/>
        </w:rPr>
        <w:t xml:space="preserve">b zablokowaniu dostępu do niej </w:t>
      </w:r>
      <w:r w:rsidR="00E02CAF" w:rsidRPr="009935E0">
        <w:rPr>
          <w:rFonts w:ascii="Times New Roman" w:hAnsi="Times New Roman" w:cs="Times New Roman"/>
          <w:sz w:val="24"/>
          <w:szCs w:val="24"/>
        </w:rPr>
        <w:t>„podlega kontroli przeprowadzanej przez człowieka”, co wyklucza w tym przypadku stosowanie różnego rodz</w:t>
      </w:r>
      <w:r w:rsidR="00F720EC" w:rsidRPr="009935E0">
        <w:rPr>
          <w:rFonts w:ascii="Times New Roman" w:hAnsi="Times New Roman" w:cs="Times New Roman"/>
          <w:sz w:val="24"/>
          <w:szCs w:val="24"/>
        </w:rPr>
        <w:t xml:space="preserve">aju mechanizmów automatycznych, np. sztucznej inteligencji. </w:t>
      </w:r>
    </w:p>
    <w:p w14:paraId="6838BEC2" w14:textId="77777777" w:rsidR="00F720EC" w:rsidRPr="009935E0" w:rsidRDefault="00F720EC"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w:t>
      </w:r>
      <w:r w:rsidR="0097015C" w:rsidRPr="009935E0">
        <w:rPr>
          <w:rFonts w:ascii="Times New Roman" w:hAnsi="Times New Roman" w:cs="Times New Roman"/>
          <w:sz w:val="24"/>
          <w:szCs w:val="24"/>
        </w:rPr>
        <w:t>a</w:t>
      </w:r>
      <w:r w:rsidRPr="009935E0">
        <w:rPr>
          <w:rFonts w:ascii="Times New Roman" w:hAnsi="Times New Roman" w:cs="Times New Roman"/>
          <w:sz w:val="24"/>
          <w:szCs w:val="24"/>
        </w:rPr>
        <w:t xml:space="preserve">rt. 17 ust. 9 dyrektywa </w:t>
      </w:r>
      <w:r w:rsidR="009B19C2" w:rsidRPr="009935E0">
        <w:rPr>
          <w:rFonts w:ascii="Times New Roman" w:hAnsi="Times New Roman" w:cs="Times New Roman"/>
          <w:sz w:val="24"/>
          <w:szCs w:val="24"/>
        </w:rPr>
        <w:t xml:space="preserve">DSM </w:t>
      </w:r>
      <w:r w:rsidR="00A825F7" w:rsidRPr="009935E0">
        <w:rPr>
          <w:rFonts w:ascii="Times New Roman" w:hAnsi="Times New Roman" w:cs="Times New Roman"/>
          <w:sz w:val="24"/>
          <w:szCs w:val="24"/>
        </w:rPr>
        <w:t>ponownie wskazuje, że „</w:t>
      </w:r>
      <w:r w:rsidRPr="009935E0">
        <w:rPr>
          <w:rFonts w:ascii="Times New Roman" w:hAnsi="Times New Roman" w:cs="Times New Roman"/>
          <w:sz w:val="24"/>
          <w:szCs w:val="24"/>
        </w:rPr>
        <w:t>nie wpływa w żaden sposób na zgodne z prawem sposoby korzystania, takie jak korzystanie na podstawie wyjątków lub ogranicz</w:t>
      </w:r>
      <w:r w:rsidR="00A825F7" w:rsidRPr="009935E0">
        <w:rPr>
          <w:rFonts w:ascii="Times New Roman" w:hAnsi="Times New Roman" w:cs="Times New Roman"/>
          <w:sz w:val="24"/>
          <w:szCs w:val="24"/>
        </w:rPr>
        <w:t>eń przewidzianych w prawie Unii” (a więc nie ogranicza dozwolonego użytku funkcjonującego na podstawie dotychczasowych regulacji U</w:t>
      </w:r>
      <w:r w:rsidR="00A94C99" w:rsidRPr="009935E0">
        <w:rPr>
          <w:rFonts w:ascii="Times New Roman" w:hAnsi="Times New Roman" w:cs="Times New Roman"/>
          <w:sz w:val="24"/>
          <w:szCs w:val="24"/>
        </w:rPr>
        <w:t xml:space="preserve">nii </w:t>
      </w:r>
      <w:r w:rsidR="00A825F7"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A825F7" w:rsidRPr="009935E0">
        <w:rPr>
          <w:rFonts w:ascii="Times New Roman" w:hAnsi="Times New Roman" w:cs="Times New Roman"/>
          <w:sz w:val="24"/>
          <w:szCs w:val="24"/>
        </w:rPr>
        <w:t xml:space="preserve">). Wskazuje też, </w:t>
      </w:r>
      <w:r w:rsidR="00A825F7" w:rsidRPr="009935E0">
        <w:rPr>
          <w:rFonts w:ascii="Times New Roman" w:hAnsi="Times New Roman" w:cs="Times New Roman"/>
          <w:sz w:val="24"/>
          <w:szCs w:val="24"/>
        </w:rPr>
        <w:lastRenderedPageBreak/>
        <w:t>że nie modyfikuje regulacji dotyczących ochrony danych osobowych, tj. „</w:t>
      </w:r>
      <w:r w:rsidRPr="009935E0">
        <w:rPr>
          <w:rFonts w:ascii="Times New Roman" w:hAnsi="Times New Roman" w:cs="Times New Roman"/>
          <w:sz w:val="24"/>
          <w:szCs w:val="24"/>
        </w:rPr>
        <w:t xml:space="preserve">nie może prowadzić do identyfikacji indywidualnych użytkowników, ani do przetwarzania danych osobowych, chyba że ma to miejsce zgodnie z dyrektywą 2002/58/WE </w:t>
      </w:r>
      <w:r w:rsidR="00A825F7" w:rsidRPr="009935E0">
        <w:rPr>
          <w:rFonts w:ascii="Times New Roman" w:hAnsi="Times New Roman" w:cs="Times New Roman"/>
          <w:sz w:val="24"/>
          <w:szCs w:val="24"/>
        </w:rPr>
        <w:t xml:space="preserve">i rozporządzeniem (UE) 2016/679”. Wprowadza też po stronie DUUTO obowiązek informowania użytkowników ich usług, „w swoich warunkach korzystania” (np. regulaminach), że </w:t>
      </w:r>
      <w:r w:rsidRPr="009935E0">
        <w:rPr>
          <w:rFonts w:ascii="Times New Roman" w:hAnsi="Times New Roman" w:cs="Times New Roman"/>
          <w:sz w:val="24"/>
          <w:szCs w:val="24"/>
        </w:rPr>
        <w:t xml:space="preserve">mogą oni </w:t>
      </w:r>
      <w:r w:rsidR="00A825F7" w:rsidRPr="009935E0">
        <w:rPr>
          <w:rFonts w:ascii="Times New Roman" w:hAnsi="Times New Roman" w:cs="Times New Roman"/>
          <w:sz w:val="24"/>
          <w:szCs w:val="24"/>
        </w:rPr>
        <w:t>„</w:t>
      </w:r>
      <w:r w:rsidRPr="009935E0">
        <w:rPr>
          <w:rFonts w:ascii="Times New Roman" w:hAnsi="Times New Roman" w:cs="Times New Roman"/>
          <w:sz w:val="24"/>
          <w:szCs w:val="24"/>
        </w:rPr>
        <w:t>korzystać z utworów i innych przedmiotów objętych ochroną na podstawie wyjątków lub ograniczeń w zakresie prawa autorskiego i praw pokrewny</w:t>
      </w:r>
      <w:r w:rsidR="00A825F7" w:rsidRPr="009935E0">
        <w:rPr>
          <w:rFonts w:ascii="Times New Roman" w:hAnsi="Times New Roman" w:cs="Times New Roman"/>
          <w:sz w:val="24"/>
          <w:szCs w:val="24"/>
        </w:rPr>
        <w:t xml:space="preserve">ch przewidzianych w prawie Unii”, tj. w zakresie dozwolonego użytku. </w:t>
      </w:r>
    </w:p>
    <w:p w14:paraId="63FB0A71" w14:textId="77777777" w:rsidR="00C704B7" w:rsidRPr="009935E0" w:rsidRDefault="00A825F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17 ust. 10 dyrektywy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zobowiązuje Komisję Europejską do </w:t>
      </w:r>
      <w:r w:rsidR="00F4711B" w:rsidRPr="009935E0">
        <w:rPr>
          <w:rFonts w:ascii="Times New Roman" w:hAnsi="Times New Roman" w:cs="Times New Roman"/>
          <w:sz w:val="24"/>
          <w:szCs w:val="24"/>
        </w:rPr>
        <w:t>przeprowadzenia, we współpracy z państwami członkowskimi, rozmów z zainteresowanymi stronami „aby omówić najlepsze praktyki w zakresie współpracy między dostawcami usług udostępniania treści online a podmiotami uprawnionymi”. Następnie Komisja „w porozumieniu z dostawcami usług udostępniania treści online, podmiotami uprawnionymi, organizacjami użytkowników i innymi właściwymi zainteresowanymi stronami oraz uwzględniając wyniki rozmów zainteresowanych stron”</w:t>
      </w:r>
      <w:r w:rsidR="00626202" w:rsidRPr="009935E0">
        <w:rPr>
          <w:rFonts w:ascii="Times New Roman" w:hAnsi="Times New Roman" w:cs="Times New Roman"/>
          <w:sz w:val="24"/>
          <w:szCs w:val="24"/>
        </w:rPr>
        <w:t>,</w:t>
      </w:r>
      <w:r w:rsidR="00F4711B" w:rsidRPr="009935E0">
        <w:rPr>
          <w:rFonts w:ascii="Times New Roman" w:hAnsi="Times New Roman" w:cs="Times New Roman"/>
          <w:sz w:val="24"/>
          <w:szCs w:val="24"/>
        </w:rPr>
        <w:t xml:space="preserve"> ma wydać „wytyczne dotyczące stosowania niniejszego artykułu”. Jak już wcześniej wspomniano, wytyczne te, adresowane także do ustawodawców krajowych, Komisja wydała w dniu 4 czerwca 2021 r., tj. na trzy dni przed upływem </w:t>
      </w:r>
      <w:r w:rsidR="00E615FF" w:rsidRPr="009935E0">
        <w:rPr>
          <w:rFonts w:ascii="Times New Roman" w:hAnsi="Times New Roman" w:cs="Times New Roman"/>
          <w:sz w:val="24"/>
          <w:szCs w:val="24"/>
        </w:rPr>
        <w:t>terminu implementacji dyrektywy.</w:t>
      </w:r>
    </w:p>
    <w:p w14:paraId="30CC7575" w14:textId="44D6BD90" w:rsidR="00C43892" w:rsidRPr="009935E0" w:rsidRDefault="0036225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dniu 26 kwietnia 2022 r. Trybunał Sprawiedliwości U</w:t>
      </w:r>
      <w:r w:rsidR="00A94C99" w:rsidRPr="009935E0">
        <w:rPr>
          <w:rFonts w:ascii="Times New Roman" w:hAnsi="Times New Roman" w:cs="Times New Roman"/>
          <w:sz w:val="24"/>
          <w:szCs w:val="24"/>
        </w:rPr>
        <w:t xml:space="preserve">nii </w:t>
      </w:r>
      <w:r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Pr="009935E0">
        <w:rPr>
          <w:rFonts w:ascii="Times New Roman" w:hAnsi="Times New Roman" w:cs="Times New Roman"/>
          <w:sz w:val="24"/>
          <w:szCs w:val="24"/>
        </w:rPr>
        <w:t xml:space="preserve"> oddalił skargę R</w:t>
      </w:r>
      <w:r w:rsidR="009B19C2" w:rsidRPr="009935E0">
        <w:rPr>
          <w:rFonts w:ascii="Times New Roman" w:hAnsi="Times New Roman" w:cs="Times New Roman"/>
          <w:sz w:val="24"/>
          <w:szCs w:val="24"/>
        </w:rPr>
        <w:t xml:space="preserve">zeczypospolitej </w:t>
      </w:r>
      <w:r w:rsidRPr="009935E0">
        <w:rPr>
          <w:rFonts w:ascii="Times New Roman" w:hAnsi="Times New Roman" w:cs="Times New Roman"/>
          <w:sz w:val="24"/>
          <w:szCs w:val="24"/>
        </w:rPr>
        <w:t>P</w:t>
      </w:r>
      <w:r w:rsidR="009B19C2" w:rsidRPr="009935E0">
        <w:rPr>
          <w:rFonts w:ascii="Times New Roman" w:hAnsi="Times New Roman" w:cs="Times New Roman"/>
          <w:sz w:val="24"/>
          <w:szCs w:val="24"/>
        </w:rPr>
        <w:t>olskiej</w:t>
      </w:r>
      <w:r w:rsidRPr="009935E0">
        <w:rPr>
          <w:rFonts w:ascii="Times New Roman" w:hAnsi="Times New Roman" w:cs="Times New Roman"/>
          <w:sz w:val="24"/>
          <w:szCs w:val="24"/>
        </w:rPr>
        <w:t xml:space="preserve"> na art. 17 dyrektywy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(odrzucił w zakresie zaskarżenia wyłącznie art. 17 ust. 4 lit. b i lit. c </w:t>
      </w:r>
      <w:r w:rsidRPr="009935E0">
        <w:rPr>
          <w:rFonts w:ascii="Times New Roman" w:hAnsi="Times New Roman" w:cs="Times New Roman"/>
          <w:i/>
          <w:sz w:val="24"/>
          <w:szCs w:val="24"/>
        </w:rPr>
        <w:t>in fine</w:t>
      </w:r>
      <w:r w:rsidRPr="009935E0">
        <w:rPr>
          <w:rFonts w:ascii="Times New Roman" w:hAnsi="Times New Roman" w:cs="Times New Roman"/>
          <w:sz w:val="24"/>
          <w:szCs w:val="24"/>
        </w:rPr>
        <w:t>)</w:t>
      </w:r>
      <w:r w:rsidRPr="009935E0">
        <w:rPr>
          <w:rStyle w:val="Odwoanieprzypisudolnego"/>
          <w:rFonts w:ascii="Times New Roman" w:hAnsi="Times New Roman" w:cs="Times New Roman"/>
          <w:sz w:val="24"/>
          <w:szCs w:val="24"/>
        </w:rPr>
        <w:footnoteReference w:id="47"/>
      </w:r>
      <w:r w:rsidR="00214723" w:rsidRPr="00483092">
        <w:rPr>
          <w:rFonts w:ascii="Times New Roman" w:hAnsi="Times New Roman" w:cs="Times New Roman"/>
          <w:sz w:val="24"/>
          <w:szCs w:val="24"/>
          <w:vertAlign w:val="superscript"/>
        </w:rPr>
        <w:t>)</w:t>
      </w:r>
      <w:r w:rsidRPr="009935E0">
        <w:rPr>
          <w:rFonts w:ascii="Times New Roman" w:hAnsi="Times New Roman" w:cs="Times New Roman"/>
          <w:sz w:val="24"/>
          <w:szCs w:val="24"/>
        </w:rPr>
        <w:t xml:space="preserve">. Potwierdził słuszność stanowiska </w:t>
      </w:r>
      <w:r w:rsidR="0095007F" w:rsidRPr="009935E0">
        <w:rPr>
          <w:rFonts w:ascii="Times New Roman" w:hAnsi="Times New Roman" w:cs="Times New Roman"/>
          <w:sz w:val="24"/>
          <w:szCs w:val="24"/>
        </w:rPr>
        <w:t xml:space="preserve">Rzeczypospolitej </w:t>
      </w:r>
      <w:r w:rsidRPr="009935E0">
        <w:rPr>
          <w:rFonts w:ascii="Times New Roman" w:hAnsi="Times New Roman" w:cs="Times New Roman"/>
          <w:sz w:val="24"/>
          <w:szCs w:val="24"/>
        </w:rPr>
        <w:t>Polski</w:t>
      </w:r>
      <w:r w:rsidR="0095007F" w:rsidRPr="009935E0">
        <w:rPr>
          <w:rFonts w:ascii="Times New Roman" w:hAnsi="Times New Roman" w:cs="Times New Roman"/>
          <w:sz w:val="24"/>
          <w:szCs w:val="24"/>
        </w:rPr>
        <w:t>ej</w:t>
      </w:r>
      <w:r w:rsidRPr="009935E0">
        <w:rPr>
          <w:rFonts w:ascii="Times New Roman" w:hAnsi="Times New Roman" w:cs="Times New Roman"/>
          <w:sz w:val="24"/>
          <w:szCs w:val="24"/>
        </w:rPr>
        <w:t xml:space="preserve"> (pkt 55</w:t>
      </w:r>
      <w:r w:rsidR="00620DB5" w:rsidRPr="009935E0">
        <w:rPr>
          <w:rFonts w:ascii="Times New Roman" w:hAnsi="Times New Roman" w:cs="Times New Roman"/>
          <w:sz w:val="24"/>
          <w:szCs w:val="24"/>
        </w:rPr>
        <w:t>–</w:t>
      </w:r>
      <w:r w:rsidRPr="009935E0">
        <w:rPr>
          <w:rFonts w:ascii="Times New Roman" w:hAnsi="Times New Roman" w:cs="Times New Roman"/>
          <w:sz w:val="24"/>
          <w:szCs w:val="24"/>
        </w:rPr>
        <w:t>58 uzasadnienia wyroku), że zaskarżone przepisy stanowią ograniczenie wykonywania prawa do wolności wypowiedzi i informacji. Jednakże w ocenie Trybunału ustawodawca unijny wprowadził jednocześnie szereg przepisów</w:t>
      </w:r>
      <w:r w:rsidR="00BB4148" w:rsidRPr="009935E0">
        <w:rPr>
          <w:rFonts w:ascii="Times New Roman" w:hAnsi="Times New Roman" w:cs="Times New Roman"/>
          <w:sz w:val="24"/>
          <w:szCs w:val="24"/>
        </w:rPr>
        <w:t xml:space="preserve"> (art. 17 ust. 5</w:t>
      </w:r>
      <w:r w:rsidR="00620DB5" w:rsidRPr="009935E0">
        <w:rPr>
          <w:rFonts w:ascii="Times New Roman" w:hAnsi="Times New Roman" w:cs="Times New Roman"/>
          <w:sz w:val="24"/>
          <w:szCs w:val="24"/>
        </w:rPr>
        <w:t>–</w:t>
      </w:r>
      <w:r w:rsidR="00BB4148" w:rsidRPr="009935E0">
        <w:rPr>
          <w:rFonts w:ascii="Times New Roman" w:hAnsi="Times New Roman" w:cs="Times New Roman"/>
          <w:sz w:val="24"/>
          <w:szCs w:val="24"/>
        </w:rPr>
        <w:t>10)</w:t>
      </w:r>
      <w:r w:rsidRPr="009935E0">
        <w:rPr>
          <w:rFonts w:ascii="Times New Roman" w:hAnsi="Times New Roman" w:cs="Times New Roman"/>
          <w:sz w:val="24"/>
          <w:szCs w:val="24"/>
        </w:rPr>
        <w:t>, które można uznać za „odpowiednie gwarancje” zapewnienia poszanowania tego prawa oraz sprawiedliwej równowagi między tym prawem a prawem własności intelektualnej (pkt 98 uzas</w:t>
      </w:r>
      <w:r w:rsidR="00620DB5" w:rsidRPr="009935E0">
        <w:rPr>
          <w:rFonts w:ascii="Times New Roman" w:hAnsi="Times New Roman" w:cs="Times New Roman"/>
          <w:sz w:val="24"/>
          <w:szCs w:val="24"/>
        </w:rPr>
        <w:t>adnienia</w:t>
      </w:r>
      <w:r w:rsidRPr="009935E0">
        <w:rPr>
          <w:rFonts w:ascii="Times New Roman" w:hAnsi="Times New Roman" w:cs="Times New Roman"/>
          <w:sz w:val="24"/>
          <w:szCs w:val="24"/>
        </w:rPr>
        <w:t>). W podsumowaniu swoich rozważań Trybunał stwierdził, że przy dokonywaniu transpozycji do prawa wewnętrznego państwa członkowskie „powinny opierać się na takiej wykładni tego przepisu, która pozwoli na zapewnienie sprawiedliwej równowagi między poszczególnymi prawami podstawowymi chronionymi przez Kartę” (pkt 99 uzas</w:t>
      </w:r>
      <w:r w:rsidR="00620DB5" w:rsidRPr="009935E0">
        <w:rPr>
          <w:rFonts w:ascii="Times New Roman" w:hAnsi="Times New Roman" w:cs="Times New Roman"/>
          <w:sz w:val="24"/>
          <w:szCs w:val="24"/>
        </w:rPr>
        <w:t>adnienia</w:t>
      </w:r>
      <w:r w:rsidRPr="009935E0">
        <w:rPr>
          <w:rFonts w:ascii="Times New Roman" w:hAnsi="Times New Roman" w:cs="Times New Roman"/>
          <w:sz w:val="24"/>
          <w:szCs w:val="24"/>
        </w:rPr>
        <w:t>).</w:t>
      </w:r>
      <w:r w:rsidR="00BB4148" w:rsidRPr="009935E0">
        <w:rPr>
          <w:rFonts w:ascii="Times New Roman" w:hAnsi="Times New Roman" w:cs="Times New Roman"/>
          <w:sz w:val="24"/>
          <w:szCs w:val="24"/>
        </w:rPr>
        <w:t xml:space="preserve"> Wydaje się, że projektowana ustawa uwzględnia</w:t>
      </w:r>
      <w:r w:rsidRPr="009935E0">
        <w:rPr>
          <w:rFonts w:ascii="Times New Roman" w:hAnsi="Times New Roman" w:cs="Times New Roman"/>
          <w:sz w:val="24"/>
          <w:szCs w:val="24"/>
        </w:rPr>
        <w:t xml:space="preserve"> powyższe konkluzje Trybunału. </w:t>
      </w:r>
    </w:p>
    <w:p w14:paraId="2EC2CC44" w14:textId="69C7417B" w:rsidR="009504A7" w:rsidRPr="009935E0" w:rsidRDefault="00BB4148"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Wdrożenie</w:t>
      </w:r>
      <w:r w:rsidR="009504A7" w:rsidRPr="009935E0">
        <w:rPr>
          <w:rFonts w:ascii="Times New Roman" w:hAnsi="Times New Roman" w:cs="Times New Roman"/>
          <w:sz w:val="24"/>
          <w:szCs w:val="24"/>
        </w:rPr>
        <w:t xml:space="preserve"> art. 17 dyrektywy </w:t>
      </w:r>
      <w:r w:rsidR="009B19C2"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nastąpi </w:t>
      </w:r>
      <w:r w:rsidR="009504A7" w:rsidRPr="009935E0">
        <w:rPr>
          <w:rFonts w:ascii="Times New Roman" w:hAnsi="Times New Roman" w:cs="Times New Roman"/>
          <w:sz w:val="24"/>
          <w:szCs w:val="24"/>
        </w:rPr>
        <w:t xml:space="preserve">w rozdziale 3 ustawy o prawie autorskim </w:t>
      </w:r>
      <w:r w:rsidR="00EF6271" w:rsidRPr="009935E0">
        <w:rPr>
          <w:rFonts w:ascii="Times New Roman" w:hAnsi="Times New Roman" w:cs="Times New Roman"/>
          <w:sz w:val="24"/>
          <w:szCs w:val="24"/>
        </w:rPr>
        <w:t xml:space="preserve">pt. </w:t>
      </w:r>
      <w:r w:rsidR="009504A7" w:rsidRPr="009935E0">
        <w:rPr>
          <w:rFonts w:ascii="Times New Roman" w:hAnsi="Times New Roman" w:cs="Times New Roman"/>
          <w:sz w:val="24"/>
          <w:szCs w:val="24"/>
        </w:rPr>
        <w:t>„Treść prawa autorskiego”</w:t>
      </w:r>
      <w:r w:rsidR="004E37EE" w:rsidRPr="009935E0">
        <w:rPr>
          <w:rFonts w:ascii="Times New Roman" w:hAnsi="Times New Roman" w:cs="Times New Roman"/>
          <w:sz w:val="24"/>
          <w:szCs w:val="24"/>
        </w:rPr>
        <w:t>,</w:t>
      </w:r>
      <w:r w:rsidR="009504A7" w:rsidRPr="009935E0">
        <w:rPr>
          <w:rFonts w:ascii="Times New Roman" w:hAnsi="Times New Roman" w:cs="Times New Roman"/>
          <w:sz w:val="24"/>
          <w:szCs w:val="24"/>
        </w:rPr>
        <w:t xml:space="preserve"> przez dodanie nowego oddziału 2a „</w:t>
      </w:r>
      <w:r w:rsidR="007A4941" w:rsidRPr="009935E0">
        <w:rPr>
          <w:rFonts w:ascii="Times New Roman" w:hAnsi="Times New Roman" w:cs="Times New Roman"/>
          <w:sz w:val="24"/>
          <w:szCs w:val="24"/>
        </w:rPr>
        <w:t>Dostawcy</w:t>
      </w:r>
      <w:r w:rsidR="009504A7" w:rsidRPr="009935E0">
        <w:rPr>
          <w:rFonts w:ascii="Times New Roman" w:hAnsi="Times New Roman" w:cs="Times New Roman"/>
          <w:sz w:val="24"/>
          <w:szCs w:val="24"/>
        </w:rPr>
        <w:t xml:space="preserve"> usług udost</w:t>
      </w:r>
      <w:r w:rsidR="001B3CB2" w:rsidRPr="009935E0">
        <w:rPr>
          <w:rFonts w:ascii="Times New Roman" w:hAnsi="Times New Roman" w:cs="Times New Roman"/>
          <w:sz w:val="24"/>
          <w:szCs w:val="24"/>
        </w:rPr>
        <w:t>ępniania treści online” (art. 22</w:t>
      </w:r>
      <w:r w:rsidR="007A4941" w:rsidRPr="009935E0">
        <w:rPr>
          <w:rFonts w:ascii="Times New Roman" w:hAnsi="Times New Roman" w:cs="Times New Roman"/>
          <w:sz w:val="24"/>
          <w:szCs w:val="24"/>
        </w:rPr>
        <w:t>a</w:t>
      </w:r>
      <w:r w:rsidR="00620DB5" w:rsidRPr="009935E0">
        <w:rPr>
          <w:rFonts w:ascii="Times New Roman" w:hAnsi="Times New Roman" w:cs="Times New Roman"/>
          <w:sz w:val="24"/>
          <w:szCs w:val="24"/>
        </w:rPr>
        <w:t>–</w:t>
      </w:r>
      <w:r w:rsidR="001B3CB2" w:rsidRPr="009935E0">
        <w:rPr>
          <w:rFonts w:ascii="Times New Roman" w:hAnsi="Times New Roman" w:cs="Times New Roman"/>
          <w:sz w:val="24"/>
          <w:szCs w:val="24"/>
        </w:rPr>
        <w:t>22</w:t>
      </w:r>
      <w:r w:rsidR="007A4941" w:rsidRPr="009935E0">
        <w:rPr>
          <w:rFonts w:ascii="Times New Roman" w:hAnsi="Times New Roman" w:cs="Times New Roman"/>
          <w:sz w:val="24"/>
          <w:szCs w:val="24"/>
        </w:rPr>
        <w:t>g</w:t>
      </w:r>
      <w:r w:rsidR="009504A7" w:rsidRPr="009935E0">
        <w:rPr>
          <w:rFonts w:ascii="Times New Roman" w:hAnsi="Times New Roman" w:cs="Times New Roman"/>
          <w:sz w:val="24"/>
          <w:szCs w:val="24"/>
        </w:rPr>
        <w:t xml:space="preserve">), tj. po oddziale 2 </w:t>
      </w:r>
      <w:r w:rsidR="0025154D" w:rsidRPr="009935E0">
        <w:rPr>
          <w:rFonts w:ascii="Times New Roman" w:hAnsi="Times New Roman" w:cs="Times New Roman"/>
          <w:sz w:val="24"/>
          <w:szCs w:val="24"/>
        </w:rPr>
        <w:t xml:space="preserve">pt. </w:t>
      </w:r>
      <w:r w:rsidR="009504A7" w:rsidRPr="009935E0">
        <w:rPr>
          <w:rFonts w:ascii="Times New Roman" w:hAnsi="Times New Roman" w:cs="Times New Roman"/>
          <w:sz w:val="24"/>
          <w:szCs w:val="24"/>
        </w:rPr>
        <w:t>„Autorskie prawa majątkowe”, a przed oddziałem 3 zawierający</w:t>
      </w:r>
      <w:r w:rsidR="006B7593" w:rsidRPr="009935E0">
        <w:rPr>
          <w:rFonts w:ascii="Times New Roman" w:hAnsi="Times New Roman" w:cs="Times New Roman"/>
          <w:sz w:val="24"/>
          <w:szCs w:val="24"/>
        </w:rPr>
        <w:t>m przepisy o dozwolonym użytku.</w:t>
      </w:r>
      <w:r w:rsidR="004E37EE" w:rsidRPr="009935E0">
        <w:rPr>
          <w:rFonts w:ascii="Times New Roman" w:hAnsi="Times New Roman" w:cs="Times New Roman"/>
          <w:sz w:val="24"/>
          <w:szCs w:val="24"/>
        </w:rPr>
        <w:t xml:space="preserve"> Sama definicja „dostawcy usług udostępniania treści online” (DUUTO), oparta na art. 2 pkt 6 dyrektywy, zna</w:t>
      </w:r>
      <w:r w:rsidR="001B3CB2" w:rsidRPr="009935E0">
        <w:rPr>
          <w:rFonts w:ascii="Times New Roman" w:hAnsi="Times New Roman" w:cs="Times New Roman"/>
          <w:sz w:val="24"/>
          <w:szCs w:val="24"/>
        </w:rPr>
        <w:t>jdzie się w art. 6 ust. 1 pkt 2</w:t>
      </w:r>
      <w:r w:rsidR="00FD57C6" w:rsidRPr="009935E0">
        <w:rPr>
          <w:rFonts w:ascii="Times New Roman" w:hAnsi="Times New Roman" w:cs="Times New Roman"/>
          <w:sz w:val="24"/>
          <w:szCs w:val="24"/>
        </w:rPr>
        <w:t>5</w:t>
      </w:r>
      <w:r w:rsidR="001E2F0C" w:rsidRPr="009935E0">
        <w:rPr>
          <w:rFonts w:ascii="Times New Roman" w:hAnsi="Times New Roman" w:cs="Times New Roman"/>
          <w:sz w:val="24"/>
          <w:szCs w:val="24"/>
        </w:rPr>
        <w:t xml:space="preserve"> ustawy </w:t>
      </w:r>
      <w:r w:rsidR="004E37EE" w:rsidRPr="009935E0">
        <w:rPr>
          <w:rFonts w:ascii="Times New Roman" w:hAnsi="Times New Roman" w:cs="Times New Roman"/>
          <w:sz w:val="24"/>
          <w:szCs w:val="24"/>
        </w:rPr>
        <w:t>o prawie autorskim (słowniczek terminów ustawowych)</w:t>
      </w:r>
      <w:r w:rsidR="001B3CB2" w:rsidRPr="009935E0">
        <w:rPr>
          <w:rFonts w:ascii="Times New Roman" w:hAnsi="Times New Roman" w:cs="Times New Roman"/>
          <w:sz w:val="24"/>
          <w:szCs w:val="24"/>
        </w:rPr>
        <w:t xml:space="preserve">. </w:t>
      </w:r>
      <w:r w:rsidR="003C7490" w:rsidRPr="009935E0">
        <w:rPr>
          <w:rFonts w:ascii="Times New Roman" w:hAnsi="Times New Roman" w:cs="Times New Roman"/>
          <w:sz w:val="24"/>
          <w:szCs w:val="24"/>
        </w:rPr>
        <w:t xml:space="preserve">Jak już wskazano w części dot. nowego prawa pokrewnego wydawców prasowych (art. 15 dyrektywy), DUUTO jest usługodawcą w rozumieniu dyrektywy </w:t>
      </w:r>
      <w:r w:rsidR="003C7490" w:rsidRPr="009935E0">
        <w:rPr>
          <w:rFonts w:ascii="Times New Roman" w:hAnsi="Times New Roman" w:cs="Times New Roman"/>
          <w:i/>
          <w:sz w:val="24"/>
          <w:szCs w:val="24"/>
        </w:rPr>
        <w:t>e-commerce</w:t>
      </w:r>
      <w:r w:rsidR="003C7490" w:rsidRPr="009935E0">
        <w:rPr>
          <w:rFonts w:ascii="Times New Roman" w:hAnsi="Times New Roman" w:cs="Times New Roman"/>
          <w:sz w:val="24"/>
          <w:szCs w:val="24"/>
        </w:rPr>
        <w:t xml:space="preserve"> i </w:t>
      </w:r>
      <w:r w:rsidR="008D2753" w:rsidRPr="009935E0">
        <w:rPr>
          <w:rFonts w:ascii="Times New Roman" w:hAnsi="Times New Roman" w:cs="Times New Roman"/>
          <w:sz w:val="24"/>
          <w:szCs w:val="24"/>
        </w:rPr>
        <w:t xml:space="preserve">art. 2 pkt 6 </w:t>
      </w:r>
      <w:r w:rsidR="003C7490" w:rsidRPr="009935E0">
        <w:rPr>
          <w:rFonts w:ascii="Times New Roman" w:hAnsi="Times New Roman" w:cs="Times New Roman"/>
          <w:sz w:val="24"/>
          <w:szCs w:val="24"/>
        </w:rPr>
        <w:t xml:space="preserve">ustawy </w:t>
      </w:r>
      <w:r w:rsidR="00386CB1" w:rsidRPr="009935E0">
        <w:rPr>
          <w:rFonts w:ascii="Times New Roman" w:hAnsi="Times New Roman" w:cs="Times New Roman"/>
          <w:sz w:val="24"/>
          <w:szCs w:val="24"/>
        </w:rPr>
        <w:t>z dnia 18 lipca 2002</w:t>
      </w:r>
      <w:r w:rsidR="001C1FE3">
        <w:rPr>
          <w:rFonts w:ascii="Times New Roman" w:hAnsi="Times New Roman" w:cs="Times New Roman"/>
          <w:sz w:val="24"/>
          <w:szCs w:val="24"/>
        </w:rPr>
        <w:t xml:space="preserve"> </w:t>
      </w:r>
      <w:r w:rsidR="00386CB1" w:rsidRPr="009935E0">
        <w:rPr>
          <w:rFonts w:ascii="Times New Roman" w:hAnsi="Times New Roman" w:cs="Times New Roman"/>
          <w:sz w:val="24"/>
          <w:szCs w:val="24"/>
        </w:rPr>
        <w:t xml:space="preserve">r. </w:t>
      </w:r>
      <w:r w:rsidR="003C7490" w:rsidRPr="009935E0">
        <w:rPr>
          <w:rFonts w:ascii="Times New Roman" w:hAnsi="Times New Roman" w:cs="Times New Roman"/>
          <w:sz w:val="24"/>
          <w:szCs w:val="24"/>
        </w:rPr>
        <w:t xml:space="preserve">o świadczeniu usług drogą </w:t>
      </w:r>
      <w:r w:rsidR="002E728F" w:rsidRPr="009935E0">
        <w:rPr>
          <w:rFonts w:ascii="Times New Roman" w:hAnsi="Times New Roman" w:cs="Times New Roman"/>
          <w:sz w:val="24"/>
          <w:szCs w:val="24"/>
        </w:rPr>
        <w:t>elektroniczną. Zawarta w projekcie definicja DUUTO wy</w:t>
      </w:r>
      <w:r w:rsidR="001E2F0C" w:rsidRPr="009935E0">
        <w:rPr>
          <w:rFonts w:ascii="Times New Roman" w:hAnsi="Times New Roman" w:cs="Times New Roman"/>
          <w:sz w:val="24"/>
          <w:szCs w:val="24"/>
        </w:rPr>
        <w:t xml:space="preserve">chodzi zatem z tego założenia. </w:t>
      </w:r>
      <w:r w:rsidR="002E728F" w:rsidRPr="009935E0">
        <w:rPr>
          <w:rFonts w:ascii="Times New Roman" w:hAnsi="Times New Roman" w:cs="Times New Roman"/>
          <w:sz w:val="24"/>
          <w:szCs w:val="24"/>
        </w:rPr>
        <w:t xml:space="preserve">W konsekwencji „użytkownik usług DUUTO” jest „usługobiorcą” w rozumieniu </w:t>
      </w:r>
      <w:r w:rsidR="008D2753" w:rsidRPr="009935E0">
        <w:rPr>
          <w:rFonts w:ascii="Times New Roman" w:hAnsi="Times New Roman" w:cs="Times New Roman"/>
          <w:sz w:val="24"/>
          <w:szCs w:val="24"/>
        </w:rPr>
        <w:t xml:space="preserve">art. 2 pkt 7 </w:t>
      </w:r>
      <w:r w:rsidR="002E728F" w:rsidRPr="009935E0">
        <w:rPr>
          <w:rFonts w:ascii="Times New Roman" w:hAnsi="Times New Roman" w:cs="Times New Roman"/>
          <w:sz w:val="24"/>
          <w:szCs w:val="24"/>
        </w:rPr>
        <w:t>ww. ustawy (w konsultacjach publicznych wskazywano, że termin „użytkownik usług DUUTO” jest mylący z uwagi na określone znaczenie terminu „użytkownik” w przepisach prawa autorskiego, proponowano stosowanie właśnie terminu „usługobiorca”). Zawarta w projekcie definicja D</w:t>
      </w:r>
      <w:r w:rsidR="004B4F64" w:rsidRPr="009935E0">
        <w:rPr>
          <w:rFonts w:ascii="Times New Roman" w:hAnsi="Times New Roman" w:cs="Times New Roman"/>
          <w:sz w:val="24"/>
          <w:szCs w:val="24"/>
        </w:rPr>
        <w:t>UUTO wskazuje zatem, że jest to</w:t>
      </w:r>
      <w:r w:rsidR="002E728F" w:rsidRPr="009935E0">
        <w:rPr>
          <w:rFonts w:ascii="Times New Roman" w:hAnsi="Times New Roman" w:cs="Times New Roman"/>
          <w:sz w:val="24"/>
          <w:szCs w:val="24"/>
        </w:rPr>
        <w:t xml:space="preserve"> „usługodawca” w rozumieniu ustawy</w:t>
      </w:r>
      <w:r w:rsidR="001E2F0C" w:rsidRPr="009935E0">
        <w:rPr>
          <w:rFonts w:ascii="Times New Roman" w:hAnsi="Times New Roman" w:cs="Times New Roman"/>
          <w:sz w:val="24"/>
          <w:szCs w:val="24"/>
        </w:rPr>
        <w:t xml:space="preserve"> </w:t>
      </w:r>
      <w:r w:rsidR="00386CB1" w:rsidRPr="009935E0">
        <w:rPr>
          <w:rFonts w:ascii="Times New Roman" w:hAnsi="Times New Roman" w:cs="Times New Roman"/>
          <w:sz w:val="24"/>
          <w:szCs w:val="24"/>
        </w:rPr>
        <w:t xml:space="preserve">z dnia 18 lipca 2002 r. </w:t>
      </w:r>
      <w:r w:rsidR="004B4F64" w:rsidRPr="009935E0">
        <w:rPr>
          <w:rFonts w:ascii="Times New Roman" w:hAnsi="Times New Roman" w:cs="Times New Roman"/>
          <w:sz w:val="24"/>
          <w:szCs w:val="24"/>
        </w:rPr>
        <w:t>o świadczeniu usług drogą elektroniczną</w:t>
      </w:r>
      <w:r w:rsidR="009504A7" w:rsidRPr="009935E0">
        <w:rPr>
          <w:rFonts w:ascii="Times New Roman" w:hAnsi="Times New Roman" w:cs="Times New Roman"/>
          <w:sz w:val="24"/>
          <w:szCs w:val="24"/>
        </w:rPr>
        <w:t xml:space="preserve">, </w:t>
      </w:r>
      <w:r w:rsidR="004B4F64" w:rsidRPr="009935E0">
        <w:rPr>
          <w:rFonts w:ascii="Times New Roman" w:hAnsi="Times New Roman" w:cs="Times New Roman"/>
          <w:sz w:val="24"/>
          <w:szCs w:val="24"/>
        </w:rPr>
        <w:t>„</w:t>
      </w:r>
      <w:r w:rsidR="009504A7" w:rsidRPr="009935E0">
        <w:rPr>
          <w:rFonts w:ascii="Times New Roman" w:hAnsi="Times New Roman" w:cs="Times New Roman"/>
          <w:sz w:val="24"/>
          <w:szCs w:val="24"/>
        </w:rPr>
        <w:t xml:space="preserve">którego głównym lub jednym z głównych celów jest przechowywanie i </w:t>
      </w:r>
      <w:r w:rsidR="00A736C0" w:rsidRPr="009935E0">
        <w:rPr>
          <w:rFonts w:ascii="Times New Roman" w:hAnsi="Times New Roman" w:cs="Times New Roman"/>
          <w:sz w:val="24"/>
          <w:szCs w:val="24"/>
        </w:rPr>
        <w:t>udzielanie publicznego dostępu do</w:t>
      </w:r>
      <w:r w:rsidR="009504A7" w:rsidRPr="009935E0">
        <w:rPr>
          <w:rFonts w:ascii="Times New Roman" w:hAnsi="Times New Roman" w:cs="Times New Roman"/>
          <w:sz w:val="24"/>
          <w:szCs w:val="24"/>
        </w:rPr>
        <w:t xml:space="preserve"> </w:t>
      </w:r>
      <w:r w:rsidR="00042DB1" w:rsidRPr="009935E0">
        <w:rPr>
          <w:rFonts w:ascii="Times New Roman" w:hAnsi="Times New Roman" w:cs="Times New Roman"/>
          <w:sz w:val="24"/>
          <w:szCs w:val="24"/>
        </w:rPr>
        <w:t>znacznej</w:t>
      </w:r>
      <w:r w:rsidR="009504A7" w:rsidRPr="009935E0">
        <w:rPr>
          <w:rFonts w:ascii="Times New Roman" w:hAnsi="Times New Roman" w:cs="Times New Roman"/>
          <w:sz w:val="24"/>
          <w:szCs w:val="24"/>
        </w:rPr>
        <w:t xml:space="preserve"> liczby utworów</w:t>
      </w:r>
      <w:r w:rsidR="00A736C0" w:rsidRPr="009935E0">
        <w:rPr>
          <w:rFonts w:ascii="Times New Roman" w:hAnsi="Times New Roman" w:cs="Times New Roman"/>
          <w:sz w:val="24"/>
          <w:szCs w:val="24"/>
        </w:rPr>
        <w:t xml:space="preserve"> lub przedmiotów praw pokrewnych</w:t>
      </w:r>
      <w:r w:rsidR="009504A7" w:rsidRPr="009935E0">
        <w:rPr>
          <w:rFonts w:ascii="Times New Roman" w:hAnsi="Times New Roman" w:cs="Times New Roman"/>
          <w:sz w:val="24"/>
          <w:szCs w:val="24"/>
        </w:rPr>
        <w:t xml:space="preserve"> zamieszczanych przez </w:t>
      </w:r>
      <w:r w:rsidR="002E728F" w:rsidRPr="009935E0">
        <w:rPr>
          <w:rFonts w:ascii="Times New Roman" w:hAnsi="Times New Roman" w:cs="Times New Roman"/>
          <w:sz w:val="24"/>
          <w:szCs w:val="24"/>
        </w:rPr>
        <w:t>usługobiorców</w:t>
      </w:r>
      <w:r w:rsidR="009504A7" w:rsidRPr="009935E0">
        <w:rPr>
          <w:rFonts w:ascii="Times New Roman" w:hAnsi="Times New Roman" w:cs="Times New Roman"/>
          <w:sz w:val="24"/>
          <w:szCs w:val="24"/>
        </w:rPr>
        <w:t xml:space="preserve">, które to utwory </w:t>
      </w:r>
      <w:r w:rsidR="00A736C0" w:rsidRPr="009935E0">
        <w:rPr>
          <w:rFonts w:ascii="Times New Roman" w:hAnsi="Times New Roman" w:cs="Times New Roman"/>
          <w:sz w:val="24"/>
          <w:szCs w:val="24"/>
        </w:rPr>
        <w:t xml:space="preserve">lub przedmioty praw pokrewnych </w:t>
      </w:r>
      <w:r w:rsidR="009504A7" w:rsidRPr="009935E0">
        <w:rPr>
          <w:rFonts w:ascii="Times New Roman" w:hAnsi="Times New Roman" w:cs="Times New Roman"/>
          <w:sz w:val="24"/>
          <w:szCs w:val="24"/>
        </w:rPr>
        <w:t>są przez niego organizowane i promowane w celach zarobkowych”. Komisja</w:t>
      </w:r>
      <w:r w:rsidR="00A736C0" w:rsidRPr="009935E0">
        <w:rPr>
          <w:rFonts w:ascii="Times New Roman" w:hAnsi="Times New Roman" w:cs="Times New Roman"/>
          <w:sz w:val="24"/>
          <w:szCs w:val="24"/>
        </w:rPr>
        <w:t xml:space="preserve"> Europejska w swoich W</w:t>
      </w:r>
      <w:r w:rsidR="009504A7" w:rsidRPr="009935E0">
        <w:rPr>
          <w:rFonts w:ascii="Times New Roman" w:hAnsi="Times New Roman" w:cs="Times New Roman"/>
          <w:sz w:val="24"/>
          <w:szCs w:val="24"/>
        </w:rPr>
        <w:t xml:space="preserve">ytycznych </w:t>
      </w:r>
      <w:r w:rsidR="00A736C0" w:rsidRPr="009935E0">
        <w:rPr>
          <w:rFonts w:ascii="Times New Roman" w:hAnsi="Times New Roman" w:cs="Times New Roman"/>
          <w:sz w:val="24"/>
          <w:szCs w:val="24"/>
        </w:rPr>
        <w:t xml:space="preserve">(str. 5) </w:t>
      </w:r>
      <w:r w:rsidR="009504A7" w:rsidRPr="009935E0">
        <w:rPr>
          <w:rFonts w:ascii="Times New Roman" w:hAnsi="Times New Roman" w:cs="Times New Roman"/>
          <w:sz w:val="24"/>
          <w:szCs w:val="24"/>
        </w:rPr>
        <w:t xml:space="preserve">wyraźnie przestrzega przed próbami definiowania sformułowania „duża liczba utworów”, aby „uniknąć rozdrobnienia prawa w wyniku rozbieżnego postrzegania dostawców usług w różnych państwach członkowskich” – stosowna kwalifikacja powinna być dokonywana indywidualnie w każdym przypadku, z uwzględnieniem wskazówek zawartych w motywie 63 </w:t>
      </w:r>
      <w:r w:rsidR="006247B6" w:rsidRPr="009935E0">
        <w:rPr>
          <w:rFonts w:ascii="Times New Roman" w:hAnsi="Times New Roman" w:cs="Times New Roman"/>
          <w:sz w:val="24"/>
          <w:szCs w:val="24"/>
        </w:rPr>
        <w:t>dyrektywy.</w:t>
      </w:r>
      <w:r w:rsidR="009504A7" w:rsidRPr="009935E0">
        <w:rPr>
          <w:rFonts w:ascii="Times New Roman" w:hAnsi="Times New Roman" w:cs="Times New Roman"/>
          <w:sz w:val="24"/>
          <w:szCs w:val="24"/>
        </w:rPr>
        <w:t xml:space="preserve"> Jednocześnie </w:t>
      </w:r>
      <w:r w:rsidR="006247B6" w:rsidRPr="009935E0">
        <w:rPr>
          <w:rFonts w:ascii="Times New Roman" w:hAnsi="Times New Roman" w:cs="Times New Roman"/>
          <w:sz w:val="24"/>
          <w:szCs w:val="24"/>
        </w:rPr>
        <w:t>następuje</w:t>
      </w:r>
      <w:r w:rsidR="009504A7" w:rsidRPr="009935E0">
        <w:rPr>
          <w:rFonts w:ascii="Times New Roman" w:hAnsi="Times New Roman" w:cs="Times New Roman"/>
          <w:sz w:val="24"/>
          <w:szCs w:val="24"/>
        </w:rPr>
        <w:t>, w ślad za art. 2 pkt</w:t>
      </w:r>
      <w:r w:rsidR="005E2848">
        <w:rPr>
          <w:rFonts w:ascii="Times New Roman" w:hAnsi="Times New Roman" w:cs="Times New Roman"/>
          <w:sz w:val="24"/>
          <w:szCs w:val="24"/>
        </w:rPr>
        <w:t> </w:t>
      </w:r>
      <w:r w:rsidR="009504A7" w:rsidRPr="009935E0">
        <w:rPr>
          <w:rFonts w:ascii="Times New Roman" w:hAnsi="Times New Roman" w:cs="Times New Roman"/>
          <w:sz w:val="24"/>
          <w:szCs w:val="24"/>
        </w:rPr>
        <w:t xml:space="preserve">6 dyrektywy i zgodnie z ww. </w:t>
      </w:r>
      <w:r w:rsidR="00F211ED" w:rsidRPr="009935E0">
        <w:rPr>
          <w:rFonts w:ascii="Times New Roman" w:hAnsi="Times New Roman" w:cs="Times New Roman"/>
          <w:sz w:val="24"/>
          <w:szCs w:val="24"/>
        </w:rPr>
        <w:t>Wytycznymi</w:t>
      </w:r>
      <w:r w:rsidR="009504A7" w:rsidRPr="009935E0">
        <w:rPr>
          <w:rFonts w:ascii="Times New Roman" w:hAnsi="Times New Roman" w:cs="Times New Roman"/>
          <w:sz w:val="24"/>
          <w:szCs w:val="24"/>
        </w:rPr>
        <w:t xml:space="preserve"> (str. 4), przykładowe wskazanie </w:t>
      </w:r>
      <w:r w:rsidR="004B4F64" w:rsidRPr="009935E0">
        <w:rPr>
          <w:rFonts w:ascii="Times New Roman" w:hAnsi="Times New Roman" w:cs="Times New Roman"/>
          <w:sz w:val="24"/>
          <w:szCs w:val="24"/>
        </w:rPr>
        <w:t>usługodawców</w:t>
      </w:r>
      <w:r w:rsidR="009504A7" w:rsidRPr="009935E0">
        <w:rPr>
          <w:rFonts w:ascii="Times New Roman" w:hAnsi="Times New Roman" w:cs="Times New Roman"/>
          <w:sz w:val="24"/>
          <w:szCs w:val="24"/>
        </w:rPr>
        <w:t xml:space="preserve">, którzy nie </w:t>
      </w:r>
      <w:r w:rsidR="004B4F64" w:rsidRPr="009935E0">
        <w:rPr>
          <w:rFonts w:ascii="Times New Roman" w:hAnsi="Times New Roman" w:cs="Times New Roman"/>
          <w:sz w:val="24"/>
          <w:szCs w:val="24"/>
        </w:rPr>
        <w:t xml:space="preserve">mogą być uznani za DUUTO (z uwagi na brak implementacji dyrektywy 2018/1972 projekt </w:t>
      </w:r>
      <w:r w:rsidR="00587A12" w:rsidRPr="009935E0">
        <w:rPr>
          <w:rFonts w:ascii="Times New Roman" w:hAnsi="Times New Roman" w:cs="Times New Roman"/>
          <w:sz w:val="24"/>
          <w:szCs w:val="24"/>
        </w:rPr>
        <w:t xml:space="preserve">na obecnym etapie </w:t>
      </w:r>
      <w:r w:rsidR="004B4F64" w:rsidRPr="009935E0">
        <w:rPr>
          <w:rFonts w:ascii="Times New Roman" w:hAnsi="Times New Roman" w:cs="Times New Roman"/>
          <w:sz w:val="24"/>
          <w:szCs w:val="24"/>
        </w:rPr>
        <w:t>odwołuje się do projektu rządowego UC45</w:t>
      </w:r>
      <w:r w:rsidR="00587A12" w:rsidRPr="009935E0">
        <w:rPr>
          <w:rFonts w:ascii="Times New Roman" w:hAnsi="Times New Roman" w:cs="Times New Roman"/>
          <w:sz w:val="24"/>
          <w:szCs w:val="24"/>
        </w:rPr>
        <w:t>).</w:t>
      </w:r>
    </w:p>
    <w:p w14:paraId="0223207A" w14:textId="4C51C282" w:rsidR="00346604" w:rsidRPr="009935E0" w:rsidRDefault="00001FB8"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Projektowany art. </w:t>
      </w:r>
      <w:r w:rsidR="00F229EE" w:rsidRPr="009935E0">
        <w:rPr>
          <w:rFonts w:ascii="Times New Roman" w:hAnsi="Times New Roman" w:cs="Times New Roman"/>
          <w:sz w:val="24"/>
          <w:szCs w:val="24"/>
        </w:rPr>
        <w:t>22</w:t>
      </w:r>
      <w:r w:rsidR="007A4941" w:rsidRPr="009935E0">
        <w:rPr>
          <w:rFonts w:ascii="Times New Roman" w:hAnsi="Times New Roman" w:cs="Times New Roman"/>
          <w:sz w:val="24"/>
          <w:szCs w:val="24"/>
        </w:rPr>
        <w:t>a</w:t>
      </w:r>
      <w:r w:rsidR="00F229EE" w:rsidRPr="009935E0">
        <w:rPr>
          <w:rFonts w:ascii="Times New Roman" w:hAnsi="Times New Roman" w:cs="Times New Roman"/>
          <w:sz w:val="24"/>
          <w:szCs w:val="24"/>
        </w:rPr>
        <w:t xml:space="preserve"> ust. 1 </w:t>
      </w:r>
      <w:r w:rsidR="009B19C2" w:rsidRPr="009935E0">
        <w:rPr>
          <w:rFonts w:ascii="Times New Roman" w:hAnsi="Times New Roman" w:cs="Times New Roman"/>
          <w:sz w:val="24"/>
          <w:szCs w:val="24"/>
        </w:rPr>
        <w:t xml:space="preserve">ustawy o prawie autorskim </w:t>
      </w:r>
      <w:r w:rsidR="00F229EE" w:rsidRPr="009935E0">
        <w:rPr>
          <w:rFonts w:ascii="Times New Roman" w:hAnsi="Times New Roman" w:cs="Times New Roman"/>
          <w:sz w:val="24"/>
          <w:szCs w:val="24"/>
        </w:rPr>
        <w:t>przesądza</w:t>
      </w:r>
      <w:r w:rsidR="009504A7" w:rsidRPr="009935E0">
        <w:rPr>
          <w:rFonts w:ascii="Times New Roman" w:hAnsi="Times New Roman" w:cs="Times New Roman"/>
          <w:sz w:val="24"/>
          <w:szCs w:val="24"/>
        </w:rPr>
        <w:t xml:space="preserve">, </w:t>
      </w:r>
      <w:r w:rsidR="00346604" w:rsidRPr="009935E0">
        <w:rPr>
          <w:rFonts w:ascii="Times New Roman" w:hAnsi="Times New Roman" w:cs="Times New Roman"/>
          <w:sz w:val="24"/>
          <w:szCs w:val="24"/>
        </w:rPr>
        <w:t xml:space="preserve">zgodnie z art. 17 ust. 1 dyrektywy, </w:t>
      </w:r>
      <w:r w:rsidR="009504A7" w:rsidRPr="009935E0">
        <w:rPr>
          <w:rFonts w:ascii="Times New Roman" w:hAnsi="Times New Roman" w:cs="Times New Roman"/>
          <w:sz w:val="24"/>
          <w:szCs w:val="24"/>
        </w:rPr>
        <w:t xml:space="preserve">że </w:t>
      </w:r>
      <w:r w:rsidR="00FD57C6" w:rsidRPr="009935E0">
        <w:rPr>
          <w:rFonts w:ascii="Times New Roman" w:hAnsi="Times New Roman" w:cs="Times New Roman"/>
          <w:sz w:val="24"/>
          <w:szCs w:val="24"/>
        </w:rPr>
        <w:t xml:space="preserve">udzielenie przez </w:t>
      </w:r>
      <w:r w:rsidR="009504A7" w:rsidRPr="009935E0">
        <w:rPr>
          <w:rFonts w:ascii="Times New Roman" w:hAnsi="Times New Roman" w:cs="Times New Roman"/>
          <w:sz w:val="24"/>
          <w:szCs w:val="24"/>
        </w:rPr>
        <w:t xml:space="preserve">DUUTO </w:t>
      </w:r>
      <w:r w:rsidR="00F229EE" w:rsidRPr="009935E0">
        <w:rPr>
          <w:rFonts w:ascii="Times New Roman" w:hAnsi="Times New Roman" w:cs="Times New Roman"/>
          <w:sz w:val="24"/>
          <w:szCs w:val="24"/>
        </w:rPr>
        <w:t xml:space="preserve">publicznego </w:t>
      </w:r>
      <w:r w:rsidR="00FD57C6" w:rsidRPr="009935E0">
        <w:rPr>
          <w:rFonts w:ascii="Times New Roman" w:hAnsi="Times New Roman" w:cs="Times New Roman"/>
          <w:sz w:val="24"/>
          <w:szCs w:val="24"/>
        </w:rPr>
        <w:t>dostępu do</w:t>
      </w:r>
      <w:r w:rsidR="00F229EE" w:rsidRPr="009935E0">
        <w:rPr>
          <w:rFonts w:ascii="Times New Roman" w:hAnsi="Times New Roman" w:cs="Times New Roman"/>
          <w:sz w:val="24"/>
          <w:szCs w:val="24"/>
        </w:rPr>
        <w:t xml:space="preserve"> utworu zamieszczonego przez usługobiorcę</w:t>
      </w:r>
      <w:r w:rsidR="00FD57C6" w:rsidRPr="009935E0">
        <w:rPr>
          <w:rFonts w:ascii="Times New Roman" w:hAnsi="Times New Roman" w:cs="Times New Roman"/>
          <w:sz w:val="24"/>
          <w:szCs w:val="24"/>
        </w:rPr>
        <w:t xml:space="preserve"> stanowi „publiczne </w:t>
      </w:r>
      <w:r w:rsidR="00A66D60" w:rsidRPr="009935E0">
        <w:rPr>
          <w:rFonts w:ascii="Times New Roman" w:hAnsi="Times New Roman" w:cs="Times New Roman"/>
          <w:sz w:val="24"/>
          <w:szCs w:val="24"/>
        </w:rPr>
        <w:t>udostępnienie</w:t>
      </w:r>
      <w:r w:rsidR="00FD57C6" w:rsidRPr="009935E0">
        <w:rPr>
          <w:rFonts w:ascii="Times New Roman" w:hAnsi="Times New Roman" w:cs="Times New Roman"/>
          <w:sz w:val="24"/>
          <w:szCs w:val="24"/>
        </w:rPr>
        <w:t xml:space="preserve"> utworu przez tego dostawcę”</w:t>
      </w:r>
      <w:r w:rsidR="00F229EE" w:rsidRPr="009935E0">
        <w:rPr>
          <w:rFonts w:ascii="Times New Roman" w:hAnsi="Times New Roman" w:cs="Times New Roman"/>
          <w:sz w:val="24"/>
          <w:szCs w:val="24"/>
        </w:rPr>
        <w:t>. Tym sposobem DUUTO, w okolicznościach wskazanych w przepisie, zostaje uznany za użytkownika w rozumieniu prawa autorskiego i jeżeli nie działa w granicach dozwolonego użytku</w:t>
      </w:r>
      <w:r w:rsidR="00042DB1" w:rsidRPr="009935E0">
        <w:rPr>
          <w:rFonts w:ascii="Times New Roman" w:hAnsi="Times New Roman" w:cs="Times New Roman"/>
          <w:sz w:val="24"/>
          <w:szCs w:val="24"/>
        </w:rPr>
        <w:t>,</w:t>
      </w:r>
      <w:r w:rsidR="00F229EE" w:rsidRPr="009935E0">
        <w:rPr>
          <w:rFonts w:ascii="Times New Roman" w:hAnsi="Times New Roman" w:cs="Times New Roman"/>
          <w:sz w:val="24"/>
          <w:szCs w:val="24"/>
        </w:rPr>
        <w:t xml:space="preserve"> </w:t>
      </w:r>
      <w:r w:rsidR="00413AB1" w:rsidRPr="009935E0">
        <w:rPr>
          <w:rFonts w:ascii="Times New Roman" w:hAnsi="Times New Roman" w:cs="Times New Roman"/>
          <w:sz w:val="24"/>
          <w:szCs w:val="24"/>
        </w:rPr>
        <w:t xml:space="preserve">jest </w:t>
      </w:r>
      <w:r w:rsidR="00F229EE" w:rsidRPr="009935E0">
        <w:rPr>
          <w:rFonts w:ascii="Times New Roman" w:hAnsi="Times New Roman" w:cs="Times New Roman"/>
          <w:sz w:val="24"/>
          <w:szCs w:val="24"/>
        </w:rPr>
        <w:t xml:space="preserve">obowiązany uzyskać zgodę uprawnionego na korzystanie z utworu. Wymaganą zgodę </w:t>
      </w:r>
      <w:r w:rsidR="00B26AB1" w:rsidRPr="009935E0">
        <w:rPr>
          <w:rFonts w:ascii="Times New Roman" w:hAnsi="Times New Roman" w:cs="Times New Roman"/>
          <w:sz w:val="24"/>
          <w:szCs w:val="24"/>
        </w:rPr>
        <w:t xml:space="preserve">może </w:t>
      </w:r>
      <w:r w:rsidR="00B26AB1" w:rsidRPr="009935E0">
        <w:rPr>
          <w:rFonts w:ascii="Times New Roman" w:hAnsi="Times New Roman" w:cs="Times New Roman"/>
          <w:sz w:val="24"/>
          <w:szCs w:val="24"/>
        </w:rPr>
        <w:lastRenderedPageBreak/>
        <w:t>uzyskać</w:t>
      </w:r>
      <w:r w:rsidR="00F229EE" w:rsidRPr="009935E0">
        <w:rPr>
          <w:rFonts w:ascii="Times New Roman" w:hAnsi="Times New Roman" w:cs="Times New Roman"/>
          <w:sz w:val="24"/>
          <w:szCs w:val="24"/>
        </w:rPr>
        <w:t>, tak jak inni użytkownicy,</w:t>
      </w:r>
      <w:r w:rsidR="00B26AB1" w:rsidRPr="009935E0">
        <w:rPr>
          <w:rFonts w:ascii="Times New Roman" w:hAnsi="Times New Roman" w:cs="Times New Roman"/>
          <w:sz w:val="24"/>
          <w:szCs w:val="24"/>
        </w:rPr>
        <w:t xml:space="preserve"> w sposób i na zasadach określonych w przepisach ustawy o prawie autorskim oraz ustawy o zbiorowym zarządzaniu. Może to być zatem jednostronne oświad</w:t>
      </w:r>
      <w:r w:rsidR="007C7166" w:rsidRPr="009935E0">
        <w:rPr>
          <w:rFonts w:ascii="Times New Roman" w:hAnsi="Times New Roman" w:cs="Times New Roman"/>
          <w:sz w:val="24"/>
          <w:szCs w:val="24"/>
        </w:rPr>
        <w:t xml:space="preserve">czenie woli uprawnionego, umowa licencyjna z uprawnionym lub umowa licencyjna z </w:t>
      </w:r>
      <w:proofErr w:type="spellStart"/>
      <w:r w:rsidR="007C7166" w:rsidRPr="009935E0">
        <w:rPr>
          <w:rFonts w:ascii="Times New Roman" w:hAnsi="Times New Roman" w:cs="Times New Roman"/>
          <w:sz w:val="24"/>
          <w:szCs w:val="24"/>
        </w:rPr>
        <w:t>ozz</w:t>
      </w:r>
      <w:proofErr w:type="spellEnd"/>
      <w:r w:rsidR="007C7166" w:rsidRPr="009935E0">
        <w:rPr>
          <w:rFonts w:ascii="Times New Roman" w:hAnsi="Times New Roman" w:cs="Times New Roman"/>
          <w:sz w:val="24"/>
          <w:szCs w:val="24"/>
        </w:rPr>
        <w:t xml:space="preserve">, w tym także zawarta w formule </w:t>
      </w:r>
      <w:r w:rsidR="00964FDB" w:rsidRPr="009935E0">
        <w:rPr>
          <w:rFonts w:ascii="Times New Roman" w:hAnsi="Times New Roman" w:cs="Times New Roman"/>
          <w:sz w:val="24"/>
          <w:szCs w:val="24"/>
        </w:rPr>
        <w:t>rozszerzonej licencji zbiorowej ECL</w:t>
      </w:r>
      <w:r w:rsidR="00366D55" w:rsidRPr="009935E0">
        <w:rPr>
          <w:rFonts w:ascii="Times New Roman" w:hAnsi="Times New Roman" w:cs="Times New Roman"/>
          <w:sz w:val="24"/>
          <w:szCs w:val="24"/>
        </w:rPr>
        <w:t xml:space="preserve"> </w:t>
      </w:r>
      <w:r w:rsidR="007C7166" w:rsidRPr="009935E0">
        <w:rPr>
          <w:rFonts w:ascii="Times New Roman" w:hAnsi="Times New Roman" w:cs="Times New Roman"/>
          <w:sz w:val="24"/>
          <w:szCs w:val="24"/>
        </w:rPr>
        <w:t>(o czym dalej).</w:t>
      </w:r>
    </w:p>
    <w:p w14:paraId="18A19EA5" w14:textId="77777777" w:rsidR="00964FDB" w:rsidRPr="009935E0" w:rsidRDefault="00964FDB"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konsultacjach publicznych projektowanej ustawy słusznie podnoszono, że eksploatacja utworów przez DUUTO nie może być definiowana jako „rozpowszechnianie”, gdyż nie zawsze DUUTO będzie dysponował zgodą uprawnionego. Specyfika art. 17 dyrektywy</w:t>
      </w:r>
      <w:r w:rsidR="00A133D5" w:rsidRPr="009935E0">
        <w:rPr>
          <w:rFonts w:ascii="Times New Roman" w:hAnsi="Times New Roman" w:cs="Times New Roman"/>
          <w:sz w:val="24"/>
          <w:szCs w:val="24"/>
        </w:rPr>
        <w:t xml:space="preserve"> DSM polega bowiem m.</w:t>
      </w:r>
      <w:r w:rsidRPr="009935E0">
        <w:rPr>
          <w:rFonts w:ascii="Times New Roman" w:hAnsi="Times New Roman" w:cs="Times New Roman"/>
          <w:sz w:val="24"/>
          <w:szCs w:val="24"/>
        </w:rPr>
        <w:t>in. na tym, że nawet w braku zgody uprawnionego DUUTO będzie działał legalnie, o ile spełni dodatkowe, określone w dyrektywie warunki. Zasadne wydaje się zatem posłużenie się formułą „publicznego udostępnienia”, która w prawie autors</w:t>
      </w:r>
      <w:r w:rsidR="00A133D5" w:rsidRPr="009935E0">
        <w:rPr>
          <w:rFonts w:ascii="Times New Roman" w:hAnsi="Times New Roman" w:cs="Times New Roman"/>
          <w:sz w:val="24"/>
          <w:szCs w:val="24"/>
        </w:rPr>
        <w:t>kim jest m.</w:t>
      </w:r>
      <w:r w:rsidRPr="009935E0">
        <w:rPr>
          <w:rFonts w:ascii="Times New Roman" w:hAnsi="Times New Roman" w:cs="Times New Roman"/>
          <w:sz w:val="24"/>
          <w:szCs w:val="24"/>
        </w:rPr>
        <w:t>in. elementem definicji „rozpowszechniania”</w:t>
      </w:r>
      <w:r w:rsidR="00FD4511" w:rsidRPr="009935E0">
        <w:rPr>
          <w:rFonts w:ascii="Times New Roman" w:hAnsi="Times New Roman" w:cs="Times New Roman"/>
          <w:sz w:val="24"/>
          <w:szCs w:val="24"/>
        </w:rPr>
        <w:t xml:space="preserve"> utworu (art. 6 ust. 1 pkt 3 ustawy o prawie autorskim).</w:t>
      </w:r>
    </w:p>
    <w:p w14:paraId="0B4FEDDF" w14:textId="77777777" w:rsidR="00964FDB" w:rsidRPr="009935E0" w:rsidRDefault="00FD4511"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Warte podkreślenia jest</w:t>
      </w:r>
      <w:r w:rsidR="008E5B13" w:rsidRPr="009935E0">
        <w:rPr>
          <w:rFonts w:ascii="Times New Roman" w:hAnsi="Times New Roman" w:cs="Times New Roman"/>
          <w:sz w:val="24"/>
          <w:szCs w:val="24"/>
        </w:rPr>
        <w:t xml:space="preserve"> także to</w:t>
      </w:r>
      <w:r w:rsidRPr="009935E0">
        <w:rPr>
          <w:rFonts w:ascii="Times New Roman" w:hAnsi="Times New Roman" w:cs="Times New Roman"/>
          <w:sz w:val="24"/>
          <w:szCs w:val="24"/>
        </w:rPr>
        <w:t>, że omawiany</w:t>
      </w:r>
      <w:r w:rsidR="00964FDB" w:rsidRPr="009935E0">
        <w:rPr>
          <w:rFonts w:ascii="Times New Roman" w:hAnsi="Times New Roman" w:cs="Times New Roman"/>
          <w:sz w:val="24"/>
          <w:szCs w:val="24"/>
        </w:rPr>
        <w:t xml:space="preserve"> art. 22</w:t>
      </w:r>
      <w:r w:rsidR="007A4941" w:rsidRPr="009935E0">
        <w:rPr>
          <w:rFonts w:ascii="Times New Roman" w:hAnsi="Times New Roman" w:cs="Times New Roman"/>
          <w:sz w:val="24"/>
          <w:szCs w:val="24"/>
        </w:rPr>
        <w:t>a</w:t>
      </w:r>
      <w:r w:rsidR="00964FDB" w:rsidRPr="009935E0">
        <w:rPr>
          <w:rFonts w:ascii="Times New Roman" w:hAnsi="Times New Roman" w:cs="Times New Roman"/>
          <w:sz w:val="24"/>
          <w:szCs w:val="24"/>
        </w:rPr>
        <w:t xml:space="preserve"> ust. 1 </w:t>
      </w:r>
      <w:r w:rsidRPr="009935E0">
        <w:rPr>
          <w:rFonts w:ascii="Times New Roman" w:hAnsi="Times New Roman" w:cs="Times New Roman"/>
          <w:sz w:val="24"/>
          <w:szCs w:val="24"/>
        </w:rPr>
        <w:t>wyraźnie wymaga, aby utwór publicznie udostępniany przez DUUTO był uprzednio „zamieszczony” przez usługobiorcę. Cała regulacja nie dotyczy bowiem udostępniania przez DUUTO utworów własnych (tj. do których majątkowe prawa autorskie zostały przez DUUTO nabyte drogą ich przeniesienia lub jako utwory pracownicze), lecz utworów cudzych, zamieszczanych przez użytkowników usług DUUTO – usługobiorców.</w:t>
      </w:r>
    </w:p>
    <w:p w14:paraId="14654AE6" w14:textId="77777777" w:rsidR="001B3B41" w:rsidRPr="009935E0" w:rsidRDefault="008E5B1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Zgodnie z projektowanym art. 22</w:t>
      </w:r>
      <w:r w:rsidR="00F50D5F" w:rsidRPr="009935E0">
        <w:rPr>
          <w:rFonts w:ascii="Times New Roman" w:hAnsi="Times New Roman" w:cs="Times New Roman"/>
          <w:sz w:val="24"/>
          <w:szCs w:val="24"/>
        </w:rPr>
        <w:t>a</w:t>
      </w:r>
      <w:r w:rsidR="00EF53B4" w:rsidRPr="009935E0">
        <w:rPr>
          <w:rFonts w:ascii="Times New Roman" w:hAnsi="Times New Roman" w:cs="Times New Roman"/>
          <w:sz w:val="24"/>
          <w:szCs w:val="24"/>
        </w:rPr>
        <w:t xml:space="preserve"> ust. 2 ustawy o prawie autorskim</w:t>
      </w:r>
      <w:r w:rsidR="001B3B41" w:rsidRPr="009935E0">
        <w:rPr>
          <w:rFonts w:ascii="Times New Roman" w:hAnsi="Times New Roman" w:cs="Times New Roman"/>
          <w:sz w:val="24"/>
          <w:szCs w:val="24"/>
        </w:rPr>
        <w:t xml:space="preserve">, </w:t>
      </w:r>
      <w:r w:rsidRPr="009935E0">
        <w:rPr>
          <w:rFonts w:ascii="Times New Roman" w:hAnsi="Times New Roman" w:cs="Times New Roman"/>
          <w:sz w:val="24"/>
          <w:szCs w:val="24"/>
        </w:rPr>
        <w:t>w ślad za art. 17 ust. 2 dyrektywy</w:t>
      </w:r>
      <w:r w:rsidR="009B19C2"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w:t>
      </w:r>
      <w:r w:rsidR="001B3B41" w:rsidRPr="009935E0">
        <w:rPr>
          <w:rFonts w:ascii="Times New Roman" w:hAnsi="Times New Roman" w:cs="Times New Roman"/>
          <w:sz w:val="24"/>
          <w:szCs w:val="24"/>
        </w:rPr>
        <w:t xml:space="preserve">zgoda uprawnionego </w:t>
      </w:r>
      <w:r w:rsidRPr="009935E0">
        <w:rPr>
          <w:rFonts w:ascii="Times New Roman" w:hAnsi="Times New Roman" w:cs="Times New Roman"/>
          <w:sz w:val="24"/>
          <w:szCs w:val="24"/>
        </w:rPr>
        <w:t>na publiczne u</w:t>
      </w:r>
      <w:r w:rsidR="00932645" w:rsidRPr="009935E0">
        <w:rPr>
          <w:rFonts w:ascii="Times New Roman" w:hAnsi="Times New Roman" w:cs="Times New Roman"/>
          <w:sz w:val="24"/>
          <w:szCs w:val="24"/>
        </w:rPr>
        <w:t xml:space="preserve">dostępnienie utworu przez DUUTO </w:t>
      </w:r>
      <w:r w:rsidR="009504A7" w:rsidRPr="009935E0">
        <w:rPr>
          <w:rFonts w:ascii="Times New Roman" w:hAnsi="Times New Roman" w:cs="Times New Roman"/>
          <w:sz w:val="24"/>
          <w:szCs w:val="24"/>
        </w:rPr>
        <w:t xml:space="preserve">będzie obejmować </w:t>
      </w:r>
      <w:r w:rsidR="001B3B41" w:rsidRPr="009935E0">
        <w:rPr>
          <w:rFonts w:ascii="Times New Roman" w:hAnsi="Times New Roman" w:cs="Times New Roman"/>
          <w:sz w:val="24"/>
          <w:szCs w:val="24"/>
        </w:rPr>
        <w:t xml:space="preserve">również (ex lege) </w:t>
      </w:r>
      <w:r w:rsidR="00932645" w:rsidRPr="009935E0">
        <w:rPr>
          <w:rFonts w:ascii="Times New Roman" w:hAnsi="Times New Roman" w:cs="Times New Roman"/>
          <w:sz w:val="24"/>
          <w:szCs w:val="24"/>
        </w:rPr>
        <w:t>zgodę na publiczne udostępnienie tego utworu przez usługobiorcę za pośrednictwem DUUTO</w:t>
      </w:r>
      <w:r w:rsidR="009504A7" w:rsidRPr="009935E0">
        <w:rPr>
          <w:rFonts w:ascii="Times New Roman" w:hAnsi="Times New Roman" w:cs="Times New Roman"/>
          <w:sz w:val="24"/>
          <w:szCs w:val="24"/>
        </w:rPr>
        <w:t xml:space="preserve">, jeżeli nie </w:t>
      </w:r>
      <w:r w:rsidR="00932645" w:rsidRPr="009935E0">
        <w:rPr>
          <w:rFonts w:ascii="Times New Roman" w:hAnsi="Times New Roman" w:cs="Times New Roman"/>
          <w:sz w:val="24"/>
          <w:szCs w:val="24"/>
        </w:rPr>
        <w:t>jest dokonywane przez usługobiorcę</w:t>
      </w:r>
      <w:r w:rsidR="009504A7" w:rsidRPr="009935E0">
        <w:rPr>
          <w:rFonts w:ascii="Times New Roman" w:hAnsi="Times New Roman" w:cs="Times New Roman"/>
          <w:sz w:val="24"/>
          <w:szCs w:val="24"/>
        </w:rPr>
        <w:t xml:space="preserve"> „</w:t>
      </w:r>
      <w:r w:rsidR="001B3B41" w:rsidRPr="009935E0">
        <w:rPr>
          <w:rFonts w:ascii="Times New Roman" w:hAnsi="Times New Roman" w:cs="Times New Roman"/>
          <w:sz w:val="24"/>
          <w:szCs w:val="24"/>
        </w:rPr>
        <w:t xml:space="preserve">w celach zarobkowych” lub też </w:t>
      </w:r>
      <w:r w:rsidR="00932645" w:rsidRPr="009935E0">
        <w:rPr>
          <w:rFonts w:ascii="Times New Roman" w:hAnsi="Times New Roman" w:cs="Times New Roman"/>
          <w:sz w:val="24"/>
          <w:szCs w:val="24"/>
        </w:rPr>
        <w:t>„nie przynosi mu</w:t>
      </w:r>
      <w:r w:rsidR="001B3B41" w:rsidRPr="009935E0">
        <w:rPr>
          <w:rFonts w:ascii="Times New Roman" w:hAnsi="Times New Roman" w:cs="Times New Roman"/>
          <w:sz w:val="24"/>
          <w:szCs w:val="24"/>
        </w:rPr>
        <w:t xml:space="preserve"> znaczących przychodów”. Tym samym </w:t>
      </w:r>
      <w:r w:rsidR="00932645" w:rsidRPr="009935E0">
        <w:rPr>
          <w:rFonts w:ascii="Times New Roman" w:hAnsi="Times New Roman" w:cs="Times New Roman"/>
          <w:sz w:val="24"/>
          <w:szCs w:val="24"/>
        </w:rPr>
        <w:t>usługobiorcy</w:t>
      </w:r>
      <w:r w:rsidR="001B3B41" w:rsidRPr="009935E0">
        <w:rPr>
          <w:rFonts w:ascii="Times New Roman" w:hAnsi="Times New Roman" w:cs="Times New Roman"/>
          <w:sz w:val="24"/>
          <w:szCs w:val="24"/>
        </w:rPr>
        <w:t xml:space="preserve"> zyskają na gruncie prawa autorskiego upoważnienie do zamieszczania i </w:t>
      </w:r>
      <w:r w:rsidR="00932645" w:rsidRPr="009935E0">
        <w:rPr>
          <w:rFonts w:ascii="Times New Roman" w:hAnsi="Times New Roman" w:cs="Times New Roman"/>
          <w:sz w:val="24"/>
          <w:szCs w:val="24"/>
        </w:rPr>
        <w:t>udostępniania</w:t>
      </w:r>
      <w:r w:rsidR="001B3B41" w:rsidRPr="009935E0">
        <w:rPr>
          <w:rFonts w:ascii="Times New Roman" w:hAnsi="Times New Roman" w:cs="Times New Roman"/>
          <w:sz w:val="24"/>
          <w:szCs w:val="24"/>
        </w:rPr>
        <w:t xml:space="preserve"> w serwisach danego DUUTO utworów objętych uzyskaną przez niego </w:t>
      </w:r>
      <w:r w:rsidR="00B95B85" w:rsidRPr="009935E0">
        <w:rPr>
          <w:rFonts w:ascii="Times New Roman" w:hAnsi="Times New Roman" w:cs="Times New Roman"/>
          <w:sz w:val="24"/>
          <w:szCs w:val="24"/>
        </w:rPr>
        <w:t xml:space="preserve">licencją, dzięki czemu uzyskają ochronę prawną przed zarzutem nielegalnego </w:t>
      </w:r>
      <w:r w:rsidR="00932645" w:rsidRPr="009935E0">
        <w:rPr>
          <w:rFonts w:ascii="Times New Roman" w:hAnsi="Times New Roman" w:cs="Times New Roman"/>
          <w:sz w:val="24"/>
          <w:szCs w:val="24"/>
        </w:rPr>
        <w:t>udostępniania</w:t>
      </w:r>
      <w:r w:rsidR="00B95B85" w:rsidRPr="009935E0">
        <w:rPr>
          <w:rFonts w:ascii="Times New Roman" w:hAnsi="Times New Roman" w:cs="Times New Roman"/>
          <w:sz w:val="24"/>
          <w:szCs w:val="24"/>
        </w:rPr>
        <w:t>. Należy bowiem mieć na uwadze, że przesądzenie na gruncie dyrektywy</w:t>
      </w:r>
      <w:r w:rsidR="00932645" w:rsidRPr="009935E0">
        <w:rPr>
          <w:rFonts w:ascii="Times New Roman" w:hAnsi="Times New Roman" w:cs="Times New Roman"/>
          <w:sz w:val="24"/>
          <w:szCs w:val="24"/>
        </w:rPr>
        <w:t>,</w:t>
      </w:r>
      <w:r w:rsidR="00B95B85" w:rsidRPr="009935E0">
        <w:rPr>
          <w:rFonts w:ascii="Times New Roman" w:hAnsi="Times New Roman" w:cs="Times New Roman"/>
          <w:sz w:val="24"/>
          <w:szCs w:val="24"/>
        </w:rPr>
        <w:t xml:space="preserve"> że DUUTO jest użytkownikiem chronionych treści zamieszczanych przez </w:t>
      </w:r>
      <w:r w:rsidR="00932645" w:rsidRPr="009935E0">
        <w:rPr>
          <w:rFonts w:ascii="Times New Roman" w:hAnsi="Times New Roman" w:cs="Times New Roman"/>
          <w:sz w:val="24"/>
          <w:szCs w:val="24"/>
        </w:rPr>
        <w:t>usługobiorców,</w:t>
      </w:r>
      <w:r w:rsidR="00B95B85" w:rsidRPr="009935E0">
        <w:rPr>
          <w:rFonts w:ascii="Times New Roman" w:hAnsi="Times New Roman" w:cs="Times New Roman"/>
          <w:sz w:val="24"/>
          <w:szCs w:val="24"/>
        </w:rPr>
        <w:t xml:space="preserve"> nie oznacza, że ci ostatni przestają być traktowani na gruncie prawa autorskiego jako publicznie udostępniający te treści. Możliwe są bowiem sytuacje, gdy DUUTO nie uzyska licencji, o których mowa</w:t>
      </w:r>
      <w:r w:rsidR="006C6F72" w:rsidRPr="009935E0">
        <w:rPr>
          <w:rFonts w:ascii="Times New Roman" w:hAnsi="Times New Roman" w:cs="Times New Roman"/>
          <w:sz w:val="24"/>
          <w:szCs w:val="24"/>
        </w:rPr>
        <w:t>,</w:t>
      </w:r>
      <w:r w:rsidR="00B95B85" w:rsidRPr="009935E0">
        <w:rPr>
          <w:rFonts w:ascii="Times New Roman" w:hAnsi="Times New Roman" w:cs="Times New Roman"/>
          <w:sz w:val="24"/>
          <w:szCs w:val="24"/>
        </w:rPr>
        <w:t xml:space="preserve"> a </w:t>
      </w:r>
      <w:r w:rsidR="006C6F72" w:rsidRPr="009935E0">
        <w:rPr>
          <w:rFonts w:ascii="Times New Roman" w:hAnsi="Times New Roman" w:cs="Times New Roman"/>
          <w:sz w:val="24"/>
          <w:szCs w:val="24"/>
        </w:rPr>
        <w:t xml:space="preserve">mimo to </w:t>
      </w:r>
      <w:r w:rsidR="00B95B85" w:rsidRPr="009935E0">
        <w:rPr>
          <w:rFonts w:ascii="Times New Roman" w:hAnsi="Times New Roman" w:cs="Times New Roman"/>
          <w:sz w:val="24"/>
          <w:szCs w:val="24"/>
        </w:rPr>
        <w:t>będzie mógł dalej prowadzić swoją działalność (o czym dalej</w:t>
      </w:r>
      <w:r w:rsidR="00BB4148" w:rsidRPr="009935E0">
        <w:rPr>
          <w:rFonts w:ascii="Times New Roman" w:hAnsi="Times New Roman" w:cs="Times New Roman"/>
          <w:sz w:val="24"/>
          <w:szCs w:val="24"/>
        </w:rPr>
        <w:t xml:space="preserve"> – art. 17 ust. 4</w:t>
      </w:r>
      <w:r w:rsidR="00932645" w:rsidRPr="009935E0">
        <w:rPr>
          <w:rFonts w:ascii="Times New Roman" w:hAnsi="Times New Roman" w:cs="Times New Roman"/>
          <w:sz w:val="24"/>
          <w:szCs w:val="24"/>
        </w:rPr>
        <w:t xml:space="preserve"> dyrektywy</w:t>
      </w:r>
      <w:r w:rsidR="00B95B85" w:rsidRPr="009935E0">
        <w:rPr>
          <w:rFonts w:ascii="Times New Roman" w:hAnsi="Times New Roman" w:cs="Times New Roman"/>
          <w:sz w:val="24"/>
          <w:szCs w:val="24"/>
        </w:rPr>
        <w:t>).</w:t>
      </w:r>
    </w:p>
    <w:p w14:paraId="0CF70697" w14:textId="77777777" w:rsidR="009504A7" w:rsidRPr="009935E0" w:rsidRDefault="006C6F7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Zgodnie z art. 17 ust. 3</w:t>
      </w:r>
      <w:r w:rsidR="00932645" w:rsidRPr="009935E0">
        <w:rPr>
          <w:rFonts w:ascii="Times New Roman" w:hAnsi="Times New Roman" w:cs="Times New Roman"/>
          <w:sz w:val="24"/>
          <w:szCs w:val="24"/>
        </w:rPr>
        <w:t xml:space="preserve"> dyrektywy</w:t>
      </w:r>
      <w:r w:rsidR="009B19C2" w:rsidRPr="009935E0">
        <w:rPr>
          <w:rFonts w:ascii="Times New Roman" w:hAnsi="Times New Roman" w:cs="Times New Roman"/>
          <w:sz w:val="24"/>
          <w:szCs w:val="24"/>
        </w:rPr>
        <w:t xml:space="preserve"> DSM</w:t>
      </w:r>
      <w:r w:rsidR="00932645" w:rsidRPr="009935E0">
        <w:rPr>
          <w:rFonts w:ascii="Times New Roman" w:hAnsi="Times New Roman" w:cs="Times New Roman"/>
          <w:sz w:val="24"/>
          <w:szCs w:val="24"/>
        </w:rPr>
        <w:t>, projektowany art. 22</w:t>
      </w:r>
      <w:r w:rsidR="00F50D5F" w:rsidRPr="009935E0">
        <w:rPr>
          <w:rFonts w:ascii="Times New Roman" w:hAnsi="Times New Roman" w:cs="Times New Roman"/>
          <w:sz w:val="24"/>
          <w:szCs w:val="24"/>
        </w:rPr>
        <w:t>a</w:t>
      </w:r>
      <w:r w:rsidRPr="009935E0">
        <w:rPr>
          <w:rFonts w:ascii="Times New Roman" w:hAnsi="Times New Roman" w:cs="Times New Roman"/>
          <w:sz w:val="24"/>
          <w:szCs w:val="24"/>
        </w:rPr>
        <w:t xml:space="preserve"> ust. 3 ustawy o prawie autorskim wyraźnie wyłącza stosowanie do ww. działalności DUUTO </w:t>
      </w:r>
      <w:r w:rsidR="00BB4148" w:rsidRPr="009935E0">
        <w:rPr>
          <w:rFonts w:ascii="Times New Roman" w:hAnsi="Times New Roman" w:cs="Times New Roman"/>
          <w:sz w:val="24"/>
          <w:szCs w:val="24"/>
        </w:rPr>
        <w:t>(</w:t>
      </w:r>
      <w:r w:rsidRPr="009935E0">
        <w:rPr>
          <w:rFonts w:ascii="Times New Roman" w:hAnsi="Times New Roman" w:cs="Times New Roman"/>
          <w:sz w:val="24"/>
          <w:szCs w:val="24"/>
        </w:rPr>
        <w:t>względnie łagodnych</w:t>
      </w:r>
      <w:r w:rsidR="00BB4148"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Pr="009935E0">
        <w:rPr>
          <w:rFonts w:ascii="Times New Roman" w:hAnsi="Times New Roman" w:cs="Times New Roman"/>
          <w:sz w:val="24"/>
          <w:szCs w:val="24"/>
        </w:rPr>
        <w:lastRenderedPageBreak/>
        <w:t xml:space="preserve">zasad odpowiedzialności przewidzianych w </w:t>
      </w:r>
      <w:r w:rsidR="009504A7" w:rsidRPr="009935E0">
        <w:rPr>
          <w:rFonts w:ascii="Times New Roman" w:hAnsi="Times New Roman" w:cs="Times New Roman"/>
          <w:sz w:val="24"/>
          <w:szCs w:val="24"/>
        </w:rPr>
        <w:t xml:space="preserve">art. </w:t>
      </w:r>
      <w:r w:rsidRPr="009935E0">
        <w:rPr>
          <w:rFonts w:ascii="Times New Roman" w:hAnsi="Times New Roman" w:cs="Times New Roman"/>
          <w:sz w:val="24"/>
          <w:szCs w:val="24"/>
        </w:rPr>
        <w:t>14</w:t>
      </w:r>
      <w:r w:rsidR="00932645" w:rsidRPr="009935E0">
        <w:rPr>
          <w:rFonts w:ascii="Times New Roman" w:hAnsi="Times New Roman" w:cs="Times New Roman"/>
          <w:sz w:val="24"/>
          <w:szCs w:val="24"/>
        </w:rPr>
        <w:t xml:space="preserve"> ustawy </w:t>
      </w:r>
      <w:r w:rsidR="00386CB1" w:rsidRPr="009935E0">
        <w:rPr>
          <w:rFonts w:ascii="Times New Roman" w:hAnsi="Times New Roman" w:cs="Times New Roman"/>
          <w:sz w:val="24"/>
          <w:szCs w:val="24"/>
        </w:rPr>
        <w:t xml:space="preserve">z dnia 18 lipca 2002 r. </w:t>
      </w:r>
      <w:r w:rsidR="009504A7" w:rsidRPr="009935E0">
        <w:rPr>
          <w:rFonts w:ascii="Times New Roman" w:hAnsi="Times New Roman" w:cs="Times New Roman"/>
          <w:sz w:val="24"/>
          <w:szCs w:val="24"/>
        </w:rPr>
        <w:t xml:space="preserve">o świadczeniu usług drogą elektroniczną, tj. przepisów krajowych określających </w:t>
      </w:r>
      <w:r w:rsidRPr="009935E0">
        <w:rPr>
          <w:rFonts w:ascii="Times New Roman" w:hAnsi="Times New Roman" w:cs="Times New Roman"/>
          <w:sz w:val="24"/>
          <w:szCs w:val="24"/>
        </w:rPr>
        <w:t xml:space="preserve">warunki wyłączenia </w:t>
      </w:r>
      <w:r w:rsidR="009504A7" w:rsidRPr="009935E0">
        <w:rPr>
          <w:rFonts w:ascii="Times New Roman" w:hAnsi="Times New Roman" w:cs="Times New Roman"/>
          <w:sz w:val="24"/>
          <w:szCs w:val="24"/>
        </w:rPr>
        <w:t>odpowiedzialności dostawców usług społeczeństwa informacyjnego</w:t>
      </w:r>
      <w:r w:rsidRPr="009935E0">
        <w:rPr>
          <w:rFonts w:ascii="Times New Roman" w:hAnsi="Times New Roman" w:cs="Times New Roman"/>
          <w:sz w:val="24"/>
          <w:szCs w:val="24"/>
        </w:rPr>
        <w:t xml:space="preserve"> za</w:t>
      </w:r>
      <w:r w:rsidR="00D20127" w:rsidRPr="009935E0">
        <w:rPr>
          <w:rFonts w:ascii="Times New Roman" w:hAnsi="Times New Roman" w:cs="Times New Roman"/>
          <w:sz w:val="24"/>
          <w:szCs w:val="24"/>
        </w:rPr>
        <w:t xml:space="preserve"> udostępniane treści</w:t>
      </w:r>
      <w:r w:rsidR="009504A7" w:rsidRPr="009935E0">
        <w:rPr>
          <w:rFonts w:ascii="Times New Roman" w:hAnsi="Times New Roman" w:cs="Times New Roman"/>
          <w:sz w:val="24"/>
          <w:szCs w:val="24"/>
        </w:rPr>
        <w:t xml:space="preserve">, </w:t>
      </w:r>
      <w:r w:rsidR="00D20127" w:rsidRPr="009935E0">
        <w:rPr>
          <w:rFonts w:ascii="Times New Roman" w:hAnsi="Times New Roman" w:cs="Times New Roman"/>
          <w:sz w:val="24"/>
          <w:szCs w:val="24"/>
        </w:rPr>
        <w:t xml:space="preserve">stanowiących implementację </w:t>
      </w:r>
      <w:r w:rsidR="009504A7" w:rsidRPr="009935E0">
        <w:rPr>
          <w:rFonts w:ascii="Times New Roman" w:hAnsi="Times New Roman" w:cs="Times New Roman"/>
          <w:sz w:val="24"/>
          <w:szCs w:val="24"/>
        </w:rPr>
        <w:t xml:space="preserve">art. </w:t>
      </w:r>
      <w:r w:rsidRPr="009935E0">
        <w:rPr>
          <w:rFonts w:ascii="Times New Roman" w:hAnsi="Times New Roman" w:cs="Times New Roman"/>
          <w:sz w:val="24"/>
          <w:szCs w:val="24"/>
        </w:rPr>
        <w:t xml:space="preserve">14 ust. 1 dyrektywy 2000/31/WE. </w:t>
      </w:r>
      <w:r w:rsidR="00D20127" w:rsidRPr="009935E0">
        <w:rPr>
          <w:rFonts w:ascii="Times New Roman" w:hAnsi="Times New Roman" w:cs="Times New Roman"/>
          <w:sz w:val="24"/>
          <w:szCs w:val="24"/>
        </w:rPr>
        <w:t>Dyrektywa DSM przewiduje bowiem w art. 17 ust. 4 znacznie bardziej rygorystyczne warunki wyłączenia odpowiedzialności DUUTO.</w:t>
      </w:r>
    </w:p>
    <w:p w14:paraId="7BC488B2" w14:textId="77777777" w:rsidR="001A4681" w:rsidRPr="009935E0" w:rsidRDefault="00D2012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Zgodnie z art. 17 ust. 4</w:t>
      </w:r>
      <w:r w:rsidR="00932645" w:rsidRPr="009935E0">
        <w:rPr>
          <w:rFonts w:ascii="Times New Roman" w:hAnsi="Times New Roman" w:cs="Times New Roman"/>
          <w:sz w:val="24"/>
          <w:szCs w:val="24"/>
        </w:rPr>
        <w:t xml:space="preserve"> dyrektywy, projektowany art. 22</w:t>
      </w:r>
      <w:r w:rsidR="00F50D5F" w:rsidRPr="009935E0">
        <w:rPr>
          <w:rFonts w:ascii="Times New Roman" w:hAnsi="Times New Roman" w:cs="Times New Roman"/>
          <w:sz w:val="24"/>
          <w:szCs w:val="24"/>
        </w:rPr>
        <w:t>b</w:t>
      </w:r>
      <w:r w:rsidRPr="009935E0">
        <w:rPr>
          <w:rFonts w:ascii="Times New Roman" w:hAnsi="Times New Roman" w:cs="Times New Roman"/>
          <w:sz w:val="24"/>
          <w:szCs w:val="24"/>
        </w:rPr>
        <w:t xml:space="preserve"> ust. 1 ustawy o </w:t>
      </w:r>
      <w:r w:rsidR="001E7601" w:rsidRPr="009935E0">
        <w:rPr>
          <w:rFonts w:ascii="Times New Roman" w:hAnsi="Times New Roman" w:cs="Times New Roman"/>
          <w:sz w:val="24"/>
          <w:szCs w:val="24"/>
        </w:rPr>
        <w:t>prawie autorskim przesądza, i jest to</w:t>
      </w:r>
      <w:r w:rsidRPr="009935E0">
        <w:rPr>
          <w:rFonts w:ascii="Times New Roman" w:hAnsi="Times New Roman" w:cs="Times New Roman"/>
          <w:sz w:val="24"/>
          <w:szCs w:val="24"/>
        </w:rPr>
        <w:t xml:space="preserve"> logiczna konsekwenc</w:t>
      </w:r>
      <w:r w:rsidR="00932645" w:rsidRPr="009935E0">
        <w:rPr>
          <w:rFonts w:ascii="Times New Roman" w:hAnsi="Times New Roman" w:cs="Times New Roman"/>
          <w:sz w:val="24"/>
          <w:szCs w:val="24"/>
        </w:rPr>
        <w:t>ja uznania DUUTO za użytkownika</w:t>
      </w:r>
      <w:r w:rsidRPr="009935E0">
        <w:rPr>
          <w:rFonts w:ascii="Times New Roman" w:hAnsi="Times New Roman" w:cs="Times New Roman"/>
          <w:sz w:val="24"/>
          <w:szCs w:val="24"/>
        </w:rPr>
        <w:t xml:space="preserve"> </w:t>
      </w:r>
      <w:r w:rsidR="00E80195" w:rsidRPr="009935E0">
        <w:rPr>
          <w:rFonts w:ascii="Times New Roman" w:hAnsi="Times New Roman" w:cs="Times New Roman"/>
          <w:sz w:val="24"/>
          <w:szCs w:val="24"/>
        </w:rPr>
        <w:t>utworu zamieszczonego</w:t>
      </w:r>
      <w:r w:rsidR="001E7601" w:rsidRPr="009935E0">
        <w:rPr>
          <w:rFonts w:ascii="Times New Roman" w:hAnsi="Times New Roman" w:cs="Times New Roman"/>
          <w:sz w:val="24"/>
          <w:szCs w:val="24"/>
        </w:rPr>
        <w:t xml:space="preserve"> przez </w:t>
      </w:r>
      <w:r w:rsidR="00E80195" w:rsidRPr="009935E0">
        <w:rPr>
          <w:rFonts w:ascii="Times New Roman" w:hAnsi="Times New Roman" w:cs="Times New Roman"/>
          <w:sz w:val="24"/>
          <w:szCs w:val="24"/>
        </w:rPr>
        <w:t>usługobiorcę, że DUUTO ponosi</w:t>
      </w:r>
      <w:r w:rsidRPr="009935E0">
        <w:rPr>
          <w:rFonts w:ascii="Times New Roman" w:hAnsi="Times New Roman" w:cs="Times New Roman"/>
          <w:sz w:val="24"/>
          <w:szCs w:val="24"/>
        </w:rPr>
        <w:t xml:space="preserve"> odpowiedzialność za naruszenie praw autorskich</w:t>
      </w:r>
      <w:r w:rsidR="00E80195" w:rsidRPr="009935E0">
        <w:rPr>
          <w:rFonts w:ascii="Times New Roman" w:hAnsi="Times New Roman" w:cs="Times New Roman"/>
          <w:sz w:val="24"/>
          <w:szCs w:val="24"/>
        </w:rPr>
        <w:t>, jeżeli dokonuje publicznego udostępnienia tego utworu bez wymaganej zgody uprawnionego. Może</w:t>
      </w:r>
      <w:r w:rsidR="001E7601" w:rsidRPr="009935E0">
        <w:rPr>
          <w:rFonts w:ascii="Times New Roman" w:hAnsi="Times New Roman" w:cs="Times New Roman"/>
          <w:sz w:val="24"/>
          <w:szCs w:val="24"/>
        </w:rPr>
        <w:t xml:space="preserve"> się jednak uwolnić od tej</w:t>
      </w:r>
      <w:r w:rsidR="00E80195" w:rsidRPr="009935E0">
        <w:rPr>
          <w:rFonts w:ascii="Times New Roman" w:hAnsi="Times New Roman" w:cs="Times New Roman"/>
          <w:sz w:val="24"/>
          <w:szCs w:val="24"/>
        </w:rPr>
        <w:t xml:space="preserve"> odpowiedzialności, jeżeli wykaże</w:t>
      </w:r>
      <w:r w:rsidR="001E7601" w:rsidRPr="009935E0">
        <w:rPr>
          <w:rFonts w:ascii="Times New Roman" w:hAnsi="Times New Roman" w:cs="Times New Roman"/>
          <w:sz w:val="24"/>
          <w:szCs w:val="24"/>
        </w:rPr>
        <w:t>, że</w:t>
      </w:r>
      <w:r w:rsidR="00F7300F" w:rsidRPr="009935E0">
        <w:rPr>
          <w:rFonts w:ascii="Times New Roman" w:hAnsi="Times New Roman" w:cs="Times New Roman"/>
          <w:sz w:val="24"/>
          <w:szCs w:val="24"/>
        </w:rPr>
        <w:t>:</w:t>
      </w:r>
      <w:r w:rsidR="001E7601" w:rsidRPr="009935E0">
        <w:rPr>
          <w:rFonts w:ascii="Times New Roman" w:hAnsi="Times New Roman" w:cs="Times New Roman"/>
          <w:sz w:val="24"/>
          <w:szCs w:val="24"/>
        </w:rPr>
        <w:t xml:space="preserve"> </w:t>
      </w:r>
      <w:r w:rsidR="00F7300F" w:rsidRPr="009935E0">
        <w:rPr>
          <w:rFonts w:ascii="Times New Roman" w:hAnsi="Times New Roman" w:cs="Times New Roman"/>
          <w:sz w:val="24"/>
          <w:szCs w:val="24"/>
        </w:rPr>
        <w:t>1</w:t>
      </w:r>
      <w:r w:rsidR="00D27ACC" w:rsidRPr="009935E0">
        <w:rPr>
          <w:rFonts w:ascii="Times New Roman" w:hAnsi="Times New Roman" w:cs="Times New Roman"/>
          <w:sz w:val="24"/>
          <w:szCs w:val="24"/>
        </w:rPr>
        <w:t xml:space="preserve">) </w:t>
      </w:r>
      <w:r w:rsidR="00E80195" w:rsidRPr="009935E0">
        <w:rPr>
          <w:rFonts w:ascii="Times New Roman" w:hAnsi="Times New Roman" w:cs="Times New Roman"/>
          <w:sz w:val="24"/>
          <w:szCs w:val="24"/>
        </w:rPr>
        <w:t>dołożył</w:t>
      </w:r>
      <w:r w:rsidR="009504A7" w:rsidRPr="009935E0">
        <w:rPr>
          <w:rFonts w:ascii="Times New Roman" w:hAnsi="Times New Roman" w:cs="Times New Roman"/>
          <w:sz w:val="24"/>
          <w:szCs w:val="24"/>
        </w:rPr>
        <w:t xml:space="preserve"> </w:t>
      </w:r>
      <w:r w:rsidR="001E7601" w:rsidRPr="009935E0">
        <w:rPr>
          <w:rFonts w:ascii="Times New Roman" w:hAnsi="Times New Roman" w:cs="Times New Roman"/>
          <w:sz w:val="24"/>
          <w:szCs w:val="24"/>
        </w:rPr>
        <w:t>„</w:t>
      </w:r>
      <w:r w:rsidR="00E80195" w:rsidRPr="009935E0">
        <w:rPr>
          <w:rFonts w:ascii="Times New Roman" w:hAnsi="Times New Roman" w:cs="Times New Roman"/>
          <w:sz w:val="24"/>
          <w:szCs w:val="24"/>
        </w:rPr>
        <w:t>należytej</w:t>
      </w:r>
      <w:r w:rsidR="009504A7" w:rsidRPr="009935E0">
        <w:rPr>
          <w:rFonts w:ascii="Times New Roman" w:hAnsi="Times New Roman" w:cs="Times New Roman"/>
          <w:sz w:val="24"/>
          <w:szCs w:val="24"/>
        </w:rPr>
        <w:t xml:space="preserve"> staranności</w:t>
      </w:r>
      <w:r w:rsidR="001E7601" w:rsidRPr="009935E0">
        <w:rPr>
          <w:rFonts w:ascii="Times New Roman" w:hAnsi="Times New Roman" w:cs="Times New Roman"/>
          <w:sz w:val="24"/>
          <w:szCs w:val="24"/>
        </w:rPr>
        <w:t>”</w:t>
      </w:r>
      <w:r w:rsidR="009504A7" w:rsidRPr="009935E0">
        <w:rPr>
          <w:rFonts w:ascii="Times New Roman" w:hAnsi="Times New Roman" w:cs="Times New Roman"/>
          <w:sz w:val="24"/>
          <w:szCs w:val="24"/>
        </w:rPr>
        <w:t xml:space="preserve">, aby </w:t>
      </w:r>
      <w:r w:rsidR="001E7601" w:rsidRPr="009935E0">
        <w:rPr>
          <w:rFonts w:ascii="Times New Roman" w:hAnsi="Times New Roman" w:cs="Times New Roman"/>
          <w:sz w:val="24"/>
          <w:szCs w:val="24"/>
        </w:rPr>
        <w:t>uzyskać zgodę uprawnionego, ale jednocześnie</w:t>
      </w:r>
      <w:r w:rsidR="00D27ACC" w:rsidRPr="009935E0">
        <w:rPr>
          <w:rFonts w:ascii="Times New Roman" w:hAnsi="Times New Roman" w:cs="Times New Roman"/>
          <w:sz w:val="24"/>
          <w:szCs w:val="24"/>
        </w:rPr>
        <w:t>: 2</w:t>
      </w:r>
      <w:r w:rsidR="001E7601" w:rsidRPr="009935E0">
        <w:rPr>
          <w:rFonts w:ascii="Times New Roman" w:hAnsi="Times New Roman" w:cs="Times New Roman"/>
          <w:sz w:val="24"/>
          <w:szCs w:val="24"/>
        </w:rPr>
        <w:t>) „</w:t>
      </w:r>
      <w:r w:rsidR="00E80195" w:rsidRPr="009935E0">
        <w:rPr>
          <w:rFonts w:ascii="Times New Roman" w:hAnsi="Times New Roman" w:cs="Times New Roman"/>
          <w:sz w:val="24"/>
          <w:szCs w:val="24"/>
        </w:rPr>
        <w:t>dołożył</w:t>
      </w:r>
      <w:r w:rsidR="009504A7" w:rsidRPr="009935E0">
        <w:rPr>
          <w:rFonts w:ascii="Times New Roman" w:hAnsi="Times New Roman" w:cs="Times New Roman"/>
          <w:sz w:val="24"/>
          <w:szCs w:val="24"/>
        </w:rPr>
        <w:t xml:space="preserve"> </w:t>
      </w:r>
      <w:r w:rsidR="00E80195" w:rsidRPr="009935E0">
        <w:rPr>
          <w:rFonts w:ascii="Times New Roman" w:hAnsi="Times New Roman" w:cs="Times New Roman"/>
          <w:sz w:val="24"/>
          <w:szCs w:val="24"/>
        </w:rPr>
        <w:t xml:space="preserve">należytej </w:t>
      </w:r>
      <w:r w:rsidR="00F7300F" w:rsidRPr="009935E0">
        <w:rPr>
          <w:rFonts w:ascii="Times New Roman" w:hAnsi="Times New Roman" w:cs="Times New Roman"/>
          <w:sz w:val="24"/>
          <w:szCs w:val="24"/>
        </w:rPr>
        <w:t>staranności,</w:t>
      </w:r>
      <w:r w:rsidR="009504A7" w:rsidRPr="009935E0">
        <w:rPr>
          <w:rFonts w:ascii="Times New Roman" w:hAnsi="Times New Roman" w:cs="Times New Roman"/>
          <w:sz w:val="24"/>
          <w:szCs w:val="24"/>
        </w:rPr>
        <w:t xml:space="preserve"> aby </w:t>
      </w:r>
      <w:r w:rsidR="00E80195" w:rsidRPr="009935E0">
        <w:rPr>
          <w:rFonts w:ascii="Times New Roman" w:hAnsi="Times New Roman" w:cs="Times New Roman"/>
          <w:sz w:val="24"/>
          <w:szCs w:val="24"/>
        </w:rPr>
        <w:t>uniemożliwić dostęp</w:t>
      </w:r>
      <w:r w:rsidR="001E7601" w:rsidRPr="009935E0">
        <w:rPr>
          <w:rFonts w:ascii="Times New Roman" w:hAnsi="Times New Roman" w:cs="Times New Roman"/>
          <w:sz w:val="24"/>
          <w:szCs w:val="24"/>
        </w:rPr>
        <w:t xml:space="preserve"> </w:t>
      </w:r>
      <w:r w:rsidR="009504A7" w:rsidRPr="009935E0">
        <w:rPr>
          <w:rFonts w:ascii="Times New Roman" w:hAnsi="Times New Roman" w:cs="Times New Roman"/>
          <w:sz w:val="24"/>
          <w:szCs w:val="24"/>
        </w:rPr>
        <w:t xml:space="preserve">do </w:t>
      </w:r>
      <w:r w:rsidR="00E80195" w:rsidRPr="009935E0">
        <w:rPr>
          <w:rFonts w:ascii="Times New Roman" w:hAnsi="Times New Roman" w:cs="Times New Roman"/>
          <w:sz w:val="24"/>
          <w:szCs w:val="24"/>
        </w:rPr>
        <w:t>tego utworu</w:t>
      </w:r>
      <w:r w:rsidR="009504A7" w:rsidRPr="009935E0">
        <w:rPr>
          <w:rFonts w:ascii="Times New Roman" w:hAnsi="Times New Roman" w:cs="Times New Roman"/>
          <w:sz w:val="24"/>
          <w:szCs w:val="24"/>
        </w:rPr>
        <w:t xml:space="preserve">, </w:t>
      </w:r>
      <w:r w:rsidR="00E80195" w:rsidRPr="009935E0">
        <w:rPr>
          <w:rFonts w:ascii="Times New Roman" w:hAnsi="Times New Roman" w:cs="Times New Roman"/>
          <w:sz w:val="24"/>
          <w:szCs w:val="24"/>
        </w:rPr>
        <w:t>jeżeli uprawniony przekazał mu</w:t>
      </w:r>
      <w:r w:rsidR="009504A7" w:rsidRPr="009935E0">
        <w:rPr>
          <w:rFonts w:ascii="Times New Roman" w:hAnsi="Times New Roman" w:cs="Times New Roman"/>
          <w:sz w:val="24"/>
          <w:szCs w:val="24"/>
        </w:rPr>
        <w:t xml:space="preserve"> </w:t>
      </w:r>
      <w:r w:rsidR="00492257" w:rsidRPr="009935E0">
        <w:rPr>
          <w:rFonts w:ascii="Times New Roman" w:hAnsi="Times New Roman" w:cs="Times New Roman"/>
          <w:sz w:val="24"/>
          <w:szCs w:val="24"/>
        </w:rPr>
        <w:t>informacje odpowiednie i niezbędne do osi</w:t>
      </w:r>
      <w:r w:rsidR="001A4681" w:rsidRPr="009935E0">
        <w:rPr>
          <w:rFonts w:ascii="Times New Roman" w:hAnsi="Times New Roman" w:cs="Times New Roman"/>
          <w:sz w:val="24"/>
          <w:szCs w:val="24"/>
        </w:rPr>
        <w:t xml:space="preserve">ągnięcia tego celu, pozwalające </w:t>
      </w:r>
      <w:r w:rsidR="00492257" w:rsidRPr="009935E0">
        <w:rPr>
          <w:rFonts w:ascii="Times New Roman" w:hAnsi="Times New Roman" w:cs="Times New Roman"/>
          <w:sz w:val="24"/>
          <w:szCs w:val="24"/>
        </w:rPr>
        <w:t xml:space="preserve">w szczególności na ustalenie uprawnionego i identyfikację utworu z uwzględnieniem dostępnych środków </w:t>
      </w:r>
      <w:r w:rsidR="00F7300F" w:rsidRPr="009935E0">
        <w:rPr>
          <w:rFonts w:ascii="Times New Roman" w:hAnsi="Times New Roman" w:cs="Times New Roman"/>
          <w:sz w:val="24"/>
          <w:szCs w:val="24"/>
        </w:rPr>
        <w:t>technologicznych” i:</w:t>
      </w:r>
      <w:r w:rsidR="00492257" w:rsidRPr="009935E0">
        <w:rPr>
          <w:rFonts w:ascii="Times New Roman" w:hAnsi="Times New Roman" w:cs="Times New Roman"/>
          <w:sz w:val="24"/>
          <w:szCs w:val="24"/>
        </w:rPr>
        <w:t xml:space="preserve"> </w:t>
      </w:r>
      <w:r w:rsidR="00D27ACC" w:rsidRPr="009935E0">
        <w:rPr>
          <w:rFonts w:ascii="Times New Roman" w:hAnsi="Times New Roman" w:cs="Times New Roman"/>
          <w:sz w:val="24"/>
          <w:szCs w:val="24"/>
        </w:rPr>
        <w:t>3</w:t>
      </w:r>
      <w:r w:rsidR="001E7601" w:rsidRPr="009935E0">
        <w:rPr>
          <w:rFonts w:ascii="Times New Roman" w:hAnsi="Times New Roman" w:cs="Times New Roman"/>
          <w:sz w:val="24"/>
          <w:szCs w:val="24"/>
        </w:rPr>
        <w:t>)</w:t>
      </w:r>
      <w:r w:rsidR="00492257" w:rsidRPr="009935E0">
        <w:rPr>
          <w:rFonts w:ascii="Times New Roman" w:hAnsi="Times New Roman" w:cs="Times New Roman"/>
          <w:sz w:val="24"/>
          <w:szCs w:val="24"/>
        </w:rPr>
        <w:t xml:space="preserve"> działał</w:t>
      </w:r>
      <w:r w:rsidR="009504A7" w:rsidRPr="009935E0">
        <w:rPr>
          <w:rFonts w:ascii="Times New Roman" w:hAnsi="Times New Roman" w:cs="Times New Roman"/>
          <w:sz w:val="24"/>
          <w:szCs w:val="24"/>
        </w:rPr>
        <w:t xml:space="preserve"> </w:t>
      </w:r>
      <w:r w:rsidR="001E7601" w:rsidRPr="009935E0">
        <w:rPr>
          <w:rFonts w:ascii="Times New Roman" w:hAnsi="Times New Roman" w:cs="Times New Roman"/>
          <w:sz w:val="24"/>
          <w:szCs w:val="24"/>
        </w:rPr>
        <w:t>„</w:t>
      </w:r>
      <w:r w:rsidR="009504A7" w:rsidRPr="009935E0">
        <w:rPr>
          <w:rFonts w:ascii="Times New Roman" w:hAnsi="Times New Roman" w:cs="Times New Roman"/>
          <w:sz w:val="24"/>
          <w:szCs w:val="24"/>
        </w:rPr>
        <w:t xml:space="preserve">niezwłocznie po otrzymaniu </w:t>
      </w:r>
      <w:r w:rsidR="00492257" w:rsidRPr="009935E0">
        <w:rPr>
          <w:rFonts w:ascii="Times New Roman" w:hAnsi="Times New Roman" w:cs="Times New Roman"/>
          <w:sz w:val="24"/>
          <w:szCs w:val="24"/>
        </w:rPr>
        <w:t>od uprawnionego</w:t>
      </w:r>
      <w:r w:rsidR="001E7601" w:rsidRPr="009935E0">
        <w:rPr>
          <w:rFonts w:ascii="Times New Roman" w:hAnsi="Times New Roman" w:cs="Times New Roman"/>
          <w:sz w:val="24"/>
          <w:szCs w:val="24"/>
        </w:rPr>
        <w:t xml:space="preserve"> </w:t>
      </w:r>
      <w:r w:rsidR="00492257" w:rsidRPr="009935E0">
        <w:rPr>
          <w:rFonts w:ascii="Times New Roman" w:hAnsi="Times New Roman" w:cs="Times New Roman"/>
          <w:sz w:val="24"/>
          <w:szCs w:val="24"/>
        </w:rPr>
        <w:t>należycie</w:t>
      </w:r>
      <w:r w:rsidR="009504A7" w:rsidRPr="009935E0">
        <w:rPr>
          <w:rFonts w:ascii="Times New Roman" w:hAnsi="Times New Roman" w:cs="Times New Roman"/>
          <w:sz w:val="24"/>
          <w:szCs w:val="24"/>
        </w:rPr>
        <w:t xml:space="preserve"> uzasadnionego </w:t>
      </w:r>
      <w:r w:rsidR="00D27ACC" w:rsidRPr="009935E0">
        <w:rPr>
          <w:rFonts w:ascii="Times New Roman" w:hAnsi="Times New Roman" w:cs="Times New Roman"/>
          <w:sz w:val="24"/>
          <w:szCs w:val="24"/>
        </w:rPr>
        <w:t xml:space="preserve">żądania zablokowania dostępu do </w:t>
      </w:r>
      <w:r w:rsidR="00492257" w:rsidRPr="009935E0">
        <w:rPr>
          <w:rFonts w:ascii="Times New Roman" w:hAnsi="Times New Roman" w:cs="Times New Roman"/>
          <w:sz w:val="24"/>
          <w:szCs w:val="24"/>
        </w:rPr>
        <w:t>tego utworu lub usunięcia go</w:t>
      </w:r>
      <w:r w:rsidR="00D27ACC" w:rsidRPr="009935E0">
        <w:rPr>
          <w:rFonts w:ascii="Times New Roman" w:hAnsi="Times New Roman" w:cs="Times New Roman"/>
          <w:sz w:val="24"/>
          <w:szCs w:val="24"/>
        </w:rPr>
        <w:t xml:space="preserve"> ze swoich stron internetowych</w:t>
      </w:r>
      <w:r w:rsidR="00492257" w:rsidRPr="009935E0">
        <w:rPr>
          <w:rFonts w:ascii="Times New Roman" w:hAnsi="Times New Roman" w:cs="Times New Roman"/>
          <w:sz w:val="24"/>
          <w:szCs w:val="24"/>
        </w:rPr>
        <w:t>, a także dołożył</w:t>
      </w:r>
      <w:r w:rsidR="00D27ACC" w:rsidRPr="009935E0">
        <w:rPr>
          <w:rFonts w:ascii="Times New Roman" w:hAnsi="Times New Roman" w:cs="Times New Roman"/>
          <w:sz w:val="24"/>
          <w:szCs w:val="24"/>
        </w:rPr>
        <w:t xml:space="preserve"> </w:t>
      </w:r>
      <w:r w:rsidR="00492257" w:rsidRPr="009935E0">
        <w:rPr>
          <w:rFonts w:ascii="Times New Roman" w:hAnsi="Times New Roman" w:cs="Times New Roman"/>
          <w:sz w:val="24"/>
          <w:szCs w:val="24"/>
        </w:rPr>
        <w:t xml:space="preserve">należytej </w:t>
      </w:r>
      <w:r w:rsidR="00D27ACC" w:rsidRPr="009935E0">
        <w:rPr>
          <w:rFonts w:ascii="Times New Roman" w:hAnsi="Times New Roman" w:cs="Times New Roman"/>
          <w:sz w:val="24"/>
          <w:szCs w:val="24"/>
        </w:rPr>
        <w:t xml:space="preserve">staranności, aby </w:t>
      </w:r>
      <w:r w:rsidR="00492257" w:rsidRPr="009935E0">
        <w:rPr>
          <w:rFonts w:ascii="Times New Roman" w:hAnsi="Times New Roman" w:cs="Times New Roman"/>
          <w:sz w:val="24"/>
          <w:szCs w:val="24"/>
        </w:rPr>
        <w:t>uniemożliwić dostęp do tego utworu</w:t>
      </w:r>
      <w:r w:rsidR="00D27ACC" w:rsidRPr="009935E0">
        <w:rPr>
          <w:rFonts w:ascii="Times New Roman" w:hAnsi="Times New Roman" w:cs="Times New Roman"/>
          <w:sz w:val="24"/>
          <w:szCs w:val="24"/>
        </w:rPr>
        <w:t xml:space="preserve"> w przyszłości, </w:t>
      </w:r>
      <w:r w:rsidR="00F7300F" w:rsidRPr="009935E0">
        <w:rPr>
          <w:rFonts w:ascii="Times New Roman" w:hAnsi="Times New Roman" w:cs="Times New Roman"/>
          <w:sz w:val="24"/>
          <w:szCs w:val="24"/>
        </w:rPr>
        <w:t>jeżeli uprawniony przekazał mu informacje, o których mowa w pkt 2</w:t>
      </w:r>
      <w:r w:rsidR="00D27ACC" w:rsidRPr="009935E0">
        <w:rPr>
          <w:rFonts w:ascii="Times New Roman" w:hAnsi="Times New Roman" w:cs="Times New Roman"/>
          <w:sz w:val="24"/>
          <w:szCs w:val="24"/>
        </w:rPr>
        <w:t xml:space="preserve">”. </w:t>
      </w:r>
    </w:p>
    <w:p w14:paraId="3DBD1D8F" w14:textId="77777777" w:rsidR="001A4681" w:rsidRPr="009935E0" w:rsidRDefault="001A4681"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Należy zwrócić uwagę, że wyżej określone przesłanki zwolnienia DUUTO z odpowiedzialności mają charakter obowiązków starannego działania, a nie obowiązków osiągnięcia określonego rezultatu. </w:t>
      </w:r>
      <w:r w:rsidR="00A90DD1" w:rsidRPr="009935E0">
        <w:rPr>
          <w:rFonts w:ascii="Times New Roman" w:hAnsi="Times New Roman" w:cs="Times New Roman"/>
          <w:sz w:val="24"/>
          <w:szCs w:val="24"/>
        </w:rPr>
        <w:t xml:space="preserve">Dyrektywa posługuje się w tym miejscu klauzulą „wszelkich starań” (ang. </w:t>
      </w:r>
      <w:proofErr w:type="spellStart"/>
      <w:r w:rsidR="00A90DD1" w:rsidRPr="009935E0">
        <w:rPr>
          <w:rFonts w:ascii="Times New Roman" w:hAnsi="Times New Roman" w:cs="Times New Roman"/>
          <w:i/>
          <w:sz w:val="24"/>
          <w:szCs w:val="24"/>
        </w:rPr>
        <w:t>best</w:t>
      </w:r>
      <w:proofErr w:type="spellEnd"/>
      <w:r w:rsidR="00A90DD1" w:rsidRPr="009935E0">
        <w:rPr>
          <w:rFonts w:ascii="Times New Roman" w:hAnsi="Times New Roman" w:cs="Times New Roman"/>
          <w:i/>
          <w:sz w:val="24"/>
          <w:szCs w:val="24"/>
        </w:rPr>
        <w:t xml:space="preserve"> </w:t>
      </w:r>
      <w:proofErr w:type="spellStart"/>
      <w:r w:rsidR="00A90DD1" w:rsidRPr="009935E0">
        <w:rPr>
          <w:rFonts w:ascii="Times New Roman" w:hAnsi="Times New Roman" w:cs="Times New Roman"/>
          <w:i/>
          <w:sz w:val="24"/>
          <w:szCs w:val="24"/>
        </w:rPr>
        <w:t>efforts</w:t>
      </w:r>
      <w:proofErr w:type="spellEnd"/>
      <w:r w:rsidR="00A90DD1" w:rsidRPr="009935E0">
        <w:rPr>
          <w:rFonts w:ascii="Times New Roman" w:hAnsi="Times New Roman" w:cs="Times New Roman"/>
          <w:sz w:val="24"/>
          <w:szCs w:val="24"/>
        </w:rPr>
        <w:t>). W konsultacjach publicznych wielokrotnie jednak podnoszono, że polskie tłumaczenie wprowadza w błąd, bowiem prawodawca unijny nie zastosował tutaj żadnego podwyższonego standardu staranności, ale standard „należytej staranności”. W projektowanym przepisie zastosowano za</w:t>
      </w:r>
      <w:r w:rsidR="003306B8" w:rsidRPr="009935E0">
        <w:rPr>
          <w:rFonts w:ascii="Times New Roman" w:hAnsi="Times New Roman" w:cs="Times New Roman"/>
          <w:sz w:val="24"/>
          <w:szCs w:val="24"/>
        </w:rPr>
        <w:t>tem klauzulę generalną z art. 355</w:t>
      </w:r>
      <w:r w:rsidR="00A90DD1" w:rsidRPr="009935E0">
        <w:rPr>
          <w:rFonts w:ascii="Times New Roman" w:hAnsi="Times New Roman" w:cs="Times New Roman"/>
          <w:sz w:val="24"/>
          <w:szCs w:val="24"/>
        </w:rPr>
        <w:t xml:space="preserve"> Kodeksu cywilnego.</w:t>
      </w:r>
    </w:p>
    <w:p w14:paraId="1B23CB65" w14:textId="6C57FD2E" w:rsidR="00D27ACC" w:rsidRPr="009935E0" w:rsidRDefault="00D27ACC"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Przesłanka, o której mowa w projektowanym ust. 1 pkt 2, zobowiązuje DUUTO do pr</w:t>
      </w:r>
      <w:r w:rsidR="00375469" w:rsidRPr="009935E0">
        <w:rPr>
          <w:rFonts w:ascii="Times New Roman" w:hAnsi="Times New Roman" w:cs="Times New Roman"/>
          <w:sz w:val="24"/>
          <w:szCs w:val="24"/>
        </w:rPr>
        <w:t xml:space="preserve">owadzenia działań prewencyjnych. </w:t>
      </w:r>
      <w:r w:rsidRPr="009935E0">
        <w:rPr>
          <w:rFonts w:ascii="Times New Roman" w:hAnsi="Times New Roman" w:cs="Times New Roman"/>
          <w:sz w:val="24"/>
          <w:szCs w:val="24"/>
        </w:rPr>
        <w:t>DUUTO</w:t>
      </w:r>
      <w:r w:rsidR="00F31A48" w:rsidRPr="009935E0">
        <w:rPr>
          <w:rFonts w:ascii="Times New Roman" w:hAnsi="Times New Roman" w:cs="Times New Roman"/>
          <w:sz w:val="24"/>
          <w:szCs w:val="24"/>
        </w:rPr>
        <w:t xml:space="preserve"> ma</w:t>
      </w:r>
      <w:r w:rsidRPr="009935E0">
        <w:rPr>
          <w:rFonts w:ascii="Times New Roman" w:hAnsi="Times New Roman" w:cs="Times New Roman"/>
          <w:sz w:val="24"/>
          <w:szCs w:val="24"/>
        </w:rPr>
        <w:t xml:space="preserve"> „</w:t>
      </w:r>
      <w:r w:rsidR="00375469" w:rsidRPr="009935E0">
        <w:rPr>
          <w:rFonts w:ascii="Times New Roman" w:hAnsi="Times New Roman" w:cs="Times New Roman"/>
          <w:sz w:val="24"/>
          <w:szCs w:val="24"/>
        </w:rPr>
        <w:t>uniemożliwić dostęp</w:t>
      </w:r>
      <w:r w:rsidR="00F31A48" w:rsidRPr="009935E0">
        <w:rPr>
          <w:rFonts w:ascii="Times New Roman" w:hAnsi="Times New Roman" w:cs="Times New Roman"/>
          <w:sz w:val="24"/>
          <w:szCs w:val="24"/>
        </w:rPr>
        <w:t xml:space="preserve">” do utworu już na etapie jego zamieszczania przez usługobiorcę, ale zanim jeszcze utwór ten zostanie publicznie udostępniony. </w:t>
      </w:r>
      <w:r w:rsidR="00F877C7" w:rsidRPr="009935E0">
        <w:rPr>
          <w:rFonts w:ascii="Times New Roman" w:hAnsi="Times New Roman" w:cs="Times New Roman"/>
          <w:sz w:val="24"/>
          <w:szCs w:val="24"/>
        </w:rPr>
        <w:t>Co szczególnie ważne, inicjatywę w tym zakresie musi podjąć sam uprawniony – obowiązek po stronie DUUTO powstaje dopiero wtedy, gdy uprawniony przekaże mu informacje „odpowiednie i niezbędne” do tego, aby uniemożliwić dostęp do utworu, a więc pozwalające w szczególności na ustalenie upraw</w:t>
      </w:r>
      <w:r w:rsidR="001E2F0C" w:rsidRPr="009935E0">
        <w:rPr>
          <w:rFonts w:ascii="Times New Roman" w:hAnsi="Times New Roman" w:cs="Times New Roman"/>
          <w:sz w:val="24"/>
          <w:szCs w:val="24"/>
        </w:rPr>
        <w:t xml:space="preserve">nionego i identyfikację utworu </w:t>
      </w:r>
      <w:r w:rsidR="00F877C7" w:rsidRPr="009935E0">
        <w:rPr>
          <w:rFonts w:ascii="Times New Roman" w:hAnsi="Times New Roman" w:cs="Times New Roman"/>
          <w:sz w:val="24"/>
          <w:szCs w:val="24"/>
        </w:rPr>
        <w:t xml:space="preserve">z </w:t>
      </w:r>
      <w:r w:rsidR="00F877C7" w:rsidRPr="009935E0">
        <w:rPr>
          <w:rFonts w:ascii="Times New Roman" w:hAnsi="Times New Roman" w:cs="Times New Roman"/>
          <w:sz w:val="24"/>
          <w:szCs w:val="24"/>
        </w:rPr>
        <w:lastRenderedPageBreak/>
        <w:t>uwzględnieniem dostępnych środków technologicznych</w:t>
      </w:r>
      <w:r w:rsidR="000E4710" w:rsidRPr="009935E0">
        <w:rPr>
          <w:rFonts w:ascii="Times New Roman" w:hAnsi="Times New Roman" w:cs="Times New Roman"/>
          <w:sz w:val="24"/>
          <w:szCs w:val="24"/>
        </w:rPr>
        <w:t xml:space="preserve"> (tzw. procedura </w:t>
      </w:r>
      <w:proofErr w:type="spellStart"/>
      <w:r w:rsidR="000E4710" w:rsidRPr="009935E0">
        <w:rPr>
          <w:rFonts w:ascii="Times New Roman" w:hAnsi="Times New Roman" w:cs="Times New Roman"/>
          <w:i/>
          <w:sz w:val="24"/>
          <w:szCs w:val="24"/>
        </w:rPr>
        <w:t>notice</w:t>
      </w:r>
      <w:proofErr w:type="spellEnd"/>
      <w:r w:rsidR="000E4710" w:rsidRPr="009935E0">
        <w:rPr>
          <w:rFonts w:ascii="Times New Roman" w:hAnsi="Times New Roman" w:cs="Times New Roman"/>
          <w:i/>
          <w:sz w:val="24"/>
          <w:szCs w:val="24"/>
        </w:rPr>
        <w:t>-and-</w:t>
      </w:r>
      <w:proofErr w:type="spellStart"/>
      <w:r w:rsidR="000E4710" w:rsidRPr="009935E0">
        <w:rPr>
          <w:rFonts w:ascii="Times New Roman" w:hAnsi="Times New Roman" w:cs="Times New Roman"/>
          <w:i/>
          <w:sz w:val="24"/>
          <w:szCs w:val="24"/>
        </w:rPr>
        <w:t>stay</w:t>
      </w:r>
      <w:proofErr w:type="spellEnd"/>
      <w:r w:rsidR="000E4710" w:rsidRPr="009935E0">
        <w:rPr>
          <w:rFonts w:ascii="Times New Roman" w:hAnsi="Times New Roman" w:cs="Times New Roman"/>
          <w:i/>
          <w:sz w:val="24"/>
          <w:szCs w:val="24"/>
        </w:rPr>
        <w:t xml:space="preserve"> down</w:t>
      </w:r>
      <w:r w:rsidR="000E4710" w:rsidRPr="009935E0">
        <w:rPr>
          <w:rFonts w:ascii="Times New Roman" w:hAnsi="Times New Roman" w:cs="Times New Roman"/>
          <w:sz w:val="24"/>
          <w:szCs w:val="24"/>
        </w:rPr>
        <w:t>)</w:t>
      </w:r>
      <w:r w:rsidR="00F877C7" w:rsidRPr="009935E0">
        <w:rPr>
          <w:rFonts w:ascii="Times New Roman" w:hAnsi="Times New Roman" w:cs="Times New Roman"/>
          <w:sz w:val="24"/>
          <w:szCs w:val="24"/>
        </w:rPr>
        <w:t xml:space="preserve">. </w:t>
      </w:r>
      <w:r w:rsidR="002F087A" w:rsidRPr="009935E0">
        <w:rPr>
          <w:rFonts w:ascii="Times New Roman" w:hAnsi="Times New Roman" w:cs="Times New Roman"/>
          <w:sz w:val="24"/>
          <w:szCs w:val="24"/>
        </w:rPr>
        <w:t xml:space="preserve">Projektowany przepis </w:t>
      </w:r>
      <w:r w:rsidR="00712E86" w:rsidRPr="009935E0">
        <w:rPr>
          <w:rFonts w:ascii="Times New Roman" w:hAnsi="Times New Roman" w:cs="Times New Roman"/>
          <w:sz w:val="24"/>
          <w:szCs w:val="24"/>
        </w:rPr>
        <w:t>nie na</w:t>
      </w:r>
      <w:r w:rsidR="002F087A" w:rsidRPr="009935E0">
        <w:rPr>
          <w:rFonts w:ascii="Times New Roman" w:hAnsi="Times New Roman" w:cs="Times New Roman"/>
          <w:sz w:val="24"/>
          <w:szCs w:val="24"/>
        </w:rPr>
        <w:t>rzuca sposobu, w jaki DUUTO ma dokon</w:t>
      </w:r>
      <w:r w:rsidR="00712E86" w:rsidRPr="009935E0">
        <w:rPr>
          <w:rFonts w:ascii="Times New Roman" w:hAnsi="Times New Roman" w:cs="Times New Roman"/>
          <w:sz w:val="24"/>
          <w:szCs w:val="24"/>
        </w:rPr>
        <w:t xml:space="preserve">ać weryfikacji treści zamieszczanych przez </w:t>
      </w:r>
      <w:r w:rsidR="002F087A" w:rsidRPr="009935E0">
        <w:rPr>
          <w:rFonts w:ascii="Times New Roman" w:hAnsi="Times New Roman" w:cs="Times New Roman"/>
          <w:sz w:val="24"/>
          <w:szCs w:val="24"/>
        </w:rPr>
        <w:t>swoich usługobiorców</w:t>
      </w:r>
      <w:r w:rsidR="00712E86" w:rsidRPr="009935E0">
        <w:rPr>
          <w:rFonts w:ascii="Times New Roman" w:hAnsi="Times New Roman" w:cs="Times New Roman"/>
          <w:sz w:val="24"/>
          <w:szCs w:val="24"/>
        </w:rPr>
        <w:t xml:space="preserve">, aby </w:t>
      </w:r>
      <w:r w:rsidR="002F087A" w:rsidRPr="009935E0">
        <w:rPr>
          <w:rFonts w:ascii="Times New Roman" w:hAnsi="Times New Roman" w:cs="Times New Roman"/>
          <w:sz w:val="24"/>
          <w:szCs w:val="24"/>
        </w:rPr>
        <w:t xml:space="preserve">zidentyfikować konkretny utwór i uniemożliwić do niego dostęp. </w:t>
      </w:r>
      <w:r w:rsidR="00320065" w:rsidRPr="009935E0">
        <w:rPr>
          <w:rFonts w:ascii="Times New Roman" w:hAnsi="Times New Roman" w:cs="Times New Roman"/>
          <w:sz w:val="24"/>
          <w:szCs w:val="24"/>
        </w:rPr>
        <w:t>Komisja Europejska wskazuje w swoich Wytycznych (str. 13), że ten przepis dyrektywy powinien być wdrożony w sposób „neutralny pod względem technologicznym i nieulegający dezaktualizacji”, a państwa członkowskie „nie powinny w swoich przepisach wykonawczych upoważniać dostawców usług do stosowania rozwiązań technologicznych ani narzucać im żadnych konkretnych rozwiązań technologicznych w celu wykazania, iż dołożyli starań”. Co istot</w:t>
      </w:r>
      <w:r w:rsidR="007A3EDA" w:rsidRPr="009935E0">
        <w:rPr>
          <w:rFonts w:ascii="Times New Roman" w:hAnsi="Times New Roman" w:cs="Times New Roman"/>
          <w:sz w:val="24"/>
          <w:szCs w:val="24"/>
        </w:rPr>
        <w:t>ne, Komisja wyraźnie potwierdza (str. 12),</w:t>
      </w:r>
      <w:r w:rsidR="00320065" w:rsidRPr="009935E0">
        <w:rPr>
          <w:rFonts w:ascii="Times New Roman" w:hAnsi="Times New Roman" w:cs="Times New Roman"/>
          <w:sz w:val="24"/>
          <w:szCs w:val="24"/>
        </w:rPr>
        <w:t xml:space="preserve"> że</w:t>
      </w:r>
      <w:r w:rsidR="007A3EDA" w:rsidRPr="009935E0">
        <w:rPr>
          <w:rFonts w:ascii="Times New Roman" w:hAnsi="Times New Roman" w:cs="Times New Roman"/>
          <w:sz w:val="24"/>
          <w:szCs w:val="24"/>
        </w:rPr>
        <w:t xml:space="preserve"> warunkiem odpowiedzialności DUUTO na podstawie tego przepisu jest dostarczenie przez uprawnionych tych „odpowiednich i niezbędnych informacji”. Nie ulega jednak wątpliwości, że po ich otrzymaniu DUUTO będą zmuszeni do weryfikacji (filtracji) treści zamieszczanych przez </w:t>
      </w:r>
      <w:r w:rsidR="00142FC2" w:rsidRPr="009935E0">
        <w:rPr>
          <w:rFonts w:ascii="Times New Roman" w:hAnsi="Times New Roman" w:cs="Times New Roman"/>
          <w:sz w:val="24"/>
          <w:szCs w:val="24"/>
        </w:rPr>
        <w:t>usługobiorców</w:t>
      </w:r>
      <w:r w:rsidR="007A3EDA" w:rsidRPr="009935E0">
        <w:rPr>
          <w:rFonts w:ascii="Times New Roman" w:hAnsi="Times New Roman" w:cs="Times New Roman"/>
          <w:sz w:val="24"/>
          <w:szCs w:val="24"/>
        </w:rPr>
        <w:t xml:space="preserve">, a wobec ogromnej liczby i zróżnicowania tych treści będą </w:t>
      </w:r>
      <w:r w:rsidR="00BB4148" w:rsidRPr="009935E0">
        <w:rPr>
          <w:rFonts w:ascii="Times New Roman" w:hAnsi="Times New Roman" w:cs="Times New Roman"/>
          <w:sz w:val="24"/>
          <w:szCs w:val="24"/>
        </w:rPr>
        <w:t xml:space="preserve">w praktyce </w:t>
      </w:r>
      <w:r w:rsidR="007A3EDA" w:rsidRPr="009935E0">
        <w:rPr>
          <w:rFonts w:ascii="Times New Roman" w:hAnsi="Times New Roman" w:cs="Times New Roman"/>
          <w:sz w:val="24"/>
          <w:szCs w:val="24"/>
        </w:rPr>
        <w:t xml:space="preserve">zmuszeni stosować także mechanizmy (algorytmy) automatycznej weryfikacji. </w:t>
      </w:r>
      <w:r w:rsidR="002C0404" w:rsidRPr="009935E0">
        <w:rPr>
          <w:rFonts w:ascii="Times New Roman" w:hAnsi="Times New Roman" w:cs="Times New Roman"/>
          <w:sz w:val="24"/>
          <w:szCs w:val="24"/>
        </w:rPr>
        <w:t xml:space="preserve">Jak wyżej już </w:t>
      </w:r>
      <w:r w:rsidR="00142FC2" w:rsidRPr="009935E0">
        <w:rPr>
          <w:rFonts w:ascii="Times New Roman" w:hAnsi="Times New Roman" w:cs="Times New Roman"/>
          <w:sz w:val="24"/>
          <w:szCs w:val="24"/>
        </w:rPr>
        <w:t>podniesiono</w:t>
      </w:r>
      <w:r w:rsidR="002C0404" w:rsidRPr="009935E0">
        <w:rPr>
          <w:rFonts w:ascii="Times New Roman" w:hAnsi="Times New Roman" w:cs="Times New Roman"/>
          <w:sz w:val="24"/>
          <w:szCs w:val="24"/>
        </w:rPr>
        <w:t>, P</w:t>
      </w:r>
      <w:r w:rsidR="007A3EDA" w:rsidRPr="009935E0">
        <w:rPr>
          <w:rFonts w:ascii="Times New Roman" w:hAnsi="Times New Roman" w:cs="Times New Roman"/>
          <w:sz w:val="24"/>
          <w:szCs w:val="24"/>
        </w:rPr>
        <w:t xml:space="preserve">olska </w:t>
      </w:r>
      <w:r w:rsidR="002C0404" w:rsidRPr="009935E0">
        <w:rPr>
          <w:rFonts w:ascii="Times New Roman" w:hAnsi="Times New Roman" w:cs="Times New Roman"/>
          <w:sz w:val="24"/>
          <w:szCs w:val="24"/>
        </w:rPr>
        <w:t>dostrzeg</w:t>
      </w:r>
      <w:r w:rsidR="007A3EDA" w:rsidRPr="009935E0">
        <w:rPr>
          <w:rFonts w:ascii="Times New Roman" w:hAnsi="Times New Roman" w:cs="Times New Roman"/>
          <w:sz w:val="24"/>
          <w:szCs w:val="24"/>
        </w:rPr>
        <w:t>a tutaj niebezpieczeństwo szczególnego rodzaju „cenzury”, zagrażającej wolności słowa i dostępu do informacji, ale skarga w tym zakresie wniesiona do TSUE została w dniu 26 kwietnia 2022 r. o</w:t>
      </w:r>
      <w:r w:rsidR="00CC3BE1" w:rsidRPr="009935E0">
        <w:rPr>
          <w:rFonts w:ascii="Times New Roman" w:hAnsi="Times New Roman" w:cs="Times New Roman"/>
          <w:sz w:val="24"/>
          <w:szCs w:val="24"/>
        </w:rPr>
        <w:t>ddalo</w:t>
      </w:r>
      <w:r w:rsidR="002E22E4" w:rsidRPr="009935E0">
        <w:rPr>
          <w:rFonts w:ascii="Times New Roman" w:hAnsi="Times New Roman" w:cs="Times New Roman"/>
          <w:sz w:val="24"/>
          <w:szCs w:val="24"/>
        </w:rPr>
        <w:t>na.</w:t>
      </w:r>
      <w:r w:rsidR="00142FC2" w:rsidRPr="009935E0">
        <w:rPr>
          <w:rFonts w:ascii="Times New Roman" w:hAnsi="Times New Roman" w:cs="Times New Roman"/>
          <w:sz w:val="24"/>
          <w:szCs w:val="24"/>
        </w:rPr>
        <w:t xml:space="preserve"> Uwzględniając jednak wskazówki zawarte w tym wyroku, w dalszych przepisach zostają wprowadzone rozwiązania, które mają zapobiec nadmiernemu stosowaniu przez DUUTO mechanizmów aut</w:t>
      </w:r>
      <w:r w:rsidR="006729C8" w:rsidRPr="009935E0">
        <w:rPr>
          <w:rFonts w:ascii="Times New Roman" w:hAnsi="Times New Roman" w:cs="Times New Roman"/>
          <w:sz w:val="24"/>
          <w:szCs w:val="24"/>
        </w:rPr>
        <w:t xml:space="preserve">omatycznej weryfikacji treści. </w:t>
      </w:r>
    </w:p>
    <w:p w14:paraId="473EB05E" w14:textId="77777777" w:rsidR="00320065" w:rsidRPr="009935E0" w:rsidRDefault="002C040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Przesłanka zwolnienia z odpowiedzialności, o której mowa w ust. 1 pkt 3, jest w swej pierwszej części dobrze już znaną i stosowaną, obowiązującą na gruncie ustawy </w:t>
      </w:r>
      <w:r w:rsidR="00386CB1" w:rsidRPr="009935E0">
        <w:rPr>
          <w:rFonts w:ascii="Times New Roman" w:hAnsi="Times New Roman" w:cs="Times New Roman"/>
          <w:sz w:val="24"/>
          <w:szCs w:val="24"/>
        </w:rPr>
        <w:t xml:space="preserve">z dnia 18 lipca 2002 r. </w:t>
      </w:r>
      <w:r w:rsidRPr="009935E0">
        <w:rPr>
          <w:rFonts w:ascii="Times New Roman" w:hAnsi="Times New Roman" w:cs="Times New Roman"/>
          <w:sz w:val="24"/>
          <w:szCs w:val="24"/>
        </w:rPr>
        <w:t xml:space="preserve">o świadczeniu usług drogą elektroniczną, procedurą </w:t>
      </w:r>
      <w:proofErr w:type="spellStart"/>
      <w:r w:rsidRPr="009935E0">
        <w:rPr>
          <w:rFonts w:ascii="Times New Roman" w:hAnsi="Times New Roman" w:cs="Times New Roman"/>
          <w:i/>
          <w:sz w:val="24"/>
          <w:szCs w:val="24"/>
        </w:rPr>
        <w:t>notice</w:t>
      </w:r>
      <w:proofErr w:type="spellEnd"/>
      <w:r w:rsidRPr="009935E0">
        <w:rPr>
          <w:rFonts w:ascii="Times New Roman" w:hAnsi="Times New Roman" w:cs="Times New Roman"/>
          <w:i/>
          <w:sz w:val="24"/>
          <w:szCs w:val="24"/>
        </w:rPr>
        <w:t>-and-</w:t>
      </w:r>
      <w:proofErr w:type="spellStart"/>
      <w:r w:rsidRPr="009935E0">
        <w:rPr>
          <w:rFonts w:ascii="Times New Roman" w:hAnsi="Times New Roman" w:cs="Times New Roman"/>
          <w:i/>
          <w:sz w:val="24"/>
          <w:szCs w:val="24"/>
        </w:rPr>
        <w:t>take</w:t>
      </w:r>
      <w:proofErr w:type="spellEnd"/>
      <w:r w:rsidRPr="009935E0">
        <w:rPr>
          <w:rFonts w:ascii="Times New Roman" w:hAnsi="Times New Roman" w:cs="Times New Roman"/>
          <w:i/>
          <w:sz w:val="24"/>
          <w:szCs w:val="24"/>
        </w:rPr>
        <w:t xml:space="preserve"> down</w:t>
      </w:r>
      <w:r w:rsidRPr="009935E0">
        <w:rPr>
          <w:rFonts w:ascii="Times New Roman" w:hAnsi="Times New Roman" w:cs="Times New Roman"/>
          <w:sz w:val="24"/>
          <w:szCs w:val="24"/>
        </w:rPr>
        <w:t xml:space="preserve">. </w:t>
      </w:r>
      <w:r w:rsidR="001529B9" w:rsidRPr="009935E0">
        <w:rPr>
          <w:rFonts w:ascii="Times New Roman" w:hAnsi="Times New Roman" w:cs="Times New Roman"/>
          <w:sz w:val="24"/>
          <w:szCs w:val="24"/>
        </w:rPr>
        <w:t xml:space="preserve">Została jednak istotnie uzupełniona o procedurę </w:t>
      </w:r>
      <w:proofErr w:type="spellStart"/>
      <w:r w:rsidR="001529B9" w:rsidRPr="009935E0">
        <w:rPr>
          <w:rFonts w:ascii="Times New Roman" w:hAnsi="Times New Roman" w:cs="Times New Roman"/>
          <w:i/>
          <w:sz w:val="24"/>
          <w:szCs w:val="24"/>
        </w:rPr>
        <w:t>notice</w:t>
      </w:r>
      <w:proofErr w:type="spellEnd"/>
      <w:r w:rsidR="001529B9" w:rsidRPr="009935E0">
        <w:rPr>
          <w:rFonts w:ascii="Times New Roman" w:hAnsi="Times New Roman" w:cs="Times New Roman"/>
          <w:i/>
          <w:sz w:val="24"/>
          <w:szCs w:val="24"/>
        </w:rPr>
        <w:t>-and-</w:t>
      </w:r>
      <w:proofErr w:type="spellStart"/>
      <w:r w:rsidR="001529B9" w:rsidRPr="009935E0">
        <w:rPr>
          <w:rFonts w:ascii="Times New Roman" w:hAnsi="Times New Roman" w:cs="Times New Roman"/>
          <w:i/>
          <w:sz w:val="24"/>
          <w:szCs w:val="24"/>
        </w:rPr>
        <w:t>stay</w:t>
      </w:r>
      <w:proofErr w:type="spellEnd"/>
      <w:r w:rsidR="001529B9" w:rsidRPr="009935E0">
        <w:rPr>
          <w:rFonts w:ascii="Times New Roman" w:hAnsi="Times New Roman" w:cs="Times New Roman"/>
          <w:i/>
          <w:sz w:val="24"/>
          <w:szCs w:val="24"/>
        </w:rPr>
        <w:t xml:space="preserve"> down</w:t>
      </w:r>
      <w:r w:rsidR="001529B9" w:rsidRPr="009935E0">
        <w:rPr>
          <w:rFonts w:ascii="Times New Roman" w:hAnsi="Times New Roman" w:cs="Times New Roman"/>
          <w:sz w:val="24"/>
          <w:szCs w:val="24"/>
        </w:rPr>
        <w:t>, tj. treść raz usunięta przez DUUTO na żądanie uprawnionego nie może być ponownie rozpowszechniania „na zasadach określonych w pkt 2”, tj. jeżeli uprawnieni przekażą DUUTO „odpowiednie i niezbędne</w:t>
      </w:r>
      <w:r w:rsidR="000E4710" w:rsidRPr="009935E0">
        <w:rPr>
          <w:rFonts w:ascii="Times New Roman" w:hAnsi="Times New Roman" w:cs="Times New Roman"/>
          <w:sz w:val="24"/>
          <w:szCs w:val="24"/>
        </w:rPr>
        <w:t xml:space="preserve">” informacje, </w:t>
      </w:r>
      <w:r w:rsidR="001529B9" w:rsidRPr="009935E0">
        <w:rPr>
          <w:rFonts w:ascii="Times New Roman" w:hAnsi="Times New Roman" w:cs="Times New Roman"/>
          <w:sz w:val="24"/>
          <w:szCs w:val="24"/>
        </w:rPr>
        <w:t xml:space="preserve">pozwalające </w:t>
      </w:r>
      <w:r w:rsidR="000E4710" w:rsidRPr="009935E0">
        <w:rPr>
          <w:rFonts w:ascii="Times New Roman" w:hAnsi="Times New Roman" w:cs="Times New Roman"/>
          <w:sz w:val="24"/>
          <w:szCs w:val="24"/>
        </w:rPr>
        <w:t>uniemożliwić dostęp</w:t>
      </w:r>
      <w:r w:rsidR="001529B9" w:rsidRPr="009935E0">
        <w:rPr>
          <w:rFonts w:ascii="Times New Roman" w:hAnsi="Times New Roman" w:cs="Times New Roman"/>
          <w:sz w:val="24"/>
          <w:szCs w:val="24"/>
        </w:rPr>
        <w:t xml:space="preserve"> </w:t>
      </w:r>
      <w:r w:rsidR="00B1509D" w:rsidRPr="009935E0">
        <w:rPr>
          <w:rFonts w:ascii="Times New Roman" w:hAnsi="Times New Roman" w:cs="Times New Roman"/>
          <w:sz w:val="24"/>
          <w:szCs w:val="24"/>
        </w:rPr>
        <w:t xml:space="preserve">do tych treści. Przepis dyrektywy w tej części (art. 17 ust. 4 lit. c </w:t>
      </w:r>
      <w:r w:rsidR="00B1509D" w:rsidRPr="009935E0">
        <w:rPr>
          <w:rFonts w:ascii="Times New Roman" w:hAnsi="Times New Roman" w:cs="Times New Roman"/>
          <w:i/>
          <w:sz w:val="24"/>
          <w:szCs w:val="24"/>
        </w:rPr>
        <w:t>in fine</w:t>
      </w:r>
      <w:r w:rsidR="00B1509D" w:rsidRPr="009935E0">
        <w:rPr>
          <w:rFonts w:ascii="Times New Roman" w:hAnsi="Times New Roman" w:cs="Times New Roman"/>
          <w:sz w:val="24"/>
          <w:szCs w:val="24"/>
        </w:rPr>
        <w:t xml:space="preserve">) również </w:t>
      </w:r>
      <w:r w:rsidR="00C43892" w:rsidRPr="009935E0">
        <w:rPr>
          <w:rFonts w:ascii="Times New Roman" w:hAnsi="Times New Roman" w:cs="Times New Roman"/>
          <w:sz w:val="24"/>
          <w:szCs w:val="24"/>
        </w:rPr>
        <w:t>został objęty</w:t>
      </w:r>
      <w:r w:rsidR="00F70D5E" w:rsidRPr="009935E0">
        <w:rPr>
          <w:rFonts w:ascii="Times New Roman" w:hAnsi="Times New Roman" w:cs="Times New Roman"/>
          <w:sz w:val="24"/>
          <w:szCs w:val="24"/>
        </w:rPr>
        <w:t xml:space="preserve"> tą samą skargą RP do TSUE </w:t>
      </w:r>
      <w:r w:rsidR="00C43892" w:rsidRPr="009935E0">
        <w:rPr>
          <w:rFonts w:ascii="Times New Roman" w:hAnsi="Times New Roman" w:cs="Times New Roman"/>
          <w:sz w:val="24"/>
          <w:szCs w:val="24"/>
        </w:rPr>
        <w:t>(C-401/19), z identycznym uzasadnieniem (zagrożenie prawa do wolności wypowiedzi i dostępu do informacji).</w:t>
      </w:r>
    </w:p>
    <w:p w14:paraId="4B00D559" w14:textId="77777777" w:rsidR="00C43892" w:rsidRPr="009935E0" w:rsidRDefault="000E471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Projektowany art. 22</w:t>
      </w:r>
      <w:r w:rsidR="00E84849" w:rsidRPr="009935E0">
        <w:rPr>
          <w:rFonts w:ascii="Times New Roman" w:hAnsi="Times New Roman" w:cs="Times New Roman"/>
          <w:sz w:val="24"/>
          <w:szCs w:val="24"/>
        </w:rPr>
        <w:t>b</w:t>
      </w:r>
      <w:r w:rsidR="00C43892" w:rsidRPr="009935E0">
        <w:rPr>
          <w:rFonts w:ascii="Times New Roman" w:hAnsi="Times New Roman" w:cs="Times New Roman"/>
          <w:sz w:val="24"/>
          <w:szCs w:val="24"/>
        </w:rPr>
        <w:t xml:space="preserve"> ust. 2 ustawy o prawie autorskim, zgodnie z art. 17 ust. 6 dyrektywy, </w:t>
      </w:r>
      <w:r w:rsidR="00EE1D63" w:rsidRPr="009935E0">
        <w:rPr>
          <w:rFonts w:ascii="Times New Roman" w:hAnsi="Times New Roman" w:cs="Times New Roman"/>
          <w:sz w:val="24"/>
          <w:szCs w:val="24"/>
        </w:rPr>
        <w:t>przewiduje złagodzone przesłanki zwolnienia z odpowiedzialności dla „nowych” DUUTO, tj.</w:t>
      </w:r>
      <w:r w:rsidR="00C43892" w:rsidRPr="009935E0">
        <w:rPr>
          <w:rFonts w:ascii="Times New Roman" w:hAnsi="Times New Roman" w:cs="Times New Roman"/>
          <w:sz w:val="24"/>
          <w:szCs w:val="24"/>
        </w:rPr>
        <w:t xml:space="preserve"> których usługi są dostępne publicznie na terytorium Unii Europejskiej krócej niż trzy lata i których roczny obrót nie przek</w:t>
      </w:r>
      <w:r w:rsidR="00EE1D63" w:rsidRPr="009935E0">
        <w:rPr>
          <w:rFonts w:ascii="Times New Roman" w:hAnsi="Times New Roman" w:cs="Times New Roman"/>
          <w:sz w:val="24"/>
          <w:szCs w:val="24"/>
        </w:rPr>
        <w:t xml:space="preserve">racza równowartości 10 mln EUR – będą oni musieli wykazać, że: 1) dołożyli </w:t>
      </w:r>
      <w:r w:rsidRPr="009935E0">
        <w:rPr>
          <w:rFonts w:ascii="Times New Roman" w:hAnsi="Times New Roman" w:cs="Times New Roman"/>
          <w:sz w:val="24"/>
          <w:szCs w:val="24"/>
        </w:rPr>
        <w:t xml:space="preserve">należytej </w:t>
      </w:r>
      <w:r w:rsidR="00EE1D63" w:rsidRPr="009935E0">
        <w:rPr>
          <w:rFonts w:ascii="Times New Roman" w:hAnsi="Times New Roman" w:cs="Times New Roman"/>
          <w:sz w:val="24"/>
          <w:szCs w:val="24"/>
        </w:rPr>
        <w:t xml:space="preserve">staranności, aby uzyskać zgodę uprawnionego (ust. 1 pkt 1) oraz 2) </w:t>
      </w:r>
      <w:r w:rsidR="00EE1D63" w:rsidRPr="009935E0">
        <w:rPr>
          <w:rFonts w:ascii="Times New Roman" w:hAnsi="Times New Roman" w:cs="Times New Roman"/>
          <w:sz w:val="24"/>
          <w:szCs w:val="24"/>
        </w:rPr>
        <w:lastRenderedPageBreak/>
        <w:t xml:space="preserve">stosować procedurę </w:t>
      </w:r>
      <w:proofErr w:type="spellStart"/>
      <w:r w:rsidR="00EE1D63" w:rsidRPr="009935E0">
        <w:rPr>
          <w:rFonts w:ascii="Times New Roman" w:hAnsi="Times New Roman" w:cs="Times New Roman"/>
          <w:i/>
          <w:sz w:val="24"/>
          <w:szCs w:val="24"/>
        </w:rPr>
        <w:t>notice</w:t>
      </w:r>
      <w:proofErr w:type="spellEnd"/>
      <w:r w:rsidR="00EE1D63" w:rsidRPr="009935E0">
        <w:rPr>
          <w:rFonts w:ascii="Times New Roman" w:hAnsi="Times New Roman" w:cs="Times New Roman"/>
          <w:i/>
          <w:sz w:val="24"/>
          <w:szCs w:val="24"/>
        </w:rPr>
        <w:t>-and-</w:t>
      </w:r>
      <w:proofErr w:type="spellStart"/>
      <w:r w:rsidR="00EE1D63" w:rsidRPr="009935E0">
        <w:rPr>
          <w:rFonts w:ascii="Times New Roman" w:hAnsi="Times New Roman" w:cs="Times New Roman"/>
          <w:i/>
          <w:sz w:val="24"/>
          <w:szCs w:val="24"/>
        </w:rPr>
        <w:t>take</w:t>
      </w:r>
      <w:proofErr w:type="spellEnd"/>
      <w:r w:rsidR="00EE1D63" w:rsidRPr="009935E0">
        <w:rPr>
          <w:rFonts w:ascii="Times New Roman" w:hAnsi="Times New Roman" w:cs="Times New Roman"/>
          <w:i/>
          <w:sz w:val="24"/>
          <w:szCs w:val="24"/>
        </w:rPr>
        <w:t xml:space="preserve"> down</w:t>
      </w:r>
      <w:r w:rsidR="00EE1D63" w:rsidRPr="009935E0">
        <w:rPr>
          <w:rFonts w:ascii="Times New Roman" w:hAnsi="Times New Roman" w:cs="Times New Roman"/>
          <w:sz w:val="24"/>
          <w:szCs w:val="24"/>
        </w:rPr>
        <w:t xml:space="preserve"> (ust. 1 pkt 3 </w:t>
      </w:r>
      <w:r w:rsidR="00EE1D63" w:rsidRPr="009935E0">
        <w:rPr>
          <w:rFonts w:ascii="Times New Roman" w:hAnsi="Times New Roman" w:cs="Times New Roman"/>
          <w:i/>
          <w:sz w:val="24"/>
          <w:szCs w:val="24"/>
        </w:rPr>
        <w:t xml:space="preserve">in </w:t>
      </w:r>
      <w:proofErr w:type="spellStart"/>
      <w:r w:rsidR="00EE1D63" w:rsidRPr="009935E0">
        <w:rPr>
          <w:rFonts w:ascii="Times New Roman" w:hAnsi="Times New Roman" w:cs="Times New Roman"/>
          <w:i/>
          <w:sz w:val="24"/>
          <w:szCs w:val="24"/>
        </w:rPr>
        <w:t>principio</w:t>
      </w:r>
      <w:proofErr w:type="spellEnd"/>
      <w:r w:rsidR="00EE1D63" w:rsidRPr="009935E0">
        <w:rPr>
          <w:rFonts w:ascii="Times New Roman" w:hAnsi="Times New Roman" w:cs="Times New Roman"/>
          <w:sz w:val="24"/>
          <w:szCs w:val="24"/>
        </w:rPr>
        <w:t>). Natomiast j</w:t>
      </w:r>
      <w:r w:rsidR="00C43892" w:rsidRPr="009935E0">
        <w:rPr>
          <w:rFonts w:ascii="Times New Roman" w:hAnsi="Times New Roman" w:cs="Times New Roman"/>
          <w:sz w:val="24"/>
          <w:szCs w:val="24"/>
        </w:rPr>
        <w:t xml:space="preserve">eżeli średnia miesięczna liczba odwiedzających tych </w:t>
      </w:r>
      <w:r w:rsidR="00EE1D63" w:rsidRPr="009935E0">
        <w:rPr>
          <w:rFonts w:ascii="Times New Roman" w:hAnsi="Times New Roman" w:cs="Times New Roman"/>
          <w:sz w:val="24"/>
          <w:szCs w:val="24"/>
        </w:rPr>
        <w:t>DUUTO</w:t>
      </w:r>
      <w:r w:rsidR="00C43892" w:rsidRPr="009935E0">
        <w:rPr>
          <w:rFonts w:ascii="Times New Roman" w:hAnsi="Times New Roman" w:cs="Times New Roman"/>
          <w:sz w:val="24"/>
          <w:szCs w:val="24"/>
        </w:rPr>
        <w:t xml:space="preserve">, obliczona na podstawie poprzedniego roku kalendarzowego, przekracza 5 milionów, </w:t>
      </w:r>
      <w:r w:rsidR="00EE1D63" w:rsidRPr="009935E0">
        <w:rPr>
          <w:rFonts w:ascii="Times New Roman" w:hAnsi="Times New Roman" w:cs="Times New Roman"/>
          <w:sz w:val="24"/>
          <w:szCs w:val="24"/>
        </w:rPr>
        <w:t>będą oni</w:t>
      </w:r>
      <w:r w:rsidR="00C43892" w:rsidRPr="009935E0">
        <w:rPr>
          <w:rFonts w:ascii="Times New Roman" w:hAnsi="Times New Roman" w:cs="Times New Roman"/>
          <w:sz w:val="24"/>
          <w:szCs w:val="24"/>
        </w:rPr>
        <w:t xml:space="preserve"> również obowiązani </w:t>
      </w:r>
      <w:r w:rsidR="00EE1D63" w:rsidRPr="009935E0">
        <w:rPr>
          <w:rFonts w:ascii="Times New Roman" w:hAnsi="Times New Roman" w:cs="Times New Roman"/>
          <w:sz w:val="24"/>
          <w:szCs w:val="24"/>
        </w:rPr>
        <w:t xml:space="preserve">stosować procedurę </w:t>
      </w:r>
      <w:proofErr w:type="spellStart"/>
      <w:r w:rsidR="00EE1D63" w:rsidRPr="009935E0">
        <w:rPr>
          <w:rFonts w:ascii="Times New Roman" w:hAnsi="Times New Roman" w:cs="Times New Roman"/>
          <w:i/>
          <w:sz w:val="24"/>
          <w:szCs w:val="24"/>
        </w:rPr>
        <w:t>notice</w:t>
      </w:r>
      <w:proofErr w:type="spellEnd"/>
      <w:r w:rsidR="00EE1D63" w:rsidRPr="009935E0">
        <w:rPr>
          <w:rFonts w:ascii="Times New Roman" w:hAnsi="Times New Roman" w:cs="Times New Roman"/>
          <w:i/>
          <w:sz w:val="24"/>
          <w:szCs w:val="24"/>
        </w:rPr>
        <w:t>-and-</w:t>
      </w:r>
      <w:proofErr w:type="spellStart"/>
      <w:r w:rsidR="00EE1D63" w:rsidRPr="009935E0">
        <w:rPr>
          <w:rFonts w:ascii="Times New Roman" w:hAnsi="Times New Roman" w:cs="Times New Roman"/>
          <w:i/>
          <w:sz w:val="24"/>
          <w:szCs w:val="24"/>
        </w:rPr>
        <w:t>stay</w:t>
      </w:r>
      <w:proofErr w:type="spellEnd"/>
      <w:r w:rsidR="00EE1D63" w:rsidRPr="009935E0">
        <w:rPr>
          <w:rFonts w:ascii="Times New Roman" w:hAnsi="Times New Roman" w:cs="Times New Roman"/>
          <w:i/>
          <w:sz w:val="24"/>
          <w:szCs w:val="24"/>
        </w:rPr>
        <w:t xml:space="preserve"> down</w:t>
      </w:r>
      <w:r w:rsidR="00A43F8A" w:rsidRPr="009935E0">
        <w:rPr>
          <w:rFonts w:ascii="Times New Roman" w:hAnsi="Times New Roman" w:cs="Times New Roman"/>
          <w:sz w:val="24"/>
          <w:szCs w:val="24"/>
        </w:rPr>
        <w:t xml:space="preserve"> (ex post) w odniesieniu do utworów usuniętych w procedurze </w:t>
      </w:r>
      <w:proofErr w:type="spellStart"/>
      <w:r w:rsidR="00A43F8A" w:rsidRPr="009935E0">
        <w:rPr>
          <w:rFonts w:ascii="Times New Roman" w:hAnsi="Times New Roman" w:cs="Times New Roman"/>
          <w:i/>
          <w:sz w:val="24"/>
          <w:szCs w:val="24"/>
        </w:rPr>
        <w:t>notice</w:t>
      </w:r>
      <w:proofErr w:type="spellEnd"/>
      <w:r w:rsidR="00A43F8A" w:rsidRPr="009935E0">
        <w:rPr>
          <w:rFonts w:ascii="Times New Roman" w:hAnsi="Times New Roman" w:cs="Times New Roman"/>
          <w:i/>
          <w:sz w:val="24"/>
          <w:szCs w:val="24"/>
        </w:rPr>
        <w:t>-and-</w:t>
      </w:r>
      <w:proofErr w:type="spellStart"/>
      <w:r w:rsidR="00A43F8A" w:rsidRPr="009935E0">
        <w:rPr>
          <w:rFonts w:ascii="Times New Roman" w:hAnsi="Times New Roman" w:cs="Times New Roman"/>
          <w:i/>
          <w:sz w:val="24"/>
          <w:szCs w:val="24"/>
        </w:rPr>
        <w:t>take</w:t>
      </w:r>
      <w:proofErr w:type="spellEnd"/>
      <w:r w:rsidR="00A43F8A" w:rsidRPr="009935E0">
        <w:rPr>
          <w:rFonts w:ascii="Times New Roman" w:hAnsi="Times New Roman" w:cs="Times New Roman"/>
          <w:i/>
          <w:sz w:val="24"/>
          <w:szCs w:val="24"/>
        </w:rPr>
        <w:t xml:space="preserve"> down</w:t>
      </w:r>
      <w:r w:rsidR="00A43F8A" w:rsidRPr="009935E0">
        <w:rPr>
          <w:rFonts w:ascii="Times New Roman" w:hAnsi="Times New Roman" w:cs="Times New Roman"/>
          <w:sz w:val="24"/>
          <w:szCs w:val="24"/>
        </w:rPr>
        <w:t>, oczywiście o ile uprawnieni przekażą w tym zakresie „odpowiednie i niezbędne</w:t>
      </w:r>
      <w:r w:rsidRPr="009935E0">
        <w:rPr>
          <w:rFonts w:ascii="Times New Roman" w:hAnsi="Times New Roman" w:cs="Times New Roman"/>
          <w:sz w:val="24"/>
          <w:szCs w:val="24"/>
        </w:rPr>
        <w:t>” informacje</w:t>
      </w:r>
      <w:r w:rsidR="00A43F8A" w:rsidRPr="009935E0">
        <w:rPr>
          <w:rFonts w:ascii="Times New Roman" w:hAnsi="Times New Roman" w:cs="Times New Roman"/>
          <w:sz w:val="24"/>
          <w:szCs w:val="24"/>
        </w:rPr>
        <w:t xml:space="preserve"> (ust. 1 pkt 3 </w:t>
      </w:r>
      <w:r w:rsidR="00A43F8A" w:rsidRPr="009935E0">
        <w:rPr>
          <w:rFonts w:ascii="Times New Roman" w:hAnsi="Times New Roman" w:cs="Times New Roman"/>
          <w:i/>
          <w:sz w:val="24"/>
          <w:szCs w:val="24"/>
        </w:rPr>
        <w:t>in fine</w:t>
      </w:r>
      <w:r w:rsidR="00A43F8A" w:rsidRPr="009935E0">
        <w:rPr>
          <w:rFonts w:ascii="Times New Roman" w:hAnsi="Times New Roman" w:cs="Times New Roman"/>
          <w:sz w:val="24"/>
          <w:szCs w:val="24"/>
        </w:rPr>
        <w:t xml:space="preserve">). Nie będą natomiast musieli stosować procedury </w:t>
      </w:r>
      <w:proofErr w:type="spellStart"/>
      <w:r w:rsidR="00A43F8A" w:rsidRPr="009935E0">
        <w:rPr>
          <w:rFonts w:ascii="Times New Roman" w:hAnsi="Times New Roman" w:cs="Times New Roman"/>
          <w:i/>
          <w:sz w:val="24"/>
          <w:szCs w:val="24"/>
        </w:rPr>
        <w:t>notice</w:t>
      </w:r>
      <w:proofErr w:type="spellEnd"/>
      <w:r w:rsidR="00A43F8A" w:rsidRPr="009935E0">
        <w:rPr>
          <w:rFonts w:ascii="Times New Roman" w:hAnsi="Times New Roman" w:cs="Times New Roman"/>
          <w:i/>
          <w:sz w:val="24"/>
          <w:szCs w:val="24"/>
        </w:rPr>
        <w:t>-and-</w:t>
      </w:r>
      <w:proofErr w:type="spellStart"/>
      <w:r w:rsidR="00A43F8A" w:rsidRPr="009935E0">
        <w:rPr>
          <w:rFonts w:ascii="Times New Roman" w:hAnsi="Times New Roman" w:cs="Times New Roman"/>
          <w:i/>
          <w:sz w:val="24"/>
          <w:szCs w:val="24"/>
        </w:rPr>
        <w:t>stay</w:t>
      </w:r>
      <w:proofErr w:type="spellEnd"/>
      <w:r w:rsidR="00A43F8A" w:rsidRPr="009935E0">
        <w:rPr>
          <w:rFonts w:ascii="Times New Roman" w:hAnsi="Times New Roman" w:cs="Times New Roman"/>
          <w:i/>
          <w:sz w:val="24"/>
          <w:szCs w:val="24"/>
        </w:rPr>
        <w:t xml:space="preserve"> down </w:t>
      </w:r>
      <w:r w:rsidR="00A43F8A" w:rsidRPr="009935E0">
        <w:rPr>
          <w:rFonts w:ascii="Times New Roman" w:hAnsi="Times New Roman" w:cs="Times New Roman"/>
          <w:sz w:val="24"/>
          <w:szCs w:val="24"/>
        </w:rPr>
        <w:t xml:space="preserve">(ex </w:t>
      </w:r>
      <w:proofErr w:type="spellStart"/>
      <w:r w:rsidR="00A43F8A" w:rsidRPr="009935E0">
        <w:rPr>
          <w:rFonts w:ascii="Times New Roman" w:hAnsi="Times New Roman" w:cs="Times New Roman"/>
          <w:sz w:val="24"/>
          <w:szCs w:val="24"/>
        </w:rPr>
        <w:t>ante</w:t>
      </w:r>
      <w:proofErr w:type="spellEnd"/>
      <w:r w:rsidR="00A43F8A" w:rsidRPr="009935E0">
        <w:rPr>
          <w:rFonts w:ascii="Times New Roman" w:hAnsi="Times New Roman" w:cs="Times New Roman"/>
          <w:sz w:val="24"/>
          <w:szCs w:val="24"/>
        </w:rPr>
        <w:t xml:space="preserve">), tj. w zakresie i na zasadach określonych w ust. 1 pkt 2. </w:t>
      </w:r>
      <w:r w:rsidR="00C43892" w:rsidRPr="009935E0">
        <w:rPr>
          <w:rFonts w:ascii="Times New Roman" w:hAnsi="Times New Roman" w:cs="Times New Roman"/>
          <w:sz w:val="24"/>
          <w:szCs w:val="24"/>
        </w:rPr>
        <w:t xml:space="preserve">Roczny obrót </w:t>
      </w:r>
      <w:r w:rsidR="00A43F8A" w:rsidRPr="009935E0">
        <w:rPr>
          <w:rFonts w:ascii="Times New Roman" w:hAnsi="Times New Roman" w:cs="Times New Roman"/>
          <w:sz w:val="24"/>
          <w:szCs w:val="24"/>
        </w:rPr>
        <w:t xml:space="preserve">DUUTO będzie </w:t>
      </w:r>
      <w:r w:rsidR="00C43892" w:rsidRPr="009935E0">
        <w:rPr>
          <w:rFonts w:ascii="Times New Roman" w:hAnsi="Times New Roman" w:cs="Times New Roman"/>
          <w:sz w:val="24"/>
          <w:szCs w:val="24"/>
        </w:rPr>
        <w:t>oblicza</w:t>
      </w:r>
      <w:r w:rsidR="00A43F8A" w:rsidRPr="009935E0">
        <w:rPr>
          <w:rFonts w:ascii="Times New Roman" w:hAnsi="Times New Roman" w:cs="Times New Roman"/>
          <w:sz w:val="24"/>
          <w:szCs w:val="24"/>
        </w:rPr>
        <w:t xml:space="preserve">ny </w:t>
      </w:r>
      <w:r w:rsidR="00C43892" w:rsidRPr="009935E0">
        <w:rPr>
          <w:rFonts w:ascii="Times New Roman" w:hAnsi="Times New Roman" w:cs="Times New Roman"/>
          <w:sz w:val="24"/>
          <w:szCs w:val="24"/>
        </w:rPr>
        <w:t xml:space="preserve">zgodnie z zaleceniem Komisji z dnia 6 maja 2003 r. dotyczącym definicji mikro-, małych i średnich przedsiębiorstw (Dz. Urz. L 124 z 20.05.2003, str. 36). </w:t>
      </w:r>
    </w:p>
    <w:p w14:paraId="7A0590F1" w14:textId="77777777" w:rsidR="00302EEE" w:rsidRPr="009935E0" w:rsidRDefault="00A43F8A"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Zgodnie z art. 17 ust. 5</w:t>
      </w:r>
      <w:r w:rsidR="000E4710" w:rsidRPr="009935E0">
        <w:rPr>
          <w:rFonts w:ascii="Times New Roman" w:hAnsi="Times New Roman" w:cs="Times New Roman"/>
          <w:sz w:val="24"/>
          <w:szCs w:val="24"/>
        </w:rPr>
        <w:t xml:space="preserve"> dyrektywy</w:t>
      </w:r>
      <w:r w:rsidR="00FB3454" w:rsidRPr="009935E0">
        <w:rPr>
          <w:rFonts w:ascii="Times New Roman" w:hAnsi="Times New Roman" w:cs="Times New Roman"/>
          <w:sz w:val="24"/>
          <w:szCs w:val="24"/>
        </w:rPr>
        <w:t xml:space="preserve"> DSM</w:t>
      </w:r>
      <w:r w:rsidR="000E4710" w:rsidRPr="009935E0">
        <w:rPr>
          <w:rFonts w:ascii="Times New Roman" w:hAnsi="Times New Roman" w:cs="Times New Roman"/>
          <w:sz w:val="24"/>
          <w:szCs w:val="24"/>
        </w:rPr>
        <w:t>, projektowany art. 22</w:t>
      </w:r>
      <w:r w:rsidR="00E84849" w:rsidRPr="009935E0">
        <w:rPr>
          <w:rFonts w:ascii="Times New Roman" w:hAnsi="Times New Roman" w:cs="Times New Roman"/>
          <w:sz w:val="24"/>
          <w:szCs w:val="24"/>
        </w:rPr>
        <w:t>b</w:t>
      </w:r>
      <w:r w:rsidRPr="009935E0">
        <w:rPr>
          <w:rFonts w:ascii="Times New Roman" w:hAnsi="Times New Roman" w:cs="Times New Roman"/>
          <w:sz w:val="24"/>
          <w:szCs w:val="24"/>
        </w:rPr>
        <w:t xml:space="preserve"> ust. 3 ustawy o prawie autorskim </w:t>
      </w:r>
      <w:r w:rsidR="00950D2E" w:rsidRPr="009935E0">
        <w:rPr>
          <w:rFonts w:ascii="Times New Roman" w:hAnsi="Times New Roman" w:cs="Times New Roman"/>
          <w:sz w:val="24"/>
          <w:szCs w:val="24"/>
        </w:rPr>
        <w:t>wskazuje</w:t>
      </w:r>
      <w:r w:rsidRPr="009935E0">
        <w:rPr>
          <w:rFonts w:ascii="Times New Roman" w:hAnsi="Times New Roman" w:cs="Times New Roman"/>
          <w:sz w:val="24"/>
          <w:szCs w:val="24"/>
        </w:rPr>
        <w:t xml:space="preserve"> kryteria oceny</w:t>
      </w:r>
      <w:r w:rsidR="00C43892" w:rsidRPr="009935E0">
        <w:rPr>
          <w:rFonts w:ascii="Times New Roman" w:hAnsi="Times New Roman" w:cs="Times New Roman"/>
          <w:sz w:val="24"/>
          <w:szCs w:val="24"/>
        </w:rPr>
        <w:t xml:space="preserve">, czy dany </w:t>
      </w:r>
      <w:r w:rsidRPr="009935E0">
        <w:rPr>
          <w:rFonts w:ascii="Times New Roman" w:hAnsi="Times New Roman" w:cs="Times New Roman"/>
          <w:sz w:val="24"/>
          <w:szCs w:val="24"/>
        </w:rPr>
        <w:t>DUUTO</w:t>
      </w:r>
      <w:r w:rsidR="00C43892" w:rsidRPr="009935E0">
        <w:rPr>
          <w:rFonts w:ascii="Times New Roman" w:hAnsi="Times New Roman" w:cs="Times New Roman"/>
          <w:sz w:val="24"/>
          <w:szCs w:val="24"/>
        </w:rPr>
        <w:t xml:space="preserve"> spełnił przesłanki zwolnienia z odpowiedzialnoś</w:t>
      </w:r>
      <w:r w:rsidR="00950D2E" w:rsidRPr="009935E0">
        <w:rPr>
          <w:rFonts w:ascii="Times New Roman" w:hAnsi="Times New Roman" w:cs="Times New Roman"/>
          <w:sz w:val="24"/>
          <w:szCs w:val="24"/>
        </w:rPr>
        <w:t>ci, o których mowa w ust. 1 i 2.</w:t>
      </w:r>
      <w:r w:rsidR="00C43892" w:rsidRPr="009935E0">
        <w:rPr>
          <w:rFonts w:ascii="Times New Roman" w:hAnsi="Times New Roman" w:cs="Times New Roman"/>
          <w:sz w:val="24"/>
          <w:szCs w:val="24"/>
        </w:rPr>
        <w:t xml:space="preserve"> </w:t>
      </w:r>
      <w:r w:rsidR="00950D2E" w:rsidRPr="009935E0">
        <w:rPr>
          <w:rFonts w:ascii="Times New Roman" w:hAnsi="Times New Roman" w:cs="Times New Roman"/>
          <w:sz w:val="24"/>
          <w:szCs w:val="24"/>
        </w:rPr>
        <w:t xml:space="preserve">Nakazuje zatem wziąć </w:t>
      </w:r>
      <w:r w:rsidR="00C43892" w:rsidRPr="009935E0">
        <w:rPr>
          <w:rFonts w:ascii="Times New Roman" w:hAnsi="Times New Roman" w:cs="Times New Roman"/>
          <w:sz w:val="24"/>
          <w:szCs w:val="24"/>
        </w:rPr>
        <w:t xml:space="preserve">pod uwagę </w:t>
      </w:r>
      <w:r w:rsidR="00302EEE" w:rsidRPr="009935E0">
        <w:rPr>
          <w:rFonts w:ascii="Times New Roman" w:hAnsi="Times New Roman" w:cs="Times New Roman"/>
          <w:sz w:val="24"/>
          <w:szCs w:val="24"/>
        </w:rPr>
        <w:t xml:space="preserve">„wszystkie istotne okoliczności sprawy”, </w:t>
      </w:r>
      <w:r w:rsidR="00382E7C" w:rsidRPr="009935E0">
        <w:rPr>
          <w:rFonts w:ascii="Times New Roman" w:hAnsi="Times New Roman" w:cs="Times New Roman"/>
          <w:sz w:val="24"/>
          <w:szCs w:val="24"/>
        </w:rPr>
        <w:t>takie jak rodzaj i skala</w:t>
      </w:r>
      <w:r w:rsidR="00C43892" w:rsidRPr="009935E0">
        <w:rPr>
          <w:rFonts w:ascii="Times New Roman" w:hAnsi="Times New Roman" w:cs="Times New Roman"/>
          <w:sz w:val="24"/>
          <w:szCs w:val="24"/>
        </w:rPr>
        <w:t xml:space="preserve"> świadczonych usług, krąg </w:t>
      </w:r>
      <w:r w:rsidR="00302EEE" w:rsidRPr="009935E0">
        <w:rPr>
          <w:rFonts w:ascii="Times New Roman" w:hAnsi="Times New Roman" w:cs="Times New Roman"/>
          <w:sz w:val="24"/>
          <w:szCs w:val="24"/>
        </w:rPr>
        <w:t>usługobiorców</w:t>
      </w:r>
      <w:r w:rsidR="00C43892" w:rsidRPr="009935E0">
        <w:rPr>
          <w:rFonts w:ascii="Times New Roman" w:hAnsi="Times New Roman" w:cs="Times New Roman"/>
          <w:sz w:val="24"/>
          <w:szCs w:val="24"/>
        </w:rPr>
        <w:t xml:space="preserve">, rodzaj </w:t>
      </w:r>
      <w:r w:rsidR="00302EEE" w:rsidRPr="009935E0">
        <w:rPr>
          <w:rFonts w:ascii="Times New Roman" w:hAnsi="Times New Roman" w:cs="Times New Roman"/>
          <w:sz w:val="24"/>
          <w:szCs w:val="24"/>
        </w:rPr>
        <w:t>udostępnianych</w:t>
      </w:r>
      <w:r w:rsidR="00C43892" w:rsidRPr="009935E0">
        <w:rPr>
          <w:rFonts w:ascii="Times New Roman" w:hAnsi="Times New Roman" w:cs="Times New Roman"/>
          <w:sz w:val="24"/>
          <w:szCs w:val="24"/>
        </w:rPr>
        <w:t xml:space="preserve"> utworów oraz dostępność i koszt odpowiednich i skutecznych środków uniemożliwiających dostęp do poszczególnych utworów lub zapobiegających ich ponownemu zamieszczaniu przez </w:t>
      </w:r>
      <w:r w:rsidR="00302EEE" w:rsidRPr="009935E0">
        <w:rPr>
          <w:rFonts w:ascii="Times New Roman" w:hAnsi="Times New Roman" w:cs="Times New Roman"/>
          <w:sz w:val="24"/>
          <w:szCs w:val="24"/>
        </w:rPr>
        <w:t>usługobiorców</w:t>
      </w:r>
      <w:r w:rsidR="00C43892" w:rsidRPr="009935E0">
        <w:rPr>
          <w:rFonts w:ascii="Times New Roman" w:hAnsi="Times New Roman" w:cs="Times New Roman"/>
          <w:sz w:val="24"/>
          <w:szCs w:val="24"/>
        </w:rPr>
        <w:t>.</w:t>
      </w:r>
      <w:r w:rsidR="00950D2E" w:rsidRPr="009935E0">
        <w:rPr>
          <w:rFonts w:ascii="Times New Roman" w:hAnsi="Times New Roman" w:cs="Times New Roman"/>
          <w:sz w:val="24"/>
          <w:szCs w:val="24"/>
        </w:rPr>
        <w:t xml:space="preserve"> </w:t>
      </w:r>
    </w:p>
    <w:p w14:paraId="4296770B" w14:textId="0B379E6C" w:rsidR="00D639AF" w:rsidRPr="009935E0" w:rsidRDefault="00950D2E"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Kolejne przepisy tej części projektowanej ustawy</w:t>
      </w:r>
      <w:r w:rsidR="005659DC" w:rsidRPr="009935E0">
        <w:rPr>
          <w:rFonts w:ascii="Times New Roman" w:hAnsi="Times New Roman" w:cs="Times New Roman"/>
          <w:sz w:val="24"/>
          <w:szCs w:val="24"/>
        </w:rPr>
        <w:t xml:space="preserve"> (ar</w:t>
      </w:r>
      <w:r w:rsidR="0017165A" w:rsidRPr="009935E0">
        <w:rPr>
          <w:rFonts w:ascii="Times New Roman" w:hAnsi="Times New Roman" w:cs="Times New Roman"/>
          <w:sz w:val="24"/>
          <w:szCs w:val="24"/>
        </w:rPr>
        <w:t>t. 22</w:t>
      </w:r>
      <w:r w:rsidR="00E84849" w:rsidRPr="009935E0">
        <w:rPr>
          <w:rFonts w:ascii="Times New Roman" w:hAnsi="Times New Roman" w:cs="Times New Roman"/>
          <w:sz w:val="24"/>
          <w:szCs w:val="24"/>
        </w:rPr>
        <w:t>c</w:t>
      </w:r>
      <w:r w:rsidR="008575C3" w:rsidRPr="009935E0">
        <w:rPr>
          <w:rFonts w:ascii="Times New Roman" w:hAnsi="Times New Roman" w:cs="Times New Roman"/>
          <w:sz w:val="24"/>
          <w:szCs w:val="24"/>
        </w:rPr>
        <w:t>–</w:t>
      </w:r>
      <w:r w:rsidR="0017165A" w:rsidRPr="009935E0">
        <w:rPr>
          <w:rFonts w:ascii="Times New Roman" w:hAnsi="Times New Roman" w:cs="Times New Roman"/>
          <w:sz w:val="24"/>
          <w:szCs w:val="24"/>
        </w:rPr>
        <w:t>22</w:t>
      </w:r>
      <w:r w:rsidR="00E84849" w:rsidRPr="009935E0">
        <w:rPr>
          <w:rFonts w:ascii="Times New Roman" w:hAnsi="Times New Roman" w:cs="Times New Roman"/>
          <w:sz w:val="24"/>
          <w:szCs w:val="24"/>
        </w:rPr>
        <w:t>g</w:t>
      </w:r>
      <w:r w:rsidR="005659DC" w:rsidRPr="009935E0">
        <w:rPr>
          <w:rFonts w:ascii="Times New Roman" w:hAnsi="Times New Roman" w:cs="Times New Roman"/>
          <w:sz w:val="24"/>
          <w:szCs w:val="24"/>
        </w:rPr>
        <w:t xml:space="preserve"> ustawy o prawie autorskim)</w:t>
      </w:r>
      <w:r w:rsidRPr="009935E0">
        <w:rPr>
          <w:rFonts w:ascii="Times New Roman" w:hAnsi="Times New Roman" w:cs="Times New Roman"/>
          <w:sz w:val="24"/>
          <w:szCs w:val="24"/>
        </w:rPr>
        <w:t xml:space="preserve"> stanowią implementację art. 17 ust. 7</w:t>
      </w:r>
      <w:r w:rsidR="008575C3" w:rsidRPr="009935E0">
        <w:rPr>
          <w:rFonts w:ascii="Times New Roman" w:hAnsi="Times New Roman" w:cs="Times New Roman"/>
          <w:sz w:val="24"/>
          <w:szCs w:val="24"/>
        </w:rPr>
        <w:t>–</w:t>
      </w:r>
      <w:r w:rsidRPr="009935E0">
        <w:rPr>
          <w:rFonts w:ascii="Times New Roman" w:hAnsi="Times New Roman" w:cs="Times New Roman"/>
          <w:sz w:val="24"/>
          <w:szCs w:val="24"/>
        </w:rPr>
        <w:t>9 dyrektywy, które można ocenić jako próbę pewnego zabezpieczenia szeroko rozumianego interesu społecznego przed nieuzasadnionym lub nadmiernym blokowaniem dostępu do treści przez DUUTO</w:t>
      </w:r>
      <w:r w:rsidR="00B51AB0" w:rsidRPr="009935E0">
        <w:rPr>
          <w:rFonts w:ascii="Times New Roman" w:hAnsi="Times New Roman" w:cs="Times New Roman"/>
          <w:sz w:val="24"/>
          <w:szCs w:val="24"/>
        </w:rPr>
        <w:t xml:space="preserve"> (zob. uzas</w:t>
      </w:r>
      <w:r w:rsidR="005A50F0" w:rsidRPr="009935E0">
        <w:rPr>
          <w:rFonts w:ascii="Times New Roman" w:hAnsi="Times New Roman" w:cs="Times New Roman"/>
          <w:sz w:val="24"/>
          <w:szCs w:val="24"/>
        </w:rPr>
        <w:t>adnienie</w:t>
      </w:r>
      <w:r w:rsidR="00B51AB0" w:rsidRPr="009935E0">
        <w:rPr>
          <w:rFonts w:ascii="Times New Roman" w:hAnsi="Times New Roman" w:cs="Times New Roman"/>
          <w:sz w:val="24"/>
          <w:szCs w:val="24"/>
        </w:rPr>
        <w:t xml:space="preserve"> wyroku w sprawie polskiej skargi </w:t>
      </w:r>
      <w:r w:rsidR="00242006" w:rsidRPr="009935E0">
        <w:rPr>
          <w:rFonts w:ascii="Times New Roman" w:hAnsi="Times New Roman" w:cs="Times New Roman"/>
          <w:sz w:val="24"/>
          <w:szCs w:val="24"/>
        </w:rPr>
        <w:t xml:space="preserve">na art. 17 dyrektywy </w:t>
      </w:r>
      <w:r w:rsidR="00B51AB0" w:rsidRPr="009935E0">
        <w:rPr>
          <w:rFonts w:ascii="Times New Roman" w:hAnsi="Times New Roman" w:cs="Times New Roman"/>
          <w:sz w:val="24"/>
          <w:szCs w:val="24"/>
        </w:rPr>
        <w:t>C-401/19, pkt 69 i 77</w:t>
      </w:r>
      <w:r w:rsidR="006D64F7" w:rsidRPr="009935E0">
        <w:rPr>
          <w:rFonts w:ascii="Times New Roman" w:hAnsi="Times New Roman" w:cs="Times New Roman"/>
          <w:sz w:val="24"/>
          <w:szCs w:val="24"/>
        </w:rPr>
        <w:t>–</w:t>
      </w:r>
      <w:r w:rsidR="00242006" w:rsidRPr="009935E0">
        <w:rPr>
          <w:rFonts w:ascii="Times New Roman" w:hAnsi="Times New Roman" w:cs="Times New Roman"/>
          <w:sz w:val="24"/>
          <w:szCs w:val="24"/>
        </w:rPr>
        <w:t>95)</w:t>
      </w:r>
      <w:r w:rsidRPr="009935E0">
        <w:rPr>
          <w:rFonts w:ascii="Times New Roman" w:hAnsi="Times New Roman" w:cs="Times New Roman"/>
          <w:sz w:val="24"/>
          <w:szCs w:val="24"/>
        </w:rPr>
        <w:t>. Zatem zgodnie z art. 17 ust. 7</w:t>
      </w:r>
      <w:r w:rsidR="0017165A" w:rsidRPr="009935E0">
        <w:rPr>
          <w:rFonts w:ascii="Times New Roman" w:hAnsi="Times New Roman" w:cs="Times New Roman"/>
          <w:sz w:val="24"/>
          <w:szCs w:val="24"/>
        </w:rPr>
        <w:t xml:space="preserve"> dyrektywy, projektowany art. 22</w:t>
      </w:r>
      <w:r w:rsidR="00E84849" w:rsidRPr="009935E0">
        <w:rPr>
          <w:rFonts w:ascii="Times New Roman" w:hAnsi="Times New Roman" w:cs="Times New Roman"/>
          <w:sz w:val="24"/>
          <w:szCs w:val="24"/>
        </w:rPr>
        <w:t>c</w:t>
      </w:r>
      <w:r w:rsidRPr="009935E0">
        <w:rPr>
          <w:rFonts w:ascii="Times New Roman" w:hAnsi="Times New Roman" w:cs="Times New Roman"/>
          <w:sz w:val="24"/>
          <w:szCs w:val="24"/>
          <w:vertAlign w:val="superscript"/>
        </w:rPr>
        <w:t xml:space="preserve"> </w:t>
      </w:r>
      <w:r w:rsidR="00881A37" w:rsidRPr="009935E0">
        <w:rPr>
          <w:rFonts w:ascii="Times New Roman" w:hAnsi="Times New Roman" w:cs="Times New Roman"/>
          <w:sz w:val="24"/>
          <w:szCs w:val="24"/>
        </w:rPr>
        <w:t>dotyczy „współpr</w:t>
      </w:r>
      <w:r w:rsidR="0017165A" w:rsidRPr="009935E0">
        <w:rPr>
          <w:rFonts w:ascii="Times New Roman" w:hAnsi="Times New Roman" w:cs="Times New Roman"/>
          <w:sz w:val="24"/>
          <w:szCs w:val="24"/>
        </w:rPr>
        <w:t>acy” między DUUTO a uprawnionym</w:t>
      </w:r>
      <w:r w:rsidR="00881A37" w:rsidRPr="009935E0">
        <w:rPr>
          <w:rFonts w:ascii="Times New Roman" w:hAnsi="Times New Roman" w:cs="Times New Roman"/>
          <w:sz w:val="24"/>
          <w:szCs w:val="24"/>
        </w:rPr>
        <w:t xml:space="preserve"> „w zakresie stosowania przepisu </w:t>
      </w:r>
      <w:r w:rsidR="0017165A" w:rsidRPr="009935E0">
        <w:rPr>
          <w:rFonts w:ascii="Times New Roman" w:hAnsi="Times New Roman" w:cs="Times New Roman"/>
          <w:sz w:val="24"/>
          <w:szCs w:val="24"/>
        </w:rPr>
        <w:t>art. 22</w:t>
      </w:r>
      <w:r w:rsidR="00E84849" w:rsidRPr="009935E0">
        <w:rPr>
          <w:rFonts w:ascii="Times New Roman" w:hAnsi="Times New Roman" w:cs="Times New Roman"/>
          <w:sz w:val="24"/>
          <w:szCs w:val="24"/>
        </w:rPr>
        <w:t>b</w:t>
      </w:r>
      <w:r w:rsidR="00881A37" w:rsidRPr="009935E0">
        <w:rPr>
          <w:rFonts w:ascii="Times New Roman" w:hAnsi="Times New Roman" w:cs="Times New Roman"/>
          <w:sz w:val="24"/>
          <w:szCs w:val="24"/>
        </w:rPr>
        <w:t xml:space="preserve">”, tj. ustalania, które utwory powinny być objęte procedurą </w:t>
      </w:r>
      <w:proofErr w:type="spellStart"/>
      <w:r w:rsidR="00881A37" w:rsidRPr="009935E0">
        <w:rPr>
          <w:rFonts w:ascii="Times New Roman" w:hAnsi="Times New Roman" w:cs="Times New Roman"/>
          <w:i/>
          <w:sz w:val="24"/>
          <w:szCs w:val="24"/>
        </w:rPr>
        <w:t>notice</w:t>
      </w:r>
      <w:proofErr w:type="spellEnd"/>
      <w:r w:rsidR="00881A37" w:rsidRPr="009935E0">
        <w:rPr>
          <w:rFonts w:ascii="Times New Roman" w:hAnsi="Times New Roman" w:cs="Times New Roman"/>
          <w:i/>
          <w:sz w:val="24"/>
          <w:szCs w:val="24"/>
        </w:rPr>
        <w:t>-and-</w:t>
      </w:r>
      <w:proofErr w:type="spellStart"/>
      <w:r w:rsidR="00881A37" w:rsidRPr="009935E0">
        <w:rPr>
          <w:rFonts w:ascii="Times New Roman" w:hAnsi="Times New Roman" w:cs="Times New Roman"/>
          <w:i/>
          <w:sz w:val="24"/>
          <w:szCs w:val="24"/>
        </w:rPr>
        <w:t>stay</w:t>
      </w:r>
      <w:proofErr w:type="spellEnd"/>
      <w:r w:rsidR="00881A37" w:rsidRPr="009935E0">
        <w:rPr>
          <w:rFonts w:ascii="Times New Roman" w:hAnsi="Times New Roman" w:cs="Times New Roman"/>
          <w:i/>
          <w:sz w:val="24"/>
          <w:szCs w:val="24"/>
        </w:rPr>
        <w:t xml:space="preserve"> down</w:t>
      </w:r>
      <w:r w:rsidR="00881A37" w:rsidRPr="009935E0">
        <w:rPr>
          <w:rFonts w:ascii="Times New Roman" w:hAnsi="Times New Roman" w:cs="Times New Roman"/>
          <w:sz w:val="24"/>
          <w:szCs w:val="24"/>
        </w:rPr>
        <w:t xml:space="preserve">. Wskazuje zatem, że </w:t>
      </w:r>
      <w:r w:rsidR="00F264C6" w:rsidRPr="009935E0">
        <w:rPr>
          <w:rFonts w:ascii="Times New Roman" w:hAnsi="Times New Roman" w:cs="Times New Roman"/>
          <w:sz w:val="24"/>
          <w:szCs w:val="24"/>
        </w:rPr>
        <w:t xml:space="preserve">ta „współpraca” nie </w:t>
      </w:r>
      <w:r w:rsidR="00881A37" w:rsidRPr="009935E0">
        <w:rPr>
          <w:rFonts w:ascii="Times New Roman" w:hAnsi="Times New Roman" w:cs="Times New Roman"/>
          <w:sz w:val="24"/>
          <w:szCs w:val="24"/>
        </w:rPr>
        <w:t xml:space="preserve">może prowadzić do niedostępności utworów zamieszczanych przez </w:t>
      </w:r>
      <w:r w:rsidR="0017165A" w:rsidRPr="009935E0">
        <w:rPr>
          <w:rFonts w:ascii="Times New Roman" w:hAnsi="Times New Roman" w:cs="Times New Roman"/>
          <w:sz w:val="24"/>
          <w:szCs w:val="24"/>
        </w:rPr>
        <w:t>usługobiorcę</w:t>
      </w:r>
      <w:r w:rsidR="00881A37" w:rsidRPr="009935E0">
        <w:rPr>
          <w:rFonts w:ascii="Times New Roman" w:hAnsi="Times New Roman" w:cs="Times New Roman"/>
          <w:sz w:val="24"/>
          <w:szCs w:val="24"/>
        </w:rPr>
        <w:t xml:space="preserve"> zgodnie z prawem, w szczególności na podstawi</w:t>
      </w:r>
      <w:r w:rsidR="00F264C6" w:rsidRPr="009935E0">
        <w:rPr>
          <w:rFonts w:ascii="Times New Roman" w:hAnsi="Times New Roman" w:cs="Times New Roman"/>
          <w:sz w:val="24"/>
          <w:szCs w:val="24"/>
        </w:rPr>
        <w:t>e przepisów o dozwolonym użytku.</w:t>
      </w:r>
      <w:r w:rsidR="005E0291" w:rsidRPr="009935E0">
        <w:rPr>
          <w:rFonts w:ascii="Times New Roman" w:hAnsi="Times New Roman" w:cs="Times New Roman"/>
          <w:sz w:val="24"/>
          <w:szCs w:val="24"/>
        </w:rPr>
        <w:t xml:space="preserve"> W tym miejscu zostaje</w:t>
      </w:r>
      <w:r w:rsidR="00CD3FD7" w:rsidRPr="009935E0">
        <w:rPr>
          <w:rFonts w:ascii="Times New Roman" w:hAnsi="Times New Roman" w:cs="Times New Roman"/>
          <w:sz w:val="24"/>
          <w:szCs w:val="24"/>
        </w:rPr>
        <w:t xml:space="preserve"> dodatkowo wprowadzony przepis, </w:t>
      </w:r>
      <w:r w:rsidR="005E0291" w:rsidRPr="009935E0">
        <w:rPr>
          <w:rFonts w:ascii="Times New Roman" w:hAnsi="Times New Roman" w:cs="Times New Roman"/>
          <w:sz w:val="24"/>
          <w:szCs w:val="24"/>
        </w:rPr>
        <w:t>oparty na jednej z propozycji zgłoszonych w konsultacjach publicznych, zgodnie z którym dzi</w:t>
      </w:r>
      <w:r w:rsidR="001E2F0C" w:rsidRPr="009935E0">
        <w:rPr>
          <w:rFonts w:ascii="Times New Roman" w:hAnsi="Times New Roman" w:cs="Times New Roman"/>
          <w:sz w:val="24"/>
          <w:szCs w:val="24"/>
        </w:rPr>
        <w:t xml:space="preserve">ałania podejmowane przez DUUTO </w:t>
      </w:r>
      <w:r w:rsidR="005E0291" w:rsidRPr="009935E0">
        <w:rPr>
          <w:rFonts w:ascii="Times New Roman" w:hAnsi="Times New Roman" w:cs="Times New Roman"/>
          <w:sz w:val="24"/>
          <w:szCs w:val="24"/>
        </w:rPr>
        <w:t xml:space="preserve">„nie mogą prowadzić do zautomatyzowanego uniemożliwiania dostępu do utworów, blokowania dostępu lub ich usuwania, jeżeli publiczne udostępnienie tych utworów nie narusza praw autorskich w sposób oczywisty”. Przepis ten ustanawia zatem swoistego rodzaju zakaz adresowany do DUUTO, który ma na celu ograniczenie stosowania mechanizmów automatycznej weryfikacji treści. </w:t>
      </w:r>
      <w:r w:rsidR="005E0291" w:rsidRPr="009935E0">
        <w:rPr>
          <w:rFonts w:ascii="Times New Roman" w:hAnsi="Times New Roman" w:cs="Times New Roman"/>
          <w:sz w:val="24"/>
          <w:szCs w:val="24"/>
        </w:rPr>
        <w:lastRenderedPageBreak/>
        <w:t>Należy przyjąć, że mechanizmy takie będą stosowane przez DUUTO i że w</w:t>
      </w:r>
      <w:r w:rsidR="00FB3454" w:rsidRPr="009935E0">
        <w:rPr>
          <w:rFonts w:ascii="Times New Roman" w:hAnsi="Times New Roman" w:cs="Times New Roman"/>
          <w:sz w:val="24"/>
          <w:szCs w:val="24"/>
        </w:rPr>
        <w:t>edług</w:t>
      </w:r>
      <w:r w:rsidR="005E0291" w:rsidRPr="009935E0">
        <w:rPr>
          <w:rFonts w:ascii="Times New Roman" w:hAnsi="Times New Roman" w:cs="Times New Roman"/>
          <w:sz w:val="24"/>
          <w:szCs w:val="24"/>
        </w:rPr>
        <w:t xml:space="preserve"> aktualnej wiedzy na ich temat nie zapewniają one w pełni prawidłowego rozpoznawania wszystkich przypadków z</w:t>
      </w:r>
      <w:r w:rsidR="001E2F0C" w:rsidRPr="009935E0">
        <w:rPr>
          <w:rFonts w:ascii="Times New Roman" w:hAnsi="Times New Roman" w:cs="Times New Roman"/>
          <w:sz w:val="24"/>
          <w:szCs w:val="24"/>
        </w:rPr>
        <w:t xml:space="preserve">godnego z prawem i niezgodnego </w:t>
      </w:r>
      <w:r w:rsidR="005E0291" w:rsidRPr="009935E0">
        <w:rPr>
          <w:rFonts w:ascii="Times New Roman" w:hAnsi="Times New Roman" w:cs="Times New Roman"/>
          <w:sz w:val="24"/>
          <w:szCs w:val="24"/>
        </w:rPr>
        <w:t>z prawem korzystania z utworu.</w:t>
      </w:r>
      <w:r w:rsidR="00CD3FD7" w:rsidRPr="009935E0">
        <w:rPr>
          <w:rFonts w:ascii="Times New Roman" w:hAnsi="Times New Roman" w:cs="Times New Roman"/>
          <w:sz w:val="24"/>
          <w:szCs w:val="24"/>
        </w:rPr>
        <w:t xml:space="preserve"> Chodzi zatem o zminimalizowanie ryzyka błędnego zautomatyzowanego uniemożliwiania przez DUUTO dostępu do utworów, blokowania tego dostępu lub usuwania utworów do przypadków, gdy naruszenie praw autorskich </w:t>
      </w:r>
      <w:r w:rsidR="005A50F0" w:rsidRPr="009935E0">
        <w:rPr>
          <w:rFonts w:ascii="Times New Roman" w:hAnsi="Times New Roman" w:cs="Times New Roman"/>
          <w:sz w:val="24"/>
          <w:szCs w:val="24"/>
        </w:rPr>
        <w:t xml:space="preserve">nie </w:t>
      </w:r>
      <w:r w:rsidR="00CD3FD7" w:rsidRPr="009935E0">
        <w:rPr>
          <w:rFonts w:ascii="Times New Roman" w:hAnsi="Times New Roman" w:cs="Times New Roman"/>
          <w:sz w:val="24"/>
          <w:szCs w:val="24"/>
        </w:rPr>
        <w:t>jest</w:t>
      </w:r>
      <w:r w:rsidR="005A50F0" w:rsidRPr="009935E0">
        <w:rPr>
          <w:rFonts w:ascii="Times New Roman" w:hAnsi="Times New Roman" w:cs="Times New Roman"/>
          <w:sz w:val="24"/>
          <w:szCs w:val="24"/>
        </w:rPr>
        <w:t xml:space="preserve"> </w:t>
      </w:r>
      <w:r w:rsidR="00CD3FD7" w:rsidRPr="009935E0">
        <w:rPr>
          <w:rFonts w:ascii="Times New Roman" w:hAnsi="Times New Roman" w:cs="Times New Roman"/>
          <w:sz w:val="24"/>
          <w:szCs w:val="24"/>
        </w:rPr>
        <w:t xml:space="preserve">„oczywiste”. Omawiany przepis nie ma odpowiednika w dyrektywie, zostaje jednak wprowadzony do projektu w celu zapewnienia „równowagi interesów” wszystkich zainteresowanych, zgodnie ze wskazówkami zawartymi </w:t>
      </w:r>
      <w:r w:rsidR="001E2F0C" w:rsidRPr="009935E0">
        <w:rPr>
          <w:rFonts w:ascii="Times New Roman" w:hAnsi="Times New Roman" w:cs="Times New Roman"/>
          <w:sz w:val="24"/>
          <w:szCs w:val="24"/>
        </w:rPr>
        <w:t xml:space="preserve">w wyroku TSUE w sprawie </w:t>
      </w:r>
      <w:r w:rsidR="00CD3FD7" w:rsidRPr="009935E0">
        <w:rPr>
          <w:rFonts w:ascii="Times New Roman" w:hAnsi="Times New Roman" w:cs="Times New Roman"/>
          <w:sz w:val="24"/>
          <w:szCs w:val="24"/>
        </w:rPr>
        <w:t>C-401/19.</w:t>
      </w:r>
      <w:r w:rsidR="009529DE" w:rsidRPr="009935E0">
        <w:rPr>
          <w:rFonts w:ascii="Times New Roman" w:hAnsi="Times New Roman" w:cs="Times New Roman"/>
          <w:sz w:val="24"/>
          <w:szCs w:val="24"/>
        </w:rPr>
        <w:t xml:space="preserve"> </w:t>
      </w:r>
      <w:r w:rsidR="00D639AF" w:rsidRPr="009935E0">
        <w:rPr>
          <w:rFonts w:ascii="Times New Roman" w:hAnsi="Times New Roman" w:cs="Times New Roman"/>
          <w:sz w:val="24"/>
          <w:szCs w:val="24"/>
        </w:rPr>
        <w:t>W ust. 2 przewiduje się ponadto, że o każdym przypadku uniemożliwienia dostępu do utworu, zablokowania dostępu lub usunięcia utworu DUUTO ma obowiązek poinformować usługobiorcę.</w:t>
      </w:r>
    </w:p>
    <w:p w14:paraId="2161C6D3" w14:textId="77777777" w:rsidR="00F45160" w:rsidRPr="009935E0" w:rsidRDefault="0024200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Zgodnie z </w:t>
      </w:r>
      <w:r w:rsidR="005659DC" w:rsidRPr="009935E0">
        <w:rPr>
          <w:rFonts w:ascii="Times New Roman" w:hAnsi="Times New Roman" w:cs="Times New Roman"/>
          <w:sz w:val="24"/>
          <w:szCs w:val="24"/>
        </w:rPr>
        <w:t xml:space="preserve">projektowanym </w:t>
      </w:r>
      <w:r w:rsidRPr="009935E0">
        <w:rPr>
          <w:rFonts w:ascii="Times New Roman" w:hAnsi="Times New Roman" w:cs="Times New Roman"/>
          <w:sz w:val="24"/>
          <w:szCs w:val="24"/>
        </w:rPr>
        <w:t>a</w:t>
      </w:r>
      <w:r w:rsidR="00F45160" w:rsidRPr="009935E0">
        <w:rPr>
          <w:rFonts w:ascii="Times New Roman" w:hAnsi="Times New Roman" w:cs="Times New Roman"/>
          <w:sz w:val="24"/>
          <w:szCs w:val="24"/>
        </w:rPr>
        <w:t>rt. 22</w:t>
      </w:r>
      <w:r w:rsidR="00E84849" w:rsidRPr="009935E0">
        <w:rPr>
          <w:rFonts w:ascii="Times New Roman" w:hAnsi="Times New Roman" w:cs="Times New Roman"/>
          <w:sz w:val="24"/>
          <w:szCs w:val="24"/>
        </w:rPr>
        <w:t>d</w:t>
      </w:r>
      <w:r w:rsidRPr="009935E0">
        <w:rPr>
          <w:rFonts w:ascii="Times New Roman" w:hAnsi="Times New Roman" w:cs="Times New Roman"/>
          <w:sz w:val="24"/>
          <w:szCs w:val="24"/>
        </w:rPr>
        <w:t xml:space="preserve"> </w:t>
      </w:r>
      <w:r w:rsidR="00F45160" w:rsidRPr="009935E0">
        <w:rPr>
          <w:rFonts w:ascii="Times New Roman" w:hAnsi="Times New Roman" w:cs="Times New Roman"/>
          <w:sz w:val="24"/>
          <w:szCs w:val="24"/>
        </w:rPr>
        <w:t xml:space="preserve">ust. 1 </w:t>
      </w:r>
      <w:r w:rsidR="00FB3454" w:rsidRPr="009935E0">
        <w:rPr>
          <w:rFonts w:ascii="Times New Roman" w:hAnsi="Times New Roman" w:cs="Times New Roman"/>
          <w:sz w:val="24"/>
          <w:szCs w:val="24"/>
        </w:rPr>
        <w:t xml:space="preserve">ustawy o prawie autorskim </w:t>
      </w:r>
      <w:r w:rsidR="00C06635" w:rsidRPr="009935E0">
        <w:rPr>
          <w:rFonts w:ascii="Times New Roman" w:hAnsi="Times New Roman" w:cs="Times New Roman"/>
          <w:sz w:val="24"/>
          <w:szCs w:val="24"/>
        </w:rPr>
        <w:t>i zgodnie z art. 17 ust. 8 dyrektywy</w:t>
      </w:r>
      <w:r w:rsidR="005659DC" w:rsidRPr="009935E0">
        <w:rPr>
          <w:rFonts w:ascii="Times New Roman" w:hAnsi="Times New Roman" w:cs="Times New Roman"/>
          <w:sz w:val="24"/>
          <w:szCs w:val="24"/>
        </w:rPr>
        <w:t xml:space="preserve"> </w:t>
      </w:r>
      <w:r w:rsidR="00FB3454" w:rsidRPr="009935E0">
        <w:rPr>
          <w:rFonts w:ascii="Times New Roman" w:hAnsi="Times New Roman" w:cs="Times New Roman"/>
          <w:sz w:val="24"/>
          <w:szCs w:val="24"/>
        </w:rPr>
        <w:t xml:space="preserve">DSM </w:t>
      </w:r>
      <w:r w:rsidR="008575C3" w:rsidRPr="009935E0">
        <w:rPr>
          <w:rFonts w:ascii="Times New Roman" w:hAnsi="Times New Roman" w:cs="Times New Roman"/>
          <w:sz w:val="24"/>
          <w:szCs w:val="24"/>
        </w:rPr>
        <w:t xml:space="preserve">DUUTO </w:t>
      </w:r>
      <w:r w:rsidR="005659DC" w:rsidRPr="009935E0">
        <w:rPr>
          <w:rFonts w:ascii="Times New Roman" w:hAnsi="Times New Roman" w:cs="Times New Roman"/>
          <w:sz w:val="24"/>
          <w:szCs w:val="24"/>
        </w:rPr>
        <w:t>będą obowiązani</w:t>
      </w:r>
      <w:r w:rsidR="004F0FFA" w:rsidRPr="009935E0">
        <w:rPr>
          <w:rFonts w:ascii="Times New Roman" w:hAnsi="Times New Roman" w:cs="Times New Roman"/>
          <w:sz w:val="24"/>
          <w:szCs w:val="24"/>
        </w:rPr>
        <w:t xml:space="preserve"> udostępniać</w:t>
      </w:r>
      <w:r w:rsidRPr="009935E0">
        <w:rPr>
          <w:rFonts w:ascii="Times New Roman" w:hAnsi="Times New Roman" w:cs="Times New Roman"/>
          <w:sz w:val="24"/>
          <w:szCs w:val="24"/>
        </w:rPr>
        <w:t xml:space="preserve"> uprawnionym, na ich żądanie, </w:t>
      </w:r>
      <w:r w:rsidR="00F45160" w:rsidRPr="009935E0">
        <w:rPr>
          <w:rFonts w:ascii="Times New Roman" w:hAnsi="Times New Roman" w:cs="Times New Roman"/>
          <w:sz w:val="24"/>
          <w:szCs w:val="24"/>
        </w:rPr>
        <w:t>informacj</w:t>
      </w:r>
      <w:r w:rsidR="00382E7C" w:rsidRPr="009935E0">
        <w:rPr>
          <w:rFonts w:ascii="Times New Roman" w:hAnsi="Times New Roman" w:cs="Times New Roman"/>
          <w:sz w:val="24"/>
          <w:szCs w:val="24"/>
        </w:rPr>
        <w:t>e</w:t>
      </w:r>
      <w:r w:rsidRPr="009935E0">
        <w:rPr>
          <w:rFonts w:ascii="Times New Roman" w:hAnsi="Times New Roman" w:cs="Times New Roman"/>
          <w:sz w:val="24"/>
          <w:szCs w:val="24"/>
        </w:rPr>
        <w:t xml:space="preserve"> na temat </w:t>
      </w:r>
      <w:r w:rsidR="00DE660E" w:rsidRPr="009935E0">
        <w:rPr>
          <w:rFonts w:ascii="Times New Roman" w:hAnsi="Times New Roman" w:cs="Times New Roman"/>
          <w:sz w:val="24"/>
          <w:szCs w:val="24"/>
        </w:rPr>
        <w:t>stosowanej przez nich</w:t>
      </w:r>
      <w:r w:rsidRPr="009935E0">
        <w:rPr>
          <w:rFonts w:ascii="Times New Roman" w:hAnsi="Times New Roman" w:cs="Times New Roman"/>
          <w:sz w:val="24"/>
          <w:szCs w:val="24"/>
        </w:rPr>
        <w:t xml:space="preserve"> praktyk</w:t>
      </w:r>
      <w:r w:rsidR="00DE660E" w:rsidRPr="009935E0">
        <w:rPr>
          <w:rFonts w:ascii="Times New Roman" w:hAnsi="Times New Roman" w:cs="Times New Roman"/>
          <w:sz w:val="24"/>
          <w:szCs w:val="24"/>
        </w:rPr>
        <w:t>i</w:t>
      </w:r>
      <w:r w:rsidRPr="009935E0">
        <w:rPr>
          <w:rFonts w:ascii="Times New Roman" w:hAnsi="Times New Roman" w:cs="Times New Roman"/>
          <w:sz w:val="24"/>
          <w:szCs w:val="24"/>
        </w:rPr>
        <w:t xml:space="preserve"> w odniesieniu do </w:t>
      </w:r>
      <w:r w:rsidR="004F0FFA" w:rsidRPr="009935E0">
        <w:rPr>
          <w:rFonts w:ascii="Times New Roman" w:hAnsi="Times New Roman" w:cs="Times New Roman"/>
          <w:sz w:val="24"/>
          <w:szCs w:val="24"/>
        </w:rPr>
        <w:t xml:space="preserve">ww. współpracy </w:t>
      </w:r>
      <w:r w:rsidR="00F45160" w:rsidRPr="009935E0">
        <w:rPr>
          <w:rFonts w:ascii="Times New Roman" w:hAnsi="Times New Roman" w:cs="Times New Roman"/>
          <w:sz w:val="24"/>
          <w:szCs w:val="24"/>
        </w:rPr>
        <w:t xml:space="preserve">z uprawnionymi </w:t>
      </w:r>
      <w:r w:rsidRPr="009935E0">
        <w:rPr>
          <w:rFonts w:ascii="Times New Roman" w:hAnsi="Times New Roman" w:cs="Times New Roman"/>
          <w:sz w:val="24"/>
          <w:szCs w:val="24"/>
        </w:rPr>
        <w:t xml:space="preserve">oraz </w:t>
      </w:r>
      <w:r w:rsidR="00FB5D6C" w:rsidRPr="009935E0">
        <w:rPr>
          <w:rFonts w:ascii="Times New Roman" w:hAnsi="Times New Roman" w:cs="Times New Roman"/>
          <w:sz w:val="24"/>
          <w:szCs w:val="24"/>
        </w:rPr>
        <w:t xml:space="preserve">informacji </w:t>
      </w:r>
      <w:r w:rsidRPr="009935E0">
        <w:rPr>
          <w:rFonts w:ascii="Times New Roman" w:hAnsi="Times New Roman" w:cs="Times New Roman"/>
          <w:sz w:val="24"/>
          <w:szCs w:val="24"/>
        </w:rPr>
        <w:t>na temat wykorzystywania utworów</w:t>
      </w:r>
      <w:r w:rsidR="004F0FFA" w:rsidRPr="009935E0">
        <w:rPr>
          <w:rFonts w:ascii="Times New Roman" w:hAnsi="Times New Roman" w:cs="Times New Roman"/>
          <w:sz w:val="24"/>
          <w:szCs w:val="24"/>
        </w:rPr>
        <w:t xml:space="preserve"> (i przedmiotów praw pokrewnych), co do których uzyskali zgodę uprawnionych na ich </w:t>
      </w:r>
      <w:r w:rsidR="00F45160" w:rsidRPr="009935E0">
        <w:rPr>
          <w:rFonts w:ascii="Times New Roman" w:hAnsi="Times New Roman" w:cs="Times New Roman"/>
          <w:sz w:val="24"/>
          <w:szCs w:val="24"/>
        </w:rPr>
        <w:t>publiczne udostępnienie</w:t>
      </w:r>
      <w:r w:rsidR="00FB5D6C" w:rsidRPr="009935E0">
        <w:rPr>
          <w:rFonts w:ascii="Times New Roman" w:hAnsi="Times New Roman" w:cs="Times New Roman"/>
          <w:sz w:val="24"/>
          <w:szCs w:val="24"/>
        </w:rPr>
        <w:t>, niezbędnych do określenia wysokości wynagrodzenia należnego uprawnionemu od DUUTO</w:t>
      </w:r>
      <w:r w:rsidR="004F0FFA" w:rsidRPr="009935E0">
        <w:rPr>
          <w:rFonts w:ascii="Times New Roman" w:hAnsi="Times New Roman" w:cs="Times New Roman"/>
          <w:sz w:val="24"/>
          <w:szCs w:val="24"/>
        </w:rPr>
        <w:t>.</w:t>
      </w:r>
    </w:p>
    <w:p w14:paraId="3F1560B9" w14:textId="1DFF9648" w:rsidR="00242006" w:rsidRPr="009935E0" w:rsidRDefault="00C06635"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Art. 17 ust. 7</w:t>
      </w:r>
      <w:r w:rsidR="004F0FFA" w:rsidRPr="009935E0">
        <w:rPr>
          <w:rFonts w:ascii="Times New Roman" w:hAnsi="Times New Roman" w:cs="Times New Roman"/>
          <w:sz w:val="24"/>
          <w:szCs w:val="24"/>
        </w:rPr>
        <w:t xml:space="preserve"> dyrektywy nakazuje także </w:t>
      </w:r>
      <w:r w:rsidR="005B4DE8" w:rsidRPr="009935E0">
        <w:rPr>
          <w:rFonts w:ascii="Times New Roman" w:hAnsi="Times New Roman" w:cs="Times New Roman"/>
          <w:sz w:val="24"/>
          <w:szCs w:val="24"/>
        </w:rPr>
        <w:t>stosowanie do omawianej d</w:t>
      </w:r>
      <w:r w:rsidR="00945340" w:rsidRPr="009935E0">
        <w:rPr>
          <w:rFonts w:ascii="Times New Roman" w:hAnsi="Times New Roman" w:cs="Times New Roman"/>
          <w:sz w:val="24"/>
          <w:szCs w:val="24"/>
        </w:rPr>
        <w:t>ziałalności DUUTO (a dokładniej działań usługobiorców polegających na zamieszczaniu w serwisach DUUTO cudzych utworów chronionych</w:t>
      </w:r>
      <w:r w:rsidR="005B4DE8" w:rsidRPr="009935E0">
        <w:rPr>
          <w:rFonts w:ascii="Times New Roman" w:hAnsi="Times New Roman" w:cs="Times New Roman"/>
          <w:sz w:val="24"/>
          <w:szCs w:val="24"/>
        </w:rPr>
        <w:t xml:space="preserve">) instytucji dozwolonego użytku w zakresie cytowania, krytyki, recenzowania, karykatury, parodii i pastiszu, stanowiąc tym samym przepisy szczególne względem dyrektywy 2001/29/WE, która traktuje te instytucje dozwolonego użytku jako fakultatywne. W ustawie o prawie autorskim zostały one wprowadzone w art. 29 i </w:t>
      </w:r>
      <w:r w:rsidR="000A7927" w:rsidRPr="009935E0">
        <w:rPr>
          <w:rFonts w:ascii="Times New Roman" w:hAnsi="Times New Roman" w:cs="Times New Roman"/>
          <w:sz w:val="24"/>
          <w:szCs w:val="24"/>
        </w:rPr>
        <w:t xml:space="preserve">art. </w:t>
      </w:r>
      <w:r w:rsidR="005B4DE8" w:rsidRPr="009935E0">
        <w:rPr>
          <w:rFonts w:ascii="Times New Roman" w:hAnsi="Times New Roman" w:cs="Times New Roman"/>
          <w:sz w:val="24"/>
          <w:szCs w:val="24"/>
        </w:rPr>
        <w:t>29</w:t>
      </w:r>
      <w:r w:rsidR="005B4DE8" w:rsidRPr="009935E0">
        <w:rPr>
          <w:rFonts w:ascii="Times New Roman" w:hAnsi="Times New Roman" w:cs="Times New Roman"/>
          <w:sz w:val="24"/>
          <w:szCs w:val="24"/>
          <w:vertAlign w:val="superscript"/>
        </w:rPr>
        <w:t>1</w:t>
      </w:r>
      <w:r w:rsidR="00945340" w:rsidRPr="009935E0">
        <w:rPr>
          <w:rFonts w:ascii="Times New Roman" w:hAnsi="Times New Roman" w:cs="Times New Roman"/>
          <w:sz w:val="24"/>
          <w:szCs w:val="24"/>
        </w:rPr>
        <w:t xml:space="preserve">, </w:t>
      </w:r>
      <w:r w:rsidR="005B4DE8" w:rsidRPr="009935E0">
        <w:rPr>
          <w:rFonts w:ascii="Times New Roman" w:hAnsi="Times New Roman" w:cs="Times New Roman"/>
          <w:sz w:val="24"/>
          <w:szCs w:val="24"/>
        </w:rPr>
        <w:t>mają</w:t>
      </w:r>
      <w:r w:rsidR="00945340" w:rsidRPr="009935E0">
        <w:rPr>
          <w:rFonts w:ascii="Times New Roman" w:hAnsi="Times New Roman" w:cs="Times New Roman"/>
          <w:sz w:val="24"/>
          <w:szCs w:val="24"/>
        </w:rPr>
        <w:t>c</w:t>
      </w:r>
      <w:r w:rsidR="005B4DE8" w:rsidRPr="009935E0">
        <w:rPr>
          <w:rFonts w:ascii="Times New Roman" w:hAnsi="Times New Roman" w:cs="Times New Roman"/>
          <w:sz w:val="24"/>
          <w:szCs w:val="24"/>
        </w:rPr>
        <w:t xml:space="preserve"> zastosowanie do wszystkich utworów i przedmiotów praw pokrewnych</w:t>
      </w:r>
      <w:r w:rsidRPr="009935E0">
        <w:rPr>
          <w:rFonts w:ascii="Times New Roman" w:hAnsi="Times New Roman" w:cs="Times New Roman"/>
          <w:sz w:val="24"/>
          <w:szCs w:val="24"/>
        </w:rPr>
        <w:t>. Nie ma zatem potrzeby wprowadzania w tym zakresie szczególnej regulacji dotyczącej DUUTO.</w:t>
      </w:r>
    </w:p>
    <w:p w14:paraId="322C6B68" w14:textId="227077A3" w:rsidR="00242006" w:rsidRPr="009935E0" w:rsidRDefault="00C05F8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Zgodnie z art. 17 ust. </w:t>
      </w:r>
      <w:r w:rsidR="00945340" w:rsidRPr="009935E0">
        <w:rPr>
          <w:rFonts w:ascii="Times New Roman" w:hAnsi="Times New Roman" w:cs="Times New Roman"/>
          <w:sz w:val="24"/>
          <w:szCs w:val="24"/>
        </w:rPr>
        <w:t>9 dyrektywy projektowany art. 22</w:t>
      </w:r>
      <w:r w:rsidR="00E84849" w:rsidRPr="009935E0">
        <w:rPr>
          <w:rFonts w:ascii="Times New Roman" w:hAnsi="Times New Roman" w:cs="Times New Roman"/>
          <w:sz w:val="24"/>
          <w:szCs w:val="24"/>
        </w:rPr>
        <w:t>e</w:t>
      </w:r>
      <w:r w:rsidRPr="009935E0">
        <w:rPr>
          <w:rFonts w:ascii="Times New Roman" w:hAnsi="Times New Roman" w:cs="Times New Roman"/>
          <w:sz w:val="24"/>
          <w:szCs w:val="24"/>
        </w:rPr>
        <w:t xml:space="preserve"> ustawy o pr</w:t>
      </w:r>
      <w:r w:rsidR="00A77B4F" w:rsidRPr="009935E0">
        <w:rPr>
          <w:rFonts w:ascii="Times New Roman" w:hAnsi="Times New Roman" w:cs="Times New Roman"/>
          <w:sz w:val="24"/>
          <w:szCs w:val="24"/>
        </w:rPr>
        <w:t>awie autorskim</w:t>
      </w:r>
      <w:r w:rsidR="000B375D" w:rsidRPr="009935E0">
        <w:rPr>
          <w:rFonts w:ascii="Times New Roman" w:hAnsi="Times New Roman" w:cs="Times New Roman"/>
          <w:sz w:val="24"/>
          <w:szCs w:val="24"/>
        </w:rPr>
        <w:t xml:space="preserve"> (znacznie </w:t>
      </w:r>
      <w:r w:rsidR="00B31BE5" w:rsidRPr="009935E0">
        <w:rPr>
          <w:rFonts w:ascii="Times New Roman" w:hAnsi="Times New Roman" w:cs="Times New Roman"/>
          <w:sz w:val="24"/>
          <w:szCs w:val="24"/>
        </w:rPr>
        <w:t xml:space="preserve">rozbudowany </w:t>
      </w:r>
      <w:r w:rsidR="000B375D" w:rsidRPr="009935E0">
        <w:rPr>
          <w:rFonts w:ascii="Times New Roman" w:hAnsi="Times New Roman" w:cs="Times New Roman"/>
          <w:sz w:val="24"/>
          <w:szCs w:val="24"/>
        </w:rPr>
        <w:t>względem tego, co przewiduje dyrektywa)</w:t>
      </w:r>
      <w:r w:rsidR="00A77B4F" w:rsidRPr="009935E0">
        <w:rPr>
          <w:rFonts w:ascii="Times New Roman" w:hAnsi="Times New Roman" w:cs="Times New Roman"/>
          <w:sz w:val="24"/>
          <w:szCs w:val="24"/>
        </w:rPr>
        <w:t xml:space="preserve"> zobowiązuje DUUT</w:t>
      </w:r>
      <w:r w:rsidR="00EE4F48" w:rsidRPr="009935E0">
        <w:rPr>
          <w:rFonts w:ascii="Times New Roman" w:hAnsi="Times New Roman" w:cs="Times New Roman"/>
          <w:sz w:val="24"/>
          <w:szCs w:val="24"/>
        </w:rPr>
        <w:t>O</w:t>
      </w:r>
      <w:r w:rsidR="000065A0" w:rsidRPr="009935E0">
        <w:rPr>
          <w:rFonts w:ascii="Times New Roman" w:hAnsi="Times New Roman" w:cs="Times New Roman"/>
          <w:sz w:val="24"/>
          <w:szCs w:val="24"/>
        </w:rPr>
        <w:t xml:space="preserve">, aby </w:t>
      </w:r>
      <w:r w:rsidR="00945340" w:rsidRPr="009935E0">
        <w:rPr>
          <w:rFonts w:ascii="Times New Roman" w:hAnsi="Times New Roman" w:cs="Times New Roman"/>
          <w:sz w:val="24"/>
          <w:szCs w:val="24"/>
        </w:rPr>
        <w:t>umożliwili</w:t>
      </w:r>
      <w:r w:rsidR="000065A0" w:rsidRPr="009935E0">
        <w:rPr>
          <w:rFonts w:ascii="Times New Roman" w:hAnsi="Times New Roman" w:cs="Times New Roman"/>
          <w:sz w:val="24"/>
          <w:szCs w:val="24"/>
        </w:rPr>
        <w:t xml:space="preserve"> </w:t>
      </w:r>
      <w:r w:rsidR="00945340" w:rsidRPr="009935E0">
        <w:rPr>
          <w:rFonts w:ascii="Times New Roman" w:hAnsi="Times New Roman" w:cs="Times New Roman"/>
          <w:sz w:val="24"/>
          <w:szCs w:val="24"/>
        </w:rPr>
        <w:t>usługobiorcom</w:t>
      </w:r>
      <w:r w:rsidR="000065A0" w:rsidRPr="009935E0">
        <w:rPr>
          <w:rFonts w:ascii="Times New Roman" w:hAnsi="Times New Roman" w:cs="Times New Roman"/>
          <w:sz w:val="24"/>
          <w:szCs w:val="24"/>
        </w:rPr>
        <w:t xml:space="preserve"> </w:t>
      </w:r>
      <w:r w:rsidR="00945340" w:rsidRPr="009935E0">
        <w:rPr>
          <w:rFonts w:ascii="Times New Roman" w:hAnsi="Times New Roman" w:cs="Times New Roman"/>
          <w:sz w:val="24"/>
          <w:szCs w:val="24"/>
        </w:rPr>
        <w:t xml:space="preserve">składanie skarg </w:t>
      </w:r>
      <w:r w:rsidR="00B31BE5" w:rsidRPr="009935E0">
        <w:rPr>
          <w:rFonts w:ascii="Times New Roman" w:hAnsi="Times New Roman" w:cs="Times New Roman"/>
          <w:sz w:val="24"/>
          <w:szCs w:val="24"/>
        </w:rPr>
        <w:t>przy wykorzystaniu środków komunikacji elektronicznej,</w:t>
      </w:r>
      <w:r w:rsidR="00242006" w:rsidRPr="009935E0">
        <w:rPr>
          <w:rFonts w:ascii="Times New Roman" w:hAnsi="Times New Roman" w:cs="Times New Roman"/>
          <w:sz w:val="24"/>
          <w:szCs w:val="24"/>
        </w:rPr>
        <w:t xml:space="preserve"> w przypadku </w:t>
      </w:r>
      <w:r w:rsidR="00B31BE5" w:rsidRPr="009935E0">
        <w:rPr>
          <w:rFonts w:ascii="Times New Roman" w:hAnsi="Times New Roman" w:cs="Times New Roman"/>
          <w:sz w:val="24"/>
          <w:szCs w:val="24"/>
        </w:rPr>
        <w:t xml:space="preserve">uniemożliwienia dostępu do utworu zamieszczonego przez usługobiorcę, zablokowania dostępu do tego utworu lub jego usunięcia. W celu zapewnienia „równowagi interesów” wszystkich zainteresowanych zgodnie z wyrokiem TSUE, przepis rozszerza w porównaniu z dyrektywą zakres stosowania tego mechanizmu rozwiązywania sporów na wszystkie przypadki działań DUUTO, o których mowa w art. 17 ust. 4 lit. b i c dyrektywy (art. </w:t>
      </w:r>
      <w:r w:rsidR="00B31BE5" w:rsidRPr="009935E0">
        <w:rPr>
          <w:rFonts w:ascii="Times New Roman" w:hAnsi="Times New Roman" w:cs="Times New Roman"/>
          <w:sz w:val="24"/>
          <w:szCs w:val="24"/>
        </w:rPr>
        <w:lastRenderedPageBreak/>
        <w:t>22</w:t>
      </w:r>
      <w:r w:rsidR="00E84849" w:rsidRPr="009935E0">
        <w:rPr>
          <w:rFonts w:ascii="Times New Roman" w:hAnsi="Times New Roman" w:cs="Times New Roman"/>
          <w:sz w:val="24"/>
          <w:szCs w:val="24"/>
        </w:rPr>
        <w:t>b</w:t>
      </w:r>
      <w:r w:rsidR="00B31BE5" w:rsidRPr="009935E0">
        <w:rPr>
          <w:rFonts w:ascii="Times New Roman" w:hAnsi="Times New Roman" w:cs="Times New Roman"/>
          <w:sz w:val="24"/>
          <w:szCs w:val="24"/>
        </w:rPr>
        <w:t xml:space="preserve"> ust. 1 pkt 2 i 3 ustawy o prawie autorskim), tj. uniemożliwienia dostępu do utworu, zablokowania tego dostępu lub usunięcia utworu. Skarga nie będzie podlegać opłacie i będzie rozpatrywana bez zbędnej zwłoki, wyłącznie na podstawie zamieszczonych w niej informacji i załączonych do niej dokumentów oraz informacji i żądań uprawnionego, o których mowa w art. 22</w:t>
      </w:r>
      <w:r w:rsidR="00E84849" w:rsidRPr="009935E0">
        <w:rPr>
          <w:rFonts w:ascii="Times New Roman" w:hAnsi="Times New Roman" w:cs="Times New Roman"/>
          <w:sz w:val="24"/>
          <w:szCs w:val="24"/>
        </w:rPr>
        <w:t>b</w:t>
      </w:r>
      <w:r w:rsidR="00B31BE5" w:rsidRPr="009935E0">
        <w:rPr>
          <w:rFonts w:ascii="Times New Roman" w:hAnsi="Times New Roman" w:cs="Times New Roman"/>
          <w:sz w:val="24"/>
          <w:szCs w:val="24"/>
        </w:rPr>
        <w:t xml:space="preserve"> ust. 1 pkt 2 i 3. W przypadku uznania skargi za uzasadnioną DUUTO będzie obowiązany niezwłocznie umożliwić dostęp do utworu, odblokować dostęp lub przywrócić usunięty utwór oraz niezwłocznie poinformować usługobiorcę o pozytywnym rozpatrzeniu skargi. Skargę uważać się będzie za uzasadnioną w szczególności wtedy, gdy zamieszczenie utworu nastąpiło za zgodą uprawnionego lub na podstawie przepisów o dozwolonym użytku. Natomiast w przypadku uznania skargi za nieuzasadnioną </w:t>
      </w:r>
      <w:r w:rsidR="000B375D" w:rsidRPr="009935E0">
        <w:rPr>
          <w:rFonts w:ascii="Times New Roman" w:hAnsi="Times New Roman" w:cs="Times New Roman"/>
          <w:sz w:val="24"/>
          <w:szCs w:val="24"/>
        </w:rPr>
        <w:t>DUUTO będzie obowiązany</w:t>
      </w:r>
      <w:r w:rsidR="00B31BE5" w:rsidRPr="009935E0">
        <w:rPr>
          <w:rFonts w:ascii="Times New Roman" w:hAnsi="Times New Roman" w:cs="Times New Roman"/>
          <w:sz w:val="24"/>
          <w:szCs w:val="24"/>
        </w:rPr>
        <w:t xml:space="preserve"> niezwłocznie </w:t>
      </w:r>
      <w:r w:rsidR="000B375D" w:rsidRPr="009935E0">
        <w:rPr>
          <w:rFonts w:ascii="Times New Roman" w:hAnsi="Times New Roman" w:cs="Times New Roman"/>
          <w:sz w:val="24"/>
          <w:szCs w:val="24"/>
        </w:rPr>
        <w:t>poinformować</w:t>
      </w:r>
      <w:r w:rsidR="00B31BE5" w:rsidRPr="009935E0">
        <w:rPr>
          <w:rFonts w:ascii="Times New Roman" w:hAnsi="Times New Roman" w:cs="Times New Roman"/>
          <w:sz w:val="24"/>
          <w:szCs w:val="24"/>
        </w:rPr>
        <w:t xml:space="preserve"> o tym </w:t>
      </w:r>
      <w:r w:rsidR="000B375D" w:rsidRPr="009935E0">
        <w:rPr>
          <w:rFonts w:ascii="Times New Roman" w:hAnsi="Times New Roman" w:cs="Times New Roman"/>
          <w:sz w:val="24"/>
          <w:szCs w:val="24"/>
        </w:rPr>
        <w:t>usługobiorcę i przedstawić</w:t>
      </w:r>
      <w:r w:rsidR="00B31BE5" w:rsidRPr="009935E0">
        <w:rPr>
          <w:rFonts w:ascii="Times New Roman" w:hAnsi="Times New Roman" w:cs="Times New Roman"/>
          <w:sz w:val="24"/>
          <w:szCs w:val="24"/>
        </w:rPr>
        <w:t xml:space="preserve"> pisemne uzasadnienie faktyczne i prawne. </w:t>
      </w:r>
      <w:r w:rsidR="000B375D" w:rsidRPr="009935E0">
        <w:rPr>
          <w:rFonts w:ascii="Times New Roman" w:hAnsi="Times New Roman" w:cs="Times New Roman"/>
          <w:sz w:val="24"/>
          <w:szCs w:val="24"/>
        </w:rPr>
        <w:t>Przepis ust. 5 wyraźnie wskazuje, że u</w:t>
      </w:r>
      <w:r w:rsidR="00B31BE5" w:rsidRPr="009935E0">
        <w:rPr>
          <w:rFonts w:ascii="Times New Roman" w:hAnsi="Times New Roman" w:cs="Times New Roman"/>
          <w:sz w:val="24"/>
          <w:szCs w:val="24"/>
        </w:rPr>
        <w:t>znanie skargi za nieuzasadnioną nie może nastąpić w sposób zautomatyzowany.</w:t>
      </w:r>
      <w:r w:rsidR="000B375D" w:rsidRPr="009935E0">
        <w:rPr>
          <w:rFonts w:ascii="Times New Roman" w:hAnsi="Times New Roman" w:cs="Times New Roman"/>
          <w:sz w:val="24"/>
          <w:szCs w:val="24"/>
        </w:rPr>
        <w:t xml:space="preserve"> </w:t>
      </w:r>
    </w:p>
    <w:p w14:paraId="6D213238" w14:textId="77777777" w:rsidR="00242006" w:rsidRPr="009935E0" w:rsidRDefault="00192A9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Ochronie interesu publicznego (ochrona danych osobowych) służy także, zgodnie z dyrektywą, projektowany a</w:t>
      </w:r>
      <w:r w:rsidR="00243161" w:rsidRPr="009935E0">
        <w:rPr>
          <w:rFonts w:ascii="Times New Roman" w:hAnsi="Times New Roman" w:cs="Times New Roman"/>
          <w:sz w:val="24"/>
          <w:szCs w:val="24"/>
        </w:rPr>
        <w:t>rt. 22</w:t>
      </w:r>
      <w:r w:rsidR="00B742C8" w:rsidRPr="009935E0">
        <w:rPr>
          <w:rFonts w:ascii="Times New Roman" w:hAnsi="Times New Roman" w:cs="Times New Roman"/>
          <w:sz w:val="24"/>
          <w:szCs w:val="24"/>
        </w:rPr>
        <w:t>f</w:t>
      </w:r>
      <w:r w:rsidRPr="009935E0">
        <w:rPr>
          <w:rFonts w:ascii="Times New Roman" w:hAnsi="Times New Roman" w:cs="Times New Roman"/>
          <w:sz w:val="24"/>
          <w:szCs w:val="24"/>
        </w:rPr>
        <w:t>. Przewiduje on, że d</w:t>
      </w:r>
      <w:r w:rsidR="00242006" w:rsidRPr="009935E0">
        <w:rPr>
          <w:rFonts w:ascii="Times New Roman" w:hAnsi="Times New Roman" w:cs="Times New Roman"/>
          <w:sz w:val="24"/>
          <w:szCs w:val="24"/>
        </w:rPr>
        <w:t xml:space="preserve">ziałania </w:t>
      </w:r>
      <w:r w:rsidRPr="009935E0">
        <w:rPr>
          <w:rFonts w:ascii="Times New Roman" w:hAnsi="Times New Roman" w:cs="Times New Roman"/>
          <w:sz w:val="24"/>
          <w:szCs w:val="24"/>
        </w:rPr>
        <w:t xml:space="preserve">DUUTO </w:t>
      </w:r>
      <w:r w:rsidR="00242006" w:rsidRPr="009935E0">
        <w:rPr>
          <w:rFonts w:ascii="Times New Roman" w:hAnsi="Times New Roman" w:cs="Times New Roman"/>
          <w:sz w:val="24"/>
          <w:szCs w:val="24"/>
        </w:rPr>
        <w:t xml:space="preserve">oraz uprawnionych, </w:t>
      </w:r>
      <w:r w:rsidRPr="009935E0">
        <w:rPr>
          <w:rFonts w:ascii="Times New Roman" w:hAnsi="Times New Roman" w:cs="Times New Roman"/>
          <w:sz w:val="24"/>
          <w:szCs w:val="24"/>
        </w:rPr>
        <w:t xml:space="preserve">podejmowane w ramach realizacji </w:t>
      </w:r>
      <w:r w:rsidR="00B85E2D" w:rsidRPr="009935E0">
        <w:rPr>
          <w:rFonts w:ascii="Times New Roman" w:hAnsi="Times New Roman" w:cs="Times New Roman"/>
          <w:sz w:val="24"/>
          <w:szCs w:val="24"/>
        </w:rPr>
        <w:t>ich uprawnień i obowiązków określonych</w:t>
      </w:r>
      <w:r w:rsidR="00243161" w:rsidRPr="009935E0">
        <w:rPr>
          <w:rFonts w:ascii="Times New Roman" w:hAnsi="Times New Roman" w:cs="Times New Roman"/>
          <w:sz w:val="24"/>
          <w:szCs w:val="24"/>
        </w:rPr>
        <w:t xml:space="preserve"> w </w:t>
      </w:r>
      <w:r w:rsidR="00FB1892" w:rsidRPr="009935E0">
        <w:rPr>
          <w:rFonts w:ascii="Times New Roman" w:hAnsi="Times New Roman" w:cs="Times New Roman"/>
          <w:sz w:val="24"/>
          <w:szCs w:val="24"/>
        </w:rPr>
        <w:t xml:space="preserve">przepisach </w:t>
      </w:r>
      <w:r w:rsidR="00243161" w:rsidRPr="009935E0">
        <w:rPr>
          <w:rFonts w:ascii="Times New Roman" w:hAnsi="Times New Roman" w:cs="Times New Roman"/>
          <w:sz w:val="24"/>
          <w:szCs w:val="24"/>
        </w:rPr>
        <w:t>art. 22</w:t>
      </w:r>
      <w:r w:rsidR="00B742C8" w:rsidRPr="009935E0">
        <w:rPr>
          <w:rFonts w:ascii="Times New Roman" w:hAnsi="Times New Roman" w:cs="Times New Roman"/>
          <w:sz w:val="24"/>
          <w:szCs w:val="24"/>
        </w:rPr>
        <w:t>a</w:t>
      </w:r>
      <w:r w:rsidR="002E51F5" w:rsidRPr="009935E0">
        <w:rPr>
          <w:rFonts w:ascii="Times New Roman" w:hAnsi="Times New Roman" w:cs="Times New Roman"/>
          <w:sz w:val="24"/>
          <w:szCs w:val="24"/>
        </w:rPr>
        <w:t>–</w:t>
      </w:r>
      <w:r w:rsidR="00243161" w:rsidRPr="009935E0">
        <w:rPr>
          <w:rFonts w:ascii="Times New Roman" w:hAnsi="Times New Roman" w:cs="Times New Roman"/>
          <w:sz w:val="24"/>
          <w:szCs w:val="24"/>
        </w:rPr>
        <w:t>22</w:t>
      </w:r>
      <w:r w:rsidR="00B742C8" w:rsidRPr="009935E0">
        <w:rPr>
          <w:rFonts w:ascii="Times New Roman" w:hAnsi="Times New Roman" w:cs="Times New Roman"/>
          <w:sz w:val="24"/>
          <w:szCs w:val="24"/>
        </w:rPr>
        <w:t>e</w:t>
      </w:r>
      <w:r w:rsidR="00242006" w:rsidRPr="009935E0">
        <w:rPr>
          <w:rFonts w:ascii="Times New Roman" w:hAnsi="Times New Roman" w:cs="Times New Roman"/>
          <w:sz w:val="24"/>
          <w:szCs w:val="24"/>
        </w:rPr>
        <w:t xml:space="preserve">, nie mogą prowadzić do identyfikacji indywidualnych </w:t>
      </w:r>
      <w:r w:rsidR="00243161" w:rsidRPr="009935E0">
        <w:rPr>
          <w:rFonts w:ascii="Times New Roman" w:hAnsi="Times New Roman" w:cs="Times New Roman"/>
          <w:sz w:val="24"/>
          <w:szCs w:val="24"/>
        </w:rPr>
        <w:t>usługobiorców</w:t>
      </w:r>
      <w:r w:rsidR="00242006" w:rsidRPr="009935E0">
        <w:rPr>
          <w:rFonts w:ascii="Times New Roman" w:hAnsi="Times New Roman" w:cs="Times New Roman"/>
          <w:sz w:val="24"/>
          <w:szCs w:val="24"/>
        </w:rPr>
        <w:t xml:space="preserve"> ani do przetwarzania ich danych osobowych, chyba że </w:t>
      </w:r>
      <w:r w:rsidR="00B85E2D" w:rsidRPr="009935E0">
        <w:rPr>
          <w:rFonts w:ascii="Times New Roman" w:hAnsi="Times New Roman" w:cs="Times New Roman"/>
          <w:sz w:val="24"/>
          <w:szCs w:val="24"/>
        </w:rPr>
        <w:t xml:space="preserve">odbywa się to </w:t>
      </w:r>
      <w:r w:rsidR="001E2F0C" w:rsidRPr="009935E0">
        <w:rPr>
          <w:rFonts w:ascii="Times New Roman" w:hAnsi="Times New Roman" w:cs="Times New Roman"/>
          <w:sz w:val="24"/>
          <w:szCs w:val="24"/>
        </w:rPr>
        <w:t xml:space="preserve">zgodnie z przepisami </w:t>
      </w:r>
      <w:r w:rsidR="00243161" w:rsidRPr="009935E0">
        <w:rPr>
          <w:rFonts w:ascii="Times New Roman" w:hAnsi="Times New Roman" w:cs="Times New Roman"/>
          <w:sz w:val="24"/>
          <w:szCs w:val="24"/>
        </w:rPr>
        <w:t>o ochronie danych osobowych, o których mowa w odrębnych</w:t>
      </w:r>
      <w:r w:rsidR="00F2469F" w:rsidRPr="009935E0">
        <w:rPr>
          <w:rFonts w:ascii="Times New Roman" w:hAnsi="Times New Roman" w:cs="Times New Roman"/>
          <w:sz w:val="24"/>
          <w:szCs w:val="24"/>
        </w:rPr>
        <w:t xml:space="preserve"> przepisach</w:t>
      </w:r>
      <w:r w:rsidR="00243161" w:rsidRPr="009935E0">
        <w:rPr>
          <w:rFonts w:ascii="Times New Roman" w:hAnsi="Times New Roman" w:cs="Times New Roman"/>
          <w:sz w:val="24"/>
          <w:szCs w:val="24"/>
        </w:rPr>
        <w:t xml:space="preserve">. </w:t>
      </w:r>
      <w:r w:rsidR="00B85E2D" w:rsidRPr="009935E0">
        <w:rPr>
          <w:rFonts w:ascii="Times New Roman" w:hAnsi="Times New Roman" w:cs="Times New Roman"/>
          <w:sz w:val="24"/>
          <w:szCs w:val="24"/>
        </w:rPr>
        <w:t>Zgodnie z projektowanym ust. 2 DUUTO mają obowiązek informować</w:t>
      </w:r>
      <w:r w:rsidR="00242006" w:rsidRPr="009935E0">
        <w:rPr>
          <w:rFonts w:ascii="Times New Roman" w:hAnsi="Times New Roman" w:cs="Times New Roman"/>
          <w:sz w:val="24"/>
          <w:szCs w:val="24"/>
        </w:rPr>
        <w:t xml:space="preserve"> </w:t>
      </w:r>
      <w:r w:rsidR="00243161" w:rsidRPr="009935E0">
        <w:rPr>
          <w:rFonts w:ascii="Times New Roman" w:hAnsi="Times New Roman" w:cs="Times New Roman"/>
          <w:sz w:val="24"/>
          <w:szCs w:val="24"/>
        </w:rPr>
        <w:t>usługobiorców o</w:t>
      </w:r>
      <w:r w:rsidR="00242006" w:rsidRPr="009935E0">
        <w:rPr>
          <w:rFonts w:ascii="Times New Roman" w:hAnsi="Times New Roman" w:cs="Times New Roman"/>
          <w:sz w:val="24"/>
          <w:szCs w:val="24"/>
        </w:rPr>
        <w:t xml:space="preserve"> swoich warunkach korzystania z usług, w tym</w:t>
      </w:r>
      <w:r w:rsidR="00B85E2D" w:rsidRPr="009935E0">
        <w:rPr>
          <w:rFonts w:ascii="Times New Roman" w:hAnsi="Times New Roman" w:cs="Times New Roman"/>
          <w:sz w:val="24"/>
          <w:szCs w:val="24"/>
        </w:rPr>
        <w:t xml:space="preserve"> – co szczególnie</w:t>
      </w:r>
      <w:r w:rsidR="00A77E20" w:rsidRPr="009935E0">
        <w:rPr>
          <w:rFonts w:ascii="Times New Roman" w:hAnsi="Times New Roman" w:cs="Times New Roman"/>
          <w:sz w:val="24"/>
          <w:szCs w:val="24"/>
        </w:rPr>
        <w:t xml:space="preserve"> </w:t>
      </w:r>
      <w:r w:rsidR="00B85E2D" w:rsidRPr="009935E0">
        <w:rPr>
          <w:rFonts w:ascii="Times New Roman" w:hAnsi="Times New Roman" w:cs="Times New Roman"/>
          <w:sz w:val="24"/>
          <w:szCs w:val="24"/>
        </w:rPr>
        <w:t>istotne</w:t>
      </w:r>
      <w:r w:rsidR="002E51F5" w:rsidRPr="009935E0">
        <w:rPr>
          <w:rFonts w:ascii="Times New Roman" w:hAnsi="Times New Roman" w:cs="Times New Roman"/>
          <w:sz w:val="24"/>
          <w:szCs w:val="24"/>
        </w:rPr>
        <w:t xml:space="preserve"> – </w:t>
      </w:r>
      <w:r w:rsidR="00242006" w:rsidRPr="009935E0">
        <w:rPr>
          <w:rFonts w:ascii="Times New Roman" w:hAnsi="Times New Roman" w:cs="Times New Roman"/>
          <w:sz w:val="24"/>
          <w:szCs w:val="24"/>
        </w:rPr>
        <w:t>o możliwości korzystania z utworów na podstawie przepisów o dozwolonym użytku.</w:t>
      </w:r>
    </w:p>
    <w:p w14:paraId="2D908C73" w14:textId="77777777" w:rsidR="00243161" w:rsidRPr="009935E0" w:rsidRDefault="00B85E2D"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Ostatni przepis w omawianej częś</w:t>
      </w:r>
      <w:r w:rsidR="00243161" w:rsidRPr="009935E0">
        <w:rPr>
          <w:rFonts w:ascii="Times New Roman" w:hAnsi="Times New Roman" w:cs="Times New Roman"/>
          <w:sz w:val="24"/>
          <w:szCs w:val="24"/>
        </w:rPr>
        <w:t>ci projektowanej ustawy, art. 22</w:t>
      </w:r>
      <w:r w:rsidR="00B742C8" w:rsidRPr="009935E0">
        <w:rPr>
          <w:rFonts w:ascii="Times New Roman" w:hAnsi="Times New Roman" w:cs="Times New Roman"/>
          <w:sz w:val="24"/>
          <w:szCs w:val="24"/>
        </w:rPr>
        <w:t>g</w:t>
      </w:r>
      <w:r w:rsidRPr="009935E0">
        <w:rPr>
          <w:rFonts w:ascii="Times New Roman" w:hAnsi="Times New Roman" w:cs="Times New Roman"/>
          <w:sz w:val="24"/>
          <w:szCs w:val="24"/>
        </w:rPr>
        <w:t>, stanowi implementację art. 17 ust. 8 (zdanie pierwsze) dyrektywy. Zgodnie z dyrektywą stosowanie art. 17 „nie wywołuje skutku w postaci ogólnego obowiązku w zakresie nadzoru”.</w:t>
      </w:r>
      <w:r w:rsidR="00C460FD" w:rsidRPr="009935E0">
        <w:rPr>
          <w:rFonts w:ascii="Times New Roman" w:hAnsi="Times New Roman" w:cs="Times New Roman"/>
          <w:sz w:val="24"/>
          <w:szCs w:val="24"/>
        </w:rPr>
        <w:t xml:space="preserve"> </w:t>
      </w:r>
      <w:r w:rsidR="00037D7A" w:rsidRPr="009935E0">
        <w:rPr>
          <w:rFonts w:ascii="Times New Roman" w:hAnsi="Times New Roman" w:cs="Times New Roman"/>
          <w:sz w:val="24"/>
          <w:szCs w:val="24"/>
        </w:rPr>
        <w:t xml:space="preserve">Ponieważ omawiany przepis dyrektywy </w:t>
      </w:r>
      <w:r w:rsidR="00243161" w:rsidRPr="009935E0">
        <w:rPr>
          <w:rFonts w:ascii="Times New Roman" w:hAnsi="Times New Roman" w:cs="Times New Roman"/>
          <w:sz w:val="24"/>
          <w:szCs w:val="24"/>
        </w:rPr>
        <w:t xml:space="preserve">posiada swój odpowiednik w art. 8 </w:t>
      </w:r>
      <w:r w:rsidR="00F82421" w:rsidRPr="009935E0">
        <w:rPr>
          <w:rFonts w:ascii="Times New Roman" w:hAnsi="Times New Roman" w:cs="Times New Roman"/>
          <w:sz w:val="24"/>
          <w:szCs w:val="24"/>
        </w:rPr>
        <w:t>rozporządzenia U</w:t>
      </w:r>
      <w:r w:rsidR="00A94C99" w:rsidRPr="009935E0">
        <w:rPr>
          <w:rFonts w:ascii="Times New Roman" w:hAnsi="Times New Roman" w:cs="Times New Roman"/>
          <w:sz w:val="24"/>
          <w:szCs w:val="24"/>
        </w:rPr>
        <w:t xml:space="preserve">nii </w:t>
      </w:r>
      <w:r w:rsidR="00F82421" w:rsidRPr="009935E0">
        <w:rPr>
          <w:rFonts w:ascii="Times New Roman" w:hAnsi="Times New Roman" w:cs="Times New Roman"/>
          <w:sz w:val="24"/>
          <w:szCs w:val="24"/>
        </w:rPr>
        <w:t>E</w:t>
      </w:r>
      <w:r w:rsidR="00A94C99" w:rsidRPr="009935E0">
        <w:rPr>
          <w:rFonts w:ascii="Times New Roman" w:hAnsi="Times New Roman" w:cs="Times New Roman"/>
          <w:sz w:val="24"/>
          <w:szCs w:val="24"/>
        </w:rPr>
        <w:t>uropejskiej</w:t>
      </w:r>
      <w:r w:rsidR="00F82421" w:rsidRPr="009935E0">
        <w:rPr>
          <w:rFonts w:ascii="Times New Roman" w:hAnsi="Times New Roman" w:cs="Times New Roman"/>
          <w:sz w:val="24"/>
          <w:szCs w:val="24"/>
        </w:rPr>
        <w:t xml:space="preserve"> Akt o usługach cyfrowych (Digital Services </w:t>
      </w:r>
      <w:proofErr w:type="spellStart"/>
      <w:r w:rsidR="00F82421" w:rsidRPr="009935E0">
        <w:rPr>
          <w:rFonts w:ascii="Times New Roman" w:hAnsi="Times New Roman" w:cs="Times New Roman"/>
          <w:sz w:val="24"/>
          <w:szCs w:val="24"/>
        </w:rPr>
        <w:t>Act</w:t>
      </w:r>
      <w:proofErr w:type="spellEnd"/>
      <w:r w:rsidR="00F82421" w:rsidRPr="009935E0">
        <w:rPr>
          <w:rFonts w:ascii="Times New Roman" w:hAnsi="Times New Roman" w:cs="Times New Roman"/>
          <w:sz w:val="24"/>
          <w:szCs w:val="24"/>
        </w:rPr>
        <w:t xml:space="preserve"> – DSA), zastosowana w projekcie redakcja przepisu (brak „ogólnego obowiązku monitorowania”) opiera się na </w:t>
      </w:r>
      <w:r w:rsidR="00C460FD" w:rsidRPr="009935E0">
        <w:rPr>
          <w:rFonts w:ascii="Times New Roman" w:hAnsi="Times New Roman" w:cs="Times New Roman"/>
          <w:sz w:val="24"/>
          <w:szCs w:val="24"/>
        </w:rPr>
        <w:t>oficjalnym</w:t>
      </w:r>
      <w:r w:rsidR="00F82421" w:rsidRPr="009935E0">
        <w:rPr>
          <w:rFonts w:ascii="Times New Roman" w:hAnsi="Times New Roman" w:cs="Times New Roman"/>
          <w:sz w:val="24"/>
          <w:szCs w:val="24"/>
        </w:rPr>
        <w:t xml:space="preserve"> tłumaczeniu tego rozporządzenia</w:t>
      </w:r>
      <w:r w:rsidR="00C460FD" w:rsidRPr="009935E0">
        <w:rPr>
          <w:rFonts w:ascii="Times New Roman" w:hAnsi="Times New Roman" w:cs="Times New Roman"/>
          <w:sz w:val="24"/>
          <w:szCs w:val="24"/>
        </w:rPr>
        <w:t>.</w:t>
      </w:r>
    </w:p>
    <w:p w14:paraId="5C551FBA" w14:textId="77777777" w:rsidR="007542C3" w:rsidRPr="009935E0" w:rsidRDefault="00DE36BC" w:rsidP="00483092">
      <w:pPr>
        <w:pStyle w:val="Akapitzlist"/>
        <w:numPr>
          <w:ilvl w:val="0"/>
          <w:numId w:val="8"/>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Zapewnienie godziwego wynagrodzenia twórcom i wykonawcom (art. 18</w:t>
      </w:r>
      <w:r w:rsidR="00870FB9" w:rsidRPr="009935E0">
        <w:rPr>
          <w:rFonts w:ascii="Times New Roman" w:hAnsi="Times New Roman" w:cs="Times New Roman"/>
          <w:b/>
          <w:sz w:val="24"/>
          <w:szCs w:val="24"/>
        </w:rPr>
        <w:t>–</w:t>
      </w:r>
      <w:r w:rsidR="007542C3" w:rsidRPr="009935E0">
        <w:rPr>
          <w:rFonts w:ascii="Times New Roman" w:hAnsi="Times New Roman" w:cs="Times New Roman"/>
          <w:b/>
          <w:sz w:val="24"/>
          <w:szCs w:val="24"/>
        </w:rPr>
        <w:t>23 dyrektywy</w:t>
      </w:r>
      <w:r w:rsidR="00FB3454" w:rsidRPr="009935E0">
        <w:rPr>
          <w:rFonts w:ascii="Times New Roman" w:hAnsi="Times New Roman" w:cs="Times New Roman"/>
          <w:b/>
          <w:sz w:val="24"/>
          <w:szCs w:val="24"/>
        </w:rPr>
        <w:t xml:space="preserve"> DSM</w:t>
      </w:r>
      <w:r w:rsidR="007542C3" w:rsidRPr="009935E0">
        <w:rPr>
          <w:rFonts w:ascii="Times New Roman" w:hAnsi="Times New Roman" w:cs="Times New Roman"/>
          <w:b/>
          <w:sz w:val="24"/>
          <w:szCs w:val="24"/>
        </w:rPr>
        <w:t>)</w:t>
      </w:r>
    </w:p>
    <w:p w14:paraId="7DE7C4DD" w14:textId="0698BF3B" w:rsidR="00597F83" w:rsidRPr="009935E0" w:rsidRDefault="00597F83" w:rsidP="00483092">
      <w:pPr>
        <w:pStyle w:val="Akapitzlist"/>
        <w:numPr>
          <w:ilvl w:val="1"/>
          <w:numId w:val="8"/>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Wprowadzenie</w:t>
      </w:r>
    </w:p>
    <w:p w14:paraId="3F78429A" w14:textId="592CDD33" w:rsidR="00343B46" w:rsidRPr="009935E0" w:rsidRDefault="007542C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lastRenderedPageBreak/>
        <w:t>Art. 18</w:t>
      </w:r>
      <w:r w:rsidR="00870FB9" w:rsidRPr="009935E0">
        <w:rPr>
          <w:rFonts w:ascii="Times New Roman" w:hAnsi="Times New Roman" w:cs="Times New Roman"/>
          <w:sz w:val="24"/>
          <w:szCs w:val="24"/>
        </w:rPr>
        <w:t>–</w:t>
      </w:r>
      <w:r w:rsidRPr="009935E0">
        <w:rPr>
          <w:rFonts w:ascii="Times New Roman" w:hAnsi="Times New Roman" w:cs="Times New Roman"/>
          <w:sz w:val="24"/>
          <w:szCs w:val="24"/>
        </w:rPr>
        <w:t>23 dyrektywy</w:t>
      </w:r>
      <w:r w:rsidR="000541EB"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mają zapewnić dwóm kat</w:t>
      </w:r>
      <w:r w:rsidR="000541EB" w:rsidRPr="009935E0">
        <w:rPr>
          <w:rFonts w:ascii="Times New Roman" w:hAnsi="Times New Roman" w:cs="Times New Roman"/>
          <w:sz w:val="24"/>
          <w:szCs w:val="24"/>
        </w:rPr>
        <w:t xml:space="preserve">egoriom uprawnionych – twórcom </w:t>
      </w:r>
      <w:r w:rsidRPr="009935E0">
        <w:rPr>
          <w:rFonts w:ascii="Times New Roman" w:hAnsi="Times New Roman" w:cs="Times New Roman"/>
          <w:sz w:val="24"/>
          <w:szCs w:val="24"/>
        </w:rPr>
        <w:t xml:space="preserve">i wykonawcom – godziwe wynagrodzenie za eksploatację ich utworów i </w:t>
      </w:r>
      <w:proofErr w:type="spellStart"/>
      <w:r w:rsidRPr="009935E0">
        <w:rPr>
          <w:rFonts w:ascii="Times New Roman" w:hAnsi="Times New Roman" w:cs="Times New Roman"/>
          <w:sz w:val="24"/>
          <w:szCs w:val="24"/>
        </w:rPr>
        <w:t>wykonań</w:t>
      </w:r>
      <w:proofErr w:type="spellEnd"/>
      <w:r w:rsidRPr="009935E0">
        <w:rPr>
          <w:rFonts w:ascii="Times New Roman" w:hAnsi="Times New Roman" w:cs="Times New Roman"/>
          <w:sz w:val="24"/>
          <w:szCs w:val="24"/>
        </w:rPr>
        <w:t>. Ma to nastąpić przez przyznanie samego prawa do takiego wynagrodzenia w określonych obszarach, jak też przez przepisy ułatwiające uprawnionym egzekwowanie prawa do wynagrodzenia w relacjach z użytkownikami. Szereg przepisów dyrektywy w tym zakresie jest już wdrożonych w polskim prawie, wymagają jednak mniej lub bardziej obszernych modyfikacji w celu dostosowania do wymogów dyrektywy.</w:t>
      </w:r>
    </w:p>
    <w:p w14:paraId="2A29C912" w14:textId="2CECF51B" w:rsidR="007542C3" w:rsidRPr="009935E0" w:rsidRDefault="00597F83" w:rsidP="00483092">
      <w:pPr>
        <w:pStyle w:val="Akapitzlist"/>
        <w:numPr>
          <w:ilvl w:val="1"/>
          <w:numId w:val="8"/>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 xml:space="preserve">Prawo do </w:t>
      </w:r>
      <w:r w:rsidRPr="009935E0">
        <w:rPr>
          <w:rFonts w:ascii="Times New Roman" w:hAnsi="Times New Roman" w:cs="Times New Roman"/>
          <w:b/>
          <w:color w:val="000000" w:themeColor="text1"/>
          <w:sz w:val="24"/>
          <w:szCs w:val="24"/>
        </w:rPr>
        <w:t>„odpowiedniego i proporcjonalnego”</w:t>
      </w:r>
      <w:r w:rsidRPr="009935E0">
        <w:rPr>
          <w:rFonts w:ascii="Times New Roman" w:hAnsi="Times New Roman" w:cs="Times New Roman"/>
          <w:b/>
          <w:sz w:val="24"/>
          <w:szCs w:val="24"/>
        </w:rPr>
        <w:t xml:space="preserve"> wynagrodzenia (art. 18 dyrektywy)</w:t>
      </w:r>
    </w:p>
    <w:p w14:paraId="26F9E7BA" w14:textId="77777777" w:rsidR="009961B1" w:rsidRPr="009935E0" w:rsidRDefault="009961B1"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 xml:space="preserve">Art. 18 dyrektywy ustanawia zasadę „odpowiedniego i proporcjonalnego” wynagrodzenia w przypadku, gdy twórcy i wykonawcy udzielają licencji lub przenoszą swoje wyłączne prawa do eksploatacji ich utworów lub </w:t>
      </w:r>
      <w:proofErr w:type="spellStart"/>
      <w:r w:rsidRPr="009935E0">
        <w:rPr>
          <w:rFonts w:ascii="Times New Roman" w:hAnsi="Times New Roman" w:cs="Times New Roman"/>
          <w:color w:val="000000" w:themeColor="text1"/>
          <w:sz w:val="24"/>
          <w:szCs w:val="24"/>
        </w:rPr>
        <w:t>wykonań</w:t>
      </w:r>
      <w:proofErr w:type="spellEnd"/>
      <w:r w:rsidRPr="009935E0">
        <w:rPr>
          <w:rFonts w:ascii="Times New Roman" w:hAnsi="Times New Roman" w:cs="Times New Roman"/>
          <w:color w:val="000000" w:themeColor="text1"/>
          <w:sz w:val="24"/>
          <w:szCs w:val="24"/>
        </w:rPr>
        <w:t>. Przywołany przepis jednocześnie przyznaje państwom członkowskim swobodę w zakresie wyboru odpowiednich „mechanizmów” służących realizacji ww. zasady, przy czym mechanizmy te mają „uwzględniać zasadę swobody zawierania umów oraz sprawiedliwą równowagę praw i interesów”.</w:t>
      </w:r>
    </w:p>
    <w:p w14:paraId="5C3B8DEE" w14:textId="6EF31D1E" w:rsidR="009961B1" w:rsidRPr="009935E0" w:rsidRDefault="009961B1"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 xml:space="preserve">Mając na uwadze treść art. 18 oraz motywu 73 dyrektywy </w:t>
      </w:r>
      <w:r w:rsidR="00FB3454" w:rsidRPr="009935E0">
        <w:rPr>
          <w:rFonts w:ascii="Times New Roman" w:hAnsi="Times New Roman" w:cs="Times New Roman"/>
          <w:color w:val="000000" w:themeColor="text1"/>
          <w:sz w:val="24"/>
          <w:szCs w:val="24"/>
        </w:rPr>
        <w:t xml:space="preserve">DSM </w:t>
      </w:r>
      <w:r w:rsidRPr="009935E0">
        <w:rPr>
          <w:rFonts w:ascii="Times New Roman" w:hAnsi="Times New Roman" w:cs="Times New Roman"/>
          <w:color w:val="000000" w:themeColor="text1"/>
          <w:sz w:val="24"/>
          <w:szCs w:val="24"/>
        </w:rPr>
        <w:t>uznaje się, że zasada „odpowiedniego” i „proporcjonalnego” wynagrodzenia istnieje już w polskim prawie autorskim. Wspomnianą zasadę wyraża art. 43 ustawy o prawie autorskim, który w ust. 1 ustanawia generalne prawo do wynagrodzenia w braku odmiennych uzgodnień stron. Z kolei art. 43 ust. 2 ustanawia mechanizm ustalania wysokości wynagrodzenia w sytuacji, gdy nie zostało ono określone w umowie. Ustalenie wysokości wynagrodzenia w oparciu o wspomniany mechanizm następuje z uwzględnieniem „zakresu udzielonego prawa” oraz „korzyści wynikających z korzystania z utworu”. W doktrynie przyjmuje się, że przy ustalaniu wysokości wynagrodzenia w oparciu o przesłankę „zakresu udzielonego prawa” należy badać takie okoliczności jak rodzaj umowy (umowa przenosząca prawo czy umowa licencyjna), liczba pól eksploatacji, zakres terytorialny, zakres czasowy, rodzaj licencji (wyłączna, niewyłączna, pełna, niepełna), możliwość dalszego przeniesienia prawa, możliwość wypowiedzenia umowy</w:t>
      </w:r>
      <w:r w:rsidRPr="009935E0">
        <w:rPr>
          <w:rStyle w:val="Odwoanieprzypisudolnego"/>
          <w:rFonts w:ascii="Times New Roman" w:hAnsi="Times New Roman" w:cs="Times New Roman"/>
          <w:color w:val="000000" w:themeColor="text1"/>
          <w:sz w:val="24"/>
          <w:szCs w:val="24"/>
        </w:rPr>
        <w:footnoteReference w:id="48"/>
      </w:r>
      <w:r w:rsidR="00214723" w:rsidRPr="00483092">
        <w:rPr>
          <w:rFonts w:ascii="Times New Roman" w:hAnsi="Times New Roman" w:cs="Times New Roman"/>
          <w:color w:val="000000" w:themeColor="text1"/>
          <w:sz w:val="24"/>
          <w:szCs w:val="24"/>
          <w:vertAlign w:val="superscript"/>
        </w:rPr>
        <w:t>)</w:t>
      </w:r>
      <w:r w:rsidRPr="009935E0">
        <w:rPr>
          <w:rFonts w:ascii="Times New Roman" w:hAnsi="Times New Roman" w:cs="Times New Roman"/>
          <w:color w:val="000000" w:themeColor="text1"/>
          <w:sz w:val="24"/>
          <w:szCs w:val="24"/>
        </w:rPr>
        <w:t>. Z kolei przesłanka „korzyści wynikających z korzystania z utworu” odnosi się do „faktycznego (rzeczywistego) dochodu korzystającego”</w:t>
      </w:r>
      <w:r w:rsidR="00FA0746">
        <w:rPr>
          <w:rStyle w:val="Odwoanieprzypisudolnego"/>
          <w:rFonts w:ascii="Times New Roman" w:hAnsi="Times New Roman" w:cs="Times New Roman"/>
          <w:color w:val="000000" w:themeColor="text1"/>
          <w:sz w:val="24"/>
          <w:szCs w:val="24"/>
        </w:rPr>
        <w:footnoteReference w:id="49"/>
      </w:r>
      <w:r w:rsidR="00214723" w:rsidRPr="00483092">
        <w:rPr>
          <w:rFonts w:ascii="Times New Roman" w:hAnsi="Times New Roman" w:cs="Times New Roman"/>
          <w:color w:val="000000" w:themeColor="text1"/>
          <w:sz w:val="24"/>
          <w:szCs w:val="24"/>
          <w:vertAlign w:val="superscript"/>
        </w:rPr>
        <w:t>)</w:t>
      </w:r>
      <w:r w:rsidRPr="009935E0">
        <w:rPr>
          <w:rFonts w:ascii="Times New Roman" w:hAnsi="Times New Roman" w:cs="Times New Roman"/>
          <w:color w:val="000000" w:themeColor="text1"/>
          <w:sz w:val="24"/>
          <w:szCs w:val="24"/>
        </w:rPr>
        <w:t xml:space="preserve">. Zgodnie z motywem 73 dyrektywy DSM wynagrodzenie twórców i wykonawców powinno być odpowiednie i </w:t>
      </w:r>
      <w:r w:rsidRPr="009935E0">
        <w:rPr>
          <w:rFonts w:ascii="Times New Roman" w:hAnsi="Times New Roman" w:cs="Times New Roman"/>
          <w:color w:val="000000" w:themeColor="text1"/>
          <w:sz w:val="24"/>
          <w:szCs w:val="24"/>
        </w:rPr>
        <w:lastRenderedPageBreak/>
        <w:t>proporcjonalne do faktycznej lub potencjalnej wartości majątkowej praw udzielonych w ramach licencji lub praw przeniesionych, biorąc pod uwagę wkład twórcy lub wykonawcy w całość utworu lub wykonania oraz wszystkie inne okoliczności sprawy, takie jak praktyki rynkowe lub faktyczna eksploatacja utworu. Mając na uwadze treść przywołanego motywu, należy przyjąć, że obowiązujące obecnie przesłanki ustalania wynagrodzenia, tj. „zakres udzielonego prawa” oraz „korzyści wynikające z korzystania z utworu”, odpowiadają przesłankom określonym w art. 18 dyrektywy DSM. Ustawowe przesłanki uwzględniają bowiem zarówno faktyczną, jak i potencjalną wartość majątkową praw udzielonych w ramach licencji lub praw przeniesionych (przesłanka „korzyści wynikające z korzystania z utworu”), a ponadto wkład twórcy lub wykonawcy w całość utworu lub innego przedmiotu objętego ochroną oraz wszystkie inne okoliczności sprawy, takie jak praktyki rynkowe lub faktyczna eksploatacja utworu (przesłanka „zakresu udzielonego prawa”).</w:t>
      </w:r>
    </w:p>
    <w:p w14:paraId="73C0C89C" w14:textId="292ED288" w:rsidR="009961B1" w:rsidRPr="00483092" w:rsidRDefault="009961B1"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color w:val="000000" w:themeColor="text1"/>
          <w:sz w:val="24"/>
          <w:szCs w:val="24"/>
        </w:rPr>
        <w:t xml:space="preserve">Zagwarantowaniu twórcom utworu audiowizualnego i artystom wykonawcom prawa do „godziwego wynagrodzenia” służy ponadto art. 70 ustawy o prawie autorskim. Przepis ten ustanawia jeden z najbardziej istotnych mechanizmów w polskim prawie autorskim, gwarantujących twórcom i wykonawcom „godziwe wynagrodzenie”, aczkolwiek jedynie w przypadku określonej eksploatacji utworu audiowizualnego. Przewiduje niezbywalne i wykonywane za pośrednictwem organizacji zbiorowego zarządzania prawo twórców i wykonawców do dodatkowego wynagrodzenia za eksploatację utworu audiowizualnego na określonych polach eksploatacji (nadawanie, wyświetlanie w kinach, najem itd.). Środowiska filmowe od dawna wskazują, że regulacja ta nie jest dostosowana do aktualnych uwarunkowań rynkowych, bowiem nie uwzględnia najszybciej rozwijającego się obecnie sektora VOD/streamingu. W ramach implementacji omawianego art. 18 dyrektywy przewiduje się zatem uzupełnienie treści art. 70 ust. </w:t>
      </w:r>
      <w:bookmarkStart w:id="0" w:name="_Hlk160697545"/>
      <w:r w:rsidRPr="009935E0">
        <w:rPr>
          <w:rFonts w:ascii="Times New Roman" w:hAnsi="Times New Roman" w:cs="Times New Roman"/>
          <w:color w:val="000000" w:themeColor="text1"/>
          <w:sz w:val="24"/>
          <w:szCs w:val="24"/>
        </w:rPr>
        <w:t>2</w:t>
      </w:r>
      <w:r w:rsidRPr="009935E0">
        <w:rPr>
          <w:rFonts w:ascii="Times New Roman" w:hAnsi="Times New Roman" w:cs="Times New Roman"/>
          <w:color w:val="000000" w:themeColor="text1"/>
          <w:sz w:val="24"/>
          <w:szCs w:val="24"/>
          <w:vertAlign w:val="superscript"/>
        </w:rPr>
        <w:t>1</w:t>
      </w:r>
      <w:bookmarkEnd w:id="0"/>
      <w:r w:rsidRPr="009935E0">
        <w:rPr>
          <w:rFonts w:ascii="Times New Roman" w:hAnsi="Times New Roman" w:cs="Times New Roman"/>
          <w:color w:val="000000" w:themeColor="text1"/>
          <w:sz w:val="24"/>
          <w:szCs w:val="24"/>
        </w:rPr>
        <w:t xml:space="preserve"> ustawy o prawie autorskim przez dodanie nowego pkt 5, który będzie obejmował „stosowne” wynagrodzenie z tytułu publicznego udostępniania utworu w taki sposób, aby każdy mógł mieć do niego dostęp w miejscu i czasie przez siebie wybranym. W ten sposób istniejąca regulacja art. 70 zostanie uzupełniona o bardzo istotne i zyskujące wciąż na znaczeniu pole eksploatacji. </w:t>
      </w:r>
      <w:bookmarkStart w:id="1" w:name="_Hlk160708036"/>
    </w:p>
    <w:bookmarkEnd w:id="1"/>
    <w:p w14:paraId="45DD111E" w14:textId="2CDD1699" w:rsidR="009961B1" w:rsidRPr="009935E0" w:rsidRDefault="009961B1"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 xml:space="preserve">Także środowiska reprezentujące artystów wykonawców utworów muzycznych i słowno-muzycznych zwróciły uwagę w konsultacjach publicznych na potrzebę wprowadzenia zmian w przepisach dotyczących wynagradzania tych artystów. Podkreślono, że w ostatnich latach upowszechniło się korzystanie z artystycznych </w:t>
      </w:r>
      <w:proofErr w:type="spellStart"/>
      <w:r w:rsidRPr="009935E0">
        <w:rPr>
          <w:rFonts w:ascii="Times New Roman" w:hAnsi="Times New Roman" w:cs="Times New Roman"/>
          <w:color w:val="000000" w:themeColor="text1"/>
          <w:sz w:val="24"/>
          <w:szCs w:val="24"/>
        </w:rPr>
        <w:t>wykonań</w:t>
      </w:r>
      <w:proofErr w:type="spellEnd"/>
      <w:r w:rsidRPr="009935E0">
        <w:rPr>
          <w:rFonts w:ascii="Times New Roman" w:hAnsi="Times New Roman" w:cs="Times New Roman"/>
          <w:color w:val="000000" w:themeColor="text1"/>
          <w:sz w:val="24"/>
          <w:szCs w:val="24"/>
        </w:rPr>
        <w:t xml:space="preserve"> utworów muzycznych i słowno-muzycznych w Internecie, za pośrednictwem serwisów udostępniających utwory w miejscu i </w:t>
      </w:r>
      <w:r w:rsidRPr="009935E0">
        <w:rPr>
          <w:rFonts w:ascii="Times New Roman" w:hAnsi="Times New Roman" w:cs="Times New Roman"/>
          <w:color w:val="000000" w:themeColor="text1"/>
          <w:sz w:val="24"/>
          <w:szCs w:val="24"/>
        </w:rPr>
        <w:lastRenderedPageBreak/>
        <w:t>czasie przez siebie wybranym (online). W związku z tym za konieczne uznano wprowadzenie regulacji wzorowanej na art. 70 ustawy o prawie autorskim, gwarantującej artystom wykonawcom utworów muzycznych i słowno-muzycznych udział w przychodach z</w:t>
      </w:r>
      <w:r w:rsidR="00DC77D9">
        <w:rPr>
          <w:rFonts w:ascii="Times New Roman" w:hAnsi="Times New Roman" w:cs="Times New Roman"/>
          <w:color w:val="000000" w:themeColor="text1"/>
          <w:sz w:val="24"/>
          <w:szCs w:val="24"/>
        </w:rPr>
        <w:t> </w:t>
      </w:r>
      <w:r w:rsidRPr="009935E0">
        <w:rPr>
          <w:rFonts w:ascii="Times New Roman" w:hAnsi="Times New Roman" w:cs="Times New Roman"/>
          <w:color w:val="000000" w:themeColor="text1"/>
          <w:sz w:val="24"/>
          <w:szCs w:val="24"/>
        </w:rPr>
        <w:t xml:space="preserve">korzystania z ich </w:t>
      </w:r>
      <w:proofErr w:type="spellStart"/>
      <w:r w:rsidRPr="009935E0">
        <w:rPr>
          <w:rFonts w:ascii="Times New Roman" w:hAnsi="Times New Roman" w:cs="Times New Roman"/>
          <w:color w:val="000000" w:themeColor="text1"/>
          <w:sz w:val="24"/>
          <w:szCs w:val="24"/>
        </w:rPr>
        <w:t>wykonań</w:t>
      </w:r>
      <w:proofErr w:type="spellEnd"/>
      <w:r w:rsidRPr="009935E0">
        <w:rPr>
          <w:rFonts w:ascii="Times New Roman" w:hAnsi="Times New Roman" w:cs="Times New Roman"/>
          <w:color w:val="000000" w:themeColor="text1"/>
          <w:sz w:val="24"/>
          <w:szCs w:val="24"/>
        </w:rPr>
        <w:t xml:space="preserve"> w Internecie. Projektodawca uznał te postulaty </w:t>
      </w:r>
      <w:r w:rsidR="00A66D60" w:rsidRPr="009935E0">
        <w:rPr>
          <w:rFonts w:ascii="Times New Roman" w:hAnsi="Times New Roman" w:cs="Times New Roman"/>
          <w:color w:val="000000" w:themeColor="text1"/>
          <w:sz w:val="24"/>
          <w:szCs w:val="24"/>
        </w:rPr>
        <w:t>za zasadne. Projektowany art. 86a u</w:t>
      </w:r>
      <w:r w:rsidRPr="009935E0">
        <w:rPr>
          <w:rFonts w:ascii="Times New Roman" w:hAnsi="Times New Roman" w:cs="Times New Roman"/>
          <w:color w:val="000000" w:themeColor="text1"/>
          <w:sz w:val="24"/>
          <w:szCs w:val="24"/>
        </w:rPr>
        <w:t>stawy o prawie autorskim ma zapewnić artystom wykonawcom utworów muzycznych i słowno-muzycznych prawo do stosownego wynagrodzenia z tytułu publicznego udostępniania utrwalenia artystycznego wykonania w taki sposób, aby każdy mógł mieć do niego dostęp w miejscu i czasie przez siebie wybranym.</w:t>
      </w:r>
    </w:p>
    <w:p w14:paraId="00C3885F" w14:textId="77777777" w:rsidR="009961B1" w:rsidRPr="009935E0" w:rsidRDefault="009961B1"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Wynagrodzenie to nie będzie jednak wypłacane za obowiązkowym pośrednictwem właściwej organizacji zbiorowego zarządzania. Uprawniony będzie zatem mógł wykonywać prawo do tego wynagrodzenia na ogólnych zasadach prawa autorskiego, tj. wykonywać je samodzielnie bądź też, jeżeli sam tak zdecyduje, powierzyć jego wykonywanie właściwej organizacji zbiorowego zarządzania bądź innemu podmiotowi (np. niezależnemu podmiotowi zarządzającemu). Wybór sposobu rozliczania będzie zatem należał do uprawnionego.</w:t>
      </w:r>
    </w:p>
    <w:p w14:paraId="68534374" w14:textId="77777777" w:rsidR="009961B1" w:rsidRPr="009935E0" w:rsidRDefault="009961B1"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Prawo do wynagrodzenia, wynikające zarówno z art. 70 ust. 2</w:t>
      </w:r>
      <w:r w:rsidRPr="009935E0">
        <w:rPr>
          <w:rFonts w:ascii="Times New Roman" w:hAnsi="Times New Roman" w:cs="Times New Roman"/>
          <w:color w:val="000000" w:themeColor="text1"/>
          <w:sz w:val="24"/>
          <w:szCs w:val="24"/>
          <w:vertAlign w:val="superscript"/>
        </w:rPr>
        <w:t>1</w:t>
      </w:r>
      <w:r w:rsidR="00A66D60" w:rsidRPr="009935E0">
        <w:rPr>
          <w:rFonts w:ascii="Times New Roman" w:hAnsi="Times New Roman" w:cs="Times New Roman"/>
          <w:color w:val="000000" w:themeColor="text1"/>
          <w:sz w:val="24"/>
          <w:szCs w:val="24"/>
        </w:rPr>
        <w:t>, jak i z art. 86a</w:t>
      </w:r>
      <w:r w:rsidRPr="009935E0">
        <w:rPr>
          <w:rFonts w:ascii="Times New Roman" w:hAnsi="Times New Roman" w:cs="Times New Roman"/>
          <w:color w:val="000000" w:themeColor="text1"/>
          <w:sz w:val="24"/>
          <w:szCs w:val="24"/>
        </w:rPr>
        <w:t xml:space="preserve">, będzie prawem niezbywalnym, </w:t>
      </w:r>
      <w:proofErr w:type="spellStart"/>
      <w:r w:rsidRPr="009935E0">
        <w:rPr>
          <w:rFonts w:ascii="Times New Roman" w:hAnsi="Times New Roman" w:cs="Times New Roman"/>
          <w:color w:val="000000" w:themeColor="text1"/>
          <w:sz w:val="24"/>
          <w:szCs w:val="24"/>
        </w:rPr>
        <w:t>niezrzekalnym</w:t>
      </w:r>
      <w:proofErr w:type="spellEnd"/>
      <w:r w:rsidRPr="009935E0">
        <w:rPr>
          <w:rFonts w:ascii="Times New Roman" w:hAnsi="Times New Roman" w:cs="Times New Roman"/>
          <w:color w:val="000000" w:themeColor="text1"/>
          <w:sz w:val="24"/>
          <w:szCs w:val="24"/>
        </w:rPr>
        <w:t xml:space="preserve"> i niepodlegającym egzekucji (nastąpi stosowna zmiana art. 18 ust. 3 ustawy o prawie autorskim). </w:t>
      </w:r>
    </w:p>
    <w:p w14:paraId="56A020F1" w14:textId="6FBF1351" w:rsidR="00DF3EF4" w:rsidRPr="009935E0" w:rsidRDefault="00DF3EF4" w:rsidP="00483092">
      <w:pPr>
        <w:pStyle w:val="Akapitzlist"/>
        <w:numPr>
          <w:ilvl w:val="1"/>
          <w:numId w:val="8"/>
        </w:numPr>
        <w:tabs>
          <w:tab w:val="left" w:pos="426"/>
        </w:tabs>
        <w:spacing w:before="120" w:after="0" w:line="360" w:lineRule="auto"/>
        <w:ind w:left="0" w:firstLine="0"/>
        <w:jc w:val="both"/>
        <w:rPr>
          <w:rFonts w:ascii="Times New Roman" w:eastAsia="Times New Roman" w:hAnsi="Times New Roman" w:cs="Times New Roman"/>
          <w:b/>
          <w:sz w:val="24"/>
          <w:szCs w:val="24"/>
          <w:lang w:eastAsia="pl-PL"/>
        </w:rPr>
      </w:pPr>
      <w:r w:rsidRPr="009935E0">
        <w:rPr>
          <w:rFonts w:ascii="Times New Roman" w:eastAsia="Times New Roman" w:hAnsi="Times New Roman" w:cs="Times New Roman"/>
          <w:b/>
          <w:sz w:val="24"/>
          <w:szCs w:val="24"/>
          <w:lang w:eastAsia="pl-PL"/>
        </w:rPr>
        <w:t>Obowiązek inf</w:t>
      </w:r>
      <w:r w:rsidR="000E7A95" w:rsidRPr="009935E0">
        <w:rPr>
          <w:rFonts w:ascii="Times New Roman" w:eastAsia="Times New Roman" w:hAnsi="Times New Roman" w:cs="Times New Roman"/>
          <w:b/>
          <w:sz w:val="24"/>
          <w:szCs w:val="24"/>
          <w:lang w:eastAsia="pl-PL"/>
        </w:rPr>
        <w:t>ormacyjny (wymóg przejrzystości, art. 19 dyrektywy</w:t>
      </w:r>
      <w:r w:rsidR="00FB3454" w:rsidRPr="009935E0">
        <w:rPr>
          <w:rFonts w:ascii="Times New Roman" w:eastAsia="Times New Roman" w:hAnsi="Times New Roman" w:cs="Times New Roman"/>
          <w:b/>
          <w:sz w:val="24"/>
          <w:szCs w:val="24"/>
          <w:lang w:eastAsia="pl-PL"/>
        </w:rPr>
        <w:t xml:space="preserve"> DSM</w:t>
      </w:r>
      <w:r w:rsidR="000E7A95" w:rsidRPr="009935E0">
        <w:rPr>
          <w:rFonts w:ascii="Times New Roman" w:eastAsia="Times New Roman" w:hAnsi="Times New Roman" w:cs="Times New Roman"/>
          <w:b/>
          <w:sz w:val="24"/>
          <w:szCs w:val="24"/>
          <w:lang w:eastAsia="pl-PL"/>
        </w:rPr>
        <w:t>)</w:t>
      </w:r>
    </w:p>
    <w:p w14:paraId="581C9032" w14:textId="1E4CB0A0" w:rsidR="00DF3EF4" w:rsidRPr="009935E0" w:rsidRDefault="00DF3EF4"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Prawodawca unijny uznał, że ze względu na słabszą pozycję negocjacyjną twórców i artystów wykonawców przenoszących </w:t>
      </w:r>
      <w:r w:rsidR="00FC45F0" w:rsidRPr="009935E0">
        <w:rPr>
          <w:rFonts w:ascii="Times New Roman" w:hAnsi="Times New Roman" w:cs="Times New Roman"/>
          <w:sz w:val="24"/>
          <w:szCs w:val="24"/>
        </w:rPr>
        <w:t>swoje prawa lub udzielających licencji</w:t>
      </w:r>
      <w:r w:rsidRPr="009935E0">
        <w:rPr>
          <w:rFonts w:ascii="Times New Roman" w:hAnsi="Times New Roman" w:cs="Times New Roman"/>
          <w:sz w:val="24"/>
          <w:szCs w:val="24"/>
        </w:rPr>
        <w:t>, konieczne jest zapewnienie im możliwości stałej oceny wartości majątkowej tych praw w odniesieniu do otrzymanego przez nich wynagrodzenia</w:t>
      </w:r>
      <w:r w:rsidR="00FC45F0"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W obecnej sytuacji prawnej twórcy oraz artyści wykonawcy </w:t>
      </w:r>
      <w:r w:rsidR="00985C75" w:rsidRPr="009935E0">
        <w:rPr>
          <w:rFonts w:ascii="Times New Roman" w:hAnsi="Times New Roman" w:cs="Times New Roman"/>
          <w:sz w:val="24"/>
          <w:szCs w:val="24"/>
        </w:rPr>
        <w:t>stykaj</w:t>
      </w:r>
      <w:r w:rsidR="004F3C21" w:rsidRPr="009935E0">
        <w:rPr>
          <w:rFonts w:ascii="Times New Roman" w:hAnsi="Times New Roman" w:cs="Times New Roman"/>
          <w:sz w:val="24"/>
          <w:szCs w:val="24"/>
        </w:rPr>
        <w:t>ą</w:t>
      </w:r>
      <w:r w:rsidR="00985C75" w:rsidRPr="009935E0">
        <w:rPr>
          <w:rFonts w:ascii="Times New Roman" w:hAnsi="Times New Roman" w:cs="Times New Roman"/>
          <w:sz w:val="24"/>
          <w:szCs w:val="24"/>
        </w:rPr>
        <w:t xml:space="preserve"> się z</w:t>
      </w:r>
      <w:r w:rsidRPr="009935E0">
        <w:rPr>
          <w:rFonts w:ascii="Times New Roman" w:hAnsi="Times New Roman" w:cs="Times New Roman"/>
          <w:sz w:val="24"/>
          <w:szCs w:val="24"/>
        </w:rPr>
        <w:t xml:space="preserve"> brak</w:t>
      </w:r>
      <w:r w:rsidR="00985C75" w:rsidRPr="009935E0">
        <w:rPr>
          <w:rFonts w:ascii="Times New Roman" w:hAnsi="Times New Roman" w:cs="Times New Roman"/>
          <w:sz w:val="24"/>
          <w:szCs w:val="24"/>
        </w:rPr>
        <w:t>iem</w:t>
      </w:r>
      <w:r w:rsidRPr="009935E0">
        <w:rPr>
          <w:rFonts w:ascii="Times New Roman" w:hAnsi="Times New Roman" w:cs="Times New Roman"/>
          <w:sz w:val="24"/>
          <w:szCs w:val="24"/>
        </w:rPr>
        <w:t xml:space="preserve"> transparentności w tym zakresie. Prawodawca unijny założył, że ocena wartości majątkowej praw może być przydatna nie tylko w sytuacjach, w których na podstawie zawartej umowy wynagrodzenie twórcy jest uzależnione od wysokości wpływów z</w:t>
      </w:r>
      <w:r w:rsidR="00DC77D9">
        <w:rPr>
          <w:rFonts w:ascii="Times New Roman" w:hAnsi="Times New Roman" w:cs="Times New Roman"/>
          <w:sz w:val="24"/>
          <w:szCs w:val="24"/>
        </w:rPr>
        <w:t> </w:t>
      </w:r>
      <w:r w:rsidRPr="009935E0">
        <w:rPr>
          <w:rFonts w:ascii="Times New Roman" w:hAnsi="Times New Roman" w:cs="Times New Roman"/>
          <w:sz w:val="24"/>
          <w:szCs w:val="24"/>
        </w:rPr>
        <w:t xml:space="preserve">korzystania z utworu – w tym zakresie prawo do informacji gwarantuje już </w:t>
      </w:r>
      <w:r w:rsidR="004F3C21" w:rsidRPr="009935E0">
        <w:rPr>
          <w:rFonts w:ascii="Times New Roman" w:hAnsi="Times New Roman" w:cs="Times New Roman"/>
          <w:sz w:val="24"/>
          <w:szCs w:val="24"/>
        </w:rPr>
        <w:t>aktualne</w:t>
      </w:r>
      <w:r w:rsidRPr="009935E0">
        <w:rPr>
          <w:rFonts w:ascii="Times New Roman" w:hAnsi="Times New Roman" w:cs="Times New Roman"/>
          <w:sz w:val="24"/>
          <w:szCs w:val="24"/>
        </w:rPr>
        <w:t xml:space="preserve"> brzmienie art. 47 ustawy o prawie autorskim </w:t>
      </w:r>
      <w:r w:rsidR="00985C75" w:rsidRPr="009935E0">
        <w:rPr>
          <w:rFonts w:ascii="Times New Roman" w:hAnsi="Times New Roman" w:cs="Times New Roman"/>
          <w:sz w:val="24"/>
          <w:szCs w:val="24"/>
        </w:rPr>
        <w:t>–</w:t>
      </w:r>
      <w:r w:rsidRPr="009935E0">
        <w:rPr>
          <w:rFonts w:ascii="Times New Roman" w:hAnsi="Times New Roman" w:cs="Times New Roman"/>
          <w:sz w:val="24"/>
          <w:szCs w:val="24"/>
        </w:rPr>
        <w:t xml:space="preserve"> </w:t>
      </w:r>
      <w:r w:rsidR="00985C75" w:rsidRPr="009935E0">
        <w:rPr>
          <w:rFonts w:ascii="Times New Roman" w:hAnsi="Times New Roman" w:cs="Times New Roman"/>
          <w:sz w:val="24"/>
          <w:szCs w:val="24"/>
        </w:rPr>
        <w:t>al</w:t>
      </w:r>
      <w:r w:rsidRPr="009935E0">
        <w:rPr>
          <w:rFonts w:ascii="Times New Roman" w:hAnsi="Times New Roman" w:cs="Times New Roman"/>
          <w:sz w:val="24"/>
          <w:szCs w:val="24"/>
        </w:rPr>
        <w:t>e również dla oceny</w:t>
      </w:r>
      <w:r w:rsidR="00985C75" w:rsidRPr="009935E0">
        <w:rPr>
          <w:rFonts w:ascii="Times New Roman" w:hAnsi="Times New Roman" w:cs="Times New Roman"/>
          <w:sz w:val="24"/>
          <w:szCs w:val="24"/>
        </w:rPr>
        <w:t>,</w:t>
      </w:r>
      <w:r w:rsidRPr="009935E0">
        <w:rPr>
          <w:rFonts w:ascii="Times New Roman" w:hAnsi="Times New Roman" w:cs="Times New Roman"/>
          <w:sz w:val="24"/>
          <w:szCs w:val="24"/>
        </w:rPr>
        <w:t xml:space="preserve"> czy uzgodnione w</w:t>
      </w:r>
      <w:r w:rsidR="00DC77D9">
        <w:rPr>
          <w:rFonts w:ascii="Times New Roman" w:hAnsi="Times New Roman" w:cs="Times New Roman"/>
          <w:sz w:val="24"/>
          <w:szCs w:val="24"/>
        </w:rPr>
        <w:t> </w:t>
      </w:r>
      <w:r w:rsidRPr="009935E0">
        <w:rPr>
          <w:rFonts w:ascii="Times New Roman" w:hAnsi="Times New Roman" w:cs="Times New Roman"/>
          <w:sz w:val="24"/>
          <w:szCs w:val="24"/>
        </w:rPr>
        <w:t xml:space="preserve">umowie wynagrodzenie nie okazało się niewspółmiernie niskie </w:t>
      </w:r>
      <w:r w:rsidR="00980A82" w:rsidRPr="009935E0">
        <w:rPr>
          <w:rFonts w:ascii="Times New Roman" w:hAnsi="Times New Roman" w:cs="Times New Roman"/>
          <w:sz w:val="24"/>
          <w:szCs w:val="24"/>
        </w:rPr>
        <w:t xml:space="preserve">w porównaniu do tych przychodów. </w:t>
      </w:r>
      <w:r w:rsidRPr="009935E0">
        <w:rPr>
          <w:rFonts w:ascii="Times New Roman" w:hAnsi="Times New Roman" w:cs="Times New Roman"/>
          <w:sz w:val="24"/>
          <w:szCs w:val="24"/>
        </w:rPr>
        <w:t>W</w:t>
      </w:r>
      <w:r w:rsidR="001C2139">
        <w:rPr>
          <w:rFonts w:ascii="Times New Roman" w:hAnsi="Times New Roman" w:cs="Times New Roman"/>
          <w:sz w:val="24"/>
          <w:szCs w:val="24"/>
        </w:rPr>
        <w:t> </w:t>
      </w:r>
      <w:r w:rsidRPr="009935E0">
        <w:rPr>
          <w:rFonts w:ascii="Times New Roman" w:hAnsi="Times New Roman" w:cs="Times New Roman"/>
          <w:sz w:val="24"/>
          <w:szCs w:val="24"/>
        </w:rPr>
        <w:t xml:space="preserve">związku z tą potrzebą uznano, że konieczne jest </w:t>
      </w:r>
      <w:r w:rsidR="00980A82" w:rsidRPr="009935E0">
        <w:rPr>
          <w:rFonts w:ascii="Times New Roman" w:hAnsi="Times New Roman" w:cs="Times New Roman"/>
          <w:sz w:val="24"/>
          <w:szCs w:val="24"/>
        </w:rPr>
        <w:t>wprowadzenie</w:t>
      </w:r>
      <w:r w:rsidRPr="009935E0">
        <w:rPr>
          <w:rFonts w:ascii="Times New Roman" w:hAnsi="Times New Roman" w:cs="Times New Roman"/>
          <w:sz w:val="24"/>
          <w:szCs w:val="24"/>
        </w:rPr>
        <w:t xml:space="preserve"> przepisów zobowiązujących kontrahentów</w:t>
      </w:r>
      <w:r w:rsidR="00980A82"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twórców i wykonawców </w:t>
      </w:r>
      <w:r w:rsidR="00980A82" w:rsidRPr="009935E0">
        <w:rPr>
          <w:rFonts w:ascii="Times New Roman" w:hAnsi="Times New Roman" w:cs="Times New Roman"/>
          <w:sz w:val="24"/>
          <w:szCs w:val="24"/>
        </w:rPr>
        <w:t>(oraz następców prawnych tych kontrahentów</w:t>
      </w:r>
      <w:r w:rsidR="001F4A82" w:rsidRPr="009935E0">
        <w:rPr>
          <w:rFonts w:ascii="Times New Roman" w:hAnsi="Times New Roman" w:cs="Times New Roman"/>
          <w:sz w:val="24"/>
          <w:szCs w:val="24"/>
        </w:rPr>
        <w:t xml:space="preserve"> w przypadku sukcesji genera</w:t>
      </w:r>
      <w:r w:rsidR="00DC435B" w:rsidRPr="009935E0">
        <w:rPr>
          <w:rFonts w:ascii="Times New Roman" w:hAnsi="Times New Roman" w:cs="Times New Roman"/>
          <w:sz w:val="24"/>
          <w:szCs w:val="24"/>
        </w:rPr>
        <w:t>lnej skutkującej</w:t>
      </w:r>
      <w:r w:rsidR="001F4A82" w:rsidRPr="009935E0">
        <w:rPr>
          <w:rFonts w:ascii="Times New Roman" w:hAnsi="Times New Roman" w:cs="Times New Roman"/>
          <w:sz w:val="24"/>
          <w:szCs w:val="24"/>
        </w:rPr>
        <w:t xml:space="preserve"> przejściem ogółu praw i</w:t>
      </w:r>
      <w:r w:rsidR="00DC77D9">
        <w:rPr>
          <w:rFonts w:ascii="Times New Roman" w:hAnsi="Times New Roman" w:cs="Times New Roman"/>
          <w:sz w:val="24"/>
          <w:szCs w:val="24"/>
        </w:rPr>
        <w:t> </w:t>
      </w:r>
      <w:r w:rsidR="001F4A82" w:rsidRPr="009935E0">
        <w:rPr>
          <w:rFonts w:ascii="Times New Roman" w:hAnsi="Times New Roman" w:cs="Times New Roman"/>
          <w:sz w:val="24"/>
          <w:szCs w:val="24"/>
        </w:rPr>
        <w:t>obowiązków z umowy</w:t>
      </w:r>
      <w:r w:rsidR="00980A82" w:rsidRPr="009935E0">
        <w:rPr>
          <w:rFonts w:ascii="Times New Roman" w:hAnsi="Times New Roman" w:cs="Times New Roman"/>
          <w:sz w:val="24"/>
          <w:szCs w:val="24"/>
        </w:rPr>
        <w:t xml:space="preserve">) </w:t>
      </w:r>
      <w:r w:rsidRPr="009935E0">
        <w:rPr>
          <w:rFonts w:ascii="Times New Roman" w:hAnsi="Times New Roman" w:cs="Times New Roman"/>
          <w:sz w:val="24"/>
          <w:szCs w:val="24"/>
        </w:rPr>
        <w:t>do regularnego przekazywania twórcom i wykonawcom aktualnych, istotnych oraz wyczerpujących informacji n</w:t>
      </w:r>
      <w:r w:rsidR="00B34E1C" w:rsidRPr="009935E0">
        <w:rPr>
          <w:rFonts w:ascii="Times New Roman" w:hAnsi="Times New Roman" w:cs="Times New Roman"/>
          <w:sz w:val="24"/>
          <w:szCs w:val="24"/>
        </w:rPr>
        <w:t xml:space="preserve">a </w:t>
      </w:r>
      <w:r w:rsidRPr="009935E0">
        <w:rPr>
          <w:rFonts w:ascii="Times New Roman" w:hAnsi="Times New Roman" w:cs="Times New Roman"/>
          <w:sz w:val="24"/>
          <w:szCs w:val="24"/>
        </w:rPr>
        <w:t>t</w:t>
      </w:r>
      <w:r w:rsidR="00985C75" w:rsidRPr="009935E0">
        <w:rPr>
          <w:rFonts w:ascii="Times New Roman" w:hAnsi="Times New Roman" w:cs="Times New Roman"/>
          <w:sz w:val="24"/>
          <w:szCs w:val="24"/>
        </w:rPr>
        <w:t>e</w:t>
      </w:r>
      <w:r w:rsidR="00B34E1C" w:rsidRPr="009935E0">
        <w:rPr>
          <w:rFonts w:ascii="Times New Roman" w:hAnsi="Times New Roman" w:cs="Times New Roman"/>
          <w:sz w:val="24"/>
          <w:szCs w:val="24"/>
        </w:rPr>
        <w:t>mat</w:t>
      </w:r>
      <w:r w:rsidRPr="009935E0">
        <w:rPr>
          <w:rFonts w:ascii="Times New Roman" w:hAnsi="Times New Roman" w:cs="Times New Roman"/>
          <w:sz w:val="24"/>
          <w:szCs w:val="24"/>
        </w:rPr>
        <w:t xml:space="preserve"> sposobów eksploat</w:t>
      </w:r>
      <w:r w:rsidR="00980A82" w:rsidRPr="009935E0">
        <w:rPr>
          <w:rFonts w:ascii="Times New Roman" w:hAnsi="Times New Roman" w:cs="Times New Roman"/>
          <w:sz w:val="24"/>
          <w:szCs w:val="24"/>
        </w:rPr>
        <w:t xml:space="preserve">acji ich utworów </w:t>
      </w:r>
      <w:r w:rsidR="00980A82" w:rsidRPr="009935E0">
        <w:rPr>
          <w:rFonts w:ascii="Times New Roman" w:hAnsi="Times New Roman" w:cs="Times New Roman"/>
          <w:sz w:val="24"/>
          <w:szCs w:val="24"/>
        </w:rPr>
        <w:lastRenderedPageBreak/>
        <w:t>i</w:t>
      </w:r>
      <w:r w:rsidR="00DC77D9">
        <w:rPr>
          <w:rFonts w:ascii="Times New Roman" w:hAnsi="Times New Roman" w:cs="Times New Roman"/>
          <w:sz w:val="24"/>
          <w:szCs w:val="24"/>
        </w:rPr>
        <w:t> </w:t>
      </w:r>
      <w:proofErr w:type="spellStart"/>
      <w:r w:rsidR="00980A82" w:rsidRPr="009935E0">
        <w:rPr>
          <w:rFonts w:ascii="Times New Roman" w:hAnsi="Times New Roman" w:cs="Times New Roman"/>
          <w:sz w:val="24"/>
          <w:szCs w:val="24"/>
        </w:rPr>
        <w:t>wykonań</w:t>
      </w:r>
      <w:proofErr w:type="spellEnd"/>
      <w:r w:rsidR="00980A82" w:rsidRPr="009935E0">
        <w:rPr>
          <w:rFonts w:ascii="Times New Roman" w:hAnsi="Times New Roman" w:cs="Times New Roman"/>
          <w:sz w:val="24"/>
          <w:szCs w:val="24"/>
        </w:rPr>
        <w:t xml:space="preserve">, </w:t>
      </w:r>
      <w:r w:rsidR="00DC435B" w:rsidRPr="009935E0">
        <w:rPr>
          <w:rFonts w:ascii="Times New Roman" w:hAnsi="Times New Roman" w:cs="Times New Roman"/>
          <w:sz w:val="24"/>
          <w:szCs w:val="24"/>
        </w:rPr>
        <w:t>przychodów z tej eksploatacji oraz</w:t>
      </w:r>
      <w:r w:rsidRPr="009935E0">
        <w:rPr>
          <w:rFonts w:ascii="Times New Roman" w:hAnsi="Times New Roman" w:cs="Times New Roman"/>
          <w:sz w:val="24"/>
          <w:szCs w:val="24"/>
        </w:rPr>
        <w:t xml:space="preserve"> należnego wynagrodzenia.</w:t>
      </w:r>
      <w:r w:rsidR="00BE2795" w:rsidRPr="009935E0">
        <w:rPr>
          <w:rFonts w:ascii="Times New Roman" w:hAnsi="Times New Roman" w:cs="Times New Roman"/>
          <w:sz w:val="24"/>
          <w:szCs w:val="24"/>
        </w:rPr>
        <w:t xml:space="preserve"> </w:t>
      </w:r>
      <w:r w:rsidRPr="009935E0">
        <w:rPr>
          <w:rFonts w:ascii="Times New Roman" w:hAnsi="Times New Roman" w:cs="Times New Roman"/>
          <w:sz w:val="24"/>
          <w:szCs w:val="24"/>
        </w:rPr>
        <w:t>W związku z</w:t>
      </w:r>
      <w:r w:rsidR="00DC77D9">
        <w:rPr>
          <w:rFonts w:ascii="Times New Roman" w:hAnsi="Times New Roman" w:cs="Times New Roman"/>
          <w:sz w:val="24"/>
          <w:szCs w:val="24"/>
        </w:rPr>
        <w:t> </w:t>
      </w:r>
      <w:r w:rsidRPr="009935E0">
        <w:rPr>
          <w:rFonts w:ascii="Times New Roman" w:hAnsi="Times New Roman" w:cs="Times New Roman"/>
          <w:sz w:val="24"/>
          <w:szCs w:val="24"/>
        </w:rPr>
        <w:t xml:space="preserve">powyższym prawidłowe wdrożenie dyrektywy wymaga wprowadzenia </w:t>
      </w:r>
      <w:r w:rsidR="00DC435B" w:rsidRPr="009935E0">
        <w:rPr>
          <w:rFonts w:ascii="Times New Roman" w:hAnsi="Times New Roman" w:cs="Times New Roman"/>
          <w:sz w:val="24"/>
          <w:szCs w:val="24"/>
        </w:rPr>
        <w:t xml:space="preserve">do prawa krajowego </w:t>
      </w:r>
      <w:r w:rsidRPr="009935E0">
        <w:rPr>
          <w:rFonts w:ascii="Times New Roman" w:hAnsi="Times New Roman" w:cs="Times New Roman"/>
          <w:sz w:val="24"/>
          <w:szCs w:val="24"/>
        </w:rPr>
        <w:t xml:space="preserve">nowego obowiązku informacyjnego, niezależnego od sposobu określenia wysokości wynagrodzenia </w:t>
      </w:r>
      <w:r w:rsidR="00980A82" w:rsidRPr="009935E0">
        <w:rPr>
          <w:rFonts w:ascii="Times New Roman" w:hAnsi="Times New Roman" w:cs="Times New Roman"/>
          <w:sz w:val="24"/>
          <w:szCs w:val="24"/>
        </w:rPr>
        <w:t>w</w:t>
      </w:r>
      <w:r w:rsidR="001C2139">
        <w:rPr>
          <w:rFonts w:ascii="Times New Roman" w:hAnsi="Times New Roman" w:cs="Times New Roman"/>
          <w:sz w:val="24"/>
          <w:szCs w:val="24"/>
        </w:rPr>
        <w:t> </w:t>
      </w:r>
      <w:r w:rsidR="00980A82" w:rsidRPr="009935E0">
        <w:rPr>
          <w:rFonts w:ascii="Times New Roman" w:hAnsi="Times New Roman" w:cs="Times New Roman"/>
          <w:sz w:val="24"/>
          <w:szCs w:val="24"/>
        </w:rPr>
        <w:t>umowie zawartej przez twórcę lub wykonawcę</w:t>
      </w:r>
      <w:r w:rsidRPr="009935E0">
        <w:rPr>
          <w:rFonts w:ascii="Times New Roman" w:hAnsi="Times New Roman" w:cs="Times New Roman"/>
          <w:sz w:val="24"/>
          <w:szCs w:val="24"/>
        </w:rPr>
        <w:t xml:space="preserve">. </w:t>
      </w:r>
    </w:p>
    <w:p w14:paraId="5AD4B56A" w14:textId="77777777" w:rsidR="00D01750" w:rsidRPr="009935E0" w:rsidRDefault="00D01750" w:rsidP="00483092">
      <w:pPr>
        <w:pStyle w:val="NormalnyWeb"/>
        <w:spacing w:before="120" w:beforeAutospacing="0" w:after="0" w:afterAutospacing="0" w:line="360" w:lineRule="auto"/>
        <w:jc w:val="both"/>
      </w:pPr>
      <w:r w:rsidRPr="009935E0">
        <w:t>Aktualnie obowiązująca regulacja dotycząca obowiązku informacyjnego</w:t>
      </w:r>
      <w:r w:rsidR="00985C75" w:rsidRPr="009935E0">
        <w:t>,</w:t>
      </w:r>
      <w:r w:rsidRPr="009935E0">
        <w:t xml:space="preserve"> zawarta w art. 47 </w:t>
      </w:r>
      <w:r w:rsidR="002A4CB3" w:rsidRPr="009935E0">
        <w:t>ustawy o prawie autorskim</w:t>
      </w:r>
      <w:r w:rsidR="00985C75" w:rsidRPr="009935E0">
        <w:t>,</w:t>
      </w:r>
      <w:r w:rsidRPr="009935E0">
        <w:t xml:space="preserve"> nie będzie miała zastosowana w zakresie, w którym będzie stosowany projektowany art. 47</w:t>
      </w:r>
      <w:r w:rsidR="00500B9A" w:rsidRPr="009935E0">
        <w:t>a</w:t>
      </w:r>
      <w:r w:rsidRPr="009935E0">
        <w:t>. Natomiast z przewidzianego w art. 47 uprawnienia dotyczącego dostępu do dokumentacji twórca będzie mógł skorzystać niezależnie od tego, czy w danych okolicznościach znajdzie zastosowanie projektowany nowy obowiązek informacyjny.</w:t>
      </w:r>
    </w:p>
    <w:p w14:paraId="2D4088E3" w14:textId="77777777" w:rsidR="008651A0" w:rsidRPr="009935E0" w:rsidRDefault="00A44D0B" w:rsidP="00483092">
      <w:pPr>
        <w:pStyle w:val="Bezodstpw"/>
        <w:spacing w:before="120" w:line="360" w:lineRule="auto"/>
        <w:jc w:val="both"/>
        <w:rPr>
          <w:rFonts w:ascii="Times New Roman" w:hAnsi="Times New Roman" w:cs="Times New Roman"/>
          <w:sz w:val="24"/>
          <w:szCs w:val="24"/>
        </w:rPr>
      </w:pPr>
      <w:r w:rsidRPr="009935E0">
        <w:rPr>
          <w:rFonts w:ascii="Times New Roman" w:hAnsi="Times New Roman" w:cs="Times New Roman"/>
          <w:sz w:val="24"/>
          <w:szCs w:val="24"/>
        </w:rPr>
        <w:t>A</w:t>
      </w:r>
      <w:r w:rsidR="00A43F25" w:rsidRPr="009935E0">
        <w:rPr>
          <w:rFonts w:ascii="Times New Roman" w:hAnsi="Times New Roman" w:cs="Times New Roman"/>
          <w:sz w:val="24"/>
          <w:szCs w:val="24"/>
        </w:rPr>
        <w:t xml:space="preserve">rt. 19 </w:t>
      </w:r>
      <w:r w:rsidR="002A4CB3"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yrektywy </w:t>
      </w:r>
      <w:r w:rsidR="00FB3454" w:rsidRPr="009935E0">
        <w:rPr>
          <w:rFonts w:ascii="Times New Roman" w:hAnsi="Times New Roman" w:cs="Times New Roman"/>
          <w:sz w:val="24"/>
          <w:szCs w:val="24"/>
        </w:rPr>
        <w:t xml:space="preserve">DSM </w:t>
      </w:r>
      <w:r w:rsidR="00980A82" w:rsidRPr="009935E0">
        <w:rPr>
          <w:rFonts w:ascii="Times New Roman" w:hAnsi="Times New Roman" w:cs="Times New Roman"/>
          <w:sz w:val="24"/>
          <w:szCs w:val="24"/>
        </w:rPr>
        <w:t>nakazuje zapewnić</w:t>
      </w:r>
      <w:r w:rsidR="00A43F25" w:rsidRPr="009935E0">
        <w:rPr>
          <w:rFonts w:ascii="Times New Roman" w:hAnsi="Times New Roman" w:cs="Times New Roman"/>
          <w:sz w:val="24"/>
          <w:szCs w:val="24"/>
        </w:rPr>
        <w:t xml:space="preserve"> twórcom oraz </w:t>
      </w:r>
      <w:r w:rsidR="00980A82" w:rsidRPr="009935E0">
        <w:rPr>
          <w:rFonts w:ascii="Times New Roman" w:hAnsi="Times New Roman" w:cs="Times New Roman"/>
          <w:sz w:val="24"/>
          <w:szCs w:val="24"/>
        </w:rPr>
        <w:t>wykonawcom uprawnienie</w:t>
      </w:r>
      <w:r w:rsidR="00A43F25" w:rsidRPr="009935E0">
        <w:rPr>
          <w:rFonts w:ascii="Times New Roman" w:hAnsi="Times New Roman" w:cs="Times New Roman"/>
          <w:sz w:val="24"/>
          <w:szCs w:val="24"/>
        </w:rPr>
        <w:t xml:space="preserve"> do otrzymywania informacji </w:t>
      </w:r>
      <w:r w:rsidR="00980A82" w:rsidRPr="009935E0">
        <w:rPr>
          <w:rFonts w:ascii="Times New Roman" w:hAnsi="Times New Roman" w:cs="Times New Roman"/>
          <w:sz w:val="24"/>
          <w:szCs w:val="24"/>
        </w:rPr>
        <w:t>„</w:t>
      </w:r>
      <w:r w:rsidR="00A43F25" w:rsidRPr="009935E0">
        <w:rPr>
          <w:rFonts w:ascii="Times New Roman" w:hAnsi="Times New Roman" w:cs="Times New Roman"/>
          <w:sz w:val="24"/>
          <w:szCs w:val="24"/>
        </w:rPr>
        <w:t>na temat eksploatacji swoich utworów</w:t>
      </w:r>
      <w:r w:rsidR="00980A82" w:rsidRPr="009935E0">
        <w:rPr>
          <w:rFonts w:ascii="Times New Roman" w:hAnsi="Times New Roman" w:cs="Times New Roman"/>
          <w:sz w:val="24"/>
          <w:szCs w:val="24"/>
        </w:rPr>
        <w:t>”</w:t>
      </w:r>
      <w:r w:rsidR="00044DAE" w:rsidRPr="009935E0">
        <w:rPr>
          <w:rFonts w:ascii="Times New Roman" w:hAnsi="Times New Roman" w:cs="Times New Roman"/>
          <w:sz w:val="24"/>
          <w:szCs w:val="24"/>
        </w:rPr>
        <w:t xml:space="preserve"> </w:t>
      </w:r>
      <w:r w:rsidR="00CC12B2" w:rsidRPr="009935E0">
        <w:rPr>
          <w:rFonts w:ascii="Times New Roman" w:hAnsi="Times New Roman" w:cs="Times New Roman"/>
          <w:sz w:val="24"/>
          <w:szCs w:val="24"/>
        </w:rPr>
        <w:t xml:space="preserve">(w szczególności w zakresie </w:t>
      </w:r>
      <w:r w:rsidR="00980A82" w:rsidRPr="009935E0">
        <w:rPr>
          <w:rFonts w:ascii="Times New Roman" w:hAnsi="Times New Roman" w:cs="Times New Roman"/>
          <w:sz w:val="24"/>
          <w:szCs w:val="24"/>
        </w:rPr>
        <w:t>„</w:t>
      </w:r>
      <w:r w:rsidR="00CC12B2" w:rsidRPr="009935E0">
        <w:rPr>
          <w:rFonts w:ascii="Times New Roman" w:hAnsi="Times New Roman" w:cs="Times New Roman"/>
          <w:sz w:val="24"/>
          <w:szCs w:val="24"/>
        </w:rPr>
        <w:t>sposobów eksploatacji, wszystkich uzyskanych przychodów i należnego wynagrodzenia</w:t>
      </w:r>
      <w:r w:rsidR="00980A82" w:rsidRPr="009935E0">
        <w:rPr>
          <w:rFonts w:ascii="Times New Roman" w:hAnsi="Times New Roman" w:cs="Times New Roman"/>
          <w:sz w:val="24"/>
          <w:szCs w:val="24"/>
        </w:rPr>
        <w:t>”</w:t>
      </w:r>
      <w:r w:rsidR="00CC12B2" w:rsidRPr="009935E0">
        <w:rPr>
          <w:rFonts w:ascii="Times New Roman" w:hAnsi="Times New Roman" w:cs="Times New Roman"/>
          <w:i/>
          <w:sz w:val="24"/>
          <w:szCs w:val="24"/>
        </w:rPr>
        <w:t xml:space="preserve">) </w:t>
      </w:r>
      <w:r w:rsidR="00980A82" w:rsidRPr="009935E0">
        <w:rPr>
          <w:rFonts w:ascii="Times New Roman" w:hAnsi="Times New Roman" w:cs="Times New Roman"/>
          <w:sz w:val="24"/>
          <w:szCs w:val="24"/>
        </w:rPr>
        <w:t>od podmiotów</w:t>
      </w:r>
      <w:r w:rsidR="00044DAE" w:rsidRPr="009935E0">
        <w:rPr>
          <w:rFonts w:ascii="Times New Roman" w:hAnsi="Times New Roman" w:cs="Times New Roman"/>
          <w:sz w:val="24"/>
          <w:szCs w:val="24"/>
        </w:rPr>
        <w:t xml:space="preserve"> </w:t>
      </w:r>
      <w:r w:rsidR="00980A82" w:rsidRPr="009935E0">
        <w:rPr>
          <w:rFonts w:ascii="Times New Roman" w:hAnsi="Times New Roman" w:cs="Times New Roman"/>
          <w:sz w:val="24"/>
          <w:szCs w:val="24"/>
        </w:rPr>
        <w:t>„</w:t>
      </w:r>
      <w:r w:rsidR="00044DAE" w:rsidRPr="009935E0">
        <w:rPr>
          <w:rFonts w:ascii="Times New Roman" w:hAnsi="Times New Roman" w:cs="Times New Roman"/>
          <w:sz w:val="24"/>
          <w:szCs w:val="24"/>
        </w:rPr>
        <w:t>którym udzielili licencji lub na które przenieśli swoje prawa lub ich następców prawnych</w:t>
      </w:r>
      <w:r w:rsidR="00980A82" w:rsidRPr="009935E0">
        <w:rPr>
          <w:rFonts w:ascii="Times New Roman" w:hAnsi="Times New Roman" w:cs="Times New Roman"/>
          <w:sz w:val="24"/>
          <w:szCs w:val="24"/>
        </w:rPr>
        <w:t>”</w:t>
      </w:r>
      <w:r w:rsidR="00A43F25" w:rsidRPr="009935E0">
        <w:rPr>
          <w:rFonts w:ascii="Times New Roman" w:hAnsi="Times New Roman" w:cs="Times New Roman"/>
          <w:sz w:val="24"/>
          <w:szCs w:val="24"/>
        </w:rPr>
        <w:t>. Celem tego przepisu</w:t>
      </w:r>
      <w:r w:rsidR="000D488F" w:rsidRPr="009935E0">
        <w:rPr>
          <w:rFonts w:ascii="Times New Roman" w:hAnsi="Times New Roman" w:cs="Times New Roman"/>
          <w:sz w:val="24"/>
          <w:szCs w:val="24"/>
        </w:rPr>
        <w:t>,</w:t>
      </w:r>
      <w:r w:rsidR="00A43F25" w:rsidRPr="009935E0">
        <w:rPr>
          <w:rFonts w:ascii="Times New Roman" w:hAnsi="Times New Roman" w:cs="Times New Roman"/>
          <w:sz w:val="24"/>
          <w:szCs w:val="24"/>
        </w:rPr>
        <w:t xml:space="preserve"> zgodnie z motyw</w:t>
      </w:r>
      <w:r w:rsidR="000D488F" w:rsidRPr="009935E0">
        <w:rPr>
          <w:rFonts w:ascii="Times New Roman" w:hAnsi="Times New Roman" w:cs="Times New Roman"/>
          <w:sz w:val="24"/>
          <w:szCs w:val="24"/>
        </w:rPr>
        <w:t>ami</w:t>
      </w:r>
      <w:r w:rsidR="00A43F25" w:rsidRPr="009935E0">
        <w:rPr>
          <w:rFonts w:ascii="Times New Roman" w:hAnsi="Times New Roman" w:cs="Times New Roman"/>
          <w:sz w:val="24"/>
          <w:szCs w:val="24"/>
        </w:rPr>
        <w:t xml:space="preserve"> 74 i 75 </w:t>
      </w:r>
      <w:r w:rsidR="002A4CB3" w:rsidRPr="009935E0">
        <w:rPr>
          <w:rFonts w:ascii="Times New Roman" w:hAnsi="Times New Roman" w:cs="Times New Roman"/>
          <w:sz w:val="24"/>
          <w:szCs w:val="24"/>
        </w:rPr>
        <w:t>d</w:t>
      </w:r>
      <w:r w:rsidR="00A43F25" w:rsidRPr="009935E0">
        <w:rPr>
          <w:rFonts w:ascii="Times New Roman" w:hAnsi="Times New Roman" w:cs="Times New Roman"/>
          <w:sz w:val="24"/>
          <w:szCs w:val="24"/>
        </w:rPr>
        <w:t>yrektywy</w:t>
      </w:r>
      <w:r w:rsidR="000D488F" w:rsidRPr="009935E0">
        <w:rPr>
          <w:rFonts w:ascii="Times New Roman" w:hAnsi="Times New Roman" w:cs="Times New Roman"/>
          <w:sz w:val="24"/>
          <w:szCs w:val="24"/>
        </w:rPr>
        <w:t>,</w:t>
      </w:r>
      <w:r w:rsidR="00A43F25" w:rsidRPr="009935E0">
        <w:rPr>
          <w:rFonts w:ascii="Times New Roman" w:hAnsi="Times New Roman" w:cs="Times New Roman"/>
          <w:sz w:val="24"/>
          <w:szCs w:val="24"/>
        </w:rPr>
        <w:t xml:space="preserve"> jest umożliwieni</w:t>
      </w:r>
      <w:r w:rsidR="002A4CB3" w:rsidRPr="009935E0">
        <w:rPr>
          <w:rFonts w:ascii="Times New Roman" w:hAnsi="Times New Roman" w:cs="Times New Roman"/>
          <w:sz w:val="24"/>
          <w:szCs w:val="24"/>
        </w:rPr>
        <w:t>e</w:t>
      </w:r>
      <w:r w:rsidR="00A43F25" w:rsidRPr="009935E0">
        <w:rPr>
          <w:rFonts w:ascii="Times New Roman" w:hAnsi="Times New Roman" w:cs="Times New Roman"/>
          <w:sz w:val="24"/>
          <w:szCs w:val="24"/>
        </w:rPr>
        <w:t xml:space="preserve"> </w:t>
      </w:r>
      <w:r w:rsidR="00980A82" w:rsidRPr="009935E0">
        <w:rPr>
          <w:rFonts w:ascii="Times New Roman" w:hAnsi="Times New Roman" w:cs="Times New Roman"/>
          <w:sz w:val="24"/>
          <w:szCs w:val="24"/>
        </w:rPr>
        <w:t>„</w:t>
      </w:r>
      <w:r w:rsidR="00A43F25" w:rsidRPr="009935E0">
        <w:rPr>
          <w:rFonts w:ascii="Times New Roman" w:hAnsi="Times New Roman" w:cs="Times New Roman"/>
          <w:sz w:val="24"/>
          <w:szCs w:val="24"/>
        </w:rPr>
        <w:t>stałej oceny wartości majątkowej</w:t>
      </w:r>
      <w:r w:rsidR="00980A82" w:rsidRPr="009935E0">
        <w:rPr>
          <w:rFonts w:ascii="Times New Roman" w:hAnsi="Times New Roman" w:cs="Times New Roman"/>
          <w:sz w:val="24"/>
          <w:szCs w:val="24"/>
        </w:rPr>
        <w:t>”</w:t>
      </w:r>
      <w:r w:rsidR="00A43F25" w:rsidRPr="009935E0">
        <w:rPr>
          <w:rFonts w:ascii="Times New Roman" w:hAnsi="Times New Roman" w:cs="Times New Roman"/>
          <w:i/>
          <w:sz w:val="24"/>
          <w:szCs w:val="24"/>
        </w:rPr>
        <w:t xml:space="preserve"> </w:t>
      </w:r>
      <w:r w:rsidR="00A43F25" w:rsidRPr="009935E0">
        <w:rPr>
          <w:rFonts w:ascii="Times New Roman" w:hAnsi="Times New Roman" w:cs="Times New Roman"/>
          <w:sz w:val="24"/>
          <w:szCs w:val="24"/>
        </w:rPr>
        <w:t xml:space="preserve">praw autorskich i praw do artystycznych </w:t>
      </w:r>
      <w:proofErr w:type="spellStart"/>
      <w:r w:rsidR="00A43F25" w:rsidRPr="009935E0">
        <w:rPr>
          <w:rFonts w:ascii="Times New Roman" w:hAnsi="Times New Roman" w:cs="Times New Roman"/>
          <w:sz w:val="24"/>
          <w:szCs w:val="24"/>
        </w:rPr>
        <w:t>wykonań</w:t>
      </w:r>
      <w:proofErr w:type="spellEnd"/>
      <w:r w:rsidR="00A43F25" w:rsidRPr="009935E0">
        <w:rPr>
          <w:rFonts w:ascii="Times New Roman" w:hAnsi="Times New Roman" w:cs="Times New Roman"/>
          <w:sz w:val="24"/>
          <w:szCs w:val="24"/>
        </w:rPr>
        <w:t xml:space="preserve">. </w:t>
      </w:r>
      <w:r w:rsidR="00763E6B" w:rsidRPr="009935E0">
        <w:rPr>
          <w:rFonts w:ascii="Times New Roman" w:hAnsi="Times New Roman" w:cs="Times New Roman"/>
          <w:sz w:val="24"/>
          <w:szCs w:val="24"/>
        </w:rPr>
        <w:t xml:space="preserve">Przekazywane informacje powinny być </w:t>
      </w:r>
      <w:r w:rsidR="00980A82" w:rsidRPr="009935E0">
        <w:rPr>
          <w:rFonts w:ascii="Times New Roman" w:hAnsi="Times New Roman" w:cs="Times New Roman"/>
          <w:sz w:val="24"/>
          <w:szCs w:val="24"/>
        </w:rPr>
        <w:t>„</w:t>
      </w:r>
      <w:r w:rsidR="00763E6B" w:rsidRPr="009935E0">
        <w:rPr>
          <w:rFonts w:ascii="Times New Roman" w:hAnsi="Times New Roman" w:cs="Times New Roman"/>
          <w:sz w:val="24"/>
          <w:szCs w:val="24"/>
        </w:rPr>
        <w:t>aktualne, istotne i wyczerpujące</w:t>
      </w:r>
      <w:r w:rsidR="00980A82" w:rsidRPr="009935E0">
        <w:rPr>
          <w:rFonts w:ascii="Times New Roman" w:hAnsi="Times New Roman" w:cs="Times New Roman"/>
          <w:sz w:val="24"/>
          <w:szCs w:val="24"/>
        </w:rPr>
        <w:t>”</w:t>
      </w:r>
      <w:r w:rsidR="00A43F25" w:rsidRPr="009935E0">
        <w:rPr>
          <w:rFonts w:ascii="Times New Roman" w:hAnsi="Times New Roman" w:cs="Times New Roman"/>
          <w:sz w:val="24"/>
          <w:szCs w:val="24"/>
        </w:rPr>
        <w:t xml:space="preserve"> z punktu widzenia wskazanego wyżej celu, przy uwzględnieniu </w:t>
      </w:r>
      <w:r w:rsidR="00980A82" w:rsidRPr="009935E0">
        <w:rPr>
          <w:rFonts w:ascii="Times New Roman" w:hAnsi="Times New Roman" w:cs="Times New Roman"/>
          <w:sz w:val="24"/>
          <w:szCs w:val="24"/>
        </w:rPr>
        <w:t>„</w:t>
      </w:r>
      <w:r w:rsidR="00A43F25" w:rsidRPr="009935E0">
        <w:rPr>
          <w:rFonts w:ascii="Times New Roman" w:hAnsi="Times New Roman" w:cs="Times New Roman"/>
          <w:sz w:val="24"/>
          <w:szCs w:val="24"/>
        </w:rPr>
        <w:t>specyfiki każdego sektora</w:t>
      </w:r>
      <w:r w:rsidR="00980A82" w:rsidRPr="009935E0">
        <w:rPr>
          <w:rFonts w:ascii="Times New Roman" w:hAnsi="Times New Roman" w:cs="Times New Roman"/>
          <w:sz w:val="24"/>
          <w:szCs w:val="24"/>
        </w:rPr>
        <w:t>”</w:t>
      </w:r>
      <w:r w:rsidR="00A43F25" w:rsidRPr="009935E0">
        <w:rPr>
          <w:rFonts w:ascii="Times New Roman" w:hAnsi="Times New Roman" w:cs="Times New Roman"/>
          <w:sz w:val="24"/>
          <w:szCs w:val="24"/>
        </w:rPr>
        <w:t>. Przedmiot przekazywanej informacji określon</w:t>
      </w:r>
      <w:r w:rsidR="00763E6B" w:rsidRPr="009935E0">
        <w:rPr>
          <w:rFonts w:ascii="Times New Roman" w:hAnsi="Times New Roman" w:cs="Times New Roman"/>
          <w:sz w:val="24"/>
          <w:szCs w:val="24"/>
        </w:rPr>
        <w:t>o więc w projektowanym art. 47</w:t>
      </w:r>
      <w:r w:rsidR="00500B9A" w:rsidRPr="009935E0">
        <w:rPr>
          <w:rFonts w:ascii="Times New Roman" w:hAnsi="Times New Roman" w:cs="Times New Roman"/>
          <w:sz w:val="24"/>
          <w:szCs w:val="24"/>
        </w:rPr>
        <w:t>a</w:t>
      </w:r>
      <w:r w:rsidR="00763E6B" w:rsidRPr="009935E0">
        <w:rPr>
          <w:rFonts w:ascii="Times New Roman" w:hAnsi="Times New Roman" w:cs="Times New Roman"/>
          <w:sz w:val="24"/>
          <w:szCs w:val="24"/>
          <w:vertAlign w:val="superscript"/>
        </w:rPr>
        <w:t xml:space="preserve"> </w:t>
      </w:r>
      <w:r w:rsidR="00763E6B" w:rsidRPr="009935E0">
        <w:rPr>
          <w:rFonts w:ascii="Times New Roman" w:hAnsi="Times New Roman" w:cs="Times New Roman"/>
          <w:sz w:val="24"/>
          <w:szCs w:val="24"/>
        </w:rPr>
        <w:t>ust. 1</w:t>
      </w:r>
      <w:r w:rsidR="00A43F25" w:rsidRPr="009935E0">
        <w:rPr>
          <w:rFonts w:ascii="Times New Roman" w:hAnsi="Times New Roman" w:cs="Times New Roman"/>
          <w:sz w:val="24"/>
          <w:szCs w:val="24"/>
        </w:rPr>
        <w:t xml:space="preserve"> z</w:t>
      </w:r>
      <w:r w:rsidR="00980A82" w:rsidRPr="009935E0">
        <w:rPr>
          <w:rFonts w:ascii="Times New Roman" w:hAnsi="Times New Roman" w:cs="Times New Roman"/>
          <w:sz w:val="24"/>
          <w:szCs w:val="24"/>
        </w:rPr>
        <w:t xml:space="preserve"> uwzględnieniem </w:t>
      </w:r>
      <w:r w:rsidR="00A43F25" w:rsidRPr="009935E0">
        <w:rPr>
          <w:rFonts w:ascii="Times New Roman" w:hAnsi="Times New Roman" w:cs="Times New Roman"/>
          <w:sz w:val="24"/>
          <w:szCs w:val="24"/>
        </w:rPr>
        <w:t xml:space="preserve">brzmienia art. 19 ust. 1 </w:t>
      </w:r>
      <w:r w:rsidR="002A4CB3" w:rsidRPr="009935E0">
        <w:rPr>
          <w:rFonts w:ascii="Times New Roman" w:hAnsi="Times New Roman" w:cs="Times New Roman"/>
          <w:sz w:val="24"/>
          <w:szCs w:val="24"/>
        </w:rPr>
        <w:t>d</w:t>
      </w:r>
      <w:r w:rsidR="00A43F25" w:rsidRPr="009935E0">
        <w:rPr>
          <w:rFonts w:ascii="Times New Roman" w:hAnsi="Times New Roman" w:cs="Times New Roman"/>
          <w:sz w:val="24"/>
          <w:szCs w:val="24"/>
        </w:rPr>
        <w:t>yrektywy</w:t>
      </w:r>
      <w:r w:rsidR="00451AFA" w:rsidRPr="009935E0">
        <w:rPr>
          <w:rFonts w:ascii="Times New Roman" w:hAnsi="Times New Roman" w:cs="Times New Roman"/>
          <w:sz w:val="24"/>
          <w:szCs w:val="24"/>
        </w:rPr>
        <w:t xml:space="preserve"> </w:t>
      </w:r>
      <w:r w:rsidR="00A43F25" w:rsidRPr="009935E0">
        <w:rPr>
          <w:rFonts w:ascii="Times New Roman" w:hAnsi="Times New Roman" w:cs="Times New Roman"/>
          <w:sz w:val="24"/>
          <w:szCs w:val="24"/>
        </w:rPr>
        <w:t>(</w:t>
      </w:r>
      <w:r w:rsidR="00980A82" w:rsidRPr="009935E0">
        <w:rPr>
          <w:rFonts w:ascii="Times New Roman" w:hAnsi="Times New Roman" w:cs="Times New Roman"/>
          <w:sz w:val="24"/>
          <w:szCs w:val="24"/>
        </w:rPr>
        <w:t>„informacja</w:t>
      </w:r>
      <w:r w:rsidR="00CD65C0" w:rsidRPr="009935E0">
        <w:rPr>
          <w:rFonts w:ascii="Times New Roman" w:hAnsi="Times New Roman" w:cs="Times New Roman"/>
          <w:sz w:val="24"/>
          <w:szCs w:val="24"/>
        </w:rPr>
        <w:t xml:space="preserve"> o </w:t>
      </w:r>
      <w:r w:rsidR="00BB4E34" w:rsidRPr="009935E0">
        <w:rPr>
          <w:rFonts w:ascii="Times New Roman" w:hAnsi="Times New Roman" w:cs="Times New Roman"/>
          <w:sz w:val="24"/>
          <w:szCs w:val="24"/>
        </w:rPr>
        <w:t>przychodach z korzystania z</w:t>
      </w:r>
      <w:r w:rsidR="00405883" w:rsidRPr="009935E0">
        <w:rPr>
          <w:rFonts w:ascii="Times New Roman" w:hAnsi="Times New Roman" w:cs="Times New Roman"/>
          <w:sz w:val="24"/>
          <w:szCs w:val="24"/>
        </w:rPr>
        <w:t>e swojego</w:t>
      </w:r>
      <w:r w:rsidR="00BB4E34" w:rsidRPr="009935E0">
        <w:rPr>
          <w:rFonts w:ascii="Times New Roman" w:hAnsi="Times New Roman" w:cs="Times New Roman"/>
          <w:sz w:val="24"/>
          <w:szCs w:val="24"/>
        </w:rPr>
        <w:t xml:space="preserve"> utworu oraz o wynagrodzeniu należnym w związku z tym korzysta</w:t>
      </w:r>
      <w:r w:rsidR="006E2D02" w:rsidRPr="009935E0">
        <w:rPr>
          <w:rFonts w:ascii="Times New Roman" w:hAnsi="Times New Roman" w:cs="Times New Roman"/>
          <w:sz w:val="24"/>
          <w:szCs w:val="24"/>
        </w:rPr>
        <w:t>niem, odrębnie dla każdego ze sposobów</w:t>
      </w:r>
      <w:r w:rsidR="00BB4E34" w:rsidRPr="009935E0">
        <w:rPr>
          <w:rFonts w:ascii="Times New Roman" w:hAnsi="Times New Roman" w:cs="Times New Roman"/>
          <w:sz w:val="24"/>
          <w:szCs w:val="24"/>
        </w:rPr>
        <w:t xml:space="preserve"> korzystania</w:t>
      </w:r>
      <w:r w:rsidR="00980A82" w:rsidRPr="009935E0">
        <w:rPr>
          <w:rFonts w:ascii="Times New Roman" w:hAnsi="Times New Roman" w:cs="Times New Roman"/>
          <w:sz w:val="24"/>
          <w:szCs w:val="24"/>
        </w:rPr>
        <w:t>”)</w:t>
      </w:r>
      <w:r w:rsidR="00A43F25" w:rsidRPr="009935E0">
        <w:rPr>
          <w:rFonts w:ascii="Times New Roman" w:hAnsi="Times New Roman" w:cs="Times New Roman"/>
          <w:i/>
          <w:sz w:val="24"/>
          <w:szCs w:val="24"/>
        </w:rPr>
        <w:t xml:space="preserve">. </w:t>
      </w:r>
      <w:r w:rsidR="00CA43AC" w:rsidRPr="009935E0">
        <w:rPr>
          <w:rFonts w:ascii="Times New Roman" w:hAnsi="Times New Roman" w:cs="Times New Roman"/>
          <w:sz w:val="24"/>
          <w:szCs w:val="24"/>
        </w:rPr>
        <w:t>Przepis ten ma zastosowanie zarówno do kontrahentów twórców i artystów wykonawców, jak i do ich następców prawnych</w:t>
      </w:r>
      <w:r w:rsidR="00366D55" w:rsidRPr="009935E0">
        <w:rPr>
          <w:rFonts w:ascii="Times New Roman" w:hAnsi="Times New Roman" w:cs="Times New Roman"/>
          <w:sz w:val="24"/>
          <w:szCs w:val="24"/>
        </w:rPr>
        <w:t>,</w:t>
      </w:r>
      <w:r w:rsidR="00CA43AC" w:rsidRPr="009935E0">
        <w:rPr>
          <w:rFonts w:ascii="Times New Roman" w:hAnsi="Times New Roman" w:cs="Times New Roman"/>
          <w:sz w:val="24"/>
          <w:szCs w:val="24"/>
        </w:rPr>
        <w:t xml:space="preserve"> pod tytułem generalnym, w przypadkach gdy przepisy powszechnie obowiązującego prawa przewidują przejście </w:t>
      </w:r>
      <w:r w:rsidR="00CA43AC" w:rsidRPr="009935E0">
        <w:rPr>
          <w:rFonts w:ascii="Times New Roman" w:hAnsi="Times New Roman" w:cs="Times New Roman"/>
          <w:i/>
          <w:sz w:val="24"/>
          <w:szCs w:val="24"/>
        </w:rPr>
        <w:t>ex lege</w:t>
      </w:r>
      <w:r w:rsidR="00CA43AC" w:rsidRPr="009935E0">
        <w:rPr>
          <w:rFonts w:ascii="Times New Roman" w:hAnsi="Times New Roman" w:cs="Times New Roman"/>
          <w:sz w:val="24"/>
          <w:szCs w:val="24"/>
        </w:rPr>
        <w:t xml:space="preserve"> wszystkich praw i obowiązków z um</w:t>
      </w:r>
      <w:r w:rsidR="00DC435B" w:rsidRPr="009935E0">
        <w:rPr>
          <w:rFonts w:ascii="Times New Roman" w:hAnsi="Times New Roman" w:cs="Times New Roman"/>
          <w:sz w:val="24"/>
          <w:szCs w:val="24"/>
        </w:rPr>
        <w:t>ów (np. przekształcenia spółek).</w:t>
      </w:r>
    </w:p>
    <w:p w14:paraId="12C45FEB" w14:textId="51F77CD3" w:rsidR="00A43F25" w:rsidRPr="009935E0" w:rsidRDefault="00A43F25" w:rsidP="00483092">
      <w:pPr>
        <w:pStyle w:val="Bezodstpw"/>
        <w:spacing w:before="120" w:line="360" w:lineRule="auto"/>
        <w:jc w:val="both"/>
        <w:rPr>
          <w:rFonts w:ascii="Times New Roman" w:hAnsi="Times New Roman" w:cs="Times New Roman"/>
          <w:sz w:val="24"/>
          <w:szCs w:val="24"/>
        </w:rPr>
      </w:pPr>
      <w:r w:rsidRPr="009935E0">
        <w:rPr>
          <w:rFonts w:ascii="Times New Roman" w:hAnsi="Times New Roman" w:cs="Times New Roman"/>
          <w:sz w:val="24"/>
          <w:szCs w:val="24"/>
        </w:rPr>
        <w:t>Aktualność informacji ma pozwalać na</w:t>
      </w:r>
      <w:r w:rsidRPr="009935E0">
        <w:rPr>
          <w:rFonts w:ascii="Times New Roman" w:hAnsi="Times New Roman" w:cs="Times New Roman"/>
          <w:i/>
          <w:sz w:val="24"/>
          <w:szCs w:val="24"/>
        </w:rPr>
        <w:t xml:space="preserve"> </w:t>
      </w:r>
      <w:r w:rsidR="00B11FFB" w:rsidRPr="009935E0">
        <w:rPr>
          <w:rFonts w:ascii="Times New Roman" w:hAnsi="Times New Roman" w:cs="Times New Roman"/>
          <w:sz w:val="24"/>
          <w:szCs w:val="24"/>
        </w:rPr>
        <w:t>„</w:t>
      </w:r>
      <w:r w:rsidRPr="009935E0">
        <w:rPr>
          <w:rFonts w:ascii="Times New Roman" w:hAnsi="Times New Roman" w:cs="Times New Roman"/>
          <w:sz w:val="24"/>
          <w:szCs w:val="24"/>
        </w:rPr>
        <w:t>dostęp do najnowszych danych</w:t>
      </w:r>
      <w:r w:rsidR="00D70A0E" w:rsidRPr="009935E0">
        <w:rPr>
          <w:rFonts w:ascii="Times New Roman" w:hAnsi="Times New Roman" w:cs="Times New Roman"/>
          <w:i/>
          <w:sz w:val="24"/>
          <w:szCs w:val="24"/>
        </w:rPr>
        <w:t>”</w:t>
      </w:r>
      <w:r w:rsidRPr="009935E0">
        <w:rPr>
          <w:rFonts w:ascii="Times New Roman" w:hAnsi="Times New Roman" w:cs="Times New Roman"/>
          <w:i/>
          <w:sz w:val="24"/>
          <w:szCs w:val="24"/>
        </w:rPr>
        <w:t xml:space="preserve"> </w:t>
      </w:r>
      <w:r w:rsidRPr="009935E0">
        <w:rPr>
          <w:rFonts w:ascii="Times New Roman" w:hAnsi="Times New Roman" w:cs="Times New Roman"/>
          <w:sz w:val="24"/>
          <w:szCs w:val="24"/>
        </w:rPr>
        <w:t xml:space="preserve">(motyw 75 </w:t>
      </w:r>
      <w:r w:rsidR="002A4CB3" w:rsidRPr="009935E0">
        <w:rPr>
          <w:rFonts w:ascii="Times New Roman" w:hAnsi="Times New Roman" w:cs="Times New Roman"/>
          <w:sz w:val="24"/>
          <w:szCs w:val="24"/>
        </w:rPr>
        <w:t>d</w:t>
      </w:r>
      <w:r w:rsidRPr="009935E0">
        <w:rPr>
          <w:rFonts w:ascii="Times New Roman" w:hAnsi="Times New Roman" w:cs="Times New Roman"/>
          <w:sz w:val="24"/>
          <w:szCs w:val="24"/>
        </w:rPr>
        <w:t xml:space="preserve">yrektywy) przy uwzględnieniu specyfiki danego sektora. </w:t>
      </w:r>
      <w:r w:rsidR="002A4CB3" w:rsidRPr="009935E0">
        <w:rPr>
          <w:rFonts w:ascii="Times New Roman" w:hAnsi="Times New Roman" w:cs="Times New Roman"/>
          <w:sz w:val="24"/>
          <w:szCs w:val="24"/>
        </w:rPr>
        <w:t>Natomiast z</w:t>
      </w:r>
      <w:r w:rsidRPr="009935E0">
        <w:rPr>
          <w:rFonts w:ascii="Times New Roman" w:hAnsi="Times New Roman" w:cs="Times New Roman"/>
          <w:sz w:val="24"/>
          <w:szCs w:val="24"/>
        </w:rPr>
        <w:t xml:space="preserve">godnie z treścią art. 19 ust. 1 </w:t>
      </w:r>
      <w:r w:rsidR="002A4CB3" w:rsidRPr="009935E0">
        <w:rPr>
          <w:rFonts w:ascii="Times New Roman" w:hAnsi="Times New Roman" w:cs="Times New Roman"/>
          <w:sz w:val="24"/>
          <w:szCs w:val="24"/>
        </w:rPr>
        <w:t>d</w:t>
      </w:r>
      <w:r w:rsidRPr="009935E0">
        <w:rPr>
          <w:rFonts w:ascii="Times New Roman" w:hAnsi="Times New Roman" w:cs="Times New Roman"/>
          <w:sz w:val="24"/>
          <w:szCs w:val="24"/>
        </w:rPr>
        <w:t>yrektywy</w:t>
      </w:r>
      <w:r w:rsidR="00FB3454" w:rsidRPr="009935E0">
        <w:rPr>
          <w:rFonts w:ascii="Times New Roman" w:hAnsi="Times New Roman" w:cs="Times New Roman"/>
          <w:sz w:val="24"/>
          <w:szCs w:val="24"/>
        </w:rPr>
        <w:t xml:space="preserve"> DSM</w:t>
      </w:r>
      <w:r w:rsidR="00D70A0E" w:rsidRPr="009935E0">
        <w:rPr>
          <w:rFonts w:ascii="Times New Roman" w:hAnsi="Times New Roman" w:cs="Times New Roman"/>
          <w:sz w:val="24"/>
          <w:szCs w:val="24"/>
        </w:rPr>
        <w:t>, twórcy i wykonawcy</w:t>
      </w:r>
      <w:r w:rsidRPr="009935E0">
        <w:rPr>
          <w:rFonts w:ascii="Times New Roman" w:hAnsi="Times New Roman" w:cs="Times New Roman"/>
          <w:sz w:val="24"/>
          <w:szCs w:val="24"/>
        </w:rPr>
        <w:t xml:space="preserve"> mają otrzymywać informacje regularnie, co najmniej raz w roku. W tym z</w:t>
      </w:r>
      <w:r w:rsidR="00D70A0E" w:rsidRPr="009935E0">
        <w:rPr>
          <w:rFonts w:ascii="Times New Roman" w:hAnsi="Times New Roman" w:cs="Times New Roman"/>
          <w:sz w:val="24"/>
          <w:szCs w:val="24"/>
        </w:rPr>
        <w:t>akresie regulacja unijna zostaje</w:t>
      </w:r>
      <w:r w:rsidRPr="009935E0">
        <w:rPr>
          <w:rFonts w:ascii="Times New Roman" w:hAnsi="Times New Roman" w:cs="Times New Roman"/>
          <w:sz w:val="24"/>
          <w:szCs w:val="24"/>
        </w:rPr>
        <w:t xml:space="preserve"> wdrożona do polskiego porządku prawnego w projektowanym art. 47</w:t>
      </w:r>
      <w:r w:rsidR="00500B9A" w:rsidRPr="009935E0">
        <w:rPr>
          <w:rFonts w:ascii="Times New Roman" w:hAnsi="Times New Roman" w:cs="Times New Roman"/>
          <w:sz w:val="24"/>
          <w:szCs w:val="24"/>
        </w:rPr>
        <w:t>a</w:t>
      </w:r>
      <w:r w:rsidRPr="009935E0">
        <w:rPr>
          <w:rFonts w:ascii="Times New Roman" w:hAnsi="Times New Roman" w:cs="Times New Roman"/>
          <w:sz w:val="24"/>
          <w:szCs w:val="24"/>
          <w:vertAlign w:val="superscript"/>
        </w:rPr>
        <w:t xml:space="preserve"> </w:t>
      </w:r>
      <w:r w:rsidRPr="009935E0">
        <w:rPr>
          <w:rFonts w:ascii="Times New Roman" w:hAnsi="Times New Roman" w:cs="Times New Roman"/>
          <w:sz w:val="24"/>
          <w:szCs w:val="24"/>
        </w:rPr>
        <w:t>ust. 2</w:t>
      </w:r>
      <w:r w:rsidR="00FB3454" w:rsidRPr="009935E0">
        <w:rPr>
          <w:rFonts w:ascii="Times New Roman" w:hAnsi="Times New Roman" w:cs="Times New Roman"/>
          <w:sz w:val="24"/>
          <w:szCs w:val="24"/>
        </w:rPr>
        <w:t xml:space="preserve"> ustawy o prawie autorskim</w:t>
      </w:r>
      <w:r w:rsidR="00B34E1C" w:rsidRPr="009935E0">
        <w:rPr>
          <w:rFonts w:ascii="Times New Roman" w:hAnsi="Times New Roman" w:cs="Times New Roman"/>
          <w:sz w:val="24"/>
          <w:szCs w:val="24"/>
        </w:rPr>
        <w:t>,</w:t>
      </w:r>
      <w:r w:rsidRPr="009935E0">
        <w:rPr>
          <w:rFonts w:ascii="Times New Roman" w:hAnsi="Times New Roman" w:cs="Times New Roman"/>
          <w:sz w:val="24"/>
          <w:szCs w:val="24"/>
        </w:rPr>
        <w:t xml:space="preserve"> zgodnie z którym informacja </w:t>
      </w:r>
      <w:r w:rsidR="00413AB1" w:rsidRPr="009935E0">
        <w:rPr>
          <w:rFonts w:ascii="Times New Roman" w:hAnsi="Times New Roman" w:cs="Times New Roman"/>
          <w:sz w:val="24"/>
          <w:szCs w:val="24"/>
        </w:rPr>
        <w:t xml:space="preserve">jest </w:t>
      </w:r>
      <w:r w:rsidRPr="009935E0">
        <w:rPr>
          <w:rFonts w:ascii="Times New Roman" w:hAnsi="Times New Roman" w:cs="Times New Roman"/>
          <w:sz w:val="24"/>
          <w:szCs w:val="24"/>
        </w:rPr>
        <w:t xml:space="preserve">przekazywana </w:t>
      </w:r>
      <w:r w:rsidR="00D70A0E" w:rsidRPr="009935E0">
        <w:rPr>
          <w:rFonts w:ascii="Times New Roman" w:hAnsi="Times New Roman" w:cs="Times New Roman"/>
          <w:sz w:val="24"/>
          <w:szCs w:val="24"/>
        </w:rPr>
        <w:t>„</w:t>
      </w:r>
      <w:r w:rsidRPr="009935E0">
        <w:rPr>
          <w:rFonts w:ascii="Times New Roman" w:hAnsi="Times New Roman" w:cs="Times New Roman"/>
          <w:sz w:val="24"/>
          <w:szCs w:val="24"/>
        </w:rPr>
        <w:t xml:space="preserve">z regularnością </w:t>
      </w:r>
      <w:r w:rsidR="006214EC" w:rsidRPr="009935E0">
        <w:rPr>
          <w:rFonts w:ascii="Times New Roman" w:hAnsi="Times New Roman" w:cs="Times New Roman"/>
          <w:sz w:val="24"/>
          <w:szCs w:val="24"/>
        </w:rPr>
        <w:t>odpowiednią</w:t>
      </w:r>
      <w:r w:rsidR="006E2D02" w:rsidRPr="009935E0">
        <w:rPr>
          <w:rFonts w:ascii="Times New Roman" w:hAnsi="Times New Roman" w:cs="Times New Roman"/>
          <w:sz w:val="24"/>
          <w:szCs w:val="24"/>
        </w:rPr>
        <w:t xml:space="preserve"> do </w:t>
      </w:r>
      <w:r w:rsidR="006214EC" w:rsidRPr="009935E0">
        <w:rPr>
          <w:rFonts w:ascii="Times New Roman" w:hAnsi="Times New Roman" w:cs="Times New Roman"/>
          <w:sz w:val="24"/>
          <w:szCs w:val="24"/>
        </w:rPr>
        <w:t>rodzaju działalności, w ramach której utwór jest wykorzystywany</w:t>
      </w:r>
      <w:r w:rsidRPr="009935E0">
        <w:rPr>
          <w:rFonts w:ascii="Times New Roman" w:hAnsi="Times New Roman" w:cs="Times New Roman"/>
          <w:sz w:val="24"/>
          <w:szCs w:val="24"/>
        </w:rPr>
        <w:t xml:space="preserve">, nie rzadziej niż raz </w:t>
      </w:r>
      <w:r w:rsidR="006214EC" w:rsidRPr="009935E0">
        <w:rPr>
          <w:rFonts w:ascii="Times New Roman" w:hAnsi="Times New Roman" w:cs="Times New Roman"/>
          <w:sz w:val="24"/>
          <w:szCs w:val="24"/>
        </w:rPr>
        <w:t>w</w:t>
      </w:r>
      <w:r w:rsidRPr="009935E0">
        <w:rPr>
          <w:rFonts w:ascii="Times New Roman" w:hAnsi="Times New Roman" w:cs="Times New Roman"/>
          <w:sz w:val="24"/>
          <w:szCs w:val="24"/>
        </w:rPr>
        <w:t xml:space="preserve"> roku</w:t>
      </w:r>
      <w:r w:rsidR="00405883" w:rsidRPr="009935E0">
        <w:rPr>
          <w:rFonts w:ascii="Times New Roman" w:hAnsi="Times New Roman" w:cs="Times New Roman"/>
          <w:sz w:val="24"/>
          <w:szCs w:val="24"/>
        </w:rPr>
        <w:t xml:space="preserve"> i nie częściej niż raz na kwartał</w:t>
      </w:r>
      <w:r w:rsidR="00D70A0E" w:rsidRPr="009935E0">
        <w:rPr>
          <w:rFonts w:ascii="Times New Roman" w:hAnsi="Times New Roman" w:cs="Times New Roman"/>
          <w:sz w:val="24"/>
          <w:szCs w:val="24"/>
        </w:rPr>
        <w:t>”</w:t>
      </w:r>
      <w:r w:rsidR="00B11FFB" w:rsidRPr="009935E0">
        <w:rPr>
          <w:rFonts w:ascii="Times New Roman" w:hAnsi="Times New Roman" w:cs="Times New Roman"/>
          <w:sz w:val="24"/>
          <w:szCs w:val="24"/>
        </w:rPr>
        <w:t>.</w:t>
      </w:r>
      <w:r w:rsidR="00FA33B0" w:rsidRPr="009935E0">
        <w:rPr>
          <w:rFonts w:ascii="Times New Roman" w:hAnsi="Times New Roman" w:cs="Times New Roman"/>
          <w:sz w:val="24"/>
          <w:szCs w:val="24"/>
        </w:rPr>
        <w:t xml:space="preserve"> Wydaje się, że specyfika żadnego rodz</w:t>
      </w:r>
      <w:r w:rsidR="00B11FFB" w:rsidRPr="009935E0">
        <w:rPr>
          <w:rFonts w:ascii="Times New Roman" w:hAnsi="Times New Roman" w:cs="Times New Roman"/>
          <w:sz w:val="24"/>
          <w:szCs w:val="24"/>
        </w:rPr>
        <w:t>aju korzystania z utworów</w:t>
      </w:r>
      <w:r w:rsidR="00FA33B0" w:rsidRPr="009935E0">
        <w:rPr>
          <w:rFonts w:ascii="Times New Roman" w:hAnsi="Times New Roman" w:cs="Times New Roman"/>
          <w:sz w:val="24"/>
          <w:szCs w:val="24"/>
        </w:rPr>
        <w:t xml:space="preserve"> nie wymusza przekazywania </w:t>
      </w:r>
      <w:r w:rsidR="00FA33B0" w:rsidRPr="009935E0">
        <w:rPr>
          <w:rFonts w:ascii="Times New Roman" w:hAnsi="Times New Roman" w:cs="Times New Roman"/>
          <w:sz w:val="24"/>
          <w:szCs w:val="24"/>
        </w:rPr>
        <w:lastRenderedPageBreak/>
        <w:t>tej informacji częściej niż raz na kwartał, a rozwiązanie to</w:t>
      </w:r>
      <w:r w:rsidR="00027C14" w:rsidRPr="009935E0">
        <w:rPr>
          <w:rFonts w:ascii="Times New Roman" w:hAnsi="Times New Roman" w:cs="Times New Roman"/>
          <w:sz w:val="24"/>
          <w:szCs w:val="24"/>
        </w:rPr>
        <w:t xml:space="preserve"> </w:t>
      </w:r>
      <w:r w:rsidR="00FA33B0" w:rsidRPr="009935E0">
        <w:rPr>
          <w:rFonts w:ascii="Times New Roman" w:hAnsi="Times New Roman" w:cs="Times New Roman"/>
          <w:sz w:val="24"/>
          <w:szCs w:val="24"/>
        </w:rPr>
        <w:t>sprzyja zapewnieniu proporcjon</w:t>
      </w:r>
      <w:r w:rsidR="00B11FFB" w:rsidRPr="009935E0">
        <w:rPr>
          <w:rFonts w:ascii="Times New Roman" w:hAnsi="Times New Roman" w:cs="Times New Roman"/>
          <w:sz w:val="24"/>
          <w:szCs w:val="24"/>
        </w:rPr>
        <w:t>alności</w:t>
      </w:r>
      <w:r w:rsidR="00FA33B0" w:rsidRPr="009935E0">
        <w:rPr>
          <w:rFonts w:ascii="Times New Roman" w:hAnsi="Times New Roman" w:cs="Times New Roman"/>
          <w:sz w:val="24"/>
          <w:szCs w:val="24"/>
        </w:rPr>
        <w:t xml:space="preserve"> nakładanego obowiązku</w:t>
      </w:r>
      <w:r w:rsidRPr="009935E0">
        <w:rPr>
          <w:rFonts w:ascii="Times New Roman" w:hAnsi="Times New Roman" w:cs="Times New Roman"/>
          <w:sz w:val="24"/>
          <w:szCs w:val="24"/>
        </w:rPr>
        <w:t>.</w:t>
      </w:r>
    </w:p>
    <w:p w14:paraId="30CB022F" w14:textId="7620803F" w:rsidR="00A43F25" w:rsidRPr="009935E0" w:rsidRDefault="00A43F25" w:rsidP="00483092">
      <w:pPr>
        <w:pStyle w:val="NormalnyWeb"/>
        <w:spacing w:before="120" w:beforeAutospacing="0" w:after="0" w:afterAutospacing="0" w:line="360" w:lineRule="auto"/>
        <w:jc w:val="both"/>
      </w:pPr>
      <w:r w:rsidRPr="009935E0">
        <w:t xml:space="preserve">Zgodnie z treścią art. 19 ust. 2 </w:t>
      </w:r>
      <w:r w:rsidR="002A4CB3" w:rsidRPr="009935E0">
        <w:t>d</w:t>
      </w:r>
      <w:r w:rsidRPr="009935E0">
        <w:t>yrektywy</w:t>
      </w:r>
      <w:r w:rsidR="00FB3454" w:rsidRPr="009935E0">
        <w:t xml:space="preserve"> DSM</w:t>
      </w:r>
      <w:r w:rsidRPr="009935E0">
        <w:t>, w przypadku gdy kontrahent t</w:t>
      </w:r>
      <w:r w:rsidR="00D70A0E" w:rsidRPr="009935E0">
        <w:t xml:space="preserve">wórcy lub </w:t>
      </w:r>
      <w:r w:rsidRPr="009935E0">
        <w:t>wykonawcy</w:t>
      </w:r>
      <w:r w:rsidR="0096788E" w:rsidRPr="009935E0">
        <w:t xml:space="preserve"> </w:t>
      </w:r>
      <w:r w:rsidRPr="009935E0">
        <w:t xml:space="preserve">nie posiada wszystkich niezbędnych informacji, </w:t>
      </w:r>
      <w:r w:rsidR="0096788E" w:rsidRPr="009935E0">
        <w:t xml:space="preserve">ponieważ udzielił następnie </w:t>
      </w:r>
      <w:r w:rsidRPr="009935E0">
        <w:t>licencji, twórca może wnioskować o przekazanie dalszych informacji przez licencjobiorcę</w:t>
      </w:r>
      <w:r w:rsidR="0096788E" w:rsidRPr="009935E0">
        <w:t xml:space="preserve"> kontrahenta twórcy</w:t>
      </w:r>
      <w:r w:rsidR="00044DAE" w:rsidRPr="009935E0">
        <w:rPr>
          <w:rStyle w:val="Odwoanieprzypisudolnego"/>
        </w:rPr>
        <w:footnoteReference w:id="50"/>
      </w:r>
      <w:r w:rsidR="00214723" w:rsidRPr="00483092">
        <w:rPr>
          <w:vertAlign w:val="superscript"/>
        </w:rPr>
        <w:t>)</w:t>
      </w:r>
      <w:r w:rsidRPr="009935E0">
        <w:t xml:space="preserve">. </w:t>
      </w:r>
      <w:r w:rsidR="001F4A82" w:rsidRPr="009935E0">
        <w:t xml:space="preserve">W analogicznej sytuacji do tych licencjobiorców znajdują się również podmioty, które nabyły prawa od kontrahentów twórców. </w:t>
      </w:r>
      <w:r w:rsidRPr="009935E0">
        <w:t>W celu implementac</w:t>
      </w:r>
      <w:r w:rsidR="00FE5DF0" w:rsidRPr="009935E0">
        <w:t>ji tego przepisu w projektowanym art. 47</w:t>
      </w:r>
      <w:r w:rsidR="00500B9A" w:rsidRPr="009935E0">
        <w:t>a</w:t>
      </w:r>
      <w:r w:rsidR="00FE5DF0" w:rsidRPr="009935E0">
        <w:rPr>
          <w:vertAlign w:val="superscript"/>
        </w:rPr>
        <w:t xml:space="preserve"> </w:t>
      </w:r>
      <w:r w:rsidR="00FE5DF0" w:rsidRPr="009935E0">
        <w:t>ust. 3</w:t>
      </w:r>
      <w:r w:rsidRPr="009935E0">
        <w:t xml:space="preserve"> </w:t>
      </w:r>
      <w:r w:rsidR="00FB3454" w:rsidRPr="009935E0">
        <w:t xml:space="preserve">ustawy o prawie autorskim </w:t>
      </w:r>
      <w:r w:rsidRPr="009935E0">
        <w:t>przewidziano, że w przypadku</w:t>
      </w:r>
      <w:r w:rsidR="0096788E" w:rsidRPr="009935E0">
        <w:t xml:space="preserve"> udzielenia licencji </w:t>
      </w:r>
      <w:r w:rsidR="00405883" w:rsidRPr="009935E0">
        <w:t xml:space="preserve">lub przeniesienia praw </w:t>
      </w:r>
      <w:r w:rsidR="0096788E" w:rsidRPr="009935E0">
        <w:t>przez jednego z zobowiązanych wskazanych w projektowanym ust</w:t>
      </w:r>
      <w:r w:rsidR="002A4CB3" w:rsidRPr="009935E0">
        <w:t>.</w:t>
      </w:r>
      <w:r w:rsidR="0096788E" w:rsidRPr="009935E0">
        <w:t xml:space="preserve"> 1,</w:t>
      </w:r>
      <w:r w:rsidRPr="009935E0">
        <w:t xml:space="preserve"> i w związku z tym nieposiadania pełnej przedmiot</w:t>
      </w:r>
      <w:r w:rsidR="00B11FFB" w:rsidRPr="009935E0">
        <w:t xml:space="preserve">owej informacji, konieczne jest </w:t>
      </w:r>
      <w:r w:rsidRPr="009935E0">
        <w:t>poinformowanie o tym fakcie twórcy</w:t>
      </w:r>
      <w:r w:rsidR="0096788E" w:rsidRPr="009935E0">
        <w:t xml:space="preserve"> i przekazanie mu, na jego żądanie, informacji identyfikującej licencjobiorcę</w:t>
      </w:r>
      <w:r w:rsidR="00405883" w:rsidRPr="009935E0">
        <w:t xml:space="preserve"> lub dalszego nabywcę praw</w:t>
      </w:r>
      <w:r w:rsidRPr="009935E0">
        <w:t xml:space="preserve">. </w:t>
      </w:r>
      <w:r w:rsidR="008E4857" w:rsidRPr="009935E0">
        <w:t>W takim prz</w:t>
      </w:r>
      <w:r w:rsidR="0096788E" w:rsidRPr="009935E0">
        <w:t>ypad</w:t>
      </w:r>
      <w:r w:rsidR="009355FB" w:rsidRPr="009935E0">
        <w:t xml:space="preserve">ku, na żądanie twórcy, </w:t>
      </w:r>
      <w:r w:rsidR="00B11FFB" w:rsidRPr="009935E0">
        <w:t xml:space="preserve">brakującą </w:t>
      </w:r>
      <w:r w:rsidR="009355FB" w:rsidRPr="009935E0">
        <w:t>informację</w:t>
      </w:r>
      <w:r w:rsidR="00B11FFB" w:rsidRPr="009935E0">
        <w:t xml:space="preserve"> </w:t>
      </w:r>
      <w:r w:rsidR="009355FB" w:rsidRPr="009935E0">
        <w:t xml:space="preserve">przekazuje </w:t>
      </w:r>
      <w:r w:rsidR="0096788E" w:rsidRPr="009935E0">
        <w:t>osoba</w:t>
      </w:r>
      <w:r w:rsidRPr="009935E0">
        <w:t>, której kontrahent twórcy udzielił licencji</w:t>
      </w:r>
      <w:r w:rsidR="00405883" w:rsidRPr="009935E0">
        <w:t xml:space="preserve"> lub na którą przeniósł prawa</w:t>
      </w:r>
      <w:r w:rsidRPr="009935E0">
        <w:t xml:space="preserve">. </w:t>
      </w:r>
    </w:p>
    <w:p w14:paraId="12B02DBA" w14:textId="77777777" w:rsidR="00A43F25" w:rsidRPr="009935E0" w:rsidRDefault="00A43F25" w:rsidP="00483092">
      <w:pPr>
        <w:pStyle w:val="NormalnyWeb"/>
        <w:spacing w:before="120" w:beforeAutospacing="0" w:after="0" w:afterAutospacing="0" w:line="360" w:lineRule="auto"/>
        <w:jc w:val="both"/>
      </w:pPr>
      <w:r w:rsidRPr="009935E0">
        <w:t>W projektowanym art. 47</w:t>
      </w:r>
      <w:r w:rsidR="00500B9A" w:rsidRPr="009935E0">
        <w:t>a</w:t>
      </w:r>
      <w:r w:rsidRPr="009935E0">
        <w:rPr>
          <w:vertAlign w:val="superscript"/>
        </w:rPr>
        <w:t xml:space="preserve"> </w:t>
      </w:r>
      <w:r w:rsidR="00FE5DF0" w:rsidRPr="009935E0">
        <w:t>ust. 4</w:t>
      </w:r>
      <w:r w:rsidRPr="009935E0">
        <w:t xml:space="preserve"> </w:t>
      </w:r>
      <w:r w:rsidR="00FB3454" w:rsidRPr="009935E0">
        <w:t xml:space="preserve">ustawy o prawie autorskim </w:t>
      </w:r>
      <w:r w:rsidRPr="009935E0">
        <w:t xml:space="preserve">przewidziano, w zgodzie z treścią fakultatywnego art. 19 ust. 4 </w:t>
      </w:r>
      <w:r w:rsidR="002A4CB3" w:rsidRPr="009935E0">
        <w:t>d</w:t>
      </w:r>
      <w:r w:rsidRPr="009935E0">
        <w:t>yrektywy, całkowite wyłączenie stosowania projektowanego obowiązku informacyjnego w sytuacji, gdy wkład twórcz</w:t>
      </w:r>
      <w:r w:rsidR="007B0945" w:rsidRPr="009935E0">
        <w:t>y</w:t>
      </w:r>
      <w:r w:rsidRPr="009935E0">
        <w:t xml:space="preserve"> nie jest znacz</w:t>
      </w:r>
      <w:r w:rsidR="007B0945" w:rsidRPr="009935E0">
        <w:t>ący w stosunku do wykorzystywanej całości</w:t>
      </w:r>
      <w:r w:rsidRPr="009935E0">
        <w:t xml:space="preserve">. Sytuacja taka może wystąpić na przykład w przypadku eksploatacji utworów zbiorowych albo zbiorów składających się z licznych utworów. </w:t>
      </w:r>
      <w:r w:rsidR="00405883" w:rsidRPr="009935E0">
        <w:t>W związku z powyższym w odniesieniu do utworów zbiorowych, zbiorów utwor</w:t>
      </w:r>
      <w:r w:rsidR="00FB5D6C" w:rsidRPr="009935E0">
        <w:t>ów oraz utworów współautorskich</w:t>
      </w:r>
      <w:r w:rsidR="00405883" w:rsidRPr="009935E0">
        <w:t xml:space="preserve"> p</w:t>
      </w:r>
      <w:r w:rsidR="00FA33B0" w:rsidRPr="009935E0">
        <w:t>rzewidziano domniemanie, że wkła</w:t>
      </w:r>
      <w:r w:rsidR="00405883" w:rsidRPr="009935E0">
        <w:t>d twórczy nie je</w:t>
      </w:r>
      <w:r w:rsidR="00EB3D32" w:rsidRPr="009935E0">
        <w:t>st znaczący</w:t>
      </w:r>
      <w:r w:rsidR="00405883" w:rsidRPr="009935E0">
        <w:t>. W przypadku utworu audiowizualnego domniemanie to</w:t>
      </w:r>
      <w:r w:rsidR="00EB3D32" w:rsidRPr="009935E0">
        <w:t xml:space="preserve"> nie</w:t>
      </w:r>
      <w:r w:rsidR="00405883" w:rsidRPr="009935E0">
        <w:t xml:space="preserve"> </w:t>
      </w:r>
      <w:r w:rsidR="0079349E" w:rsidRPr="009935E0">
        <w:t xml:space="preserve">będzie jednak </w:t>
      </w:r>
      <w:r w:rsidR="00405883" w:rsidRPr="009935E0">
        <w:t>dotyczy</w:t>
      </w:r>
      <w:r w:rsidR="0079349E" w:rsidRPr="009935E0">
        <w:t xml:space="preserve">ć </w:t>
      </w:r>
      <w:r w:rsidR="00AD5F15" w:rsidRPr="009935E0">
        <w:t>osób wskazanych wprost w art. 69 ustawy o prawie autorskim</w:t>
      </w:r>
      <w:r w:rsidR="00FB5D6C" w:rsidRPr="009935E0">
        <w:t xml:space="preserve"> jako współtwórcy utworu audiowizualnego</w:t>
      </w:r>
      <w:r w:rsidR="00AD5F15" w:rsidRPr="009935E0">
        <w:t>, tj. reżysera, operatora obrazu, twórcy adaptacji utworu literackiego, twórcy stworzonych dla utworu audiowizualnego utworów muzycznych lub słowno-muzycznych oraz twórcy scenariusza.</w:t>
      </w:r>
      <w:r w:rsidR="00405883" w:rsidRPr="009935E0">
        <w:t xml:space="preserve"> </w:t>
      </w:r>
      <w:r w:rsidRPr="009935E0">
        <w:t xml:space="preserve">Wyjątek ten nie będzie miał </w:t>
      </w:r>
      <w:r w:rsidR="00EB3D32" w:rsidRPr="009935E0">
        <w:t>ponadto</w:t>
      </w:r>
      <w:r w:rsidR="007B0945" w:rsidRPr="009935E0">
        <w:t xml:space="preserve"> w ogóle </w:t>
      </w:r>
      <w:r w:rsidRPr="009935E0">
        <w:t>zastosowania, jeżeli twórca wykaże niezbędność informacji dla wykonania</w:t>
      </w:r>
      <w:r w:rsidR="00C21A3B" w:rsidRPr="009935E0">
        <w:t xml:space="preserve"> prawa, o którym mowa w art. 44 </w:t>
      </w:r>
      <w:r w:rsidR="00B11FFB" w:rsidRPr="009935E0">
        <w:t>tej ustawy</w:t>
      </w:r>
      <w:r w:rsidR="00C21A3B" w:rsidRPr="009935E0">
        <w:t>.</w:t>
      </w:r>
      <w:r w:rsidR="00405883" w:rsidRPr="009935E0">
        <w:t xml:space="preserve"> </w:t>
      </w:r>
    </w:p>
    <w:p w14:paraId="5032CE22" w14:textId="77777777" w:rsidR="00A43F25" w:rsidRPr="009935E0" w:rsidRDefault="002A4CB3" w:rsidP="00483092">
      <w:pPr>
        <w:pStyle w:val="NormalnyWeb"/>
        <w:spacing w:before="120" w:beforeAutospacing="0" w:after="0" w:afterAutospacing="0" w:line="360" w:lineRule="auto"/>
        <w:jc w:val="both"/>
      </w:pPr>
      <w:r w:rsidRPr="009935E0">
        <w:t>Natomiast p</w:t>
      </w:r>
      <w:r w:rsidR="00A43F25" w:rsidRPr="009935E0">
        <w:t>rojektowany art. 47</w:t>
      </w:r>
      <w:r w:rsidR="00500B9A" w:rsidRPr="009935E0">
        <w:t>a</w:t>
      </w:r>
      <w:r w:rsidR="00A43F25" w:rsidRPr="009935E0">
        <w:rPr>
          <w:vertAlign w:val="superscript"/>
        </w:rPr>
        <w:t xml:space="preserve"> </w:t>
      </w:r>
      <w:r w:rsidR="00FE5DF0" w:rsidRPr="009935E0">
        <w:t>ust. 5</w:t>
      </w:r>
      <w:r w:rsidR="00FB3454" w:rsidRPr="009935E0">
        <w:t xml:space="preserve"> ustawy o prawie autorskim</w:t>
      </w:r>
      <w:r w:rsidR="00A43F25" w:rsidRPr="009935E0">
        <w:t xml:space="preserve">, przy uwzględnieniu treści art. 19 ust. 3 </w:t>
      </w:r>
      <w:r w:rsidRPr="009935E0">
        <w:t>d</w:t>
      </w:r>
      <w:r w:rsidR="00A43F25" w:rsidRPr="009935E0">
        <w:t>yrektywy</w:t>
      </w:r>
      <w:r w:rsidR="00FB3454" w:rsidRPr="009935E0">
        <w:t xml:space="preserve"> DSM</w:t>
      </w:r>
      <w:r w:rsidR="00A43F25" w:rsidRPr="009935E0">
        <w:t xml:space="preserve">, przewiduje możliwość ograniczenia wykonania obowiązku </w:t>
      </w:r>
      <w:r w:rsidR="00D70A0E" w:rsidRPr="009935E0">
        <w:t xml:space="preserve">informacyjnego </w:t>
      </w:r>
      <w:r w:rsidR="00A43F25" w:rsidRPr="009935E0">
        <w:t>do</w:t>
      </w:r>
      <w:r w:rsidR="00A43F25" w:rsidRPr="009935E0">
        <w:rPr>
          <w:i/>
        </w:rPr>
        <w:t xml:space="preserve"> </w:t>
      </w:r>
      <w:r w:rsidR="00EA0A96" w:rsidRPr="009935E0">
        <w:t xml:space="preserve">informacji o łącznych przychodach z korzystania z utworu i łącznym </w:t>
      </w:r>
      <w:r w:rsidR="00EA0A96" w:rsidRPr="009935E0">
        <w:lastRenderedPageBreak/>
        <w:t>wynagrodzeniu należnym za to korzystanie (tj. bez wyodrębniania poszczególnych pól eksploatacji)</w:t>
      </w:r>
      <w:r w:rsidR="00A43F25" w:rsidRPr="009935E0">
        <w:t xml:space="preserve"> w uzasadnionych sytuacjach, w których koszty lub obciążenie administracyjne związane z realizacją obowiązku, o którym</w:t>
      </w:r>
      <w:r w:rsidR="00B5061D" w:rsidRPr="009935E0">
        <w:t xml:space="preserve"> mowa w </w:t>
      </w:r>
      <w:r w:rsidR="00FB3454" w:rsidRPr="009935E0">
        <w:t xml:space="preserve">art. 47a </w:t>
      </w:r>
      <w:r w:rsidR="00B5061D" w:rsidRPr="009935E0">
        <w:t>ust. 1 lub ust. 3</w:t>
      </w:r>
      <w:r w:rsidR="00FB3454" w:rsidRPr="009935E0">
        <w:t xml:space="preserve"> ustawy o prawie autorskim</w:t>
      </w:r>
      <w:r w:rsidR="00B5061D" w:rsidRPr="009935E0">
        <w:t xml:space="preserve">, </w:t>
      </w:r>
      <w:r w:rsidR="007B0945" w:rsidRPr="009935E0">
        <w:t>okazałyby się</w:t>
      </w:r>
      <w:r w:rsidR="00A43F25" w:rsidRPr="009935E0">
        <w:t xml:space="preserve"> nadmiernie uciążliwe w stosunku do prz</w:t>
      </w:r>
      <w:r w:rsidR="00EA0A96" w:rsidRPr="009935E0">
        <w:t>ychodów z korzystania z utworu.</w:t>
      </w:r>
    </w:p>
    <w:p w14:paraId="471A0A7D" w14:textId="4C31A3C5" w:rsidR="00A43F25" w:rsidRPr="009935E0" w:rsidRDefault="00D70A0E" w:rsidP="00483092">
      <w:pPr>
        <w:pStyle w:val="NormalnyWeb"/>
        <w:spacing w:before="120" w:beforeAutospacing="0" w:after="0" w:afterAutospacing="0" w:line="360" w:lineRule="auto"/>
        <w:jc w:val="both"/>
        <w:rPr>
          <w:rFonts w:eastAsiaTheme="minorHAnsi"/>
          <w:lang w:eastAsia="en-US"/>
        </w:rPr>
      </w:pPr>
      <w:r w:rsidRPr="009935E0">
        <w:t xml:space="preserve">W projektowanym </w:t>
      </w:r>
      <w:r w:rsidR="00FE5DF0" w:rsidRPr="009935E0">
        <w:t>art. 47</w:t>
      </w:r>
      <w:r w:rsidR="00500B9A" w:rsidRPr="009935E0">
        <w:t>a</w:t>
      </w:r>
      <w:r w:rsidR="00FE5DF0" w:rsidRPr="009935E0">
        <w:rPr>
          <w:vertAlign w:val="superscript"/>
        </w:rPr>
        <w:t xml:space="preserve"> </w:t>
      </w:r>
      <w:r w:rsidRPr="009935E0">
        <w:t>ust. 6</w:t>
      </w:r>
      <w:r w:rsidR="00FE5DF0" w:rsidRPr="009935E0">
        <w:t xml:space="preserve"> </w:t>
      </w:r>
      <w:r w:rsidR="00FB3454" w:rsidRPr="009935E0">
        <w:t xml:space="preserve">ustawy o prawie autorskim </w:t>
      </w:r>
      <w:r w:rsidR="00A43F25" w:rsidRPr="009935E0">
        <w:t xml:space="preserve">przewidziano ponadto, że </w:t>
      </w:r>
      <w:r w:rsidRPr="009935E0">
        <w:t xml:space="preserve">nowy obowiązek informacyjny </w:t>
      </w:r>
      <w:r w:rsidR="00A43F25" w:rsidRPr="009935E0">
        <w:t xml:space="preserve">nie </w:t>
      </w:r>
      <w:r w:rsidRPr="009935E0">
        <w:t>będzie miał</w:t>
      </w:r>
      <w:r w:rsidR="00A43F25" w:rsidRPr="009935E0">
        <w:t xml:space="preserve"> zastosowania do eksploatacji dokonywanej na podstawie umowy o korzystanie z utworów zawartej z organizacją zbiorowego zarządzania prawami autorskimi albo </w:t>
      </w:r>
      <w:r w:rsidR="002A4CB3" w:rsidRPr="009935E0">
        <w:t xml:space="preserve">z </w:t>
      </w:r>
      <w:r w:rsidR="00A43F25" w:rsidRPr="009935E0">
        <w:t>niezależnym podmiotem zarządzającym w rozumieniu</w:t>
      </w:r>
      <w:r w:rsidR="00847557" w:rsidRPr="009935E0">
        <w:t xml:space="preserve"> ustawy o zbiorowym zarządzaniu</w:t>
      </w:r>
      <w:r w:rsidR="00A43F25" w:rsidRPr="009935E0">
        <w:t>. Przyjęte brzmienie projektowanego przepisu przesądza, że zobowiązanym ze względu na projektowany obowiązek informacyjny nie jest ani organizacja zbiorowego zarządzania</w:t>
      </w:r>
      <w:r w:rsidR="003A54BA" w:rsidRPr="009935E0">
        <w:t>,</w:t>
      </w:r>
      <w:r w:rsidR="0079349E" w:rsidRPr="009935E0">
        <w:t xml:space="preserve"> ani użytkownik</w:t>
      </w:r>
      <w:r w:rsidR="00A43F25" w:rsidRPr="009935E0">
        <w:t xml:space="preserve"> który zawarł z nią umowę. W p</w:t>
      </w:r>
      <w:r w:rsidR="002A4CB3" w:rsidRPr="009935E0">
        <w:t>kt 2</w:t>
      </w:r>
      <w:r w:rsidR="00A43F25" w:rsidRPr="009935E0">
        <w:t xml:space="preserve"> przesądzono natomiast</w:t>
      </w:r>
      <w:r w:rsidR="00301D3D" w:rsidRPr="009935E0">
        <w:t>,</w:t>
      </w:r>
      <w:r w:rsidR="00A43F25" w:rsidRPr="009935E0">
        <w:t xml:space="preserve"> zgodnie z treścią motywu 74</w:t>
      </w:r>
      <w:r w:rsidR="00FB3454" w:rsidRPr="009935E0">
        <w:t xml:space="preserve"> dyrektywy DSM</w:t>
      </w:r>
      <w:r w:rsidR="00301D3D" w:rsidRPr="009935E0">
        <w:t>,</w:t>
      </w:r>
      <w:r w:rsidR="00A43F25" w:rsidRPr="009935E0">
        <w:t xml:space="preserve"> że obowiązek informacyjny nie ma zastosowania w przypadku eksploatacji utworu na podstawie nieodpłatnej</w:t>
      </w:r>
      <w:r w:rsidR="00ED1C32" w:rsidRPr="009935E0">
        <w:t xml:space="preserve"> tzw. otwartej</w:t>
      </w:r>
      <w:r w:rsidR="00A43F25" w:rsidRPr="009935E0">
        <w:t xml:space="preserve"> licencji udzielonej przez twórcę</w:t>
      </w:r>
      <w:r w:rsidR="0033708A" w:rsidRPr="009935E0">
        <w:rPr>
          <w:rStyle w:val="Odwoanieprzypisudolnego"/>
        </w:rPr>
        <w:footnoteReference w:id="51"/>
      </w:r>
      <w:r w:rsidR="00214723" w:rsidRPr="00483092">
        <w:rPr>
          <w:vertAlign w:val="superscript"/>
        </w:rPr>
        <w:t>)</w:t>
      </w:r>
      <w:r w:rsidR="00B34E1C" w:rsidRPr="009935E0">
        <w:t>.</w:t>
      </w:r>
      <w:r w:rsidR="006B24E3" w:rsidRPr="00483092">
        <w:rPr>
          <w:rFonts w:eastAsia="Calibri"/>
          <w:lang w:eastAsia="en-US"/>
        </w:rPr>
        <w:t xml:space="preserve"> </w:t>
      </w:r>
      <w:r w:rsidR="006B24E3" w:rsidRPr="009935E0">
        <w:rPr>
          <w:rFonts w:eastAsiaTheme="minorHAnsi"/>
          <w:lang w:eastAsia="en-US"/>
        </w:rPr>
        <w:t>Ponadto, w związku z uwagami zgłoszonymi w trakcie konsultacji publicznych, postanowiono przesądzić wprost o niestosowaniu obowiązku transparentności do aktów korzystania z utwor</w:t>
      </w:r>
      <w:r w:rsidR="001D4CB3" w:rsidRPr="009935E0">
        <w:rPr>
          <w:rFonts w:eastAsiaTheme="minorHAnsi"/>
          <w:lang w:eastAsia="en-US"/>
        </w:rPr>
        <w:t>ów na podstawie art. 12 ustawy o prawie autorskim.</w:t>
      </w:r>
      <w:r w:rsidR="006B24E3" w:rsidRPr="009935E0">
        <w:rPr>
          <w:rFonts w:eastAsiaTheme="minorHAnsi"/>
          <w:lang w:eastAsia="en-US"/>
        </w:rPr>
        <w:t xml:space="preserve"> Należy jednak podkreślić, że korzystanie z utworów pracowniczych nie było</w:t>
      </w:r>
      <w:r w:rsidR="001D4CB3" w:rsidRPr="009935E0">
        <w:rPr>
          <w:rFonts w:eastAsiaTheme="minorHAnsi"/>
          <w:lang w:eastAsia="en-US"/>
        </w:rPr>
        <w:t>by objęte projektowaną regulacją</w:t>
      </w:r>
      <w:r w:rsidR="006B24E3" w:rsidRPr="009935E0">
        <w:rPr>
          <w:rFonts w:eastAsiaTheme="minorHAnsi"/>
          <w:lang w:eastAsia="en-US"/>
        </w:rPr>
        <w:t xml:space="preserve"> również bez wyłączenia w</w:t>
      </w:r>
      <w:r w:rsidR="001D4CB3" w:rsidRPr="009935E0">
        <w:rPr>
          <w:rFonts w:eastAsiaTheme="minorHAnsi"/>
          <w:lang w:eastAsia="en-US"/>
        </w:rPr>
        <w:t>prost w projektowanym</w:t>
      </w:r>
      <w:r w:rsidR="002A1EA5" w:rsidRPr="009935E0">
        <w:rPr>
          <w:rFonts w:eastAsiaTheme="minorHAnsi"/>
          <w:lang w:eastAsia="en-US"/>
        </w:rPr>
        <w:t xml:space="preserve"> przepisie ze względu na fakt, </w:t>
      </w:r>
      <w:r w:rsidR="001D4CB3" w:rsidRPr="009935E0">
        <w:rPr>
          <w:rFonts w:eastAsiaTheme="minorHAnsi"/>
          <w:lang w:eastAsia="en-US"/>
        </w:rPr>
        <w:t xml:space="preserve">iż </w:t>
      </w:r>
      <w:r w:rsidR="006B24E3" w:rsidRPr="009935E0">
        <w:rPr>
          <w:rFonts w:eastAsiaTheme="minorHAnsi"/>
          <w:lang w:eastAsia="en-US"/>
        </w:rPr>
        <w:t xml:space="preserve">przejście praw </w:t>
      </w:r>
      <w:r w:rsidR="001D4CB3" w:rsidRPr="009935E0">
        <w:rPr>
          <w:rFonts w:eastAsiaTheme="minorHAnsi"/>
          <w:lang w:eastAsia="en-US"/>
        </w:rPr>
        <w:t xml:space="preserve">autorskich </w:t>
      </w:r>
      <w:r w:rsidR="006B24E3" w:rsidRPr="009935E0">
        <w:rPr>
          <w:rFonts w:eastAsiaTheme="minorHAnsi"/>
          <w:lang w:eastAsia="en-US"/>
        </w:rPr>
        <w:t xml:space="preserve">na pracodawcę następuje </w:t>
      </w:r>
      <w:r w:rsidR="006B24E3" w:rsidRPr="009935E0">
        <w:rPr>
          <w:rFonts w:eastAsiaTheme="minorHAnsi"/>
          <w:i/>
          <w:lang w:eastAsia="en-US"/>
        </w:rPr>
        <w:t>ex lege</w:t>
      </w:r>
      <w:r w:rsidR="006B24E3" w:rsidRPr="009935E0">
        <w:rPr>
          <w:rFonts w:eastAsiaTheme="minorHAnsi"/>
          <w:lang w:eastAsia="en-US"/>
        </w:rPr>
        <w:t xml:space="preserve">, nie ma więc miejsca przeniesienie praw przez twórcę ani artystę wykonawcę. </w:t>
      </w:r>
    </w:p>
    <w:p w14:paraId="29955782" w14:textId="77777777" w:rsidR="00DD54CD" w:rsidRPr="009935E0" w:rsidRDefault="004D0563"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przypadku ograniczeń </w:t>
      </w:r>
      <w:r w:rsidR="00D70A0E" w:rsidRPr="009935E0">
        <w:rPr>
          <w:rFonts w:ascii="Times New Roman" w:hAnsi="Times New Roman" w:cs="Times New Roman"/>
          <w:sz w:val="24"/>
          <w:szCs w:val="24"/>
        </w:rPr>
        <w:t xml:space="preserve">obowiązku informacyjnego </w:t>
      </w:r>
      <w:r w:rsidRPr="009935E0">
        <w:rPr>
          <w:rFonts w:ascii="Times New Roman" w:hAnsi="Times New Roman" w:cs="Times New Roman"/>
          <w:sz w:val="24"/>
          <w:szCs w:val="24"/>
        </w:rPr>
        <w:t>ustanowionych w pro</w:t>
      </w:r>
      <w:r w:rsidR="002A4CB3" w:rsidRPr="009935E0">
        <w:rPr>
          <w:rFonts w:ascii="Times New Roman" w:hAnsi="Times New Roman" w:cs="Times New Roman"/>
          <w:sz w:val="24"/>
          <w:szCs w:val="24"/>
        </w:rPr>
        <w:t>jektowanym</w:t>
      </w:r>
      <w:r w:rsidRPr="009935E0">
        <w:rPr>
          <w:rFonts w:ascii="Times New Roman" w:hAnsi="Times New Roman" w:cs="Times New Roman"/>
          <w:sz w:val="24"/>
          <w:szCs w:val="24"/>
        </w:rPr>
        <w:t xml:space="preserve"> art. 47</w:t>
      </w:r>
      <w:r w:rsidR="00500B9A" w:rsidRPr="009935E0">
        <w:rPr>
          <w:rFonts w:ascii="Times New Roman" w:hAnsi="Times New Roman" w:cs="Times New Roman"/>
          <w:sz w:val="24"/>
          <w:szCs w:val="24"/>
        </w:rPr>
        <w:t>a</w:t>
      </w:r>
      <w:r w:rsidRPr="009935E0">
        <w:rPr>
          <w:rFonts w:ascii="Times New Roman" w:hAnsi="Times New Roman" w:cs="Times New Roman"/>
          <w:sz w:val="24"/>
          <w:szCs w:val="24"/>
          <w:vertAlign w:val="superscript"/>
        </w:rPr>
        <w:t xml:space="preserve"> </w:t>
      </w:r>
      <w:r w:rsidR="00A835A1" w:rsidRPr="009935E0">
        <w:rPr>
          <w:rFonts w:ascii="Times New Roman" w:hAnsi="Times New Roman" w:cs="Times New Roman"/>
          <w:sz w:val="24"/>
          <w:szCs w:val="24"/>
        </w:rPr>
        <w:t>ust. 4 i 5</w:t>
      </w:r>
      <w:r w:rsidRPr="009935E0">
        <w:rPr>
          <w:rFonts w:ascii="Times New Roman" w:hAnsi="Times New Roman" w:cs="Times New Roman"/>
          <w:sz w:val="24"/>
          <w:szCs w:val="24"/>
        </w:rPr>
        <w:t xml:space="preserve"> </w:t>
      </w:r>
      <w:r w:rsidR="00FB3454" w:rsidRPr="009935E0">
        <w:rPr>
          <w:rFonts w:ascii="Times New Roman" w:hAnsi="Times New Roman" w:cs="Times New Roman"/>
          <w:sz w:val="24"/>
          <w:szCs w:val="24"/>
        </w:rPr>
        <w:t xml:space="preserve">ustawy o prawie autorskim </w:t>
      </w:r>
      <w:r w:rsidR="00D70A0E" w:rsidRPr="009935E0">
        <w:rPr>
          <w:rFonts w:ascii="Times New Roman" w:hAnsi="Times New Roman" w:cs="Times New Roman"/>
          <w:sz w:val="24"/>
          <w:szCs w:val="24"/>
        </w:rPr>
        <w:t>nie wydaje się zasadne</w:t>
      </w:r>
      <w:r w:rsidRPr="009935E0">
        <w:rPr>
          <w:rFonts w:ascii="Times New Roman" w:hAnsi="Times New Roman" w:cs="Times New Roman"/>
          <w:sz w:val="24"/>
          <w:szCs w:val="24"/>
        </w:rPr>
        <w:t xml:space="preserve"> wskaz</w:t>
      </w:r>
      <w:r w:rsidR="00B15537" w:rsidRPr="009935E0">
        <w:rPr>
          <w:rFonts w:ascii="Times New Roman" w:hAnsi="Times New Roman" w:cs="Times New Roman"/>
          <w:sz w:val="24"/>
          <w:szCs w:val="24"/>
        </w:rPr>
        <w:t>yw</w:t>
      </w:r>
      <w:r w:rsidRPr="009935E0">
        <w:rPr>
          <w:rFonts w:ascii="Times New Roman" w:hAnsi="Times New Roman" w:cs="Times New Roman"/>
          <w:sz w:val="24"/>
          <w:szCs w:val="24"/>
        </w:rPr>
        <w:t xml:space="preserve">anie </w:t>
      </w:r>
      <w:r w:rsidR="00021C9A" w:rsidRPr="009935E0">
        <w:rPr>
          <w:rFonts w:ascii="Times New Roman" w:hAnsi="Times New Roman" w:cs="Times New Roman"/>
          <w:sz w:val="24"/>
          <w:szCs w:val="24"/>
        </w:rPr>
        <w:t xml:space="preserve">na poziomie ustawowym </w:t>
      </w:r>
      <w:r w:rsidRPr="009935E0">
        <w:rPr>
          <w:rFonts w:ascii="Times New Roman" w:hAnsi="Times New Roman" w:cs="Times New Roman"/>
          <w:sz w:val="24"/>
          <w:szCs w:val="24"/>
        </w:rPr>
        <w:t xml:space="preserve">konkretnych przypadków, w których należy przyjąć, że występują okoliczności wskazane w </w:t>
      </w:r>
      <w:r w:rsidR="00B15537" w:rsidRPr="009935E0">
        <w:rPr>
          <w:rFonts w:ascii="Times New Roman" w:hAnsi="Times New Roman" w:cs="Times New Roman"/>
          <w:sz w:val="24"/>
          <w:szCs w:val="24"/>
        </w:rPr>
        <w:t>tych</w:t>
      </w:r>
      <w:r w:rsidR="00301D3D" w:rsidRPr="009935E0">
        <w:rPr>
          <w:rFonts w:ascii="Times New Roman" w:hAnsi="Times New Roman" w:cs="Times New Roman"/>
          <w:sz w:val="24"/>
          <w:szCs w:val="24"/>
        </w:rPr>
        <w:t xml:space="preserve"> przepisach. Należy</w:t>
      </w:r>
      <w:r w:rsidRPr="009935E0">
        <w:rPr>
          <w:rFonts w:ascii="Times New Roman" w:hAnsi="Times New Roman" w:cs="Times New Roman"/>
          <w:sz w:val="24"/>
          <w:szCs w:val="24"/>
        </w:rPr>
        <w:t xml:space="preserve"> zgodzić </w:t>
      </w:r>
      <w:r w:rsidR="00301D3D" w:rsidRPr="009935E0">
        <w:rPr>
          <w:rFonts w:ascii="Times New Roman" w:hAnsi="Times New Roman" w:cs="Times New Roman"/>
          <w:sz w:val="24"/>
          <w:szCs w:val="24"/>
        </w:rPr>
        <w:t xml:space="preserve">się </w:t>
      </w:r>
      <w:r w:rsidRPr="009935E0">
        <w:rPr>
          <w:rFonts w:ascii="Times New Roman" w:hAnsi="Times New Roman" w:cs="Times New Roman"/>
          <w:sz w:val="24"/>
          <w:szCs w:val="24"/>
        </w:rPr>
        <w:t>z wyrażonymi we wstępnych konsultacjach</w:t>
      </w:r>
      <w:r w:rsidR="00B15537" w:rsidRPr="009935E0">
        <w:rPr>
          <w:rFonts w:ascii="Times New Roman" w:hAnsi="Times New Roman" w:cs="Times New Roman"/>
          <w:sz w:val="24"/>
          <w:szCs w:val="24"/>
        </w:rPr>
        <w:t xml:space="preserve"> publicznych dyrektywy</w:t>
      </w:r>
      <w:r w:rsidRPr="009935E0">
        <w:rPr>
          <w:rFonts w:ascii="Times New Roman" w:hAnsi="Times New Roman" w:cs="Times New Roman"/>
          <w:sz w:val="24"/>
          <w:szCs w:val="24"/>
        </w:rPr>
        <w:t xml:space="preserve"> ob</w:t>
      </w:r>
      <w:r w:rsidR="00E16567" w:rsidRPr="009935E0">
        <w:rPr>
          <w:rFonts w:ascii="Times New Roman" w:hAnsi="Times New Roman" w:cs="Times New Roman"/>
          <w:sz w:val="24"/>
          <w:szCs w:val="24"/>
        </w:rPr>
        <w:t>awami, że rozwiązanie takie nie byłoby</w:t>
      </w:r>
      <w:r w:rsidRPr="009935E0">
        <w:rPr>
          <w:rFonts w:ascii="Times New Roman" w:hAnsi="Times New Roman" w:cs="Times New Roman"/>
          <w:sz w:val="24"/>
          <w:szCs w:val="24"/>
        </w:rPr>
        <w:t xml:space="preserve"> wystarczająco elastyczne, a w wielu przypadkach </w:t>
      </w:r>
      <w:r w:rsidR="00B15537" w:rsidRPr="009935E0">
        <w:rPr>
          <w:rFonts w:ascii="Times New Roman" w:hAnsi="Times New Roman" w:cs="Times New Roman"/>
          <w:sz w:val="24"/>
          <w:szCs w:val="24"/>
        </w:rPr>
        <w:t xml:space="preserve">stosowna </w:t>
      </w:r>
      <w:r w:rsidRPr="009935E0">
        <w:rPr>
          <w:rFonts w:ascii="Times New Roman" w:hAnsi="Times New Roman" w:cs="Times New Roman"/>
          <w:sz w:val="24"/>
          <w:szCs w:val="24"/>
        </w:rPr>
        <w:t xml:space="preserve">ocena powinna być dokonywana </w:t>
      </w:r>
      <w:r w:rsidR="00B15537" w:rsidRPr="009935E0">
        <w:rPr>
          <w:rFonts w:ascii="Times New Roman" w:hAnsi="Times New Roman" w:cs="Times New Roman"/>
          <w:sz w:val="24"/>
          <w:szCs w:val="24"/>
        </w:rPr>
        <w:t>indywidualnie w okolicznościach konkretnej sprawy.</w:t>
      </w:r>
    </w:p>
    <w:p w14:paraId="110B6352" w14:textId="1054FC9F" w:rsidR="00343B46" w:rsidRPr="009935E0" w:rsidRDefault="00343B46" w:rsidP="00483092">
      <w:pPr>
        <w:pStyle w:val="Akapitzlist"/>
        <w:numPr>
          <w:ilvl w:val="1"/>
          <w:numId w:val="8"/>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Klauzula „bestsellerowa”</w:t>
      </w:r>
      <w:r w:rsidR="008256F5" w:rsidRPr="009935E0">
        <w:rPr>
          <w:rFonts w:ascii="Times New Roman" w:hAnsi="Times New Roman" w:cs="Times New Roman"/>
          <w:b/>
          <w:sz w:val="24"/>
          <w:szCs w:val="24"/>
        </w:rPr>
        <w:t xml:space="preserve"> (art. 20 dyrektywy</w:t>
      </w:r>
      <w:r w:rsidR="00FB3454" w:rsidRPr="009935E0">
        <w:rPr>
          <w:rFonts w:ascii="Times New Roman" w:hAnsi="Times New Roman" w:cs="Times New Roman"/>
          <w:b/>
          <w:sz w:val="24"/>
          <w:szCs w:val="24"/>
        </w:rPr>
        <w:t xml:space="preserve"> DSM</w:t>
      </w:r>
      <w:r w:rsidR="008256F5" w:rsidRPr="009935E0">
        <w:rPr>
          <w:rFonts w:ascii="Times New Roman" w:hAnsi="Times New Roman" w:cs="Times New Roman"/>
          <w:b/>
          <w:sz w:val="24"/>
          <w:szCs w:val="24"/>
        </w:rPr>
        <w:t>)</w:t>
      </w:r>
    </w:p>
    <w:p w14:paraId="7CEDED5E" w14:textId="77777777" w:rsidR="00343B46" w:rsidRPr="009935E0" w:rsidRDefault="00C21A3B"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lastRenderedPageBreak/>
        <w:t>Art. 20 dyrektywy</w:t>
      </w:r>
      <w:r w:rsidR="00343B46" w:rsidRPr="009935E0">
        <w:rPr>
          <w:rFonts w:ascii="Times New Roman" w:hAnsi="Times New Roman" w:cs="Times New Roman"/>
          <w:color w:val="000000" w:themeColor="text1"/>
          <w:sz w:val="24"/>
          <w:szCs w:val="24"/>
        </w:rPr>
        <w:t xml:space="preserve"> nakazuje państwom członkowskim wprowadzenie mechanizmów, w oparciu o które twórcy</w:t>
      </w:r>
      <w:r w:rsidR="00907913" w:rsidRPr="009935E0">
        <w:rPr>
          <w:rFonts w:ascii="Times New Roman" w:hAnsi="Times New Roman" w:cs="Times New Roman"/>
          <w:color w:val="000000" w:themeColor="text1"/>
          <w:sz w:val="24"/>
          <w:szCs w:val="24"/>
        </w:rPr>
        <w:t xml:space="preserve"> i wykonawcy</w:t>
      </w:r>
      <w:r w:rsidR="00343B46" w:rsidRPr="009935E0">
        <w:rPr>
          <w:rFonts w:ascii="Times New Roman" w:hAnsi="Times New Roman" w:cs="Times New Roman"/>
          <w:color w:val="000000" w:themeColor="text1"/>
          <w:sz w:val="24"/>
          <w:szCs w:val="24"/>
        </w:rPr>
        <w:t xml:space="preserve"> będą mogli żądać od </w:t>
      </w:r>
      <w:r w:rsidR="00907913" w:rsidRPr="009935E0">
        <w:rPr>
          <w:rFonts w:ascii="Times New Roman" w:hAnsi="Times New Roman" w:cs="Times New Roman"/>
          <w:color w:val="000000" w:themeColor="text1"/>
          <w:sz w:val="24"/>
          <w:szCs w:val="24"/>
        </w:rPr>
        <w:t>swoich kontrahentów i</w:t>
      </w:r>
      <w:r w:rsidR="00870FB9" w:rsidRPr="009935E0">
        <w:rPr>
          <w:rFonts w:ascii="Times New Roman" w:hAnsi="Times New Roman" w:cs="Times New Roman"/>
          <w:color w:val="000000" w:themeColor="text1"/>
          <w:sz w:val="24"/>
          <w:szCs w:val="24"/>
        </w:rPr>
        <w:t xml:space="preserve"> ich następców prawnych</w:t>
      </w:r>
      <w:r w:rsidR="00343B46" w:rsidRPr="009935E0">
        <w:rPr>
          <w:rFonts w:ascii="Times New Roman" w:hAnsi="Times New Roman" w:cs="Times New Roman"/>
          <w:color w:val="000000" w:themeColor="text1"/>
          <w:sz w:val="24"/>
          <w:szCs w:val="24"/>
        </w:rPr>
        <w:t xml:space="preserve"> </w:t>
      </w:r>
      <w:r w:rsidR="00907913" w:rsidRPr="009935E0">
        <w:rPr>
          <w:rFonts w:ascii="Times New Roman" w:hAnsi="Times New Roman" w:cs="Times New Roman"/>
          <w:color w:val="000000" w:themeColor="text1"/>
          <w:sz w:val="24"/>
          <w:szCs w:val="24"/>
        </w:rPr>
        <w:t>„</w:t>
      </w:r>
      <w:r w:rsidR="00343B46" w:rsidRPr="009935E0">
        <w:rPr>
          <w:rFonts w:ascii="Times New Roman" w:hAnsi="Times New Roman" w:cs="Times New Roman"/>
          <w:color w:val="000000" w:themeColor="text1"/>
          <w:sz w:val="24"/>
          <w:szCs w:val="24"/>
        </w:rPr>
        <w:t>odpowiedniego i godziwego</w:t>
      </w:r>
      <w:r w:rsidR="00907913" w:rsidRPr="009935E0">
        <w:rPr>
          <w:rFonts w:ascii="Times New Roman" w:hAnsi="Times New Roman" w:cs="Times New Roman"/>
          <w:color w:val="000000" w:themeColor="text1"/>
          <w:sz w:val="24"/>
          <w:szCs w:val="24"/>
        </w:rPr>
        <w:t>”</w:t>
      </w:r>
      <w:r w:rsidR="00343B46" w:rsidRPr="009935E0">
        <w:rPr>
          <w:rFonts w:ascii="Times New Roman" w:hAnsi="Times New Roman" w:cs="Times New Roman"/>
          <w:color w:val="000000" w:themeColor="text1"/>
          <w:sz w:val="24"/>
          <w:szCs w:val="24"/>
        </w:rPr>
        <w:t xml:space="preserve"> wynagrodzenia, jeżeli </w:t>
      </w:r>
      <w:r w:rsidR="00907913" w:rsidRPr="009935E0">
        <w:rPr>
          <w:rFonts w:ascii="Times New Roman" w:hAnsi="Times New Roman" w:cs="Times New Roman"/>
          <w:color w:val="000000" w:themeColor="text1"/>
          <w:sz w:val="24"/>
          <w:szCs w:val="24"/>
        </w:rPr>
        <w:t xml:space="preserve">to </w:t>
      </w:r>
      <w:r w:rsidR="00343B46" w:rsidRPr="009935E0">
        <w:rPr>
          <w:rFonts w:ascii="Times New Roman" w:hAnsi="Times New Roman" w:cs="Times New Roman"/>
          <w:color w:val="000000" w:themeColor="text1"/>
          <w:sz w:val="24"/>
          <w:szCs w:val="24"/>
        </w:rPr>
        <w:t xml:space="preserve">pierwotnie uzgodnione </w:t>
      </w:r>
      <w:r w:rsidR="007E5FD5" w:rsidRPr="009935E0">
        <w:rPr>
          <w:rFonts w:ascii="Times New Roman" w:hAnsi="Times New Roman" w:cs="Times New Roman"/>
          <w:color w:val="000000" w:themeColor="text1"/>
          <w:sz w:val="24"/>
          <w:szCs w:val="24"/>
        </w:rPr>
        <w:t xml:space="preserve">okaże się </w:t>
      </w:r>
      <w:r w:rsidR="00343B46" w:rsidRPr="009935E0">
        <w:rPr>
          <w:rFonts w:ascii="Times New Roman" w:hAnsi="Times New Roman" w:cs="Times New Roman"/>
          <w:color w:val="000000" w:themeColor="text1"/>
          <w:sz w:val="24"/>
          <w:szCs w:val="24"/>
        </w:rPr>
        <w:t xml:space="preserve">niewspółmiernie niskie w porównaniu do wszystkich późniejszych przychodów uzyskiwanych </w:t>
      </w:r>
      <w:r w:rsidR="007E5FD5" w:rsidRPr="009935E0">
        <w:rPr>
          <w:rFonts w:ascii="Times New Roman" w:hAnsi="Times New Roman" w:cs="Times New Roman"/>
          <w:color w:val="000000" w:themeColor="text1"/>
          <w:sz w:val="24"/>
          <w:szCs w:val="24"/>
        </w:rPr>
        <w:t>z eksploatacji utworu lub wykonania</w:t>
      </w:r>
      <w:r w:rsidR="00343B46" w:rsidRPr="009935E0">
        <w:rPr>
          <w:rFonts w:ascii="Times New Roman" w:hAnsi="Times New Roman" w:cs="Times New Roman"/>
          <w:color w:val="000000" w:themeColor="text1"/>
          <w:sz w:val="24"/>
          <w:szCs w:val="24"/>
        </w:rPr>
        <w:t xml:space="preserve">. </w:t>
      </w:r>
      <w:r w:rsidRPr="009935E0">
        <w:rPr>
          <w:rFonts w:ascii="Times New Roman" w:hAnsi="Times New Roman" w:cs="Times New Roman"/>
          <w:color w:val="000000" w:themeColor="text1"/>
          <w:sz w:val="24"/>
          <w:szCs w:val="24"/>
        </w:rPr>
        <w:t>W motywach dyrektywy</w:t>
      </w:r>
      <w:r w:rsidR="00343B46" w:rsidRPr="009935E0">
        <w:rPr>
          <w:rFonts w:ascii="Times New Roman" w:hAnsi="Times New Roman" w:cs="Times New Roman"/>
          <w:color w:val="000000" w:themeColor="text1"/>
          <w:sz w:val="24"/>
          <w:szCs w:val="24"/>
        </w:rPr>
        <w:t xml:space="preserve"> zwraca</w:t>
      </w:r>
      <w:r w:rsidRPr="009935E0">
        <w:rPr>
          <w:rFonts w:ascii="Times New Roman" w:hAnsi="Times New Roman" w:cs="Times New Roman"/>
          <w:color w:val="000000" w:themeColor="text1"/>
          <w:sz w:val="24"/>
          <w:szCs w:val="24"/>
        </w:rPr>
        <w:t xml:space="preserve"> się</w:t>
      </w:r>
      <w:r w:rsidR="00343B46" w:rsidRPr="009935E0">
        <w:rPr>
          <w:rFonts w:ascii="Times New Roman" w:hAnsi="Times New Roman" w:cs="Times New Roman"/>
          <w:color w:val="000000" w:themeColor="text1"/>
          <w:sz w:val="24"/>
          <w:szCs w:val="24"/>
        </w:rPr>
        <w:t xml:space="preserve"> uwagę, że niektóre </w:t>
      </w:r>
      <w:r w:rsidR="00343B46" w:rsidRPr="009935E0">
        <w:rPr>
          <w:rFonts w:ascii="Times New Roman" w:hAnsi="Times New Roman" w:cs="Times New Roman"/>
          <w:sz w:val="24"/>
          <w:szCs w:val="24"/>
        </w:rPr>
        <w:t>umowy o eksploatację praw są zawierane na długie okresy i oferują niewiele możliwości ich renegocjowania</w:t>
      </w:r>
      <w:r w:rsidR="00907913" w:rsidRPr="009935E0">
        <w:rPr>
          <w:rFonts w:ascii="Times New Roman" w:hAnsi="Times New Roman" w:cs="Times New Roman"/>
          <w:sz w:val="24"/>
          <w:szCs w:val="24"/>
        </w:rPr>
        <w:t xml:space="preserve"> </w:t>
      </w:r>
      <w:r w:rsidR="00343B46" w:rsidRPr="009935E0">
        <w:rPr>
          <w:rFonts w:ascii="Times New Roman" w:hAnsi="Times New Roman" w:cs="Times New Roman"/>
          <w:sz w:val="24"/>
          <w:szCs w:val="24"/>
        </w:rPr>
        <w:t>w przypadku</w:t>
      </w:r>
      <w:r w:rsidR="00907913" w:rsidRPr="009935E0">
        <w:rPr>
          <w:rFonts w:ascii="Times New Roman" w:hAnsi="Times New Roman" w:cs="Times New Roman"/>
          <w:sz w:val="24"/>
          <w:szCs w:val="24"/>
        </w:rPr>
        <w:t>,</w:t>
      </w:r>
      <w:r w:rsidR="00343B46" w:rsidRPr="009935E0">
        <w:rPr>
          <w:rFonts w:ascii="Times New Roman" w:hAnsi="Times New Roman" w:cs="Times New Roman"/>
          <w:sz w:val="24"/>
          <w:szCs w:val="24"/>
        </w:rPr>
        <w:t xml:space="preserve"> gdy wartość majątkowa </w:t>
      </w:r>
      <w:r w:rsidR="007E5FD5" w:rsidRPr="009935E0">
        <w:rPr>
          <w:rFonts w:ascii="Times New Roman" w:hAnsi="Times New Roman" w:cs="Times New Roman"/>
          <w:sz w:val="24"/>
          <w:szCs w:val="24"/>
        </w:rPr>
        <w:t xml:space="preserve">eksploatowanych </w:t>
      </w:r>
      <w:r w:rsidR="00343B46" w:rsidRPr="009935E0">
        <w:rPr>
          <w:rFonts w:ascii="Times New Roman" w:hAnsi="Times New Roman" w:cs="Times New Roman"/>
          <w:sz w:val="24"/>
          <w:szCs w:val="24"/>
        </w:rPr>
        <w:t xml:space="preserve">praw okazuje się być znacznie wyższa niż wartość szacowana pierwotnie. </w:t>
      </w:r>
      <w:r w:rsidR="007E5FD5" w:rsidRPr="009935E0">
        <w:rPr>
          <w:rFonts w:ascii="Times New Roman" w:hAnsi="Times New Roman" w:cs="Times New Roman"/>
          <w:sz w:val="24"/>
          <w:szCs w:val="24"/>
        </w:rPr>
        <w:t>W</w:t>
      </w:r>
      <w:r w:rsidR="00343B46" w:rsidRPr="009935E0">
        <w:rPr>
          <w:rFonts w:ascii="Times New Roman" w:hAnsi="Times New Roman" w:cs="Times New Roman"/>
          <w:sz w:val="24"/>
          <w:szCs w:val="24"/>
        </w:rPr>
        <w:t xml:space="preserve"> odpowiedzi na to zjawisko </w:t>
      </w:r>
      <w:r w:rsidR="007E5FD5" w:rsidRPr="009935E0">
        <w:rPr>
          <w:rFonts w:ascii="Times New Roman" w:hAnsi="Times New Roman" w:cs="Times New Roman"/>
          <w:sz w:val="24"/>
          <w:szCs w:val="24"/>
        </w:rPr>
        <w:t xml:space="preserve">dyrektywa nakazuje wprowadzić odpowiedni </w:t>
      </w:r>
      <w:r w:rsidR="00343B46" w:rsidRPr="009935E0">
        <w:rPr>
          <w:rFonts w:ascii="Times New Roman" w:hAnsi="Times New Roman" w:cs="Times New Roman"/>
          <w:sz w:val="24"/>
          <w:szCs w:val="24"/>
        </w:rPr>
        <w:t>mec</w:t>
      </w:r>
      <w:r w:rsidR="00907913" w:rsidRPr="009935E0">
        <w:rPr>
          <w:rFonts w:ascii="Times New Roman" w:hAnsi="Times New Roman" w:cs="Times New Roman"/>
          <w:sz w:val="24"/>
          <w:szCs w:val="24"/>
        </w:rPr>
        <w:t xml:space="preserve">hanizm </w:t>
      </w:r>
      <w:r w:rsidR="007E5FD5" w:rsidRPr="009935E0">
        <w:rPr>
          <w:rFonts w:ascii="Times New Roman" w:hAnsi="Times New Roman" w:cs="Times New Roman"/>
          <w:sz w:val="24"/>
          <w:szCs w:val="24"/>
        </w:rPr>
        <w:t xml:space="preserve">podwyższenia </w:t>
      </w:r>
      <w:r w:rsidR="00907913" w:rsidRPr="009935E0">
        <w:rPr>
          <w:rFonts w:ascii="Times New Roman" w:hAnsi="Times New Roman" w:cs="Times New Roman"/>
          <w:sz w:val="24"/>
          <w:szCs w:val="24"/>
        </w:rPr>
        <w:t>wynagrodzenia</w:t>
      </w:r>
      <w:r w:rsidR="00343B46" w:rsidRPr="009935E0">
        <w:rPr>
          <w:rFonts w:ascii="Times New Roman" w:hAnsi="Times New Roman" w:cs="Times New Roman"/>
          <w:sz w:val="24"/>
          <w:szCs w:val="24"/>
        </w:rPr>
        <w:t xml:space="preserve"> (motyw 78</w:t>
      </w:r>
      <w:r w:rsidR="00FB3454" w:rsidRPr="009935E0">
        <w:rPr>
          <w:rFonts w:ascii="Times New Roman" w:hAnsi="Times New Roman" w:cs="Times New Roman"/>
          <w:sz w:val="24"/>
          <w:szCs w:val="24"/>
        </w:rPr>
        <w:t xml:space="preserve"> dyrektywy</w:t>
      </w:r>
      <w:r w:rsidR="00343B46" w:rsidRPr="009935E0">
        <w:rPr>
          <w:rFonts w:ascii="Times New Roman" w:hAnsi="Times New Roman" w:cs="Times New Roman"/>
          <w:sz w:val="24"/>
          <w:szCs w:val="24"/>
        </w:rPr>
        <w:t>).</w:t>
      </w:r>
    </w:p>
    <w:p w14:paraId="4EB83246" w14:textId="2CFEA466" w:rsidR="00252B45" w:rsidRPr="009935E0" w:rsidRDefault="00343B46"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 xml:space="preserve">Omawiany mechanizm, określany jako tzw. klauzula bestsellerowa, istnieje już w polskim porządku prawnym. Zgodnie z obecnym brzmieniem art. 44 ustawy o prawie autorskim w razie rażącej dysproporcji między wynagrodzeniem twórcy a korzyściami nabywcy autorskich praw majątkowych lub licencjobiorcy twórca może żądać stosownego podwyższenia wynagrodzenia przez sąd. </w:t>
      </w:r>
    </w:p>
    <w:p w14:paraId="0B6D7C7A" w14:textId="0794C0ED" w:rsidR="00343B46" w:rsidRPr="009935E0" w:rsidRDefault="00343B46"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 xml:space="preserve">Dodatkowo dyrektywa wyłącza w art. 20 ust. 2 stosowanie klauzuli bestsellerowej w odniesieniu do umów zawieranych przez podmioty, o których mowa w art. 3 lit. a </w:t>
      </w:r>
      <w:r w:rsidR="00AA6688" w:rsidRPr="009935E0">
        <w:rPr>
          <w:rFonts w:ascii="Times New Roman" w:hAnsi="Times New Roman" w:cs="Times New Roman"/>
          <w:color w:val="000000" w:themeColor="text1"/>
          <w:sz w:val="24"/>
          <w:szCs w:val="24"/>
        </w:rPr>
        <w:t>i b dyrektywy 2014/26/UE, tj.</w:t>
      </w:r>
      <w:r w:rsidRPr="009935E0">
        <w:rPr>
          <w:rFonts w:ascii="Times New Roman" w:hAnsi="Times New Roman" w:cs="Times New Roman"/>
          <w:color w:val="000000" w:themeColor="text1"/>
          <w:sz w:val="24"/>
          <w:szCs w:val="24"/>
        </w:rPr>
        <w:t xml:space="preserve"> odpowiednio organizacje zbiorowego zarządzania i niezależne podmioty zarządzające. Dyrektywa daje zatem pierwszeństwo umowom zbiorowym</w:t>
      </w:r>
      <w:r w:rsidRPr="009935E0">
        <w:rPr>
          <w:rStyle w:val="Odwoanieprzypisudolnego"/>
          <w:rFonts w:ascii="Times New Roman" w:hAnsi="Times New Roman" w:cs="Times New Roman"/>
          <w:color w:val="000000" w:themeColor="text1"/>
          <w:sz w:val="24"/>
          <w:szCs w:val="24"/>
        </w:rPr>
        <w:footnoteReference w:id="52"/>
      </w:r>
      <w:r w:rsidR="00214723" w:rsidRPr="00483092">
        <w:rPr>
          <w:rFonts w:ascii="Times New Roman" w:hAnsi="Times New Roman" w:cs="Times New Roman"/>
          <w:color w:val="000000" w:themeColor="text1"/>
          <w:sz w:val="24"/>
          <w:szCs w:val="24"/>
          <w:vertAlign w:val="superscript"/>
        </w:rPr>
        <w:t>)</w:t>
      </w:r>
      <w:r w:rsidRPr="009935E0">
        <w:rPr>
          <w:rFonts w:ascii="Times New Roman" w:hAnsi="Times New Roman" w:cs="Times New Roman"/>
          <w:color w:val="000000" w:themeColor="text1"/>
          <w:sz w:val="24"/>
          <w:szCs w:val="24"/>
        </w:rPr>
        <w:t xml:space="preserve">. Z uwagi na powyższe konieczne jest dodanie w art. 44 </w:t>
      </w:r>
      <w:r w:rsidR="00AA6688" w:rsidRPr="009935E0">
        <w:rPr>
          <w:rFonts w:ascii="Times New Roman" w:hAnsi="Times New Roman" w:cs="Times New Roman"/>
          <w:color w:val="000000" w:themeColor="text1"/>
          <w:sz w:val="24"/>
          <w:szCs w:val="24"/>
        </w:rPr>
        <w:t>ustawy o prawie autorskim przepisu ust. 2, który wyłączy</w:t>
      </w:r>
      <w:r w:rsidRPr="009935E0">
        <w:rPr>
          <w:rFonts w:ascii="Times New Roman" w:hAnsi="Times New Roman" w:cs="Times New Roman"/>
          <w:color w:val="000000" w:themeColor="text1"/>
          <w:sz w:val="24"/>
          <w:szCs w:val="24"/>
        </w:rPr>
        <w:t xml:space="preserve"> stosowanie omawianej klauzuli w odniesieniu do umów </w:t>
      </w:r>
      <w:r w:rsidR="00AA6688" w:rsidRPr="009935E0">
        <w:rPr>
          <w:rFonts w:ascii="Times New Roman" w:hAnsi="Times New Roman" w:cs="Times New Roman"/>
          <w:color w:val="000000" w:themeColor="text1"/>
          <w:sz w:val="24"/>
          <w:szCs w:val="24"/>
        </w:rPr>
        <w:t xml:space="preserve">zawieranych </w:t>
      </w:r>
      <w:r w:rsidR="00622F35" w:rsidRPr="009935E0">
        <w:rPr>
          <w:rFonts w:ascii="Times New Roman" w:hAnsi="Times New Roman" w:cs="Times New Roman"/>
          <w:color w:val="000000" w:themeColor="text1"/>
          <w:sz w:val="24"/>
          <w:szCs w:val="24"/>
        </w:rPr>
        <w:t>przez te podmioty.</w:t>
      </w:r>
    </w:p>
    <w:p w14:paraId="611F840C" w14:textId="276C0C59" w:rsidR="00343B46" w:rsidRPr="009935E0" w:rsidRDefault="00343B46" w:rsidP="00483092">
      <w:pPr>
        <w:pStyle w:val="Akapitzlist"/>
        <w:numPr>
          <w:ilvl w:val="1"/>
          <w:numId w:val="8"/>
        </w:numPr>
        <w:tabs>
          <w:tab w:val="left" w:pos="426"/>
        </w:tabs>
        <w:spacing w:before="120" w:after="0" w:line="360" w:lineRule="auto"/>
        <w:ind w:left="0" w:firstLine="0"/>
        <w:jc w:val="both"/>
        <w:rPr>
          <w:rFonts w:ascii="Times New Roman" w:hAnsi="Times New Roman" w:cs="Times New Roman"/>
          <w:b/>
          <w:color w:val="000000" w:themeColor="text1"/>
          <w:sz w:val="24"/>
          <w:szCs w:val="24"/>
        </w:rPr>
      </w:pPr>
      <w:r w:rsidRPr="009935E0">
        <w:rPr>
          <w:rFonts w:ascii="Times New Roman" w:hAnsi="Times New Roman" w:cs="Times New Roman"/>
          <w:b/>
          <w:color w:val="000000" w:themeColor="text1"/>
          <w:sz w:val="24"/>
          <w:szCs w:val="24"/>
        </w:rPr>
        <w:t xml:space="preserve">Alternatywna </w:t>
      </w:r>
      <w:r w:rsidR="00AA6688" w:rsidRPr="009935E0">
        <w:rPr>
          <w:rFonts w:ascii="Times New Roman" w:hAnsi="Times New Roman" w:cs="Times New Roman"/>
          <w:b/>
          <w:color w:val="000000" w:themeColor="text1"/>
          <w:sz w:val="24"/>
          <w:szCs w:val="24"/>
        </w:rPr>
        <w:t>procedura rozstrzygania s</w:t>
      </w:r>
      <w:r w:rsidRPr="009935E0">
        <w:rPr>
          <w:rFonts w:ascii="Times New Roman" w:hAnsi="Times New Roman" w:cs="Times New Roman"/>
          <w:b/>
          <w:color w:val="000000" w:themeColor="text1"/>
          <w:sz w:val="24"/>
          <w:szCs w:val="24"/>
        </w:rPr>
        <w:t>porów</w:t>
      </w:r>
      <w:r w:rsidR="003B4D5C" w:rsidRPr="009935E0">
        <w:rPr>
          <w:rFonts w:ascii="Times New Roman" w:hAnsi="Times New Roman" w:cs="Times New Roman"/>
          <w:b/>
          <w:color w:val="000000" w:themeColor="text1"/>
          <w:sz w:val="24"/>
          <w:szCs w:val="24"/>
        </w:rPr>
        <w:t xml:space="preserve"> (art. 21 dyrektywy</w:t>
      </w:r>
      <w:r w:rsidR="00F55C5E" w:rsidRPr="009935E0">
        <w:rPr>
          <w:rFonts w:ascii="Times New Roman" w:hAnsi="Times New Roman" w:cs="Times New Roman"/>
          <w:b/>
          <w:color w:val="000000" w:themeColor="text1"/>
          <w:sz w:val="24"/>
          <w:szCs w:val="24"/>
        </w:rPr>
        <w:t xml:space="preserve"> DSM</w:t>
      </w:r>
      <w:r w:rsidR="003B4D5C" w:rsidRPr="009935E0">
        <w:rPr>
          <w:rFonts w:ascii="Times New Roman" w:hAnsi="Times New Roman" w:cs="Times New Roman"/>
          <w:b/>
          <w:color w:val="000000" w:themeColor="text1"/>
          <w:sz w:val="24"/>
          <w:szCs w:val="24"/>
        </w:rPr>
        <w:t>)</w:t>
      </w:r>
    </w:p>
    <w:p w14:paraId="11199CFA" w14:textId="77777777" w:rsidR="00343B46" w:rsidRPr="009935E0" w:rsidRDefault="00343B46"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A</w:t>
      </w:r>
      <w:r w:rsidR="002C03B8" w:rsidRPr="009935E0">
        <w:rPr>
          <w:rFonts w:ascii="Times New Roman" w:hAnsi="Times New Roman" w:cs="Times New Roman"/>
          <w:color w:val="000000" w:themeColor="text1"/>
          <w:sz w:val="24"/>
          <w:szCs w:val="24"/>
        </w:rPr>
        <w:t xml:space="preserve">rt. 21 dyrektywy </w:t>
      </w:r>
      <w:r w:rsidR="00E84372" w:rsidRPr="009935E0">
        <w:rPr>
          <w:rFonts w:ascii="Times New Roman" w:hAnsi="Times New Roman" w:cs="Times New Roman"/>
          <w:color w:val="000000" w:themeColor="text1"/>
          <w:sz w:val="24"/>
          <w:szCs w:val="24"/>
        </w:rPr>
        <w:t xml:space="preserve">DSM </w:t>
      </w:r>
      <w:r w:rsidRPr="009935E0">
        <w:rPr>
          <w:rFonts w:ascii="Times New Roman" w:hAnsi="Times New Roman" w:cs="Times New Roman"/>
          <w:color w:val="000000" w:themeColor="text1"/>
          <w:sz w:val="24"/>
          <w:szCs w:val="24"/>
        </w:rPr>
        <w:t xml:space="preserve">nakłada na państwa członkowskie obowiązek wprowadzenia mechanizmu rozstrzygania sporów dotyczących wymogu przejrzystości </w:t>
      </w:r>
      <w:r w:rsidR="002C03B8" w:rsidRPr="009935E0">
        <w:rPr>
          <w:rFonts w:ascii="Times New Roman" w:hAnsi="Times New Roman" w:cs="Times New Roman"/>
          <w:color w:val="000000" w:themeColor="text1"/>
          <w:sz w:val="24"/>
          <w:szCs w:val="24"/>
        </w:rPr>
        <w:t xml:space="preserve">(art. 19 dyrektywy) </w:t>
      </w:r>
      <w:r w:rsidRPr="009935E0">
        <w:rPr>
          <w:rFonts w:ascii="Times New Roman" w:hAnsi="Times New Roman" w:cs="Times New Roman"/>
          <w:color w:val="000000" w:themeColor="text1"/>
          <w:sz w:val="24"/>
          <w:szCs w:val="24"/>
        </w:rPr>
        <w:t xml:space="preserve">oraz klauzuli bestsellerowej </w:t>
      </w:r>
      <w:r w:rsidR="002C03B8" w:rsidRPr="009935E0">
        <w:rPr>
          <w:rFonts w:ascii="Times New Roman" w:hAnsi="Times New Roman" w:cs="Times New Roman"/>
          <w:color w:val="000000" w:themeColor="text1"/>
          <w:sz w:val="24"/>
          <w:szCs w:val="24"/>
        </w:rPr>
        <w:t xml:space="preserve">(art. 20 dyrektywy) </w:t>
      </w:r>
      <w:r w:rsidRPr="009935E0">
        <w:rPr>
          <w:rFonts w:ascii="Times New Roman" w:hAnsi="Times New Roman" w:cs="Times New Roman"/>
          <w:color w:val="000000" w:themeColor="text1"/>
          <w:sz w:val="24"/>
          <w:szCs w:val="24"/>
        </w:rPr>
        <w:t>w drodze dobrowolnej, alternatywnej procedury rozstrzygania sporów. W motywie 79 dyrektywy wskazano, że spełnienie omawianego obowiązku przez państwa członkowskie może polegać na utworzeniu nowego organu bądź na wykorzystaniu istniejącego organu lub mechanizmu spełniającego war</w:t>
      </w:r>
      <w:r w:rsidR="002C03B8" w:rsidRPr="009935E0">
        <w:rPr>
          <w:rFonts w:ascii="Times New Roman" w:hAnsi="Times New Roman" w:cs="Times New Roman"/>
          <w:color w:val="000000" w:themeColor="text1"/>
          <w:sz w:val="24"/>
          <w:szCs w:val="24"/>
        </w:rPr>
        <w:t>unki określone w dyrektywie.</w:t>
      </w:r>
      <w:r w:rsidR="006214EC" w:rsidRPr="009935E0">
        <w:rPr>
          <w:rFonts w:ascii="Times New Roman" w:hAnsi="Times New Roman" w:cs="Times New Roman"/>
          <w:color w:val="000000" w:themeColor="text1"/>
          <w:sz w:val="24"/>
          <w:szCs w:val="24"/>
        </w:rPr>
        <w:t xml:space="preserve"> </w:t>
      </w:r>
    </w:p>
    <w:p w14:paraId="1EA7DA6B" w14:textId="77777777" w:rsidR="0079349E" w:rsidRPr="009935E0" w:rsidRDefault="006214EC"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lastRenderedPageBreak/>
        <w:t>W projektowanej ustawie nie przewiduje</w:t>
      </w:r>
      <w:r w:rsidR="00343B46" w:rsidRPr="009935E0">
        <w:rPr>
          <w:rFonts w:ascii="Times New Roman" w:hAnsi="Times New Roman" w:cs="Times New Roman"/>
          <w:color w:val="000000" w:themeColor="text1"/>
          <w:sz w:val="24"/>
          <w:szCs w:val="24"/>
        </w:rPr>
        <w:t xml:space="preserve"> się </w:t>
      </w:r>
      <w:r w:rsidRPr="009935E0">
        <w:rPr>
          <w:rFonts w:ascii="Times New Roman" w:hAnsi="Times New Roman" w:cs="Times New Roman"/>
          <w:color w:val="000000" w:themeColor="text1"/>
          <w:sz w:val="24"/>
          <w:szCs w:val="24"/>
        </w:rPr>
        <w:t xml:space="preserve">utworzenia żadnego nowego organu mediacyjnego. Nastąpi zatem </w:t>
      </w:r>
      <w:r w:rsidR="00343B46" w:rsidRPr="009935E0">
        <w:rPr>
          <w:rFonts w:ascii="Times New Roman" w:hAnsi="Times New Roman" w:cs="Times New Roman"/>
          <w:color w:val="000000" w:themeColor="text1"/>
          <w:sz w:val="24"/>
          <w:szCs w:val="24"/>
        </w:rPr>
        <w:t>wykorzystanie istniejącego już w polskim porządku prawnym mechanizmu mediacji sądowej uregulowanego w art. 183</w:t>
      </w:r>
      <w:r w:rsidR="00343B46" w:rsidRPr="009935E0">
        <w:rPr>
          <w:rFonts w:ascii="Times New Roman" w:hAnsi="Times New Roman" w:cs="Times New Roman"/>
          <w:color w:val="000000" w:themeColor="text1"/>
          <w:sz w:val="24"/>
          <w:szCs w:val="24"/>
          <w:vertAlign w:val="superscript"/>
        </w:rPr>
        <w:t>1</w:t>
      </w:r>
      <w:r w:rsidR="00343B46" w:rsidRPr="009935E0">
        <w:rPr>
          <w:rFonts w:ascii="Times New Roman" w:hAnsi="Times New Roman" w:cs="Times New Roman"/>
          <w:color w:val="000000" w:themeColor="text1"/>
          <w:sz w:val="24"/>
          <w:szCs w:val="24"/>
        </w:rPr>
        <w:t>–183</w:t>
      </w:r>
      <w:r w:rsidR="00343B46" w:rsidRPr="009935E0">
        <w:rPr>
          <w:rFonts w:ascii="Times New Roman" w:hAnsi="Times New Roman" w:cs="Times New Roman"/>
          <w:color w:val="000000" w:themeColor="text1"/>
          <w:sz w:val="24"/>
          <w:szCs w:val="24"/>
          <w:vertAlign w:val="superscript"/>
        </w:rPr>
        <w:t>15</w:t>
      </w:r>
      <w:r w:rsidR="00343B46" w:rsidRPr="009935E0">
        <w:rPr>
          <w:rFonts w:ascii="Times New Roman" w:hAnsi="Times New Roman" w:cs="Times New Roman"/>
          <w:color w:val="000000" w:themeColor="text1"/>
          <w:sz w:val="24"/>
          <w:szCs w:val="24"/>
        </w:rPr>
        <w:t xml:space="preserve"> Kodeksu postępowania cywilnego. Mechanizm ten </w:t>
      </w:r>
      <w:r w:rsidR="007521C5" w:rsidRPr="009935E0">
        <w:rPr>
          <w:rFonts w:ascii="Times New Roman" w:hAnsi="Times New Roman" w:cs="Times New Roman"/>
          <w:color w:val="000000" w:themeColor="text1"/>
          <w:sz w:val="24"/>
          <w:szCs w:val="24"/>
        </w:rPr>
        <w:t xml:space="preserve">w wystarczającym stopniu </w:t>
      </w:r>
      <w:r w:rsidR="00343B46" w:rsidRPr="009935E0">
        <w:rPr>
          <w:rFonts w:ascii="Times New Roman" w:hAnsi="Times New Roman" w:cs="Times New Roman"/>
          <w:color w:val="000000" w:themeColor="text1"/>
          <w:sz w:val="24"/>
          <w:szCs w:val="24"/>
        </w:rPr>
        <w:t xml:space="preserve">spełnia kryteria określone w art. 21 dyrektywy. </w:t>
      </w:r>
    </w:p>
    <w:p w14:paraId="60A6AA88" w14:textId="772268BA" w:rsidR="00343B46" w:rsidRPr="009935E0" w:rsidRDefault="00343B46" w:rsidP="00483092">
      <w:pPr>
        <w:pStyle w:val="Akapitzlist"/>
        <w:numPr>
          <w:ilvl w:val="1"/>
          <w:numId w:val="8"/>
        </w:numPr>
        <w:tabs>
          <w:tab w:val="left" w:pos="426"/>
        </w:tabs>
        <w:spacing w:before="120" w:after="0" w:line="360" w:lineRule="auto"/>
        <w:ind w:left="0" w:firstLine="0"/>
        <w:jc w:val="both"/>
        <w:rPr>
          <w:rFonts w:ascii="Times New Roman" w:hAnsi="Times New Roman" w:cs="Times New Roman"/>
          <w:b/>
          <w:color w:val="000000" w:themeColor="text1"/>
          <w:sz w:val="24"/>
          <w:szCs w:val="24"/>
        </w:rPr>
      </w:pPr>
      <w:r w:rsidRPr="009935E0">
        <w:rPr>
          <w:rFonts w:ascii="Times New Roman" w:hAnsi="Times New Roman" w:cs="Times New Roman"/>
          <w:b/>
          <w:color w:val="000000" w:themeColor="text1"/>
          <w:sz w:val="24"/>
          <w:szCs w:val="24"/>
        </w:rPr>
        <w:t xml:space="preserve">Prawo </w:t>
      </w:r>
      <w:r w:rsidR="003B4D5C" w:rsidRPr="009935E0">
        <w:rPr>
          <w:rFonts w:ascii="Times New Roman" w:hAnsi="Times New Roman" w:cs="Times New Roman"/>
          <w:b/>
          <w:color w:val="000000" w:themeColor="text1"/>
          <w:sz w:val="24"/>
          <w:szCs w:val="24"/>
        </w:rPr>
        <w:t>„</w:t>
      </w:r>
      <w:r w:rsidRPr="009935E0">
        <w:rPr>
          <w:rFonts w:ascii="Times New Roman" w:hAnsi="Times New Roman" w:cs="Times New Roman"/>
          <w:b/>
          <w:color w:val="000000" w:themeColor="text1"/>
          <w:sz w:val="24"/>
          <w:szCs w:val="24"/>
        </w:rPr>
        <w:t>odwołania</w:t>
      </w:r>
      <w:r w:rsidR="003B4D5C" w:rsidRPr="009935E0">
        <w:rPr>
          <w:rFonts w:ascii="Times New Roman" w:hAnsi="Times New Roman" w:cs="Times New Roman"/>
          <w:b/>
          <w:color w:val="000000" w:themeColor="text1"/>
          <w:sz w:val="24"/>
          <w:szCs w:val="24"/>
        </w:rPr>
        <w:t>” licencji lub przeniesienia prawa (art. 22 dyrektywy</w:t>
      </w:r>
      <w:r w:rsidR="00F55C5E" w:rsidRPr="009935E0">
        <w:rPr>
          <w:rFonts w:ascii="Times New Roman" w:hAnsi="Times New Roman" w:cs="Times New Roman"/>
          <w:b/>
          <w:color w:val="000000" w:themeColor="text1"/>
          <w:sz w:val="24"/>
          <w:szCs w:val="24"/>
        </w:rPr>
        <w:t xml:space="preserve"> DSM</w:t>
      </w:r>
      <w:r w:rsidR="003B4D5C" w:rsidRPr="009935E0">
        <w:rPr>
          <w:rFonts w:ascii="Times New Roman" w:hAnsi="Times New Roman" w:cs="Times New Roman"/>
          <w:b/>
          <w:color w:val="000000" w:themeColor="text1"/>
          <w:sz w:val="24"/>
          <w:szCs w:val="24"/>
        </w:rPr>
        <w:t>)</w:t>
      </w:r>
    </w:p>
    <w:p w14:paraId="74E9063C" w14:textId="77777777" w:rsidR="00821FA7" w:rsidRPr="009935E0" w:rsidRDefault="00821FA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color w:val="000000" w:themeColor="text1"/>
          <w:sz w:val="24"/>
          <w:szCs w:val="24"/>
        </w:rPr>
        <w:t xml:space="preserve">Dyrektywa </w:t>
      </w:r>
      <w:r w:rsidR="00F55C5E" w:rsidRPr="009935E0">
        <w:rPr>
          <w:rFonts w:ascii="Times New Roman" w:hAnsi="Times New Roman" w:cs="Times New Roman"/>
          <w:color w:val="000000" w:themeColor="text1"/>
          <w:sz w:val="24"/>
          <w:szCs w:val="24"/>
        </w:rPr>
        <w:t xml:space="preserve">DSM </w:t>
      </w:r>
      <w:r w:rsidRPr="009935E0">
        <w:rPr>
          <w:rFonts w:ascii="Times New Roman" w:hAnsi="Times New Roman" w:cs="Times New Roman"/>
          <w:color w:val="000000" w:themeColor="text1"/>
          <w:sz w:val="24"/>
          <w:szCs w:val="24"/>
        </w:rPr>
        <w:t xml:space="preserve">w art. 22 nakłada na państwa członkowskie obowiązek wprowadzenia rozwiązań pozwalających twórcom i wykonawcom, którzy udzielili licencji lub przenieśli swoje prawa „na zasadzie wyłączności”, na „odwołanie” w całości lub w części takiej licencji lub przeniesienia praw, jeżeli utwór ten lub inny przedmiot objęty ochroną nie jest eksploatowany. Prawodawca unijny zwraca uwagę, że </w:t>
      </w:r>
      <w:r w:rsidRPr="009935E0">
        <w:rPr>
          <w:rFonts w:ascii="Times New Roman" w:hAnsi="Times New Roman" w:cs="Times New Roman"/>
          <w:sz w:val="24"/>
          <w:szCs w:val="24"/>
        </w:rPr>
        <w:t xml:space="preserve">twórcy i wykonawcy, którzy udzielili licencji lub przenieśli swoje prawa, mają prawo spodziewać się, że ich utwór lub wykonanie będą eksploatowane. Zdarza się jednak, że utwory lub wykonania, na które udzielono licencji lub w przypadku których przeniesiono prawa, nie są w ogóle eksploatowane. Jeżeli prawa te przeniesiono na zasadzie wyłączności, twórcy i wykonawcy nie mogą zwrócić się do innego partnera o eksploatowanie ich utworów lub </w:t>
      </w:r>
      <w:proofErr w:type="spellStart"/>
      <w:r w:rsidRPr="009935E0">
        <w:rPr>
          <w:rFonts w:ascii="Times New Roman" w:hAnsi="Times New Roman" w:cs="Times New Roman"/>
          <w:sz w:val="24"/>
          <w:szCs w:val="24"/>
        </w:rPr>
        <w:t>wykonań</w:t>
      </w:r>
      <w:proofErr w:type="spellEnd"/>
      <w:r w:rsidRPr="009935E0">
        <w:rPr>
          <w:rFonts w:ascii="Times New Roman" w:hAnsi="Times New Roman" w:cs="Times New Roman"/>
          <w:sz w:val="24"/>
          <w:szCs w:val="24"/>
        </w:rPr>
        <w:t>. W takim przypadku, po upływie rozsądnego okresu, twórcy i wykonawcy powinni mieć prawo skorzystania z mechanizmu „odwołania”, który pozwoli im dokonać przeniesienia praw na inną osobę lub udzielić jej licencji (motyw 80</w:t>
      </w:r>
      <w:r w:rsidR="00F55C5E" w:rsidRPr="009935E0">
        <w:rPr>
          <w:rFonts w:ascii="Times New Roman" w:hAnsi="Times New Roman" w:cs="Times New Roman"/>
          <w:sz w:val="24"/>
          <w:szCs w:val="24"/>
        </w:rPr>
        <w:t xml:space="preserve"> dyrektywy</w:t>
      </w:r>
      <w:r w:rsidRPr="009935E0">
        <w:rPr>
          <w:rFonts w:ascii="Times New Roman" w:hAnsi="Times New Roman" w:cs="Times New Roman"/>
          <w:sz w:val="24"/>
          <w:szCs w:val="24"/>
        </w:rPr>
        <w:t>).</w:t>
      </w:r>
    </w:p>
    <w:p w14:paraId="2AA11C0B" w14:textId="77777777" w:rsidR="00821FA7" w:rsidRPr="009935E0" w:rsidRDefault="00821FA7" w:rsidP="00483092">
      <w:pPr>
        <w:spacing w:before="120" w:after="0" w:line="360" w:lineRule="auto"/>
        <w:jc w:val="both"/>
        <w:rPr>
          <w:rFonts w:ascii="Times New Roman" w:hAnsi="Times New Roman" w:cs="Times New Roman"/>
          <w:strike/>
          <w:color w:val="000000" w:themeColor="text1"/>
          <w:sz w:val="24"/>
          <w:szCs w:val="24"/>
        </w:rPr>
      </w:pPr>
      <w:r w:rsidRPr="009935E0">
        <w:rPr>
          <w:rFonts w:ascii="Times New Roman" w:hAnsi="Times New Roman" w:cs="Times New Roman"/>
          <w:color w:val="000000" w:themeColor="text1"/>
          <w:sz w:val="24"/>
          <w:szCs w:val="24"/>
        </w:rPr>
        <w:t>W polskim porządku prawnym omawiana instytucja posiada swój odpowiednik w art. 57 ustawy o prawie autorskim</w:t>
      </w:r>
      <w:r w:rsidR="00A97492" w:rsidRPr="009935E0">
        <w:rPr>
          <w:rFonts w:ascii="Times New Roman" w:hAnsi="Times New Roman" w:cs="Times New Roman"/>
          <w:color w:val="000000" w:themeColor="text1"/>
          <w:sz w:val="24"/>
          <w:szCs w:val="24"/>
        </w:rPr>
        <w:t xml:space="preserve"> </w:t>
      </w:r>
      <w:r w:rsidRPr="009935E0">
        <w:rPr>
          <w:rFonts w:ascii="Times New Roman" w:hAnsi="Times New Roman" w:cs="Times New Roman"/>
          <w:color w:val="000000" w:themeColor="text1"/>
          <w:sz w:val="24"/>
          <w:szCs w:val="24"/>
        </w:rPr>
        <w:t xml:space="preserve">– w formie uprawnienia twórcy do odstąpienia od umowy albo jej wypowiedzenia. Jednakże dla pełnej implementacji art. 22 dyrektywy konieczne jest wprowadzenie </w:t>
      </w:r>
      <w:r w:rsidR="00126564" w:rsidRPr="009935E0">
        <w:rPr>
          <w:rFonts w:ascii="Times New Roman" w:hAnsi="Times New Roman" w:cs="Times New Roman"/>
          <w:color w:val="000000" w:themeColor="text1"/>
          <w:sz w:val="24"/>
          <w:szCs w:val="24"/>
        </w:rPr>
        <w:t xml:space="preserve">określonych </w:t>
      </w:r>
      <w:r w:rsidRPr="009935E0">
        <w:rPr>
          <w:rFonts w:ascii="Times New Roman" w:hAnsi="Times New Roman" w:cs="Times New Roman"/>
          <w:color w:val="000000" w:themeColor="text1"/>
          <w:sz w:val="24"/>
          <w:szCs w:val="24"/>
        </w:rPr>
        <w:t xml:space="preserve">zmian. </w:t>
      </w:r>
    </w:p>
    <w:p w14:paraId="01BD895F" w14:textId="55BD3EA6" w:rsidR="00821FA7" w:rsidRPr="009935E0" w:rsidRDefault="00821FA7"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 xml:space="preserve">W pierwszej kolejności należy zauważyć, że art. 22 dyrektywy </w:t>
      </w:r>
      <w:r w:rsidR="00F55C5E" w:rsidRPr="009935E0">
        <w:rPr>
          <w:rFonts w:ascii="Times New Roman" w:hAnsi="Times New Roman" w:cs="Times New Roman"/>
          <w:color w:val="000000" w:themeColor="text1"/>
          <w:sz w:val="24"/>
          <w:szCs w:val="24"/>
        </w:rPr>
        <w:t xml:space="preserve">DSM </w:t>
      </w:r>
      <w:r w:rsidRPr="009935E0">
        <w:rPr>
          <w:rFonts w:ascii="Times New Roman" w:hAnsi="Times New Roman" w:cs="Times New Roman"/>
          <w:color w:val="000000" w:themeColor="text1"/>
          <w:sz w:val="24"/>
          <w:szCs w:val="24"/>
        </w:rPr>
        <w:t>upra</w:t>
      </w:r>
      <w:r w:rsidR="00126564" w:rsidRPr="009935E0">
        <w:rPr>
          <w:rFonts w:ascii="Times New Roman" w:hAnsi="Times New Roman" w:cs="Times New Roman"/>
          <w:color w:val="000000" w:themeColor="text1"/>
          <w:sz w:val="24"/>
          <w:szCs w:val="24"/>
        </w:rPr>
        <w:t>wnienie</w:t>
      </w:r>
      <w:r w:rsidRPr="009935E0">
        <w:rPr>
          <w:rFonts w:ascii="Times New Roman" w:hAnsi="Times New Roman" w:cs="Times New Roman"/>
          <w:color w:val="000000" w:themeColor="text1"/>
          <w:sz w:val="24"/>
          <w:szCs w:val="24"/>
        </w:rPr>
        <w:t xml:space="preserve"> do „odwołania” (oznaczającego w polskiej ustawie uprawnienie do odstąpienia albo wypowiedzenia umowy) </w:t>
      </w:r>
      <w:r w:rsidR="00126564" w:rsidRPr="009935E0">
        <w:rPr>
          <w:rFonts w:ascii="Times New Roman" w:hAnsi="Times New Roman" w:cs="Times New Roman"/>
          <w:color w:val="000000" w:themeColor="text1"/>
          <w:sz w:val="24"/>
          <w:szCs w:val="24"/>
        </w:rPr>
        <w:t xml:space="preserve">przewiduje </w:t>
      </w:r>
      <w:r w:rsidRPr="009935E0">
        <w:rPr>
          <w:rFonts w:ascii="Times New Roman" w:hAnsi="Times New Roman" w:cs="Times New Roman"/>
          <w:color w:val="000000" w:themeColor="text1"/>
          <w:sz w:val="24"/>
          <w:szCs w:val="24"/>
        </w:rPr>
        <w:t>wyłącznie w przypadkach, w których doszło do przeniesienia majątkowych praw autorskich albo udzielono licencji wyłącznej. Art. 57 ustawy o prawie autorskim w obecnym brzmieniu pozwala na wypowiedzenie lub odstąpienie od umowy w przypadkach przeniesienia majątkowych praw autorskich oraz udzielenia licencji, przy czym nie ma znaczenia</w:t>
      </w:r>
      <w:r w:rsidR="00126564" w:rsidRPr="009935E0">
        <w:rPr>
          <w:rFonts w:ascii="Times New Roman" w:hAnsi="Times New Roman" w:cs="Times New Roman"/>
          <w:color w:val="000000" w:themeColor="text1"/>
          <w:sz w:val="24"/>
          <w:szCs w:val="24"/>
        </w:rPr>
        <w:t>, czy jest to licencja wyłączna</w:t>
      </w:r>
      <w:r w:rsidRPr="009935E0">
        <w:rPr>
          <w:rFonts w:ascii="Times New Roman" w:hAnsi="Times New Roman" w:cs="Times New Roman"/>
          <w:color w:val="000000" w:themeColor="text1"/>
          <w:sz w:val="24"/>
          <w:szCs w:val="24"/>
        </w:rPr>
        <w:t xml:space="preserve"> czy niewyłączna. </w:t>
      </w:r>
      <w:r w:rsidR="00126564" w:rsidRPr="009935E0">
        <w:rPr>
          <w:rFonts w:ascii="Times New Roman" w:hAnsi="Times New Roman" w:cs="Times New Roman"/>
          <w:color w:val="000000" w:themeColor="text1"/>
          <w:sz w:val="24"/>
          <w:szCs w:val="24"/>
        </w:rPr>
        <w:t>Nastąpi</w:t>
      </w:r>
      <w:r w:rsidRPr="009935E0">
        <w:rPr>
          <w:rFonts w:ascii="Times New Roman" w:hAnsi="Times New Roman" w:cs="Times New Roman"/>
          <w:color w:val="000000" w:themeColor="text1"/>
          <w:sz w:val="24"/>
          <w:szCs w:val="24"/>
        </w:rPr>
        <w:t xml:space="preserve"> zatem stosowne ograniczenie zastosowania art. 57 </w:t>
      </w:r>
      <w:r w:rsidR="00F55C5E" w:rsidRPr="009935E0">
        <w:rPr>
          <w:rFonts w:ascii="Times New Roman" w:hAnsi="Times New Roman" w:cs="Times New Roman"/>
          <w:sz w:val="24"/>
          <w:szCs w:val="24"/>
        </w:rPr>
        <w:t>ustawy o prawie autorskim</w:t>
      </w:r>
      <w:r w:rsidRPr="009935E0">
        <w:rPr>
          <w:rFonts w:ascii="Times New Roman" w:hAnsi="Times New Roman" w:cs="Times New Roman"/>
          <w:color w:val="000000" w:themeColor="text1"/>
          <w:sz w:val="24"/>
          <w:szCs w:val="24"/>
        </w:rPr>
        <w:t xml:space="preserve"> do sytuacji, w których doszło do przeniesienia majątkowych praw autorskich albo udzielenia licencji wyłącznej.</w:t>
      </w:r>
    </w:p>
    <w:p w14:paraId="5F4BBDE7" w14:textId="77777777" w:rsidR="00AD163A" w:rsidRPr="009935E0" w:rsidRDefault="00821FA7"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lastRenderedPageBreak/>
        <w:t>W umowie przenoszącej majątkowe prawo autorskie lub udzielającej licencji wyłącznej strony będą mogły dostosować termin na skorzystanie z prawa do odstąpienia od umowy bądź jej wypowiedzenia do praktyk istniejących w poszczególnych branżach. Takie rozwiązanie jest zgodne z art. 22 ust. 2 lit. a dyrektywy, który wskazuje, że „szczegółowe przepisy dotyczące mechanizmu odwołania (.</w:t>
      </w:r>
      <w:r w:rsidR="0061268B" w:rsidRPr="009935E0">
        <w:rPr>
          <w:rFonts w:ascii="Times New Roman" w:hAnsi="Times New Roman" w:cs="Times New Roman"/>
          <w:color w:val="000000" w:themeColor="text1"/>
          <w:sz w:val="24"/>
          <w:szCs w:val="24"/>
        </w:rPr>
        <w:t>.</w:t>
      </w:r>
      <w:r w:rsidRPr="009935E0">
        <w:rPr>
          <w:rFonts w:ascii="Times New Roman" w:hAnsi="Times New Roman" w:cs="Times New Roman"/>
          <w:color w:val="000000" w:themeColor="text1"/>
          <w:sz w:val="24"/>
          <w:szCs w:val="24"/>
        </w:rPr>
        <w:t xml:space="preserve">.), mogą być wprowadzone w prawie krajowym, biorąc pod uwagę specyfikę poszczególnych sektorów i poszczególnych rodzajów utworów i </w:t>
      </w:r>
      <w:proofErr w:type="spellStart"/>
      <w:r w:rsidRPr="009935E0">
        <w:rPr>
          <w:rFonts w:ascii="Times New Roman" w:hAnsi="Times New Roman" w:cs="Times New Roman"/>
          <w:color w:val="000000" w:themeColor="text1"/>
          <w:sz w:val="24"/>
          <w:szCs w:val="24"/>
        </w:rPr>
        <w:t>wykonań</w:t>
      </w:r>
      <w:proofErr w:type="spellEnd"/>
      <w:r w:rsidR="00126564" w:rsidRPr="009935E0">
        <w:rPr>
          <w:rFonts w:ascii="Times New Roman" w:hAnsi="Times New Roman" w:cs="Times New Roman"/>
          <w:color w:val="000000" w:themeColor="text1"/>
          <w:sz w:val="24"/>
          <w:szCs w:val="24"/>
        </w:rPr>
        <w:t>”</w:t>
      </w:r>
      <w:r w:rsidRPr="009935E0">
        <w:rPr>
          <w:rFonts w:ascii="Times New Roman" w:hAnsi="Times New Roman" w:cs="Times New Roman"/>
          <w:color w:val="000000" w:themeColor="text1"/>
          <w:sz w:val="24"/>
          <w:szCs w:val="24"/>
        </w:rPr>
        <w:t>.</w:t>
      </w:r>
    </w:p>
    <w:p w14:paraId="77C13031" w14:textId="77777777" w:rsidR="00821FA7" w:rsidRPr="009935E0" w:rsidRDefault="00821FA7"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Z drugiej strony</w:t>
      </w:r>
      <w:r w:rsidR="00126564" w:rsidRPr="009935E0">
        <w:rPr>
          <w:rFonts w:ascii="Times New Roman" w:hAnsi="Times New Roman" w:cs="Times New Roman"/>
          <w:color w:val="000000" w:themeColor="text1"/>
          <w:sz w:val="24"/>
          <w:szCs w:val="24"/>
        </w:rPr>
        <w:t>,</w:t>
      </w:r>
      <w:r w:rsidRPr="009935E0">
        <w:rPr>
          <w:rFonts w:ascii="Times New Roman" w:hAnsi="Times New Roman" w:cs="Times New Roman"/>
          <w:color w:val="000000" w:themeColor="text1"/>
          <w:sz w:val="24"/>
          <w:szCs w:val="24"/>
        </w:rPr>
        <w:t xml:space="preserve"> mając na uwadze ochronę interesów twórców i wykonawców, którzy zwykle są słabszą stroną umowy</w:t>
      </w:r>
      <w:r w:rsidR="00126564" w:rsidRPr="009935E0">
        <w:rPr>
          <w:rFonts w:ascii="Times New Roman" w:hAnsi="Times New Roman" w:cs="Times New Roman"/>
          <w:color w:val="000000" w:themeColor="text1"/>
          <w:sz w:val="24"/>
          <w:szCs w:val="24"/>
        </w:rPr>
        <w:t>,</w:t>
      </w:r>
      <w:r w:rsidRPr="009935E0">
        <w:rPr>
          <w:rFonts w:ascii="Times New Roman" w:hAnsi="Times New Roman" w:cs="Times New Roman"/>
          <w:color w:val="000000" w:themeColor="text1"/>
          <w:sz w:val="24"/>
          <w:szCs w:val="24"/>
        </w:rPr>
        <w:t xml:space="preserve"> wprowadza się bezwzględne prawo do odstąpienia od umowy lub jej wypowiedzenia w przypadku</w:t>
      </w:r>
      <w:r w:rsidR="00126564" w:rsidRPr="009935E0">
        <w:rPr>
          <w:rFonts w:ascii="Times New Roman" w:hAnsi="Times New Roman" w:cs="Times New Roman"/>
          <w:color w:val="000000" w:themeColor="text1"/>
          <w:sz w:val="24"/>
          <w:szCs w:val="24"/>
        </w:rPr>
        <w:t>,</w:t>
      </w:r>
      <w:r w:rsidRPr="009935E0">
        <w:rPr>
          <w:rFonts w:ascii="Times New Roman" w:hAnsi="Times New Roman" w:cs="Times New Roman"/>
          <w:color w:val="000000" w:themeColor="text1"/>
          <w:sz w:val="24"/>
          <w:szCs w:val="24"/>
        </w:rPr>
        <w:t xml:space="preserve"> gdy utwór bądź artystyczne wykonanie nie zostało rozpowszechnione w terminie 10, a w przypadku utworów architektonicznych, architektoniczno-urbanistycznych lub urbanistycznych 20 lat od dnia przeniesienia prawa lub udzielenia licencji wyłącznej. </w:t>
      </w:r>
    </w:p>
    <w:p w14:paraId="4962C083" w14:textId="77777777" w:rsidR="00821FA7" w:rsidRPr="009935E0" w:rsidRDefault="00821FA7"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Skorzystanie z prawa odstąpienia od umowy</w:t>
      </w:r>
      <w:r w:rsidR="00126564" w:rsidRPr="009935E0">
        <w:rPr>
          <w:rFonts w:ascii="Times New Roman" w:hAnsi="Times New Roman" w:cs="Times New Roman"/>
          <w:color w:val="000000" w:themeColor="text1"/>
          <w:sz w:val="24"/>
          <w:szCs w:val="24"/>
        </w:rPr>
        <w:t xml:space="preserve"> lub jej wypowiedzenia</w:t>
      </w:r>
      <w:r w:rsidRPr="009935E0">
        <w:rPr>
          <w:rFonts w:ascii="Times New Roman" w:hAnsi="Times New Roman" w:cs="Times New Roman"/>
          <w:color w:val="000000" w:themeColor="text1"/>
          <w:sz w:val="24"/>
          <w:szCs w:val="24"/>
        </w:rPr>
        <w:t xml:space="preserve"> będzie uzależnione od wyznaczenia nabywcy lub licencjobiorcy dodatkowego terminu na przystąpienie do rozpowszechniania utworu. Termin ten nie może być jednak krótszy niż 6 miesięcy, co ma umożliwić nabywcy lub licencjobiorcy podjęcie odpowiednich kroków zmierzających do rozpowszechnienia utworu. Dopiero upływ dodatkowego terminu pozwoli twórcy bądź wykonawcy na skuteczne odstąpienie od umowy bądź jej wypowiedzenie.</w:t>
      </w:r>
    </w:p>
    <w:p w14:paraId="6C802D0A" w14:textId="77777777" w:rsidR="00821FA7" w:rsidRPr="009935E0" w:rsidRDefault="00126564"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Przewiduje</w:t>
      </w:r>
      <w:r w:rsidR="00821FA7" w:rsidRPr="009935E0">
        <w:rPr>
          <w:rFonts w:ascii="Times New Roman" w:hAnsi="Times New Roman" w:cs="Times New Roman"/>
          <w:color w:val="000000" w:themeColor="text1"/>
          <w:sz w:val="24"/>
          <w:szCs w:val="24"/>
        </w:rPr>
        <w:t xml:space="preserve"> się również wprowadzenie rozwiązania alternatywnego, zgodnie z którym twórca lub wykonawca, który udzielił licencji wyłącznej, może, zamiast wypowiedzenia umowy kontrahentowi, udzielić licencji innym osobom. W tej sytuacji licencja, która została udzielona jako wyłączna, przekształci się w licencję niewyłączną. Rozwiązanie to stanowi odpowiedź na zawartą w art. 22 ust. 2 </w:t>
      </w:r>
      <w:r w:rsidR="00821FA7" w:rsidRPr="009935E0">
        <w:rPr>
          <w:rFonts w:ascii="Times New Roman" w:hAnsi="Times New Roman" w:cs="Times New Roman"/>
          <w:i/>
          <w:color w:val="000000" w:themeColor="text1"/>
          <w:sz w:val="24"/>
          <w:szCs w:val="24"/>
        </w:rPr>
        <w:t>in fine</w:t>
      </w:r>
      <w:r w:rsidR="00821FA7" w:rsidRPr="009935E0">
        <w:rPr>
          <w:rFonts w:ascii="Times New Roman" w:hAnsi="Times New Roman" w:cs="Times New Roman"/>
          <w:color w:val="000000" w:themeColor="text1"/>
          <w:sz w:val="24"/>
          <w:szCs w:val="24"/>
        </w:rPr>
        <w:t xml:space="preserve"> dyrektywy </w:t>
      </w:r>
      <w:r w:rsidR="00F55C5E" w:rsidRPr="009935E0">
        <w:rPr>
          <w:rFonts w:ascii="Times New Roman" w:hAnsi="Times New Roman" w:cs="Times New Roman"/>
          <w:color w:val="000000" w:themeColor="text1"/>
          <w:sz w:val="24"/>
          <w:szCs w:val="24"/>
        </w:rPr>
        <w:t xml:space="preserve">DSM </w:t>
      </w:r>
      <w:r w:rsidR="00821FA7" w:rsidRPr="009935E0">
        <w:rPr>
          <w:rFonts w:ascii="Times New Roman" w:hAnsi="Times New Roman" w:cs="Times New Roman"/>
          <w:color w:val="000000" w:themeColor="text1"/>
          <w:sz w:val="24"/>
          <w:szCs w:val="24"/>
        </w:rPr>
        <w:t xml:space="preserve">możliwość wprowadzenia przepisów przewidujących, że </w:t>
      </w:r>
      <w:r w:rsidRPr="009935E0">
        <w:rPr>
          <w:rFonts w:ascii="Times New Roman" w:hAnsi="Times New Roman" w:cs="Times New Roman"/>
          <w:color w:val="000000" w:themeColor="text1"/>
          <w:sz w:val="24"/>
          <w:szCs w:val="24"/>
        </w:rPr>
        <w:t>twórcy lub wykonawcy mogą podjąć</w:t>
      </w:r>
      <w:r w:rsidR="00821FA7" w:rsidRPr="009935E0">
        <w:rPr>
          <w:rFonts w:ascii="Times New Roman" w:hAnsi="Times New Roman" w:cs="Times New Roman"/>
          <w:color w:val="000000" w:themeColor="text1"/>
          <w:sz w:val="24"/>
          <w:szCs w:val="24"/>
        </w:rPr>
        <w:t xml:space="preserve"> decyzję o „zakończeniu wyłączności umowy” zamiast odwołania licencji lub przeniesienia praw</w:t>
      </w:r>
      <w:r w:rsidRPr="009935E0">
        <w:rPr>
          <w:rFonts w:ascii="Times New Roman" w:hAnsi="Times New Roman" w:cs="Times New Roman"/>
          <w:color w:val="000000" w:themeColor="text1"/>
          <w:sz w:val="24"/>
          <w:szCs w:val="24"/>
        </w:rPr>
        <w:t>a</w:t>
      </w:r>
      <w:r w:rsidR="00821FA7" w:rsidRPr="009935E0">
        <w:rPr>
          <w:rFonts w:ascii="Times New Roman" w:hAnsi="Times New Roman" w:cs="Times New Roman"/>
          <w:color w:val="000000" w:themeColor="text1"/>
          <w:sz w:val="24"/>
          <w:szCs w:val="24"/>
        </w:rPr>
        <w:t>. Takie rozwiązanie będzie korzystne zarówno dla uprawnionych, którzy</w:t>
      </w:r>
      <w:r w:rsidRPr="009935E0">
        <w:rPr>
          <w:rFonts w:ascii="Times New Roman" w:hAnsi="Times New Roman" w:cs="Times New Roman"/>
          <w:color w:val="000000" w:themeColor="text1"/>
          <w:sz w:val="24"/>
          <w:szCs w:val="24"/>
        </w:rPr>
        <w:t xml:space="preserve"> będą mieć możliwość uzyskania</w:t>
      </w:r>
      <w:r w:rsidR="00821FA7" w:rsidRPr="009935E0">
        <w:rPr>
          <w:rFonts w:ascii="Times New Roman" w:hAnsi="Times New Roman" w:cs="Times New Roman"/>
          <w:color w:val="000000" w:themeColor="text1"/>
          <w:sz w:val="24"/>
          <w:szCs w:val="24"/>
        </w:rPr>
        <w:t xml:space="preserve"> wynagrodzenia z tytułu udzielenia </w:t>
      </w:r>
      <w:r w:rsidRPr="009935E0">
        <w:rPr>
          <w:rFonts w:ascii="Times New Roman" w:hAnsi="Times New Roman" w:cs="Times New Roman"/>
          <w:color w:val="000000" w:themeColor="text1"/>
          <w:sz w:val="24"/>
          <w:szCs w:val="24"/>
        </w:rPr>
        <w:t xml:space="preserve">licencji </w:t>
      </w:r>
      <w:r w:rsidR="00821FA7" w:rsidRPr="009935E0">
        <w:rPr>
          <w:rFonts w:ascii="Times New Roman" w:hAnsi="Times New Roman" w:cs="Times New Roman"/>
          <w:color w:val="000000" w:themeColor="text1"/>
          <w:sz w:val="24"/>
          <w:szCs w:val="24"/>
        </w:rPr>
        <w:t>innym osobom</w:t>
      </w:r>
      <w:r w:rsidRPr="009935E0">
        <w:rPr>
          <w:rFonts w:ascii="Times New Roman" w:hAnsi="Times New Roman" w:cs="Times New Roman"/>
          <w:color w:val="000000" w:themeColor="text1"/>
          <w:sz w:val="24"/>
          <w:szCs w:val="24"/>
        </w:rPr>
        <w:t xml:space="preserve">, jak </w:t>
      </w:r>
      <w:r w:rsidR="00821FA7" w:rsidRPr="009935E0">
        <w:rPr>
          <w:rFonts w:ascii="Times New Roman" w:hAnsi="Times New Roman" w:cs="Times New Roman"/>
          <w:color w:val="000000" w:themeColor="text1"/>
          <w:sz w:val="24"/>
          <w:szCs w:val="24"/>
        </w:rPr>
        <w:t xml:space="preserve">i dla odbiorców, którzy uzyskają do </w:t>
      </w:r>
      <w:r w:rsidRPr="009935E0">
        <w:rPr>
          <w:rFonts w:ascii="Times New Roman" w:hAnsi="Times New Roman" w:cs="Times New Roman"/>
          <w:color w:val="000000" w:themeColor="text1"/>
          <w:sz w:val="24"/>
          <w:szCs w:val="24"/>
        </w:rPr>
        <w:t xml:space="preserve">tych utworów i </w:t>
      </w:r>
      <w:proofErr w:type="spellStart"/>
      <w:r w:rsidRPr="009935E0">
        <w:rPr>
          <w:rFonts w:ascii="Times New Roman" w:hAnsi="Times New Roman" w:cs="Times New Roman"/>
          <w:color w:val="000000" w:themeColor="text1"/>
          <w:sz w:val="24"/>
          <w:szCs w:val="24"/>
        </w:rPr>
        <w:t>wykonań</w:t>
      </w:r>
      <w:proofErr w:type="spellEnd"/>
      <w:r w:rsidR="00821FA7" w:rsidRPr="009935E0">
        <w:rPr>
          <w:rFonts w:ascii="Times New Roman" w:hAnsi="Times New Roman" w:cs="Times New Roman"/>
          <w:color w:val="000000" w:themeColor="text1"/>
          <w:sz w:val="24"/>
          <w:szCs w:val="24"/>
        </w:rPr>
        <w:t xml:space="preserve"> szerszy dostęp.</w:t>
      </w:r>
    </w:p>
    <w:p w14:paraId="0C4CD578" w14:textId="77777777" w:rsidR="00406695" w:rsidRPr="009935E0" w:rsidRDefault="00F40F3B"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Czyniąc zadość wymogowi</w:t>
      </w:r>
      <w:r w:rsidR="00540396" w:rsidRPr="009935E0">
        <w:rPr>
          <w:rFonts w:ascii="Times New Roman" w:hAnsi="Times New Roman" w:cs="Times New Roman"/>
          <w:color w:val="000000" w:themeColor="text1"/>
          <w:sz w:val="24"/>
          <w:szCs w:val="24"/>
        </w:rPr>
        <w:t xml:space="preserve"> określonemu w art. 22 ust. 4 dyrektywy, zgodnie z którym prawo do odwołania nie przysługuje twórcy i artyście wykonawcy</w:t>
      </w:r>
      <w:r w:rsidRPr="009935E0">
        <w:rPr>
          <w:rFonts w:ascii="Times New Roman" w:hAnsi="Times New Roman" w:cs="Times New Roman"/>
          <w:color w:val="000000" w:themeColor="text1"/>
          <w:sz w:val="24"/>
          <w:szCs w:val="24"/>
        </w:rPr>
        <w:t>,</w:t>
      </w:r>
      <w:r w:rsidR="00540396" w:rsidRPr="009935E0">
        <w:rPr>
          <w:rFonts w:ascii="Times New Roman" w:hAnsi="Times New Roman" w:cs="Times New Roman"/>
          <w:color w:val="000000" w:themeColor="text1"/>
          <w:sz w:val="24"/>
          <w:szCs w:val="24"/>
        </w:rPr>
        <w:t xml:space="preserve"> jeżeli brak eksploatacji utworu lub artystycznego wykonania wynika w przeważającej mierze z okoliczności, co do których można w sposób uzasadniony oczekiwać, że twórca lub wykonawca może im zaradzić</w:t>
      </w:r>
      <w:r w:rsidR="00E03492" w:rsidRPr="009935E0">
        <w:rPr>
          <w:rFonts w:ascii="Times New Roman" w:hAnsi="Times New Roman" w:cs="Times New Roman"/>
          <w:color w:val="000000" w:themeColor="text1"/>
          <w:sz w:val="24"/>
          <w:szCs w:val="24"/>
        </w:rPr>
        <w:t>,</w:t>
      </w:r>
      <w:r w:rsidR="00540396" w:rsidRPr="009935E0">
        <w:rPr>
          <w:rFonts w:ascii="Times New Roman" w:hAnsi="Times New Roman" w:cs="Times New Roman"/>
          <w:color w:val="000000" w:themeColor="text1"/>
          <w:sz w:val="24"/>
          <w:szCs w:val="24"/>
        </w:rPr>
        <w:t xml:space="preserve"> dodaje się do ustawy o prawie autorskim</w:t>
      </w:r>
      <w:r w:rsidR="0071367C" w:rsidRPr="009935E0">
        <w:rPr>
          <w:rFonts w:ascii="Times New Roman" w:hAnsi="Times New Roman" w:cs="Times New Roman"/>
          <w:color w:val="000000" w:themeColor="text1"/>
          <w:sz w:val="24"/>
          <w:szCs w:val="24"/>
        </w:rPr>
        <w:t xml:space="preserve"> </w:t>
      </w:r>
      <w:r w:rsidR="00406695" w:rsidRPr="009935E0">
        <w:rPr>
          <w:rFonts w:ascii="Times New Roman" w:hAnsi="Times New Roman" w:cs="Times New Roman"/>
          <w:color w:val="000000" w:themeColor="text1"/>
          <w:sz w:val="24"/>
          <w:szCs w:val="24"/>
        </w:rPr>
        <w:t>odpowiedni</w:t>
      </w:r>
      <w:r w:rsidR="00137089" w:rsidRPr="009935E0">
        <w:rPr>
          <w:rFonts w:ascii="Times New Roman" w:hAnsi="Times New Roman" w:cs="Times New Roman"/>
          <w:color w:val="000000" w:themeColor="text1"/>
          <w:sz w:val="24"/>
          <w:szCs w:val="24"/>
        </w:rPr>
        <w:t xml:space="preserve"> przepis</w:t>
      </w:r>
      <w:r w:rsidR="00406695" w:rsidRPr="009935E0">
        <w:rPr>
          <w:rFonts w:ascii="Times New Roman" w:hAnsi="Times New Roman" w:cs="Times New Roman"/>
          <w:color w:val="000000" w:themeColor="text1"/>
          <w:sz w:val="24"/>
          <w:szCs w:val="24"/>
        </w:rPr>
        <w:t xml:space="preserve">. Zgodnie </w:t>
      </w:r>
      <w:r w:rsidRPr="009935E0">
        <w:rPr>
          <w:rFonts w:ascii="Times New Roman" w:hAnsi="Times New Roman" w:cs="Times New Roman"/>
          <w:color w:val="000000" w:themeColor="text1"/>
          <w:sz w:val="24"/>
          <w:szCs w:val="24"/>
        </w:rPr>
        <w:t xml:space="preserve">zatem </w:t>
      </w:r>
      <w:r w:rsidR="00406695" w:rsidRPr="009935E0">
        <w:rPr>
          <w:rFonts w:ascii="Times New Roman" w:hAnsi="Times New Roman" w:cs="Times New Roman"/>
          <w:color w:val="000000" w:themeColor="text1"/>
          <w:sz w:val="24"/>
          <w:szCs w:val="24"/>
        </w:rPr>
        <w:t xml:space="preserve">z projektowanym art. 57 ust. 4 </w:t>
      </w:r>
      <w:r w:rsidR="00F55C5E" w:rsidRPr="009935E0">
        <w:rPr>
          <w:rFonts w:ascii="Times New Roman" w:hAnsi="Times New Roman" w:cs="Times New Roman"/>
          <w:sz w:val="24"/>
          <w:szCs w:val="24"/>
        </w:rPr>
        <w:lastRenderedPageBreak/>
        <w:t xml:space="preserve">ustawy o prawie autorskim </w:t>
      </w:r>
      <w:r w:rsidR="00406695" w:rsidRPr="009935E0">
        <w:rPr>
          <w:rFonts w:ascii="Times New Roman" w:hAnsi="Times New Roman" w:cs="Times New Roman"/>
          <w:color w:val="000000" w:themeColor="text1"/>
          <w:sz w:val="24"/>
          <w:szCs w:val="24"/>
        </w:rPr>
        <w:t xml:space="preserve">przepisów o odstąpieniu od umowy oraz o jej wypowiedzeniu nie stosuje się, </w:t>
      </w:r>
      <w:r w:rsidR="00217611" w:rsidRPr="009935E0">
        <w:rPr>
          <w:rFonts w:ascii="Times New Roman" w:hAnsi="Times New Roman" w:cs="Times New Roman"/>
          <w:color w:val="000000" w:themeColor="text1"/>
          <w:sz w:val="24"/>
          <w:szCs w:val="24"/>
        </w:rPr>
        <w:t xml:space="preserve">jeżeli </w:t>
      </w:r>
      <w:r w:rsidR="00406695" w:rsidRPr="009935E0">
        <w:rPr>
          <w:rFonts w:ascii="Times New Roman" w:hAnsi="Times New Roman" w:cs="Times New Roman"/>
          <w:color w:val="000000" w:themeColor="text1"/>
          <w:sz w:val="24"/>
          <w:szCs w:val="24"/>
        </w:rPr>
        <w:t xml:space="preserve">brak rozpowszechnienia utworu wynika z okoliczności </w:t>
      </w:r>
      <w:r w:rsidR="00137089" w:rsidRPr="009935E0">
        <w:rPr>
          <w:rFonts w:ascii="Times New Roman" w:hAnsi="Times New Roman" w:cs="Times New Roman"/>
          <w:color w:val="000000" w:themeColor="text1"/>
          <w:sz w:val="24"/>
          <w:szCs w:val="24"/>
        </w:rPr>
        <w:t xml:space="preserve">w przeważającej mierze </w:t>
      </w:r>
      <w:r w:rsidR="00406695" w:rsidRPr="009935E0">
        <w:rPr>
          <w:rFonts w:ascii="Times New Roman" w:hAnsi="Times New Roman" w:cs="Times New Roman"/>
          <w:color w:val="000000" w:themeColor="text1"/>
          <w:sz w:val="24"/>
          <w:szCs w:val="24"/>
        </w:rPr>
        <w:t>zależnych od twórcy</w:t>
      </w:r>
      <w:r w:rsidR="002765E2" w:rsidRPr="009935E0">
        <w:rPr>
          <w:rFonts w:ascii="Times New Roman" w:hAnsi="Times New Roman" w:cs="Times New Roman"/>
          <w:color w:val="000000" w:themeColor="text1"/>
          <w:sz w:val="24"/>
          <w:szCs w:val="24"/>
        </w:rPr>
        <w:t xml:space="preserve"> lub artysty wykonawcy</w:t>
      </w:r>
      <w:r w:rsidR="00406695" w:rsidRPr="009935E0">
        <w:rPr>
          <w:rFonts w:ascii="Times New Roman" w:hAnsi="Times New Roman" w:cs="Times New Roman"/>
          <w:color w:val="000000" w:themeColor="text1"/>
          <w:sz w:val="24"/>
          <w:szCs w:val="24"/>
        </w:rPr>
        <w:t>.</w:t>
      </w:r>
      <w:r w:rsidR="00E03492" w:rsidRPr="009935E0">
        <w:rPr>
          <w:rFonts w:ascii="Times New Roman" w:hAnsi="Times New Roman" w:cs="Times New Roman"/>
          <w:color w:val="000000" w:themeColor="text1"/>
          <w:sz w:val="24"/>
          <w:szCs w:val="24"/>
        </w:rPr>
        <w:t xml:space="preserve"> Z uwagi na fakt, że projektodawca zdecydował się na wprowadzenie fakultatywnego mechanizmu, zgodnie z którym twórca i artysta</w:t>
      </w:r>
      <w:r w:rsidR="00AD163A" w:rsidRPr="009935E0">
        <w:rPr>
          <w:rFonts w:ascii="Times New Roman" w:hAnsi="Times New Roman" w:cs="Times New Roman"/>
          <w:color w:val="000000" w:themeColor="text1"/>
          <w:sz w:val="24"/>
          <w:szCs w:val="24"/>
        </w:rPr>
        <w:t xml:space="preserve"> wykonawca</w:t>
      </w:r>
      <w:r w:rsidR="00E03492" w:rsidRPr="009935E0">
        <w:rPr>
          <w:rFonts w:ascii="Times New Roman" w:hAnsi="Times New Roman" w:cs="Times New Roman"/>
          <w:color w:val="000000" w:themeColor="text1"/>
          <w:sz w:val="24"/>
          <w:szCs w:val="24"/>
        </w:rPr>
        <w:t xml:space="preserve">, którzy udzielili licencji wyłącznej, mogą zamiast </w:t>
      </w:r>
      <w:r w:rsidRPr="009935E0">
        <w:rPr>
          <w:rFonts w:ascii="Times New Roman" w:hAnsi="Times New Roman" w:cs="Times New Roman"/>
          <w:color w:val="000000" w:themeColor="text1"/>
          <w:sz w:val="24"/>
          <w:szCs w:val="24"/>
        </w:rPr>
        <w:t>wypowiedzenia umowy</w:t>
      </w:r>
      <w:r w:rsidR="00E03492" w:rsidRPr="009935E0">
        <w:rPr>
          <w:rFonts w:ascii="Times New Roman" w:hAnsi="Times New Roman" w:cs="Times New Roman"/>
          <w:color w:val="000000" w:themeColor="text1"/>
          <w:sz w:val="24"/>
          <w:szCs w:val="24"/>
        </w:rPr>
        <w:t xml:space="preserve"> udzielić licencji innym osobom</w:t>
      </w:r>
      <w:r w:rsidRPr="009935E0">
        <w:rPr>
          <w:rFonts w:ascii="Times New Roman" w:hAnsi="Times New Roman" w:cs="Times New Roman"/>
          <w:color w:val="000000" w:themeColor="text1"/>
          <w:sz w:val="24"/>
          <w:szCs w:val="24"/>
        </w:rPr>
        <w:t>,</w:t>
      </w:r>
      <w:r w:rsidR="002765E2" w:rsidRPr="009935E0">
        <w:rPr>
          <w:rFonts w:ascii="Times New Roman" w:hAnsi="Times New Roman" w:cs="Times New Roman"/>
          <w:color w:val="000000" w:themeColor="text1"/>
          <w:sz w:val="24"/>
          <w:szCs w:val="24"/>
        </w:rPr>
        <w:t xml:space="preserve"> k</w:t>
      </w:r>
      <w:r w:rsidR="00E03492" w:rsidRPr="009935E0">
        <w:rPr>
          <w:rFonts w:ascii="Times New Roman" w:hAnsi="Times New Roman" w:cs="Times New Roman"/>
          <w:color w:val="000000" w:themeColor="text1"/>
          <w:sz w:val="24"/>
          <w:szCs w:val="24"/>
        </w:rPr>
        <w:t xml:space="preserve">onsekwentnie wyłącza się to uprawnienie w sytuacji, </w:t>
      </w:r>
      <w:r w:rsidR="00AC3C50" w:rsidRPr="009935E0">
        <w:rPr>
          <w:rFonts w:ascii="Times New Roman" w:hAnsi="Times New Roman" w:cs="Times New Roman"/>
          <w:color w:val="000000" w:themeColor="text1"/>
          <w:sz w:val="24"/>
          <w:szCs w:val="24"/>
        </w:rPr>
        <w:t>gdy</w:t>
      </w:r>
      <w:r w:rsidR="00E03492" w:rsidRPr="009935E0">
        <w:rPr>
          <w:rFonts w:ascii="Times New Roman" w:hAnsi="Times New Roman" w:cs="Times New Roman"/>
          <w:color w:val="000000" w:themeColor="text1"/>
          <w:sz w:val="24"/>
          <w:szCs w:val="24"/>
        </w:rPr>
        <w:t xml:space="preserve"> brak rozpowszechnienia utworu wynika z okoliczności </w:t>
      </w:r>
      <w:r w:rsidRPr="009935E0">
        <w:rPr>
          <w:rFonts w:ascii="Times New Roman" w:hAnsi="Times New Roman" w:cs="Times New Roman"/>
          <w:color w:val="000000" w:themeColor="text1"/>
          <w:sz w:val="24"/>
          <w:szCs w:val="24"/>
        </w:rPr>
        <w:t>„</w:t>
      </w:r>
      <w:r w:rsidR="00137089" w:rsidRPr="009935E0">
        <w:rPr>
          <w:rFonts w:ascii="Times New Roman" w:hAnsi="Times New Roman" w:cs="Times New Roman"/>
          <w:color w:val="000000" w:themeColor="text1"/>
          <w:sz w:val="24"/>
          <w:szCs w:val="24"/>
        </w:rPr>
        <w:t>w przeważającej mierze</w:t>
      </w:r>
      <w:r w:rsidRPr="009935E0">
        <w:rPr>
          <w:rFonts w:ascii="Times New Roman" w:hAnsi="Times New Roman" w:cs="Times New Roman"/>
          <w:color w:val="000000" w:themeColor="text1"/>
          <w:sz w:val="24"/>
          <w:szCs w:val="24"/>
        </w:rPr>
        <w:t>”</w:t>
      </w:r>
      <w:r w:rsidR="00137089" w:rsidRPr="009935E0">
        <w:rPr>
          <w:rFonts w:ascii="Times New Roman" w:hAnsi="Times New Roman" w:cs="Times New Roman"/>
          <w:color w:val="000000" w:themeColor="text1"/>
          <w:sz w:val="24"/>
          <w:szCs w:val="24"/>
        </w:rPr>
        <w:t xml:space="preserve"> </w:t>
      </w:r>
      <w:r w:rsidR="00E03492" w:rsidRPr="009935E0">
        <w:rPr>
          <w:rFonts w:ascii="Times New Roman" w:hAnsi="Times New Roman" w:cs="Times New Roman"/>
          <w:color w:val="000000" w:themeColor="text1"/>
          <w:sz w:val="24"/>
          <w:szCs w:val="24"/>
        </w:rPr>
        <w:t>zależnych od twórcy lub artysty wykonawcy.</w:t>
      </w:r>
    </w:p>
    <w:p w14:paraId="7AA60161" w14:textId="3FF5B22C" w:rsidR="00D56944" w:rsidRPr="009935E0" w:rsidRDefault="00821FA7"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color w:val="000000" w:themeColor="text1"/>
          <w:sz w:val="24"/>
          <w:szCs w:val="24"/>
        </w:rPr>
        <w:t xml:space="preserve">Kolejne </w:t>
      </w:r>
      <w:r w:rsidRPr="009935E0">
        <w:rPr>
          <w:rFonts w:ascii="Times New Roman" w:hAnsi="Times New Roman" w:cs="Times New Roman"/>
          <w:i/>
          <w:color w:val="000000" w:themeColor="text1"/>
          <w:sz w:val="24"/>
          <w:szCs w:val="24"/>
        </w:rPr>
        <w:t>novum</w:t>
      </w:r>
      <w:r w:rsidRPr="009935E0">
        <w:rPr>
          <w:rFonts w:ascii="Times New Roman" w:hAnsi="Times New Roman" w:cs="Times New Roman"/>
          <w:color w:val="000000" w:themeColor="text1"/>
          <w:sz w:val="24"/>
          <w:szCs w:val="24"/>
        </w:rPr>
        <w:t xml:space="preserve"> w stosunku do obecnej regulacji stanowi wyłączenie określonych kategorii utworów z mechanizmu odstąpienia bądź wypowiedzenia </w:t>
      </w:r>
      <w:r w:rsidR="006874C6" w:rsidRPr="009935E0">
        <w:rPr>
          <w:rFonts w:ascii="Times New Roman" w:hAnsi="Times New Roman" w:cs="Times New Roman"/>
          <w:color w:val="000000" w:themeColor="text1"/>
          <w:sz w:val="24"/>
          <w:szCs w:val="24"/>
        </w:rPr>
        <w:t xml:space="preserve">umowy. </w:t>
      </w:r>
      <w:r w:rsidRPr="009935E0">
        <w:rPr>
          <w:rFonts w:ascii="Times New Roman" w:hAnsi="Times New Roman" w:cs="Times New Roman"/>
          <w:color w:val="000000" w:themeColor="text1"/>
          <w:sz w:val="24"/>
          <w:szCs w:val="24"/>
        </w:rPr>
        <w:t>Takie rozwiązanie dopuszcza art. 22 ust. 2 lit. b dyrektywy</w:t>
      </w:r>
      <w:r w:rsidR="00F55C5E" w:rsidRPr="009935E0">
        <w:rPr>
          <w:rFonts w:ascii="Times New Roman" w:hAnsi="Times New Roman" w:cs="Times New Roman"/>
          <w:color w:val="000000" w:themeColor="text1"/>
          <w:sz w:val="24"/>
          <w:szCs w:val="24"/>
        </w:rPr>
        <w:t xml:space="preserve"> DSM</w:t>
      </w:r>
      <w:r w:rsidR="006874C6" w:rsidRPr="009935E0">
        <w:rPr>
          <w:rFonts w:ascii="Times New Roman" w:hAnsi="Times New Roman" w:cs="Times New Roman"/>
          <w:color w:val="000000" w:themeColor="text1"/>
          <w:sz w:val="24"/>
          <w:szCs w:val="24"/>
        </w:rPr>
        <w:t xml:space="preserve">. </w:t>
      </w:r>
      <w:r w:rsidRPr="009935E0">
        <w:rPr>
          <w:rFonts w:ascii="Times New Roman" w:hAnsi="Times New Roman" w:cs="Times New Roman"/>
          <w:sz w:val="24"/>
          <w:szCs w:val="24"/>
        </w:rPr>
        <w:t xml:space="preserve">Korzystając z </w:t>
      </w:r>
      <w:r w:rsidR="006874C6" w:rsidRPr="009935E0">
        <w:rPr>
          <w:rFonts w:ascii="Times New Roman" w:hAnsi="Times New Roman" w:cs="Times New Roman"/>
          <w:sz w:val="24"/>
          <w:szCs w:val="24"/>
        </w:rPr>
        <w:t xml:space="preserve">tej możliwości </w:t>
      </w:r>
      <w:r w:rsidRPr="009935E0">
        <w:rPr>
          <w:rFonts w:ascii="Times New Roman" w:hAnsi="Times New Roman" w:cs="Times New Roman"/>
          <w:sz w:val="24"/>
          <w:szCs w:val="24"/>
        </w:rPr>
        <w:t>projektodawca zdecydował o wyłączeniu prawa do odwołania lub wypowiedzenia w stosunku do współtwórców, których wkłady pracy twórczej nie mają samodzielnego znaczenia. Pozostawienie wspomnianym podmiotom prawa do odstąpienia bądź wypowiedzenia umowy mogłoby opóźniać, a nawet uniemożliwiać korzystanie z utworu współautorskiego jako całości</w:t>
      </w:r>
      <w:r w:rsidR="006874C6" w:rsidRPr="009935E0">
        <w:rPr>
          <w:rFonts w:ascii="Times New Roman" w:hAnsi="Times New Roman" w:cs="Times New Roman"/>
          <w:sz w:val="24"/>
          <w:szCs w:val="24"/>
        </w:rPr>
        <w:t>, mimo</w:t>
      </w:r>
      <w:r w:rsidRPr="009935E0">
        <w:rPr>
          <w:rFonts w:ascii="Times New Roman" w:hAnsi="Times New Roman" w:cs="Times New Roman"/>
          <w:sz w:val="24"/>
          <w:szCs w:val="24"/>
        </w:rPr>
        <w:t xml:space="preserve"> że wkłady te nie mają samodzielnego znaczenia gospodarczego.</w:t>
      </w:r>
    </w:p>
    <w:p w14:paraId="4D8FED8F" w14:textId="5B7F5FF5" w:rsidR="00B84FC0" w:rsidRPr="009935E0" w:rsidRDefault="00F40F3B"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Wprowadzenie a</w:t>
      </w:r>
      <w:r w:rsidR="00B84FC0" w:rsidRPr="009935E0">
        <w:rPr>
          <w:rFonts w:ascii="Times New Roman" w:hAnsi="Times New Roman" w:cs="Times New Roman"/>
          <w:sz w:val="24"/>
          <w:szCs w:val="24"/>
        </w:rPr>
        <w:t xml:space="preserve">rt. 57 </w:t>
      </w:r>
      <w:r w:rsidR="00F55C5E" w:rsidRPr="009935E0">
        <w:rPr>
          <w:rFonts w:ascii="Times New Roman" w:hAnsi="Times New Roman" w:cs="Times New Roman"/>
          <w:sz w:val="24"/>
          <w:szCs w:val="24"/>
        </w:rPr>
        <w:t xml:space="preserve">ustawy o prawie autorskim </w:t>
      </w:r>
      <w:r w:rsidRPr="009935E0">
        <w:rPr>
          <w:rFonts w:ascii="Times New Roman" w:hAnsi="Times New Roman" w:cs="Times New Roman"/>
          <w:sz w:val="24"/>
          <w:szCs w:val="24"/>
        </w:rPr>
        <w:t>w proponowanym brzmieniu stanowi także uzasadnienie dla usunięcia</w:t>
      </w:r>
      <w:r w:rsidR="00B84FC0" w:rsidRPr="009935E0">
        <w:rPr>
          <w:rFonts w:ascii="Times New Roman" w:hAnsi="Times New Roman" w:cs="Times New Roman"/>
          <w:sz w:val="24"/>
          <w:szCs w:val="24"/>
        </w:rPr>
        <w:t xml:space="preserve"> </w:t>
      </w:r>
      <w:r w:rsidR="001C2711" w:rsidRPr="009935E0">
        <w:rPr>
          <w:rFonts w:ascii="Times New Roman" w:hAnsi="Times New Roman" w:cs="Times New Roman"/>
          <w:sz w:val="24"/>
          <w:szCs w:val="24"/>
        </w:rPr>
        <w:t xml:space="preserve">obecnego </w:t>
      </w:r>
      <w:r w:rsidR="00B84FC0" w:rsidRPr="009935E0">
        <w:rPr>
          <w:rFonts w:ascii="Times New Roman" w:hAnsi="Times New Roman" w:cs="Times New Roman"/>
          <w:sz w:val="24"/>
          <w:szCs w:val="24"/>
        </w:rPr>
        <w:t>przepisu</w:t>
      </w:r>
      <w:r w:rsidR="00B53228" w:rsidRPr="009935E0">
        <w:rPr>
          <w:rFonts w:ascii="Times New Roman" w:hAnsi="Times New Roman" w:cs="Times New Roman"/>
          <w:sz w:val="24"/>
          <w:szCs w:val="24"/>
        </w:rPr>
        <w:t xml:space="preserve"> art. 72</w:t>
      </w:r>
      <w:r w:rsidRPr="009935E0">
        <w:rPr>
          <w:rFonts w:ascii="Times New Roman" w:hAnsi="Times New Roman" w:cs="Times New Roman"/>
          <w:sz w:val="24"/>
          <w:szCs w:val="24"/>
        </w:rPr>
        <w:t xml:space="preserve"> </w:t>
      </w:r>
      <w:r w:rsidR="00F55C5E" w:rsidRPr="009935E0">
        <w:rPr>
          <w:rFonts w:ascii="Times New Roman" w:hAnsi="Times New Roman" w:cs="Times New Roman"/>
          <w:sz w:val="24"/>
          <w:szCs w:val="24"/>
        </w:rPr>
        <w:t xml:space="preserve">tej </w:t>
      </w:r>
      <w:r w:rsidRPr="009935E0">
        <w:rPr>
          <w:rFonts w:ascii="Times New Roman" w:hAnsi="Times New Roman" w:cs="Times New Roman"/>
          <w:sz w:val="24"/>
          <w:szCs w:val="24"/>
        </w:rPr>
        <w:t>ustawy</w:t>
      </w:r>
      <w:r w:rsidR="00B84FC0" w:rsidRPr="009935E0">
        <w:rPr>
          <w:rFonts w:ascii="Times New Roman" w:hAnsi="Times New Roman" w:cs="Times New Roman"/>
          <w:sz w:val="24"/>
          <w:szCs w:val="24"/>
        </w:rPr>
        <w:t xml:space="preserve">. </w:t>
      </w:r>
      <w:r w:rsidR="001C2711" w:rsidRPr="009935E0">
        <w:rPr>
          <w:rFonts w:ascii="Times New Roman" w:hAnsi="Times New Roman" w:cs="Times New Roman"/>
          <w:sz w:val="24"/>
          <w:szCs w:val="24"/>
        </w:rPr>
        <w:t>Projektowany przepis a</w:t>
      </w:r>
      <w:r w:rsidR="00B84FC0" w:rsidRPr="009935E0">
        <w:rPr>
          <w:rFonts w:ascii="Times New Roman" w:hAnsi="Times New Roman" w:cs="Times New Roman"/>
          <w:sz w:val="24"/>
          <w:szCs w:val="24"/>
        </w:rPr>
        <w:t>rt. 57 ust. 3 uprawnia bowiem twórcę, który udzielił licencji wyłącznej</w:t>
      </w:r>
      <w:r w:rsidR="00B53228" w:rsidRPr="009935E0">
        <w:rPr>
          <w:rFonts w:ascii="Times New Roman" w:hAnsi="Times New Roman" w:cs="Times New Roman"/>
          <w:sz w:val="24"/>
          <w:szCs w:val="24"/>
        </w:rPr>
        <w:t>,</w:t>
      </w:r>
      <w:r w:rsidR="00B84FC0" w:rsidRPr="009935E0">
        <w:rPr>
          <w:rFonts w:ascii="Times New Roman" w:hAnsi="Times New Roman" w:cs="Times New Roman"/>
          <w:sz w:val="24"/>
          <w:szCs w:val="24"/>
        </w:rPr>
        <w:t xml:space="preserve"> do udzielania licencji innym osobom, jeżeli licencjobiorca wyłączny nie przystąpi do rozpowszechniania utworu w dodatkowym terminie. </w:t>
      </w:r>
      <w:r w:rsidR="00F55C5E" w:rsidRPr="009935E0">
        <w:rPr>
          <w:rFonts w:ascii="Times New Roman" w:hAnsi="Times New Roman" w:cs="Times New Roman"/>
          <w:sz w:val="24"/>
          <w:szCs w:val="24"/>
        </w:rPr>
        <w:t>Artykuł</w:t>
      </w:r>
      <w:r w:rsidR="00B84FC0" w:rsidRPr="009935E0">
        <w:rPr>
          <w:rFonts w:ascii="Times New Roman" w:hAnsi="Times New Roman" w:cs="Times New Roman"/>
          <w:sz w:val="24"/>
          <w:szCs w:val="24"/>
        </w:rPr>
        <w:t xml:space="preserve"> 57</w:t>
      </w:r>
      <w:r w:rsidR="00F55C5E" w:rsidRPr="009935E0">
        <w:rPr>
          <w:rFonts w:ascii="Times New Roman" w:hAnsi="Times New Roman" w:cs="Times New Roman"/>
          <w:sz w:val="24"/>
          <w:szCs w:val="24"/>
        </w:rPr>
        <w:t xml:space="preserve"> ustawy o prawie autorskim</w:t>
      </w:r>
      <w:r w:rsidR="00B84FC0" w:rsidRPr="009935E0">
        <w:rPr>
          <w:rFonts w:ascii="Times New Roman" w:hAnsi="Times New Roman" w:cs="Times New Roman"/>
          <w:sz w:val="24"/>
          <w:szCs w:val="24"/>
        </w:rPr>
        <w:t xml:space="preserve"> w proponowanym brzmieniu realizuje </w:t>
      </w:r>
      <w:r w:rsidR="001C2711" w:rsidRPr="009935E0">
        <w:rPr>
          <w:rFonts w:ascii="Times New Roman" w:hAnsi="Times New Roman" w:cs="Times New Roman"/>
          <w:sz w:val="24"/>
          <w:szCs w:val="24"/>
        </w:rPr>
        <w:t xml:space="preserve">zatem </w:t>
      </w:r>
      <w:r w:rsidR="00B84FC0" w:rsidRPr="009935E0">
        <w:rPr>
          <w:rFonts w:ascii="Times New Roman" w:hAnsi="Times New Roman" w:cs="Times New Roman"/>
          <w:sz w:val="24"/>
          <w:szCs w:val="24"/>
        </w:rPr>
        <w:t>cel, dla którego wprowadzony został przepis szczególny w postaci art. 72</w:t>
      </w:r>
      <w:r w:rsidR="00F55C5E" w:rsidRPr="009935E0">
        <w:rPr>
          <w:rFonts w:ascii="Times New Roman" w:hAnsi="Times New Roman" w:cs="Times New Roman"/>
          <w:sz w:val="24"/>
          <w:szCs w:val="24"/>
        </w:rPr>
        <w:t xml:space="preserve"> tej ustawy</w:t>
      </w:r>
      <w:r w:rsidR="00B84FC0" w:rsidRPr="009935E0">
        <w:rPr>
          <w:rFonts w:ascii="Times New Roman" w:hAnsi="Times New Roman" w:cs="Times New Roman"/>
          <w:sz w:val="24"/>
          <w:szCs w:val="24"/>
        </w:rPr>
        <w:t>, tzn. umożliwia twórcy eksploatacj</w:t>
      </w:r>
      <w:r w:rsidR="00B53228" w:rsidRPr="009935E0">
        <w:rPr>
          <w:rFonts w:ascii="Times New Roman" w:hAnsi="Times New Roman" w:cs="Times New Roman"/>
          <w:sz w:val="24"/>
          <w:szCs w:val="24"/>
        </w:rPr>
        <w:t>ę</w:t>
      </w:r>
      <w:r w:rsidR="00B84FC0" w:rsidRPr="009935E0">
        <w:rPr>
          <w:rFonts w:ascii="Times New Roman" w:hAnsi="Times New Roman" w:cs="Times New Roman"/>
          <w:sz w:val="24"/>
          <w:szCs w:val="24"/>
        </w:rPr>
        <w:t xml:space="preserve"> jego utworu poza utworem audiowizualnym, w którym utwór ten miał być pierwotnie eksploatowany.</w:t>
      </w:r>
    </w:p>
    <w:p w14:paraId="0867F3F4" w14:textId="122B7137" w:rsidR="00343B46" w:rsidRPr="009935E0" w:rsidRDefault="00214E19" w:rsidP="00483092">
      <w:pPr>
        <w:pStyle w:val="Akapitzlist"/>
        <w:numPr>
          <w:ilvl w:val="1"/>
          <w:numId w:val="8"/>
        </w:numPr>
        <w:tabs>
          <w:tab w:val="left" w:pos="426"/>
        </w:tabs>
        <w:spacing w:before="120" w:after="0" w:line="360" w:lineRule="auto"/>
        <w:ind w:left="0" w:firstLine="0"/>
        <w:jc w:val="both"/>
        <w:rPr>
          <w:rFonts w:ascii="Times New Roman" w:hAnsi="Times New Roman" w:cs="Times New Roman"/>
          <w:b/>
          <w:color w:val="000000" w:themeColor="text1"/>
          <w:sz w:val="24"/>
          <w:szCs w:val="24"/>
        </w:rPr>
      </w:pPr>
      <w:r w:rsidRPr="009935E0">
        <w:rPr>
          <w:rFonts w:ascii="Times New Roman" w:hAnsi="Times New Roman" w:cs="Times New Roman"/>
          <w:b/>
          <w:color w:val="000000" w:themeColor="text1"/>
          <w:sz w:val="24"/>
          <w:szCs w:val="24"/>
        </w:rPr>
        <w:t xml:space="preserve">Przepisy wspólne – bezskuteczność odmiennych postanowień umownych i </w:t>
      </w:r>
      <w:r w:rsidR="00CF1CFA" w:rsidRPr="009935E0">
        <w:rPr>
          <w:rFonts w:ascii="Times New Roman" w:hAnsi="Times New Roman" w:cs="Times New Roman"/>
          <w:b/>
          <w:color w:val="000000" w:themeColor="text1"/>
          <w:sz w:val="24"/>
          <w:szCs w:val="24"/>
        </w:rPr>
        <w:t>w</w:t>
      </w:r>
      <w:r w:rsidR="00343B46" w:rsidRPr="009935E0">
        <w:rPr>
          <w:rFonts w:ascii="Times New Roman" w:hAnsi="Times New Roman" w:cs="Times New Roman"/>
          <w:b/>
          <w:color w:val="000000" w:themeColor="text1"/>
          <w:sz w:val="24"/>
          <w:szCs w:val="24"/>
        </w:rPr>
        <w:t>yłączenia w stosunku do programów komputerowych</w:t>
      </w:r>
      <w:r w:rsidR="00351C0C" w:rsidRPr="009935E0">
        <w:rPr>
          <w:rFonts w:ascii="Times New Roman" w:hAnsi="Times New Roman" w:cs="Times New Roman"/>
          <w:b/>
          <w:color w:val="000000" w:themeColor="text1"/>
          <w:sz w:val="24"/>
          <w:szCs w:val="24"/>
        </w:rPr>
        <w:t xml:space="preserve"> (art. 23 dyrektywy</w:t>
      </w:r>
      <w:r w:rsidR="00F55C5E" w:rsidRPr="009935E0">
        <w:rPr>
          <w:rFonts w:ascii="Times New Roman" w:hAnsi="Times New Roman" w:cs="Times New Roman"/>
          <w:b/>
          <w:color w:val="000000" w:themeColor="text1"/>
          <w:sz w:val="24"/>
          <w:szCs w:val="24"/>
        </w:rPr>
        <w:t xml:space="preserve"> DSM</w:t>
      </w:r>
      <w:r w:rsidR="00351C0C" w:rsidRPr="009935E0">
        <w:rPr>
          <w:rFonts w:ascii="Times New Roman" w:hAnsi="Times New Roman" w:cs="Times New Roman"/>
          <w:b/>
          <w:color w:val="000000" w:themeColor="text1"/>
          <w:sz w:val="24"/>
          <w:szCs w:val="24"/>
        </w:rPr>
        <w:t>)</w:t>
      </w:r>
    </w:p>
    <w:p w14:paraId="17069ADB" w14:textId="40912155" w:rsidR="00CF1CFA" w:rsidRPr="009935E0" w:rsidRDefault="00CF1CFA"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 xml:space="preserve">Zgodnie z art. 23 ust. 1 dyrektywy </w:t>
      </w:r>
      <w:r w:rsidR="00F55C5E" w:rsidRPr="009935E0">
        <w:rPr>
          <w:rFonts w:ascii="Times New Roman" w:hAnsi="Times New Roman" w:cs="Times New Roman"/>
          <w:color w:val="000000" w:themeColor="text1"/>
          <w:sz w:val="24"/>
          <w:szCs w:val="24"/>
        </w:rPr>
        <w:t xml:space="preserve">DSM </w:t>
      </w:r>
      <w:r w:rsidRPr="009935E0">
        <w:rPr>
          <w:rFonts w:ascii="Times New Roman" w:hAnsi="Times New Roman" w:cs="Times New Roman"/>
          <w:color w:val="000000" w:themeColor="text1"/>
          <w:sz w:val="24"/>
          <w:szCs w:val="24"/>
        </w:rPr>
        <w:t>wszelkie postanowienia umowne, które „uniemożliwiają przestrzeganie” art. 19</w:t>
      </w:r>
      <w:r w:rsidR="008F6DEF" w:rsidRPr="009935E0">
        <w:rPr>
          <w:rFonts w:ascii="Times New Roman" w:hAnsi="Times New Roman" w:cs="Times New Roman"/>
          <w:color w:val="000000" w:themeColor="text1"/>
          <w:sz w:val="24"/>
          <w:szCs w:val="24"/>
        </w:rPr>
        <w:t>–</w:t>
      </w:r>
      <w:r w:rsidRPr="009935E0">
        <w:rPr>
          <w:rFonts w:ascii="Times New Roman" w:hAnsi="Times New Roman" w:cs="Times New Roman"/>
          <w:color w:val="000000" w:themeColor="text1"/>
          <w:sz w:val="24"/>
          <w:szCs w:val="24"/>
        </w:rPr>
        <w:t xml:space="preserve">21 dyrektywy, mają być bezskuteczne w odniesieniu do twórców i wykonawców. Przepis ten nie wymaga implementacji do polskiego prawa przez wprowadzenie odrębnego przepisu. Przepisy wdrażające art. 19 i 20 dyrektywy, tj. </w:t>
      </w:r>
      <w:r w:rsidR="004D2B87" w:rsidRPr="009935E0">
        <w:rPr>
          <w:rFonts w:ascii="Times New Roman" w:hAnsi="Times New Roman" w:cs="Times New Roman"/>
          <w:color w:val="000000" w:themeColor="text1"/>
          <w:sz w:val="24"/>
          <w:szCs w:val="24"/>
        </w:rPr>
        <w:t xml:space="preserve">art. 44 </w:t>
      </w:r>
      <w:r w:rsidR="00F55C5E" w:rsidRPr="009935E0">
        <w:rPr>
          <w:rFonts w:ascii="Times New Roman" w:hAnsi="Times New Roman" w:cs="Times New Roman"/>
          <w:sz w:val="24"/>
          <w:szCs w:val="24"/>
        </w:rPr>
        <w:t xml:space="preserve">ustawy o prawie autorskim </w:t>
      </w:r>
      <w:r w:rsidR="004D2B87" w:rsidRPr="009935E0">
        <w:rPr>
          <w:rFonts w:ascii="Times New Roman" w:hAnsi="Times New Roman" w:cs="Times New Roman"/>
          <w:color w:val="000000" w:themeColor="text1"/>
          <w:sz w:val="24"/>
          <w:szCs w:val="24"/>
        </w:rPr>
        <w:t xml:space="preserve">(klauzula bestsellerowa) i projektowany </w:t>
      </w:r>
      <w:r w:rsidR="007521C5" w:rsidRPr="009935E0">
        <w:rPr>
          <w:rFonts w:ascii="Times New Roman" w:hAnsi="Times New Roman" w:cs="Times New Roman"/>
          <w:color w:val="000000" w:themeColor="text1"/>
          <w:sz w:val="24"/>
          <w:szCs w:val="24"/>
        </w:rPr>
        <w:t xml:space="preserve">art. </w:t>
      </w:r>
      <w:r w:rsidR="004D2B87" w:rsidRPr="009935E0">
        <w:rPr>
          <w:rFonts w:ascii="Times New Roman" w:hAnsi="Times New Roman" w:cs="Times New Roman"/>
          <w:color w:val="000000" w:themeColor="text1"/>
          <w:sz w:val="24"/>
          <w:szCs w:val="24"/>
        </w:rPr>
        <w:t>47</w:t>
      </w:r>
      <w:r w:rsidR="007521C5" w:rsidRPr="009935E0">
        <w:rPr>
          <w:rFonts w:ascii="Times New Roman" w:hAnsi="Times New Roman" w:cs="Times New Roman"/>
          <w:color w:val="000000" w:themeColor="text1"/>
          <w:sz w:val="24"/>
          <w:szCs w:val="24"/>
        </w:rPr>
        <w:t>a</w:t>
      </w:r>
      <w:r w:rsidR="004D2B87" w:rsidRPr="009935E0">
        <w:rPr>
          <w:rFonts w:ascii="Times New Roman" w:hAnsi="Times New Roman" w:cs="Times New Roman"/>
          <w:color w:val="000000" w:themeColor="text1"/>
          <w:sz w:val="24"/>
          <w:szCs w:val="24"/>
        </w:rPr>
        <w:t xml:space="preserve"> </w:t>
      </w:r>
      <w:r w:rsidR="00F55C5E" w:rsidRPr="009935E0">
        <w:rPr>
          <w:rFonts w:ascii="Times New Roman" w:hAnsi="Times New Roman" w:cs="Times New Roman"/>
          <w:color w:val="000000" w:themeColor="text1"/>
          <w:sz w:val="24"/>
          <w:szCs w:val="24"/>
        </w:rPr>
        <w:t xml:space="preserve">tej ustawy </w:t>
      </w:r>
      <w:r w:rsidR="004D2B87" w:rsidRPr="009935E0">
        <w:rPr>
          <w:rFonts w:ascii="Times New Roman" w:hAnsi="Times New Roman" w:cs="Times New Roman"/>
          <w:color w:val="000000" w:themeColor="text1"/>
          <w:sz w:val="24"/>
          <w:szCs w:val="24"/>
        </w:rPr>
        <w:t>(wymóg przejrzystości)</w:t>
      </w:r>
      <w:r w:rsidR="008F6DEF" w:rsidRPr="009935E0">
        <w:rPr>
          <w:rFonts w:ascii="Times New Roman" w:hAnsi="Times New Roman" w:cs="Times New Roman"/>
          <w:color w:val="000000" w:themeColor="text1"/>
          <w:sz w:val="24"/>
          <w:szCs w:val="24"/>
        </w:rPr>
        <w:t>,</w:t>
      </w:r>
      <w:r w:rsidR="004D2B87" w:rsidRPr="009935E0">
        <w:rPr>
          <w:rFonts w:ascii="Times New Roman" w:hAnsi="Times New Roman" w:cs="Times New Roman"/>
          <w:color w:val="000000" w:themeColor="text1"/>
          <w:sz w:val="24"/>
          <w:szCs w:val="24"/>
        </w:rPr>
        <w:t xml:space="preserve"> mają charakter bezwzględnie obowiązujący i nie mogą być omijane w drodze odmiennych porozumień stron. Natomiast przewidziany w art. 21 dyrektywy </w:t>
      </w:r>
      <w:r w:rsidR="00F55C5E" w:rsidRPr="009935E0">
        <w:rPr>
          <w:rFonts w:ascii="Times New Roman" w:hAnsi="Times New Roman" w:cs="Times New Roman"/>
          <w:color w:val="000000" w:themeColor="text1"/>
          <w:sz w:val="24"/>
          <w:szCs w:val="24"/>
        </w:rPr>
        <w:t xml:space="preserve">DSM </w:t>
      </w:r>
      <w:r w:rsidR="004D2B87" w:rsidRPr="009935E0">
        <w:rPr>
          <w:rFonts w:ascii="Times New Roman" w:hAnsi="Times New Roman" w:cs="Times New Roman"/>
          <w:color w:val="000000" w:themeColor="text1"/>
          <w:sz w:val="24"/>
          <w:szCs w:val="24"/>
        </w:rPr>
        <w:t xml:space="preserve">mechanizm </w:t>
      </w:r>
      <w:r w:rsidR="004D2B87" w:rsidRPr="009935E0">
        <w:rPr>
          <w:rFonts w:ascii="Times New Roman" w:hAnsi="Times New Roman" w:cs="Times New Roman"/>
          <w:color w:val="000000" w:themeColor="text1"/>
          <w:sz w:val="24"/>
          <w:szCs w:val="24"/>
        </w:rPr>
        <w:lastRenderedPageBreak/>
        <w:t xml:space="preserve">„dobrowolnej, alternatywnej procedury rozstrzygania sporów” ze swej istoty wymaga zgody obydwu stron. </w:t>
      </w:r>
    </w:p>
    <w:p w14:paraId="736F7469" w14:textId="1AB87FDD" w:rsidR="00343B46" w:rsidRPr="009935E0" w:rsidRDefault="00343B46" w:rsidP="00483092">
      <w:pPr>
        <w:spacing w:before="120" w:after="0" w:line="360" w:lineRule="auto"/>
        <w:jc w:val="both"/>
        <w:rPr>
          <w:rFonts w:ascii="Times New Roman" w:hAnsi="Times New Roman" w:cs="Times New Roman"/>
          <w:color w:val="000000" w:themeColor="text1"/>
          <w:sz w:val="24"/>
          <w:szCs w:val="24"/>
        </w:rPr>
      </w:pPr>
      <w:r w:rsidRPr="009935E0">
        <w:rPr>
          <w:rFonts w:ascii="Times New Roman" w:hAnsi="Times New Roman" w:cs="Times New Roman"/>
          <w:color w:val="000000" w:themeColor="text1"/>
          <w:sz w:val="24"/>
          <w:szCs w:val="24"/>
        </w:rPr>
        <w:t>A</w:t>
      </w:r>
      <w:r w:rsidR="00351C0C" w:rsidRPr="009935E0">
        <w:rPr>
          <w:rFonts w:ascii="Times New Roman" w:hAnsi="Times New Roman" w:cs="Times New Roman"/>
          <w:color w:val="000000" w:themeColor="text1"/>
          <w:sz w:val="24"/>
          <w:szCs w:val="24"/>
        </w:rPr>
        <w:t xml:space="preserve">rt. 23 ust. 2 dyrektywy </w:t>
      </w:r>
      <w:r w:rsidR="00F55C5E" w:rsidRPr="009935E0">
        <w:rPr>
          <w:rFonts w:ascii="Times New Roman" w:hAnsi="Times New Roman" w:cs="Times New Roman"/>
          <w:color w:val="000000" w:themeColor="text1"/>
          <w:sz w:val="24"/>
          <w:szCs w:val="24"/>
        </w:rPr>
        <w:t xml:space="preserve">DSM </w:t>
      </w:r>
      <w:r w:rsidRPr="009935E0">
        <w:rPr>
          <w:rFonts w:ascii="Times New Roman" w:hAnsi="Times New Roman" w:cs="Times New Roman"/>
          <w:color w:val="000000" w:themeColor="text1"/>
          <w:sz w:val="24"/>
          <w:szCs w:val="24"/>
        </w:rPr>
        <w:t>wyłącza stosowanie do programów komputerowych regulacji dotyczących zasad ustalania wynagrodzenia autorskiego w przypadku, gdy kwestie te nie zostały rozstrzygnięte w umowie łączącej twórcę z nabywcą lub licencjobiorcą, obowiązku informacyjnego, prawa d</w:t>
      </w:r>
      <w:r w:rsidR="00A16A50" w:rsidRPr="009935E0">
        <w:rPr>
          <w:rFonts w:ascii="Times New Roman" w:hAnsi="Times New Roman" w:cs="Times New Roman"/>
          <w:color w:val="000000" w:themeColor="text1"/>
          <w:sz w:val="24"/>
          <w:szCs w:val="24"/>
        </w:rPr>
        <w:t>o podwyższania wynagrodzenia</w:t>
      </w:r>
      <w:r w:rsidRPr="009935E0">
        <w:rPr>
          <w:rFonts w:ascii="Times New Roman" w:hAnsi="Times New Roman" w:cs="Times New Roman"/>
          <w:color w:val="000000" w:themeColor="text1"/>
          <w:sz w:val="24"/>
          <w:szCs w:val="24"/>
        </w:rPr>
        <w:t>, a ponadto uprawnienia twórcy do odstąpienia od umowy w przypadku, gdy w określonym terminie nabywca bądź licencjobiorca nie przystąpią do eksploatowania utworu. Z uwagi na powyższe zachodzi konieczność zmiany art. 77 ustawy o prawie autorskim przez dodanie zawartego w przywołanym przepisie wyliczenia odpowiednich przepisów regulujących ww. kwestie, tj. art. 43, art. 44, art. 47</w:t>
      </w:r>
      <w:r w:rsidR="007521C5" w:rsidRPr="009935E0">
        <w:rPr>
          <w:rFonts w:ascii="Times New Roman" w:hAnsi="Times New Roman" w:cs="Times New Roman"/>
          <w:color w:val="000000" w:themeColor="text1"/>
          <w:sz w:val="24"/>
          <w:szCs w:val="24"/>
        </w:rPr>
        <w:t>a</w:t>
      </w:r>
      <w:r w:rsidR="00840D83" w:rsidRPr="009935E0">
        <w:rPr>
          <w:rFonts w:ascii="Times New Roman" w:hAnsi="Times New Roman" w:cs="Times New Roman"/>
          <w:color w:val="000000" w:themeColor="text1"/>
          <w:sz w:val="24"/>
          <w:szCs w:val="24"/>
        </w:rPr>
        <w:t xml:space="preserve"> i</w:t>
      </w:r>
      <w:r w:rsidRPr="009935E0">
        <w:rPr>
          <w:rFonts w:ascii="Times New Roman" w:hAnsi="Times New Roman" w:cs="Times New Roman"/>
          <w:color w:val="000000" w:themeColor="text1"/>
          <w:sz w:val="24"/>
          <w:szCs w:val="24"/>
        </w:rPr>
        <w:t xml:space="preserve"> </w:t>
      </w:r>
      <w:r w:rsidR="00214E19" w:rsidRPr="009935E0">
        <w:rPr>
          <w:rFonts w:ascii="Times New Roman" w:hAnsi="Times New Roman" w:cs="Times New Roman"/>
          <w:color w:val="000000" w:themeColor="text1"/>
          <w:sz w:val="24"/>
          <w:szCs w:val="24"/>
        </w:rPr>
        <w:t>art. 57</w:t>
      </w:r>
      <w:r w:rsidRPr="009935E0">
        <w:rPr>
          <w:rFonts w:ascii="Times New Roman" w:hAnsi="Times New Roman" w:cs="Times New Roman"/>
          <w:color w:val="000000" w:themeColor="text1"/>
          <w:sz w:val="24"/>
          <w:szCs w:val="24"/>
        </w:rPr>
        <w:t xml:space="preserve"> ustawy o prawie autorskim. Ponadto z uwagi na fakt</w:t>
      </w:r>
      <w:r w:rsidR="00351C0C" w:rsidRPr="009935E0">
        <w:rPr>
          <w:rFonts w:ascii="Times New Roman" w:hAnsi="Times New Roman" w:cs="Times New Roman"/>
          <w:color w:val="000000" w:themeColor="text1"/>
          <w:sz w:val="24"/>
          <w:szCs w:val="24"/>
        </w:rPr>
        <w:t>, że art. 4 ust. 1 dyrektywy</w:t>
      </w:r>
      <w:r w:rsidRPr="009935E0">
        <w:rPr>
          <w:rFonts w:ascii="Times New Roman" w:hAnsi="Times New Roman" w:cs="Times New Roman"/>
          <w:color w:val="000000" w:themeColor="text1"/>
          <w:sz w:val="24"/>
          <w:szCs w:val="24"/>
        </w:rPr>
        <w:t xml:space="preserve"> nie przewiduje wyjątku od art. 4 ust. 1 lit. a i b dyrektywy 2009/24/WE w odniesieniu do eksploracji tekstów i danych dla celów badawczych, konieczne jest rozszerzenie katalogu zawartego w art. 77 o treść art. 26</w:t>
      </w:r>
      <w:r w:rsidR="00AD555A" w:rsidRPr="009935E0">
        <w:rPr>
          <w:rFonts w:ascii="Times New Roman" w:hAnsi="Times New Roman" w:cs="Times New Roman"/>
          <w:color w:val="000000" w:themeColor="text1"/>
          <w:sz w:val="24"/>
          <w:szCs w:val="24"/>
          <w:vertAlign w:val="superscript"/>
        </w:rPr>
        <w:t>2</w:t>
      </w:r>
      <w:r w:rsidR="00351C0C" w:rsidRPr="009935E0">
        <w:rPr>
          <w:rFonts w:ascii="Times New Roman" w:hAnsi="Times New Roman" w:cs="Times New Roman"/>
          <w:color w:val="000000" w:themeColor="text1"/>
          <w:sz w:val="24"/>
          <w:szCs w:val="24"/>
        </w:rPr>
        <w:t>, który regulu</w:t>
      </w:r>
      <w:r w:rsidR="00634F27" w:rsidRPr="009935E0">
        <w:rPr>
          <w:rFonts w:ascii="Times New Roman" w:hAnsi="Times New Roman" w:cs="Times New Roman"/>
          <w:color w:val="000000" w:themeColor="text1"/>
          <w:sz w:val="24"/>
          <w:szCs w:val="24"/>
        </w:rPr>
        <w:t>je tę postać dozwolonego użytku.</w:t>
      </w:r>
    </w:p>
    <w:p w14:paraId="2C512DD8" w14:textId="77777777" w:rsidR="00BC53E3" w:rsidRPr="009935E0" w:rsidRDefault="00396E00" w:rsidP="00483092">
      <w:pPr>
        <w:pStyle w:val="Akapitzlist"/>
        <w:numPr>
          <w:ilvl w:val="0"/>
          <w:numId w:val="8"/>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 xml:space="preserve">Zmiany w ustawie </w:t>
      </w:r>
      <w:r w:rsidR="0095007F" w:rsidRPr="009935E0">
        <w:rPr>
          <w:rFonts w:ascii="Times New Roman" w:hAnsi="Times New Roman" w:cs="Times New Roman"/>
          <w:b/>
          <w:sz w:val="24"/>
          <w:szCs w:val="24"/>
        </w:rPr>
        <w:t xml:space="preserve">z dnia 27 lipca 2001 r. </w:t>
      </w:r>
      <w:r w:rsidRPr="009935E0">
        <w:rPr>
          <w:rFonts w:ascii="Times New Roman" w:hAnsi="Times New Roman" w:cs="Times New Roman"/>
          <w:b/>
          <w:sz w:val="24"/>
          <w:szCs w:val="24"/>
        </w:rPr>
        <w:t xml:space="preserve">o </w:t>
      </w:r>
      <w:r w:rsidR="000F363B" w:rsidRPr="009935E0">
        <w:rPr>
          <w:rFonts w:ascii="Times New Roman" w:hAnsi="Times New Roman" w:cs="Times New Roman"/>
          <w:b/>
          <w:sz w:val="24"/>
          <w:szCs w:val="24"/>
        </w:rPr>
        <w:t xml:space="preserve">ochronie </w:t>
      </w:r>
      <w:r w:rsidRPr="009935E0">
        <w:rPr>
          <w:rFonts w:ascii="Times New Roman" w:hAnsi="Times New Roman" w:cs="Times New Roman"/>
          <w:b/>
          <w:sz w:val="24"/>
          <w:szCs w:val="24"/>
        </w:rPr>
        <w:t>baz danych</w:t>
      </w:r>
      <w:r w:rsidR="007A2283" w:rsidRPr="009935E0">
        <w:rPr>
          <w:rFonts w:ascii="Times New Roman" w:hAnsi="Times New Roman" w:cs="Times New Roman"/>
          <w:b/>
          <w:sz w:val="24"/>
          <w:szCs w:val="24"/>
        </w:rPr>
        <w:t xml:space="preserve"> (art. 3</w:t>
      </w:r>
      <w:r w:rsidR="006D64F7" w:rsidRPr="009935E0">
        <w:rPr>
          <w:rFonts w:ascii="Times New Roman" w:hAnsi="Times New Roman" w:cs="Times New Roman"/>
          <w:b/>
          <w:sz w:val="24"/>
          <w:szCs w:val="24"/>
        </w:rPr>
        <w:t>–</w:t>
      </w:r>
      <w:r w:rsidR="00F1086D" w:rsidRPr="009935E0">
        <w:rPr>
          <w:rFonts w:ascii="Times New Roman" w:hAnsi="Times New Roman" w:cs="Times New Roman"/>
          <w:b/>
          <w:sz w:val="24"/>
          <w:szCs w:val="24"/>
        </w:rPr>
        <w:t>5 i art. 8</w:t>
      </w:r>
      <w:r w:rsidR="00F80548" w:rsidRPr="009935E0">
        <w:rPr>
          <w:rFonts w:ascii="Times New Roman" w:hAnsi="Times New Roman" w:cs="Times New Roman"/>
          <w:b/>
          <w:sz w:val="24"/>
          <w:szCs w:val="24"/>
        </w:rPr>
        <w:t xml:space="preserve"> </w:t>
      </w:r>
      <w:r w:rsidR="007A2283" w:rsidRPr="009935E0">
        <w:rPr>
          <w:rFonts w:ascii="Times New Roman" w:hAnsi="Times New Roman" w:cs="Times New Roman"/>
          <w:b/>
          <w:sz w:val="24"/>
          <w:szCs w:val="24"/>
        </w:rPr>
        <w:t>dyrektywy</w:t>
      </w:r>
      <w:r w:rsidR="00F55C5E" w:rsidRPr="009935E0">
        <w:rPr>
          <w:rFonts w:ascii="Times New Roman" w:hAnsi="Times New Roman" w:cs="Times New Roman"/>
          <w:b/>
          <w:sz w:val="24"/>
          <w:szCs w:val="24"/>
        </w:rPr>
        <w:t xml:space="preserve"> DSM</w:t>
      </w:r>
      <w:r w:rsidR="007A2283" w:rsidRPr="009935E0">
        <w:rPr>
          <w:rFonts w:ascii="Times New Roman" w:hAnsi="Times New Roman" w:cs="Times New Roman"/>
          <w:b/>
          <w:sz w:val="24"/>
          <w:szCs w:val="24"/>
        </w:rPr>
        <w:t>)</w:t>
      </w:r>
    </w:p>
    <w:p w14:paraId="41587F8D" w14:textId="77777777" w:rsidR="00396E00" w:rsidRPr="009935E0" w:rsidRDefault="00396E0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Przepisy art. 3 i 4 dyrektywy</w:t>
      </w:r>
      <w:r w:rsidR="004440FB"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przesądzają, że wyjątek w zakresie dozwolonego użytku dotyczy również praw określonych w art. 5 lit. a i art. 7 ust. 1 dyrektywy 96/9/WE, tj. praw </w:t>
      </w:r>
      <w:proofErr w:type="spellStart"/>
      <w:r w:rsidR="007A2283" w:rsidRPr="009935E0">
        <w:rPr>
          <w:rFonts w:ascii="Times New Roman" w:hAnsi="Times New Roman" w:cs="Times New Roman"/>
          <w:i/>
          <w:sz w:val="24"/>
          <w:szCs w:val="24"/>
        </w:rPr>
        <w:t>sui</w:t>
      </w:r>
      <w:proofErr w:type="spellEnd"/>
      <w:r w:rsidR="007A2283" w:rsidRPr="009935E0">
        <w:rPr>
          <w:rFonts w:ascii="Times New Roman" w:hAnsi="Times New Roman" w:cs="Times New Roman"/>
          <w:i/>
          <w:sz w:val="24"/>
          <w:szCs w:val="24"/>
        </w:rPr>
        <w:t xml:space="preserve"> </w:t>
      </w:r>
      <w:proofErr w:type="spellStart"/>
      <w:r w:rsidR="007A2283" w:rsidRPr="009935E0">
        <w:rPr>
          <w:rFonts w:ascii="Times New Roman" w:hAnsi="Times New Roman" w:cs="Times New Roman"/>
          <w:i/>
          <w:sz w:val="24"/>
          <w:szCs w:val="24"/>
        </w:rPr>
        <w:t>generis</w:t>
      </w:r>
      <w:proofErr w:type="spellEnd"/>
      <w:r w:rsidR="007A2283"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do baz danych – zarówno wykazujących cechy utworu, jak i nieprzejawiających tych cech. W związku z </w:t>
      </w:r>
      <w:r w:rsidR="00AD555A" w:rsidRPr="009935E0">
        <w:rPr>
          <w:rFonts w:ascii="Times New Roman" w:hAnsi="Times New Roman" w:cs="Times New Roman"/>
          <w:sz w:val="24"/>
          <w:szCs w:val="24"/>
        </w:rPr>
        <w:t>t</w:t>
      </w:r>
      <w:r w:rsidRPr="009935E0">
        <w:rPr>
          <w:rFonts w:ascii="Times New Roman" w:hAnsi="Times New Roman" w:cs="Times New Roman"/>
          <w:sz w:val="24"/>
          <w:szCs w:val="24"/>
        </w:rPr>
        <w:t xml:space="preserve">ym w ustawie </w:t>
      </w:r>
      <w:r w:rsidR="0095007F" w:rsidRPr="009935E0">
        <w:rPr>
          <w:rFonts w:ascii="Times New Roman" w:hAnsi="Times New Roman" w:cs="Times New Roman"/>
          <w:sz w:val="24"/>
          <w:szCs w:val="24"/>
        </w:rPr>
        <w:t xml:space="preserve">z dnia 27 lipca 2001 r. </w:t>
      </w:r>
      <w:r w:rsidRPr="009935E0">
        <w:rPr>
          <w:rFonts w:ascii="Times New Roman" w:hAnsi="Times New Roman" w:cs="Times New Roman"/>
          <w:sz w:val="24"/>
          <w:szCs w:val="24"/>
        </w:rPr>
        <w:t>o ochronie baz danych zostaną wprowadzone odpowiednie przepisy regulujące dozwolony użytek baz danych objętych tą ustawą</w:t>
      </w:r>
      <w:r w:rsidR="00847557" w:rsidRPr="009935E0">
        <w:rPr>
          <w:rFonts w:ascii="Times New Roman" w:hAnsi="Times New Roman" w:cs="Times New Roman"/>
          <w:sz w:val="24"/>
          <w:szCs w:val="24"/>
        </w:rPr>
        <w:t xml:space="preserve"> (baz danych </w:t>
      </w:r>
      <w:proofErr w:type="spellStart"/>
      <w:r w:rsidR="00847557" w:rsidRPr="009935E0">
        <w:rPr>
          <w:rFonts w:ascii="Times New Roman" w:hAnsi="Times New Roman" w:cs="Times New Roman"/>
          <w:i/>
          <w:sz w:val="24"/>
          <w:szCs w:val="24"/>
        </w:rPr>
        <w:t>sui</w:t>
      </w:r>
      <w:proofErr w:type="spellEnd"/>
      <w:r w:rsidR="00847557" w:rsidRPr="009935E0">
        <w:rPr>
          <w:rFonts w:ascii="Times New Roman" w:hAnsi="Times New Roman" w:cs="Times New Roman"/>
          <w:i/>
          <w:sz w:val="24"/>
          <w:szCs w:val="24"/>
        </w:rPr>
        <w:t xml:space="preserve"> </w:t>
      </w:r>
      <w:proofErr w:type="spellStart"/>
      <w:r w:rsidR="00847557" w:rsidRPr="009935E0">
        <w:rPr>
          <w:rFonts w:ascii="Times New Roman" w:hAnsi="Times New Roman" w:cs="Times New Roman"/>
          <w:i/>
          <w:sz w:val="24"/>
          <w:szCs w:val="24"/>
        </w:rPr>
        <w:t>generis</w:t>
      </w:r>
      <w:proofErr w:type="spellEnd"/>
      <w:r w:rsidR="00847557" w:rsidRPr="009935E0">
        <w:rPr>
          <w:rFonts w:ascii="Times New Roman" w:hAnsi="Times New Roman" w:cs="Times New Roman"/>
          <w:sz w:val="24"/>
          <w:szCs w:val="24"/>
        </w:rPr>
        <w:t>)</w:t>
      </w:r>
      <w:r w:rsidR="000668E1" w:rsidRPr="009935E0">
        <w:rPr>
          <w:rFonts w:ascii="Times New Roman" w:hAnsi="Times New Roman" w:cs="Times New Roman"/>
          <w:sz w:val="24"/>
          <w:szCs w:val="24"/>
        </w:rPr>
        <w:t>.</w:t>
      </w:r>
    </w:p>
    <w:p w14:paraId="7B221405" w14:textId="2A056995" w:rsidR="00396E00" w:rsidRPr="009935E0" w:rsidRDefault="00396E0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Art. 3 dyrektywy wprowadza nowy przypadek dozwolonego użytku w postaci „eksploracji tekstów i danych na potrzeby badań naukowych” adresowany do „organizacji badawczych” oraz „instytucji dzie</w:t>
      </w:r>
      <w:r w:rsidR="007A2283" w:rsidRPr="009935E0">
        <w:rPr>
          <w:rFonts w:ascii="Times New Roman" w:hAnsi="Times New Roman" w:cs="Times New Roman"/>
          <w:sz w:val="24"/>
          <w:szCs w:val="24"/>
        </w:rPr>
        <w:t xml:space="preserve">dzictwa kulturowego” (zob. </w:t>
      </w:r>
      <w:r w:rsidR="00FE2EBC" w:rsidRPr="009935E0">
        <w:rPr>
          <w:rFonts w:ascii="Times New Roman" w:hAnsi="Times New Roman" w:cs="Times New Roman"/>
          <w:sz w:val="24"/>
          <w:szCs w:val="24"/>
        </w:rPr>
        <w:t>pkt 1.2 uzas</w:t>
      </w:r>
      <w:r w:rsidR="008F6DEF" w:rsidRPr="009935E0">
        <w:rPr>
          <w:rFonts w:ascii="Times New Roman" w:hAnsi="Times New Roman" w:cs="Times New Roman"/>
          <w:sz w:val="24"/>
          <w:szCs w:val="24"/>
        </w:rPr>
        <w:t>adnienia</w:t>
      </w:r>
      <w:r w:rsidRPr="009935E0">
        <w:rPr>
          <w:rFonts w:ascii="Times New Roman" w:hAnsi="Times New Roman" w:cs="Times New Roman"/>
          <w:sz w:val="24"/>
          <w:szCs w:val="24"/>
        </w:rPr>
        <w:t xml:space="preserve">). W związku z tym przewiduje się dodanie w ustawie </w:t>
      </w:r>
      <w:r w:rsidR="0095007F" w:rsidRPr="009935E0">
        <w:rPr>
          <w:rFonts w:ascii="Times New Roman" w:hAnsi="Times New Roman" w:cs="Times New Roman"/>
          <w:sz w:val="24"/>
          <w:szCs w:val="24"/>
        </w:rPr>
        <w:t xml:space="preserve">z dnia 27 lipca 2001 r. </w:t>
      </w:r>
      <w:r w:rsidRPr="009935E0">
        <w:rPr>
          <w:rFonts w:ascii="Times New Roman" w:hAnsi="Times New Roman" w:cs="Times New Roman"/>
          <w:sz w:val="24"/>
          <w:szCs w:val="24"/>
        </w:rPr>
        <w:t>o ochronie baz danych nowego przepisu art. 8</w:t>
      </w:r>
      <w:r w:rsidR="00F24B2E" w:rsidRPr="009935E0">
        <w:rPr>
          <w:rFonts w:ascii="Times New Roman" w:hAnsi="Times New Roman" w:cs="Times New Roman"/>
          <w:sz w:val="24"/>
          <w:szCs w:val="24"/>
        </w:rPr>
        <w:t>b</w:t>
      </w:r>
      <w:r w:rsidR="00267395" w:rsidRPr="009935E0">
        <w:rPr>
          <w:rFonts w:ascii="Times New Roman" w:hAnsi="Times New Roman" w:cs="Times New Roman"/>
          <w:sz w:val="24"/>
          <w:szCs w:val="24"/>
        </w:rPr>
        <w:t xml:space="preserve"> </w:t>
      </w:r>
      <w:r w:rsidR="00D879A7" w:rsidRPr="009935E0">
        <w:rPr>
          <w:rFonts w:ascii="Times New Roman" w:hAnsi="Times New Roman" w:cs="Times New Roman"/>
          <w:sz w:val="24"/>
          <w:szCs w:val="24"/>
        </w:rPr>
        <w:t>stanowiącego, że</w:t>
      </w:r>
      <w:r w:rsidR="00267395" w:rsidRPr="009935E0">
        <w:rPr>
          <w:rFonts w:ascii="Times New Roman" w:hAnsi="Times New Roman" w:cs="Times New Roman"/>
          <w:sz w:val="24"/>
          <w:szCs w:val="24"/>
        </w:rPr>
        <w:t xml:space="preserve"> </w:t>
      </w:r>
      <w:r w:rsidR="006B3522" w:rsidRPr="009935E0">
        <w:rPr>
          <w:rFonts w:ascii="Times New Roman" w:hAnsi="Times New Roman" w:cs="Times New Roman"/>
          <w:sz w:val="24"/>
          <w:szCs w:val="24"/>
        </w:rPr>
        <w:t>i</w:t>
      </w:r>
      <w:r w:rsidR="005A6CD7" w:rsidRPr="009935E0">
        <w:rPr>
          <w:rFonts w:ascii="Times New Roman" w:hAnsi="Times New Roman" w:cs="Times New Roman"/>
          <w:sz w:val="24"/>
          <w:szCs w:val="24"/>
        </w:rPr>
        <w:t xml:space="preserve">nstytucje dziedzictwa kulturowego, a także podmioty, o których mowa w art. 7 ust. 1 pkt 1, 2 i 4–8 ustawy z dnia 20 lipca 2018 r. – Prawo o szkolnictwie wyższym i nauce, mogą zwielokrotniać bazy danych w celu eksploracji tekstów i danych do celów badań naukowych, jeżeli czynności te nie są dokonywane w celu osiągnięcia bezpośredniej lub pośredniej korzyści majątkowej. </w:t>
      </w:r>
      <w:r w:rsidR="00D879A7" w:rsidRPr="009935E0">
        <w:rPr>
          <w:rFonts w:ascii="Times New Roman" w:hAnsi="Times New Roman" w:cs="Times New Roman"/>
          <w:sz w:val="24"/>
          <w:szCs w:val="24"/>
        </w:rPr>
        <w:t>Tak zwielokrotnione b</w:t>
      </w:r>
      <w:r w:rsidR="005A6CD7" w:rsidRPr="009935E0">
        <w:rPr>
          <w:rFonts w:ascii="Times New Roman" w:hAnsi="Times New Roman" w:cs="Times New Roman"/>
          <w:sz w:val="24"/>
          <w:szCs w:val="24"/>
        </w:rPr>
        <w:t xml:space="preserve">azy danych </w:t>
      </w:r>
      <w:r w:rsidR="00D879A7" w:rsidRPr="009935E0">
        <w:rPr>
          <w:rFonts w:ascii="Times New Roman" w:hAnsi="Times New Roman" w:cs="Times New Roman"/>
          <w:sz w:val="24"/>
          <w:szCs w:val="24"/>
        </w:rPr>
        <w:t>mogą</w:t>
      </w:r>
      <w:r w:rsidR="005A6CD7" w:rsidRPr="009935E0">
        <w:rPr>
          <w:rFonts w:ascii="Times New Roman" w:hAnsi="Times New Roman" w:cs="Times New Roman"/>
          <w:sz w:val="24"/>
          <w:szCs w:val="24"/>
        </w:rPr>
        <w:t xml:space="preserve"> być przechowywane do celów badań naukowych, w tym weryfikacji wyników tych badań</w:t>
      </w:r>
      <w:r w:rsidR="00D879A7" w:rsidRPr="009935E0">
        <w:rPr>
          <w:rFonts w:ascii="Times New Roman" w:hAnsi="Times New Roman" w:cs="Times New Roman"/>
          <w:sz w:val="24"/>
          <w:szCs w:val="24"/>
        </w:rPr>
        <w:t>, a ich p</w:t>
      </w:r>
      <w:r w:rsidR="00267395" w:rsidRPr="009935E0">
        <w:rPr>
          <w:rFonts w:ascii="Times New Roman" w:hAnsi="Times New Roman" w:cs="Times New Roman"/>
          <w:sz w:val="24"/>
          <w:szCs w:val="24"/>
        </w:rPr>
        <w:t xml:space="preserve">rzechowywanie </w:t>
      </w:r>
      <w:r w:rsidR="005A6CD7" w:rsidRPr="009935E0">
        <w:rPr>
          <w:rFonts w:ascii="Times New Roman" w:hAnsi="Times New Roman" w:cs="Times New Roman"/>
          <w:sz w:val="24"/>
          <w:szCs w:val="24"/>
        </w:rPr>
        <w:t xml:space="preserve">odbywa się z zachowaniem poziomu bezpieczeństwa zapewniającego dostęp </w:t>
      </w:r>
      <w:r w:rsidR="005A6CD7" w:rsidRPr="009935E0">
        <w:rPr>
          <w:rFonts w:ascii="Times New Roman" w:hAnsi="Times New Roman" w:cs="Times New Roman"/>
          <w:sz w:val="24"/>
          <w:szCs w:val="24"/>
        </w:rPr>
        <w:lastRenderedPageBreak/>
        <w:t>do nich wyłącznie upoważnionym osobom, z uwzględnieniem procedur uwierzytelniających.</w:t>
      </w:r>
      <w:r w:rsidR="00C103CF" w:rsidRPr="009935E0">
        <w:rPr>
          <w:rFonts w:ascii="Times New Roman" w:hAnsi="Times New Roman" w:cs="Times New Roman"/>
          <w:sz w:val="24"/>
          <w:szCs w:val="24"/>
        </w:rPr>
        <w:t xml:space="preserve"> Uprawniony</w:t>
      </w:r>
      <w:r w:rsidR="00840D83" w:rsidRPr="009935E0">
        <w:rPr>
          <w:rFonts w:ascii="Times New Roman" w:hAnsi="Times New Roman" w:cs="Times New Roman"/>
          <w:sz w:val="24"/>
          <w:szCs w:val="24"/>
        </w:rPr>
        <w:t>,</w:t>
      </w:r>
      <w:r w:rsidR="00C103CF" w:rsidRPr="009935E0">
        <w:rPr>
          <w:rFonts w:ascii="Times New Roman" w:hAnsi="Times New Roman" w:cs="Times New Roman"/>
          <w:sz w:val="24"/>
          <w:szCs w:val="24"/>
        </w:rPr>
        <w:t xml:space="preserve"> </w:t>
      </w:r>
      <w:r w:rsidR="00840D83" w:rsidRPr="009935E0">
        <w:rPr>
          <w:rFonts w:ascii="Times New Roman" w:hAnsi="Times New Roman" w:cs="Times New Roman"/>
          <w:sz w:val="24"/>
          <w:szCs w:val="24"/>
        </w:rPr>
        <w:t>w celu zapewnienia bezpieczeństwa i integralności sieci i baz danych, w których utwory są przechowywane, może stosować wyłącznie środki niezbędne do osiągnięcia tego celu</w:t>
      </w:r>
      <w:r w:rsidR="00C103CF" w:rsidRPr="009935E0">
        <w:rPr>
          <w:rFonts w:ascii="Times New Roman" w:hAnsi="Times New Roman" w:cs="Times New Roman"/>
          <w:sz w:val="24"/>
          <w:szCs w:val="24"/>
        </w:rPr>
        <w:t>.</w:t>
      </w:r>
      <w:r w:rsidR="005A6CD7" w:rsidRPr="009935E0">
        <w:rPr>
          <w:rFonts w:ascii="Times New Roman" w:hAnsi="Times New Roman" w:cs="Times New Roman"/>
          <w:sz w:val="24"/>
          <w:szCs w:val="24"/>
        </w:rPr>
        <w:t>”.</w:t>
      </w:r>
      <w:r w:rsidR="008C4211" w:rsidRPr="009935E0">
        <w:rPr>
          <w:rFonts w:ascii="Times New Roman" w:hAnsi="Times New Roman" w:cs="Times New Roman"/>
          <w:sz w:val="24"/>
          <w:szCs w:val="24"/>
        </w:rPr>
        <w:t xml:space="preserve"> </w:t>
      </w:r>
    </w:p>
    <w:p w14:paraId="6566EED0" w14:textId="132D4B0A" w:rsidR="00454EB0" w:rsidRPr="009935E0" w:rsidRDefault="00396E0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4 dyrektywy </w:t>
      </w:r>
      <w:r w:rsidR="00F55C5E" w:rsidRPr="009935E0">
        <w:rPr>
          <w:rFonts w:ascii="Times New Roman" w:hAnsi="Times New Roman" w:cs="Times New Roman"/>
          <w:sz w:val="24"/>
          <w:szCs w:val="24"/>
        </w:rPr>
        <w:t xml:space="preserve">DSM </w:t>
      </w:r>
      <w:r w:rsidRPr="009935E0">
        <w:rPr>
          <w:rFonts w:ascii="Times New Roman" w:hAnsi="Times New Roman" w:cs="Times New Roman"/>
          <w:sz w:val="24"/>
          <w:szCs w:val="24"/>
        </w:rPr>
        <w:t xml:space="preserve">przewiduje dozwolony użytek na potrzeby eksploracji tekstów i danych, który nie jest ograniczony podmiotowo i </w:t>
      </w:r>
      <w:r w:rsidR="008F6DEF" w:rsidRPr="009935E0">
        <w:rPr>
          <w:rFonts w:ascii="Times New Roman" w:hAnsi="Times New Roman" w:cs="Times New Roman"/>
          <w:sz w:val="24"/>
          <w:szCs w:val="24"/>
        </w:rPr>
        <w:t xml:space="preserve">również </w:t>
      </w:r>
      <w:r w:rsidRPr="009935E0">
        <w:rPr>
          <w:rFonts w:ascii="Times New Roman" w:hAnsi="Times New Roman" w:cs="Times New Roman"/>
          <w:sz w:val="24"/>
          <w:szCs w:val="24"/>
        </w:rPr>
        <w:t xml:space="preserve">ma zastosowanie do baz danych </w:t>
      </w:r>
      <w:proofErr w:type="spellStart"/>
      <w:r w:rsidRPr="009935E0">
        <w:rPr>
          <w:rFonts w:ascii="Times New Roman" w:hAnsi="Times New Roman" w:cs="Times New Roman"/>
          <w:i/>
          <w:sz w:val="24"/>
          <w:szCs w:val="24"/>
        </w:rPr>
        <w:t>sui</w:t>
      </w:r>
      <w:proofErr w:type="spellEnd"/>
      <w:r w:rsidRPr="009935E0">
        <w:rPr>
          <w:rFonts w:ascii="Times New Roman" w:hAnsi="Times New Roman" w:cs="Times New Roman"/>
          <w:i/>
          <w:sz w:val="24"/>
          <w:szCs w:val="24"/>
        </w:rPr>
        <w:t xml:space="preserve"> </w:t>
      </w:r>
      <w:proofErr w:type="spellStart"/>
      <w:r w:rsidRPr="009935E0">
        <w:rPr>
          <w:rFonts w:ascii="Times New Roman" w:hAnsi="Times New Roman" w:cs="Times New Roman"/>
          <w:i/>
          <w:sz w:val="24"/>
          <w:szCs w:val="24"/>
        </w:rPr>
        <w:t>generis</w:t>
      </w:r>
      <w:proofErr w:type="spellEnd"/>
      <w:r w:rsidRPr="009935E0">
        <w:rPr>
          <w:rFonts w:ascii="Times New Roman" w:hAnsi="Times New Roman" w:cs="Times New Roman"/>
          <w:sz w:val="24"/>
          <w:szCs w:val="24"/>
        </w:rPr>
        <w:t xml:space="preserve">. Z tej postaci dozwolonego użytku będzie zatem mógł korzystać każdy, ale pod warunkiem, że uprawniony nie </w:t>
      </w:r>
      <w:r w:rsidR="00FE2EBC" w:rsidRPr="009935E0">
        <w:rPr>
          <w:rFonts w:ascii="Times New Roman" w:hAnsi="Times New Roman" w:cs="Times New Roman"/>
          <w:sz w:val="24"/>
          <w:szCs w:val="24"/>
        </w:rPr>
        <w:t>uczynił odmiennego zastrzeżenia (zob. pkt 1.3 uzas</w:t>
      </w:r>
      <w:r w:rsidR="002C2D72" w:rsidRPr="009935E0">
        <w:rPr>
          <w:rFonts w:ascii="Times New Roman" w:hAnsi="Times New Roman" w:cs="Times New Roman"/>
          <w:sz w:val="24"/>
          <w:szCs w:val="24"/>
        </w:rPr>
        <w:t>adnienia</w:t>
      </w:r>
      <w:r w:rsidR="00FE2EBC" w:rsidRPr="009935E0">
        <w:rPr>
          <w:rFonts w:ascii="Times New Roman" w:hAnsi="Times New Roman" w:cs="Times New Roman"/>
          <w:sz w:val="24"/>
          <w:szCs w:val="24"/>
        </w:rPr>
        <w:t xml:space="preserve">). </w:t>
      </w:r>
      <w:r w:rsidRPr="009935E0">
        <w:rPr>
          <w:rFonts w:ascii="Times New Roman" w:hAnsi="Times New Roman" w:cs="Times New Roman"/>
          <w:sz w:val="24"/>
          <w:szCs w:val="24"/>
        </w:rPr>
        <w:t>Proponuje się zatem dodanie</w:t>
      </w:r>
      <w:r w:rsidR="00847557" w:rsidRPr="009935E0">
        <w:rPr>
          <w:rFonts w:ascii="Times New Roman" w:hAnsi="Times New Roman" w:cs="Times New Roman"/>
          <w:sz w:val="24"/>
          <w:szCs w:val="24"/>
        </w:rPr>
        <w:t xml:space="preserve"> </w:t>
      </w:r>
      <w:r w:rsidR="006F2F04" w:rsidRPr="009935E0">
        <w:rPr>
          <w:rFonts w:ascii="Times New Roman" w:hAnsi="Times New Roman" w:cs="Times New Roman"/>
          <w:sz w:val="24"/>
          <w:szCs w:val="24"/>
        </w:rPr>
        <w:t xml:space="preserve">w ustawie </w:t>
      </w:r>
      <w:r w:rsidR="0095007F" w:rsidRPr="009935E0">
        <w:rPr>
          <w:rFonts w:ascii="Times New Roman" w:hAnsi="Times New Roman" w:cs="Times New Roman"/>
          <w:sz w:val="24"/>
          <w:szCs w:val="24"/>
        </w:rPr>
        <w:t xml:space="preserve">z dnia 27 lipca 2001 r. </w:t>
      </w:r>
      <w:r w:rsidR="006F2F04" w:rsidRPr="009935E0">
        <w:rPr>
          <w:rFonts w:ascii="Times New Roman" w:hAnsi="Times New Roman" w:cs="Times New Roman"/>
          <w:sz w:val="24"/>
          <w:szCs w:val="24"/>
        </w:rPr>
        <w:t xml:space="preserve">o ochronie baz danych </w:t>
      </w:r>
      <w:r w:rsidR="00847557" w:rsidRPr="009935E0">
        <w:rPr>
          <w:rFonts w:ascii="Times New Roman" w:hAnsi="Times New Roman" w:cs="Times New Roman"/>
          <w:sz w:val="24"/>
          <w:szCs w:val="24"/>
        </w:rPr>
        <w:t>przepisu</w:t>
      </w:r>
      <w:r w:rsidRPr="009935E0">
        <w:rPr>
          <w:rFonts w:ascii="Times New Roman" w:hAnsi="Times New Roman" w:cs="Times New Roman"/>
          <w:sz w:val="24"/>
          <w:szCs w:val="24"/>
        </w:rPr>
        <w:t xml:space="preserve"> art. 8</w:t>
      </w:r>
      <w:r w:rsidR="00121F1E" w:rsidRPr="009935E0">
        <w:rPr>
          <w:rFonts w:ascii="Times New Roman" w:hAnsi="Times New Roman" w:cs="Times New Roman"/>
          <w:sz w:val="24"/>
          <w:szCs w:val="24"/>
        </w:rPr>
        <w:t>a</w:t>
      </w:r>
      <w:r w:rsidR="00453392" w:rsidRPr="009935E0">
        <w:rPr>
          <w:rFonts w:ascii="Times New Roman" w:hAnsi="Times New Roman" w:cs="Times New Roman"/>
          <w:sz w:val="24"/>
          <w:szCs w:val="24"/>
        </w:rPr>
        <w:t>, zgodnie z którym</w:t>
      </w:r>
      <w:r w:rsidR="00454EB0" w:rsidRPr="009935E0">
        <w:rPr>
          <w:rFonts w:ascii="Times New Roman" w:hAnsi="Times New Roman" w:cs="Times New Roman"/>
          <w:i/>
          <w:sz w:val="24"/>
          <w:szCs w:val="24"/>
        </w:rPr>
        <w:t xml:space="preserve"> </w:t>
      </w:r>
      <w:r w:rsidR="00453392" w:rsidRPr="009935E0">
        <w:rPr>
          <w:rFonts w:ascii="Times New Roman" w:hAnsi="Times New Roman" w:cs="Times New Roman"/>
          <w:sz w:val="24"/>
          <w:szCs w:val="24"/>
        </w:rPr>
        <w:t xml:space="preserve">wolno </w:t>
      </w:r>
      <w:r w:rsidR="00454EB0" w:rsidRPr="009935E0">
        <w:rPr>
          <w:rFonts w:ascii="Times New Roman" w:hAnsi="Times New Roman" w:cs="Times New Roman"/>
          <w:sz w:val="24"/>
          <w:szCs w:val="24"/>
        </w:rPr>
        <w:t>zwielokrotniać rozpowszechnione bazy danych w celu eksploracji tekstów i danych, chyba że uprawniony zastrzegł inaczej.</w:t>
      </w:r>
      <w:r w:rsidR="00454EB0" w:rsidRPr="009935E0">
        <w:rPr>
          <w:rFonts w:ascii="Times New Roman" w:hAnsi="Times New Roman" w:cs="Times New Roman"/>
          <w:i/>
          <w:sz w:val="24"/>
          <w:szCs w:val="24"/>
        </w:rPr>
        <w:t xml:space="preserve"> </w:t>
      </w:r>
      <w:r w:rsidR="00453392" w:rsidRPr="009935E0">
        <w:rPr>
          <w:rFonts w:ascii="Times New Roman" w:hAnsi="Times New Roman" w:cs="Times New Roman"/>
          <w:sz w:val="24"/>
          <w:szCs w:val="24"/>
        </w:rPr>
        <w:t>Powyższe zastrzeżenie</w:t>
      </w:r>
      <w:r w:rsidR="00454EB0" w:rsidRPr="009935E0">
        <w:rPr>
          <w:rFonts w:ascii="Times New Roman" w:hAnsi="Times New Roman" w:cs="Times New Roman"/>
          <w:sz w:val="24"/>
          <w:szCs w:val="24"/>
        </w:rPr>
        <w:t xml:space="preserve"> powinno być </w:t>
      </w:r>
      <w:r w:rsidR="00F55516" w:rsidRPr="009935E0">
        <w:rPr>
          <w:rFonts w:ascii="Times New Roman" w:hAnsi="Times New Roman" w:cs="Times New Roman"/>
          <w:sz w:val="24"/>
          <w:szCs w:val="24"/>
        </w:rPr>
        <w:t xml:space="preserve">wyraźne i odpowiednie </w:t>
      </w:r>
      <w:r w:rsidR="00454EB0" w:rsidRPr="009935E0">
        <w:rPr>
          <w:rFonts w:ascii="Times New Roman" w:hAnsi="Times New Roman" w:cs="Times New Roman"/>
          <w:sz w:val="24"/>
          <w:szCs w:val="24"/>
        </w:rPr>
        <w:t>do sposobu udostępniania baz danych</w:t>
      </w:r>
      <w:r w:rsidR="00881B52" w:rsidRPr="009935E0">
        <w:rPr>
          <w:rFonts w:ascii="Times New Roman" w:hAnsi="Times New Roman" w:cs="Times New Roman"/>
          <w:sz w:val="24"/>
          <w:szCs w:val="24"/>
        </w:rPr>
        <w:t xml:space="preserve">, a w </w:t>
      </w:r>
      <w:r w:rsidR="00454EB0" w:rsidRPr="009935E0">
        <w:rPr>
          <w:rFonts w:ascii="Times New Roman" w:hAnsi="Times New Roman" w:cs="Times New Roman"/>
          <w:sz w:val="24"/>
          <w:szCs w:val="24"/>
        </w:rPr>
        <w:t xml:space="preserve">przypadku baz danych publicznie udostępnionych w taki sposób, aby każdy mógł mieć do nich dostęp w miejscu i czasie przez siebie wybranym, zastrzeżenie następuje w formacie </w:t>
      </w:r>
      <w:r w:rsidR="00F55516" w:rsidRPr="009935E0">
        <w:rPr>
          <w:rFonts w:ascii="Times New Roman" w:hAnsi="Times New Roman" w:cs="Times New Roman"/>
          <w:sz w:val="24"/>
          <w:szCs w:val="24"/>
        </w:rPr>
        <w:t>przeznaczonym</w:t>
      </w:r>
      <w:r w:rsidR="00454EB0" w:rsidRPr="009935E0">
        <w:rPr>
          <w:rFonts w:ascii="Times New Roman" w:hAnsi="Times New Roman" w:cs="Times New Roman"/>
          <w:sz w:val="24"/>
          <w:szCs w:val="24"/>
        </w:rPr>
        <w:t xml:space="preserve"> do odczytu maszynowego w rozumieniu </w:t>
      </w:r>
      <w:r w:rsidR="00F55516" w:rsidRPr="009935E0">
        <w:rPr>
          <w:rFonts w:ascii="Times New Roman" w:hAnsi="Times New Roman" w:cs="Times New Roman"/>
          <w:sz w:val="24"/>
          <w:szCs w:val="24"/>
        </w:rPr>
        <w:t xml:space="preserve">art. 2 pkt 7 </w:t>
      </w:r>
      <w:r w:rsidR="00454EB0" w:rsidRPr="009935E0">
        <w:rPr>
          <w:rFonts w:ascii="Times New Roman" w:hAnsi="Times New Roman" w:cs="Times New Roman"/>
          <w:sz w:val="24"/>
          <w:szCs w:val="24"/>
        </w:rPr>
        <w:t xml:space="preserve">ustawy z dnia 11 sierpnia 2021 r. o otwartych danych i ponownym wykorzystywaniu informacji sektora </w:t>
      </w:r>
      <w:r w:rsidR="00864121" w:rsidRPr="009935E0">
        <w:rPr>
          <w:rFonts w:ascii="Times New Roman" w:hAnsi="Times New Roman" w:cs="Times New Roman"/>
          <w:sz w:val="24"/>
          <w:szCs w:val="24"/>
        </w:rPr>
        <w:t xml:space="preserve">publicznego </w:t>
      </w:r>
      <w:r w:rsidR="00F55516" w:rsidRPr="009935E0">
        <w:rPr>
          <w:rFonts w:ascii="Times New Roman" w:hAnsi="Times New Roman" w:cs="Times New Roman"/>
          <w:sz w:val="24"/>
          <w:szCs w:val="24"/>
        </w:rPr>
        <w:t>wraz z metadanymi</w:t>
      </w:r>
      <w:r w:rsidR="00864121" w:rsidRPr="009935E0">
        <w:rPr>
          <w:rFonts w:ascii="Times New Roman" w:hAnsi="Times New Roman" w:cs="Times New Roman"/>
          <w:sz w:val="24"/>
          <w:szCs w:val="24"/>
        </w:rPr>
        <w:t>.</w:t>
      </w:r>
      <w:r w:rsidR="00453392" w:rsidRPr="009935E0" w:rsidDel="00453392">
        <w:rPr>
          <w:rFonts w:ascii="Times New Roman" w:hAnsi="Times New Roman" w:cs="Times New Roman"/>
          <w:sz w:val="24"/>
          <w:szCs w:val="24"/>
        </w:rPr>
        <w:t xml:space="preserve"> </w:t>
      </w:r>
    </w:p>
    <w:p w14:paraId="38E48A17" w14:textId="4ACF2B54" w:rsidR="00396E00" w:rsidRPr="009935E0" w:rsidRDefault="00CB0CDB"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Wprowadzenie powyższych przepisów</w:t>
      </w:r>
      <w:r w:rsidR="00396E00" w:rsidRPr="009935E0">
        <w:rPr>
          <w:rFonts w:ascii="Times New Roman" w:hAnsi="Times New Roman" w:cs="Times New Roman"/>
          <w:sz w:val="24"/>
          <w:szCs w:val="24"/>
        </w:rPr>
        <w:t xml:space="preserve"> będzie wymagało zdefiniowania pojęcia „eksploracja tekstów i danych”, co nastąpi przez odesłanie do definicji za</w:t>
      </w:r>
      <w:r w:rsidR="00D963C3" w:rsidRPr="009935E0">
        <w:rPr>
          <w:rFonts w:ascii="Times New Roman" w:hAnsi="Times New Roman" w:cs="Times New Roman"/>
          <w:sz w:val="24"/>
          <w:szCs w:val="24"/>
        </w:rPr>
        <w:t>wartej w</w:t>
      </w:r>
      <w:r w:rsidR="002E5AE6">
        <w:rPr>
          <w:rFonts w:ascii="Times New Roman" w:hAnsi="Times New Roman" w:cs="Times New Roman"/>
          <w:sz w:val="24"/>
          <w:szCs w:val="24"/>
        </w:rPr>
        <w:t xml:space="preserve"> </w:t>
      </w:r>
      <w:r w:rsidR="00396E00" w:rsidRPr="009935E0">
        <w:rPr>
          <w:rFonts w:ascii="Times New Roman" w:hAnsi="Times New Roman" w:cs="Times New Roman"/>
          <w:sz w:val="24"/>
          <w:szCs w:val="24"/>
        </w:rPr>
        <w:t>projektowanym art. 6 ust.</w:t>
      </w:r>
      <w:r w:rsidR="002E5AE6">
        <w:rPr>
          <w:rFonts w:ascii="Times New Roman" w:hAnsi="Times New Roman" w:cs="Times New Roman"/>
          <w:sz w:val="24"/>
          <w:szCs w:val="24"/>
        </w:rPr>
        <w:t> </w:t>
      </w:r>
      <w:r w:rsidR="00396E00" w:rsidRPr="009935E0">
        <w:rPr>
          <w:rFonts w:ascii="Times New Roman" w:hAnsi="Times New Roman" w:cs="Times New Roman"/>
          <w:sz w:val="24"/>
          <w:szCs w:val="24"/>
        </w:rPr>
        <w:t xml:space="preserve">1 </w:t>
      </w:r>
      <w:r w:rsidR="00FE2EBC" w:rsidRPr="009935E0">
        <w:rPr>
          <w:rFonts w:ascii="Times New Roman" w:hAnsi="Times New Roman" w:cs="Times New Roman"/>
          <w:sz w:val="24"/>
          <w:szCs w:val="24"/>
        </w:rPr>
        <w:t>pkt 2</w:t>
      </w:r>
      <w:r w:rsidR="00CB10AC" w:rsidRPr="009935E0">
        <w:rPr>
          <w:rFonts w:ascii="Times New Roman" w:hAnsi="Times New Roman" w:cs="Times New Roman"/>
          <w:sz w:val="24"/>
          <w:szCs w:val="24"/>
        </w:rPr>
        <w:t>2</w:t>
      </w:r>
      <w:r w:rsidR="00FE2EBC" w:rsidRPr="009935E0">
        <w:rPr>
          <w:rFonts w:ascii="Times New Roman" w:hAnsi="Times New Roman" w:cs="Times New Roman"/>
          <w:sz w:val="24"/>
          <w:szCs w:val="24"/>
        </w:rPr>
        <w:t xml:space="preserve"> </w:t>
      </w:r>
      <w:r w:rsidR="006768F4" w:rsidRPr="009935E0">
        <w:rPr>
          <w:rFonts w:ascii="Times New Roman" w:hAnsi="Times New Roman" w:cs="Times New Roman"/>
          <w:sz w:val="24"/>
          <w:szCs w:val="24"/>
        </w:rPr>
        <w:t>ustawy o prawie autorskim.</w:t>
      </w:r>
    </w:p>
    <w:p w14:paraId="329256BE" w14:textId="588D2C0A" w:rsidR="001E3930" w:rsidRPr="009935E0" w:rsidRDefault="00396E0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Natomiast art. 5 dyrektywy</w:t>
      </w:r>
      <w:r w:rsidR="000F363B" w:rsidRPr="009935E0">
        <w:rPr>
          <w:rFonts w:ascii="Times New Roman" w:hAnsi="Times New Roman" w:cs="Times New Roman"/>
          <w:sz w:val="24"/>
          <w:szCs w:val="24"/>
        </w:rPr>
        <w:t xml:space="preserve"> DSM</w:t>
      </w:r>
      <w:r w:rsidRPr="009935E0">
        <w:rPr>
          <w:rFonts w:ascii="Times New Roman" w:hAnsi="Times New Roman" w:cs="Times New Roman"/>
          <w:sz w:val="24"/>
          <w:szCs w:val="24"/>
        </w:rPr>
        <w:t xml:space="preserve"> należy uznać za </w:t>
      </w:r>
      <w:r w:rsidR="008F6DEF" w:rsidRPr="009935E0">
        <w:rPr>
          <w:rFonts w:ascii="Times New Roman" w:hAnsi="Times New Roman" w:cs="Times New Roman"/>
          <w:sz w:val="24"/>
          <w:szCs w:val="24"/>
        </w:rPr>
        <w:t xml:space="preserve">częściowo </w:t>
      </w:r>
      <w:r w:rsidRPr="009935E0">
        <w:rPr>
          <w:rFonts w:ascii="Times New Roman" w:hAnsi="Times New Roman" w:cs="Times New Roman"/>
          <w:sz w:val="24"/>
          <w:szCs w:val="24"/>
        </w:rPr>
        <w:t xml:space="preserve">wdrożony przez przepis art. 8 ust. 1 pkt 2 ustawy </w:t>
      </w:r>
      <w:r w:rsidR="0095007F" w:rsidRPr="009935E0">
        <w:rPr>
          <w:rFonts w:ascii="Times New Roman" w:hAnsi="Times New Roman" w:cs="Times New Roman"/>
          <w:sz w:val="24"/>
          <w:szCs w:val="24"/>
        </w:rPr>
        <w:t xml:space="preserve">z dnia 27 lipca 2001 r. </w:t>
      </w:r>
      <w:r w:rsidRPr="009935E0">
        <w:rPr>
          <w:rFonts w:ascii="Times New Roman" w:hAnsi="Times New Roman" w:cs="Times New Roman"/>
          <w:sz w:val="24"/>
          <w:szCs w:val="24"/>
        </w:rPr>
        <w:t>o ochronie baz danych,</w:t>
      </w:r>
      <w:r w:rsidR="00CB0CDB" w:rsidRPr="009935E0">
        <w:rPr>
          <w:rFonts w:ascii="Times New Roman" w:hAnsi="Times New Roman" w:cs="Times New Roman"/>
          <w:sz w:val="24"/>
          <w:szCs w:val="24"/>
        </w:rPr>
        <w:t xml:space="preserve"> który zawiera już uregulowanie </w:t>
      </w:r>
      <w:r w:rsidRPr="009935E0">
        <w:rPr>
          <w:rFonts w:ascii="Times New Roman" w:hAnsi="Times New Roman" w:cs="Times New Roman"/>
          <w:sz w:val="24"/>
          <w:szCs w:val="24"/>
        </w:rPr>
        <w:t>wprowadzające dozwolony użytek w zakresie korzystania z baz danych w charakterze ilustracji, w celach dydaktycznych lub badawczych.</w:t>
      </w:r>
      <w:r w:rsidR="008F6DEF" w:rsidRPr="009935E0">
        <w:rPr>
          <w:rFonts w:ascii="Times New Roman" w:hAnsi="Times New Roman" w:cs="Times New Roman"/>
          <w:sz w:val="24"/>
          <w:szCs w:val="24"/>
        </w:rPr>
        <w:t xml:space="preserve"> </w:t>
      </w:r>
      <w:r w:rsidR="001E3930" w:rsidRPr="009935E0">
        <w:rPr>
          <w:rFonts w:ascii="Times New Roman" w:hAnsi="Times New Roman" w:cs="Times New Roman"/>
          <w:sz w:val="24"/>
          <w:szCs w:val="24"/>
        </w:rPr>
        <w:t xml:space="preserve">Natomiast dla pełnego wdrożenia tego przepisu dodane zostaną </w:t>
      </w:r>
      <w:r w:rsidR="004440FB" w:rsidRPr="009935E0">
        <w:rPr>
          <w:rFonts w:ascii="Times New Roman" w:hAnsi="Times New Roman" w:cs="Times New Roman"/>
          <w:sz w:val="24"/>
          <w:szCs w:val="24"/>
        </w:rPr>
        <w:t xml:space="preserve">w art. 8 </w:t>
      </w:r>
      <w:r w:rsidR="001E3930" w:rsidRPr="009935E0">
        <w:rPr>
          <w:rFonts w:ascii="Times New Roman" w:hAnsi="Times New Roman" w:cs="Times New Roman"/>
          <w:sz w:val="24"/>
          <w:szCs w:val="24"/>
        </w:rPr>
        <w:t xml:space="preserve">przepisy ust. 1a i 1b. W ust. 1a zostanie wskazane wprost, że korzystanie z baz danych w ramach dozwolonego użytku będzie odbywać się na odpowiedzialność instytucji oświatowych i podmiotów, o których mowa w art. 7 ust. 1 pkt 1, 2 i 4–8 ustawy z dnia 20 lipca 2018 r. – Prawo o szkolnictwie wyższym i nauce, na </w:t>
      </w:r>
      <w:r w:rsidR="00E7207F" w:rsidRPr="009935E0">
        <w:rPr>
          <w:rFonts w:ascii="Times New Roman" w:hAnsi="Times New Roman" w:cs="Times New Roman"/>
          <w:sz w:val="24"/>
          <w:szCs w:val="24"/>
        </w:rPr>
        <w:t>ich terenie lub w innym miejscu, lub za pośrednictwem bezpiecznego środowiska elektronicznego dostępnego</w:t>
      </w:r>
      <w:r w:rsidR="00524FD0" w:rsidRPr="009935E0">
        <w:rPr>
          <w:rFonts w:ascii="Times New Roman" w:hAnsi="Times New Roman" w:cs="Times New Roman"/>
          <w:sz w:val="24"/>
          <w:szCs w:val="24"/>
        </w:rPr>
        <w:t>, dzięki zastosowaniu procedur uwierzytelniających,</w:t>
      </w:r>
      <w:r w:rsidR="00D963C3" w:rsidRPr="009935E0">
        <w:rPr>
          <w:rFonts w:ascii="Times New Roman" w:hAnsi="Times New Roman" w:cs="Times New Roman"/>
          <w:sz w:val="24"/>
          <w:szCs w:val="24"/>
        </w:rPr>
        <w:t xml:space="preserve"> tylko dla uczących się i </w:t>
      </w:r>
      <w:r w:rsidR="00E7207F" w:rsidRPr="009935E0">
        <w:rPr>
          <w:rFonts w:ascii="Times New Roman" w:hAnsi="Times New Roman" w:cs="Times New Roman"/>
          <w:sz w:val="24"/>
          <w:szCs w:val="24"/>
        </w:rPr>
        <w:t>nauczających lub prowadzących działalność naukową w danej instytucji lub podmiocie.</w:t>
      </w:r>
      <w:r w:rsidR="001E3930" w:rsidRPr="009935E0">
        <w:rPr>
          <w:rFonts w:ascii="Times New Roman" w:hAnsi="Times New Roman" w:cs="Times New Roman"/>
          <w:sz w:val="24"/>
          <w:szCs w:val="24"/>
        </w:rPr>
        <w:t xml:space="preserve"> </w:t>
      </w:r>
      <w:r w:rsidR="00CB0CDB" w:rsidRPr="009935E0">
        <w:rPr>
          <w:rFonts w:ascii="Times New Roman" w:hAnsi="Times New Roman" w:cs="Times New Roman"/>
          <w:sz w:val="24"/>
          <w:szCs w:val="24"/>
        </w:rPr>
        <w:t>Nastąpi też</w:t>
      </w:r>
      <w:r w:rsidR="001E3930" w:rsidRPr="009935E0">
        <w:rPr>
          <w:rFonts w:ascii="Times New Roman" w:hAnsi="Times New Roman" w:cs="Times New Roman"/>
          <w:sz w:val="24"/>
          <w:szCs w:val="24"/>
        </w:rPr>
        <w:t xml:space="preserve"> wprowadzenie zasady </w:t>
      </w:r>
      <w:r w:rsidR="00CB0CDB" w:rsidRPr="009935E0">
        <w:rPr>
          <w:rFonts w:ascii="Times New Roman" w:hAnsi="Times New Roman" w:cs="Times New Roman"/>
          <w:sz w:val="24"/>
          <w:szCs w:val="24"/>
        </w:rPr>
        <w:t>państwa pochodzenia</w:t>
      </w:r>
      <w:r w:rsidR="001E3930" w:rsidRPr="009935E0">
        <w:rPr>
          <w:rFonts w:ascii="Times New Roman" w:hAnsi="Times New Roman" w:cs="Times New Roman"/>
          <w:sz w:val="24"/>
          <w:szCs w:val="24"/>
        </w:rPr>
        <w:t>, o której mowa w art. 5 ust. 3 dyrektywy</w:t>
      </w:r>
      <w:r w:rsidR="00F55C5E" w:rsidRPr="009935E0">
        <w:rPr>
          <w:rFonts w:ascii="Times New Roman" w:hAnsi="Times New Roman" w:cs="Times New Roman"/>
          <w:sz w:val="24"/>
          <w:szCs w:val="24"/>
        </w:rPr>
        <w:t xml:space="preserve"> DSM</w:t>
      </w:r>
      <w:r w:rsidR="001E3930" w:rsidRPr="009935E0">
        <w:rPr>
          <w:rFonts w:ascii="Times New Roman" w:hAnsi="Times New Roman" w:cs="Times New Roman"/>
          <w:sz w:val="24"/>
          <w:szCs w:val="24"/>
        </w:rPr>
        <w:t xml:space="preserve">, wskazując, że korzystanie z </w:t>
      </w:r>
      <w:r w:rsidR="00C13CCA" w:rsidRPr="009935E0">
        <w:rPr>
          <w:rFonts w:ascii="Times New Roman" w:hAnsi="Times New Roman" w:cs="Times New Roman"/>
          <w:sz w:val="24"/>
          <w:szCs w:val="24"/>
        </w:rPr>
        <w:t>bazy danych</w:t>
      </w:r>
      <w:r w:rsidR="001E3930" w:rsidRPr="009935E0">
        <w:rPr>
          <w:rFonts w:ascii="Times New Roman" w:hAnsi="Times New Roman" w:cs="Times New Roman"/>
          <w:sz w:val="24"/>
          <w:szCs w:val="24"/>
        </w:rPr>
        <w:t xml:space="preserve"> w </w:t>
      </w:r>
      <w:r w:rsidR="00524FD0" w:rsidRPr="009935E0">
        <w:rPr>
          <w:rFonts w:ascii="Times New Roman" w:hAnsi="Times New Roman" w:cs="Times New Roman"/>
          <w:sz w:val="24"/>
          <w:szCs w:val="24"/>
        </w:rPr>
        <w:t xml:space="preserve">charakterze ilustracji w celach dydaktycznych, za pośrednictwem bezpiecznego środowiska elektronicznego, w sposób </w:t>
      </w:r>
      <w:r w:rsidR="00524FD0" w:rsidRPr="009935E0">
        <w:rPr>
          <w:rFonts w:ascii="Times New Roman" w:hAnsi="Times New Roman" w:cs="Times New Roman"/>
          <w:sz w:val="24"/>
          <w:szCs w:val="24"/>
        </w:rPr>
        <w:lastRenderedPageBreak/>
        <w:t>określony w ust. 1a,</w:t>
      </w:r>
      <w:r w:rsidR="001E3930" w:rsidRPr="009935E0">
        <w:rPr>
          <w:rFonts w:ascii="Times New Roman" w:hAnsi="Times New Roman" w:cs="Times New Roman"/>
          <w:sz w:val="24"/>
          <w:szCs w:val="24"/>
        </w:rPr>
        <w:t xml:space="preserve"> odbywa się w państwie</w:t>
      </w:r>
      <w:r w:rsidR="002D7F1A" w:rsidRPr="009935E0">
        <w:rPr>
          <w:rFonts w:ascii="Times New Roman" w:hAnsi="Times New Roman" w:cs="Times New Roman"/>
          <w:sz w:val="24"/>
          <w:szCs w:val="24"/>
        </w:rPr>
        <w:t xml:space="preserve"> członkowskim Unii Europejskiej lub państwie członkowskim Europejskiego Porozumienia o Wolnym </w:t>
      </w:r>
      <w:r w:rsidR="00D963C3" w:rsidRPr="009935E0">
        <w:rPr>
          <w:rFonts w:ascii="Times New Roman" w:hAnsi="Times New Roman" w:cs="Times New Roman"/>
          <w:sz w:val="24"/>
          <w:szCs w:val="24"/>
        </w:rPr>
        <w:t>Handlu (EFTA) – stronie umowy o </w:t>
      </w:r>
      <w:r w:rsidR="002D7F1A" w:rsidRPr="009935E0">
        <w:rPr>
          <w:rFonts w:ascii="Times New Roman" w:hAnsi="Times New Roman" w:cs="Times New Roman"/>
          <w:sz w:val="24"/>
          <w:szCs w:val="24"/>
        </w:rPr>
        <w:t>Europejskim Obszarze Gospodarczym</w:t>
      </w:r>
      <w:r w:rsidR="001E3930" w:rsidRPr="009935E0">
        <w:rPr>
          <w:rFonts w:ascii="Times New Roman" w:hAnsi="Times New Roman" w:cs="Times New Roman"/>
          <w:sz w:val="24"/>
          <w:szCs w:val="24"/>
        </w:rPr>
        <w:t xml:space="preserve">, w którym beneficjent ma swoją siedzibę. Opisane wyżej zmiany pozwolą na pełną implementację art. 5 dyrektywy, w szczególności dzięki powtórzeniu w projektowanym przepisie wszystkich wskazanych w dyrektywie warunków legalności korzystania z </w:t>
      </w:r>
      <w:r w:rsidR="00C13CCA" w:rsidRPr="009935E0">
        <w:rPr>
          <w:rFonts w:ascii="Times New Roman" w:hAnsi="Times New Roman" w:cs="Times New Roman"/>
          <w:sz w:val="24"/>
          <w:szCs w:val="24"/>
        </w:rPr>
        <w:t>baz danych</w:t>
      </w:r>
      <w:r w:rsidR="001E3930" w:rsidRPr="009935E0">
        <w:rPr>
          <w:rFonts w:ascii="Times New Roman" w:hAnsi="Times New Roman" w:cs="Times New Roman"/>
          <w:sz w:val="24"/>
          <w:szCs w:val="24"/>
        </w:rPr>
        <w:t xml:space="preserve"> w oparciu o dozwolony użytek dla celów dydaktycznych.</w:t>
      </w:r>
      <w:r w:rsidR="00C13CCA" w:rsidRPr="009935E0">
        <w:rPr>
          <w:rFonts w:ascii="Times New Roman" w:hAnsi="Times New Roman" w:cs="Times New Roman"/>
          <w:sz w:val="24"/>
          <w:szCs w:val="24"/>
        </w:rPr>
        <w:t xml:space="preserve"> Na potrzeby stosowania przepisów ust. 1a i 1b zostanie wprowadzona do słowniczka </w:t>
      </w:r>
      <w:r w:rsidR="00C921CB" w:rsidRPr="009935E0">
        <w:rPr>
          <w:rFonts w:ascii="Times New Roman" w:hAnsi="Times New Roman" w:cs="Times New Roman"/>
          <w:sz w:val="24"/>
          <w:szCs w:val="24"/>
        </w:rPr>
        <w:t xml:space="preserve">(dodany przepis pkt </w:t>
      </w:r>
      <w:r w:rsidR="00CB10AC" w:rsidRPr="009935E0">
        <w:rPr>
          <w:rFonts w:ascii="Times New Roman" w:hAnsi="Times New Roman" w:cs="Times New Roman"/>
          <w:sz w:val="24"/>
          <w:szCs w:val="24"/>
        </w:rPr>
        <w:t>6</w:t>
      </w:r>
      <w:r w:rsidR="00C921CB" w:rsidRPr="009935E0">
        <w:rPr>
          <w:rFonts w:ascii="Times New Roman" w:hAnsi="Times New Roman" w:cs="Times New Roman"/>
          <w:sz w:val="24"/>
          <w:szCs w:val="24"/>
        </w:rPr>
        <w:t xml:space="preserve"> w art. 2 ust. 1) </w:t>
      </w:r>
      <w:r w:rsidR="00C13CCA" w:rsidRPr="009935E0">
        <w:rPr>
          <w:rFonts w:ascii="Times New Roman" w:hAnsi="Times New Roman" w:cs="Times New Roman"/>
          <w:sz w:val="24"/>
          <w:szCs w:val="24"/>
        </w:rPr>
        <w:t xml:space="preserve">definicja instytucji oświatowej </w:t>
      </w:r>
      <w:r w:rsidR="00C921CB" w:rsidRPr="009935E0">
        <w:rPr>
          <w:rFonts w:ascii="Times New Roman" w:hAnsi="Times New Roman" w:cs="Times New Roman"/>
          <w:sz w:val="24"/>
          <w:szCs w:val="24"/>
        </w:rPr>
        <w:t>od</w:t>
      </w:r>
      <w:r w:rsidR="00EB0EDF" w:rsidRPr="009935E0">
        <w:rPr>
          <w:rFonts w:ascii="Times New Roman" w:hAnsi="Times New Roman" w:cs="Times New Roman"/>
          <w:sz w:val="24"/>
          <w:szCs w:val="24"/>
        </w:rPr>
        <w:t>syłająca do</w:t>
      </w:r>
      <w:r w:rsidR="00C13CCA" w:rsidRPr="009935E0">
        <w:rPr>
          <w:rFonts w:ascii="Times New Roman" w:hAnsi="Times New Roman" w:cs="Times New Roman"/>
          <w:sz w:val="24"/>
          <w:szCs w:val="24"/>
        </w:rPr>
        <w:t xml:space="preserve"> definicj</w:t>
      </w:r>
      <w:r w:rsidR="00C921CB" w:rsidRPr="009935E0">
        <w:rPr>
          <w:rFonts w:ascii="Times New Roman" w:hAnsi="Times New Roman" w:cs="Times New Roman"/>
          <w:sz w:val="24"/>
          <w:szCs w:val="24"/>
        </w:rPr>
        <w:t>i</w:t>
      </w:r>
      <w:r w:rsidR="00C13CCA" w:rsidRPr="009935E0">
        <w:rPr>
          <w:rFonts w:ascii="Times New Roman" w:hAnsi="Times New Roman" w:cs="Times New Roman"/>
          <w:sz w:val="24"/>
          <w:szCs w:val="24"/>
        </w:rPr>
        <w:t xml:space="preserve"> zawart</w:t>
      </w:r>
      <w:r w:rsidR="00C921CB" w:rsidRPr="009935E0">
        <w:rPr>
          <w:rFonts w:ascii="Times New Roman" w:hAnsi="Times New Roman" w:cs="Times New Roman"/>
          <w:sz w:val="24"/>
          <w:szCs w:val="24"/>
        </w:rPr>
        <w:t>ej</w:t>
      </w:r>
      <w:r w:rsidR="00C13CCA" w:rsidRPr="009935E0">
        <w:rPr>
          <w:rFonts w:ascii="Times New Roman" w:hAnsi="Times New Roman" w:cs="Times New Roman"/>
          <w:sz w:val="24"/>
          <w:szCs w:val="24"/>
        </w:rPr>
        <w:t xml:space="preserve"> w</w:t>
      </w:r>
      <w:r w:rsidR="002E5AE6">
        <w:rPr>
          <w:rFonts w:ascii="Times New Roman" w:hAnsi="Times New Roman" w:cs="Times New Roman"/>
          <w:sz w:val="24"/>
          <w:szCs w:val="24"/>
        </w:rPr>
        <w:t> </w:t>
      </w:r>
      <w:r w:rsidR="00C921CB" w:rsidRPr="009935E0">
        <w:rPr>
          <w:rFonts w:ascii="Times New Roman" w:hAnsi="Times New Roman" w:cs="Times New Roman"/>
          <w:sz w:val="24"/>
          <w:szCs w:val="24"/>
        </w:rPr>
        <w:t xml:space="preserve">ustawie o prawie autorskim. </w:t>
      </w:r>
    </w:p>
    <w:p w14:paraId="33168E51" w14:textId="27CFF2BF" w:rsidR="00396E00" w:rsidRPr="009935E0" w:rsidRDefault="00396E00"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Art. 6 dyrektywy przewiduje dla „instytucji dziedzictwa kulturowego” prawo wykonywania kopii </w:t>
      </w:r>
      <w:r w:rsidR="00EB0EDF" w:rsidRPr="009935E0">
        <w:rPr>
          <w:rFonts w:ascii="Times New Roman" w:hAnsi="Times New Roman" w:cs="Times New Roman"/>
          <w:sz w:val="24"/>
          <w:szCs w:val="24"/>
        </w:rPr>
        <w:t>baz danych</w:t>
      </w:r>
      <w:r w:rsidRPr="009935E0">
        <w:rPr>
          <w:rFonts w:ascii="Times New Roman" w:hAnsi="Times New Roman" w:cs="Times New Roman"/>
          <w:sz w:val="24"/>
          <w:szCs w:val="24"/>
        </w:rPr>
        <w:t>, które znajdują się na stałe w ich zbiorach, w celu zachowania tych zbiorów i</w:t>
      </w:r>
      <w:r w:rsidR="002E5AE6">
        <w:rPr>
          <w:rFonts w:ascii="Times New Roman" w:hAnsi="Times New Roman" w:cs="Times New Roman"/>
          <w:sz w:val="24"/>
          <w:szCs w:val="24"/>
        </w:rPr>
        <w:t> </w:t>
      </w:r>
      <w:r w:rsidRPr="009935E0">
        <w:rPr>
          <w:rFonts w:ascii="Times New Roman" w:hAnsi="Times New Roman" w:cs="Times New Roman"/>
          <w:sz w:val="24"/>
          <w:szCs w:val="24"/>
        </w:rPr>
        <w:t>„w zakresie</w:t>
      </w:r>
      <w:r w:rsidR="006F2F04" w:rsidRPr="009935E0">
        <w:rPr>
          <w:rFonts w:ascii="Times New Roman" w:hAnsi="Times New Roman" w:cs="Times New Roman"/>
          <w:sz w:val="24"/>
          <w:szCs w:val="24"/>
        </w:rPr>
        <w:t xml:space="preserve"> potrzebnym do tego zachowania” (zob. pkt 1.5 uzas</w:t>
      </w:r>
      <w:r w:rsidR="00E74D97" w:rsidRPr="009935E0">
        <w:rPr>
          <w:rFonts w:ascii="Times New Roman" w:hAnsi="Times New Roman" w:cs="Times New Roman"/>
          <w:sz w:val="24"/>
          <w:szCs w:val="24"/>
        </w:rPr>
        <w:t>adnienia</w:t>
      </w:r>
      <w:r w:rsidR="006F2F04" w:rsidRPr="009935E0">
        <w:rPr>
          <w:rFonts w:ascii="Times New Roman" w:hAnsi="Times New Roman" w:cs="Times New Roman"/>
          <w:sz w:val="24"/>
          <w:szCs w:val="24"/>
        </w:rPr>
        <w:t xml:space="preserve">). </w:t>
      </w:r>
      <w:r w:rsidRPr="009935E0">
        <w:rPr>
          <w:rFonts w:ascii="Times New Roman" w:hAnsi="Times New Roman" w:cs="Times New Roman"/>
          <w:sz w:val="24"/>
          <w:szCs w:val="24"/>
        </w:rPr>
        <w:t xml:space="preserve">Proponuje się więc dodanie </w:t>
      </w:r>
      <w:r w:rsidR="006F2F04" w:rsidRPr="009935E0">
        <w:rPr>
          <w:rFonts w:ascii="Times New Roman" w:hAnsi="Times New Roman" w:cs="Times New Roman"/>
          <w:sz w:val="24"/>
          <w:szCs w:val="24"/>
        </w:rPr>
        <w:t xml:space="preserve">w ustawie </w:t>
      </w:r>
      <w:r w:rsidR="0095007F" w:rsidRPr="009935E0">
        <w:rPr>
          <w:rFonts w:ascii="Times New Roman" w:hAnsi="Times New Roman" w:cs="Times New Roman"/>
          <w:sz w:val="24"/>
          <w:szCs w:val="24"/>
        </w:rPr>
        <w:t xml:space="preserve">z dnia 27 lipca 2001 r. </w:t>
      </w:r>
      <w:r w:rsidR="006F2F04" w:rsidRPr="009935E0">
        <w:rPr>
          <w:rFonts w:ascii="Times New Roman" w:hAnsi="Times New Roman" w:cs="Times New Roman"/>
          <w:sz w:val="24"/>
          <w:szCs w:val="24"/>
        </w:rPr>
        <w:t xml:space="preserve">o ochronie baz danych </w:t>
      </w:r>
      <w:r w:rsidR="00C13CCA" w:rsidRPr="009935E0">
        <w:rPr>
          <w:rFonts w:ascii="Times New Roman" w:hAnsi="Times New Roman" w:cs="Times New Roman"/>
          <w:sz w:val="24"/>
          <w:szCs w:val="24"/>
        </w:rPr>
        <w:t xml:space="preserve">przepisu </w:t>
      </w:r>
      <w:r w:rsidRPr="009935E0">
        <w:rPr>
          <w:rFonts w:ascii="Times New Roman" w:hAnsi="Times New Roman" w:cs="Times New Roman"/>
          <w:sz w:val="24"/>
          <w:szCs w:val="24"/>
        </w:rPr>
        <w:t>art. 8</w:t>
      </w:r>
      <w:r w:rsidR="00ED6542" w:rsidRPr="009935E0">
        <w:rPr>
          <w:rFonts w:ascii="Times New Roman" w:hAnsi="Times New Roman" w:cs="Times New Roman"/>
          <w:sz w:val="24"/>
          <w:szCs w:val="24"/>
        </w:rPr>
        <w:t>c</w:t>
      </w:r>
      <w:r w:rsidR="00881B52" w:rsidRPr="009935E0">
        <w:rPr>
          <w:rFonts w:ascii="Times New Roman" w:hAnsi="Times New Roman" w:cs="Times New Roman"/>
          <w:sz w:val="24"/>
          <w:szCs w:val="24"/>
        </w:rPr>
        <w:t>, zgodnie z</w:t>
      </w:r>
      <w:r w:rsidR="002E5AE6">
        <w:rPr>
          <w:rFonts w:ascii="Times New Roman" w:hAnsi="Times New Roman" w:cs="Times New Roman"/>
          <w:sz w:val="24"/>
          <w:szCs w:val="24"/>
        </w:rPr>
        <w:t> </w:t>
      </w:r>
      <w:r w:rsidR="00881B52" w:rsidRPr="009935E0">
        <w:rPr>
          <w:rFonts w:ascii="Times New Roman" w:hAnsi="Times New Roman" w:cs="Times New Roman"/>
          <w:sz w:val="24"/>
          <w:szCs w:val="24"/>
        </w:rPr>
        <w:t>którym</w:t>
      </w:r>
      <w:r w:rsidRPr="009935E0">
        <w:rPr>
          <w:rFonts w:ascii="Times New Roman" w:hAnsi="Times New Roman" w:cs="Times New Roman"/>
          <w:sz w:val="24"/>
          <w:szCs w:val="24"/>
        </w:rPr>
        <w:t xml:space="preserve"> </w:t>
      </w:r>
      <w:r w:rsidR="00FE1C83" w:rsidRPr="009935E0">
        <w:rPr>
          <w:rFonts w:ascii="Times New Roman" w:hAnsi="Times New Roman" w:cs="Times New Roman"/>
          <w:sz w:val="24"/>
          <w:szCs w:val="24"/>
        </w:rPr>
        <w:t>i</w:t>
      </w:r>
      <w:r w:rsidRPr="009935E0">
        <w:rPr>
          <w:rFonts w:ascii="Times New Roman" w:hAnsi="Times New Roman" w:cs="Times New Roman"/>
          <w:sz w:val="24"/>
          <w:szCs w:val="24"/>
        </w:rPr>
        <w:t xml:space="preserve">nstytucje dziedzictwa kulturowego mogą zwielokrotniać bazy danych znajdujące się </w:t>
      </w:r>
      <w:r w:rsidR="00933A6D" w:rsidRPr="009935E0">
        <w:rPr>
          <w:rFonts w:ascii="Times New Roman" w:hAnsi="Times New Roman" w:cs="Times New Roman"/>
          <w:sz w:val="24"/>
          <w:szCs w:val="24"/>
        </w:rPr>
        <w:t xml:space="preserve">na stałe </w:t>
      </w:r>
      <w:r w:rsidRPr="009935E0">
        <w:rPr>
          <w:rFonts w:ascii="Times New Roman" w:hAnsi="Times New Roman" w:cs="Times New Roman"/>
          <w:sz w:val="24"/>
          <w:szCs w:val="24"/>
        </w:rPr>
        <w:t>we własnych zbiorach, niezależnie od formatu lub nośnika, w celu uzupełnienia, zachowania lub ochrony tych zbiorów.</w:t>
      </w:r>
      <w:r w:rsidR="00881B52" w:rsidRPr="009935E0" w:rsidDel="00881B52">
        <w:rPr>
          <w:rFonts w:ascii="Times New Roman" w:hAnsi="Times New Roman" w:cs="Times New Roman"/>
          <w:sz w:val="24"/>
          <w:szCs w:val="24"/>
        </w:rPr>
        <w:t xml:space="preserve"> </w:t>
      </w:r>
    </w:p>
    <w:p w14:paraId="035E845C" w14:textId="24524A0A" w:rsidR="00365536" w:rsidRPr="009935E0" w:rsidRDefault="0036553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W projektowanym art. 8d, w ślad za art. 8 ust. 2 dyrektywy DSM, przewidziano nową postać dozwolonego użytku na rzecz instytucji dziedzictwa kulturowego posiadających na stałe w</w:t>
      </w:r>
      <w:r w:rsidR="002E5AE6">
        <w:rPr>
          <w:rFonts w:ascii="Times New Roman" w:hAnsi="Times New Roman" w:cs="Times New Roman"/>
          <w:sz w:val="24"/>
          <w:szCs w:val="24"/>
        </w:rPr>
        <w:t> </w:t>
      </w:r>
      <w:r w:rsidRPr="009935E0">
        <w:rPr>
          <w:rFonts w:ascii="Times New Roman" w:hAnsi="Times New Roman" w:cs="Times New Roman"/>
          <w:sz w:val="24"/>
          <w:szCs w:val="24"/>
        </w:rPr>
        <w:t xml:space="preserve">swoich zbiorach bazy danych niedostępne w handlu, w rozumieniu art. 8 ust. 5 dyrektywy. Obejmuje on zwielokrotnianie baz danych </w:t>
      </w:r>
      <w:r w:rsidR="00E71534" w:rsidRPr="009935E0">
        <w:rPr>
          <w:rFonts w:ascii="Times New Roman" w:hAnsi="Times New Roman" w:cs="Times New Roman"/>
          <w:sz w:val="24"/>
          <w:szCs w:val="24"/>
        </w:rPr>
        <w:t xml:space="preserve">uznanych za niedostępne w handlu </w:t>
      </w:r>
      <w:r w:rsidRPr="009935E0">
        <w:rPr>
          <w:rFonts w:ascii="Times New Roman" w:hAnsi="Times New Roman" w:cs="Times New Roman"/>
          <w:sz w:val="24"/>
          <w:szCs w:val="24"/>
        </w:rPr>
        <w:t>ora</w:t>
      </w:r>
      <w:r w:rsidR="00D963C3" w:rsidRPr="009935E0">
        <w:rPr>
          <w:rFonts w:ascii="Times New Roman" w:hAnsi="Times New Roman" w:cs="Times New Roman"/>
          <w:sz w:val="24"/>
          <w:szCs w:val="24"/>
        </w:rPr>
        <w:t>z ich</w:t>
      </w:r>
      <w:r w:rsidR="00E71534" w:rsidRPr="009935E0">
        <w:rPr>
          <w:rFonts w:ascii="Times New Roman" w:hAnsi="Times New Roman" w:cs="Times New Roman"/>
          <w:sz w:val="24"/>
          <w:szCs w:val="24"/>
        </w:rPr>
        <w:t xml:space="preserve"> rozpowszechnianie na stronach internetowych, które nie są prowadzone w celach zarobkowych</w:t>
      </w:r>
      <w:r w:rsidRPr="009935E0">
        <w:rPr>
          <w:rFonts w:ascii="Times New Roman" w:hAnsi="Times New Roman" w:cs="Times New Roman"/>
          <w:sz w:val="24"/>
          <w:szCs w:val="24"/>
        </w:rPr>
        <w:t>.</w:t>
      </w:r>
      <w:r w:rsidR="00D963C3" w:rsidRPr="009935E0">
        <w:rPr>
          <w:rFonts w:ascii="Times New Roman" w:hAnsi="Times New Roman" w:cs="Times New Roman"/>
          <w:sz w:val="24"/>
          <w:szCs w:val="24"/>
        </w:rPr>
        <w:t xml:space="preserve"> W </w:t>
      </w:r>
      <w:r w:rsidR="00A85722" w:rsidRPr="009935E0">
        <w:rPr>
          <w:rFonts w:ascii="Times New Roman" w:hAnsi="Times New Roman" w:cs="Times New Roman"/>
          <w:sz w:val="24"/>
          <w:szCs w:val="24"/>
        </w:rPr>
        <w:t>zakresie nieuregulowanym w tym przepisie nastąpi odesłanie do odpowiedniego stosowania przepisów oddziału 6 i 6b ustawy o prawie autorskim.</w:t>
      </w:r>
      <w:r w:rsidRPr="009935E0">
        <w:rPr>
          <w:rFonts w:ascii="Times New Roman" w:hAnsi="Times New Roman" w:cs="Times New Roman"/>
          <w:sz w:val="24"/>
          <w:szCs w:val="24"/>
        </w:rPr>
        <w:t xml:space="preserve"> </w:t>
      </w:r>
    </w:p>
    <w:p w14:paraId="48CF1106" w14:textId="27A30880" w:rsidR="005C5772" w:rsidRPr="009935E0" w:rsidRDefault="00BC53E3" w:rsidP="00483092">
      <w:pPr>
        <w:pStyle w:val="Akapitzlist"/>
        <w:numPr>
          <w:ilvl w:val="0"/>
          <w:numId w:val="8"/>
        </w:numPr>
        <w:tabs>
          <w:tab w:val="left" w:pos="426"/>
        </w:tabs>
        <w:spacing w:before="120" w:after="0" w:line="360" w:lineRule="auto"/>
        <w:ind w:left="0" w:firstLine="0"/>
        <w:jc w:val="both"/>
        <w:rPr>
          <w:rFonts w:ascii="Times New Roman" w:hAnsi="Times New Roman" w:cs="Times New Roman"/>
          <w:b/>
          <w:sz w:val="24"/>
          <w:szCs w:val="24"/>
        </w:rPr>
      </w:pPr>
      <w:r w:rsidRPr="009935E0">
        <w:rPr>
          <w:rFonts w:ascii="Times New Roman" w:hAnsi="Times New Roman" w:cs="Times New Roman"/>
          <w:b/>
          <w:sz w:val="24"/>
          <w:szCs w:val="24"/>
        </w:rPr>
        <w:t>Przepisy przejściowe (art. 26</w:t>
      </w:r>
      <w:r w:rsidR="00DC5B80">
        <w:rPr>
          <w:rFonts w:ascii="Times New Roman" w:hAnsi="Times New Roman" w:cs="Times New Roman"/>
          <w:b/>
          <w:sz w:val="24"/>
          <w:szCs w:val="24"/>
        </w:rPr>
        <w:t>–</w:t>
      </w:r>
      <w:r w:rsidR="005C5772" w:rsidRPr="009935E0">
        <w:rPr>
          <w:rFonts w:ascii="Times New Roman" w:hAnsi="Times New Roman" w:cs="Times New Roman"/>
          <w:b/>
          <w:sz w:val="24"/>
          <w:szCs w:val="24"/>
        </w:rPr>
        <w:t>27</w:t>
      </w:r>
      <w:r w:rsidRPr="009935E0">
        <w:rPr>
          <w:rFonts w:ascii="Times New Roman" w:hAnsi="Times New Roman" w:cs="Times New Roman"/>
          <w:b/>
          <w:sz w:val="24"/>
          <w:szCs w:val="24"/>
        </w:rPr>
        <w:t xml:space="preserve"> </w:t>
      </w:r>
      <w:r w:rsidR="000F363B" w:rsidRPr="009935E0">
        <w:rPr>
          <w:rFonts w:ascii="Times New Roman" w:hAnsi="Times New Roman" w:cs="Times New Roman"/>
          <w:b/>
          <w:sz w:val="24"/>
          <w:szCs w:val="24"/>
        </w:rPr>
        <w:t>d</w:t>
      </w:r>
      <w:r w:rsidRPr="009935E0">
        <w:rPr>
          <w:rFonts w:ascii="Times New Roman" w:hAnsi="Times New Roman" w:cs="Times New Roman"/>
          <w:b/>
          <w:sz w:val="24"/>
          <w:szCs w:val="24"/>
        </w:rPr>
        <w:t>yrektywy</w:t>
      </w:r>
      <w:r w:rsidR="00F55C5E" w:rsidRPr="009935E0">
        <w:rPr>
          <w:rFonts w:ascii="Times New Roman" w:hAnsi="Times New Roman" w:cs="Times New Roman"/>
          <w:b/>
          <w:sz w:val="24"/>
          <w:szCs w:val="24"/>
        </w:rPr>
        <w:t xml:space="preserve"> DSM</w:t>
      </w:r>
      <w:r w:rsidRPr="009935E0">
        <w:rPr>
          <w:rFonts w:ascii="Times New Roman" w:hAnsi="Times New Roman" w:cs="Times New Roman"/>
          <w:b/>
          <w:sz w:val="24"/>
          <w:szCs w:val="24"/>
        </w:rPr>
        <w:t>)</w:t>
      </w:r>
    </w:p>
    <w:p w14:paraId="4ACCE394" w14:textId="1A79A4AC" w:rsidR="005F7289" w:rsidRPr="009935E0" w:rsidRDefault="005C5772"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Zgodnie z art.</w:t>
      </w:r>
      <w:r w:rsidR="001C1250" w:rsidRPr="009935E0">
        <w:rPr>
          <w:rFonts w:ascii="Times New Roman" w:hAnsi="Times New Roman" w:cs="Times New Roman"/>
          <w:sz w:val="24"/>
          <w:szCs w:val="24"/>
        </w:rPr>
        <w:t xml:space="preserve"> 26 </w:t>
      </w:r>
      <w:r w:rsidR="007633F8" w:rsidRPr="009935E0">
        <w:rPr>
          <w:rFonts w:ascii="Times New Roman" w:hAnsi="Times New Roman" w:cs="Times New Roman"/>
          <w:sz w:val="24"/>
          <w:szCs w:val="24"/>
        </w:rPr>
        <w:t xml:space="preserve">ust. 1 i 2 </w:t>
      </w:r>
      <w:r w:rsidR="001C1250" w:rsidRPr="009935E0">
        <w:rPr>
          <w:rFonts w:ascii="Times New Roman" w:hAnsi="Times New Roman" w:cs="Times New Roman"/>
          <w:sz w:val="24"/>
          <w:szCs w:val="24"/>
        </w:rPr>
        <w:t xml:space="preserve">dyrektywy ma ona zastosowanie do „wszystkich utworów i innych przedmiotów objętych ochroną, które są chronione na podstawie przepisów prawa krajowego z dziedziny prawa autorskiego w dniu 7 czerwca 2021 r. lub po tej dacie”, ale „bez uszczerbku dla umów zawartych i praw uzyskanych przed dniem 7 czerwca 2021 r.”. Należy uznać, że </w:t>
      </w:r>
      <w:r w:rsidR="007633F8" w:rsidRPr="009935E0">
        <w:rPr>
          <w:rFonts w:ascii="Times New Roman" w:hAnsi="Times New Roman" w:cs="Times New Roman"/>
          <w:sz w:val="24"/>
          <w:szCs w:val="24"/>
        </w:rPr>
        <w:t xml:space="preserve">przepisy te </w:t>
      </w:r>
      <w:r w:rsidR="005F7289" w:rsidRPr="009935E0">
        <w:rPr>
          <w:rFonts w:ascii="Times New Roman" w:hAnsi="Times New Roman" w:cs="Times New Roman"/>
          <w:sz w:val="24"/>
          <w:szCs w:val="24"/>
        </w:rPr>
        <w:t>nie wymagają implementacji w drodze odrębnego przepisu, gdyż wynikają z</w:t>
      </w:r>
      <w:r w:rsidR="002E5AE6">
        <w:rPr>
          <w:rFonts w:ascii="Times New Roman" w:hAnsi="Times New Roman" w:cs="Times New Roman"/>
          <w:sz w:val="24"/>
          <w:szCs w:val="24"/>
        </w:rPr>
        <w:t> </w:t>
      </w:r>
      <w:r w:rsidR="005F7289" w:rsidRPr="009935E0">
        <w:rPr>
          <w:rFonts w:ascii="Times New Roman" w:hAnsi="Times New Roman" w:cs="Times New Roman"/>
          <w:sz w:val="24"/>
          <w:szCs w:val="24"/>
        </w:rPr>
        <w:t xml:space="preserve">ogólnych zasad działania nowych przepisów z obszaru prawa cywilnego. Ponieważ projektowana ustawa wejdzie w życie po dniu 7 czerwca 2021 r. znajdzie zastosowanie do „wszystkich utworów i innych przedmiotów objętych ochroną, które są chronione na podstawie </w:t>
      </w:r>
      <w:r w:rsidR="005F7289" w:rsidRPr="009935E0">
        <w:rPr>
          <w:rFonts w:ascii="Times New Roman" w:hAnsi="Times New Roman" w:cs="Times New Roman"/>
          <w:sz w:val="24"/>
          <w:szCs w:val="24"/>
        </w:rPr>
        <w:lastRenderedPageBreak/>
        <w:t>przepisów prawa krajowego z dziedziny prawa autorskiego” w dniu jej wejścia w życie, ale „bez uszczerbku dla umów zawartych i praw uzyskanych” przed tym dniem.</w:t>
      </w:r>
    </w:p>
    <w:p w14:paraId="31437AC9" w14:textId="77777777" w:rsidR="004C04D6" w:rsidRPr="009935E0" w:rsidRDefault="004C04D6" w:rsidP="00483092">
      <w:pPr>
        <w:spacing w:before="120" w:after="0" w:line="360" w:lineRule="auto"/>
        <w:jc w:val="both"/>
        <w:rPr>
          <w:rFonts w:ascii="Times New Roman" w:hAnsi="Times New Roman" w:cs="Times New Roman"/>
          <w:sz w:val="24"/>
          <w:szCs w:val="24"/>
        </w:rPr>
      </w:pPr>
      <w:r w:rsidRPr="009935E0">
        <w:rPr>
          <w:rFonts w:ascii="Times New Roman" w:hAnsi="Times New Roman" w:cs="Times New Roman"/>
          <w:sz w:val="24"/>
          <w:szCs w:val="24"/>
        </w:rPr>
        <w:t xml:space="preserve">W związku z </w:t>
      </w:r>
      <w:r w:rsidR="00003731" w:rsidRPr="009935E0">
        <w:rPr>
          <w:rFonts w:ascii="Times New Roman" w:hAnsi="Times New Roman" w:cs="Times New Roman"/>
          <w:sz w:val="24"/>
          <w:szCs w:val="24"/>
        </w:rPr>
        <w:t>wprowadzeniem nowego przepisu art. 86</w:t>
      </w:r>
      <w:r w:rsidR="00500B9A" w:rsidRPr="009935E0">
        <w:rPr>
          <w:rFonts w:ascii="Times New Roman" w:hAnsi="Times New Roman" w:cs="Times New Roman"/>
          <w:sz w:val="24"/>
          <w:szCs w:val="24"/>
        </w:rPr>
        <w:t>a</w:t>
      </w:r>
      <w:r w:rsidR="005D3884" w:rsidRPr="009935E0">
        <w:rPr>
          <w:rFonts w:ascii="Times New Roman" w:hAnsi="Times New Roman" w:cs="Times New Roman"/>
          <w:sz w:val="24"/>
          <w:szCs w:val="24"/>
        </w:rPr>
        <w:t>,</w:t>
      </w:r>
      <w:r w:rsidR="00003731" w:rsidRPr="009935E0">
        <w:rPr>
          <w:rFonts w:ascii="Times New Roman" w:hAnsi="Times New Roman" w:cs="Times New Roman"/>
          <w:sz w:val="24"/>
          <w:szCs w:val="24"/>
        </w:rPr>
        <w:t xml:space="preserve"> gwarantującego artystom wykonawcom </w:t>
      </w:r>
      <w:r w:rsidR="005D3884" w:rsidRPr="009935E0">
        <w:rPr>
          <w:rFonts w:ascii="Times New Roman" w:hAnsi="Times New Roman" w:cs="Times New Roman"/>
          <w:sz w:val="24"/>
          <w:szCs w:val="24"/>
        </w:rPr>
        <w:t xml:space="preserve">uprawnienie do stosownego wynagrodzenia z tytułu </w:t>
      </w:r>
      <w:r w:rsidR="006E5D28" w:rsidRPr="009935E0">
        <w:rPr>
          <w:rFonts w:ascii="Times New Roman" w:hAnsi="Times New Roman" w:cs="Times New Roman"/>
          <w:sz w:val="24"/>
          <w:szCs w:val="24"/>
        </w:rPr>
        <w:t xml:space="preserve">udostępniania </w:t>
      </w:r>
      <w:r w:rsidR="008E2B5E" w:rsidRPr="009935E0">
        <w:rPr>
          <w:rFonts w:ascii="Times New Roman" w:hAnsi="Times New Roman" w:cs="Times New Roman"/>
          <w:sz w:val="24"/>
          <w:szCs w:val="24"/>
        </w:rPr>
        <w:t xml:space="preserve">online </w:t>
      </w:r>
      <w:r w:rsidR="006E5D28" w:rsidRPr="009935E0">
        <w:rPr>
          <w:rFonts w:ascii="Times New Roman" w:hAnsi="Times New Roman" w:cs="Times New Roman"/>
          <w:sz w:val="24"/>
          <w:szCs w:val="24"/>
        </w:rPr>
        <w:t>utrwalenia artystycznego wykonania</w:t>
      </w:r>
      <w:r w:rsidR="00A115B7" w:rsidRPr="009935E0">
        <w:rPr>
          <w:rFonts w:ascii="Times New Roman" w:hAnsi="Times New Roman" w:cs="Times New Roman"/>
          <w:sz w:val="24"/>
          <w:szCs w:val="24"/>
        </w:rPr>
        <w:t>, wprow</w:t>
      </w:r>
      <w:r w:rsidR="006E5D28" w:rsidRPr="009935E0">
        <w:rPr>
          <w:rFonts w:ascii="Times New Roman" w:hAnsi="Times New Roman" w:cs="Times New Roman"/>
          <w:sz w:val="24"/>
          <w:szCs w:val="24"/>
        </w:rPr>
        <w:t xml:space="preserve">adzone zostało 6-miesięczne </w:t>
      </w:r>
      <w:r w:rsidR="006E5D28" w:rsidRPr="009935E0">
        <w:rPr>
          <w:rFonts w:ascii="Times New Roman" w:hAnsi="Times New Roman" w:cs="Times New Roman"/>
          <w:i/>
          <w:sz w:val="24"/>
          <w:szCs w:val="24"/>
        </w:rPr>
        <w:t xml:space="preserve">vacatio legis </w:t>
      </w:r>
      <w:r w:rsidR="006E5D28" w:rsidRPr="009935E0">
        <w:rPr>
          <w:rFonts w:ascii="Times New Roman" w:hAnsi="Times New Roman" w:cs="Times New Roman"/>
          <w:sz w:val="24"/>
          <w:szCs w:val="24"/>
        </w:rPr>
        <w:t>w celu</w:t>
      </w:r>
      <w:r w:rsidR="00B22F13" w:rsidRPr="009935E0">
        <w:rPr>
          <w:rFonts w:ascii="Times New Roman" w:hAnsi="Times New Roman" w:cs="Times New Roman"/>
          <w:sz w:val="24"/>
          <w:szCs w:val="24"/>
        </w:rPr>
        <w:t xml:space="preserve"> </w:t>
      </w:r>
      <w:r w:rsidR="00411317" w:rsidRPr="009935E0">
        <w:rPr>
          <w:rFonts w:ascii="Times New Roman" w:hAnsi="Times New Roman" w:cs="Times New Roman"/>
          <w:sz w:val="24"/>
          <w:szCs w:val="24"/>
        </w:rPr>
        <w:t xml:space="preserve">umożliwienia </w:t>
      </w:r>
      <w:r w:rsidR="00AC1303" w:rsidRPr="009935E0">
        <w:rPr>
          <w:rFonts w:ascii="Times New Roman" w:hAnsi="Times New Roman" w:cs="Times New Roman"/>
          <w:sz w:val="24"/>
          <w:szCs w:val="24"/>
        </w:rPr>
        <w:t xml:space="preserve">przygotowania się </w:t>
      </w:r>
      <w:r w:rsidR="004E4B1F" w:rsidRPr="009935E0">
        <w:rPr>
          <w:rFonts w:ascii="Times New Roman" w:hAnsi="Times New Roman" w:cs="Times New Roman"/>
          <w:sz w:val="24"/>
          <w:szCs w:val="24"/>
        </w:rPr>
        <w:t xml:space="preserve">przez adresatów tego przepisu </w:t>
      </w:r>
      <w:r w:rsidR="00AC1303" w:rsidRPr="009935E0">
        <w:rPr>
          <w:rFonts w:ascii="Times New Roman" w:hAnsi="Times New Roman" w:cs="Times New Roman"/>
          <w:sz w:val="24"/>
          <w:szCs w:val="24"/>
        </w:rPr>
        <w:t xml:space="preserve">do realizacji </w:t>
      </w:r>
      <w:r w:rsidR="00A115B7" w:rsidRPr="009935E0">
        <w:rPr>
          <w:rFonts w:ascii="Times New Roman" w:hAnsi="Times New Roman" w:cs="Times New Roman"/>
          <w:sz w:val="24"/>
          <w:szCs w:val="24"/>
        </w:rPr>
        <w:t xml:space="preserve">jego </w:t>
      </w:r>
      <w:r w:rsidR="00AC1303" w:rsidRPr="009935E0">
        <w:rPr>
          <w:rFonts w:ascii="Times New Roman" w:hAnsi="Times New Roman" w:cs="Times New Roman"/>
          <w:sz w:val="24"/>
          <w:szCs w:val="24"/>
        </w:rPr>
        <w:t>postanowień</w:t>
      </w:r>
      <w:r w:rsidR="008E2B5E" w:rsidRPr="009935E0">
        <w:rPr>
          <w:rFonts w:ascii="Times New Roman" w:hAnsi="Times New Roman" w:cs="Times New Roman"/>
          <w:sz w:val="24"/>
          <w:szCs w:val="24"/>
        </w:rPr>
        <w:t xml:space="preserve"> (przygotowani</w:t>
      </w:r>
      <w:r w:rsidR="00ED43D2" w:rsidRPr="009935E0">
        <w:rPr>
          <w:rFonts w:ascii="Times New Roman" w:hAnsi="Times New Roman" w:cs="Times New Roman"/>
          <w:sz w:val="24"/>
          <w:szCs w:val="24"/>
        </w:rPr>
        <w:t>e</w:t>
      </w:r>
      <w:r w:rsidR="008E2B5E" w:rsidRPr="009935E0">
        <w:rPr>
          <w:rFonts w:ascii="Times New Roman" w:hAnsi="Times New Roman" w:cs="Times New Roman"/>
          <w:sz w:val="24"/>
          <w:szCs w:val="24"/>
        </w:rPr>
        <w:t xml:space="preserve"> stosownej oferty, weryfikacj</w:t>
      </w:r>
      <w:r w:rsidR="00ED43D2" w:rsidRPr="009935E0">
        <w:rPr>
          <w:rFonts w:ascii="Times New Roman" w:hAnsi="Times New Roman" w:cs="Times New Roman"/>
          <w:sz w:val="24"/>
          <w:szCs w:val="24"/>
        </w:rPr>
        <w:t>a</w:t>
      </w:r>
      <w:r w:rsidR="008E2B5E" w:rsidRPr="009935E0">
        <w:rPr>
          <w:rFonts w:ascii="Times New Roman" w:hAnsi="Times New Roman" w:cs="Times New Roman"/>
          <w:sz w:val="24"/>
          <w:szCs w:val="24"/>
        </w:rPr>
        <w:t xml:space="preserve"> dotychczasowych umów</w:t>
      </w:r>
      <w:r w:rsidR="0099299A" w:rsidRPr="009935E0">
        <w:rPr>
          <w:rFonts w:ascii="Times New Roman" w:hAnsi="Times New Roman" w:cs="Times New Roman"/>
          <w:sz w:val="24"/>
          <w:szCs w:val="24"/>
        </w:rPr>
        <w:t>, przygotowanie organizacyjne, etc.</w:t>
      </w:r>
      <w:r w:rsidR="008E2B5E" w:rsidRPr="009935E0">
        <w:rPr>
          <w:rFonts w:ascii="Times New Roman" w:hAnsi="Times New Roman" w:cs="Times New Roman"/>
          <w:sz w:val="24"/>
          <w:szCs w:val="24"/>
        </w:rPr>
        <w:t>).</w:t>
      </w:r>
    </w:p>
    <w:p w14:paraId="5CE94B26" w14:textId="77777777" w:rsidR="00DD0B30" w:rsidRPr="00483092" w:rsidRDefault="00DD0B30" w:rsidP="00483092">
      <w:pPr>
        <w:pStyle w:val="Akapitzlist"/>
        <w:numPr>
          <w:ilvl w:val="0"/>
          <w:numId w:val="1"/>
        </w:numPr>
        <w:tabs>
          <w:tab w:val="left" w:pos="426"/>
        </w:tabs>
        <w:spacing w:before="120" w:after="0" w:line="360" w:lineRule="auto"/>
        <w:ind w:left="0" w:firstLine="0"/>
        <w:jc w:val="both"/>
        <w:rPr>
          <w:rFonts w:ascii="Times New Roman" w:eastAsia="Times New Roman" w:hAnsi="Times New Roman" w:cs="Times New Roman"/>
          <w:b/>
          <w:sz w:val="24"/>
          <w:szCs w:val="24"/>
          <w:lang w:eastAsia="pl-PL"/>
        </w:rPr>
      </w:pPr>
      <w:r w:rsidRPr="00483092">
        <w:rPr>
          <w:rFonts w:ascii="Times New Roman" w:eastAsia="Times New Roman" w:hAnsi="Times New Roman" w:cs="Times New Roman"/>
          <w:b/>
          <w:sz w:val="24"/>
          <w:szCs w:val="24"/>
          <w:lang w:eastAsia="pl-PL"/>
        </w:rPr>
        <w:t>Zmian</w:t>
      </w:r>
      <w:r w:rsidR="00392C87" w:rsidRPr="00483092">
        <w:rPr>
          <w:rFonts w:ascii="Times New Roman" w:eastAsia="Times New Roman" w:hAnsi="Times New Roman" w:cs="Times New Roman"/>
          <w:b/>
          <w:sz w:val="24"/>
          <w:szCs w:val="24"/>
          <w:lang w:eastAsia="pl-PL"/>
        </w:rPr>
        <w:t>a</w:t>
      </w:r>
      <w:r w:rsidRPr="00483092">
        <w:rPr>
          <w:rFonts w:ascii="Times New Roman" w:eastAsia="Times New Roman" w:hAnsi="Times New Roman" w:cs="Times New Roman"/>
          <w:b/>
          <w:sz w:val="24"/>
          <w:szCs w:val="24"/>
          <w:lang w:eastAsia="pl-PL"/>
        </w:rPr>
        <w:t xml:space="preserve"> w ustawie o prawie autorskim ni</w:t>
      </w:r>
      <w:r w:rsidR="00611305" w:rsidRPr="00483092">
        <w:rPr>
          <w:rFonts w:ascii="Times New Roman" w:eastAsia="Times New Roman" w:hAnsi="Times New Roman" w:cs="Times New Roman"/>
          <w:b/>
          <w:sz w:val="24"/>
          <w:szCs w:val="24"/>
          <w:lang w:eastAsia="pl-PL"/>
        </w:rPr>
        <w:t>ezwiązan</w:t>
      </w:r>
      <w:r w:rsidR="00E93BB2" w:rsidRPr="00483092">
        <w:rPr>
          <w:rFonts w:ascii="Times New Roman" w:eastAsia="Times New Roman" w:hAnsi="Times New Roman" w:cs="Times New Roman"/>
          <w:b/>
          <w:sz w:val="24"/>
          <w:szCs w:val="24"/>
          <w:lang w:eastAsia="pl-PL"/>
        </w:rPr>
        <w:t>a</w:t>
      </w:r>
      <w:r w:rsidR="00611305" w:rsidRPr="00483092">
        <w:rPr>
          <w:rFonts w:ascii="Times New Roman" w:eastAsia="Times New Roman" w:hAnsi="Times New Roman" w:cs="Times New Roman"/>
          <w:b/>
          <w:sz w:val="24"/>
          <w:szCs w:val="24"/>
          <w:lang w:eastAsia="pl-PL"/>
        </w:rPr>
        <w:t xml:space="preserve"> z wdrażaniem dyrektyw</w:t>
      </w:r>
    </w:p>
    <w:p w14:paraId="5734206C" w14:textId="77777777" w:rsidR="00DD0B30" w:rsidRPr="00483092" w:rsidRDefault="00DD0B30" w:rsidP="00483092">
      <w:pPr>
        <w:pStyle w:val="Akapitzlist"/>
        <w:spacing w:before="120" w:after="0" w:line="360" w:lineRule="auto"/>
        <w:ind w:left="0"/>
        <w:jc w:val="both"/>
        <w:rPr>
          <w:rFonts w:ascii="Times New Roman" w:eastAsia="Times New Roman" w:hAnsi="Times New Roman" w:cs="Times New Roman"/>
          <w:b/>
          <w:sz w:val="24"/>
          <w:szCs w:val="24"/>
          <w:lang w:eastAsia="pl-PL"/>
        </w:rPr>
      </w:pPr>
      <w:r w:rsidRPr="00483092">
        <w:rPr>
          <w:rFonts w:ascii="Times New Roman" w:eastAsia="Times New Roman" w:hAnsi="Times New Roman" w:cs="Times New Roman"/>
          <w:b/>
          <w:sz w:val="24"/>
          <w:szCs w:val="24"/>
          <w:lang w:eastAsia="pl-PL"/>
        </w:rPr>
        <w:t xml:space="preserve">Nowelizacja art. 66 ust. 1 </w:t>
      </w:r>
      <w:r w:rsidR="00F55C5E" w:rsidRPr="00483092">
        <w:rPr>
          <w:rFonts w:ascii="Times New Roman" w:eastAsia="Times New Roman" w:hAnsi="Times New Roman" w:cs="Times New Roman"/>
          <w:b/>
          <w:sz w:val="24"/>
          <w:szCs w:val="24"/>
          <w:lang w:eastAsia="pl-PL"/>
        </w:rPr>
        <w:t>ustawy o prawie autorskim</w:t>
      </w:r>
    </w:p>
    <w:p w14:paraId="17AD0D82" w14:textId="094D21C5" w:rsidR="00DD0B30" w:rsidRPr="00483092" w:rsidRDefault="00DD0B30" w:rsidP="00483092">
      <w:pPr>
        <w:spacing w:before="120" w:after="0" w:line="360" w:lineRule="auto"/>
        <w:jc w:val="both"/>
        <w:rPr>
          <w:rFonts w:ascii="Times New Roman" w:eastAsia="Times New Roman" w:hAnsi="Times New Roman" w:cs="Times New Roman"/>
          <w:sz w:val="24"/>
          <w:szCs w:val="24"/>
          <w:lang w:eastAsia="pl-PL"/>
        </w:rPr>
      </w:pPr>
      <w:r w:rsidRPr="00483092">
        <w:rPr>
          <w:rFonts w:ascii="Times New Roman" w:eastAsia="Times New Roman" w:hAnsi="Times New Roman" w:cs="Times New Roman"/>
          <w:sz w:val="24"/>
          <w:szCs w:val="24"/>
          <w:lang w:eastAsia="pl-PL"/>
        </w:rPr>
        <w:t xml:space="preserve">Znowelizowany zostanie art. 66 ust. 1 – zgodnie z dezyderatem nr 86 Komisji do Spraw Petycji z </w:t>
      </w:r>
      <w:r w:rsidR="00611305" w:rsidRPr="00483092">
        <w:rPr>
          <w:rFonts w:ascii="Times New Roman" w:eastAsia="Times New Roman" w:hAnsi="Times New Roman" w:cs="Times New Roman"/>
          <w:sz w:val="24"/>
          <w:szCs w:val="24"/>
          <w:lang w:eastAsia="pl-PL"/>
        </w:rPr>
        <w:t xml:space="preserve">dnia </w:t>
      </w:r>
      <w:r w:rsidRPr="00483092">
        <w:rPr>
          <w:rFonts w:ascii="Times New Roman" w:eastAsia="Times New Roman" w:hAnsi="Times New Roman" w:cs="Times New Roman"/>
          <w:sz w:val="24"/>
          <w:szCs w:val="24"/>
          <w:lang w:eastAsia="pl-PL"/>
        </w:rPr>
        <w:t>4 marca 2021 r. Przepis ten w obecnym brzmieniu nie uwzględnia faktu, że licencjobiorcą może być także osoba fizyczna, która nie ma siedziby, a miejsce zamieszkania. Dlatego ust. 1 otrzyma brzmienie: „1. Umowa licencyjna uprawnia do korzystania z utworu w</w:t>
      </w:r>
      <w:r w:rsidR="002E5AE6">
        <w:rPr>
          <w:rFonts w:ascii="Times New Roman" w:eastAsia="Times New Roman" w:hAnsi="Times New Roman" w:cs="Times New Roman"/>
          <w:sz w:val="24"/>
          <w:szCs w:val="24"/>
          <w:lang w:eastAsia="pl-PL"/>
        </w:rPr>
        <w:t> </w:t>
      </w:r>
      <w:r w:rsidRPr="00483092">
        <w:rPr>
          <w:rFonts w:ascii="Times New Roman" w:eastAsia="Times New Roman" w:hAnsi="Times New Roman" w:cs="Times New Roman"/>
          <w:sz w:val="24"/>
          <w:szCs w:val="24"/>
          <w:lang w:eastAsia="pl-PL"/>
        </w:rPr>
        <w:t>okresie pięciu lat na terytorium państwa, w którym licencjobiorca ma swoją siedzibę albo miejsce zamieszkania, chyba że w umowie postanowiono inaczej.” – jest to zmiana o</w:t>
      </w:r>
      <w:r w:rsidR="002E5AE6">
        <w:rPr>
          <w:rFonts w:ascii="Times New Roman" w:eastAsia="Times New Roman" w:hAnsi="Times New Roman" w:cs="Times New Roman"/>
          <w:sz w:val="24"/>
          <w:szCs w:val="24"/>
          <w:lang w:eastAsia="pl-PL"/>
        </w:rPr>
        <w:t> </w:t>
      </w:r>
      <w:r w:rsidRPr="00483092">
        <w:rPr>
          <w:rFonts w:ascii="Times New Roman" w:eastAsia="Times New Roman" w:hAnsi="Times New Roman" w:cs="Times New Roman"/>
          <w:sz w:val="24"/>
          <w:szCs w:val="24"/>
          <w:lang w:eastAsia="pl-PL"/>
        </w:rPr>
        <w:t xml:space="preserve">charakterze porządkującym i doprecyzowującym. </w:t>
      </w:r>
    </w:p>
    <w:p w14:paraId="4AB16437" w14:textId="77777777" w:rsidR="005119AD" w:rsidRPr="00483092" w:rsidRDefault="005119AD" w:rsidP="00483092">
      <w:pPr>
        <w:pStyle w:val="ZARTzmartartykuempunktem"/>
        <w:numPr>
          <w:ilvl w:val="0"/>
          <w:numId w:val="1"/>
        </w:numPr>
        <w:tabs>
          <w:tab w:val="left" w:pos="426"/>
        </w:tabs>
        <w:spacing w:before="120"/>
        <w:ind w:left="0" w:firstLine="0"/>
        <w:rPr>
          <w:rFonts w:ascii="Times New Roman" w:hAnsi="Times New Roman" w:cs="Times New Roman"/>
          <w:b/>
          <w:szCs w:val="24"/>
        </w:rPr>
      </w:pPr>
      <w:r w:rsidRPr="00483092">
        <w:rPr>
          <w:rFonts w:ascii="Times New Roman" w:hAnsi="Times New Roman" w:cs="Times New Roman"/>
          <w:b/>
          <w:szCs w:val="24"/>
        </w:rPr>
        <w:t>Informacje końcowe</w:t>
      </w:r>
    </w:p>
    <w:p w14:paraId="4C4C9E19" w14:textId="3489CED9" w:rsidR="007F7644" w:rsidRPr="00483092" w:rsidRDefault="007F7644"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 xml:space="preserve">Projekt jest zgodny z prawem Unii Europejskiej. </w:t>
      </w:r>
    </w:p>
    <w:p w14:paraId="3259FD93" w14:textId="49E89149" w:rsidR="007F7644" w:rsidRPr="00483092" w:rsidRDefault="007F7644"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Projekt nie wymaga przedstawiania organom i instytucjom Unii Europejskiej w celu uzyskania opinii, dokonania powiadomienia, konsultacji albo uzgodnienia. W szczególności, zgodnie z art. 2 ust. 1 decyzji Rady 98/415/WE z dnia 29 czerwca 1998 r. w sprawie konsultacji Europejskiego Banku Centralnego udzielanych władzom krajowym w sprawie projektów przepisów prawnych (Dz. Urz. WE L 189 z 03.07.1998, str. 42; Dz. Urz. UE Polskie wydanie specjalne rozdz. 1, t. 1, str. 446)</w:t>
      </w:r>
      <w:r w:rsidR="005E2848">
        <w:rPr>
          <w:rFonts w:ascii="Times New Roman" w:hAnsi="Times New Roman" w:cs="Times New Roman"/>
          <w:szCs w:val="24"/>
        </w:rPr>
        <w:t>,</w:t>
      </w:r>
      <w:r w:rsidRPr="00483092">
        <w:rPr>
          <w:rFonts w:ascii="Times New Roman" w:hAnsi="Times New Roman" w:cs="Times New Roman"/>
          <w:szCs w:val="24"/>
        </w:rPr>
        <w:t xml:space="preserve"> projekt ustawy nie wymaga zasięgnięcia opinii Europejskiego Banku Centralnego, ponieważ nie wpływa na stabilność instytucji finansowych i rynków.</w:t>
      </w:r>
    </w:p>
    <w:p w14:paraId="4161B7BC" w14:textId="6388970E" w:rsidR="007F7644" w:rsidRPr="00483092" w:rsidRDefault="007F7644"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Projekt nie podlega notyfikacji Komisji Europejskiej w trybie ustawy z dnia 30 kwietnia 2004 r. o postępowaniu w sprawach dotyczących p</w:t>
      </w:r>
      <w:r w:rsidR="00E0588B" w:rsidRPr="00483092">
        <w:rPr>
          <w:rFonts w:ascii="Times New Roman" w:hAnsi="Times New Roman" w:cs="Times New Roman"/>
          <w:szCs w:val="24"/>
        </w:rPr>
        <w:t>omocy publicznej (Dz. U. z </w:t>
      </w:r>
      <w:r w:rsidR="00543FE4" w:rsidRPr="00483092">
        <w:rPr>
          <w:rFonts w:ascii="Times New Roman" w:hAnsi="Times New Roman" w:cs="Times New Roman"/>
          <w:szCs w:val="24"/>
        </w:rPr>
        <w:t>2023 </w:t>
      </w:r>
      <w:r w:rsidRPr="00483092">
        <w:rPr>
          <w:rFonts w:ascii="Times New Roman" w:hAnsi="Times New Roman" w:cs="Times New Roman"/>
          <w:szCs w:val="24"/>
        </w:rPr>
        <w:t xml:space="preserve">r. poz. </w:t>
      </w:r>
      <w:r w:rsidR="00543FE4" w:rsidRPr="00483092">
        <w:rPr>
          <w:rFonts w:ascii="Times New Roman" w:hAnsi="Times New Roman" w:cs="Times New Roman"/>
          <w:szCs w:val="24"/>
        </w:rPr>
        <w:t>702</w:t>
      </w:r>
      <w:r w:rsidRPr="00483092">
        <w:rPr>
          <w:rFonts w:ascii="Times New Roman" w:hAnsi="Times New Roman" w:cs="Times New Roman"/>
          <w:szCs w:val="24"/>
        </w:rPr>
        <w:t xml:space="preserve">). </w:t>
      </w:r>
    </w:p>
    <w:p w14:paraId="5CD27E23" w14:textId="03ABCF60" w:rsidR="007F7644" w:rsidRPr="00483092" w:rsidRDefault="007F7644"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 xml:space="preserve">Projekt </w:t>
      </w:r>
      <w:r w:rsidR="005119AD" w:rsidRPr="00483092">
        <w:rPr>
          <w:rFonts w:ascii="Times New Roman" w:hAnsi="Times New Roman" w:cs="Times New Roman"/>
          <w:szCs w:val="24"/>
        </w:rPr>
        <w:t>w opisanym w nim zakresie</w:t>
      </w:r>
      <w:r w:rsidRPr="00483092">
        <w:rPr>
          <w:rFonts w:ascii="Times New Roman" w:hAnsi="Times New Roman" w:cs="Times New Roman"/>
          <w:szCs w:val="24"/>
        </w:rPr>
        <w:t xml:space="preserve"> dotyczy majątkowych pr</w:t>
      </w:r>
      <w:r w:rsidR="00064E1A" w:rsidRPr="00483092">
        <w:rPr>
          <w:rFonts w:ascii="Times New Roman" w:hAnsi="Times New Roman" w:cs="Times New Roman"/>
          <w:szCs w:val="24"/>
        </w:rPr>
        <w:t xml:space="preserve">aw i obowiązków przedsiębiorców oraz wpływa na działalność </w:t>
      </w:r>
      <w:proofErr w:type="spellStart"/>
      <w:r w:rsidR="00064E1A" w:rsidRPr="00483092">
        <w:rPr>
          <w:rFonts w:ascii="Times New Roman" w:hAnsi="Times New Roman" w:cs="Times New Roman"/>
          <w:szCs w:val="24"/>
        </w:rPr>
        <w:t>mikroprzedsiębiorców</w:t>
      </w:r>
      <w:proofErr w:type="spellEnd"/>
      <w:r w:rsidR="00064E1A" w:rsidRPr="00483092">
        <w:rPr>
          <w:rFonts w:ascii="Times New Roman" w:hAnsi="Times New Roman" w:cs="Times New Roman"/>
          <w:szCs w:val="24"/>
        </w:rPr>
        <w:t xml:space="preserve">, małych i średnich przedsiębiorców </w:t>
      </w:r>
      <w:r w:rsidR="005119AD" w:rsidRPr="00483092">
        <w:rPr>
          <w:rFonts w:ascii="Times New Roman" w:hAnsi="Times New Roman" w:cs="Times New Roman"/>
          <w:szCs w:val="24"/>
        </w:rPr>
        <w:t xml:space="preserve">(możliwość eksploracji tekstów i danych w ramach dozwolonego użytku, zasady korzystania z </w:t>
      </w:r>
      <w:r w:rsidR="005119AD" w:rsidRPr="00483092">
        <w:rPr>
          <w:rFonts w:ascii="Times New Roman" w:hAnsi="Times New Roman" w:cs="Times New Roman"/>
          <w:szCs w:val="24"/>
        </w:rPr>
        <w:lastRenderedPageBreak/>
        <w:t xml:space="preserve">utworów </w:t>
      </w:r>
      <w:r w:rsidR="005119AD" w:rsidRPr="00483092">
        <w:rPr>
          <w:rFonts w:ascii="Times New Roman" w:hAnsi="Times New Roman" w:cs="Times New Roman"/>
          <w:i/>
          <w:szCs w:val="24"/>
        </w:rPr>
        <w:t>out-of-</w:t>
      </w:r>
      <w:proofErr w:type="spellStart"/>
      <w:r w:rsidR="005119AD" w:rsidRPr="00483092">
        <w:rPr>
          <w:rFonts w:ascii="Times New Roman" w:hAnsi="Times New Roman" w:cs="Times New Roman"/>
          <w:i/>
          <w:szCs w:val="24"/>
        </w:rPr>
        <w:t>commerce</w:t>
      </w:r>
      <w:proofErr w:type="spellEnd"/>
      <w:r w:rsidR="005119AD" w:rsidRPr="00483092">
        <w:rPr>
          <w:rFonts w:ascii="Times New Roman" w:hAnsi="Times New Roman" w:cs="Times New Roman"/>
          <w:szCs w:val="24"/>
        </w:rPr>
        <w:t>, nowe prawo pokrewne wydawców prasy, nowe zasady eksploatacji utworów przez DUUTO, obowiązek przejrzystoś</w:t>
      </w:r>
      <w:r w:rsidR="00AF5D62" w:rsidRPr="00483092">
        <w:rPr>
          <w:rFonts w:ascii="Times New Roman" w:hAnsi="Times New Roman" w:cs="Times New Roman"/>
          <w:szCs w:val="24"/>
        </w:rPr>
        <w:t xml:space="preserve">ci itd.). </w:t>
      </w:r>
      <w:r w:rsidR="00064E1A" w:rsidRPr="00483092">
        <w:rPr>
          <w:rFonts w:ascii="Times New Roman" w:hAnsi="Times New Roman" w:cs="Times New Roman"/>
          <w:szCs w:val="24"/>
        </w:rPr>
        <w:t xml:space="preserve">Nie dotyczy natomiast </w:t>
      </w:r>
      <w:r w:rsidRPr="00483092">
        <w:rPr>
          <w:rFonts w:ascii="Times New Roman" w:hAnsi="Times New Roman" w:cs="Times New Roman"/>
          <w:szCs w:val="24"/>
        </w:rPr>
        <w:t>praw i</w:t>
      </w:r>
      <w:r w:rsidR="00FC199A">
        <w:rPr>
          <w:rFonts w:ascii="Times New Roman" w:hAnsi="Times New Roman" w:cs="Times New Roman"/>
          <w:szCs w:val="24"/>
        </w:rPr>
        <w:t> </w:t>
      </w:r>
      <w:r w:rsidRPr="00483092">
        <w:rPr>
          <w:rFonts w:ascii="Times New Roman" w:hAnsi="Times New Roman" w:cs="Times New Roman"/>
          <w:szCs w:val="24"/>
        </w:rPr>
        <w:t xml:space="preserve">obowiązków przedsiębiorców wobec organów administracji publicznej. </w:t>
      </w:r>
    </w:p>
    <w:p w14:paraId="123DF290" w14:textId="502C78C9" w:rsidR="007F7644" w:rsidRPr="00483092" w:rsidRDefault="007F7644"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 xml:space="preserve">Projektowana ustawa nie podlega notyfikacji zgodnie z trybem przewidzianym w przepisach rozporządzenia Rady Ministrów z dnia 23 grudnia 2002 r. w sprawie sposobu funkcjonowania krajowego systemu notyfikacji norm i aktów prawnych (Dz. U. poz. 2039, z </w:t>
      </w:r>
      <w:proofErr w:type="spellStart"/>
      <w:r w:rsidRPr="00483092">
        <w:rPr>
          <w:rFonts w:ascii="Times New Roman" w:hAnsi="Times New Roman" w:cs="Times New Roman"/>
          <w:szCs w:val="24"/>
        </w:rPr>
        <w:t>późn</w:t>
      </w:r>
      <w:proofErr w:type="spellEnd"/>
      <w:r w:rsidRPr="00483092">
        <w:rPr>
          <w:rFonts w:ascii="Times New Roman" w:hAnsi="Times New Roman" w:cs="Times New Roman"/>
          <w:szCs w:val="24"/>
        </w:rPr>
        <w:t xml:space="preserve">. zm.). </w:t>
      </w:r>
    </w:p>
    <w:p w14:paraId="6D8F3CBA" w14:textId="15C6E755" w:rsidR="007F7644" w:rsidRPr="00483092" w:rsidRDefault="007F7644"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Zgodnie z art. 5 ustawy z dnia 7 lipca 2005 r. o działalności lobbingowej w procesie stanowienia prawa (Dz. U. z 2017 r. poz. 248) oraz § 52 uchwały nr 190 Rady Ministrów z dnia 29</w:t>
      </w:r>
      <w:r w:rsidR="00FC199A">
        <w:rPr>
          <w:rFonts w:ascii="Times New Roman" w:hAnsi="Times New Roman" w:cs="Times New Roman"/>
          <w:szCs w:val="24"/>
        </w:rPr>
        <w:t> </w:t>
      </w:r>
      <w:r w:rsidRPr="00483092">
        <w:rPr>
          <w:rFonts w:ascii="Times New Roman" w:hAnsi="Times New Roman" w:cs="Times New Roman"/>
          <w:szCs w:val="24"/>
        </w:rPr>
        <w:t>października 2013 r. – Regulamin pracy Rady Ministrów (M.P. z 20</w:t>
      </w:r>
      <w:r w:rsidR="006C7B7C" w:rsidRPr="00483092">
        <w:rPr>
          <w:rFonts w:ascii="Times New Roman" w:hAnsi="Times New Roman" w:cs="Times New Roman"/>
          <w:szCs w:val="24"/>
        </w:rPr>
        <w:t>22</w:t>
      </w:r>
      <w:r w:rsidRPr="00483092">
        <w:rPr>
          <w:rFonts w:ascii="Times New Roman" w:hAnsi="Times New Roman" w:cs="Times New Roman"/>
          <w:szCs w:val="24"/>
        </w:rPr>
        <w:t xml:space="preserve"> r. poz. </w:t>
      </w:r>
      <w:r w:rsidR="006C7B7C" w:rsidRPr="00483092">
        <w:rPr>
          <w:rFonts w:ascii="Times New Roman" w:hAnsi="Times New Roman" w:cs="Times New Roman"/>
          <w:szCs w:val="24"/>
        </w:rPr>
        <w:t>348</w:t>
      </w:r>
      <w:r w:rsidRPr="00483092">
        <w:rPr>
          <w:rFonts w:ascii="Times New Roman" w:hAnsi="Times New Roman" w:cs="Times New Roman"/>
          <w:szCs w:val="24"/>
        </w:rPr>
        <w:t>) projekt ustawy zosta</w:t>
      </w:r>
      <w:r w:rsidR="001B7CD7" w:rsidRPr="00483092">
        <w:rPr>
          <w:rFonts w:ascii="Times New Roman" w:hAnsi="Times New Roman" w:cs="Times New Roman"/>
          <w:szCs w:val="24"/>
        </w:rPr>
        <w:t>ł</w:t>
      </w:r>
      <w:r w:rsidRPr="00483092">
        <w:rPr>
          <w:rFonts w:ascii="Times New Roman" w:hAnsi="Times New Roman" w:cs="Times New Roman"/>
          <w:szCs w:val="24"/>
        </w:rPr>
        <w:t xml:space="preserve"> zamieszczony w Biuletynie Informacji Publicznej na stronie podmiotowej Ministerstwa Kultury i Dziedzictwa Narodowego oraz na stronie podmiotowej Rządowego Centrum Legislacji</w:t>
      </w:r>
      <w:r w:rsidR="005E2848">
        <w:rPr>
          <w:rFonts w:ascii="Times New Roman" w:hAnsi="Times New Roman" w:cs="Times New Roman"/>
          <w:szCs w:val="24"/>
        </w:rPr>
        <w:t>,</w:t>
      </w:r>
      <w:r w:rsidRPr="00483092">
        <w:rPr>
          <w:rFonts w:ascii="Times New Roman" w:hAnsi="Times New Roman" w:cs="Times New Roman"/>
          <w:szCs w:val="24"/>
        </w:rPr>
        <w:t xml:space="preserve"> w serwisie </w:t>
      </w:r>
      <w:r w:rsidR="005E2848">
        <w:rPr>
          <w:rFonts w:ascii="Times New Roman" w:hAnsi="Times New Roman" w:cs="Times New Roman"/>
          <w:szCs w:val="24"/>
        </w:rPr>
        <w:t>„</w:t>
      </w:r>
      <w:r w:rsidRPr="00483092">
        <w:rPr>
          <w:rFonts w:ascii="Times New Roman" w:hAnsi="Times New Roman" w:cs="Times New Roman"/>
          <w:szCs w:val="24"/>
        </w:rPr>
        <w:t>Rządowy Proces Legislacyjny</w:t>
      </w:r>
      <w:r w:rsidR="005E2848">
        <w:rPr>
          <w:rFonts w:ascii="Times New Roman" w:hAnsi="Times New Roman" w:cs="Times New Roman"/>
          <w:szCs w:val="24"/>
        </w:rPr>
        <w:t>”,</w:t>
      </w:r>
      <w:r w:rsidRPr="00483092">
        <w:rPr>
          <w:rFonts w:ascii="Times New Roman" w:hAnsi="Times New Roman" w:cs="Times New Roman"/>
          <w:szCs w:val="24"/>
        </w:rPr>
        <w:t xml:space="preserve"> z dniem skierowania do uzgodnień </w:t>
      </w:r>
      <w:r w:rsidR="00ED6542" w:rsidRPr="00483092">
        <w:rPr>
          <w:rFonts w:ascii="Times New Roman" w:hAnsi="Times New Roman" w:cs="Times New Roman"/>
          <w:szCs w:val="24"/>
        </w:rPr>
        <w:t>międzyresortowych</w:t>
      </w:r>
      <w:r w:rsidR="005119AD" w:rsidRPr="00483092">
        <w:rPr>
          <w:rFonts w:ascii="Times New Roman" w:hAnsi="Times New Roman" w:cs="Times New Roman"/>
          <w:szCs w:val="24"/>
        </w:rPr>
        <w:t xml:space="preserve">. </w:t>
      </w:r>
    </w:p>
    <w:p w14:paraId="2B19912D" w14:textId="2889ABB3" w:rsidR="00AC7E98" w:rsidRPr="00483092" w:rsidRDefault="00AC7E98"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Na etapie rozpatrywania projektu ustawy przez KSE Polskie Stowarzyszenie Nowe Kina zgłosiło zainteresowanie pracami nad projektem ustawy w trybie przepisów o działalności lobbingowej w procesie stanowienia prawa.</w:t>
      </w:r>
    </w:p>
    <w:p w14:paraId="053F0E7D" w14:textId="448CCCEA" w:rsidR="00307051" w:rsidRPr="009935E0" w:rsidRDefault="007F7644" w:rsidP="00483092">
      <w:pPr>
        <w:pStyle w:val="ZARTzmartartykuempunktem"/>
        <w:tabs>
          <w:tab w:val="left" w:pos="426"/>
        </w:tabs>
        <w:spacing w:before="120"/>
        <w:ind w:left="0" w:firstLine="0"/>
        <w:rPr>
          <w:rFonts w:ascii="Times New Roman" w:hAnsi="Times New Roman" w:cs="Times New Roman"/>
          <w:szCs w:val="24"/>
        </w:rPr>
      </w:pPr>
      <w:r w:rsidRPr="00483092">
        <w:rPr>
          <w:rFonts w:ascii="Times New Roman" w:hAnsi="Times New Roman" w:cs="Times New Roman"/>
          <w:szCs w:val="24"/>
        </w:rPr>
        <w:t>Projektowana regulacja nie stwarza zagrożeń korupcyjnych.</w:t>
      </w:r>
    </w:p>
    <w:sectPr w:rsidR="00307051" w:rsidRPr="009935E0" w:rsidSect="00483092">
      <w:footerReference w:type="default" r:id="rId8"/>
      <w:pgSz w:w="11900"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6DBC" w14:textId="77777777" w:rsidR="004047A5" w:rsidRDefault="004047A5" w:rsidP="000C26AB">
      <w:pPr>
        <w:spacing w:after="0" w:line="240" w:lineRule="auto"/>
      </w:pPr>
      <w:r>
        <w:separator/>
      </w:r>
    </w:p>
  </w:endnote>
  <w:endnote w:type="continuationSeparator" w:id="0">
    <w:p w14:paraId="7E893F35" w14:textId="77777777" w:rsidR="004047A5" w:rsidRDefault="004047A5" w:rsidP="000C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84721"/>
      <w:docPartObj>
        <w:docPartGallery w:val="Page Numbers (Bottom of Page)"/>
        <w:docPartUnique/>
      </w:docPartObj>
    </w:sdtPr>
    <w:sdtEndPr>
      <w:rPr>
        <w:rFonts w:ascii="Times New Roman" w:hAnsi="Times New Roman" w:cs="Times New Roman"/>
        <w:sz w:val="24"/>
        <w:szCs w:val="24"/>
      </w:rPr>
    </w:sdtEndPr>
    <w:sdtContent>
      <w:p w14:paraId="103418DD" w14:textId="653CAF7B" w:rsidR="00F34DE8" w:rsidRPr="00B36CC6" w:rsidRDefault="00F34DE8" w:rsidP="00B36CC6">
        <w:pPr>
          <w:pStyle w:val="Stopka"/>
          <w:jc w:val="center"/>
          <w:rPr>
            <w:rFonts w:ascii="Times New Roman" w:hAnsi="Times New Roman" w:cs="Times New Roman"/>
            <w:sz w:val="24"/>
            <w:szCs w:val="24"/>
          </w:rPr>
        </w:pPr>
        <w:r w:rsidRPr="00B36CC6">
          <w:rPr>
            <w:rFonts w:ascii="Times New Roman" w:hAnsi="Times New Roman" w:cs="Times New Roman"/>
            <w:sz w:val="24"/>
            <w:szCs w:val="24"/>
          </w:rPr>
          <w:fldChar w:fldCharType="begin"/>
        </w:r>
        <w:r w:rsidRPr="00B36CC6">
          <w:rPr>
            <w:rFonts w:ascii="Times New Roman" w:hAnsi="Times New Roman" w:cs="Times New Roman"/>
            <w:sz w:val="24"/>
            <w:szCs w:val="24"/>
          </w:rPr>
          <w:instrText>PAGE   \* MERGEFORMAT</w:instrText>
        </w:r>
        <w:r w:rsidRPr="00B36CC6">
          <w:rPr>
            <w:rFonts w:ascii="Times New Roman" w:hAnsi="Times New Roman" w:cs="Times New Roman"/>
            <w:sz w:val="24"/>
            <w:szCs w:val="24"/>
          </w:rPr>
          <w:fldChar w:fldCharType="separate"/>
        </w:r>
        <w:r w:rsidRPr="00B36CC6">
          <w:rPr>
            <w:rFonts w:ascii="Times New Roman" w:hAnsi="Times New Roman" w:cs="Times New Roman"/>
            <w:noProof/>
            <w:sz w:val="24"/>
            <w:szCs w:val="24"/>
          </w:rPr>
          <w:t>23</w:t>
        </w:r>
        <w:r w:rsidRPr="00B36CC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610E" w14:textId="77777777" w:rsidR="004047A5" w:rsidRDefault="004047A5" w:rsidP="000C26AB">
      <w:pPr>
        <w:spacing w:after="0" w:line="240" w:lineRule="auto"/>
      </w:pPr>
      <w:r>
        <w:separator/>
      </w:r>
    </w:p>
  </w:footnote>
  <w:footnote w:type="continuationSeparator" w:id="0">
    <w:p w14:paraId="5816D7B3" w14:textId="77777777" w:rsidR="004047A5" w:rsidRDefault="004047A5" w:rsidP="000C26AB">
      <w:pPr>
        <w:spacing w:after="0" w:line="240" w:lineRule="auto"/>
      </w:pPr>
      <w:r>
        <w:continuationSeparator/>
      </w:r>
    </w:p>
  </w:footnote>
  <w:footnote w:id="1">
    <w:p w14:paraId="181EE5DB" w14:textId="689E1382"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9935E0" w:rsidRPr="00483092">
        <w:rPr>
          <w:rFonts w:ascii="Times New Roman" w:hAnsi="Times New Roman" w:cs="Times New Roman"/>
          <w:vertAlign w:val="superscript"/>
        </w:rPr>
        <w:t>)</w:t>
      </w:r>
      <w:r w:rsidR="009935E0" w:rsidRPr="00483092">
        <w:rPr>
          <w:rFonts w:ascii="Times New Roman" w:hAnsi="Times New Roman" w:cs="Times New Roman"/>
        </w:rPr>
        <w:tab/>
      </w:r>
      <w:r w:rsidR="0002377F" w:rsidRPr="0002377F">
        <w:rPr>
          <w:rFonts w:ascii="Times New Roman" w:hAnsi="Times New Roman" w:cs="Times New Roman"/>
        </w:rPr>
        <w:t>Przez „SATCAB I” rozumie się dyrektywę 93/83/EWG, którą dyrektywa 2019/789 zmienia i, jak np. określił R. Markiewicz, „aktualizuje w kontekście postępu technicznego” (zob. R. Markiewicz, „</w:t>
      </w:r>
      <w:r w:rsidR="0002377F" w:rsidRPr="0002377F">
        <w:rPr>
          <w:rFonts w:ascii="Times New Roman" w:hAnsi="Times New Roman" w:cs="Times New Roman"/>
          <w:i/>
        </w:rPr>
        <w:t>Prawo autorskie na jednolitym rynku cyfrowym. Dyrektywa Parlamentu Europejskiego i Rady (UE) 2019/790</w:t>
      </w:r>
      <w:r w:rsidR="0002377F" w:rsidRPr="0002377F">
        <w:rPr>
          <w:rFonts w:ascii="Times New Roman" w:hAnsi="Times New Roman" w:cs="Times New Roman"/>
        </w:rPr>
        <w:t>”, wyd. Wolters Kluwer, Warszawa 2021, str. 352).</w:t>
      </w:r>
    </w:p>
  </w:footnote>
  <w:footnote w:id="2">
    <w:p w14:paraId="7464B5CF" w14:textId="135F4EA7" w:rsidR="00F34DE8" w:rsidRPr="00C36240" w:rsidRDefault="00F34DE8" w:rsidP="00483092">
      <w:pPr>
        <w:pStyle w:val="Tekstprzypisudolnego"/>
        <w:ind w:left="284" w:hanging="284"/>
        <w:jc w:val="both"/>
        <w:rPr>
          <w:rFonts w:ascii="Times New Roman" w:hAnsi="Times New Roman" w:cs="Times New Roman"/>
          <w:sz w:val="18"/>
          <w:szCs w:val="18"/>
        </w:rPr>
      </w:pPr>
      <w:r w:rsidRPr="00483092">
        <w:rPr>
          <w:rStyle w:val="Odwoanieprzypisudolnego"/>
          <w:rFonts w:ascii="Times New Roman" w:hAnsi="Times New Roman" w:cs="Times New Roman"/>
        </w:rPr>
        <w:footnoteRef/>
      </w:r>
      <w:r w:rsidR="009935E0" w:rsidRPr="00483092">
        <w:rPr>
          <w:rFonts w:ascii="Times New Roman" w:hAnsi="Times New Roman" w:cs="Times New Roman"/>
          <w:vertAlign w:val="superscript"/>
        </w:rPr>
        <w:t>)</w:t>
      </w:r>
      <w:r w:rsidR="009935E0" w:rsidRPr="00483092">
        <w:rPr>
          <w:rFonts w:ascii="Times New Roman" w:hAnsi="Times New Roman" w:cs="Times New Roman"/>
        </w:rPr>
        <w:tab/>
      </w:r>
      <w:r w:rsidR="0002377F" w:rsidRPr="0002377F">
        <w:rPr>
          <w:rFonts w:ascii="Times New Roman" w:hAnsi="Times New Roman" w:cs="Times New Roman"/>
        </w:rPr>
        <w:t xml:space="preserve">Zob. Komunikat Komisji do Parlamentu Europejskiego i Rady „Wytyczne dotyczące art. 17 dyrektywy 2019/790 w sprawie prawa autorskiego na jednolitym rynku cyfrowym” COM(2021) 288 </w:t>
      </w:r>
      <w:proofErr w:type="spellStart"/>
      <w:r w:rsidR="0002377F" w:rsidRPr="0002377F">
        <w:rPr>
          <w:rFonts w:ascii="Times New Roman" w:hAnsi="Times New Roman" w:cs="Times New Roman"/>
        </w:rPr>
        <w:t>final</w:t>
      </w:r>
      <w:proofErr w:type="spellEnd"/>
      <w:r w:rsidR="0002377F" w:rsidRPr="0002377F">
        <w:rPr>
          <w:rFonts w:ascii="Times New Roman" w:hAnsi="Times New Roman" w:cs="Times New Roman"/>
        </w:rPr>
        <w:t>.</w:t>
      </w:r>
    </w:p>
  </w:footnote>
  <w:footnote w:id="3">
    <w:p w14:paraId="462FE158" w14:textId="54D8D81B" w:rsidR="00F34DE8" w:rsidRPr="00C36240" w:rsidRDefault="00F34DE8" w:rsidP="00483092">
      <w:pPr>
        <w:pStyle w:val="Tekstprzypisudolnego"/>
        <w:ind w:left="284" w:hanging="284"/>
        <w:jc w:val="both"/>
        <w:rPr>
          <w:rFonts w:ascii="Times New Roman" w:hAnsi="Times New Roman" w:cs="Times New Roman"/>
          <w:sz w:val="18"/>
          <w:szCs w:val="18"/>
          <w:lang w:val="en-US"/>
        </w:rPr>
      </w:pPr>
      <w:r w:rsidRPr="00483092">
        <w:rPr>
          <w:rStyle w:val="Odwoanieprzypisudolnego"/>
          <w:rFonts w:ascii="Times New Roman" w:hAnsi="Times New Roman" w:cs="Times New Roman"/>
        </w:rPr>
        <w:footnoteRef/>
      </w:r>
      <w:r w:rsidR="000816F5" w:rsidRPr="00483092">
        <w:rPr>
          <w:rFonts w:ascii="Times New Roman" w:hAnsi="Times New Roman" w:cs="Times New Roman"/>
          <w:vertAlign w:val="superscript"/>
        </w:rPr>
        <w:t>)</w:t>
      </w:r>
      <w:r w:rsidR="000816F5">
        <w:rPr>
          <w:rFonts w:ascii="Times New Roman" w:hAnsi="Times New Roman" w:cs="Times New Roman"/>
        </w:rPr>
        <w:tab/>
      </w:r>
      <w:r w:rsidRPr="00483092">
        <w:rPr>
          <w:rFonts w:ascii="Times New Roman" w:hAnsi="Times New Roman" w:cs="Times New Roman"/>
        </w:rPr>
        <w:t xml:space="preserve">Odnośnie do genezy i przebiegu prac nad dyrektywą zob. np. </w:t>
      </w:r>
      <w:r w:rsidRPr="00483092">
        <w:rPr>
          <w:rFonts w:ascii="Times New Roman" w:hAnsi="Times New Roman" w:cs="Times New Roman"/>
          <w:lang w:val="en-US"/>
        </w:rPr>
        <w:t xml:space="preserve">T. Schapiro, </w:t>
      </w:r>
      <w:r w:rsidRPr="00483092">
        <w:rPr>
          <w:rFonts w:ascii="Times New Roman" w:hAnsi="Times New Roman" w:cs="Times New Roman"/>
          <w:bCs/>
          <w:i/>
          <w:spacing w:val="3"/>
          <w:shd w:val="clear" w:color="auto" w:fill="FFFFFF"/>
          <w:lang w:val="en-US"/>
        </w:rPr>
        <w:t>Comment on the EU’s Update of the “</w:t>
      </w:r>
      <w:proofErr w:type="spellStart"/>
      <w:r w:rsidRPr="00483092">
        <w:rPr>
          <w:rFonts w:ascii="Times New Roman" w:hAnsi="Times New Roman" w:cs="Times New Roman"/>
          <w:bCs/>
          <w:i/>
          <w:spacing w:val="3"/>
          <w:shd w:val="clear" w:color="auto" w:fill="FFFFFF"/>
          <w:lang w:val="en-US"/>
        </w:rPr>
        <w:t>SatCab</w:t>
      </w:r>
      <w:proofErr w:type="spellEnd"/>
      <w:r w:rsidRPr="00483092">
        <w:rPr>
          <w:rFonts w:ascii="Times New Roman" w:hAnsi="Times New Roman" w:cs="Times New Roman"/>
          <w:bCs/>
          <w:i/>
          <w:spacing w:val="3"/>
          <w:shd w:val="clear" w:color="auto" w:fill="FFFFFF"/>
          <w:lang w:val="en-US"/>
        </w:rPr>
        <w:t>” Directive: A Brave New Digital World for the Audiovisual Sector?</w:t>
      </w:r>
      <w:r w:rsidRPr="00483092">
        <w:rPr>
          <w:rFonts w:ascii="Times New Roman" w:hAnsi="Times New Roman" w:cs="Times New Roman"/>
          <w:bCs/>
          <w:spacing w:val="3"/>
          <w:shd w:val="clear" w:color="auto" w:fill="FFFFFF"/>
          <w:lang w:val="en-US"/>
        </w:rPr>
        <w:t>,</w:t>
      </w:r>
      <w:r w:rsidR="000816F5">
        <w:rPr>
          <w:rFonts w:ascii="Times New Roman" w:hAnsi="Times New Roman" w:cs="Times New Roman"/>
          <w:bCs/>
          <w:spacing w:val="3"/>
          <w:shd w:val="clear" w:color="auto" w:fill="FFFFFF"/>
          <w:lang w:val="en-US"/>
        </w:rPr>
        <w:t xml:space="preserve"> </w:t>
      </w:r>
      <w:r w:rsidRPr="00483092">
        <w:rPr>
          <w:rFonts w:ascii="Times New Roman" w:hAnsi="Times New Roman" w:cs="Times New Roman"/>
          <w:lang w:val="en-US"/>
        </w:rPr>
        <w:t>https://www.wiggin.co.uk/insight/comment-on-the-eus-update-of-the-satcab-directive-a-brave-new-digital-world-for-the-audiovisual-sector/#_ftn3</w:t>
      </w:r>
    </w:p>
  </w:footnote>
  <w:footnote w:id="4">
    <w:p w14:paraId="35E4C10A" w14:textId="1DE76238" w:rsidR="00F34DE8" w:rsidRPr="00C36240" w:rsidRDefault="00F34DE8" w:rsidP="00483092">
      <w:pPr>
        <w:pStyle w:val="Tekstprzypisudolnego"/>
        <w:ind w:left="284" w:hanging="284"/>
        <w:jc w:val="both"/>
        <w:rPr>
          <w:rFonts w:ascii="Times New Roman" w:hAnsi="Times New Roman" w:cs="Times New Roman"/>
          <w:sz w:val="18"/>
          <w:szCs w:val="18"/>
          <w:lang w:val="en-US"/>
        </w:rPr>
      </w:pPr>
      <w:r w:rsidRPr="00483092">
        <w:rPr>
          <w:rStyle w:val="Odwoanieprzypisudolnego"/>
          <w:rFonts w:ascii="Times New Roman" w:hAnsi="Times New Roman" w:cs="Times New Roman"/>
        </w:rPr>
        <w:footnoteRef/>
      </w:r>
      <w:r w:rsidR="005C4262" w:rsidRPr="00483092">
        <w:rPr>
          <w:rFonts w:ascii="Times New Roman" w:hAnsi="Times New Roman" w:cs="Times New Roman"/>
          <w:vertAlign w:val="superscript"/>
          <w:lang w:val="en-US"/>
        </w:rPr>
        <w:t>)</w:t>
      </w:r>
      <w:r w:rsidR="005C4262">
        <w:rPr>
          <w:rFonts w:ascii="Times New Roman" w:hAnsi="Times New Roman" w:cs="Times New Roman"/>
          <w:lang w:val="en-US"/>
        </w:rPr>
        <w:tab/>
      </w:r>
      <w:r w:rsidRPr="00483092">
        <w:rPr>
          <w:rFonts w:ascii="Times New Roman" w:hAnsi="Times New Roman" w:cs="Times New Roman"/>
          <w:lang w:val="en-US"/>
        </w:rPr>
        <w:t>COM (2015) 626 final.</w:t>
      </w:r>
    </w:p>
  </w:footnote>
  <w:footnote w:id="5">
    <w:p w14:paraId="23CE6ED5" w14:textId="3FF29DD6" w:rsidR="00F34DE8" w:rsidRPr="00483092" w:rsidRDefault="00F34DE8" w:rsidP="006E3608">
      <w:pPr>
        <w:spacing w:after="0" w:line="240" w:lineRule="auto"/>
        <w:ind w:left="284" w:hanging="284"/>
        <w:jc w:val="both"/>
        <w:rPr>
          <w:rFonts w:ascii="Times New Roman" w:hAnsi="Times New Roman" w:cs="Times New Roman"/>
          <w:sz w:val="20"/>
          <w:szCs w:val="20"/>
          <w:lang w:val="en-US"/>
        </w:rPr>
      </w:pPr>
      <w:r w:rsidRPr="00483092">
        <w:rPr>
          <w:rStyle w:val="Odwoanieprzypisudolnego"/>
          <w:rFonts w:ascii="Times New Roman" w:hAnsi="Times New Roman" w:cs="Times New Roman"/>
          <w:sz w:val="20"/>
          <w:szCs w:val="20"/>
        </w:rPr>
        <w:footnoteRef/>
      </w:r>
      <w:r w:rsidR="006E3608" w:rsidRPr="00483092">
        <w:rPr>
          <w:rFonts w:ascii="Times New Roman" w:hAnsi="Times New Roman" w:cs="Times New Roman"/>
          <w:sz w:val="20"/>
          <w:szCs w:val="20"/>
          <w:vertAlign w:val="superscript"/>
          <w:lang w:val="en-US"/>
        </w:rPr>
        <w:t>)</w:t>
      </w:r>
      <w:r w:rsidR="006E3608">
        <w:rPr>
          <w:rFonts w:ascii="Times New Roman" w:hAnsi="Times New Roman" w:cs="Times New Roman"/>
          <w:sz w:val="20"/>
          <w:szCs w:val="20"/>
          <w:lang w:val="en-US"/>
        </w:rPr>
        <w:tab/>
      </w:r>
      <w:r w:rsidRPr="00483092">
        <w:rPr>
          <w:rFonts w:ascii="Times New Roman" w:hAnsi="Times New Roman" w:cs="Times New Roman"/>
          <w:sz w:val="20"/>
          <w:szCs w:val="20"/>
          <w:lang w:val="en-US"/>
        </w:rPr>
        <w:t>COM(2016) 593 final 2016/0280(COD).</w:t>
      </w:r>
    </w:p>
  </w:footnote>
  <w:footnote w:id="6">
    <w:p w14:paraId="0A196C80" w14:textId="50AFD316" w:rsidR="00F34DE8" w:rsidRPr="00C36240" w:rsidRDefault="00F34DE8" w:rsidP="00483092">
      <w:pPr>
        <w:spacing w:after="0" w:line="240" w:lineRule="auto"/>
        <w:ind w:left="284" w:hanging="284"/>
        <w:jc w:val="both"/>
        <w:rPr>
          <w:rFonts w:ascii="Times New Roman" w:hAnsi="Times New Roman" w:cs="Times New Roman"/>
          <w:sz w:val="18"/>
          <w:szCs w:val="18"/>
        </w:rPr>
      </w:pPr>
      <w:r w:rsidRPr="00483092">
        <w:rPr>
          <w:rStyle w:val="Odwoanieprzypisudolnego"/>
          <w:rFonts w:ascii="Times New Roman" w:hAnsi="Times New Roman" w:cs="Times New Roman"/>
          <w:sz w:val="20"/>
          <w:szCs w:val="20"/>
        </w:rPr>
        <w:footnoteRef/>
      </w:r>
      <w:r w:rsidR="004A4585" w:rsidRPr="00483092">
        <w:rPr>
          <w:rFonts w:ascii="Times New Roman" w:hAnsi="Times New Roman" w:cs="Times New Roman"/>
          <w:sz w:val="20"/>
          <w:szCs w:val="20"/>
          <w:vertAlign w:val="superscript"/>
        </w:rPr>
        <w:t>)</w:t>
      </w:r>
      <w:r w:rsidR="004A4585">
        <w:rPr>
          <w:rFonts w:ascii="Times New Roman" w:hAnsi="Times New Roman" w:cs="Times New Roman"/>
          <w:sz w:val="20"/>
          <w:szCs w:val="20"/>
        </w:rPr>
        <w:tab/>
      </w:r>
      <w:r w:rsidRPr="00483092">
        <w:rPr>
          <w:rFonts w:ascii="Times New Roman" w:hAnsi="Times New Roman" w:cs="Times New Roman"/>
          <w:sz w:val="20"/>
          <w:szCs w:val="20"/>
        </w:rPr>
        <w:t xml:space="preserve">Wyniki głosowania: https://data.consilium.europa.eu/doc/document/ST-8612-2019-INIT/pl/pdf </w:t>
      </w:r>
    </w:p>
  </w:footnote>
  <w:footnote w:id="7">
    <w:p w14:paraId="319FB608" w14:textId="09FD7DA3"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4A4585" w:rsidRPr="00483092">
        <w:rPr>
          <w:rFonts w:ascii="Times New Roman" w:hAnsi="Times New Roman" w:cs="Times New Roman"/>
          <w:vertAlign w:val="superscript"/>
        </w:rPr>
        <w:t>)</w:t>
      </w:r>
      <w:r w:rsidR="004A4585">
        <w:rPr>
          <w:rFonts w:ascii="Times New Roman" w:hAnsi="Times New Roman" w:cs="Times New Roman"/>
        </w:rPr>
        <w:tab/>
      </w:r>
      <w:r w:rsidRPr="00483092">
        <w:rPr>
          <w:rFonts w:ascii="Times New Roman" w:hAnsi="Times New Roman" w:cs="Times New Roman"/>
        </w:rPr>
        <w:t>Dokument 7986/19 ADD 1 REV 2 z dnia 15 kwietnia 2019 r., https://eur-lex.europa.eu</w:t>
      </w:r>
    </w:p>
  </w:footnote>
  <w:footnote w:id="8">
    <w:p w14:paraId="57171F48" w14:textId="6DDCDC35"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4A4585" w:rsidRPr="00483092">
        <w:rPr>
          <w:rFonts w:ascii="Times New Roman" w:hAnsi="Times New Roman" w:cs="Times New Roman"/>
          <w:vertAlign w:val="superscript"/>
        </w:rPr>
        <w:t>)</w:t>
      </w:r>
      <w:r w:rsidR="004A4585">
        <w:rPr>
          <w:rFonts w:ascii="Times New Roman" w:hAnsi="Times New Roman" w:cs="Times New Roman"/>
        </w:rPr>
        <w:tab/>
      </w:r>
      <w:r w:rsidRPr="00483092">
        <w:rPr>
          <w:rFonts w:ascii="Times New Roman" w:hAnsi="Times New Roman" w:cs="Times New Roman"/>
        </w:rPr>
        <w:t>Tamże.</w:t>
      </w:r>
    </w:p>
  </w:footnote>
  <w:footnote w:id="9">
    <w:p w14:paraId="2F4341E5" w14:textId="7E043099" w:rsidR="000E26B5" w:rsidRDefault="000E26B5" w:rsidP="000E26B5">
      <w:pPr>
        <w:pStyle w:val="Tekstprzypisudolnego"/>
        <w:ind w:left="284" w:hanging="284"/>
      </w:pPr>
      <w:r>
        <w:rPr>
          <w:rStyle w:val="Odwoanieprzypisudolnego"/>
        </w:rPr>
        <w:footnoteRef/>
      </w:r>
      <w:r w:rsidRPr="000E26B5">
        <w:rPr>
          <w:vertAlign w:val="superscript"/>
        </w:rPr>
        <w:t>)</w:t>
      </w:r>
      <w:r>
        <w:tab/>
      </w:r>
      <w:r w:rsidRPr="00483092">
        <w:rPr>
          <w:rFonts w:ascii="Times New Roman" w:hAnsi="Times New Roman" w:cs="Times New Roman"/>
        </w:rPr>
        <w:t xml:space="preserve">Tekst wyroku jest dostępny na stronie Trybunału: </w:t>
      </w:r>
      <w:hyperlink r:id="rId1" w:history="1">
        <w:r w:rsidRPr="00483092">
          <w:rPr>
            <w:rFonts w:ascii="Times New Roman" w:hAnsi="Times New Roman" w:cs="Times New Roman"/>
          </w:rPr>
          <w:t>curia.europa.eu</w:t>
        </w:r>
      </w:hyperlink>
      <w:r w:rsidRPr="00483092">
        <w:rPr>
          <w:rFonts w:ascii="Times New Roman" w:hAnsi="Times New Roman" w:cs="Times New Roman"/>
        </w:rPr>
        <w:t>.</w:t>
      </w:r>
    </w:p>
  </w:footnote>
  <w:footnote w:id="10">
    <w:p w14:paraId="08FFD692" w14:textId="4CF8DEBB" w:rsidR="00F34DE8" w:rsidRPr="00483092" w:rsidRDefault="00F34DE8" w:rsidP="004A4585">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4A4585" w:rsidRPr="00483092">
        <w:rPr>
          <w:rFonts w:ascii="Times New Roman" w:hAnsi="Times New Roman" w:cs="Times New Roman"/>
          <w:vertAlign w:val="superscript"/>
        </w:rPr>
        <w:t>)</w:t>
      </w:r>
      <w:r w:rsidR="004A4585">
        <w:rPr>
          <w:rFonts w:ascii="Times New Roman" w:hAnsi="Times New Roman" w:cs="Times New Roman"/>
        </w:rPr>
        <w:tab/>
      </w:r>
      <w:r w:rsidRPr="00483092">
        <w:rPr>
          <w:rFonts w:ascii="Times New Roman" w:hAnsi="Times New Roman" w:cs="Times New Roman"/>
        </w:rPr>
        <w:t>Komunikat Komisji do Parlamentu Europejskiego i Rady z dnia 4 czerwca 2021 r. „</w:t>
      </w:r>
      <w:r w:rsidRPr="00483092">
        <w:rPr>
          <w:rFonts w:ascii="Times New Roman" w:hAnsi="Times New Roman" w:cs="Times New Roman"/>
          <w:i/>
        </w:rPr>
        <w:t>Wytyczne dotyczące art. 17 dyrektywy 2019/790 w sprawie prawa autorskiego na jednolitym rynku cyfrowym</w:t>
      </w:r>
      <w:r w:rsidRPr="00483092">
        <w:rPr>
          <w:rFonts w:ascii="Times New Roman" w:hAnsi="Times New Roman" w:cs="Times New Roman"/>
        </w:rPr>
        <w:t xml:space="preserve">” COM(2021) 288 </w:t>
      </w:r>
      <w:proofErr w:type="spellStart"/>
      <w:r w:rsidRPr="00483092">
        <w:rPr>
          <w:rFonts w:ascii="Times New Roman" w:hAnsi="Times New Roman" w:cs="Times New Roman"/>
        </w:rPr>
        <w:t>final</w:t>
      </w:r>
      <w:proofErr w:type="spellEnd"/>
      <w:r w:rsidRPr="00483092">
        <w:rPr>
          <w:rFonts w:ascii="Times New Roman" w:hAnsi="Times New Roman" w:cs="Times New Roman"/>
        </w:rPr>
        <w:t>.</w:t>
      </w:r>
    </w:p>
  </w:footnote>
  <w:footnote w:id="11">
    <w:p w14:paraId="59D75A4E" w14:textId="028580FB"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4A4585" w:rsidRPr="00483092">
        <w:rPr>
          <w:rFonts w:ascii="Times New Roman" w:hAnsi="Times New Roman" w:cs="Times New Roman"/>
          <w:vertAlign w:val="superscript"/>
        </w:rPr>
        <w:t>)</w:t>
      </w:r>
      <w:r w:rsidR="004A4585">
        <w:rPr>
          <w:rFonts w:ascii="Times New Roman" w:hAnsi="Times New Roman" w:cs="Times New Roman"/>
        </w:rPr>
        <w:tab/>
      </w:r>
      <w:r w:rsidRPr="00483092">
        <w:rPr>
          <w:rFonts w:ascii="Times New Roman" w:hAnsi="Times New Roman" w:cs="Times New Roman"/>
        </w:rPr>
        <w:t xml:space="preserve">Zob. np. komentarz Europejskiego Zrzeszenia Stowarzyszeń Autorów i Kompozytorów GESAC https://authorsocieties.eu/gesac-reacts-to-article-17-guidelines/ </w:t>
      </w:r>
    </w:p>
  </w:footnote>
  <w:footnote w:id="12">
    <w:p w14:paraId="082276A6" w14:textId="1776A023" w:rsidR="000E26B5" w:rsidRPr="000E26B5" w:rsidRDefault="000E26B5" w:rsidP="000E26B5">
      <w:pPr>
        <w:pStyle w:val="Tekstprzypisudolnego"/>
        <w:ind w:left="284" w:hanging="284"/>
        <w:jc w:val="both"/>
        <w:rPr>
          <w:rFonts w:ascii="Times New Roman" w:hAnsi="Times New Roman" w:cs="Times New Roman"/>
        </w:rPr>
      </w:pPr>
      <w:r w:rsidRPr="000E26B5">
        <w:rPr>
          <w:rStyle w:val="Odwoanieprzypisudolnego"/>
          <w:rFonts w:ascii="Times New Roman" w:hAnsi="Times New Roman" w:cs="Times New Roman"/>
        </w:rPr>
        <w:footnoteRef/>
      </w:r>
      <w:r w:rsidRPr="000E26B5">
        <w:rPr>
          <w:rFonts w:ascii="Times New Roman" w:hAnsi="Times New Roman" w:cs="Times New Roman"/>
          <w:vertAlign w:val="superscript"/>
        </w:rPr>
        <w:t>)</w:t>
      </w:r>
      <w:r w:rsidRPr="000E26B5">
        <w:rPr>
          <w:rFonts w:ascii="Times New Roman" w:hAnsi="Times New Roman" w:cs="Times New Roman"/>
        </w:rPr>
        <w:tab/>
        <w:t>https://bip.mkdnis.gov.pl/pages/posts/konsultacje-publiczne-3276.php</w:t>
      </w:r>
    </w:p>
  </w:footnote>
  <w:footnote w:id="13">
    <w:p w14:paraId="48E6CF25" w14:textId="066DCBA6" w:rsidR="00F34DE8" w:rsidRPr="000E26B5" w:rsidRDefault="00F34DE8" w:rsidP="000E26B5">
      <w:pPr>
        <w:pStyle w:val="Tekstprzypisudolnego"/>
        <w:ind w:left="284" w:hanging="284"/>
        <w:jc w:val="both"/>
        <w:rPr>
          <w:rFonts w:ascii="Times New Roman" w:hAnsi="Times New Roman" w:cs="Times New Roman"/>
        </w:rPr>
      </w:pPr>
      <w:r w:rsidRPr="000E26B5">
        <w:rPr>
          <w:rStyle w:val="Odwoanieprzypisudolnego"/>
          <w:rFonts w:ascii="Times New Roman" w:hAnsi="Times New Roman" w:cs="Times New Roman"/>
        </w:rPr>
        <w:footnoteRef/>
      </w:r>
      <w:r w:rsidR="000E26B5" w:rsidRPr="000E26B5">
        <w:rPr>
          <w:rFonts w:ascii="Times New Roman" w:hAnsi="Times New Roman" w:cs="Times New Roman"/>
          <w:vertAlign w:val="superscript"/>
        </w:rPr>
        <w:t>)</w:t>
      </w:r>
      <w:r w:rsidR="000E26B5" w:rsidRPr="000E26B5">
        <w:rPr>
          <w:rFonts w:ascii="Times New Roman" w:hAnsi="Times New Roman" w:cs="Times New Roman"/>
        </w:rPr>
        <w:tab/>
      </w:r>
      <w:r w:rsidRPr="000E26B5">
        <w:rPr>
          <w:rFonts w:ascii="Times New Roman" w:hAnsi="Times New Roman" w:cs="Times New Roman"/>
        </w:rPr>
        <w:t xml:space="preserve">https://www.gov.pl/web/premier/wplip-rm </w:t>
      </w:r>
    </w:p>
  </w:footnote>
  <w:footnote w:id="14">
    <w:p w14:paraId="59A58D44" w14:textId="56B1D6E1" w:rsidR="00F34DE8" w:rsidRPr="00483092" w:rsidRDefault="00F34DE8" w:rsidP="00483092">
      <w:pPr>
        <w:pStyle w:val="Tekstprzypisudolnego"/>
        <w:ind w:left="284" w:hanging="284"/>
        <w:jc w:val="both"/>
        <w:rPr>
          <w:rFonts w:ascii="Times New Roman" w:hAnsi="Times New Roman" w:cs="Times New Roman"/>
          <w:bCs/>
          <w:color w:val="000000"/>
        </w:rPr>
      </w:pPr>
      <w:r w:rsidRPr="00483092">
        <w:rPr>
          <w:rStyle w:val="Odwoanieprzypisudolnego"/>
          <w:rFonts w:ascii="Times New Roman" w:hAnsi="Times New Roman" w:cs="Times New Roman"/>
        </w:rPr>
        <w:footnoteRef/>
      </w:r>
      <w:r w:rsidR="000E26B5" w:rsidRPr="00483092">
        <w:rPr>
          <w:rFonts w:ascii="Times New Roman" w:hAnsi="Times New Roman" w:cs="Times New Roman"/>
          <w:vertAlign w:val="superscript"/>
        </w:rPr>
        <w:t>)</w:t>
      </w:r>
      <w:r w:rsidR="00205E47">
        <w:rPr>
          <w:rFonts w:ascii="Times New Roman" w:hAnsi="Times New Roman" w:cs="Times New Roman"/>
        </w:rPr>
        <w:tab/>
      </w:r>
      <w:r w:rsidRPr="00483092">
        <w:rPr>
          <w:rFonts w:ascii="Times New Roman" w:hAnsi="Times New Roman" w:cs="Times New Roman"/>
        </w:rPr>
        <w:t xml:space="preserve">np. wyrok </w:t>
      </w:r>
      <w:r w:rsidRPr="00483092">
        <w:rPr>
          <w:rFonts w:ascii="Times New Roman" w:hAnsi="Times New Roman" w:cs="Times New Roman"/>
          <w:bCs/>
          <w:color w:val="000000"/>
        </w:rPr>
        <w:t>TSUE z dnia 4 października 2011 r. w sprawach połączonych C-403/08 i C-429/08.</w:t>
      </w:r>
    </w:p>
  </w:footnote>
  <w:footnote w:id="15">
    <w:p w14:paraId="3F2946D7" w14:textId="7F8D4A55" w:rsidR="00F34DE8" w:rsidRPr="00483092" w:rsidRDefault="00F34DE8" w:rsidP="00483092">
      <w:pPr>
        <w:pStyle w:val="Tekstprzypisudolnego"/>
        <w:ind w:left="284" w:hanging="284"/>
        <w:jc w:val="both"/>
        <w:rPr>
          <w:rFonts w:ascii="Times New Roman" w:hAnsi="Times New Roman" w:cs="Times New Roman"/>
          <w:lang w:val="en-US"/>
        </w:rPr>
      </w:pPr>
      <w:r w:rsidRPr="00483092">
        <w:rPr>
          <w:rStyle w:val="Odwoanieprzypisudolnego"/>
          <w:rFonts w:ascii="Times New Roman" w:hAnsi="Times New Roman" w:cs="Times New Roman"/>
        </w:rPr>
        <w:footnoteRef/>
      </w:r>
      <w:r w:rsidR="000E26B5" w:rsidRPr="00483092">
        <w:rPr>
          <w:rFonts w:ascii="Times New Roman" w:hAnsi="Times New Roman" w:cs="Times New Roman"/>
          <w:vertAlign w:val="superscript"/>
          <w:lang w:val="en-US"/>
        </w:rPr>
        <w:t>)</w:t>
      </w:r>
      <w:r w:rsidR="000E26B5">
        <w:rPr>
          <w:rFonts w:ascii="Times New Roman" w:hAnsi="Times New Roman" w:cs="Times New Roman"/>
          <w:lang w:val="en-US"/>
        </w:rPr>
        <w:tab/>
      </w:r>
      <w:r w:rsidRPr="00483092">
        <w:rPr>
          <w:rFonts w:ascii="Times New Roman" w:hAnsi="Times New Roman" w:cs="Times New Roman"/>
          <w:lang w:val="en-US"/>
        </w:rPr>
        <w:t xml:space="preserve">J. </w:t>
      </w:r>
      <w:proofErr w:type="spellStart"/>
      <w:r w:rsidRPr="00483092">
        <w:rPr>
          <w:rFonts w:ascii="Times New Roman" w:hAnsi="Times New Roman" w:cs="Times New Roman"/>
          <w:lang w:val="en-US"/>
        </w:rPr>
        <w:t>Niebler</w:t>
      </w:r>
      <w:proofErr w:type="spellEnd"/>
      <w:r w:rsidRPr="00483092">
        <w:rPr>
          <w:rFonts w:ascii="Times New Roman" w:hAnsi="Times New Roman" w:cs="Times New Roman"/>
          <w:lang w:val="en-US"/>
        </w:rPr>
        <w:t>, Die Online-SATCAB-</w:t>
      </w:r>
      <w:proofErr w:type="spellStart"/>
      <w:r w:rsidRPr="00483092">
        <w:rPr>
          <w:rFonts w:ascii="Times New Roman" w:hAnsi="Times New Roman" w:cs="Times New Roman"/>
          <w:lang w:val="en-US"/>
        </w:rPr>
        <w:t>Richtlinie</w:t>
      </w:r>
      <w:proofErr w:type="spellEnd"/>
      <w:r w:rsidRPr="00483092">
        <w:rPr>
          <w:rFonts w:ascii="Times New Roman" w:hAnsi="Times New Roman" w:cs="Times New Roman"/>
          <w:lang w:val="en-US"/>
        </w:rPr>
        <w:t xml:space="preserve"> – </w:t>
      </w:r>
      <w:proofErr w:type="spellStart"/>
      <w:r w:rsidRPr="00483092">
        <w:rPr>
          <w:rFonts w:ascii="Times New Roman" w:hAnsi="Times New Roman" w:cs="Times New Roman"/>
          <w:lang w:val="en-US"/>
        </w:rPr>
        <w:t>Weitersendung</w:t>
      </w:r>
      <w:proofErr w:type="spellEnd"/>
      <w:r w:rsidRPr="00483092">
        <w:rPr>
          <w:rFonts w:ascii="Times New Roman" w:hAnsi="Times New Roman" w:cs="Times New Roman"/>
          <w:lang w:val="en-US"/>
        </w:rPr>
        <w:t xml:space="preserve"> 2.0?, ZUM 2019/7, s. 548.</w:t>
      </w:r>
    </w:p>
  </w:footnote>
  <w:footnote w:id="16">
    <w:p w14:paraId="2D8F777B" w14:textId="169B688C"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05E47" w:rsidRPr="00483092">
        <w:rPr>
          <w:rFonts w:ascii="Times New Roman" w:hAnsi="Times New Roman" w:cs="Times New Roman"/>
          <w:vertAlign w:val="superscript"/>
        </w:rPr>
        <w:t>)</w:t>
      </w:r>
      <w:r w:rsidR="00205E47">
        <w:rPr>
          <w:rFonts w:ascii="Times New Roman" w:hAnsi="Times New Roman" w:cs="Times New Roman"/>
        </w:rPr>
        <w:tab/>
      </w:r>
      <w:r w:rsidRPr="00483092">
        <w:rPr>
          <w:rFonts w:ascii="Times New Roman" w:hAnsi="Times New Roman" w:cs="Times New Roman"/>
        </w:rPr>
        <w:t xml:space="preserve">Podobnie K. Wojciechowski, </w:t>
      </w:r>
      <w:r w:rsidRPr="00483092">
        <w:rPr>
          <w:rFonts w:ascii="Times New Roman" w:hAnsi="Times New Roman" w:cs="Times New Roman"/>
          <w:i/>
          <w:iCs/>
        </w:rPr>
        <w:t>Pojęcie komunikowania publicznego utworu w prawie autorskim</w:t>
      </w:r>
      <w:r w:rsidRPr="00483092">
        <w:rPr>
          <w:rFonts w:ascii="Times New Roman" w:hAnsi="Times New Roman" w:cs="Times New Roman"/>
        </w:rPr>
        <w:t xml:space="preserve"> [w:] K.</w:t>
      </w:r>
      <w:r w:rsidR="00233440">
        <w:rPr>
          <w:rFonts w:ascii="Times New Roman" w:hAnsi="Times New Roman" w:cs="Times New Roman"/>
        </w:rPr>
        <w:t> </w:t>
      </w:r>
      <w:r w:rsidRPr="00483092">
        <w:rPr>
          <w:rFonts w:ascii="Times New Roman" w:hAnsi="Times New Roman" w:cs="Times New Roman"/>
        </w:rPr>
        <w:t xml:space="preserve">Szczepanowska-Kozłowska, </w:t>
      </w:r>
      <w:r w:rsidRPr="00483092">
        <w:rPr>
          <w:rFonts w:ascii="Times New Roman" w:hAnsi="Times New Roman" w:cs="Times New Roman"/>
          <w:i/>
          <w:iCs/>
        </w:rPr>
        <w:t>Oblicza prawa cywilnego. Księga Jubileuszowa dedykowana Profesorowi Janowi Błeszyńskiemu</w:t>
      </w:r>
      <w:r w:rsidRPr="00483092">
        <w:rPr>
          <w:rFonts w:ascii="Times New Roman" w:hAnsi="Times New Roman" w:cs="Times New Roman"/>
        </w:rPr>
        <w:t>, Wolters Kluwer Polska 2013, s. 641</w:t>
      </w:r>
      <w:r w:rsidR="008D14C4">
        <w:rPr>
          <w:rFonts w:ascii="Times New Roman" w:hAnsi="Times New Roman" w:cs="Times New Roman"/>
        </w:rPr>
        <w:t>–</w:t>
      </w:r>
      <w:r w:rsidRPr="00483092">
        <w:rPr>
          <w:rFonts w:ascii="Times New Roman" w:hAnsi="Times New Roman" w:cs="Times New Roman"/>
        </w:rPr>
        <w:t>642.</w:t>
      </w:r>
    </w:p>
  </w:footnote>
  <w:footnote w:id="17">
    <w:p w14:paraId="73E76732" w14:textId="18AD579B"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05E47" w:rsidRPr="00483092">
        <w:rPr>
          <w:rFonts w:ascii="Times New Roman" w:hAnsi="Times New Roman" w:cs="Times New Roman"/>
          <w:vertAlign w:val="superscript"/>
          <w:lang w:val="en-US"/>
        </w:rPr>
        <w:t>)</w:t>
      </w:r>
      <w:r w:rsidR="00205E47" w:rsidRPr="00483092">
        <w:rPr>
          <w:rFonts w:ascii="Times New Roman" w:hAnsi="Times New Roman" w:cs="Times New Roman"/>
          <w:lang w:val="en-US"/>
        </w:rPr>
        <w:tab/>
      </w:r>
      <w:r w:rsidRPr="00483092">
        <w:rPr>
          <w:rFonts w:ascii="Times New Roman" w:hAnsi="Times New Roman" w:cs="Times New Roman"/>
          <w:lang w:val="en-US"/>
        </w:rPr>
        <w:t xml:space="preserve">M. Walter, S. von Lewinski, European Copyright Law (A Commentary), Oxford 2010, s. 1045. </w:t>
      </w:r>
      <w:r w:rsidRPr="00483092">
        <w:rPr>
          <w:rFonts w:ascii="Times New Roman" w:hAnsi="Times New Roman" w:cs="Times New Roman"/>
        </w:rPr>
        <w:t>Należy podkreślić, że przy interpretacji powyższego pojęcia konieczne jest posłużenie się wskazówką z motywu 42 preambuły dyrektywy 2001/29/WE. Zgodnie z jego treścią „niehandlowy charakter danej działalności powinien być określony przez samą działalność. Struktura organizacyjna i środki finansowania danej instytucji nie są w tym względzie elementami decydującymi.”.</w:t>
      </w:r>
    </w:p>
  </w:footnote>
  <w:footnote w:id="18">
    <w:p w14:paraId="0F6EEE3D" w14:textId="4D0686FC"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05E47" w:rsidRPr="00483092">
        <w:rPr>
          <w:rFonts w:ascii="Times New Roman" w:hAnsi="Times New Roman" w:cs="Times New Roman"/>
          <w:vertAlign w:val="superscript"/>
        </w:rPr>
        <w:t>)</w:t>
      </w:r>
      <w:r w:rsidR="00205E47" w:rsidRPr="00483092">
        <w:rPr>
          <w:rFonts w:ascii="Times New Roman" w:hAnsi="Times New Roman" w:cs="Times New Roman"/>
        </w:rPr>
        <w:tab/>
      </w:r>
      <w:r w:rsidRPr="00483092">
        <w:rPr>
          <w:rFonts w:ascii="Times New Roman" w:hAnsi="Times New Roman" w:cs="Times New Roman"/>
        </w:rPr>
        <w:t>Art. 8 ust. 1 dyrektywy implementowany w projektowanych oddziałach 6 i 6a.</w:t>
      </w:r>
    </w:p>
  </w:footnote>
  <w:footnote w:id="19">
    <w:p w14:paraId="2DB6646A" w14:textId="0E755BCC"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05E47" w:rsidRPr="00483092">
        <w:rPr>
          <w:rFonts w:ascii="Times New Roman" w:hAnsi="Times New Roman" w:cs="Times New Roman"/>
          <w:vertAlign w:val="superscript"/>
        </w:rPr>
        <w:t>)</w:t>
      </w:r>
      <w:r w:rsidR="00205E47" w:rsidRPr="00483092">
        <w:rPr>
          <w:rFonts w:ascii="Times New Roman" w:hAnsi="Times New Roman" w:cs="Times New Roman"/>
        </w:rPr>
        <w:tab/>
      </w:r>
      <w:r w:rsidRPr="00483092">
        <w:rPr>
          <w:rFonts w:ascii="Times New Roman" w:hAnsi="Times New Roman" w:cs="Times New Roman"/>
        </w:rPr>
        <w:t xml:space="preserve">Główną regulację w tym zakresie zawiera art. 8 ust. 2 dyrektywy DSM. Na gruncie projektowanych przepisów rozwiązanie to znalazło odzwierciedlenie w projektowanych oddziałach 6 i 6b. </w:t>
      </w:r>
    </w:p>
  </w:footnote>
  <w:footnote w:id="20">
    <w:p w14:paraId="49371092" w14:textId="474F6A50"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05E47" w:rsidRPr="00483092">
        <w:rPr>
          <w:rFonts w:ascii="Times New Roman" w:hAnsi="Times New Roman" w:cs="Times New Roman"/>
          <w:vertAlign w:val="superscript"/>
        </w:rPr>
        <w:t>)</w:t>
      </w:r>
      <w:r w:rsidR="00205E47" w:rsidRPr="00483092">
        <w:rPr>
          <w:rFonts w:ascii="Times New Roman" w:hAnsi="Times New Roman" w:cs="Times New Roman"/>
        </w:rPr>
        <w:tab/>
      </w:r>
      <w:r w:rsidRPr="00483092">
        <w:rPr>
          <w:rFonts w:ascii="Times New Roman" w:hAnsi="Times New Roman" w:cs="Times New Roman"/>
        </w:rPr>
        <w:t xml:space="preserve">Przepisy te – zgodnie z zakresem przedmiotowym regulacji unijnej – przez odpowiednie stosowanie, umożliwią również korzystanie z niedostępnych w handlu przedmiotów praw pokrewnych (w tym nowego prawa wydawców) oraz z baz danych. </w:t>
      </w:r>
    </w:p>
  </w:footnote>
  <w:footnote w:id="21">
    <w:p w14:paraId="4630F9CF" w14:textId="5A3EA8F0" w:rsidR="00BB0D74" w:rsidRPr="00BB0D74" w:rsidRDefault="00BB0D74" w:rsidP="00BB0D74">
      <w:pPr>
        <w:pStyle w:val="Tekstprzypisudolnego"/>
        <w:ind w:left="284" w:hanging="284"/>
        <w:jc w:val="both"/>
        <w:rPr>
          <w:rFonts w:ascii="Times New Roman" w:hAnsi="Times New Roman" w:cs="Times New Roman"/>
        </w:rPr>
      </w:pPr>
      <w:r w:rsidRPr="00BB0D74">
        <w:rPr>
          <w:rStyle w:val="Odwoanieprzypisudolnego"/>
          <w:rFonts w:ascii="Times New Roman" w:hAnsi="Times New Roman" w:cs="Times New Roman"/>
        </w:rPr>
        <w:footnoteRef/>
      </w:r>
      <w:r w:rsidRPr="00BB0D74">
        <w:rPr>
          <w:rFonts w:ascii="Times New Roman" w:hAnsi="Times New Roman" w:cs="Times New Roman"/>
          <w:vertAlign w:val="superscript"/>
        </w:rPr>
        <w:t>)</w:t>
      </w:r>
      <w:r w:rsidRPr="00BB0D74">
        <w:rPr>
          <w:rFonts w:ascii="Times New Roman" w:hAnsi="Times New Roman" w:cs="Times New Roman"/>
        </w:rPr>
        <w:tab/>
      </w:r>
      <w:r w:rsidRPr="00483092">
        <w:rPr>
          <w:rFonts w:ascii="Times New Roman" w:hAnsi="Times New Roman" w:cs="Times New Roman"/>
        </w:rPr>
        <w:t xml:space="preserve">W projektowanym przepisie, oraz konsekwentnie w całości regulacji dotyczącej tzw. utworów </w:t>
      </w:r>
      <w:r w:rsidRPr="00483092">
        <w:rPr>
          <w:rFonts w:ascii="Times New Roman" w:hAnsi="Times New Roman" w:cs="Times New Roman"/>
          <w:i/>
        </w:rPr>
        <w:t>out-of-</w:t>
      </w:r>
      <w:proofErr w:type="spellStart"/>
      <w:r w:rsidRPr="00483092">
        <w:rPr>
          <w:rFonts w:ascii="Times New Roman" w:hAnsi="Times New Roman" w:cs="Times New Roman"/>
          <w:i/>
        </w:rPr>
        <w:t>commerce</w:t>
      </w:r>
      <w:proofErr w:type="spellEnd"/>
      <w:r w:rsidRPr="00483092">
        <w:rPr>
          <w:rFonts w:ascii="Times New Roman" w:hAnsi="Times New Roman" w:cs="Times New Roman"/>
        </w:rPr>
        <w:t xml:space="preserve"> (oddziały 6–6b), utwory te określono jako utwory </w:t>
      </w:r>
      <w:r w:rsidRPr="00483092">
        <w:rPr>
          <w:rFonts w:ascii="Times New Roman" w:hAnsi="Times New Roman" w:cs="Times New Roman"/>
          <w:i/>
        </w:rPr>
        <w:t>niedostępne w handlu</w:t>
      </w:r>
      <w:r w:rsidRPr="00483092">
        <w:rPr>
          <w:rFonts w:ascii="Times New Roman" w:hAnsi="Times New Roman" w:cs="Times New Roman"/>
        </w:rPr>
        <w:t xml:space="preserve">. Zrezygnowano tym samym z dotychczasowego pojęcia utworów </w:t>
      </w:r>
      <w:r w:rsidRPr="00483092">
        <w:rPr>
          <w:rFonts w:ascii="Times New Roman" w:hAnsi="Times New Roman" w:cs="Times New Roman"/>
          <w:i/>
        </w:rPr>
        <w:t>niedostępnych w obrocie handlowym</w:t>
      </w:r>
      <w:r w:rsidRPr="00483092">
        <w:rPr>
          <w:rFonts w:ascii="Times New Roman" w:hAnsi="Times New Roman" w:cs="Times New Roman"/>
        </w:rPr>
        <w:t xml:space="preserve"> w celu uniknięcia konfuzji z ustawowymi pojęciami </w:t>
      </w:r>
      <w:r w:rsidRPr="00483092">
        <w:rPr>
          <w:rFonts w:ascii="Times New Roman" w:hAnsi="Times New Roman" w:cs="Times New Roman"/>
          <w:i/>
        </w:rPr>
        <w:t>wprowadzenia do obrotu</w:t>
      </w:r>
      <w:r w:rsidRPr="00483092">
        <w:rPr>
          <w:rFonts w:ascii="Times New Roman" w:hAnsi="Times New Roman" w:cs="Times New Roman"/>
        </w:rPr>
        <w:t xml:space="preserve"> oraz </w:t>
      </w:r>
      <w:r w:rsidRPr="00483092">
        <w:rPr>
          <w:rFonts w:ascii="Times New Roman" w:hAnsi="Times New Roman" w:cs="Times New Roman"/>
          <w:i/>
        </w:rPr>
        <w:t>obrotu utworem</w:t>
      </w:r>
      <w:r w:rsidRPr="00483092">
        <w:rPr>
          <w:rFonts w:ascii="Times New Roman" w:hAnsi="Times New Roman" w:cs="Times New Roman"/>
        </w:rPr>
        <w:t xml:space="preserve">, które to pojęcia wiążą się z momentem przeniesienia własności egzemplarza utworu bądź przekazania go do ograniczonego czasowego korzystania, podczas gdy ocena dostępności utworu w formie egzemplarzy powinna być dokonywana przy uwzględnieniu etapu poprzedzającego wprowadzenie egzemplarza utworu do obrotu. Mimo iż w polskiej wersji językowej dyrektywy posłużono się pojęciem utworów </w:t>
      </w:r>
      <w:r w:rsidRPr="00483092">
        <w:rPr>
          <w:rFonts w:ascii="Times New Roman" w:hAnsi="Times New Roman" w:cs="Times New Roman"/>
          <w:i/>
        </w:rPr>
        <w:t>niedostępnych w obrocie handlowym</w:t>
      </w:r>
      <w:r w:rsidRPr="00483092">
        <w:rPr>
          <w:rFonts w:ascii="Times New Roman" w:hAnsi="Times New Roman" w:cs="Times New Roman"/>
        </w:rPr>
        <w:t>, projektowane</w:t>
      </w:r>
      <w:r w:rsidRPr="00C36240">
        <w:rPr>
          <w:rFonts w:ascii="Times New Roman" w:hAnsi="Times New Roman" w:cs="Times New Roman"/>
          <w:sz w:val="18"/>
          <w:szCs w:val="18"/>
        </w:rPr>
        <w:t xml:space="preserve"> rozwiązanie jest całkowicie zgodne z dyrektywą. Realizuje również zasadę unikania stosowania pojęć już zdefiniowanych w ustawie w odmiennym znaczeniu (§ 147 ust. 1 rozporządzenia Prezesa Rady Ministrów z dnia 20 czerwca 2002 r. w sprawie „Zasad techniki prawodawczej” (Dz. U. z 2016 r. poz. 283)).</w:t>
      </w:r>
    </w:p>
  </w:footnote>
  <w:footnote w:id="22">
    <w:p w14:paraId="34126AB7" w14:textId="0602CA10" w:rsidR="00EE61DE" w:rsidRPr="00EE61DE" w:rsidRDefault="00EE61DE" w:rsidP="00EE61DE">
      <w:pPr>
        <w:pStyle w:val="Tekstprzypisudolnego"/>
        <w:ind w:left="284" w:hanging="284"/>
        <w:rPr>
          <w:rFonts w:ascii="Times New Roman" w:hAnsi="Times New Roman" w:cs="Times New Roman"/>
        </w:rPr>
      </w:pPr>
      <w:r w:rsidRPr="00EE61DE">
        <w:rPr>
          <w:rStyle w:val="Odwoanieprzypisudolnego"/>
          <w:rFonts w:ascii="Times New Roman" w:hAnsi="Times New Roman" w:cs="Times New Roman"/>
        </w:rPr>
        <w:footnoteRef/>
      </w:r>
      <w:r w:rsidRPr="00EE61DE">
        <w:rPr>
          <w:rFonts w:ascii="Times New Roman" w:hAnsi="Times New Roman" w:cs="Times New Roman"/>
          <w:vertAlign w:val="superscript"/>
        </w:rPr>
        <w:t>)</w:t>
      </w:r>
      <w:r w:rsidRPr="00EE61DE">
        <w:rPr>
          <w:rFonts w:ascii="Times New Roman" w:hAnsi="Times New Roman" w:cs="Times New Roman"/>
        </w:rPr>
        <w:tab/>
      </w:r>
      <w:r w:rsidRPr="00483092">
        <w:rPr>
          <w:rFonts w:ascii="Times New Roman" w:hAnsi="Times New Roman" w:cs="Times New Roman"/>
        </w:rPr>
        <w:t>Należy to pojęcie rozumieć jako typowe modele biznesowe dystrybucji danego rodzaju utworów.</w:t>
      </w:r>
    </w:p>
  </w:footnote>
  <w:footnote w:id="23">
    <w:p w14:paraId="5E78553C" w14:textId="30E3ED55" w:rsidR="00F7179F" w:rsidRPr="00F7179F" w:rsidRDefault="00F7179F" w:rsidP="00F7179F">
      <w:pPr>
        <w:pStyle w:val="Tekstprzypisudolnego"/>
        <w:ind w:left="284" w:hanging="284"/>
        <w:jc w:val="both"/>
        <w:rPr>
          <w:rFonts w:ascii="Times New Roman" w:hAnsi="Times New Roman" w:cs="Times New Roman"/>
        </w:rPr>
      </w:pPr>
      <w:r w:rsidRPr="00F7179F">
        <w:rPr>
          <w:rStyle w:val="Odwoanieprzypisudolnego"/>
          <w:rFonts w:ascii="Times New Roman" w:hAnsi="Times New Roman" w:cs="Times New Roman"/>
        </w:rPr>
        <w:footnoteRef/>
      </w:r>
      <w:r w:rsidRPr="00F7179F">
        <w:rPr>
          <w:rFonts w:ascii="Times New Roman" w:hAnsi="Times New Roman" w:cs="Times New Roman"/>
          <w:vertAlign w:val="superscript"/>
        </w:rPr>
        <w:t>)</w:t>
      </w:r>
      <w:r w:rsidRPr="00F7179F">
        <w:rPr>
          <w:rFonts w:ascii="Times New Roman" w:hAnsi="Times New Roman" w:cs="Times New Roman"/>
        </w:rPr>
        <w:tab/>
      </w:r>
      <w:r w:rsidRPr="00483092">
        <w:rPr>
          <w:rFonts w:ascii="Times New Roman" w:hAnsi="Times New Roman" w:cs="Times New Roman"/>
        </w:rPr>
        <w:t>Równocześnie należy zaznaczyć, że przepisy dyrektywy nie umożliwiają wprowadzenia rozwiązania zbieżnego z zawartym w art. 35</w:t>
      </w:r>
      <w:r w:rsidRPr="00483092">
        <w:rPr>
          <w:rFonts w:ascii="Times New Roman" w:hAnsi="Times New Roman" w:cs="Times New Roman"/>
          <w:vertAlign w:val="superscript"/>
        </w:rPr>
        <w:t xml:space="preserve">6 </w:t>
      </w:r>
      <w:r w:rsidRPr="00483092">
        <w:rPr>
          <w:rFonts w:ascii="Times New Roman" w:hAnsi="Times New Roman" w:cs="Times New Roman"/>
        </w:rPr>
        <w:t>ust. 7 ustawy o prawie autorskim, zgodnie z którym wpis utworu do bazy utworów osieroconych oznacza możliwość korzystania z utworu przez kolejnych beneficjentów bez konieczności ponownego przeprowadzania starannych poszukiwań na potrzeby tego korzystania.</w:t>
      </w:r>
    </w:p>
  </w:footnote>
  <w:footnote w:id="24">
    <w:p w14:paraId="72FFF6D5" w14:textId="0D4784B3" w:rsidR="00EE61DE" w:rsidRPr="00EE61DE" w:rsidRDefault="00EE61DE" w:rsidP="00EE61DE">
      <w:pPr>
        <w:pStyle w:val="Tekstprzypisudolnego"/>
        <w:ind w:left="284" w:hanging="284"/>
        <w:rPr>
          <w:rFonts w:ascii="Times New Roman" w:hAnsi="Times New Roman" w:cs="Times New Roman"/>
        </w:rPr>
      </w:pPr>
      <w:r w:rsidRPr="00EE61DE">
        <w:rPr>
          <w:rStyle w:val="Odwoanieprzypisudolnego"/>
          <w:rFonts w:ascii="Times New Roman" w:hAnsi="Times New Roman" w:cs="Times New Roman"/>
        </w:rPr>
        <w:footnoteRef/>
      </w:r>
      <w:r w:rsidRPr="00EE61DE">
        <w:rPr>
          <w:rFonts w:ascii="Times New Roman" w:hAnsi="Times New Roman" w:cs="Times New Roman"/>
          <w:vertAlign w:val="superscript"/>
        </w:rPr>
        <w:t>)</w:t>
      </w:r>
      <w:r w:rsidRPr="00EE61DE">
        <w:rPr>
          <w:rFonts w:ascii="Times New Roman" w:hAnsi="Times New Roman" w:cs="Times New Roman"/>
        </w:rPr>
        <w:tab/>
      </w:r>
      <w:r w:rsidRPr="00483092">
        <w:rPr>
          <w:rFonts w:ascii="Times New Roman" w:hAnsi="Times New Roman" w:cs="Times New Roman"/>
        </w:rPr>
        <w:t xml:space="preserve">W angielskiej wersji językowej dyrektywy – </w:t>
      </w:r>
      <w:proofErr w:type="spellStart"/>
      <w:r w:rsidRPr="00483092">
        <w:rPr>
          <w:rFonts w:ascii="Times New Roman" w:hAnsi="Times New Roman" w:cs="Times New Roman"/>
          <w:i/>
        </w:rPr>
        <w:t>cut</w:t>
      </w:r>
      <w:proofErr w:type="spellEnd"/>
      <w:r w:rsidRPr="00483092">
        <w:rPr>
          <w:rFonts w:ascii="Times New Roman" w:hAnsi="Times New Roman" w:cs="Times New Roman"/>
          <w:i/>
        </w:rPr>
        <w:t xml:space="preserve">-off </w:t>
      </w:r>
      <w:proofErr w:type="spellStart"/>
      <w:r w:rsidRPr="00483092">
        <w:rPr>
          <w:rFonts w:ascii="Times New Roman" w:hAnsi="Times New Roman" w:cs="Times New Roman"/>
          <w:i/>
        </w:rPr>
        <w:t>date</w:t>
      </w:r>
      <w:proofErr w:type="spellEnd"/>
      <w:r w:rsidRPr="00483092">
        <w:rPr>
          <w:rFonts w:ascii="Times New Roman" w:hAnsi="Times New Roman" w:cs="Times New Roman"/>
        </w:rPr>
        <w:t xml:space="preserve">, w wersji francuskiej – </w:t>
      </w:r>
      <w:proofErr w:type="spellStart"/>
      <w:r w:rsidRPr="00483092">
        <w:rPr>
          <w:rFonts w:ascii="Times New Roman" w:hAnsi="Times New Roman" w:cs="Times New Roman"/>
          <w:i/>
        </w:rPr>
        <w:t>date</w:t>
      </w:r>
      <w:proofErr w:type="spellEnd"/>
      <w:r w:rsidRPr="00483092">
        <w:rPr>
          <w:rFonts w:ascii="Times New Roman" w:hAnsi="Times New Roman" w:cs="Times New Roman"/>
          <w:i/>
        </w:rPr>
        <w:t xml:space="preserve"> </w:t>
      </w:r>
      <w:proofErr w:type="spellStart"/>
      <w:r w:rsidRPr="00483092">
        <w:rPr>
          <w:rFonts w:ascii="Times New Roman" w:hAnsi="Times New Roman" w:cs="Times New Roman"/>
          <w:i/>
        </w:rPr>
        <w:t>butoir</w:t>
      </w:r>
      <w:proofErr w:type="spellEnd"/>
      <w:r w:rsidRPr="00C36240">
        <w:rPr>
          <w:rFonts w:ascii="Times New Roman" w:hAnsi="Times New Roman" w:cs="Times New Roman"/>
          <w:sz w:val="18"/>
          <w:szCs w:val="18"/>
        </w:rPr>
        <w:t>.</w:t>
      </w:r>
    </w:p>
  </w:footnote>
  <w:footnote w:id="25">
    <w:p w14:paraId="7F56361E" w14:textId="3314B02B"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7104DF" w:rsidRPr="00483092">
        <w:rPr>
          <w:rFonts w:ascii="Times New Roman" w:hAnsi="Times New Roman" w:cs="Times New Roman"/>
          <w:vertAlign w:val="superscript"/>
        </w:rPr>
        <w:t>)</w:t>
      </w:r>
      <w:r w:rsidR="007104DF" w:rsidRPr="00483092">
        <w:rPr>
          <w:rFonts w:ascii="Times New Roman" w:hAnsi="Times New Roman" w:cs="Times New Roman"/>
        </w:rPr>
        <w:tab/>
      </w:r>
      <w:r w:rsidRPr="00483092">
        <w:rPr>
          <w:rFonts w:ascii="Times New Roman" w:hAnsi="Times New Roman" w:cs="Times New Roman"/>
        </w:rPr>
        <w:t>Art. 35</w:t>
      </w:r>
      <w:r w:rsidRPr="00483092">
        <w:rPr>
          <w:rFonts w:ascii="Times New Roman" w:hAnsi="Times New Roman" w:cs="Times New Roman"/>
          <w:vertAlign w:val="superscript"/>
        </w:rPr>
        <w:t xml:space="preserve">5 </w:t>
      </w:r>
      <w:r w:rsidRPr="00483092">
        <w:rPr>
          <w:rFonts w:ascii="Times New Roman" w:hAnsi="Times New Roman" w:cs="Times New Roman"/>
        </w:rPr>
        <w:t xml:space="preserve">ust. 3 zdanie ostatnie. </w:t>
      </w:r>
    </w:p>
  </w:footnote>
  <w:footnote w:id="26">
    <w:p w14:paraId="6AFCF124" w14:textId="7EBBD7AF" w:rsidR="00F34DE8" w:rsidRPr="00C36240" w:rsidRDefault="00F34DE8" w:rsidP="007104DF">
      <w:pPr>
        <w:pStyle w:val="Tekstprzypisudolnego"/>
        <w:ind w:left="284" w:hanging="284"/>
        <w:jc w:val="both"/>
        <w:rPr>
          <w:rFonts w:ascii="Times New Roman" w:hAnsi="Times New Roman" w:cs="Times New Roman"/>
          <w:sz w:val="18"/>
          <w:szCs w:val="18"/>
        </w:rPr>
      </w:pPr>
      <w:r w:rsidRPr="00C36240">
        <w:rPr>
          <w:rStyle w:val="Odwoanieprzypisudolnego"/>
          <w:rFonts w:ascii="Times New Roman" w:hAnsi="Times New Roman" w:cs="Times New Roman"/>
          <w:sz w:val="18"/>
          <w:szCs w:val="18"/>
        </w:rPr>
        <w:footnoteRef/>
      </w:r>
      <w:r w:rsidR="007104DF" w:rsidRPr="00483092">
        <w:rPr>
          <w:rFonts w:ascii="Times New Roman" w:hAnsi="Times New Roman" w:cs="Times New Roman"/>
          <w:sz w:val="18"/>
          <w:szCs w:val="18"/>
          <w:vertAlign w:val="superscript"/>
        </w:rPr>
        <w:t>)</w:t>
      </w:r>
      <w:r w:rsidR="007104DF">
        <w:rPr>
          <w:rFonts w:ascii="Times New Roman" w:hAnsi="Times New Roman" w:cs="Times New Roman"/>
          <w:sz w:val="18"/>
          <w:szCs w:val="18"/>
        </w:rPr>
        <w:tab/>
      </w:r>
      <w:r w:rsidRPr="00C36240">
        <w:rPr>
          <w:rFonts w:ascii="Times New Roman" w:hAnsi="Times New Roman" w:cs="Times New Roman"/>
          <w:sz w:val="18"/>
          <w:szCs w:val="18"/>
        </w:rPr>
        <w:t xml:space="preserve">Należy podkreślić, że wbrew nazwie nadanej portalowi przez EUIPO, jego celem jest przede wszystkim zapewnienie uprawnionym łatwego dostępu do informacji o sposobach korzystania z ich utworów. Zamieszczenie w portalu informacji o utworze nie skutkuje natomiast – jak to ma miejsce w przypadku utworów osieroconych – nadaniem mu swego rodzaju statusu utworu niedostępnego w handlu, który zwalniałby kolejnych korzystających z konieczności weryfikacji jego dostępności w handlu. </w:t>
      </w:r>
    </w:p>
  </w:footnote>
  <w:footnote w:id="27">
    <w:p w14:paraId="1A8A1409" w14:textId="074E4B6A" w:rsidR="00EE61DE" w:rsidRPr="00EE61DE" w:rsidRDefault="00EE61DE" w:rsidP="00EE61DE">
      <w:pPr>
        <w:pStyle w:val="Tekstprzypisudolnego"/>
        <w:ind w:left="284" w:hanging="284"/>
        <w:rPr>
          <w:rFonts w:ascii="Times New Roman" w:hAnsi="Times New Roman" w:cs="Times New Roman"/>
        </w:rPr>
      </w:pPr>
      <w:r w:rsidRPr="00EE61DE">
        <w:rPr>
          <w:rStyle w:val="Odwoanieprzypisudolnego"/>
          <w:rFonts w:ascii="Times New Roman" w:hAnsi="Times New Roman" w:cs="Times New Roman"/>
        </w:rPr>
        <w:footnoteRef/>
      </w:r>
      <w:r w:rsidRPr="00EE61DE">
        <w:rPr>
          <w:rFonts w:ascii="Times New Roman" w:hAnsi="Times New Roman" w:cs="Times New Roman"/>
          <w:vertAlign w:val="superscript"/>
        </w:rPr>
        <w:t>)</w:t>
      </w:r>
      <w:r w:rsidRPr="00EE61DE">
        <w:rPr>
          <w:rFonts w:ascii="Times New Roman" w:hAnsi="Times New Roman" w:cs="Times New Roman"/>
        </w:rPr>
        <w:tab/>
      </w:r>
      <w:r w:rsidRPr="00C36240">
        <w:rPr>
          <w:rFonts w:ascii="Times New Roman" w:hAnsi="Times New Roman" w:cs="Times New Roman"/>
          <w:sz w:val="18"/>
          <w:szCs w:val="18"/>
        </w:rPr>
        <w:t xml:space="preserve">Ponadto rejestracja podmiotu w portalu umożliwia mu dostęp do pełnych danych kontaktowych podmiotów, które złożyły przy wykorzystaniu portalu tzw. </w:t>
      </w:r>
      <w:proofErr w:type="spellStart"/>
      <w:r w:rsidRPr="00C36240">
        <w:rPr>
          <w:rFonts w:ascii="Times New Roman" w:hAnsi="Times New Roman" w:cs="Times New Roman"/>
          <w:i/>
          <w:sz w:val="18"/>
          <w:szCs w:val="18"/>
        </w:rPr>
        <w:t>opt</w:t>
      </w:r>
      <w:proofErr w:type="spellEnd"/>
      <w:r w:rsidRPr="00C36240">
        <w:rPr>
          <w:rFonts w:ascii="Times New Roman" w:hAnsi="Times New Roman" w:cs="Times New Roman"/>
          <w:i/>
          <w:sz w:val="18"/>
          <w:szCs w:val="18"/>
        </w:rPr>
        <w:t>-out</w:t>
      </w:r>
      <w:r w:rsidRPr="00C36240">
        <w:rPr>
          <w:rFonts w:ascii="Times New Roman" w:hAnsi="Times New Roman" w:cs="Times New Roman"/>
          <w:sz w:val="18"/>
          <w:szCs w:val="18"/>
        </w:rPr>
        <w:t xml:space="preserve"> (na gruncie projektowanych przepisów określony jako </w:t>
      </w:r>
      <w:r w:rsidRPr="00C36240">
        <w:rPr>
          <w:rFonts w:ascii="Times New Roman" w:hAnsi="Times New Roman" w:cs="Times New Roman"/>
          <w:i/>
          <w:sz w:val="18"/>
          <w:szCs w:val="18"/>
        </w:rPr>
        <w:t>żądanie powstrzymania się od korzystania</w:t>
      </w:r>
      <w:r w:rsidRPr="00C36240">
        <w:rPr>
          <w:rFonts w:ascii="Times New Roman" w:hAnsi="Times New Roman" w:cs="Times New Roman"/>
          <w:sz w:val="18"/>
          <w:szCs w:val="18"/>
        </w:rPr>
        <w:t>). Podmioty zarejestrowane otrzymują również na bieżąco powiadomienia o nowych złożonych żądaniach powstrzymania się od korzystania dotyczących terytorium ich siedziby. Wczesna rejestracja w portalu może więc okazać się przydatna dla oceny sensowności podejmowania działań w celu weryfikacji dostępności utworów czy też negocjowania i zawierania umów licencyjnych dotyczących konkretnych utworów znajdujących się w zbiorach instytucji dziedzictwa kulturowego.</w:t>
      </w:r>
    </w:p>
  </w:footnote>
  <w:footnote w:id="28">
    <w:p w14:paraId="68C57C2F" w14:textId="61AFD847" w:rsidR="00F34DE8" w:rsidRPr="00483092" w:rsidRDefault="00F34DE8" w:rsidP="00483092">
      <w:pPr>
        <w:pStyle w:val="Tekstprzypisudolnego"/>
        <w:ind w:left="284" w:hanging="284"/>
        <w:jc w:val="both"/>
        <w:rPr>
          <w:rFonts w:ascii="Times New Roman" w:hAnsi="Times New Roman" w:cs="Times New Roman"/>
          <w:lang w:val="en-US"/>
        </w:rPr>
      </w:pPr>
      <w:r w:rsidRPr="00483092">
        <w:rPr>
          <w:rStyle w:val="Odwoanieprzypisudolnego"/>
          <w:rFonts w:ascii="Times New Roman" w:hAnsi="Times New Roman" w:cs="Times New Roman"/>
        </w:rPr>
        <w:footnoteRef/>
      </w:r>
      <w:r w:rsidR="007104DF" w:rsidRPr="00483092">
        <w:rPr>
          <w:rFonts w:ascii="Times New Roman" w:hAnsi="Times New Roman" w:cs="Times New Roman"/>
          <w:vertAlign w:val="superscript"/>
          <w:lang w:val="en-US"/>
        </w:rPr>
        <w:t>)</w:t>
      </w:r>
      <w:r w:rsidR="007104DF" w:rsidRPr="00483092">
        <w:rPr>
          <w:rFonts w:ascii="Times New Roman" w:hAnsi="Times New Roman" w:cs="Times New Roman"/>
          <w:lang w:val="en-US"/>
        </w:rPr>
        <w:tab/>
      </w:r>
      <w:r w:rsidRPr="00483092">
        <w:rPr>
          <w:rFonts w:ascii="Times New Roman" w:hAnsi="Times New Roman" w:cs="Times New Roman"/>
          <w:i/>
          <w:lang w:val="en-US"/>
        </w:rPr>
        <w:t>The out-of-commerce Works Portal - High Level Specification</w:t>
      </w:r>
      <w:r w:rsidRPr="00483092">
        <w:rPr>
          <w:rFonts w:ascii="Times New Roman" w:hAnsi="Times New Roman" w:cs="Times New Roman"/>
          <w:lang w:val="en-US"/>
        </w:rPr>
        <w:t xml:space="preserve"> https://euipo.europa.eu/tunnel-web/secure/webdav/guest/document_library/observatory/documents/meetings/out-of-commerce_works_portal_minutes-08-10-2019/out-of-commerce_works_portal_minutes-08-10-2019_HLS_en.pdf, </w:t>
      </w:r>
      <w:proofErr w:type="spellStart"/>
      <w:r w:rsidRPr="00483092">
        <w:rPr>
          <w:rFonts w:ascii="Times New Roman" w:hAnsi="Times New Roman" w:cs="Times New Roman"/>
          <w:lang w:val="en-US"/>
        </w:rPr>
        <w:t>wersja</w:t>
      </w:r>
      <w:proofErr w:type="spellEnd"/>
      <w:r w:rsidRPr="00483092">
        <w:rPr>
          <w:rFonts w:ascii="Times New Roman" w:hAnsi="Times New Roman" w:cs="Times New Roman"/>
          <w:lang w:val="en-US"/>
        </w:rPr>
        <w:t xml:space="preserve"> 0.15, s. 16</w:t>
      </w:r>
      <w:r w:rsidR="00D45A8D" w:rsidRPr="00483092">
        <w:rPr>
          <w:rFonts w:ascii="Times New Roman" w:hAnsi="Times New Roman" w:cs="Times New Roman"/>
          <w:lang w:val="en-US"/>
        </w:rPr>
        <w:t>.</w:t>
      </w:r>
    </w:p>
  </w:footnote>
  <w:footnote w:id="29">
    <w:p w14:paraId="3525D5C5" w14:textId="05F59763" w:rsidR="007104DF" w:rsidRPr="001C1FE3" w:rsidRDefault="007104DF" w:rsidP="007104DF">
      <w:pPr>
        <w:pStyle w:val="Tekstprzypisudolnego"/>
        <w:ind w:left="284" w:hanging="284"/>
        <w:rPr>
          <w:rFonts w:ascii="Times New Roman" w:hAnsi="Times New Roman" w:cs="Times New Roman"/>
          <w:sz w:val="18"/>
          <w:szCs w:val="18"/>
        </w:rPr>
      </w:pPr>
      <w:r w:rsidRPr="007104DF">
        <w:rPr>
          <w:rStyle w:val="Odwoanieprzypisudolnego"/>
          <w:rFonts w:ascii="Times New Roman" w:hAnsi="Times New Roman" w:cs="Times New Roman"/>
        </w:rPr>
        <w:footnoteRef/>
      </w:r>
      <w:r w:rsidRPr="007104DF">
        <w:rPr>
          <w:rFonts w:ascii="Times New Roman" w:hAnsi="Times New Roman" w:cs="Times New Roman"/>
          <w:vertAlign w:val="superscript"/>
        </w:rPr>
        <w:t>)</w:t>
      </w:r>
      <w:r w:rsidRPr="007104DF">
        <w:rPr>
          <w:rFonts w:ascii="Times New Roman" w:hAnsi="Times New Roman" w:cs="Times New Roman"/>
        </w:rPr>
        <w:tab/>
      </w:r>
      <w:r w:rsidRPr="001C1FE3">
        <w:rPr>
          <w:rFonts w:ascii="Times New Roman" w:hAnsi="Times New Roman" w:cs="Times New Roman"/>
          <w:sz w:val="18"/>
          <w:szCs w:val="18"/>
        </w:rPr>
        <w:t>Na gruncie projektowanych polskich przepisów będzie to organizacja zbiorowego zarządzania (korzystanie na podstawie przepisów oddziału 6a) albo sama instytucja dziedzictwa kulturowego (korzystanie na podstawie przepisów oddziału 6b).</w:t>
      </w:r>
    </w:p>
  </w:footnote>
  <w:footnote w:id="30">
    <w:p w14:paraId="2F065DE6" w14:textId="5BA63A56" w:rsidR="0002377F" w:rsidRPr="0002377F" w:rsidRDefault="0002377F" w:rsidP="0002377F">
      <w:pPr>
        <w:pStyle w:val="Tekstprzypisudolnego"/>
        <w:ind w:left="284" w:hanging="284"/>
        <w:rPr>
          <w:rFonts w:ascii="Times New Roman" w:hAnsi="Times New Roman" w:cs="Times New Roman"/>
        </w:rPr>
      </w:pPr>
      <w:r w:rsidRPr="0002377F">
        <w:rPr>
          <w:rStyle w:val="Odwoanieprzypisudolnego"/>
          <w:rFonts w:ascii="Times New Roman" w:hAnsi="Times New Roman" w:cs="Times New Roman"/>
        </w:rPr>
        <w:footnoteRef/>
      </w:r>
      <w:r w:rsidRPr="0002377F">
        <w:rPr>
          <w:rFonts w:ascii="Times New Roman" w:hAnsi="Times New Roman" w:cs="Times New Roman"/>
          <w:vertAlign w:val="superscript"/>
        </w:rPr>
        <w:t>)</w:t>
      </w:r>
      <w:r w:rsidRPr="0002377F">
        <w:rPr>
          <w:rFonts w:ascii="Times New Roman" w:hAnsi="Times New Roman" w:cs="Times New Roman"/>
        </w:rPr>
        <w:tab/>
      </w:r>
      <w:r w:rsidRPr="00C36240">
        <w:rPr>
          <w:rFonts w:ascii="Times New Roman" w:hAnsi="Times New Roman" w:cs="Times New Roman"/>
          <w:sz w:val="18"/>
          <w:szCs w:val="18"/>
        </w:rPr>
        <w:t xml:space="preserve">Podmioty te będą miały dostęp do imienia i nazwiska oraz adresu mailowego osoby, która zgłosiła </w:t>
      </w:r>
      <w:proofErr w:type="spellStart"/>
      <w:r w:rsidRPr="00C36240">
        <w:rPr>
          <w:rFonts w:ascii="Times New Roman" w:hAnsi="Times New Roman" w:cs="Times New Roman"/>
          <w:i/>
          <w:sz w:val="18"/>
          <w:szCs w:val="18"/>
        </w:rPr>
        <w:t>opt</w:t>
      </w:r>
      <w:proofErr w:type="spellEnd"/>
      <w:r w:rsidRPr="00C36240">
        <w:rPr>
          <w:rFonts w:ascii="Times New Roman" w:hAnsi="Times New Roman" w:cs="Times New Roman"/>
          <w:i/>
          <w:sz w:val="18"/>
          <w:szCs w:val="18"/>
        </w:rPr>
        <w:t>-out</w:t>
      </w:r>
      <w:r w:rsidRPr="00C36240">
        <w:rPr>
          <w:rFonts w:ascii="Times New Roman" w:hAnsi="Times New Roman" w:cs="Times New Roman"/>
          <w:sz w:val="18"/>
          <w:szCs w:val="18"/>
        </w:rPr>
        <w:t>. Informacja o</w:t>
      </w:r>
      <w:r w:rsidR="001C1FE3">
        <w:rPr>
          <w:rFonts w:ascii="Times New Roman" w:hAnsi="Times New Roman" w:cs="Times New Roman"/>
          <w:sz w:val="18"/>
          <w:szCs w:val="18"/>
        </w:rPr>
        <w:t> </w:t>
      </w:r>
      <w:r w:rsidRPr="00C36240">
        <w:rPr>
          <w:rFonts w:ascii="Times New Roman" w:hAnsi="Times New Roman" w:cs="Times New Roman"/>
          <w:sz w:val="18"/>
          <w:szCs w:val="18"/>
        </w:rPr>
        <w:t xml:space="preserve">dostępie do tych danych nie została opisana w </w:t>
      </w:r>
      <w:r w:rsidRPr="00C36240">
        <w:rPr>
          <w:rFonts w:ascii="Times New Roman" w:hAnsi="Times New Roman" w:cs="Times New Roman"/>
          <w:i/>
          <w:sz w:val="18"/>
          <w:szCs w:val="18"/>
        </w:rPr>
        <w:t>The out-of-</w:t>
      </w:r>
      <w:proofErr w:type="spellStart"/>
      <w:r w:rsidRPr="00C36240">
        <w:rPr>
          <w:rFonts w:ascii="Times New Roman" w:hAnsi="Times New Roman" w:cs="Times New Roman"/>
          <w:i/>
          <w:sz w:val="18"/>
          <w:szCs w:val="18"/>
        </w:rPr>
        <w:t>commerce</w:t>
      </w:r>
      <w:proofErr w:type="spellEnd"/>
      <w:r w:rsidRPr="00C36240">
        <w:rPr>
          <w:rFonts w:ascii="Times New Roman" w:hAnsi="Times New Roman" w:cs="Times New Roman"/>
          <w:i/>
          <w:sz w:val="18"/>
          <w:szCs w:val="18"/>
        </w:rPr>
        <w:t xml:space="preserve"> Works Portal - High Level </w:t>
      </w:r>
      <w:proofErr w:type="spellStart"/>
      <w:r w:rsidRPr="00C36240">
        <w:rPr>
          <w:rFonts w:ascii="Times New Roman" w:hAnsi="Times New Roman" w:cs="Times New Roman"/>
          <w:i/>
          <w:sz w:val="18"/>
          <w:szCs w:val="18"/>
        </w:rPr>
        <w:t>Specification</w:t>
      </w:r>
      <w:proofErr w:type="spellEnd"/>
      <w:r w:rsidRPr="00C36240">
        <w:rPr>
          <w:rFonts w:ascii="Times New Roman" w:hAnsi="Times New Roman" w:cs="Times New Roman"/>
          <w:sz w:val="18"/>
          <w:szCs w:val="18"/>
        </w:rPr>
        <w:t xml:space="preserve"> ze względu na fakt, że funkcjonalność ta została wprowadzona przez EUIPO następczo, w wyniku uwag zgłoszonych przez projektodawcę.</w:t>
      </w:r>
    </w:p>
  </w:footnote>
  <w:footnote w:id="31">
    <w:p w14:paraId="69CDD7B3" w14:textId="56CCF20F" w:rsidR="00AA4AF4" w:rsidRPr="00AA4AF4" w:rsidRDefault="00AA4AF4" w:rsidP="00AA4AF4">
      <w:pPr>
        <w:pStyle w:val="Tekstprzypisudolnego"/>
        <w:ind w:left="284" w:hanging="284"/>
        <w:rPr>
          <w:rFonts w:ascii="Times New Roman" w:hAnsi="Times New Roman" w:cs="Times New Roman"/>
        </w:rPr>
      </w:pPr>
      <w:r w:rsidRPr="00AA4AF4">
        <w:rPr>
          <w:rStyle w:val="Odwoanieprzypisudolnego"/>
          <w:rFonts w:ascii="Times New Roman" w:hAnsi="Times New Roman" w:cs="Times New Roman"/>
        </w:rPr>
        <w:footnoteRef/>
      </w:r>
      <w:r w:rsidRPr="00AA4AF4">
        <w:rPr>
          <w:rFonts w:ascii="Times New Roman" w:hAnsi="Times New Roman" w:cs="Times New Roman"/>
          <w:vertAlign w:val="superscript"/>
        </w:rPr>
        <w:t>)</w:t>
      </w:r>
      <w:r w:rsidRPr="00AA4AF4">
        <w:rPr>
          <w:rFonts w:ascii="Times New Roman" w:hAnsi="Times New Roman" w:cs="Times New Roman"/>
        </w:rPr>
        <w:tab/>
      </w:r>
      <w:r w:rsidRPr="00483092">
        <w:rPr>
          <w:rFonts w:ascii="Times New Roman" w:hAnsi="Times New Roman" w:cs="Times New Roman"/>
        </w:rPr>
        <w:t>Niekomercyjny charakter licencji przewidzianej w regulacji unijnej został uwzględniony w projektowanym art. 35</w:t>
      </w:r>
      <w:r w:rsidRPr="00483092">
        <w:rPr>
          <w:rFonts w:ascii="Times New Roman" w:hAnsi="Times New Roman" w:cs="Times New Roman"/>
          <w:vertAlign w:val="superscript"/>
        </w:rPr>
        <w:t xml:space="preserve">15 </w:t>
      </w:r>
      <w:r w:rsidRPr="00483092">
        <w:rPr>
          <w:rFonts w:ascii="Times New Roman" w:hAnsi="Times New Roman" w:cs="Times New Roman"/>
        </w:rPr>
        <w:t>ustawy.</w:t>
      </w:r>
    </w:p>
  </w:footnote>
  <w:footnote w:id="32">
    <w:p w14:paraId="7A3A0302" w14:textId="35C52382" w:rsidR="0002377F" w:rsidRPr="0002377F" w:rsidRDefault="0002377F" w:rsidP="00AA4AF4">
      <w:pPr>
        <w:pStyle w:val="Tekstprzypisudolnego"/>
        <w:ind w:left="284" w:hanging="284"/>
        <w:jc w:val="both"/>
        <w:rPr>
          <w:rFonts w:ascii="Times New Roman" w:hAnsi="Times New Roman" w:cs="Times New Roman"/>
        </w:rPr>
      </w:pPr>
      <w:r w:rsidRPr="0002377F">
        <w:rPr>
          <w:rStyle w:val="Odwoanieprzypisudolnego"/>
          <w:rFonts w:ascii="Times New Roman" w:hAnsi="Times New Roman" w:cs="Times New Roman"/>
        </w:rPr>
        <w:footnoteRef/>
      </w:r>
      <w:r w:rsidRPr="0002377F">
        <w:rPr>
          <w:rFonts w:ascii="Times New Roman" w:hAnsi="Times New Roman" w:cs="Times New Roman"/>
          <w:vertAlign w:val="superscript"/>
        </w:rPr>
        <w:t>)</w:t>
      </w:r>
      <w:r w:rsidRPr="0002377F">
        <w:rPr>
          <w:rFonts w:ascii="Times New Roman" w:hAnsi="Times New Roman" w:cs="Times New Roman"/>
        </w:rPr>
        <w:tab/>
      </w:r>
      <w:r w:rsidR="00AA4AF4" w:rsidRPr="00B3773A">
        <w:rPr>
          <w:rFonts w:ascii="Times New Roman" w:hAnsi="Times New Roman" w:cs="Times New Roman"/>
        </w:rPr>
        <w:t>Regulacja zawarta w art. 8 dyrektywy dotyczy zarówno utworów rozpowszechnionych, jak i</w:t>
      </w:r>
      <w:r w:rsidR="001C1FE3">
        <w:rPr>
          <w:rFonts w:ascii="Times New Roman" w:hAnsi="Times New Roman" w:cs="Times New Roman"/>
        </w:rPr>
        <w:t> </w:t>
      </w:r>
      <w:r w:rsidR="00AA4AF4" w:rsidRPr="00B3773A">
        <w:rPr>
          <w:rFonts w:ascii="Times New Roman" w:hAnsi="Times New Roman" w:cs="Times New Roman"/>
        </w:rPr>
        <w:t>nierozpowszechnionych</w:t>
      </w:r>
    </w:p>
  </w:footnote>
  <w:footnote w:id="33">
    <w:p w14:paraId="0E8B7A29" w14:textId="32091388"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7104DF" w:rsidRPr="00483092">
        <w:rPr>
          <w:rFonts w:ascii="Times New Roman" w:hAnsi="Times New Roman" w:cs="Times New Roman"/>
          <w:vertAlign w:val="superscript"/>
        </w:rPr>
        <w:t>)</w:t>
      </w:r>
      <w:r w:rsidR="007104DF" w:rsidRPr="00483092">
        <w:rPr>
          <w:rFonts w:ascii="Times New Roman" w:hAnsi="Times New Roman" w:cs="Times New Roman"/>
        </w:rPr>
        <w:tab/>
      </w:r>
      <w:r w:rsidRPr="00483092">
        <w:rPr>
          <w:rFonts w:ascii="Times New Roman" w:hAnsi="Times New Roman" w:cs="Times New Roman"/>
        </w:rPr>
        <w:t xml:space="preserve">Państwom członkowskim pozostawiono swobodę w zakresie zastosowania konkretnego mechanizmu umożliwiającego udzielanie takich licencji. Wyjaśnienia w zakresie wyboru konkretnego rozwiązania, jakim jest rozszerzone zbiorowe zarządzanie, zostały zaprezentowane w uzasadnieniu do projektowanego art. 5 ust. 2a ustawy o </w:t>
      </w:r>
      <w:proofErr w:type="spellStart"/>
      <w:r w:rsidRPr="00483092">
        <w:rPr>
          <w:rFonts w:ascii="Times New Roman" w:hAnsi="Times New Roman" w:cs="Times New Roman"/>
        </w:rPr>
        <w:t>zz</w:t>
      </w:r>
      <w:proofErr w:type="spellEnd"/>
      <w:r w:rsidRPr="00483092">
        <w:rPr>
          <w:rFonts w:ascii="Times New Roman" w:hAnsi="Times New Roman" w:cs="Times New Roman"/>
        </w:rPr>
        <w:t xml:space="preserve">. Szczegółowe wyjaśnienia w odniesieniu do zapewnienia zgodności projektowanego rozwiązania z dyrektywą w zakresie wymogu reprezentatywności organizacji zbiorowego zarządzania zostały przedstawione również w ww. części uzasadnienia. </w:t>
      </w:r>
    </w:p>
  </w:footnote>
  <w:footnote w:id="34">
    <w:p w14:paraId="17DA3829" w14:textId="213F05ED"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7104DF" w:rsidRPr="00483092">
        <w:rPr>
          <w:rFonts w:ascii="Times New Roman" w:hAnsi="Times New Roman" w:cs="Times New Roman"/>
          <w:vertAlign w:val="superscript"/>
        </w:rPr>
        <w:t>)</w:t>
      </w:r>
      <w:r w:rsidR="007104DF" w:rsidRPr="00483092">
        <w:rPr>
          <w:rFonts w:ascii="Times New Roman" w:hAnsi="Times New Roman" w:cs="Times New Roman"/>
        </w:rPr>
        <w:tab/>
      </w:r>
      <w:r w:rsidRPr="00483092">
        <w:rPr>
          <w:rFonts w:ascii="Times New Roman" w:hAnsi="Times New Roman" w:cs="Times New Roman"/>
        </w:rPr>
        <w:t xml:space="preserve">Ang. </w:t>
      </w:r>
      <w:proofErr w:type="spellStart"/>
      <w:r w:rsidRPr="00483092">
        <w:rPr>
          <w:rFonts w:ascii="Times New Roman" w:hAnsi="Times New Roman" w:cs="Times New Roman"/>
          <w:i/>
        </w:rPr>
        <w:t>distribution</w:t>
      </w:r>
      <w:proofErr w:type="spellEnd"/>
      <w:r w:rsidRPr="00483092">
        <w:rPr>
          <w:rFonts w:ascii="Times New Roman" w:hAnsi="Times New Roman" w:cs="Times New Roman"/>
          <w:i/>
        </w:rPr>
        <w:t xml:space="preserve">, </w:t>
      </w:r>
      <w:r w:rsidRPr="00483092">
        <w:rPr>
          <w:rFonts w:ascii="Times New Roman" w:hAnsi="Times New Roman" w:cs="Times New Roman"/>
        </w:rPr>
        <w:t xml:space="preserve">mimo iż w polskiej wersji językowej dyrektywy posłużono się pojęciem </w:t>
      </w:r>
      <w:r w:rsidRPr="00483092">
        <w:rPr>
          <w:rFonts w:ascii="Times New Roman" w:hAnsi="Times New Roman" w:cs="Times New Roman"/>
          <w:i/>
        </w:rPr>
        <w:t>rozpowszechnianie</w:t>
      </w:r>
      <w:r w:rsidRPr="00483092">
        <w:rPr>
          <w:rFonts w:ascii="Times New Roman" w:hAnsi="Times New Roman" w:cs="Times New Roman"/>
        </w:rPr>
        <w:t xml:space="preserve">, odpowiednikiem prawa wyłącznego określonego w prawie Unii Europejskiej jako </w:t>
      </w:r>
      <w:proofErr w:type="spellStart"/>
      <w:r w:rsidRPr="00483092">
        <w:rPr>
          <w:rFonts w:ascii="Times New Roman" w:hAnsi="Times New Roman" w:cs="Times New Roman"/>
          <w:i/>
        </w:rPr>
        <w:t>distribution</w:t>
      </w:r>
      <w:proofErr w:type="spellEnd"/>
      <w:r w:rsidRPr="00483092">
        <w:rPr>
          <w:rFonts w:ascii="Times New Roman" w:hAnsi="Times New Roman" w:cs="Times New Roman"/>
        </w:rPr>
        <w:t xml:space="preserve"> na gruncie polskich przepisów jest </w:t>
      </w:r>
      <w:r w:rsidRPr="00483092">
        <w:rPr>
          <w:rFonts w:ascii="Times New Roman" w:hAnsi="Times New Roman" w:cs="Times New Roman"/>
          <w:i/>
        </w:rPr>
        <w:t>prawo wprowadzenia do obrotu</w:t>
      </w:r>
      <w:r w:rsidRPr="00483092">
        <w:rPr>
          <w:rFonts w:ascii="Times New Roman" w:hAnsi="Times New Roman" w:cs="Times New Roman"/>
        </w:rPr>
        <w:t xml:space="preserve">. </w:t>
      </w:r>
    </w:p>
  </w:footnote>
  <w:footnote w:id="35">
    <w:p w14:paraId="29A93864" w14:textId="09D30D73" w:rsidR="00F34DE8" w:rsidRPr="00483092" w:rsidRDefault="00F34DE8" w:rsidP="00483092">
      <w:pPr>
        <w:pStyle w:val="Tekstprzypisudolnego"/>
        <w:ind w:left="284" w:hanging="284"/>
        <w:jc w:val="both"/>
        <w:rPr>
          <w:rFonts w:ascii="Times New Roman" w:hAnsi="Times New Roman" w:cs="Times New Roman"/>
          <w:lang w:val="en-US"/>
        </w:rPr>
      </w:pPr>
      <w:r w:rsidRPr="00483092">
        <w:rPr>
          <w:rStyle w:val="Odwoanieprzypisudolnego"/>
          <w:rFonts w:ascii="Times New Roman" w:hAnsi="Times New Roman" w:cs="Times New Roman"/>
        </w:rPr>
        <w:footnoteRef/>
      </w:r>
      <w:r w:rsidR="007104DF" w:rsidRPr="00483092">
        <w:rPr>
          <w:rFonts w:ascii="Times New Roman" w:hAnsi="Times New Roman" w:cs="Times New Roman"/>
          <w:vertAlign w:val="superscript"/>
          <w:lang w:val="en-US"/>
        </w:rPr>
        <w:t>)</w:t>
      </w:r>
      <w:r w:rsidR="007104DF" w:rsidRPr="00483092">
        <w:rPr>
          <w:rFonts w:ascii="Times New Roman" w:hAnsi="Times New Roman" w:cs="Times New Roman"/>
          <w:lang w:val="en-US"/>
        </w:rPr>
        <w:tab/>
      </w:r>
      <w:r w:rsidRPr="00483092">
        <w:rPr>
          <w:rFonts w:ascii="Times New Roman" w:hAnsi="Times New Roman" w:cs="Times New Roman"/>
          <w:lang w:val="en-US"/>
        </w:rPr>
        <w:t xml:space="preserve">Ang. </w:t>
      </w:r>
      <w:r w:rsidRPr="00483092">
        <w:rPr>
          <w:rFonts w:ascii="Times New Roman" w:hAnsi="Times New Roman" w:cs="Times New Roman"/>
          <w:i/>
          <w:lang w:val="en-US"/>
        </w:rPr>
        <w:t>communication to the public.</w:t>
      </w:r>
    </w:p>
  </w:footnote>
  <w:footnote w:id="36">
    <w:p w14:paraId="57540F72" w14:textId="379D081F" w:rsidR="00AA4AF4" w:rsidRPr="00AA4AF4" w:rsidRDefault="00AA4AF4" w:rsidP="00AA4AF4">
      <w:pPr>
        <w:pStyle w:val="Tekstprzypisudolnego"/>
        <w:ind w:left="284" w:hanging="284"/>
        <w:jc w:val="both"/>
        <w:rPr>
          <w:rFonts w:ascii="Times New Roman" w:hAnsi="Times New Roman" w:cs="Times New Roman"/>
        </w:rPr>
      </w:pPr>
      <w:r w:rsidRPr="00AA4AF4">
        <w:rPr>
          <w:rStyle w:val="Odwoanieprzypisudolnego"/>
          <w:rFonts w:ascii="Times New Roman" w:hAnsi="Times New Roman" w:cs="Times New Roman"/>
        </w:rPr>
        <w:footnoteRef/>
      </w:r>
      <w:r w:rsidRPr="00AA4AF4">
        <w:rPr>
          <w:rFonts w:ascii="Times New Roman" w:hAnsi="Times New Roman" w:cs="Times New Roman"/>
          <w:vertAlign w:val="superscript"/>
        </w:rPr>
        <w:t>)</w:t>
      </w:r>
      <w:r w:rsidRPr="00AA4AF4">
        <w:rPr>
          <w:rFonts w:ascii="Times New Roman" w:hAnsi="Times New Roman" w:cs="Times New Roman"/>
          <w:vertAlign w:val="superscript"/>
        </w:rPr>
        <w:tab/>
      </w:r>
      <w:r w:rsidRPr="00483092">
        <w:rPr>
          <w:rFonts w:ascii="Times New Roman" w:hAnsi="Times New Roman" w:cs="Times New Roman"/>
        </w:rPr>
        <w:t xml:space="preserve">Art. 10 dyrektywy nie wymaga zamieszczenia w portalu danych kontaktowych stron umowy licencyjnej. Ze względu na konstrukcję tego portalu jest to jednak niezbędne do zapewnienia skutecznego poinformowania korzystającej instytucji dziedzictwa kulturowego i </w:t>
      </w:r>
      <w:proofErr w:type="spellStart"/>
      <w:r w:rsidRPr="00483092">
        <w:rPr>
          <w:rFonts w:ascii="Times New Roman" w:hAnsi="Times New Roman" w:cs="Times New Roman"/>
        </w:rPr>
        <w:t>ozz</w:t>
      </w:r>
      <w:proofErr w:type="spellEnd"/>
      <w:r w:rsidRPr="00483092">
        <w:rPr>
          <w:rFonts w:ascii="Times New Roman" w:hAnsi="Times New Roman" w:cs="Times New Roman"/>
        </w:rPr>
        <w:t xml:space="preserve"> o złożonym </w:t>
      </w:r>
      <w:proofErr w:type="spellStart"/>
      <w:r w:rsidRPr="00483092">
        <w:rPr>
          <w:rFonts w:ascii="Times New Roman" w:hAnsi="Times New Roman" w:cs="Times New Roman"/>
          <w:i/>
        </w:rPr>
        <w:t>opt</w:t>
      </w:r>
      <w:proofErr w:type="spellEnd"/>
      <w:r w:rsidRPr="00483092">
        <w:rPr>
          <w:rFonts w:ascii="Times New Roman" w:hAnsi="Times New Roman" w:cs="Times New Roman"/>
          <w:i/>
        </w:rPr>
        <w:t>-out</w:t>
      </w:r>
      <w:r w:rsidRPr="00483092">
        <w:rPr>
          <w:rFonts w:ascii="Times New Roman" w:hAnsi="Times New Roman" w:cs="Times New Roman"/>
        </w:rPr>
        <w:t xml:space="preserve"> dotyczącym tego korzystania.</w:t>
      </w:r>
    </w:p>
  </w:footnote>
  <w:footnote w:id="37">
    <w:p w14:paraId="31279D0D" w14:textId="00B798AC"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eastAsia="Times New Roman" w:hAnsi="Times New Roman" w:cs="Times New Roman"/>
          <w:color w:val="333333"/>
          <w:lang w:eastAsia="pl-PL"/>
        </w:rPr>
        <w:t xml:space="preserve">Na gruncie projektowanych polskich przepisów rozwiązanie to ma zastosowanie wyłącznie w przypadku tożsamości organizacji zbiorowego zarządzania oraz danych, o których mowa w ust. 1 pkt 1 omawianego projektowanego artykułu. Co prawda portal utworów niedostępnych w handlu w aktualnej wersji umożliwia, a nawet preferuje, dopisywanie nowych form korzystania do już istniejących </w:t>
      </w:r>
      <w:proofErr w:type="spellStart"/>
      <w:r w:rsidRPr="00483092">
        <w:rPr>
          <w:rFonts w:ascii="Times New Roman" w:eastAsia="Times New Roman" w:hAnsi="Times New Roman" w:cs="Times New Roman"/>
          <w:i/>
          <w:color w:val="333333"/>
          <w:lang w:eastAsia="pl-PL"/>
        </w:rPr>
        <w:t>recordów</w:t>
      </w:r>
      <w:proofErr w:type="spellEnd"/>
      <w:r w:rsidRPr="00483092">
        <w:rPr>
          <w:rFonts w:ascii="Times New Roman" w:eastAsia="Times New Roman" w:hAnsi="Times New Roman" w:cs="Times New Roman"/>
          <w:color w:val="333333"/>
          <w:lang w:eastAsia="pl-PL"/>
        </w:rPr>
        <w:t xml:space="preserve"> dotyczących danego utworu, niezależnie od tego, czy tożsamy jest podmiot dokonujący wpisu. Niemniej jednak w tym wypadku część funkcjonalności portalu dostępna jest wyłącznie dla tzw. właściciela </w:t>
      </w:r>
      <w:proofErr w:type="spellStart"/>
      <w:r w:rsidRPr="00483092">
        <w:rPr>
          <w:rFonts w:ascii="Times New Roman" w:eastAsia="Times New Roman" w:hAnsi="Times New Roman" w:cs="Times New Roman"/>
          <w:i/>
          <w:color w:val="333333"/>
          <w:lang w:eastAsia="pl-PL"/>
        </w:rPr>
        <w:t>recordu</w:t>
      </w:r>
      <w:proofErr w:type="spellEnd"/>
      <w:r w:rsidRPr="00483092">
        <w:rPr>
          <w:rFonts w:ascii="Times New Roman" w:eastAsia="Times New Roman" w:hAnsi="Times New Roman" w:cs="Times New Roman"/>
          <w:color w:val="333333"/>
          <w:lang w:eastAsia="pl-PL"/>
        </w:rPr>
        <w:t xml:space="preserve">. Lepszym rozwiązaniem wydaje się więc, aby na gruncie polskich przepisów każdy podmiot uznający utwór za niedostępny w handlu tworzył własny </w:t>
      </w:r>
      <w:proofErr w:type="spellStart"/>
      <w:r w:rsidRPr="00483092">
        <w:rPr>
          <w:rFonts w:ascii="Times New Roman" w:eastAsia="Times New Roman" w:hAnsi="Times New Roman" w:cs="Times New Roman"/>
          <w:i/>
          <w:color w:val="333333"/>
          <w:lang w:eastAsia="pl-PL"/>
        </w:rPr>
        <w:t>record</w:t>
      </w:r>
      <w:proofErr w:type="spellEnd"/>
      <w:r w:rsidRPr="00483092">
        <w:rPr>
          <w:rFonts w:ascii="Times New Roman" w:eastAsia="Times New Roman" w:hAnsi="Times New Roman" w:cs="Times New Roman"/>
          <w:color w:val="333333"/>
          <w:lang w:eastAsia="pl-PL"/>
        </w:rPr>
        <w:t xml:space="preserve"> poświęcony danemu utworowi. </w:t>
      </w:r>
    </w:p>
  </w:footnote>
  <w:footnote w:id="38">
    <w:p w14:paraId="0777EB28" w14:textId="1E68B230"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 xml:space="preserve">Uregulowanie korzystania faktycznie odbywającego się na terytorium RP, w szczególności w przypadku korzystania z praw niepowierzonych danej </w:t>
      </w:r>
      <w:proofErr w:type="spellStart"/>
      <w:r w:rsidRPr="00483092">
        <w:rPr>
          <w:rFonts w:ascii="Times New Roman" w:hAnsi="Times New Roman" w:cs="Times New Roman"/>
        </w:rPr>
        <w:t>ozz</w:t>
      </w:r>
      <w:proofErr w:type="spellEnd"/>
      <w:r w:rsidRPr="00483092">
        <w:rPr>
          <w:rFonts w:ascii="Times New Roman" w:hAnsi="Times New Roman" w:cs="Times New Roman"/>
        </w:rPr>
        <w:t xml:space="preserve">, ze względu na zasadę </w:t>
      </w:r>
      <w:proofErr w:type="spellStart"/>
      <w:r w:rsidRPr="00483092">
        <w:rPr>
          <w:rFonts w:ascii="Times New Roman" w:hAnsi="Times New Roman" w:cs="Times New Roman"/>
        </w:rPr>
        <w:t>terytorializmu</w:t>
      </w:r>
      <w:proofErr w:type="spellEnd"/>
      <w:r w:rsidRPr="00483092">
        <w:rPr>
          <w:rFonts w:ascii="Times New Roman" w:hAnsi="Times New Roman" w:cs="Times New Roman"/>
        </w:rPr>
        <w:t xml:space="preserve"> prawa autorskiego, należy do domeny polskiego prawa autorskiego.</w:t>
      </w:r>
    </w:p>
  </w:footnote>
  <w:footnote w:id="39">
    <w:p w14:paraId="1E8509D1" w14:textId="31889BA7"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 xml:space="preserve">Por. Monika Czajkowska-Dąbrowska (w:) </w:t>
      </w:r>
      <w:r w:rsidRPr="00483092">
        <w:rPr>
          <w:rFonts w:ascii="Times New Roman" w:hAnsi="Times New Roman" w:cs="Times New Roman"/>
          <w:i/>
        </w:rPr>
        <w:t>Ustawy autorskie. Komentarze</w:t>
      </w:r>
      <w:r w:rsidRPr="00483092">
        <w:rPr>
          <w:rFonts w:ascii="Times New Roman" w:hAnsi="Times New Roman" w:cs="Times New Roman"/>
        </w:rPr>
        <w:t>. Tom I, red. R. Markiewicz, Wolters Kluwer 2021, str. 1082.</w:t>
      </w:r>
    </w:p>
  </w:footnote>
  <w:footnote w:id="40">
    <w:p w14:paraId="70D657D0" w14:textId="60C82E32"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Wyjątek przewidziano również od stosownych praw do programów komputerowych, praw do baz danych oraz praw pokrewnych.</w:t>
      </w:r>
    </w:p>
  </w:footnote>
  <w:footnote w:id="41">
    <w:p w14:paraId="69F3ABF0" w14:textId="7AA11229" w:rsidR="00F34DE8" w:rsidRPr="00483092" w:rsidRDefault="00F34DE8" w:rsidP="00483092">
      <w:pPr>
        <w:pStyle w:val="Tekstprzypisudolnego"/>
        <w:ind w:left="284" w:hanging="284"/>
        <w:contextualSpacing/>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 xml:space="preserve">Projektowany art. 5 ust. 2a ustawy o zbiorowym zarządzaniu przesądza natomiast, że reprezentatywność organizacji zbiorowego zarządzania oceniana jest w odniesieniu do trzech aspektów: kategorii uprawnionych, rodzaju utworów lub przedmiotów praw pokrewnych oraz pola eksploatacji. </w:t>
      </w:r>
    </w:p>
  </w:footnote>
  <w:footnote w:id="42">
    <w:p w14:paraId="7CCBE888" w14:textId="6E757766" w:rsidR="00CC1F94" w:rsidRPr="00CC1F94" w:rsidRDefault="00CC1F94" w:rsidP="00CC1F94">
      <w:pPr>
        <w:pStyle w:val="Tekstprzypisudolnego"/>
        <w:ind w:left="284" w:hanging="284"/>
        <w:rPr>
          <w:rFonts w:ascii="Times New Roman" w:hAnsi="Times New Roman" w:cs="Times New Roman"/>
        </w:rPr>
      </w:pPr>
      <w:r w:rsidRPr="00CC1F94">
        <w:rPr>
          <w:rStyle w:val="Odwoanieprzypisudolnego"/>
          <w:rFonts w:ascii="Times New Roman" w:hAnsi="Times New Roman" w:cs="Times New Roman"/>
        </w:rPr>
        <w:footnoteRef/>
      </w:r>
      <w:r w:rsidRPr="00CC1F94">
        <w:rPr>
          <w:rFonts w:ascii="Times New Roman" w:hAnsi="Times New Roman" w:cs="Times New Roman"/>
          <w:vertAlign w:val="superscript"/>
        </w:rPr>
        <w:t>)</w:t>
      </w:r>
      <w:r w:rsidRPr="00CC1F94">
        <w:rPr>
          <w:rFonts w:ascii="Times New Roman" w:hAnsi="Times New Roman" w:cs="Times New Roman"/>
          <w:vertAlign w:val="superscript"/>
        </w:rPr>
        <w:tab/>
      </w:r>
      <w:r w:rsidRPr="00483092">
        <w:rPr>
          <w:rFonts w:ascii="Times New Roman" w:hAnsi="Times New Roman" w:cs="Times New Roman"/>
        </w:rPr>
        <w:t>Szczegółowe wyjaśnienia w odniesieniu do zapewnienia zgodności projektowanego rozwiązania z dyrektywą w zakresie wymogu reprezentatywności organizacji zbiorowego zarządzania zostaną przedstawione w części uzasadnienia dotyczącej projektowanego art. 5 ust. 2a</w:t>
      </w:r>
      <w:r w:rsidRPr="00483092">
        <w:rPr>
          <w:rFonts w:ascii="Times New Roman" w:hAnsi="Times New Roman" w:cs="Times New Roman"/>
          <w:vertAlign w:val="superscript"/>
        </w:rPr>
        <w:t xml:space="preserve"> </w:t>
      </w:r>
      <w:r w:rsidRPr="00483092">
        <w:rPr>
          <w:rFonts w:ascii="Times New Roman" w:hAnsi="Times New Roman" w:cs="Times New Roman"/>
        </w:rPr>
        <w:t>ustawy o zbiorowym zarządzaniu.</w:t>
      </w:r>
    </w:p>
  </w:footnote>
  <w:footnote w:id="43">
    <w:p w14:paraId="7B766EAD" w14:textId="69514A83" w:rsidR="00CC1F94" w:rsidRPr="00CC1F94" w:rsidRDefault="00CC1F94" w:rsidP="00CC1F94">
      <w:pPr>
        <w:pStyle w:val="Tekstprzypisudolnego"/>
        <w:ind w:left="284" w:hanging="284"/>
        <w:rPr>
          <w:rFonts w:ascii="Times New Roman" w:hAnsi="Times New Roman" w:cs="Times New Roman"/>
        </w:rPr>
      </w:pPr>
      <w:r w:rsidRPr="00CC1F94">
        <w:rPr>
          <w:rStyle w:val="Odwoanieprzypisudolnego"/>
          <w:rFonts w:ascii="Times New Roman" w:hAnsi="Times New Roman" w:cs="Times New Roman"/>
        </w:rPr>
        <w:footnoteRef/>
      </w:r>
      <w:r w:rsidRPr="00CC1F94">
        <w:rPr>
          <w:rFonts w:ascii="Times New Roman" w:hAnsi="Times New Roman" w:cs="Times New Roman"/>
          <w:vertAlign w:val="superscript"/>
        </w:rPr>
        <w:t>)</w:t>
      </w:r>
      <w:r w:rsidRPr="00CC1F94">
        <w:rPr>
          <w:rFonts w:ascii="Times New Roman" w:hAnsi="Times New Roman" w:cs="Times New Roman"/>
        </w:rPr>
        <w:tab/>
      </w:r>
      <w:r w:rsidRPr="00483092">
        <w:rPr>
          <w:rFonts w:ascii="Times New Roman" w:hAnsi="Times New Roman" w:cs="Times New Roman"/>
        </w:rPr>
        <w:t>Tak m.in. Komisja Europejska w „Wytycznych…”, str. 1.</w:t>
      </w:r>
    </w:p>
  </w:footnote>
  <w:footnote w:id="44">
    <w:p w14:paraId="54584960" w14:textId="4696E969"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Wytyczne</w:t>
      </w:r>
      <w:r w:rsidR="001C1FE3">
        <w:rPr>
          <w:rFonts w:ascii="Times New Roman" w:hAnsi="Times New Roman" w:cs="Times New Roman"/>
        </w:rPr>
        <w:t>..</w:t>
      </w:r>
      <w:r w:rsidRPr="00483092">
        <w:rPr>
          <w:rFonts w:ascii="Times New Roman" w:hAnsi="Times New Roman" w:cs="Times New Roman"/>
        </w:rPr>
        <w:t>., str. 19.</w:t>
      </w:r>
    </w:p>
  </w:footnote>
  <w:footnote w:id="45">
    <w:p w14:paraId="0E3192D2" w14:textId="65A3AD86"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Tamże, str. 29.</w:t>
      </w:r>
    </w:p>
  </w:footnote>
  <w:footnote w:id="46">
    <w:p w14:paraId="0322C392" w14:textId="37FE40B4" w:rsidR="00FA0746" w:rsidRPr="00FA0746" w:rsidRDefault="00FA0746" w:rsidP="00FA0746">
      <w:pPr>
        <w:pStyle w:val="Tekstprzypisudolnego"/>
        <w:ind w:left="284" w:hanging="284"/>
        <w:rPr>
          <w:rFonts w:ascii="Times New Roman" w:hAnsi="Times New Roman" w:cs="Times New Roman"/>
        </w:rPr>
      </w:pPr>
      <w:r w:rsidRPr="00FA0746">
        <w:rPr>
          <w:rStyle w:val="Odwoanieprzypisudolnego"/>
          <w:rFonts w:ascii="Times New Roman" w:hAnsi="Times New Roman" w:cs="Times New Roman"/>
        </w:rPr>
        <w:footnoteRef/>
      </w:r>
      <w:r w:rsidRPr="00FA0746">
        <w:rPr>
          <w:rFonts w:ascii="Times New Roman" w:hAnsi="Times New Roman" w:cs="Times New Roman"/>
          <w:vertAlign w:val="superscript"/>
        </w:rPr>
        <w:t>)</w:t>
      </w:r>
      <w:r w:rsidRPr="00FA0746">
        <w:rPr>
          <w:rFonts w:ascii="Times New Roman" w:hAnsi="Times New Roman" w:cs="Times New Roman"/>
        </w:rPr>
        <w:tab/>
      </w:r>
      <w:r w:rsidRPr="00483092">
        <w:rPr>
          <w:rFonts w:ascii="Times New Roman" w:hAnsi="Times New Roman" w:cs="Times New Roman"/>
        </w:rPr>
        <w:t>Tamże, str. 29.</w:t>
      </w:r>
    </w:p>
  </w:footnote>
  <w:footnote w:id="47">
    <w:p w14:paraId="310E4414" w14:textId="5344E1D1"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 xml:space="preserve">https://eur-lex.europa.eu/legal-content/PL/TXT/?uri=CELEX:62019CJ0401 </w:t>
      </w:r>
    </w:p>
  </w:footnote>
  <w:footnote w:id="48">
    <w:p w14:paraId="0E6EE52C" w14:textId="1497FD99"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 xml:space="preserve">tak: J. Kępiński, komentarz do art. 43 ustawy o prawie autorskim [w:] Ustawy Autorskie. Komentarze, Tom I, red. R. Markiewicz, s. 1148, także: A. Michalak, komentarz do art. 43 ustawy o prawie autorskim [w:] Ustawa o prawie autorskim i prawach pokrewnych. Komentarz, red. A. Michalak, </w:t>
      </w:r>
      <w:proofErr w:type="spellStart"/>
      <w:r w:rsidRPr="00483092">
        <w:rPr>
          <w:rFonts w:ascii="Times New Roman" w:hAnsi="Times New Roman" w:cs="Times New Roman"/>
        </w:rPr>
        <w:t>Legalis</w:t>
      </w:r>
      <w:proofErr w:type="spellEnd"/>
      <w:r w:rsidRPr="00483092">
        <w:rPr>
          <w:rFonts w:ascii="Times New Roman" w:hAnsi="Times New Roman" w:cs="Times New Roman"/>
        </w:rPr>
        <w:t xml:space="preserve"> 2019.</w:t>
      </w:r>
    </w:p>
  </w:footnote>
  <w:footnote w:id="49">
    <w:p w14:paraId="52013A18" w14:textId="74C151BC" w:rsidR="00FA0746" w:rsidRPr="00FA0746" w:rsidRDefault="00FA0746" w:rsidP="00FA0746">
      <w:pPr>
        <w:pStyle w:val="Tekstprzypisudolnego"/>
        <w:ind w:left="284" w:hanging="284"/>
        <w:jc w:val="both"/>
        <w:rPr>
          <w:rFonts w:ascii="Times New Roman" w:hAnsi="Times New Roman" w:cs="Times New Roman"/>
        </w:rPr>
      </w:pPr>
      <w:r w:rsidRPr="00FA0746">
        <w:rPr>
          <w:rStyle w:val="Odwoanieprzypisudolnego"/>
          <w:rFonts w:ascii="Times New Roman" w:hAnsi="Times New Roman" w:cs="Times New Roman"/>
        </w:rPr>
        <w:footnoteRef/>
      </w:r>
      <w:r w:rsidRPr="00FA0746">
        <w:rPr>
          <w:rFonts w:ascii="Times New Roman" w:hAnsi="Times New Roman" w:cs="Times New Roman"/>
          <w:vertAlign w:val="superscript"/>
        </w:rPr>
        <w:t>)</w:t>
      </w:r>
      <w:r w:rsidRPr="00FA0746">
        <w:rPr>
          <w:rFonts w:ascii="Times New Roman" w:hAnsi="Times New Roman" w:cs="Times New Roman"/>
        </w:rPr>
        <w:tab/>
      </w:r>
      <w:r w:rsidRPr="00483092">
        <w:rPr>
          <w:rFonts w:ascii="Times New Roman" w:hAnsi="Times New Roman" w:cs="Times New Roman"/>
        </w:rPr>
        <w:t xml:space="preserve">A. Michalak, [w:] Ustawa…, </w:t>
      </w:r>
      <w:proofErr w:type="spellStart"/>
      <w:r w:rsidRPr="00483092">
        <w:rPr>
          <w:rFonts w:ascii="Times New Roman" w:hAnsi="Times New Roman" w:cs="Times New Roman"/>
        </w:rPr>
        <w:t>Legalis</w:t>
      </w:r>
      <w:proofErr w:type="spellEnd"/>
      <w:r w:rsidRPr="00483092">
        <w:rPr>
          <w:rFonts w:ascii="Times New Roman" w:hAnsi="Times New Roman" w:cs="Times New Roman"/>
        </w:rPr>
        <w:t xml:space="preserve"> 2019), czy też korzyści ekonomicznych, zarówno już osiągniętych, jak i przyszłych i hipotetycznych (J. Kępińskim [w:] Ustawy Autorskie..., s. 1149.</w:t>
      </w:r>
    </w:p>
  </w:footnote>
  <w:footnote w:id="50">
    <w:p w14:paraId="2B53A235" w14:textId="25E894ED"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 xml:space="preserve">Prawodawca unijny posłużył się pojęciem </w:t>
      </w:r>
      <w:proofErr w:type="spellStart"/>
      <w:r w:rsidRPr="00483092">
        <w:rPr>
          <w:rFonts w:ascii="Times New Roman" w:hAnsi="Times New Roman" w:cs="Times New Roman"/>
          <w:i/>
        </w:rPr>
        <w:t>sublicencjobiorców</w:t>
      </w:r>
      <w:proofErr w:type="spellEnd"/>
      <w:r w:rsidRPr="00483092">
        <w:rPr>
          <w:rFonts w:ascii="Times New Roman" w:hAnsi="Times New Roman" w:cs="Times New Roman"/>
        </w:rPr>
        <w:t xml:space="preserve">, niemniej jednak należy uznać ze względu na całość brzmienia tego przepisu, że obejmuje on również sytuacje, w których zobowiązany jest pierwszym licencjobiorcą, ale nie jest kontrahentem twórcy (licencja została mu udzielona przez osobę, na którą twórca przeniósł prawa). </w:t>
      </w:r>
    </w:p>
  </w:footnote>
  <w:footnote w:id="51">
    <w:p w14:paraId="29B93181" w14:textId="66A6005E"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 xml:space="preserve">Za dopuszczalnością upoważnienia do bezpłatnego korzystania z utworu w drodze jednostronnej czynności prawnej opowiedział się w polskiej doktrynie m.in. prof. R. Markiewicz w: R. Markiewicz, Ilustrowane prawo autorskie, Wolters Kluwer 2018, s. 453. </w:t>
      </w:r>
    </w:p>
  </w:footnote>
  <w:footnote w:id="52">
    <w:p w14:paraId="40ACFB1A" w14:textId="0968FFCD" w:rsidR="00F34DE8" w:rsidRPr="00483092" w:rsidRDefault="00F34DE8" w:rsidP="00483092">
      <w:pPr>
        <w:pStyle w:val="Tekstprzypisudolnego"/>
        <w:ind w:left="284" w:hanging="284"/>
        <w:jc w:val="both"/>
        <w:rPr>
          <w:rFonts w:ascii="Times New Roman" w:hAnsi="Times New Roman" w:cs="Times New Roman"/>
        </w:rPr>
      </w:pPr>
      <w:r w:rsidRPr="00483092">
        <w:rPr>
          <w:rStyle w:val="Odwoanieprzypisudolnego"/>
          <w:rFonts w:ascii="Times New Roman" w:hAnsi="Times New Roman" w:cs="Times New Roman"/>
        </w:rPr>
        <w:footnoteRef/>
      </w:r>
      <w:r w:rsidR="00214723" w:rsidRPr="00483092">
        <w:rPr>
          <w:rFonts w:ascii="Times New Roman" w:hAnsi="Times New Roman" w:cs="Times New Roman"/>
          <w:vertAlign w:val="superscript"/>
        </w:rPr>
        <w:t>)</w:t>
      </w:r>
      <w:r w:rsidR="00214723" w:rsidRPr="00483092">
        <w:rPr>
          <w:rFonts w:ascii="Times New Roman" w:hAnsi="Times New Roman" w:cs="Times New Roman"/>
        </w:rPr>
        <w:tab/>
      </w:r>
      <w:r w:rsidRPr="00483092">
        <w:rPr>
          <w:rFonts w:ascii="Times New Roman" w:hAnsi="Times New Roman" w:cs="Times New Roman"/>
        </w:rPr>
        <w:t>R. Markiewicz, Prawo Autorskie na Jednolitym Rynku Cyfrowym, Dyrektywa Parlamentu Europejskiego i Rady (UE) 2019/790, s. 334.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21D2"/>
    <w:multiLevelType w:val="hybridMultilevel"/>
    <w:tmpl w:val="0F0459BC"/>
    <w:lvl w:ilvl="0" w:tplc="E508F4C4">
      <w:start w:val="1"/>
      <w:numFmt w:val="decimal"/>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 w15:restartNumberingAfterBreak="0">
    <w:nsid w:val="12B300F2"/>
    <w:multiLevelType w:val="hybridMultilevel"/>
    <w:tmpl w:val="CDBAEE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2B53E17"/>
    <w:multiLevelType w:val="hybridMultilevel"/>
    <w:tmpl w:val="8F4E3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D006DE"/>
    <w:multiLevelType w:val="hybridMultilevel"/>
    <w:tmpl w:val="C98C7E58"/>
    <w:lvl w:ilvl="0" w:tplc="061485C8">
      <w:start w:val="1"/>
      <w:numFmt w:val="decimal"/>
      <w:lvlText w:val="%1)"/>
      <w:lvlJc w:val="left"/>
      <w:pPr>
        <w:ind w:left="1113" w:hanging="4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8B0676B"/>
    <w:multiLevelType w:val="hybridMultilevel"/>
    <w:tmpl w:val="295ADCA8"/>
    <w:lvl w:ilvl="0" w:tplc="CC6869AA">
      <w:start w:val="1"/>
      <w:numFmt w:val="decimal"/>
      <w:lvlText w:val="%1)"/>
      <w:lvlJc w:val="left"/>
      <w:pPr>
        <w:ind w:left="1143" w:hanging="375"/>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 w15:restartNumberingAfterBreak="0">
    <w:nsid w:val="3E201ABE"/>
    <w:multiLevelType w:val="hybridMultilevel"/>
    <w:tmpl w:val="65667058"/>
    <w:lvl w:ilvl="0" w:tplc="977027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9C076B"/>
    <w:multiLevelType w:val="multilevel"/>
    <w:tmpl w:val="BDCA61F6"/>
    <w:lvl w:ilvl="0">
      <w:start w:val="1"/>
      <w:numFmt w:val="decimal"/>
      <w:lvlText w:val="%1."/>
      <w:lvlJc w:val="left"/>
      <w:pPr>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0604690"/>
    <w:multiLevelType w:val="hybridMultilevel"/>
    <w:tmpl w:val="8FC4F14C"/>
    <w:lvl w:ilvl="0" w:tplc="04150011">
      <w:start w:val="1"/>
      <w:numFmt w:val="decimal"/>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8" w15:restartNumberingAfterBreak="0">
    <w:nsid w:val="57DA0E19"/>
    <w:multiLevelType w:val="hybridMultilevel"/>
    <w:tmpl w:val="E50CB002"/>
    <w:lvl w:ilvl="0" w:tplc="1BBEC05E">
      <w:start w:val="1"/>
      <w:numFmt w:val="lowerLetter"/>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E36B4C"/>
    <w:multiLevelType w:val="hybridMultilevel"/>
    <w:tmpl w:val="477E269C"/>
    <w:lvl w:ilvl="0" w:tplc="3CAE5008">
      <w:start w:val="1"/>
      <w:numFmt w:val="decimal"/>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0" w15:restartNumberingAfterBreak="0">
    <w:nsid w:val="61596A45"/>
    <w:multiLevelType w:val="hybridMultilevel"/>
    <w:tmpl w:val="F4505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EA70BB"/>
    <w:multiLevelType w:val="hybridMultilevel"/>
    <w:tmpl w:val="35AA1BA0"/>
    <w:lvl w:ilvl="0" w:tplc="AEDE2EC4">
      <w:start w:val="1"/>
      <w:numFmt w:val="decimal"/>
      <w:lvlText w:val="%1."/>
      <w:lvlJc w:val="left"/>
      <w:pPr>
        <w:ind w:left="720" w:hanging="360"/>
      </w:pPr>
    </w:lvl>
    <w:lvl w:ilvl="1" w:tplc="60BEF4DA">
      <w:start w:val="1"/>
      <w:numFmt w:val="lowerLetter"/>
      <w:lvlText w:val="%2."/>
      <w:lvlJc w:val="left"/>
      <w:pPr>
        <w:ind w:left="1440" w:hanging="360"/>
      </w:pPr>
    </w:lvl>
    <w:lvl w:ilvl="2" w:tplc="EA6CD2F4">
      <w:start w:val="1"/>
      <w:numFmt w:val="lowerRoman"/>
      <w:lvlText w:val="%3."/>
      <w:lvlJc w:val="right"/>
      <w:pPr>
        <w:ind w:left="2160" w:hanging="180"/>
      </w:pPr>
    </w:lvl>
    <w:lvl w:ilvl="3" w:tplc="9990A846">
      <w:start w:val="1"/>
      <w:numFmt w:val="decimal"/>
      <w:lvlText w:val="%4."/>
      <w:lvlJc w:val="left"/>
      <w:pPr>
        <w:ind w:left="2880" w:hanging="360"/>
      </w:pPr>
    </w:lvl>
    <w:lvl w:ilvl="4" w:tplc="114A8782">
      <w:start w:val="1"/>
      <w:numFmt w:val="lowerLetter"/>
      <w:lvlText w:val="%5."/>
      <w:lvlJc w:val="left"/>
      <w:pPr>
        <w:ind w:left="3600" w:hanging="360"/>
      </w:pPr>
    </w:lvl>
    <w:lvl w:ilvl="5" w:tplc="20ACC572">
      <w:start w:val="1"/>
      <w:numFmt w:val="lowerRoman"/>
      <w:lvlText w:val="%6."/>
      <w:lvlJc w:val="right"/>
      <w:pPr>
        <w:ind w:left="4320" w:hanging="180"/>
      </w:pPr>
    </w:lvl>
    <w:lvl w:ilvl="6" w:tplc="29FC080C">
      <w:start w:val="1"/>
      <w:numFmt w:val="decimal"/>
      <w:lvlText w:val="%7."/>
      <w:lvlJc w:val="left"/>
      <w:pPr>
        <w:ind w:left="5040" w:hanging="360"/>
      </w:pPr>
    </w:lvl>
    <w:lvl w:ilvl="7" w:tplc="0DE8BE38">
      <w:start w:val="1"/>
      <w:numFmt w:val="lowerLetter"/>
      <w:lvlText w:val="%8."/>
      <w:lvlJc w:val="left"/>
      <w:pPr>
        <w:ind w:left="5760" w:hanging="360"/>
      </w:pPr>
    </w:lvl>
    <w:lvl w:ilvl="8" w:tplc="EF54ECEC">
      <w:start w:val="1"/>
      <w:numFmt w:val="lowerRoman"/>
      <w:lvlText w:val="%9."/>
      <w:lvlJc w:val="right"/>
      <w:pPr>
        <w:ind w:left="6480" w:hanging="180"/>
      </w:pPr>
    </w:lvl>
  </w:abstractNum>
  <w:abstractNum w:abstractNumId="12" w15:restartNumberingAfterBreak="0">
    <w:nsid w:val="6787750F"/>
    <w:multiLevelType w:val="hybridMultilevel"/>
    <w:tmpl w:val="45F8A5B4"/>
    <w:lvl w:ilvl="0" w:tplc="1264D1B0">
      <w:start w:val="1"/>
      <w:numFmt w:val="upperRoman"/>
      <w:lvlText w:val="%1."/>
      <w:lvlJc w:val="left"/>
      <w:pPr>
        <w:ind w:left="1080" w:hanging="720"/>
      </w:pPr>
      <w:rPr>
        <w:rFonts w:hint="default"/>
      </w:rPr>
    </w:lvl>
    <w:lvl w:ilvl="1" w:tplc="96329608">
      <w:start w:val="1"/>
      <w:numFmt w:val="decimal"/>
      <w:lvlText w:val="%2)"/>
      <w:lvlJc w:val="left"/>
      <w:pPr>
        <w:ind w:left="1815" w:hanging="735"/>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627AA0"/>
    <w:multiLevelType w:val="multilevel"/>
    <w:tmpl w:val="DB2237D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724F86"/>
    <w:multiLevelType w:val="hybridMultilevel"/>
    <w:tmpl w:val="F968A83E"/>
    <w:lvl w:ilvl="0" w:tplc="E508F4C4">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1676E4"/>
    <w:multiLevelType w:val="hybridMultilevel"/>
    <w:tmpl w:val="FF6A5106"/>
    <w:lvl w:ilvl="0" w:tplc="527E2C2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6" w15:restartNumberingAfterBreak="0">
    <w:nsid w:val="726B4557"/>
    <w:multiLevelType w:val="hybridMultilevel"/>
    <w:tmpl w:val="A3D8FD1C"/>
    <w:lvl w:ilvl="0" w:tplc="260CFD38">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7857AC"/>
    <w:multiLevelType w:val="hybridMultilevel"/>
    <w:tmpl w:val="61569A86"/>
    <w:lvl w:ilvl="0" w:tplc="4CCCA6B4">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8" w15:restartNumberingAfterBreak="0">
    <w:nsid w:val="7C180072"/>
    <w:multiLevelType w:val="hybridMultilevel"/>
    <w:tmpl w:val="F410A3DC"/>
    <w:lvl w:ilvl="0" w:tplc="AE4C18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601529897">
    <w:abstractNumId w:val="12"/>
  </w:num>
  <w:num w:numId="2" w16cid:durableId="1987664395">
    <w:abstractNumId w:val="0"/>
  </w:num>
  <w:num w:numId="3" w16cid:durableId="597568581">
    <w:abstractNumId w:val="10"/>
  </w:num>
  <w:num w:numId="4" w16cid:durableId="531769074">
    <w:abstractNumId w:val="8"/>
  </w:num>
  <w:num w:numId="5" w16cid:durableId="850334526">
    <w:abstractNumId w:val="15"/>
  </w:num>
  <w:num w:numId="6" w16cid:durableId="1621646335">
    <w:abstractNumId w:val="6"/>
  </w:num>
  <w:num w:numId="7" w16cid:durableId="1814104026">
    <w:abstractNumId w:val="2"/>
  </w:num>
  <w:num w:numId="8" w16cid:durableId="86318093">
    <w:abstractNumId w:val="13"/>
  </w:num>
  <w:num w:numId="9" w16cid:durableId="2015302049">
    <w:abstractNumId w:val="18"/>
  </w:num>
  <w:num w:numId="10" w16cid:durableId="818889886">
    <w:abstractNumId w:val="4"/>
  </w:num>
  <w:num w:numId="11" w16cid:durableId="1515026562">
    <w:abstractNumId w:val="3"/>
  </w:num>
  <w:num w:numId="12" w16cid:durableId="896283586">
    <w:abstractNumId w:val="1"/>
  </w:num>
  <w:num w:numId="13" w16cid:durableId="1698702361">
    <w:abstractNumId w:val="5"/>
  </w:num>
  <w:num w:numId="14" w16cid:durableId="1172571440">
    <w:abstractNumId w:val="7"/>
  </w:num>
  <w:num w:numId="15" w16cid:durableId="1168595044">
    <w:abstractNumId w:val="9"/>
  </w:num>
  <w:num w:numId="16" w16cid:durableId="128744417">
    <w:abstractNumId w:val="17"/>
  </w:num>
  <w:num w:numId="17" w16cid:durableId="67965016">
    <w:abstractNumId w:val="16"/>
  </w:num>
  <w:num w:numId="18" w16cid:durableId="814294855">
    <w:abstractNumId w:val="14"/>
  </w:num>
  <w:num w:numId="19" w16cid:durableId="1830636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31"/>
    <w:rsid w:val="00000CA7"/>
    <w:rsid w:val="00001FB8"/>
    <w:rsid w:val="000022BE"/>
    <w:rsid w:val="00002E4B"/>
    <w:rsid w:val="00003731"/>
    <w:rsid w:val="00003A02"/>
    <w:rsid w:val="000044F0"/>
    <w:rsid w:val="00004619"/>
    <w:rsid w:val="00004680"/>
    <w:rsid w:val="00004DBF"/>
    <w:rsid w:val="00005411"/>
    <w:rsid w:val="000064B5"/>
    <w:rsid w:val="000065A0"/>
    <w:rsid w:val="000065AB"/>
    <w:rsid w:val="0000759C"/>
    <w:rsid w:val="00010C40"/>
    <w:rsid w:val="00011327"/>
    <w:rsid w:val="00011E14"/>
    <w:rsid w:val="00013596"/>
    <w:rsid w:val="00013DE3"/>
    <w:rsid w:val="000151F0"/>
    <w:rsid w:val="00015A52"/>
    <w:rsid w:val="000171D1"/>
    <w:rsid w:val="0002185E"/>
    <w:rsid w:val="00021C9A"/>
    <w:rsid w:val="00023473"/>
    <w:rsid w:val="0002377F"/>
    <w:rsid w:val="00025124"/>
    <w:rsid w:val="00025AD1"/>
    <w:rsid w:val="00025E56"/>
    <w:rsid w:val="000262C0"/>
    <w:rsid w:val="000262C7"/>
    <w:rsid w:val="00027C14"/>
    <w:rsid w:val="00030E0B"/>
    <w:rsid w:val="0003129C"/>
    <w:rsid w:val="00032F99"/>
    <w:rsid w:val="00033DA8"/>
    <w:rsid w:val="000360FE"/>
    <w:rsid w:val="00037D7A"/>
    <w:rsid w:val="00040A74"/>
    <w:rsid w:val="00040B56"/>
    <w:rsid w:val="00041393"/>
    <w:rsid w:val="00041BAC"/>
    <w:rsid w:val="00042DB1"/>
    <w:rsid w:val="00044961"/>
    <w:rsid w:val="00044DAE"/>
    <w:rsid w:val="00046805"/>
    <w:rsid w:val="00046DF4"/>
    <w:rsid w:val="00046FE2"/>
    <w:rsid w:val="000512E3"/>
    <w:rsid w:val="000520FD"/>
    <w:rsid w:val="000529B3"/>
    <w:rsid w:val="00053293"/>
    <w:rsid w:val="000541EB"/>
    <w:rsid w:val="0005620E"/>
    <w:rsid w:val="0005739A"/>
    <w:rsid w:val="0006007C"/>
    <w:rsid w:val="00060715"/>
    <w:rsid w:val="000610EA"/>
    <w:rsid w:val="0006455B"/>
    <w:rsid w:val="00064B28"/>
    <w:rsid w:val="00064E1A"/>
    <w:rsid w:val="00065CC0"/>
    <w:rsid w:val="000668E1"/>
    <w:rsid w:val="00067D8F"/>
    <w:rsid w:val="00070574"/>
    <w:rsid w:val="00071C9F"/>
    <w:rsid w:val="0007245E"/>
    <w:rsid w:val="0007398B"/>
    <w:rsid w:val="000767C8"/>
    <w:rsid w:val="000807BF"/>
    <w:rsid w:val="000816F5"/>
    <w:rsid w:val="00081DC8"/>
    <w:rsid w:val="00082B67"/>
    <w:rsid w:val="000852FE"/>
    <w:rsid w:val="000870B0"/>
    <w:rsid w:val="00092172"/>
    <w:rsid w:val="0009319C"/>
    <w:rsid w:val="00093390"/>
    <w:rsid w:val="0009442E"/>
    <w:rsid w:val="00095C65"/>
    <w:rsid w:val="00096F6E"/>
    <w:rsid w:val="000977A2"/>
    <w:rsid w:val="00097DE3"/>
    <w:rsid w:val="000A072C"/>
    <w:rsid w:val="000A17A0"/>
    <w:rsid w:val="000A3818"/>
    <w:rsid w:val="000A41BF"/>
    <w:rsid w:val="000A45A4"/>
    <w:rsid w:val="000A5BBF"/>
    <w:rsid w:val="000A662D"/>
    <w:rsid w:val="000A6B2F"/>
    <w:rsid w:val="000A6CD8"/>
    <w:rsid w:val="000A6D3F"/>
    <w:rsid w:val="000A711B"/>
    <w:rsid w:val="000A7927"/>
    <w:rsid w:val="000B0483"/>
    <w:rsid w:val="000B0A62"/>
    <w:rsid w:val="000B18C6"/>
    <w:rsid w:val="000B375D"/>
    <w:rsid w:val="000B3848"/>
    <w:rsid w:val="000B7CF7"/>
    <w:rsid w:val="000C0777"/>
    <w:rsid w:val="000C26AB"/>
    <w:rsid w:val="000C4480"/>
    <w:rsid w:val="000C491B"/>
    <w:rsid w:val="000C5D72"/>
    <w:rsid w:val="000C7185"/>
    <w:rsid w:val="000D016F"/>
    <w:rsid w:val="000D0640"/>
    <w:rsid w:val="000D1A03"/>
    <w:rsid w:val="000D2361"/>
    <w:rsid w:val="000D2834"/>
    <w:rsid w:val="000D29E6"/>
    <w:rsid w:val="000D3A72"/>
    <w:rsid w:val="000D488F"/>
    <w:rsid w:val="000D4FE5"/>
    <w:rsid w:val="000D5025"/>
    <w:rsid w:val="000D63B0"/>
    <w:rsid w:val="000D7266"/>
    <w:rsid w:val="000D7C3B"/>
    <w:rsid w:val="000D7D17"/>
    <w:rsid w:val="000E0673"/>
    <w:rsid w:val="000E0857"/>
    <w:rsid w:val="000E126B"/>
    <w:rsid w:val="000E1D7E"/>
    <w:rsid w:val="000E26B5"/>
    <w:rsid w:val="000E4710"/>
    <w:rsid w:val="000E4BD6"/>
    <w:rsid w:val="000E7A95"/>
    <w:rsid w:val="000F0818"/>
    <w:rsid w:val="000F12DE"/>
    <w:rsid w:val="000F1750"/>
    <w:rsid w:val="000F363B"/>
    <w:rsid w:val="000F421A"/>
    <w:rsid w:val="000F4322"/>
    <w:rsid w:val="000F58FD"/>
    <w:rsid w:val="000F5F83"/>
    <w:rsid w:val="000F7596"/>
    <w:rsid w:val="001017C9"/>
    <w:rsid w:val="00102BD3"/>
    <w:rsid w:val="00103802"/>
    <w:rsid w:val="00103C7E"/>
    <w:rsid w:val="00104FBF"/>
    <w:rsid w:val="001051BD"/>
    <w:rsid w:val="00105568"/>
    <w:rsid w:val="00106829"/>
    <w:rsid w:val="00106F2D"/>
    <w:rsid w:val="0011267B"/>
    <w:rsid w:val="001131E2"/>
    <w:rsid w:val="0011390C"/>
    <w:rsid w:val="00114B3A"/>
    <w:rsid w:val="00115190"/>
    <w:rsid w:val="0011695B"/>
    <w:rsid w:val="00116DDF"/>
    <w:rsid w:val="00117401"/>
    <w:rsid w:val="001176AA"/>
    <w:rsid w:val="0012013F"/>
    <w:rsid w:val="00121F1E"/>
    <w:rsid w:val="00122077"/>
    <w:rsid w:val="00122C83"/>
    <w:rsid w:val="00123910"/>
    <w:rsid w:val="00123A3C"/>
    <w:rsid w:val="00123D58"/>
    <w:rsid w:val="001241A6"/>
    <w:rsid w:val="00126564"/>
    <w:rsid w:val="001267D1"/>
    <w:rsid w:val="00126A6A"/>
    <w:rsid w:val="001308CD"/>
    <w:rsid w:val="0013255E"/>
    <w:rsid w:val="00132873"/>
    <w:rsid w:val="00132EB9"/>
    <w:rsid w:val="00133EE7"/>
    <w:rsid w:val="0013466B"/>
    <w:rsid w:val="0013586A"/>
    <w:rsid w:val="0013646F"/>
    <w:rsid w:val="00137089"/>
    <w:rsid w:val="00142FC2"/>
    <w:rsid w:val="00144ADC"/>
    <w:rsid w:val="00147316"/>
    <w:rsid w:val="001473DB"/>
    <w:rsid w:val="00150064"/>
    <w:rsid w:val="001505F1"/>
    <w:rsid w:val="00151373"/>
    <w:rsid w:val="00151543"/>
    <w:rsid w:val="00151CCA"/>
    <w:rsid w:val="001529B9"/>
    <w:rsid w:val="00152CD1"/>
    <w:rsid w:val="00154119"/>
    <w:rsid w:val="00154EAC"/>
    <w:rsid w:val="00155BC2"/>
    <w:rsid w:val="0016158F"/>
    <w:rsid w:val="00162053"/>
    <w:rsid w:val="00162C11"/>
    <w:rsid w:val="00162D91"/>
    <w:rsid w:val="001636A3"/>
    <w:rsid w:val="00163A77"/>
    <w:rsid w:val="00166B9B"/>
    <w:rsid w:val="00171309"/>
    <w:rsid w:val="00171445"/>
    <w:rsid w:val="00171657"/>
    <w:rsid w:val="0017165A"/>
    <w:rsid w:val="00172C9E"/>
    <w:rsid w:val="001742F5"/>
    <w:rsid w:val="001748FC"/>
    <w:rsid w:val="0017517E"/>
    <w:rsid w:val="00175BA6"/>
    <w:rsid w:val="00175FCC"/>
    <w:rsid w:val="00176605"/>
    <w:rsid w:val="00181F8A"/>
    <w:rsid w:val="00182E28"/>
    <w:rsid w:val="00182FE6"/>
    <w:rsid w:val="00184042"/>
    <w:rsid w:val="00184105"/>
    <w:rsid w:val="001842AA"/>
    <w:rsid w:val="0018447A"/>
    <w:rsid w:val="001847D9"/>
    <w:rsid w:val="00184865"/>
    <w:rsid w:val="001852E3"/>
    <w:rsid w:val="00185464"/>
    <w:rsid w:val="001867E6"/>
    <w:rsid w:val="0018739D"/>
    <w:rsid w:val="00187CA1"/>
    <w:rsid w:val="001904D9"/>
    <w:rsid w:val="00192A94"/>
    <w:rsid w:val="00193A11"/>
    <w:rsid w:val="00194827"/>
    <w:rsid w:val="001954AD"/>
    <w:rsid w:val="00195958"/>
    <w:rsid w:val="00196137"/>
    <w:rsid w:val="00196C12"/>
    <w:rsid w:val="00197965"/>
    <w:rsid w:val="001A0AF5"/>
    <w:rsid w:val="001A1DA3"/>
    <w:rsid w:val="001A3B29"/>
    <w:rsid w:val="001A40A7"/>
    <w:rsid w:val="001A4681"/>
    <w:rsid w:val="001A46A9"/>
    <w:rsid w:val="001A545B"/>
    <w:rsid w:val="001B1CEA"/>
    <w:rsid w:val="001B1F87"/>
    <w:rsid w:val="001B31C0"/>
    <w:rsid w:val="001B3B41"/>
    <w:rsid w:val="001B3CB2"/>
    <w:rsid w:val="001B4BB0"/>
    <w:rsid w:val="001B4F79"/>
    <w:rsid w:val="001B52E7"/>
    <w:rsid w:val="001B61CD"/>
    <w:rsid w:val="001B6F17"/>
    <w:rsid w:val="001B77A7"/>
    <w:rsid w:val="001B7CD7"/>
    <w:rsid w:val="001B7F7C"/>
    <w:rsid w:val="001C098F"/>
    <w:rsid w:val="001C0CE7"/>
    <w:rsid w:val="001C1250"/>
    <w:rsid w:val="001C17BE"/>
    <w:rsid w:val="001C1FE3"/>
    <w:rsid w:val="001C2139"/>
    <w:rsid w:val="001C2711"/>
    <w:rsid w:val="001C32FF"/>
    <w:rsid w:val="001C437C"/>
    <w:rsid w:val="001C44FB"/>
    <w:rsid w:val="001C56E1"/>
    <w:rsid w:val="001C6053"/>
    <w:rsid w:val="001C664F"/>
    <w:rsid w:val="001C774B"/>
    <w:rsid w:val="001C7A27"/>
    <w:rsid w:val="001D03D5"/>
    <w:rsid w:val="001D051F"/>
    <w:rsid w:val="001D068B"/>
    <w:rsid w:val="001D1695"/>
    <w:rsid w:val="001D1EA8"/>
    <w:rsid w:val="001D2418"/>
    <w:rsid w:val="001D2EAA"/>
    <w:rsid w:val="001D312A"/>
    <w:rsid w:val="001D4CB3"/>
    <w:rsid w:val="001D4FDC"/>
    <w:rsid w:val="001E0217"/>
    <w:rsid w:val="001E1C3E"/>
    <w:rsid w:val="001E2449"/>
    <w:rsid w:val="001E2F0C"/>
    <w:rsid w:val="001E354A"/>
    <w:rsid w:val="001E3930"/>
    <w:rsid w:val="001E3BFB"/>
    <w:rsid w:val="001E6727"/>
    <w:rsid w:val="001E7588"/>
    <w:rsid w:val="001E7601"/>
    <w:rsid w:val="001E78F7"/>
    <w:rsid w:val="001F0934"/>
    <w:rsid w:val="001F1F57"/>
    <w:rsid w:val="001F2938"/>
    <w:rsid w:val="001F40D4"/>
    <w:rsid w:val="001F4A82"/>
    <w:rsid w:val="001F4A85"/>
    <w:rsid w:val="001F5684"/>
    <w:rsid w:val="001F7525"/>
    <w:rsid w:val="001F78A6"/>
    <w:rsid w:val="001F7C9A"/>
    <w:rsid w:val="00200035"/>
    <w:rsid w:val="00202203"/>
    <w:rsid w:val="00203748"/>
    <w:rsid w:val="00203BE3"/>
    <w:rsid w:val="00203F9B"/>
    <w:rsid w:val="002047F9"/>
    <w:rsid w:val="00204825"/>
    <w:rsid w:val="00205E47"/>
    <w:rsid w:val="002069E0"/>
    <w:rsid w:val="00206EB7"/>
    <w:rsid w:val="00207CF0"/>
    <w:rsid w:val="0021012A"/>
    <w:rsid w:val="0021125F"/>
    <w:rsid w:val="00211FF3"/>
    <w:rsid w:val="002124CE"/>
    <w:rsid w:val="00212B26"/>
    <w:rsid w:val="00213B4E"/>
    <w:rsid w:val="00213E8D"/>
    <w:rsid w:val="00213EE3"/>
    <w:rsid w:val="00214723"/>
    <w:rsid w:val="00214941"/>
    <w:rsid w:val="00214C1C"/>
    <w:rsid w:val="00214DB6"/>
    <w:rsid w:val="00214E19"/>
    <w:rsid w:val="0021559E"/>
    <w:rsid w:val="00216949"/>
    <w:rsid w:val="002169A6"/>
    <w:rsid w:val="00217378"/>
    <w:rsid w:val="00217611"/>
    <w:rsid w:val="00220F5C"/>
    <w:rsid w:val="00221A37"/>
    <w:rsid w:val="00221F23"/>
    <w:rsid w:val="00222CB3"/>
    <w:rsid w:val="00222DB5"/>
    <w:rsid w:val="0022300D"/>
    <w:rsid w:val="00223B39"/>
    <w:rsid w:val="00224A72"/>
    <w:rsid w:val="002256E9"/>
    <w:rsid w:val="002264D6"/>
    <w:rsid w:val="00226759"/>
    <w:rsid w:val="002305A0"/>
    <w:rsid w:val="0023066D"/>
    <w:rsid w:val="0023235E"/>
    <w:rsid w:val="002332AA"/>
    <w:rsid w:val="00233440"/>
    <w:rsid w:val="00234FC6"/>
    <w:rsid w:val="00240918"/>
    <w:rsid w:val="00241DDD"/>
    <w:rsid w:val="00241E41"/>
    <w:rsid w:val="00242006"/>
    <w:rsid w:val="002424E7"/>
    <w:rsid w:val="00243161"/>
    <w:rsid w:val="0024436A"/>
    <w:rsid w:val="00247721"/>
    <w:rsid w:val="00247D42"/>
    <w:rsid w:val="00250067"/>
    <w:rsid w:val="002509F6"/>
    <w:rsid w:val="0025154D"/>
    <w:rsid w:val="002515F9"/>
    <w:rsid w:val="002519BB"/>
    <w:rsid w:val="00251C7F"/>
    <w:rsid w:val="002529C8"/>
    <w:rsid w:val="00252B45"/>
    <w:rsid w:val="0025429A"/>
    <w:rsid w:val="00254AC8"/>
    <w:rsid w:val="00256763"/>
    <w:rsid w:val="00257EA6"/>
    <w:rsid w:val="00260B33"/>
    <w:rsid w:val="00260E20"/>
    <w:rsid w:val="00260E77"/>
    <w:rsid w:val="00260EDD"/>
    <w:rsid w:val="00261BDE"/>
    <w:rsid w:val="0026215E"/>
    <w:rsid w:val="0026251A"/>
    <w:rsid w:val="00262FC0"/>
    <w:rsid w:val="0026328A"/>
    <w:rsid w:val="0026344B"/>
    <w:rsid w:val="00265EC4"/>
    <w:rsid w:val="00267395"/>
    <w:rsid w:val="0027002F"/>
    <w:rsid w:val="002706D6"/>
    <w:rsid w:val="0027112D"/>
    <w:rsid w:val="002747DF"/>
    <w:rsid w:val="0027491A"/>
    <w:rsid w:val="002750F9"/>
    <w:rsid w:val="002752C9"/>
    <w:rsid w:val="002755A2"/>
    <w:rsid w:val="002765E2"/>
    <w:rsid w:val="00280B25"/>
    <w:rsid w:val="00282965"/>
    <w:rsid w:val="00282DA5"/>
    <w:rsid w:val="00282E2B"/>
    <w:rsid w:val="00284F24"/>
    <w:rsid w:val="0028520B"/>
    <w:rsid w:val="0028545C"/>
    <w:rsid w:val="002855C4"/>
    <w:rsid w:val="002861D1"/>
    <w:rsid w:val="00287BB6"/>
    <w:rsid w:val="0029037B"/>
    <w:rsid w:val="00291E97"/>
    <w:rsid w:val="0029304A"/>
    <w:rsid w:val="00293C63"/>
    <w:rsid w:val="0029509C"/>
    <w:rsid w:val="0029592F"/>
    <w:rsid w:val="002960CD"/>
    <w:rsid w:val="0029640D"/>
    <w:rsid w:val="00296F7B"/>
    <w:rsid w:val="002978B5"/>
    <w:rsid w:val="002A0E88"/>
    <w:rsid w:val="002A1EA5"/>
    <w:rsid w:val="002A3CA2"/>
    <w:rsid w:val="002A439C"/>
    <w:rsid w:val="002A4760"/>
    <w:rsid w:val="002A4CB3"/>
    <w:rsid w:val="002A5E36"/>
    <w:rsid w:val="002A7570"/>
    <w:rsid w:val="002A75C3"/>
    <w:rsid w:val="002B18C5"/>
    <w:rsid w:val="002B4006"/>
    <w:rsid w:val="002B40C2"/>
    <w:rsid w:val="002B4B7D"/>
    <w:rsid w:val="002B4CC7"/>
    <w:rsid w:val="002B69F2"/>
    <w:rsid w:val="002B73F1"/>
    <w:rsid w:val="002B7795"/>
    <w:rsid w:val="002C02D4"/>
    <w:rsid w:val="002C03B8"/>
    <w:rsid w:val="002C0404"/>
    <w:rsid w:val="002C14F1"/>
    <w:rsid w:val="002C2D72"/>
    <w:rsid w:val="002C38AC"/>
    <w:rsid w:val="002C4155"/>
    <w:rsid w:val="002C508E"/>
    <w:rsid w:val="002C7252"/>
    <w:rsid w:val="002C7A9A"/>
    <w:rsid w:val="002C7DCD"/>
    <w:rsid w:val="002C7F11"/>
    <w:rsid w:val="002D1904"/>
    <w:rsid w:val="002D64AD"/>
    <w:rsid w:val="002D7F1A"/>
    <w:rsid w:val="002E13F2"/>
    <w:rsid w:val="002E1519"/>
    <w:rsid w:val="002E177A"/>
    <w:rsid w:val="002E22E4"/>
    <w:rsid w:val="002E2AB9"/>
    <w:rsid w:val="002E3669"/>
    <w:rsid w:val="002E51F5"/>
    <w:rsid w:val="002E54F5"/>
    <w:rsid w:val="002E5AE6"/>
    <w:rsid w:val="002E6295"/>
    <w:rsid w:val="002E728F"/>
    <w:rsid w:val="002E7C39"/>
    <w:rsid w:val="002F087A"/>
    <w:rsid w:val="002F2899"/>
    <w:rsid w:val="002F2D4D"/>
    <w:rsid w:val="002F42D6"/>
    <w:rsid w:val="002F4EB6"/>
    <w:rsid w:val="002F501A"/>
    <w:rsid w:val="002F652B"/>
    <w:rsid w:val="002F694A"/>
    <w:rsid w:val="002F729C"/>
    <w:rsid w:val="00300C2F"/>
    <w:rsid w:val="00301BB9"/>
    <w:rsid w:val="00301D3D"/>
    <w:rsid w:val="00302EEE"/>
    <w:rsid w:val="00303899"/>
    <w:rsid w:val="0030478B"/>
    <w:rsid w:val="00304D2E"/>
    <w:rsid w:val="0030557B"/>
    <w:rsid w:val="00305990"/>
    <w:rsid w:val="00306BF7"/>
    <w:rsid w:val="00307051"/>
    <w:rsid w:val="0030780B"/>
    <w:rsid w:val="0031099C"/>
    <w:rsid w:val="00310D28"/>
    <w:rsid w:val="00310F31"/>
    <w:rsid w:val="00311D3D"/>
    <w:rsid w:val="00311F96"/>
    <w:rsid w:val="0031267F"/>
    <w:rsid w:val="003148FA"/>
    <w:rsid w:val="00314EE1"/>
    <w:rsid w:val="00315516"/>
    <w:rsid w:val="003157F5"/>
    <w:rsid w:val="00315E26"/>
    <w:rsid w:val="00315F85"/>
    <w:rsid w:val="003162CA"/>
    <w:rsid w:val="00317AD8"/>
    <w:rsid w:val="00320029"/>
    <w:rsid w:val="00320065"/>
    <w:rsid w:val="00320C0D"/>
    <w:rsid w:val="003220DC"/>
    <w:rsid w:val="00322A1F"/>
    <w:rsid w:val="00322BD6"/>
    <w:rsid w:val="00323145"/>
    <w:rsid w:val="00323159"/>
    <w:rsid w:val="00325669"/>
    <w:rsid w:val="00326072"/>
    <w:rsid w:val="00330384"/>
    <w:rsid w:val="003306B8"/>
    <w:rsid w:val="00330977"/>
    <w:rsid w:val="00330A33"/>
    <w:rsid w:val="0033137D"/>
    <w:rsid w:val="00332304"/>
    <w:rsid w:val="003325F8"/>
    <w:rsid w:val="00333A5B"/>
    <w:rsid w:val="0033708A"/>
    <w:rsid w:val="00337778"/>
    <w:rsid w:val="00341C1C"/>
    <w:rsid w:val="00342736"/>
    <w:rsid w:val="00342B6D"/>
    <w:rsid w:val="00342F5C"/>
    <w:rsid w:val="00343B46"/>
    <w:rsid w:val="003459D1"/>
    <w:rsid w:val="00345AAC"/>
    <w:rsid w:val="00345E73"/>
    <w:rsid w:val="00346604"/>
    <w:rsid w:val="00347FA5"/>
    <w:rsid w:val="0035015C"/>
    <w:rsid w:val="00351C0C"/>
    <w:rsid w:val="00351F9B"/>
    <w:rsid w:val="00352883"/>
    <w:rsid w:val="0035326D"/>
    <w:rsid w:val="0035576E"/>
    <w:rsid w:val="00356201"/>
    <w:rsid w:val="00357553"/>
    <w:rsid w:val="00357BC6"/>
    <w:rsid w:val="00357FC1"/>
    <w:rsid w:val="0036061E"/>
    <w:rsid w:val="00360E75"/>
    <w:rsid w:val="00362254"/>
    <w:rsid w:val="00362337"/>
    <w:rsid w:val="00365536"/>
    <w:rsid w:val="00366D55"/>
    <w:rsid w:val="00370903"/>
    <w:rsid w:val="00371391"/>
    <w:rsid w:val="00373B18"/>
    <w:rsid w:val="00375469"/>
    <w:rsid w:val="00377F36"/>
    <w:rsid w:val="00380434"/>
    <w:rsid w:val="00380F0D"/>
    <w:rsid w:val="00381C7F"/>
    <w:rsid w:val="00382732"/>
    <w:rsid w:val="0038276D"/>
    <w:rsid w:val="00382E7C"/>
    <w:rsid w:val="003837F5"/>
    <w:rsid w:val="00385973"/>
    <w:rsid w:val="00385FE9"/>
    <w:rsid w:val="00386008"/>
    <w:rsid w:val="00386CB1"/>
    <w:rsid w:val="00387A83"/>
    <w:rsid w:val="00387A95"/>
    <w:rsid w:val="003901D4"/>
    <w:rsid w:val="00392C87"/>
    <w:rsid w:val="00393D93"/>
    <w:rsid w:val="003955A2"/>
    <w:rsid w:val="00395AD6"/>
    <w:rsid w:val="00396223"/>
    <w:rsid w:val="003965C3"/>
    <w:rsid w:val="00396E00"/>
    <w:rsid w:val="003A1807"/>
    <w:rsid w:val="003A1A1B"/>
    <w:rsid w:val="003A2356"/>
    <w:rsid w:val="003A30D7"/>
    <w:rsid w:val="003A37E9"/>
    <w:rsid w:val="003A4531"/>
    <w:rsid w:val="003A4A49"/>
    <w:rsid w:val="003A4E35"/>
    <w:rsid w:val="003A4F53"/>
    <w:rsid w:val="003A54BA"/>
    <w:rsid w:val="003A7166"/>
    <w:rsid w:val="003A7987"/>
    <w:rsid w:val="003B0CE8"/>
    <w:rsid w:val="003B1273"/>
    <w:rsid w:val="003B198E"/>
    <w:rsid w:val="003B4656"/>
    <w:rsid w:val="003B47F5"/>
    <w:rsid w:val="003B4D5C"/>
    <w:rsid w:val="003B4F0E"/>
    <w:rsid w:val="003B6234"/>
    <w:rsid w:val="003B7224"/>
    <w:rsid w:val="003B78B1"/>
    <w:rsid w:val="003C086B"/>
    <w:rsid w:val="003C2993"/>
    <w:rsid w:val="003C35DB"/>
    <w:rsid w:val="003C7490"/>
    <w:rsid w:val="003C7CA4"/>
    <w:rsid w:val="003C7FCE"/>
    <w:rsid w:val="003D02BB"/>
    <w:rsid w:val="003D0E06"/>
    <w:rsid w:val="003D14A0"/>
    <w:rsid w:val="003D1B34"/>
    <w:rsid w:val="003D4758"/>
    <w:rsid w:val="003D4855"/>
    <w:rsid w:val="003D4DB2"/>
    <w:rsid w:val="003D69ED"/>
    <w:rsid w:val="003D7B63"/>
    <w:rsid w:val="003E126F"/>
    <w:rsid w:val="003E13AA"/>
    <w:rsid w:val="003E190F"/>
    <w:rsid w:val="003E26C9"/>
    <w:rsid w:val="003E699C"/>
    <w:rsid w:val="003E7856"/>
    <w:rsid w:val="003F03FF"/>
    <w:rsid w:val="003F122C"/>
    <w:rsid w:val="003F68E0"/>
    <w:rsid w:val="00400EA5"/>
    <w:rsid w:val="004012FE"/>
    <w:rsid w:val="00403830"/>
    <w:rsid w:val="004047A5"/>
    <w:rsid w:val="004050CE"/>
    <w:rsid w:val="00405569"/>
    <w:rsid w:val="00405883"/>
    <w:rsid w:val="00405C4E"/>
    <w:rsid w:val="00406695"/>
    <w:rsid w:val="00411317"/>
    <w:rsid w:val="00411CFE"/>
    <w:rsid w:val="00413AB1"/>
    <w:rsid w:val="00414563"/>
    <w:rsid w:val="00414C7E"/>
    <w:rsid w:val="00415CA3"/>
    <w:rsid w:val="00416345"/>
    <w:rsid w:val="004167DD"/>
    <w:rsid w:val="0041741F"/>
    <w:rsid w:val="004204D1"/>
    <w:rsid w:val="00420E53"/>
    <w:rsid w:val="0042181B"/>
    <w:rsid w:val="00421B9A"/>
    <w:rsid w:val="00421DF1"/>
    <w:rsid w:val="00423F72"/>
    <w:rsid w:val="00424E9E"/>
    <w:rsid w:val="00426063"/>
    <w:rsid w:val="004260C0"/>
    <w:rsid w:val="004277A8"/>
    <w:rsid w:val="00427ABF"/>
    <w:rsid w:val="00427BCD"/>
    <w:rsid w:val="004308DC"/>
    <w:rsid w:val="0043233A"/>
    <w:rsid w:val="00433D55"/>
    <w:rsid w:val="00435C18"/>
    <w:rsid w:val="00436001"/>
    <w:rsid w:val="00437061"/>
    <w:rsid w:val="00437403"/>
    <w:rsid w:val="00437603"/>
    <w:rsid w:val="0043760B"/>
    <w:rsid w:val="004377F7"/>
    <w:rsid w:val="00437893"/>
    <w:rsid w:val="0044080E"/>
    <w:rsid w:val="00440F3E"/>
    <w:rsid w:val="0044271D"/>
    <w:rsid w:val="00442F75"/>
    <w:rsid w:val="00443F9D"/>
    <w:rsid w:val="004440FB"/>
    <w:rsid w:val="004462D4"/>
    <w:rsid w:val="00446439"/>
    <w:rsid w:val="00450E30"/>
    <w:rsid w:val="00451AFA"/>
    <w:rsid w:val="00453392"/>
    <w:rsid w:val="00454EB0"/>
    <w:rsid w:val="00454FCE"/>
    <w:rsid w:val="0045537E"/>
    <w:rsid w:val="004553FE"/>
    <w:rsid w:val="0045562B"/>
    <w:rsid w:val="00456419"/>
    <w:rsid w:val="004602EC"/>
    <w:rsid w:val="004610E5"/>
    <w:rsid w:val="004621C5"/>
    <w:rsid w:val="00463548"/>
    <w:rsid w:val="004635F7"/>
    <w:rsid w:val="00463A30"/>
    <w:rsid w:val="00463E26"/>
    <w:rsid w:val="00464141"/>
    <w:rsid w:val="004657D1"/>
    <w:rsid w:val="00466012"/>
    <w:rsid w:val="00471774"/>
    <w:rsid w:val="00472BBB"/>
    <w:rsid w:val="004758BB"/>
    <w:rsid w:val="00475B44"/>
    <w:rsid w:val="00475FDF"/>
    <w:rsid w:val="00477228"/>
    <w:rsid w:val="00480518"/>
    <w:rsid w:val="0048075B"/>
    <w:rsid w:val="004812A0"/>
    <w:rsid w:val="004828A2"/>
    <w:rsid w:val="00483092"/>
    <w:rsid w:val="0048455A"/>
    <w:rsid w:val="00485912"/>
    <w:rsid w:val="00486379"/>
    <w:rsid w:val="00486627"/>
    <w:rsid w:val="00486B09"/>
    <w:rsid w:val="0048712D"/>
    <w:rsid w:val="00487B38"/>
    <w:rsid w:val="004905FC"/>
    <w:rsid w:val="00492257"/>
    <w:rsid w:val="004923CD"/>
    <w:rsid w:val="00494BD7"/>
    <w:rsid w:val="0049670A"/>
    <w:rsid w:val="00497316"/>
    <w:rsid w:val="00497B3A"/>
    <w:rsid w:val="004A14F4"/>
    <w:rsid w:val="004A2315"/>
    <w:rsid w:val="004A2A36"/>
    <w:rsid w:val="004A32F3"/>
    <w:rsid w:val="004A4585"/>
    <w:rsid w:val="004A6F33"/>
    <w:rsid w:val="004A7AAC"/>
    <w:rsid w:val="004B01D4"/>
    <w:rsid w:val="004B12B3"/>
    <w:rsid w:val="004B1371"/>
    <w:rsid w:val="004B4F64"/>
    <w:rsid w:val="004B636E"/>
    <w:rsid w:val="004B751F"/>
    <w:rsid w:val="004B77F3"/>
    <w:rsid w:val="004C02C4"/>
    <w:rsid w:val="004C0431"/>
    <w:rsid w:val="004C04D6"/>
    <w:rsid w:val="004C22A0"/>
    <w:rsid w:val="004C2BB1"/>
    <w:rsid w:val="004C68BB"/>
    <w:rsid w:val="004C6C45"/>
    <w:rsid w:val="004D01B6"/>
    <w:rsid w:val="004D0563"/>
    <w:rsid w:val="004D06C5"/>
    <w:rsid w:val="004D1D47"/>
    <w:rsid w:val="004D248C"/>
    <w:rsid w:val="004D2B87"/>
    <w:rsid w:val="004D2CF0"/>
    <w:rsid w:val="004D3131"/>
    <w:rsid w:val="004D4BEC"/>
    <w:rsid w:val="004D4C64"/>
    <w:rsid w:val="004D54CE"/>
    <w:rsid w:val="004D70C9"/>
    <w:rsid w:val="004D7307"/>
    <w:rsid w:val="004D7518"/>
    <w:rsid w:val="004E154B"/>
    <w:rsid w:val="004E24CA"/>
    <w:rsid w:val="004E37EE"/>
    <w:rsid w:val="004E3EE1"/>
    <w:rsid w:val="004E444D"/>
    <w:rsid w:val="004E4751"/>
    <w:rsid w:val="004E4B1F"/>
    <w:rsid w:val="004E662B"/>
    <w:rsid w:val="004E7181"/>
    <w:rsid w:val="004E7601"/>
    <w:rsid w:val="004E7687"/>
    <w:rsid w:val="004F0FFA"/>
    <w:rsid w:val="004F1B73"/>
    <w:rsid w:val="004F21B3"/>
    <w:rsid w:val="004F2E2B"/>
    <w:rsid w:val="004F3C21"/>
    <w:rsid w:val="004F4647"/>
    <w:rsid w:val="004F4BC3"/>
    <w:rsid w:val="004F4E8D"/>
    <w:rsid w:val="004F6E67"/>
    <w:rsid w:val="004F78DC"/>
    <w:rsid w:val="004F7BF9"/>
    <w:rsid w:val="0050015B"/>
    <w:rsid w:val="005009D7"/>
    <w:rsid w:val="00500B9A"/>
    <w:rsid w:val="00501876"/>
    <w:rsid w:val="00501CE4"/>
    <w:rsid w:val="00503741"/>
    <w:rsid w:val="0050437C"/>
    <w:rsid w:val="0050489F"/>
    <w:rsid w:val="005049C9"/>
    <w:rsid w:val="005061F0"/>
    <w:rsid w:val="00506206"/>
    <w:rsid w:val="005064D5"/>
    <w:rsid w:val="00506C18"/>
    <w:rsid w:val="00507713"/>
    <w:rsid w:val="00507992"/>
    <w:rsid w:val="00510140"/>
    <w:rsid w:val="005101F8"/>
    <w:rsid w:val="005119AD"/>
    <w:rsid w:val="005137DF"/>
    <w:rsid w:val="00517642"/>
    <w:rsid w:val="0052046E"/>
    <w:rsid w:val="0052108E"/>
    <w:rsid w:val="00524ABE"/>
    <w:rsid w:val="00524FD0"/>
    <w:rsid w:val="005252CE"/>
    <w:rsid w:val="0052536D"/>
    <w:rsid w:val="00525F40"/>
    <w:rsid w:val="00530E6F"/>
    <w:rsid w:val="00530F70"/>
    <w:rsid w:val="00531053"/>
    <w:rsid w:val="00531A9D"/>
    <w:rsid w:val="00531D17"/>
    <w:rsid w:val="00532607"/>
    <w:rsid w:val="00533293"/>
    <w:rsid w:val="0053368C"/>
    <w:rsid w:val="0053609F"/>
    <w:rsid w:val="005365BD"/>
    <w:rsid w:val="00537188"/>
    <w:rsid w:val="005372A1"/>
    <w:rsid w:val="00537337"/>
    <w:rsid w:val="005379BA"/>
    <w:rsid w:val="00537F4D"/>
    <w:rsid w:val="00540396"/>
    <w:rsid w:val="005405EE"/>
    <w:rsid w:val="00541028"/>
    <w:rsid w:val="0054154F"/>
    <w:rsid w:val="00541656"/>
    <w:rsid w:val="005422D6"/>
    <w:rsid w:val="005426E2"/>
    <w:rsid w:val="0054331B"/>
    <w:rsid w:val="00543FE4"/>
    <w:rsid w:val="005443CA"/>
    <w:rsid w:val="00545743"/>
    <w:rsid w:val="00545C69"/>
    <w:rsid w:val="00546624"/>
    <w:rsid w:val="005504F9"/>
    <w:rsid w:val="00552152"/>
    <w:rsid w:val="00553E3D"/>
    <w:rsid w:val="00555802"/>
    <w:rsid w:val="00555CF8"/>
    <w:rsid w:val="00556533"/>
    <w:rsid w:val="005569E6"/>
    <w:rsid w:val="0055716A"/>
    <w:rsid w:val="00561473"/>
    <w:rsid w:val="00561F21"/>
    <w:rsid w:val="00564A3E"/>
    <w:rsid w:val="00564B4A"/>
    <w:rsid w:val="00564B4B"/>
    <w:rsid w:val="00565488"/>
    <w:rsid w:val="005659DC"/>
    <w:rsid w:val="00565CF4"/>
    <w:rsid w:val="005706C9"/>
    <w:rsid w:val="00572DF6"/>
    <w:rsid w:val="00574D61"/>
    <w:rsid w:val="00576D94"/>
    <w:rsid w:val="00576E60"/>
    <w:rsid w:val="0057740D"/>
    <w:rsid w:val="005775F4"/>
    <w:rsid w:val="0058026E"/>
    <w:rsid w:val="00581982"/>
    <w:rsid w:val="00582492"/>
    <w:rsid w:val="005838BA"/>
    <w:rsid w:val="005842F4"/>
    <w:rsid w:val="005844B9"/>
    <w:rsid w:val="0058479B"/>
    <w:rsid w:val="005851D3"/>
    <w:rsid w:val="00585CB9"/>
    <w:rsid w:val="005862DB"/>
    <w:rsid w:val="00586D77"/>
    <w:rsid w:val="005879E6"/>
    <w:rsid w:val="00587A12"/>
    <w:rsid w:val="00587ADE"/>
    <w:rsid w:val="0059024C"/>
    <w:rsid w:val="00592418"/>
    <w:rsid w:val="00592830"/>
    <w:rsid w:val="00593054"/>
    <w:rsid w:val="00593D4B"/>
    <w:rsid w:val="00594D8F"/>
    <w:rsid w:val="00597988"/>
    <w:rsid w:val="00597EA4"/>
    <w:rsid w:val="00597F83"/>
    <w:rsid w:val="005A1696"/>
    <w:rsid w:val="005A35D6"/>
    <w:rsid w:val="005A3944"/>
    <w:rsid w:val="005A4D39"/>
    <w:rsid w:val="005A50F0"/>
    <w:rsid w:val="005A59F8"/>
    <w:rsid w:val="005A5B82"/>
    <w:rsid w:val="005A6592"/>
    <w:rsid w:val="005A6CD7"/>
    <w:rsid w:val="005A7378"/>
    <w:rsid w:val="005B0CAD"/>
    <w:rsid w:val="005B4848"/>
    <w:rsid w:val="005B4DE8"/>
    <w:rsid w:val="005B5D81"/>
    <w:rsid w:val="005B6495"/>
    <w:rsid w:val="005B6511"/>
    <w:rsid w:val="005B6A2E"/>
    <w:rsid w:val="005C012D"/>
    <w:rsid w:val="005C1C95"/>
    <w:rsid w:val="005C2361"/>
    <w:rsid w:val="005C4262"/>
    <w:rsid w:val="005C496C"/>
    <w:rsid w:val="005C4BDF"/>
    <w:rsid w:val="005C5772"/>
    <w:rsid w:val="005C68AD"/>
    <w:rsid w:val="005C7703"/>
    <w:rsid w:val="005C792E"/>
    <w:rsid w:val="005D0F01"/>
    <w:rsid w:val="005D165B"/>
    <w:rsid w:val="005D3884"/>
    <w:rsid w:val="005D63A5"/>
    <w:rsid w:val="005E0291"/>
    <w:rsid w:val="005E1036"/>
    <w:rsid w:val="005E1993"/>
    <w:rsid w:val="005E2848"/>
    <w:rsid w:val="005E2B67"/>
    <w:rsid w:val="005E4526"/>
    <w:rsid w:val="005E5527"/>
    <w:rsid w:val="005E552B"/>
    <w:rsid w:val="005E5779"/>
    <w:rsid w:val="005F0573"/>
    <w:rsid w:val="005F0F97"/>
    <w:rsid w:val="005F1EBA"/>
    <w:rsid w:val="005F3297"/>
    <w:rsid w:val="005F5BDC"/>
    <w:rsid w:val="005F60D7"/>
    <w:rsid w:val="005F7289"/>
    <w:rsid w:val="006003A8"/>
    <w:rsid w:val="006033D6"/>
    <w:rsid w:val="006039D4"/>
    <w:rsid w:val="006048D5"/>
    <w:rsid w:val="00604FA9"/>
    <w:rsid w:val="00605C2A"/>
    <w:rsid w:val="006061BB"/>
    <w:rsid w:val="00607AE6"/>
    <w:rsid w:val="0061125D"/>
    <w:rsid w:val="00611305"/>
    <w:rsid w:val="0061268B"/>
    <w:rsid w:val="00612BC4"/>
    <w:rsid w:val="00614362"/>
    <w:rsid w:val="00614EAB"/>
    <w:rsid w:val="00614F7C"/>
    <w:rsid w:val="0061517B"/>
    <w:rsid w:val="00620DB5"/>
    <w:rsid w:val="006214EC"/>
    <w:rsid w:val="006220D9"/>
    <w:rsid w:val="006225C9"/>
    <w:rsid w:val="00622F35"/>
    <w:rsid w:val="00623585"/>
    <w:rsid w:val="00623722"/>
    <w:rsid w:val="006247B6"/>
    <w:rsid w:val="00625E4D"/>
    <w:rsid w:val="00626202"/>
    <w:rsid w:val="0062662C"/>
    <w:rsid w:val="00626CFB"/>
    <w:rsid w:val="006277C1"/>
    <w:rsid w:val="006314EC"/>
    <w:rsid w:val="00634F27"/>
    <w:rsid w:val="0063505C"/>
    <w:rsid w:val="00635A93"/>
    <w:rsid w:val="00635F35"/>
    <w:rsid w:val="00637556"/>
    <w:rsid w:val="006378A4"/>
    <w:rsid w:val="00637EE9"/>
    <w:rsid w:val="00641C2D"/>
    <w:rsid w:val="00642BEA"/>
    <w:rsid w:val="00642EEC"/>
    <w:rsid w:val="006443BA"/>
    <w:rsid w:val="00644DCF"/>
    <w:rsid w:val="0064520E"/>
    <w:rsid w:val="006452AE"/>
    <w:rsid w:val="00647AF2"/>
    <w:rsid w:val="006500FE"/>
    <w:rsid w:val="00650459"/>
    <w:rsid w:val="00650CAD"/>
    <w:rsid w:val="00650FD5"/>
    <w:rsid w:val="0065154F"/>
    <w:rsid w:val="006522A3"/>
    <w:rsid w:val="00654F50"/>
    <w:rsid w:val="00655389"/>
    <w:rsid w:val="00656631"/>
    <w:rsid w:val="0065698A"/>
    <w:rsid w:val="00660B64"/>
    <w:rsid w:val="0066126A"/>
    <w:rsid w:val="00661533"/>
    <w:rsid w:val="00663967"/>
    <w:rsid w:val="00664FAF"/>
    <w:rsid w:val="00665671"/>
    <w:rsid w:val="006662FA"/>
    <w:rsid w:val="00666B0A"/>
    <w:rsid w:val="00666CED"/>
    <w:rsid w:val="00667538"/>
    <w:rsid w:val="00667EFC"/>
    <w:rsid w:val="00670D53"/>
    <w:rsid w:val="00671D89"/>
    <w:rsid w:val="006729C8"/>
    <w:rsid w:val="006768F4"/>
    <w:rsid w:val="00676A62"/>
    <w:rsid w:val="00676B9E"/>
    <w:rsid w:val="00680244"/>
    <w:rsid w:val="0068035E"/>
    <w:rsid w:val="0068231E"/>
    <w:rsid w:val="006832E9"/>
    <w:rsid w:val="006837B7"/>
    <w:rsid w:val="00683B7D"/>
    <w:rsid w:val="0068405E"/>
    <w:rsid w:val="00685C59"/>
    <w:rsid w:val="00685DA0"/>
    <w:rsid w:val="006874C6"/>
    <w:rsid w:val="006874C8"/>
    <w:rsid w:val="00687958"/>
    <w:rsid w:val="00687FA3"/>
    <w:rsid w:val="006903B2"/>
    <w:rsid w:val="00691490"/>
    <w:rsid w:val="00694C9B"/>
    <w:rsid w:val="00694F14"/>
    <w:rsid w:val="00696673"/>
    <w:rsid w:val="006A034C"/>
    <w:rsid w:val="006A147F"/>
    <w:rsid w:val="006A1849"/>
    <w:rsid w:val="006A5BC9"/>
    <w:rsid w:val="006B057B"/>
    <w:rsid w:val="006B24E3"/>
    <w:rsid w:val="006B2614"/>
    <w:rsid w:val="006B329B"/>
    <w:rsid w:val="006B3522"/>
    <w:rsid w:val="006B3B79"/>
    <w:rsid w:val="006B3E6A"/>
    <w:rsid w:val="006B3F43"/>
    <w:rsid w:val="006B642A"/>
    <w:rsid w:val="006B7593"/>
    <w:rsid w:val="006B7A90"/>
    <w:rsid w:val="006C1177"/>
    <w:rsid w:val="006C45C5"/>
    <w:rsid w:val="006C52A5"/>
    <w:rsid w:val="006C6870"/>
    <w:rsid w:val="006C6F72"/>
    <w:rsid w:val="006C7B7C"/>
    <w:rsid w:val="006C7CD9"/>
    <w:rsid w:val="006D0556"/>
    <w:rsid w:val="006D1313"/>
    <w:rsid w:val="006D1F0E"/>
    <w:rsid w:val="006D2B2A"/>
    <w:rsid w:val="006D2F81"/>
    <w:rsid w:val="006D3626"/>
    <w:rsid w:val="006D566B"/>
    <w:rsid w:val="006D5C7C"/>
    <w:rsid w:val="006D64F7"/>
    <w:rsid w:val="006D6FA5"/>
    <w:rsid w:val="006E037A"/>
    <w:rsid w:val="006E12E0"/>
    <w:rsid w:val="006E16AB"/>
    <w:rsid w:val="006E2D02"/>
    <w:rsid w:val="006E34C8"/>
    <w:rsid w:val="006E3608"/>
    <w:rsid w:val="006E3BE5"/>
    <w:rsid w:val="006E46DF"/>
    <w:rsid w:val="006E5D28"/>
    <w:rsid w:val="006E77F5"/>
    <w:rsid w:val="006F1189"/>
    <w:rsid w:val="006F11A6"/>
    <w:rsid w:val="006F1C3D"/>
    <w:rsid w:val="006F22D9"/>
    <w:rsid w:val="006F2AD9"/>
    <w:rsid w:val="006F2F04"/>
    <w:rsid w:val="006F435A"/>
    <w:rsid w:val="006F44FE"/>
    <w:rsid w:val="006F56B5"/>
    <w:rsid w:val="006F7368"/>
    <w:rsid w:val="00700098"/>
    <w:rsid w:val="0070052C"/>
    <w:rsid w:val="007012CD"/>
    <w:rsid w:val="007041B1"/>
    <w:rsid w:val="007045CA"/>
    <w:rsid w:val="0070490A"/>
    <w:rsid w:val="00705728"/>
    <w:rsid w:val="00705BE2"/>
    <w:rsid w:val="007104DF"/>
    <w:rsid w:val="00711315"/>
    <w:rsid w:val="00712E86"/>
    <w:rsid w:val="007135E6"/>
    <w:rsid w:val="0071367C"/>
    <w:rsid w:val="00715AF1"/>
    <w:rsid w:val="0071687A"/>
    <w:rsid w:val="007174F0"/>
    <w:rsid w:val="007176A3"/>
    <w:rsid w:val="007209D3"/>
    <w:rsid w:val="0072351F"/>
    <w:rsid w:val="00723FD7"/>
    <w:rsid w:val="007244EA"/>
    <w:rsid w:val="007246DB"/>
    <w:rsid w:val="0072511D"/>
    <w:rsid w:val="00725D62"/>
    <w:rsid w:val="0072734F"/>
    <w:rsid w:val="00727AA8"/>
    <w:rsid w:val="00730C08"/>
    <w:rsid w:val="00731CD9"/>
    <w:rsid w:val="0073304E"/>
    <w:rsid w:val="00736AED"/>
    <w:rsid w:val="00737181"/>
    <w:rsid w:val="007377E1"/>
    <w:rsid w:val="00741175"/>
    <w:rsid w:val="00742855"/>
    <w:rsid w:val="0074530E"/>
    <w:rsid w:val="007467B8"/>
    <w:rsid w:val="00746ECA"/>
    <w:rsid w:val="00746FDC"/>
    <w:rsid w:val="00750393"/>
    <w:rsid w:val="00750466"/>
    <w:rsid w:val="0075065D"/>
    <w:rsid w:val="00751715"/>
    <w:rsid w:val="0075192E"/>
    <w:rsid w:val="00751D2A"/>
    <w:rsid w:val="007521C5"/>
    <w:rsid w:val="00752A3E"/>
    <w:rsid w:val="007542C3"/>
    <w:rsid w:val="00754BAB"/>
    <w:rsid w:val="007573E1"/>
    <w:rsid w:val="0076125E"/>
    <w:rsid w:val="00761381"/>
    <w:rsid w:val="007633F8"/>
    <w:rsid w:val="007638D1"/>
    <w:rsid w:val="00763E6B"/>
    <w:rsid w:val="00764325"/>
    <w:rsid w:val="00770035"/>
    <w:rsid w:val="00771C6E"/>
    <w:rsid w:val="00773CD3"/>
    <w:rsid w:val="00773F3B"/>
    <w:rsid w:val="00774507"/>
    <w:rsid w:val="007753BD"/>
    <w:rsid w:val="00776C13"/>
    <w:rsid w:val="007773C8"/>
    <w:rsid w:val="00780F26"/>
    <w:rsid w:val="00781840"/>
    <w:rsid w:val="0078211F"/>
    <w:rsid w:val="0078276F"/>
    <w:rsid w:val="00783C8F"/>
    <w:rsid w:val="00785255"/>
    <w:rsid w:val="00785B28"/>
    <w:rsid w:val="00785F73"/>
    <w:rsid w:val="007864B2"/>
    <w:rsid w:val="007874E7"/>
    <w:rsid w:val="00787858"/>
    <w:rsid w:val="00791CE9"/>
    <w:rsid w:val="0079241D"/>
    <w:rsid w:val="0079349E"/>
    <w:rsid w:val="00793AEC"/>
    <w:rsid w:val="00794772"/>
    <w:rsid w:val="00794783"/>
    <w:rsid w:val="00795A1C"/>
    <w:rsid w:val="00795CDC"/>
    <w:rsid w:val="00795E36"/>
    <w:rsid w:val="00796596"/>
    <w:rsid w:val="00796B5E"/>
    <w:rsid w:val="00796BE8"/>
    <w:rsid w:val="0079715A"/>
    <w:rsid w:val="00797FC3"/>
    <w:rsid w:val="007A128F"/>
    <w:rsid w:val="007A2283"/>
    <w:rsid w:val="007A238F"/>
    <w:rsid w:val="007A2546"/>
    <w:rsid w:val="007A2A58"/>
    <w:rsid w:val="007A35CD"/>
    <w:rsid w:val="007A3EDA"/>
    <w:rsid w:val="007A4941"/>
    <w:rsid w:val="007A5BC5"/>
    <w:rsid w:val="007A621F"/>
    <w:rsid w:val="007A7E9B"/>
    <w:rsid w:val="007B0098"/>
    <w:rsid w:val="007B03EE"/>
    <w:rsid w:val="007B0945"/>
    <w:rsid w:val="007B0B31"/>
    <w:rsid w:val="007B1009"/>
    <w:rsid w:val="007B1B62"/>
    <w:rsid w:val="007B2503"/>
    <w:rsid w:val="007B2769"/>
    <w:rsid w:val="007B2B22"/>
    <w:rsid w:val="007B3300"/>
    <w:rsid w:val="007B3D04"/>
    <w:rsid w:val="007B3FBD"/>
    <w:rsid w:val="007B40A4"/>
    <w:rsid w:val="007B53CB"/>
    <w:rsid w:val="007B5D14"/>
    <w:rsid w:val="007B6036"/>
    <w:rsid w:val="007B733A"/>
    <w:rsid w:val="007B7AC6"/>
    <w:rsid w:val="007B7E94"/>
    <w:rsid w:val="007C052E"/>
    <w:rsid w:val="007C0E83"/>
    <w:rsid w:val="007C13F1"/>
    <w:rsid w:val="007C16EA"/>
    <w:rsid w:val="007C32DC"/>
    <w:rsid w:val="007C6008"/>
    <w:rsid w:val="007C6B64"/>
    <w:rsid w:val="007C7166"/>
    <w:rsid w:val="007C78D7"/>
    <w:rsid w:val="007C7C56"/>
    <w:rsid w:val="007C7D30"/>
    <w:rsid w:val="007D1043"/>
    <w:rsid w:val="007D2EBF"/>
    <w:rsid w:val="007D2F25"/>
    <w:rsid w:val="007D34A5"/>
    <w:rsid w:val="007D48E9"/>
    <w:rsid w:val="007D4B17"/>
    <w:rsid w:val="007D4DC3"/>
    <w:rsid w:val="007D4F85"/>
    <w:rsid w:val="007D5546"/>
    <w:rsid w:val="007D5AC9"/>
    <w:rsid w:val="007D5C97"/>
    <w:rsid w:val="007D7618"/>
    <w:rsid w:val="007D7C36"/>
    <w:rsid w:val="007D7EC2"/>
    <w:rsid w:val="007E0A04"/>
    <w:rsid w:val="007E1863"/>
    <w:rsid w:val="007E1DC4"/>
    <w:rsid w:val="007E3526"/>
    <w:rsid w:val="007E3E31"/>
    <w:rsid w:val="007E58FB"/>
    <w:rsid w:val="007E5C7E"/>
    <w:rsid w:val="007E5FD5"/>
    <w:rsid w:val="007E6402"/>
    <w:rsid w:val="007F0056"/>
    <w:rsid w:val="007F069B"/>
    <w:rsid w:val="007F1B43"/>
    <w:rsid w:val="007F2DDB"/>
    <w:rsid w:val="007F3255"/>
    <w:rsid w:val="007F5C34"/>
    <w:rsid w:val="007F7644"/>
    <w:rsid w:val="00800850"/>
    <w:rsid w:val="00801E21"/>
    <w:rsid w:val="0080219D"/>
    <w:rsid w:val="0080317A"/>
    <w:rsid w:val="008035A6"/>
    <w:rsid w:val="008058D5"/>
    <w:rsid w:val="00805C49"/>
    <w:rsid w:val="00807CAD"/>
    <w:rsid w:val="00810940"/>
    <w:rsid w:val="00810979"/>
    <w:rsid w:val="00811778"/>
    <w:rsid w:val="00812FB3"/>
    <w:rsid w:val="0081471C"/>
    <w:rsid w:val="00815F40"/>
    <w:rsid w:val="00817622"/>
    <w:rsid w:val="008177DD"/>
    <w:rsid w:val="00817CF4"/>
    <w:rsid w:val="00817D0B"/>
    <w:rsid w:val="00820F85"/>
    <w:rsid w:val="00821FA7"/>
    <w:rsid w:val="00823316"/>
    <w:rsid w:val="008245C7"/>
    <w:rsid w:val="008246F1"/>
    <w:rsid w:val="008251F8"/>
    <w:rsid w:val="00825497"/>
    <w:rsid w:val="008256F5"/>
    <w:rsid w:val="00826987"/>
    <w:rsid w:val="00826EEE"/>
    <w:rsid w:val="00827F85"/>
    <w:rsid w:val="0083053D"/>
    <w:rsid w:val="00830AE0"/>
    <w:rsid w:val="00830D01"/>
    <w:rsid w:val="00831977"/>
    <w:rsid w:val="00832EEF"/>
    <w:rsid w:val="00833A7F"/>
    <w:rsid w:val="008345B4"/>
    <w:rsid w:val="00835704"/>
    <w:rsid w:val="00836DF6"/>
    <w:rsid w:val="00837532"/>
    <w:rsid w:val="0084012D"/>
    <w:rsid w:val="00840D83"/>
    <w:rsid w:val="00840E42"/>
    <w:rsid w:val="0084242B"/>
    <w:rsid w:val="00844488"/>
    <w:rsid w:val="008450B0"/>
    <w:rsid w:val="0084521A"/>
    <w:rsid w:val="00845CFF"/>
    <w:rsid w:val="00845E25"/>
    <w:rsid w:val="008471AD"/>
    <w:rsid w:val="00847557"/>
    <w:rsid w:val="008501D5"/>
    <w:rsid w:val="0085025A"/>
    <w:rsid w:val="008510ED"/>
    <w:rsid w:val="00851BFD"/>
    <w:rsid w:val="008525FC"/>
    <w:rsid w:val="00852893"/>
    <w:rsid w:val="00853A4C"/>
    <w:rsid w:val="0085613F"/>
    <w:rsid w:val="008575C3"/>
    <w:rsid w:val="00857EFC"/>
    <w:rsid w:val="00860781"/>
    <w:rsid w:val="00860D44"/>
    <w:rsid w:val="008616EB"/>
    <w:rsid w:val="00861E38"/>
    <w:rsid w:val="008623B4"/>
    <w:rsid w:val="008637E8"/>
    <w:rsid w:val="00864121"/>
    <w:rsid w:val="00864AFF"/>
    <w:rsid w:val="008651A0"/>
    <w:rsid w:val="008656FC"/>
    <w:rsid w:val="00867F66"/>
    <w:rsid w:val="00870FB9"/>
    <w:rsid w:val="0087119F"/>
    <w:rsid w:val="008716F8"/>
    <w:rsid w:val="00871FBE"/>
    <w:rsid w:val="00871FEC"/>
    <w:rsid w:val="0087301E"/>
    <w:rsid w:val="00875B2F"/>
    <w:rsid w:val="00881A37"/>
    <w:rsid w:val="00881B52"/>
    <w:rsid w:val="0088294B"/>
    <w:rsid w:val="00882ABE"/>
    <w:rsid w:val="00882FF7"/>
    <w:rsid w:val="00885030"/>
    <w:rsid w:val="008850D8"/>
    <w:rsid w:val="00885565"/>
    <w:rsid w:val="00886188"/>
    <w:rsid w:val="0089091B"/>
    <w:rsid w:val="00891D7B"/>
    <w:rsid w:val="00893460"/>
    <w:rsid w:val="008937D1"/>
    <w:rsid w:val="008938FC"/>
    <w:rsid w:val="00893B7C"/>
    <w:rsid w:val="00895AE8"/>
    <w:rsid w:val="00897940"/>
    <w:rsid w:val="00897D49"/>
    <w:rsid w:val="008A1EAA"/>
    <w:rsid w:val="008A251E"/>
    <w:rsid w:val="008A2588"/>
    <w:rsid w:val="008A3FE1"/>
    <w:rsid w:val="008A4186"/>
    <w:rsid w:val="008A45B4"/>
    <w:rsid w:val="008A5475"/>
    <w:rsid w:val="008A6501"/>
    <w:rsid w:val="008A7876"/>
    <w:rsid w:val="008B1424"/>
    <w:rsid w:val="008B17FD"/>
    <w:rsid w:val="008B298A"/>
    <w:rsid w:val="008B3EA4"/>
    <w:rsid w:val="008B4516"/>
    <w:rsid w:val="008B6014"/>
    <w:rsid w:val="008C24B9"/>
    <w:rsid w:val="008C4211"/>
    <w:rsid w:val="008C6991"/>
    <w:rsid w:val="008C6BB6"/>
    <w:rsid w:val="008D018E"/>
    <w:rsid w:val="008D14C4"/>
    <w:rsid w:val="008D2753"/>
    <w:rsid w:val="008D6454"/>
    <w:rsid w:val="008E09E2"/>
    <w:rsid w:val="008E0B35"/>
    <w:rsid w:val="008E0D1F"/>
    <w:rsid w:val="008E165B"/>
    <w:rsid w:val="008E2B5E"/>
    <w:rsid w:val="008E310F"/>
    <w:rsid w:val="008E35F7"/>
    <w:rsid w:val="008E4857"/>
    <w:rsid w:val="008E4D98"/>
    <w:rsid w:val="008E560D"/>
    <w:rsid w:val="008E5B13"/>
    <w:rsid w:val="008E6B33"/>
    <w:rsid w:val="008E7273"/>
    <w:rsid w:val="008E7594"/>
    <w:rsid w:val="008F0BC5"/>
    <w:rsid w:val="008F2A6D"/>
    <w:rsid w:val="008F4C78"/>
    <w:rsid w:val="008F6DEF"/>
    <w:rsid w:val="008F6F9A"/>
    <w:rsid w:val="008F7FBB"/>
    <w:rsid w:val="00900826"/>
    <w:rsid w:val="00901475"/>
    <w:rsid w:val="00901499"/>
    <w:rsid w:val="00901B3A"/>
    <w:rsid w:val="00902873"/>
    <w:rsid w:val="009038F8"/>
    <w:rsid w:val="00904B3E"/>
    <w:rsid w:val="009051E3"/>
    <w:rsid w:val="009053BF"/>
    <w:rsid w:val="00905BBD"/>
    <w:rsid w:val="00906F5D"/>
    <w:rsid w:val="00907913"/>
    <w:rsid w:val="00911A77"/>
    <w:rsid w:val="00911D89"/>
    <w:rsid w:val="00912AD3"/>
    <w:rsid w:val="00913B4F"/>
    <w:rsid w:val="00915C6A"/>
    <w:rsid w:val="00916164"/>
    <w:rsid w:val="009200C9"/>
    <w:rsid w:val="00920CF2"/>
    <w:rsid w:val="009250B4"/>
    <w:rsid w:val="009268BB"/>
    <w:rsid w:val="009269FE"/>
    <w:rsid w:val="00926C76"/>
    <w:rsid w:val="00927E23"/>
    <w:rsid w:val="009309AD"/>
    <w:rsid w:val="00932096"/>
    <w:rsid w:val="00932645"/>
    <w:rsid w:val="00933A6D"/>
    <w:rsid w:val="00934621"/>
    <w:rsid w:val="009353CE"/>
    <w:rsid w:val="009355FB"/>
    <w:rsid w:val="00936588"/>
    <w:rsid w:val="00941431"/>
    <w:rsid w:val="00943BC4"/>
    <w:rsid w:val="00943C9F"/>
    <w:rsid w:val="00945340"/>
    <w:rsid w:val="0094579A"/>
    <w:rsid w:val="00945BE9"/>
    <w:rsid w:val="0094723D"/>
    <w:rsid w:val="00947AAE"/>
    <w:rsid w:val="0095007F"/>
    <w:rsid w:val="009504A7"/>
    <w:rsid w:val="00950570"/>
    <w:rsid w:val="00950D2E"/>
    <w:rsid w:val="00950EF9"/>
    <w:rsid w:val="00951085"/>
    <w:rsid w:val="009529DE"/>
    <w:rsid w:val="00952B4B"/>
    <w:rsid w:val="00952D36"/>
    <w:rsid w:val="00954052"/>
    <w:rsid w:val="00954A26"/>
    <w:rsid w:val="00955E7A"/>
    <w:rsid w:val="00956A76"/>
    <w:rsid w:val="00956D00"/>
    <w:rsid w:val="00957E68"/>
    <w:rsid w:val="009600B4"/>
    <w:rsid w:val="00960A4F"/>
    <w:rsid w:val="00961E3E"/>
    <w:rsid w:val="0096460C"/>
    <w:rsid w:val="00964FDB"/>
    <w:rsid w:val="00965EA4"/>
    <w:rsid w:val="009669AE"/>
    <w:rsid w:val="0096788E"/>
    <w:rsid w:val="0097015C"/>
    <w:rsid w:val="009716C7"/>
    <w:rsid w:val="00972A7F"/>
    <w:rsid w:val="00972B9F"/>
    <w:rsid w:val="0097514F"/>
    <w:rsid w:val="00976EB2"/>
    <w:rsid w:val="00980A82"/>
    <w:rsid w:val="00983863"/>
    <w:rsid w:val="00984150"/>
    <w:rsid w:val="00984BA9"/>
    <w:rsid w:val="009853B3"/>
    <w:rsid w:val="00985C75"/>
    <w:rsid w:val="00985E12"/>
    <w:rsid w:val="00986482"/>
    <w:rsid w:val="00990E6D"/>
    <w:rsid w:val="0099299A"/>
    <w:rsid w:val="00992C14"/>
    <w:rsid w:val="009932AC"/>
    <w:rsid w:val="009935E0"/>
    <w:rsid w:val="00994109"/>
    <w:rsid w:val="00994BE7"/>
    <w:rsid w:val="009961B1"/>
    <w:rsid w:val="00997E49"/>
    <w:rsid w:val="009A149B"/>
    <w:rsid w:val="009A2A99"/>
    <w:rsid w:val="009A2CE7"/>
    <w:rsid w:val="009A320C"/>
    <w:rsid w:val="009A37FF"/>
    <w:rsid w:val="009A3FAB"/>
    <w:rsid w:val="009A5733"/>
    <w:rsid w:val="009A64F4"/>
    <w:rsid w:val="009A74CD"/>
    <w:rsid w:val="009B19C2"/>
    <w:rsid w:val="009B263A"/>
    <w:rsid w:val="009C06AD"/>
    <w:rsid w:val="009C08E5"/>
    <w:rsid w:val="009C115B"/>
    <w:rsid w:val="009C23F7"/>
    <w:rsid w:val="009C281A"/>
    <w:rsid w:val="009C52B3"/>
    <w:rsid w:val="009C5B09"/>
    <w:rsid w:val="009C6487"/>
    <w:rsid w:val="009C6808"/>
    <w:rsid w:val="009C6D9E"/>
    <w:rsid w:val="009C6E8D"/>
    <w:rsid w:val="009C712B"/>
    <w:rsid w:val="009C79F1"/>
    <w:rsid w:val="009D03A8"/>
    <w:rsid w:val="009D4A6D"/>
    <w:rsid w:val="009D66AD"/>
    <w:rsid w:val="009D6892"/>
    <w:rsid w:val="009D7D16"/>
    <w:rsid w:val="009E1AC4"/>
    <w:rsid w:val="009E2A6E"/>
    <w:rsid w:val="009E3A2C"/>
    <w:rsid w:val="009E3E3E"/>
    <w:rsid w:val="009E3F9E"/>
    <w:rsid w:val="009E5EC9"/>
    <w:rsid w:val="009E641F"/>
    <w:rsid w:val="009E6AF8"/>
    <w:rsid w:val="009F0BAF"/>
    <w:rsid w:val="009F18AC"/>
    <w:rsid w:val="009F4734"/>
    <w:rsid w:val="009F5065"/>
    <w:rsid w:val="009F5B3A"/>
    <w:rsid w:val="009F6544"/>
    <w:rsid w:val="009F6735"/>
    <w:rsid w:val="00A00131"/>
    <w:rsid w:val="00A00FE3"/>
    <w:rsid w:val="00A026F0"/>
    <w:rsid w:val="00A02AAD"/>
    <w:rsid w:val="00A115B7"/>
    <w:rsid w:val="00A11612"/>
    <w:rsid w:val="00A12F33"/>
    <w:rsid w:val="00A13078"/>
    <w:rsid w:val="00A133D5"/>
    <w:rsid w:val="00A133F8"/>
    <w:rsid w:val="00A1663F"/>
    <w:rsid w:val="00A16A50"/>
    <w:rsid w:val="00A16B90"/>
    <w:rsid w:val="00A17C44"/>
    <w:rsid w:val="00A203BB"/>
    <w:rsid w:val="00A21298"/>
    <w:rsid w:val="00A2309D"/>
    <w:rsid w:val="00A230BD"/>
    <w:rsid w:val="00A23EBF"/>
    <w:rsid w:val="00A24D2A"/>
    <w:rsid w:val="00A25E81"/>
    <w:rsid w:val="00A30716"/>
    <w:rsid w:val="00A3137D"/>
    <w:rsid w:val="00A31968"/>
    <w:rsid w:val="00A31AEF"/>
    <w:rsid w:val="00A31CAD"/>
    <w:rsid w:val="00A31E8C"/>
    <w:rsid w:val="00A323C4"/>
    <w:rsid w:val="00A33F36"/>
    <w:rsid w:val="00A34396"/>
    <w:rsid w:val="00A35A16"/>
    <w:rsid w:val="00A35D21"/>
    <w:rsid w:val="00A37D9E"/>
    <w:rsid w:val="00A40108"/>
    <w:rsid w:val="00A41578"/>
    <w:rsid w:val="00A41C49"/>
    <w:rsid w:val="00A437A4"/>
    <w:rsid w:val="00A43F25"/>
    <w:rsid w:val="00A43F8A"/>
    <w:rsid w:val="00A44B6F"/>
    <w:rsid w:val="00A44D0B"/>
    <w:rsid w:val="00A4584B"/>
    <w:rsid w:val="00A45B1E"/>
    <w:rsid w:val="00A45C61"/>
    <w:rsid w:val="00A464CB"/>
    <w:rsid w:val="00A52723"/>
    <w:rsid w:val="00A52A23"/>
    <w:rsid w:val="00A53B49"/>
    <w:rsid w:val="00A54CB5"/>
    <w:rsid w:val="00A55739"/>
    <w:rsid w:val="00A56395"/>
    <w:rsid w:val="00A56A6B"/>
    <w:rsid w:val="00A57B70"/>
    <w:rsid w:val="00A62106"/>
    <w:rsid w:val="00A627F2"/>
    <w:rsid w:val="00A63DCE"/>
    <w:rsid w:val="00A65C64"/>
    <w:rsid w:val="00A65E43"/>
    <w:rsid w:val="00A66D60"/>
    <w:rsid w:val="00A70400"/>
    <w:rsid w:val="00A71499"/>
    <w:rsid w:val="00A71C0C"/>
    <w:rsid w:val="00A736C0"/>
    <w:rsid w:val="00A73868"/>
    <w:rsid w:val="00A74CC4"/>
    <w:rsid w:val="00A75297"/>
    <w:rsid w:val="00A76AAC"/>
    <w:rsid w:val="00A77B4F"/>
    <w:rsid w:val="00A77E20"/>
    <w:rsid w:val="00A814D4"/>
    <w:rsid w:val="00A820FF"/>
    <w:rsid w:val="00A8246E"/>
    <w:rsid w:val="00A825F7"/>
    <w:rsid w:val="00A82613"/>
    <w:rsid w:val="00A83205"/>
    <w:rsid w:val="00A835A1"/>
    <w:rsid w:val="00A85722"/>
    <w:rsid w:val="00A8624F"/>
    <w:rsid w:val="00A90DD1"/>
    <w:rsid w:val="00A92D9F"/>
    <w:rsid w:val="00A940F3"/>
    <w:rsid w:val="00A944A6"/>
    <w:rsid w:val="00A94C99"/>
    <w:rsid w:val="00A94F48"/>
    <w:rsid w:val="00A95AD4"/>
    <w:rsid w:val="00A97492"/>
    <w:rsid w:val="00AA0649"/>
    <w:rsid w:val="00AA0BA2"/>
    <w:rsid w:val="00AA140E"/>
    <w:rsid w:val="00AA195F"/>
    <w:rsid w:val="00AA2FE2"/>
    <w:rsid w:val="00AA30B9"/>
    <w:rsid w:val="00AA465D"/>
    <w:rsid w:val="00AA49BD"/>
    <w:rsid w:val="00AA4AF4"/>
    <w:rsid w:val="00AA58F9"/>
    <w:rsid w:val="00AA5D5F"/>
    <w:rsid w:val="00AA63AA"/>
    <w:rsid w:val="00AA6688"/>
    <w:rsid w:val="00AA680C"/>
    <w:rsid w:val="00AB021D"/>
    <w:rsid w:val="00AB1923"/>
    <w:rsid w:val="00AB1AE7"/>
    <w:rsid w:val="00AB1F86"/>
    <w:rsid w:val="00AB3269"/>
    <w:rsid w:val="00AB4CCF"/>
    <w:rsid w:val="00AB684A"/>
    <w:rsid w:val="00AB6934"/>
    <w:rsid w:val="00AB72FF"/>
    <w:rsid w:val="00AB7DE5"/>
    <w:rsid w:val="00AC1303"/>
    <w:rsid w:val="00AC199A"/>
    <w:rsid w:val="00AC3C50"/>
    <w:rsid w:val="00AC4D18"/>
    <w:rsid w:val="00AC7E98"/>
    <w:rsid w:val="00AD163A"/>
    <w:rsid w:val="00AD3059"/>
    <w:rsid w:val="00AD3AAA"/>
    <w:rsid w:val="00AD4038"/>
    <w:rsid w:val="00AD505B"/>
    <w:rsid w:val="00AD52BF"/>
    <w:rsid w:val="00AD555A"/>
    <w:rsid w:val="00AD567B"/>
    <w:rsid w:val="00AD5F15"/>
    <w:rsid w:val="00AD61F7"/>
    <w:rsid w:val="00AD6A42"/>
    <w:rsid w:val="00AD6E24"/>
    <w:rsid w:val="00AE1161"/>
    <w:rsid w:val="00AE3D92"/>
    <w:rsid w:val="00AE46AA"/>
    <w:rsid w:val="00AE498C"/>
    <w:rsid w:val="00AE6FD9"/>
    <w:rsid w:val="00AE7091"/>
    <w:rsid w:val="00AE75D9"/>
    <w:rsid w:val="00AE7869"/>
    <w:rsid w:val="00AE7FB3"/>
    <w:rsid w:val="00AF2D76"/>
    <w:rsid w:val="00AF34A1"/>
    <w:rsid w:val="00AF4432"/>
    <w:rsid w:val="00AF5D62"/>
    <w:rsid w:val="00AF6677"/>
    <w:rsid w:val="00AF6C6D"/>
    <w:rsid w:val="00AF7490"/>
    <w:rsid w:val="00B00620"/>
    <w:rsid w:val="00B012C5"/>
    <w:rsid w:val="00B0211C"/>
    <w:rsid w:val="00B05380"/>
    <w:rsid w:val="00B05AED"/>
    <w:rsid w:val="00B05C50"/>
    <w:rsid w:val="00B1020C"/>
    <w:rsid w:val="00B10399"/>
    <w:rsid w:val="00B10B9C"/>
    <w:rsid w:val="00B1108B"/>
    <w:rsid w:val="00B11FFB"/>
    <w:rsid w:val="00B1282E"/>
    <w:rsid w:val="00B12A50"/>
    <w:rsid w:val="00B14D5C"/>
    <w:rsid w:val="00B1509D"/>
    <w:rsid w:val="00B15368"/>
    <w:rsid w:val="00B15537"/>
    <w:rsid w:val="00B159B8"/>
    <w:rsid w:val="00B20A2A"/>
    <w:rsid w:val="00B22DE1"/>
    <w:rsid w:val="00B22F13"/>
    <w:rsid w:val="00B233CA"/>
    <w:rsid w:val="00B238F0"/>
    <w:rsid w:val="00B23AAD"/>
    <w:rsid w:val="00B24658"/>
    <w:rsid w:val="00B25719"/>
    <w:rsid w:val="00B2646C"/>
    <w:rsid w:val="00B26AB1"/>
    <w:rsid w:val="00B303FA"/>
    <w:rsid w:val="00B31BE5"/>
    <w:rsid w:val="00B34E1C"/>
    <w:rsid w:val="00B354A6"/>
    <w:rsid w:val="00B356C1"/>
    <w:rsid w:val="00B35B15"/>
    <w:rsid w:val="00B36961"/>
    <w:rsid w:val="00B36CC6"/>
    <w:rsid w:val="00B37BEB"/>
    <w:rsid w:val="00B40E5B"/>
    <w:rsid w:val="00B40EE8"/>
    <w:rsid w:val="00B41D5A"/>
    <w:rsid w:val="00B42126"/>
    <w:rsid w:val="00B422F8"/>
    <w:rsid w:val="00B439E7"/>
    <w:rsid w:val="00B44064"/>
    <w:rsid w:val="00B444AE"/>
    <w:rsid w:val="00B5061D"/>
    <w:rsid w:val="00B51101"/>
    <w:rsid w:val="00B51647"/>
    <w:rsid w:val="00B51AB0"/>
    <w:rsid w:val="00B53228"/>
    <w:rsid w:val="00B55FC1"/>
    <w:rsid w:val="00B56146"/>
    <w:rsid w:val="00B561E1"/>
    <w:rsid w:val="00B62019"/>
    <w:rsid w:val="00B64E64"/>
    <w:rsid w:val="00B650F0"/>
    <w:rsid w:val="00B664D0"/>
    <w:rsid w:val="00B67C0F"/>
    <w:rsid w:val="00B70B1D"/>
    <w:rsid w:val="00B71913"/>
    <w:rsid w:val="00B742C8"/>
    <w:rsid w:val="00B74AF0"/>
    <w:rsid w:val="00B75874"/>
    <w:rsid w:val="00B76501"/>
    <w:rsid w:val="00B76BEB"/>
    <w:rsid w:val="00B81066"/>
    <w:rsid w:val="00B822CB"/>
    <w:rsid w:val="00B829B4"/>
    <w:rsid w:val="00B8395C"/>
    <w:rsid w:val="00B84FC0"/>
    <w:rsid w:val="00B857E1"/>
    <w:rsid w:val="00B85E2D"/>
    <w:rsid w:val="00B85E36"/>
    <w:rsid w:val="00B90837"/>
    <w:rsid w:val="00B911FF"/>
    <w:rsid w:val="00B91CE2"/>
    <w:rsid w:val="00B94C9D"/>
    <w:rsid w:val="00B959C0"/>
    <w:rsid w:val="00B95B85"/>
    <w:rsid w:val="00B95B97"/>
    <w:rsid w:val="00B96595"/>
    <w:rsid w:val="00BA083E"/>
    <w:rsid w:val="00BA1278"/>
    <w:rsid w:val="00BA1D5E"/>
    <w:rsid w:val="00BA4CB3"/>
    <w:rsid w:val="00BA66B0"/>
    <w:rsid w:val="00BA767D"/>
    <w:rsid w:val="00BA7812"/>
    <w:rsid w:val="00BA7BB5"/>
    <w:rsid w:val="00BB0D74"/>
    <w:rsid w:val="00BB1B56"/>
    <w:rsid w:val="00BB1E60"/>
    <w:rsid w:val="00BB2778"/>
    <w:rsid w:val="00BB2D07"/>
    <w:rsid w:val="00BB3780"/>
    <w:rsid w:val="00BB4148"/>
    <w:rsid w:val="00BB474C"/>
    <w:rsid w:val="00BB4E34"/>
    <w:rsid w:val="00BB7258"/>
    <w:rsid w:val="00BB7C31"/>
    <w:rsid w:val="00BC0494"/>
    <w:rsid w:val="00BC050D"/>
    <w:rsid w:val="00BC076F"/>
    <w:rsid w:val="00BC0A69"/>
    <w:rsid w:val="00BC19F4"/>
    <w:rsid w:val="00BC53E3"/>
    <w:rsid w:val="00BC5D7F"/>
    <w:rsid w:val="00BC5DC6"/>
    <w:rsid w:val="00BC61A4"/>
    <w:rsid w:val="00BC6AEB"/>
    <w:rsid w:val="00BC7BBA"/>
    <w:rsid w:val="00BD165E"/>
    <w:rsid w:val="00BD5E0E"/>
    <w:rsid w:val="00BD6943"/>
    <w:rsid w:val="00BE1315"/>
    <w:rsid w:val="00BE18FD"/>
    <w:rsid w:val="00BE1B3C"/>
    <w:rsid w:val="00BE2526"/>
    <w:rsid w:val="00BE25CA"/>
    <w:rsid w:val="00BE2795"/>
    <w:rsid w:val="00BE2FAD"/>
    <w:rsid w:val="00BE3A57"/>
    <w:rsid w:val="00BE5324"/>
    <w:rsid w:val="00BE570A"/>
    <w:rsid w:val="00BE76A3"/>
    <w:rsid w:val="00BE7F03"/>
    <w:rsid w:val="00BE7FFA"/>
    <w:rsid w:val="00BF044E"/>
    <w:rsid w:val="00BF06E3"/>
    <w:rsid w:val="00BF12CB"/>
    <w:rsid w:val="00BF2135"/>
    <w:rsid w:val="00BF2CE5"/>
    <w:rsid w:val="00BF2ED7"/>
    <w:rsid w:val="00BF2FD0"/>
    <w:rsid w:val="00BF40CC"/>
    <w:rsid w:val="00BF4722"/>
    <w:rsid w:val="00BF68E1"/>
    <w:rsid w:val="00BF7CD0"/>
    <w:rsid w:val="00BF7D71"/>
    <w:rsid w:val="00C01175"/>
    <w:rsid w:val="00C016D9"/>
    <w:rsid w:val="00C02E8D"/>
    <w:rsid w:val="00C0338C"/>
    <w:rsid w:val="00C04F8A"/>
    <w:rsid w:val="00C050A9"/>
    <w:rsid w:val="00C05F80"/>
    <w:rsid w:val="00C06322"/>
    <w:rsid w:val="00C06635"/>
    <w:rsid w:val="00C06C69"/>
    <w:rsid w:val="00C101B2"/>
    <w:rsid w:val="00C103CF"/>
    <w:rsid w:val="00C10ED3"/>
    <w:rsid w:val="00C11A16"/>
    <w:rsid w:val="00C11EB9"/>
    <w:rsid w:val="00C135F3"/>
    <w:rsid w:val="00C13CCA"/>
    <w:rsid w:val="00C14543"/>
    <w:rsid w:val="00C14A36"/>
    <w:rsid w:val="00C156F5"/>
    <w:rsid w:val="00C17DBD"/>
    <w:rsid w:val="00C213E2"/>
    <w:rsid w:val="00C21A3B"/>
    <w:rsid w:val="00C228F5"/>
    <w:rsid w:val="00C238B2"/>
    <w:rsid w:val="00C274F6"/>
    <w:rsid w:val="00C309B6"/>
    <w:rsid w:val="00C30C65"/>
    <w:rsid w:val="00C31175"/>
    <w:rsid w:val="00C32C3C"/>
    <w:rsid w:val="00C345AA"/>
    <w:rsid w:val="00C348AA"/>
    <w:rsid w:val="00C34A96"/>
    <w:rsid w:val="00C34D32"/>
    <w:rsid w:val="00C36240"/>
    <w:rsid w:val="00C3671D"/>
    <w:rsid w:val="00C36748"/>
    <w:rsid w:val="00C3712C"/>
    <w:rsid w:val="00C403A7"/>
    <w:rsid w:val="00C42D0C"/>
    <w:rsid w:val="00C43056"/>
    <w:rsid w:val="00C43420"/>
    <w:rsid w:val="00C43892"/>
    <w:rsid w:val="00C460FD"/>
    <w:rsid w:val="00C479EA"/>
    <w:rsid w:val="00C47B33"/>
    <w:rsid w:val="00C52B9E"/>
    <w:rsid w:val="00C54532"/>
    <w:rsid w:val="00C55041"/>
    <w:rsid w:val="00C57177"/>
    <w:rsid w:val="00C57A64"/>
    <w:rsid w:val="00C57E4D"/>
    <w:rsid w:val="00C60BB4"/>
    <w:rsid w:val="00C61BAD"/>
    <w:rsid w:val="00C62845"/>
    <w:rsid w:val="00C63135"/>
    <w:rsid w:val="00C6337F"/>
    <w:rsid w:val="00C6424A"/>
    <w:rsid w:val="00C648E1"/>
    <w:rsid w:val="00C65322"/>
    <w:rsid w:val="00C66C5C"/>
    <w:rsid w:val="00C66E69"/>
    <w:rsid w:val="00C67261"/>
    <w:rsid w:val="00C701D4"/>
    <w:rsid w:val="00C704B7"/>
    <w:rsid w:val="00C70A78"/>
    <w:rsid w:val="00C71074"/>
    <w:rsid w:val="00C73103"/>
    <w:rsid w:val="00C75C05"/>
    <w:rsid w:val="00C764B8"/>
    <w:rsid w:val="00C803B7"/>
    <w:rsid w:val="00C80574"/>
    <w:rsid w:val="00C8060D"/>
    <w:rsid w:val="00C81D88"/>
    <w:rsid w:val="00C8237E"/>
    <w:rsid w:val="00C84549"/>
    <w:rsid w:val="00C84636"/>
    <w:rsid w:val="00C84852"/>
    <w:rsid w:val="00C84E4A"/>
    <w:rsid w:val="00C8590E"/>
    <w:rsid w:val="00C859B1"/>
    <w:rsid w:val="00C86A50"/>
    <w:rsid w:val="00C87ECB"/>
    <w:rsid w:val="00C90A10"/>
    <w:rsid w:val="00C921CB"/>
    <w:rsid w:val="00C938A7"/>
    <w:rsid w:val="00C939DC"/>
    <w:rsid w:val="00C93C0A"/>
    <w:rsid w:val="00C93DB3"/>
    <w:rsid w:val="00C9418E"/>
    <w:rsid w:val="00C950B3"/>
    <w:rsid w:val="00C956D9"/>
    <w:rsid w:val="00C96197"/>
    <w:rsid w:val="00CA0060"/>
    <w:rsid w:val="00CA24EE"/>
    <w:rsid w:val="00CA27E6"/>
    <w:rsid w:val="00CA2AD0"/>
    <w:rsid w:val="00CA385B"/>
    <w:rsid w:val="00CA43AC"/>
    <w:rsid w:val="00CA47E8"/>
    <w:rsid w:val="00CA494C"/>
    <w:rsid w:val="00CA4F25"/>
    <w:rsid w:val="00CA537F"/>
    <w:rsid w:val="00CA6E01"/>
    <w:rsid w:val="00CA719E"/>
    <w:rsid w:val="00CA7553"/>
    <w:rsid w:val="00CB05B1"/>
    <w:rsid w:val="00CB0CDB"/>
    <w:rsid w:val="00CB10AC"/>
    <w:rsid w:val="00CB1380"/>
    <w:rsid w:val="00CB2519"/>
    <w:rsid w:val="00CB33D0"/>
    <w:rsid w:val="00CB456B"/>
    <w:rsid w:val="00CB4F1C"/>
    <w:rsid w:val="00CB55F5"/>
    <w:rsid w:val="00CB6308"/>
    <w:rsid w:val="00CC07BC"/>
    <w:rsid w:val="00CC0C8C"/>
    <w:rsid w:val="00CC0CED"/>
    <w:rsid w:val="00CC12B2"/>
    <w:rsid w:val="00CC13C6"/>
    <w:rsid w:val="00CC15DE"/>
    <w:rsid w:val="00CC1F94"/>
    <w:rsid w:val="00CC288E"/>
    <w:rsid w:val="00CC2904"/>
    <w:rsid w:val="00CC3BE1"/>
    <w:rsid w:val="00CC3CF1"/>
    <w:rsid w:val="00CC58A9"/>
    <w:rsid w:val="00CC6729"/>
    <w:rsid w:val="00CC6D79"/>
    <w:rsid w:val="00CD0F0D"/>
    <w:rsid w:val="00CD17C4"/>
    <w:rsid w:val="00CD207D"/>
    <w:rsid w:val="00CD2085"/>
    <w:rsid w:val="00CD2C3C"/>
    <w:rsid w:val="00CD3FD7"/>
    <w:rsid w:val="00CD40A9"/>
    <w:rsid w:val="00CD4B25"/>
    <w:rsid w:val="00CD4DA5"/>
    <w:rsid w:val="00CD5670"/>
    <w:rsid w:val="00CD5EC8"/>
    <w:rsid w:val="00CD65C0"/>
    <w:rsid w:val="00CD7821"/>
    <w:rsid w:val="00CE3F49"/>
    <w:rsid w:val="00CE4965"/>
    <w:rsid w:val="00CF0F8A"/>
    <w:rsid w:val="00CF1CFA"/>
    <w:rsid w:val="00CF2864"/>
    <w:rsid w:val="00CF500D"/>
    <w:rsid w:val="00CF5D4E"/>
    <w:rsid w:val="00CF675A"/>
    <w:rsid w:val="00CF7E4B"/>
    <w:rsid w:val="00D00691"/>
    <w:rsid w:val="00D01088"/>
    <w:rsid w:val="00D01750"/>
    <w:rsid w:val="00D03F24"/>
    <w:rsid w:val="00D049D3"/>
    <w:rsid w:val="00D04C28"/>
    <w:rsid w:val="00D06CA9"/>
    <w:rsid w:val="00D07D70"/>
    <w:rsid w:val="00D10918"/>
    <w:rsid w:val="00D13055"/>
    <w:rsid w:val="00D131B2"/>
    <w:rsid w:val="00D1375E"/>
    <w:rsid w:val="00D13802"/>
    <w:rsid w:val="00D15CF8"/>
    <w:rsid w:val="00D1656A"/>
    <w:rsid w:val="00D17166"/>
    <w:rsid w:val="00D20127"/>
    <w:rsid w:val="00D230B9"/>
    <w:rsid w:val="00D27ACC"/>
    <w:rsid w:val="00D310C6"/>
    <w:rsid w:val="00D31226"/>
    <w:rsid w:val="00D31A5E"/>
    <w:rsid w:val="00D3261C"/>
    <w:rsid w:val="00D40A61"/>
    <w:rsid w:val="00D412DB"/>
    <w:rsid w:val="00D43572"/>
    <w:rsid w:val="00D43E52"/>
    <w:rsid w:val="00D45932"/>
    <w:rsid w:val="00D45A8D"/>
    <w:rsid w:val="00D47C1C"/>
    <w:rsid w:val="00D47D60"/>
    <w:rsid w:val="00D50416"/>
    <w:rsid w:val="00D50AC7"/>
    <w:rsid w:val="00D52534"/>
    <w:rsid w:val="00D52942"/>
    <w:rsid w:val="00D52EA1"/>
    <w:rsid w:val="00D54A7A"/>
    <w:rsid w:val="00D55499"/>
    <w:rsid w:val="00D56944"/>
    <w:rsid w:val="00D56F75"/>
    <w:rsid w:val="00D57512"/>
    <w:rsid w:val="00D60C31"/>
    <w:rsid w:val="00D61647"/>
    <w:rsid w:val="00D61F50"/>
    <w:rsid w:val="00D61F60"/>
    <w:rsid w:val="00D620C7"/>
    <w:rsid w:val="00D63891"/>
    <w:rsid w:val="00D639AF"/>
    <w:rsid w:val="00D64839"/>
    <w:rsid w:val="00D64ADA"/>
    <w:rsid w:val="00D66757"/>
    <w:rsid w:val="00D66F47"/>
    <w:rsid w:val="00D677A7"/>
    <w:rsid w:val="00D679A2"/>
    <w:rsid w:val="00D70A0E"/>
    <w:rsid w:val="00D72404"/>
    <w:rsid w:val="00D726E9"/>
    <w:rsid w:val="00D74956"/>
    <w:rsid w:val="00D750AF"/>
    <w:rsid w:val="00D75DD6"/>
    <w:rsid w:val="00D75EB1"/>
    <w:rsid w:val="00D763B9"/>
    <w:rsid w:val="00D76A77"/>
    <w:rsid w:val="00D7733B"/>
    <w:rsid w:val="00D810C6"/>
    <w:rsid w:val="00D81968"/>
    <w:rsid w:val="00D8306C"/>
    <w:rsid w:val="00D831B6"/>
    <w:rsid w:val="00D840CD"/>
    <w:rsid w:val="00D84896"/>
    <w:rsid w:val="00D84DF7"/>
    <w:rsid w:val="00D853F8"/>
    <w:rsid w:val="00D879A7"/>
    <w:rsid w:val="00D91AB6"/>
    <w:rsid w:val="00D92D36"/>
    <w:rsid w:val="00D9379C"/>
    <w:rsid w:val="00D963C3"/>
    <w:rsid w:val="00DA03B3"/>
    <w:rsid w:val="00DA0729"/>
    <w:rsid w:val="00DA07FD"/>
    <w:rsid w:val="00DA08D8"/>
    <w:rsid w:val="00DA3892"/>
    <w:rsid w:val="00DA52CF"/>
    <w:rsid w:val="00DA558A"/>
    <w:rsid w:val="00DA5961"/>
    <w:rsid w:val="00DA61C9"/>
    <w:rsid w:val="00DA64D7"/>
    <w:rsid w:val="00DA70CA"/>
    <w:rsid w:val="00DA7538"/>
    <w:rsid w:val="00DB16BE"/>
    <w:rsid w:val="00DB2156"/>
    <w:rsid w:val="00DB25DF"/>
    <w:rsid w:val="00DB28AD"/>
    <w:rsid w:val="00DB3AAE"/>
    <w:rsid w:val="00DB559F"/>
    <w:rsid w:val="00DB79FC"/>
    <w:rsid w:val="00DC04EA"/>
    <w:rsid w:val="00DC247F"/>
    <w:rsid w:val="00DC435B"/>
    <w:rsid w:val="00DC4634"/>
    <w:rsid w:val="00DC58CD"/>
    <w:rsid w:val="00DC5B80"/>
    <w:rsid w:val="00DC77D9"/>
    <w:rsid w:val="00DD0A67"/>
    <w:rsid w:val="00DD0B30"/>
    <w:rsid w:val="00DD2D07"/>
    <w:rsid w:val="00DD410F"/>
    <w:rsid w:val="00DD4509"/>
    <w:rsid w:val="00DD454A"/>
    <w:rsid w:val="00DD54CD"/>
    <w:rsid w:val="00DD5B86"/>
    <w:rsid w:val="00DD62B7"/>
    <w:rsid w:val="00DE036C"/>
    <w:rsid w:val="00DE0439"/>
    <w:rsid w:val="00DE2C3C"/>
    <w:rsid w:val="00DE2DEF"/>
    <w:rsid w:val="00DE325E"/>
    <w:rsid w:val="00DE36BC"/>
    <w:rsid w:val="00DE4A18"/>
    <w:rsid w:val="00DE4C5D"/>
    <w:rsid w:val="00DE5692"/>
    <w:rsid w:val="00DE6238"/>
    <w:rsid w:val="00DE65D2"/>
    <w:rsid w:val="00DE660E"/>
    <w:rsid w:val="00DF023B"/>
    <w:rsid w:val="00DF3EF4"/>
    <w:rsid w:val="00DF5068"/>
    <w:rsid w:val="00DF7BB6"/>
    <w:rsid w:val="00DF7F8D"/>
    <w:rsid w:val="00E00B73"/>
    <w:rsid w:val="00E00DAA"/>
    <w:rsid w:val="00E0127C"/>
    <w:rsid w:val="00E014DB"/>
    <w:rsid w:val="00E025F2"/>
    <w:rsid w:val="00E02CAF"/>
    <w:rsid w:val="00E03492"/>
    <w:rsid w:val="00E03DB6"/>
    <w:rsid w:val="00E05427"/>
    <w:rsid w:val="00E0588B"/>
    <w:rsid w:val="00E07C09"/>
    <w:rsid w:val="00E104AA"/>
    <w:rsid w:val="00E126C4"/>
    <w:rsid w:val="00E13725"/>
    <w:rsid w:val="00E13954"/>
    <w:rsid w:val="00E148D6"/>
    <w:rsid w:val="00E14F44"/>
    <w:rsid w:val="00E15A03"/>
    <w:rsid w:val="00E15FF8"/>
    <w:rsid w:val="00E16567"/>
    <w:rsid w:val="00E17D7E"/>
    <w:rsid w:val="00E17DF2"/>
    <w:rsid w:val="00E206EF"/>
    <w:rsid w:val="00E20AE4"/>
    <w:rsid w:val="00E21071"/>
    <w:rsid w:val="00E2109D"/>
    <w:rsid w:val="00E22A2F"/>
    <w:rsid w:val="00E22D85"/>
    <w:rsid w:val="00E239F4"/>
    <w:rsid w:val="00E26575"/>
    <w:rsid w:val="00E274F6"/>
    <w:rsid w:val="00E27D02"/>
    <w:rsid w:val="00E33B1D"/>
    <w:rsid w:val="00E33E7D"/>
    <w:rsid w:val="00E33F74"/>
    <w:rsid w:val="00E3494D"/>
    <w:rsid w:val="00E35AB0"/>
    <w:rsid w:val="00E407A3"/>
    <w:rsid w:val="00E44042"/>
    <w:rsid w:val="00E4662B"/>
    <w:rsid w:val="00E50629"/>
    <w:rsid w:val="00E51DAE"/>
    <w:rsid w:val="00E525DF"/>
    <w:rsid w:val="00E5356B"/>
    <w:rsid w:val="00E55307"/>
    <w:rsid w:val="00E55995"/>
    <w:rsid w:val="00E60021"/>
    <w:rsid w:val="00E615FF"/>
    <w:rsid w:val="00E62212"/>
    <w:rsid w:val="00E62373"/>
    <w:rsid w:val="00E62497"/>
    <w:rsid w:val="00E63014"/>
    <w:rsid w:val="00E6459D"/>
    <w:rsid w:val="00E65E5F"/>
    <w:rsid w:val="00E66310"/>
    <w:rsid w:val="00E66690"/>
    <w:rsid w:val="00E6669F"/>
    <w:rsid w:val="00E70545"/>
    <w:rsid w:val="00E71534"/>
    <w:rsid w:val="00E7207F"/>
    <w:rsid w:val="00E72350"/>
    <w:rsid w:val="00E72562"/>
    <w:rsid w:val="00E74943"/>
    <w:rsid w:val="00E74CBB"/>
    <w:rsid w:val="00E74D97"/>
    <w:rsid w:val="00E74FC1"/>
    <w:rsid w:val="00E7586D"/>
    <w:rsid w:val="00E75F2A"/>
    <w:rsid w:val="00E76D77"/>
    <w:rsid w:val="00E772FE"/>
    <w:rsid w:val="00E7766D"/>
    <w:rsid w:val="00E80195"/>
    <w:rsid w:val="00E807B9"/>
    <w:rsid w:val="00E8341A"/>
    <w:rsid w:val="00E83DE8"/>
    <w:rsid w:val="00E84372"/>
    <w:rsid w:val="00E84849"/>
    <w:rsid w:val="00E865BE"/>
    <w:rsid w:val="00E8693A"/>
    <w:rsid w:val="00E87186"/>
    <w:rsid w:val="00E878C2"/>
    <w:rsid w:val="00E87C97"/>
    <w:rsid w:val="00E903DB"/>
    <w:rsid w:val="00E90661"/>
    <w:rsid w:val="00E90830"/>
    <w:rsid w:val="00E90958"/>
    <w:rsid w:val="00E909B9"/>
    <w:rsid w:val="00E9168B"/>
    <w:rsid w:val="00E93BB2"/>
    <w:rsid w:val="00E93D97"/>
    <w:rsid w:val="00E94F1C"/>
    <w:rsid w:val="00E952AB"/>
    <w:rsid w:val="00E9673E"/>
    <w:rsid w:val="00E96A65"/>
    <w:rsid w:val="00E97AC1"/>
    <w:rsid w:val="00E97FBF"/>
    <w:rsid w:val="00EA0A96"/>
    <w:rsid w:val="00EA163C"/>
    <w:rsid w:val="00EA1B3F"/>
    <w:rsid w:val="00EA3708"/>
    <w:rsid w:val="00EA41BE"/>
    <w:rsid w:val="00EA75D1"/>
    <w:rsid w:val="00EA75E1"/>
    <w:rsid w:val="00EB001B"/>
    <w:rsid w:val="00EB0B9F"/>
    <w:rsid w:val="00EB0EDF"/>
    <w:rsid w:val="00EB1F61"/>
    <w:rsid w:val="00EB373B"/>
    <w:rsid w:val="00EB3D32"/>
    <w:rsid w:val="00EB4B70"/>
    <w:rsid w:val="00EB4F56"/>
    <w:rsid w:val="00EB7407"/>
    <w:rsid w:val="00EC0589"/>
    <w:rsid w:val="00EC06D2"/>
    <w:rsid w:val="00EC12BA"/>
    <w:rsid w:val="00EC3083"/>
    <w:rsid w:val="00EC4CC6"/>
    <w:rsid w:val="00EC4FA6"/>
    <w:rsid w:val="00EC5212"/>
    <w:rsid w:val="00EC5D1E"/>
    <w:rsid w:val="00EC5FF9"/>
    <w:rsid w:val="00EC6C9A"/>
    <w:rsid w:val="00EC73FC"/>
    <w:rsid w:val="00EC7CF6"/>
    <w:rsid w:val="00ED05DB"/>
    <w:rsid w:val="00ED1C32"/>
    <w:rsid w:val="00ED2201"/>
    <w:rsid w:val="00ED2974"/>
    <w:rsid w:val="00ED313E"/>
    <w:rsid w:val="00ED43D2"/>
    <w:rsid w:val="00ED6542"/>
    <w:rsid w:val="00ED6D3A"/>
    <w:rsid w:val="00ED7306"/>
    <w:rsid w:val="00ED7552"/>
    <w:rsid w:val="00EE0778"/>
    <w:rsid w:val="00EE1D63"/>
    <w:rsid w:val="00EE4F48"/>
    <w:rsid w:val="00EE5E2F"/>
    <w:rsid w:val="00EE607C"/>
    <w:rsid w:val="00EE61DE"/>
    <w:rsid w:val="00EE624A"/>
    <w:rsid w:val="00EE6794"/>
    <w:rsid w:val="00EE67E9"/>
    <w:rsid w:val="00EE77FB"/>
    <w:rsid w:val="00EE7816"/>
    <w:rsid w:val="00EF09C6"/>
    <w:rsid w:val="00EF2DC7"/>
    <w:rsid w:val="00EF4F0F"/>
    <w:rsid w:val="00EF4FEF"/>
    <w:rsid w:val="00EF53B4"/>
    <w:rsid w:val="00EF6271"/>
    <w:rsid w:val="00EF69F5"/>
    <w:rsid w:val="00EF7153"/>
    <w:rsid w:val="00EF7BC6"/>
    <w:rsid w:val="00EF7D66"/>
    <w:rsid w:val="00F001CE"/>
    <w:rsid w:val="00F00F48"/>
    <w:rsid w:val="00F01F26"/>
    <w:rsid w:val="00F02ED6"/>
    <w:rsid w:val="00F03230"/>
    <w:rsid w:val="00F04677"/>
    <w:rsid w:val="00F04E75"/>
    <w:rsid w:val="00F056FF"/>
    <w:rsid w:val="00F06190"/>
    <w:rsid w:val="00F06963"/>
    <w:rsid w:val="00F1086D"/>
    <w:rsid w:val="00F12206"/>
    <w:rsid w:val="00F13EC4"/>
    <w:rsid w:val="00F1749C"/>
    <w:rsid w:val="00F211ED"/>
    <w:rsid w:val="00F21732"/>
    <w:rsid w:val="00F229EE"/>
    <w:rsid w:val="00F23022"/>
    <w:rsid w:val="00F238D3"/>
    <w:rsid w:val="00F23DD4"/>
    <w:rsid w:val="00F23E28"/>
    <w:rsid w:val="00F2469F"/>
    <w:rsid w:val="00F24B2E"/>
    <w:rsid w:val="00F25878"/>
    <w:rsid w:val="00F258C3"/>
    <w:rsid w:val="00F25B96"/>
    <w:rsid w:val="00F264C6"/>
    <w:rsid w:val="00F26CA3"/>
    <w:rsid w:val="00F27850"/>
    <w:rsid w:val="00F27946"/>
    <w:rsid w:val="00F30FB3"/>
    <w:rsid w:val="00F31024"/>
    <w:rsid w:val="00F31A48"/>
    <w:rsid w:val="00F31E9B"/>
    <w:rsid w:val="00F31F17"/>
    <w:rsid w:val="00F32AC3"/>
    <w:rsid w:val="00F3334E"/>
    <w:rsid w:val="00F33440"/>
    <w:rsid w:val="00F34DE8"/>
    <w:rsid w:val="00F35C66"/>
    <w:rsid w:val="00F364AD"/>
    <w:rsid w:val="00F40F3B"/>
    <w:rsid w:val="00F4134E"/>
    <w:rsid w:val="00F42BBA"/>
    <w:rsid w:val="00F438E9"/>
    <w:rsid w:val="00F45160"/>
    <w:rsid w:val="00F46EE2"/>
    <w:rsid w:val="00F4711B"/>
    <w:rsid w:val="00F47541"/>
    <w:rsid w:val="00F50D5F"/>
    <w:rsid w:val="00F5224D"/>
    <w:rsid w:val="00F5278A"/>
    <w:rsid w:val="00F52E95"/>
    <w:rsid w:val="00F54CCA"/>
    <w:rsid w:val="00F55516"/>
    <w:rsid w:val="00F55C5E"/>
    <w:rsid w:val="00F608A5"/>
    <w:rsid w:val="00F61DFF"/>
    <w:rsid w:val="00F61F21"/>
    <w:rsid w:val="00F63922"/>
    <w:rsid w:val="00F6415F"/>
    <w:rsid w:val="00F646DF"/>
    <w:rsid w:val="00F659B6"/>
    <w:rsid w:val="00F664BF"/>
    <w:rsid w:val="00F6760A"/>
    <w:rsid w:val="00F70D5E"/>
    <w:rsid w:val="00F70FB9"/>
    <w:rsid w:val="00F7179F"/>
    <w:rsid w:val="00F720EC"/>
    <w:rsid w:val="00F72DE5"/>
    <w:rsid w:val="00F7300F"/>
    <w:rsid w:val="00F74068"/>
    <w:rsid w:val="00F7478E"/>
    <w:rsid w:val="00F74CFC"/>
    <w:rsid w:val="00F7521D"/>
    <w:rsid w:val="00F7568F"/>
    <w:rsid w:val="00F80337"/>
    <w:rsid w:val="00F80548"/>
    <w:rsid w:val="00F81726"/>
    <w:rsid w:val="00F82110"/>
    <w:rsid w:val="00F82421"/>
    <w:rsid w:val="00F8496D"/>
    <w:rsid w:val="00F877C7"/>
    <w:rsid w:val="00F877F6"/>
    <w:rsid w:val="00F908CD"/>
    <w:rsid w:val="00F910BA"/>
    <w:rsid w:val="00F92FD3"/>
    <w:rsid w:val="00F93522"/>
    <w:rsid w:val="00F94652"/>
    <w:rsid w:val="00F94CCE"/>
    <w:rsid w:val="00F9526B"/>
    <w:rsid w:val="00F956B7"/>
    <w:rsid w:val="00F958FD"/>
    <w:rsid w:val="00F973A2"/>
    <w:rsid w:val="00FA0746"/>
    <w:rsid w:val="00FA131E"/>
    <w:rsid w:val="00FA1FB2"/>
    <w:rsid w:val="00FA2078"/>
    <w:rsid w:val="00FA2D77"/>
    <w:rsid w:val="00FA33B0"/>
    <w:rsid w:val="00FA5003"/>
    <w:rsid w:val="00FA6730"/>
    <w:rsid w:val="00FA6ACC"/>
    <w:rsid w:val="00FA7E2E"/>
    <w:rsid w:val="00FA7FAC"/>
    <w:rsid w:val="00FB05FE"/>
    <w:rsid w:val="00FB0703"/>
    <w:rsid w:val="00FB0940"/>
    <w:rsid w:val="00FB1892"/>
    <w:rsid w:val="00FB22F7"/>
    <w:rsid w:val="00FB3454"/>
    <w:rsid w:val="00FB395E"/>
    <w:rsid w:val="00FB4F3A"/>
    <w:rsid w:val="00FB50DD"/>
    <w:rsid w:val="00FB51FF"/>
    <w:rsid w:val="00FB5397"/>
    <w:rsid w:val="00FB5D6C"/>
    <w:rsid w:val="00FC00FC"/>
    <w:rsid w:val="00FC0F0B"/>
    <w:rsid w:val="00FC199A"/>
    <w:rsid w:val="00FC2A5B"/>
    <w:rsid w:val="00FC3564"/>
    <w:rsid w:val="00FC45F0"/>
    <w:rsid w:val="00FC4A12"/>
    <w:rsid w:val="00FC5B87"/>
    <w:rsid w:val="00FC5BED"/>
    <w:rsid w:val="00FC615A"/>
    <w:rsid w:val="00FC702A"/>
    <w:rsid w:val="00FC79D5"/>
    <w:rsid w:val="00FD08AE"/>
    <w:rsid w:val="00FD147F"/>
    <w:rsid w:val="00FD4511"/>
    <w:rsid w:val="00FD51F2"/>
    <w:rsid w:val="00FD57C6"/>
    <w:rsid w:val="00FD623C"/>
    <w:rsid w:val="00FD6CCC"/>
    <w:rsid w:val="00FD6CE2"/>
    <w:rsid w:val="00FE045C"/>
    <w:rsid w:val="00FE0537"/>
    <w:rsid w:val="00FE1C83"/>
    <w:rsid w:val="00FE2EBC"/>
    <w:rsid w:val="00FE589A"/>
    <w:rsid w:val="00FE5BE0"/>
    <w:rsid w:val="00FE5DF0"/>
    <w:rsid w:val="00FE6560"/>
    <w:rsid w:val="00FE6C05"/>
    <w:rsid w:val="00FF2498"/>
    <w:rsid w:val="00FF2896"/>
    <w:rsid w:val="00FF42ED"/>
    <w:rsid w:val="00FF5A63"/>
    <w:rsid w:val="00FF654F"/>
    <w:rsid w:val="00FF6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447F"/>
  <w15:docId w15:val="{F85453C8-6F5B-45E8-B15E-9050F75E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E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3E31"/>
    <w:pPr>
      <w:ind w:left="720"/>
      <w:contextualSpacing/>
    </w:pPr>
  </w:style>
  <w:style w:type="paragraph" w:styleId="NormalnyWeb">
    <w:name w:val="Normal (Web)"/>
    <w:basedOn w:val="Normalny"/>
    <w:uiPriority w:val="99"/>
    <w:semiHidden/>
    <w:unhideWhenUsed/>
    <w:rsid w:val="007E3E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 – zm. art. (§) artykułem (punktem)"/>
    <w:basedOn w:val="Normalny"/>
    <w:uiPriority w:val="30"/>
    <w:qFormat/>
    <w:rsid w:val="001D068B"/>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styleId="Tekstprzypisudolnego">
    <w:name w:val="footnote text"/>
    <w:basedOn w:val="Normalny"/>
    <w:link w:val="TekstprzypisudolnegoZnak"/>
    <w:uiPriority w:val="99"/>
    <w:semiHidden/>
    <w:unhideWhenUsed/>
    <w:rsid w:val="000C26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26AB"/>
    <w:rPr>
      <w:sz w:val="20"/>
      <w:szCs w:val="20"/>
    </w:rPr>
  </w:style>
  <w:style w:type="character" w:styleId="Odwoanieprzypisudolnego">
    <w:name w:val="footnote reference"/>
    <w:basedOn w:val="Domylnaczcionkaakapitu"/>
    <w:uiPriority w:val="99"/>
    <w:semiHidden/>
    <w:unhideWhenUsed/>
    <w:rsid w:val="000C26AB"/>
    <w:rPr>
      <w:vertAlign w:val="superscript"/>
    </w:rPr>
  </w:style>
  <w:style w:type="paragraph" w:styleId="Tekstdymka">
    <w:name w:val="Balloon Text"/>
    <w:basedOn w:val="Normalny"/>
    <w:link w:val="TekstdymkaZnak"/>
    <w:uiPriority w:val="99"/>
    <w:semiHidden/>
    <w:unhideWhenUsed/>
    <w:rsid w:val="00FB07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703"/>
    <w:rPr>
      <w:rFonts w:ascii="Segoe UI" w:hAnsi="Segoe UI" w:cs="Segoe UI"/>
      <w:sz w:val="18"/>
      <w:szCs w:val="18"/>
    </w:rPr>
  </w:style>
  <w:style w:type="character" w:styleId="Odwoaniedokomentarza">
    <w:name w:val="annotation reference"/>
    <w:basedOn w:val="Domylnaczcionkaakapitu"/>
    <w:uiPriority w:val="99"/>
    <w:semiHidden/>
    <w:unhideWhenUsed/>
    <w:rsid w:val="00593D4B"/>
    <w:rPr>
      <w:sz w:val="16"/>
      <w:szCs w:val="16"/>
    </w:rPr>
  </w:style>
  <w:style w:type="paragraph" w:styleId="Tekstkomentarza">
    <w:name w:val="annotation text"/>
    <w:basedOn w:val="Normalny"/>
    <w:link w:val="TekstkomentarzaZnak"/>
    <w:uiPriority w:val="99"/>
    <w:unhideWhenUsed/>
    <w:rsid w:val="00593D4B"/>
    <w:pPr>
      <w:spacing w:line="240" w:lineRule="auto"/>
    </w:pPr>
    <w:rPr>
      <w:sz w:val="20"/>
      <w:szCs w:val="20"/>
    </w:rPr>
  </w:style>
  <w:style w:type="character" w:customStyle="1" w:styleId="TekstkomentarzaZnak">
    <w:name w:val="Tekst komentarza Znak"/>
    <w:basedOn w:val="Domylnaczcionkaakapitu"/>
    <w:link w:val="Tekstkomentarza"/>
    <w:uiPriority w:val="99"/>
    <w:rsid w:val="00593D4B"/>
    <w:rPr>
      <w:sz w:val="20"/>
      <w:szCs w:val="20"/>
    </w:rPr>
  </w:style>
  <w:style w:type="paragraph" w:styleId="Tematkomentarza">
    <w:name w:val="annotation subject"/>
    <w:basedOn w:val="Tekstkomentarza"/>
    <w:next w:val="Tekstkomentarza"/>
    <w:link w:val="TematkomentarzaZnak"/>
    <w:uiPriority w:val="99"/>
    <w:semiHidden/>
    <w:unhideWhenUsed/>
    <w:rsid w:val="00593D4B"/>
    <w:rPr>
      <w:b/>
      <w:bCs/>
    </w:rPr>
  </w:style>
  <w:style w:type="character" w:customStyle="1" w:styleId="TematkomentarzaZnak">
    <w:name w:val="Temat komentarza Znak"/>
    <w:basedOn w:val="TekstkomentarzaZnak"/>
    <w:link w:val="Tematkomentarza"/>
    <w:uiPriority w:val="99"/>
    <w:semiHidden/>
    <w:rsid w:val="00593D4B"/>
    <w:rPr>
      <w:b/>
      <w:bCs/>
      <w:sz w:val="20"/>
      <w:szCs w:val="20"/>
    </w:rPr>
  </w:style>
  <w:style w:type="character" w:styleId="Hipercze">
    <w:name w:val="Hyperlink"/>
    <w:basedOn w:val="Domylnaczcionkaakapitu"/>
    <w:uiPriority w:val="99"/>
    <w:unhideWhenUsed/>
    <w:rsid w:val="004602EC"/>
    <w:rPr>
      <w:color w:val="0563C1" w:themeColor="hyperlink"/>
      <w:u w:val="single"/>
    </w:rPr>
  </w:style>
  <w:style w:type="character" w:styleId="UyteHipercze">
    <w:name w:val="FollowedHyperlink"/>
    <w:basedOn w:val="Domylnaczcionkaakapitu"/>
    <w:uiPriority w:val="99"/>
    <w:semiHidden/>
    <w:unhideWhenUsed/>
    <w:rsid w:val="004D1D47"/>
    <w:rPr>
      <w:color w:val="954F72" w:themeColor="followedHyperlink"/>
      <w:u w:val="single"/>
    </w:rPr>
  </w:style>
  <w:style w:type="paragraph" w:customStyle="1" w:styleId="divparagraph">
    <w:name w:val="div.paragraph"/>
    <w:uiPriority w:val="99"/>
    <w:rsid w:val="00E274F6"/>
    <w:pPr>
      <w:widowControl w:val="0"/>
      <w:autoSpaceDE w:val="0"/>
      <w:autoSpaceDN w:val="0"/>
      <w:adjustRightInd w:val="0"/>
      <w:spacing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0767C8"/>
    <w:pPr>
      <w:widowControl w:val="0"/>
      <w:autoSpaceDE w:val="0"/>
      <w:autoSpaceDN w:val="0"/>
      <w:adjustRightInd w:val="0"/>
      <w:spacing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42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3F72"/>
    <w:rPr>
      <w:sz w:val="22"/>
      <w:szCs w:val="22"/>
    </w:rPr>
  </w:style>
  <w:style w:type="paragraph" w:styleId="Stopka">
    <w:name w:val="footer"/>
    <w:basedOn w:val="Normalny"/>
    <w:link w:val="StopkaZnak"/>
    <w:uiPriority w:val="99"/>
    <w:unhideWhenUsed/>
    <w:rsid w:val="0042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F72"/>
    <w:rPr>
      <w:sz w:val="22"/>
      <w:szCs w:val="22"/>
    </w:rPr>
  </w:style>
  <w:style w:type="character" w:customStyle="1" w:styleId="articletitle">
    <w:name w:val="articletitle"/>
    <w:basedOn w:val="Domylnaczcionkaakapitu"/>
    <w:rsid w:val="00E17D7E"/>
  </w:style>
  <w:style w:type="paragraph" w:customStyle="1" w:styleId="ZLITPKTzmpktliter">
    <w:name w:val="Z_LIT/PKT – zm. pkt literą"/>
    <w:basedOn w:val="Normalny"/>
    <w:uiPriority w:val="47"/>
    <w:qFormat/>
    <w:rsid w:val="002529C8"/>
    <w:pPr>
      <w:spacing w:after="0" w:line="360" w:lineRule="auto"/>
      <w:ind w:left="1497" w:hanging="510"/>
      <w:jc w:val="both"/>
    </w:pPr>
    <w:rPr>
      <w:rFonts w:ascii="Times" w:eastAsiaTheme="minorEastAsia" w:hAnsi="Times" w:cs="Arial"/>
      <w:bCs/>
      <w:sz w:val="24"/>
      <w:szCs w:val="20"/>
      <w:lang w:eastAsia="pl-PL"/>
    </w:rPr>
  </w:style>
  <w:style w:type="paragraph" w:customStyle="1" w:styleId="ZLITUSTzmustliter">
    <w:name w:val="Z_LIT/UST(§) – zm. ust. (§) literą"/>
    <w:basedOn w:val="Normalny"/>
    <w:uiPriority w:val="46"/>
    <w:qFormat/>
    <w:rsid w:val="00E525DF"/>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styleId="Bezodstpw">
    <w:name w:val="No Spacing"/>
    <w:uiPriority w:val="1"/>
    <w:qFormat/>
    <w:rsid w:val="002A4760"/>
    <w:rPr>
      <w:sz w:val="22"/>
      <w:szCs w:val="22"/>
    </w:rPr>
  </w:style>
  <w:style w:type="paragraph" w:customStyle="1" w:styleId="Default">
    <w:name w:val="Default"/>
    <w:rsid w:val="004F1B73"/>
    <w:pPr>
      <w:autoSpaceDE w:val="0"/>
      <w:autoSpaceDN w:val="0"/>
      <w:adjustRightInd w:val="0"/>
    </w:pPr>
    <w:rPr>
      <w:rFonts w:ascii="Times New Roman" w:hAnsi="Times New Roman" w:cs="Times New Roman"/>
      <w:color w:val="000000"/>
    </w:rPr>
  </w:style>
  <w:style w:type="paragraph" w:customStyle="1" w:styleId="ZPKTzmpktartykuempunktem">
    <w:name w:val="Z/PKT – zm. pkt artykułem (punktem)"/>
    <w:basedOn w:val="Normalny"/>
    <w:uiPriority w:val="31"/>
    <w:qFormat/>
    <w:rsid w:val="000610EA"/>
    <w:pPr>
      <w:spacing w:after="0" w:line="360" w:lineRule="auto"/>
      <w:ind w:left="1020" w:hanging="510"/>
      <w:jc w:val="both"/>
    </w:pPr>
    <w:rPr>
      <w:rFonts w:ascii="Times" w:eastAsiaTheme="minorEastAsia" w:hAnsi="Times" w:cs="Arial"/>
      <w:bCs/>
      <w:sz w:val="24"/>
      <w:szCs w:val="20"/>
      <w:lang w:eastAsia="pl-PL"/>
    </w:rPr>
  </w:style>
  <w:style w:type="paragraph" w:customStyle="1" w:styleId="Normalny1">
    <w:name w:val="Normalny1"/>
    <w:basedOn w:val="Normalny"/>
    <w:rsid w:val="00F720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30"/>
    <w:qFormat/>
    <w:rsid w:val="00C43892"/>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character" w:customStyle="1" w:styleId="IGindeksgrny">
    <w:name w:val="_IG_ – indeks górny"/>
    <w:basedOn w:val="Domylnaczcionkaakapitu"/>
    <w:uiPriority w:val="2"/>
    <w:qFormat/>
    <w:rsid w:val="00881A37"/>
    <w:rPr>
      <w:b w:val="0"/>
      <w:bCs w:val="0"/>
      <w:i w:val="0"/>
      <w:iCs w:val="0"/>
      <w:vanish w:val="0"/>
      <w:webHidden w:val="0"/>
      <w:spacing w:val="0"/>
      <w:vertAlign w:val="superscript"/>
      <w:specVanish w:val="0"/>
    </w:rPr>
  </w:style>
  <w:style w:type="paragraph" w:customStyle="1" w:styleId="ODNONIKtreodnonika">
    <w:name w:val="ODNOŚNIK – treść odnośnika"/>
    <w:uiPriority w:val="19"/>
    <w:qFormat/>
    <w:rsid w:val="00242006"/>
    <w:pPr>
      <w:ind w:left="284" w:hanging="284"/>
      <w:jc w:val="both"/>
    </w:pPr>
    <w:rPr>
      <w:rFonts w:ascii="Times New Roman" w:eastAsiaTheme="minorEastAsia" w:hAnsi="Times New Roman" w:cs="Arial"/>
      <w:sz w:val="20"/>
      <w:szCs w:val="20"/>
      <w:lang w:eastAsia="pl-PL"/>
    </w:rPr>
  </w:style>
  <w:style w:type="paragraph" w:customStyle="1" w:styleId="Normalny2">
    <w:name w:val="Normalny2"/>
    <w:basedOn w:val="Normalny"/>
    <w:rsid w:val="007B00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3">
    <w:name w:val="Normalny3"/>
    <w:basedOn w:val="Normalny"/>
    <w:rsid w:val="001C12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art">
    <w:name w:val="ti-art"/>
    <w:basedOn w:val="Normalny"/>
    <w:rsid w:val="001C12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i-art">
    <w:name w:val="sti-art"/>
    <w:basedOn w:val="Normalny"/>
    <w:rsid w:val="001C12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3E7856"/>
    <w:rPr>
      <w:sz w:val="22"/>
      <w:szCs w:val="22"/>
    </w:rPr>
  </w:style>
  <w:style w:type="character" w:styleId="Nierozpoznanawzmianka">
    <w:name w:val="Unresolved Mention"/>
    <w:basedOn w:val="Domylnaczcionkaakapitu"/>
    <w:uiPriority w:val="99"/>
    <w:semiHidden/>
    <w:unhideWhenUsed/>
    <w:rsid w:val="00023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170">
      <w:bodyDiv w:val="1"/>
      <w:marLeft w:val="0"/>
      <w:marRight w:val="0"/>
      <w:marTop w:val="0"/>
      <w:marBottom w:val="0"/>
      <w:divBdr>
        <w:top w:val="none" w:sz="0" w:space="0" w:color="auto"/>
        <w:left w:val="none" w:sz="0" w:space="0" w:color="auto"/>
        <w:bottom w:val="none" w:sz="0" w:space="0" w:color="auto"/>
        <w:right w:val="none" w:sz="0" w:space="0" w:color="auto"/>
      </w:divBdr>
      <w:divsChild>
        <w:div w:id="1390303532">
          <w:marLeft w:val="0"/>
          <w:marRight w:val="0"/>
          <w:marTop w:val="0"/>
          <w:marBottom w:val="0"/>
          <w:divBdr>
            <w:top w:val="none" w:sz="0" w:space="0" w:color="auto"/>
            <w:left w:val="none" w:sz="0" w:space="0" w:color="auto"/>
            <w:bottom w:val="none" w:sz="0" w:space="0" w:color="auto"/>
            <w:right w:val="none" w:sz="0" w:space="0" w:color="auto"/>
          </w:divBdr>
          <w:divsChild>
            <w:div w:id="2093116549">
              <w:marLeft w:val="0"/>
              <w:marRight w:val="0"/>
              <w:marTop w:val="0"/>
              <w:marBottom w:val="0"/>
              <w:divBdr>
                <w:top w:val="none" w:sz="0" w:space="0" w:color="auto"/>
                <w:left w:val="none" w:sz="0" w:space="0" w:color="auto"/>
                <w:bottom w:val="none" w:sz="0" w:space="0" w:color="auto"/>
                <w:right w:val="none" w:sz="0" w:space="0" w:color="auto"/>
              </w:divBdr>
              <w:divsChild>
                <w:div w:id="5315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3776">
      <w:bodyDiv w:val="1"/>
      <w:marLeft w:val="0"/>
      <w:marRight w:val="0"/>
      <w:marTop w:val="0"/>
      <w:marBottom w:val="0"/>
      <w:divBdr>
        <w:top w:val="none" w:sz="0" w:space="0" w:color="auto"/>
        <w:left w:val="none" w:sz="0" w:space="0" w:color="auto"/>
        <w:bottom w:val="none" w:sz="0" w:space="0" w:color="auto"/>
        <w:right w:val="none" w:sz="0" w:space="0" w:color="auto"/>
      </w:divBdr>
    </w:div>
    <w:div w:id="326062126">
      <w:bodyDiv w:val="1"/>
      <w:marLeft w:val="0"/>
      <w:marRight w:val="0"/>
      <w:marTop w:val="0"/>
      <w:marBottom w:val="0"/>
      <w:divBdr>
        <w:top w:val="none" w:sz="0" w:space="0" w:color="auto"/>
        <w:left w:val="none" w:sz="0" w:space="0" w:color="auto"/>
        <w:bottom w:val="none" w:sz="0" w:space="0" w:color="auto"/>
        <w:right w:val="none" w:sz="0" w:space="0" w:color="auto"/>
      </w:divBdr>
    </w:div>
    <w:div w:id="352194451">
      <w:bodyDiv w:val="1"/>
      <w:marLeft w:val="0"/>
      <w:marRight w:val="0"/>
      <w:marTop w:val="0"/>
      <w:marBottom w:val="0"/>
      <w:divBdr>
        <w:top w:val="none" w:sz="0" w:space="0" w:color="auto"/>
        <w:left w:val="none" w:sz="0" w:space="0" w:color="auto"/>
        <w:bottom w:val="none" w:sz="0" w:space="0" w:color="auto"/>
        <w:right w:val="none" w:sz="0" w:space="0" w:color="auto"/>
      </w:divBdr>
      <w:divsChild>
        <w:div w:id="1964774739">
          <w:marLeft w:val="0"/>
          <w:marRight w:val="0"/>
          <w:marTop w:val="0"/>
          <w:marBottom w:val="0"/>
          <w:divBdr>
            <w:top w:val="none" w:sz="0" w:space="0" w:color="auto"/>
            <w:left w:val="none" w:sz="0" w:space="0" w:color="auto"/>
            <w:bottom w:val="none" w:sz="0" w:space="0" w:color="auto"/>
            <w:right w:val="none" w:sz="0" w:space="0" w:color="auto"/>
          </w:divBdr>
          <w:divsChild>
            <w:div w:id="1351881809">
              <w:marLeft w:val="0"/>
              <w:marRight w:val="0"/>
              <w:marTop w:val="0"/>
              <w:marBottom w:val="0"/>
              <w:divBdr>
                <w:top w:val="none" w:sz="0" w:space="0" w:color="auto"/>
                <w:left w:val="none" w:sz="0" w:space="0" w:color="auto"/>
                <w:bottom w:val="none" w:sz="0" w:space="0" w:color="auto"/>
                <w:right w:val="none" w:sz="0" w:space="0" w:color="auto"/>
              </w:divBdr>
              <w:divsChild>
                <w:div w:id="12362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6320">
      <w:bodyDiv w:val="1"/>
      <w:marLeft w:val="0"/>
      <w:marRight w:val="0"/>
      <w:marTop w:val="0"/>
      <w:marBottom w:val="0"/>
      <w:divBdr>
        <w:top w:val="none" w:sz="0" w:space="0" w:color="auto"/>
        <w:left w:val="none" w:sz="0" w:space="0" w:color="auto"/>
        <w:bottom w:val="none" w:sz="0" w:space="0" w:color="auto"/>
        <w:right w:val="none" w:sz="0" w:space="0" w:color="auto"/>
      </w:divBdr>
    </w:div>
    <w:div w:id="669716554">
      <w:bodyDiv w:val="1"/>
      <w:marLeft w:val="0"/>
      <w:marRight w:val="0"/>
      <w:marTop w:val="0"/>
      <w:marBottom w:val="0"/>
      <w:divBdr>
        <w:top w:val="none" w:sz="0" w:space="0" w:color="auto"/>
        <w:left w:val="none" w:sz="0" w:space="0" w:color="auto"/>
        <w:bottom w:val="none" w:sz="0" w:space="0" w:color="auto"/>
        <w:right w:val="none" w:sz="0" w:space="0" w:color="auto"/>
      </w:divBdr>
      <w:divsChild>
        <w:div w:id="2137210582">
          <w:marLeft w:val="0"/>
          <w:marRight w:val="0"/>
          <w:marTop w:val="0"/>
          <w:marBottom w:val="0"/>
          <w:divBdr>
            <w:top w:val="none" w:sz="0" w:space="0" w:color="auto"/>
            <w:left w:val="none" w:sz="0" w:space="0" w:color="auto"/>
            <w:bottom w:val="none" w:sz="0" w:space="0" w:color="auto"/>
            <w:right w:val="none" w:sz="0" w:space="0" w:color="auto"/>
          </w:divBdr>
          <w:divsChild>
            <w:div w:id="1044064102">
              <w:marLeft w:val="0"/>
              <w:marRight w:val="0"/>
              <w:marTop w:val="0"/>
              <w:marBottom w:val="0"/>
              <w:divBdr>
                <w:top w:val="none" w:sz="0" w:space="0" w:color="auto"/>
                <w:left w:val="none" w:sz="0" w:space="0" w:color="auto"/>
                <w:bottom w:val="none" w:sz="0" w:space="0" w:color="auto"/>
                <w:right w:val="none" w:sz="0" w:space="0" w:color="auto"/>
              </w:divBdr>
              <w:divsChild>
                <w:div w:id="3953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2000">
      <w:bodyDiv w:val="1"/>
      <w:marLeft w:val="0"/>
      <w:marRight w:val="0"/>
      <w:marTop w:val="0"/>
      <w:marBottom w:val="0"/>
      <w:divBdr>
        <w:top w:val="none" w:sz="0" w:space="0" w:color="auto"/>
        <w:left w:val="none" w:sz="0" w:space="0" w:color="auto"/>
        <w:bottom w:val="none" w:sz="0" w:space="0" w:color="auto"/>
        <w:right w:val="none" w:sz="0" w:space="0" w:color="auto"/>
      </w:divBdr>
    </w:div>
    <w:div w:id="862788452">
      <w:bodyDiv w:val="1"/>
      <w:marLeft w:val="0"/>
      <w:marRight w:val="0"/>
      <w:marTop w:val="0"/>
      <w:marBottom w:val="0"/>
      <w:divBdr>
        <w:top w:val="none" w:sz="0" w:space="0" w:color="auto"/>
        <w:left w:val="none" w:sz="0" w:space="0" w:color="auto"/>
        <w:bottom w:val="none" w:sz="0" w:space="0" w:color="auto"/>
        <w:right w:val="none" w:sz="0" w:space="0" w:color="auto"/>
      </w:divBdr>
    </w:div>
    <w:div w:id="902640119">
      <w:bodyDiv w:val="1"/>
      <w:marLeft w:val="0"/>
      <w:marRight w:val="0"/>
      <w:marTop w:val="0"/>
      <w:marBottom w:val="0"/>
      <w:divBdr>
        <w:top w:val="none" w:sz="0" w:space="0" w:color="auto"/>
        <w:left w:val="none" w:sz="0" w:space="0" w:color="auto"/>
        <w:bottom w:val="none" w:sz="0" w:space="0" w:color="auto"/>
        <w:right w:val="none" w:sz="0" w:space="0" w:color="auto"/>
      </w:divBdr>
      <w:divsChild>
        <w:div w:id="761412146">
          <w:marLeft w:val="0"/>
          <w:marRight w:val="0"/>
          <w:marTop w:val="0"/>
          <w:marBottom w:val="0"/>
          <w:divBdr>
            <w:top w:val="none" w:sz="0" w:space="0" w:color="auto"/>
            <w:left w:val="none" w:sz="0" w:space="0" w:color="auto"/>
            <w:bottom w:val="none" w:sz="0" w:space="0" w:color="auto"/>
            <w:right w:val="none" w:sz="0" w:space="0" w:color="auto"/>
          </w:divBdr>
        </w:div>
        <w:div w:id="849684387">
          <w:marLeft w:val="0"/>
          <w:marRight w:val="0"/>
          <w:marTop w:val="0"/>
          <w:marBottom w:val="0"/>
          <w:divBdr>
            <w:top w:val="none" w:sz="0" w:space="0" w:color="auto"/>
            <w:left w:val="none" w:sz="0" w:space="0" w:color="auto"/>
            <w:bottom w:val="none" w:sz="0" w:space="0" w:color="auto"/>
            <w:right w:val="none" w:sz="0" w:space="0" w:color="auto"/>
          </w:divBdr>
        </w:div>
      </w:divsChild>
    </w:div>
    <w:div w:id="1182623697">
      <w:bodyDiv w:val="1"/>
      <w:marLeft w:val="0"/>
      <w:marRight w:val="0"/>
      <w:marTop w:val="0"/>
      <w:marBottom w:val="0"/>
      <w:divBdr>
        <w:top w:val="none" w:sz="0" w:space="0" w:color="auto"/>
        <w:left w:val="none" w:sz="0" w:space="0" w:color="auto"/>
        <w:bottom w:val="none" w:sz="0" w:space="0" w:color="auto"/>
        <w:right w:val="none" w:sz="0" w:space="0" w:color="auto"/>
      </w:divBdr>
      <w:divsChild>
        <w:div w:id="1062362908">
          <w:marLeft w:val="0"/>
          <w:marRight w:val="0"/>
          <w:marTop w:val="0"/>
          <w:marBottom w:val="0"/>
          <w:divBdr>
            <w:top w:val="none" w:sz="0" w:space="0" w:color="auto"/>
            <w:left w:val="none" w:sz="0" w:space="0" w:color="auto"/>
            <w:bottom w:val="none" w:sz="0" w:space="0" w:color="auto"/>
            <w:right w:val="none" w:sz="0" w:space="0" w:color="auto"/>
          </w:divBdr>
          <w:divsChild>
            <w:div w:id="2081054308">
              <w:marLeft w:val="0"/>
              <w:marRight w:val="0"/>
              <w:marTop w:val="0"/>
              <w:marBottom w:val="0"/>
              <w:divBdr>
                <w:top w:val="none" w:sz="0" w:space="0" w:color="auto"/>
                <w:left w:val="none" w:sz="0" w:space="0" w:color="auto"/>
                <w:bottom w:val="none" w:sz="0" w:space="0" w:color="auto"/>
                <w:right w:val="none" w:sz="0" w:space="0" w:color="auto"/>
              </w:divBdr>
              <w:divsChild>
                <w:div w:id="2052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7893">
      <w:bodyDiv w:val="1"/>
      <w:marLeft w:val="0"/>
      <w:marRight w:val="0"/>
      <w:marTop w:val="0"/>
      <w:marBottom w:val="0"/>
      <w:divBdr>
        <w:top w:val="none" w:sz="0" w:space="0" w:color="auto"/>
        <w:left w:val="none" w:sz="0" w:space="0" w:color="auto"/>
        <w:bottom w:val="none" w:sz="0" w:space="0" w:color="auto"/>
        <w:right w:val="none" w:sz="0" w:space="0" w:color="auto"/>
      </w:divBdr>
    </w:div>
    <w:div w:id="1360273401">
      <w:bodyDiv w:val="1"/>
      <w:marLeft w:val="0"/>
      <w:marRight w:val="0"/>
      <w:marTop w:val="0"/>
      <w:marBottom w:val="0"/>
      <w:divBdr>
        <w:top w:val="none" w:sz="0" w:space="0" w:color="auto"/>
        <w:left w:val="none" w:sz="0" w:space="0" w:color="auto"/>
        <w:bottom w:val="none" w:sz="0" w:space="0" w:color="auto"/>
        <w:right w:val="none" w:sz="0" w:space="0" w:color="auto"/>
      </w:divBdr>
    </w:div>
    <w:div w:id="1464928990">
      <w:bodyDiv w:val="1"/>
      <w:marLeft w:val="0"/>
      <w:marRight w:val="0"/>
      <w:marTop w:val="0"/>
      <w:marBottom w:val="0"/>
      <w:divBdr>
        <w:top w:val="none" w:sz="0" w:space="0" w:color="auto"/>
        <w:left w:val="none" w:sz="0" w:space="0" w:color="auto"/>
        <w:bottom w:val="none" w:sz="0" w:space="0" w:color="auto"/>
        <w:right w:val="none" w:sz="0" w:space="0" w:color="auto"/>
      </w:divBdr>
      <w:divsChild>
        <w:div w:id="608969472">
          <w:marLeft w:val="0"/>
          <w:marRight w:val="0"/>
          <w:marTop w:val="0"/>
          <w:marBottom w:val="0"/>
          <w:divBdr>
            <w:top w:val="none" w:sz="0" w:space="0" w:color="auto"/>
            <w:left w:val="none" w:sz="0" w:space="0" w:color="auto"/>
            <w:bottom w:val="none" w:sz="0" w:space="0" w:color="auto"/>
            <w:right w:val="none" w:sz="0" w:space="0" w:color="auto"/>
          </w:divBdr>
          <w:divsChild>
            <w:div w:id="882861591">
              <w:marLeft w:val="0"/>
              <w:marRight w:val="0"/>
              <w:marTop w:val="0"/>
              <w:marBottom w:val="0"/>
              <w:divBdr>
                <w:top w:val="none" w:sz="0" w:space="0" w:color="auto"/>
                <w:left w:val="none" w:sz="0" w:space="0" w:color="auto"/>
                <w:bottom w:val="none" w:sz="0" w:space="0" w:color="auto"/>
                <w:right w:val="none" w:sz="0" w:space="0" w:color="auto"/>
              </w:divBdr>
              <w:divsChild>
                <w:div w:id="1564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02857">
      <w:bodyDiv w:val="1"/>
      <w:marLeft w:val="0"/>
      <w:marRight w:val="0"/>
      <w:marTop w:val="0"/>
      <w:marBottom w:val="0"/>
      <w:divBdr>
        <w:top w:val="none" w:sz="0" w:space="0" w:color="auto"/>
        <w:left w:val="none" w:sz="0" w:space="0" w:color="auto"/>
        <w:bottom w:val="none" w:sz="0" w:space="0" w:color="auto"/>
        <w:right w:val="none" w:sz="0" w:space="0" w:color="auto"/>
      </w:divBdr>
      <w:divsChild>
        <w:div w:id="488597844">
          <w:marLeft w:val="0"/>
          <w:marRight w:val="0"/>
          <w:marTop w:val="0"/>
          <w:marBottom w:val="0"/>
          <w:divBdr>
            <w:top w:val="none" w:sz="0" w:space="0" w:color="auto"/>
            <w:left w:val="none" w:sz="0" w:space="0" w:color="auto"/>
            <w:bottom w:val="none" w:sz="0" w:space="0" w:color="auto"/>
            <w:right w:val="none" w:sz="0" w:space="0" w:color="auto"/>
          </w:divBdr>
          <w:divsChild>
            <w:div w:id="465969471">
              <w:marLeft w:val="0"/>
              <w:marRight w:val="0"/>
              <w:marTop w:val="0"/>
              <w:marBottom w:val="0"/>
              <w:divBdr>
                <w:top w:val="none" w:sz="0" w:space="0" w:color="auto"/>
                <w:left w:val="none" w:sz="0" w:space="0" w:color="auto"/>
                <w:bottom w:val="none" w:sz="0" w:space="0" w:color="auto"/>
                <w:right w:val="none" w:sz="0" w:space="0" w:color="auto"/>
              </w:divBdr>
            </w:div>
            <w:div w:id="82726288">
              <w:marLeft w:val="0"/>
              <w:marRight w:val="0"/>
              <w:marTop w:val="0"/>
              <w:marBottom w:val="0"/>
              <w:divBdr>
                <w:top w:val="none" w:sz="0" w:space="0" w:color="auto"/>
                <w:left w:val="none" w:sz="0" w:space="0" w:color="auto"/>
                <w:bottom w:val="none" w:sz="0" w:space="0" w:color="auto"/>
                <w:right w:val="none" w:sz="0" w:space="0" w:color="auto"/>
              </w:divBdr>
            </w:div>
          </w:divsChild>
        </w:div>
        <w:div w:id="1749575930">
          <w:marLeft w:val="0"/>
          <w:marRight w:val="0"/>
          <w:marTop w:val="0"/>
          <w:marBottom w:val="0"/>
          <w:divBdr>
            <w:top w:val="none" w:sz="0" w:space="0" w:color="auto"/>
            <w:left w:val="none" w:sz="0" w:space="0" w:color="auto"/>
            <w:bottom w:val="none" w:sz="0" w:space="0" w:color="auto"/>
            <w:right w:val="none" w:sz="0" w:space="0" w:color="auto"/>
          </w:divBdr>
        </w:div>
      </w:divsChild>
    </w:div>
    <w:div w:id="1836412455">
      <w:bodyDiv w:val="1"/>
      <w:marLeft w:val="0"/>
      <w:marRight w:val="0"/>
      <w:marTop w:val="0"/>
      <w:marBottom w:val="0"/>
      <w:divBdr>
        <w:top w:val="none" w:sz="0" w:space="0" w:color="auto"/>
        <w:left w:val="none" w:sz="0" w:space="0" w:color="auto"/>
        <w:bottom w:val="none" w:sz="0" w:space="0" w:color="auto"/>
        <w:right w:val="none" w:sz="0" w:space="0" w:color="auto"/>
      </w:divBdr>
    </w:div>
    <w:div w:id="1976912726">
      <w:bodyDiv w:val="1"/>
      <w:marLeft w:val="0"/>
      <w:marRight w:val="0"/>
      <w:marTop w:val="0"/>
      <w:marBottom w:val="0"/>
      <w:divBdr>
        <w:top w:val="none" w:sz="0" w:space="0" w:color="auto"/>
        <w:left w:val="none" w:sz="0" w:space="0" w:color="auto"/>
        <w:bottom w:val="none" w:sz="0" w:space="0" w:color="auto"/>
        <w:right w:val="none" w:sz="0" w:space="0" w:color="auto"/>
      </w:divBdr>
    </w:div>
    <w:div w:id="2003001331">
      <w:bodyDiv w:val="1"/>
      <w:marLeft w:val="0"/>
      <w:marRight w:val="0"/>
      <w:marTop w:val="0"/>
      <w:marBottom w:val="0"/>
      <w:divBdr>
        <w:top w:val="none" w:sz="0" w:space="0" w:color="auto"/>
        <w:left w:val="none" w:sz="0" w:space="0" w:color="auto"/>
        <w:bottom w:val="none" w:sz="0" w:space="0" w:color="auto"/>
        <w:right w:val="none" w:sz="0" w:space="0" w:color="auto"/>
      </w:divBdr>
      <w:divsChild>
        <w:div w:id="570166195">
          <w:marLeft w:val="0"/>
          <w:marRight w:val="0"/>
          <w:marTop w:val="0"/>
          <w:marBottom w:val="0"/>
          <w:divBdr>
            <w:top w:val="none" w:sz="0" w:space="0" w:color="auto"/>
            <w:left w:val="none" w:sz="0" w:space="0" w:color="auto"/>
            <w:bottom w:val="none" w:sz="0" w:space="0" w:color="auto"/>
            <w:right w:val="none" w:sz="0" w:space="0" w:color="auto"/>
          </w:divBdr>
          <w:divsChild>
            <w:div w:id="1757751710">
              <w:marLeft w:val="0"/>
              <w:marRight w:val="0"/>
              <w:marTop w:val="105"/>
              <w:marBottom w:val="0"/>
              <w:divBdr>
                <w:top w:val="none" w:sz="0" w:space="0" w:color="auto"/>
                <w:left w:val="none" w:sz="0" w:space="0" w:color="auto"/>
                <w:bottom w:val="none" w:sz="0" w:space="0" w:color="auto"/>
                <w:right w:val="none" w:sz="0" w:space="0" w:color="auto"/>
              </w:divBdr>
            </w:div>
          </w:divsChild>
        </w:div>
        <w:div w:id="611321985">
          <w:marLeft w:val="0"/>
          <w:marRight w:val="0"/>
          <w:marTop w:val="0"/>
          <w:marBottom w:val="0"/>
          <w:divBdr>
            <w:top w:val="none" w:sz="0" w:space="0" w:color="auto"/>
            <w:left w:val="none" w:sz="0" w:space="0" w:color="auto"/>
            <w:bottom w:val="none" w:sz="0" w:space="0" w:color="auto"/>
            <w:right w:val="none" w:sz="0" w:space="0" w:color="auto"/>
          </w:divBdr>
          <w:divsChild>
            <w:div w:id="1424568765">
              <w:marLeft w:val="0"/>
              <w:marRight w:val="0"/>
              <w:marTop w:val="105"/>
              <w:marBottom w:val="0"/>
              <w:divBdr>
                <w:top w:val="none" w:sz="0" w:space="0" w:color="auto"/>
                <w:left w:val="none" w:sz="0" w:space="0" w:color="auto"/>
                <w:bottom w:val="none" w:sz="0" w:space="0" w:color="auto"/>
                <w:right w:val="none" w:sz="0" w:space="0" w:color="auto"/>
              </w:divBdr>
            </w:div>
          </w:divsChild>
        </w:div>
        <w:div w:id="150098809">
          <w:marLeft w:val="0"/>
          <w:marRight w:val="0"/>
          <w:marTop w:val="0"/>
          <w:marBottom w:val="0"/>
          <w:divBdr>
            <w:top w:val="none" w:sz="0" w:space="0" w:color="auto"/>
            <w:left w:val="none" w:sz="0" w:space="0" w:color="auto"/>
            <w:bottom w:val="none" w:sz="0" w:space="0" w:color="auto"/>
            <w:right w:val="none" w:sz="0" w:space="0" w:color="auto"/>
          </w:divBdr>
          <w:divsChild>
            <w:div w:id="9014491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13677580">
      <w:bodyDiv w:val="1"/>
      <w:marLeft w:val="0"/>
      <w:marRight w:val="0"/>
      <w:marTop w:val="0"/>
      <w:marBottom w:val="0"/>
      <w:divBdr>
        <w:top w:val="none" w:sz="0" w:space="0" w:color="auto"/>
        <w:left w:val="none" w:sz="0" w:space="0" w:color="auto"/>
        <w:bottom w:val="none" w:sz="0" w:space="0" w:color="auto"/>
        <w:right w:val="none" w:sz="0" w:space="0" w:color="auto"/>
      </w:divBdr>
      <w:divsChild>
        <w:div w:id="218178198">
          <w:marLeft w:val="0"/>
          <w:marRight w:val="0"/>
          <w:marTop w:val="0"/>
          <w:marBottom w:val="0"/>
          <w:divBdr>
            <w:top w:val="none" w:sz="0" w:space="0" w:color="auto"/>
            <w:left w:val="none" w:sz="0" w:space="0" w:color="auto"/>
            <w:bottom w:val="none" w:sz="0" w:space="0" w:color="auto"/>
            <w:right w:val="none" w:sz="0" w:space="0" w:color="auto"/>
          </w:divBdr>
          <w:divsChild>
            <w:div w:id="2020546612">
              <w:marLeft w:val="0"/>
              <w:marRight w:val="0"/>
              <w:marTop w:val="0"/>
              <w:marBottom w:val="0"/>
              <w:divBdr>
                <w:top w:val="none" w:sz="0" w:space="0" w:color="auto"/>
                <w:left w:val="none" w:sz="0" w:space="0" w:color="auto"/>
                <w:bottom w:val="none" w:sz="0" w:space="0" w:color="auto"/>
                <w:right w:val="none" w:sz="0" w:space="0" w:color="auto"/>
              </w:divBdr>
              <w:divsChild>
                <w:div w:id="20515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uria.europa.eu/jcms/jcms/j_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7939-BE95-4E77-AADC-EB9958B3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32995</Words>
  <Characters>197970</Characters>
  <Application>Microsoft Office Word</Application>
  <DocSecurity>0</DocSecurity>
  <Lines>1649</Lines>
  <Paragraphs>461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Łój</dc:creator>
  <cp:lastModifiedBy>Wójcik Aleksandra</cp:lastModifiedBy>
  <cp:revision>4</cp:revision>
  <cp:lastPrinted>2024-02-13T08:50:00Z</cp:lastPrinted>
  <dcterms:created xsi:type="dcterms:W3CDTF">2024-05-16T08:17:00Z</dcterms:created>
  <dcterms:modified xsi:type="dcterms:W3CDTF">2024-05-16T08:32:00Z</dcterms:modified>
</cp:coreProperties>
</file>