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99B1C" w14:textId="77777777" w:rsidR="00131CAE" w:rsidRPr="00647A67" w:rsidRDefault="00131CAE" w:rsidP="00131CAE">
      <w:pPr>
        <w:pStyle w:val="OZNPROJEKTUwskazaniedatylubwersjiprojektu"/>
      </w:pPr>
      <w:r w:rsidRPr="00DF0B28">
        <w:t>Projekt</w:t>
      </w:r>
      <w:r>
        <w:t xml:space="preserve"> </w:t>
      </w:r>
    </w:p>
    <w:p w14:paraId="6A4037DE" w14:textId="77777777" w:rsidR="00131CAE" w:rsidRPr="00DF0B28" w:rsidRDefault="00131CAE" w:rsidP="00131CAE">
      <w:pPr>
        <w:pStyle w:val="OZNRODZAKTUtznustawalubrozporzdzenieiorganwydajcy"/>
      </w:pPr>
      <w:r w:rsidRPr="00CC7709">
        <w:t>Ustawa</w:t>
      </w:r>
    </w:p>
    <w:p w14:paraId="3CAC306B" w14:textId="77777777" w:rsidR="00131CAE" w:rsidRPr="00DF0B28" w:rsidRDefault="00131CAE" w:rsidP="00131CAE">
      <w:pPr>
        <w:pStyle w:val="DATAAKTUdatauchwalenialubwydaniaaktu"/>
      </w:pPr>
      <w:r w:rsidRPr="00DF0B28">
        <w:t xml:space="preserve">z </w:t>
      </w:r>
      <w:r w:rsidRPr="00CC7709">
        <w:t>dnia</w:t>
      </w:r>
      <w:r w:rsidRPr="00DF0B28">
        <w:t xml:space="preserve"> … 202</w:t>
      </w:r>
      <w:r>
        <w:t>4</w:t>
      </w:r>
      <w:r w:rsidRPr="00DF0B28">
        <w:t xml:space="preserve"> r.</w:t>
      </w:r>
    </w:p>
    <w:p w14:paraId="34CA3A82" w14:textId="77777777" w:rsidR="00131CAE" w:rsidRPr="00DF0B28" w:rsidRDefault="00131CAE" w:rsidP="00131CAE">
      <w:pPr>
        <w:pStyle w:val="TYTUAKTUprzedmiotregulacjiustawylubrozporzdzenia"/>
      </w:pPr>
      <w:bookmarkStart w:id="0" w:name="_Hlk527316707"/>
      <w:r w:rsidRPr="00DF0B28">
        <w:t xml:space="preserve">o zmianie ustawy – Kodeks </w:t>
      </w:r>
      <w:r w:rsidRPr="00CC7709">
        <w:t>postępowania</w:t>
      </w:r>
      <w:r w:rsidRPr="00DF0B28">
        <w:t xml:space="preserve"> karnego</w:t>
      </w:r>
    </w:p>
    <w:p w14:paraId="4D336B90" w14:textId="77777777" w:rsidR="00131CAE" w:rsidRPr="00DF0B28" w:rsidRDefault="00131CAE" w:rsidP="00131CAE">
      <w:pPr>
        <w:pStyle w:val="ARTartustawynprozporzdzenia"/>
      </w:pPr>
      <w:bookmarkStart w:id="1" w:name="_Hlk8737760"/>
      <w:bookmarkEnd w:id="0"/>
      <w:r w:rsidRPr="00CC7709">
        <w:rPr>
          <w:rStyle w:val="Ppogrubienie"/>
        </w:rPr>
        <w:t>Art. 1.</w:t>
      </w:r>
      <w:r w:rsidRPr="00DF0B28">
        <w:t xml:space="preserve"> </w:t>
      </w:r>
      <w:bookmarkStart w:id="2" w:name="_Hlk8737841"/>
      <w:bookmarkEnd w:id="1"/>
      <w:r w:rsidRPr="00DF0B28">
        <w:t>W ustawie z dnia 6 czerwca 1997 r. – Kodeks postępowania karnego</w:t>
      </w:r>
      <w:r>
        <w:t xml:space="preserve"> </w:t>
      </w:r>
      <w:bookmarkStart w:id="3" w:name="_Hlk163134042"/>
      <w:r>
        <w:t>(Dz. U. z 2024 r. poz. 37)</w:t>
      </w:r>
      <w:r w:rsidRPr="00DF0B28">
        <w:t xml:space="preserve"> </w:t>
      </w:r>
      <w:bookmarkEnd w:id="3"/>
      <w:r w:rsidRPr="00DF0B28">
        <w:t>uchyla się art. 99a.</w:t>
      </w:r>
    </w:p>
    <w:p w14:paraId="48B24116" w14:textId="77777777" w:rsidR="00131CAE" w:rsidRPr="00597E69" w:rsidRDefault="00131CAE" w:rsidP="00131CAE">
      <w:pPr>
        <w:pStyle w:val="ARTartustawynprozporzdzenia"/>
      </w:pPr>
      <w:r w:rsidRPr="00DF0B28">
        <w:rPr>
          <w:b/>
        </w:rPr>
        <w:t>Art. 2. </w:t>
      </w:r>
      <w:r w:rsidRPr="00597E69">
        <w:t xml:space="preserve">Do uzasadnień wyroków wydanych przed dniem wejścia </w:t>
      </w:r>
      <w:r>
        <w:t xml:space="preserve">w życie </w:t>
      </w:r>
      <w:r w:rsidRPr="00597E69">
        <w:t>niniejszej ustawy stosuje się przepisy ustawy zmienianej w art. 1 w brzmieniu dotychczasowym, chyba że</w:t>
      </w:r>
      <w:r>
        <w:t xml:space="preserve"> osoba zobowiązana do sporządzenia uzasadnienia wyroku</w:t>
      </w:r>
      <w:r w:rsidRPr="00597E69">
        <w:t xml:space="preserve"> zarządzi</w:t>
      </w:r>
      <w:r>
        <w:t xml:space="preserve"> jego</w:t>
      </w:r>
      <w:r w:rsidRPr="00597E69">
        <w:t xml:space="preserve"> sporządzenie na podstawie przepisów ustawy zmienianej w art. 1 w brzmieniu nadanym niniejszą ustawą.</w:t>
      </w:r>
    </w:p>
    <w:p w14:paraId="7977D7A8" w14:textId="77777777" w:rsidR="00131CAE" w:rsidRPr="00DF0B28" w:rsidRDefault="00131CAE" w:rsidP="00131CAE">
      <w:pPr>
        <w:pStyle w:val="ARTartustawynprozporzdzenia"/>
      </w:pPr>
      <w:r w:rsidRPr="00DF0B28">
        <w:rPr>
          <w:b/>
        </w:rPr>
        <w:t>Art. 3. </w:t>
      </w:r>
      <w:r w:rsidRPr="00DF0B28">
        <w:t>Ustawa wchodzi w życie po upływie 14 dni od dnia ogłoszenia.</w:t>
      </w:r>
      <w:bookmarkEnd w:id="2"/>
    </w:p>
    <w:p w14:paraId="0599531A" w14:textId="77777777" w:rsidR="00131CAE" w:rsidRPr="00DF0B28" w:rsidRDefault="00131CAE" w:rsidP="00131CAE">
      <w:pPr>
        <w:rPr>
          <w:rFonts w:ascii="Calibri Light" w:hAnsi="Calibri Light" w:cs="Calibri Light"/>
          <w:bCs/>
          <w:kern w:val="95"/>
        </w:rPr>
      </w:pPr>
      <w:r w:rsidRPr="00DF0B28">
        <w:rPr>
          <w:rFonts w:ascii="Calibri Light" w:hAnsi="Calibri Light" w:cs="Calibri Light"/>
        </w:rPr>
        <w:br w:type="page"/>
      </w:r>
    </w:p>
    <w:p w14:paraId="6615C4B7" w14:textId="77777777" w:rsidR="00131CAE" w:rsidRPr="00D02C80" w:rsidRDefault="00131CAE" w:rsidP="00131CAE">
      <w:pPr>
        <w:pStyle w:val="OZNRODZAKTUtznustawalubrozporzdzenieiorganwydajcy"/>
        <w:rPr>
          <w:rStyle w:val="Ppogrubienie"/>
        </w:rPr>
      </w:pPr>
      <w:r w:rsidRPr="00D02C80">
        <w:rPr>
          <w:rStyle w:val="Ppogrubienie"/>
        </w:rPr>
        <w:lastRenderedPageBreak/>
        <w:t>UZASADNIENIE</w:t>
      </w:r>
    </w:p>
    <w:p w14:paraId="6C288A21" w14:textId="77777777" w:rsidR="00131CAE" w:rsidRPr="00597E69" w:rsidRDefault="00131CAE" w:rsidP="00131CAE">
      <w:pPr>
        <w:pStyle w:val="NIEARTTEKSTtekstnieartykuowanynppodstprawnarozplubpreambua"/>
        <w:ind w:firstLine="426"/>
      </w:pPr>
      <w:r w:rsidRPr="00597E69">
        <w:t>Przedkładana inicjatywa ustawodawcza jest projektem stanowiącym przedmiot petycji Naczelnej Rady Adwokackiej z dnia 1 lutego 2024 r. Wnioskodawcy uznają, że propozycja zawarta w projekcie jest ważnym elementem procesu odchodzenia od zmian w procedurze karnej jakie w ostatnich latach przyczyniły się do naruszenia podstawowych standardów wynikających z zasady prawa do sądu określonej w art. 45 ust. 1 Konstytucji i stały się powodem zarzutów o naruszanie praworządności. Dlatego też – podzielając argumentację stanowiącą treść petycji NRA – proponuje się przyjąć projekt tożsamy co do treści merytorycznej. Poniżej wnioskodawcy jako uzasadnienie niniejszego projektu przedstawiają w zasadniczej części brzmienie uzasadnienia projektu załączonego do petycji NRA, z dodatkowymi informacjami uwzględniającymi wymogi Regulaminu Sejmu.</w:t>
      </w:r>
    </w:p>
    <w:p w14:paraId="6A47F22C" w14:textId="77777777" w:rsidR="00131CAE" w:rsidRPr="00D02C80" w:rsidRDefault="00131CAE" w:rsidP="00131CAE">
      <w:pPr>
        <w:pStyle w:val="NIEARTTEKSTtekstnieartykuowanynppodstprawnarozplubpreambua"/>
        <w:rPr>
          <w:rStyle w:val="Kkursywa"/>
        </w:rPr>
      </w:pPr>
      <w:r w:rsidRPr="00D02C80">
        <w:rPr>
          <w:rStyle w:val="Kkursywa"/>
        </w:rPr>
        <w:t>I. Wstęp</w:t>
      </w:r>
    </w:p>
    <w:p w14:paraId="65226842" w14:textId="77777777" w:rsidR="00131CAE" w:rsidRPr="00D02C80" w:rsidRDefault="00131CAE" w:rsidP="00131CAE">
      <w:pPr>
        <w:pStyle w:val="NIEARTTEKSTtekstnieartykuowanynppodstprawnarozplubpreambua"/>
        <w:rPr>
          <w:rStyle w:val="Kkursywa"/>
        </w:rPr>
      </w:pPr>
      <w:r w:rsidRPr="00D02C80">
        <w:rPr>
          <w:rStyle w:val="Kkursywa"/>
        </w:rPr>
        <w:t xml:space="preserve">Wraz z wejściem w życie w dniu 5 grudnia 2019 r. przepisu art. 99a k.p.k., sporządzanie uzasadnienia wyroku na formularzu według ustalonego wzoru stało się zasadą i obowiązującą formą uzasadnienia wyroku sądu I instancji, w tym wyroku nakazowego i wyroku łącznego oraz wyroku sądu odwoławczego, a także wyroku wydanego w postępowaniu o wznowienie postępowania. </w:t>
      </w:r>
    </w:p>
    <w:p w14:paraId="7406A9DA" w14:textId="77777777" w:rsidR="00131CAE" w:rsidRPr="00D02C80" w:rsidRDefault="00131CAE" w:rsidP="00131CAE">
      <w:pPr>
        <w:pStyle w:val="NIEARTTEKSTtekstnieartykuowanynppodstprawnarozplubpreambua"/>
        <w:rPr>
          <w:rStyle w:val="Kkursywa"/>
        </w:rPr>
      </w:pPr>
      <w:r w:rsidRPr="00D02C80">
        <w:rPr>
          <w:rStyle w:val="Kkursywa"/>
        </w:rPr>
        <w:t xml:space="preserve">Choć ustawodawca nie wprowadził żadnych wyjątków, których zaistnienie umożliwiałoby sporządzenie uzasadnienia wyroku w tradycyjny sposób (tj. z pominięciem formularza), orzecznictwo sądowe konsekwentnie dostrzega konieczność przeprowadzania oceny, czy ta - niewątpliwie uproszczona - postać zaprezentowania motywów rozstrzygnięcia nie narusza podstawowych gwarancji procesowych, tak istotnych w sprawach karnych, w tym nie pozbawia stron procesu prawa do zapoznania się z pełną i pogłębioną argumentacją sądu odnoszącą się do wszystkich elementów, które składają się na ostateczne rozstrzygnięcie sprawy karnej. Jeżeli sąd uznaje, że nie może sporządzić uzasadnienia swojego wyroku na formularzu w sposób, który zagwarantuje stronie prawo do rzetelnego procesu odwoławczego, ma obowiązek bezpośredniego zastosowania art. 91 ust. 2 Konstytucji RP i przedstawienia swego stanowiska wraz z argumentacją w sposób tradycyjny, tj. z pominięciem formularza. Takie praktyczne funkcjonowanie przepisu art. 99a k.p.k., wbrew pokładanym w nim nadziejom, dodatkowo uwzględniając sposób technicznego opracowania formularza uzasadnień, co nastąpiło w akcie wykonawczym, wielokrotnie prowadzi do sytuacji, że oskarżony nie może zapoznać się z pełną argumentacją sądu w odniesieniu do odpowiedzialności karnej za przypisany czyn. Ma to miejsce z tego powodu, że treść zawarta w formularzu jest lakoniczna a sam formularz nie </w:t>
      </w:r>
      <w:r w:rsidRPr="00D02C80">
        <w:rPr>
          <w:rStyle w:val="Kkursywa"/>
        </w:rPr>
        <w:lastRenderedPageBreak/>
        <w:t xml:space="preserve">pozwala sądowi na pełne przedstawienie merytorycznej strony rozstrzygnięcia, które zostało wydane. Co oczywiste utrudnia to nie tylko możliwość polemiki apelacyjnej, ale także samej kontroli instancyjnej wydanego orzeczenia, z tego powodu, że wielokroć trudno poznać motywy, którymi kierował się są wydający orzeczenie i sporządzający jego uzasadnienie na formularzu wskazanym w art. 99a k.p.k. Mając na względzie, że uzasadnienie orzeczenia pełni też funkcję wyjaśniającą jego rozstrzygnięcie, częstokroć formularz uzasadnienia i wynikające z jego konstrukcji ograniczenia, nie pozwala na przekonanie adresata rozstrzygnięcia o jego trefności lub nie pozwala, aby adresat zapoznał się z pełną argumentacją stanowiącą o podstawie rozstrzygnięcia o jego prawach lub obowiązkach. </w:t>
      </w:r>
    </w:p>
    <w:p w14:paraId="3EAF1664" w14:textId="77777777" w:rsidR="00131CAE" w:rsidRPr="00D02C80" w:rsidRDefault="00131CAE" w:rsidP="00131CAE">
      <w:pPr>
        <w:pStyle w:val="NIEARTTEKSTtekstnieartykuowanynppodstprawnarozplubpreambua"/>
        <w:rPr>
          <w:rStyle w:val="Kkursywa"/>
        </w:rPr>
      </w:pPr>
      <w:r w:rsidRPr="00D02C80">
        <w:rPr>
          <w:rStyle w:val="Kkursywa"/>
        </w:rPr>
        <w:t>II. Obecny stan prawny i potrzeba zmian</w:t>
      </w:r>
    </w:p>
    <w:p w14:paraId="5DFAE074" w14:textId="77777777" w:rsidR="00131CAE" w:rsidRPr="00D02C80" w:rsidRDefault="00131CAE" w:rsidP="00131CAE">
      <w:pPr>
        <w:pStyle w:val="NIEARTTEKSTtekstnieartykuowanynppodstprawnarozplubpreambua"/>
        <w:rPr>
          <w:rStyle w:val="Kkursywa"/>
        </w:rPr>
      </w:pPr>
      <w:r w:rsidRPr="00D02C80">
        <w:rPr>
          <w:rStyle w:val="Kkursywa"/>
        </w:rPr>
        <w:t>W obecnym stanie prawnym zgodnie z art. 99a (§ 1) uzasadnienie wyroku sądu pierwszej instancji, w tym wyroku nakazowego i wyroku łącznego, oraz wyroku sądu odwoławczego i wyroku wydanego w postępowaniu o wznowienie postępowania sporządza się na formularzu według ustalonego wzoru. (§ 2) Minister Sprawiedliwości określi, w drodze rozporządzenia, wzory formularzy uzasadnień wyroków oraz sposób ich wypełniania, mając na uwadze konieczność zamieszczenia w nich niezbędnych informacji wskazanych w ustawie, w sposób umożliwiający należyte sporządzenie przez uprawnionego środka zaskarżenia, a także właściwe dokonanie kontroli wyroku w razie wniesienia takiego środka.</w:t>
      </w:r>
    </w:p>
    <w:p w14:paraId="7C81B215" w14:textId="77777777" w:rsidR="00131CAE" w:rsidRPr="00D02C80" w:rsidRDefault="00131CAE" w:rsidP="00131CAE">
      <w:pPr>
        <w:pStyle w:val="NIEARTTEKSTtekstnieartykuowanynppodstprawnarozplubpreambua"/>
        <w:rPr>
          <w:rStyle w:val="Kkursywa"/>
        </w:rPr>
      </w:pPr>
      <w:r w:rsidRPr="00D02C80">
        <w:rPr>
          <w:rStyle w:val="Kkursywa"/>
        </w:rPr>
        <w:t xml:space="preserve">Projekt ustawy zmierza do uchylenia tego przepisu i przywrócenie poprzedniej formuły sporządzania uzasadnienia. </w:t>
      </w:r>
    </w:p>
    <w:p w14:paraId="1699B7B5" w14:textId="77777777" w:rsidR="00131CAE" w:rsidRPr="00D02C80" w:rsidRDefault="00131CAE" w:rsidP="00131CAE">
      <w:pPr>
        <w:pStyle w:val="NIEARTTEKSTtekstnieartykuowanynppodstprawnarozplubpreambua"/>
        <w:rPr>
          <w:rStyle w:val="Kkursywa"/>
        </w:rPr>
      </w:pPr>
      <w:r w:rsidRPr="00D02C80">
        <w:rPr>
          <w:rStyle w:val="Kkursywa"/>
        </w:rPr>
        <w:t xml:space="preserve">Dodać należy, że w orzecznictwie Sądu Najwyższego wyrażono pogląd, że formularz uzasadnienia nie jest wyłączną formą sporządzenia uzasadnienia, gdyż rzeczą każdego sądu odwoławczego, w ramach obowiązku wynikającego z treści art. 457 § 3 w zw. z art. 433 § 1 i 2, jest przeprowadzenie w konkretnej sprawie oceny, czy może sporządzić uzasadnienie swojego wyroku na formularzu UK 2 (art. 99a § 1) w taki sposób, który zagwarantuje stronie prawo do rzetelnego procesu odwoławczego, a więc rzetelnego i konkretnego ustosunkowania się w toku postępowania do każdego istotnego argumentu zawartego w apelacji strony i przedstawienia takiej oceny właśnie w uzasadnieniu wyroku sądu odwoławczego (wyrok SN z 11.08.2020 r., I KA 1/20, LEX nr 3061026). Oznacza to, że sądy dostrzegają dysfunkcjonalność obecnego rozwiązania, zasadnie eksponując, iż formularze uzasadnień z zasady nie gwarantują stronie prawa do rzetelnego procesu sądowego, w tym spełnienia obowiązku sądu rzetelnego i konkretnego ustosunkowania się w toku postępowania do każdego istotnego elementu </w:t>
      </w:r>
      <w:r w:rsidRPr="00D02C80">
        <w:rPr>
          <w:rStyle w:val="Kkursywa"/>
        </w:rPr>
        <w:lastRenderedPageBreak/>
        <w:t xml:space="preserve">rozstrzygnięcia, a samej stronie możliwość poznania pełnych motywów rozstrzygnięcia i wywiedzenia skutecznego środka odwoławczego lub zaskarżenia. </w:t>
      </w:r>
    </w:p>
    <w:p w14:paraId="222959C5" w14:textId="77777777" w:rsidR="00131CAE" w:rsidRPr="00D02C80" w:rsidRDefault="00131CAE" w:rsidP="00131CAE">
      <w:pPr>
        <w:pStyle w:val="NIEARTTEKSTtekstnieartykuowanynppodstprawnarozplubpreambua"/>
        <w:rPr>
          <w:rStyle w:val="Kkursywa"/>
        </w:rPr>
      </w:pPr>
      <w:r w:rsidRPr="00D02C80">
        <w:rPr>
          <w:rStyle w:val="Kkursywa"/>
        </w:rPr>
        <w:t xml:space="preserve">Potrzeba wprowadzenia projektowanej regulacji wynika zatem </w:t>
      </w:r>
      <w:bookmarkStart w:id="4" w:name="_Hlk70630821"/>
      <w:r w:rsidRPr="00D02C80">
        <w:rPr>
          <w:rStyle w:val="Kkursywa"/>
        </w:rPr>
        <w:t xml:space="preserve">z konieczności zapewnienia stronom postępowania karnego prawa do rzetelnego procesu sadowego. </w:t>
      </w:r>
    </w:p>
    <w:p w14:paraId="2765AB31" w14:textId="77777777" w:rsidR="00131CAE" w:rsidRPr="00D02C80" w:rsidRDefault="00131CAE" w:rsidP="00131CAE">
      <w:pPr>
        <w:pStyle w:val="NIEARTTEKSTtekstnieartykuowanynppodstprawnarozplubpreambua"/>
        <w:rPr>
          <w:rStyle w:val="Kkursywa"/>
        </w:rPr>
      </w:pPr>
      <w:r w:rsidRPr="00D02C80">
        <w:rPr>
          <w:rStyle w:val="Kkursywa"/>
        </w:rPr>
        <w:t>Prawo do rzetelnego procesu ma wymiar konstytucyjny (art. 45 ust. 1 Konstytucji) oraz konwencyjny (art. 6 ust. 1-3 Europejskiej konwencji o ochronie praw człowieka i podstawowych wolności, dalej: Konwencja). Obowiązek sporządzenia uzasadnienia orzeczenia jest nie tylko wymogiem formalnym, ale ma istotne znaczenie merytoryczne. Uzasadnienie, przedstawiając tok rozumowania poprzedzający wydanie orzeczenia, umożliwić ma stronom, a zwłaszcza oskarżonemu, jego kontrolę. Pełni nie tylko funkcje procesowe, lecz także buduje autorytet wymiaru sprawiedliwości i kształtuje zewnętrzne przekonanie o sprawiedliwości orzeczenia.</w:t>
      </w:r>
    </w:p>
    <w:bookmarkEnd w:id="4"/>
    <w:p w14:paraId="02653B5D" w14:textId="77777777" w:rsidR="00131CAE" w:rsidRPr="00D02C80" w:rsidRDefault="00131CAE" w:rsidP="00131CAE">
      <w:pPr>
        <w:pStyle w:val="NIEARTTEKSTtekstnieartykuowanynppodstprawnarozplubpreambua"/>
        <w:rPr>
          <w:rStyle w:val="Kkursywa"/>
        </w:rPr>
      </w:pPr>
      <w:r w:rsidRPr="00D02C80">
        <w:rPr>
          <w:rStyle w:val="Kkursywa"/>
        </w:rPr>
        <w:t>III. Omówienie projektowanej regulacji</w:t>
      </w:r>
    </w:p>
    <w:p w14:paraId="00A319FC" w14:textId="77777777" w:rsidR="00131CAE" w:rsidRPr="00D02C80" w:rsidRDefault="00131CAE" w:rsidP="00131CAE">
      <w:pPr>
        <w:pStyle w:val="NIEARTTEKSTtekstnieartykuowanynppodstprawnarozplubpreambua"/>
        <w:rPr>
          <w:rStyle w:val="Kkursywa"/>
        </w:rPr>
      </w:pPr>
      <w:r w:rsidRPr="00D02C80">
        <w:rPr>
          <w:rStyle w:val="Kkursywa"/>
        </w:rPr>
        <w:t xml:space="preserve">Cel projektu ma zostać osiągnięty poprzez uchylenie art. 99 a. </w:t>
      </w:r>
    </w:p>
    <w:p w14:paraId="0C2878B2" w14:textId="77777777" w:rsidR="00131CAE" w:rsidRPr="00D02C80" w:rsidRDefault="00131CAE" w:rsidP="00131CAE">
      <w:pPr>
        <w:pStyle w:val="NIEARTTEKSTtekstnieartykuowanynppodstprawnarozplubpreambua"/>
        <w:rPr>
          <w:rStyle w:val="Kkursywa"/>
        </w:rPr>
      </w:pPr>
      <w:r w:rsidRPr="00D02C80">
        <w:rPr>
          <w:rStyle w:val="Kkursywa"/>
        </w:rPr>
        <w:t xml:space="preserve">Z przedstawionych powodów, zarówno natury jurydycznej, ale także w aspekcie interesu społecznego, zadaniem ustawodawcy jest stworzenie otoczenia normatywnego, które będzie gwarantowało, prawo do rzetelnego procesu sądowego. </w:t>
      </w:r>
    </w:p>
    <w:p w14:paraId="07AB0C38" w14:textId="77777777" w:rsidR="00131CAE" w:rsidRPr="00D02C80" w:rsidRDefault="00131CAE" w:rsidP="00131CAE">
      <w:pPr>
        <w:pStyle w:val="NIEARTTEKSTtekstnieartykuowanynppodstprawnarozplubpreambua"/>
        <w:rPr>
          <w:rStyle w:val="Kkursywa"/>
        </w:rPr>
      </w:pPr>
      <w:r w:rsidRPr="00D02C80">
        <w:rPr>
          <w:rStyle w:val="Kkursywa"/>
        </w:rPr>
        <w:t xml:space="preserve">Zasadnicza różnica pomiędzy stanem prawnym obecnie obowiązującym, a stanem prawnym, który ma nastąpić po wejściu w życie projektowanej regulacji, sprowadza się do zagwarantowania prawa do rzetelnego procesu sądowego, co jest rozwiązaniem w interesie obywateli, ale także wspierającym dobro wymiaru sprawiedliwości. </w:t>
      </w:r>
    </w:p>
    <w:p w14:paraId="4800729A" w14:textId="77777777" w:rsidR="00131CAE" w:rsidRDefault="00131CAE" w:rsidP="00131CAE">
      <w:pPr>
        <w:pStyle w:val="NIEARTTEKSTtekstnieartykuowanynppodstprawnarozplubpreambua"/>
        <w:rPr>
          <w:rStyle w:val="Kkursywa"/>
        </w:rPr>
      </w:pPr>
      <w:r w:rsidRPr="00D02C80">
        <w:rPr>
          <w:rStyle w:val="Kkursywa"/>
        </w:rPr>
        <w:t>Ustawa ma wejść w życie po upływie 14 dni od dnia ogłoszenia. Tak określone vacatio legis daje czas zainteresowanym podmiotom na przygotowanie się do nowych regulacji, a przede wszystkim niezwłocznie stworzy oczekiwane z perspektywy społecznej mechanizmy ochrony jednego z podstawowych praw gwarantowanych w Konstytucji RP.</w:t>
      </w:r>
    </w:p>
    <w:p w14:paraId="54395B10" w14:textId="77777777" w:rsidR="00131CAE" w:rsidRPr="00D02C80" w:rsidRDefault="00131CAE" w:rsidP="00131CAE">
      <w:pPr>
        <w:pStyle w:val="NIEARTTEKSTtekstnieartykuowanynppodstprawnarozplubpreambua"/>
        <w:rPr>
          <w:rStyle w:val="Kkursywa"/>
        </w:rPr>
      </w:pPr>
      <w:r w:rsidRPr="00D02C80">
        <w:rPr>
          <w:rStyle w:val="Kkursywa"/>
        </w:rPr>
        <w:t>IV. Omówienie skutków projektu i oświadczenie o zgodności z prawem Unii Europejskiej</w:t>
      </w:r>
    </w:p>
    <w:p w14:paraId="37674E0E" w14:textId="77777777" w:rsidR="00131CAE" w:rsidRPr="00D02C80" w:rsidRDefault="00131CAE" w:rsidP="00131CAE">
      <w:pPr>
        <w:pStyle w:val="NIEARTTEKSTtekstnieartykuowanynppodstprawnarozplubpreambua"/>
        <w:rPr>
          <w:rStyle w:val="Kkursywa"/>
        </w:rPr>
      </w:pPr>
      <w:r w:rsidRPr="00D02C80">
        <w:rPr>
          <w:rStyle w:val="Kkursywa"/>
        </w:rPr>
        <w:t>Wejście w życie proponowanej ustawy nie będzie wymagało wydania aktów wykonawczych. Przyjęcie projektowanej ustawy będzie miało pozytywne skutki społeczne.</w:t>
      </w:r>
    </w:p>
    <w:p w14:paraId="112A2F61" w14:textId="77777777" w:rsidR="00131CAE" w:rsidRPr="00D02C80" w:rsidRDefault="00131CAE" w:rsidP="00131CAE">
      <w:pPr>
        <w:pStyle w:val="NIEARTTEKSTtekstnieartykuowanynppodstprawnarozplubpreambua"/>
        <w:rPr>
          <w:rStyle w:val="Kkursywa"/>
        </w:rPr>
      </w:pPr>
      <w:r w:rsidRPr="00D02C80">
        <w:rPr>
          <w:rStyle w:val="Kkursywa"/>
        </w:rPr>
        <w:t>Projekt ustawy nie pociąga za sobą skutków finansowych ‒ nie powoduje obciążenia budżetu państwa ani budżetów jednostek samorządu terytorialnego.</w:t>
      </w:r>
    </w:p>
    <w:p w14:paraId="1A6849DF" w14:textId="77777777" w:rsidR="00131CAE" w:rsidRPr="00D02C80" w:rsidRDefault="00131CAE" w:rsidP="00131CAE">
      <w:pPr>
        <w:pStyle w:val="NIEARTTEKSTtekstnieartykuowanynppodstprawnarozplubpreambua"/>
        <w:rPr>
          <w:rStyle w:val="Kkursywa"/>
        </w:rPr>
      </w:pPr>
      <w:r w:rsidRPr="00D02C80">
        <w:rPr>
          <w:rStyle w:val="Kkursywa"/>
        </w:rPr>
        <w:t>Projekt jest zgodny z prawem Unii Europejskiej.</w:t>
      </w:r>
    </w:p>
    <w:p w14:paraId="2DE6BB3E" w14:textId="77777777" w:rsidR="00131CAE" w:rsidRDefault="00131CAE" w:rsidP="00131CAE">
      <w:pPr>
        <w:pStyle w:val="ZDANIENASTNOWYWIERSZnpzddrugienowywierszwust"/>
        <w:rPr>
          <w:rStyle w:val="Ppogrubienie"/>
        </w:rPr>
      </w:pPr>
    </w:p>
    <w:p w14:paraId="07A9FB17" w14:textId="77777777" w:rsidR="00131CAE" w:rsidRPr="00597E69" w:rsidRDefault="00131CAE" w:rsidP="00131CAE">
      <w:pPr>
        <w:pStyle w:val="ARTartustawynprozporzdzenia"/>
        <w:ind w:firstLine="0"/>
      </w:pPr>
      <w:bookmarkStart w:id="5" w:name="_Hlk164182120"/>
      <w:r w:rsidRPr="00597E69">
        <w:t>Przedkładający projekt proponują zmianę w stosunku do projektu NRA załączonego do petycji w zakresie przepisu przejściowego, w którym przesądzono o stosowaniu przepisów nowych w odniesieniu do wszystkich uzasadnień wyroków wydanych przed dniem wejścia w życie ustawy nowelizującej.</w:t>
      </w:r>
      <w:bookmarkEnd w:id="5"/>
      <w:r w:rsidRPr="00597E69">
        <w:t xml:space="preserve"> W praktyce mogłoby to oznaczać konieczność sporządz</w:t>
      </w:r>
      <w:r>
        <w:t>e</w:t>
      </w:r>
      <w:r w:rsidRPr="00597E69">
        <w:t>nia uzasadnie</w:t>
      </w:r>
      <w:r>
        <w:t xml:space="preserve">nia </w:t>
      </w:r>
      <w:r w:rsidRPr="00597E69">
        <w:t>wyrok</w:t>
      </w:r>
      <w:r>
        <w:t>u</w:t>
      </w:r>
      <w:r w:rsidRPr="00597E69">
        <w:t xml:space="preserve"> wydan</w:t>
      </w:r>
      <w:r>
        <w:t>ego</w:t>
      </w:r>
      <w:r w:rsidRPr="00597E69">
        <w:t xml:space="preserve"> przed dniem wejścia w życie zmian od nowa</w:t>
      </w:r>
      <w:r>
        <w:t>, w sytuacji kiedy na dzień wejścia w życie jego sporządzanie rozpoczęło się na formularzu, ale jeszcze się nie zakończyło</w:t>
      </w:r>
      <w:r w:rsidRPr="00597E69">
        <w:t xml:space="preserve">. Mając na względzie ekonomikę postępowania i dążenie do najmniejszej uciążliwości zmian dla sędziów proponuje się rozstrzygnąć, że do uzasadnień wyroków wydanych przed dniem wejścia nowelizacji stosuje się przepisy ustawy dotychczasowe, </w:t>
      </w:r>
      <w:r w:rsidRPr="00313497">
        <w:t xml:space="preserve">chyba że osoba zobowiązana do sporządzenia uzasadnienia wyroku zarządzi jego </w:t>
      </w:r>
      <w:r w:rsidRPr="00597E69">
        <w:t>sporządzenie na podstawie przepisów kodeksu w brzmieniu nadanym nowelizacją. Pozwoli to na wybór optymalnego rozwiązania służącego zachowaniu sprawności postępowania i przygotowania uzasadnienia odpowiadającego zasadom procesowym.</w:t>
      </w:r>
    </w:p>
    <w:p w14:paraId="1F12525C" w14:textId="77777777" w:rsidR="00131CAE" w:rsidRDefault="00131CAE" w:rsidP="00131CAE">
      <w:pPr>
        <w:pStyle w:val="ZDANIENASTNOWYWIERSZnpzddrugienowywierszwust"/>
        <w:rPr>
          <w:rStyle w:val="Ppogrubienie"/>
          <w:highlight w:val="yellow"/>
        </w:rPr>
      </w:pPr>
    </w:p>
    <w:p w14:paraId="1CEE6552" w14:textId="77777777" w:rsidR="00131CAE" w:rsidRPr="00597E69" w:rsidRDefault="00131CAE" w:rsidP="00131CAE">
      <w:pPr>
        <w:pStyle w:val="ZDANIENASTNOWYWIERSZnpzddrugienowywierszwust"/>
        <w:rPr>
          <w:rStyle w:val="Ppogrubienie"/>
        </w:rPr>
      </w:pPr>
      <w:r w:rsidRPr="00597E69">
        <w:rPr>
          <w:rStyle w:val="Ppogrubienie"/>
        </w:rPr>
        <w:t>Dodatkowe informacje wnioskodawców o spełnianiu przez projekt wymogów określonych przepisami, których nie zawarto w uzasadnieniu projektu dołączonego do petycji Naczelnej Rady Adwokackiej</w:t>
      </w:r>
    </w:p>
    <w:p w14:paraId="00B1C2B9" w14:textId="77777777" w:rsidR="00131CAE" w:rsidRPr="00597E69" w:rsidRDefault="00131CAE" w:rsidP="00131CAE">
      <w:pPr>
        <w:pStyle w:val="ZDANIENASTNOWYWIERSZnpzddrugienowywierszwust"/>
      </w:pPr>
      <w:r w:rsidRPr="00597E69">
        <w:t>Projekt nie dotyczy zasad podejmowania, wykonywania lub zakończenia działalności gospodarczej.</w:t>
      </w:r>
    </w:p>
    <w:p w14:paraId="3E87F512" w14:textId="77777777" w:rsidR="00131CAE" w:rsidRPr="00597E69" w:rsidRDefault="00131CAE" w:rsidP="00131CAE">
      <w:pPr>
        <w:pStyle w:val="ZDANIENASTNOWYWIERSZnpzddrugienowywierszwust"/>
      </w:pPr>
      <w:r w:rsidRPr="00597E69">
        <w:t>Projekt nie zawiera przepisów regulacyjnych lub przepisów określających wymogi dotyczące świadczenia usług transgranicznych w rozumieniu ustawy z dnia 22 grudnia 2015 r. o zasadach uznawania kwalifikacji zawodowych nabytych w państwach członkowskich Unii Europejskiej (Dz. U. z 2023 r. poz. 334).</w:t>
      </w:r>
    </w:p>
    <w:p w14:paraId="00D1806C" w14:textId="77777777" w:rsidR="00131CAE" w:rsidRPr="00597E69" w:rsidRDefault="00131CAE" w:rsidP="00131CAE">
      <w:pPr>
        <w:pStyle w:val="ZDANIENASTNOWYWIERSZnpzddrugienowywierszwust"/>
      </w:pPr>
      <w:r w:rsidRPr="00597E69">
        <w:t>Projekt nie wymaga przedstawienia organom i instytucjom Unii Europejskiej, w tym Europejskiemu Bankowi Centralnemu, w celu uzyskania opinii, dokonania powiadomienia, konsultacji albo uzgodnienia.</w:t>
      </w:r>
    </w:p>
    <w:p w14:paraId="003855C0" w14:textId="77777777" w:rsidR="00131CAE" w:rsidRPr="00597E69" w:rsidRDefault="00131CAE" w:rsidP="00131CAE">
      <w:pPr>
        <w:pStyle w:val="ZDANIENASTNOWYWIERSZnpzddrugienowywierszwust"/>
      </w:pPr>
      <w:r w:rsidRPr="00597E69">
        <w:t>Projekt ustawy nie zawiera przepisów technicznych w rozumieniu przepisów rozporządzenia Rady Ministrów z dnia 23 grudnia 2002 r. w sprawie sposobu funkcjonowania krajowego systemu notyfikacji norm i aktów prawnych (Dz. U. poz. 2039 oraz z 2004 r. poz. 597) i nie podlega procedurze notyfikacji.</w:t>
      </w:r>
    </w:p>
    <w:p w14:paraId="0C3E682B" w14:textId="77777777" w:rsidR="00131CAE" w:rsidRPr="00313497" w:rsidRDefault="00131CAE" w:rsidP="00131CAE"/>
    <w:p w14:paraId="5B6598FE" w14:textId="77777777" w:rsidR="00F740E1" w:rsidRDefault="00F740E1"/>
    <w:sectPr w:rsidR="00F74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642D1" w14:textId="77777777" w:rsidR="00446C81" w:rsidRDefault="00446C81" w:rsidP="00A5141E">
      <w:r>
        <w:separator/>
      </w:r>
    </w:p>
  </w:endnote>
  <w:endnote w:type="continuationSeparator" w:id="0">
    <w:p w14:paraId="55F2905C" w14:textId="77777777" w:rsidR="00446C81" w:rsidRDefault="00446C81" w:rsidP="00A5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9CC24" w14:textId="77777777" w:rsidR="00446C81" w:rsidRDefault="00446C81" w:rsidP="00A5141E">
      <w:r>
        <w:separator/>
      </w:r>
    </w:p>
  </w:footnote>
  <w:footnote w:type="continuationSeparator" w:id="0">
    <w:p w14:paraId="530CF84F" w14:textId="77777777" w:rsidR="00446C81" w:rsidRDefault="00446C81" w:rsidP="00A51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AE"/>
    <w:rsid w:val="00131CAE"/>
    <w:rsid w:val="00446C81"/>
    <w:rsid w:val="00A5141E"/>
    <w:rsid w:val="00CE7AEB"/>
    <w:rsid w:val="00F7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C02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CAE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kern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131CA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131CAE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131CA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131CAE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131CA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31CAE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</w:rPr>
  </w:style>
  <w:style w:type="paragraph" w:customStyle="1" w:styleId="ZDANIENASTNOWYWIERSZnpzddrugienowywierszwust">
    <w:name w:val="ZDANIE_NAST_NOWY_WIERSZ – np. zd. drugie (nowy wiersz) w ust."/>
    <w:basedOn w:val="Normalny"/>
    <w:next w:val="Normalny"/>
    <w:uiPriority w:val="17"/>
    <w:qFormat/>
    <w:rsid w:val="00131CAE"/>
    <w:pPr>
      <w:widowControl/>
      <w:autoSpaceDE/>
      <w:autoSpaceDN/>
      <w:adjustRightInd/>
      <w:spacing w:line="360" w:lineRule="auto"/>
      <w:jc w:val="both"/>
    </w:pPr>
    <w:rPr>
      <w:rFonts w:ascii="Times" w:hAnsi="Times" w:cs="Arial"/>
      <w:bCs/>
      <w:sz w:val="24"/>
    </w:rPr>
  </w:style>
  <w:style w:type="character" w:customStyle="1" w:styleId="Ppogrubienie">
    <w:name w:val="_P_ – pogrubienie"/>
    <w:basedOn w:val="Domylnaczcionkaakapitu"/>
    <w:uiPriority w:val="1"/>
    <w:qFormat/>
    <w:rsid w:val="00131CAE"/>
    <w:rPr>
      <w:b/>
    </w:rPr>
  </w:style>
  <w:style w:type="character" w:customStyle="1" w:styleId="Kkursywa">
    <w:name w:val="_K_ – kursywa"/>
    <w:basedOn w:val="Domylnaczcionkaakapitu"/>
    <w:uiPriority w:val="1"/>
    <w:qFormat/>
    <w:rsid w:val="00131CAE"/>
    <w:rPr>
      <w:i/>
    </w:rPr>
  </w:style>
  <w:style w:type="paragraph" w:styleId="Nagwek">
    <w:name w:val="header"/>
    <w:basedOn w:val="Normalny"/>
    <w:link w:val="NagwekZnak"/>
    <w:uiPriority w:val="99"/>
    <w:unhideWhenUsed/>
    <w:rsid w:val="00A514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41E"/>
    <w:rPr>
      <w:rFonts w:ascii="Verdana" w:eastAsiaTheme="minorEastAsia" w:hAnsi="Verdana"/>
      <w:kern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14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41E"/>
    <w:rPr>
      <w:rFonts w:ascii="Verdana" w:eastAsiaTheme="minorEastAsia" w:hAnsi="Verdana"/>
      <w:kern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1481</Words>
  <Characters>8888</Characters>
  <Application>Microsoft Office Word</Application>
  <DocSecurity>0</DocSecurity>
  <Lines>74</Lines>
  <Paragraphs>20</Paragraphs>
  <ScaleCrop>false</ScaleCrop>
  <Company/>
  <LinksUpToDate>false</LinksUpToDate>
  <CharactersWithSpaces>10349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2024-05-21T16:07:00Z</dcterms:created>
  <dcterms:modified xsi:type="dcterms:W3CDTF">2024-05-21T16:07:00Z</dcterms:modified>
</cp:coreProperties>
</file>