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677E8" w14:textId="77777777" w:rsidR="00C0079D" w:rsidRPr="00AD24F2" w:rsidRDefault="00C0079D" w:rsidP="00C0079D">
      <w:pPr>
        <w:pStyle w:val="OZNPROJEKTUwskazaniedatylubwersjiprojektu"/>
      </w:pPr>
      <w:r w:rsidRPr="00B40278">
        <w:t>Projekt</w:t>
      </w:r>
    </w:p>
    <w:p w14:paraId="41A2D573" w14:textId="77777777" w:rsidR="00C0079D" w:rsidRPr="00AD24F2" w:rsidRDefault="00C0079D" w:rsidP="00C0079D">
      <w:pPr>
        <w:pStyle w:val="OZNRODZAKTUtznustawalubrozporzdzenieiorganwydajcy"/>
      </w:pPr>
      <w:r w:rsidRPr="00AD24F2">
        <w:t>Ustawa</w:t>
      </w:r>
    </w:p>
    <w:p w14:paraId="1EE37DC6" w14:textId="77777777" w:rsidR="00C0079D" w:rsidRPr="00AD24F2" w:rsidRDefault="00C0079D" w:rsidP="00C0079D">
      <w:pPr>
        <w:pStyle w:val="DATAAKTUdatauchwalenialubwydaniaaktu"/>
      </w:pPr>
      <w:r w:rsidRPr="00AD24F2">
        <w:t>z dnia</w:t>
      </w:r>
      <w:r>
        <w:t xml:space="preserve"> </w:t>
      </w:r>
      <w:r w:rsidRPr="00AD24F2">
        <w:t>…………… 2020 r.</w:t>
      </w:r>
    </w:p>
    <w:p w14:paraId="185CE0C3" w14:textId="77777777" w:rsidR="00C0079D" w:rsidRPr="00AD24F2" w:rsidRDefault="00C0079D" w:rsidP="00C0079D">
      <w:pPr>
        <w:pStyle w:val="TYTUAKTUprzedmiotregulacjiustawylubrozporzdzenia"/>
      </w:pPr>
      <w:bookmarkStart w:id="0" w:name="_Hlk527316707"/>
      <w:r w:rsidRPr="00AD24F2">
        <w:t>o zmianie ustawy – Kodeks postępowania karnego</w:t>
      </w:r>
    </w:p>
    <w:p w14:paraId="3E27456C" w14:textId="77777777" w:rsidR="00C0079D" w:rsidRPr="00AD24F2" w:rsidRDefault="00C0079D" w:rsidP="00C0079D">
      <w:pPr>
        <w:pStyle w:val="ARTartustawynprozporzdzenia"/>
      </w:pPr>
      <w:bookmarkStart w:id="1" w:name="_Hlk8737760"/>
      <w:bookmarkEnd w:id="0"/>
      <w:r w:rsidRPr="00B40278">
        <w:rPr>
          <w:rStyle w:val="Ppogrubienie"/>
        </w:rPr>
        <w:t>Art. 1.</w:t>
      </w:r>
      <w:r w:rsidRPr="00AD24F2">
        <w:t xml:space="preserve"> </w:t>
      </w:r>
      <w:bookmarkStart w:id="2" w:name="_Hlk8737841"/>
      <w:bookmarkEnd w:id="1"/>
      <w:r w:rsidRPr="00AD24F2">
        <w:t>W ustawie z dnia 6 </w:t>
      </w:r>
      <w:r w:rsidRPr="00B40278">
        <w:t>czerwca</w:t>
      </w:r>
      <w:r w:rsidRPr="00AD24F2">
        <w:t xml:space="preserve"> 1997 r. – Kodeks postępowania karnego</w:t>
      </w:r>
      <w:r>
        <w:t xml:space="preserve"> (Dz. U. z 2024 r. poz. 37) wprowadza się następujące zmiany</w:t>
      </w:r>
      <w:r w:rsidRPr="00AD24F2">
        <w:t>:</w:t>
      </w:r>
    </w:p>
    <w:p w14:paraId="039F1D00" w14:textId="77777777" w:rsidR="00C0079D" w:rsidRPr="00AD24F2" w:rsidRDefault="00C0079D" w:rsidP="00C0079D">
      <w:pPr>
        <w:pStyle w:val="PKTpunkt"/>
      </w:pPr>
      <w:r>
        <w:t>1)</w:t>
      </w:r>
      <w:r>
        <w:tab/>
      </w:r>
      <w:r w:rsidRPr="00AD24F2">
        <w:t>art. 168a otrzymuje brzmienie</w:t>
      </w:r>
    </w:p>
    <w:p w14:paraId="0A283789" w14:textId="77777777" w:rsidR="00C0079D" w:rsidRPr="00AD24F2" w:rsidRDefault="00C0079D" w:rsidP="00C0079D">
      <w:pPr>
        <w:pStyle w:val="ZARTzmartartykuempunktem"/>
      </w:pPr>
      <w:r w:rsidRPr="00AD24F2">
        <w:t>„</w:t>
      </w:r>
      <w:r>
        <w:t xml:space="preserve">Art. 168a. </w:t>
      </w:r>
      <w:r w:rsidRPr="00AD24F2">
        <w:t>Niedopuszczalne jest przeprowadzenie i wykorzystanie dowodu uzyskanego do celów postępowania karnego za pomocą czynu zabronionego, o którym mowa w art. 1 § 1 Kodeksu karnego.”;</w:t>
      </w:r>
    </w:p>
    <w:p w14:paraId="43E72E87" w14:textId="77777777" w:rsidR="00C0079D" w:rsidRPr="00A55683" w:rsidRDefault="00C0079D" w:rsidP="00C0079D">
      <w:pPr>
        <w:pStyle w:val="PKTpunkt"/>
      </w:pPr>
      <w:r>
        <w:t>2)</w:t>
      </w:r>
      <w:r>
        <w:tab/>
      </w:r>
      <w:r w:rsidRPr="00AD24F2">
        <w:t>uchyla się art. 168b;</w:t>
      </w:r>
    </w:p>
    <w:p w14:paraId="16F0CDE2" w14:textId="77777777" w:rsidR="00C0079D" w:rsidRPr="00AD24F2" w:rsidRDefault="00C0079D" w:rsidP="00C0079D">
      <w:pPr>
        <w:pStyle w:val="PKTpunkt"/>
      </w:pPr>
      <w:r>
        <w:t>3)</w:t>
      </w:r>
      <w:r>
        <w:tab/>
      </w:r>
      <w:r w:rsidRPr="00AD24F2">
        <w:t xml:space="preserve">art. 237a. otrzymuje brzmienie: </w:t>
      </w:r>
    </w:p>
    <w:p w14:paraId="2F170C9A" w14:textId="77777777" w:rsidR="00C0079D" w:rsidRDefault="00C0079D" w:rsidP="00C0079D">
      <w:pPr>
        <w:pStyle w:val="ZARTzmartartykuempunktem"/>
      </w:pPr>
      <w:r w:rsidRPr="00AD24F2">
        <w:t>„</w:t>
      </w:r>
      <w:r>
        <w:t xml:space="preserve">Art. 237a. </w:t>
      </w:r>
      <w:r w:rsidRPr="00FC6C2C">
        <w:t>§</w:t>
      </w:r>
      <w:r w:rsidRPr="00FC6C2C">
        <w:rPr>
          <w:rStyle w:val="cf01"/>
        </w:rPr>
        <w:t xml:space="preserve"> </w:t>
      </w:r>
      <w:r>
        <w:t xml:space="preserve">1. </w:t>
      </w:r>
      <w:r w:rsidRPr="00AD24F2">
        <w:t xml:space="preserve">Jeżeli w wyniku kontroli uzyskano dowód popełnienia przestępstwa wymienionego w art. 237 § 3, popełnionego przez osobę, wobec której kontrola była stosowana, innego niż objęte zarządzeniem kontroli, prokurator w czasie trwania kontroli albo nie później niż w ciągu miesiąca od dnia jej zakończenia może </w:t>
      </w:r>
      <w:bookmarkStart w:id="3" w:name="_Hlk164180909"/>
      <w:r w:rsidRPr="00AD24F2">
        <w:t>wystąpić do sądu z wnioskiem o wyrażenie zgody na jego wykorzystanie w postępowaniu karnym</w:t>
      </w:r>
      <w:bookmarkEnd w:id="3"/>
      <w:r w:rsidRPr="00AD24F2">
        <w:t xml:space="preserve">. </w:t>
      </w:r>
      <w:bookmarkStart w:id="4" w:name="_Hlk164181822"/>
      <w:r w:rsidRPr="00AD24F2">
        <w:t>Sąd wydaje postanowienie w przedmiocie wniosku w terminie 14 dni na posiedzeniu bez udziału stron.</w:t>
      </w:r>
    </w:p>
    <w:bookmarkEnd w:id="4"/>
    <w:p w14:paraId="224B3DF3" w14:textId="77777777" w:rsidR="00C0079D" w:rsidRDefault="00C0079D" w:rsidP="00C0079D">
      <w:pPr>
        <w:pStyle w:val="ZARTzmartartykuempunktem"/>
      </w:pPr>
      <w:r w:rsidRPr="00FC6C2C">
        <w:t>§</w:t>
      </w:r>
      <w:r>
        <w:t xml:space="preserve"> 2. </w:t>
      </w:r>
      <w:r w:rsidRPr="00FC6C2C">
        <w:t>Do postanowienia wydanego na podstawie §</w:t>
      </w:r>
      <w:r w:rsidRPr="00FC6C2C">
        <w:rPr>
          <w:rStyle w:val="cf01"/>
        </w:rPr>
        <w:t xml:space="preserve"> </w:t>
      </w:r>
      <w:r>
        <w:t>1 zdanie drugie</w:t>
      </w:r>
      <w:r w:rsidRPr="00FC6C2C">
        <w:t> przepisy art. 239 stosuje się odpowiednio</w:t>
      </w:r>
      <w:r>
        <w:t>.</w:t>
      </w:r>
      <w:r w:rsidRPr="00AD24F2">
        <w:t>”</w:t>
      </w:r>
      <w:r>
        <w:t>;</w:t>
      </w:r>
    </w:p>
    <w:p w14:paraId="3B944A20" w14:textId="77777777" w:rsidR="00C0079D" w:rsidRPr="00AD24F2" w:rsidRDefault="00C0079D" w:rsidP="00C0079D">
      <w:pPr>
        <w:pStyle w:val="PKTpunkt"/>
      </w:pPr>
      <w:r>
        <w:t>4)</w:t>
      </w:r>
      <w:r>
        <w:tab/>
        <w:t xml:space="preserve">w art. 238 w </w:t>
      </w:r>
      <w:r w:rsidRPr="00FC6C2C">
        <w:t>§</w:t>
      </w:r>
      <w:r>
        <w:t xml:space="preserve"> 4 wyrazy „art. 237a” zastępuje się wyrazami „art. 237a </w:t>
      </w:r>
      <w:r w:rsidRPr="00FC6C2C">
        <w:t>§</w:t>
      </w:r>
      <w:r>
        <w:t xml:space="preserve"> 1”.</w:t>
      </w:r>
    </w:p>
    <w:p w14:paraId="42EC85F7" w14:textId="77777777" w:rsidR="00C0079D" w:rsidRDefault="00C0079D" w:rsidP="00C0079D">
      <w:pPr>
        <w:pStyle w:val="ARTartustawynprozporzdzenia"/>
      </w:pPr>
      <w:r w:rsidRPr="00AD24F2">
        <w:rPr>
          <w:b/>
        </w:rPr>
        <w:t>Art. 2. </w:t>
      </w:r>
      <w:r w:rsidRPr="006C4C72">
        <w:t>1.</w:t>
      </w:r>
      <w:r>
        <w:rPr>
          <w:b/>
        </w:rPr>
        <w:t xml:space="preserve"> </w:t>
      </w:r>
      <w:r w:rsidRPr="00AD24F2">
        <w:t xml:space="preserve">Do postępowań wszczętych i niezakończonych </w:t>
      </w:r>
      <w:r>
        <w:t>przed</w:t>
      </w:r>
      <w:r w:rsidRPr="00AD24F2">
        <w:t xml:space="preserve"> dni</w:t>
      </w:r>
      <w:r>
        <w:t>em</w:t>
      </w:r>
      <w:r w:rsidRPr="00AD24F2">
        <w:t xml:space="preserve"> wejścia w życie niniejszej ustawy, a także do czynności procesowych rozpoczętych i niezakończonych przed tym dniem stosuje się przepisy</w:t>
      </w:r>
      <w:r>
        <w:t xml:space="preserve"> </w:t>
      </w:r>
      <w:r w:rsidRPr="00DF0B28">
        <w:t>ustawy</w:t>
      </w:r>
      <w:r>
        <w:t xml:space="preserve"> zmienianej w art. 1 w brzmieniu nadanym niniejszą ustawą.</w:t>
      </w:r>
    </w:p>
    <w:p w14:paraId="06DC347E" w14:textId="77777777" w:rsidR="00C0079D" w:rsidRPr="00AD24F2" w:rsidRDefault="00C0079D" w:rsidP="00C0079D">
      <w:pPr>
        <w:pStyle w:val="ARTartustawynprozporzdzenia"/>
      </w:pPr>
      <w:r>
        <w:t xml:space="preserve">2. Prokurator, który w postępowaniu niezakończonym przed dniem wejścia w życie niniejszej ustawy, podjął na podstawie art. 237a ustawy zmienianej w art. 1 decyzję w przedmiocie wykorzystania dowodu w postępowaniu karnym, jest obowiązany w terminie 6 miesięcy od dnia wejścia w życie niniejszej ustawy </w:t>
      </w:r>
      <w:r w:rsidRPr="009B4F3F">
        <w:t>wystąpić do sądu</w:t>
      </w:r>
      <w:r>
        <w:t xml:space="preserve"> </w:t>
      </w:r>
      <w:r w:rsidRPr="00AD24F2">
        <w:t xml:space="preserve">z wnioskiem o wyrażenie </w:t>
      </w:r>
      <w:r w:rsidRPr="00AD24F2">
        <w:lastRenderedPageBreak/>
        <w:t>zgody na jego wykorzystanie w postępowaniu karnym</w:t>
      </w:r>
      <w:r>
        <w:t xml:space="preserve"> w trybie art. 237a ustawy zmienianej w art. 1 w brzmieniu nadanym niniejszą ustawą.</w:t>
      </w:r>
      <w:r w:rsidRPr="009B4F3F">
        <w:t xml:space="preserve"> </w:t>
      </w:r>
    </w:p>
    <w:p w14:paraId="48D67E7E" w14:textId="77777777" w:rsidR="00C0079D" w:rsidRPr="00AD24F2" w:rsidRDefault="00C0079D" w:rsidP="00C0079D">
      <w:pPr>
        <w:pStyle w:val="ARTartustawynprozporzdzenia"/>
      </w:pPr>
      <w:r w:rsidRPr="00AD24F2">
        <w:rPr>
          <w:b/>
        </w:rPr>
        <w:t>Art. 3. </w:t>
      </w:r>
      <w:r w:rsidRPr="00AD24F2">
        <w:t xml:space="preserve">Ustawa wchodzi w życie po upływie 14 </w:t>
      </w:r>
      <w:r w:rsidRPr="00B40278">
        <w:t>dni</w:t>
      </w:r>
      <w:r w:rsidRPr="00AD24F2">
        <w:t xml:space="preserve"> od dnia ogłoszenia.</w:t>
      </w:r>
      <w:bookmarkEnd w:id="2"/>
    </w:p>
    <w:p w14:paraId="67BF94DE" w14:textId="77777777" w:rsidR="00C0079D" w:rsidRPr="00AD24F2" w:rsidRDefault="00C0079D" w:rsidP="00C0079D">
      <w:pPr>
        <w:rPr>
          <w:rFonts w:ascii="Calibri Light" w:hAnsi="Calibri Light" w:cs="Calibri Light"/>
        </w:rPr>
      </w:pPr>
      <w:r w:rsidRPr="00AD24F2">
        <w:rPr>
          <w:rFonts w:ascii="Calibri Light" w:hAnsi="Calibri Light" w:cs="Calibri Light"/>
        </w:rPr>
        <w:br w:type="page"/>
      </w:r>
    </w:p>
    <w:p w14:paraId="3BBEF479" w14:textId="77777777" w:rsidR="00C0079D" w:rsidRPr="004124A2" w:rsidRDefault="00C0079D" w:rsidP="00C0079D">
      <w:pPr>
        <w:pStyle w:val="NIEARTTEKSTtekstnieartykuowanynppodstprawnarozplubpreambua"/>
        <w:rPr>
          <w:rStyle w:val="Ppogrubienie"/>
        </w:rPr>
      </w:pPr>
      <w:r w:rsidRPr="004124A2">
        <w:rPr>
          <w:rStyle w:val="Ppogrubienie"/>
        </w:rPr>
        <w:lastRenderedPageBreak/>
        <w:t>UZASADNIENIE</w:t>
      </w:r>
    </w:p>
    <w:p w14:paraId="27B5880C" w14:textId="77777777" w:rsidR="00C0079D" w:rsidRPr="006C4C72" w:rsidRDefault="00C0079D" w:rsidP="00C0079D">
      <w:pPr>
        <w:pStyle w:val="NIEARTTEKSTtekstnieartykuowanynppodstprawnarozplubpreambua"/>
        <w:ind w:firstLine="426"/>
      </w:pPr>
      <w:r w:rsidRPr="006C4C72">
        <w:t>Przedkładana inicjatywa ustawodawcza jest projektem stanowiącym przedmiot petycji Naczelnej Rady Adwokackiej z dnia 16 lutego 2024 r. Wnioskodawcy uznają, że propozycja zawarta w projekcie jest ważnym elementem procesu odchodzenia od zmian w procedurze karnej jakie w ostatnich latach przyczyniły się do naruszenia podstawowych standardów wynikających z zasady prawa do rzetelnego sądu określonej w art. 45 ust. 1 Konstytucji i stały się powodem zarzutów o naruszanie praworządności. W tym przypadku jest to szczególnie istotne, gdyż celem projektu jest likwidacja szerokich uprawnień do korzystania w postępowaniu karnym z tzw. „owoców zatrutego drzewa” i wiąże się także z ochroną innych wolności i praw obywatela jak prawo do prywatności czy ochrony tajemnicy korespondencji. Zmiany, które w 2016 r. wprowadziły szerokie możliwości wykorzystania dowodów pozyskanych „przy okazji” kontroli operacyjnej, bez udziału sądu są jednym z najbardziej oczywistych przejawów wyposażania aparatu państwowego w narzędzia stanowiące podstawę do działań niepraworządnych. Dlatego też – podzielając argumentację stanowiącą treść petycji NRA – proponuje się przyjąć projekt tożsamy co do treści merytorycznej. Poniżej wnioskodawcy jako uzasadnienie niniejszego projektu przedstawiają w zasadniczej części brzmienie uzasadnienia projektu załączonego do petycji NRA, z dodatkowymi informacjami uwzględniającymi wymogi Regulaminu Sejmu.</w:t>
      </w:r>
    </w:p>
    <w:p w14:paraId="7A30EFC6" w14:textId="77777777" w:rsidR="00C0079D" w:rsidRPr="0097046D" w:rsidRDefault="00C0079D" w:rsidP="00C0079D">
      <w:pPr>
        <w:pStyle w:val="ZDANIENASTNOWYWIERSZnpzddrugienowywierszwust"/>
        <w:rPr>
          <w:rStyle w:val="Kkursywa"/>
        </w:rPr>
      </w:pPr>
    </w:p>
    <w:p w14:paraId="426B80B5" w14:textId="77777777" w:rsidR="00C0079D" w:rsidRPr="00996BDA" w:rsidRDefault="00C0079D" w:rsidP="00C0079D">
      <w:pPr>
        <w:pStyle w:val="NIEARTTEKSTtekstnieartykuowanynppodstprawnarozplubpreambua"/>
        <w:rPr>
          <w:rStyle w:val="Kkursywa"/>
        </w:rPr>
      </w:pPr>
      <w:r w:rsidRPr="00996BDA">
        <w:rPr>
          <w:rStyle w:val="Kkursywa"/>
        </w:rPr>
        <w:t>I. Wstęp</w:t>
      </w:r>
    </w:p>
    <w:p w14:paraId="31356A4F" w14:textId="77777777" w:rsidR="00C0079D" w:rsidRPr="00996BDA" w:rsidRDefault="00C0079D" w:rsidP="00C0079D">
      <w:pPr>
        <w:pStyle w:val="NIEARTTEKSTtekstnieartykuowanynppodstprawnarozplubpreambua"/>
        <w:rPr>
          <w:rStyle w:val="Kkursywa"/>
        </w:rPr>
      </w:pPr>
      <w:r w:rsidRPr="00996BDA">
        <w:rPr>
          <w:rStyle w:val="Kkursywa"/>
        </w:rPr>
        <w:t>Ustawą z dnia 11 marca 2016 r. o zmianie ustawy – Kodeks postępowania karnego oraz niektórych innych ustaw dokonano zmian w zakresie przepisów dotyczących wykorzystywania w procesie karnym dowodów uzyskanych w toku kontroli operacyjnej. Szerzej obejmuje to problematykę tzw. wykorzystywania w procesie „owoców zatrutego drzewa”.</w:t>
      </w:r>
    </w:p>
    <w:p w14:paraId="693C2845" w14:textId="77777777" w:rsidR="00C0079D" w:rsidRPr="00996BDA" w:rsidRDefault="00C0079D" w:rsidP="00C0079D">
      <w:pPr>
        <w:pStyle w:val="NIEARTTEKSTtekstnieartykuowanynppodstprawnarozplubpreambua"/>
        <w:rPr>
          <w:rStyle w:val="Kkursywa"/>
        </w:rPr>
      </w:pPr>
      <w:r w:rsidRPr="00996BDA">
        <w:rPr>
          <w:rStyle w:val="Kkursywa"/>
        </w:rPr>
        <w:t xml:space="preserve">Na wstępie należy wskazać, że wspomniana nowelizacja odeszła od rozwiązania, które stanowiło wyraz rozsądnego uregulowania procesowego w świetle, którego za niedopuszczalne uznawano przeprowadzenie i wykorzystanie dowodu uzyskanego do celów postępowania karnego za pomocą czynu zabronionego, o którym mowa w art. 1 § 1 Kodeksu karnego. Innymi słowy, do 14 kwietnia 2016 r. istniał zakaz wykorzystywania dowodów pozyskiwanych przeciwko obywatelom w sposób nielegalny, najczęściej w następstwie popełnienia przestępstwa przez funkcjonariuszy publicznych. Taka gwarancja procesowa była pomyślana w interesie obywateli i dla ochrony ich konstytucyjnych praw. W szczególności prawa do </w:t>
      </w:r>
      <w:r w:rsidRPr="00996BDA">
        <w:rPr>
          <w:rStyle w:val="Kkursywa"/>
        </w:rPr>
        <w:lastRenderedPageBreak/>
        <w:t>prywatności (art. 47 Konstytucji RP), prawa do wolność i ochrony tajemnicy komunikowania się (art. 49 Konstytucji RP), a także prawa do rzetelnego procesu karnego (art. 45 Konstytucji RP). Rozwiązanie to stanowiło, jak już podkreślono, podstawę do eliminowania przez sądy dowodów zebranych w wyniku nielegalnie przeprowadzonych czynności operacyjno-rozpoznawczych, które do 14 kwietnia 2016 r. mogły być eliminowane z procesu na podstawie art. 168a w brzmieniu obowiązującym od 1 lipca 2015 r., jeżeli były przeprowadzone nielegalnie, czyli sprzecznie z prawem. Gwarancja ta, pomyślana w interesie obywateli, została wyrugowana z procedury karnej w następstwie populistycznych zmian prawa karnego, które miały miejsce w latach 2015-2023.</w:t>
      </w:r>
    </w:p>
    <w:p w14:paraId="43E1DB86" w14:textId="77777777" w:rsidR="00C0079D" w:rsidRPr="00996BDA" w:rsidRDefault="00C0079D" w:rsidP="00C0079D">
      <w:pPr>
        <w:pStyle w:val="NIEARTTEKSTtekstnieartykuowanynppodstprawnarozplubpreambua"/>
        <w:rPr>
          <w:rStyle w:val="Kkursywa"/>
        </w:rPr>
      </w:pPr>
      <w:r w:rsidRPr="00996BDA">
        <w:rPr>
          <w:rStyle w:val="Kkursywa"/>
        </w:rPr>
        <w:t>II. Obecny stan prawny i potrzeba zmian</w:t>
      </w:r>
    </w:p>
    <w:p w14:paraId="4AAF7234" w14:textId="77777777" w:rsidR="00C0079D" w:rsidRPr="00996BDA" w:rsidRDefault="00C0079D" w:rsidP="00C0079D">
      <w:pPr>
        <w:pStyle w:val="NIEARTTEKSTtekstnieartykuowanynppodstprawnarozplubpreambua"/>
        <w:rPr>
          <w:rStyle w:val="Kkursywa"/>
        </w:rPr>
      </w:pPr>
      <w:r w:rsidRPr="00996BDA">
        <w:rPr>
          <w:rStyle w:val="Kkursywa"/>
        </w:rPr>
        <w:t>W obecnym stanie prawnym zgodnie z art. 168a k.p.k. dowodu nie można uznać za niedopuszczalny wyłącznie na tej podstawie, że został uzyskany z naruszeniem przepisów postępowania lub za pomocą czynu zabronionego, o którym mowa w art. 1 § 1 Kodeksu karnego, chyba że dowód został uzyskany w związku z pełnieniem przez funkcjonariusza publicznego obowiązków służbowych, w wyniku: zabójstwa, umyślnego spowodowania uszczerbku na zdrowiu lub pozbawienia wolności.</w:t>
      </w:r>
    </w:p>
    <w:p w14:paraId="47BD1C84" w14:textId="77777777" w:rsidR="00C0079D" w:rsidRPr="00996BDA" w:rsidRDefault="00C0079D" w:rsidP="00C0079D">
      <w:pPr>
        <w:pStyle w:val="NIEARTTEKSTtekstnieartykuowanynppodstprawnarozplubpreambua"/>
        <w:rPr>
          <w:rStyle w:val="Kkursywa"/>
        </w:rPr>
      </w:pPr>
      <w:r w:rsidRPr="00996BDA">
        <w:rPr>
          <w:rStyle w:val="Kkursywa"/>
        </w:rPr>
        <w:t>W myśl art. 168b k.p.k. jeżeli w wyniku kontroli operacyjnej zarządzonej na wniosek uprawnionego organu na podstawie przepisów szczególnych uzyskano dowód popełnienia przez osobę, wobec której kontrola operacyjna była stosowana, innego przestępstwa ściganego z urzędu lub przestępstwa skarbowego niż przestępstwo objęte zarządzeniem kontroli operacyjnej lub przestępstwa ściganego z urzędu lub przestępstwa skarbowego popełnionego przez inną osobę niż objętą zarządzeniem kontroli operacyjnej, prokurator podejmuje decyzję w przedmiocie wykorzystania tego dowodu w postępowaniu karnym.</w:t>
      </w:r>
    </w:p>
    <w:p w14:paraId="3CFBD5CF" w14:textId="77777777" w:rsidR="00C0079D" w:rsidRPr="00996BDA" w:rsidRDefault="00C0079D" w:rsidP="00C0079D">
      <w:pPr>
        <w:pStyle w:val="NIEARTTEKSTtekstnieartykuowanynppodstprawnarozplubpreambua"/>
        <w:rPr>
          <w:rStyle w:val="Kkursywa"/>
        </w:rPr>
      </w:pPr>
      <w:r w:rsidRPr="00996BDA">
        <w:rPr>
          <w:rStyle w:val="Kkursywa"/>
        </w:rPr>
        <w:t>Zgodnie zaś z art. 237a k.p.k., jeżeli w wyniku kontroli uzyskano dowód popełnienia przez osobę, wobec której kontrola była stosowana, innego przestępstwa ściganego z urzędu lub przestępstwa skarbowego niż przestępstwo objęte zarządzeniem kontroli, lub przestępstwa ściganego z urzędu lub przestępstwa skarbowego popełnionego przez inną osobę niż objętą zarządzeniem kontroli, prokurator podejmuje decyzję w przedmiocie wykorzystania tego dowodu w postępowaniu karnym.</w:t>
      </w:r>
    </w:p>
    <w:p w14:paraId="24464895" w14:textId="77777777" w:rsidR="00C0079D" w:rsidRPr="00996BDA" w:rsidRDefault="00C0079D" w:rsidP="00C0079D">
      <w:pPr>
        <w:pStyle w:val="NIEARTTEKSTtekstnieartykuowanynppodstprawnarozplubpreambua"/>
        <w:rPr>
          <w:rStyle w:val="Kkursywa"/>
        </w:rPr>
      </w:pPr>
      <w:r w:rsidRPr="00996BDA">
        <w:rPr>
          <w:rStyle w:val="Kkursywa"/>
        </w:rPr>
        <w:t xml:space="preserve">Tak ukształtowane reguły procesowe nie są do zaakceptowania w demokratycznym państwie prawnym, są wprost wymierzone w obywateli. </w:t>
      </w:r>
    </w:p>
    <w:p w14:paraId="375B4290" w14:textId="77777777" w:rsidR="00C0079D" w:rsidRPr="00996BDA" w:rsidRDefault="00C0079D" w:rsidP="00C0079D">
      <w:pPr>
        <w:pStyle w:val="NIEARTTEKSTtekstnieartykuowanynppodstprawnarozplubpreambua"/>
        <w:rPr>
          <w:rStyle w:val="Kkursywa"/>
        </w:rPr>
      </w:pPr>
      <w:r w:rsidRPr="00996BDA">
        <w:rPr>
          <w:rStyle w:val="Kkursywa"/>
        </w:rPr>
        <w:lastRenderedPageBreak/>
        <w:t xml:space="preserve">Wskazać należy także na marginesie, że w obecnym stanie prawnym o legalizacji (zgodzie na wykorzystanie) materiałów uzyskanych poza zakresem prowadzonej kontroli operacyjnej nie decyduje niezawisły sąd, a decyduje prokurator. Dlatego też upoważnienie prokuratora do „legalizacji" materiałów na podstawie art. 168b i uczynienie z nich dowodów jest sprzeczne z podstawami funkcjonowania państwa prawa, w tym z Konstytucją RP. Stanowi też kolejny przykład niczym nieuzasadnionej, uprzywilejowanej pozycji prokuratora względem obywateli w ramach procesu karnego. </w:t>
      </w:r>
    </w:p>
    <w:p w14:paraId="43155E43" w14:textId="77777777" w:rsidR="00C0079D" w:rsidRPr="00996BDA" w:rsidRDefault="00C0079D" w:rsidP="00C0079D">
      <w:pPr>
        <w:pStyle w:val="NIEARTTEKSTtekstnieartykuowanynppodstprawnarozplubpreambua"/>
        <w:rPr>
          <w:rStyle w:val="Kkursywa"/>
        </w:rPr>
      </w:pPr>
      <w:r w:rsidRPr="00996BDA">
        <w:rPr>
          <w:rStyle w:val="Kkursywa"/>
        </w:rPr>
        <w:t xml:space="preserve">Projekt ustawy zmierza do wprowadzenia jasnego i akceptowalnego społecznie oraz urzeczywistniającego zasady demokratycznego państwa prawnego, rozwiązania, które polega na tym, że niedopuszczalne jest przeprowadzenie i wykorzystanie dowodu uzyskanego do celów postępowania karnego za pomocą czynu zabronionego, o którym mowa w art. 1 § 1 Kodeksu karnego. Innymi słowy, władza publiczna (organy ścigania) nie będą mogły przeprowadzić i wykorzystać dowodu uzyskanego do celów postępowania karnego za pomocą przestępstwa, czyli w sposób nielegalny. </w:t>
      </w:r>
    </w:p>
    <w:p w14:paraId="25CE02EA" w14:textId="77777777" w:rsidR="00C0079D" w:rsidRPr="00996BDA" w:rsidRDefault="00C0079D" w:rsidP="00C0079D">
      <w:pPr>
        <w:pStyle w:val="NIEARTTEKSTtekstnieartykuowanynppodstprawnarozplubpreambua"/>
        <w:rPr>
          <w:rStyle w:val="Kkursywa"/>
        </w:rPr>
      </w:pPr>
      <w:r w:rsidRPr="00996BDA">
        <w:rPr>
          <w:rStyle w:val="Kkursywa"/>
        </w:rPr>
        <w:t xml:space="preserve">Potrzeba wprowadzenia projektowanych zmian wynika z konieczności </w:t>
      </w:r>
      <w:bookmarkStart w:id="5" w:name="_Hlk70630821"/>
      <w:r w:rsidRPr="00996BDA">
        <w:rPr>
          <w:rStyle w:val="Kkursywa"/>
        </w:rPr>
        <w:t xml:space="preserve">ochrony praw i wolności obywatelskich, gwarantowanych w Konstytucji RP, a także w prawie międzynarodowym. </w:t>
      </w:r>
    </w:p>
    <w:p w14:paraId="6B5284ED" w14:textId="77777777" w:rsidR="00C0079D" w:rsidRPr="00996BDA" w:rsidRDefault="00C0079D" w:rsidP="00C0079D">
      <w:pPr>
        <w:pStyle w:val="NIEARTTEKSTtekstnieartykuowanynppodstprawnarozplubpreambua"/>
        <w:rPr>
          <w:rStyle w:val="Kkursywa"/>
        </w:rPr>
      </w:pPr>
      <w:r w:rsidRPr="00996BDA">
        <w:rPr>
          <w:rStyle w:val="Kkursywa"/>
        </w:rPr>
        <w:t>Nie jest możliwe zaakceptowanie stanu, w którym funkcjonariusze państwa, a więc władzy publicznej, mogliby gromadzić materiał dowodowy wbrew obowiązującemu prawu, a zgodnie z prawem, na podstawie tego materiału, obywatele mogli ponosić odpowiedzialność karną. Wynika to z zasad konstytucyjnych wyrażonych w art. 2 Konstytucji RP – zasady demokratycznego państwa prawnego, art. 7 Konstytucji RP – zasady legalizmu oraz art. 45 ust. 1 Konstytucji RP – zasady prawa do sądu i wynikającej z niej zasady prawa do rzetelnego procesu.</w:t>
      </w:r>
    </w:p>
    <w:p w14:paraId="57C26198" w14:textId="77777777" w:rsidR="00C0079D" w:rsidRPr="00996BDA" w:rsidRDefault="00C0079D" w:rsidP="00C0079D">
      <w:pPr>
        <w:pStyle w:val="NIEARTTEKSTtekstnieartykuowanynppodstprawnarozplubpreambua"/>
        <w:rPr>
          <w:rStyle w:val="Kkursywa"/>
        </w:rPr>
      </w:pPr>
      <w:r w:rsidRPr="00996BDA">
        <w:rPr>
          <w:rStyle w:val="Kkursywa"/>
        </w:rPr>
        <w:t xml:space="preserve">Obecny stan prawny nie powinien być dłużej utrzymywany z tego względu, że przepisy ustawy pozwalające obecnie na takie postępowanie są niezgodne z Konstytucją. Wartości chronione przez art. 5 i art. 7 Konstytucji (ochrona woli i praw człowieka i obywatela oraz zasada Państwa Prawnego), a w szczególności nałożone przez ustawę zasadniczą w art. 9 zobowiązanie, że Rzeczpospolita Polska przestrzega wiążącego ją prawa międzynarodowego, czyni niedopuszczalnym wykorzystywanie przez organy państwowe – pod jakąkolwiek postacią oraz w jakiejkolwiek formie i celu – informacji o obywatelach, które są pozbawione atrybutu </w:t>
      </w:r>
      <w:r w:rsidRPr="00996BDA">
        <w:rPr>
          <w:rStyle w:val="Kkursywa"/>
        </w:rPr>
        <w:lastRenderedPageBreak/>
        <w:t>legalności. Gwarancją przestrzegania tych wartości jest zakaz wykorzystywania takiej wiedzy, nawet w sposób pośredni, do późniejszej procesowej jej legalizacji.</w:t>
      </w:r>
    </w:p>
    <w:p w14:paraId="5726FAD4" w14:textId="77777777" w:rsidR="00C0079D" w:rsidRPr="00996BDA" w:rsidRDefault="00C0079D" w:rsidP="00C0079D">
      <w:pPr>
        <w:pStyle w:val="NIEARTTEKSTtekstnieartykuowanynppodstprawnarozplubpreambua"/>
        <w:rPr>
          <w:rStyle w:val="Kkursywa"/>
        </w:rPr>
      </w:pPr>
      <w:r w:rsidRPr="00996BDA">
        <w:rPr>
          <w:rStyle w:val="Kkursywa"/>
        </w:rPr>
        <w:t xml:space="preserve"> Dopuszczenia do procesu karnego dowodów nielegalnych, i to nawet uzyskanych za pomocą przestępstwa, nie sposób zaaprobować w demokratycznym państwie prawnym (art. 2 Konstytucji RP). Wszystkie organy władzy publicznej, w tym organy ścigania i wymiaru sprawiedliwości, zgodnie z art. 7 Konstytucji RP działają na podstawie i w granicach prawa. Działania tych organów są wyznaczone przez prawo, w którym powinny być określone zarówno podstawa, jak i granice ich działania. Wymóg podstawy prawnej dla działania organów władzy publicznej jest ściśle związany z wymogiem podejmowania działań w granicach prawa. Wyjście poza te granice kwalifikuje się jako działanie bez podstawy prawnej, a więc jako wykraczające poza granice wyznaczone przez prawo (T. Stawecki, P. Winczorek, Wstęp do prawoznawstwa, Warszawa 2003, s. 231; wyrok TK z 14.06.2000 r., P 3/00, OTK 2000/5, poz. 138; orzeczenie TK z 20.10.1986 r., P 2/86, OTK 1986/1, poz. 6; orzeczenie TK z 19.10.1993 r., K 14/92, OTK 1993/2, poz. 35; orzeczenie TK z 15.03.1995 r., K 1/95, OTK 1995/1, poz. 7; orzeczenie TK z 15.07.1996 r., U 3/96, OTK 1996/4, poz. 31).</w:t>
      </w:r>
    </w:p>
    <w:p w14:paraId="0D718577" w14:textId="77777777" w:rsidR="00C0079D" w:rsidRPr="00996BDA" w:rsidRDefault="00C0079D" w:rsidP="00C0079D">
      <w:pPr>
        <w:pStyle w:val="NIEARTTEKSTtekstnieartykuowanynppodstprawnarozplubpreambua"/>
        <w:rPr>
          <w:rStyle w:val="Kkursywa"/>
        </w:rPr>
      </w:pPr>
    </w:p>
    <w:p w14:paraId="5719CFAA" w14:textId="77777777" w:rsidR="00C0079D" w:rsidRPr="00996BDA" w:rsidRDefault="00C0079D" w:rsidP="00C0079D">
      <w:pPr>
        <w:pStyle w:val="NIEARTTEKSTtekstnieartykuowanynppodstprawnarozplubpreambua"/>
        <w:rPr>
          <w:rStyle w:val="Kkursywa"/>
        </w:rPr>
      </w:pPr>
      <w:r w:rsidRPr="00996BDA">
        <w:rPr>
          <w:rStyle w:val="Kkursywa"/>
        </w:rPr>
        <w:t xml:space="preserve">Wszystkie czynności dokonywane w postępowaniu karnym powinny być oparte na przepisach prawa i związane z wynikającymi z nich granicami (P. Kardas, Problem granic legalności czynności uczestników postępowania karnego i konsekwencji ich przekroczenia [w:] Granice procesu karnego. Legalność działań uczestników postępowania, red. D. Gruszecka, J. Skorupka, Warszawa 2015, s. 14). Konstytucyjne wymogi działania organów postępowania karnego sprawiają, że gromadzenie dowodów musi odbywać się w sposób określony w Kodeksie postępowania karnego, przez co należy rozumieć zgodność przeprowadzanych czynności dowodowych z ich celem i przesłankami. </w:t>
      </w:r>
    </w:p>
    <w:p w14:paraId="144097C2" w14:textId="77777777" w:rsidR="00C0079D" w:rsidRPr="00996BDA" w:rsidRDefault="00C0079D" w:rsidP="00C0079D">
      <w:pPr>
        <w:pStyle w:val="NIEARTTEKSTtekstnieartykuowanynppodstprawnarozplubpreambua"/>
        <w:rPr>
          <w:rStyle w:val="Kkursywa"/>
        </w:rPr>
      </w:pPr>
      <w:r w:rsidRPr="00996BDA">
        <w:rPr>
          <w:rStyle w:val="Kkursywa"/>
        </w:rPr>
        <w:t xml:space="preserve">Dowód nielegalny nie powinien więc być wykorzystywany w procesie karnym przez żaden z jego organów. Na jego podstawie nie powinno się ustalać faktów ani podejmować decyzji procesowych (J. Skorupka, Eliminowanie z procesu karnego dowodu zebranego w sposób sprzeczny z ustawą, PiP 2011/3, s. 83). Słusznie podkreśla się w doktrynie, że dyrektywa ta ma szczególne znaczenie w odniesieniu do wszystkich organów stosujących i wykonujących prawo (M. Cieślak, Polska procedura karna, Warszawa 1984, s. 217; K. Woźniewski, Zasada praworządności w procesie karnym, GSP 2010/2, s. 391). Zasadnie Sąd Najwyższy podkreśla, że: „Nie jest możliwe zaakceptowanie sytuacji, w której funkcjonariusze demokratycznego </w:t>
      </w:r>
      <w:r w:rsidRPr="00996BDA">
        <w:rPr>
          <w:rStyle w:val="Kkursywa"/>
        </w:rPr>
        <w:lastRenderedPageBreak/>
        <w:t>państwa, funkcjonariusze władzy publicznej, mogliby gromadzić dowody wbrew obowiązującemu prawu, natomiast zgodnie z prawem, na podstawie właśnie tych dowodów, obywatele mieliby ponosić odpowiedzialność karną. Każde państwo odpowiada za bezprawną działalność swoich funkcjonariuszy służb specjalnych, a tej odpowiedzialności nie może wyłączać powoływanie się na interes społeczny w zwalczaniu przestępczości” (postanowienie SN z 19.03.2014 r., II KK 265/13, OSNKW 2014/9, poz. 71, z glosą J. Kudły, D. Szumiło-Kulczyckiej, LEX 2014). Nie można uznać, że art. 2 Konstytucji RP jest przestrzegany w sytuacji, gdy sądy mają orzekać nie tylko na podstawie dowodów uzyskanych z naruszeniem przepisów postępowania, ale także zdobytych za pomocą czynu zabronionego.</w:t>
      </w:r>
    </w:p>
    <w:p w14:paraId="0D0AAFA4" w14:textId="77777777" w:rsidR="00C0079D" w:rsidRPr="00996BDA" w:rsidRDefault="00C0079D" w:rsidP="00C0079D">
      <w:pPr>
        <w:pStyle w:val="NIEARTTEKSTtekstnieartykuowanynppodstprawnarozplubpreambua"/>
        <w:rPr>
          <w:rStyle w:val="Kkursywa"/>
        </w:rPr>
      </w:pPr>
      <w:r w:rsidRPr="00996BDA">
        <w:rPr>
          <w:rStyle w:val="Kkursywa"/>
        </w:rPr>
        <w:t>Ponadto Konstytucja wyraźnie przesądza, iż czynności dowodowe ingerujące w wolności i prawa osobiste muszą być konieczne (art. 31 ust. 3 Konstytucji RP) oraz odbywać się w granicach zakreślonych przez przepisy Kodeksu postępowania karnego (art. 41 ust. 1, art. 49 i 50 Konstytucji RP). Natomiast w razie przeprowadzenia czynności dowodowych w sposób sprzeczny z ustawą informacje – a więc środki dowodowe – uzyskane w ich następstwie podlegają usunięciu (art. 51 ust. 4 Konstytucji RP) (J. Skorupka, Eliminowanie z procesu karnego..., s. 83; J. Skorupka, Wykorzystanie w postępowaniu karnym dowodów bezpośrednio i pośrednio nielegalnych [w:] Zagadnienia prawa dowodowego, red. Godyń, M. Hudzik, L.K. Paprzycki, Warszawa 2011, s. 5; D. Gruszecka, W kwestii interpretacji..., s. 64). Treść art. 168a k.p.k. pozostaje w jawnej sprzeczności z tymi przepisami konstytucyjnymi.</w:t>
      </w:r>
    </w:p>
    <w:p w14:paraId="6E00E8F6" w14:textId="77777777" w:rsidR="00C0079D" w:rsidRPr="00996BDA" w:rsidRDefault="00C0079D" w:rsidP="00C0079D">
      <w:pPr>
        <w:pStyle w:val="NIEARTTEKSTtekstnieartykuowanynppodstprawnarozplubpreambua"/>
        <w:rPr>
          <w:rStyle w:val="Kkursywa"/>
        </w:rPr>
      </w:pPr>
      <w:r w:rsidRPr="00996BDA">
        <w:rPr>
          <w:rStyle w:val="Kkursywa"/>
        </w:rPr>
        <w:t>Choć w orzecznictwie Europejskiego Trybunału Praw Człowieka nie dokonuje się oceny dopuszczalności źródeł czy środków dowodowych w poszczególnych krajach (uznając, że jest to sprawa krajowa), to jednak wyroki skazujące oparte w przeważającej mierze na dowodach uzyskanych w wyniku prowokacji policyjnej, kiedy funkcjonariusze, nie mając ku temu podstaw, wykazywali się „nadaktywnością", były uznawane za naruszające zasady rzetelnego procesu określone w art. 6 ust. 1 EKPC. Stanowisko takie zostało zaprezentowane w szczególności w wyroku Europejskiego Trybunału Praw Człowieka z 9.06.1998 r., 25829/94, Teixeira de Castro v. Portugalia, LEX nr 78971 oraz w decyzji tego Trybunału z 26.04.2005 r., 74420/01, Ramanauskas v. Litwa, LEX nr 480454. Powyższe orzecznictwo pozwala wypracować stanowisko, że przy aktywności organów ścigania w tworzeniu czynu zabronionego nie ma mowy o rzetelnym procesie.</w:t>
      </w:r>
    </w:p>
    <w:p w14:paraId="33F62306" w14:textId="77777777" w:rsidR="00C0079D" w:rsidRPr="00996BDA" w:rsidRDefault="00C0079D" w:rsidP="00C0079D">
      <w:pPr>
        <w:pStyle w:val="NIEARTTEKSTtekstnieartykuowanynppodstprawnarozplubpreambua"/>
        <w:rPr>
          <w:rStyle w:val="Kkursywa"/>
        </w:rPr>
      </w:pPr>
      <w:r w:rsidRPr="00996BDA">
        <w:rPr>
          <w:rStyle w:val="Kkursywa"/>
        </w:rPr>
        <w:t xml:space="preserve">Reasumując, wskazane rozwiązania oczywiście naruszają prawo do rzetelnego procesu, które ma wymiar konstytucyjny (art. 45 ust. 1 Konstytucji) oraz konwencyjny (art. 6 ust. 1-3 </w:t>
      </w:r>
      <w:r w:rsidRPr="00996BDA">
        <w:rPr>
          <w:rStyle w:val="Kkursywa"/>
        </w:rPr>
        <w:lastRenderedPageBreak/>
        <w:t>Europejskiej konwencji o ochronie praw człowieka i podstawowych wolności), a władze publiczne nie mogą pozyskiwać, gromadzić i udostępniać innych informacji o obywatelach niż niezbędne w demokratycznym państwie prawnym (51 ust. 2 Konstytucji RP) i są obowiązane respektować prawo obywateli do prywatności (art. 47 Konstytucji RP), prawo do wolność i ochrony tajemnicy komunikowania się (art. 49 Konstytucji RP), a także prawo do rzetelnego procesu karnego (art. 45 Konstytucji RP).</w:t>
      </w:r>
    </w:p>
    <w:bookmarkEnd w:id="5"/>
    <w:p w14:paraId="04AA6830" w14:textId="77777777" w:rsidR="00C0079D" w:rsidRPr="00996BDA" w:rsidRDefault="00C0079D" w:rsidP="00C0079D">
      <w:pPr>
        <w:pStyle w:val="NIEARTTEKSTtekstnieartykuowanynppodstprawnarozplubpreambua"/>
        <w:rPr>
          <w:rStyle w:val="Kkursywa"/>
        </w:rPr>
      </w:pPr>
      <w:r w:rsidRPr="00996BDA">
        <w:rPr>
          <w:rStyle w:val="Kkursywa"/>
        </w:rPr>
        <w:t>III. Omówienie projektowanej regulacji</w:t>
      </w:r>
    </w:p>
    <w:p w14:paraId="186BA619" w14:textId="77777777" w:rsidR="00C0079D" w:rsidRPr="00996BDA" w:rsidRDefault="00C0079D" w:rsidP="00C0079D">
      <w:pPr>
        <w:pStyle w:val="NIEARTTEKSTtekstnieartykuowanynppodstprawnarozplubpreambua"/>
        <w:rPr>
          <w:rStyle w:val="Kkursywa"/>
        </w:rPr>
      </w:pPr>
      <w:r w:rsidRPr="00996BDA">
        <w:rPr>
          <w:rStyle w:val="Kkursywa"/>
        </w:rPr>
        <w:t>Cel projektu ma zostać osiągnięty poprzez nadanie art. 168a następującego brzmienia: „Niedopuszczalne jest przeprowadzenie i wykorzystanie dowodu uzyskanego do celów postępowania karnego za pomocą czynu zabronionego, o którym mowa w art. 1 § 1 Kodeksu karnego.”. Także poprzez uchylenie art. art. 168b, który dziś umożliwia „legalizację dowodów przez prokuratora, a także nowe ukształtowanie brzmienia art. 237a: „Jeżeli w wyniku kontroli uzyskano dowód popełnienia przestępstwa wymienionego w art. 237 § 3, popełnionego przez osobę, wobec której kontrola była stosowana, innego niż objęte zarządzeniem kontroli, prokurator w czasie trwania kontroli albo nie później niż w ciągu miesiąca od dnia jej zakończenia może wystąpić do sądu z wnioskiem o wyrażenie zgody na jego wykorzystanie w postępowaniu karnym. Sąd wydaje postanowienie w przedmiocie wniosku w terminie 14 dni na posiedzeniu bez udziału stron.”</w:t>
      </w:r>
    </w:p>
    <w:p w14:paraId="74CFCA72" w14:textId="77777777" w:rsidR="00C0079D" w:rsidRPr="00996BDA" w:rsidRDefault="00C0079D" w:rsidP="00C0079D">
      <w:pPr>
        <w:pStyle w:val="NIEARTTEKSTtekstnieartykuowanynppodstprawnarozplubpreambua"/>
        <w:rPr>
          <w:rStyle w:val="Kkursywa"/>
        </w:rPr>
      </w:pPr>
      <w:r w:rsidRPr="00996BDA">
        <w:rPr>
          <w:rStyle w:val="Kkursywa"/>
        </w:rPr>
        <w:t xml:space="preserve">Z przedstawionych powodów, zarówno natury jurydycznej, ale także w aspekcie interesu społecznego, a przede wszystkim interesu obywateli i ochrony ich praw, zadaniem ustawodawcy jest stworzenie otoczenia normatywnego, które będzie gwarantowało przestrzeganie podstawowych praw obywatelskich określonych w Konstytucji RP. </w:t>
      </w:r>
    </w:p>
    <w:p w14:paraId="62966E8C" w14:textId="77777777" w:rsidR="00C0079D" w:rsidRPr="00996BDA" w:rsidRDefault="00C0079D" w:rsidP="00C0079D">
      <w:pPr>
        <w:pStyle w:val="NIEARTTEKSTtekstnieartykuowanynppodstprawnarozplubpreambua"/>
        <w:rPr>
          <w:rStyle w:val="Kkursywa"/>
        </w:rPr>
      </w:pPr>
      <w:r w:rsidRPr="00996BDA">
        <w:rPr>
          <w:rStyle w:val="Kkursywa"/>
        </w:rPr>
        <w:t xml:space="preserve">Zasadnicza różnica pomiędzy stanem prawnym obecnie obowiązującym, a stanem prawnym, który ma nastąpić po wejściu w życie projektowanej regulacji, sprowadza się do wprowadzenia zasady, w świetle której tylko legalnie pozyskane dowody mogę być wykorzystane przez organy procesowe w postępowaniu karnym prowadzonym przeciwko obywatelowi. Jest to rozwiązanie w interesie obywateli, ale także wspiera dobro wymiaru sprawiedliwości. </w:t>
      </w:r>
    </w:p>
    <w:p w14:paraId="401BE9DE" w14:textId="77777777" w:rsidR="00C0079D" w:rsidRPr="00996BDA" w:rsidRDefault="00C0079D" w:rsidP="00C0079D">
      <w:pPr>
        <w:pStyle w:val="NIEARTTEKSTtekstnieartykuowanynppodstprawnarozplubpreambua"/>
        <w:rPr>
          <w:rStyle w:val="Kkursywa"/>
        </w:rPr>
      </w:pPr>
      <w:r w:rsidRPr="00996BDA">
        <w:rPr>
          <w:rStyle w:val="Kkursywa"/>
        </w:rPr>
        <w:t>Ustawa ma wejść w życie po upływie 14 dni od dnia ogłoszenia. Tak określone vacatio legis daje czas zainteresowanym podmiotom na przygotowanie się do nowych regulacji, a przede wszystkim niezwłocznie stworzy oczekiwane z perspektywy społecznej mechanizmy ochrony podstawowych praw gwarantowanych w Konstytucji RP.</w:t>
      </w:r>
    </w:p>
    <w:p w14:paraId="09E7D0E7" w14:textId="77777777" w:rsidR="00C0079D" w:rsidRPr="00996BDA" w:rsidRDefault="00C0079D" w:rsidP="00C0079D">
      <w:pPr>
        <w:pStyle w:val="NIEARTTEKSTtekstnieartykuowanynppodstprawnarozplubpreambua"/>
        <w:rPr>
          <w:rStyle w:val="Kkursywa"/>
        </w:rPr>
      </w:pPr>
      <w:r w:rsidRPr="00996BDA">
        <w:rPr>
          <w:rStyle w:val="Kkursywa"/>
        </w:rPr>
        <w:lastRenderedPageBreak/>
        <w:t>IV. Omówienie skutków projektu i oświadczenie o zgodności z prawem Unii Europejskiej</w:t>
      </w:r>
    </w:p>
    <w:p w14:paraId="1D45ECEF" w14:textId="77777777" w:rsidR="00C0079D" w:rsidRPr="00996BDA" w:rsidRDefault="00C0079D" w:rsidP="00C0079D">
      <w:pPr>
        <w:pStyle w:val="NIEARTTEKSTtekstnieartykuowanynppodstprawnarozplubpreambua"/>
        <w:rPr>
          <w:rStyle w:val="Kkursywa"/>
        </w:rPr>
      </w:pPr>
      <w:r w:rsidRPr="00996BDA">
        <w:rPr>
          <w:rStyle w:val="Kkursywa"/>
        </w:rPr>
        <w:t>Wejście w życie proponowanej ustawy nie będzie wymagało wydania aktów wykonawczych. Przyjęcie projektowanej ustawy będzie miało pozytywne skutki społeczne.</w:t>
      </w:r>
    </w:p>
    <w:p w14:paraId="1E9F5D73" w14:textId="77777777" w:rsidR="00C0079D" w:rsidRPr="00996BDA" w:rsidRDefault="00C0079D" w:rsidP="00C0079D">
      <w:pPr>
        <w:pStyle w:val="NIEARTTEKSTtekstnieartykuowanynppodstprawnarozplubpreambua"/>
        <w:rPr>
          <w:rStyle w:val="Kkursywa"/>
        </w:rPr>
      </w:pPr>
      <w:r w:rsidRPr="00996BDA">
        <w:rPr>
          <w:rStyle w:val="Kkursywa"/>
        </w:rPr>
        <w:t>Projekt ustawy nie pociąga za sobą skutków finansowych ‒ nie powoduje obciążenia budżetu państwa ani budżetów jednostek samorządu terytorialnego.</w:t>
      </w:r>
    </w:p>
    <w:p w14:paraId="62D0C956" w14:textId="77777777" w:rsidR="00C0079D" w:rsidRPr="00996BDA" w:rsidRDefault="00C0079D" w:rsidP="00C0079D">
      <w:pPr>
        <w:pStyle w:val="NIEARTTEKSTtekstnieartykuowanynppodstprawnarozplubpreambua"/>
        <w:rPr>
          <w:rStyle w:val="Kkursywa"/>
        </w:rPr>
      </w:pPr>
      <w:r w:rsidRPr="00996BDA">
        <w:rPr>
          <w:rStyle w:val="Kkursywa"/>
        </w:rPr>
        <w:t>Projekt jest zgodny z prawem Unii Europejskiej.</w:t>
      </w:r>
    </w:p>
    <w:p w14:paraId="7EC8C9CC" w14:textId="77777777" w:rsidR="00C0079D" w:rsidRDefault="00C0079D" w:rsidP="00C0079D">
      <w:pPr>
        <w:pStyle w:val="ZDANIENASTNOWYWIERSZnpzddrugienowywierszwust"/>
      </w:pPr>
    </w:p>
    <w:p w14:paraId="77F283FA" w14:textId="77777777" w:rsidR="00C0079D" w:rsidRPr="00AD24F2" w:rsidRDefault="00C0079D" w:rsidP="00C0079D">
      <w:pPr>
        <w:pStyle w:val="ZDANIENASTNOWYWIERSZnpzddrugienowywierszwust"/>
      </w:pPr>
      <w:r w:rsidRPr="005D5E79">
        <w:t xml:space="preserve">Przedkładający projekt proponują zmianę w stosunku do projektu NRA załączonego do petycji w zakresie przepisu przejściowego, w którym przesądzono o stosowaniu przepisów nowych w odniesieniu do wszystkich </w:t>
      </w:r>
      <w:r>
        <w:t>postępowań i czynności niezakończonych przed dniem wejścia w życie nowelizacji. W odniesieniu do zmiany w art. 168a i uchylenia art. 168b takie rozwiązanie jest zasadne, znosi bowiem jakąkolwiek możliwość użycia „owoców zatrutego drzewa” po wejściu w życie ustawy. Natomiast w odniesieniu do zmian w art. 237a, ze względu na fakt, że zmianie ulega jedynie procedura podejmowania decyzji o wykorzystaniu dowodu w postępowaniu karnym, należy umożliwić prokuratorowi jej przeprowadzenie wg nowych przepisów w terminie 6 miesięcy od dnia wejścia w życie ustawy, co przewidziano w art. 2 ust. 2 projektu.</w:t>
      </w:r>
    </w:p>
    <w:p w14:paraId="2DBE0B2D" w14:textId="77777777" w:rsidR="00C0079D" w:rsidRPr="006C4C72" w:rsidRDefault="00C0079D" w:rsidP="00C0079D">
      <w:pPr>
        <w:pStyle w:val="USTustnpkodeksu"/>
        <w:rPr>
          <w:highlight w:val="yellow"/>
        </w:rPr>
      </w:pPr>
    </w:p>
    <w:p w14:paraId="6EBF92D7" w14:textId="77777777" w:rsidR="00C0079D" w:rsidRPr="006C4C72" w:rsidRDefault="00C0079D" w:rsidP="00C0079D">
      <w:pPr>
        <w:pStyle w:val="ZDANIENASTNOWYWIERSZnpzddrugienowywierszwust"/>
        <w:rPr>
          <w:rStyle w:val="Ppogrubienie"/>
        </w:rPr>
      </w:pPr>
      <w:r w:rsidRPr="006C4C72">
        <w:rPr>
          <w:rStyle w:val="Ppogrubienie"/>
        </w:rPr>
        <w:t>Dodatkowe informacje wnioskodawców o spełnianiu przez projekt wymogów określonych przepisami, których nie zawarto w uzasadnieniu projektu dołączonego do petycji Naczelnej Rady Adwokackiej</w:t>
      </w:r>
    </w:p>
    <w:p w14:paraId="4671259C" w14:textId="77777777" w:rsidR="00C0079D" w:rsidRPr="006C4C72" w:rsidRDefault="00C0079D" w:rsidP="00C0079D">
      <w:pPr>
        <w:pStyle w:val="ZDANIENASTNOWYWIERSZnpzddrugienowywierszwust"/>
      </w:pPr>
      <w:r w:rsidRPr="006C4C72">
        <w:t>Projekt nie dotyczy zasad podejmowania, wykonywania lub zakończenia działalności gospodarczej.</w:t>
      </w:r>
    </w:p>
    <w:p w14:paraId="7DBCB3E6" w14:textId="77777777" w:rsidR="00C0079D" w:rsidRPr="006C4C72" w:rsidRDefault="00C0079D" w:rsidP="00C0079D">
      <w:pPr>
        <w:pStyle w:val="ZDANIENASTNOWYWIERSZnpzddrugienowywierszwust"/>
      </w:pPr>
      <w:r w:rsidRPr="006C4C72">
        <w:t>Projekt nie zawiera przepisów regulacyjnych lub przepisów określających wymogi dotyczące świadczenia usług transgranicznych w rozumieniu ustawy z dnia 22 grudnia 2015 r. o zasadach uznawania kwalifikacji zawodowych nabytych w państwach członkowskich Unii Europejskiej (Dz. U. z 2023 r. poz. 334).</w:t>
      </w:r>
    </w:p>
    <w:p w14:paraId="4B4E83C7" w14:textId="77777777" w:rsidR="00C0079D" w:rsidRPr="006C4C72" w:rsidRDefault="00C0079D" w:rsidP="00C0079D">
      <w:pPr>
        <w:pStyle w:val="ZDANIENASTNOWYWIERSZnpzddrugienowywierszwust"/>
      </w:pPr>
      <w:r w:rsidRPr="006C4C72">
        <w:t>Projekt nie wymaga przedstawienia organom i instytucjom Unii Europejskiej, w tym Europejskiemu Bankowi Centralnemu, w celu uzyskania opinii, dokonania powiadomienia, konsultacji albo uzgodnienia.</w:t>
      </w:r>
    </w:p>
    <w:p w14:paraId="1E2241A3" w14:textId="77777777" w:rsidR="00C0079D" w:rsidRPr="006C4C72" w:rsidRDefault="00C0079D" w:rsidP="00C0079D">
      <w:pPr>
        <w:pStyle w:val="ZDANIENASTNOWYWIERSZnpzddrugienowywierszwust"/>
      </w:pPr>
      <w:r w:rsidRPr="006C4C72">
        <w:t>Projekt ustawy nie zawiera przepisów technicznych w rozumieniu przepisów rozporządzenia Rady Ministrów z dnia 23 grudnia 2002 r. w sprawie sposobu funkcjonowania krajowego</w:t>
      </w:r>
      <w:r w:rsidRPr="00C04F4B">
        <w:rPr>
          <w:highlight w:val="yellow"/>
        </w:rPr>
        <w:t xml:space="preserve"> </w:t>
      </w:r>
      <w:r w:rsidRPr="006C4C72">
        <w:lastRenderedPageBreak/>
        <w:t>systemu notyfikacji norm i aktów prawnych (Dz. U. poz. 2039 oraz z 2004 r. poz. 597) i nie podlega procedurze notyfikacji.</w:t>
      </w:r>
    </w:p>
    <w:p w14:paraId="233CC39D" w14:textId="77777777" w:rsidR="00C0079D" w:rsidRPr="0097046D" w:rsidRDefault="00C0079D" w:rsidP="00C0079D"/>
    <w:p w14:paraId="6D2916C1" w14:textId="77777777" w:rsidR="00C0079D" w:rsidRPr="0097046D" w:rsidRDefault="00C0079D" w:rsidP="00C0079D">
      <w:pPr>
        <w:pStyle w:val="NIEARTTEKSTtekstnieartykuowanynppodstprawnarozplubpreambua"/>
      </w:pPr>
    </w:p>
    <w:p w14:paraId="5C5AD735" w14:textId="77777777" w:rsidR="00C0079D" w:rsidRPr="004124A2" w:rsidRDefault="00C0079D" w:rsidP="00C0079D">
      <w:pPr>
        <w:pStyle w:val="ZDANIENASTNOWYWIERSZnpzddrugienowywierszwust"/>
      </w:pPr>
    </w:p>
    <w:p w14:paraId="23FEF814" w14:textId="77777777" w:rsidR="00C0079D" w:rsidRPr="004124A2" w:rsidRDefault="00C0079D" w:rsidP="00C0079D">
      <w:pPr>
        <w:pStyle w:val="ZDANIENASTNOWYWIERSZnpzddrugienowywierszwust"/>
      </w:pPr>
    </w:p>
    <w:p w14:paraId="54D39F64" w14:textId="77777777" w:rsidR="00F740E1" w:rsidRDefault="00F740E1"/>
    <w:sectPr w:rsidR="00F740E1" w:rsidSect="0034770C">
      <w:headerReference w:type="default" r:id="rId6"/>
      <w:headerReference w:type="first" r:id="rId7"/>
      <w:footnotePr>
        <w:numRestart w:val="eachSect"/>
      </w:footnotePr>
      <w:pgSz w:w="11906" w:h="16838"/>
      <w:pgMar w:top="1418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3D0B8" w14:textId="77777777" w:rsidR="002E5429" w:rsidRDefault="002E5429">
      <w:r>
        <w:separator/>
      </w:r>
    </w:p>
  </w:endnote>
  <w:endnote w:type="continuationSeparator" w:id="0">
    <w:p w14:paraId="4540CD0C" w14:textId="77777777" w:rsidR="002E5429" w:rsidRDefault="002E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578D3" w14:textId="77777777" w:rsidR="002E5429" w:rsidRDefault="002E5429">
      <w:r>
        <w:separator/>
      </w:r>
    </w:p>
  </w:footnote>
  <w:footnote w:type="continuationSeparator" w:id="0">
    <w:p w14:paraId="46D2F78C" w14:textId="77777777" w:rsidR="002E5429" w:rsidRDefault="002E5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FD95B" w14:textId="77777777" w:rsidR="00EC1B78" w:rsidRPr="00B371CC" w:rsidRDefault="00000000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24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DAABD" w14:textId="77777777" w:rsidR="00EC1B78" w:rsidRPr="00701E4D" w:rsidRDefault="00EC1B78" w:rsidP="00701E4D">
    <w:pPr>
      <w:contextualSpacing/>
      <w:jc w:val="right"/>
      <w:rPr>
        <w:rFonts w:ascii="Calibri Light" w:hAnsi="Calibri Light" w:cs="Calibri Light"/>
        <w:i/>
        <w:iCs/>
      </w:rPr>
    </w:pPr>
  </w:p>
  <w:p w14:paraId="57CBB8D9" w14:textId="77777777" w:rsidR="00EC1B78" w:rsidRDefault="00EC1B7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79D"/>
    <w:rsid w:val="002E5429"/>
    <w:rsid w:val="0034770C"/>
    <w:rsid w:val="00C0079D"/>
    <w:rsid w:val="00CE7AEB"/>
    <w:rsid w:val="00EC1B78"/>
    <w:rsid w:val="00EE3747"/>
    <w:rsid w:val="00F7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D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079D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kern w:val="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punkt">
    <w:name w:val="PKT – punkt"/>
    <w:uiPriority w:val="13"/>
    <w:qFormat/>
    <w:rsid w:val="00C0079D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C0079D"/>
    <w:pPr>
      <w:spacing w:before="0"/>
    </w:pPr>
    <w:rPr>
      <w:bCs/>
    </w:rPr>
  </w:style>
  <w:style w:type="paragraph" w:customStyle="1" w:styleId="ARTartustawynprozporzdzenia">
    <w:name w:val="ART(§) – art. ustawy (§ np. rozporządzenia)"/>
    <w:uiPriority w:val="11"/>
    <w:qFormat/>
    <w:rsid w:val="00C0079D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C0079D"/>
    <w:pPr>
      <w:spacing w:before="0"/>
      <w:ind w:left="510"/>
    </w:pPr>
  </w:style>
  <w:style w:type="paragraph" w:styleId="Nagwek">
    <w:name w:val="header"/>
    <w:basedOn w:val="Normalny"/>
    <w:link w:val="NagwekZnak"/>
    <w:uiPriority w:val="99"/>
    <w:rsid w:val="00C0079D"/>
    <w:pPr>
      <w:tabs>
        <w:tab w:val="center" w:pos="4536"/>
        <w:tab w:val="right" w:pos="9072"/>
      </w:tabs>
      <w:suppressAutoHyphens/>
      <w:autoSpaceDE/>
      <w:autoSpaceDN/>
      <w:adjustRightInd/>
      <w:spacing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C0079D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C0079D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kern w:val="0"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C0079D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C0079D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C0079D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C0079D"/>
    <w:pPr>
      <w:spacing w:after="0" w:line="360" w:lineRule="auto"/>
      <w:jc w:val="right"/>
    </w:pPr>
    <w:rPr>
      <w:rFonts w:ascii="Times New Roman" w:eastAsiaTheme="minorEastAsia" w:hAnsi="Times New Roman" w:cs="Arial"/>
      <w:kern w:val="0"/>
      <w:sz w:val="24"/>
      <w:szCs w:val="20"/>
      <w:u w:val="single"/>
      <w:lang w:eastAsia="pl-PL"/>
    </w:rPr>
  </w:style>
  <w:style w:type="paragraph" w:customStyle="1" w:styleId="ZDANIENASTNOWYWIERSZnpzddrugienowywierszwust">
    <w:name w:val="ZDANIE_NAST_NOWY_WIERSZ – np. zd. drugie (nowy wiersz) w ust."/>
    <w:basedOn w:val="Normalny"/>
    <w:next w:val="USTustnpkodeksu"/>
    <w:uiPriority w:val="17"/>
    <w:qFormat/>
    <w:rsid w:val="00C0079D"/>
    <w:pPr>
      <w:widowControl/>
      <w:autoSpaceDE/>
      <w:autoSpaceDN/>
      <w:adjustRightInd/>
      <w:spacing w:line="360" w:lineRule="auto"/>
      <w:jc w:val="both"/>
    </w:pPr>
    <w:rPr>
      <w:rFonts w:ascii="Times" w:hAnsi="Times" w:cs="Arial"/>
      <w:bCs/>
      <w:sz w:val="24"/>
    </w:rPr>
  </w:style>
  <w:style w:type="character" w:customStyle="1" w:styleId="Ppogrubienie">
    <w:name w:val="_P_ – pogrubienie"/>
    <w:basedOn w:val="Domylnaczcionkaakapitu"/>
    <w:uiPriority w:val="1"/>
    <w:qFormat/>
    <w:rsid w:val="00C0079D"/>
    <w:rPr>
      <w:b/>
    </w:rPr>
  </w:style>
  <w:style w:type="character" w:customStyle="1" w:styleId="Kkursywa">
    <w:name w:val="_K_ – kursywa"/>
    <w:basedOn w:val="Domylnaczcionkaakapitu"/>
    <w:uiPriority w:val="1"/>
    <w:qFormat/>
    <w:rsid w:val="00C0079D"/>
    <w:rPr>
      <w:i/>
    </w:rPr>
  </w:style>
  <w:style w:type="character" w:customStyle="1" w:styleId="cf01">
    <w:name w:val="cf01"/>
    <w:basedOn w:val="Domylnaczcionkaakapitu"/>
    <w:rsid w:val="00C0079D"/>
    <w:rPr>
      <w:rFonts w:ascii="Segoe UI" w:hAnsi="Segoe UI" w:cs="Segoe UI" w:hint="default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EE37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3747"/>
    <w:rPr>
      <w:rFonts w:ascii="Verdana" w:eastAsiaTheme="minorEastAsia" w:hAnsi="Verdana"/>
      <w:kern w:val="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2777</Words>
  <Characters>16666</Characters>
  <Application>Microsoft Office Word</Application>
  <DocSecurity>0</DocSecurity>
  <Lines>138</Lines>
  <Paragraphs>38</Paragraphs>
  <ScaleCrop>false</ScaleCrop>
  <Company/>
  <LinksUpToDate>false</LinksUpToDate>
  <CharactersWithSpaces>19405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2024-05-21T16:12:00Z</dcterms:created>
  <dcterms:modified xsi:type="dcterms:W3CDTF">2024-05-21T16:12:00Z</dcterms:modified>
</cp:coreProperties>
</file>