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59EB9" w14:textId="77777777" w:rsidR="00D37270" w:rsidRPr="00D37270" w:rsidRDefault="00D37270" w:rsidP="004A4B71">
      <w:pPr>
        <w:pStyle w:val="OZNRODZAKTUtznustawalubrozporzdzenieiorganwydajcy"/>
        <w:jc w:val="right"/>
        <w:rPr>
          <w:rFonts w:eastAsia="Helvetica"/>
          <w:b w:val="0"/>
          <w:i/>
          <w:spacing w:val="0"/>
        </w:rPr>
      </w:pPr>
      <w:r w:rsidRPr="00D37270">
        <w:rPr>
          <w:rFonts w:eastAsia="Helvetica"/>
          <w:b w:val="0"/>
          <w:i/>
          <w:caps w:val="0"/>
          <w:spacing w:val="0"/>
        </w:rPr>
        <w:t>projekt</w:t>
      </w:r>
    </w:p>
    <w:p w14:paraId="4506E4F7" w14:textId="77777777" w:rsidR="00D37270" w:rsidRPr="00E6082F" w:rsidRDefault="00D37270" w:rsidP="00D37270">
      <w:pPr>
        <w:pStyle w:val="OZNRODZAKTUtznustawalubrozporzdzenieiorganwydajcy"/>
        <w:rPr>
          <w:rFonts w:eastAsia="Helvetica"/>
        </w:rPr>
      </w:pPr>
      <w:r w:rsidRPr="00E6082F">
        <w:rPr>
          <w:rFonts w:eastAsia="Helvetica"/>
        </w:rPr>
        <w:t xml:space="preserve">Ustawa </w:t>
      </w:r>
    </w:p>
    <w:p w14:paraId="348AB5B1" w14:textId="2D1A3D5C" w:rsidR="00D37270" w:rsidRPr="00E6082F" w:rsidRDefault="00D37270" w:rsidP="00D37270">
      <w:pPr>
        <w:pStyle w:val="DATAAKTUdatauchwalenialubwydaniaaktu"/>
      </w:pPr>
      <w:r>
        <w:t xml:space="preserve">z </w:t>
      </w:r>
      <w:r w:rsidRPr="00E6082F">
        <w:t>dnia …</w:t>
      </w:r>
    </w:p>
    <w:p w14:paraId="48691899" w14:textId="6AF5ACF4" w:rsidR="00D37270" w:rsidRPr="00E6082F" w:rsidRDefault="00D37270" w:rsidP="00D37270">
      <w:pPr>
        <w:pStyle w:val="TYTUAKTUprzedmiotregulacjiustawylubrozporzdzenia"/>
      </w:pPr>
      <w:r>
        <w:t>o zmianie ustawy</w:t>
      </w:r>
      <w:r w:rsidR="008A04EB">
        <w:t xml:space="preserve"> </w:t>
      </w:r>
      <w:r w:rsidR="008A04EB" w:rsidRPr="008A04EB">
        <w:t>o budowie zabezpieczenia granicy państwowej</w:t>
      </w:r>
    </w:p>
    <w:p w14:paraId="02E1827F" w14:textId="45C717DA" w:rsidR="00D37270" w:rsidRDefault="00D37270" w:rsidP="00D37270">
      <w:pPr>
        <w:pStyle w:val="ARTartustawynprozporzdzenia"/>
      </w:pPr>
      <w:r w:rsidRPr="00120341">
        <w:rPr>
          <w:rStyle w:val="Ppogrubienie"/>
        </w:rPr>
        <w:t>Art</w:t>
      </w:r>
      <w:r w:rsidRPr="009A407B">
        <w:rPr>
          <w:rStyle w:val="Ppogrubienie"/>
        </w:rPr>
        <w:t>.</w:t>
      </w:r>
      <w:r>
        <w:rPr>
          <w:rStyle w:val="Ppogrubienie"/>
        </w:rPr>
        <w:t xml:space="preserve"> </w:t>
      </w:r>
      <w:r w:rsidRPr="009A407B">
        <w:rPr>
          <w:rStyle w:val="Ppogrubienie"/>
        </w:rPr>
        <w:t>1.</w:t>
      </w:r>
      <w:r>
        <w:t xml:space="preserve"> </w:t>
      </w:r>
      <w:r w:rsidRPr="00A26610">
        <w:t xml:space="preserve">W ustawie </w:t>
      </w:r>
      <w:r w:rsidR="00EE2980" w:rsidRPr="00EE2980">
        <w:t>z dnia 29 października 2021 r.</w:t>
      </w:r>
      <w:r w:rsidRPr="00A26610">
        <w:t xml:space="preserve"> </w:t>
      </w:r>
      <w:r w:rsidR="00EE2980" w:rsidRPr="00EE2980">
        <w:t xml:space="preserve">o budowie zabezpieczenia granicy państwowej </w:t>
      </w:r>
      <w:r w:rsidRPr="00A26610">
        <w:t>(Dz.</w:t>
      </w:r>
      <w:r w:rsidR="003401DE">
        <w:t xml:space="preserve"> </w:t>
      </w:r>
      <w:r w:rsidRPr="00A26610">
        <w:t>U. z 202</w:t>
      </w:r>
      <w:r>
        <w:t>3</w:t>
      </w:r>
      <w:r w:rsidR="001D13BB">
        <w:t> </w:t>
      </w:r>
      <w:r w:rsidRPr="00A26610">
        <w:t xml:space="preserve">r. poz. </w:t>
      </w:r>
      <w:r w:rsidR="00EE2980">
        <w:t>1390</w:t>
      </w:r>
      <w:r w:rsidRPr="00A26610">
        <w:t>) wprowadza się następujące zmiany:</w:t>
      </w:r>
    </w:p>
    <w:p w14:paraId="2057FE9B" w14:textId="14714CA0" w:rsidR="00D37270" w:rsidRDefault="00D37270" w:rsidP="00D37270">
      <w:pPr>
        <w:pStyle w:val="PKTpunkt"/>
      </w:pPr>
      <w:r>
        <w:t>1)</w:t>
      </w:r>
      <w:r>
        <w:tab/>
        <w:t xml:space="preserve">art. </w:t>
      </w:r>
      <w:r w:rsidR="00EE2980">
        <w:t>1</w:t>
      </w:r>
      <w:r w:rsidR="00DA4B62">
        <w:t xml:space="preserve"> otrzymuje brzmienie</w:t>
      </w:r>
      <w:r>
        <w:t>:</w:t>
      </w:r>
    </w:p>
    <w:p w14:paraId="704F875C" w14:textId="2617D123" w:rsidR="00EE2980" w:rsidRDefault="00D37270" w:rsidP="00FE4190">
      <w:pPr>
        <w:pStyle w:val="ZUSTzmustartykuempunktem"/>
        <w:ind w:firstLine="198"/>
      </w:pPr>
      <w:r>
        <w:t>„</w:t>
      </w:r>
      <w:r w:rsidR="00EE2980">
        <w:t xml:space="preserve">Art. 1. </w:t>
      </w:r>
      <w:r w:rsidR="00EE2980" w:rsidRPr="00EE2980">
        <w:t xml:space="preserve">Ustawa określa zasady przygotowania i realizacji zabezpieczenia granicy państwowej, stanowiącej granicę zewnętrzną w rozumieniu art. 2 pkt 2 rozporządzenia Parlamentu Europejskiego i Rady (UE) 2016/399 z dnia 9 marca 2016 r. w sprawie unijnego kodeksu zasad regulujących przepływ osób przez granice (kodeks graniczny Schengen) (Dz. Urz. UE L 77 z 23.03.2016, str. 1, z późn. zm.), </w:t>
      </w:r>
      <w:r w:rsidR="00EE2980">
        <w:t xml:space="preserve">w szczególności granicy z </w:t>
      </w:r>
      <w:r w:rsidR="00EE2980" w:rsidRPr="00EE2980">
        <w:t>Republik</w:t>
      </w:r>
      <w:r w:rsidR="00EE2980">
        <w:t>ą</w:t>
      </w:r>
      <w:r w:rsidR="00EE2980" w:rsidRPr="00EE2980">
        <w:t xml:space="preserve"> Białorusi</w:t>
      </w:r>
      <w:r w:rsidR="00EE2980">
        <w:t xml:space="preserve"> oraz </w:t>
      </w:r>
      <w:r w:rsidR="00EE2980" w:rsidRPr="00EE2980">
        <w:t>Federacj</w:t>
      </w:r>
      <w:r w:rsidR="00EE2980">
        <w:t>ą</w:t>
      </w:r>
      <w:r w:rsidR="00EE2980" w:rsidRPr="00EE2980">
        <w:t xml:space="preserve"> Rosyjsk</w:t>
      </w:r>
      <w:r w:rsidR="00EE2980">
        <w:t xml:space="preserve">ą, </w:t>
      </w:r>
      <w:r w:rsidR="00EE2980" w:rsidRPr="00EE2980">
        <w:t>przez fizyczne, techniczne lub elektroniczne jej zabezpieczenie, w tym przed nielegalnym przekroczeniem, zwane dalej "barierą"</w:t>
      </w:r>
      <w:r w:rsidR="00EE2980">
        <w:t>.”;</w:t>
      </w:r>
    </w:p>
    <w:p w14:paraId="418602FB" w14:textId="12F246D3" w:rsidR="00D37270" w:rsidRDefault="00EE2980" w:rsidP="00D37270">
      <w:pPr>
        <w:pStyle w:val="PKTpunkt"/>
      </w:pPr>
      <w:r>
        <w:t>2</w:t>
      </w:r>
      <w:r w:rsidR="00D37270" w:rsidRPr="0021750D">
        <w:t>)</w:t>
      </w:r>
      <w:r w:rsidR="00D37270" w:rsidRPr="0021750D">
        <w:tab/>
        <w:t>w</w:t>
      </w:r>
      <w:r w:rsidR="00D37270">
        <w:t xml:space="preserve"> art. </w:t>
      </w:r>
      <w:r>
        <w:t>5 w pkt 2</w:t>
      </w:r>
      <w:r w:rsidR="00D37270">
        <w:t>:</w:t>
      </w:r>
    </w:p>
    <w:p w14:paraId="09F7D049" w14:textId="6CC4CDE3" w:rsidR="00EE2980" w:rsidRDefault="00EE2980" w:rsidP="00B61DAF">
      <w:pPr>
        <w:pStyle w:val="LITlitera"/>
        <w:numPr>
          <w:ilvl w:val="0"/>
          <w:numId w:val="6"/>
        </w:numPr>
        <w:ind w:left="907"/>
      </w:pPr>
      <w:r>
        <w:t>po lit. e dodaje się lit ea w brzmieniu:</w:t>
      </w:r>
    </w:p>
    <w:p w14:paraId="198BA810" w14:textId="02DEAD8A" w:rsidR="00EE2980" w:rsidRDefault="00EE2980" w:rsidP="00EE2980">
      <w:pPr>
        <w:pStyle w:val="LITlitera"/>
        <w:ind w:left="907" w:firstLine="0"/>
      </w:pPr>
      <w:r>
        <w:t xml:space="preserve">„ea) </w:t>
      </w:r>
      <w:r w:rsidRPr="00EE2980">
        <w:t>Szef Sztabu Generalnego Wojska Polskiego albo upoważniony przez niego zastępca</w:t>
      </w:r>
      <w:r>
        <w:t>,”,</w:t>
      </w:r>
    </w:p>
    <w:p w14:paraId="4D2D3345" w14:textId="7ABEEF86" w:rsidR="00D37270" w:rsidRDefault="00EE2980" w:rsidP="00B61DAF">
      <w:pPr>
        <w:pStyle w:val="LITlitera"/>
        <w:numPr>
          <w:ilvl w:val="0"/>
          <w:numId w:val="6"/>
        </w:numPr>
        <w:ind w:left="907"/>
      </w:pPr>
      <w:r>
        <w:t>po lit. la dodaje się lit. lb w</w:t>
      </w:r>
      <w:r w:rsidR="00D37270">
        <w:t xml:space="preserve"> brzmieni</w:t>
      </w:r>
      <w:r>
        <w:t>u</w:t>
      </w:r>
      <w:r w:rsidR="00D37270">
        <w:t>:</w:t>
      </w:r>
    </w:p>
    <w:p w14:paraId="5A14C0F8" w14:textId="1634DF33" w:rsidR="00FB42ED" w:rsidRDefault="00BD6C81" w:rsidP="00F57301">
      <w:pPr>
        <w:pStyle w:val="ZLITwPKTzmlitwpktartykuempunktem"/>
        <w:ind w:left="1326"/>
      </w:pPr>
      <w:r>
        <w:t>„</w:t>
      </w:r>
      <w:r w:rsidR="00EE2980">
        <w:t>lb</w:t>
      </w:r>
      <w:r w:rsidR="00D37270" w:rsidRPr="00635692">
        <w:t>)</w:t>
      </w:r>
      <w:r w:rsidR="00D37270">
        <w:tab/>
      </w:r>
      <w:bookmarkStart w:id="0" w:name="_Hlk167174636"/>
      <w:r w:rsidR="00EE2980" w:rsidRPr="00EE2980">
        <w:t xml:space="preserve">Wojewoda </w:t>
      </w:r>
      <w:r w:rsidR="00EE2980">
        <w:t>Pomorski</w:t>
      </w:r>
      <w:r w:rsidR="00EE2980" w:rsidRPr="00EE2980">
        <w:t xml:space="preserve"> albo upoważniony przez niego zastępca</w:t>
      </w:r>
      <w:bookmarkEnd w:id="0"/>
      <w:r w:rsidR="00D37270" w:rsidRPr="00635692">
        <w:t>,</w:t>
      </w:r>
      <w:r>
        <w:t>”</w:t>
      </w:r>
      <w:r w:rsidR="00FB42ED">
        <w:t>,</w:t>
      </w:r>
    </w:p>
    <w:p w14:paraId="2E568429" w14:textId="57C4C837" w:rsidR="001A039B" w:rsidRDefault="00D37270" w:rsidP="001A039B">
      <w:pPr>
        <w:pStyle w:val="ARTartustawynprozporzdzenia"/>
      </w:pPr>
      <w:r>
        <w:rPr>
          <w:rStyle w:val="Ppogrubienie"/>
        </w:rPr>
        <w:t xml:space="preserve">Art. </w:t>
      </w:r>
      <w:r w:rsidRPr="0021750D">
        <w:rPr>
          <w:rStyle w:val="Ppogrubienie"/>
        </w:rPr>
        <w:t>2.</w:t>
      </w:r>
      <w:r>
        <w:rPr>
          <w:rStyle w:val="Ppogrubienie"/>
        </w:rPr>
        <w:t xml:space="preserve"> </w:t>
      </w:r>
      <w:r w:rsidR="00BA6CBA" w:rsidRPr="00BA6CBA">
        <w:rPr>
          <w:rStyle w:val="Ppogrubienie"/>
          <w:b w:val="0"/>
          <w:bCs/>
        </w:rPr>
        <w:t>Z</w:t>
      </w:r>
      <w:r w:rsidR="00BA6CBA" w:rsidRPr="00BA6CBA">
        <w:t>esp</w:t>
      </w:r>
      <w:r w:rsidR="00BA6CBA">
        <w:t>ół</w:t>
      </w:r>
      <w:r w:rsidR="00BA6CBA" w:rsidRPr="00BA6CBA">
        <w:t xml:space="preserve"> do spraw przygotowania i realizacji zabezpieczenia granicy państwowej</w:t>
      </w:r>
      <w:r w:rsidR="007972AA">
        <w:t xml:space="preserve">, </w:t>
      </w:r>
      <w:r w:rsidR="00BD09DF">
        <w:t xml:space="preserve">o którym mowa w </w:t>
      </w:r>
      <w:r w:rsidR="007972AA">
        <w:t xml:space="preserve">art. </w:t>
      </w:r>
      <w:r w:rsidR="00BD09DF">
        <w:t>5</w:t>
      </w:r>
      <w:r w:rsidR="00BD09DF" w:rsidRPr="007972AA">
        <w:t xml:space="preserve"> </w:t>
      </w:r>
      <w:r w:rsidR="007972AA" w:rsidRPr="007972AA">
        <w:t>ustaw</w:t>
      </w:r>
      <w:r w:rsidR="007972AA">
        <w:t>y</w:t>
      </w:r>
      <w:r w:rsidR="007972AA" w:rsidRPr="007972AA">
        <w:t xml:space="preserve"> z dnia 29 października 2021 r. o budowie zabezpieczenia granicy państwowej (Dz. U. z 2023 r. poz. 1390)</w:t>
      </w:r>
      <w:r w:rsidR="007972AA">
        <w:t>,</w:t>
      </w:r>
      <w:r w:rsidR="00BA6CBA">
        <w:t xml:space="preserve"> opracuje i przedstawi </w:t>
      </w:r>
      <w:r w:rsidR="00BA6CBA" w:rsidRPr="00BA6CBA">
        <w:t>założe</w:t>
      </w:r>
      <w:r w:rsidR="00BA6CBA">
        <w:t>nia</w:t>
      </w:r>
      <w:r w:rsidR="00BA6CBA" w:rsidRPr="00BA6CBA">
        <w:t xml:space="preserve"> </w:t>
      </w:r>
      <w:r w:rsidR="00DE7CB3">
        <w:t>oraz</w:t>
      </w:r>
      <w:r w:rsidR="00BA6CBA" w:rsidRPr="00BA6CBA">
        <w:t xml:space="preserve"> propozycj</w:t>
      </w:r>
      <w:r w:rsidR="00BA6CBA">
        <w:t>e</w:t>
      </w:r>
      <w:r w:rsidR="00BA6CBA" w:rsidRPr="00BA6CBA">
        <w:t xml:space="preserve"> działań w zakresie przygotowania i realizacji inwestycj</w:t>
      </w:r>
      <w:r w:rsidR="00BA6CBA">
        <w:t>i</w:t>
      </w:r>
      <w:r w:rsidR="00BA6CBA" w:rsidRPr="00BA6CBA">
        <w:t xml:space="preserve"> w zakresie budowy zabezpieczenia granicy państwowej </w:t>
      </w:r>
      <w:r w:rsidR="001A039B">
        <w:t xml:space="preserve">z </w:t>
      </w:r>
      <w:r w:rsidR="00BA6CBA" w:rsidRPr="00BA6CBA">
        <w:t>Federacją Rosyjską</w:t>
      </w:r>
      <w:r w:rsidR="001A039B">
        <w:t xml:space="preserve"> w terminie 3 miesięcy od dnia wejścia w życie niniejszej ustawy.</w:t>
      </w:r>
    </w:p>
    <w:p w14:paraId="3A045482" w14:textId="5E1A3455" w:rsidR="00D37270" w:rsidRDefault="00BA6CBA" w:rsidP="00BA6CBA">
      <w:pPr>
        <w:pStyle w:val="ARTartustawynprozporzdzenia"/>
        <w:ind w:left="510" w:firstLine="0"/>
      </w:pPr>
      <w:r w:rsidRPr="00BA6CBA">
        <w:rPr>
          <w:rStyle w:val="Ppogrubienie"/>
          <w:b w:val="0"/>
        </w:rPr>
        <w:t xml:space="preserve"> </w:t>
      </w:r>
      <w:r w:rsidR="00D37270" w:rsidRPr="0092578F">
        <w:rPr>
          <w:rStyle w:val="Ppogrubienie"/>
        </w:rPr>
        <w:t>Art.</w:t>
      </w:r>
      <w:r w:rsidR="00D37270">
        <w:rPr>
          <w:rStyle w:val="Ppogrubienie"/>
        </w:rPr>
        <w:t xml:space="preserve"> 3</w:t>
      </w:r>
      <w:r w:rsidR="00D37270" w:rsidRPr="0092578F">
        <w:rPr>
          <w:rStyle w:val="Ppogrubienie"/>
        </w:rPr>
        <w:t>.</w:t>
      </w:r>
      <w:r w:rsidR="00D37270">
        <w:t xml:space="preserve"> </w:t>
      </w:r>
      <w:r w:rsidR="00D37270" w:rsidRPr="00E6082F">
        <w:t>Us</w:t>
      </w:r>
      <w:r w:rsidR="001D13BB">
        <w:t>tawa wchodzi w życie</w:t>
      </w:r>
      <w:r>
        <w:t xml:space="preserve"> </w:t>
      </w:r>
      <w:r w:rsidRPr="00BA6CBA">
        <w:t>z dniem następującym po dniu ogłoszenia</w:t>
      </w:r>
      <w:r>
        <w:t>.</w:t>
      </w:r>
    </w:p>
    <w:p w14:paraId="532ADADD" w14:textId="77777777" w:rsidR="004E614D" w:rsidRDefault="004E614D"/>
    <w:p w14:paraId="631A7445" w14:textId="77777777" w:rsidR="00891356" w:rsidRDefault="00891356" w:rsidP="00D37270">
      <w:pPr>
        <w:jc w:val="center"/>
        <w:rPr>
          <w:rFonts w:cs="Times New Roman"/>
          <w:b/>
          <w:szCs w:val="24"/>
        </w:rPr>
      </w:pPr>
    </w:p>
    <w:p w14:paraId="509D0663" w14:textId="77777777" w:rsidR="00891356" w:rsidRDefault="00891356" w:rsidP="00D37270">
      <w:pPr>
        <w:jc w:val="center"/>
        <w:rPr>
          <w:rFonts w:cs="Times New Roman"/>
          <w:b/>
          <w:szCs w:val="24"/>
        </w:rPr>
      </w:pPr>
    </w:p>
    <w:p w14:paraId="2E1B2FBF" w14:textId="4B4B9E84" w:rsidR="00D37270" w:rsidRDefault="00D37270" w:rsidP="00D37270">
      <w:pPr>
        <w:jc w:val="center"/>
        <w:rPr>
          <w:rFonts w:cs="Times New Roman"/>
          <w:b/>
          <w:szCs w:val="24"/>
        </w:rPr>
      </w:pPr>
      <w:r w:rsidRPr="00D37270">
        <w:rPr>
          <w:rFonts w:cs="Times New Roman"/>
          <w:b/>
          <w:szCs w:val="24"/>
        </w:rPr>
        <w:lastRenderedPageBreak/>
        <w:t>UZASADNIENIE</w:t>
      </w:r>
    </w:p>
    <w:p w14:paraId="233C82F6" w14:textId="77777777" w:rsidR="001A039B" w:rsidRPr="00BD09DF" w:rsidRDefault="001A039B" w:rsidP="001A039B">
      <w:pPr>
        <w:rPr>
          <w:rFonts w:cs="Times New Roman"/>
          <w:b/>
          <w:sz w:val="16"/>
          <w:szCs w:val="16"/>
        </w:rPr>
      </w:pPr>
    </w:p>
    <w:p w14:paraId="064BDFFA" w14:textId="62C3EF6F" w:rsidR="001A039B" w:rsidRDefault="001A039B" w:rsidP="001A039B">
      <w:pPr>
        <w:ind w:firstLine="708"/>
        <w:jc w:val="both"/>
      </w:pPr>
      <w:r>
        <w:t>W związku z dynamiczn</w:t>
      </w:r>
      <w:r w:rsidR="00DD4080">
        <w:t>ą</w:t>
      </w:r>
      <w:r>
        <w:t xml:space="preserve"> sytuacją geopolityczną wywołaną zbrojnym atakiem Federacji Rosyjskiej na Ukrainę oraz wspierającymi Rosję działaniami ze strony Republiki Białorusi istnieje koniczność kontynuowania działań służących wzmocnieniu zabezpieczenia wschodniej granicy Rzeczypospolitej Polskiej, stanowiącej jednocześnie zewnętrzną granicę Unii Europejskiej w rozumieniu art. 2 pkt 2 rozporządzenia 2016/399, w szczególności </w:t>
      </w:r>
      <w:r w:rsidRPr="001A039B">
        <w:t xml:space="preserve">granicy państwowej z </w:t>
      </w:r>
      <w:r w:rsidR="00DD4080">
        <w:t xml:space="preserve">Republiką Białorusi oraz </w:t>
      </w:r>
      <w:r w:rsidRPr="001A039B">
        <w:t>Federacją Rosyjską</w:t>
      </w:r>
      <w:r>
        <w:t>.</w:t>
      </w:r>
    </w:p>
    <w:p w14:paraId="2D0C965A" w14:textId="77777777" w:rsidR="00EB19E5" w:rsidRPr="00BD09DF" w:rsidRDefault="00EB19E5" w:rsidP="001A039B">
      <w:pPr>
        <w:ind w:firstLine="708"/>
        <w:jc w:val="both"/>
        <w:rPr>
          <w:sz w:val="16"/>
          <w:szCs w:val="16"/>
        </w:rPr>
      </w:pPr>
    </w:p>
    <w:p w14:paraId="2CB14AA4" w14:textId="37AFEC8A" w:rsidR="001A039B" w:rsidRDefault="00DD4080" w:rsidP="001A039B">
      <w:pPr>
        <w:ind w:firstLine="708"/>
        <w:jc w:val="both"/>
      </w:pPr>
      <w:r>
        <w:t xml:space="preserve">Wnioskodawcy </w:t>
      </w:r>
      <w:r w:rsidR="001A039B">
        <w:t>uznają za konieczne dostosowanie zapisów ustawy z dnia 29 października 2021 r. o budowie zabezpieczenia granicy państwowej do potrzeb związanych z budową urządzeń służących zabezpieczeniu odcinka granicy państwowej Rzeczypospolitej Polskiej z Federacją Rosyjską (Obwodem Kaliningradzkim). W związku z powyższym zasadnym jest uwzględnienie w składzie Zespołu do spraw przygotowania i realizacji zabezpieczenia granicy państwowej dodatkowych członków, jak choćb</w:t>
      </w:r>
      <w:r w:rsidR="00EB19E5">
        <w:t>y</w:t>
      </w:r>
      <w:r w:rsidR="001A039B">
        <w:t xml:space="preserve"> organów administracji rządowej właściwych miejscowo dla odcinka granicy państwowej Rzeczypospolitej Polskiej z Federacją Rosyjską. Dlatego też skład Zespołu, wskazany w art. 5 ust. 2 pkt 2 zmienianej ustawy, </w:t>
      </w:r>
      <w:r w:rsidR="00EB19E5">
        <w:t xml:space="preserve">w ocenie wnioskodawców </w:t>
      </w:r>
      <w:r w:rsidR="001A039B">
        <w:t xml:space="preserve">należy uzupełnić </w:t>
      </w:r>
      <w:r w:rsidR="00EB19E5">
        <w:t xml:space="preserve">o </w:t>
      </w:r>
      <w:r w:rsidR="001A039B">
        <w:t xml:space="preserve">Wojewodę </w:t>
      </w:r>
      <w:r w:rsidR="00EB19E5">
        <w:t>Pomorskiego</w:t>
      </w:r>
      <w:r w:rsidR="001A039B">
        <w:t xml:space="preserve"> (albo upoważnionego przez niego zastępcę)</w:t>
      </w:r>
      <w:r w:rsidR="00D07BB1">
        <w:t xml:space="preserve">, a także o </w:t>
      </w:r>
      <w:r w:rsidR="00D07BB1" w:rsidRPr="00D07BB1">
        <w:t>Szefa Sztabu Generalnego Wojska Polskiego (albo upoważnionego przez niego zastęp</w:t>
      </w:r>
      <w:r w:rsidR="00D07BB1">
        <w:t>cę</w:t>
      </w:r>
      <w:r w:rsidR="00D07BB1" w:rsidRPr="00D07BB1">
        <w:t>) jako przedstawiciela najwyższego dowództwa Sił Zbrojnych Rzeczypospolitej Polskiej</w:t>
      </w:r>
      <w:r w:rsidR="00EB19E5">
        <w:t>.</w:t>
      </w:r>
    </w:p>
    <w:p w14:paraId="6FC5E10F" w14:textId="77777777" w:rsidR="00EB19E5" w:rsidRPr="004A4B71" w:rsidRDefault="00EB19E5" w:rsidP="001A039B">
      <w:pPr>
        <w:ind w:firstLine="708"/>
        <w:jc w:val="both"/>
        <w:rPr>
          <w:sz w:val="16"/>
          <w:szCs w:val="16"/>
        </w:rPr>
      </w:pPr>
    </w:p>
    <w:p w14:paraId="6B7EA4AC" w14:textId="62AC96EE" w:rsidR="00EB19E5" w:rsidRDefault="00EB19E5" w:rsidP="001A039B">
      <w:pPr>
        <w:ind w:firstLine="708"/>
        <w:jc w:val="both"/>
      </w:pPr>
      <w:r>
        <w:t>Proponuje się także uzupełnienie przepisu art. 1, poprzez wskazanie jako priorytetu w zakresie</w:t>
      </w:r>
      <w:r w:rsidRPr="00EB19E5">
        <w:t xml:space="preserve"> przygotowania i realizacji zabezpieczenia granicy państwowe</w:t>
      </w:r>
      <w:r w:rsidR="00D07BB1">
        <w:t>j</w:t>
      </w:r>
      <w:r>
        <w:t xml:space="preserve"> </w:t>
      </w:r>
      <w:r w:rsidRPr="00EB19E5">
        <w:t>stanowiącej granicę zewnętrzną</w:t>
      </w:r>
      <w:r>
        <w:t>, budowy określonego ustawą zabezpieczenia przede wszystkim na</w:t>
      </w:r>
      <w:r w:rsidRPr="00EB19E5">
        <w:t xml:space="preserve"> granicy z Republiką Białorusi oraz Federacją Rosyjską</w:t>
      </w:r>
      <w:r>
        <w:t>.</w:t>
      </w:r>
    </w:p>
    <w:p w14:paraId="78474638" w14:textId="77777777" w:rsidR="00EB19E5" w:rsidRPr="004A4B71" w:rsidRDefault="00EB19E5" w:rsidP="001A039B">
      <w:pPr>
        <w:ind w:firstLine="708"/>
        <w:jc w:val="both"/>
        <w:rPr>
          <w:sz w:val="16"/>
          <w:szCs w:val="16"/>
        </w:rPr>
      </w:pPr>
    </w:p>
    <w:p w14:paraId="669F9F66" w14:textId="5F76B594" w:rsidR="00EB19E5" w:rsidRDefault="00EB19E5" w:rsidP="001A039B">
      <w:pPr>
        <w:ind w:firstLine="708"/>
        <w:jc w:val="both"/>
        <w:rPr>
          <w:rFonts w:cs="Times New Roman"/>
          <w:bCs/>
          <w:szCs w:val="24"/>
        </w:rPr>
      </w:pPr>
      <w:r>
        <w:rPr>
          <w:rFonts w:cs="Times New Roman"/>
          <w:bCs/>
          <w:szCs w:val="24"/>
        </w:rPr>
        <w:t xml:space="preserve">Jednocześnie projekt ustawy nakłada na </w:t>
      </w:r>
      <w:r w:rsidRPr="00EB19E5">
        <w:rPr>
          <w:rFonts w:cs="Times New Roman"/>
          <w:bCs/>
          <w:szCs w:val="24"/>
        </w:rPr>
        <w:t xml:space="preserve">Zespół do spraw przygotowania i realizacji zabezpieczenia granicy państwowej </w:t>
      </w:r>
      <w:r w:rsidR="00D07BB1" w:rsidRPr="00D07BB1">
        <w:rPr>
          <w:rFonts w:cs="Times New Roman"/>
          <w:bCs/>
          <w:szCs w:val="24"/>
        </w:rPr>
        <w:t>utworzony na mocy art. 12 ustawy z dnia 29 października 2021 r. o budowie zabezpieczenia granicy państwowej (Dz. U. z 2023 r. poz. 1390)</w:t>
      </w:r>
      <w:r w:rsidR="00D07BB1">
        <w:rPr>
          <w:rFonts w:cs="Times New Roman"/>
          <w:bCs/>
          <w:szCs w:val="24"/>
        </w:rPr>
        <w:t xml:space="preserve"> </w:t>
      </w:r>
      <w:r w:rsidR="00DE7CB3">
        <w:rPr>
          <w:rFonts w:cs="Times New Roman"/>
          <w:bCs/>
          <w:szCs w:val="24"/>
        </w:rPr>
        <w:t xml:space="preserve">obowiązek </w:t>
      </w:r>
      <w:r w:rsidRPr="00EB19E5">
        <w:rPr>
          <w:rFonts w:cs="Times New Roman"/>
          <w:bCs/>
          <w:szCs w:val="24"/>
        </w:rPr>
        <w:t>oprac</w:t>
      </w:r>
      <w:r w:rsidR="00DE7CB3">
        <w:rPr>
          <w:rFonts w:cs="Times New Roman"/>
          <w:bCs/>
          <w:szCs w:val="24"/>
        </w:rPr>
        <w:t>owania</w:t>
      </w:r>
      <w:r w:rsidRPr="00EB19E5">
        <w:rPr>
          <w:rFonts w:cs="Times New Roman"/>
          <w:bCs/>
          <w:szCs w:val="24"/>
        </w:rPr>
        <w:t xml:space="preserve"> i </w:t>
      </w:r>
      <w:r w:rsidR="00DE7CB3" w:rsidRPr="00EB19E5">
        <w:rPr>
          <w:rFonts w:cs="Times New Roman"/>
          <w:bCs/>
          <w:szCs w:val="24"/>
        </w:rPr>
        <w:t>przedstawi</w:t>
      </w:r>
      <w:r w:rsidR="00DE7CB3">
        <w:rPr>
          <w:rFonts w:cs="Times New Roman"/>
          <w:bCs/>
          <w:szCs w:val="24"/>
        </w:rPr>
        <w:t>enia</w:t>
      </w:r>
      <w:r w:rsidRPr="00EB19E5">
        <w:rPr>
          <w:rFonts w:cs="Times New Roman"/>
          <w:bCs/>
          <w:szCs w:val="24"/>
        </w:rPr>
        <w:t xml:space="preserve"> założe</w:t>
      </w:r>
      <w:r w:rsidR="00DE7CB3">
        <w:rPr>
          <w:rFonts w:cs="Times New Roman"/>
          <w:bCs/>
          <w:szCs w:val="24"/>
        </w:rPr>
        <w:t>ń</w:t>
      </w:r>
      <w:r w:rsidRPr="00EB19E5">
        <w:rPr>
          <w:rFonts w:cs="Times New Roman"/>
          <w:bCs/>
          <w:szCs w:val="24"/>
        </w:rPr>
        <w:t xml:space="preserve"> </w:t>
      </w:r>
      <w:r w:rsidR="00DE7CB3">
        <w:rPr>
          <w:rFonts w:cs="Times New Roman"/>
          <w:bCs/>
          <w:szCs w:val="24"/>
        </w:rPr>
        <w:t>oraz</w:t>
      </w:r>
      <w:r w:rsidRPr="00EB19E5">
        <w:rPr>
          <w:rFonts w:cs="Times New Roman"/>
          <w:bCs/>
          <w:szCs w:val="24"/>
        </w:rPr>
        <w:t xml:space="preserve"> propozycje działań w zakresie przygotowania i realizacji inwestycji w zakresie budowy zabezpieczenia granicy państwowej z Federacją Rosyjską w terminie 3 miesięcy od dnia wejścia w życie niniejszej ustawy</w:t>
      </w:r>
      <w:r w:rsidR="00DE7CB3">
        <w:rPr>
          <w:rFonts w:cs="Times New Roman"/>
          <w:bCs/>
          <w:szCs w:val="24"/>
        </w:rPr>
        <w:t>.</w:t>
      </w:r>
    </w:p>
    <w:p w14:paraId="62824E66" w14:textId="77777777" w:rsidR="00DE7CB3" w:rsidRDefault="00DE7CB3" w:rsidP="001A039B">
      <w:pPr>
        <w:ind w:firstLine="708"/>
        <w:jc w:val="both"/>
        <w:rPr>
          <w:rFonts w:cs="Times New Roman"/>
          <w:bCs/>
          <w:sz w:val="16"/>
          <w:szCs w:val="16"/>
        </w:rPr>
      </w:pPr>
    </w:p>
    <w:p w14:paraId="3DB40A83" w14:textId="77777777" w:rsidR="00FE4190" w:rsidRDefault="00FE4190" w:rsidP="001A039B">
      <w:pPr>
        <w:ind w:firstLine="708"/>
        <w:jc w:val="both"/>
        <w:rPr>
          <w:rFonts w:cs="Times New Roman"/>
          <w:bCs/>
          <w:sz w:val="16"/>
          <w:szCs w:val="16"/>
        </w:rPr>
      </w:pPr>
    </w:p>
    <w:p w14:paraId="60612EF7" w14:textId="27AD6945" w:rsidR="00DE7CB3" w:rsidRDefault="00DE7CB3" w:rsidP="001A039B">
      <w:pPr>
        <w:ind w:firstLine="708"/>
        <w:jc w:val="both"/>
      </w:pPr>
      <w:r>
        <w:lastRenderedPageBreak/>
        <w:t>Projekt nie zawiera regulacji dotyczących majątkowych praw i obowiązków przedsiębiorców lub praw i obowiązków przedsiębiorców wobec organów administracji publicznej i nie podlega obowiązkowi dokonania oceny przewidywanego wpływu proponowanych rozwiązań na działalność mikro-, małych i średnich przedsiębiorców stosownie do przepisów ustawy z dnia 6 marca 2018 r. – Prawo przedsiębiorców (Dz. U. z 2021 r. poz. 162).</w:t>
      </w:r>
    </w:p>
    <w:p w14:paraId="6214B196" w14:textId="77777777" w:rsidR="00DE7CB3" w:rsidRPr="004A4B71" w:rsidRDefault="00DE7CB3" w:rsidP="00DE7CB3">
      <w:pPr>
        <w:ind w:firstLine="708"/>
        <w:jc w:val="both"/>
        <w:rPr>
          <w:rFonts w:cs="Times New Roman"/>
          <w:bCs/>
          <w:sz w:val="16"/>
          <w:szCs w:val="16"/>
        </w:rPr>
      </w:pPr>
    </w:p>
    <w:p w14:paraId="70DB6AAA" w14:textId="66BC8581" w:rsidR="00B1292B" w:rsidRDefault="00DE7CB3" w:rsidP="00DE7CB3">
      <w:pPr>
        <w:ind w:firstLine="708"/>
        <w:jc w:val="both"/>
        <w:rPr>
          <w:rFonts w:cs="Times New Roman"/>
          <w:bCs/>
          <w:szCs w:val="24"/>
        </w:rPr>
      </w:pPr>
      <w:r w:rsidRPr="00DE7CB3">
        <w:rPr>
          <w:rFonts w:cs="Times New Roman"/>
          <w:bCs/>
          <w:szCs w:val="24"/>
        </w:rPr>
        <w:t xml:space="preserve">Wejście w życie ustawy spowoduje skutki finansowe w kwocie </w:t>
      </w:r>
      <w:r>
        <w:rPr>
          <w:rFonts w:cs="Times New Roman"/>
          <w:bCs/>
          <w:szCs w:val="24"/>
        </w:rPr>
        <w:t xml:space="preserve">nieprzekraczającej </w:t>
      </w:r>
      <w:r w:rsidR="00B1292B">
        <w:rPr>
          <w:rFonts w:cs="Times New Roman"/>
          <w:bCs/>
          <w:szCs w:val="24"/>
        </w:rPr>
        <w:t>890</w:t>
      </w:r>
      <w:r w:rsidRPr="00DE7CB3">
        <w:rPr>
          <w:rFonts w:cs="Times New Roman"/>
          <w:bCs/>
          <w:szCs w:val="24"/>
        </w:rPr>
        <w:t xml:space="preserve"> mln zł. Wydatki związane z budową bariery </w:t>
      </w:r>
      <w:r w:rsidR="00B1292B">
        <w:rPr>
          <w:rFonts w:cs="Times New Roman"/>
          <w:bCs/>
          <w:szCs w:val="24"/>
        </w:rPr>
        <w:t xml:space="preserve">powinny </w:t>
      </w:r>
      <w:r w:rsidR="00B1292B" w:rsidRPr="00DE7CB3">
        <w:rPr>
          <w:rFonts w:cs="Times New Roman"/>
          <w:bCs/>
          <w:szCs w:val="24"/>
        </w:rPr>
        <w:t>zostać</w:t>
      </w:r>
      <w:r w:rsidRPr="00DE7CB3">
        <w:rPr>
          <w:rFonts w:cs="Times New Roman"/>
          <w:bCs/>
          <w:szCs w:val="24"/>
        </w:rPr>
        <w:t xml:space="preserve"> pokryte </w:t>
      </w:r>
      <w:r w:rsidR="00B1292B">
        <w:rPr>
          <w:rFonts w:cs="Times New Roman"/>
          <w:bCs/>
          <w:szCs w:val="24"/>
        </w:rPr>
        <w:t xml:space="preserve">analogicznie jak w przypadku budowy bariery na granicy z Białorusią </w:t>
      </w:r>
      <w:r w:rsidRPr="00DE7CB3">
        <w:rPr>
          <w:rFonts w:cs="Times New Roman"/>
          <w:bCs/>
          <w:szCs w:val="24"/>
        </w:rPr>
        <w:t xml:space="preserve">z budżetu państwa </w:t>
      </w:r>
      <w:r w:rsidR="00B1292B">
        <w:rPr>
          <w:rFonts w:cs="Times New Roman"/>
          <w:bCs/>
          <w:szCs w:val="24"/>
        </w:rPr>
        <w:t>-</w:t>
      </w:r>
      <w:r w:rsidRPr="00DE7CB3">
        <w:rPr>
          <w:rFonts w:cs="Times New Roman"/>
          <w:bCs/>
          <w:szCs w:val="24"/>
        </w:rPr>
        <w:t xml:space="preserve"> budżetu Straży Granicznej (w części 42 – Sprawy wewnętrzne). </w:t>
      </w:r>
      <w:r w:rsidR="004A4B71">
        <w:rPr>
          <w:rFonts w:cs="Times New Roman"/>
          <w:bCs/>
          <w:szCs w:val="24"/>
        </w:rPr>
        <w:t>Wysokość s</w:t>
      </w:r>
      <w:r w:rsidR="00B1292B" w:rsidRPr="00B1292B">
        <w:rPr>
          <w:rFonts w:cs="Times New Roman"/>
          <w:bCs/>
          <w:szCs w:val="24"/>
        </w:rPr>
        <w:t>kutk</w:t>
      </w:r>
      <w:r w:rsidR="004A4B71">
        <w:rPr>
          <w:rFonts w:cs="Times New Roman"/>
          <w:bCs/>
          <w:szCs w:val="24"/>
        </w:rPr>
        <w:t>ów</w:t>
      </w:r>
      <w:r w:rsidR="00B1292B" w:rsidRPr="00B1292B">
        <w:rPr>
          <w:rFonts w:cs="Times New Roman"/>
          <w:bCs/>
          <w:szCs w:val="24"/>
        </w:rPr>
        <w:t xml:space="preserve"> finansow</w:t>
      </w:r>
      <w:r w:rsidR="004A4B71">
        <w:rPr>
          <w:rFonts w:cs="Times New Roman"/>
          <w:bCs/>
          <w:szCs w:val="24"/>
        </w:rPr>
        <w:t>ych</w:t>
      </w:r>
      <w:r w:rsidR="00B1292B" w:rsidRPr="00B1292B">
        <w:rPr>
          <w:rFonts w:cs="Times New Roman"/>
          <w:bCs/>
          <w:szCs w:val="24"/>
        </w:rPr>
        <w:t xml:space="preserve"> związan</w:t>
      </w:r>
      <w:r w:rsidR="004A4B71">
        <w:rPr>
          <w:rFonts w:cs="Times New Roman"/>
          <w:bCs/>
          <w:szCs w:val="24"/>
        </w:rPr>
        <w:t>ych</w:t>
      </w:r>
      <w:r w:rsidR="00B1292B" w:rsidRPr="00B1292B">
        <w:rPr>
          <w:rFonts w:cs="Times New Roman"/>
          <w:bCs/>
          <w:szCs w:val="24"/>
        </w:rPr>
        <w:t xml:space="preserve"> z budową bariery</w:t>
      </w:r>
      <w:r w:rsidR="00B1292B">
        <w:rPr>
          <w:rFonts w:cs="Times New Roman"/>
          <w:bCs/>
          <w:szCs w:val="24"/>
        </w:rPr>
        <w:t xml:space="preserve"> </w:t>
      </w:r>
      <w:r w:rsidR="004A4B71">
        <w:rPr>
          <w:rFonts w:cs="Times New Roman"/>
          <w:bCs/>
          <w:szCs w:val="24"/>
        </w:rPr>
        <w:t xml:space="preserve">na granicy </w:t>
      </w:r>
      <w:r w:rsidR="00B1292B">
        <w:rPr>
          <w:rFonts w:cs="Times New Roman"/>
          <w:bCs/>
          <w:szCs w:val="24"/>
        </w:rPr>
        <w:t>z Federacją Rosyjską</w:t>
      </w:r>
      <w:r w:rsidR="00B1292B" w:rsidRPr="00B1292B">
        <w:rPr>
          <w:rFonts w:cs="Times New Roman"/>
          <w:bCs/>
          <w:szCs w:val="24"/>
        </w:rPr>
        <w:t xml:space="preserve"> został</w:t>
      </w:r>
      <w:r w:rsidR="004A4B71">
        <w:rPr>
          <w:rFonts w:cs="Times New Roman"/>
          <w:bCs/>
          <w:szCs w:val="24"/>
        </w:rPr>
        <w:t>a</w:t>
      </w:r>
      <w:r w:rsidR="00B1292B" w:rsidRPr="00B1292B">
        <w:rPr>
          <w:rFonts w:cs="Times New Roman"/>
          <w:bCs/>
          <w:szCs w:val="24"/>
        </w:rPr>
        <w:t xml:space="preserve"> </w:t>
      </w:r>
      <w:r w:rsidR="00B1292B">
        <w:rPr>
          <w:rFonts w:cs="Times New Roman"/>
          <w:bCs/>
          <w:szCs w:val="24"/>
        </w:rPr>
        <w:t>oszacowan</w:t>
      </w:r>
      <w:r w:rsidR="004A4B71">
        <w:rPr>
          <w:rFonts w:cs="Times New Roman"/>
          <w:bCs/>
          <w:szCs w:val="24"/>
        </w:rPr>
        <w:t>a</w:t>
      </w:r>
      <w:r w:rsidR="00B1292B">
        <w:rPr>
          <w:rFonts w:cs="Times New Roman"/>
          <w:bCs/>
          <w:szCs w:val="24"/>
        </w:rPr>
        <w:t xml:space="preserve"> na </w:t>
      </w:r>
      <w:r w:rsidR="00B1292B" w:rsidRPr="00B1292B">
        <w:rPr>
          <w:rFonts w:cs="Times New Roman"/>
          <w:bCs/>
          <w:szCs w:val="24"/>
        </w:rPr>
        <w:t>podstawie zebranego doświadczenia</w:t>
      </w:r>
      <w:r w:rsidR="004A4B71">
        <w:rPr>
          <w:rFonts w:cs="Times New Roman"/>
          <w:bCs/>
          <w:szCs w:val="24"/>
        </w:rPr>
        <w:t xml:space="preserve"> </w:t>
      </w:r>
      <w:r w:rsidR="00B1292B" w:rsidRPr="00B1292B">
        <w:rPr>
          <w:rFonts w:cs="Times New Roman"/>
          <w:bCs/>
          <w:szCs w:val="24"/>
        </w:rPr>
        <w:t xml:space="preserve">i uwarunkowań rynkowych </w:t>
      </w:r>
      <w:r w:rsidR="004A4B71">
        <w:rPr>
          <w:rFonts w:cs="Times New Roman"/>
          <w:bCs/>
          <w:szCs w:val="24"/>
        </w:rPr>
        <w:t xml:space="preserve">w oparciu o </w:t>
      </w:r>
      <w:r w:rsidR="00B1292B">
        <w:rPr>
          <w:rFonts w:cs="Times New Roman"/>
          <w:bCs/>
          <w:szCs w:val="24"/>
        </w:rPr>
        <w:t xml:space="preserve">koszt budowy </w:t>
      </w:r>
      <w:r w:rsidR="00B1292B" w:rsidRPr="00B1292B">
        <w:rPr>
          <w:rFonts w:cs="Times New Roman"/>
          <w:bCs/>
          <w:szCs w:val="24"/>
        </w:rPr>
        <w:t>bariery na granicy z Białorusią</w:t>
      </w:r>
      <w:r w:rsidR="00B1292B">
        <w:rPr>
          <w:rFonts w:cs="Times New Roman"/>
          <w:bCs/>
          <w:szCs w:val="24"/>
        </w:rPr>
        <w:t>. Projekt ustawy nie będzie generował kosztów po stronie budżetów jednostek samorządu terytorialnego.</w:t>
      </w:r>
    </w:p>
    <w:p w14:paraId="3C79A14C" w14:textId="77777777" w:rsidR="00B1292B" w:rsidRPr="004A4B71" w:rsidRDefault="00B1292B" w:rsidP="00B1292B">
      <w:pPr>
        <w:ind w:firstLine="708"/>
        <w:jc w:val="both"/>
        <w:rPr>
          <w:rFonts w:cs="Times New Roman"/>
          <w:bCs/>
          <w:sz w:val="16"/>
          <w:szCs w:val="16"/>
        </w:rPr>
      </w:pPr>
    </w:p>
    <w:p w14:paraId="55F1EDEB" w14:textId="17FF695C" w:rsidR="00DE7CB3" w:rsidRDefault="00B1292B" w:rsidP="00B1292B">
      <w:pPr>
        <w:ind w:firstLine="708"/>
        <w:jc w:val="both"/>
        <w:rPr>
          <w:rFonts w:cs="Times New Roman"/>
          <w:bCs/>
          <w:szCs w:val="24"/>
        </w:rPr>
      </w:pPr>
      <w:r>
        <w:rPr>
          <w:rFonts w:cs="Times New Roman"/>
          <w:bCs/>
          <w:szCs w:val="24"/>
        </w:rPr>
        <w:t>Potencjalne s</w:t>
      </w:r>
      <w:r w:rsidR="00DE7CB3" w:rsidRPr="00DE7CB3">
        <w:rPr>
          <w:rFonts w:cs="Times New Roman"/>
          <w:bCs/>
          <w:szCs w:val="24"/>
        </w:rPr>
        <w:t xml:space="preserve">kutki finansowe związane z wypłatą odszkodowań za </w:t>
      </w:r>
      <w:r>
        <w:rPr>
          <w:rFonts w:cs="Times New Roman"/>
          <w:bCs/>
          <w:szCs w:val="24"/>
        </w:rPr>
        <w:t xml:space="preserve">ewentualne </w:t>
      </w:r>
      <w:r w:rsidR="00DE7CB3" w:rsidRPr="00DE7CB3">
        <w:rPr>
          <w:rFonts w:cs="Times New Roman"/>
          <w:bCs/>
          <w:szCs w:val="24"/>
        </w:rPr>
        <w:t>wywłaszczone nieruchomości nie są możliwe do jednoznacznego wyliczenia, ponieważ są one zależne, w szczególności, od liczby i wartości nieruchomości niezbędnych do przeprowadzenia inwestycji i długości odcinków granicy, na których zostanie zbudowana bariera. Wydatki związane z wypłatą odszkodowań zostaną pokryte przez wojewodę właściwego ze względu na miejsce położenia nieruchomości.</w:t>
      </w:r>
    </w:p>
    <w:p w14:paraId="4C2BD507" w14:textId="77777777" w:rsidR="00B1292B" w:rsidRPr="004A4B71" w:rsidRDefault="00B1292B" w:rsidP="00DE7CB3">
      <w:pPr>
        <w:ind w:firstLine="708"/>
        <w:jc w:val="both"/>
        <w:rPr>
          <w:rFonts w:cs="Times New Roman"/>
          <w:bCs/>
          <w:sz w:val="16"/>
          <w:szCs w:val="16"/>
        </w:rPr>
      </w:pPr>
    </w:p>
    <w:p w14:paraId="7F29F7C0" w14:textId="25C686BD" w:rsidR="00DE7CB3" w:rsidRPr="00DE7CB3" w:rsidRDefault="00DE7CB3" w:rsidP="00DE7CB3">
      <w:pPr>
        <w:ind w:firstLine="708"/>
        <w:jc w:val="both"/>
        <w:rPr>
          <w:rFonts w:cs="Times New Roman"/>
          <w:bCs/>
          <w:szCs w:val="24"/>
        </w:rPr>
      </w:pPr>
      <w:r w:rsidRPr="00DE7CB3">
        <w:rPr>
          <w:rFonts w:cs="Times New Roman"/>
          <w:bCs/>
          <w:szCs w:val="24"/>
        </w:rPr>
        <w:t>Projektowana ustawa będzie miała korzystny wpływ na zapewnienie bezpieczeństwa na</w:t>
      </w:r>
    </w:p>
    <w:p w14:paraId="7629B9DE" w14:textId="081270B2" w:rsidR="00DE7CB3" w:rsidRPr="004A4B71" w:rsidRDefault="00DE7CB3" w:rsidP="00DE7CB3">
      <w:pPr>
        <w:jc w:val="both"/>
        <w:rPr>
          <w:rFonts w:cs="Times New Roman"/>
          <w:bCs/>
          <w:sz w:val="16"/>
          <w:szCs w:val="16"/>
        </w:rPr>
      </w:pPr>
      <w:r w:rsidRPr="00DE7CB3">
        <w:rPr>
          <w:rFonts w:cs="Times New Roman"/>
          <w:bCs/>
          <w:szCs w:val="24"/>
        </w:rPr>
        <w:t>terytorium Rzeczypospolitej Polskiej.</w:t>
      </w:r>
      <w:r w:rsidRPr="00DE7CB3">
        <w:rPr>
          <w:rFonts w:cs="Times New Roman"/>
          <w:bCs/>
          <w:szCs w:val="24"/>
        </w:rPr>
        <w:cr/>
      </w:r>
    </w:p>
    <w:p w14:paraId="29389379" w14:textId="485FC872" w:rsidR="00B1292B" w:rsidRDefault="00B1292B" w:rsidP="00B1292B">
      <w:pPr>
        <w:ind w:firstLine="708"/>
        <w:jc w:val="both"/>
      </w:pPr>
      <w:r>
        <w:t xml:space="preserve">Proponuje się, aby projektowana ustawa weszła w życie z dniem następującym po dniu ogłoszenia, ze względu na wyjątkową pilność realizacji inwestycji w kontekście istniejących zagrożeń na granicy państwowej oraz w tym zakresie istnienie istotnego interesu bezpieczeństwa państwa. Jak najszybsze wejście w życie ustawy pozwoli na realizację inwestycji w zakresie budowy bariery i ochronę bezpieczeństwa publicznego. Zapewnienie bezpieczeństwa publicznego jest jednym z najważniejszych zadań państwa, ze względu na jej wartością konstytucyjną. </w:t>
      </w:r>
    </w:p>
    <w:p w14:paraId="54A7DFC3" w14:textId="77777777" w:rsidR="004A4B71" w:rsidRPr="004A4B71" w:rsidRDefault="004A4B71" w:rsidP="00B1292B">
      <w:pPr>
        <w:ind w:firstLine="708"/>
        <w:jc w:val="both"/>
        <w:rPr>
          <w:sz w:val="16"/>
          <w:szCs w:val="16"/>
        </w:rPr>
      </w:pPr>
    </w:p>
    <w:p w14:paraId="6E5E326E" w14:textId="1177D1D2" w:rsidR="00D37270" w:rsidRPr="004A4B71" w:rsidRDefault="00B1292B" w:rsidP="004A4B71">
      <w:pPr>
        <w:ind w:firstLine="708"/>
        <w:jc w:val="both"/>
        <w:rPr>
          <w:rFonts w:cs="Times New Roman"/>
          <w:szCs w:val="24"/>
        </w:rPr>
      </w:pPr>
      <w:r>
        <w:t>Projektowana ustawa jest zgodna z prawem Unii Europejskiej</w:t>
      </w:r>
      <w:r w:rsidR="004A4B71">
        <w:t>.</w:t>
      </w:r>
    </w:p>
    <w:sectPr w:rsidR="00D37270" w:rsidRPr="004A4B71" w:rsidSect="004E614D">
      <w:headerReference w:type="default" r:id="rId8"/>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51AA2" w14:textId="77777777" w:rsidR="005D6329" w:rsidRDefault="005D6329" w:rsidP="00D37270">
      <w:pPr>
        <w:spacing w:line="240" w:lineRule="auto"/>
      </w:pPr>
      <w:r>
        <w:separator/>
      </w:r>
    </w:p>
  </w:endnote>
  <w:endnote w:type="continuationSeparator" w:id="0">
    <w:p w14:paraId="4D3CC04A" w14:textId="77777777" w:rsidR="005D6329" w:rsidRDefault="005D6329" w:rsidP="00D372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EF024" w14:textId="77777777" w:rsidR="005D6329" w:rsidRDefault="005D6329" w:rsidP="00D37270">
      <w:pPr>
        <w:spacing w:line="240" w:lineRule="auto"/>
      </w:pPr>
      <w:r>
        <w:separator/>
      </w:r>
    </w:p>
  </w:footnote>
  <w:footnote w:type="continuationSeparator" w:id="0">
    <w:p w14:paraId="652AAE49" w14:textId="77777777" w:rsidR="005D6329" w:rsidRDefault="005D6329" w:rsidP="00D372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5E3DE" w14:textId="2381D329" w:rsidR="004E614D" w:rsidRPr="00B371CC" w:rsidRDefault="00D60822" w:rsidP="004E614D">
    <w:pPr>
      <w:pStyle w:val="Nagwek"/>
      <w:jc w:val="center"/>
    </w:pPr>
    <w:r>
      <w:t xml:space="preserve">– </w:t>
    </w:r>
    <w:r>
      <w:fldChar w:fldCharType="begin"/>
    </w:r>
    <w:r>
      <w:instrText xml:space="preserve"> PAGE  \* MERGEFORMAT </w:instrText>
    </w:r>
    <w:r>
      <w:fldChar w:fldCharType="separate"/>
    </w:r>
    <w:r w:rsidR="005D2D98">
      <w:rPr>
        <w:noProof/>
      </w:rPr>
      <w:t>9</w:t>
    </w:r>
    <w:r>
      <w:rPr>
        <w:noProof/>
      </w:rPr>
      <w:fldChar w:fldCharType="end"/>
    </w:r>
    <w:r>
      <w:t xml:space="preserve"> –</w:t>
    </w:r>
  </w:p>
  <w:p w14:paraId="1973B70F" w14:textId="77777777" w:rsidR="004E614D" w:rsidRDefault="004E614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C38F8"/>
    <w:multiLevelType w:val="hybridMultilevel"/>
    <w:tmpl w:val="3F700C9C"/>
    <w:lvl w:ilvl="0" w:tplc="04150011">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496B8C"/>
    <w:multiLevelType w:val="hybridMultilevel"/>
    <w:tmpl w:val="17881B8C"/>
    <w:lvl w:ilvl="0" w:tplc="04150011">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C30B3C"/>
    <w:multiLevelType w:val="hybridMultilevel"/>
    <w:tmpl w:val="56CA1500"/>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 w15:restartNumberingAfterBreak="0">
    <w:nsid w:val="25631310"/>
    <w:multiLevelType w:val="hybridMultilevel"/>
    <w:tmpl w:val="2D044396"/>
    <w:lvl w:ilvl="0" w:tplc="04150011">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8D84764"/>
    <w:multiLevelType w:val="hybridMultilevel"/>
    <w:tmpl w:val="E07ED964"/>
    <w:lvl w:ilvl="0" w:tplc="04150017">
      <w:start w:val="1"/>
      <w:numFmt w:val="lowerLetter"/>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5" w15:restartNumberingAfterBreak="0">
    <w:nsid w:val="575E6A87"/>
    <w:multiLevelType w:val="hybridMultilevel"/>
    <w:tmpl w:val="C152EA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78F6227"/>
    <w:multiLevelType w:val="hybridMultilevel"/>
    <w:tmpl w:val="358464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C5B521A"/>
    <w:multiLevelType w:val="multilevel"/>
    <w:tmpl w:val="E2F6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3411FA"/>
    <w:multiLevelType w:val="hybridMultilevel"/>
    <w:tmpl w:val="A26ED5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02170BE"/>
    <w:multiLevelType w:val="hybridMultilevel"/>
    <w:tmpl w:val="D3C853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B194126"/>
    <w:multiLevelType w:val="multilevel"/>
    <w:tmpl w:val="3E92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623438"/>
    <w:multiLevelType w:val="hybridMultilevel"/>
    <w:tmpl w:val="5750EF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65709159">
    <w:abstractNumId w:val="7"/>
  </w:num>
  <w:num w:numId="2" w16cid:durableId="432360972">
    <w:abstractNumId w:val="10"/>
  </w:num>
  <w:num w:numId="3" w16cid:durableId="1665010334">
    <w:abstractNumId w:val="2"/>
  </w:num>
  <w:num w:numId="4" w16cid:durableId="1927499562">
    <w:abstractNumId w:val="4"/>
  </w:num>
  <w:num w:numId="5" w16cid:durableId="876939683">
    <w:abstractNumId w:val="9"/>
  </w:num>
  <w:num w:numId="6" w16cid:durableId="1188254451">
    <w:abstractNumId w:val="6"/>
  </w:num>
  <w:num w:numId="7" w16cid:durableId="690834526">
    <w:abstractNumId w:val="5"/>
  </w:num>
  <w:num w:numId="8" w16cid:durableId="61564104">
    <w:abstractNumId w:val="8"/>
  </w:num>
  <w:num w:numId="9" w16cid:durableId="381757343">
    <w:abstractNumId w:val="3"/>
  </w:num>
  <w:num w:numId="10" w16cid:durableId="216822350">
    <w:abstractNumId w:val="0"/>
  </w:num>
  <w:num w:numId="11" w16cid:durableId="1852331574">
    <w:abstractNumId w:val="1"/>
  </w:num>
  <w:num w:numId="12" w16cid:durableId="9810758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270"/>
    <w:rsid w:val="0001668F"/>
    <w:rsid w:val="00055F92"/>
    <w:rsid w:val="000D306E"/>
    <w:rsid w:val="00107727"/>
    <w:rsid w:val="001A039B"/>
    <w:rsid w:val="001D13BB"/>
    <w:rsid w:val="002A1320"/>
    <w:rsid w:val="002B1589"/>
    <w:rsid w:val="002F1F8A"/>
    <w:rsid w:val="003401DE"/>
    <w:rsid w:val="00354118"/>
    <w:rsid w:val="0042424F"/>
    <w:rsid w:val="004318D5"/>
    <w:rsid w:val="004352E2"/>
    <w:rsid w:val="004355FC"/>
    <w:rsid w:val="0044015F"/>
    <w:rsid w:val="00440943"/>
    <w:rsid w:val="004A4B71"/>
    <w:rsid w:val="004B443B"/>
    <w:rsid w:val="004C70C2"/>
    <w:rsid w:val="004E614D"/>
    <w:rsid w:val="005875A8"/>
    <w:rsid w:val="005A7F93"/>
    <w:rsid w:val="005D2D98"/>
    <w:rsid w:val="005D6329"/>
    <w:rsid w:val="005E1434"/>
    <w:rsid w:val="00732F38"/>
    <w:rsid w:val="007631AA"/>
    <w:rsid w:val="007972AA"/>
    <w:rsid w:val="008220A8"/>
    <w:rsid w:val="008260E3"/>
    <w:rsid w:val="008362F0"/>
    <w:rsid w:val="00875828"/>
    <w:rsid w:val="00890F5B"/>
    <w:rsid w:val="00891356"/>
    <w:rsid w:val="00891D8D"/>
    <w:rsid w:val="008A04EB"/>
    <w:rsid w:val="008B3ECA"/>
    <w:rsid w:val="008C49CE"/>
    <w:rsid w:val="008E0249"/>
    <w:rsid w:val="009E72F6"/>
    <w:rsid w:val="00A24AA6"/>
    <w:rsid w:val="00A27D23"/>
    <w:rsid w:val="00AA0293"/>
    <w:rsid w:val="00AB135C"/>
    <w:rsid w:val="00AC170E"/>
    <w:rsid w:val="00AC6DEE"/>
    <w:rsid w:val="00B1292B"/>
    <w:rsid w:val="00B22230"/>
    <w:rsid w:val="00B270AD"/>
    <w:rsid w:val="00B61DAF"/>
    <w:rsid w:val="00B62282"/>
    <w:rsid w:val="00B65EC7"/>
    <w:rsid w:val="00B73844"/>
    <w:rsid w:val="00BA6CBA"/>
    <w:rsid w:val="00BD09DF"/>
    <w:rsid w:val="00BD6C81"/>
    <w:rsid w:val="00C5038F"/>
    <w:rsid w:val="00CA4644"/>
    <w:rsid w:val="00D05420"/>
    <w:rsid w:val="00D07BB1"/>
    <w:rsid w:val="00D37270"/>
    <w:rsid w:val="00D60822"/>
    <w:rsid w:val="00D66FA6"/>
    <w:rsid w:val="00DA4B62"/>
    <w:rsid w:val="00DD4080"/>
    <w:rsid w:val="00DD645E"/>
    <w:rsid w:val="00DE24D4"/>
    <w:rsid w:val="00DE7CB3"/>
    <w:rsid w:val="00EB19E5"/>
    <w:rsid w:val="00EB4C75"/>
    <w:rsid w:val="00EE2980"/>
    <w:rsid w:val="00F57301"/>
    <w:rsid w:val="00FB42ED"/>
    <w:rsid w:val="00FE05EF"/>
    <w:rsid w:val="00FE2D3D"/>
    <w:rsid w:val="00FE4190"/>
    <w:rsid w:val="00FF4F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656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7270"/>
    <w:pPr>
      <w:widowControl w:val="0"/>
      <w:autoSpaceDE w:val="0"/>
      <w:autoSpaceDN w:val="0"/>
      <w:adjustRightInd w:val="0"/>
      <w:spacing w:after="0" w:line="360" w:lineRule="auto"/>
    </w:pPr>
    <w:rPr>
      <w:rFonts w:ascii="Times New Roman" w:eastAsiaTheme="minorEastAsia" w:hAnsi="Times New Roman" w:cs="Arial"/>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D37270"/>
    <w:pPr>
      <w:ind w:left="1497"/>
    </w:pPr>
  </w:style>
  <w:style w:type="character" w:styleId="Odwoanieprzypisudolnego">
    <w:name w:val="footnote reference"/>
    <w:uiPriority w:val="99"/>
    <w:semiHidden/>
    <w:rsid w:val="00D37270"/>
    <w:rPr>
      <w:rFonts w:cs="Times New Roman"/>
      <w:vertAlign w:val="superscript"/>
    </w:rPr>
  </w:style>
  <w:style w:type="paragraph" w:styleId="Nagwek">
    <w:name w:val="header"/>
    <w:basedOn w:val="Normalny"/>
    <w:link w:val="NagwekZnak"/>
    <w:uiPriority w:val="99"/>
    <w:semiHidden/>
    <w:rsid w:val="00D37270"/>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semiHidden/>
    <w:rsid w:val="00D37270"/>
    <w:rPr>
      <w:rFonts w:ascii="Times" w:eastAsia="Times New Roman" w:hAnsi="Times" w:cs="Times New Roman"/>
      <w:kern w:val="1"/>
      <w:sz w:val="24"/>
      <w:szCs w:val="24"/>
      <w:lang w:eastAsia="ar-SA"/>
    </w:rPr>
  </w:style>
  <w:style w:type="paragraph" w:customStyle="1" w:styleId="ARTartustawynprozporzdzenia">
    <w:name w:val="ART(§) – art. ustawy (§ np. rozporządzenia)"/>
    <w:uiPriority w:val="11"/>
    <w:qFormat/>
    <w:rsid w:val="00D37270"/>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ZPKTzmpktartykuempunktem">
    <w:name w:val="Z/PKT – zm. pkt artykułem (punktem)"/>
    <w:basedOn w:val="PKTpunkt"/>
    <w:uiPriority w:val="31"/>
    <w:qFormat/>
    <w:rsid w:val="00D37270"/>
    <w:pPr>
      <w:ind w:left="1020"/>
    </w:pPr>
  </w:style>
  <w:style w:type="paragraph" w:customStyle="1" w:styleId="DATAAKTUdatauchwalenialubwydaniaaktu">
    <w:name w:val="DATA_AKTU – data uchwalenia lub wydania aktu"/>
    <w:next w:val="TYTUAKTUprzedmiotregulacjiustawylubrozporzdzenia"/>
    <w:uiPriority w:val="6"/>
    <w:qFormat/>
    <w:rsid w:val="00D37270"/>
    <w:pPr>
      <w:keepNext/>
      <w:suppressAutoHyphens/>
      <w:spacing w:before="120" w:after="120" w:line="360" w:lineRule="auto"/>
      <w:jc w:val="center"/>
    </w:pPr>
    <w:rPr>
      <w:rFonts w:ascii="Times" w:eastAsiaTheme="minorEastAsia" w:hAnsi="Times" w:cs="Arial"/>
      <w:bCs/>
      <w:sz w:val="24"/>
      <w:szCs w:val="24"/>
      <w:lang w:eastAsia="pl-PL"/>
    </w:rPr>
  </w:style>
  <w:style w:type="paragraph" w:customStyle="1" w:styleId="TYTUAKTUprzedmiotregulacjiustawylubrozporzdzenia">
    <w:name w:val="TYTUŁ_AKTU – przedmiot regulacji ustawy lub rozporządzenia"/>
    <w:next w:val="ARTartustawynprozporzdzenia"/>
    <w:uiPriority w:val="6"/>
    <w:qFormat/>
    <w:rsid w:val="00D37270"/>
    <w:pPr>
      <w:keepNext/>
      <w:suppressAutoHyphens/>
      <w:spacing w:before="120" w:after="360" w:line="360" w:lineRule="auto"/>
      <w:jc w:val="center"/>
    </w:pPr>
    <w:rPr>
      <w:rFonts w:ascii="Times" w:eastAsiaTheme="minorEastAsia" w:hAnsi="Times" w:cs="Arial"/>
      <w:b/>
      <w:bCs/>
      <w:sz w:val="24"/>
      <w:szCs w:val="24"/>
      <w:lang w:eastAsia="pl-PL"/>
    </w:rPr>
  </w:style>
  <w:style w:type="paragraph" w:customStyle="1" w:styleId="OZNRODZAKTUtznustawalubrozporzdzenieiorganwydajcy">
    <w:name w:val="OZN_RODZ_AKTU – tzn. ustawa lub rozporządzenie i organ wydający"/>
    <w:next w:val="DATAAKTUdatauchwalenialubwydaniaaktu"/>
    <w:uiPriority w:val="5"/>
    <w:qFormat/>
    <w:rsid w:val="00D37270"/>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PKTpunkt">
    <w:name w:val="PKT – punkt"/>
    <w:uiPriority w:val="13"/>
    <w:qFormat/>
    <w:rsid w:val="00D37270"/>
    <w:pPr>
      <w:spacing w:after="0" w:line="360" w:lineRule="auto"/>
      <w:ind w:left="510" w:hanging="510"/>
      <w:jc w:val="both"/>
    </w:pPr>
    <w:rPr>
      <w:rFonts w:ascii="Times" w:eastAsiaTheme="minorEastAsia" w:hAnsi="Times" w:cs="Arial"/>
      <w:bCs/>
      <w:sz w:val="24"/>
      <w:szCs w:val="20"/>
      <w:lang w:eastAsia="pl-PL"/>
    </w:rPr>
  </w:style>
  <w:style w:type="paragraph" w:customStyle="1" w:styleId="LITlitera">
    <w:name w:val="LIT – litera"/>
    <w:basedOn w:val="PKTpunkt"/>
    <w:uiPriority w:val="14"/>
    <w:qFormat/>
    <w:rsid w:val="00D37270"/>
    <w:pPr>
      <w:ind w:left="986" w:hanging="476"/>
    </w:pPr>
  </w:style>
  <w:style w:type="paragraph" w:customStyle="1" w:styleId="ZCZWSPPKTzmczciwsppktartykuempunktem">
    <w:name w:val="Z/CZ_WSP_PKT – zm. części wsp. pkt artykułem (punktem)"/>
    <w:basedOn w:val="Normalny"/>
    <w:next w:val="Normalny"/>
    <w:uiPriority w:val="34"/>
    <w:qFormat/>
    <w:rsid w:val="00D37270"/>
    <w:pPr>
      <w:widowControl/>
      <w:autoSpaceDE/>
      <w:autoSpaceDN/>
      <w:adjustRightInd/>
      <w:ind w:left="510"/>
      <w:jc w:val="both"/>
    </w:pPr>
    <w:rPr>
      <w:rFonts w:ascii="Times" w:hAnsi="Times"/>
      <w:bCs/>
    </w:rPr>
  </w:style>
  <w:style w:type="paragraph" w:customStyle="1" w:styleId="ODNONIKtreodnonika">
    <w:name w:val="ODNOŚNIK – treść odnośnika"/>
    <w:uiPriority w:val="19"/>
    <w:qFormat/>
    <w:rsid w:val="00D37270"/>
    <w:pPr>
      <w:spacing w:after="0" w:line="240" w:lineRule="auto"/>
      <w:ind w:left="284" w:hanging="284"/>
      <w:jc w:val="both"/>
    </w:pPr>
    <w:rPr>
      <w:rFonts w:ascii="Times New Roman" w:eastAsiaTheme="minorEastAsia" w:hAnsi="Times New Roman" w:cs="Arial"/>
      <w:sz w:val="20"/>
      <w:szCs w:val="20"/>
      <w:lang w:eastAsia="pl-PL"/>
    </w:rPr>
  </w:style>
  <w:style w:type="paragraph" w:customStyle="1" w:styleId="ZUSTzmustartykuempunktem">
    <w:name w:val="Z/UST(§) – zm. ust. (§) artykułem (punktem)"/>
    <w:basedOn w:val="Normalny"/>
    <w:uiPriority w:val="30"/>
    <w:qFormat/>
    <w:rsid w:val="00D37270"/>
    <w:pPr>
      <w:widowControl/>
      <w:suppressAutoHyphens/>
      <w:ind w:left="510" w:firstLine="510"/>
      <w:jc w:val="both"/>
    </w:pPr>
    <w:rPr>
      <w:rFonts w:ascii="Times" w:hAnsi="Times"/>
    </w:rPr>
  </w:style>
  <w:style w:type="paragraph" w:customStyle="1" w:styleId="ZLITODNONIKAzmlitodnonikaartykuempunktem">
    <w:name w:val="Z/LIT_ODNOŚNIKA – zm. lit. odnośnika artykułem (punktem)"/>
    <w:basedOn w:val="Normalny"/>
    <w:next w:val="PKTpunkt"/>
    <w:uiPriority w:val="40"/>
    <w:qFormat/>
    <w:rsid w:val="00D37270"/>
    <w:pPr>
      <w:widowControl/>
      <w:autoSpaceDE/>
      <w:autoSpaceDN/>
      <w:adjustRightInd/>
      <w:ind w:left="907" w:hanging="397"/>
      <w:jc w:val="both"/>
    </w:pPr>
  </w:style>
  <w:style w:type="character" w:customStyle="1" w:styleId="Ppogrubienie">
    <w:name w:val="_P_ – pogrubienie"/>
    <w:basedOn w:val="Domylnaczcionkaakapitu"/>
    <w:uiPriority w:val="1"/>
    <w:qFormat/>
    <w:rsid w:val="00D37270"/>
    <w:rPr>
      <w:b/>
    </w:rPr>
  </w:style>
  <w:style w:type="paragraph" w:styleId="NormalnyWeb">
    <w:name w:val="Normal (Web)"/>
    <w:basedOn w:val="Normalny"/>
    <w:uiPriority w:val="99"/>
    <w:unhideWhenUsed/>
    <w:rsid w:val="00D37270"/>
    <w:pPr>
      <w:widowControl/>
      <w:autoSpaceDE/>
      <w:autoSpaceDN/>
      <w:adjustRightInd/>
      <w:spacing w:before="100" w:beforeAutospacing="1" w:after="100" w:afterAutospacing="1" w:line="240" w:lineRule="auto"/>
    </w:pPr>
    <w:rPr>
      <w:rFonts w:eastAsia="Times New Roman" w:cs="Times New Roman"/>
      <w:szCs w:val="24"/>
    </w:rPr>
  </w:style>
  <w:style w:type="character" w:styleId="Pogrubienie">
    <w:name w:val="Strong"/>
    <w:basedOn w:val="Domylnaczcionkaakapitu"/>
    <w:uiPriority w:val="22"/>
    <w:qFormat/>
    <w:rsid w:val="00D37270"/>
    <w:rPr>
      <w:b/>
      <w:bCs/>
    </w:rPr>
  </w:style>
  <w:style w:type="paragraph" w:customStyle="1" w:styleId="text-justify">
    <w:name w:val="text-justify"/>
    <w:basedOn w:val="Normalny"/>
    <w:uiPriority w:val="99"/>
    <w:rsid w:val="00D37270"/>
    <w:pPr>
      <w:widowControl/>
      <w:autoSpaceDE/>
      <w:autoSpaceDN/>
      <w:adjustRightInd/>
      <w:spacing w:before="100" w:beforeAutospacing="1" w:after="100" w:afterAutospacing="1" w:line="240" w:lineRule="auto"/>
    </w:pPr>
    <w:rPr>
      <w:rFonts w:eastAsiaTheme="minorHAnsi" w:cs="Times New Roman"/>
      <w:szCs w:val="24"/>
    </w:rPr>
  </w:style>
  <w:style w:type="paragraph" w:styleId="Tekstprzypisudolnego">
    <w:name w:val="footnote text"/>
    <w:basedOn w:val="Normalny"/>
    <w:link w:val="TekstprzypisudolnegoZnak"/>
    <w:uiPriority w:val="99"/>
    <w:semiHidden/>
    <w:unhideWhenUsed/>
    <w:rsid w:val="008C49CE"/>
    <w:pPr>
      <w:spacing w:line="240" w:lineRule="auto"/>
    </w:pPr>
    <w:rPr>
      <w:sz w:val="20"/>
    </w:rPr>
  </w:style>
  <w:style w:type="character" w:customStyle="1" w:styleId="TekstprzypisudolnegoZnak">
    <w:name w:val="Tekst przypisu dolnego Znak"/>
    <w:basedOn w:val="Domylnaczcionkaakapitu"/>
    <w:link w:val="Tekstprzypisudolnego"/>
    <w:uiPriority w:val="99"/>
    <w:semiHidden/>
    <w:rsid w:val="008C49CE"/>
    <w:rPr>
      <w:rFonts w:ascii="Times New Roman" w:eastAsiaTheme="minorEastAsia" w:hAnsi="Times New Roman" w:cs="Arial"/>
      <w:sz w:val="20"/>
      <w:szCs w:val="20"/>
      <w:lang w:eastAsia="pl-PL"/>
    </w:rPr>
  </w:style>
  <w:style w:type="character" w:styleId="Odwoaniedokomentarza">
    <w:name w:val="annotation reference"/>
    <w:basedOn w:val="Domylnaczcionkaakapitu"/>
    <w:uiPriority w:val="99"/>
    <w:semiHidden/>
    <w:unhideWhenUsed/>
    <w:rsid w:val="00B270AD"/>
    <w:rPr>
      <w:sz w:val="16"/>
      <w:szCs w:val="16"/>
    </w:rPr>
  </w:style>
  <w:style w:type="paragraph" w:styleId="Tekstkomentarza">
    <w:name w:val="annotation text"/>
    <w:basedOn w:val="Normalny"/>
    <w:link w:val="TekstkomentarzaZnak"/>
    <w:uiPriority w:val="99"/>
    <w:unhideWhenUsed/>
    <w:rsid w:val="00B270AD"/>
    <w:pPr>
      <w:spacing w:line="240" w:lineRule="auto"/>
    </w:pPr>
    <w:rPr>
      <w:sz w:val="20"/>
    </w:rPr>
  </w:style>
  <w:style w:type="character" w:customStyle="1" w:styleId="TekstkomentarzaZnak">
    <w:name w:val="Tekst komentarza Znak"/>
    <w:basedOn w:val="Domylnaczcionkaakapitu"/>
    <w:link w:val="Tekstkomentarza"/>
    <w:uiPriority w:val="99"/>
    <w:rsid w:val="00B270AD"/>
    <w:rPr>
      <w:rFonts w:ascii="Times New Roman" w:eastAsiaTheme="minorEastAsia" w:hAnsi="Times New Roman"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B270AD"/>
    <w:rPr>
      <w:b/>
      <w:bCs/>
    </w:rPr>
  </w:style>
  <w:style w:type="character" w:customStyle="1" w:styleId="TematkomentarzaZnak">
    <w:name w:val="Temat komentarza Znak"/>
    <w:basedOn w:val="TekstkomentarzaZnak"/>
    <w:link w:val="Tematkomentarza"/>
    <w:uiPriority w:val="99"/>
    <w:semiHidden/>
    <w:rsid w:val="00B270AD"/>
    <w:rPr>
      <w:rFonts w:ascii="Times New Roman" w:eastAsiaTheme="minorEastAsia" w:hAnsi="Times New Roman" w:cs="Arial"/>
      <w:b/>
      <w:bCs/>
      <w:sz w:val="20"/>
      <w:szCs w:val="20"/>
      <w:lang w:eastAsia="pl-PL"/>
    </w:rPr>
  </w:style>
  <w:style w:type="paragraph" w:styleId="Tekstdymka">
    <w:name w:val="Balloon Text"/>
    <w:basedOn w:val="Normalny"/>
    <w:link w:val="TekstdymkaZnak"/>
    <w:uiPriority w:val="99"/>
    <w:semiHidden/>
    <w:unhideWhenUsed/>
    <w:rsid w:val="00B270AD"/>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270AD"/>
    <w:rPr>
      <w:rFonts w:ascii="Segoe UI" w:eastAsiaTheme="minorEastAsia" w:hAnsi="Segoe UI" w:cs="Segoe UI"/>
      <w:sz w:val="18"/>
      <w:szCs w:val="18"/>
      <w:lang w:eastAsia="pl-PL"/>
    </w:rPr>
  </w:style>
  <w:style w:type="paragraph" w:styleId="Poprawka">
    <w:name w:val="Revision"/>
    <w:hidden/>
    <w:uiPriority w:val="99"/>
    <w:semiHidden/>
    <w:rsid w:val="0042424F"/>
    <w:pPr>
      <w:spacing w:after="0" w:line="240" w:lineRule="auto"/>
    </w:pPr>
    <w:rPr>
      <w:rFonts w:ascii="Times New Roman" w:eastAsiaTheme="minorEastAsia" w:hAnsi="Times New Roman" w:cs="Arial"/>
      <w:sz w:val="24"/>
      <w:szCs w:val="20"/>
      <w:lang w:eastAsia="pl-PL"/>
    </w:rPr>
  </w:style>
  <w:style w:type="paragraph" w:styleId="Stopka">
    <w:name w:val="footer"/>
    <w:basedOn w:val="Normalny"/>
    <w:link w:val="StopkaZnak"/>
    <w:uiPriority w:val="99"/>
    <w:unhideWhenUsed/>
    <w:rsid w:val="008260E3"/>
    <w:pPr>
      <w:tabs>
        <w:tab w:val="center" w:pos="4536"/>
        <w:tab w:val="right" w:pos="9072"/>
      </w:tabs>
      <w:spacing w:line="240" w:lineRule="auto"/>
    </w:pPr>
  </w:style>
  <w:style w:type="character" w:customStyle="1" w:styleId="StopkaZnak">
    <w:name w:val="Stopka Znak"/>
    <w:basedOn w:val="Domylnaczcionkaakapitu"/>
    <w:link w:val="Stopka"/>
    <w:uiPriority w:val="99"/>
    <w:rsid w:val="008260E3"/>
    <w:rPr>
      <w:rFonts w:ascii="Times New Roman" w:eastAsiaTheme="minorEastAsia" w:hAnsi="Times New Roman" w:cs="Arial"/>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0EDDF-30F0-4491-A4A1-5582E3658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5296</Characters>
  <Application>Microsoft Office Word</Application>
  <DocSecurity>0</DocSecurity>
  <Lines>44</Lines>
  <Paragraphs>12</Paragraphs>
  <ScaleCrop>false</ScaleCrop>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2024-06-11T17:35:00Z</dcterms:created>
  <dcterms:modified xsi:type="dcterms:W3CDTF">2024-06-11T17:35:00Z</dcterms:modified>
</cp:coreProperties>
</file>